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35613" w14:textId="77777777" w:rsidR="00731335" w:rsidRDefault="00731335" w:rsidP="0054631F">
      <w:pPr>
        <w:ind w:left="-720"/>
        <w:rPr>
          <w:i/>
          <w:sz w:val="18"/>
          <w:lang w:val="es-MX"/>
        </w:rPr>
      </w:pPr>
    </w:p>
    <w:p w14:paraId="14DD9B4A" w14:textId="77777777" w:rsidR="000079EB" w:rsidRDefault="000079EB" w:rsidP="000079EB">
      <w:pPr>
        <w:tabs>
          <w:tab w:val="left" w:pos="5400"/>
          <w:tab w:val="right" w:pos="8640"/>
        </w:tabs>
        <w:contextualSpacing/>
        <w:jc w:val="center"/>
        <w:rPr>
          <w:rFonts w:eastAsia="Calibri"/>
          <w:b/>
          <w:sz w:val="24"/>
          <w:szCs w:val="24"/>
        </w:rPr>
      </w:pPr>
      <w:r>
        <w:rPr>
          <w:rFonts w:eastAsia="Calibri"/>
          <w:b/>
          <w:caps/>
          <w:sz w:val="24"/>
          <w:szCs w:val="24"/>
        </w:rPr>
        <w:t>Before the</w:t>
      </w:r>
    </w:p>
    <w:p w14:paraId="149B30BD" w14:textId="77777777" w:rsidR="000079EB" w:rsidRDefault="000079EB" w:rsidP="000079EB">
      <w:pPr>
        <w:jc w:val="center"/>
        <w:rPr>
          <w:rFonts w:eastAsia="Calibri"/>
          <w:b/>
          <w:sz w:val="24"/>
          <w:szCs w:val="24"/>
        </w:rPr>
      </w:pPr>
      <w:r>
        <w:rPr>
          <w:rFonts w:eastAsia="Calibri"/>
          <w:b/>
          <w:sz w:val="24"/>
          <w:szCs w:val="24"/>
        </w:rPr>
        <w:t>PENNSYLVANIA PUBLIC UTILITY COMMISSION</w:t>
      </w:r>
    </w:p>
    <w:p w14:paraId="20A987BF" w14:textId="77777777" w:rsidR="000079EB" w:rsidRDefault="000079EB" w:rsidP="000079EB">
      <w:pPr>
        <w:jc w:val="center"/>
        <w:rPr>
          <w:rFonts w:eastAsia="Calibri"/>
          <w:b/>
          <w:sz w:val="24"/>
          <w:szCs w:val="24"/>
        </w:rPr>
      </w:pPr>
    </w:p>
    <w:p w14:paraId="22C96FFF" w14:textId="77777777" w:rsidR="000079EB" w:rsidRDefault="000079EB" w:rsidP="000079EB">
      <w:pPr>
        <w:jc w:val="center"/>
        <w:rPr>
          <w:rFonts w:eastAsia="Calibri"/>
          <w:b/>
          <w:sz w:val="24"/>
          <w:szCs w:val="24"/>
          <w:u w:val="single"/>
        </w:rPr>
      </w:pPr>
    </w:p>
    <w:p w14:paraId="24DA59AA" w14:textId="77777777" w:rsidR="000079EB" w:rsidRDefault="000079EB" w:rsidP="000079EB">
      <w:pPr>
        <w:jc w:val="center"/>
        <w:rPr>
          <w:rFonts w:eastAsia="Calibri"/>
          <w:b/>
          <w:sz w:val="24"/>
          <w:szCs w:val="24"/>
          <w:u w:val="single"/>
        </w:rPr>
      </w:pPr>
    </w:p>
    <w:p w14:paraId="67AE81EF" w14:textId="77777777" w:rsidR="000079EB" w:rsidRDefault="000079EB" w:rsidP="000079EB">
      <w:pPr>
        <w:jc w:val="both"/>
        <w:rPr>
          <w:rFonts w:eastAsia="Calibri"/>
          <w:sz w:val="24"/>
          <w:szCs w:val="24"/>
        </w:rPr>
      </w:pPr>
      <w:r>
        <w:rPr>
          <w:rFonts w:eastAsia="Calibri"/>
          <w:sz w:val="24"/>
          <w:szCs w:val="24"/>
        </w:rPr>
        <w:t>Lynn Force</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w:t>
      </w:r>
      <w:r>
        <w:rPr>
          <w:rFonts w:eastAsia="Calibri"/>
          <w:sz w:val="24"/>
          <w:szCs w:val="24"/>
        </w:rPr>
        <w:tab/>
      </w:r>
    </w:p>
    <w:p w14:paraId="2CBB89FD" w14:textId="77777777" w:rsidR="000079EB" w:rsidRDefault="000079EB" w:rsidP="000079EB">
      <w:pPr>
        <w:jc w:val="both"/>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w:t>
      </w:r>
    </w:p>
    <w:p w14:paraId="31A9726C" w14:textId="77777777" w:rsidR="000079EB" w:rsidRDefault="000079EB" w:rsidP="000079EB">
      <w:pPr>
        <w:jc w:val="both"/>
        <w:rPr>
          <w:rFonts w:eastAsia="Calibri"/>
          <w:sz w:val="24"/>
          <w:szCs w:val="24"/>
        </w:rPr>
      </w:pPr>
      <w:r>
        <w:rPr>
          <w:rFonts w:eastAsia="Calibri"/>
          <w:sz w:val="24"/>
          <w:szCs w:val="24"/>
        </w:rPr>
        <w:tab/>
        <w:t>v.</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w:t>
      </w:r>
      <w:r>
        <w:rPr>
          <w:rFonts w:eastAsia="Calibri"/>
          <w:sz w:val="24"/>
          <w:szCs w:val="24"/>
        </w:rPr>
        <w:tab/>
      </w:r>
      <w:r>
        <w:rPr>
          <w:rFonts w:eastAsia="Calibri"/>
          <w:sz w:val="24"/>
          <w:szCs w:val="24"/>
        </w:rPr>
        <w:tab/>
        <w:t>C-2017-2634987</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w:t>
      </w:r>
    </w:p>
    <w:p w14:paraId="4C9765F6" w14:textId="77777777" w:rsidR="000079EB" w:rsidRDefault="000079EB" w:rsidP="000079EB">
      <w:pPr>
        <w:jc w:val="both"/>
        <w:rPr>
          <w:rFonts w:eastAsia="Calibri"/>
          <w:sz w:val="24"/>
          <w:szCs w:val="24"/>
        </w:rPr>
      </w:pPr>
      <w:r>
        <w:rPr>
          <w:rFonts w:eastAsia="Calibri"/>
          <w:sz w:val="24"/>
          <w:szCs w:val="24"/>
        </w:rPr>
        <w:t>West Penn Power Company</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w:t>
      </w:r>
    </w:p>
    <w:p w14:paraId="672F6834" w14:textId="77777777" w:rsidR="000079EB" w:rsidRDefault="000079EB" w:rsidP="000079EB">
      <w:pPr>
        <w:jc w:val="both"/>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p>
    <w:p w14:paraId="066715DB" w14:textId="77777777" w:rsidR="000079EB" w:rsidRDefault="000079EB" w:rsidP="000079EB">
      <w:pPr>
        <w:jc w:val="center"/>
        <w:rPr>
          <w:rFonts w:eastAsia="Calibri"/>
          <w:b/>
          <w:bCs/>
          <w:sz w:val="24"/>
          <w:szCs w:val="24"/>
        </w:rPr>
      </w:pPr>
    </w:p>
    <w:p w14:paraId="09C8AD4E" w14:textId="77777777" w:rsidR="000079EB" w:rsidRDefault="000079EB" w:rsidP="000079EB">
      <w:pPr>
        <w:jc w:val="center"/>
        <w:rPr>
          <w:rFonts w:eastAsia="Calibri"/>
          <w:b/>
          <w:bCs/>
          <w:sz w:val="24"/>
          <w:szCs w:val="24"/>
        </w:rPr>
      </w:pPr>
    </w:p>
    <w:p w14:paraId="3129C183" w14:textId="3BBE2CC7" w:rsidR="000079EB" w:rsidRDefault="000079EB" w:rsidP="000079EB">
      <w:pPr>
        <w:jc w:val="center"/>
        <w:rPr>
          <w:rFonts w:eastAsia="Calibri"/>
          <w:b/>
          <w:bCs/>
          <w:sz w:val="24"/>
          <w:szCs w:val="24"/>
        </w:rPr>
      </w:pPr>
      <w:r w:rsidRPr="00B67CE5">
        <w:rPr>
          <w:rFonts w:eastAsia="Calibri"/>
          <w:b/>
          <w:bCs/>
          <w:sz w:val="24"/>
          <w:szCs w:val="24"/>
        </w:rPr>
        <w:t>INTERIM ORDER</w:t>
      </w:r>
    </w:p>
    <w:p w14:paraId="2E96D674" w14:textId="6BADE4B3" w:rsidR="00085165" w:rsidRDefault="00B03632" w:rsidP="000079EB">
      <w:pPr>
        <w:jc w:val="center"/>
        <w:rPr>
          <w:rFonts w:eastAsia="Calibri"/>
          <w:b/>
          <w:bCs/>
          <w:sz w:val="24"/>
          <w:szCs w:val="24"/>
          <w:u w:val="single"/>
        </w:rPr>
      </w:pPr>
      <w:r>
        <w:rPr>
          <w:rFonts w:eastAsia="Calibri"/>
          <w:b/>
          <w:bCs/>
          <w:sz w:val="24"/>
          <w:szCs w:val="24"/>
        </w:rPr>
        <w:t xml:space="preserve">DENYING THE </w:t>
      </w:r>
      <w:r w:rsidR="000079EB">
        <w:rPr>
          <w:rFonts w:eastAsia="Calibri"/>
          <w:b/>
          <w:bCs/>
          <w:sz w:val="24"/>
          <w:szCs w:val="24"/>
        </w:rPr>
        <w:t>M</w:t>
      </w:r>
      <w:r w:rsidR="000079EB" w:rsidRPr="00B67CE5">
        <w:rPr>
          <w:rFonts w:eastAsia="Calibri"/>
          <w:b/>
          <w:bCs/>
          <w:sz w:val="24"/>
          <w:szCs w:val="24"/>
        </w:rPr>
        <w:t xml:space="preserve">OTION OF </w:t>
      </w:r>
      <w:r w:rsidR="000079EB">
        <w:rPr>
          <w:rFonts w:eastAsia="Calibri"/>
          <w:b/>
          <w:bCs/>
          <w:sz w:val="24"/>
          <w:szCs w:val="24"/>
        </w:rPr>
        <w:t>LYNN FORCE</w:t>
      </w:r>
      <w:r w:rsidR="000079EB" w:rsidRPr="00B67CE5">
        <w:rPr>
          <w:rFonts w:eastAsia="Calibri"/>
          <w:b/>
          <w:bCs/>
          <w:sz w:val="24"/>
          <w:szCs w:val="24"/>
        </w:rPr>
        <w:t xml:space="preserve"> TO COMPEL </w:t>
      </w:r>
      <w:r w:rsidR="000079EB" w:rsidRPr="00085165">
        <w:rPr>
          <w:rFonts w:eastAsia="Calibri"/>
          <w:b/>
          <w:bCs/>
          <w:sz w:val="24"/>
          <w:szCs w:val="24"/>
        </w:rPr>
        <w:t xml:space="preserve">RESPONSES </w:t>
      </w:r>
    </w:p>
    <w:p w14:paraId="29F18E3E" w14:textId="357397E4" w:rsidR="000079EB" w:rsidRDefault="000079EB" w:rsidP="000079EB">
      <w:pPr>
        <w:jc w:val="center"/>
        <w:rPr>
          <w:rFonts w:eastAsia="Calibri"/>
          <w:b/>
          <w:bCs/>
          <w:sz w:val="24"/>
          <w:szCs w:val="24"/>
        </w:rPr>
      </w:pPr>
      <w:r w:rsidRPr="006F6F16">
        <w:rPr>
          <w:rFonts w:eastAsia="Calibri"/>
          <w:b/>
          <w:bCs/>
          <w:sz w:val="24"/>
          <w:szCs w:val="24"/>
          <w:u w:val="single"/>
        </w:rPr>
        <w:t>TO INTERROGATORIES AND DOCUMENT REQUESTS</w:t>
      </w:r>
    </w:p>
    <w:p w14:paraId="70207B2C" w14:textId="77777777" w:rsidR="000079EB" w:rsidRDefault="000079EB" w:rsidP="000079EB">
      <w:pPr>
        <w:spacing w:line="480" w:lineRule="auto"/>
        <w:jc w:val="both"/>
        <w:rPr>
          <w:sz w:val="24"/>
        </w:rPr>
      </w:pPr>
    </w:p>
    <w:p w14:paraId="366F94D7" w14:textId="4FEF489A" w:rsidR="0054631F" w:rsidRPr="00E60781" w:rsidRDefault="0054631F" w:rsidP="00085165">
      <w:pPr>
        <w:spacing w:line="360" w:lineRule="auto"/>
        <w:ind w:firstLine="1440"/>
        <w:jc w:val="both"/>
        <w:rPr>
          <w:sz w:val="24"/>
        </w:rPr>
      </w:pPr>
      <w:r w:rsidRPr="000079EB">
        <w:rPr>
          <w:sz w:val="24"/>
        </w:rPr>
        <w:t xml:space="preserve">On November 20, 2017, </w:t>
      </w:r>
      <w:r w:rsidR="009F6F1F">
        <w:rPr>
          <w:rFonts w:eastAsia="Calibri"/>
          <w:sz w:val="24"/>
          <w:szCs w:val="24"/>
        </w:rPr>
        <w:t>Lynn Force</w:t>
      </w:r>
      <w:r w:rsidR="009F6F1F" w:rsidRPr="000079EB">
        <w:rPr>
          <w:sz w:val="24"/>
        </w:rPr>
        <w:t xml:space="preserve"> </w:t>
      </w:r>
      <w:r w:rsidR="009F6F1F">
        <w:rPr>
          <w:sz w:val="24"/>
        </w:rPr>
        <w:t>(</w:t>
      </w:r>
      <w:r w:rsidRPr="000079EB">
        <w:rPr>
          <w:sz w:val="24"/>
        </w:rPr>
        <w:t>Complainant</w:t>
      </w:r>
      <w:r w:rsidR="009F6F1F">
        <w:rPr>
          <w:sz w:val="24"/>
        </w:rPr>
        <w:t>)</w:t>
      </w:r>
      <w:r w:rsidRPr="000079EB">
        <w:rPr>
          <w:sz w:val="24"/>
        </w:rPr>
        <w:t xml:space="preserve"> filed a Formal Complaint with the Pennsylvania Public Utility Commission (Commission) regarding </w:t>
      </w:r>
      <w:r w:rsidR="009F6F1F">
        <w:rPr>
          <w:sz w:val="24"/>
        </w:rPr>
        <w:t xml:space="preserve">electric service provided to </w:t>
      </w:r>
      <w:r w:rsidRPr="000079EB">
        <w:rPr>
          <w:sz w:val="24"/>
        </w:rPr>
        <w:t>1387 University Drive, State College, Pennsylvania 16801 (Service Location</w:t>
      </w:r>
      <w:r w:rsidR="009F6F1F">
        <w:rPr>
          <w:sz w:val="24"/>
        </w:rPr>
        <w:t xml:space="preserve"> or Service Address</w:t>
      </w:r>
      <w:r w:rsidRPr="000079EB">
        <w:rPr>
          <w:sz w:val="24"/>
        </w:rPr>
        <w:t>)</w:t>
      </w:r>
      <w:r w:rsidR="000079EB">
        <w:rPr>
          <w:sz w:val="24"/>
        </w:rPr>
        <w:t xml:space="preserve">.  </w:t>
      </w:r>
      <w:r w:rsidRPr="00E60781">
        <w:rPr>
          <w:sz w:val="24"/>
        </w:rPr>
        <w:t xml:space="preserve">On December 12, 2017, </w:t>
      </w:r>
      <w:r w:rsidR="000079EB">
        <w:rPr>
          <w:rFonts w:eastAsia="Calibri"/>
          <w:sz w:val="24"/>
          <w:szCs w:val="24"/>
        </w:rPr>
        <w:t>West Penn Power Company</w:t>
      </w:r>
      <w:r w:rsidR="000079EB" w:rsidRPr="00E60781">
        <w:rPr>
          <w:sz w:val="24"/>
        </w:rPr>
        <w:t xml:space="preserve"> </w:t>
      </w:r>
      <w:r w:rsidR="000079EB">
        <w:rPr>
          <w:sz w:val="24"/>
        </w:rPr>
        <w:t>(Respondent or</w:t>
      </w:r>
      <w:r w:rsidRPr="00E60781">
        <w:rPr>
          <w:sz w:val="24"/>
        </w:rPr>
        <w:t xml:space="preserve"> Company</w:t>
      </w:r>
      <w:r w:rsidR="000079EB">
        <w:rPr>
          <w:sz w:val="24"/>
        </w:rPr>
        <w:t>)</w:t>
      </w:r>
      <w:r w:rsidRPr="00E60781">
        <w:rPr>
          <w:sz w:val="24"/>
        </w:rPr>
        <w:t xml:space="preserve"> filed its Answer and New Matter denying the material allegations.  On the same day, the Company also filed Preliminary Objections to the Formal Complaint.</w:t>
      </w:r>
      <w:r w:rsidR="000079EB">
        <w:rPr>
          <w:sz w:val="24"/>
        </w:rPr>
        <w:t xml:space="preserve">  </w:t>
      </w:r>
      <w:r w:rsidRPr="00E60781">
        <w:rPr>
          <w:sz w:val="24"/>
        </w:rPr>
        <w:t>On December 23, 2017, the Complainant filed a response to the Preliminary Objections as well as a reply to the Company’s Answer and New Matter.</w:t>
      </w:r>
    </w:p>
    <w:p w14:paraId="05D6C6FA" w14:textId="77777777" w:rsidR="000079EB" w:rsidRDefault="000079EB" w:rsidP="000079EB">
      <w:pPr>
        <w:spacing w:line="480" w:lineRule="auto"/>
        <w:jc w:val="both"/>
        <w:rPr>
          <w:sz w:val="24"/>
        </w:rPr>
      </w:pPr>
    </w:p>
    <w:p w14:paraId="6BC2D287" w14:textId="18A8BBE7" w:rsidR="0054631F" w:rsidRPr="00E60781" w:rsidRDefault="0054631F" w:rsidP="00085165">
      <w:pPr>
        <w:spacing w:line="360" w:lineRule="auto"/>
        <w:ind w:firstLine="1440"/>
        <w:jc w:val="both"/>
        <w:rPr>
          <w:sz w:val="24"/>
        </w:rPr>
      </w:pPr>
      <w:r w:rsidRPr="000079EB">
        <w:rPr>
          <w:sz w:val="24"/>
        </w:rPr>
        <w:t xml:space="preserve">On August 8, 2018, </w:t>
      </w:r>
      <w:r w:rsidR="000079EB">
        <w:rPr>
          <w:sz w:val="24"/>
        </w:rPr>
        <w:t xml:space="preserve">the undersigned </w:t>
      </w:r>
      <w:r w:rsidR="00085165">
        <w:rPr>
          <w:sz w:val="24"/>
        </w:rPr>
        <w:t>P</w:t>
      </w:r>
      <w:r w:rsidR="000079EB">
        <w:rPr>
          <w:sz w:val="24"/>
        </w:rPr>
        <w:t xml:space="preserve">residing </w:t>
      </w:r>
      <w:r w:rsidR="00085165">
        <w:rPr>
          <w:sz w:val="24"/>
        </w:rPr>
        <w:t>O</w:t>
      </w:r>
      <w:r w:rsidR="000079EB">
        <w:rPr>
          <w:sz w:val="24"/>
        </w:rPr>
        <w:t xml:space="preserve">fficer </w:t>
      </w:r>
      <w:r w:rsidRPr="000079EB">
        <w:rPr>
          <w:sz w:val="24"/>
        </w:rPr>
        <w:t>issued an Order, which denied the Company’s Preliminary Objections</w:t>
      </w:r>
      <w:r w:rsidR="000079EB">
        <w:rPr>
          <w:sz w:val="24"/>
        </w:rPr>
        <w:t xml:space="preserve">.  </w:t>
      </w:r>
      <w:r w:rsidRPr="00E60781">
        <w:rPr>
          <w:sz w:val="24"/>
        </w:rPr>
        <w:t>On August 9, 2018, an Interim Order</w:t>
      </w:r>
      <w:r w:rsidR="009F6F1F">
        <w:rPr>
          <w:sz w:val="24"/>
        </w:rPr>
        <w:t xml:space="preserve"> was entered sche</w:t>
      </w:r>
      <w:r w:rsidRPr="00E60781">
        <w:rPr>
          <w:sz w:val="24"/>
        </w:rPr>
        <w:t>duling a prehearing conference for August 24, 2018.</w:t>
      </w:r>
    </w:p>
    <w:p w14:paraId="1C781A56" w14:textId="77777777" w:rsidR="000079EB" w:rsidRDefault="000079EB" w:rsidP="000079EB">
      <w:pPr>
        <w:spacing w:line="480" w:lineRule="auto"/>
        <w:jc w:val="both"/>
        <w:rPr>
          <w:sz w:val="24"/>
        </w:rPr>
      </w:pPr>
    </w:p>
    <w:p w14:paraId="2C136434" w14:textId="47E7E74F" w:rsidR="0054631F" w:rsidRPr="000079EB" w:rsidRDefault="0054631F" w:rsidP="00085165">
      <w:pPr>
        <w:spacing w:line="360" w:lineRule="auto"/>
        <w:ind w:firstLine="1440"/>
        <w:jc w:val="both"/>
        <w:rPr>
          <w:sz w:val="24"/>
        </w:rPr>
      </w:pPr>
      <w:r w:rsidRPr="000079EB">
        <w:rPr>
          <w:sz w:val="24"/>
        </w:rPr>
        <w:t xml:space="preserve">On August 20, 2018, </w:t>
      </w:r>
      <w:r w:rsidR="000079EB">
        <w:rPr>
          <w:sz w:val="24"/>
        </w:rPr>
        <w:t>Respondent</w:t>
      </w:r>
      <w:r w:rsidRPr="000079EB">
        <w:rPr>
          <w:sz w:val="24"/>
        </w:rPr>
        <w:t xml:space="preserve"> </w:t>
      </w:r>
      <w:r w:rsidR="009F6F1F">
        <w:rPr>
          <w:sz w:val="24"/>
        </w:rPr>
        <w:t xml:space="preserve">filed a </w:t>
      </w:r>
      <w:r w:rsidR="00CA3956">
        <w:rPr>
          <w:sz w:val="24"/>
        </w:rPr>
        <w:t>C</w:t>
      </w:r>
      <w:r w:rsidR="009F6F1F">
        <w:rPr>
          <w:sz w:val="24"/>
        </w:rPr>
        <w:t xml:space="preserve">ertificate of </w:t>
      </w:r>
      <w:r w:rsidR="00CA3956">
        <w:rPr>
          <w:sz w:val="24"/>
        </w:rPr>
        <w:t>S</w:t>
      </w:r>
      <w:r w:rsidR="009F6F1F">
        <w:rPr>
          <w:sz w:val="24"/>
        </w:rPr>
        <w:t>ervice indicating that Respondent served</w:t>
      </w:r>
      <w:r w:rsidRPr="000079EB">
        <w:rPr>
          <w:sz w:val="24"/>
        </w:rPr>
        <w:t xml:space="preserve"> </w:t>
      </w:r>
      <w:r w:rsidR="00085165">
        <w:rPr>
          <w:sz w:val="24"/>
        </w:rPr>
        <w:t>I</w:t>
      </w:r>
      <w:r w:rsidRPr="000079EB">
        <w:rPr>
          <w:sz w:val="24"/>
        </w:rPr>
        <w:t xml:space="preserve">nterrogatories and </w:t>
      </w:r>
      <w:r w:rsidR="00085165">
        <w:rPr>
          <w:sz w:val="24"/>
        </w:rPr>
        <w:t>D</w:t>
      </w:r>
      <w:r w:rsidRPr="000079EB">
        <w:rPr>
          <w:sz w:val="24"/>
        </w:rPr>
        <w:t xml:space="preserve">ocument </w:t>
      </w:r>
      <w:r w:rsidR="00085165">
        <w:rPr>
          <w:sz w:val="24"/>
        </w:rPr>
        <w:t>R</w:t>
      </w:r>
      <w:r w:rsidRPr="000079EB">
        <w:rPr>
          <w:sz w:val="24"/>
        </w:rPr>
        <w:t>equests (Company’s Discovery Requests)</w:t>
      </w:r>
      <w:r w:rsidR="009F6F1F">
        <w:rPr>
          <w:sz w:val="24"/>
        </w:rPr>
        <w:t xml:space="preserve"> upon Complainant</w:t>
      </w:r>
      <w:r w:rsidR="000079EB">
        <w:rPr>
          <w:sz w:val="24"/>
        </w:rPr>
        <w:t xml:space="preserve">.  </w:t>
      </w:r>
      <w:r w:rsidRPr="000079EB">
        <w:rPr>
          <w:sz w:val="24"/>
        </w:rPr>
        <w:t xml:space="preserve">  </w:t>
      </w:r>
    </w:p>
    <w:p w14:paraId="1FDF69D8" w14:textId="77777777" w:rsidR="000079EB" w:rsidRDefault="000079EB" w:rsidP="000079EB">
      <w:pPr>
        <w:spacing w:line="480" w:lineRule="auto"/>
        <w:jc w:val="both"/>
        <w:rPr>
          <w:sz w:val="24"/>
        </w:rPr>
      </w:pPr>
    </w:p>
    <w:p w14:paraId="4963BAF6" w14:textId="77777777" w:rsidR="00085165" w:rsidRDefault="0054631F" w:rsidP="00085165">
      <w:pPr>
        <w:spacing w:line="360" w:lineRule="auto"/>
        <w:ind w:firstLine="1440"/>
        <w:jc w:val="both"/>
        <w:rPr>
          <w:sz w:val="24"/>
        </w:rPr>
      </w:pPr>
      <w:r w:rsidRPr="000079EB">
        <w:rPr>
          <w:sz w:val="24"/>
        </w:rPr>
        <w:lastRenderedPageBreak/>
        <w:t xml:space="preserve">On August 24, 2018, </w:t>
      </w:r>
      <w:r w:rsidR="000079EB">
        <w:rPr>
          <w:sz w:val="24"/>
        </w:rPr>
        <w:t xml:space="preserve">the undersigned </w:t>
      </w:r>
      <w:r w:rsidR="00085165">
        <w:rPr>
          <w:sz w:val="24"/>
        </w:rPr>
        <w:t>P</w:t>
      </w:r>
      <w:r w:rsidR="000079EB">
        <w:rPr>
          <w:sz w:val="24"/>
        </w:rPr>
        <w:t xml:space="preserve">residing </w:t>
      </w:r>
      <w:r w:rsidR="00085165">
        <w:rPr>
          <w:sz w:val="24"/>
        </w:rPr>
        <w:t>O</w:t>
      </w:r>
      <w:r w:rsidR="000079EB">
        <w:rPr>
          <w:sz w:val="24"/>
        </w:rPr>
        <w:t xml:space="preserve">fficer </w:t>
      </w:r>
      <w:r w:rsidRPr="000079EB">
        <w:rPr>
          <w:sz w:val="24"/>
        </w:rPr>
        <w:t xml:space="preserve">convened the prehearing conference with the </w:t>
      </w:r>
      <w:r w:rsidR="00085165">
        <w:rPr>
          <w:sz w:val="24"/>
        </w:rPr>
        <w:t>P</w:t>
      </w:r>
      <w:r w:rsidRPr="000079EB">
        <w:rPr>
          <w:sz w:val="24"/>
        </w:rPr>
        <w:t xml:space="preserve">arties wherein a settlement was reached between the </w:t>
      </w:r>
      <w:r w:rsidR="00085165">
        <w:rPr>
          <w:sz w:val="24"/>
        </w:rPr>
        <w:t>P</w:t>
      </w:r>
      <w:r w:rsidRPr="000079EB">
        <w:rPr>
          <w:sz w:val="24"/>
        </w:rPr>
        <w:t>arties.</w:t>
      </w:r>
      <w:r w:rsidR="000079EB">
        <w:rPr>
          <w:sz w:val="24"/>
        </w:rPr>
        <w:t xml:space="preserve">  </w:t>
      </w:r>
      <w:r w:rsidRPr="00E60781">
        <w:rPr>
          <w:sz w:val="24"/>
        </w:rPr>
        <w:t xml:space="preserve">On </w:t>
      </w:r>
    </w:p>
    <w:p w14:paraId="41CBCE8D" w14:textId="3D0A2615" w:rsidR="0054631F" w:rsidRPr="007115BC" w:rsidRDefault="0054631F" w:rsidP="00085165">
      <w:pPr>
        <w:spacing w:line="360" w:lineRule="auto"/>
        <w:jc w:val="both"/>
        <w:rPr>
          <w:rFonts w:eastAsia="Calibri"/>
          <w:sz w:val="24"/>
        </w:rPr>
      </w:pPr>
      <w:r w:rsidRPr="00E60781">
        <w:rPr>
          <w:sz w:val="24"/>
        </w:rPr>
        <w:t>August 27, 2018, the Company filed a Certificate of Satisfaction.</w:t>
      </w:r>
      <w:r w:rsidR="000079EB">
        <w:rPr>
          <w:sz w:val="24"/>
        </w:rPr>
        <w:t xml:space="preserve">  </w:t>
      </w:r>
      <w:r w:rsidRPr="00E60781">
        <w:rPr>
          <w:sz w:val="24"/>
        </w:rPr>
        <w:t>On September 1, 2018, the Complainant filed an objection to the Certificate of Satisfaction.</w:t>
      </w:r>
    </w:p>
    <w:p w14:paraId="1DF66E27" w14:textId="77777777" w:rsidR="00194389" w:rsidRDefault="00194389" w:rsidP="00194389">
      <w:pPr>
        <w:spacing w:line="480" w:lineRule="auto"/>
        <w:jc w:val="both"/>
        <w:rPr>
          <w:rFonts w:eastAsia="Calibri"/>
          <w:sz w:val="24"/>
        </w:rPr>
      </w:pPr>
    </w:p>
    <w:p w14:paraId="5BF8DAAF" w14:textId="324BB89F" w:rsidR="0054631F" w:rsidRPr="00194389" w:rsidRDefault="0054631F" w:rsidP="00085165">
      <w:pPr>
        <w:spacing w:line="360" w:lineRule="auto"/>
        <w:ind w:firstLine="1440"/>
        <w:jc w:val="both"/>
        <w:rPr>
          <w:rFonts w:eastAsia="Calibri"/>
          <w:sz w:val="24"/>
        </w:rPr>
      </w:pPr>
      <w:r w:rsidRPr="00194389">
        <w:rPr>
          <w:rFonts w:eastAsia="Calibri"/>
          <w:sz w:val="24"/>
        </w:rPr>
        <w:t xml:space="preserve">On January 7, 2019, an </w:t>
      </w:r>
      <w:r w:rsidRPr="00194389">
        <w:rPr>
          <w:rFonts w:eastAsia="Calibri"/>
          <w:sz w:val="24"/>
          <w:szCs w:val="24"/>
        </w:rPr>
        <w:t xml:space="preserve">Interim Order Establishing Initial Litigation Schedule was issued which set forth the schedule for discovery, the identification of witnesses, and filing of motions in this proceeding.  </w:t>
      </w:r>
    </w:p>
    <w:p w14:paraId="13393C1C" w14:textId="77777777" w:rsidR="00194389" w:rsidRDefault="00194389" w:rsidP="00194389">
      <w:pPr>
        <w:spacing w:line="480" w:lineRule="auto"/>
        <w:jc w:val="both"/>
        <w:rPr>
          <w:rFonts w:eastAsia="Calibri"/>
          <w:sz w:val="24"/>
        </w:rPr>
      </w:pPr>
    </w:p>
    <w:p w14:paraId="727EBDA3" w14:textId="563AEF0B" w:rsidR="0054631F" w:rsidRPr="0007338D" w:rsidRDefault="00194389" w:rsidP="00085165">
      <w:pPr>
        <w:spacing w:line="360" w:lineRule="auto"/>
        <w:ind w:firstLine="1440"/>
        <w:jc w:val="both"/>
        <w:rPr>
          <w:rFonts w:eastAsia="Calibri"/>
          <w:sz w:val="24"/>
        </w:rPr>
      </w:pPr>
      <w:r>
        <w:rPr>
          <w:rFonts w:eastAsia="Calibri"/>
          <w:sz w:val="24"/>
        </w:rPr>
        <w:t xml:space="preserve">On or about </w:t>
      </w:r>
      <w:r w:rsidR="0054631F" w:rsidRPr="00194389">
        <w:rPr>
          <w:rFonts w:eastAsia="Calibri"/>
          <w:sz w:val="24"/>
        </w:rPr>
        <w:t xml:space="preserve">March 18, 2019, the Complainant </w:t>
      </w:r>
      <w:r w:rsidR="009F6F1F">
        <w:rPr>
          <w:rFonts w:eastAsia="Calibri"/>
          <w:sz w:val="24"/>
        </w:rPr>
        <w:t xml:space="preserve">served her </w:t>
      </w:r>
      <w:r w:rsidR="0054631F" w:rsidRPr="00194389">
        <w:rPr>
          <w:rFonts w:eastAsia="Calibri"/>
          <w:sz w:val="24"/>
        </w:rPr>
        <w:t xml:space="preserve">Set I Discovery Requests </w:t>
      </w:r>
      <w:r w:rsidR="009F6F1F">
        <w:rPr>
          <w:rFonts w:eastAsia="Calibri"/>
          <w:sz w:val="24"/>
        </w:rPr>
        <w:t xml:space="preserve">upon </w:t>
      </w:r>
      <w:r w:rsidR="0054631F" w:rsidRPr="00194389">
        <w:rPr>
          <w:rFonts w:eastAsia="Calibri"/>
          <w:sz w:val="24"/>
        </w:rPr>
        <w:t>the Company.</w:t>
      </w:r>
      <w:r>
        <w:rPr>
          <w:rFonts w:eastAsia="Calibri"/>
          <w:sz w:val="24"/>
        </w:rPr>
        <w:t xml:space="preserve">  </w:t>
      </w:r>
    </w:p>
    <w:p w14:paraId="791D08F0" w14:textId="7221A675" w:rsidR="008314FC" w:rsidRDefault="008314FC" w:rsidP="008314FC">
      <w:pPr>
        <w:spacing w:line="480" w:lineRule="auto"/>
        <w:jc w:val="both"/>
        <w:rPr>
          <w:rFonts w:eastAsia="Calibri"/>
          <w:sz w:val="24"/>
        </w:rPr>
      </w:pPr>
    </w:p>
    <w:p w14:paraId="25F93DD3" w14:textId="6C929BE9" w:rsidR="005B2682" w:rsidRPr="0007338D" w:rsidRDefault="005B2682" w:rsidP="00085165">
      <w:pPr>
        <w:spacing w:line="360" w:lineRule="auto"/>
        <w:ind w:firstLine="1440"/>
        <w:rPr>
          <w:rFonts w:eastAsia="Calibri"/>
          <w:sz w:val="24"/>
        </w:rPr>
      </w:pPr>
      <w:r>
        <w:rPr>
          <w:rFonts w:eastAsia="Calibri"/>
          <w:sz w:val="24"/>
        </w:rPr>
        <w:t xml:space="preserve">On </w:t>
      </w:r>
      <w:r w:rsidR="009F6F1F">
        <w:rPr>
          <w:rFonts w:eastAsia="Calibri"/>
          <w:sz w:val="24"/>
        </w:rPr>
        <w:t xml:space="preserve">or about </w:t>
      </w:r>
      <w:r>
        <w:rPr>
          <w:rFonts w:eastAsia="Calibri"/>
          <w:sz w:val="24"/>
        </w:rPr>
        <w:t xml:space="preserve">April 10, 2019, </w:t>
      </w:r>
      <w:r>
        <w:rPr>
          <w:sz w:val="24"/>
          <w:szCs w:val="24"/>
        </w:rPr>
        <w:t xml:space="preserve">the Company filed a </w:t>
      </w:r>
      <w:r w:rsidR="00085165">
        <w:rPr>
          <w:sz w:val="24"/>
          <w:szCs w:val="24"/>
        </w:rPr>
        <w:t>C</w:t>
      </w:r>
      <w:r>
        <w:rPr>
          <w:sz w:val="24"/>
          <w:szCs w:val="24"/>
        </w:rPr>
        <w:t xml:space="preserve">ertificate of </w:t>
      </w:r>
      <w:r w:rsidR="00085165">
        <w:rPr>
          <w:sz w:val="24"/>
          <w:szCs w:val="24"/>
        </w:rPr>
        <w:t>S</w:t>
      </w:r>
      <w:r>
        <w:rPr>
          <w:sz w:val="24"/>
          <w:szCs w:val="24"/>
        </w:rPr>
        <w:t>ervice evidencing service of its responses to the Set I Discovery Requests not subject to objections.</w:t>
      </w:r>
    </w:p>
    <w:p w14:paraId="0FFBCBC5" w14:textId="49C50262" w:rsidR="005B2682" w:rsidRDefault="005B2682" w:rsidP="008314FC">
      <w:pPr>
        <w:spacing w:line="480" w:lineRule="auto"/>
        <w:jc w:val="both"/>
        <w:rPr>
          <w:rFonts w:eastAsia="Calibri"/>
          <w:sz w:val="24"/>
        </w:rPr>
      </w:pPr>
    </w:p>
    <w:p w14:paraId="1E64ECC0" w14:textId="4B133C1F" w:rsidR="00085165" w:rsidRDefault="005B2682" w:rsidP="00085165">
      <w:pPr>
        <w:spacing w:line="360" w:lineRule="auto"/>
        <w:ind w:firstLine="1440"/>
        <w:jc w:val="both"/>
        <w:rPr>
          <w:sz w:val="24"/>
          <w:szCs w:val="24"/>
        </w:rPr>
      </w:pPr>
      <w:r w:rsidRPr="005B2682">
        <w:rPr>
          <w:rFonts w:eastAsia="Calibri"/>
          <w:sz w:val="24"/>
        </w:rPr>
        <w:t xml:space="preserve">On </w:t>
      </w:r>
      <w:r w:rsidR="009F6F1F">
        <w:rPr>
          <w:rFonts w:eastAsia="Calibri"/>
          <w:sz w:val="24"/>
        </w:rPr>
        <w:t xml:space="preserve">or about </w:t>
      </w:r>
      <w:r w:rsidRPr="005B2682">
        <w:rPr>
          <w:rFonts w:eastAsia="Calibri"/>
          <w:sz w:val="24"/>
        </w:rPr>
        <w:t>May 6, 2019</w:t>
      </w:r>
      <w:r>
        <w:rPr>
          <w:rFonts w:eastAsia="Calibri"/>
          <w:sz w:val="24"/>
        </w:rPr>
        <w:t xml:space="preserve">, </w:t>
      </w:r>
      <w:r w:rsidRPr="005B2682">
        <w:rPr>
          <w:rFonts w:eastAsia="Calibri"/>
          <w:sz w:val="24"/>
        </w:rPr>
        <w:t>Complainant</w:t>
      </w:r>
      <w:r>
        <w:rPr>
          <w:rFonts w:eastAsia="Calibri"/>
          <w:sz w:val="24"/>
        </w:rPr>
        <w:t xml:space="preserve"> filed a Motion to Compel </w:t>
      </w:r>
      <w:r w:rsidR="00D24BBA">
        <w:rPr>
          <w:rFonts w:eastAsia="Calibri"/>
          <w:sz w:val="24"/>
        </w:rPr>
        <w:t>D</w:t>
      </w:r>
      <w:r>
        <w:rPr>
          <w:rFonts w:eastAsia="Calibri"/>
          <w:sz w:val="24"/>
        </w:rPr>
        <w:t xml:space="preserve">iscovery </w:t>
      </w:r>
      <w:r w:rsidR="00D24BBA">
        <w:rPr>
          <w:rFonts w:eastAsia="Calibri"/>
          <w:sz w:val="24"/>
        </w:rPr>
        <w:t>R</w:t>
      </w:r>
      <w:r>
        <w:rPr>
          <w:rFonts w:eastAsia="Calibri"/>
          <w:sz w:val="24"/>
        </w:rPr>
        <w:t>esponses.</w:t>
      </w:r>
      <w:r w:rsidR="00085165">
        <w:rPr>
          <w:rFonts w:eastAsia="Calibri"/>
          <w:sz w:val="24"/>
        </w:rPr>
        <w:t xml:space="preserve">  </w:t>
      </w:r>
      <w:r w:rsidRPr="005B2682">
        <w:rPr>
          <w:rFonts w:eastAsia="Calibri"/>
          <w:sz w:val="24"/>
        </w:rPr>
        <w:t>Specifically, the Complainant request</w:t>
      </w:r>
      <w:r>
        <w:rPr>
          <w:rFonts w:eastAsia="Calibri"/>
          <w:sz w:val="24"/>
        </w:rPr>
        <w:t>ed</w:t>
      </w:r>
      <w:r w:rsidRPr="005B2682">
        <w:rPr>
          <w:rFonts w:eastAsia="Calibri"/>
          <w:sz w:val="24"/>
        </w:rPr>
        <w:t xml:space="preserve"> that the Company answer </w:t>
      </w:r>
      <w:r w:rsidRPr="005B2682">
        <w:rPr>
          <w:sz w:val="24"/>
          <w:szCs w:val="24"/>
        </w:rPr>
        <w:t>Interrogatory Numbers 1 through 5 of Set I Discovery Requests</w:t>
      </w:r>
      <w:r>
        <w:rPr>
          <w:sz w:val="24"/>
          <w:szCs w:val="24"/>
        </w:rPr>
        <w:t xml:space="preserve"> and objected to </w:t>
      </w:r>
      <w:r w:rsidRPr="005B2682">
        <w:rPr>
          <w:sz w:val="24"/>
          <w:szCs w:val="24"/>
        </w:rPr>
        <w:t xml:space="preserve">the Company’s responses to </w:t>
      </w:r>
    </w:p>
    <w:p w14:paraId="2C63D9C4" w14:textId="7693C7CD" w:rsidR="005B2682" w:rsidRPr="005B2682" w:rsidRDefault="005B2682" w:rsidP="00085165">
      <w:pPr>
        <w:spacing w:line="360" w:lineRule="auto"/>
        <w:jc w:val="both"/>
        <w:rPr>
          <w:rFonts w:eastAsia="Calibri"/>
          <w:sz w:val="24"/>
        </w:rPr>
      </w:pPr>
      <w:r w:rsidRPr="005B2682">
        <w:rPr>
          <w:sz w:val="24"/>
          <w:szCs w:val="24"/>
        </w:rPr>
        <w:t>Set I Discovery Requests Interrogatory Numbers No. 7 and 8.</w:t>
      </w:r>
    </w:p>
    <w:p w14:paraId="356FC981" w14:textId="1C921CB4" w:rsidR="005B2682" w:rsidRDefault="005B2682" w:rsidP="008314FC">
      <w:pPr>
        <w:spacing w:line="480" w:lineRule="auto"/>
        <w:jc w:val="both"/>
        <w:rPr>
          <w:rFonts w:eastAsia="Calibri"/>
          <w:sz w:val="24"/>
        </w:rPr>
      </w:pPr>
    </w:p>
    <w:p w14:paraId="1301A72D" w14:textId="77777777" w:rsidR="00351CC6" w:rsidRDefault="005B2682" w:rsidP="00085165">
      <w:pPr>
        <w:spacing w:line="360" w:lineRule="auto"/>
        <w:ind w:firstLine="1440"/>
        <w:jc w:val="both"/>
        <w:rPr>
          <w:rFonts w:eastAsia="Calibri"/>
          <w:sz w:val="24"/>
        </w:rPr>
      </w:pPr>
      <w:r>
        <w:rPr>
          <w:rFonts w:eastAsia="Calibri"/>
          <w:sz w:val="24"/>
        </w:rPr>
        <w:t xml:space="preserve">On </w:t>
      </w:r>
      <w:r w:rsidR="009F6F1F">
        <w:rPr>
          <w:rFonts w:eastAsia="Calibri"/>
          <w:sz w:val="24"/>
        </w:rPr>
        <w:t xml:space="preserve">or about </w:t>
      </w:r>
      <w:r>
        <w:rPr>
          <w:rFonts w:eastAsia="Calibri"/>
          <w:sz w:val="24"/>
        </w:rPr>
        <w:t xml:space="preserve">May 14, 2019, Respondent filed its Response to the Motion to Compel.  In its Response, Respondent averred that </w:t>
      </w:r>
      <w:r w:rsidRPr="0007338D">
        <w:rPr>
          <w:rFonts w:eastAsia="Calibri"/>
          <w:sz w:val="24"/>
        </w:rPr>
        <w:t>On April 1, 2019,</w:t>
      </w:r>
      <w:r w:rsidRPr="0007338D">
        <w:rPr>
          <w:sz w:val="24"/>
          <w:szCs w:val="24"/>
        </w:rPr>
        <w:t xml:space="preserve"> the Company </w:t>
      </w:r>
      <w:r>
        <w:rPr>
          <w:sz w:val="24"/>
          <w:szCs w:val="24"/>
        </w:rPr>
        <w:t>filed</w:t>
      </w:r>
      <w:r w:rsidRPr="0007338D">
        <w:rPr>
          <w:sz w:val="24"/>
          <w:szCs w:val="24"/>
        </w:rPr>
        <w:t xml:space="preserve"> objections to Interrogatory Number</w:t>
      </w:r>
      <w:r>
        <w:rPr>
          <w:sz w:val="24"/>
          <w:szCs w:val="24"/>
        </w:rPr>
        <w:t>s</w:t>
      </w:r>
      <w:r w:rsidRPr="0007338D">
        <w:rPr>
          <w:sz w:val="24"/>
          <w:szCs w:val="24"/>
        </w:rPr>
        <w:t xml:space="preserve"> </w:t>
      </w:r>
      <w:r>
        <w:rPr>
          <w:sz w:val="24"/>
          <w:szCs w:val="24"/>
        </w:rPr>
        <w:t>1 through 5</w:t>
      </w:r>
      <w:r w:rsidRPr="0007338D">
        <w:rPr>
          <w:sz w:val="24"/>
          <w:szCs w:val="24"/>
        </w:rPr>
        <w:t xml:space="preserve"> of Set I Discovery Requests</w:t>
      </w:r>
      <w:r>
        <w:rPr>
          <w:sz w:val="24"/>
          <w:szCs w:val="24"/>
        </w:rPr>
        <w:t>.  Respondent averred that o</w:t>
      </w:r>
      <w:r w:rsidRPr="005B2682">
        <w:rPr>
          <w:rFonts w:eastAsia="Calibri"/>
          <w:sz w:val="24"/>
        </w:rPr>
        <w:t xml:space="preserve">n </w:t>
      </w:r>
    </w:p>
    <w:p w14:paraId="003C7535" w14:textId="001DD1AE" w:rsidR="00164CE7" w:rsidRPr="008314FC" w:rsidRDefault="005B2682" w:rsidP="00351CC6">
      <w:pPr>
        <w:spacing w:line="360" w:lineRule="auto"/>
        <w:jc w:val="both"/>
        <w:rPr>
          <w:rFonts w:eastAsia="Calibri"/>
          <w:sz w:val="24"/>
        </w:rPr>
      </w:pPr>
      <w:r w:rsidRPr="005B2682">
        <w:rPr>
          <w:rFonts w:eastAsia="Calibri"/>
          <w:sz w:val="24"/>
        </w:rPr>
        <w:t xml:space="preserve">April 19, 2019, the Company reserved its responses to the Set I Discovery Requests after </w:t>
      </w:r>
      <w:r w:rsidRPr="005B2682">
        <w:rPr>
          <w:sz w:val="24"/>
          <w:szCs w:val="24"/>
        </w:rPr>
        <w:t xml:space="preserve">the responses mailed on April 10, 2019, </w:t>
      </w:r>
      <w:r w:rsidRPr="005B2682">
        <w:rPr>
          <w:sz w:val="24"/>
        </w:rPr>
        <w:t xml:space="preserve">were returned to the Company due to being incorrectly addressed. </w:t>
      </w:r>
      <w:r>
        <w:rPr>
          <w:sz w:val="24"/>
          <w:szCs w:val="24"/>
        </w:rPr>
        <w:t xml:space="preserve"> Respondent further averred that o</w:t>
      </w:r>
      <w:r w:rsidR="00164CE7" w:rsidRPr="008314FC">
        <w:rPr>
          <w:rFonts w:eastAsia="Calibri"/>
          <w:sz w:val="24"/>
        </w:rPr>
        <w:t xml:space="preserve">n April 25, 2019, the Company resent the filed objections to </w:t>
      </w:r>
      <w:r w:rsidR="00164CE7" w:rsidRPr="008314FC">
        <w:rPr>
          <w:sz w:val="24"/>
          <w:szCs w:val="24"/>
        </w:rPr>
        <w:t xml:space="preserve">Interrogatory Numbers 1 through 5 of Set I Discovery Requests after receiving a phone call from the Complainant stating that she did not receive the Company’s objections. </w:t>
      </w:r>
    </w:p>
    <w:p w14:paraId="23F12F10" w14:textId="0C458747" w:rsidR="008314FC" w:rsidRDefault="008314FC" w:rsidP="0054631F">
      <w:pPr>
        <w:pStyle w:val="NoSpacing"/>
        <w:spacing w:line="480" w:lineRule="auto"/>
        <w:jc w:val="both"/>
        <w:rPr>
          <w:rFonts w:ascii="Times New Roman" w:hAnsi="Times New Roman" w:cs="Times New Roman"/>
          <w:b/>
          <w:sz w:val="24"/>
          <w:szCs w:val="24"/>
        </w:rPr>
      </w:pPr>
    </w:p>
    <w:p w14:paraId="62635A53" w14:textId="280131EC" w:rsidR="005B2682" w:rsidRPr="009476D1" w:rsidRDefault="009476D1" w:rsidP="00351CC6">
      <w:pPr>
        <w:pStyle w:val="NoSpacing"/>
        <w:spacing w:line="360" w:lineRule="auto"/>
        <w:ind w:firstLine="1440"/>
        <w:jc w:val="both"/>
        <w:rPr>
          <w:rFonts w:ascii="Times New Roman" w:hAnsi="Times New Roman" w:cs="Times New Roman"/>
          <w:bCs/>
          <w:sz w:val="24"/>
          <w:szCs w:val="24"/>
        </w:rPr>
      </w:pPr>
      <w:r w:rsidRPr="009476D1">
        <w:rPr>
          <w:rFonts w:ascii="Times New Roman" w:hAnsi="Times New Roman" w:cs="Times New Roman"/>
          <w:bCs/>
          <w:sz w:val="24"/>
          <w:szCs w:val="24"/>
        </w:rPr>
        <w:lastRenderedPageBreak/>
        <w:t>Interrogatory number 1 states</w:t>
      </w:r>
      <w:r w:rsidR="00351CC6">
        <w:rPr>
          <w:rFonts w:ascii="Times New Roman" w:hAnsi="Times New Roman" w:cs="Times New Roman"/>
          <w:bCs/>
          <w:sz w:val="24"/>
          <w:szCs w:val="24"/>
        </w:rPr>
        <w:t>:</w:t>
      </w:r>
      <w:r w:rsidRPr="009476D1">
        <w:rPr>
          <w:rFonts w:ascii="Times New Roman" w:hAnsi="Times New Roman" w:cs="Times New Roman"/>
          <w:bCs/>
          <w:sz w:val="24"/>
          <w:szCs w:val="24"/>
        </w:rPr>
        <w:t xml:space="preserve"> “Do you have an insurer that would be responsible for paying customers</w:t>
      </w:r>
      <w:r w:rsidR="00351CC6">
        <w:rPr>
          <w:rFonts w:ascii="Times New Roman" w:hAnsi="Times New Roman" w:cs="Times New Roman"/>
          <w:bCs/>
          <w:sz w:val="24"/>
          <w:szCs w:val="24"/>
        </w:rPr>
        <w:t>’</w:t>
      </w:r>
      <w:r w:rsidRPr="009476D1">
        <w:rPr>
          <w:rFonts w:ascii="Times New Roman" w:hAnsi="Times New Roman" w:cs="Times New Roman"/>
          <w:bCs/>
          <w:sz w:val="24"/>
          <w:szCs w:val="24"/>
        </w:rPr>
        <w:t xml:space="preserve"> claims for health complaints that arise from your wireless smart meters?”  Interrogatory number 2 states</w:t>
      </w:r>
      <w:r w:rsidR="00351CC6">
        <w:rPr>
          <w:rFonts w:ascii="Times New Roman" w:hAnsi="Times New Roman" w:cs="Times New Roman"/>
          <w:bCs/>
          <w:sz w:val="24"/>
          <w:szCs w:val="24"/>
        </w:rPr>
        <w:t>:</w:t>
      </w:r>
      <w:r w:rsidRPr="009476D1">
        <w:rPr>
          <w:rFonts w:ascii="Times New Roman" w:hAnsi="Times New Roman" w:cs="Times New Roman"/>
          <w:bCs/>
          <w:sz w:val="24"/>
          <w:szCs w:val="24"/>
        </w:rPr>
        <w:t xml:space="preserve"> “Does your policy contain an exemption from such claims?”</w:t>
      </w:r>
      <w:r w:rsidR="009F6F1F">
        <w:rPr>
          <w:rFonts w:ascii="Times New Roman" w:hAnsi="Times New Roman" w:cs="Times New Roman"/>
          <w:bCs/>
          <w:sz w:val="24"/>
          <w:szCs w:val="24"/>
        </w:rPr>
        <w:t xml:space="preserve">  </w:t>
      </w:r>
      <w:r w:rsidRPr="009476D1">
        <w:rPr>
          <w:rFonts w:ascii="Times New Roman" w:hAnsi="Times New Roman" w:cs="Times New Roman"/>
          <w:bCs/>
          <w:sz w:val="24"/>
          <w:szCs w:val="24"/>
        </w:rPr>
        <w:t>Interrogatory number 3 states</w:t>
      </w:r>
      <w:r w:rsidR="00351CC6">
        <w:rPr>
          <w:rFonts w:ascii="Times New Roman" w:hAnsi="Times New Roman" w:cs="Times New Roman"/>
          <w:bCs/>
          <w:sz w:val="24"/>
          <w:szCs w:val="24"/>
        </w:rPr>
        <w:t>:</w:t>
      </w:r>
      <w:r w:rsidRPr="009476D1">
        <w:rPr>
          <w:rFonts w:ascii="Times New Roman" w:hAnsi="Times New Roman" w:cs="Times New Roman"/>
          <w:bCs/>
          <w:sz w:val="24"/>
          <w:szCs w:val="24"/>
        </w:rPr>
        <w:t xml:space="preserve"> “State the insurer’s full name, address, and phone number.”  </w:t>
      </w:r>
      <w:r w:rsidR="009F6F1F">
        <w:rPr>
          <w:rFonts w:ascii="Times New Roman" w:hAnsi="Times New Roman" w:cs="Times New Roman"/>
          <w:bCs/>
          <w:sz w:val="24"/>
          <w:szCs w:val="24"/>
        </w:rPr>
        <w:t xml:space="preserve"> </w:t>
      </w:r>
      <w:r w:rsidRPr="009476D1">
        <w:rPr>
          <w:rFonts w:ascii="Times New Roman" w:hAnsi="Times New Roman" w:cs="Times New Roman"/>
          <w:bCs/>
          <w:sz w:val="24"/>
          <w:szCs w:val="24"/>
        </w:rPr>
        <w:t>Interrogatory number 4 states</w:t>
      </w:r>
      <w:r w:rsidR="00351CC6">
        <w:rPr>
          <w:rFonts w:ascii="Times New Roman" w:hAnsi="Times New Roman" w:cs="Times New Roman"/>
          <w:bCs/>
          <w:sz w:val="24"/>
          <w:szCs w:val="24"/>
        </w:rPr>
        <w:t>:</w:t>
      </w:r>
      <w:r w:rsidRPr="009476D1">
        <w:rPr>
          <w:rFonts w:ascii="Times New Roman" w:hAnsi="Times New Roman" w:cs="Times New Roman"/>
          <w:bCs/>
          <w:sz w:val="24"/>
          <w:szCs w:val="24"/>
        </w:rPr>
        <w:t xml:space="preserve"> “If you do not have an insurer that would be responsible for claims involving effects of radiofrequency radiation upon customers from your smart meters, why don’t you?  Explain in detail </w:t>
      </w:r>
      <w:proofErr w:type="gramStart"/>
      <w:r w:rsidRPr="009476D1">
        <w:rPr>
          <w:rFonts w:ascii="Times New Roman" w:hAnsi="Times New Roman" w:cs="Times New Roman"/>
          <w:bCs/>
          <w:sz w:val="24"/>
          <w:szCs w:val="24"/>
        </w:rPr>
        <w:t>and also</w:t>
      </w:r>
      <w:proofErr w:type="gramEnd"/>
      <w:r w:rsidRPr="009476D1">
        <w:rPr>
          <w:rFonts w:ascii="Times New Roman" w:hAnsi="Times New Roman" w:cs="Times New Roman"/>
          <w:bCs/>
          <w:sz w:val="24"/>
          <w:szCs w:val="24"/>
        </w:rPr>
        <w:t xml:space="preserve"> provide a copy of the relevant policy exemption clause.”  Interrogatory number 5 states</w:t>
      </w:r>
      <w:r w:rsidR="00351CC6">
        <w:rPr>
          <w:rFonts w:ascii="Times New Roman" w:hAnsi="Times New Roman" w:cs="Times New Roman"/>
          <w:bCs/>
          <w:sz w:val="24"/>
          <w:szCs w:val="24"/>
        </w:rPr>
        <w:t>:</w:t>
      </w:r>
      <w:r w:rsidRPr="009476D1">
        <w:rPr>
          <w:rFonts w:ascii="Times New Roman" w:hAnsi="Times New Roman" w:cs="Times New Roman"/>
          <w:bCs/>
          <w:sz w:val="24"/>
          <w:szCs w:val="24"/>
        </w:rPr>
        <w:t xml:space="preserve"> “Are you exempt by law from responsibility for such claims?’</w:t>
      </w:r>
    </w:p>
    <w:p w14:paraId="6A250A1D" w14:textId="2A01E203" w:rsidR="008314FC" w:rsidRDefault="008314FC" w:rsidP="0054631F">
      <w:pPr>
        <w:pStyle w:val="NoSpacing"/>
        <w:spacing w:line="480" w:lineRule="auto"/>
        <w:jc w:val="both"/>
        <w:rPr>
          <w:rFonts w:ascii="Times New Roman" w:hAnsi="Times New Roman" w:cs="Times New Roman"/>
          <w:b/>
          <w:sz w:val="24"/>
          <w:szCs w:val="24"/>
        </w:rPr>
      </w:pPr>
    </w:p>
    <w:p w14:paraId="445381FD" w14:textId="749FA6DA" w:rsidR="0054631F" w:rsidRDefault="009476D1" w:rsidP="00351CC6">
      <w:pPr>
        <w:pStyle w:val="NoSpacing"/>
        <w:spacing w:line="36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Respondent asserts that </w:t>
      </w:r>
      <w:r w:rsidR="0054631F">
        <w:rPr>
          <w:rFonts w:ascii="Times New Roman" w:hAnsi="Times New Roman" w:cs="Times New Roman"/>
          <w:sz w:val="24"/>
          <w:szCs w:val="24"/>
        </w:rPr>
        <w:t>Interrogatory No</w:t>
      </w:r>
      <w:r w:rsidR="00FA6B69">
        <w:rPr>
          <w:rFonts w:ascii="Times New Roman" w:hAnsi="Times New Roman" w:cs="Times New Roman"/>
          <w:sz w:val="24"/>
          <w:szCs w:val="24"/>
        </w:rPr>
        <w:t>s</w:t>
      </w:r>
      <w:r w:rsidR="0054631F">
        <w:rPr>
          <w:rFonts w:ascii="Times New Roman" w:hAnsi="Times New Roman" w:cs="Times New Roman"/>
          <w:sz w:val="24"/>
          <w:szCs w:val="24"/>
        </w:rPr>
        <w:t xml:space="preserve">. </w:t>
      </w:r>
      <w:r w:rsidR="00FA6B69">
        <w:rPr>
          <w:rFonts w:ascii="Times New Roman" w:hAnsi="Times New Roman" w:cs="Times New Roman"/>
          <w:sz w:val="24"/>
          <w:szCs w:val="24"/>
        </w:rPr>
        <w:t>1 through 5</w:t>
      </w:r>
      <w:r w:rsidR="0054631F">
        <w:rPr>
          <w:rFonts w:ascii="Times New Roman" w:hAnsi="Times New Roman" w:cs="Times New Roman"/>
          <w:sz w:val="24"/>
          <w:szCs w:val="24"/>
        </w:rPr>
        <w:t xml:space="preserve"> of the </w:t>
      </w:r>
      <w:r w:rsidR="00FA6B69">
        <w:rPr>
          <w:rFonts w:ascii="Times New Roman" w:hAnsi="Times New Roman" w:cs="Times New Roman"/>
          <w:sz w:val="24"/>
          <w:szCs w:val="24"/>
        </w:rPr>
        <w:t xml:space="preserve">Set I </w:t>
      </w:r>
      <w:r w:rsidR="0054631F">
        <w:rPr>
          <w:rFonts w:ascii="Times New Roman" w:hAnsi="Times New Roman" w:cs="Times New Roman"/>
          <w:sz w:val="24"/>
          <w:szCs w:val="24"/>
        </w:rPr>
        <w:t xml:space="preserve">Discovery Requests </w:t>
      </w:r>
      <w:r w:rsidR="003C16B4">
        <w:rPr>
          <w:rFonts w:ascii="Times New Roman" w:hAnsi="Times New Roman" w:cs="Times New Roman"/>
          <w:sz w:val="24"/>
          <w:szCs w:val="24"/>
        </w:rPr>
        <w:t xml:space="preserve">are </w:t>
      </w:r>
      <w:r w:rsidR="0054631F">
        <w:rPr>
          <w:rFonts w:ascii="Times New Roman" w:hAnsi="Times New Roman" w:cs="Times New Roman"/>
          <w:sz w:val="24"/>
          <w:szCs w:val="24"/>
        </w:rPr>
        <w:t xml:space="preserve">improper and objectionable to the extent that </w:t>
      </w:r>
      <w:r w:rsidR="003C16B4">
        <w:rPr>
          <w:rFonts w:ascii="Times New Roman" w:hAnsi="Times New Roman" w:cs="Times New Roman"/>
          <w:sz w:val="24"/>
          <w:szCs w:val="24"/>
        </w:rPr>
        <w:t xml:space="preserve">they </w:t>
      </w:r>
      <w:r w:rsidR="0054631F">
        <w:rPr>
          <w:rFonts w:ascii="Times New Roman" w:hAnsi="Times New Roman" w:cs="Times New Roman"/>
          <w:sz w:val="24"/>
          <w:szCs w:val="24"/>
        </w:rPr>
        <w:t xml:space="preserve">seek information or documents that </w:t>
      </w:r>
      <w:r w:rsidR="00D10F1F">
        <w:rPr>
          <w:rFonts w:ascii="Times New Roman" w:hAnsi="Times New Roman" w:cs="Times New Roman"/>
          <w:sz w:val="24"/>
          <w:szCs w:val="24"/>
        </w:rPr>
        <w:t>are</w:t>
      </w:r>
      <w:r w:rsidR="0054631F">
        <w:rPr>
          <w:rFonts w:ascii="Times New Roman" w:hAnsi="Times New Roman" w:cs="Times New Roman"/>
          <w:sz w:val="24"/>
          <w:szCs w:val="24"/>
        </w:rPr>
        <w:t xml:space="preserve"> irrelevant and not reasonably calculated to lead to the discovery of admissible evidence and fall outside the scope of this proceeding.  </w:t>
      </w:r>
      <w:r>
        <w:rPr>
          <w:rFonts w:ascii="Times New Roman" w:hAnsi="Times New Roman" w:cs="Times New Roman"/>
          <w:sz w:val="24"/>
          <w:szCs w:val="24"/>
        </w:rPr>
        <w:t>Respondent argue</w:t>
      </w:r>
      <w:r w:rsidR="009F6F1F">
        <w:rPr>
          <w:rFonts w:ascii="Times New Roman" w:hAnsi="Times New Roman" w:cs="Times New Roman"/>
          <w:sz w:val="24"/>
          <w:szCs w:val="24"/>
        </w:rPr>
        <w:t>d</w:t>
      </w:r>
      <w:r>
        <w:rPr>
          <w:rFonts w:ascii="Times New Roman" w:hAnsi="Times New Roman" w:cs="Times New Roman"/>
          <w:sz w:val="24"/>
          <w:szCs w:val="24"/>
        </w:rPr>
        <w:t xml:space="preserve"> it </w:t>
      </w:r>
      <w:r w:rsidR="0054631F">
        <w:rPr>
          <w:rFonts w:ascii="Times New Roman" w:hAnsi="Times New Roman" w:cs="Times New Roman"/>
          <w:sz w:val="24"/>
          <w:szCs w:val="24"/>
        </w:rPr>
        <w:t xml:space="preserve">objected to </w:t>
      </w:r>
      <w:r w:rsidR="003C16B4">
        <w:rPr>
          <w:rFonts w:ascii="Times New Roman" w:hAnsi="Times New Roman" w:cs="Times New Roman"/>
          <w:sz w:val="24"/>
          <w:szCs w:val="24"/>
        </w:rPr>
        <w:t xml:space="preserve">these </w:t>
      </w:r>
      <w:r w:rsidR="0054631F">
        <w:rPr>
          <w:rFonts w:ascii="Times New Roman" w:hAnsi="Times New Roman" w:cs="Times New Roman"/>
          <w:sz w:val="24"/>
          <w:szCs w:val="24"/>
        </w:rPr>
        <w:t>Discovery Request</w:t>
      </w:r>
      <w:r w:rsidR="003C16B4">
        <w:rPr>
          <w:rFonts w:ascii="Times New Roman" w:hAnsi="Times New Roman" w:cs="Times New Roman"/>
          <w:sz w:val="24"/>
          <w:szCs w:val="24"/>
        </w:rPr>
        <w:t>s</w:t>
      </w:r>
      <w:r w:rsidR="0054631F">
        <w:rPr>
          <w:rFonts w:ascii="Times New Roman" w:hAnsi="Times New Roman" w:cs="Times New Roman"/>
          <w:sz w:val="24"/>
          <w:szCs w:val="24"/>
        </w:rPr>
        <w:t xml:space="preserve"> on the basis that </w:t>
      </w:r>
      <w:r w:rsidR="003C16B4">
        <w:rPr>
          <w:rFonts w:ascii="Times New Roman" w:hAnsi="Times New Roman" w:cs="Times New Roman"/>
          <w:sz w:val="24"/>
          <w:szCs w:val="24"/>
        </w:rPr>
        <w:t xml:space="preserve">they are </w:t>
      </w:r>
      <w:r w:rsidR="0054631F">
        <w:rPr>
          <w:rFonts w:ascii="Times New Roman" w:hAnsi="Times New Roman" w:cs="Times New Roman"/>
          <w:sz w:val="24"/>
          <w:szCs w:val="24"/>
        </w:rPr>
        <w:t xml:space="preserve">overly broad, irrelevant, outside the scope of this proceeding, and not reasonably calculated to lead to the discovery of admissible evidence.  </w:t>
      </w:r>
      <w:r>
        <w:rPr>
          <w:rFonts w:ascii="Times New Roman" w:hAnsi="Times New Roman" w:cs="Times New Roman"/>
          <w:sz w:val="24"/>
          <w:szCs w:val="24"/>
        </w:rPr>
        <w:t xml:space="preserve">Respondent further argued that </w:t>
      </w:r>
      <w:r w:rsidR="0054631F">
        <w:rPr>
          <w:rFonts w:ascii="Times New Roman" w:hAnsi="Times New Roman" w:cs="Times New Roman"/>
          <w:sz w:val="24"/>
          <w:szCs w:val="24"/>
        </w:rPr>
        <w:t xml:space="preserve">information related to the nature of the Company’s insurance coverage is wholly irrelevant to the Complainant and the issues raised within the Formal Complaint or expected to be addressed at any hearing in this matter. </w:t>
      </w:r>
    </w:p>
    <w:p w14:paraId="0C05FBA7" w14:textId="77777777" w:rsidR="009476D1" w:rsidRDefault="009476D1" w:rsidP="009476D1">
      <w:pPr>
        <w:pStyle w:val="NoSpacing"/>
        <w:spacing w:line="480" w:lineRule="auto"/>
        <w:jc w:val="both"/>
        <w:rPr>
          <w:rFonts w:ascii="Times New Roman" w:hAnsi="Times New Roman" w:cs="Times New Roman"/>
          <w:sz w:val="24"/>
          <w:szCs w:val="24"/>
        </w:rPr>
      </w:pPr>
    </w:p>
    <w:p w14:paraId="35BCAC63" w14:textId="104454D0" w:rsidR="0054631F" w:rsidRDefault="009476D1" w:rsidP="00351CC6">
      <w:pPr>
        <w:pStyle w:val="NoSpacing"/>
        <w:spacing w:line="36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According to Respondent, </w:t>
      </w:r>
      <w:r w:rsidR="0054631F">
        <w:rPr>
          <w:rFonts w:ascii="Times New Roman" w:hAnsi="Times New Roman" w:cs="Times New Roman"/>
          <w:sz w:val="24"/>
          <w:szCs w:val="24"/>
        </w:rPr>
        <w:t>the only reason that the Complainant could have</w:t>
      </w:r>
      <w:r>
        <w:rPr>
          <w:rFonts w:ascii="Times New Roman" w:hAnsi="Times New Roman" w:cs="Times New Roman"/>
          <w:sz w:val="24"/>
          <w:szCs w:val="24"/>
        </w:rPr>
        <w:t xml:space="preserve"> an</w:t>
      </w:r>
      <w:r w:rsidR="0054631F">
        <w:rPr>
          <w:rFonts w:ascii="Times New Roman" w:hAnsi="Times New Roman" w:cs="Times New Roman"/>
          <w:sz w:val="24"/>
          <w:szCs w:val="24"/>
        </w:rPr>
        <w:t xml:space="preserve"> interest in the Company’s insurance coverage would be to the extent </w:t>
      </w:r>
      <w:r w:rsidR="003C16B4">
        <w:rPr>
          <w:rFonts w:ascii="Times New Roman" w:hAnsi="Times New Roman" w:cs="Times New Roman"/>
          <w:sz w:val="24"/>
          <w:szCs w:val="24"/>
        </w:rPr>
        <w:t xml:space="preserve">she is </w:t>
      </w:r>
      <w:r w:rsidR="0054631F">
        <w:rPr>
          <w:rFonts w:ascii="Times New Roman" w:hAnsi="Times New Roman" w:cs="Times New Roman"/>
          <w:sz w:val="24"/>
          <w:szCs w:val="24"/>
        </w:rPr>
        <w:t xml:space="preserve">seeking some form of damages.  Even if the issues in the formal complaint were considered to extend to a cause of action for liability, </w:t>
      </w:r>
      <w:r>
        <w:rPr>
          <w:rFonts w:ascii="Times New Roman" w:hAnsi="Times New Roman" w:cs="Times New Roman"/>
          <w:sz w:val="24"/>
          <w:szCs w:val="24"/>
        </w:rPr>
        <w:t xml:space="preserve">Respondent argues </w:t>
      </w:r>
      <w:r w:rsidR="0054631F">
        <w:rPr>
          <w:rFonts w:ascii="Times New Roman" w:hAnsi="Times New Roman" w:cs="Times New Roman"/>
          <w:sz w:val="24"/>
          <w:szCs w:val="24"/>
        </w:rPr>
        <w:t>it is well-established that it is outside the bounds of the Pennsylvania Public Utility Commission’s jurisdiction to award damages.  Given that no damages could be awarded from this proceeding even if there were grounds for such</w:t>
      </w:r>
      <w:r>
        <w:rPr>
          <w:rFonts w:ascii="Times New Roman" w:hAnsi="Times New Roman" w:cs="Times New Roman"/>
          <w:sz w:val="24"/>
          <w:szCs w:val="24"/>
        </w:rPr>
        <w:t xml:space="preserve">, </w:t>
      </w:r>
      <w:r w:rsidR="0054631F">
        <w:rPr>
          <w:rFonts w:ascii="Times New Roman" w:hAnsi="Times New Roman" w:cs="Times New Roman"/>
          <w:sz w:val="24"/>
          <w:szCs w:val="24"/>
        </w:rPr>
        <w:t>the Company’s solvency or any other ability to cover such theoretical damages is not in any way relevant to the matters at issue in this proceeding.</w:t>
      </w:r>
      <w:r>
        <w:rPr>
          <w:rFonts w:ascii="Times New Roman" w:hAnsi="Times New Roman" w:cs="Times New Roman"/>
          <w:sz w:val="24"/>
          <w:szCs w:val="24"/>
        </w:rPr>
        <w:t xml:space="preserve">  Accordingly, Respondent argues </w:t>
      </w:r>
      <w:r w:rsidR="0054631F">
        <w:rPr>
          <w:rFonts w:ascii="Times New Roman" w:hAnsi="Times New Roman" w:cs="Times New Roman"/>
          <w:sz w:val="24"/>
          <w:szCs w:val="24"/>
        </w:rPr>
        <w:t xml:space="preserve">the information </w:t>
      </w:r>
      <w:r>
        <w:rPr>
          <w:rFonts w:ascii="Times New Roman" w:hAnsi="Times New Roman" w:cs="Times New Roman"/>
          <w:sz w:val="24"/>
          <w:szCs w:val="24"/>
        </w:rPr>
        <w:t xml:space="preserve">sought </w:t>
      </w:r>
      <w:r w:rsidR="0054631F">
        <w:rPr>
          <w:rFonts w:ascii="Times New Roman" w:hAnsi="Times New Roman" w:cs="Times New Roman"/>
          <w:sz w:val="24"/>
          <w:szCs w:val="24"/>
        </w:rPr>
        <w:t>is both not admissible and not discoverable.</w:t>
      </w:r>
    </w:p>
    <w:p w14:paraId="10B2F1FB" w14:textId="77777777" w:rsidR="009476D1" w:rsidRDefault="009476D1" w:rsidP="0054631F">
      <w:pPr>
        <w:pStyle w:val="NoSpacing"/>
        <w:spacing w:line="480" w:lineRule="auto"/>
        <w:ind w:firstLine="720"/>
        <w:jc w:val="both"/>
        <w:rPr>
          <w:rFonts w:ascii="Times New Roman" w:hAnsi="Times New Roman" w:cs="Times New Roman"/>
          <w:sz w:val="24"/>
          <w:szCs w:val="24"/>
        </w:rPr>
      </w:pPr>
    </w:p>
    <w:p w14:paraId="222E13FB" w14:textId="6B849053" w:rsidR="00FA6B69" w:rsidRDefault="00FA6B69" w:rsidP="00351CC6">
      <w:pPr>
        <w:pStyle w:val="NoSpacing"/>
        <w:spacing w:line="360" w:lineRule="auto"/>
        <w:ind w:firstLine="144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With regard to</w:t>
      </w:r>
      <w:proofErr w:type="gramEnd"/>
      <w:r>
        <w:rPr>
          <w:rFonts w:ascii="Times New Roman" w:hAnsi="Times New Roman" w:cs="Times New Roman"/>
          <w:sz w:val="24"/>
          <w:szCs w:val="24"/>
        </w:rPr>
        <w:t xml:space="preserve"> the</w:t>
      </w:r>
      <w:r w:rsidR="0087177F">
        <w:rPr>
          <w:rFonts w:ascii="Times New Roman" w:hAnsi="Times New Roman" w:cs="Times New Roman"/>
          <w:sz w:val="24"/>
          <w:szCs w:val="24"/>
        </w:rPr>
        <w:t xml:space="preserve"> </w:t>
      </w:r>
      <w:r>
        <w:rPr>
          <w:rFonts w:ascii="Times New Roman" w:hAnsi="Times New Roman" w:cs="Times New Roman"/>
          <w:sz w:val="24"/>
          <w:szCs w:val="24"/>
        </w:rPr>
        <w:t xml:space="preserve">Company’s responses to Interrogatory Nos. 7 and 8 of the Set I Discovery Requests, the Company’s position is that the Company has responded to the questions as asked. </w:t>
      </w:r>
    </w:p>
    <w:p w14:paraId="18D4B159" w14:textId="77777777" w:rsidR="00351CC6" w:rsidRDefault="00351CC6" w:rsidP="0087177F">
      <w:pPr>
        <w:pStyle w:val="NoSpacing"/>
        <w:spacing w:line="480" w:lineRule="auto"/>
        <w:ind w:firstLine="720"/>
        <w:jc w:val="both"/>
        <w:rPr>
          <w:rFonts w:ascii="Times New Roman" w:hAnsi="Times New Roman" w:cs="Times New Roman"/>
          <w:sz w:val="24"/>
          <w:szCs w:val="24"/>
        </w:rPr>
      </w:pPr>
    </w:p>
    <w:p w14:paraId="5CC138A2" w14:textId="5FAD5CF9" w:rsidR="00FA6B69" w:rsidRDefault="007E244A" w:rsidP="00D032EB">
      <w:pPr>
        <w:pStyle w:val="NoSpacing"/>
        <w:spacing w:line="36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Interrogatory Nos. 7 and 8 of the Set I </w:t>
      </w:r>
      <w:r w:rsidR="00FA6B69">
        <w:rPr>
          <w:rFonts w:ascii="Times New Roman" w:hAnsi="Times New Roman" w:cs="Times New Roman"/>
          <w:sz w:val="24"/>
          <w:szCs w:val="24"/>
        </w:rPr>
        <w:t>Discovery Request</w:t>
      </w:r>
      <w:r>
        <w:rPr>
          <w:rFonts w:ascii="Times New Roman" w:hAnsi="Times New Roman" w:cs="Times New Roman"/>
          <w:sz w:val="24"/>
          <w:szCs w:val="24"/>
        </w:rPr>
        <w:t>s</w:t>
      </w:r>
      <w:r w:rsidR="00FA6B69">
        <w:rPr>
          <w:rFonts w:ascii="Times New Roman" w:hAnsi="Times New Roman" w:cs="Times New Roman"/>
          <w:sz w:val="24"/>
          <w:szCs w:val="24"/>
        </w:rPr>
        <w:t xml:space="preserve"> seeks the following</w:t>
      </w:r>
      <w:r>
        <w:rPr>
          <w:rFonts w:ascii="Times New Roman" w:hAnsi="Times New Roman" w:cs="Times New Roman"/>
          <w:sz w:val="24"/>
          <w:szCs w:val="24"/>
        </w:rPr>
        <w:t xml:space="preserve"> information</w:t>
      </w:r>
      <w:r w:rsidR="00FA6B69">
        <w:rPr>
          <w:rFonts w:ascii="Times New Roman" w:hAnsi="Times New Roman" w:cs="Times New Roman"/>
          <w:sz w:val="24"/>
          <w:szCs w:val="24"/>
        </w:rPr>
        <w:t>:</w:t>
      </w:r>
    </w:p>
    <w:p w14:paraId="7BA67E62" w14:textId="53E9DAE3" w:rsidR="007E244A" w:rsidRPr="0087177F" w:rsidRDefault="007E244A" w:rsidP="007E244A">
      <w:pPr>
        <w:tabs>
          <w:tab w:val="center" w:pos="4680"/>
          <w:tab w:val="right" w:pos="9360"/>
        </w:tabs>
        <w:rPr>
          <w:bCs/>
          <w:sz w:val="24"/>
          <w:szCs w:val="24"/>
        </w:rPr>
      </w:pPr>
      <w:r>
        <w:rPr>
          <w:b/>
          <w:sz w:val="24"/>
          <w:szCs w:val="24"/>
        </w:rPr>
        <w:t xml:space="preserve">                                 </w:t>
      </w:r>
      <w:r w:rsidRPr="0087177F">
        <w:rPr>
          <w:bCs/>
          <w:sz w:val="24"/>
          <w:szCs w:val="24"/>
        </w:rPr>
        <w:t>Interrogatory Set I, No. 7</w:t>
      </w:r>
    </w:p>
    <w:p w14:paraId="3D4B6625" w14:textId="77777777" w:rsidR="007E244A" w:rsidRPr="007E244A" w:rsidRDefault="007E244A" w:rsidP="007E244A">
      <w:pPr>
        <w:rPr>
          <w:sz w:val="24"/>
          <w:szCs w:val="24"/>
        </w:rPr>
      </w:pPr>
    </w:p>
    <w:p w14:paraId="109A6CB1" w14:textId="77777777" w:rsidR="007E244A" w:rsidRPr="007E244A" w:rsidRDefault="007E244A" w:rsidP="007E244A">
      <w:pPr>
        <w:ind w:left="1980"/>
        <w:rPr>
          <w:sz w:val="24"/>
          <w:szCs w:val="24"/>
        </w:rPr>
      </w:pPr>
      <w:r w:rsidRPr="007E244A">
        <w:rPr>
          <w:sz w:val="24"/>
          <w:szCs w:val="24"/>
        </w:rPr>
        <w:t>What biological testing has been done with regard to the safety of your smart meter?</w:t>
      </w:r>
    </w:p>
    <w:p w14:paraId="0F486E36" w14:textId="77777777" w:rsidR="007E244A" w:rsidRDefault="007E244A" w:rsidP="0054631F">
      <w:pPr>
        <w:spacing w:after="160" w:line="259" w:lineRule="auto"/>
        <w:rPr>
          <w:b/>
          <w:sz w:val="24"/>
          <w:szCs w:val="24"/>
        </w:rPr>
      </w:pPr>
    </w:p>
    <w:p w14:paraId="155E2A2A" w14:textId="4AA1CFB2" w:rsidR="007E244A" w:rsidRPr="0087177F" w:rsidRDefault="007E244A" w:rsidP="007E244A">
      <w:pPr>
        <w:tabs>
          <w:tab w:val="center" w:pos="4680"/>
          <w:tab w:val="right" w:pos="9360"/>
        </w:tabs>
        <w:rPr>
          <w:bCs/>
          <w:sz w:val="24"/>
          <w:szCs w:val="24"/>
        </w:rPr>
      </w:pPr>
      <w:r>
        <w:rPr>
          <w:b/>
          <w:sz w:val="24"/>
          <w:szCs w:val="24"/>
        </w:rPr>
        <w:t xml:space="preserve">                                 </w:t>
      </w:r>
      <w:r w:rsidRPr="0087177F">
        <w:rPr>
          <w:bCs/>
          <w:sz w:val="24"/>
          <w:szCs w:val="24"/>
        </w:rPr>
        <w:t>Interrogatory Set I, No. 8</w:t>
      </w:r>
    </w:p>
    <w:p w14:paraId="58845C02" w14:textId="77777777" w:rsidR="007E244A" w:rsidRPr="007E244A" w:rsidRDefault="007E244A" w:rsidP="007E244A">
      <w:pPr>
        <w:rPr>
          <w:sz w:val="24"/>
          <w:szCs w:val="24"/>
        </w:rPr>
      </w:pPr>
    </w:p>
    <w:p w14:paraId="68CA8EE4" w14:textId="3CA9C5B8" w:rsidR="007E244A" w:rsidRDefault="007E244A" w:rsidP="007E244A">
      <w:pPr>
        <w:ind w:left="1980"/>
        <w:rPr>
          <w:sz w:val="24"/>
          <w:szCs w:val="24"/>
        </w:rPr>
      </w:pPr>
      <w:r w:rsidRPr="007E244A">
        <w:rPr>
          <w:sz w:val="24"/>
          <w:szCs w:val="24"/>
        </w:rPr>
        <w:t>Provide copies of the documentation regarding the biological safety testing performed.</w:t>
      </w:r>
    </w:p>
    <w:p w14:paraId="5812E674" w14:textId="681FDC56" w:rsidR="0087177F" w:rsidRDefault="0087177F" w:rsidP="007E244A">
      <w:pPr>
        <w:ind w:left="1980"/>
        <w:rPr>
          <w:sz w:val="24"/>
          <w:szCs w:val="24"/>
        </w:rPr>
      </w:pPr>
    </w:p>
    <w:p w14:paraId="2954B42C" w14:textId="3190C929" w:rsidR="0087177F" w:rsidRDefault="0087177F" w:rsidP="007E244A">
      <w:pPr>
        <w:ind w:left="1980"/>
        <w:rPr>
          <w:sz w:val="24"/>
          <w:szCs w:val="24"/>
        </w:rPr>
      </w:pPr>
    </w:p>
    <w:p w14:paraId="08D27F8C" w14:textId="0A54727F" w:rsidR="00B03632" w:rsidRDefault="00B03632" w:rsidP="00745698">
      <w:pPr>
        <w:spacing w:line="360" w:lineRule="auto"/>
        <w:ind w:firstLine="1440"/>
        <w:rPr>
          <w:sz w:val="24"/>
          <w:szCs w:val="24"/>
        </w:rPr>
      </w:pPr>
      <w:r>
        <w:rPr>
          <w:sz w:val="24"/>
          <w:szCs w:val="24"/>
        </w:rPr>
        <w:t>The Motion to Compel does not set forth an argument as to why Respondent did not properly respond to Interrogatory numbers 7 or 8.  Respondent argues that it</w:t>
      </w:r>
      <w:r w:rsidR="007E244A">
        <w:rPr>
          <w:sz w:val="24"/>
          <w:szCs w:val="24"/>
        </w:rPr>
        <w:t xml:space="preserve"> has not performed such testing and answered as such. Therefore, </w:t>
      </w:r>
      <w:r w:rsidR="00F45F86">
        <w:rPr>
          <w:sz w:val="24"/>
          <w:szCs w:val="24"/>
        </w:rPr>
        <w:t xml:space="preserve">Respondent argues, </w:t>
      </w:r>
      <w:r w:rsidR="007E244A">
        <w:rPr>
          <w:sz w:val="24"/>
          <w:szCs w:val="24"/>
        </w:rPr>
        <w:t xml:space="preserve">there is no further information that can be provided in response to these two questions.  </w:t>
      </w:r>
    </w:p>
    <w:p w14:paraId="09BD1E3D" w14:textId="0D04361F" w:rsidR="00B03632" w:rsidRDefault="00B03632" w:rsidP="00B03632">
      <w:pPr>
        <w:spacing w:line="360" w:lineRule="auto"/>
        <w:ind w:firstLine="720"/>
        <w:rPr>
          <w:sz w:val="24"/>
          <w:szCs w:val="24"/>
        </w:rPr>
      </w:pPr>
      <w:bookmarkStart w:id="0" w:name="_GoBack"/>
      <w:bookmarkEnd w:id="0"/>
    </w:p>
    <w:p w14:paraId="360570A3" w14:textId="77777777" w:rsidR="00B03632" w:rsidRPr="00B67CE5" w:rsidRDefault="00B03632" w:rsidP="00B03632">
      <w:pPr>
        <w:spacing w:line="360" w:lineRule="auto"/>
        <w:ind w:left="720" w:firstLine="720"/>
        <w:jc w:val="both"/>
        <w:rPr>
          <w:sz w:val="24"/>
          <w:szCs w:val="24"/>
        </w:rPr>
      </w:pPr>
      <w:r w:rsidRPr="00B67CE5">
        <w:rPr>
          <w:sz w:val="24"/>
          <w:szCs w:val="24"/>
        </w:rPr>
        <w:t xml:space="preserve">Under the circumstances, the following order will be entered.  </w:t>
      </w:r>
    </w:p>
    <w:p w14:paraId="7ED65D38" w14:textId="77777777" w:rsidR="00B03632" w:rsidRDefault="00B03632" w:rsidP="00B03632">
      <w:pPr>
        <w:spacing w:line="360" w:lineRule="auto"/>
        <w:ind w:firstLine="1440"/>
        <w:rPr>
          <w:sz w:val="24"/>
          <w:szCs w:val="24"/>
        </w:rPr>
      </w:pPr>
    </w:p>
    <w:p w14:paraId="00C329A7" w14:textId="77777777" w:rsidR="00B03632" w:rsidRDefault="00B03632" w:rsidP="00B03632">
      <w:pPr>
        <w:spacing w:line="360" w:lineRule="auto"/>
        <w:ind w:firstLine="1440"/>
        <w:rPr>
          <w:sz w:val="24"/>
          <w:szCs w:val="24"/>
        </w:rPr>
      </w:pPr>
    </w:p>
    <w:p w14:paraId="32BCAA26" w14:textId="77777777" w:rsidR="00B03632" w:rsidRPr="00B67CE5" w:rsidRDefault="00B03632" w:rsidP="00B03632">
      <w:pPr>
        <w:tabs>
          <w:tab w:val="center" w:pos="0"/>
          <w:tab w:val="left" w:pos="720"/>
          <w:tab w:val="left" w:pos="1440"/>
        </w:tabs>
        <w:spacing w:line="360" w:lineRule="auto"/>
        <w:rPr>
          <w:sz w:val="24"/>
          <w:szCs w:val="24"/>
        </w:rPr>
      </w:pPr>
      <w:r w:rsidRPr="00B67CE5">
        <w:rPr>
          <w:sz w:val="24"/>
          <w:szCs w:val="24"/>
        </w:rPr>
        <w:tab/>
        <w:t xml:space="preserve">      </w:t>
      </w:r>
      <w:r w:rsidRPr="00B67CE5">
        <w:rPr>
          <w:sz w:val="24"/>
          <w:szCs w:val="24"/>
        </w:rPr>
        <w:tab/>
        <w:t>THEREFORE,</w:t>
      </w:r>
    </w:p>
    <w:p w14:paraId="0AD82F3A" w14:textId="77777777" w:rsidR="00B03632" w:rsidRPr="00B67CE5" w:rsidRDefault="00B03632" w:rsidP="00B03632">
      <w:pPr>
        <w:tabs>
          <w:tab w:val="center" w:pos="0"/>
          <w:tab w:val="left" w:pos="720"/>
          <w:tab w:val="left" w:pos="1440"/>
        </w:tabs>
        <w:spacing w:line="360" w:lineRule="auto"/>
        <w:rPr>
          <w:sz w:val="24"/>
          <w:szCs w:val="24"/>
        </w:rPr>
      </w:pPr>
    </w:p>
    <w:p w14:paraId="2298791F" w14:textId="77777777" w:rsidR="00B03632" w:rsidRPr="00B67CE5" w:rsidRDefault="00B03632" w:rsidP="00B03632">
      <w:pPr>
        <w:tabs>
          <w:tab w:val="left" w:pos="2160"/>
        </w:tabs>
        <w:spacing w:line="360" w:lineRule="auto"/>
        <w:ind w:firstLine="1440"/>
        <w:rPr>
          <w:sz w:val="24"/>
          <w:szCs w:val="24"/>
        </w:rPr>
      </w:pPr>
      <w:r w:rsidRPr="00B67CE5">
        <w:rPr>
          <w:sz w:val="24"/>
          <w:szCs w:val="24"/>
        </w:rPr>
        <w:t>IT IS ORDERED:</w:t>
      </w:r>
    </w:p>
    <w:p w14:paraId="4E6B64D1" w14:textId="77777777" w:rsidR="00B03632" w:rsidRPr="00B67CE5" w:rsidRDefault="00B03632" w:rsidP="00B03632">
      <w:pPr>
        <w:tabs>
          <w:tab w:val="left" w:pos="2160"/>
        </w:tabs>
        <w:spacing w:line="360" w:lineRule="auto"/>
        <w:ind w:firstLine="1440"/>
        <w:rPr>
          <w:sz w:val="24"/>
          <w:szCs w:val="24"/>
        </w:rPr>
      </w:pPr>
    </w:p>
    <w:p w14:paraId="09077581" w14:textId="32A46499" w:rsidR="00B03632" w:rsidRDefault="00B03632" w:rsidP="00B03632">
      <w:pPr>
        <w:numPr>
          <w:ilvl w:val="0"/>
          <w:numId w:val="5"/>
        </w:numPr>
        <w:tabs>
          <w:tab w:val="left" w:pos="720"/>
          <w:tab w:val="left" w:pos="1440"/>
        </w:tabs>
        <w:spacing w:line="360" w:lineRule="auto"/>
        <w:ind w:left="0" w:firstLine="1440"/>
        <w:rPr>
          <w:sz w:val="24"/>
          <w:szCs w:val="24"/>
        </w:rPr>
      </w:pPr>
      <w:r w:rsidRPr="00B67CE5">
        <w:rPr>
          <w:sz w:val="24"/>
          <w:szCs w:val="24"/>
        </w:rPr>
        <w:t xml:space="preserve">That the Motion to Compel Discovery Responses filed by </w:t>
      </w:r>
      <w:r>
        <w:rPr>
          <w:sz w:val="24"/>
          <w:szCs w:val="24"/>
        </w:rPr>
        <w:t xml:space="preserve">Complainant </w:t>
      </w:r>
      <w:r w:rsidRPr="00B67CE5">
        <w:rPr>
          <w:sz w:val="24"/>
          <w:szCs w:val="24"/>
        </w:rPr>
        <w:t xml:space="preserve">is </w:t>
      </w:r>
      <w:r>
        <w:rPr>
          <w:sz w:val="24"/>
          <w:szCs w:val="24"/>
        </w:rPr>
        <w:t>denied</w:t>
      </w:r>
      <w:r w:rsidRPr="00B67CE5">
        <w:rPr>
          <w:sz w:val="24"/>
          <w:szCs w:val="24"/>
        </w:rPr>
        <w:t xml:space="preserve">.  </w:t>
      </w:r>
    </w:p>
    <w:p w14:paraId="7E338597" w14:textId="28DCCEE2" w:rsidR="00B03632" w:rsidRDefault="00B03632" w:rsidP="00B03632">
      <w:pPr>
        <w:tabs>
          <w:tab w:val="left" w:pos="720"/>
          <w:tab w:val="left" w:pos="1440"/>
        </w:tabs>
        <w:spacing w:line="360" w:lineRule="auto"/>
        <w:ind w:left="1440"/>
        <w:rPr>
          <w:sz w:val="24"/>
          <w:szCs w:val="24"/>
        </w:rPr>
      </w:pPr>
    </w:p>
    <w:p w14:paraId="39F9773D" w14:textId="32602F69" w:rsidR="00351CC6" w:rsidRDefault="00351CC6" w:rsidP="00B03632">
      <w:pPr>
        <w:tabs>
          <w:tab w:val="left" w:pos="720"/>
          <w:tab w:val="left" w:pos="1440"/>
        </w:tabs>
        <w:spacing w:line="360" w:lineRule="auto"/>
        <w:ind w:left="1440"/>
        <w:rPr>
          <w:sz w:val="24"/>
          <w:szCs w:val="24"/>
        </w:rPr>
      </w:pPr>
    </w:p>
    <w:p w14:paraId="2F07973A" w14:textId="77777777" w:rsidR="00351CC6" w:rsidRDefault="00351CC6" w:rsidP="00B03632">
      <w:pPr>
        <w:tabs>
          <w:tab w:val="left" w:pos="720"/>
          <w:tab w:val="left" w:pos="1440"/>
        </w:tabs>
        <w:spacing w:line="360" w:lineRule="auto"/>
        <w:ind w:left="1440"/>
        <w:rPr>
          <w:sz w:val="24"/>
          <w:szCs w:val="24"/>
        </w:rPr>
      </w:pPr>
    </w:p>
    <w:p w14:paraId="179F5F47" w14:textId="08726D6E" w:rsidR="00B03632" w:rsidRPr="00B03632" w:rsidRDefault="00B03632" w:rsidP="00351CC6">
      <w:pPr>
        <w:numPr>
          <w:ilvl w:val="0"/>
          <w:numId w:val="5"/>
        </w:numPr>
        <w:tabs>
          <w:tab w:val="left" w:pos="720"/>
          <w:tab w:val="left" w:pos="1440"/>
          <w:tab w:val="left" w:pos="2160"/>
          <w:tab w:val="center" w:pos="4320"/>
          <w:tab w:val="right" w:pos="8640"/>
        </w:tabs>
        <w:spacing w:line="360" w:lineRule="auto"/>
        <w:ind w:left="0" w:firstLine="1440"/>
        <w:contextualSpacing/>
        <w:rPr>
          <w:sz w:val="24"/>
          <w:szCs w:val="24"/>
        </w:rPr>
      </w:pPr>
      <w:r w:rsidRPr="00B03632">
        <w:rPr>
          <w:sz w:val="24"/>
          <w:szCs w:val="24"/>
        </w:rPr>
        <w:lastRenderedPageBreak/>
        <w:t xml:space="preserve">That the objections filed by Respondent to Interrogatory numbers 1 through and including 5 are sustained.  </w:t>
      </w:r>
    </w:p>
    <w:p w14:paraId="5816ED39" w14:textId="77777777" w:rsidR="00B03632" w:rsidRPr="00B67CE5" w:rsidRDefault="00B03632" w:rsidP="00B03632">
      <w:pPr>
        <w:tabs>
          <w:tab w:val="left" w:pos="720"/>
          <w:tab w:val="left" w:pos="1440"/>
          <w:tab w:val="left" w:pos="2160"/>
          <w:tab w:val="center" w:pos="4320"/>
          <w:tab w:val="right" w:pos="8640"/>
        </w:tabs>
        <w:spacing w:line="360" w:lineRule="auto"/>
        <w:ind w:left="3600"/>
        <w:contextualSpacing/>
        <w:rPr>
          <w:sz w:val="24"/>
          <w:szCs w:val="24"/>
        </w:rPr>
      </w:pPr>
    </w:p>
    <w:p w14:paraId="02979A06" w14:textId="77777777" w:rsidR="00B03632" w:rsidRPr="00B67CE5" w:rsidRDefault="00B03632" w:rsidP="00B03632">
      <w:pPr>
        <w:ind w:left="720"/>
        <w:contextualSpacing/>
        <w:rPr>
          <w:sz w:val="24"/>
          <w:szCs w:val="24"/>
        </w:rPr>
      </w:pPr>
    </w:p>
    <w:p w14:paraId="0E6598E8" w14:textId="32224A28" w:rsidR="00D24BBA" w:rsidRPr="00D24BBA" w:rsidRDefault="00D24BBA" w:rsidP="00D24BBA">
      <w:pPr>
        <w:widowControl w:val="0"/>
        <w:tabs>
          <w:tab w:val="left" w:pos="0"/>
        </w:tabs>
        <w:autoSpaceDE w:val="0"/>
        <w:autoSpaceDN w:val="0"/>
        <w:adjustRightInd w:val="0"/>
        <w:jc w:val="both"/>
        <w:rPr>
          <w:sz w:val="24"/>
          <w:szCs w:val="24"/>
          <w:u w:val="single"/>
        </w:rPr>
      </w:pPr>
      <w:r w:rsidRPr="00D24BBA">
        <w:rPr>
          <w:sz w:val="24"/>
          <w:szCs w:val="24"/>
        </w:rPr>
        <w:t xml:space="preserve">Date:  </w:t>
      </w:r>
      <w:r>
        <w:rPr>
          <w:sz w:val="24"/>
          <w:szCs w:val="24"/>
          <w:u w:val="single"/>
        </w:rPr>
        <w:t>June 1</w:t>
      </w:r>
      <w:r w:rsidRPr="00D24BBA">
        <w:rPr>
          <w:sz w:val="24"/>
          <w:szCs w:val="24"/>
          <w:u w:val="single"/>
        </w:rPr>
        <w:t>7, 2019</w:t>
      </w:r>
      <w:r w:rsidRPr="00D24BBA">
        <w:rPr>
          <w:sz w:val="24"/>
          <w:szCs w:val="24"/>
        </w:rPr>
        <w:tab/>
      </w:r>
      <w:r w:rsidRPr="00D24BBA">
        <w:rPr>
          <w:sz w:val="24"/>
          <w:szCs w:val="24"/>
        </w:rPr>
        <w:tab/>
      </w:r>
      <w:r w:rsidRPr="00D24BBA">
        <w:rPr>
          <w:sz w:val="24"/>
          <w:szCs w:val="24"/>
        </w:rPr>
        <w:tab/>
      </w:r>
      <w:r w:rsidRPr="00D24BBA">
        <w:rPr>
          <w:sz w:val="24"/>
          <w:szCs w:val="24"/>
        </w:rPr>
        <w:tab/>
      </w:r>
      <w:r w:rsidRPr="00D24BBA">
        <w:rPr>
          <w:sz w:val="24"/>
          <w:szCs w:val="24"/>
        </w:rPr>
        <w:tab/>
      </w:r>
      <w:r>
        <w:rPr>
          <w:sz w:val="24"/>
          <w:szCs w:val="24"/>
        </w:rPr>
        <w:tab/>
      </w:r>
      <w:r w:rsidRPr="00D24BBA">
        <w:rPr>
          <w:sz w:val="24"/>
          <w:szCs w:val="24"/>
          <w:u w:val="single"/>
        </w:rPr>
        <w:tab/>
      </w:r>
      <w:r w:rsidRPr="00D24BBA">
        <w:rPr>
          <w:sz w:val="24"/>
          <w:szCs w:val="24"/>
          <w:u w:val="single"/>
        </w:rPr>
        <w:tab/>
        <w:t>/s/</w:t>
      </w:r>
      <w:r w:rsidRPr="00D24BBA">
        <w:rPr>
          <w:sz w:val="24"/>
          <w:szCs w:val="24"/>
          <w:u w:val="single"/>
        </w:rPr>
        <w:tab/>
      </w:r>
      <w:r w:rsidRPr="00D24BBA">
        <w:rPr>
          <w:sz w:val="24"/>
          <w:szCs w:val="24"/>
          <w:u w:val="single"/>
        </w:rPr>
        <w:tab/>
      </w:r>
      <w:r w:rsidRPr="00D24BBA">
        <w:rPr>
          <w:sz w:val="24"/>
          <w:szCs w:val="24"/>
          <w:u w:val="single"/>
        </w:rPr>
        <w:tab/>
      </w:r>
    </w:p>
    <w:p w14:paraId="6AA7B3F3" w14:textId="77777777" w:rsidR="00D24BBA" w:rsidRPr="00D24BBA" w:rsidRDefault="00D24BBA" w:rsidP="00D24BBA">
      <w:pPr>
        <w:widowControl w:val="0"/>
        <w:tabs>
          <w:tab w:val="left" w:pos="0"/>
        </w:tabs>
        <w:autoSpaceDE w:val="0"/>
        <w:autoSpaceDN w:val="0"/>
        <w:adjustRightInd w:val="0"/>
        <w:jc w:val="both"/>
        <w:rPr>
          <w:sz w:val="24"/>
          <w:szCs w:val="24"/>
        </w:rPr>
      </w:pPr>
      <w:r w:rsidRPr="00D24BBA">
        <w:rPr>
          <w:sz w:val="24"/>
          <w:szCs w:val="24"/>
        </w:rPr>
        <w:tab/>
      </w:r>
      <w:r w:rsidRPr="00D24BBA">
        <w:rPr>
          <w:sz w:val="24"/>
          <w:szCs w:val="24"/>
        </w:rPr>
        <w:tab/>
      </w:r>
      <w:r w:rsidRPr="00D24BBA">
        <w:rPr>
          <w:sz w:val="24"/>
          <w:szCs w:val="24"/>
        </w:rPr>
        <w:tab/>
      </w:r>
      <w:r w:rsidRPr="00D24BBA">
        <w:rPr>
          <w:sz w:val="24"/>
          <w:szCs w:val="24"/>
        </w:rPr>
        <w:tab/>
      </w:r>
      <w:r w:rsidRPr="00D24BBA">
        <w:rPr>
          <w:sz w:val="24"/>
          <w:szCs w:val="24"/>
        </w:rPr>
        <w:tab/>
      </w:r>
      <w:r w:rsidRPr="00D24BBA">
        <w:rPr>
          <w:sz w:val="24"/>
          <w:szCs w:val="24"/>
        </w:rPr>
        <w:tab/>
      </w:r>
      <w:r w:rsidRPr="00D24BBA">
        <w:rPr>
          <w:sz w:val="24"/>
          <w:szCs w:val="24"/>
        </w:rPr>
        <w:tab/>
      </w:r>
      <w:r w:rsidRPr="00D24BBA">
        <w:rPr>
          <w:sz w:val="24"/>
          <w:szCs w:val="24"/>
        </w:rPr>
        <w:tab/>
        <w:t>Jeffrey A. Watson</w:t>
      </w:r>
    </w:p>
    <w:p w14:paraId="3EAF6FE8" w14:textId="77777777" w:rsidR="00D24BBA" w:rsidRPr="00D24BBA" w:rsidRDefault="00D24BBA" w:rsidP="00D24BBA">
      <w:pPr>
        <w:widowControl w:val="0"/>
        <w:tabs>
          <w:tab w:val="left" w:pos="0"/>
        </w:tabs>
        <w:autoSpaceDE w:val="0"/>
        <w:autoSpaceDN w:val="0"/>
        <w:adjustRightInd w:val="0"/>
        <w:jc w:val="both"/>
        <w:rPr>
          <w:sz w:val="24"/>
          <w:szCs w:val="24"/>
        </w:rPr>
      </w:pPr>
      <w:r w:rsidRPr="00D24BBA">
        <w:rPr>
          <w:sz w:val="24"/>
          <w:szCs w:val="24"/>
        </w:rPr>
        <w:tab/>
      </w:r>
      <w:r w:rsidRPr="00D24BBA">
        <w:rPr>
          <w:sz w:val="24"/>
          <w:szCs w:val="24"/>
        </w:rPr>
        <w:tab/>
      </w:r>
      <w:r w:rsidRPr="00D24BBA">
        <w:rPr>
          <w:sz w:val="24"/>
          <w:szCs w:val="24"/>
        </w:rPr>
        <w:tab/>
      </w:r>
      <w:r w:rsidRPr="00D24BBA">
        <w:rPr>
          <w:sz w:val="24"/>
          <w:szCs w:val="24"/>
        </w:rPr>
        <w:tab/>
      </w:r>
      <w:r w:rsidRPr="00D24BBA">
        <w:rPr>
          <w:sz w:val="24"/>
          <w:szCs w:val="24"/>
        </w:rPr>
        <w:tab/>
      </w:r>
      <w:r w:rsidRPr="00D24BBA">
        <w:rPr>
          <w:sz w:val="24"/>
          <w:szCs w:val="24"/>
        </w:rPr>
        <w:tab/>
      </w:r>
      <w:r w:rsidRPr="00D24BBA">
        <w:rPr>
          <w:sz w:val="24"/>
          <w:szCs w:val="24"/>
        </w:rPr>
        <w:tab/>
      </w:r>
      <w:r w:rsidRPr="00D24BBA">
        <w:rPr>
          <w:sz w:val="24"/>
          <w:szCs w:val="24"/>
        </w:rPr>
        <w:tab/>
        <w:t>Administrative Law Judge</w:t>
      </w:r>
    </w:p>
    <w:p w14:paraId="6FC3DC7C" w14:textId="77777777" w:rsidR="00D24BBA" w:rsidRDefault="00D24BBA" w:rsidP="00D24BBA">
      <w:pPr>
        <w:spacing w:after="160" w:line="259" w:lineRule="auto"/>
        <w:rPr>
          <w:rFonts w:ascii="Microsoft Sans Serif" w:eastAsiaTheme="minorEastAsia" w:hAnsiTheme="minorHAnsi" w:cstheme="minorBidi"/>
          <w:b/>
          <w:sz w:val="24"/>
          <w:szCs w:val="22"/>
          <w:u w:val="single"/>
        </w:rPr>
      </w:pPr>
    </w:p>
    <w:p w14:paraId="2085CC98" w14:textId="77777777" w:rsidR="00D24BBA" w:rsidRDefault="00D24BBA" w:rsidP="00D24BBA">
      <w:pPr>
        <w:spacing w:after="160" w:line="259" w:lineRule="auto"/>
        <w:rPr>
          <w:rFonts w:ascii="Microsoft Sans Serif" w:eastAsiaTheme="minorEastAsia" w:hAnsiTheme="minorHAnsi" w:cstheme="minorBidi"/>
          <w:b/>
          <w:sz w:val="24"/>
          <w:szCs w:val="22"/>
          <w:u w:val="single"/>
        </w:rPr>
      </w:pPr>
    </w:p>
    <w:p w14:paraId="406E1539" w14:textId="77777777" w:rsidR="00D24BBA" w:rsidRDefault="00D24BBA" w:rsidP="00D24BBA">
      <w:pPr>
        <w:spacing w:after="160" w:line="259" w:lineRule="auto"/>
        <w:rPr>
          <w:rFonts w:ascii="Microsoft Sans Serif" w:eastAsiaTheme="minorEastAsia" w:hAnsiTheme="minorHAnsi" w:cstheme="minorBidi"/>
          <w:b/>
          <w:sz w:val="24"/>
          <w:szCs w:val="22"/>
          <w:u w:val="single"/>
        </w:rPr>
      </w:pPr>
    </w:p>
    <w:p w14:paraId="2624783B" w14:textId="77777777" w:rsidR="00D24BBA" w:rsidRDefault="00D24BBA" w:rsidP="00D24BBA">
      <w:pPr>
        <w:spacing w:after="160" w:line="259" w:lineRule="auto"/>
        <w:rPr>
          <w:rFonts w:ascii="Microsoft Sans Serif" w:eastAsiaTheme="minorEastAsia" w:hAnsiTheme="minorHAnsi" w:cstheme="minorBidi"/>
          <w:b/>
          <w:sz w:val="24"/>
          <w:szCs w:val="22"/>
          <w:u w:val="single"/>
        </w:rPr>
      </w:pPr>
    </w:p>
    <w:p w14:paraId="0F148FA7" w14:textId="77777777" w:rsidR="00D24BBA" w:rsidRDefault="00D24BBA" w:rsidP="00D24BBA">
      <w:pPr>
        <w:spacing w:after="160" w:line="259" w:lineRule="auto"/>
        <w:rPr>
          <w:rFonts w:ascii="Microsoft Sans Serif" w:eastAsiaTheme="minorEastAsia" w:hAnsiTheme="minorHAnsi" w:cstheme="minorBidi"/>
          <w:b/>
          <w:sz w:val="24"/>
          <w:szCs w:val="22"/>
          <w:u w:val="single"/>
        </w:rPr>
      </w:pPr>
    </w:p>
    <w:p w14:paraId="46599EC7" w14:textId="77777777" w:rsidR="00D24BBA" w:rsidRDefault="00D24BBA" w:rsidP="00D24BBA">
      <w:pPr>
        <w:spacing w:after="160" w:line="259" w:lineRule="auto"/>
        <w:rPr>
          <w:rFonts w:ascii="Microsoft Sans Serif" w:eastAsiaTheme="minorEastAsia" w:hAnsiTheme="minorHAnsi" w:cstheme="minorBidi"/>
          <w:b/>
          <w:sz w:val="24"/>
          <w:szCs w:val="22"/>
          <w:u w:val="single"/>
        </w:rPr>
      </w:pPr>
    </w:p>
    <w:p w14:paraId="182E87BD" w14:textId="77777777" w:rsidR="00D24BBA" w:rsidRDefault="00D24BBA" w:rsidP="00D24BBA">
      <w:pPr>
        <w:spacing w:after="160" w:line="259" w:lineRule="auto"/>
        <w:rPr>
          <w:rFonts w:ascii="Microsoft Sans Serif" w:eastAsiaTheme="minorEastAsia" w:hAnsiTheme="minorHAnsi" w:cstheme="minorBidi"/>
          <w:b/>
          <w:sz w:val="24"/>
          <w:szCs w:val="22"/>
          <w:u w:val="single"/>
        </w:rPr>
      </w:pPr>
    </w:p>
    <w:p w14:paraId="2393C966" w14:textId="77777777" w:rsidR="00D24BBA" w:rsidRDefault="00D24BBA" w:rsidP="00D24BBA">
      <w:pPr>
        <w:spacing w:after="160" w:line="259" w:lineRule="auto"/>
        <w:rPr>
          <w:rFonts w:ascii="Microsoft Sans Serif" w:eastAsiaTheme="minorEastAsia" w:hAnsiTheme="minorHAnsi" w:cstheme="minorBidi"/>
          <w:b/>
          <w:sz w:val="24"/>
          <w:szCs w:val="22"/>
          <w:u w:val="single"/>
        </w:rPr>
      </w:pPr>
    </w:p>
    <w:p w14:paraId="21C1DACC" w14:textId="77777777" w:rsidR="00D24BBA" w:rsidRDefault="00D24BBA" w:rsidP="00D24BBA">
      <w:pPr>
        <w:spacing w:after="160" w:line="259" w:lineRule="auto"/>
        <w:rPr>
          <w:rFonts w:ascii="Microsoft Sans Serif" w:eastAsiaTheme="minorEastAsia" w:hAnsiTheme="minorHAnsi" w:cstheme="minorBidi"/>
          <w:b/>
          <w:sz w:val="24"/>
          <w:szCs w:val="22"/>
          <w:u w:val="single"/>
        </w:rPr>
      </w:pPr>
    </w:p>
    <w:p w14:paraId="2F78568A" w14:textId="77777777" w:rsidR="00D24BBA" w:rsidRDefault="00D24BBA" w:rsidP="00D24BBA">
      <w:pPr>
        <w:spacing w:after="160" w:line="259" w:lineRule="auto"/>
        <w:rPr>
          <w:rFonts w:ascii="Microsoft Sans Serif" w:eastAsiaTheme="minorEastAsia" w:hAnsiTheme="minorHAnsi" w:cstheme="minorBidi"/>
          <w:b/>
          <w:sz w:val="24"/>
          <w:szCs w:val="22"/>
          <w:u w:val="single"/>
        </w:rPr>
      </w:pPr>
    </w:p>
    <w:p w14:paraId="35138DC5" w14:textId="77777777" w:rsidR="00D24BBA" w:rsidRDefault="00D24BBA" w:rsidP="00D24BBA">
      <w:pPr>
        <w:spacing w:after="160" w:line="259" w:lineRule="auto"/>
        <w:rPr>
          <w:rFonts w:ascii="Microsoft Sans Serif" w:eastAsiaTheme="minorEastAsia" w:hAnsiTheme="minorHAnsi" w:cstheme="minorBidi"/>
          <w:b/>
          <w:sz w:val="24"/>
          <w:szCs w:val="22"/>
          <w:u w:val="single"/>
        </w:rPr>
      </w:pPr>
    </w:p>
    <w:p w14:paraId="12BA17B2" w14:textId="77777777" w:rsidR="00D24BBA" w:rsidRDefault="00D24BBA" w:rsidP="00D24BBA">
      <w:pPr>
        <w:spacing w:after="160" w:line="259" w:lineRule="auto"/>
        <w:rPr>
          <w:rFonts w:ascii="Microsoft Sans Serif" w:eastAsiaTheme="minorEastAsia" w:hAnsiTheme="minorHAnsi" w:cstheme="minorBidi"/>
          <w:b/>
          <w:sz w:val="24"/>
          <w:szCs w:val="22"/>
          <w:u w:val="single"/>
        </w:rPr>
      </w:pPr>
    </w:p>
    <w:p w14:paraId="13D641CD" w14:textId="77777777" w:rsidR="00D24BBA" w:rsidRDefault="00D24BBA" w:rsidP="00D24BBA">
      <w:pPr>
        <w:spacing w:after="160" w:line="259" w:lineRule="auto"/>
        <w:rPr>
          <w:rFonts w:ascii="Microsoft Sans Serif" w:eastAsiaTheme="minorEastAsia" w:hAnsiTheme="minorHAnsi" w:cstheme="minorBidi"/>
          <w:b/>
          <w:sz w:val="24"/>
          <w:szCs w:val="22"/>
          <w:u w:val="single"/>
        </w:rPr>
      </w:pPr>
    </w:p>
    <w:p w14:paraId="2CC71BAC" w14:textId="77777777" w:rsidR="00D24BBA" w:rsidRDefault="00D24BBA" w:rsidP="00D24BBA">
      <w:pPr>
        <w:spacing w:after="160" w:line="259" w:lineRule="auto"/>
        <w:rPr>
          <w:rFonts w:ascii="Microsoft Sans Serif" w:eastAsiaTheme="minorEastAsia" w:hAnsiTheme="minorHAnsi" w:cstheme="minorBidi"/>
          <w:b/>
          <w:sz w:val="24"/>
          <w:szCs w:val="22"/>
          <w:u w:val="single"/>
        </w:rPr>
      </w:pPr>
    </w:p>
    <w:p w14:paraId="00CB4D54" w14:textId="77777777" w:rsidR="00D24BBA" w:rsidRDefault="00D24BBA" w:rsidP="00D24BBA">
      <w:pPr>
        <w:spacing w:after="160" w:line="259" w:lineRule="auto"/>
        <w:rPr>
          <w:rFonts w:ascii="Microsoft Sans Serif" w:eastAsiaTheme="minorEastAsia" w:hAnsiTheme="minorHAnsi" w:cstheme="minorBidi"/>
          <w:b/>
          <w:sz w:val="24"/>
          <w:szCs w:val="22"/>
          <w:u w:val="single"/>
        </w:rPr>
      </w:pPr>
    </w:p>
    <w:p w14:paraId="5D4C6BFB" w14:textId="77777777" w:rsidR="00D24BBA" w:rsidRDefault="00D24BBA" w:rsidP="00D24BBA">
      <w:pPr>
        <w:spacing w:after="160" w:line="259" w:lineRule="auto"/>
        <w:rPr>
          <w:rFonts w:ascii="Microsoft Sans Serif" w:eastAsiaTheme="minorEastAsia" w:hAnsiTheme="minorHAnsi" w:cstheme="minorBidi"/>
          <w:b/>
          <w:sz w:val="24"/>
          <w:szCs w:val="22"/>
          <w:u w:val="single"/>
        </w:rPr>
      </w:pPr>
    </w:p>
    <w:p w14:paraId="7E8B5D9A" w14:textId="77777777" w:rsidR="00D24BBA" w:rsidRDefault="00D24BBA" w:rsidP="00D24BBA">
      <w:pPr>
        <w:spacing w:after="160" w:line="259" w:lineRule="auto"/>
        <w:rPr>
          <w:rFonts w:ascii="Microsoft Sans Serif" w:eastAsiaTheme="minorEastAsia" w:hAnsiTheme="minorHAnsi" w:cstheme="minorBidi"/>
          <w:b/>
          <w:sz w:val="24"/>
          <w:szCs w:val="22"/>
          <w:u w:val="single"/>
        </w:rPr>
      </w:pPr>
    </w:p>
    <w:p w14:paraId="720765E6" w14:textId="77777777" w:rsidR="00D24BBA" w:rsidRDefault="00D24BBA" w:rsidP="00D24BBA">
      <w:pPr>
        <w:spacing w:after="160" w:line="259" w:lineRule="auto"/>
        <w:rPr>
          <w:rFonts w:ascii="Microsoft Sans Serif" w:eastAsiaTheme="minorEastAsia" w:hAnsiTheme="minorHAnsi" w:cstheme="minorBidi"/>
          <w:b/>
          <w:sz w:val="24"/>
          <w:szCs w:val="22"/>
          <w:u w:val="single"/>
        </w:rPr>
      </w:pPr>
    </w:p>
    <w:p w14:paraId="5AFC3FA4" w14:textId="77777777" w:rsidR="00D24BBA" w:rsidRDefault="00D24BBA" w:rsidP="00D24BBA">
      <w:pPr>
        <w:spacing w:after="160" w:line="259" w:lineRule="auto"/>
        <w:rPr>
          <w:rFonts w:ascii="Microsoft Sans Serif" w:eastAsiaTheme="minorEastAsia" w:hAnsiTheme="minorHAnsi" w:cstheme="minorBidi"/>
          <w:b/>
          <w:sz w:val="24"/>
          <w:szCs w:val="22"/>
          <w:u w:val="single"/>
        </w:rPr>
      </w:pPr>
    </w:p>
    <w:p w14:paraId="31710AAC" w14:textId="77777777" w:rsidR="00D24BBA" w:rsidRDefault="00D24BBA" w:rsidP="00D24BBA">
      <w:pPr>
        <w:spacing w:after="160" w:line="259" w:lineRule="auto"/>
        <w:rPr>
          <w:rFonts w:ascii="Microsoft Sans Serif" w:eastAsiaTheme="minorEastAsia" w:hAnsiTheme="minorHAnsi" w:cstheme="minorBidi"/>
          <w:b/>
          <w:sz w:val="24"/>
          <w:szCs w:val="22"/>
          <w:u w:val="single"/>
        </w:rPr>
      </w:pPr>
    </w:p>
    <w:p w14:paraId="7091157C" w14:textId="77777777" w:rsidR="00D24BBA" w:rsidRDefault="00D24BBA" w:rsidP="00D24BBA">
      <w:pPr>
        <w:spacing w:after="160" w:line="259" w:lineRule="auto"/>
        <w:rPr>
          <w:rFonts w:ascii="Microsoft Sans Serif" w:eastAsiaTheme="minorEastAsia" w:hAnsiTheme="minorHAnsi" w:cstheme="minorBidi"/>
          <w:b/>
          <w:sz w:val="24"/>
          <w:szCs w:val="22"/>
          <w:u w:val="single"/>
        </w:rPr>
      </w:pPr>
    </w:p>
    <w:p w14:paraId="4D82B94E" w14:textId="77777777" w:rsidR="00D24BBA" w:rsidRDefault="00D24BBA" w:rsidP="00D24BBA">
      <w:pPr>
        <w:spacing w:after="160" w:line="259" w:lineRule="auto"/>
        <w:rPr>
          <w:rFonts w:ascii="Microsoft Sans Serif" w:eastAsiaTheme="minorEastAsia" w:hAnsiTheme="minorHAnsi" w:cstheme="minorBidi"/>
          <w:b/>
          <w:sz w:val="24"/>
          <w:szCs w:val="22"/>
          <w:u w:val="single"/>
        </w:rPr>
      </w:pPr>
    </w:p>
    <w:p w14:paraId="7F8EF20A" w14:textId="77777777" w:rsidR="00D24BBA" w:rsidRDefault="00D24BBA" w:rsidP="00D24BBA">
      <w:pPr>
        <w:spacing w:after="160" w:line="259" w:lineRule="auto"/>
        <w:rPr>
          <w:rFonts w:ascii="Microsoft Sans Serif" w:eastAsiaTheme="minorEastAsia" w:hAnsiTheme="minorHAnsi" w:cstheme="minorBidi"/>
          <w:b/>
          <w:sz w:val="24"/>
          <w:szCs w:val="22"/>
          <w:u w:val="single"/>
        </w:rPr>
      </w:pPr>
    </w:p>
    <w:p w14:paraId="7F315FA6" w14:textId="29E85A54" w:rsidR="00D24BBA" w:rsidRPr="00D24BBA" w:rsidRDefault="00D24BBA" w:rsidP="00D24BBA">
      <w:pPr>
        <w:spacing w:after="160" w:line="259" w:lineRule="auto"/>
        <w:rPr>
          <w:rFonts w:asciiTheme="minorHAnsi" w:eastAsiaTheme="minorEastAsia" w:hAnsiTheme="minorHAnsi" w:cstheme="minorBidi"/>
          <w:b/>
          <w:i/>
          <w:sz w:val="22"/>
          <w:szCs w:val="22"/>
          <w:u w:val="single"/>
        </w:rPr>
      </w:pPr>
      <w:r w:rsidRPr="00D24BBA">
        <w:rPr>
          <w:rFonts w:ascii="Microsoft Sans Serif" w:eastAsiaTheme="minorEastAsia" w:hAnsiTheme="minorHAnsi" w:cstheme="minorBidi"/>
          <w:b/>
          <w:sz w:val="24"/>
          <w:szCs w:val="22"/>
          <w:u w:val="single"/>
        </w:rPr>
        <w:lastRenderedPageBreak/>
        <w:t>C-2017-2634987 - LYNN FORCE v. WEST PENN POWER COMPANY</w:t>
      </w:r>
      <w:r w:rsidRPr="00D24BBA">
        <w:rPr>
          <w:rFonts w:ascii="Microsoft Sans Serif" w:eastAsiaTheme="minorEastAsia" w:hAnsiTheme="minorHAnsi" w:cstheme="minorBidi"/>
          <w:b/>
          <w:sz w:val="24"/>
          <w:szCs w:val="22"/>
          <w:u w:val="single"/>
        </w:rPr>
        <w:cr/>
      </w:r>
      <w:r w:rsidRPr="00D24BBA">
        <w:rPr>
          <w:rFonts w:ascii="Microsoft Sans Serif" w:eastAsiaTheme="minorEastAsia" w:hAnsiTheme="minorHAnsi" w:cstheme="minorBidi"/>
          <w:b/>
          <w:sz w:val="24"/>
          <w:szCs w:val="22"/>
          <w:u w:val="single"/>
        </w:rPr>
        <w:cr/>
      </w:r>
      <w:r w:rsidRPr="00D24BBA">
        <w:rPr>
          <w:rFonts w:ascii="Microsoft Sans Serif" w:eastAsiaTheme="minorEastAsia" w:hAnsiTheme="minorHAnsi" w:cstheme="minorBidi"/>
          <w:sz w:val="24"/>
          <w:szCs w:val="22"/>
        </w:rPr>
        <w:t>LYNN FORCE</w:t>
      </w:r>
      <w:r w:rsidRPr="00D24BBA">
        <w:rPr>
          <w:rFonts w:ascii="Microsoft Sans Serif" w:eastAsiaTheme="minorEastAsia" w:hAnsiTheme="minorHAnsi" w:cstheme="minorBidi"/>
          <w:sz w:val="24"/>
          <w:szCs w:val="22"/>
        </w:rPr>
        <w:cr/>
        <w:t>1387 UNIVERSITY DRIVE</w:t>
      </w:r>
      <w:r w:rsidRPr="00D24BBA">
        <w:rPr>
          <w:rFonts w:ascii="Microsoft Sans Serif" w:eastAsiaTheme="minorEastAsia" w:hAnsiTheme="minorHAnsi" w:cstheme="minorBidi"/>
          <w:sz w:val="24"/>
          <w:szCs w:val="22"/>
        </w:rPr>
        <w:cr/>
        <w:t>STATE COLLEGE PA  16801</w:t>
      </w:r>
      <w:r w:rsidRPr="00D24BBA">
        <w:rPr>
          <w:rFonts w:ascii="Microsoft Sans Serif" w:eastAsiaTheme="minorEastAsia" w:hAnsiTheme="minorHAnsi" w:cstheme="minorBidi"/>
          <w:sz w:val="24"/>
          <w:szCs w:val="22"/>
        </w:rPr>
        <w:cr/>
      </w:r>
      <w:r w:rsidRPr="00D24BBA">
        <w:rPr>
          <w:rFonts w:ascii="Microsoft Sans Serif" w:eastAsiaTheme="minorEastAsia" w:hAnsiTheme="minorHAnsi" w:cstheme="minorBidi"/>
          <w:b/>
          <w:sz w:val="24"/>
          <w:szCs w:val="22"/>
        </w:rPr>
        <w:t>814.237.0578</w:t>
      </w:r>
      <w:r w:rsidRPr="00D24BBA">
        <w:rPr>
          <w:rFonts w:ascii="Microsoft Sans Serif" w:eastAsiaTheme="minorEastAsia" w:hAnsiTheme="minorHAnsi" w:cstheme="minorBidi"/>
          <w:sz w:val="24"/>
          <w:szCs w:val="22"/>
        </w:rPr>
        <w:cr/>
      </w:r>
      <w:r w:rsidRPr="00D24BBA">
        <w:rPr>
          <w:rFonts w:ascii="Microsoft Sans Serif" w:eastAsiaTheme="minorEastAsia" w:hAnsiTheme="minorHAnsi" w:cstheme="minorBidi"/>
          <w:sz w:val="24"/>
          <w:szCs w:val="22"/>
        </w:rPr>
        <w:cr/>
        <w:t>LAUREN M LEPKOSKI ESQUIRE</w:t>
      </w:r>
      <w:r w:rsidRPr="00D24BBA">
        <w:rPr>
          <w:rFonts w:ascii="Microsoft Sans Serif" w:eastAsiaTheme="minorEastAsia" w:hAnsiTheme="minorHAnsi" w:cstheme="minorBidi"/>
          <w:sz w:val="24"/>
          <w:szCs w:val="22"/>
        </w:rPr>
        <w:cr/>
        <w:t>FIRSTENERGY SERVICES CO</w:t>
      </w:r>
      <w:r w:rsidRPr="00D24BBA">
        <w:rPr>
          <w:rFonts w:ascii="Microsoft Sans Serif" w:eastAsiaTheme="minorEastAsia" w:hAnsiTheme="minorHAnsi" w:cstheme="minorBidi"/>
          <w:sz w:val="24"/>
          <w:szCs w:val="22"/>
        </w:rPr>
        <w:cr/>
        <w:t>2800 POTTSVILLE PIKE</w:t>
      </w:r>
      <w:r w:rsidRPr="00D24BBA">
        <w:rPr>
          <w:rFonts w:ascii="Microsoft Sans Serif" w:eastAsiaTheme="minorEastAsia" w:hAnsiTheme="minorHAnsi" w:cstheme="minorBidi"/>
          <w:sz w:val="24"/>
          <w:szCs w:val="22"/>
        </w:rPr>
        <w:cr/>
        <w:t>PO BOX 16001</w:t>
      </w:r>
      <w:r w:rsidRPr="00D24BBA">
        <w:rPr>
          <w:rFonts w:ascii="Microsoft Sans Serif" w:eastAsiaTheme="minorEastAsia" w:hAnsiTheme="minorHAnsi" w:cstheme="minorBidi"/>
          <w:sz w:val="24"/>
          <w:szCs w:val="22"/>
        </w:rPr>
        <w:cr/>
        <w:t>READING PA  19612</w:t>
      </w:r>
      <w:r w:rsidRPr="00D24BBA">
        <w:rPr>
          <w:rFonts w:ascii="Microsoft Sans Serif" w:eastAsiaTheme="minorEastAsia" w:hAnsiTheme="minorHAnsi" w:cstheme="minorBidi"/>
          <w:sz w:val="24"/>
          <w:szCs w:val="22"/>
        </w:rPr>
        <w:cr/>
      </w:r>
      <w:r w:rsidRPr="00D24BBA">
        <w:rPr>
          <w:rFonts w:ascii="Microsoft Sans Serif" w:eastAsiaTheme="minorEastAsia" w:hAnsiTheme="minorHAnsi" w:cstheme="minorBidi"/>
          <w:b/>
          <w:sz w:val="24"/>
          <w:szCs w:val="22"/>
        </w:rPr>
        <w:t>610.921.6203</w:t>
      </w:r>
      <w:r w:rsidRPr="00D24BBA">
        <w:rPr>
          <w:rFonts w:ascii="Microsoft Sans Serif" w:eastAsiaTheme="minorEastAsia" w:hAnsiTheme="minorHAnsi" w:cstheme="minorBidi"/>
          <w:sz w:val="24"/>
          <w:szCs w:val="22"/>
        </w:rPr>
        <w:cr/>
      </w:r>
      <w:r w:rsidRPr="00D24BBA">
        <w:rPr>
          <w:rFonts w:ascii="Microsoft Sans Serif" w:eastAsiaTheme="minorEastAsia" w:hAnsiTheme="minorHAnsi" w:cstheme="minorBidi"/>
          <w:b/>
          <w:i/>
          <w:sz w:val="24"/>
          <w:szCs w:val="22"/>
          <w:u w:val="single"/>
        </w:rPr>
        <w:t>E-SERVICE</w:t>
      </w:r>
    </w:p>
    <w:p w14:paraId="759D0233" w14:textId="784B6367" w:rsidR="00B03632" w:rsidRDefault="00B03632" w:rsidP="00D24BBA">
      <w:pPr>
        <w:spacing w:line="480" w:lineRule="auto"/>
        <w:ind w:firstLine="720"/>
        <w:contextualSpacing/>
        <w:jc w:val="both"/>
        <w:rPr>
          <w:sz w:val="24"/>
          <w:szCs w:val="24"/>
        </w:rPr>
      </w:pPr>
    </w:p>
    <w:sectPr w:rsidR="00B03632" w:rsidSect="00D24BB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6BD8A" w14:textId="77777777" w:rsidR="00E75C0B" w:rsidRDefault="00E75C0B">
      <w:r>
        <w:separator/>
      </w:r>
    </w:p>
  </w:endnote>
  <w:endnote w:type="continuationSeparator" w:id="0">
    <w:p w14:paraId="43356AA5" w14:textId="77777777" w:rsidR="00E75C0B" w:rsidRDefault="00E7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683817"/>
      <w:docPartObj>
        <w:docPartGallery w:val="Page Numbers (Bottom of Page)"/>
        <w:docPartUnique/>
      </w:docPartObj>
    </w:sdtPr>
    <w:sdtEndPr>
      <w:rPr>
        <w:noProof/>
      </w:rPr>
    </w:sdtEndPr>
    <w:sdtContent>
      <w:p w14:paraId="416BF8B1" w14:textId="6992705F" w:rsidR="00D24BBA" w:rsidRDefault="00D24B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ADCBCA" w14:textId="77777777" w:rsidR="00F409E6" w:rsidRPr="000B3EE5" w:rsidRDefault="00E75C0B" w:rsidP="00F409E6">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E9C30" w14:textId="77777777" w:rsidR="00E75C0B" w:rsidRDefault="00E75C0B">
      <w:r>
        <w:separator/>
      </w:r>
    </w:p>
  </w:footnote>
  <w:footnote w:type="continuationSeparator" w:id="0">
    <w:p w14:paraId="400FE41B" w14:textId="77777777" w:rsidR="00E75C0B" w:rsidRDefault="00E75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142033E1"/>
    <w:multiLevelType w:val="hybridMultilevel"/>
    <w:tmpl w:val="775209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AAB284A"/>
    <w:multiLevelType w:val="multilevel"/>
    <w:tmpl w:val="0102F7A4"/>
    <w:lvl w:ilvl="0">
      <w:start w:val="1"/>
      <w:numFmt w:val="decimal"/>
      <w:lvlRestart w:val="0"/>
      <w:pStyle w:val="Heading1"/>
      <w:lvlText w:val="%1."/>
      <w:lvlJc w:val="left"/>
      <w:pPr>
        <w:tabs>
          <w:tab w:val="num" w:pos="1440"/>
        </w:tabs>
        <w:ind w:left="0" w:firstLine="720"/>
      </w:pPr>
      <w:rPr>
        <w:rFonts w:ascii="Times New Roman" w:hAnsi="Times New Roman" w:hint="default"/>
        <w:b w:val="0"/>
        <w:i w:val="0"/>
        <w:caps w:val="0"/>
        <w:smallCaps w:val="0"/>
        <w:strike w:val="0"/>
        <w:dstrike w:val="0"/>
        <w:outline w:val="0"/>
        <w:shadow w:val="0"/>
        <w:emboss w:val="0"/>
        <w:imprint w:val="0"/>
        <w:vanish w:val="0"/>
        <w:color w:val="auto"/>
        <w:kern w:val="0"/>
        <w:sz w:val="24"/>
        <w:szCs w:val="24"/>
        <w:u w:val="none"/>
        <w:effect w:val="none"/>
        <w:vertAlign w:val="baseline"/>
      </w:rPr>
    </w:lvl>
    <w:lvl w:ilvl="1">
      <w:start w:val="1"/>
      <w:numFmt w:val="lowerLetter"/>
      <w:pStyle w:val="Heading2"/>
      <w:lvlText w:val="(%2)"/>
      <w:lvlJc w:val="left"/>
      <w:pPr>
        <w:tabs>
          <w:tab w:val="num" w:pos="2160"/>
        </w:tabs>
        <w:ind w:left="0" w:firstLine="144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2">
      <w:start w:val="1"/>
      <w:numFmt w:val="lowerRoman"/>
      <w:pStyle w:val="Heading3"/>
      <w:lvlText w:val="(%3)"/>
      <w:lvlJc w:val="left"/>
      <w:pPr>
        <w:tabs>
          <w:tab w:val="num" w:pos="2880"/>
        </w:tabs>
        <w:ind w:left="0" w:firstLine="216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3">
      <w:start w:val="1"/>
      <w:numFmt w:val="decimal"/>
      <w:pStyle w:val="Heading4"/>
      <w:lvlText w:val="%4)"/>
      <w:lvlJc w:val="left"/>
      <w:pPr>
        <w:tabs>
          <w:tab w:val="num" w:pos="3600"/>
        </w:tabs>
        <w:ind w:left="0" w:firstLine="288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4">
      <w:start w:val="1"/>
      <w:numFmt w:val="lowerLetter"/>
      <w:pStyle w:val="Heading5"/>
      <w:lvlText w:val="%5)"/>
      <w:lvlJc w:val="left"/>
      <w:pPr>
        <w:tabs>
          <w:tab w:val="num" w:pos="4320"/>
        </w:tabs>
        <w:ind w:left="0" w:firstLine="360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5">
      <w:start w:val="1"/>
      <w:numFmt w:val="lowerRoman"/>
      <w:pStyle w:val="Heading6"/>
      <w:lvlText w:val="%6)"/>
      <w:lvlJc w:val="left"/>
      <w:pPr>
        <w:tabs>
          <w:tab w:val="num" w:pos="5040"/>
        </w:tabs>
        <w:ind w:left="0" w:firstLine="432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6">
      <w:start w:val="27"/>
      <w:numFmt w:val="lowerLetter"/>
      <w:pStyle w:val="Heading7"/>
      <w:lvlText w:val="%7)"/>
      <w:lvlJc w:val="left"/>
      <w:pPr>
        <w:tabs>
          <w:tab w:val="num" w:pos="5760"/>
        </w:tabs>
        <w:ind w:left="0" w:firstLine="504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7">
      <w:start w:val="1"/>
      <w:numFmt w:val="upperRoman"/>
      <w:pStyle w:val="Heading8"/>
      <w:lvlText w:val="%8)"/>
      <w:lvlJc w:val="left"/>
      <w:pPr>
        <w:tabs>
          <w:tab w:val="num" w:pos="6480"/>
        </w:tabs>
        <w:ind w:left="0" w:firstLine="576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8">
      <w:start w:val="1"/>
      <w:numFmt w:val="decimal"/>
      <w:pStyle w:val="Heading9"/>
      <w:lvlText w:val="(%9)"/>
      <w:lvlJc w:val="left"/>
      <w:pPr>
        <w:tabs>
          <w:tab w:val="num" w:pos="7200"/>
        </w:tabs>
        <w:ind w:left="0" w:firstLine="648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abstractNum>
  <w:abstractNum w:abstractNumId="3" w15:restartNumberingAfterBreak="0">
    <w:nsid w:val="4E7809F0"/>
    <w:multiLevelType w:val="hybridMultilevel"/>
    <w:tmpl w:val="775209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1F"/>
    <w:rsid w:val="000079EB"/>
    <w:rsid w:val="00025677"/>
    <w:rsid w:val="0007338D"/>
    <w:rsid w:val="00084AF0"/>
    <w:rsid w:val="00085165"/>
    <w:rsid w:val="00094D47"/>
    <w:rsid w:val="00164CE7"/>
    <w:rsid w:val="00194389"/>
    <w:rsid w:val="0029327F"/>
    <w:rsid w:val="00311960"/>
    <w:rsid w:val="00351CC6"/>
    <w:rsid w:val="003C16B4"/>
    <w:rsid w:val="003E6895"/>
    <w:rsid w:val="00475D18"/>
    <w:rsid w:val="0054631F"/>
    <w:rsid w:val="005B2682"/>
    <w:rsid w:val="00731335"/>
    <w:rsid w:val="00745698"/>
    <w:rsid w:val="007E244A"/>
    <w:rsid w:val="008314FC"/>
    <w:rsid w:val="0087177F"/>
    <w:rsid w:val="009476D1"/>
    <w:rsid w:val="009F6F1F"/>
    <w:rsid w:val="00AA25CD"/>
    <w:rsid w:val="00B03632"/>
    <w:rsid w:val="00CA3956"/>
    <w:rsid w:val="00D032EB"/>
    <w:rsid w:val="00D10F1F"/>
    <w:rsid w:val="00D24BBA"/>
    <w:rsid w:val="00E210A7"/>
    <w:rsid w:val="00E74D3A"/>
    <w:rsid w:val="00E75C0B"/>
    <w:rsid w:val="00F45F86"/>
    <w:rsid w:val="00FA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48A88"/>
  <w15:chartTrackingRefBased/>
  <w15:docId w15:val="{07CAC918-75FD-428F-B5D5-CCFA1D17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31F"/>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qFormat/>
    <w:rsid w:val="0054631F"/>
    <w:pPr>
      <w:numPr>
        <w:numId w:val="1"/>
      </w:numPr>
      <w:spacing w:after="240"/>
      <w:outlineLvl w:val="0"/>
    </w:pPr>
  </w:style>
  <w:style w:type="paragraph" w:styleId="Heading2">
    <w:name w:val="heading 2"/>
    <w:basedOn w:val="Normal"/>
    <w:link w:val="Heading2Char"/>
    <w:qFormat/>
    <w:rsid w:val="0054631F"/>
    <w:pPr>
      <w:numPr>
        <w:ilvl w:val="1"/>
        <w:numId w:val="1"/>
      </w:numPr>
      <w:spacing w:after="240"/>
      <w:outlineLvl w:val="1"/>
    </w:pPr>
  </w:style>
  <w:style w:type="paragraph" w:styleId="Heading3">
    <w:name w:val="heading 3"/>
    <w:basedOn w:val="Normal"/>
    <w:link w:val="Heading3Char"/>
    <w:qFormat/>
    <w:rsid w:val="0054631F"/>
    <w:pPr>
      <w:numPr>
        <w:ilvl w:val="2"/>
        <w:numId w:val="1"/>
      </w:numPr>
      <w:spacing w:after="240"/>
      <w:outlineLvl w:val="2"/>
    </w:pPr>
  </w:style>
  <w:style w:type="paragraph" w:styleId="Heading4">
    <w:name w:val="heading 4"/>
    <w:basedOn w:val="Normal"/>
    <w:link w:val="Heading4Char"/>
    <w:qFormat/>
    <w:rsid w:val="0054631F"/>
    <w:pPr>
      <w:numPr>
        <w:ilvl w:val="3"/>
        <w:numId w:val="1"/>
      </w:numPr>
      <w:spacing w:after="240"/>
      <w:outlineLvl w:val="3"/>
    </w:pPr>
  </w:style>
  <w:style w:type="paragraph" w:styleId="Heading5">
    <w:name w:val="heading 5"/>
    <w:basedOn w:val="Normal"/>
    <w:link w:val="Heading5Char"/>
    <w:qFormat/>
    <w:rsid w:val="0054631F"/>
    <w:pPr>
      <w:numPr>
        <w:ilvl w:val="4"/>
        <w:numId w:val="1"/>
      </w:numPr>
      <w:spacing w:after="240"/>
      <w:outlineLvl w:val="4"/>
    </w:pPr>
  </w:style>
  <w:style w:type="paragraph" w:styleId="Heading6">
    <w:name w:val="heading 6"/>
    <w:basedOn w:val="Normal"/>
    <w:link w:val="Heading6Char"/>
    <w:qFormat/>
    <w:rsid w:val="0054631F"/>
    <w:pPr>
      <w:numPr>
        <w:ilvl w:val="5"/>
        <w:numId w:val="1"/>
      </w:numPr>
      <w:spacing w:after="240"/>
      <w:outlineLvl w:val="5"/>
    </w:pPr>
  </w:style>
  <w:style w:type="paragraph" w:styleId="Heading7">
    <w:name w:val="heading 7"/>
    <w:basedOn w:val="Normal"/>
    <w:link w:val="Heading7Char"/>
    <w:qFormat/>
    <w:rsid w:val="0054631F"/>
    <w:pPr>
      <w:numPr>
        <w:ilvl w:val="6"/>
        <w:numId w:val="1"/>
      </w:numPr>
      <w:spacing w:after="240"/>
      <w:outlineLvl w:val="6"/>
    </w:pPr>
  </w:style>
  <w:style w:type="paragraph" w:styleId="Heading8">
    <w:name w:val="heading 8"/>
    <w:basedOn w:val="Normal"/>
    <w:link w:val="Heading8Char"/>
    <w:qFormat/>
    <w:rsid w:val="0054631F"/>
    <w:pPr>
      <w:numPr>
        <w:ilvl w:val="7"/>
        <w:numId w:val="1"/>
      </w:numPr>
      <w:spacing w:after="240"/>
      <w:outlineLvl w:val="7"/>
    </w:pPr>
  </w:style>
  <w:style w:type="paragraph" w:styleId="Heading9">
    <w:name w:val="heading 9"/>
    <w:basedOn w:val="Normal"/>
    <w:link w:val="Heading9Char"/>
    <w:qFormat/>
    <w:rsid w:val="0054631F"/>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631F"/>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54631F"/>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54631F"/>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54631F"/>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54631F"/>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54631F"/>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54631F"/>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54631F"/>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54631F"/>
    <w:rPr>
      <w:rFonts w:ascii="Times New Roman" w:eastAsia="Times New Roman" w:hAnsi="Times New Roman" w:cs="Times New Roman"/>
      <w:sz w:val="20"/>
      <w:szCs w:val="20"/>
    </w:rPr>
  </w:style>
  <w:style w:type="paragraph" w:styleId="BodyText2">
    <w:name w:val="Body Text 2"/>
    <w:basedOn w:val="Normal"/>
    <w:link w:val="BodyText2Char"/>
    <w:rsid w:val="0054631F"/>
    <w:pPr>
      <w:spacing w:after="240" w:line="480" w:lineRule="auto"/>
      <w:contextualSpacing/>
    </w:pPr>
  </w:style>
  <w:style w:type="character" w:customStyle="1" w:styleId="BodyText2Char">
    <w:name w:val="Body Text 2 Char"/>
    <w:basedOn w:val="DefaultParagraphFont"/>
    <w:link w:val="BodyText2"/>
    <w:rsid w:val="0054631F"/>
    <w:rPr>
      <w:rFonts w:ascii="Times New Roman" w:eastAsia="Times New Roman" w:hAnsi="Times New Roman" w:cs="Times New Roman"/>
      <w:sz w:val="20"/>
      <w:szCs w:val="20"/>
    </w:rPr>
  </w:style>
  <w:style w:type="paragraph" w:styleId="BodyText">
    <w:name w:val="Body Text"/>
    <w:aliases w:val="bt"/>
    <w:basedOn w:val="Normal"/>
    <w:link w:val="BodyTextChar"/>
    <w:rsid w:val="0054631F"/>
  </w:style>
  <w:style w:type="character" w:customStyle="1" w:styleId="BodyTextChar">
    <w:name w:val="Body Text Char"/>
    <w:aliases w:val="bt Char"/>
    <w:basedOn w:val="DefaultParagraphFont"/>
    <w:link w:val="BodyText"/>
    <w:rsid w:val="0054631F"/>
    <w:rPr>
      <w:rFonts w:ascii="Times New Roman" w:eastAsia="Times New Roman" w:hAnsi="Times New Roman" w:cs="Times New Roman"/>
      <w:sz w:val="20"/>
      <w:szCs w:val="20"/>
    </w:rPr>
  </w:style>
  <w:style w:type="paragraph" w:styleId="Footer">
    <w:name w:val="footer"/>
    <w:basedOn w:val="Normal"/>
    <w:link w:val="FooterChar"/>
    <w:uiPriority w:val="99"/>
    <w:rsid w:val="0054631F"/>
    <w:pPr>
      <w:tabs>
        <w:tab w:val="center" w:pos="4320"/>
        <w:tab w:val="right" w:pos="8640"/>
      </w:tabs>
    </w:pPr>
  </w:style>
  <w:style w:type="character" w:customStyle="1" w:styleId="FooterChar">
    <w:name w:val="Footer Char"/>
    <w:basedOn w:val="DefaultParagraphFont"/>
    <w:link w:val="Footer"/>
    <w:uiPriority w:val="99"/>
    <w:rsid w:val="0054631F"/>
    <w:rPr>
      <w:rFonts w:ascii="Times New Roman" w:eastAsia="Times New Roman" w:hAnsi="Times New Roman" w:cs="Times New Roman"/>
      <w:sz w:val="20"/>
      <w:szCs w:val="20"/>
    </w:rPr>
  </w:style>
  <w:style w:type="character" w:styleId="PageNumber">
    <w:name w:val="page number"/>
    <w:basedOn w:val="DefaultParagraphFont"/>
    <w:rsid w:val="0054631F"/>
  </w:style>
  <w:style w:type="character" w:styleId="Hyperlink">
    <w:name w:val="Hyperlink"/>
    <w:rsid w:val="0054631F"/>
    <w:rPr>
      <w:color w:val="0000FF"/>
      <w:u w:val="single"/>
    </w:rPr>
  </w:style>
  <w:style w:type="table" w:styleId="TableGrid">
    <w:name w:val="Table Grid"/>
    <w:basedOn w:val="TableNormal"/>
    <w:uiPriority w:val="39"/>
    <w:rsid w:val="00546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54631F"/>
    <w:pPr>
      <w:numPr>
        <w:numId w:val="2"/>
      </w:numPr>
      <w:spacing w:line="480" w:lineRule="auto"/>
      <w:ind w:left="0" w:firstLine="720"/>
      <w:contextualSpacing/>
      <w:jc w:val="both"/>
    </w:pPr>
    <w:rPr>
      <w:sz w:val="24"/>
    </w:rPr>
  </w:style>
  <w:style w:type="paragraph" w:styleId="NoSpacing">
    <w:name w:val="No Spacing"/>
    <w:uiPriority w:val="1"/>
    <w:qFormat/>
    <w:rsid w:val="0054631F"/>
    <w:pPr>
      <w:spacing w:after="0" w:line="240" w:lineRule="auto"/>
    </w:pPr>
  </w:style>
  <w:style w:type="paragraph" w:styleId="ListParagraph">
    <w:name w:val="List Paragraph"/>
    <w:basedOn w:val="Normal"/>
    <w:uiPriority w:val="34"/>
    <w:qFormat/>
    <w:rsid w:val="0054631F"/>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E244A"/>
    <w:rPr>
      <w:sz w:val="16"/>
      <w:szCs w:val="16"/>
    </w:rPr>
  </w:style>
  <w:style w:type="paragraph" w:styleId="CommentText">
    <w:name w:val="annotation text"/>
    <w:basedOn w:val="Normal"/>
    <w:link w:val="CommentTextChar"/>
    <w:uiPriority w:val="99"/>
    <w:semiHidden/>
    <w:unhideWhenUsed/>
    <w:rsid w:val="007E244A"/>
  </w:style>
  <w:style w:type="character" w:customStyle="1" w:styleId="CommentTextChar">
    <w:name w:val="Comment Text Char"/>
    <w:basedOn w:val="DefaultParagraphFont"/>
    <w:link w:val="CommentText"/>
    <w:uiPriority w:val="99"/>
    <w:semiHidden/>
    <w:rsid w:val="007E24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244A"/>
    <w:rPr>
      <w:b/>
      <w:bCs/>
    </w:rPr>
  </w:style>
  <w:style w:type="character" w:customStyle="1" w:styleId="CommentSubjectChar">
    <w:name w:val="Comment Subject Char"/>
    <w:basedOn w:val="CommentTextChar"/>
    <w:link w:val="CommentSubject"/>
    <w:uiPriority w:val="99"/>
    <w:semiHidden/>
    <w:rsid w:val="007E244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E24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44A"/>
    <w:rPr>
      <w:rFonts w:ascii="Segoe UI" w:eastAsia="Times New Roman" w:hAnsi="Segoe UI" w:cs="Segoe UI"/>
      <w:sz w:val="18"/>
      <w:szCs w:val="18"/>
    </w:rPr>
  </w:style>
  <w:style w:type="paragraph" w:styleId="Header">
    <w:name w:val="header"/>
    <w:basedOn w:val="Normal"/>
    <w:link w:val="HeaderChar"/>
    <w:uiPriority w:val="99"/>
    <w:unhideWhenUsed/>
    <w:rsid w:val="00D24BBA"/>
    <w:pPr>
      <w:tabs>
        <w:tab w:val="center" w:pos="4680"/>
        <w:tab w:val="right" w:pos="9360"/>
      </w:tabs>
    </w:pPr>
  </w:style>
  <w:style w:type="character" w:customStyle="1" w:styleId="HeaderChar">
    <w:name w:val="Header Char"/>
    <w:basedOn w:val="DefaultParagraphFont"/>
    <w:link w:val="Header"/>
    <w:uiPriority w:val="99"/>
    <w:rsid w:val="00D24BB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Lepkoski, Lauren M</dc:creator>
  <cp:keywords/>
  <dc:description/>
  <cp:lastModifiedBy>Rowlett, Jeannette</cp:lastModifiedBy>
  <cp:revision>7</cp:revision>
  <cp:lastPrinted>2019-06-17T18:56:00Z</cp:lastPrinted>
  <dcterms:created xsi:type="dcterms:W3CDTF">2019-06-17T18:41:00Z</dcterms:created>
  <dcterms:modified xsi:type="dcterms:W3CDTF">2019-06-17T19:20:00Z</dcterms:modified>
</cp:coreProperties>
</file>