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845AC" w14:textId="77777777" w:rsidR="00A15D62" w:rsidRDefault="00A15D62" w:rsidP="00A15D62">
      <w:pPr>
        <w:tabs>
          <w:tab w:val="left" w:pos="5400"/>
          <w:tab w:val="right" w:pos="8640"/>
        </w:tabs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caps/>
          <w:sz w:val="24"/>
          <w:szCs w:val="24"/>
        </w:rPr>
        <w:t>Before the</w:t>
      </w:r>
    </w:p>
    <w:p w14:paraId="0BA5BE24" w14:textId="77777777" w:rsidR="00A15D62" w:rsidRDefault="00A15D62" w:rsidP="00A15D62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PENNSYLVANIA PUBLIC UTILITY COMMISSION</w:t>
      </w:r>
    </w:p>
    <w:p w14:paraId="707C18B5" w14:textId="77777777" w:rsidR="00A15D62" w:rsidRDefault="00A15D62" w:rsidP="00A15D62">
      <w:pPr>
        <w:jc w:val="center"/>
        <w:rPr>
          <w:rFonts w:eastAsia="Calibri"/>
          <w:b/>
          <w:sz w:val="24"/>
          <w:szCs w:val="24"/>
        </w:rPr>
      </w:pPr>
    </w:p>
    <w:p w14:paraId="63CCC958" w14:textId="77777777" w:rsidR="00A15D62" w:rsidRDefault="00A15D62" w:rsidP="00A15D62">
      <w:pPr>
        <w:jc w:val="center"/>
        <w:rPr>
          <w:rFonts w:eastAsia="Calibri"/>
          <w:b/>
          <w:sz w:val="24"/>
          <w:szCs w:val="24"/>
          <w:u w:val="single"/>
        </w:rPr>
      </w:pPr>
    </w:p>
    <w:p w14:paraId="42551CE5" w14:textId="77777777" w:rsidR="00A15D62" w:rsidRDefault="00A15D62" w:rsidP="00A15D62">
      <w:pPr>
        <w:jc w:val="center"/>
        <w:rPr>
          <w:rFonts w:eastAsia="Calibri"/>
          <w:b/>
          <w:sz w:val="24"/>
          <w:szCs w:val="24"/>
          <w:u w:val="single"/>
        </w:rPr>
      </w:pPr>
    </w:p>
    <w:p w14:paraId="5642548F" w14:textId="77777777" w:rsidR="00A15D62" w:rsidRDefault="00A15D62" w:rsidP="00A15D6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Jeannette Pavlick and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</w:p>
    <w:p w14:paraId="49B2C3D8" w14:textId="77777777" w:rsidR="00A15D62" w:rsidRDefault="00A15D62" w:rsidP="00A15D6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Craig Pavlick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</w:p>
    <w:p w14:paraId="6A1023C3" w14:textId="77777777" w:rsidR="00A15D62" w:rsidRDefault="00A15D62" w:rsidP="00A15D6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</w:p>
    <w:p w14:paraId="0838D812" w14:textId="77777777" w:rsidR="00A15D62" w:rsidRDefault="00A15D62" w:rsidP="00A15D6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v.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C-2018-3002723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</w:p>
    <w:p w14:paraId="07C5D10E" w14:textId="77777777" w:rsidR="00A15D62" w:rsidRDefault="00A15D62" w:rsidP="00A15D6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West Penn Power Company 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</w:p>
    <w:p w14:paraId="4AF1C77F" w14:textId="77777777" w:rsidR="00A15D62" w:rsidRDefault="00A15D62" w:rsidP="00A15D62">
      <w:pPr>
        <w:jc w:val="both"/>
        <w:rPr>
          <w:sz w:val="24"/>
          <w:szCs w:val="24"/>
        </w:rPr>
      </w:pPr>
      <w:r w:rsidRPr="00AA7E7D">
        <w:rPr>
          <w:sz w:val="24"/>
          <w:szCs w:val="24"/>
        </w:rPr>
        <w:tab/>
      </w:r>
      <w:r w:rsidRPr="00AA7E7D">
        <w:rPr>
          <w:sz w:val="24"/>
          <w:szCs w:val="24"/>
        </w:rPr>
        <w:tab/>
      </w:r>
      <w:r w:rsidRPr="00AA7E7D">
        <w:rPr>
          <w:sz w:val="24"/>
          <w:szCs w:val="24"/>
        </w:rPr>
        <w:tab/>
      </w:r>
      <w:r w:rsidRPr="00AA7E7D">
        <w:rPr>
          <w:sz w:val="24"/>
          <w:szCs w:val="24"/>
        </w:rPr>
        <w:tab/>
      </w:r>
      <w:r w:rsidRPr="00AA7E7D">
        <w:rPr>
          <w:sz w:val="24"/>
          <w:szCs w:val="24"/>
        </w:rPr>
        <w:tab/>
      </w:r>
      <w:r w:rsidRPr="00AA7E7D">
        <w:rPr>
          <w:sz w:val="24"/>
          <w:szCs w:val="24"/>
        </w:rPr>
        <w:tab/>
      </w:r>
    </w:p>
    <w:p w14:paraId="387F42EE" w14:textId="77777777" w:rsidR="00A15D62" w:rsidRPr="00AA7E7D" w:rsidRDefault="00A15D62" w:rsidP="00A15D62">
      <w:pPr>
        <w:jc w:val="both"/>
        <w:rPr>
          <w:sz w:val="24"/>
          <w:szCs w:val="24"/>
        </w:rPr>
      </w:pPr>
    </w:p>
    <w:p w14:paraId="05377E9B" w14:textId="77777777" w:rsidR="00A15D62" w:rsidRDefault="00A15D62" w:rsidP="00A15D62">
      <w:pPr>
        <w:rPr>
          <w:rFonts w:eastAsia="Calibri"/>
          <w:sz w:val="24"/>
          <w:szCs w:val="24"/>
        </w:rPr>
      </w:pPr>
    </w:p>
    <w:p w14:paraId="3D00A121" w14:textId="77777777" w:rsidR="00A15D62" w:rsidRDefault="00A15D62" w:rsidP="00A15D6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INTERIM ORDER</w:t>
      </w:r>
    </w:p>
    <w:p w14:paraId="5C3237E4" w14:textId="5032353B" w:rsidR="00A15D62" w:rsidRPr="00DE43FB" w:rsidRDefault="00A15D62" w:rsidP="00A15D6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DENYING COMPLAINANT</w:t>
      </w:r>
      <w:r w:rsidR="00613509">
        <w:rPr>
          <w:b/>
          <w:bCs/>
          <w:color w:val="000000"/>
          <w:sz w:val="24"/>
          <w:szCs w:val="24"/>
        </w:rPr>
        <w:t>S’</w:t>
      </w:r>
      <w:r>
        <w:rPr>
          <w:b/>
          <w:bCs/>
          <w:color w:val="000000"/>
          <w:sz w:val="24"/>
          <w:szCs w:val="24"/>
        </w:rPr>
        <w:t xml:space="preserve"> MOTION TO FIND IN FAVOR O</w:t>
      </w:r>
      <w:r w:rsidR="00613509">
        <w:rPr>
          <w:b/>
          <w:bCs/>
          <w:color w:val="000000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 xml:space="preserve"> COMPLAINANT</w:t>
      </w:r>
      <w:r w:rsidR="00613509"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 xml:space="preserve"> </w:t>
      </w:r>
      <w:r w:rsidRPr="00613509">
        <w:rPr>
          <w:b/>
          <w:bCs/>
          <w:color w:val="000000"/>
          <w:sz w:val="24"/>
          <w:szCs w:val="24"/>
          <w:u w:val="single"/>
        </w:rPr>
        <w:t>DATED APRIL 25, 2019</w:t>
      </w:r>
      <w:r w:rsidRPr="00DE43FB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0D971BEB" w14:textId="77777777" w:rsidR="00A15D62" w:rsidRDefault="00A15D62" w:rsidP="00A15D6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u w:val="single"/>
        </w:rPr>
      </w:pPr>
    </w:p>
    <w:p w14:paraId="796B79EA" w14:textId="425ADA27" w:rsidR="00A15D62" w:rsidRDefault="00A15D62" w:rsidP="00A15D62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  <w:r w:rsidRPr="009D4BFE">
        <w:rPr>
          <w:rFonts w:eastAsia="Calibri"/>
        </w:rPr>
        <w:t xml:space="preserve">On </w:t>
      </w:r>
      <w:r>
        <w:rPr>
          <w:rFonts w:eastAsia="Calibri"/>
        </w:rPr>
        <w:t xml:space="preserve">April 29, 2019, the undersigned </w:t>
      </w:r>
      <w:r w:rsidR="00613509">
        <w:rPr>
          <w:rFonts w:eastAsia="Calibri"/>
        </w:rPr>
        <w:t>P</w:t>
      </w:r>
      <w:r>
        <w:rPr>
          <w:rFonts w:eastAsia="Calibri"/>
        </w:rPr>
        <w:t xml:space="preserve">residing </w:t>
      </w:r>
      <w:r w:rsidR="00613509">
        <w:rPr>
          <w:rFonts w:eastAsia="Calibri"/>
        </w:rPr>
        <w:t>O</w:t>
      </w:r>
      <w:r>
        <w:rPr>
          <w:rFonts w:eastAsia="Calibri"/>
        </w:rPr>
        <w:t>fficer received a document dated April 25, 2019 from Complainants entitled</w:t>
      </w:r>
      <w:r w:rsidR="00613509">
        <w:rPr>
          <w:rFonts w:eastAsia="Calibri"/>
        </w:rPr>
        <w:t xml:space="preserve">: </w:t>
      </w:r>
      <w:r>
        <w:rPr>
          <w:rFonts w:eastAsia="Calibri"/>
        </w:rPr>
        <w:t xml:space="preserve">“Motion to </w:t>
      </w:r>
      <w:r w:rsidR="00613509">
        <w:rPr>
          <w:rFonts w:eastAsia="Calibri"/>
        </w:rPr>
        <w:t>F</w:t>
      </w:r>
      <w:r>
        <w:rPr>
          <w:rFonts w:eastAsia="Calibri"/>
        </w:rPr>
        <w:t xml:space="preserve">ind in </w:t>
      </w:r>
      <w:r w:rsidR="00613509">
        <w:rPr>
          <w:rFonts w:eastAsia="Calibri"/>
        </w:rPr>
        <w:t>F</w:t>
      </w:r>
      <w:r>
        <w:rPr>
          <w:rFonts w:eastAsia="Calibri"/>
        </w:rPr>
        <w:t>avor of Complainant</w:t>
      </w:r>
      <w:r w:rsidR="00613509">
        <w:rPr>
          <w:rFonts w:eastAsia="Calibri"/>
        </w:rPr>
        <w:t>s</w:t>
      </w:r>
      <w:r>
        <w:rPr>
          <w:rFonts w:eastAsia="Calibri"/>
        </w:rPr>
        <w:t xml:space="preserve">, Additional Comments </w:t>
      </w:r>
      <w:r w:rsidR="00613509">
        <w:rPr>
          <w:rFonts w:eastAsia="Calibri"/>
        </w:rPr>
        <w:t>R</w:t>
      </w:r>
      <w:r>
        <w:rPr>
          <w:rFonts w:eastAsia="Calibri"/>
        </w:rPr>
        <w:t xml:space="preserve">egarding Clarification Request and Response to West Penn Power Company </w:t>
      </w:r>
      <w:r w:rsidR="00613509">
        <w:rPr>
          <w:rFonts w:eastAsia="Calibri"/>
        </w:rPr>
        <w:t>L</w:t>
      </w:r>
      <w:r>
        <w:rPr>
          <w:rFonts w:eastAsia="Calibri"/>
        </w:rPr>
        <w:t xml:space="preserve">etter </w:t>
      </w:r>
      <w:r w:rsidR="00613509">
        <w:rPr>
          <w:rFonts w:eastAsia="Calibri"/>
        </w:rPr>
        <w:t>D</w:t>
      </w:r>
      <w:r>
        <w:rPr>
          <w:rFonts w:eastAsia="Calibri"/>
        </w:rPr>
        <w:t>ated April 19, 2019.</w:t>
      </w:r>
      <w:r w:rsidR="00613509">
        <w:rPr>
          <w:rFonts w:eastAsia="Calibri"/>
        </w:rPr>
        <w:t>”</w:t>
      </w:r>
    </w:p>
    <w:p w14:paraId="2B30EE89" w14:textId="77777777" w:rsidR="00A15D62" w:rsidRDefault="00A15D62" w:rsidP="00A15D62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</w:p>
    <w:p w14:paraId="0F3BC03C" w14:textId="4D7DEE75" w:rsidR="00A15D62" w:rsidRDefault="00A15D62" w:rsidP="00A15D62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  <w:r>
        <w:rPr>
          <w:rFonts w:eastAsia="Calibri"/>
        </w:rPr>
        <w:t xml:space="preserve">A prehearing conference was held on June 25, 2019.  Complainants participated along with Tori Giesler, Esquire and Lauren </w:t>
      </w:r>
      <w:proofErr w:type="spellStart"/>
      <w:r>
        <w:rPr>
          <w:rFonts w:eastAsia="Calibri"/>
        </w:rPr>
        <w:t>Lepkoski</w:t>
      </w:r>
      <w:proofErr w:type="spellEnd"/>
      <w:r>
        <w:rPr>
          <w:rFonts w:eastAsia="Calibri"/>
        </w:rPr>
        <w:t xml:space="preserve">, </w:t>
      </w:r>
      <w:r w:rsidR="00613509">
        <w:rPr>
          <w:rFonts w:eastAsia="Calibri"/>
        </w:rPr>
        <w:t>E</w:t>
      </w:r>
      <w:r>
        <w:rPr>
          <w:rFonts w:eastAsia="Calibri"/>
        </w:rPr>
        <w:t xml:space="preserve">squire, counsel for Respondent.  The Parties were permitted to address the Motion filed by Complainants dated April 25, 2019.  Upon conclusion of the prehearing conference, I advised the Parties that an </w:t>
      </w:r>
      <w:r w:rsidR="00613509">
        <w:rPr>
          <w:rFonts w:eastAsia="Calibri"/>
        </w:rPr>
        <w:t>I</w:t>
      </w:r>
      <w:r>
        <w:rPr>
          <w:rFonts w:eastAsia="Calibri"/>
        </w:rPr>
        <w:t xml:space="preserve">nterim </w:t>
      </w:r>
      <w:r w:rsidR="00613509">
        <w:rPr>
          <w:rFonts w:eastAsia="Calibri"/>
        </w:rPr>
        <w:t>O</w:t>
      </w:r>
      <w:r>
        <w:rPr>
          <w:rFonts w:eastAsia="Calibri"/>
        </w:rPr>
        <w:t>rder would be entered denying Complainant’s Motion.</w:t>
      </w:r>
    </w:p>
    <w:p w14:paraId="024A75B3" w14:textId="77777777" w:rsidR="00A15D62" w:rsidRDefault="00A15D62" w:rsidP="00A15D62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</w:p>
    <w:p w14:paraId="7D91F478" w14:textId="15567A15" w:rsidR="00A15D62" w:rsidRDefault="00A15D62" w:rsidP="00A15D62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  <w:r>
        <w:rPr>
          <w:rFonts w:eastAsia="Calibri"/>
        </w:rPr>
        <w:t xml:space="preserve">For </w:t>
      </w:r>
      <w:proofErr w:type="gramStart"/>
      <w:r>
        <w:rPr>
          <w:rFonts w:eastAsia="Calibri"/>
        </w:rPr>
        <w:t>all of</w:t>
      </w:r>
      <w:proofErr w:type="gramEnd"/>
      <w:r>
        <w:rPr>
          <w:rFonts w:eastAsia="Calibri"/>
        </w:rPr>
        <w:t xml:space="preserve"> the reasons set forth at the prehearing conference held on June 25, 2019, the “Motion to </w:t>
      </w:r>
      <w:r w:rsidR="00613509">
        <w:rPr>
          <w:rFonts w:eastAsia="Calibri"/>
        </w:rPr>
        <w:t>F</w:t>
      </w:r>
      <w:r>
        <w:rPr>
          <w:rFonts w:eastAsia="Calibri"/>
        </w:rPr>
        <w:t xml:space="preserve">ind in </w:t>
      </w:r>
      <w:r w:rsidR="00613509">
        <w:rPr>
          <w:rFonts w:eastAsia="Calibri"/>
        </w:rPr>
        <w:t>F</w:t>
      </w:r>
      <w:r>
        <w:rPr>
          <w:rFonts w:eastAsia="Calibri"/>
        </w:rPr>
        <w:t>avor of Complainant</w:t>
      </w:r>
      <w:r w:rsidR="00613509">
        <w:rPr>
          <w:rFonts w:eastAsia="Calibri"/>
        </w:rPr>
        <w:t>s</w:t>
      </w:r>
      <w:r>
        <w:rPr>
          <w:rFonts w:eastAsia="Calibri"/>
        </w:rPr>
        <w:t xml:space="preserve">, Additional Comments </w:t>
      </w:r>
      <w:r w:rsidR="00613509">
        <w:rPr>
          <w:rFonts w:eastAsia="Calibri"/>
        </w:rPr>
        <w:t>R</w:t>
      </w:r>
      <w:r>
        <w:rPr>
          <w:rFonts w:eastAsia="Calibri"/>
        </w:rPr>
        <w:t xml:space="preserve">egarding Clarification Request and Response to West Penn Power Company </w:t>
      </w:r>
      <w:r w:rsidR="00613509">
        <w:rPr>
          <w:rFonts w:eastAsia="Calibri"/>
        </w:rPr>
        <w:t>L</w:t>
      </w:r>
      <w:r>
        <w:rPr>
          <w:rFonts w:eastAsia="Calibri"/>
        </w:rPr>
        <w:t xml:space="preserve">etter </w:t>
      </w:r>
      <w:r w:rsidR="00613509">
        <w:rPr>
          <w:rFonts w:eastAsia="Calibri"/>
        </w:rPr>
        <w:t>D</w:t>
      </w:r>
      <w:r>
        <w:rPr>
          <w:rFonts w:eastAsia="Calibri"/>
        </w:rPr>
        <w:t>ated April 19, 2019” will be denied.</w:t>
      </w:r>
    </w:p>
    <w:p w14:paraId="7C27EDC2" w14:textId="77777777" w:rsidR="00613509" w:rsidRDefault="00613509" w:rsidP="00A15D62">
      <w:pPr>
        <w:pStyle w:val="BodyText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81D7F63" w14:textId="6B5D7A41" w:rsidR="00A15D62" w:rsidRDefault="00A15D62" w:rsidP="00A15D62">
      <w:pPr>
        <w:pStyle w:val="BodyText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3C176A">
        <w:rPr>
          <w:rFonts w:ascii="Times New Roman" w:hAnsi="Times New Roman" w:cs="Times New Roman"/>
          <w:sz w:val="24"/>
          <w:szCs w:val="24"/>
        </w:rPr>
        <w:t xml:space="preserve">Under the circumstances, </w:t>
      </w:r>
      <w:r w:rsidR="00D17A9D">
        <w:rPr>
          <w:rFonts w:ascii="Times New Roman" w:hAnsi="Times New Roman" w:cs="Times New Roman"/>
          <w:sz w:val="24"/>
          <w:szCs w:val="24"/>
        </w:rPr>
        <w:t xml:space="preserve">the following order will be entered.  </w:t>
      </w:r>
      <w:r w:rsidRPr="003C17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ACDE0A" w14:textId="77777777" w:rsidR="00A15D62" w:rsidRDefault="00A15D62" w:rsidP="00A15D62">
      <w:pPr>
        <w:tabs>
          <w:tab w:val="center" w:pos="0"/>
          <w:tab w:val="left" w:pos="720"/>
          <w:tab w:val="left" w:pos="14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Pr="003C176A">
        <w:rPr>
          <w:sz w:val="24"/>
          <w:szCs w:val="24"/>
        </w:rPr>
        <w:tab/>
      </w:r>
    </w:p>
    <w:p w14:paraId="7EE6958B" w14:textId="77777777" w:rsidR="00613509" w:rsidRDefault="00A15D62" w:rsidP="00A15D62">
      <w:pPr>
        <w:tabs>
          <w:tab w:val="center" w:pos="0"/>
          <w:tab w:val="left" w:pos="720"/>
          <w:tab w:val="left" w:pos="14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CF271C" w14:textId="04B0D478" w:rsidR="00A15D62" w:rsidRPr="003C176A" w:rsidRDefault="00613509" w:rsidP="00A15D62">
      <w:pPr>
        <w:tabs>
          <w:tab w:val="center" w:pos="0"/>
          <w:tab w:val="left" w:pos="720"/>
          <w:tab w:val="left" w:pos="14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A15D62" w:rsidRPr="003C176A">
        <w:rPr>
          <w:sz w:val="24"/>
          <w:szCs w:val="24"/>
        </w:rPr>
        <w:t>THEREFORE,</w:t>
      </w:r>
    </w:p>
    <w:p w14:paraId="4E1C3237" w14:textId="77777777" w:rsidR="00A15D62" w:rsidRPr="003C176A" w:rsidRDefault="00A15D62" w:rsidP="00A15D62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14:paraId="2ABF480A" w14:textId="77777777" w:rsidR="00A15D62" w:rsidRPr="003C176A" w:rsidRDefault="00A15D62" w:rsidP="00A15D62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3C176A">
        <w:rPr>
          <w:sz w:val="24"/>
          <w:szCs w:val="24"/>
        </w:rPr>
        <w:t>IT IS ORDERED:</w:t>
      </w:r>
    </w:p>
    <w:p w14:paraId="073B7C3B" w14:textId="77777777" w:rsidR="00A15D62" w:rsidRPr="003C176A" w:rsidRDefault="00A15D62" w:rsidP="00A15D62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14:paraId="101999AF" w14:textId="33D9C8DC" w:rsidR="00BB2416" w:rsidRDefault="00A15D62" w:rsidP="00BB2416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  <w:r w:rsidRPr="003C176A">
        <w:rPr>
          <w:szCs w:val="24"/>
        </w:rPr>
        <w:t xml:space="preserve">That the </w:t>
      </w:r>
      <w:r w:rsidR="00BB2416">
        <w:rPr>
          <w:rFonts w:eastAsia="Calibri"/>
        </w:rPr>
        <w:t xml:space="preserve">“Motion to </w:t>
      </w:r>
      <w:r w:rsidR="00613509">
        <w:rPr>
          <w:rFonts w:eastAsia="Calibri"/>
        </w:rPr>
        <w:t>F</w:t>
      </w:r>
      <w:r w:rsidR="00BB2416">
        <w:rPr>
          <w:rFonts w:eastAsia="Calibri"/>
        </w:rPr>
        <w:t xml:space="preserve">ind in </w:t>
      </w:r>
      <w:r w:rsidR="00613509">
        <w:rPr>
          <w:rFonts w:eastAsia="Calibri"/>
        </w:rPr>
        <w:t>F</w:t>
      </w:r>
      <w:r w:rsidR="00BB2416">
        <w:rPr>
          <w:rFonts w:eastAsia="Calibri"/>
        </w:rPr>
        <w:t xml:space="preserve">avor of Complainant, Additional Comments </w:t>
      </w:r>
      <w:r w:rsidR="00613509">
        <w:rPr>
          <w:rFonts w:eastAsia="Calibri"/>
        </w:rPr>
        <w:t>R</w:t>
      </w:r>
      <w:r w:rsidR="00BB2416">
        <w:rPr>
          <w:rFonts w:eastAsia="Calibri"/>
        </w:rPr>
        <w:t xml:space="preserve">egarding Clarification Request and Response to West Penn Power Company </w:t>
      </w:r>
      <w:r w:rsidR="00613509">
        <w:rPr>
          <w:rFonts w:eastAsia="Calibri"/>
        </w:rPr>
        <w:t>L</w:t>
      </w:r>
      <w:r w:rsidR="00BB2416">
        <w:rPr>
          <w:rFonts w:eastAsia="Calibri"/>
        </w:rPr>
        <w:t xml:space="preserve">etter </w:t>
      </w:r>
      <w:r w:rsidR="00613509">
        <w:rPr>
          <w:rFonts w:eastAsia="Calibri"/>
        </w:rPr>
        <w:t>D</w:t>
      </w:r>
      <w:r w:rsidR="00BB2416">
        <w:rPr>
          <w:rFonts w:eastAsia="Calibri"/>
        </w:rPr>
        <w:t>ated April 19, 2019” is hereby denied.</w:t>
      </w:r>
    </w:p>
    <w:p w14:paraId="735A5CC4" w14:textId="77777777" w:rsidR="00A15D62" w:rsidRPr="003C176A" w:rsidRDefault="00A15D62" w:rsidP="00A15D62">
      <w:pPr>
        <w:pStyle w:val="ListParagraph"/>
        <w:rPr>
          <w:sz w:val="24"/>
          <w:szCs w:val="24"/>
        </w:rPr>
      </w:pPr>
    </w:p>
    <w:p w14:paraId="6CA5CDA7" w14:textId="77777777" w:rsidR="00A15D62" w:rsidRPr="003C176A" w:rsidRDefault="00A15D62" w:rsidP="00A15D62">
      <w:pPr>
        <w:tabs>
          <w:tab w:val="left" w:pos="720"/>
          <w:tab w:val="left" w:pos="1440"/>
          <w:tab w:val="center" w:pos="4320"/>
          <w:tab w:val="right" w:pos="8640"/>
        </w:tabs>
        <w:rPr>
          <w:sz w:val="24"/>
          <w:szCs w:val="24"/>
        </w:rPr>
      </w:pPr>
    </w:p>
    <w:p w14:paraId="2FCF62A6" w14:textId="77777777" w:rsidR="00A15D62" w:rsidRPr="003C176A" w:rsidRDefault="00A15D62" w:rsidP="00A15D62">
      <w:pPr>
        <w:tabs>
          <w:tab w:val="left" w:pos="720"/>
          <w:tab w:val="left" w:pos="1440"/>
          <w:tab w:val="center" w:pos="4320"/>
          <w:tab w:val="right" w:pos="8640"/>
        </w:tabs>
        <w:rPr>
          <w:sz w:val="24"/>
          <w:szCs w:val="24"/>
        </w:rPr>
      </w:pPr>
    </w:p>
    <w:p w14:paraId="4059C13A" w14:textId="0A26FD78" w:rsidR="00613509" w:rsidRPr="00613509" w:rsidRDefault="00613509" w:rsidP="0061350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613509">
        <w:rPr>
          <w:sz w:val="24"/>
          <w:szCs w:val="24"/>
        </w:rPr>
        <w:t xml:space="preserve">Date:  </w:t>
      </w:r>
      <w:r>
        <w:rPr>
          <w:sz w:val="24"/>
          <w:szCs w:val="24"/>
          <w:u w:val="single"/>
        </w:rPr>
        <w:t>June 25</w:t>
      </w:r>
      <w:r w:rsidRPr="00613509">
        <w:rPr>
          <w:sz w:val="24"/>
          <w:szCs w:val="24"/>
          <w:u w:val="single"/>
        </w:rPr>
        <w:t>, 2019</w:t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3509">
        <w:rPr>
          <w:sz w:val="24"/>
          <w:szCs w:val="24"/>
          <w:u w:val="single"/>
        </w:rPr>
        <w:tab/>
      </w:r>
      <w:r w:rsidRPr="00613509">
        <w:rPr>
          <w:sz w:val="24"/>
          <w:szCs w:val="24"/>
          <w:u w:val="single"/>
        </w:rPr>
        <w:tab/>
        <w:t>/s/</w:t>
      </w:r>
      <w:r w:rsidRPr="00613509">
        <w:rPr>
          <w:sz w:val="24"/>
          <w:szCs w:val="24"/>
          <w:u w:val="single"/>
        </w:rPr>
        <w:tab/>
      </w:r>
      <w:r w:rsidRPr="00613509">
        <w:rPr>
          <w:sz w:val="24"/>
          <w:szCs w:val="24"/>
          <w:u w:val="single"/>
        </w:rPr>
        <w:tab/>
      </w:r>
      <w:r w:rsidRPr="00613509">
        <w:rPr>
          <w:sz w:val="24"/>
          <w:szCs w:val="24"/>
          <w:u w:val="single"/>
        </w:rPr>
        <w:tab/>
      </w:r>
    </w:p>
    <w:p w14:paraId="4E56B7B9" w14:textId="77777777" w:rsidR="00613509" w:rsidRPr="00613509" w:rsidRDefault="00613509" w:rsidP="0061350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  <w:t>Jeffrey A. Watson</w:t>
      </w:r>
    </w:p>
    <w:p w14:paraId="6FD30307" w14:textId="77777777" w:rsidR="00613509" w:rsidRPr="00613509" w:rsidRDefault="00613509" w:rsidP="0061350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</w:r>
      <w:r w:rsidRPr="00613509">
        <w:rPr>
          <w:sz w:val="24"/>
          <w:szCs w:val="24"/>
        </w:rPr>
        <w:tab/>
        <w:t>Administrative Law Judge</w:t>
      </w:r>
    </w:p>
    <w:p w14:paraId="45B2242A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0BBF3D9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D90BAFD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96CB058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A33D2C9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B8AB827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F2D799A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22C96CB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3E114E2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2568A1A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05DB106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BB8624A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B757F21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58F3853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CE56FAC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304E1DC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C1AAACE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C266368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38B0B60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3736AD4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54801D4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146157B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1D55571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84E0B66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E682B5B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0E6FF66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E6B9E07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374AB2F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3D01189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B37863C" w14:textId="1DD808A3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C-2018-3002723 - JEANNETTE AND CRAIG PAVLICK v. WEST PENN POWER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D2320">
        <w:rPr>
          <w:rFonts w:ascii="Microsoft Sans Serif" w:eastAsia="Microsoft Sans Serif" w:hAnsi="Microsoft Sans Serif" w:cs="Microsoft Sans Serif"/>
          <w:i/>
          <w:sz w:val="24"/>
        </w:rPr>
        <w:t>Revised 5/2/19</w:t>
      </w:r>
    </w:p>
    <w:p w14:paraId="3C257BD2" w14:textId="77777777" w:rsidR="00613509" w:rsidRDefault="00613509" w:rsidP="006135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*JEANNETTE PAVLICK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7706094"/>
      <w:r w:rsidRPr="00CD2320">
        <w:rPr>
          <w:rFonts w:ascii="Microsoft Sans Serif" w:eastAsia="Microsoft Sans Serif" w:hAnsi="Microsoft Sans Serif" w:cs="Microsoft Sans Serif"/>
          <w:sz w:val="24"/>
        </w:rPr>
        <w:t>CRAIG PAVLICK</w:t>
      </w:r>
    </w:p>
    <w:p w14:paraId="050C00D5" w14:textId="77777777" w:rsidR="00613509" w:rsidRDefault="00613509" w:rsidP="00613509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4200 </w:t>
      </w:r>
      <w:r w:rsidRPr="007D4EE0">
        <w:rPr>
          <w:rFonts w:ascii="Microsoft Sans Serif" w:eastAsia="Microsoft Sans Serif" w:hAnsi="Microsoft Sans Serif" w:cs="Microsoft Sans Serif"/>
          <w:caps/>
          <w:sz w:val="24"/>
        </w:rPr>
        <w:t>Colonial Dr</w:t>
      </w:r>
      <w:r>
        <w:rPr>
          <w:rFonts w:ascii="Microsoft Sans Serif" w:eastAsia="Microsoft Sans Serif" w:hAnsi="Microsoft Sans Serif" w:cs="Microsoft Sans Serif"/>
          <w:sz w:val="24"/>
        </w:rPr>
        <w:cr/>
        <w:t>MURRYSVILLE PA  15668</w:t>
      </w:r>
      <w:bookmarkEnd w:id="1"/>
      <w:r>
        <w:rPr>
          <w:rFonts w:ascii="Microsoft Sans Serif" w:eastAsia="Microsoft Sans Serif" w:hAnsi="Microsoft Sans Serif" w:cs="Microsoft Sans Serif"/>
          <w:sz w:val="24"/>
        </w:rPr>
        <w:cr/>
      </w:r>
      <w:r w:rsidRPr="00C36DAC">
        <w:rPr>
          <w:rFonts w:ascii="Microsoft Sans Serif" w:eastAsia="Microsoft Sans Serif" w:hAnsi="Microsoft Sans Serif" w:cs="Microsoft Sans Serif"/>
          <w:b/>
          <w:sz w:val="24"/>
        </w:rPr>
        <w:t>724.733.1793</w:t>
      </w:r>
      <w:r w:rsidRPr="00C36DAC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*</w:t>
      </w:r>
      <w:r w:rsidRPr="001A506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888A12E" w14:textId="77777777" w:rsidR="00613509" w:rsidRDefault="00613509" w:rsidP="006135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</w:p>
    <w:p w14:paraId="6C9C2538" w14:textId="77777777" w:rsidR="00613509" w:rsidRDefault="00613509" w:rsidP="00613509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D600D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CD600D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36DAC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C36DAC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7471D8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21F22DC5" w14:textId="01CA1379" w:rsidR="00DC28A6" w:rsidRDefault="00090596" w:rsidP="00613509"/>
    <w:sectPr w:rsidR="00DC28A6" w:rsidSect="00AF0D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B516D" w14:textId="77777777" w:rsidR="00090596" w:rsidRDefault="00090596" w:rsidP="00AF0DDC">
      <w:r>
        <w:separator/>
      </w:r>
    </w:p>
  </w:endnote>
  <w:endnote w:type="continuationSeparator" w:id="0">
    <w:p w14:paraId="3D574C91" w14:textId="77777777" w:rsidR="00090596" w:rsidRDefault="00090596" w:rsidP="00AF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596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B86E1" w14:textId="11B5FB45" w:rsidR="00AF0DDC" w:rsidRDefault="00AF0D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7D760" w14:textId="77777777" w:rsidR="00AF0DDC" w:rsidRDefault="00AF0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7C2D3" w14:textId="77777777" w:rsidR="00090596" w:rsidRDefault="00090596" w:rsidP="00AF0DDC">
      <w:r>
        <w:separator/>
      </w:r>
    </w:p>
  </w:footnote>
  <w:footnote w:type="continuationSeparator" w:id="0">
    <w:p w14:paraId="1D830311" w14:textId="77777777" w:rsidR="00090596" w:rsidRDefault="00090596" w:rsidP="00AF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5D62"/>
    <w:rsid w:val="00090596"/>
    <w:rsid w:val="0016056D"/>
    <w:rsid w:val="00613509"/>
    <w:rsid w:val="007B5C79"/>
    <w:rsid w:val="009B01C3"/>
    <w:rsid w:val="00A15D62"/>
    <w:rsid w:val="00AF0DDC"/>
    <w:rsid w:val="00BB2416"/>
    <w:rsid w:val="00BC4FBE"/>
    <w:rsid w:val="00D1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0450"/>
  <w15:chartTrackingRefBased/>
  <w15:docId w15:val="{BBF8B876-BA91-4C95-B1D3-8138065F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D62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A15D62"/>
    <w:pPr>
      <w:numPr>
        <w:numId w:val="1"/>
      </w:numPr>
      <w:spacing w:line="480" w:lineRule="auto"/>
      <w:ind w:left="0" w:firstLine="720"/>
      <w:contextualSpacing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5D6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5D62"/>
  </w:style>
  <w:style w:type="paragraph" w:styleId="Header">
    <w:name w:val="header"/>
    <w:basedOn w:val="Normal"/>
    <w:link w:val="HeaderChar"/>
    <w:uiPriority w:val="99"/>
    <w:unhideWhenUsed/>
    <w:rsid w:val="00AF0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D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0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DD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EC2A7-2FC3-4A81-AA27-956EBC03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3</cp:revision>
  <dcterms:created xsi:type="dcterms:W3CDTF">2019-06-25T16:12:00Z</dcterms:created>
  <dcterms:modified xsi:type="dcterms:W3CDTF">2019-06-25T16:14:00Z</dcterms:modified>
</cp:coreProperties>
</file>