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63B34" w14:textId="77777777" w:rsidR="008A0DB5" w:rsidRPr="001A263F" w:rsidRDefault="008A0DB5" w:rsidP="00BB2A60">
      <w:pPr>
        <w:tabs>
          <w:tab w:val="left" w:pos="360"/>
        </w:tabs>
        <w:spacing w:line="240" w:lineRule="auto"/>
        <w:jc w:val="center"/>
        <w:rPr>
          <w:b/>
        </w:rPr>
      </w:pPr>
      <w:r w:rsidRPr="001A263F">
        <w:rPr>
          <w:b/>
        </w:rPr>
        <w:t>BEFORE THE</w:t>
      </w:r>
    </w:p>
    <w:p w14:paraId="00DA1C80" w14:textId="77777777" w:rsidR="008A0DB5" w:rsidRPr="001A263F" w:rsidRDefault="008A0DB5" w:rsidP="00BB2A60">
      <w:pPr>
        <w:tabs>
          <w:tab w:val="left" w:pos="360"/>
        </w:tabs>
        <w:spacing w:line="240" w:lineRule="auto"/>
        <w:jc w:val="center"/>
        <w:rPr>
          <w:b/>
        </w:rPr>
      </w:pPr>
      <w:r w:rsidRPr="001A263F">
        <w:rPr>
          <w:b/>
        </w:rPr>
        <w:t>PENNSYLVANIA PUBLIC UTILITY COMMISSION</w:t>
      </w:r>
    </w:p>
    <w:p w14:paraId="4A840F79" w14:textId="77777777" w:rsidR="008A0DB5" w:rsidRPr="001A263F" w:rsidRDefault="008A0DB5" w:rsidP="00BB2A60">
      <w:pPr>
        <w:tabs>
          <w:tab w:val="left" w:pos="360"/>
        </w:tabs>
        <w:spacing w:line="240" w:lineRule="auto"/>
        <w:jc w:val="both"/>
        <w:rPr>
          <w:b/>
        </w:rPr>
      </w:pPr>
    </w:p>
    <w:p w14:paraId="47527EE8" w14:textId="77777777" w:rsidR="008A0DB5" w:rsidRPr="001A263F" w:rsidRDefault="008A0DB5" w:rsidP="00BB2A60">
      <w:pPr>
        <w:tabs>
          <w:tab w:val="left" w:pos="360"/>
        </w:tabs>
        <w:spacing w:line="240" w:lineRule="auto"/>
        <w:jc w:val="both"/>
        <w:rPr>
          <w:b/>
        </w:rPr>
      </w:pPr>
    </w:p>
    <w:p w14:paraId="42DB6971" w14:textId="77777777" w:rsidR="008A0DB5" w:rsidRPr="001A263F" w:rsidRDefault="008A0DB5" w:rsidP="00BB2A60">
      <w:pPr>
        <w:tabs>
          <w:tab w:val="left" w:pos="360"/>
        </w:tabs>
        <w:spacing w:line="240" w:lineRule="auto"/>
        <w:jc w:val="both"/>
        <w:rPr>
          <w:b/>
        </w:rPr>
      </w:pPr>
    </w:p>
    <w:p w14:paraId="7668E1C0" w14:textId="77777777" w:rsidR="008A0DB5" w:rsidRPr="001A263F" w:rsidRDefault="008A0DB5" w:rsidP="00BB2A60">
      <w:pPr>
        <w:tabs>
          <w:tab w:val="left" w:pos="360"/>
        </w:tabs>
        <w:spacing w:line="240" w:lineRule="auto"/>
        <w:jc w:val="both"/>
      </w:pPr>
      <w:r>
        <w:t>Bentworth School District</w:t>
      </w:r>
      <w:r w:rsidRPr="001A263F">
        <w:tab/>
      </w:r>
      <w:r w:rsidRPr="001A263F">
        <w:tab/>
      </w:r>
      <w:r w:rsidRPr="001A263F">
        <w:tab/>
      </w:r>
      <w:r w:rsidRPr="001A263F">
        <w:tab/>
        <w:t>:</w:t>
      </w:r>
    </w:p>
    <w:p w14:paraId="30A96A74" w14:textId="77777777" w:rsidR="008A0DB5" w:rsidRPr="001A263F" w:rsidRDefault="008A0DB5" w:rsidP="00BB2A60">
      <w:pPr>
        <w:tabs>
          <w:tab w:val="left" w:pos="360"/>
        </w:tabs>
        <w:spacing w:line="240" w:lineRule="auto"/>
        <w:jc w:val="both"/>
      </w:pPr>
      <w:r w:rsidRPr="001A263F">
        <w:tab/>
      </w:r>
      <w:r w:rsidRPr="001A263F">
        <w:tab/>
      </w:r>
      <w:r w:rsidRPr="001A263F">
        <w:tab/>
      </w:r>
      <w:r w:rsidRPr="001A263F">
        <w:tab/>
      </w:r>
      <w:r w:rsidRPr="001A263F">
        <w:tab/>
      </w:r>
      <w:r w:rsidRPr="001A263F">
        <w:tab/>
      </w:r>
      <w:r w:rsidRPr="001A263F">
        <w:tab/>
      </w:r>
      <w:r w:rsidRPr="001A263F">
        <w:tab/>
        <w:t>:</w:t>
      </w:r>
    </w:p>
    <w:p w14:paraId="6E65A699" w14:textId="77777777" w:rsidR="008A0DB5" w:rsidRPr="001A263F" w:rsidRDefault="008A0DB5" w:rsidP="00BB2A60">
      <w:pPr>
        <w:tabs>
          <w:tab w:val="left" w:pos="360"/>
          <w:tab w:val="left" w:pos="720"/>
        </w:tabs>
        <w:spacing w:line="240" w:lineRule="auto"/>
        <w:jc w:val="both"/>
      </w:pPr>
      <w:r w:rsidRPr="001A263F">
        <w:tab/>
      </w:r>
      <w:r w:rsidRPr="001A263F">
        <w:tab/>
        <w:t>v.</w:t>
      </w:r>
      <w:r w:rsidRPr="001A263F">
        <w:tab/>
      </w:r>
      <w:r w:rsidRPr="001A263F">
        <w:tab/>
      </w:r>
      <w:r w:rsidRPr="001A263F">
        <w:tab/>
      </w:r>
      <w:r w:rsidRPr="001A263F">
        <w:tab/>
      </w:r>
      <w:r w:rsidRPr="001A263F">
        <w:tab/>
      </w:r>
      <w:r w:rsidRPr="001A263F">
        <w:tab/>
        <w:t>:</w:t>
      </w:r>
      <w:r w:rsidRPr="001A263F">
        <w:tab/>
      </w:r>
      <w:r w:rsidRPr="001A263F">
        <w:tab/>
        <w:t>C-</w:t>
      </w:r>
      <w:r>
        <w:t>2019-3010052</w:t>
      </w:r>
    </w:p>
    <w:p w14:paraId="4CB54034" w14:textId="77777777" w:rsidR="008A0DB5" w:rsidRPr="001A263F" w:rsidRDefault="008A0DB5" w:rsidP="00BB2A60">
      <w:pPr>
        <w:tabs>
          <w:tab w:val="left" w:pos="360"/>
        </w:tabs>
        <w:spacing w:line="240" w:lineRule="auto"/>
        <w:jc w:val="both"/>
      </w:pPr>
      <w:r w:rsidRPr="001A263F">
        <w:tab/>
      </w:r>
      <w:r w:rsidRPr="001A263F">
        <w:tab/>
      </w:r>
      <w:r w:rsidRPr="001A263F">
        <w:tab/>
      </w:r>
      <w:r w:rsidRPr="001A263F">
        <w:tab/>
      </w:r>
      <w:r w:rsidRPr="001A263F">
        <w:tab/>
      </w:r>
      <w:r w:rsidRPr="001A263F">
        <w:tab/>
      </w:r>
      <w:r w:rsidRPr="001A263F">
        <w:tab/>
      </w:r>
      <w:r w:rsidRPr="001A263F">
        <w:tab/>
        <w:t>:</w:t>
      </w:r>
    </w:p>
    <w:p w14:paraId="606CF836" w14:textId="77777777" w:rsidR="008A0DB5" w:rsidRPr="001A263F" w:rsidRDefault="008A0DB5" w:rsidP="00BB2A60">
      <w:pPr>
        <w:tabs>
          <w:tab w:val="left" w:pos="360"/>
        </w:tabs>
        <w:spacing w:line="240" w:lineRule="auto"/>
        <w:jc w:val="both"/>
      </w:pPr>
      <w:r>
        <w:t>West Penn Power</w:t>
      </w:r>
      <w:r w:rsidRPr="001A263F">
        <w:t xml:space="preserve"> Company</w:t>
      </w:r>
      <w:r>
        <w:tab/>
      </w:r>
      <w:r w:rsidRPr="001A263F">
        <w:tab/>
      </w:r>
      <w:r w:rsidRPr="001A263F">
        <w:tab/>
      </w:r>
      <w:r w:rsidRPr="001A263F">
        <w:tab/>
        <w:t>:</w:t>
      </w:r>
    </w:p>
    <w:p w14:paraId="4F7B09FB" w14:textId="77777777" w:rsidR="008A0DB5" w:rsidRDefault="008A0DB5" w:rsidP="00BB2A60">
      <w:pPr>
        <w:spacing w:line="240" w:lineRule="auto"/>
      </w:pPr>
    </w:p>
    <w:p w14:paraId="3E3ABE45" w14:textId="77777777" w:rsidR="008A0DB5" w:rsidRDefault="008A0DB5" w:rsidP="00BB2A60">
      <w:pPr>
        <w:spacing w:line="240" w:lineRule="auto"/>
      </w:pPr>
    </w:p>
    <w:p w14:paraId="6EA23FF8" w14:textId="77777777" w:rsidR="008A0DB5" w:rsidRPr="00F9573C" w:rsidRDefault="008A0DB5" w:rsidP="00BB2A60">
      <w:pPr>
        <w:spacing w:line="240" w:lineRule="auto"/>
        <w:jc w:val="center"/>
        <w:rPr>
          <w:b/>
          <w:bCs/>
        </w:rPr>
      </w:pPr>
      <w:r w:rsidRPr="00F9573C">
        <w:rPr>
          <w:b/>
          <w:bCs/>
        </w:rPr>
        <w:t>INTERIM ORDER</w:t>
      </w:r>
    </w:p>
    <w:p w14:paraId="617D044E" w14:textId="77777777" w:rsidR="008A0DB5" w:rsidRPr="0070427E" w:rsidRDefault="008A0DB5" w:rsidP="00BB2A60">
      <w:pPr>
        <w:spacing w:line="240" w:lineRule="auto"/>
        <w:jc w:val="center"/>
        <w:rPr>
          <w:b/>
          <w:bCs/>
          <w:u w:val="single"/>
        </w:rPr>
      </w:pPr>
      <w:r w:rsidRPr="0070427E">
        <w:rPr>
          <w:b/>
          <w:bCs/>
          <w:u w:val="single"/>
        </w:rPr>
        <w:t>DISMISSING PRELIMINARY OBJECTIONS</w:t>
      </w:r>
    </w:p>
    <w:p w14:paraId="141AFDE1" w14:textId="77777777" w:rsidR="008A0DB5" w:rsidRDefault="008A0DB5"/>
    <w:p w14:paraId="6A8A5689" w14:textId="77777777" w:rsidR="00F9573C" w:rsidRDefault="00F9573C">
      <w:r>
        <w:tab/>
      </w:r>
      <w:r>
        <w:tab/>
        <w:t>On May 21, 2019 the Bentworth School District (District) filed a formal complaint against West Penn Power Company, alleging reliability and customer service issues.  West Penn Power filed an answer and new matter on June 10, 2019, which denied the material allegations of the complaint.</w:t>
      </w:r>
    </w:p>
    <w:p w14:paraId="5826AFA4" w14:textId="77777777" w:rsidR="002D7554" w:rsidRDefault="002D7554"/>
    <w:p w14:paraId="5F2D19AB" w14:textId="77777777" w:rsidR="002D7554" w:rsidRDefault="002D7554">
      <w:r>
        <w:tab/>
      </w:r>
      <w:r>
        <w:tab/>
        <w:t>West Penn Power also filed preliminary objections on June 10, 2019.  West Penn Power seeks to strike statements in the District’s complaint regarding damages as “impertinent matter” because the Commission lacks jurisdiction to grant monetary damages.  The District filed a response to the preliminary objections on June 19, 2019.</w:t>
      </w:r>
    </w:p>
    <w:p w14:paraId="603E8EF5" w14:textId="77777777" w:rsidR="002D7554" w:rsidRDefault="002D7554"/>
    <w:p w14:paraId="5AFF450A" w14:textId="77777777" w:rsidR="002D7554" w:rsidRDefault="002D7554">
      <w:r>
        <w:tab/>
      </w:r>
      <w:r>
        <w:tab/>
        <w:t>By notice dated June 24, 2019, the preliminary objections were assigned to me as a motion judge.  As set forth more fully below, the preliminary objections will be dismissed.</w:t>
      </w:r>
    </w:p>
    <w:p w14:paraId="0E086A07" w14:textId="77777777" w:rsidR="002D7554" w:rsidRDefault="002D7554"/>
    <w:p w14:paraId="73D83667" w14:textId="77777777" w:rsidR="002D7554" w:rsidRDefault="002D7554" w:rsidP="002D7554">
      <w:r>
        <w:tab/>
      </w:r>
      <w:r>
        <w:tab/>
      </w:r>
      <w:r w:rsidRPr="008F71D0">
        <w:t xml:space="preserve">The grounds for preliminary objection are limited: </w:t>
      </w:r>
    </w:p>
    <w:p w14:paraId="48ABFF89" w14:textId="77777777" w:rsidR="002D7554" w:rsidRPr="008F71D0" w:rsidRDefault="002D7554" w:rsidP="002D7554"/>
    <w:p w14:paraId="0976F6D3" w14:textId="77777777" w:rsidR="002D7554" w:rsidRDefault="002D7554" w:rsidP="00980F2F">
      <w:pPr>
        <w:spacing w:line="240" w:lineRule="auto"/>
        <w:ind w:left="2160" w:right="1440"/>
        <w:rPr>
          <w:iCs/>
        </w:rPr>
      </w:pPr>
      <w:r w:rsidRPr="008F71D0">
        <w:rPr>
          <w:iCs/>
        </w:rPr>
        <w:t>(1)</w:t>
      </w:r>
      <w:r w:rsidRPr="008F71D0">
        <w:rPr>
          <w:iCs/>
        </w:rPr>
        <w:tab/>
        <w:t>Lack of Commission jurisdiction or improper service of the pleading initiating the proceeding.</w:t>
      </w:r>
    </w:p>
    <w:p w14:paraId="33E7BE24" w14:textId="77777777" w:rsidR="002D7554" w:rsidRPr="008F71D0" w:rsidRDefault="002D7554" w:rsidP="00980F2F">
      <w:pPr>
        <w:spacing w:line="240" w:lineRule="auto"/>
        <w:ind w:left="2160" w:right="1440"/>
        <w:rPr>
          <w:iCs/>
        </w:rPr>
      </w:pPr>
    </w:p>
    <w:p w14:paraId="5C763B7A" w14:textId="77777777" w:rsidR="002D7554" w:rsidRDefault="002D7554" w:rsidP="00980F2F">
      <w:pPr>
        <w:spacing w:line="240" w:lineRule="auto"/>
        <w:ind w:left="2160" w:right="1440"/>
        <w:rPr>
          <w:iCs/>
        </w:rPr>
      </w:pPr>
      <w:r w:rsidRPr="008F71D0">
        <w:rPr>
          <w:iCs/>
        </w:rPr>
        <w:t>(2)</w:t>
      </w:r>
      <w:r w:rsidRPr="008F71D0">
        <w:rPr>
          <w:iCs/>
        </w:rPr>
        <w:tab/>
        <w:t>Failure of a pleading to conform to this chapter or the inclusion of scandalous or impertinent matter.</w:t>
      </w:r>
    </w:p>
    <w:p w14:paraId="3ED48D57" w14:textId="77777777" w:rsidR="002D7554" w:rsidRPr="008F71D0" w:rsidRDefault="002D7554" w:rsidP="00980F2F">
      <w:pPr>
        <w:spacing w:line="240" w:lineRule="auto"/>
        <w:ind w:left="2160" w:right="1440"/>
        <w:rPr>
          <w:iCs/>
        </w:rPr>
      </w:pPr>
    </w:p>
    <w:p w14:paraId="7B3F0A29" w14:textId="77777777" w:rsidR="002D7554" w:rsidRDefault="002D7554" w:rsidP="00980F2F">
      <w:pPr>
        <w:spacing w:line="240" w:lineRule="auto"/>
        <w:ind w:left="2160" w:right="1440"/>
        <w:rPr>
          <w:iCs/>
        </w:rPr>
      </w:pPr>
      <w:r w:rsidRPr="008F71D0">
        <w:rPr>
          <w:iCs/>
        </w:rPr>
        <w:t>(3)</w:t>
      </w:r>
      <w:r w:rsidRPr="008F71D0">
        <w:rPr>
          <w:iCs/>
        </w:rPr>
        <w:tab/>
        <w:t>Insufficient specificity of a pleading.</w:t>
      </w:r>
    </w:p>
    <w:p w14:paraId="3C75B2A4" w14:textId="77777777" w:rsidR="002D7554" w:rsidRPr="008F71D0" w:rsidRDefault="002D7554" w:rsidP="00980F2F">
      <w:pPr>
        <w:spacing w:line="240" w:lineRule="auto"/>
        <w:ind w:left="2160" w:right="1440"/>
        <w:rPr>
          <w:iCs/>
        </w:rPr>
      </w:pPr>
    </w:p>
    <w:p w14:paraId="0A531F37" w14:textId="77777777" w:rsidR="002D7554" w:rsidRDefault="002D7554" w:rsidP="00980F2F">
      <w:pPr>
        <w:spacing w:line="240" w:lineRule="auto"/>
        <w:ind w:left="2160" w:right="1440"/>
        <w:rPr>
          <w:iCs/>
        </w:rPr>
      </w:pPr>
      <w:r w:rsidRPr="008F71D0">
        <w:rPr>
          <w:iCs/>
        </w:rPr>
        <w:lastRenderedPageBreak/>
        <w:t>(4)</w:t>
      </w:r>
      <w:r w:rsidRPr="008F71D0">
        <w:rPr>
          <w:iCs/>
        </w:rPr>
        <w:tab/>
        <w:t>Legal insufficiency of a pleading.</w:t>
      </w:r>
    </w:p>
    <w:p w14:paraId="31E12818" w14:textId="77777777" w:rsidR="002D7554" w:rsidRPr="008F71D0" w:rsidRDefault="002D7554" w:rsidP="00980F2F">
      <w:pPr>
        <w:spacing w:line="240" w:lineRule="auto"/>
        <w:ind w:left="2160" w:right="1440"/>
        <w:rPr>
          <w:iCs/>
        </w:rPr>
      </w:pPr>
    </w:p>
    <w:p w14:paraId="25CBF384" w14:textId="77777777" w:rsidR="002D7554" w:rsidRDefault="002D7554" w:rsidP="00980F2F">
      <w:pPr>
        <w:spacing w:line="240" w:lineRule="auto"/>
        <w:ind w:left="2160" w:right="1440"/>
        <w:rPr>
          <w:iCs/>
        </w:rPr>
      </w:pPr>
      <w:r w:rsidRPr="008F71D0">
        <w:rPr>
          <w:iCs/>
        </w:rPr>
        <w:t>(5)</w:t>
      </w:r>
      <w:r w:rsidRPr="008F71D0">
        <w:rPr>
          <w:iCs/>
        </w:rPr>
        <w:tab/>
        <w:t>Lack of capacity to sue, nonjoinder of a necessary party or misjoinder of a cause of action.</w:t>
      </w:r>
    </w:p>
    <w:p w14:paraId="1C49DDC8" w14:textId="77777777" w:rsidR="002D7554" w:rsidRPr="008F71D0" w:rsidRDefault="002D7554" w:rsidP="00980F2F">
      <w:pPr>
        <w:spacing w:line="240" w:lineRule="auto"/>
        <w:ind w:left="2160" w:right="1440"/>
        <w:rPr>
          <w:iCs/>
        </w:rPr>
      </w:pPr>
    </w:p>
    <w:p w14:paraId="58CDF86D" w14:textId="77777777" w:rsidR="002D7554" w:rsidRDefault="002D7554" w:rsidP="00980F2F">
      <w:pPr>
        <w:spacing w:line="240" w:lineRule="auto"/>
        <w:ind w:left="2160" w:right="1440"/>
        <w:rPr>
          <w:iCs/>
        </w:rPr>
      </w:pPr>
      <w:r w:rsidRPr="008F71D0">
        <w:rPr>
          <w:iCs/>
        </w:rPr>
        <w:t>(6)</w:t>
      </w:r>
      <w:r w:rsidRPr="008F71D0">
        <w:rPr>
          <w:iCs/>
        </w:rPr>
        <w:tab/>
        <w:t>Pendency of a prior proceeding or agreement for alternative dispute resolution.</w:t>
      </w:r>
    </w:p>
    <w:p w14:paraId="70C06555" w14:textId="77777777" w:rsidR="002D7554" w:rsidRPr="008F71D0" w:rsidRDefault="002D7554" w:rsidP="00980F2F">
      <w:pPr>
        <w:spacing w:line="240" w:lineRule="auto"/>
        <w:ind w:left="2160" w:right="1440"/>
        <w:rPr>
          <w:iCs/>
        </w:rPr>
      </w:pPr>
    </w:p>
    <w:p w14:paraId="1FFC51C3" w14:textId="77777777" w:rsidR="002D7554" w:rsidRDefault="002D7554" w:rsidP="00980F2F">
      <w:pPr>
        <w:spacing w:line="240" w:lineRule="auto"/>
        <w:ind w:left="2160" w:right="1440"/>
      </w:pPr>
      <w:r w:rsidRPr="008F71D0">
        <w:t xml:space="preserve">(7) </w:t>
      </w:r>
      <w:r w:rsidRPr="008F71D0">
        <w:tab/>
        <w:t>Standing of a party to participate in the proceeding.</w:t>
      </w:r>
      <w:r>
        <w:rPr>
          <w:rStyle w:val="FootnoteReference"/>
        </w:rPr>
        <w:footnoteReference w:id="1"/>
      </w:r>
    </w:p>
    <w:p w14:paraId="2DD95E43" w14:textId="77777777" w:rsidR="002D7554" w:rsidRPr="008F71D0" w:rsidRDefault="002D7554" w:rsidP="002D7554">
      <w:pPr>
        <w:ind w:left="1440" w:right="1440"/>
      </w:pPr>
    </w:p>
    <w:p w14:paraId="07020191" w14:textId="77777777" w:rsidR="002D7554" w:rsidRDefault="002D7554" w:rsidP="002D7554">
      <w:r>
        <w:tab/>
      </w:r>
      <w:r>
        <w:tab/>
      </w:r>
      <w:r w:rsidRPr="008F71D0">
        <w:t>Preliminary objection practice before the Commission is similar to Pennsylvania civil practice respecting preliminary objections.</w:t>
      </w:r>
      <w:r w:rsidRPr="008F71D0">
        <w:rPr>
          <w:vertAlign w:val="superscript"/>
        </w:rPr>
        <w:footnoteReference w:id="2"/>
      </w:r>
      <w:r w:rsidRPr="008F71D0">
        <w:t xml:space="preserve">  In deciding the preliminary objections, the Commission must determine whether, based on well-pleaded factual averments of the petitioners, recovery or relief is possible.</w:t>
      </w:r>
      <w:r w:rsidRPr="008F71D0">
        <w:rPr>
          <w:vertAlign w:val="superscript"/>
        </w:rPr>
        <w:footnoteReference w:id="3"/>
      </w:r>
      <w:r w:rsidRPr="008F71D0">
        <w:t xml:space="preserve">  Any doubt must be resolved in favor of the non-moving party by refusing to sustain the preliminary objections.</w:t>
      </w:r>
      <w:r w:rsidRPr="008F71D0">
        <w:rPr>
          <w:vertAlign w:val="superscript"/>
        </w:rPr>
        <w:footnoteReference w:id="4"/>
      </w:r>
      <w:r w:rsidRPr="008F71D0">
        <w:t xml:space="preserve">  All of the non-moving party’s averments in the complaint must be viewed as true for purposes of deciding the preliminary objections.</w:t>
      </w:r>
      <w:r w:rsidRPr="008F71D0">
        <w:rPr>
          <w:vertAlign w:val="superscript"/>
        </w:rPr>
        <w:footnoteReference w:id="5"/>
      </w:r>
      <w:r w:rsidRPr="008F71D0">
        <w:t xml:space="preserve">  Only those facts specifically admitted may be considered against the non-moving party.</w:t>
      </w:r>
      <w:r w:rsidRPr="008F71D0">
        <w:rPr>
          <w:vertAlign w:val="superscript"/>
        </w:rPr>
        <w:footnoteReference w:id="6"/>
      </w:r>
      <w:r>
        <w:t xml:space="preserve"> </w:t>
      </w:r>
      <w:r w:rsidRPr="008F71D0">
        <w:t xml:space="preserve"> A preliminary objection which seeks dismissal of a pleading will only be granted where relief is clearly warranted and free from doubt.</w:t>
      </w:r>
      <w:r w:rsidRPr="008F71D0">
        <w:rPr>
          <w:vertAlign w:val="superscript"/>
        </w:rPr>
        <w:footnoteReference w:id="7"/>
      </w:r>
    </w:p>
    <w:p w14:paraId="7302C741" w14:textId="77777777" w:rsidR="00BC5D82" w:rsidRDefault="00BC5D82" w:rsidP="002D7554"/>
    <w:p w14:paraId="4CA2EF90" w14:textId="77777777" w:rsidR="002D7554" w:rsidRDefault="002D7554" w:rsidP="002D7554">
      <w:r>
        <w:lastRenderedPageBreak/>
        <w:tab/>
      </w:r>
      <w:r>
        <w:tab/>
        <w:t>West Penn Power seeks to strike statements made by the District regarding the financial loss that the District alleges that it has suffered, which it attributes to West Penn’s failure to provide reasonable and reliable utility service.  In West Penn’s view, these allegations are a prayer for relief.  West Penn points out that the Commission does not have jurisdiction to award damages, therefore these allegations are irrelevant and should be stricken as impertinent matter.</w:t>
      </w:r>
    </w:p>
    <w:p w14:paraId="21CD5755" w14:textId="77777777" w:rsidR="002D7554" w:rsidRDefault="002D7554" w:rsidP="002D7554"/>
    <w:p w14:paraId="5D9C208F" w14:textId="77777777" w:rsidR="002D7554" w:rsidRDefault="002D7554" w:rsidP="002D7554">
      <w:r>
        <w:tab/>
      </w:r>
      <w:r>
        <w:tab/>
        <w:t>The District in response disputes West Penn’s characterization of the allegations as a prayer for relief.  The District concedes that the courts of common pleas retain original jurisdiction over suits for money damages.  However, the District contends that the recitation of damages in the complaint is relevant to the reliability, safety and service issues raised in the complaint.</w:t>
      </w:r>
    </w:p>
    <w:p w14:paraId="4999EF22" w14:textId="77777777" w:rsidR="002D7554" w:rsidRDefault="002D7554" w:rsidP="002D7554"/>
    <w:p w14:paraId="3177B562" w14:textId="163CF55B" w:rsidR="006C08D6" w:rsidRDefault="002D7554" w:rsidP="002D7554">
      <w:r>
        <w:tab/>
      </w:r>
      <w:r>
        <w:tab/>
      </w:r>
      <w:r w:rsidR="006C08D6" w:rsidRPr="00C632F5">
        <w:t xml:space="preserve">To be scandalous and </w:t>
      </w:r>
      <w:r w:rsidR="006C08D6" w:rsidRPr="00C632F5">
        <w:rPr>
          <w:shd w:val="clear" w:color="auto" w:fill="FFFFFF"/>
        </w:rPr>
        <w:t>impertinent</w:t>
      </w:r>
      <w:r w:rsidR="006C08D6" w:rsidRPr="00C632F5">
        <w:t>, the allegations must be immaterial and inappropriate to the proof of the cause of action</w:t>
      </w:r>
      <w:r w:rsidR="006C08D6">
        <w:t>.</w:t>
      </w:r>
      <w:r w:rsidR="006C08D6">
        <w:rPr>
          <w:rStyle w:val="FootnoteReference"/>
        </w:rPr>
        <w:footnoteReference w:id="8"/>
      </w:r>
      <w:r w:rsidR="006C08D6">
        <w:t xml:space="preserve">  Although some courts, and Commission administrative law judges,</w:t>
      </w:r>
      <w:r w:rsidR="006C08D6">
        <w:rPr>
          <w:rStyle w:val="FootnoteReference"/>
        </w:rPr>
        <w:footnoteReference w:id="9"/>
      </w:r>
      <w:r w:rsidR="006C08D6">
        <w:t xml:space="preserve"> have stricken requests for damages as impertinent, the Commonwealth Court has cautioned that the right of a tribunal to strike impe</w:t>
      </w:r>
      <w:bookmarkStart w:id="0" w:name="_GoBack"/>
      <w:bookmarkEnd w:id="0"/>
      <w:r w:rsidR="006C08D6">
        <w:t>rtinent matter should be sparingly exercised and only w</w:t>
      </w:r>
      <w:r w:rsidR="00440E22">
        <w:t>hen</w:t>
      </w:r>
      <w:r w:rsidR="006C08D6">
        <w:t xml:space="preserve"> a party can affirmatively show prejudice.</w:t>
      </w:r>
      <w:r w:rsidR="006C08D6">
        <w:rPr>
          <w:rStyle w:val="FootnoteReference"/>
        </w:rPr>
        <w:footnoteReference w:id="10"/>
      </w:r>
      <w:r w:rsidR="006C08D6">
        <w:t xml:space="preserve">  </w:t>
      </w:r>
    </w:p>
    <w:p w14:paraId="587635C2" w14:textId="77777777" w:rsidR="006C08D6" w:rsidRDefault="006C08D6" w:rsidP="002D7554"/>
    <w:p w14:paraId="49F9466B" w14:textId="51B50C5E" w:rsidR="002D7554" w:rsidRDefault="006C08D6" w:rsidP="002D7554">
      <w:r>
        <w:tab/>
      </w:r>
      <w:r>
        <w:tab/>
        <w:t xml:space="preserve">In this case, the recitation of damages in the complaint is not prejudicial to West Penn Power.  In view of the District’s acknowledgement that the Commission cannot award damages, there is little likelihood of confusion by the parties or the presiding officer should this matter proceed to hearing.  </w:t>
      </w:r>
      <w:r w:rsidR="00BB2A60">
        <w:t>Therefore,</w:t>
      </w:r>
      <w:r>
        <w:t xml:space="preserve"> there is no need to strike the material and West Penn’s preliminary objection will be dismissed.</w:t>
      </w:r>
    </w:p>
    <w:p w14:paraId="7B0F42C5" w14:textId="77777777" w:rsidR="006C08D6" w:rsidRDefault="006C08D6" w:rsidP="002D7554"/>
    <w:p w14:paraId="13817FD9" w14:textId="77777777" w:rsidR="006C08D6" w:rsidRDefault="006C08D6" w:rsidP="006C08D6">
      <w:pPr>
        <w:rPr>
          <w:spacing w:val="-3"/>
          <w:szCs w:val="24"/>
        </w:rPr>
      </w:pPr>
      <w:r>
        <w:rPr>
          <w:szCs w:val="24"/>
        </w:rPr>
        <w:lastRenderedPageBreak/>
        <w:tab/>
      </w:r>
      <w:r>
        <w:rPr>
          <w:szCs w:val="24"/>
        </w:rPr>
        <w:tab/>
      </w:r>
      <w:r w:rsidRPr="007E6AB2">
        <w:rPr>
          <w:spacing w:val="-3"/>
          <w:szCs w:val="24"/>
        </w:rPr>
        <w:t>It is the policy of the Commission to encourage settlements.  52 Pa.Code § 5.231.  Also, it is Commission policy to encourage mediation during which the parties may attempt to resolve the case with the aid of a mediator.  52 Pa.Code §§ 69.391– 69.397.  The mediator, a neutral staff member within the Mediation Unit of the Commission’s Office of Administrative Law Judge, does not give advice, represent any party, evaluate or make a decision.  Instead, the mediator assists the parties in their efforts to come to an agreement thereby avoiding the time, expense and uncertainty of litigation.</w:t>
      </w:r>
      <w:r>
        <w:rPr>
          <w:spacing w:val="-3"/>
          <w:szCs w:val="24"/>
        </w:rPr>
        <w:t xml:space="preserve">  Mediation is an informal process where the parties can discuss a full range of settlement options beyond those which can be ordered by the Commission in the formal adjudication process.</w:t>
      </w:r>
    </w:p>
    <w:p w14:paraId="6A125A1B" w14:textId="77777777" w:rsidR="006C08D6" w:rsidRDefault="006C08D6" w:rsidP="006C08D6">
      <w:pPr>
        <w:rPr>
          <w:spacing w:val="-3"/>
          <w:szCs w:val="24"/>
        </w:rPr>
      </w:pPr>
    </w:p>
    <w:p w14:paraId="5D17B970" w14:textId="77777777" w:rsidR="006C08D6" w:rsidRDefault="006C08D6" w:rsidP="006C08D6">
      <w:pPr>
        <w:rPr>
          <w:spacing w:val="-3"/>
          <w:szCs w:val="24"/>
        </w:rPr>
      </w:pPr>
      <w:r>
        <w:rPr>
          <w:spacing w:val="-3"/>
          <w:szCs w:val="24"/>
        </w:rPr>
        <w:tab/>
      </w:r>
      <w:r>
        <w:rPr>
          <w:spacing w:val="-3"/>
          <w:szCs w:val="24"/>
        </w:rPr>
        <w:tab/>
        <w:t xml:space="preserve">West Penn Power has requested mediation review of this complaint in an effort to resolve the dispute informally. </w:t>
      </w:r>
      <w:r w:rsidR="00F359D0">
        <w:rPr>
          <w:spacing w:val="-3"/>
          <w:szCs w:val="24"/>
        </w:rPr>
        <w:t xml:space="preserve"> Although the District has not responded to West Penn’s request for mediation,</w:t>
      </w:r>
      <w:r>
        <w:rPr>
          <w:spacing w:val="-3"/>
          <w:szCs w:val="24"/>
        </w:rPr>
        <w:t xml:space="preserve"> I agree that this case may be appropriate for mediation.  Accordingly, the case will be referred to the Commission’s Mediation Unit for mediation review.  </w:t>
      </w:r>
    </w:p>
    <w:p w14:paraId="7231F2A6" w14:textId="77777777" w:rsidR="006C08D6" w:rsidRDefault="006C08D6" w:rsidP="006C08D6">
      <w:pPr>
        <w:rPr>
          <w:szCs w:val="24"/>
          <w:u w:val="single"/>
        </w:rPr>
      </w:pPr>
    </w:p>
    <w:p w14:paraId="0136B8E7" w14:textId="77777777" w:rsidR="006C08D6" w:rsidRDefault="006C08D6" w:rsidP="006C08D6">
      <w:pPr>
        <w:ind w:left="720" w:firstLine="720"/>
      </w:pPr>
      <w:r>
        <w:t>THEREFORE,</w:t>
      </w:r>
    </w:p>
    <w:p w14:paraId="2B602D4B" w14:textId="77777777" w:rsidR="006C08D6" w:rsidRDefault="006C08D6" w:rsidP="006C08D6"/>
    <w:p w14:paraId="23B652A4" w14:textId="77777777" w:rsidR="006C08D6" w:rsidRDefault="006C08D6" w:rsidP="006C08D6">
      <w:r>
        <w:tab/>
      </w:r>
      <w:r>
        <w:tab/>
        <w:t>IT IS ORDERED:</w:t>
      </w:r>
    </w:p>
    <w:p w14:paraId="248D2BFE" w14:textId="77777777" w:rsidR="006C08D6" w:rsidRDefault="006C08D6" w:rsidP="006C08D6"/>
    <w:p w14:paraId="56DD7944" w14:textId="77777777" w:rsidR="006C08D6" w:rsidRDefault="006C08D6" w:rsidP="006C08D6">
      <w:r>
        <w:tab/>
      </w:r>
      <w:r>
        <w:tab/>
        <w:t>1.</w:t>
      </w:r>
      <w:r>
        <w:tab/>
        <w:t>That the preliminary objections of West Penn Power Company are dismissed.</w:t>
      </w:r>
    </w:p>
    <w:p w14:paraId="0981FA90" w14:textId="77777777" w:rsidR="006C08D6" w:rsidRDefault="006C08D6" w:rsidP="006C08D6"/>
    <w:p w14:paraId="5A7621CE" w14:textId="77777777" w:rsidR="006C08D6" w:rsidRPr="00D921AE" w:rsidRDefault="006C08D6" w:rsidP="006C08D6">
      <w:pPr>
        <w:rPr>
          <w:spacing w:val="-3"/>
          <w:szCs w:val="24"/>
        </w:rPr>
      </w:pPr>
      <w:r>
        <w:tab/>
      </w:r>
      <w:r>
        <w:tab/>
        <w:t>2.</w:t>
      </w:r>
      <w:r>
        <w:tab/>
      </w:r>
      <w:r w:rsidRPr="00D921AE">
        <w:rPr>
          <w:spacing w:val="-3"/>
          <w:szCs w:val="24"/>
        </w:rPr>
        <w:t xml:space="preserve">That the </w:t>
      </w:r>
      <w:r>
        <w:rPr>
          <w:spacing w:val="-3"/>
          <w:szCs w:val="24"/>
        </w:rPr>
        <w:t xml:space="preserve">case </w:t>
      </w:r>
      <w:r w:rsidRPr="00D921AE">
        <w:rPr>
          <w:spacing w:val="-3"/>
          <w:szCs w:val="24"/>
        </w:rPr>
        <w:t>be and is hereby referred to the Commission’s Mediation Unit.</w:t>
      </w:r>
    </w:p>
    <w:p w14:paraId="00FBBE39" w14:textId="77777777" w:rsidR="006C08D6" w:rsidRPr="00D921AE" w:rsidRDefault="006C08D6" w:rsidP="006C08D6">
      <w:pPr>
        <w:ind w:firstLine="1440"/>
        <w:rPr>
          <w:spacing w:val="-3"/>
          <w:szCs w:val="24"/>
        </w:rPr>
      </w:pPr>
    </w:p>
    <w:p w14:paraId="54BD30C7" w14:textId="77777777" w:rsidR="006C08D6" w:rsidRDefault="006C08D6" w:rsidP="00DE2224">
      <w:pPr>
        <w:tabs>
          <w:tab w:val="left" w:pos="1440"/>
          <w:tab w:val="left" w:pos="2160"/>
          <w:tab w:val="left" w:pos="2880"/>
        </w:tabs>
        <w:rPr>
          <w:spacing w:val="-3"/>
          <w:szCs w:val="24"/>
        </w:rPr>
      </w:pPr>
      <w:r w:rsidRPr="00D921AE">
        <w:rPr>
          <w:spacing w:val="-3"/>
          <w:szCs w:val="24"/>
        </w:rPr>
        <w:tab/>
      </w:r>
      <w:r>
        <w:rPr>
          <w:spacing w:val="-3"/>
          <w:szCs w:val="24"/>
        </w:rPr>
        <w:t>3</w:t>
      </w:r>
      <w:r w:rsidRPr="00D921AE">
        <w:rPr>
          <w:spacing w:val="-3"/>
          <w:szCs w:val="24"/>
        </w:rPr>
        <w:t>.</w:t>
      </w:r>
      <w:r w:rsidRPr="00D921AE">
        <w:rPr>
          <w:spacing w:val="-3"/>
          <w:szCs w:val="24"/>
        </w:rPr>
        <w:tab/>
      </w:r>
      <w:r>
        <w:rPr>
          <w:spacing w:val="-3"/>
          <w:szCs w:val="24"/>
        </w:rPr>
        <w:t>That i</w:t>
      </w:r>
      <w:r w:rsidRPr="00D921AE">
        <w:rPr>
          <w:spacing w:val="-3"/>
          <w:szCs w:val="24"/>
        </w:rPr>
        <w:t xml:space="preserve">n the event the parties are unable to resolve this matter with the assistance of the mediator, the case shall be </w:t>
      </w:r>
      <w:r>
        <w:rPr>
          <w:spacing w:val="-3"/>
          <w:szCs w:val="24"/>
        </w:rPr>
        <w:t>scheduled for a formal hearing before the undersigned presiding officer.</w:t>
      </w:r>
    </w:p>
    <w:p w14:paraId="7905123D" w14:textId="77777777" w:rsidR="006C08D6" w:rsidRDefault="006C08D6" w:rsidP="006C08D6">
      <w:pPr>
        <w:tabs>
          <w:tab w:val="left" w:pos="1440"/>
          <w:tab w:val="left" w:pos="2160"/>
          <w:tab w:val="left" w:pos="2880"/>
        </w:tabs>
        <w:jc w:val="both"/>
        <w:rPr>
          <w:spacing w:val="-3"/>
          <w:szCs w:val="24"/>
        </w:rPr>
      </w:pPr>
    </w:p>
    <w:p w14:paraId="5299B28F" w14:textId="77777777" w:rsidR="006C08D6" w:rsidRDefault="006C08D6" w:rsidP="006C08D6">
      <w:pPr>
        <w:tabs>
          <w:tab w:val="left" w:pos="1440"/>
          <w:tab w:val="left" w:pos="2160"/>
          <w:tab w:val="left" w:pos="2880"/>
        </w:tabs>
        <w:jc w:val="both"/>
        <w:rPr>
          <w:spacing w:val="-3"/>
          <w:szCs w:val="24"/>
        </w:rPr>
      </w:pPr>
    </w:p>
    <w:p w14:paraId="6D63F04A" w14:textId="5424BF09" w:rsidR="006C08D6" w:rsidRPr="00D934FB" w:rsidRDefault="006C08D6" w:rsidP="006C08D6">
      <w:pPr>
        <w:spacing w:line="240" w:lineRule="auto"/>
        <w:rPr>
          <w:rFonts w:eastAsia="Times New Roman"/>
          <w:szCs w:val="24"/>
        </w:rPr>
      </w:pPr>
      <w:r w:rsidRPr="00D934FB">
        <w:rPr>
          <w:rFonts w:eastAsia="Times New Roman"/>
          <w:szCs w:val="24"/>
        </w:rPr>
        <w:t xml:space="preserve">Date:  </w:t>
      </w:r>
      <w:r w:rsidR="00BB2A60">
        <w:rPr>
          <w:rFonts w:eastAsia="Times New Roman"/>
          <w:szCs w:val="24"/>
          <w:u w:val="single"/>
        </w:rPr>
        <w:t>June 25, 2019</w:t>
      </w:r>
      <w:r w:rsidR="00BB2A60">
        <w:rPr>
          <w:rFonts w:eastAsia="Times New Roman"/>
          <w:szCs w:val="24"/>
        </w:rPr>
        <w:tab/>
      </w:r>
      <w:r w:rsidRPr="00D934FB">
        <w:rPr>
          <w:rFonts w:eastAsia="Times New Roman"/>
          <w:szCs w:val="24"/>
        </w:rPr>
        <w:tab/>
      </w:r>
      <w:r>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u w:val="single"/>
        </w:rPr>
        <w:tab/>
      </w:r>
      <w:r w:rsidRPr="00D934FB">
        <w:rPr>
          <w:rFonts w:eastAsia="Times New Roman"/>
          <w:szCs w:val="24"/>
          <w:u w:val="single"/>
        </w:rPr>
        <w:tab/>
        <w:t>/s/</w:t>
      </w:r>
      <w:r w:rsidRPr="00D934FB">
        <w:rPr>
          <w:rFonts w:eastAsia="Times New Roman"/>
          <w:szCs w:val="24"/>
          <w:u w:val="single"/>
        </w:rPr>
        <w:tab/>
      </w:r>
      <w:r w:rsidRPr="00D934FB">
        <w:rPr>
          <w:rFonts w:eastAsia="Times New Roman"/>
          <w:szCs w:val="24"/>
          <w:u w:val="single"/>
        </w:rPr>
        <w:tab/>
      </w:r>
      <w:r w:rsidRPr="00D934FB">
        <w:rPr>
          <w:rFonts w:eastAsia="Times New Roman"/>
          <w:szCs w:val="24"/>
          <w:u w:val="single"/>
        </w:rPr>
        <w:tab/>
      </w:r>
      <w:r w:rsidRPr="00D934FB">
        <w:rPr>
          <w:rFonts w:eastAsia="Times New Roman"/>
          <w:szCs w:val="24"/>
          <w:u w:val="single"/>
        </w:rPr>
        <w:tab/>
      </w:r>
    </w:p>
    <w:p w14:paraId="2E0626A5" w14:textId="77777777" w:rsidR="006C08D6" w:rsidRPr="00D934FB" w:rsidRDefault="006C08D6" w:rsidP="006C08D6">
      <w:pPr>
        <w:spacing w:line="240" w:lineRule="auto"/>
        <w:rPr>
          <w:rFonts w:eastAsia="Times New Roman"/>
          <w:szCs w:val="24"/>
        </w:rPr>
      </w:pP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t>Mary D. Long</w:t>
      </w:r>
    </w:p>
    <w:p w14:paraId="68BE9015" w14:textId="77777777" w:rsidR="00BB2A60" w:rsidRDefault="006C08D6" w:rsidP="000F22FC">
      <w:pPr>
        <w:spacing w:line="240" w:lineRule="auto"/>
        <w:rPr>
          <w:rFonts w:eastAsia="Times New Roman"/>
          <w:szCs w:val="24"/>
        </w:rPr>
        <w:sectPr w:rsidR="00BB2A60" w:rsidSect="00F9573C">
          <w:footerReference w:type="default" r:id="rId7"/>
          <w:pgSz w:w="12240" w:h="15840"/>
          <w:pgMar w:top="1440" w:right="1440" w:bottom="1440" w:left="1440" w:header="720" w:footer="720" w:gutter="0"/>
          <w:cols w:space="720"/>
          <w:titlePg/>
          <w:docGrid w:linePitch="360"/>
        </w:sectPr>
      </w:pP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t>Administrative Law Judge</w:t>
      </w:r>
    </w:p>
    <w:p w14:paraId="1C829B15" w14:textId="77777777" w:rsidR="001E3FCC" w:rsidRPr="001E3FCC" w:rsidRDefault="001E3FCC" w:rsidP="001E3FCC">
      <w:pPr>
        <w:spacing w:line="240" w:lineRule="auto"/>
        <w:rPr>
          <w:rFonts w:ascii="Microsoft Sans Serif" w:eastAsia="Microsoft Sans Serif" w:hAnsi="Microsoft Sans Serif" w:cs="Microsoft Sans Serif"/>
          <w:szCs w:val="22"/>
        </w:rPr>
      </w:pPr>
      <w:r w:rsidRPr="001E3FCC">
        <w:rPr>
          <w:rFonts w:ascii="Microsoft Sans Serif" w:eastAsia="Microsoft Sans Serif" w:hAnsi="Microsoft Sans Serif" w:cs="Microsoft Sans Serif"/>
          <w:b/>
          <w:szCs w:val="22"/>
          <w:u w:val="single"/>
        </w:rPr>
        <w:lastRenderedPageBreak/>
        <w:t>C-2019-3010052 - BENTWORTH SCHOOL DISTRICT v. WEST PENN POWER COMPANY</w:t>
      </w:r>
      <w:r w:rsidRPr="001E3FCC">
        <w:rPr>
          <w:rFonts w:ascii="Microsoft Sans Serif" w:eastAsia="Microsoft Sans Serif" w:hAnsi="Microsoft Sans Serif" w:cs="Microsoft Sans Serif"/>
          <w:b/>
          <w:szCs w:val="22"/>
          <w:u w:val="single"/>
        </w:rPr>
        <w:cr/>
      </w:r>
      <w:r w:rsidRPr="001E3FCC">
        <w:rPr>
          <w:rFonts w:ascii="Microsoft Sans Serif" w:eastAsia="Microsoft Sans Serif" w:hAnsi="Microsoft Sans Serif" w:cs="Microsoft Sans Serif"/>
          <w:b/>
          <w:szCs w:val="22"/>
          <w:u w:val="single"/>
        </w:rPr>
        <w:cr/>
      </w:r>
      <w:bookmarkStart w:id="1" w:name="_Hlk12357876"/>
      <w:r w:rsidRPr="001E3FCC">
        <w:rPr>
          <w:rFonts w:ascii="Microsoft Sans Serif" w:eastAsia="Microsoft Sans Serif" w:hAnsi="Microsoft Sans Serif" w:cs="Microsoft Sans Serif"/>
          <w:szCs w:val="22"/>
        </w:rPr>
        <w:t>ANNEMARIE K HARR ESQUIRE</w:t>
      </w:r>
    </w:p>
    <w:p w14:paraId="598429C0" w14:textId="77777777" w:rsidR="001E3FCC" w:rsidRPr="001E3FCC" w:rsidRDefault="001E3FCC" w:rsidP="001E3FCC">
      <w:pPr>
        <w:spacing w:line="240" w:lineRule="auto"/>
        <w:rPr>
          <w:rFonts w:ascii="Microsoft Sans Serif" w:eastAsia="Microsoft Sans Serif" w:hAnsi="Microsoft Sans Serif" w:cs="Microsoft Sans Serif"/>
          <w:szCs w:val="22"/>
        </w:rPr>
      </w:pPr>
      <w:r w:rsidRPr="001E3FCC">
        <w:rPr>
          <w:rFonts w:ascii="Microsoft Sans Serif" w:eastAsia="Microsoft Sans Serif" w:hAnsi="Microsoft Sans Serif" w:cs="Microsoft Sans Serif"/>
          <w:szCs w:val="22"/>
        </w:rPr>
        <w:t>IRA WEISS ESQUIRE</w:t>
      </w:r>
      <w:r w:rsidRPr="001E3FCC">
        <w:rPr>
          <w:rFonts w:ascii="Microsoft Sans Serif" w:eastAsia="Microsoft Sans Serif" w:hAnsi="Microsoft Sans Serif" w:cs="Microsoft Sans Serif"/>
          <w:szCs w:val="22"/>
        </w:rPr>
        <w:cr/>
        <w:t xml:space="preserve">WEISS </w:t>
      </w:r>
      <w:proofErr w:type="spellStart"/>
      <w:r w:rsidRPr="001E3FCC">
        <w:rPr>
          <w:rFonts w:ascii="Microsoft Sans Serif" w:eastAsia="Microsoft Sans Serif" w:hAnsi="Microsoft Sans Serif" w:cs="Microsoft Sans Serif"/>
          <w:szCs w:val="22"/>
        </w:rPr>
        <w:t>BURKARDT</w:t>
      </w:r>
      <w:proofErr w:type="spellEnd"/>
      <w:r w:rsidRPr="001E3FCC">
        <w:rPr>
          <w:rFonts w:ascii="Microsoft Sans Serif" w:eastAsia="Microsoft Sans Serif" w:hAnsi="Microsoft Sans Serif" w:cs="Microsoft Sans Serif"/>
          <w:szCs w:val="22"/>
        </w:rPr>
        <w:t xml:space="preserve"> KRAMER LLC</w:t>
      </w:r>
      <w:r w:rsidRPr="001E3FCC">
        <w:rPr>
          <w:rFonts w:ascii="Microsoft Sans Serif" w:eastAsia="Microsoft Sans Serif" w:hAnsi="Microsoft Sans Serif" w:cs="Microsoft Sans Serif"/>
          <w:szCs w:val="22"/>
        </w:rPr>
        <w:cr/>
        <w:t>445 FT PITT BLVD SUITE 503</w:t>
      </w:r>
    </w:p>
    <w:p w14:paraId="3E42A2A3" w14:textId="77777777" w:rsidR="001E3FCC" w:rsidRPr="001E3FCC" w:rsidRDefault="001E3FCC" w:rsidP="001E3FCC">
      <w:pPr>
        <w:spacing w:line="240" w:lineRule="auto"/>
        <w:rPr>
          <w:rFonts w:ascii="Microsoft Sans Serif" w:eastAsia="Microsoft Sans Serif" w:hAnsi="Microsoft Sans Serif" w:cs="Microsoft Sans Serif"/>
          <w:b/>
          <w:bCs/>
          <w:i/>
          <w:iCs/>
          <w:szCs w:val="22"/>
          <w:u w:val="single"/>
        </w:rPr>
      </w:pPr>
      <w:r w:rsidRPr="001E3FCC">
        <w:rPr>
          <w:rFonts w:ascii="Microsoft Sans Serif" w:eastAsia="Microsoft Sans Serif" w:hAnsi="Microsoft Sans Serif" w:cs="Microsoft Sans Serif"/>
          <w:szCs w:val="22"/>
        </w:rPr>
        <w:t>PITTSBURGH PA  15219</w:t>
      </w:r>
      <w:r w:rsidRPr="001E3FCC">
        <w:rPr>
          <w:rFonts w:ascii="Microsoft Sans Serif" w:eastAsia="Microsoft Sans Serif" w:hAnsi="Microsoft Sans Serif" w:cs="Microsoft Sans Serif"/>
          <w:szCs w:val="22"/>
        </w:rPr>
        <w:cr/>
      </w:r>
      <w:r w:rsidRPr="001E3FCC">
        <w:rPr>
          <w:rFonts w:ascii="Microsoft Sans Serif" w:eastAsia="Microsoft Sans Serif" w:hAnsi="Microsoft Sans Serif" w:cs="Microsoft Sans Serif"/>
          <w:b/>
          <w:bCs/>
          <w:szCs w:val="22"/>
        </w:rPr>
        <w:t>412.391.9890</w:t>
      </w:r>
      <w:r w:rsidRPr="001E3FCC">
        <w:rPr>
          <w:rFonts w:ascii="Microsoft Sans Serif" w:eastAsia="Microsoft Sans Serif" w:hAnsi="Microsoft Sans Serif" w:cs="Microsoft Sans Serif"/>
          <w:b/>
          <w:bCs/>
          <w:szCs w:val="22"/>
        </w:rPr>
        <w:cr/>
      </w:r>
      <w:r w:rsidRPr="001E3FCC">
        <w:rPr>
          <w:rFonts w:ascii="Microsoft Sans Serif" w:eastAsia="Microsoft Sans Serif" w:hAnsi="Microsoft Sans Serif" w:cs="Microsoft Sans Serif"/>
          <w:b/>
          <w:bCs/>
          <w:i/>
          <w:iCs/>
          <w:szCs w:val="22"/>
          <w:u w:val="single"/>
        </w:rPr>
        <w:t>Accepts e-Service</w:t>
      </w:r>
      <w:r w:rsidRPr="001E3FCC">
        <w:rPr>
          <w:rFonts w:ascii="Microsoft Sans Serif" w:eastAsia="Microsoft Sans Serif" w:hAnsi="Microsoft Sans Serif" w:cs="Microsoft Sans Serif"/>
          <w:b/>
          <w:bCs/>
          <w:i/>
          <w:iCs/>
          <w:szCs w:val="22"/>
          <w:u w:val="single"/>
        </w:rPr>
        <w:cr/>
      </w:r>
      <w:r w:rsidRPr="001E3FCC">
        <w:rPr>
          <w:rFonts w:ascii="Microsoft Sans Serif" w:eastAsia="Microsoft Sans Serif" w:hAnsi="Microsoft Sans Serif" w:cs="Microsoft Sans Serif"/>
          <w:i/>
          <w:iCs/>
          <w:szCs w:val="22"/>
        </w:rPr>
        <w:t>Representing Bentworth School District</w:t>
      </w:r>
    </w:p>
    <w:bookmarkEnd w:id="1"/>
    <w:p w14:paraId="1D6612AC" w14:textId="77777777" w:rsidR="001E3FCC" w:rsidRPr="001E3FCC" w:rsidRDefault="001E3FCC" w:rsidP="001E3FCC">
      <w:pPr>
        <w:spacing w:line="240" w:lineRule="auto"/>
        <w:rPr>
          <w:rFonts w:ascii="Microsoft Sans Serif" w:eastAsia="Microsoft Sans Serif" w:hAnsi="Microsoft Sans Serif" w:cs="Microsoft Sans Serif"/>
          <w:szCs w:val="22"/>
        </w:rPr>
      </w:pPr>
    </w:p>
    <w:p w14:paraId="6FE70096" w14:textId="77777777" w:rsidR="001E3FCC" w:rsidRPr="001E3FCC" w:rsidRDefault="001E3FCC" w:rsidP="001E3FCC">
      <w:pPr>
        <w:spacing w:line="240" w:lineRule="auto"/>
        <w:rPr>
          <w:rFonts w:ascii="Calibri" w:eastAsia="Times New Roman" w:hAnsi="Calibri"/>
          <w:sz w:val="22"/>
          <w:szCs w:val="22"/>
        </w:rPr>
      </w:pPr>
      <w:r w:rsidRPr="001E3FCC">
        <w:rPr>
          <w:rFonts w:ascii="Microsoft Sans Serif" w:eastAsia="Microsoft Sans Serif" w:hAnsi="Microsoft Sans Serif" w:cs="Microsoft Sans Serif"/>
          <w:szCs w:val="22"/>
        </w:rPr>
        <w:t>MARGARET A MORRIS ESQUIRE</w:t>
      </w:r>
      <w:r w:rsidRPr="001E3FCC">
        <w:rPr>
          <w:rFonts w:ascii="Microsoft Sans Serif" w:eastAsia="Microsoft Sans Serif" w:hAnsi="Microsoft Sans Serif" w:cs="Microsoft Sans Serif"/>
          <w:szCs w:val="22"/>
        </w:rPr>
        <w:cr/>
      </w:r>
      <w:proofErr w:type="spellStart"/>
      <w:r w:rsidRPr="001E3FCC">
        <w:rPr>
          <w:rFonts w:ascii="Microsoft Sans Serif" w:eastAsia="Microsoft Sans Serif" w:hAnsi="Microsoft Sans Serif" w:cs="Microsoft Sans Serif"/>
          <w:szCs w:val="22"/>
        </w:rPr>
        <w:t>REGER</w:t>
      </w:r>
      <w:proofErr w:type="spellEnd"/>
      <w:r w:rsidRPr="001E3FCC">
        <w:rPr>
          <w:rFonts w:ascii="Microsoft Sans Serif" w:eastAsia="Microsoft Sans Serif" w:hAnsi="Microsoft Sans Serif" w:cs="Microsoft Sans Serif"/>
          <w:szCs w:val="22"/>
        </w:rPr>
        <w:t xml:space="preserve"> RIZZO &amp; </w:t>
      </w:r>
      <w:proofErr w:type="spellStart"/>
      <w:r w:rsidRPr="001E3FCC">
        <w:rPr>
          <w:rFonts w:ascii="Microsoft Sans Serif" w:eastAsia="Microsoft Sans Serif" w:hAnsi="Microsoft Sans Serif" w:cs="Microsoft Sans Serif"/>
          <w:szCs w:val="22"/>
        </w:rPr>
        <w:t>DARNALL</w:t>
      </w:r>
      <w:proofErr w:type="spellEnd"/>
      <w:r w:rsidRPr="001E3FCC">
        <w:rPr>
          <w:rFonts w:ascii="Microsoft Sans Serif" w:eastAsia="Microsoft Sans Serif" w:hAnsi="Microsoft Sans Serif" w:cs="Microsoft Sans Serif"/>
          <w:szCs w:val="22"/>
        </w:rPr>
        <w:cr/>
        <w:t>CIRA CENTRE 13th FL</w:t>
      </w:r>
      <w:r w:rsidRPr="001E3FCC">
        <w:rPr>
          <w:rFonts w:ascii="Microsoft Sans Serif" w:eastAsia="Microsoft Sans Serif" w:hAnsi="Microsoft Sans Serif" w:cs="Microsoft Sans Serif"/>
          <w:szCs w:val="22"/>
        </w:rPr>
        <w:cr/>
        <w:t>2929 ARCH STREET</w:t>
      </w:r>
      <w:r w:rsidRPr="001E3FCC">
        <w:rPr>
          <w:rFonts w:ascii="Microsoft Sans Serif" w:eastAsia="Microsoft Sans Serif" w:hAnsi="Microsoft Sans Serif" w:cs="Microsoft Sans Serif"/>
          <w:szCs w:val="22"/>
        </w:rPr>
        <w:cr/>
        <w:t>PHILADELPHIA PA  19104</w:t>
      </w:r>
      <w:r w:rsidRPr="001E3FCC">
        <w:rPr>
          <w:rFonts w:ascii="Microsoft Sans Serif" w:eastAsia="Microsoft Sans Serif" w:hAnsi="Microsoft Sans Serif" w:cs="Microsoft Sans Serif"/>
          <w:szCs w:val="22"/>
        </w:rPr>
        <w:cr/>
      </w:r>
      <w:r w:rsidRPr="001E3FCC">
        <w:rPr>
          <w:rFonts w:ascii="Microsoft Sans Serif" w:eastAsia="Microsoft Sans Serif" w:hAnsi="Microsoft Sans Serif" w:cs="Microsoft Sans Serif"/>
          <w:b/>
          <w:bCs/>
          <w:szCs w:val="22"/>
        </w:rPr>
        <w:t>215.495.6524</w:t>
      </w:r>
      <w:r w:rsidRPr="001E3FCC">
        <w:rPr>
          <w:rFonts w:ascii="Microsoft Sans Serif" w:eastAsia="Microsoft Sans Serif" w:hAnsi="Microsoft Sans Serif" w:cs="Microsoft Sans Serif"/>
          <w:b/>
          <w:bCs/>
          <w:szCs w:val="22"/>
        </w:rPr>
        <w:cr/>
      </w:r>
      <w:r w:rsidRPr="001E3FCC">
        <w:rPr>
          <w:rFonts w:ascii="Microsoft Sans Serif" w:eastAsia="Microsoft Sans Serif" w:hAnsi="Microsoft Sans Serif" w:cs="Microsoft Sans Serif"/>
          <w:b/>
          <w:bCs/>
          <w:i/>
          <w:iCs/>
          <w:szCs w:val="22"/>
          <w:u w:val="single"/>
        </w:rPr>
        <w:t>Accepts e-Service</w:t>
      </w:r>
    </w:p>
    <w:p w14:paraId="7109D451" w14:textId="6B2AEC77" w:rsidR="00BB2A60" w:rsidRPr="00BB2A60" w:rsidRDefault="00BB2A60" w:rsidP="000F22FC">
      <w:pPr>
        <w:spacing w:line="240" w:lineRule="auto"/>
        <w:rPr>
          <w:rFonts w:eastAsia="Times New Roman"/>
          <w:szCs w:val="24"/>
        </w:rPr>
      </w:pPr>
    </w:p>
    <w:sectPr w:rsidR="00BB2A60" w:rsidRPr="00BB2A60" w:rsidSect="00F9573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D4594" w14:textId="77777777" w:rsidR="00F63644" w:rsidRDefault="00F63644" w:rsidP="00F9573C">
      <w:pPr>
        <w:spacing w:line="240" w:lineRule="auto"/>
      </w:pPr>
      <w:r>
        <w:separator/>
      </w:r>
    </w:p>
  </w:endnote>
  <w:endnote w:type="continuationSeparator" w:id="0">
    <w:p w14:paraId="38D89B85" w14:textId="77777777" w:rsidR="00F63644" w:rsidRDefault="00F63644" w:rsidP="00F957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16"/>
      </w:rPr>
      <w:id w:val="1163823844"/>
      <w:docPartObj>
        <w:docPartGallery w:val="Page Numbers (Bottom of Page)"/>
        <w:docPartUnique/>
      </w:docPartObj>
    </w:sdtPr>
    <w:sdtEndPr>
      <w:rPr>
        <w:noProof/>
      </w:rPr>
    </w:sdtEndPr>
    <w:sdtContent>
      <w:p w14:paraId="1B9E623B" w14:textId="77777777" w:rsidR="00F9573C" w:rsidRPr="00BB2A60" w:rsidRDefault="00F9573C">
        <w:pPr>
          <w:pStyle w:val="Footer"/>
          <w:jc w:val="center"/>
          <w:rPr>
            <w:sz w:val="20"/>
            <w:szCs w:val="16"/>
          </w:rPr>
        </w:pPr>
        <w:r w:rsidRPr="00BB2A60">
          <w:rPr>
            <w:sz w:val="20"/>
            <w:szCs w:val="16"/>
          </w:rPr>
          <w:fldChar w:fldCharType="begin"/>
        </w:r>
        <w:r w:rsidRPr="00BB2A60">
          <w:rPr>
            <w:sz w:val="20"/>
            <w:szCs w:val="16"/>
          </w:rPr>
          <w:instrText xml:space="preserve"> PAGE   \* MERGEFORMAT </w:instrText>
        </w:r>
        <w:r w:rsidRPr="00BB2A60">
          <w:rPr>
            <w:sz w:val="20"/>
            <w:szCs w:val="16"/>
          </w:rPr>
          <w:fldChar w:fldCharType="separate"/>
        </w:r>
        <w:r w:rsidRPr="00BB2A60">
          <w:rPr>
            <w:noProof/>
            <w:sz w:val="20"/>
            <w:szCs w:val="16"/>
          </w:rPr>
          <w:t>2</w:t>
        </w:r>
        <w:r w:rsidRPr="00BB2A60">
          <w:rPr>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96B61" w14:textId="77777777" w:rsidR="00F63644" w:rsidRDefault="00F63644" w:rsidP="00F9573C">
      <w:pPr>
        <w:spacing w:line="240" w:lineRule="auto"/>
      </w:pPr>
      <w:r>
        <w:separator/>
      </w:r>
    </w:p>
  </w:footnote>
  <w:footnote w:type="continuationSeparator" w:id="0">
    <w:p w14:paraId="287D519C" w14:textId="77777777" w:rsidR="00F63644" w:rsidRDefault="00F63644" w:rsidP="00F9573C">
      <w:pPr>
        <w:spacing w:line="240" w:lineRule="auto"/>
      </w:pPr>
      <w:r>
        <w:continuationSeparator/>
      </w:r>
    </w:p>
  </w:footnote>
  <w:footnote w:id="1">
    <w:p w14:paraId="4F722715" w14:textId="77777777" w:rsidR="002D7554" w:rsidRDefault="002D7554" w:rsidP="002D7554">
      <w:pPr>
        <w:pStyle w:val="FootnoteText"/>
        <w:tabs>
          <w:tab w:val="clear" w:pos="1440"/>
        </w:tabs>
        <w:jc w:val="left"/>
      </w:pPr>
      <w:r>
        <w:rPr>
          <w:rStyle w:val="FootnoteReference"/>
        </w:rPr>
        <w:footnoteRef/>
      </w:r>
      <w:r>
        <w:t xml:space="preserve"> </w:t>
      </w:r>
      <w:r>
        <w:tab/>
        <w:t>52 Pa.Code § 5.101(a).</w:t>
      </w:r>
    </w:p>
  </w:footnote>
  <w:footnote w:id="2">
    <w:p w14:paraId="695227C5" w14:textId="77777777" w:rsidR="002D7554" w:rsidRDefault="002D7554" w:rsidP="002D7554">
      <w:pPr>
        <w:pStyle w:val="FootnoteText"/>
        <w:tabs>
          <w:tab w:val="clear" w:pos="1440"/>
        </w:tabs>
        <w:jc w:val="left"/>
      </w:pPr>
      <w:r>
        <w:rPr>
          <w:rStyle w:val="FootnoteReference"/>
        </w:rPr>
        <w:footnoteRef/>
      </w:r>
      <w:r>
        <w:t xml:space="preserve"> </w:t>
      </w:r>
      <w:r>
        <w:tab/>
      </w:r>
      <w:r w:rsidRPr="000E2B4C">
        <w:rPr>
          <w:i/>
        </w:rPr>
        <w:t>Equitable Small Transportation Intervenors v. Equitable Gas Company</w:t>
      </w:r>
      <w:r>
        <w:t xml:space="preserve">, 1994 Pa. PUC LEXIS 69, Docket No. C-00935435 (July 18, 1994).  </w:t>
      </w:r>
    </w:p>
  </w:footnote>
  <w:footnote w:id="3">
    <w:p w14:paraId="0FCC93ED" w14:textId="77777777" w:rsidR="002D7554" w:rsidRDefault="002D7554" w:rsidP="002D7554">
      <w:pPr>
        <w:pStyle w:val="FootnoteText"/>
        <w:tabs>
          <w:tab w:val="clear" w:pos="1440"/>
        </w:tabs>
        <w:jc w:val="left"/>
      </w:pPr>
      <w:r>
        <w:rPr>
          <w:rStyle w:val="FootnoteReference"/>
        </w:rPr>
        <w:footnoteRef/>
      </w:r>
      <w:r>
        <w:t xml:space="preserve"> </w:t>
      </w:r>
      <w:r>
        <w:tab/>
      </w:r>
      <w:r>
        <w:rPr>
          <w:i/>
        </w:rPr>
        <w:t>Dept. of Auditor General v. SERS</w:t>
      </w:r>
      <w:r w:rsidRPr="00AB2BD8">
        <w:t>,</w:t>
      </w:r>
      <w:r>
        <w:t xml:space="preserve"> 836 A.2d 1053, 1064 (Pa.Cmwlth. 2003); </w:t>
      </w:r>
      <w:r w:rsidRPr="00B908F9">
        <w:rPr>
          <w:i/>
        </w:rPr>
        <w:t>P.J.S. v. Pa. State Ethics Comm’n</w:t>
      </w:r>
      <w:r>
        <w:t>, 669 A.2d 1105 (Pa.Cmwlth. 1996).</w:t>
      </w:r>
    </w:p>
  </w:footnote>
  <w:footnote w:id="4">
    <w:p w14:paraId="36539908" w14:textId="77777777" w:rsidR="002D7554" w:rsidRDefault="002D7554" w:rsidP="002D7554">
      <w:pPr>
        <w:pStyle w:val="FootnoteText"/>
        <w:tabs>
          <w:tab w:val="clear" w:pos="1440"/>
        </w:tabs>
        <w:jc w:val="left"/>
      </w:pPr>
      <w:r>
        <w:rPr>
          <w:rStyle w:val="FootnoteReference"/>
        </w:rPr>
        <w:footnoteRef/>
      </w:r>
      <w:r>
        <w:t xml:space="preserve"> </w:t>
      </w:r>
      <w:r>
        <w:tab/>
      </w:r>
      <w:r w:rsidRPr="00B908F9">
        <w:rPr>
          <w:i/>
        </w:rPr>
        <w:t>Boyd v. Ward</w:t>
      </w:r>
      <w:r>
        <w:t xml:space="preserve">, 802 A.2d 705 (Pa.Cmwlth. 2002).  </w:t>
      </w:r>
    </w:p>
  </w:footnote>
  <w:footnote w:id="5">
    <w:p w14:paraId="402288A5" w14:textId="77777777" w:rsidR="002D7554" w:rsidRPr="00B62C0F" w:rsidRDefault="002D7554" w:rsidP="002D7554">
      <w:pPr>
        <w:pStyle w:val="FootnoteText"/>
        <w:tabs>
          <w:tab w:val="clear" w:pos="1440"/>
        </w:tabs>
        <w:jc w:val="left"/>
      </w:pPr>
      <w:r>
        <w:rPr>
          <w:rStyle w:val="FootnoteReference"/>
        </w:rPr>
        <w:footnoteRef/>
      </w:r>
      <w:r>
        <w:t xml:space="preserve">  </w:t>
      </w:r>
      <w:r>
        <w:tab/>
      </w:r>
      <w:r w:rsidRPr="00D30C1A">
        <w:rPr>
          <w:i/>
        </w:rPr>
        <w:t>County of Allegheny v. Commw. of Pa</w:t>
      </w:r>
      <w:r>
        <w:t xml:space="preserve">., 490 A.2d 402 (Pa. 1985); </w:t>
      </w:r>
      <w:r w:rsidRPr="00D30C1A">
        <w:rPr>
          <w:i/>
        </w:rPr>
        <w:t>Pennsylvania State Lodge, Fraternal Order of Police v. Dept. of Conservation and Natural Resources</w:t>
      </w:r>
      <w:r>
        <w:t xml:space="preserve">, 909 A.2d 413 (Pa.Cmwlth. 2006), </w:t>
      </w:r>
      <w:r w:rsidRPr="000F30CA">
        <w:rPr>
          <w:i/>
        </w:rPr>
        <w:t>aff’d per curiam</w:t>
      </w:r>
      <w:r>
        <w:t xml:space="preserve">,  924 A.2d 1203 (Pa. 2007); </w:t>
      </w:r>
      <w:r w:rsidRPr="00FD1168">
        <w:rPr>
          <w:i/>
        </w:rPr>
        <w:t>see also</w:t>
      </w:r>
      <w:r w:rsidRPr="00AD6EF1">
        <w:t xml:space="preserve"> </w:t>
      </w:r>
      <w:r w:rsidRPr="00D30C1A">
        <w:rPr>
          <w:i/>
        </w:rPr>
        <w:t>Glod v. PECO Energy Company</w:t>
      </w:r>
      <w:r>
        <w:t>,  Docket No. C-2012-2305158 (Interim Order dated July 2, 2012).</w:t>
      </w:r>
    </w:p>
  </w:footnote>
  <w:footnote w:id="6">
    <w:p w14:paraId="07E0F963" w14:textId="77777777" w:rsidR="002D7554" w:rsidRDefault="002D7554" w:rsidP="002D7554">
      <w:pPr>
        <w:pStyle w:val="FootnoteText"/>
        <w:tabs>
          <w:tab w:val="clear" w:pos="1440"/>
        </w:tabs>
        <w:jc w:val="left"/>
      </w:pPr>
      <w:r>
        <w:rPr>
          <w:rStyle w:val="FootnoteReference"/>
        </w:rPr>
        <w:footnoteRef/>
      </w:r>
      <w:r>
        <w:t xml:space="preserve"> </w:t>
      </w:r>
      <w:r>
        <w:tab/>
      </w:r>
      <w:r w:rsidRPr="00D30C1A">
        <w:rPr>
          <w:i/>
        </w:rPr>
        <w:t>Ridge v. State Employees’ Retirement Board</w:t>
      </w:r>
      <w:r>
        <w:t xml:space="preserve">, 690 A.2d 1312 (Pa.Cmwlth. 1997). </w:t>
      </w:r>
    </w:p>
  </w:footnote>
  <w:footnote w:id="7">
    <w:p w14:paraId="5CCBFD77" w14:textId="77777777" w:rsidR="002D7554" w:rsidRPr="00297F80" w:rsidRDefault="002D7554" w:rsidP="002D7554">
      <w:pPr>
        <w:pStyle w:val="FootnoteText"/>
        <w:tabs>
          <w:tab w:val="clear" w:pos="1440"/>
        </w:tabs>
        <w:jc w:val="left"/>
      </w:pPr>
      <w:r>
        <w:rPr>
          <w:rStyle w:val="FootnoteReference"/>
        </w:rPr>
        <w:footnoteRef/>
      </w:r>
      <w:r>
        <w:t xml:space="preserve">  </w:t>
      </w:r>
      <w:r>
        <w:tab/>
      </w:r>
      <w:r w:rsidRPr="00945434">
        <w:rPr>
          <w:i/>
        </w:rPr>
        <w:t>Interstate Traveller Services, Inc. v. Pa. Department of Environmental Resources</w:t>
      </w:r>
      <w:r>
        <w:t xml:space="preserve">, 406 A.2d 1020 (Pa. 1979); </w:t>
      </w:r>
      <w:r w:rsidRPr="00AD6EF1">
        <w:t>Application of K&amp;F Medical Transport</w:t>
      </w:r>
      <w:r>
        <w:t>, LLC, PUC Docket No. A-2008-2020353 (Initial Decision dated April 25, 2008).</w:t>
      </w:r>
    </w:p>
  </w:footnote>
  <w:footnote w:id="8">
    <w:p w14:paraId="18C7A868" w14:textId="5C4633B8" w:rsidR="006C08D6" w:rsidRDefault="006C08D6">
      <w:pPr>
        <w:pStyle w:val="FootnoteText"/>
      </w:pPr>
      <w:r>
        <w:rPr>
          <w:rStyle w:val="FootnoteReference"/>
        </w:rPr>
        <w:footnoteRef/>
      </w:r>
      <w:r>
        <w:t xml:space="preserve"> </w:t>
      </w:r>
      <w:r>
        <w:tab/>
      </w:r>
      <w:r w:rsidRPr="006C08D6">
        <w:rPr>
          <w:i/>
          <w:iCs/>
        </w:rPr>
        <w:t>Common Cause/Pennsylvania v. Com.,</w:t>
      </w:r>
      <w:r w:rsidRPr="006C08D6">
        <w:t xml:space="preserve"> 710 A.2d 108, 115 (Pa.</w:t>
      </w:r>
      <w:r>
        <w:t>Cmwlth</w:t>
      </w:r>
      <w:r w:rsidRPr="006C08D6">
        <w:t>. 1998), aff'd, 562 Pa. 632, 757 A.2d 367 (2000)</w:t>
      </w:r>
      <w:r>
        <w:t xml:space="preserve">; </w:t>
      </w:r>
      <w:r w:rsidRPr="00C632F5">
        <w:rPr>
          <w:i/>
          <w:iCs/>
        </w:rPr>
        <w:t>Department of Environmental Resources v. Peggs Run Coal Company,</w:t>
      </w:r>
      <w:r w:rsidRPr="00C632F5">
        <w:t xml:space="preserve"> 55 Pa.Cmwlth. 312, 423 A.2d 765 (1980).</w:t>
      </w:r>
    </w:p>
  </w:footnote>
  <w:footnote w:id="9">
    <w:p w14:paraId="3E946005" w14:textId="77777777" w:rsidR="006C08D6" w:rsidRDefault="006C08D6">
      <w:pPr>
        <w:pStyle w:val="FootnoteText"/>
      </w:pPr>
      <w:r>
        <w:rPr>
          <w:rStyle w:val="FootnoteReference"/>
        </w:rPr>
        <w:footnoteRef/>
      </w:r>
      <w:r>
        <w:t xml:space="preserve">  </w:t>
      </w:r>
      <w:r w:rsidR="000F22FC">
        <w:tab/>
      </w:r>
      <w:r w:rsidR="000F22FC">
        <w:rPr>
          <w:i/>
          <w:iCs/>
        </w:rPr>
        <w:t>E.g., Murphy v. West Penn Power Company</w:t>
      </w:r>
      <w:r w:rsidR="000F22FC">
        <w:t>, Docket No. C-2017-2634660 (Interim Order February 19, 2018).</w:t>
      </w:r>
      <w:r>
        <w:tab/>
      </w:r>
    </w:p>
  </w:footnote>
  <w:footnote w:id="10">
    <w:p w14:paraId="5D34692B" w14:textId="16E49698" w:rsidR="006C08D6" w:rsidRDefault="006C08D6">
      <w:pPr>
        <w:pStyle w:val="FootnoteText"/>
      </w:pPr>
      <w:r>
        <w:rPr>
          <w:rStyle w:val="FootnoteReference"/>
        </w:rPr>
        <w:footnoteRef/>
      </w:r>
      <w:r>
        <w:t xml:space="preserve"> </w:t>
      </w:r>
      <w:r>
        <w:tab/>
      </w:r>
      <w:r w:rsidRPr="006C08D6">
        <w:rPr>
          <w:i/>
          <w:iCs/>
        </w:rPr>
        <w:t>Dep't of Envtl. Res. v. Hartford Acc. &amp; Indem. Co</w:t>
      </w:r>
      <w:r w:rsidRPr="006C08D6">
        <w:t>., 396 A.2d 885, 887–88 (</w:t>
      </w:r>
      <w:r>
        <w:t xml:space="preserve">Pa.Cmwlth. </w:t>
      </w:r>
      <w:r w:rsidRPr="006C08D6">
        <w:t>1979)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6"/>
  </w:num>
  <w:num w:numId="2">
    <w:abstractNumId w:val="17"/>
  </w:num>
  <w:num w:numId="3">
    <w:abstractNumId w:val="24"/>
  </w:num>
  <w:num w:numId="4">
    <w:abstractNumId w:val="28"/>
  </w:num>
  <w:num w:numId="5">
    <w:abstractNumId w:val="10"/>
  </w:num>
  <w:num w:numId="6">
    <w:abstractNumId w:val="7"/>
  </w:num>
  <w:num w:numId="7">
    <w:abstractNumId w:val="5"/>
  </w:num>
  <w:num w:numId="8">
    <w:abstractNumId w:val="27"/>
  </w:num>
  <w:num w:numId="9">
    <w:abstractNumId w:val="2"/>
  </w:num>
  <w:num w:numId="10">
    <w:abstractNumId w:val="19"/>
  </w:num>
  <w:num w:numId="11">
    <w:abstractNumId w:val="23"/>
  </w:num>
  <w:num w:numId="12">
    <w:abstractNumId w:val="14"/>
  </w:num>
  <w:num w:numId="13">
    <w:abstractNumId w:val="20"/>
  </w:num>
  <w:num w:numId="14">
    <w:abstractNumId w:val="25"/>
  </w:num>
  <w:num w:numId="15">
    <w:abstractNumId w:val="0"/>
  </w:num>
  <w:num w:numId="16">
    <w:abstractNumId w:val="18"/>
  </w:num>
  <w:num w:numId="17">
    <w:abstractNumId w:val="18"/>
  </w:num>
  <w:num w:numId="18">
    <w:abstractNumId w:val="9"/>
  </w:num>
  <w:num w:numId="19">
    <w:abstractNumId w:val="15"/>
  </w:num>
  <w:num w:numId="20">
    <w:abstractNumId w:val="29"/>
  </w:num>
  <w:num w:numId="21">
    <w:abstractNumId w:val="12"/>
  </w:num>
  <w:num w:numId="22">
    <w:abstractNumId w:val="4"/>
  </w:num>
  <w:num w:numId="23">
    <w:abstractNumId w:val="13"/>
  </w:num>
  <w:num w:numId="24">
    <w:abstractNumId w:val="32"/>
  </w:num>
  <w:num w:numId="25">
    <w:abstractNumId w:val="1"/>
  </w:num>
  <w:num w:numId="26">
    <w:abstractNumId w:val="6"/>
  </w:num>
  <w:num w:numId="27">
    <w:abstractNumId w:val="22"/>
  </w:num>
  <w:num w:numId="28">
    <w:abstractNumId w:val="11"/>
  </w:num>
  <w:num w:numId="29">
    <w:abstractNumId w:val="8"/>
  </w:num>
  <w:num w:numId="30">
    <w:abstractNumId w:val="16"/>
  </w:num>
  <w:num w:numId="31">
    <w:abstractNumId w:val="30"/>
  </w:num>
  <w:num w:numId="32">
    <w:abstractNumId w:val="31"/>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B5"/>
    <w:rsid w:val="00004C37"/>
    <w:rsid w:val="000066B3"/>
    <w:rsid w:val="00066D87"/>
    <w:rsid w:val="000E3EDE"/>
    <w:rsid w:val="000F22FC"/>
    <w:rsid w:val="00107E82"/>
    <w:rsid w:val="001A21B6"/>
    <w:rsid w:val="001B1CBA"/>
    <w:rsid w:val="001D2AF7"/>
    <w:rsid w:val="001E3FCC"/>
    <w:rsid w:val="00207743"/>
    <w:rsid w:val="00213167"/>
    <w:rsid w:val="002512F9"/>
    <w:rsid w:val="002D7554"/>
    <w:rsid w:val="003145FA"/>
    <w:rsid w:val="00367A41"/>
    <w:rsid w:val="00393C92"/>
    <w:rsid w:val="003A3E09"/>
    <w:rsid w:val="00417566"/>
    <w:rsid w:val="00440E22"/>
    <w:rsid w:val="004D523C"/>
    <w:rsid w:val="004D761B"/>
    <w:rsid w:val="005A1C17"/>
    <w:rsid w:val="005A2ABA"/>
    <w:rsid w:val="005D180A"/>
    <w:rsid w:val="005E7B69"/>
    <w:rsid w:val="0061775F"/>
    <w:rsid w:val="00625A6E"/>
    <w:rsid w:val="00696C0D"/>
    <w:rsid w:val="006C08D6"/>
    <w:rsid w:val="006C6A0D"/>
    <w:rsid w:val="006F0329"/>
    <w:rsid w:val="00700807"/>
    <w:rsid w:val="0070427E"/>
    <w:rsid w:val="00712E58"/>
    <w:rsid w:val="00720A8F"/>
    <w:rsid w:val="007407AC"/>
    <w:rsid w:val="00755D72"/>
    <w:rsid w:val="00792796"/>
    <w:rsid w:val="00796B64"/>
    <w:rsid w:val="007E6779"/>
    <w:rsid w:val="00820B4C"/>
    <w:rsid w:val="0083239D"/>
    <w:rsid w:val="008529D2"/>
    <w:rsid w:val="0088105E"/>
    <w:rsid w:val="008A0DB5"/>
    <w:rsid w:val="00917DCA"/>
    <w:rsid w:val="00946804"/>
    <w:rsid w:val="00980F2F"/>
    <w:rsid w:val="00A47096"/>
    <w:rsid w:val="00AA2EC5"/>
    <w:rsid w:val="00AB4C73"/>
    <w:rsid w:val="00AE6F47"/>
    <w:rsid w:val="00B91E47"/>
    <w:rsid w:val="00BB2A60"/>
    <w:rsid w:val="00BC5D82"/>
    <w:rsid w:val="00BC6B21"/>
    <w:rsid w:val="00C87E57"/>
    <w:rsid w:val="00CF6143"/>
    <w:rsid w:val="00CF619B"/>
    <w:rsid w:val="00DD5C37"/>
    <w:rsid w:val="00DE2224"/>
    <w:rsid w:val="00DF35D9"/>
    <w:rsid w:val="00E4239A"/>
    <w:rsid w:val="00EB027A"/>
    <w:rsid w:val="00EC1CBA"/>
    <w:rsid w:val="00EE7801"/>
    <w:rsid w:val="00F11A19"/>
    <w:rsid w:val="00F16554"/>
    <w:rsid w:val="00F359D0"/>
    <w:rsid w:val="00F544E1"/>
    <w:rsid w:val="00F63644"/>
    <w:rsid w:val="00F9573C"/>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EF45"/>
  <w15:chartTrackingRefBased/>
  <w15:docId w15:val="{006A78A8-149D-4726-970A-1BD9E813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basedOn w:val="Normal"/>
    <w:link w:val="FootnoteTextChar"/>
    <w:autoRedefine/>
    <w:semiHidden/>
    <w:qFormat/>
    <w:rsid w:val="000066B3"/>
    <w:pPr>
      <w:tabs>
        <w:tab w:val="left" w:pos="1440"/>
      </w:tabs>
      <w:spacing w:after="240" w:line="240" w:lineRule="auto"/>
      <w:jc w:val="both"/>
    </w:pPr>
    <w:rPr>
      <w:rFonts w:eastAsia="Times New Roman"/>
      <w:sz w:val="20"/>
    </w:rPr>
  </w:style>
  <w:style w:type="character" w:customStyle="1" w:styleId="FootnoteTextChar">
    <w:name w:val="Footnote Text Char"/>
    <w:basedOn w:val="DefaultParagraphFont"/>
    <w:link w:val="FootnoteText"/>
    <w:semiHidden/>
    <w:rsid w:val="000066B3"/>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Header">
    <w:name w:val="header"/>
    <w:basedOn w:val="Normal"/>
    <w:link w:val="HeaderChar"/>
    <w:uiPriority w:val="99"/>
    <w:unhideWhenUsed/>
    <w:rsid w:val="00F9573C"/>
    <w:pPr>
      <w:tabs>
        <w:tab w:val="center" w:pos="4680"/>
        <w:tab w:val="right" w:pos="9360"/>
      </w:tabs>
      <w:spacing w:line="240" w:lineRule="auto"/>
    </w:pPr>
  </w:style>
  <w:style w:type="character" w:customStyle="1" w:styleId="HeaderChar">
    <w:name w:val="Header Char"/>
    <w:basedOn w:val="DefaultParagraphFont"/>
    <w:link w:val="Header"/>
    <w:uiPriority w:val="99"/>
    <w:rsid w:val="00F9573C"/>
    <w:rPr>
      <w:rFonts w:eastAsia="SimSun"/>
    </w:rPr>
  </w:style>
  <w:style w:type="paragraph" w:styleId="Footer">
    <w:name w:val="footer"/>
    <w:basedOn w:val="Normal"/>
    <w:link w:val="FooterChar"/>
    <w:uiPriority w:val="99"/>
    <w:unhideWhenUsed/>
    <w:rsid w:val="00F9573C"/>
    <w:pPr>
      <w:tabs>
        <w:tab w:val="center" w:pos="4680"/>
        <w:tab w:val="right" w:pos="9360"/>
      </w:tabs>
      <w:spacing w:line="240" w:lineRule="auto"/>
    </w:pPr>
  </w:style>
  <w:style w:type="character" w:customStyle="1" w:styleId="FooterChar">
    <w:name w:val="Footer Char"/>
    <w:basedOn w:val="DefaultParagraphFont"/>
    <w:link w:val="Footer"/>
    <w:uiPriority w:val="99"/>
    <w:rsid w:val="00F9573C"/>
    <w:rPr>
      <w:rFonts w:eastAsia="SimSun"/>
    </w:rPr>
  </w:style>
  <w:style w:type="character" w:styleId="FootnoteReference">
    <w:name w:val="footnote reference"/>
    <w:basedOn w:val="DefaultParagraphFont"/>
    <w:uiPriority w:val="99"/>
    <w:semiHidden/>
    <w:unhideWhenUsed/>
    <w:rsid w:val="002D7554"/>
    <w:rPr>
      <w:vertAlign w:val="superscript"/>
    </w:rPr>
  </w:style>
  <w:style w:type="paragraph" w:styleId="BalloonText">
    <w:name w:val="Balloon Text"/>
    <w:basedOn w:val="Normal"/>
    <w:link w:val="BalloonTextChar"/>
    <w:uiPriority w:val="99"/>
    <w:semiHidden/>
    <w:unhideWhenUsed/>
    <w:rsid w:val="00DE222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224"/>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4</cp:revision>
  <cp:lastPrinted>2019-06-25T16:39:00Z</cp:lastPrinted>
  <dcterms:created xsi:type="dcterms:W3CDTF">2019-06-25T15:42:00Z</dcterms:created>
  <dcterms:modified xsi:type="dcterms:W3CDTF">2019-06-25T17:56:00Z</dcterms:modified>
</cp:coreProperties>
</file>