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EF126" w14:textId="77777777" w:rsidR="00F60E5D" w:rsidRPr="00B32A9D" w:rsidRDefault="00F60E5D" w:rsidP="001C75D6">
      <w:pPr>
        <w:widowControl/>
        <w:jc w:val="center"/>
        <w:rPr>
          <w:b/>
          <w:sz w:val="26"/>
          <w:szCs w:val="26"/>
        </w:rPr>
      </w:pPr>
      <w:r w:rsidRPr="00B32A9D">
        <w:rPr>
          <w:b/>
          <w:sz w:val="26"/>
          <w:szCs w:val="26"/>
        </w:rPr>
        <w:t>PENNSYLVANIA</w:t>
      </w:r>
    </w:p>
    <w:p w14:paraId="30861174" w14:textId="77777777" w:rsidR="00F60E5D" w:rsidRPr="00B32A9D" w:rsidRDefault="00F60E5D" w:rsidP="001C75D6">
      <w:pPr>
        <w:widowControl/>
        <w:jc w:val="center"/>
        <w:rPr>
          <w:b/>
          <w:sz w:val="26"/>
          <w:szCs w:val="26"/>
        </w:rPr>
      </w:pPr>
      <w:r w:rsidRPr="00B32A9D">
        <w:rPr>
          <w:b/>
          <w:sz w:val="26"/>
          <w:szCs w:val="26"/>
        </w:rPr>
        <w:t>PUBLIC UTILITY COMMISSION</w:t>
      </w:r>
    </w:p>
    <w:p w14:paraId="22585008" w14:textId="77777777" w:rsidR="00F60E5D" w:rsidRPr="00B32A9D" w:rsidRDefault="00F60E5D" w:rsidP="001C75D6">
      <w:pPr>
        <w:widowControl/>
        <w:jc w:val="center"/>
        <w:rPr>
          <w:b/>
          <w:sz w:val="26"/>
          <w:szCs w:val="26"/>
        </w:rPr>
      </w:pPr>
      <w:r w:rsidRPr="00B32A9D">
        <w:rPr>
          <w:b/>
          <w:sz w:val="26"/>
          <w:szCs w:val="26"/>
        </w:rPr>
        <w:t>Harrisburg, PA  17105-3265</w:t>
      </w:r>
    </w:p>
    <w:p w14:paraId="310301EC" w14:textId="77777777" w:rsidR="00F60E5D" w:rsidRPr="00B32A9D" w:rsidRDefault="00F60E5D" w:rsidP="001C75D6">
      <w:pPr>
        <w:widowControl/>
        <w:rPr>
          <w:sz w:val="26"/>
          <w:szCs w:val="26"/>
        </w:rPr>
      </w:pPr>
    </w:p>
    <w:p w14:paraId="5B6D8B5B" w14:textId="77777777" w:rsidR="00F60E5D" w:rsidRPr="00B32A9D" w:rsidRDefault="00F60E5D" w:rsidP="001C75D6">
      <w:pPr>
        <w:widowControl/>
        <w:rPr>
          <w:sz w:val="26"/>
          <w:szCs w:val="26"/>
        </w:rPr>
      </w:pPr>
    </w:p>
    <w:p w14:paraId="14880CFC" w14:textId="4638E33F" w:rsidR="00F60E5D" w:rsidRPr="00B32A9D" w:rsidRDefault="00F60E5D" w:rsidP="001C75D6">
      <w:pPr>
        <w:widowControl/>
        <w:jc w:val="right"/>
        <w:rPr>
          <w:sz w:val="26"/>
          <w:szCs w:val="26"/>
        </w:rPr>
      </w:pPr>
      <w:r w:rsidRPr="00B32A9D">
        <w:rPr>
          <w:sz w:val="26"/>
          <w:szCs w:val="26"/>
        </w:rPr>
        <w:t xml:space="preserve">Public Meeting held </w:t>
      </w:r>
      <w:r w:rsidR="00F132DD">
        <w:rPr>
          <w:sz w:val="26"/>
          <w:szCs w:val="26"/>
        </w:rPr>
        <w:t>June 13, 2019</w:t>
      </w:r>
    </w:p>
    <w:p w14:paraId="4266DABE" w14:textId="77777777" w:rsidR="00F60E5D" w:rsidRPr="00B32A9D" w:rsidRDefault="00F60E5D" w:rsidP="001C75D6">
      <w:pPr>
        <w:widowControl/>
        <w:tabs>
          <w:tab w:val="left" w:pos="7375"/>
        </w:tabs>
        <w:jc w:val="both"/>
        <w:rPr>
          <w:sz w:val="26"/>
          <w:szCs w:val="26"/>
        </w:rPr>
      </w:pPr>
    </w:p>
    <w:p w14:paraId="7EE27187" w14:textId="77777777" w:rsidR="00F60E5D" w:rsidRDefault="00F60E5D" w:rsidP="001C75D6">
      <w:pPr>
        <w:widowControl/>
        <w:tabs>
          <w:tab w:val="left" w:pos="7375"/>
        </w:tabs>
        <w:jc w:val="both"/>
        <w:rPr>
          <w:sz w:val="26"/>
          <w:szCs w:val="26"/>
        </w:rPr>
      </w:pPr>
    </w:p>
    <w:p w14:paraId="502A4553" w14:textId="77777777" w:rsidR="00F60E5D" w:rsidRPr="00B32A9D" w:rsidRDefault="00F60E5D" w:rsidP="001C75D6">
      <w:pPr>
        <w:widowControl/>
        <w:tabs>
          <w:tab w:val="left" w:pos="7375"/>
        </w:tabs>
        <w:jc w:val="both"/>
        <w:rPr>
          <w:sz w:val="26"/>
          <w:szCs w:val="26"/>
        </w:rPr>
      </w:pPr>
    </w:p>
    <w:p w14:paraId="00B24F9B" w14:textId="77777777" w:rsidR="00F60E5D" w:rsidRPr="00B32A9D" w:rsidRDefault="00F60E5D" w:rsidP="001C75D6">
      <w:pPr>
        <w:widowControl/>
        <w:tabs>
          <w:tab w:val="left" w:pos="7375"/>
        </w:tabs>
        <w:jc w:val="both"/>
        <w:rPr>
          <w:sz w:val="26"/>
          <w:szCs w:val="26"/>
        </w:rPr>
      </w:pPr>
      <w:r w:rsidRPr="00B32A9D">
        <w:rPr>
          <w:sz w:val="26"/>
          <w:szCs w:val="26"/>
        </w:rPr>
        <w:t>Commissioners Present:</w:t>
      </w:r>
    </w:p>
    <w:p w14:paraId="53A4A79A" w14:textId="77777777" w:rsidR="00F60E5D" w:rsidRPr="00B32A9D" w:rsidRDefault="00F60E5D" w:rsidP="001C75D6">
      <w:pPr>
        <w:widowControl/>
        <w:tabs>
          <w:tab w:val="left" w:pos="7237"/>
        </w:tabs>
        <w:rPr>
          <w:sz w:val="26"/>
          <w:szCs w:val="26"/>
        </w:rPr>
      </w:pPr>
    </w:p>
    <w:p w14:paraId="6EBEA4EC" w14:textId="77777777" w:rsidR="00F60E5D" w:rsidRPr="00B32A9D" w:rsidRDefault="00F60E5D" w:rsidP="001C75D6">
      <w:pPr>
        <w:widowControl/>
        <w:tabs>
          <w:tab w:val="left" w:pos="7237"/>
        </w:tabs>
        <w:rPr>
          <w:sz w:val="26"/>
          <w:szCs w:val="26"/>
        </w:rPr>
      </w:pPr>
    </w:p>
    <w:p w14:paraId="76C23F1D" w14:textId="5E1CF8AE" w:rsidR="00F132DD" w:rsidRPr="003B021E" w:rsidRDefault="00F132DD" w:rsidP="001C75D6">
      <w:pPr>
        <w:widowControl/>
        <w:tabs>
          <w:tab w:val="left" w:pos="705"/>
        </w:tabs>
        <w:ind w:firstLine="720"/>
        <w:rPr>
          <w:sz w:val="26"/>
          <w:szCs w:val="26"/>
        </w:rPr>
      </w:pPr>
      <w:r w:rsidRPr="003B021E">
        <w:rPr>
          <w:sz w:val="26"/>
          <w:szCs w:val="26"/>
        </w:rPr>
        <w:t>Gladys Brown Dutrieuille, Chairman</w:t>
      </w:r>
    </w:p>
    <w:p w14:paraId="14FC3201" w14:textId="77777777" w:rsidR="00F132DD" w:rsidRPr="003B021E" w:rsidRDefault="00F132DD" w:rsidP="001C75D6">
      <w:pPr>
        <w:widowControl/>
        <w:tabs>
          <w:tab w:val="left" w:pos="705"/>
        </w:tabs>
        <w:ind w:firstLine="720"/>
        <w:rPr>
          <w:sz w:val="26"/>
          <w:szCs w:val="26"/>
        </w:rPr>
      </w:pPr>
      <w:r w:rsidRPr="003B021E">
        <w:rPr>
          <w:sz w:val="26"/>
          <w:szCs w:val="26"/>
        </w:rPr>
        <w:t>David W. Sweet, Vice Chairman</w:t>
      </w:r>
    </w:p>
    <w:p w14:paraId="2A16FB26" w14:textId="6DEDB1F5" w:rsidR="00F132DD" w:rsidRPr="003B021E" w:rsidRDefault="00F132DD" w:rsidP="001C75D6">
      <w:pPr>
        <w:widowControl/>
        <w:tabs>
          <w:tab w:val="left" w:pos="705"/>
        </w:tabs>
        <w:ind w:firstLine="720"/>
        <w:rPr>
          <w:sz w:val="26"/>
          <w:szCs w:val="26"/>
        </w:rPr>
      </w:pPr>
      <w:r w:rsidRPr="003B021E">
        <w:rPr>
          <w:sz w:val="26"/>
          <w:szCs w:val="26"/>
        </w:rPr>
        <w:t>Norman J. Kennard</w:t>
      </w:r>
      <w:r w:rsidR="009D3218">
        <w:rPr>
          <w:sz w:val="26"/>
          <w:szCs w:val="26"/>
        </w:rPr>
        <w:t>, Statement</w:t>
      </w:r>
    </w:p>
    <w:p w14:paraId="4EADAFC7" w14:textId="77777777" w:rsidR="00F132DD" w:rsidRPr="003B021E" w:rsidRDefault="00F132DD" w:rsidP="001C75D6">
      <w:pPr>
        <w:widowControl/>
        <w:tabs>
          <w:tab w:val="left" w:pos="705"/>
        </w:tabs>
        <w:ind w:firstLine="720"/>
        <w:rPr>
          <w:sz w:val="26"/>
          <w:szCs w:val="26"/>
        </w:rPr>
      </w:pPr>
      <w:r w:rsidRPr="003B021E">
        <w:rPr>
          <w:sz w:val="26"/>
          <w:szCs w:val="26"/>
        </w:rPr>
        <w:t>Andrew G. Place</w:t>
      </w:r>
    </w:p>
    <w:p w14:paraId="783D505D" w14:textId="77777777" w:rsidR="00F132DD" w:rsidRPr="003B021E" w:rsidRDefault="00F132DD" w:rsidP="001C75D6">
      <w:pPr>
        <w:widowControl/>
        <w:tabs>
          <w:tab w:val="left" w:pos="705"/>
        </w:tabs>
        <w:ind w:firstLine="720"/>
        <w:rPr>
          <w:sz w:val="26"/>
          <w:szCs w:val="26"/>
        </w:rPr>
      </w:pPr>
      <w:r w:rsidRPr="003B021E">
        <w:rPr>
          <w:sz w:val="26"/>
          <w:szCs w:val="26"/>
        </w:rPr>
        <w:t>John F. Coleman, Jr.</w:t>
      </w:r>
    </w:p>
    <w:p w14:paraId="13E0B0F4" w14:textId="77777777" w:rsidR="00F60E5D" w:rsidRPr="00B32A9D" w:rsidRDefault="00F60E5D" w:rsidP="001C75D6">
      <w:pPr>
        <w:widowControl/>
        <w:rPr>
          <w:sz w:val="26"/>
          <w:szCs w:val="26"/>
        </w:rPr>
      </w:pPr>
    </w:p>
    <w:p w14:paraId="2DF144FA" w14:textId="77777777" w:rsidR="00F60E5D" w:rsidRDefault="00F60E5D" w:rsidP="001C75D6">
      <w:pPr>
        <w:widowControl/>
        <w:rPr>
          <w:sz w:val="26"/>
          <w:szCs w:val="26"/>
        </w:rPr>
      </w:pPr>
    </w:p>
    <w:p w14:paraId="1BEFF779" w14:textId="77777777" w:rsidR="00F60E5D" w:rsidRPr="00B32A9D" w:rsidRDefault="00F60E5D" w:rsidP="001C75D6">
      <w:pPr>
        <w:widowControl/>
        <w:rPr>
          <w:sz w:val="26"/>
          <w:szCs w:val="26"/>
        </w:rPr>
      </w:pPr>
    </w:p>
    <w:tbl>
      <w:tblPr>
        <w:tblStyle w:val="TableGrid1"/>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3438"/>
      </w:tblGrid>
      <w:tr w:rsidR="00F60E5D" w:rsidRPr="00B32A9D" w14:paraId="5318CD08" w14:textId="77777777" w:rsidTr="009C62C5">
        <w:tc>
          <w:tcPr>
            <w:tcW w:w="6210" w:type="dxa"/>
          </w:tcPr>
          <w:p w14:paraId="5FF5AFD3" w14:textId="77777777" w:rsidR="00F60E5D" w:rsidRPr="00B32A9D" w:rsidRDefault="00F60E5D" w:rsidP="001C75D6">
            <w:pPr>
              <w:widowControl/>
              <w:rPr>
                <w:rFonts w:ascii="Times New Roman" w:hAnsi="Times New Roman" w:cs="Times New Roman"/>
                <w:sz w:val="26"/>
                <w:szCs w:val="26"/>
              </w:rPr>
            </w:pPr>
            <w:r w:rsidRPr="00B32A9D">
              <w:rPr>
                <w:rFonts w:ascii="Times New Roman" w:hAnsi="Times New Roman" w:cs="Times New Roman"/>
                <w:sz w:val="26"/>
                <w:szCs w:val="26"/>
              </w:rPr>
              <w:t xml:space="preserve">Pennsylvania Public Utility Commission </w:t>
            </w:r>
          </w:p>
          <w:p w14:paraId="6F672DCE" w14:textId="77777777" w:rsidR="00F60E5D" w:rsidRPr="00B32A9D" w:rsidRDefault="00F60E5D" w:rsidP="001C75D6">
            <w:pPr>
              <w:widowControl/>
              <w:rPr>
                <w:rFonts w:ascii="Times New Roman" w:hAnsi="Times New Roman" w:cs="Times New Roman"/>
                <w:sz w:val="26"/>
                <w:szCs w:val="26"/>
              </w:rPr>
            </w:pPr>
            <w:r w:rsidRPr="00B32A9D">
              <w:rPr>
                <w:rFonts w:ascii="Times New Roman" w:hAnsi="Times New Roman" w:cs="Times New Roman"/>
                <w:sz w:val="26"/>
                <w:szCs w:val="26"/>
              </w:rPr>
              <w:t>Office of Consumer Advocate</w:t>
            </w:r>
          </w:p>
          <w:p w14:paraId="64553736" w14:textId="77777777" w:rsidR="00F60E5D" w:rsidRPr="00B32A9D" w:rsidRDefault="00F60E5D" w:rsidP="001C75D6">
            <w:pPr>
              <w:widowControl/>
              <w:rPr>
                <w:rFonts w:ascii="Times New Roman" w:hAnsi="Times New Roman" w:cs="Times New Roman"/>
                <w:sz w:val="26"/>
                <w:szCs w:val="26"/>
              </w:rPr>
            </w:pPr>
            <w:r w:rsidRPr="00B32A9D">
              <w:rPr>
                <w:rFonts w:ascii="Times New Roman" w:hAnsi="Times New Roman" w:cs="Times New Roman"/>
                <w:sz w:val="26"/>
                <w:szCs w:val="26"/>
              </w:rPr>
              <w:t xml:space="preserve">Office of Small Business Advocate </w:t>
            </w:r>
          </w:p>
          <w:p w14:paraId="34340ABA" w14:textId="656C0A6C" w:rsidR="00F60E5D" w:rsidRPr="00B32A9D" w:rsidRDefault="00F60E5D" w:rsidP="001C75D6">
            <w:pPr>
              <w:widowControl/>
              <w:rPr>
                <w:rFonts w:ascii="Times New Roman" w:hAnsi="Times New Roman" w:cs="Times New Roman"/>
                <w:sz w:val="26"/>
                <w:szCs w:val="26"/>
              </w:rPr>
            </w:pPr>
            <w:r w:rsidRPr="00B32A9D">
              <w:rPr>
                <w:rFonts w:ascii="Times New Roman" w:hAnsi="Times New Roman" w:cs="Times New Roman"/>
                <w:sz w:val="26"/>
                <w:szCs w:val="26"/>
              </w:rPr>
              <w:t>Philadelphia Industrial &amp; Commercial Gas Users Group William Dingfelder</w:t>
            </w:r>
          </w:p>
          <w:p w14:paraId="4B8C61ED" w14:textId="77777777" w:rsidR="00F60E5D" w:rsidRPr="00B32A9D" w:rsidRDefault="00F60E5D" w:rsidP="001C75D6">
            <w:pPr>
              <w:widowControl/>
              <w:rPr>
                <w:rFonts w:ascii="Times New Roman" w:hAnsi="Times New Roman" w:cs="Times New Roman"/>
                <w:sz w:val="26"/>
                <w:szCs w:val="26"/>
              </w:rPr>
            </w:pPr>
          </w:p>
          <w:p w14:paraId="6395B190" w14:textId="77777777" w:rsidR="00F60E5D" w:rsidRPr="00B32A9D" w:rsidRDefault="00F60E5D" w:rsidP="001C75D6">
            <w:pPr>
              <w:widowControl/>
              <w:rPr>
                <w:rFonts w:ascii="Times New Roman" w:hAnsi="Times New Roman" w:cs="Times New Roman"/>
                <w:sz w:val="26"/>
                <w:szCs w:val="26"/>
              </w:rPr>
            </w:pPr>
            <w:r>
              <w:rPr>
                <w:rStyle w:val="SubtitleChar"/>
              </w:rPr>
              <w:tab/>
            </w:r>
            <w:r>
              <w:rPr>
                <w:rStyle w:val="SubtitleChar"/>
              </w:rPr>
              <w:tab/>
              <w:t xml:space="preserve">   </w:t>
            </w:r>
            <w:r w:rsidRPr="00B32A9D">
              <w:rPr>
                <w:rFonts w:ascii="Times New Roman" w:hAnsi="Times New Roman" w:cs="Times New Roman"/>
                <w:sz w:val="26"/>
                <w:szCs w:val="26"/>
              </w:rPr>
              <w:t>v.</w:t>
            </w:r>
          </w:p>
          <w:p w14:paraId="00C9D3CF" w14:textId="77777777" w:rsidR="00F60E5D" w:rsidRPr="00B32A9D" w:rsidRDefault="00F60E5D" w:rsidP="001C75D6">
            <w:pPr>
              <w:widowControl/>
              <w:rPr>
                <w:rFonts w:ascii="Times New Roman" w:hAnsi="Times New Roman" w:cs="Times New Roman"/>
                <w:sz w:val="26"/>
                <w:szCs w:val="26"/>
              </w:rPr>
            </w:pPr>
          </w:p>
          <w:p w14:paraId="59CF4E4A" w14:textId="77777777" w:rsidR="00F60E5D" w:rsidRPr="00B32A9D" w:rsidRDefault="00F60E5D" w:rsidP="001C75D6">
            <w:pPr>
              <w:widowControl/>
              <w:rPr>
                <w:rFonts w:ascii="Times New Roman" w:hAnsi="Times New Roman" w:cs="Times New Roman"/>
                <w:sz w:val="26"/>
                <w:szCs w:val="26"/>
              </w:rPr>
            </w:pPr>
            <w:r w:rsidRPr="00B32A9D">
              <w:rPr>
                <w:rFonts w:ascii="Times New Roman" w:hAnsi="Times New Roman" w:cs="Times New Roman"/>
                <w:sz w:val="26"/>
                <w:szCs w:val="26"/>
              </w:rPr>
              <w:t>Philadelphia Gas Works</w:t>
            </w:r>
          </w:p>
        </w:tc>
        <w:tc>
          <w:tcPr>
            <w:tcW w:w="3438" w:type="dxa"/>
          </w:tcPr>
          <w:p w14:paraId="00FB5F87" w14:textId="77777777" w:rsidR="00F60E5D" w:rsidRPr="00B32A9D" w:rsidRDefault="00F60E5D" w:rsidP="001C75D6">
            <w:pPr>
              <w:widowControl/>
              <w:jc w:val="right"/>
              <w:rPr>
                <w:rFonts w:ascii="Times New Roman" w:hAnsi="Times New Roman" w:cs="Times New Roman"/>
                <w:sz w:val="26"/>
                <w:szCs w:val="26"/>
              </w:rPr>
            </w:pPr>
            <w:r w:rsidRPr="00B32A9D">
              <w:rPr>
                <w:rFonts w:ascii="Times New Roman" w:hAnsi="Times New Roman" w:cs="Times New Roman"/>
                <w:sz w:val="26"/>
                <w:szCs w:val="26"/>
              </w:rPr>
              <w:t>R-2017-2586783</w:t>
            </w:r>
          </w:p>
          <w:p w14:paraId="468C7989" w14:textId="77777777" w:rsidR="00F60E5D" w:rsidRPr="00B32A9D" w:rsidRDefault="00F60E5D" w:rsidP="001C75D6">
            <w:pPr>
              <w:widowControl/>
              <w:jc w:val="right"/>
              <w:rPr>
                <w:rFonts w:ascii="Times New Roman" w:hAnsi="Times New Roman" w:cs="Times New Roman"/>
                <w:sz w:val="26"/>
                <w:szCs w:val="26"/>
              </w:rPr>
            </w:pPr>
            <w:r w:rsidRPr="00B32A9D">
              <w:rPr>
                <w:rFonts w:ascii="Times New Roman" w:hAnsi="Times New Roman" w:cs="Times New Roman"/>
                <w:sz w:val="26"/>
                <w:szCs w:val="26"/>
              </w:rPr>
              <w:t>C-2017-2592092</w:t>
            </w:r>
          </w:p>
          <w:p w14:paraId="161F5F28" w14:textId="77777777" w:rsidR="00F60E5D" w:rsidRPr="00B32A9D" w:rsidRDefault="00F60E5D" w:rsidP="001C75D6">
            <w:pPr>
              <w:widowControl/>
              <w:jc w:val="right"/>
              <w:rPr>
                <w:rFonts w:ascii="Times New Roman" w:hAnsi="Times New Roman" w:cs="Times New Roman"/>
                <w:sz w:val="26"/>
                <w:szCs w:val="26"/>
              </w:rPr>
            </w:pPr>
            <w:r w:rsidRPr="00B32A9D">
              <w:rPr>
                <w:rFonts w:ascii="Times New Roman" w:hAnsi="Times New Roman" w:cs="Times New Roman"/>
                <w:sz w:val="26"/>
                <w:szCs w:val="26"/>
              </w:rPr>
              <w:t>C-2017-2593497</w:t>
            </w:r>
          </w:p>
          <w:p w14:paraId="4C922D10" w14:textId="77777777" w:rsidR="00F60E5D" w:rsidRPr="00B32A9D" w:rsidRDefault="00F60E5D" w:rsidP="001C75D6">
            <w:pPr>
              <w:widowControl/>
              <w:jc w:val="right"/>
              <w:rPr>
                <w:rFonts w:ascii="Times New Roman" w:hAnsi="Times New Roman" w:cs="Times New Roman"/>
                <w:sz w:val="26"/>
                <w:szCs w:val="26"/>
              </w:rPr>
            </w:pPr>
            <w:r w:rsidRPr="00B32A9D">
              <w:rPr>
                <w:rFonts w:ascii="Times New Roman" w:hAnsi="Times New Roman" w:cs="Times New Roman"/>
                <w:sz w:val="26"/>
                <w:szCs w:val="26"/>
              </w:rPr>
              <w:t>C-2017-2595147</w:t>
            </w:r>
          </w:p>
          <w:p w14:paraId="1ED7AD1C" w14:textId="77777777" w:rsidR="00F60E5D" w:rsidRPr="00B32A9D" w:rsidRDefault="00F60E5D" w:rsidP="001C75D6">
            <w:pPr>
              <w:widowControl/>
              <w:jc w:val="right"/>
              <w:rPr>
                <w:rFonts w:ascii="Times New Roman" w:hAnsi="Times New Roman" w:cs="Times New Roman"/>
                <w:sz w:val="26"/>
                <w:szCs w:val="26"/>
              </w:rPr>
            </w:pPr>
            <w:r w:rsidRPr="00B32A9D">
              <w:rPr>
                <w:rFonts w:ascii="Times New Roman" w:hAnsi="Times New Roman" w:cs="Times New Roman"/>
                <w:sz w:val="26"/>
                <w:szCs w:val="26"/>
              </w:rPr>
              <w:t>C-2017-2593903</w:t>
            </w:r>
          </w:p>
        </w:tc>
      </w:tr>
    </w:tbl>
    <w:p w14:paraId="797E9F25" w14:textId="77777777" w:rsidR="00F60E5D" w:rsidRPr="00B32A9D" w:rsidRDefault="00F60E5D" w:rsidP="001C75D6">
      <w:pPr>
        <w:widowControl/>
        <w:rPr>
          <w:b/>
          <w:sz w:val="26"/>
          <w:szCs w:val="26"/>
        </w:rPr>
      </w:pPr>
    </w:p>
    <w:p w14:paraId="09AC3639" w14:textId="77777777" w:rsidR="00F60E5D" w:rsidRPr="00B32A9D" w:rsidRDefault="00F60E5D" w:rsidP="001C75D6">
      <w:pPr>
        <w:widowControl/>
        <w:jc w:val="center"/>
        <w:rPr>
          <w:b/>
          <w:sz w:val="26"/>
          <w:szCs w:val="26"/>
        </w:rPr>
      </w:pPr>
    </w:p>
    <w:p w14:paraId="2EA8CBDA" w14:textId="686AB6B9" w:rsidR="00F60E5D" w:rsidRDefault="00F60E5D" w:rsidP="001C75D6">
      <w:pPr>
        <w:widowControl/>
        <w:ind w:left="360"/>
        <w:jc w:val="center"/>
        <w:rPr>
          <w:b/>
          <w:sz w:val="26"/>
          <w:szCs w:val="26"/>
        </w:rPr>
      </w:pPr>
      <w:r w:rsidRPr="00E95541">
        <w:rPr>
          <w:b/>
          <w:sz w:val="26"/>
          <w:szCs w:val="26"/>
        </w:rPr>
        <w:t>OPINION AND ORDER</w:t>
      </w:r>
    </w:p>
    <w:p w14:paraId="6D12F49C" w14:textId="77777777" w:rsidR="00472283" w:rsidRDefault="00472283" w:rsidP="001C75D6">
      <w:pPr>
        <w:widowControl/>
        <w:spacing w:line="360" w:lineRule="auto"/>
        <w:rPr>
          <w:sz w:val="26"/>
          <w:szCs w:val="26"/>
        </w:rPr>
      </w:pPr>
    </w:p>
    <w:p w14:paraId="0B3EF452" w14:textId="48D4499B" w:rsidR="000F1318" w:rsidRDefault="000F1318" w:rsidP="001C75D6">
      <w:pPr>
        <w:widowControl/>
        <w:tabs>
          <w:tab w:val="left" w:pos="-720"/>
        </w:tabs>
        <w:suppressAutoHyphens/>
        <w:spacing w:line="360" w:lineRule="auto"/>
        <w:ind w:firstLine="1440"/>
        <w:rPr>
          <w:rFonts w:eastAsia="Calibri"/>
          <w:sz w:val="26"/>
          <w:szCs w:val="26"/>
        </w:rPr>
      </w:pPr>
      <w:r w:rsidRPr="00027664">
        <w:rPr>
          <w:sz w:val="26"/>
        </w:rPr>
        <w:t xml:space="preserve">Before the </w:t>
      </w:r>
      <w:r w:rsidR="005C7928">
        <w:rPr>
          <w:sz w:val="26"/>
        </w:rPr>
        <w:t xml:space="preserve">Pennsylvania Public Utility </w:t>
      </w:r>
      <w:r w:rsidRPr="00027664">
        <w:rPr>
          <w:sz w:val="26"/>
        </w:rPr>
        <w:t xml:space="preserve">Commission </w:t>
      </w:r>
      <w:r w:rsidR="005C7928">
        <w:rPr>
          <w:sz w:val="26"/>
        </w:rPr>
        <w:t xml:space="preserve">(Commission) </w:t>
      </w:r>
      <w:r w:rsidRPr="00027664">
        <w:rPr>
          <w:sz w:val="26"/>
        </w:rPr>
        <w:t>for co</w:t>
      </w:r>
      <w:r w:rsidR="00893951">
        <w:rPr>
          <w:sz w:val="26"/>
        </w:rPr>
        <w:t>nsideration and disposition is the</w:t>
      </w:r>
      <w:r w:rsidRPr="00027664">
        <w:rPr>
          <w:sz w:val="26"/>
        </w:rPr>
        <w:t xml:space="preserve"> Petition for Reconsideration (</w:t>
      </w:r>
      <w:r w:rsidR="00225B81">
        <w:rPr>
          <w:sz w:val="26"/>
        </w:rPr>
        <w:t>Petition</w:t>
      </w:r>
      <w:r w:rsidR="00E82728">
        <w:rPr>
          <w:sz w:val="26"/>
        </w:rPr>
        <w:t xml:space="preserve"> for Reconsideration or Petition</w:t>
      </w:r>
      <w:r w:rsidRPr="00027664">
        <w:rPr>
          <w:sz w:val="26"/>
        </w:rPr>
        <w:t>), filed by</w:t>
      </w:r>
      <w:r w:rsidR="00F248A4">
        <w:rPr>
          <w:sz w:val="26"/>
        </w:rPr>
        <w:t xml:space="preserve"> </w:t>
      </w:r>
      <w:r w:rsidR="00F60E5D">
        <w:rPr>
          <w:sz w:val="26"/>
        </w:rPr>
        <w:t>Philadelphia Gas Works (PGW</w:t>
      </w:r>
      <w:r w:rsidR="004D78EC">
        <w:rPr>
          <w:sz w:val="26"/>
        </w:rPr>
        <w:t>)</w:t>
      </w:r>
      <w:r w:rsidRPr="00027664">
        <w:rPr>
          <w:sz w:val="26"/>
          <w:szCs w:val="26"/>
        </w:rPr>
        <w:t>,</w:t>
      </w:r>
      <w:r w:rsidRPr="00027664">
        <w:rPr>
          <w:sz w:val="26"/>
        </w:rPr>
        <w:t xml:space="preserve"> on</w:t>
      </w:r>
      <w:r w:rsidR="00F60E5D">
        <w:rPr>
          <w:sz w:val="26"/>
        </w:rPr>
        <w:t xml:space="preserve"> June 4, 2018</w:t>
      </w:r>
      <w:r w:rsidR="00AA548E">
        <w:rPr>
          <w:sz w:val="26"/>
        </w:rPr>
        <w:t>,</w:t>
      </w:r>
      <w:r w:rsidR="00037613">
        <w:rPr>
          <w:rStyle w:val="FootnoteReference"/>
          <w:sz w:val="26"/>
        </w:rPr>
        <w:footnoteReference w:id="2"/>
      </w:r>
      <w:r w:rsidR="00AA548E">
        <w:rPr>
          <w:sz w:val="26"/>
        </w:rPr>
        <w:t xml:space="preserve"> seeking reconsideration of</w:t>
      </w:r>
      <w:r w:rsidR="000505E5">
        <w:rPr>
          <w:sz w:val="26"/>
        </w:rPr>
        <w:t xml:space="preserve"> the </w:t>
      </w:r>
      <w:r w:rsidR="00B64EC2">
        <w:rPr>
          <w:sz w:val="26"/>
        </w:rPr>
        <w:t xml:space="preserve">Opinion and Order </w:t>
      </w:r>
      <w:r w:rsidRPr="00027664">
        <w:rPr>
          <w:sz w:val="26"/>
        </w:rPr>
        <w:t>entered</w:t>
      </w:r>
      <w:r w:rsidR="00F60E5D">
        <w:rPr>
          <w:sz w:val="26"/>
        </w:rPr>
        <w:t xml:space="preserve"> </w:t>
      </w:r>
      <w:r w:rsidR="00B64EC2">
        <w:rPr>
          <w:sz w:val="26"/>
        </w:rPr>
        <w:t xml:space="preserve">on </w:t>
      </w:r>
      <w:r w:rsidR="00F60E5D">
        <w:rPr>
          <w:sz w:val="26"/>
        </w:rPr>
        <w:t>May 18, 2018</w:t>
      </w:r>
      <w:r w:rsidR="00B64EC2">
        <w:rPr>
          <w:sz w:val="26"/>
        </w:rPr>
        <w:t xml:space="preserve"> (</w:t>
      </w:r>
      <w:r w:rsidR="00B64EC2" w:rsidRPr="00D93844">
        <w:rPr>
          <w:i/>
          <w:sz w:val="26"/>
        </w:rPr>
        <w:t xml:space="preserve">May </w:t>
      </w:r>
      <w:r w:rsidR="001F6EA1">
        <w:rPr>
          <w:i/>
          <w:sz w:val="26"/>
        </w:rPr>
        <w:t>20</w:t>
      </w:r>
      <w:r w:rsidR="00B64EC2" w:rsidRPr="00D93844">
        <w:rPr>
          <w:i/>
          <w:sz w:val="26"/>
        </w:rPr>
        <w:t xml:space="preserve">18 </w:t>
      </w:r>
      <w:r w:rsidR="00B64EC2" w:rsidRPr="00D93844">
        <w:rPr>
          <w:i/>
          <w:sz w:val="26"/>
        </w:rPr>
        <w:lastRenderedPageBreak/>
        <w:t>Order</w:t>
      </w:r>
      <w:r w:rsidR="00B64EC2">
        <w:rPr>
          <w:sz w:val="26"/>
        </w:rPr>
        <w:t>)</w:t>
      </w:r>
      <w:r w:rsidR="00D93844">
        <w:rPr>
          <w:sz w:val="26"/>
        </w:rPr>
        <w:t xml:space="preserve"> in the above-captioned proceeding</w:t>
      </w:r>
      <w:r w:rsidR="002E124D">
        <w:rPr>
          <w:sz w:val="26"/>
        </w:rPr>
        <w:t xml:space="preserve">. </w:t>
      </w:r>
      <w:r w:rsidR="00B64EC2">
        <w:rPr>
          <w:sz w:val="26"/>
        </w:rPr>
        <w:t xml:space="preserve"> </w:t>
      </w:r>
      <w:r w:rsidR="001F6EA1">
        <w:rPr>
          <w:sz w:val="26"/>
        </w:rPr>
        <w:t>T</w:t>
      </w:r>
      <w:r w:rsidR="00B64EC2">
        <w:rPr>
          <w:sz w:val="26"/>
        </w:rPr>
        <w:t>he Office of Consumer Advocate (OCA)</w:t>
      </w:r>
      <w:r w:rsidR="001F6EA1" w:rsidRPr="001F6EA1">
        <w:rPr>
          <w:sz w:val="26"/>
          <w:szCs w:val="26"/>
        </w:rPr>
        <w:t xml:space="preserve"> </w:t>
      </w:r>
      <w:r w:rsidR="001F6EA1">
        <w:rPr>
          <w:sz w:val="26"/>
          <w:szCs w:val="26"/>
        </w:rPr>
        <w:t xml:space="preserve">filed its </w:t>
      </w:r>
      <w:r w:rsidR="001F6EA1" w:rsidRPr="00E95541">
        <w:rPr>
          <w:sz w:val="26"/>
          <w:szCs w:val="26"/>
        </w:rPr>
        <w:t xml:space="preserve">Answer to the </w:t>
      </w:r>
      <w:r w:rsidR="001F6EA1">
        <w:rPr>
          <w:sz w:val="26"/>
          <w:szCs w:val="26"/>
        </w:rPr>
        <w:t>Petition</w:t>
      </w:r>
      <w:r w:rsidR="001F6EA1" w:rsidRPr="00E95541">
        <w:rPr>
          <w:sz w:val="26"/>
          <w:szCs w:val="26"/>
        </w:rPr>
        <w:t xml:space="preserve"> </w:t>
      </w:r>
      <w:r w:rsidR="001F6EA1">
        <w:rPr>
          <w:sz w:val="26"/>
          <w:szCs w:val="26"/>
        </w:rPr>
        <w:t xml:space="preserve">(Answer) </w:t>
      </w:r>
      <w:r w:rsidR="001F6EA1">
        <w:rPr>
          <w:sz w:val="26"/>
        </w:rPr>
        <w:t xml:space="preserve">on June 14, 2018.  Also before the Commission is a Joint Petition for Settlement </w:t>
      </w:r>
      <w:r w:rsidR="007644C9">
        <w:rPr>
          <w:sz w:val="26"/>
        </w:rPr>
        <w:t>(</w:t>
      </w:r>
      <w:r w:rsidR="00F26F06">
        <w:rPr>
          <w:sz w:val="26"/>
        </w:rPr>
        <w:t>Joint Petition for Settlement</w:t>
      </w:r>
      <w:r w:rsidR="007644C9">
        <w:rPr>
          <w:sz w:val="26"/>
        </w:rPr>
        <w:t xml:space="preserve">) </w:t>
      </w:r>
      <w:r w:rsidR="001F6EA1">
        <w:rPr>
          <w:sz w:val="26"/>
        </w:rPr>
        <w:t>that was filed by PGW and the OCA</w:t>
      </w:r>
      <w:r w:rsidR="00076149" w:rsidRPr="00076149">
        <w:rPr>
          <w:sz w:val="26"/>
        </w:rPr>
        <w:t xml:space="preserve"> </w:t>
      </w:r>
      <w:r w:rsidR="00076149">
        <w:rPr>
          <w:sz w:val="26"/>
        </w:rPr>
        <w:t>in the above-captioned matter</w:t>
      </w:r>
      <w:r w:rsidR="001F6EA1">
        <w:rPr>
          <w:sz w:val="26"/>
        </w:rPr>
        <w:t xml:space="preserve"> on April 17, 2019,</w:t>
      </w:r>
      <w:r w:rsidR="00076149">
        <w:rPr>
          <w:sz w:val="26"/>
        </w:rPr>
        <w:t xml:space="preserve"> setting forth the terms and conditions of the Settlement (Settlement) reached between PGW and </w:t>
      </w:r>
      <w:r w:rsidR="005503A0">
        <w:rPr>
          <w:sz w:val="26"/>
        </w:rPr>
        <w:t xml:space="preserve">the </w:t>
      </w:r>
      <w:r w:rsidR="00076149">
        <w:rPr>
          <w:sz w:val="26"/>
        </w:rPr>
        <w:t xml:space="preserve">OCA to resolve the remaining litigated issues in this proceeding and also setting forth the purported reasons why the Commission’s approval of the Settlement is in the public interest. </w:t>
      </w:r>
      <w:r w:rsidR="001F6EA1">
        <w:rPr>
          <w:sz w:val="26"/>
        </w:rPr>
        <w:t xml:space="preserve"> No </w:t>
      </w:r>
      <w:r w:rsidR="00E82728">
        <w:rPr>
          <w:sz w:val="26"/>
        </w:rPr>
        <w:t>response</w:t>
      </w:r>
      <w:r w:rsidR="001F6EA1">
        <w:rPr>
          <w:sz w:val="26"/>
        </w:rPr>
        <w:t xml:space="preserve"> has been filed to the </w:t>
      </w:r>
      <w:r w:rsidR="00F26F06">
        <w:rPr>
          <w:sz w:val="26"/>
        </w:rPr>
        <w:t xml:space="preserve">Joint Petition for </w:t>
      </w:r>
      <w:r w:rsidR="001F6EA1">
        <w:rPr>
          <w:sz w:val="26"/>
        </w:rPr>
        <w:t>Settlement</w:t>
      </w:r>
      <w:r w:rsidR="00E82728">
        <w:rPr>
          <w:sz w:val="26"/>
        </w:rPr>
        <w:t xml:space="preserve">.  </w:t>
      </w:r>
      <w:r w:rsidR="00B64EC2" w:rsidRPr="00D85FE8">
        <w:rPr>
          <w:rFonts w:eastAsia="Calibri"/>
          <w:sz w:val="26"/>
          <w:szCs w:val="26"/>
        </w:rPr>
        <w:t>For the reasons discussed</w:t>
      </w:r>
      <w:r w:rsidR="00450DD5" w:rsidRPr="00D85FE8">
        <w:rPr>
          <w:rFonts w:eastAsia="Calibri"/>
          <w:sz w:val="26"/>
          <w:szCs w:val="26"/>
        </w:rPr>
        <w:t xml:space="preserve"> below</w:t>
      </w:r>
      <w:r w:rsidR="00B64EC2" w:rsidRPr="00D85FE8">
        <w:rPr>
          <w:rFonts w:eastAsia="Calibri"/>
          <w:sz w:val="26"/>
          <w:szCs w:val="26"/>
        </w:rPr>
        <w:t xml:space="preserve">, we </w:t>
      </w:r>
      <w:r w:rsidR="001F6EA1" w:rsidRPr="00D85FE8">
        <w:rPr>
          <w:rFonts w:eastAsia="Calibri"/>
          <w:sz w:val="26"/>
          <w:szCs w:val="26"/>
        </w:rPr>
        <w:t xml:space="preserve">shall </w:t>
      </w:r>
      <w:r w:rsidR="00E20FAC">
        <w:rPr>
          <w:rFonts w:eastAsia="Calibri"/>
          <w:sz w:val="26"/>
          <w:szCs w:val="26"/>
        </w:rPr>
        <w:t xml:space="preserve">approve the Joint Petition for Settlement and deem </w:t>
      </w:r>
      <w:r w:rsidR="00E82728">
        <w:rPr>
          <w:rFonts w:eastAsia="Calibri"/>
          <w:sz w:val="26"/>
          <w:szCs w:val="26"/>
        </w:rPr>
        <w:t xml:space="preserve">PGW’s </w:t>
      </w:r>
      <w:r w:rsidR="001F6EA1" w:rsidRPr="00D85FE8">
        <w:rPr>
          <w:rFonts w:eastAsia="Calibri"/>
          <w:sz w:val="26"/>
          <w:szCs w:val="26"/>
        </w:rPr>
        <w:t>Petition</w:t>
      </w:r>
      <w:r w:rsidR="00E82728">
        <w:rPr>
          <w:rFonts w:eastAsia="Calibri"/>
          <w:sz w:val="26"/>
          <w:szCs w:val="26"/>
        </w:rPr>
        <w:t xml:space="preserve"> for Reconsideration</w:t>
      </w:r>
      <w:r w:rsidR="00DC7BC1">
        <w:rPr>
          <w:rFonts w:eastAsia="Calibri"/>
          <w:sz w:val="26"/>
          <w:szCs w:val="26"/>
        </w:rPr>
        <w:t xml:space="preserve"> withdrawn</w:t>
      </w:r>
      <w:r w:rsidR="00E20FAC">
        <w:rPr>
          <w:rFonts w:eastAsia="Calibri"/>
          <w:sz w:val="26"/>
          <w:szCs w:val="26"/>
        </w:rPr>
        <w:t>.</w:t>
      </w:r>
    </w:p>
    <w:p w14:paraId="092F93C8" w14:textId="77777777" w:rsidR="00274AE0" w:rsidRPr="00027664" w:rsidRDefault="00274AE0" w:rsidP="001C75D6">
      <w:pPr>
        <w:widowControl/>
        <w:tabs>
          <w:tab w:val="left" w:pos="-720"/>
        </w:tabs>
        <w:suppressAutoHyphens/>
        <w:spacing w:line="360" w:lineRule="auto"/>
        <w:ind w:firstLine="1440"/>
        <w:rPr>
          <w:b/>
          <w:sz w:val="26"/>
        </w:rPr>
      </w:pPr>
    </w:p>
    <w:p w14:paraId="014516A8" w14:textId="77777777" w:rsidR="00B64EC2" w:rsidRPr="00627720" w:rsidRDefault="00B64EC2" w:rsidP="001C75D6">
      <w:pPr>
        <w:pStyle w:val="ListParagraph"/>
        <w:keepNext/>
        <w:keepLines/>
        <w:numPr>
          <w:ilvl w:val="0"/>
          <w:numId w:val="7"/>
        </w:numPr>
        <w:spacing w:after="0" w:line="360" w:lineRule="auto"/>
        <w:contextualSpacing w:val="0"/>
        <w:jc w:val="center"/>
        <w:rPr>
          <w:rFonts w:ascii="Times New Roman" w:hAnsi="Times New Roman" w:cs="Times New Roman"/>
          <w:b/>
          <w:sz w:val="26"/>
          <w:szCs w:val="26"/>
        </w:rPr>
      </w:pPr>
      <w:r w:rsidRPr="00E95541">
        <w:rPr>
          <w:rFonts w:ascii="Times New Roman" w:hAnsi="Times New Roman" w:cs="Times New Roman"/>
          <w:b/>
          <w:sz w:val="26"/>
          <w:szCs w:val="26"/>
        </w:rPr>
        <w:t>History of Proceeding</w:t>
      </w:r>
    </w:p>
    <w:p w14:paraId="5282EAF2" w14:textId="77777777" w:rsidR="00B64EC2" w:rsidRPr="00E95541" w:rsidRDefault="00B64EC2" w:rsidP="001C75D6">
      <w:pPr>
        <w:pStyle w:val="ListParagraph"/>
        <w:keepNext/>
        <w:keepLines/>
        <w:spacing w:after="0" w:line="360" w:lineRule="auto"/>
        <w:ind w:left="1080"/>
        <w:contextualSpacing w:val="0"/>
        <w:rPr>
          <w:rFonts w:ascii="Times New Roman" w:hAnsi="Times New Roman" w:cs="Times New Roman"/>
          <w:b/>
          <w:sz w:val="26"/>
          <w:szCs w:val="26"/>
        </w:rPr>
      </w:pPr>
    </w:p>
    <w:p w14:paraId="037C1D6F" w14:textId="42FF4BB0" w:rsidR="00B64EC2" w:rsidRDefault="00B64EC2" w:rsidP="001C75D6">
      <w:pPr>
        <w:widowControl/>
        <w:spacing w:line="360" w:lineRule="auto"/>
        <w:ind w:firstLine="1440"/>
        <w:rPr>
          <w:w w:val="102"/>
          <w:sz w:val="26"/>
          <w:szCs w:val="26"/>
        </w:rPr>
      </w:pPr>
      <w:r w:rsidRPr="00E95541">
        <w:rPr>
          <w:sz w:val="26"/>
          <w:szCs w:val="26"/>
        </w:rPr>
        <w:t>On February 28, 2017, PGW filed Supplement No. 100 to Tariff Gas – Pa. P.U.C. No. 2 (Supplement No. 100), with the Commission to become effective April 28, 2017, at Docket No. R</w:t>
      </w:r>
      <w:r w:rsidRPr="00E95541">
        <w:rPr>
          <w:sz w:val="26"/>
          <w:szCs w:val="26"/>
        </w:rPr>
        <w:noBreakHyphen/>
        <w:t>2017-2586783</w:t>
      </w:r>
      <w:r w:rsidR="00A75E04">
        <w:rPr>
          <w:sz w:val="26"/>
          <w:szCs w:val="26"/>
        </w:rPr>
        <w:t xml:space="preserve">, proposing </w:t>
      </w:r>
      <w:r w:rsidR="00A75E04" w:rsidRPr="00E95541">
        <w:rPr>
          <w:sz w:val="26"/>
          <w:szCs w:val="26"/>
        </w:rPr>
        <w:t xml:space="preserve">an annual increase in base rate revenues in the amount of $70 million, approximately </w:t>
      </w:r>
      <w:r w:rsidR="00A75E04">
        <w:rPr>
          <w:sz w:val="26"/>
          <w:szCs w:val="26"/>
        </w:rPr>
        <w:t>an 11.6 percent</w:t>
      </w:r>
      <w:r w:rsidR="00A75E04" w:rsidRPr="00E95541">
        <w:rPr>
          <w:sz w:val="26"/>
          <w:szCs w:val="26"/>
        </w:rPr>
        <w:t xml:space="preserve"> increase over present rates</w:t>
      </w:r>
      <w:r w:rsidR="00A75E04" w:rsidRPr="00E95541">
        <w:rPr>
          <w:w w:val="102"/>
          <w:sz w:val="26"/>
          <w:szCs w:val="26"/>
        </w:rPr>
        <w:t>.</w:t>
      </w:r>
      <w:bookmarkStart w:id="0" w:name="_BA_Cite_D73C37_000344"/>
      <w:bookmarkEnd w:id="0"/>
    </w:p>
    <w:p w14:paraId="4B81F042" w14:textId="77777777" w:rsidR="00B64EC2" w:rsidRPr="00E95541" w:rsidRDefault="00B64EC2" w:rsidP="001C75D6">
      <w:pPr>
        <w:widowControl/>
        <w:spacing w:line="360" w:lineRule="auto"/>
        <w:ind w:firstLine="1440"/>
        <w:rPr>
          <w:w w:val="102"/>
          <w:sz w:val="26"/>
          <w:szCs w:val="26"/>
        </w:rPr>
      </w:pPr>
    </w:p>
    <w:p w14:paraId="52EAF203" w14:textId="11C29235" w:rsidR="00B64EC2" w:rsidRPr="00490992" w:rsidRDefault="00B64EC2" w:rsidP="001C75D6">
      <w:pPr>
        <w:widowControl/>
        <w:spacing w:line="360" w:lineRule="auto"/>
        <w:ind w:firstLine="1440"/>
        <w:rPr>
          <w:sz w:val="26"/>
          <w:szCs w:val="26"/>
        </w:rPr>
      </w:pPr>
      <w:r w:rsidRPr="00E95541">
        <w:rPr>
          <w:sz w:val="26"/>
          <w:szCs w:val="26"/>
        </w:rPr>
        <w:t>On March 6, 2017, the OCA filed a Public Statement, a Notice of Appearance and a Formal Complaint.</w:t>
      </w:r>
      <w:r w:rsidR="00490992">
        <w:rPr>
          <w:sz w:val="26"/>
          <w:szCs w:val="26"/>
        </w:rPr>
        <w:t xml:space="preserve">  </w:t>
      </w:r>
      <w:r w:rsidR="00490992">
        <w:rPr>
          <w:i/>
          <w:sz w:val="26"/>
          <w:szCs w:val="26"/>
        </w:rPr>
        <w:t xml:space="preserve">See </w:t>
      </w:r>
      <w:r w:rsidR="00490992">
        <w:rPr>
          <w:sz w:val="26"/>
          <w:szCs w:val="26"/>
        </w:rPr>
        <w:t xml:space="preserve">Docket No. </w:t>
      </w:r>
      <w:r w:rsidR="00490992" w:rsidRPr="00B32A9D">
        <w:rPr>
          <w:sz w:val="26"/>
          <w:szCs w:val="26"/>
        </w:rPr>
        <w:t>C-2017-2592092</w:t>
      </w:r>
      <w:r w:rsidR="00490992">
        <w:rPr>
          <w:sz w:val="26"/>
          <w:szCs w:val="26"/>
        </w:rPr>
        <w:t>.</w:t>
      </w:r>
    </w:p>
    <w:p w14:paraId="1A53355C" w14:textId="77777777" w:rsidR="00B64EC2" w:rsidRPr="00E95541" w:rsidRDefault="00B64EC2" w:rsidP="001C75D6">
      <w:pPr>
        <w:widowControl/>
        <w:spacing w:line="360" w:lineRule="auto"/>
        <w:ind w:firstLine="1440"/>
        <w:rPr>
          <w:sz w:val="26"/>
          <w:szCs w:val="26"/>
        </w:rPr>
      </w:pPr>
    </w:p>
    <w:p w14:paraId="0532BCDA" w14:textId="227336C1" w:rsidR="00B64EC2" w:rsidRDefault="00B64EC2" w:rsidP="001C75D6">
      <w:pPr>
        <w:widowControl/>
        <w:spacing w:line="360" w:lineRule="auto"/>
        <w:ind w:firstLine="1440"/>
        <w:rPr>
          <w:sz w:val="26"/>
          <w:szCs w:val="26"/>
        </w:rPr>
      </w:pPr>
      <w:r w:rsidRPr="00E95541">
        <w:rPr>
          <w:sz w:val="26"/>
          <w:szCs w:val="26"/>
        </w:rPr>
        <w:t xml:space="preserve">By Order entered March 16, 2017, </w:t>
      </w:r>
      <w:r w:rsidR="00A75E04">
        <w:rPr>
          <w:sz w:val="26"/>
          <w:szCs w:val="26"/>
        </w:rPr>
        <w:t>the Commission</w:t>
      </w:r>
      <w:r w:rsidRPr="00E95541">
        <w:rPr>
          <w:sz w:val="26"/>
          <w:szCs w:val="26"/>
        </w:rPr>
        <w:t xml:space="preserve"> </w:t>
      </w:r>
      <w:r w:rsidR="006359C2">
        <w:rPr>
          <w:sz w:val="26"/>
          <w:szCs w:val="26"/>
        </w:rPr>
        <w:t xml:space="preserve">suspended </w:t>
      </w:r>
      <w:r w:rsidR="006359C2" w:rsidRPr="00E95541">
        <w:rPr>
          <w:sz w:val="26"/>
          <w:szCs w:val="26"/>
        </w:rPr>
        <w:t>Supplement No. 100 by operation of law</w:t>
      </w:r>
      <w:r w:rsidR="006359C2">
        <w:rPr>
          <w:sz w:val="26"/>
          <w:szCs w:val="26"/>
        </w:rPr>
        <w:t xml:space="preserve">; </w:t>
      </w:r>
      <w:r w:rsidRPr="00E95541">
        <w:rPr>
          <w:sz w:val="26"/>
          <w:szCs w:val="26"/>
        </w:rPr>
        <w:t>instituted an investigation into the lawfulness, justness, and reasonableness of the proposed rate increase</w:t>
      </w:r>
      <w:r w:rsidR="00A75E04">
        <w:rPr>
          <w:sz w:val="26"/>
          <w:szCs w:val="26"/>
        </w:rPr>
        <w:t xml:space="preserve"> and existing rates; and,</w:t>
      </w:r>
      <w:r>
        <w:rPr>
          <w:sz w:val="26"/>
          <w:szCs w:val="26"/>
        </w:rPr>
        <w:t xml:space="preserve"> assigned</w:t>
      </w:r>
      <w:r w:rsidR="00A75E04">
        <w:rPr>
          <w:sz w:val="26"/>
          <w:szCs w:val="26"/>
        </w:rPr>
        <w:t xml:space="preserve"> the matter</w:t>
      </w:r>
      <w:r>
        <w:rPr>
          <w:sz w:val="26"/>
          <w:szCs w:val="26"/>
        </w:rPr>
        <w:t xml:space="preserve"> </w:t>
      </w:r>
      <w:r w:rsidRPr="00E95541">
        <w:rPr>
          <w:sz w:val="26"/>
          <w:szCs w:val="26"/>
        </w:rPr>
        <w:t>to the Office of Administrative Law Judge (OALJ) for the prompt scheduling of hearings culminating in the issuance of a Recommended Decision.</w:t>
      </w:r>
    </w:p>
    <w:p w14:paraId="0683B40A" w14:textId="77777777" w:rsidR="00B64EC2" w:rsidRPr="00E95541" w:rsidRDefault="00B64EC2" w:rsidP="001C75D6">
      <w:pPr>
        <w:widowControl/>
        <w:spacing w:line="360" w:lineRule="auto"/>
        <w:ind w:firstLine="1440"/>
        <w:rPr>
          <w:sz w:val="26"/>
          <w:szCs w:val="26"/>
        </w:rPr>
      </w:pPr>
    </w:p>
    <w:p w14:paraId="2C1D1A4F" w14:textId="76A0606F" w:rsidR="00B64EC2" w:rsidRDefault="00B64EC2" w:rsidP="001C75D6">
      <w:pPr>
        <w:widowControl/>
        <w:spacing w:line="360" w:lineRule="auto"/>
        <w:ind w:firstLine="1440"/>
        <w:rPr>
          <w:sz w:val="26"/>
          <w:szCs w:val="26"/>
        </w:rPr>
      </w:pPr>
      <w:r>
        <w:rPr>
          <w:sz w:val="26"/>
          <w:szCs w:val="26"/>
        </w:rPr>
        <w:t>O</w:t>
      </w:r>
      <w:r w:rsidRPr="00E95541">
        <w:rPr>
          <w:sz w:val="26"/>
          <w:szCs w:val="26"/>
        </w:rPr>
        <w:t>n June 2</w:t>
      </w:r>
      <w:r w:rsidR="006D3CFA">
        <w:rPr>
          <w:sz w:val="26"/>
          <w:szCs w:val="26"/>
        </w:rPr>
        <w:t>8</w:t>
      </w:r>
      <w:r w:rsidRPr="00E95541">
        <w:rPr>
          <w:sz w:val="26"/>
          <w:szCs w:val="26"/>
        </w:rPr>
        <w:t xml:space="preserve">, 2017, </w:t>
      </w:r>
      <w:r w:rsidR="006D3CFA">
        <w:rPr>
          <w:sz w:val="26"/>
          <w:szCs w:val="26"/>
        </w:rPr>
        <w:t>t</w:t>
      </w:r>
      <w:r w:rsidRPr="00E95541">
        <w:rPr>
          <w:sz w:val="26"/>
          <w:szCs w:val="26"/>
        </w:rPr>
        <w:t xml:space="preserve">he evidentiary hearing was held as scheduled.  During the evidentiary hearing, the written testimonies of PGW, the OCA and the remaining </w:t>
      </w:r>
      <w:r w:rsidRPr="00E95541">
        <w:rPr>
          <w:sz w:val="26"/>
          <w:szCs w:val="26"/>
        </w:rPr>
        <w:lastRenderedPageBreak/>
        <w:t>Parties to this proceeding were admitted into the record.</w:t>
      </w:r>
      <w:r w:rsidR="006D3CFA">
        <w:rPr>
          <w:sz w:val="26"/>
          <w:szCs w:val="26"/>
        </w:rPr>
        <w:t xml:space="preserve">  The Parties </w:t>
      </w:r>
      <w:r w:rsidR="006D3CFA" w:rsidRPr="00E95541">
        <w:rPr>
          <w:sz w:val="26"/>
          <w:szCs w:val="26"/>
        </w:rPr>
        <w:t>agreed to waive cross-examination of all witnesses</w:t>
      </w:r>
      <w:r w:rsidR="006D3CFA">
        <w:rPr>
          <w:sz w:val="26"/>
          <w:szCs w:val="26"/>
        </w:rPr>
        <w:t>.</w:t>
      </w:r>
    </w:p>
    <w:p w14:paraId="7387023E" w14:textId="77777777" w:rsidR="00B64EC2" w:rsidRDefault="00B64EC2" w:rsidP="001C75D6">
      <w:pPr>
        <w:widowControl/>
        <w:spacing w:line="360" w:lineRule="auto"/>
        <w:ind w:firstLine="1440"/>
        <w:rPr>
          <w:sz w:val="26"/>
          <w:szCs w:val="26"/>
        </w:rPr>
      </w:pPr>
    </w:p>
    <w:p w14:paraId="1D6DF18C" w14:textId="1242922B" w:rsidR="00B64EC2" w:rsidRDefault="00B64EC2" w:rsidP="001C75D6">
      <w:pPr>
        <w:widowControl/>
        <w:spacing w:line="360" w:lineRule="auto"/>
        <w:ind w:firstLine="1440"/>
        <w:rPr>
          <w:sz w:val="26"/>
          <w:szCs w:val="26"/>
        </w:rPr>
      </w:pPr>
      <w:r>
        <w:rPr>
          <w:sz w:val="26"/>
          <w:szCs w:val="26"/>
        </w:rPr>
        <w:t>O</w:t>
      </w:r>
      <w:r w:rsidRPr="00E95541">
        <w:rPr>
          <w:sz w:val="26"/>
          <w:szCs w:val="26"/>
        </w:rPr>
        <w:t xml:space="preserve">n July 21, 2017, a Joint Petition for Partial Settlement (Joint Petition </w:t>
      </w:r>
      <w:r w:rsidR="00270A71">
        <w:rPr>
          <w:sz w:val="26"/>
          <w:szCs w:val="26"/>
        </w:rPr>
        <w:t>f</w:t>
      </w:r>
      <w:r w:rsidRPr="00E95541">
        <w:rPr>
          <w:sz w:val="26"/>
          <w:szCs w:val="26"/>
        </w:rPr>
        <w:t xml:space="preserve">or Partial Settlement) was filed by PGW, the OCA, and the </w:t>
      </w:r>
      <w:r w:rsidR="00270A71">
        <w:rPr>
          <w:sz w:val="26"/>
          <w:szCs w:val="26"/>
        </w:rPr>
        <w:t>other</w:t>
      </w:r>
      <w:r w:rsidRPr="00E95541">
        <w:rPr>
          <w:sz w:val="26"/>
          <w:szCs w:val="26"/>
        </w:rPr>
        <w:t xml:space="preserve"> Parties to this proceeding</w:t>
      </w:r>
      <w:r w:rsidR="00270A71">
        <w:rPr>
          <w:sz w:val="26"/>
          <w:szCs w:val="26"/>
        </w:rPr>
        <w:t>,</w:t>
      </w:r>
      <w:r w:rsidR="00270A71" w:rsidRPr="00270A71">
        <w:rPr>
          <w:sz w:val="26"/>
          <w:szCs w:val="26"/>
        </w:rPr>
        <w:t xml:space="preserve"> </w:t>
      </w:r>
      <w:r w:rsidR="00270A71" w:rsidRPr="003F1D77">
        <w:rPr>
          <w:sz w:val="26"/>
          <w:szCs w:val="26"/>
        </w:rPr>
        <w:t xml:space="preserve">including the </w:t>
      </w:r>
      <w:r w:rsidR="00490992">
        <w:rPr>
          <w:sz w:val="26"/>
          <w:szCs w:val="26"/>
        </w:rPr>
        <w:t xml:space="preserve">Commission’s </w:t>
      </w:r>
      <w:r w:rsidR="00270A71" w:rsidRPr="003F1D77">
        <w:rPr>
          <w:sz w:val="26"/>
          <w:szCs w:val="26"/>
        </w:rPr>
        <w:t>Bureau of Investigation and Enforcement</w:t>
      </w:r>
      <w:r w:rsidR="00C13BFB">
        <w:rPr>
          <w:sz w:val="26"/>
          <w:szCs w:val="26"/>
        </w:rPr>
        <w:t xml:space="preserve"> (I&amp;E)</w:t>
      </w:r>
      <w:r w:rsidR="00270A71" w:rsidRPr="003F1D77">
        <w:rPr>
          <w:sz w:val="26"/>
          <w:szCs w:val="26"/>
        </w:rPr>
        <w:t>, the Office of Small Business Advocate</w:t>
      </w:r>
      <w:r w:rsidR="00C13BFB">
        <w:rPr>
          <w:sz w:val="26"/>
          <w:szCs w:val="26"/>
        </w:rPr>
        <w:t xml:space="preserve"> (OSBA)</w:t>
      </w:r>
      <w:r w:rsidR="00270A71" w:rsidRPr="003F1D77">
        <w:rPr>
          <w:sz w:val="26"/>
          <w:szCs w:val="26"/>
        </w:rPr>
        <w:t>, the Retail Energy Supply Association</w:t>
      </w:r>
      <w:r w:rsidR="00C13BFB">
        <w:rPr>
          <w:sz w:val="26"/>
          <w:szCs w:val="26"/>
        </w:rPr>
        <w:t xml:space="preserve"> (RESA)</w:t>
      </w:r>
      <w:r w:rsidR="00270A71" w:rsidRPr="003F1D77">
        <w:rPr>
          <w:sz w:val="26"/>
          <w:szCs w:val="26"/>
        </w:rPr>
        <w:t>, the Philadelphia Industrial and Commercial Gas Users Group</w:t>
      </w:r>
      <w:r w:rsidR="00C13BFB">
        <w:rPr>
          <w:sz w:val="26"/>
          <w:szCs w:val="26"/>
        </w:rPr>
        <w:t xml:space="preserve"> (PICGUG)</w:t>
      </w:r>
      <w:r w:rsidR="00270A71" w:rsidRPr="003F1D77">
        <w:rPr>
          <w:sz w:val="26"/>
          <w:szCs w:val="26"/>
        </w:rPr>
        <w:t>, the Coalition for Affordable Utility Services and Energy Efficiency in Pennsylvania</w:t>
      </w:r>
      <w:r w:rsidR="00C13BFB">
        <w:rPr>
          <w:sz w:val="26"/>
          <w:szCs w:val="26"/>
        </w:rPr>
        <w:t xml:space="preserve"> (CAUSE-PA)</w:t>
      </w:r>
      <w:r w:rsidR="00270A71" w:rsidRPr="003F1D77">
        <w:rPr>
          <w:sz w:val="26"/>
          <w:szCs w:val="26"/>
        </w:rPr>
        <w:t>, and Tenant Union Representative Network and Action Alliance of Senior Citizens of Greater Philadelphia</w:t>
      </w:r>
      <w:r w:rsidR="00C13BFB">
        <w:rPr>
          <w:sz w:val="26"/>
          <w:szCs w:val="26"/>
        </w:rPr>
        <w:t xml:space="preserve"> (TURN </w:t>
      </w:r>
      <w:r w:rsidR="00C13BFB" w:rsidRPr="00C13BFB">
        <w:rPr>
          <w:i/>
          <w:sz w:val="26"/>
          <w:szCs w:val="26"/>
        </w:rPr>
        <w:t>et al</w:t>
      </w:r>
      <w:r w:rsidR="00C13BFB">
        <w:rPr>
          <w:sz w:val="26"/>
          <w:szCs w:val="26"/>
        </w:rPr>
        <w:t>.)</w:t>
      </w:r>
      <w:r w:rsidR="00270A71">
        <w:rPr>
          <w:sz w:val="26"/>
          <w:szCs w:val="26"/>
        </w:rPr>
        <w:t>.  The Joint Petition for Partial Settlement was</w:t>
      </w:r>
      <w:r w:rsidRPr="00E95541">
        <w:rPr>
          <w:sz w:val="26"/>
          <w:szCs w:val="26"/>
        </w:rPr>
        <w:t xml:space="preserve"> presented as having resolved all base rate issues except for two issues reserved for litigation.  Among the litigated issues not resolved by the Partial Settlement </w:t>
      </w:r>
      <w:r>
        <w:rPr>
          <w:sz w:val="26"/>
          <w:szCs w:val="26"/>
        </w:rPr>
        <w:t xml:space="preserve">was </w:t>
      </w:r>
      <w:r w:rsidR="00A75E04">
        <w:rPr>
          <w:sz w:val="26"/>
          <w:szCs w:val="26"/>
        </w:rPr>
        <w:t xml:space="preserve">the </w:t>
      </w:r>
      <w:r>
        <w:rPr>
          <w:sz w:val="26"/>
          <w:szCs w:val="26"/>
        </w:rPr>
        <w:t>dispute</w:t>
      </w:r>
      <w:r w:rsidR="00D65627">
        <w:rPr>
          <w:sz w:val="26"/>
          <w:szCs w:val="26"/>
        </w:rPr>
        <w:t xml:space="preserve"> that is the subject of the present Opinion and Order</w:t>
      </w:r>
      <w:r>
        <w:rPr>
          <w:sz w:val="26"/>
          <w:szCs w:val="26"/>
        </w:rPr>
        <w:t xml:space="preserve"> between the OCA and PGW concerning </w:t>
      </w:r>
      <w:r w:rsidRPr="00E95541">
        <w:rPr>
          <w:sz w:val="26"/>
          <w:szCs w:val="26"/>
        </w:rPr>
        <w:t>PGW’s partial payment allocation practices</w:t>
      </w:r>
      <w:r>
        <w:rPr>
          <w:sz w:val="26"/>
          <w:szCs w:val="26"/>
        </w:rPr>
        <w:t>.</w:t>
      </w:r>
    </w:p>
    <w:p w14:paraId="1DD8466D" w14:textId="77777777" w:rsidR="00B64EC2" w:rsidRDefault="00B64EC2" w:rsidP="001C75D6">
      <w:pPr>
        <w:widowControl/>
        <w:spacing w:line="360" w:lineRule="auto"/>
        <w:ind w:firstLine="1440"/>
        <w:rPr>
          <w:sz w:val="26"/>
          <w:szCs w:val="26"/>
        </w:rPr>
      </w:pPr>
      <w:r>
        <w:rPr>
          <w:sz w:val="26"/>
          <w:szCs w:val="26"/>
        </w:rPr>
        <w:t xml:space="preserve"> </w:t>
      </w:r>
    </w:p>
    <w:p w14:paraId="31C1F24A" w14:textId="6FA71578" w:rsidR="00B64EC2" w:rsidRDefault="00B64EC2" w:rsidP="001C75D6">
      <w:pPr>
        <w:widowControl/>
        <w:spacing w:line="360" w:lineRule="auto"/>
        <w:ind w:firstLine="1440"/>
        <w:rPr>
          <w:sz w:val="26"/>
          <w:szCs w:val="26"/>
        </w:rPr>
      </w:pPr>
      <w:r>
        <w:rPr>
          <w:sz w:val="26"/>
          <w:szCs w:val="26"/>
        </w:rPr>
        <w:t>O</w:t>
      </w:r>
      <w:r w:rsidRPr="00E95541">
        <w:rPr>
          <w:sz w:val="26"/>
          <w:szCs w:val="26"/>
        </w:rPr>
        <w:t>n September 8, 2017, the ALJs’ Recommended Decision was issued</w:t>
      </w:r>
      <w:r w:rsidR="00A75E04">
        <w:rPr>
          <w:sz w:val="26"/>
          <w:szCs w:val="26"/>
        </w:rPr>
        <w:t xml:space="preserve">, recommending </w:t>
      </w:r>
      <w:r w:rsidR="006017F9">
        <w:rPr>
          <w:sz w:val="26"/>
          <w:szCs w:val="26"/>
        </w:rPr>
        <w:t xml:space="preserve">that </w:t>
      </w:r>
      <w:r w:rsidR="00A75E04">
        <w:rPr>
          <w:sz w:val="26"/>
          <w:szCs w:val="26"/>
        </w:rPr>
        <w:t xml:space="preserve">the Commission </w:t>
      </w:r>
      <w:r w:rsidR="006017F9">
        <w:rPr>
          <w:sz w:val="26"/>
          <w:szCs w:val="26"/>
        </w:rPr>
        <w:t xml:space="preserve">approve the </w:t>
      </w:r>
      <w:r>
        <w:rPr>
          <w:sz w:val="26"/>
          <w:szCs w:val="26"/>
        </w:rPr>
        <w:t>Partial Settlement</w:t>
      </w:r>
      <w:r w:rsidR="00A75E04">
        <w:rPr>
          <w:sz w:val="26"/>
          <w:szCs w:val="26"/>
        </w:rPr>
        <w:t>, without modification,</w:t>
      </w:r>
      <w:r>
        <w:rPr>
          <w:sz w:val="26"/>
          <w:szCs w:val="26"/>
        </w:rPr>
        <w:t xml:space="preserve"> as </w:t>
      </w:r>
      <w:r w:rsidRPr="00E95541">
        <w:rPr>
          <w:sz w:val="26"/>
          <w:szCs w:val="26"/>
        </w:rPr>
        <w:t>reasonable and in the public interest</w:t>
      </w:r>
      <w:r w:rsidR="00A75E04">
        <w:rPr>
          <w:sz w:val="26"/>
          <w:szCs w:val="26"/>
        </w:rPr>
        <w:t xml:space="preserve">, and </w:t>
      </w:r>
      <w:r w:rsidRPr="00E95541">
        <w:rPr>
          <w:sz w:val="26"/>
          <w:szCs w:val="26"/>
        </w:rPr>
        <w:t>further recommend</w:t>
      </w:r>
      <w:r w:rsidR="00A75E04">
        <w:rPr>
          <w:sz w:val="26"/>
          <w:szCs w:val="26"/>
        </w:rPr>
        <w:t>ing</w:t>
      </w:r>
      <w:r w:rsidRPr="00E95541">
        <w:rPr>
          <w:sz w:val="26"/>
          <w:szCs w:val="26"/>
        </w:rPr>
        <w:t xml:space="preserve"> that the</w:t>
      </w:r>
      <w:r w:rsidR="00270A71">
        <w:rPr>
          <w:sz w:val="26"/>
          <w:szCs w:val="26"/>
        </w:rPr>
        <w:t xml:space="preserve"> Commission dismiss without prejudice the</w:t>
      </w:r>
      <w:r w:rsidRPr="00E95541">
        <w:rPr>
          <w:sz w:val="26"/>
          <w:szCs w:val="26"/>
        </w:rPr>
        <w:t xml:space="preserve"> OCA</w:t>
      </w:r>
      <w:r>
        <w:rPr>
          <w:sz w:val="26"/>
          <w:szCs w:val="26"/>
        </w:rPr>
        <w:t>’s</w:t>
      </w:r>
      <w:r w:rsidRPr="00E95541">
        <w:rPr>
          <w:sz w:val="26"/>
          <w:szCs w:val="26"/>
        </w:rPr>
        <w:t xml:space="preserve"> </w:t>
      </w:r>
      <w:r>
        <w:rPr>
          <w:sz w:val="26"/>
          <w:szCs w:val="26"/>
        </w:rPr>
        <w:t xml:space="preserve">claims regarding </w:t>
      </w:r>
      <w:r w:rsidRPr="00E95541">
        <w:rPr>
          <w:sz w:val="26"/>
          <w:szCs w:val="26"/>
        </w:rPr>
        <w:t>PGW’s partial payment allocation practices.</w:t>
      </w:r>
    </w:p>
    <w:p w14:paraId="7878DC84" w14:textId="77777777" w:rsidR="00B64EC2" w:rsidRDefault="00B64EC2" w:rsidP="001C75D6">
      <w:pPr>
        <w:widowControl/>
        <w:spacing w:line="360" w:lineRule="auto"/>
        <w:ind w:firstLine="1440"/>
        <w:rPr>
          <w:sz w:val="26"/>
          <w:szCs w:val="26"/>
        </w:rPr>
      </w:pPr>
    </w:p>
    <w:p w14:paraId="185413CE" w14:textId="77EF9B98" w:rsidR="00F44776" w:rsidRDefault="00FF2E68" w:rsidP="001C75D6">
      <w:pPr>
        <w:widowControl/>
        <w:spacing w:line="360" w:lineRule="auto"/>
        <w:ind w:firstLine="1440"/>
        <w:rPr>
          <w:sz w:val="26"/>
          <w:szCs w:val="26"/>
        </w:rPr>
      </w:pPr>
      <w:r>
        <w:rPr>
          <w:sz w:val="26"/>
          <w:szCs w:val="26"/>
        </w:rPr>
        <w:t>O</w:t>
      </w:r>
      <w:r w:rsidRPr="00E95541">
        <w:rPr>
          <w:sz w:val="26"/>
          <w:szCs w:val="26"/>
        </w:rPr>
        <w:t>n September</w:t>
      </w:r>
      <w:r>
        <w:rPr>
          <w:sz w:val="26"/>
          <w:szCs w:val="26"/>
        </w:rPr>
        <w:t> </w:t>
      </w:r>
      <w:r w:rsidRPr="00E95541">
        <w:rPr>
          <w:sz w:val="26"/>
          <w:szCs w:val="26"/>
        </w:rPr>
        <w:t>25, 2017</w:t>
      </w:r>
      <w:r>
        <w:rPr>
          <w:sz w:val="26"/>
          <w:szCs w:val="26"/>
        </w:rPr>
        <w:t>, t</w:t>
      </w:r>
      <w:r w:rsidR="00B64EC2" w:rsidRPr="00E95541">
        <w:rPr>
          <w:sz w:val="26"/>
          <w:szCs w:val="26"/>
        </w:rPr>
        <w:t>he OCA filed Exceptions to the R</w:t>
      </w:r>
      <w:r w:rsidR="00B64EC2">
        <w:rPr>
          <w:sz w:val="26"/>
          <w:szCs w:val="26"/>
        </w:rPr>
        <w:t>ecommended Decision</w:t>
      </w:r>
      <w:r w:rsidR="00B64EC2" w:rsidRPr="00E95541">
        <w:rPr>
          <w:sz w:val="26"/>
          <w:szCs w:val="26"/>
        </w:rPr>
        <w:t xml:space="preserve">.  On this same date, PGW submitted a Letter in Lieu of Exceptions.  </w:t>
      </w:r>
      <w:r>
        <w:rPr>
          <w:sz w:val="26"/>
          <w:szCs w:val="26"/>
        </w:rPr>
        <w:t>O</w:t>
      </w:r>
      <w:r w:rsidRPr="00E95541">
        <w:rPr>
          <w:sz w:val="26"/>
          <w:szCs w:val="26"/>
        </w:rPr>
        <w:t xml:space="preserve">n October 2, 2017, </w:t>
      </w:r>
      <w:r w:rsidR="00B64EC2" w:rsidRPr="00E95541">
        <w:rPr>
          <w:sz w:val="26"/>
          <w:szCs w:val="26"/>
        </w:rPr>
        <w:t>Replies to Exceptions were filed by PGW and the OCA.</w:t>
      </w:r>
    </w:p>
    <w:p w14:paraId="4E969636" w14:textId="77777777" w:rsidR="00F44776" w:rsidRDefault="00F44776" w:rsidP="001C75D6">
      <w:pPr>
        <w:widowControl/>
        <w:spacing w:line="360" w:lineRule="auto"/>
        <w:ind w:firstLine="1440"/>
        <w:rPr>
          <w:sz w:val="26"/>
          <w:szCs w:val="26"/>
        </w:rPr>
      </w:pPr>
    </w:p>
    <w:p w14:paraId="4FB0B9C6" w14:textId="725D6A06" w:rsidR="00B64EC2" w:rsidRDefault="00A75E04" w:rsidP="001C75D6">
      <w:pPr>
        <w:widowControl/>
        <w:spacing w:line="360" w:lineRule="auto"/>
        <w:ind w:firstLine="1440"/>
        <w:rPr>
          <w:sz w:val="26"/>
          <w:szCs w:val="26"/>
        </w:rPr>
      </w:pPr>
      <w:r>
        <w:rPr>
          <w:sz w:val="26"/>
          <w:szCs w:val="26"/>
        </w:rPr>
        <w:t xml:space="preserve">By </w:t>
      </w:r>
      <w:r w:rsidR="00B64EC2" w:rsidRPr="00E95541">
        <w:rPr>
          <w:sz w:val="26"/>
          <w:szCs w:val="26"/>
        </w:rPr>
        <w:t xml:space="preserve">Opinion and Order </w:t>
      </w:r>
      <w:r w:rsidR="00274AE0">
        <w:rPr>
          <w:sz w:val="26"/>
          <w:szCs w:val="26"/>
        </w:rPr>
        <w:t xml:space="preserve">entered </w:t>
      </w:r>
      <w:r>
        <w:rPr>
          <w:sz w:val="26"/>
          <w:szCs w:val="26"/>
        </w:rPr>
        <w:t>o</w:t>
      </w:r>
      <w:r w:rsidRPr="00E95541">
        <w:rPr>
          <w:sz w:val="26"/>
          <w:szCs w:val="26"/>
        </w:rPr>
        <w:t>n November 8, 2017</w:t>
      </w:r>
      <w:r w:rsidR="00FF2E68" w:rsidRPr="00FF2E68">
        <w:rPr>
          <w:sz w:val="26"/>
          <w:szCs w:val="26"/>
        </w:rPr>
        <w:t xml:space="preserve"> </w:t>
      </w:r>
      <w:r w:rsidR="00FF2E68">
        <w:rPr>
          <w:sz w:val="26"/>
          <w:szCs w:val="26"/>
        </w:rPr>
        <w:t>(</w:t>
      </w:r>
      <w:r w:rsidR="00FF2E68" w:rsidRPr="00274AE0">
        <w:rPr>
          <w:i/>
          <w:sz w:val="26"/>
          <w:szCs w:val="26"/>
        </w:rPr>
        <w:t xml:space="preserve">November </w:t>
      </w:r>
      <w:r w:rsidR="00FF2E68">
        <w:rPr>
          <w:i/>
          <w:sz w:val="26"/>
          <w:szCs w:val="26"/>
        </w:rPr>
        <w:t>2017</w:t>
      </w:r>
      <w:r w:rsidR="00FF2E68" w:rsidRPr="00274AE0">
        <w:rPr>
          <w:i/>
          <w:sz w:val="26"/>
          <w:szCs w:val="26"/>
        </w:rPr>
        <w:t xml:space="preserve"> Order</w:t>
      </w:r>
      <w:r w:rsidR="00FF2E68">
        <w:rPr>
          <w:sz w:val="26"/>
          <w:szCs w:val="26"/>
        </w:rPr>
        <w:t xml:space="preserve">), </w:t>
      </w:r>
      <w:r>
        <w:rPr>
          <w:sz w:val="26"/>
          <w:szCs w:val="26"/>
        </w:rPr>
        <w:t>the Commission, in relevant part,</w:t>
      </w:r>
      <w:r w:rsidR="00FF2E68">
        <w:rPr>
          <w:sz w:val="26"/>
          <w:szCs w:val="26"/>
        </w:rPr>
        <w:t xml:space="preserve"> denied </w:t>
      </w:r>
      <w:r w:rsidR="00B64EC2" w:rsidRPr="00E95541">
        <w:rPr>
          <w:sz w:val="26"/>
          <w:szCs w:val="26"/>
        </w:rPr>
        <w:t xml:space="preserve">the </w:t>
      </w:r>
      <w:r w:rsidR="00B64EC2">
        <w:rPr>
          <w:sz w:val="26"/>
          <w:szCs w:val="26"/>
        </w:rPr>
        <w:t xml:space="preserve">OCA’s </w:t>
      </w:r>
      <w:r w:rsidR="00274AE0">
        <w:rPr>
          <w:sz w:val="26"/>
          <w:szCs w:val="26"/>
        </w:rPr>
        <w:t>Exceptions</w:t>
      </w:r>
      <w:r>
        <w:rPr>
          <w:sz w:val="26"/>
          <w:szCs w:val="26"/>
        </w:rPr>
        <w:t xml:space="preserve"> and </w:t>
      </w:r>
      <w:r w:rsidR="00274AE0">
        <w:rPr>
          <w:sz w:val="26"/>
          <w:szCs w:val="26"/>
        </w:rPr>
        <w:t>adopt</w:t>
      </w:r>
      <w:r w:rsidR="00FF2E68">
        <w:rPr>
          <w:sz w:val="26"/>
          <w:szCs w:val="26"/>
        </w:rPr>
        <w:t>ed</w:t>
      </w:r>
      <w:r w:rsidR="00B64EC2" w:rsidRPr="00E95541">
        <w:rPr>
          <w:sz w:val="26"/>
          <w:szCs w:val="26"/>
        </w:rPr>
        <w:t xml:space="preserve"> the ALJ</w:t>
      </w:r>
      <w:r w:rsidR="00274AE0">
        <w:rPr>
          <w:sz w:val="26"/>
          <w:szCs w:val="26"/>
        </w:rPr>
        <w:t xml:space="preserve">s’ </w:t>
      </w:r>
      <w:r>
        <w:rPr>
          <w:sz w:val="26"/>
          <w:szCs w:val="26"/>
        </w:rPr>
        <w:t>recommendation</w:t>
      </w:r>
      <w:r w:rsidR="00724D74">
        <w:rPr>
          <w:sz w:val="26"/>
          <w:szCs w:val="26"/>
        </w:rPr>
        <w:t>s</w:t>
      </w:r>
      <w:r>
        <w:rPr>
          <w:sz w:val="26"/>
          <w:szCs w:val="26"/>
        </w:rPr>
        <w:t xml:space="preserve"> to</w:t>
      </w:r>
      <w:r w:rsidR="00270A71">
        <w:rPr>
          <w:sz w:val="26"/>
          <w:szCs w:val="26"/>
        </w:rPr>
        <w:t xml:space="preserve"> approve the Joint Petition for Partial Settlement and </w:t>
      </w:r>
      <w:r>
        <w:rPr>
          <w:sz w:val="26"/>
          <w:szCs w:val="26"/>
        </w:rPr>
        <w:t>dismiss</w:t>
      </w:r>
      <w:r w:rsidR="000C3A8D">
        <w:rPr>
          <w:sz w:val="26"/>
          <w:szCs w:val="26"/>
        </w:rPr>
        <w:t>,</w:t>
      </w:r>
      <w:r w:rsidR="00B64EC2" w:rsidRPr="00E95541">
        <w:rPr>
          <w:sz w:val="26"/>
          <w:szCs w:val="26"/>
        </w:rPr>
        <w:t xml:space="preserve"> </w:t>
      </w:r>
      <w:r w:rsidR="00B64EC2" w:rsidRPr="00E95541">
        <w:rPr>
          <w:sz w:val="26"/>
          <w:szCs w:val="26"/>
        </w:rPr>
        <w:lastRenderedPageBreak/>
        <w:t>without prejudice</w:t>
      </w:r>
      <w:r w:rsidR="000C3A8D">
        <w:rPr>
          <w:sz w:val="26"/>
          <w:szCs w:val="26"/>
        </w:rPr>
        <w:t>, t</w:t>
      </w:r>
      <w:r w:rsidR="00B64EC2" w:rsidRPr="00E95541">
        <w:rPr>
          <w:sz w:val="26"/>
          <w:szCs w:val="26"/>
        </w:rPr>
        <w:t>he OCA’s claims regarding PGW’s partia</w:t>
      </w:r>
      <w:r w:rsidR="00B64EC2">
        <w:rPr>
          <w:sz w:val="26"/>
          <w:szCs w:val="26"/>
        </w:rPr>
        <w:t>l payment allocation practices</w:t>
      </w:r>
      <w:r w:rsidR="00FF2E68">
        <w:rPr>
          <w:sz w:val="26"/>
          <w:szCs w:val="26"/>
        </w:rPr>
        <w:t>.</w:t>
      </w:r>
      <w:r w:rsidR="00274AE0">
        <w:rPr>
          <w:sz w:val="26"/>
          <w:szCs w:val="26"/>
        </w:rPr>
        <w:t xml:space="preserve"> </w:t>
      </w:r>
    </w:p>
    <w:p w14:paraId="49D3CAA7" w14:textId="77777777" w:rsidR="00B64EC2" w:rsidRDefault="00B64EC2" w:rsidP="001C75D6">
      <w:pPr>
        <w:widowControl/>
        <w:spacing w:line="360" w:lineRule="auto"/>
        <w:ind w:firstLine="1440"/>
        <w:rPr>
          <w:sz w:val="26"/>
          <w:szCs w:val="26"/>
        </w:rPr>
      </w:pPr>
    </w:p>
    <w:p w14:paraId="139BFE37" w14:textId="11E303C2" w:rsidR="006359C2" w:rsidRDefault="00B64EC2" w:rsidP="001C75D6">
      <w:pPr>
        <w:widowControl/>
        <w:spacing w:line="360" w:lineRule="auto"/>
        <w:ind w:firstLine="1440"/>
        <w:rPr>
          <w:sz w:val="26"/>
          <w:szCs w:val="26"/>
        </w:rPr>
      </w:pPr>
      <w:r>
        <w:rPr>
          <w:sz w:val="26"/>
          <w:szCs w:val="26"/>
        </w:rPr>
        <w:t>O</w:t>
      </w:r>
      <w:r w:rsidRPr="00E95541">
        <w:rPr>
          <w:sz w:val="26"/>
          <w:szCs w:val="26"/>
        </w:rPr>
        <w:t xml:space="preserve">n November 27, 2017, the OCA filed </w:t>
      </w:r>
      <w:r w:rsidR="00274AE0">
        <w:rPr>
          <w:sz w:val="26"/>
          <w:szCs w:val="26"/>
        </w:rPr>
        <w:t xml:space="preserve">a Petition </w:t>
      </w:r>
      <w:r w:rsidR="00FA5DFE">
        <w:rPr>
          <w:sz w:val="26"/>
          <w:szCs w:val="26"/>
        </w:rPr>
        <w:t xml:space="preserve">for </w:t>
      </w:r>
      <w:r w:rsidRPr="00E95541">
        <w:rPr>
          <w:sz w:val="26"/>
          <w:szCs w:val="26"/>
        </w:rPr>
        <w:t xml:space="preserve">Reconsideration </w:t>
      </w:r>
      <w:r w:rsidR="006017F9">
        <w:rPr>
          <w:sz w:val="26"/>
          <w:szCs w:val="26"/>
        </w:rPr>
        <w:t>of</w:t>
      </w:r>
      <w:r w:rsidRPr="00E95541">
        <w:rPr>
          <w:sz w:val="26"/>
          <w:szCs w:val="26"/>
        </w:rPr>
        <w:t xml:space="preserve"> the </w:t>
      </w:r>
      <w:r w:rsidR="00037613">
        <w:rPr>
          <w:i/>
          <w:sz w:val="26"/>
          <w:szCs w:val="26"/>
        </w:rPr>
        <w:t>November 2017 Order</w:t>
      </w:r>
      <w:r w:rsidR="000877F1">
        <w:rPr>
          <w:sz w:val="26"/>
          <w:szCs w:val="26"/>
        </w:rPr>
        <w:t xml:space="preserve">.  In </w:t>
      </w:r>
      <w:r w:rsidR="000C3A8D">
        <w:rPr>
          <w:sz w:val="26"/>
          <w:szCs w:val="26"/>
        </w:rPr>
        <w:t xml:space="preserve">its </w:t>
      </w:r>
      <w:r w:rsidR="000877F1">
        <w:rPr>
          <w:sz w:val="26"/>
          <w:szCs w:val="26"/>
        </w:rPr>
        <w:t>Petition</w:t>
      </w:r>
      <w:r w:rsidR="00A62484">
        <w:rPr>
          <w:sz w:val="26"/>
          <w:szCs w:val="26"/>
        </w:rPr>
        <w:t xml:space="preserve"> for Reconsideration</w:t>
      </w:r>
      <w:r w:rsidR="000877F1">
        <w:rPr>
          <w:sz w:val="26"/>
          <w:szCs w:val="26"/>
        </w:rPr>
        <w:t>, the OCA</w:t>
      </w:r>
      <w:r w:rsidR="00274AE0">
        <w:rPr>
          <w:sz w:val="26"/>
          <w:szCs w:val="26"/>
        </w:rPr>
        <w:t xml:space="preserve"> </w:t>
      </w:r>
      <w:r w:rsidR="000877F1">
        <w:rPr>
          <w:sz w:val="26"/>
          <w:szCs w:val="26"/>
        </w:rPr>
        <w:t>requested</w:t>
      </w:r>
      <w:r w:rsidR="00274AE0">
        <w:rPr>
          <w:sz w:val="26"/>
          <w:szCs w:val="26"/>
        </w:rPr>
        <w:t xml:space="preserve"> </w:t>
      </w:r>
      <w:r w:rsidR="00A62484">
        <w:rPr>
          <w:sz w:val="26"/>
          <w:szCs w:val="26"/>
        </w:rPr>
        <w:t xml:space="preserve">that the Commission reconsider </w:t>
      </w:r>
      <w:r w:rsidR="00724D74">
        <w:rPr>
          <w:sz w:val="26"/>
          <w:szCs w:val="26"/>
        </w:rPr>
        <w:t xml:space="preserve">our decision to </w:t>
      </w:r>
      <w:r w:rsidR="00A62484">
        <w:rPr>
          <w:sz w:val="26"/>
          <w:szCs w:val="26"/>
        </w:rPr>
        <w:t>d</w:t>
      </w:r>
      <w:r w:rsidR="00274AE0">
        <w:rPr>
          <w:sz w:val="26"/>
          <w:szCs w:val="26"/>
        </w:rPr>
        <w:t>ismiss</w:t>
      </w:r>
      <w:r w:rsidR="000C3A8D">
        <w:rPr>
          <w:sz w:val="26"/>
          <w:szCs w:val="26"/>
        </w:rPr>
        <w:t>,</w:t>
      </w:r>
      <w:r w:rsidR="00274AE0">
        <w:rPr>
          <w:sz w:val="26"/>
          <w:szCs w:val="26"/>
        </w:rPr>
        <w:t xml:space="preserve"> </w:t>
      </w:r>
      <w:r w:rsidR="00724D74">
        <w:rPr>
          <w:sz w:val="26"/>
          <w:szCs w:val="26"/>
        </w:rPr>
        <w:t>without prejudice</w:t>
      </w:r>
      <w:r w:rsidR="000C3A8D">
        <w:rPr>
          <w:sz w:val="26"/>
          <w:szCs w:val="26"/>
        </w:rPr>
        <w:t>,</w:t>
      </w:r>
      <w:r w:rsidR="00724D74">
        <w:rPr>
          <w:sz w:val="26"/>
          <w:szCs w:val="26"/>
        </w:rPr>
        <w:t xml:space="preserve"> </w:t>
      </w:r>
      <w:r w:rsidR="00274AE0">
        <w:rPr>
          <w:sz w:val="26"/>
          <w:szCs w:val="26"/>
        </w:rPr>
        <w:t>the OCA’s claims regarding PGW’s partial payment allocation practices and</w:t>
      </w:r>
      <w:r w:rsidR="000877F1">
        <w:rPr>
          <w:sz w:val="26"/>
          <w:szCs w:val="26"/>
        </w:rPr>
        <w:t xml:space="preserve"> </w:t>
      </w:r>
      <w:r w:rsidR="00274AE0">
        <w:rPr>
          <w:sz w:val="26"/>
          <w:szCs w:val="26"/>
        </w:rPr>
        <w:t xml:space="preserve">that the Commission render a decision on the merits of its claims based on the fully-developed record </w:t>
      </w:r>
      <w:r w:rsidR="000877F1">
        <w:rPr>
          <w:sz w:val="26"/>
          <w:szCs w:val="26"/>
        </w:rPr>
        <w:t>in this proceeding</w:t>
      </w:r>
      <w:r w:rsidR="00274AE0">
        <w:rPr>
          <w:sz w:val="26"/>
          <w:szCs w:val="26"/>
        </w:rPr>
        <w:t>.  O</w:t>
      </w:r>
      <w:r w:rsidRPr="00E95541">
        <w:rPr>
          <w:sz w:val="26"/>
          <w:szCs w:val="26"/>
        </w:rPr>
        <w:t xml:space="preserve">n December 7, 2017, </w:t>
      </w:r>
      <w:r>
        <w:rPr>
          <w:sz w:val="26"/>
          <w:szCs w:val="26"/>
        </w:rPr>
        <w:t xml:space="preserve">PGW filed </w:t>
      </w:r>
      <w:r w:rsidR="00274AE0">
        <w:rPr>
          <w:sz w:val="26"/>
          <w:szCs w:val="26"/>
        </w:rPr>
        <w:t>an</w:t>
      </w:r>
      <w:r>
        <w:rPr>
          <w:sz w:val="26"/>
          <w:szCs w:val="26"/>
        </w:rPr>
        <w:t xml:space="preserve"> Answer </w:t>
      </w:r>
      <w:r w:rsidR="00274AE0">
        <w:rPr>
          <w:sz w:val="26"/>
          <w:szCs w:val="26"/>
        </w:rPr>
        <w:t>to</w:t>
      </w:r>
      <w:r w:rsidR="002560E9">
        <w:rPr>
          <w:sz w:val="26"/>
          <w:szCs w:val="26"/>
        </w:rPr>
        <w:t xml:space="preserve"> the</w:t>
      </w:r>
      <w:r w:rsidR="00274AE0">
        <w:rPr>
          <w:sz w:val="26"/>
          <w:szCs w:val="26"/>
        </w:rPr>
        <w:t xml:space="preserve"> OCA</w:t>
      </w:r>
      <w:r w:rsidR="00D056DE">
        <w:rPr>
          <w:sz w:val="26"/>
          <w:szCs w:val="26"/>
        </w:rPr>
        <w:t>’s</w:t>
      </w:r>
      <w:r w:rsidR="00274AE0">
        <w:rPr>
          <w:sz w:val="26"/>
          <w:szCs w:val="26"/>
        </w:rPr>
        <w:t xml:space="preserve"> Petition, requesting that we </w:t>
      </w:r>
      <w:r w:rsidR="00120983">
        <w:rPr>
          <w:sz w:val="26"/>
          <w:szCs w:val="26"/>
        </w:rPr>
        <w:t>not disturb</w:t>
      </w:r>
      <w:r w:rsidR="00274AE0">
        <w:rPr>
          <w:sz w:val="26"/>
          <w:szCs w:val="26"/>
        </w:rPr>
        <w:t xml:space="preserve"> the </w:t>
      </w:r>
      <w:r w:rsidR="00037613">
        <w:rPr>
          <w:i/>
          <w:sz w:val="26"/>
          <w:szCs w:val="26"/>
        </w:rPr>
        <w:t>November 2017 Order</w:t>
      </w:r>
      <w:r w:rsidR="00274AE0">
        <w:rPr>
          <w:sz w:val="26"/>
          <w:szCs w:val="26"/>
        </w:rPr>
        <w:t>.</w:t>
      </w:r>
    </w:p>
    <w:p w14:paraId="1F387869" w14:textId="77777777" w:rsidR="006359C2" w:rsidRDefault="006359C2" w:rsidP="001C75D6">
      <w:pPr>
        <w:widowControl/>
        <w:spacing w:line="360" w:lineRule="auto"/>
        <w:ind w:firstLine="1440"/>
        <w:rPr>
          <w:sz w:val="26"/>
          <w:szCs w:val="26"/>
        </w:rPr>
      </w:pPr>
    </w:p>
    <w:p w14:paraId="2829B30B" w14:textId="4D13D2D6" w:rsidR="007836A1" w:rsidRDefault="009964D8" w:rsidP="001C75D6">
      <w:pPr>
        <w:widowControl/>
        <w:spacing w:line="360" w:lineRule="auto"/>
        <w:ind w:firstLine="1440"/>
        <w:rPr>
          <w:sz w:val="26"/>
          <w:szCs w:val="26"/>
        </w:rPr>
      </w:pPr>
      <w:r>
        <w:rPr>
          <w:sz w:val="26"/>
          <w:szCs w:val="26"/>
        </w:rPr>
        <w:t xml:space="preserve">By Opinion and Order entered December 7, 2017, the Commission granted </w:t>
      </w:r>
      <w:r w:rsidR="00004C82">
        <w:rPr>
          <w:sz w:val="26"/>
          <w:szCs w:val="26"/>
        </w:rPr>
        <w:t xml:space="preserve">the </w:t>
      </w:r>
      <w:r w:rsidR="008426D9">
        <w:rPr>
          <w:sz w:val="26"/>
          <w:szCs w:val="26"/>
        </w:rPr>
        <w:t>OCA</w:t>
      </w:r>
      <w:r>
        <w:rPr>
          <w:sz w:val="26"/>
          <w:szCs w:val="26"/>
        </w:rPr>
        <w:t>’s Petition for Reconsider</w:t>
      </w:r>
      <w:r w:rsidR="003F1D77">
        <w:rPr>
          <w:sz w:val="26"/>
          <w:szCs w:val="26"/>
        </w:rPr>
        <w:t>ation</w:t>
      </w:r>
      <w:r>
        <w:rPr>
          <w:sz w:val="26"/>
          <w:szCs w:val="26"/>
        </w:rPr>
        <w:t xml:space="preserve"> pending review of, and consideration on, the merits of the Petition.</w:t>
      </w:r>
    </w:p>
    <w:p w14:paraId="1C11F5D0" w14:textId="77777777" w:rsidR="00120983" w:rsidRDefault="00120983" w:rsidP="001C75D6">
      <w:pPr>
        <w:widowControl/>
        <w:spacing w:line="360" w:lineRule="auto"/>
        <w:ind w:firstLine="1440"/>
        <w:rPr>
          <w:sz w:val="26"/>
          <w:szCs w:val="26"/>
        </w:rPr>
      </w:pPr>
    </w:p>
    <w:p w14:paraId="16F70B8B" w14:textId="3654223D" w:rsidR="009964D8" w:rsidRDefault="009964D8" w:rsidP="001C75D6">
      <w:pPr>
        <w:widowControl/>
        <w:spacing w:line="360" w:lineRule="auto"/>
        <w:ind w:firstLine="1440"/>
        <w:rPr>
          <w:sz w:val="26"/>
          <w:szCs w:val="26"/>
        </w:rPr>
      </w:pPr>
      <w:r>
        <w:rPr>
          <w:sz w:val="26"/>
          <w:szCs w:val="26"/>
        </w:rPr>
        <w:t>By Opinion and Order entered May 18, 2018 (</w:t>
      </w:r>
      <w:r w:rsidRPr="009964D8">
        <w:rPr>
          <w:i/>
          <w:sz w:val="26"/>
          <w:szCs w:val="26"/>
        </w:rPr>
        <w:t>May 2018 Order</w:t>
      </w:r>
      <w:r>
        <w:rPr>
          <w:sz w:val="26"/>
          <w:szCs w:val="26"/>
        </w:rPr>
        <w:t xml:space="preserve">), </w:t>
      </w:r>
      <w:r w:rsidR="007836A1">
        <w:rPr>
          <w:sz w:val="26"/>
          <w:szCs w:val="26"/>
        </w:rPr>
        <w:t xml:space="preserve">the Commission </w:t>
      </w:r>
      <w:r>
        <w:rPr>
          <w:sz w:val="26"/>
          <w:szCs w:val="26"/>
        </w:rPr>
        <w:t>granted</w:t>
      </w:r>
      <w:r w:rsidR="008426D9">
        <w:rPr>
          <w:sz w:val="26"/>
          <w:szCs w:val="26"/>
        </w:rPr>
        <w:t xml:space="preserve">, on the merits, </w:t>
      </w:r>
      <w:r>
        <w:rPr>
          <w:sz w:val="26"/>
          <w:szCs w:val="26"/>
        </w:rPr>
        <w:t>the OCA’s Petition for Reconsideration</w:t>
      </w:r>
      <w:r w:rsidR="00120983">
        <w:rPr>
          <w:sz w:val="26"/>
          <w:szCs w:val="26"/>
        </w:rPr>
        <w:t xml:space="preserve"> and</w:t>
      </w:r>
      <w:r w:rsidR="00950E32">
        <w:rPr>
          <w:sz w:val="26"/>
          <w:szCs w:val="26"/>
        </w:rPr>
        <w:t xml:space="preserve"> </w:t>
      </w:r>
      <w:r w:rsidR="007836A1">
        <w:rPr>
          <w:sz w:val="26"/>
          <w:szCs w:val="26"/>
        </w:rPr>
        <w:t>concluded</w:t>
      </w:r>
      <w:r w:rsidR="00D65627">
        <w:rPr>
          <w:sz w:val="26"/>
          <w:szCs w:val="26"/>
        </w:rPr>
        <w:t>,</w:t>
      </w:r>
      <w:r w:rsidR="007836A1">
        <w:rPr>
          <w:sz w:val="26"/>
          <w:szCs w:val="26"/>
        </w:rPr>
        <w:t xml:space="preserve"> </w:t>
      </w:r>
      <w:r w:rsidR="004816DF">
        <w:rPr>
          <w:sz w:val="26"/>
          <w:szCs w:val="26"/>
        </w:rPr>
        <w:t>based on review of the record and the Parties</w:t>
      </w:r>
      <w:r w:rsidR="00D65627">
        <w:rPr>
          <w:sz w:val="26"/>
          <w:szCs w:val="26"/>
        </w:rPr>
        <w:t>’</w:t>
      </w:r>
      <w:r w:rsidR="004816DF">
        <w:rPr>
          <w:sz w:val="26"/>
          <w:szCs w:val="26"/>
        </w:rPr>
        <w:t xml:space="preserve"> legal arguments</w:t>
      </w:r>
      <w:r w:rsidR="00D65627">
        <w:rPr>
          <w:sz w:val="26"/>
          <w:szCs w:val="26"/>
        </w:rPr>
        <w:t>,</w:t>
      </w:r>
      <w:r w:rsidR="004816DF">
        <w:rPr>
          <w:sz w:val="26"/>
          <w:szCs w:val="26"/>
        </w:rPr>
        <w:t xml:space="preserve"> that</w:t>
      </w:r>
      <w:r w:rsidR="007836A1">
        <w:rPr>
          <w:sz w:val="26"/>
          <w:szCs w:val="26"/>
        </w:rPr>
        <w:t xml:space="preserve"> PGW’s</w:t>
      </w:r>
      <w:r w:rsidR="007836A1">
        <w:t xml:space="preserve"> </w:t>
      </w:r>
      <w:r w:rsidR="007836A1">
        <w:rPr>
          <w:sz w:val="26"/>
          <w:szCs w:val="26"/>
        </w:rPr>
        <w:t xml:space="preserve">current partial payment allocation practices violate </w:t>
      </w:r>
      <w:r w:rsidR="00950E32">
        <w:rPr>
          <w:sz w:val="26"/>
          <w:szCs w:val="26"/>
        </w:rPr>
        <w:t xml:space="preserve">Sections 56.22 and 56.24 of the </w:t>
      </w:r>
      <w:r w:rsidR="007836A1">
        <w:rPr>
          <w:sz w:val="26"/>
          <w:szCs w:val="26"/>
        </w:rPr>
        <w:t>Commission</w:t>
      </w:r>
      <w:r w:rsidR="00950E32">
        <w:rPr>
          <w:sz w:val="26"/>
          <w:szCs w:val="26"/>
        </w:rPr>
        <w:t>’s R</w:t>
      </w:r>
      <w:r w:rsidR="007836A1">
        <w:rPr>
          <w:sz w:val="26"/>
          <w:szCs w:val="26"/>
        </w:rPr>
        <w:t>egulations</w:t>
      </w:r>
      <w:r w:rsidR="008426D9">
        <w:rPr>
          <w:sz w:val="26"/>
          <w:szCs w:val="26"/>
        </w:rPr>
        <w:t>, 52 Pa. Code §§ 56.22, 56.24,</w:t>
      </w:r>
      <w:r w:rsidR="007836A1">
        <w:rPr>
          <w:sz w:val="26"/>
          <w:szCs w:val="26"/>
        </w:rPr>
        <w:t xml:space="preserve"> </w:t>
      </w:r>
      <w:r w:rsidR="00950E32">
        <w:rPr>
          <w:sz w:val="26"/>
          <w:szCs w:val="26"/>
        </w:rPr>
        <w:t>and</w:t>
      </w:r>
      <w:r w:rsidR="007836A1">
        <w:rPr>
          <w:sz w:val="26"/>
          <w:szCs w:val="26"/>
        </w:rPr>
        <w:t xml:space="preserve"> </w:t>
      </w:r>
      <w:r w:rsidR="00950E32">
        <w:rPr>
          <w:sz w:val="26"/>
          <w:szCs w:val="26"/>
        </w:rPr>
        <w:t>Sections 1301</w:t>
      </w:r>
      <w:r w:rsidR="008426D9">
        <w:rPr>
          <w:sz w:val="26"/>
          <w:szCs w:val="26"/>
        </w:rPr>
        <w:t>, 1303</w:t>
      </w:r>
      <w:r w:rsidR="00950E32">
        <w:rPr>
          <w:sz w:val="26"/>
          <w:szCs w:val="26"/>
        </w:rPr>
        <w:t xml:space="preserve"> and 1501 of the</w:t>
      </w:r>
      <w:r w:rsidR="007836A1">
        <w:rPr>
          <w:sz w:val="26"/>
          <w:szCs w:val="26"/>
        </w:rPr>
        <w:t xml:space="preserve"> </w:t>
      </w:r>
      <w:r w:rsidR="00F61820">
        <w:rPr>
          <w:sz w:val="26"/>
          <w:szCs w:val="26"/>
        </w:rPr>
        <w:t xml:space="preserve">Public Utility </w:t>
      </w:r>
      <w:r w:rsidR="007836A1">
        <w:rPr>
          <w:sz w:val="26"/>
          <w:szCs w:val="26"/>
        </w:rPr>
        <w:t>Code</w:t>
      </w:r>
      <w:r w:rsidR="00F61820">
        <w:rPr>
          <w:sz w:val="26"/>
          <w:szCs w:val="26"/>
        </w:rPr>
        <w:t xml:space="preserve"> (Code)</w:t>
      </w:r>
      <w:r w:rsidR="008426D9">
        <w:rPr>
          <w:sz w:val="26"/>
          <w:szCs w:val="26"/>
        </w:rPr>
        <w:t>, 66 Pa. C.S.§§ 1301, 1303, 1501</w:t>
      </w:r>
      <w:r w:rsidR="00120983">
        <w:rPr>
          <w:sz w:val="26"/>
          <w:szCs w:val="26"/>
        </w:rPr>
        <w:t>.  The Commission</w:t>
      </w:r>
      <w:r>
        <w:rPr>
          <w:sz w:val="26"/>
          <w:szCs w:val="26"/>
        </w:rPr>
        <w:t xml:space="preserve"> directed PGW to modify its partial payment allocation practices so that no priority </w:t>
      </w:r>
      <w:r w:rsidR="00A05366">
        <w:rPr>
          <w:sz w:val="26"/>
          <w:szCs w:val="26"/>
        </w:rPr>
        <w:t>would be</w:t>
      </w:r>
      <w:r>
        <w:rPr>
          <w:sz w:val="26"/>
          <w:szCs w:val="26"/>
        </w:rPr>
        <w:t xml:space="preserve"> given to the satisfaction of </w:t>
      </w:r>
      <w:r w:rsidR="006359C2">
        <w:rPr>
          <w:sz w:val="26"/>
          <w:szCs w:val="26"/>
        </w:rPr>
        <w:t>all</w:t>
      </w:r>
      <w:r w:rsidR="00A05366">
        <w:rPr>
          <w:sz w:val="26"/>
          <w:szCs w:val="26"/>
        </w:rPr>
        <w:t xml:space="preserve"> </w:t>
      </w:r>
      <w:r>
        <w:rPr>
          <w:sz w:val="26"/>
          <w:szCs w:val="26"/>
        </w:rPr>
        <w:t>late payment charges</w:t>
      </w:r>
      <w:r w:rsidR="00A05366">
        <w:rPr>
          <w:sz w:val="26"/>
          <w:szCs w:val="26"/>
        </w:rPr>
        <w:t xml:space="preserve"> before applying the payment to the balance due for prior basic service</w:t>
      </w:r>
      <w:r>
        <w:rPr>
          <w:sz w:val="26"/>
          <w:szCs w:val="26"/>
        </w:rPr>
        <w:t xml:space="preserve"> and to implement such modifications within </w:t>
      </w:r>
      <w:r w:rsidR="00A05366">
        <w:rPr>
          <w:sz w:val="26"/>
          <w:szCs w:val="26"/>
        </w:rPr>
        <w:t xml:space="preserve">ninety </w:t>
      </w:r>
      <w:r>
        <w:rPr>
          <w:sz w:val="26"/>
          <w:szCs w:val="26"/>
        </w:rPr>
        <w:t>days from the</w:t>
      </w:r>
      <w:r w:rsidR="007836A1">
        <w:rPr>
          <w:sz w:val="26"/>
          <w:szCs w:val="26"/>
        </w:rPr>
        <w:t xml:space="preserve"> entry date of the</w:t>
      </w:r>
      <w:r>
        <w:rPr>
          <w:sz w:val="26"/>
          <w:szCs w:val="26"/>
        </w:rPr>
        <w:t xml:space="preserve"> Order.  </w:t>
      </w:r>
      <w:r w:rsidRPr="009964D8">
        <w:rPr>
          <w:i/>
          <w:sz w:val="26"/>
          <w:szCs w:val="26"/>
        </w:rPr>
        <w:t>May 2018 Order</w:t>
      </w:r>
      <w:r>
        <w:rPr>
          <w:sz w:val="26"/>
          <w:szCs w:val="26"/>
        </w:rPr>
        <w:t xml:space="preserve"> at 22</w:t>
      </w:r>
      <w:r w:rsidR="00A05366">
        <w:rPr>
          <w:sz w:val="26"/>
          <w:szCs w:val="26"/>
        </w:rPr>
        <w:t>-23, 26, 28.</w:t>
      </w:r>
    </w:p>
    <w:p w14:paraId="2240535F" w14:textId="77777777" w:rsidR="002560E9" w:rsidRDefault="002560E9" w:rsidP="001C75D6">
      <w:pPr>
        <w:widowControl/>
        <w:spacing w:line="360" w:lineRule="auto"/>
        <w:ind w:firstLine="1440"/>
        <w:rPr>
          <w:sz w:val="26"/>
          <w:szCs w:val="26"/>
        </w:rPr>
      </w:pPr>
    </w:p>
    <w:p w14:paraId="76B9DB4D" w14:textId="42F04A66" w:rsidR="00F44776" w:rsidRDefault="00F15864" w:rsidP="001C75D6">
      <w:pPr>
        <w:widowControl/>
        <w:spacing w:line="360" w:lineRule="auto"/>
        <w:ind w:firstLine="1440"/>
        <w:rPr>
          <w:sz w:val="26"/>
          <w:szCs w:val="26"/>
        </w:rPr>
      </w:pPr>
      <w:r>
        <w:rPr>
          <w:sz w:val="26"/>
          <w:szCs w:val="26"/>
        </w:rPr>
        <w:t xml:space="preserve">On June 4, 2018, PGW filed </w:t>
      </w:r>
      <w:r w:rsidR="00171DC5">
        <w:rPr>
          <w:sz w:val="26"/>
          <w:szCs w:val="26"/>
        </w:rPr>
        <w:t xml:space="preserve">the </w:t>
      </w:r>
      <w:r w:rsidR="00225B81">
        <w:rPr>
          <w:sz w:val="26"/>
          <w:szCs w:val="26"/>
        </w:rPr>
        <w:t>Petition</w:t>
      </w:r>
      <w:r w:rsidR="004816DF">
        <w:rPr>
          <w:sz w:val="26"/>
          <w:szCs w:val="26"/>
        </w:rPr>
        <w:t xml:space="preserve"> </w:t>
      </w:r>
      <w:r w:rsidR="006359C2">
        <w:rPr>
          <w:sz w:val="26"/>
          <w:szCs w:val="26"/>
        </w:rPr>
        <w:t xml:space="preserve">for Reconsideration </w:t>
      </w:r>
      <w:r w:rsidR="004816DF">
        <w:rPr>
          <w:sz w:val="26"/>
          <w:szCs w:val="26"/>
        </w:rPr>
        <w:t>that is before us now,</w:t>
      </w:r>
      <w:r>
        <w:rPr>
          <w:sz w:val="26"/>
          <w:szCs w:val="26"/>
        </w:rPr>
        <w:t xml:space="preserve"> </w:t>
      </w:r>
      <w:r w:rsidR="00F44776">
        <w:rPr>
          <w:sz w:val="26"/>
          <w:szCs w:val="26"/>
        </w:rPr>
        <w:t xml:space="preserve">seeking the Commission’s reconsideration of </w:t>
      </w:r>
      <w:r>
        <w:rPr>
          <w:sz w:val="26"/>
          <w:szCs w:val="26"/>
        </w:rPr>
        <w:t xml:space="preserve">the </w:t>
      </w:r>
      <w:r w:rsidR="00037613">
        <w:rPr>
          <w:i/>
          <w:sz w:val="26"/>
          <w:szCs w:val="26"/>
        </w:rPr>
        <w:t>May 2018 Order</w:t>
      </w:r>
      <w:r w:rsidR="00D65627">
        <w:rPr>
          <w:sz w:val="26"/>
          <w:szCs w:val="26"/>
        </w:rPr>
        <w:t>.  The PGW Petition</w:t>
      </w:r>
      <w:r w:rsidR="00F44776">
        <w:rPr>
          <w:sz w:val="26"/>
          <w:szCs w:val="26"/>
        </w:rPr>
        <w:t xml:space="preserve"> </w:t>
      </w:r>
      <w:r w:rsidR="00D65627">
        <w:rPr>
          <w:sz w:val="26"/>
          <w:szCs w:val="26"/>
        </w:rPr>
        <w:t xml:space="preserve">is </w:t>
      </w:r>
      <w:r w:rsidR="00F44776">
        <w:rPr>
          <w:sz w:val="26"/>
          <w:szCs w:val="26"/>
        </w:rPr>
        <w:t xml:space="preserve">primarily </w:t>
      </w:r>
      <w:r w:rsidR="00D65627">
        <w:rPr>
          <w:sz w:val="26"/>
          <w:szCs w:val="26"/>
        </w:rPr>
        <w:t xml:space="preserve">focused </w:t>
      </w:r>
      <w:r w:rsidR="00F44776">
        <w:rPr>
          <w:sz w:val="26"/>
          <w:szCs w:val="26"/>
        </w:rPr>
        <w:t>on the</w:t>
      </w:r>
      <w:r w:rsidR="00120983">
        <w:rPr>
          <w:sz w:val="26"/>
          <w:szCs w:val="26"/>
        </w:rPr>
        <w:t xml:space="preserve"> </w:t>
      </w:r>
      <w:r w:rsidR="0061498B">
        <w:rPr>
          <w:sz w:val="26"/>
          <w:szCs w:val="26"/>
        </w:rPr>
        <w:t>ninety</w:t>
      </w:r>
      <w:r w:rsidR="00E24647">
        <w:rPr>
          <w:sz w:val="26"/>
          <w:szCs w:val="26"/>
        </w:rPr>
        <w:t>-</w:t>
      </w:r>
      <w:r w:rsidR="00120983">
        <w:rPr>
          <w:sz w:val="26"/>
          <w:szCs w:val="26"/>
        </w:rPr>
        <w:t>day</w:t>
      </w:r>
      <w:r w:rsidR="00F44776">
        <w:rPr>
          <w:sz w:val="26"/>
          <w:szCs w:val="26"/>
        </w:rPr>
        <w:t xml:space="preserve"> </w:t>
      </w:r>
      <w:r w:rsidR="008426D9">
        <w:rPr>
          <w:sz w:val="26"/>
          <w:szCs w:val="26"/>
        </w:rPr>
        <w:t>deadline</w:t>
      </w:r>
      <w:r w:rsidR="00F44776">
        <w:rPr>
          <w:sz w:val="26"/>
          <w:szCs w:val="26"/>
        </w:rPr>
        <w:t xml:space="preserve"> for making the modifications </w:t>
      </w:r>
      <w:r w:rsidR="00F44776">
        <w:rPr>
          <w:sz w:val="26"/>
          <w:szCs w:val="26"/>
        </w:rPr>
        <w:lastRenderedPageBreak/>
        <w:t xml:space="preserve">directed in the </w:t>
      </w:r>
      <w:r w:rsidR="00F44776" w:rsidRPr="00F44776">
        <w:rPr>
          <w:i/>
          <w:sz w:val="26"/>
          <w:szCs w:val="26"/>
        </w:rPr>
        <w:t>May 2018 Order</w:t>
      </w:r>
      <w:r w:rsidR="00F44776">
        <w:rPr>
          <w:sz w:val="26"/>
          <w:szCs w:val="26"/>
        </w:rPr>
        <w:t xml:space="preserve"> but also challeng</w:t>
      </w:r>
      <w:r w:rsidR="00D65627">
        <w:rPr>
          <w:sz w:val="26"/>
          <w:szCs w:val="26"/>
        </w:rPr>
        <w:t>es</w:t>
      </w:r>
      <w:r w:rsidR="00F44776">
        <w:rPr>
          <w:sz w:val="26"/>
          <w:szCs w:val="26"/>
        </w:rPr>
        <w:t xml:space="preserve"> the Commission’s conclusions as to PGW’s violation of </w:t>
      </w:r>
      <w:r w:rsidR="00D65627">
        <w:rPr>
          <w:sz w:val="26"/>
          <w:szCs w:val="26"/>
        </w:rPr>
        <w:t xml:space="preserve">Commission </w:t>
      </w:r>
      <w:r w:rsidR="008426D9">
        <w:rPr>
          <w:sz w:val="26"/>
          <w:szCs w:val="26"/>
        </w:rPr>
        <w:t>R</w:t>
      </w:r>
      <w:r w:rsidR="00F44776">
        <w:rPr>
          <w:sz w:val="26"/>
          <w:szCs w:val="26"/>
        </w:rPr>
        <w:t xml:space="preserve">egulations and </w:t>
      </w:r>
      <w:r w:rsidR="008426D9">
        <w:rPr>
          <w:sz w:val="26"/>
          <w:szCs w:val="26"/>
        </w:rPr>
        <w:t>the Code</w:t>
      </w:r>
      <w:r w:rsidR="00D65627">
        <w:rPr>
          <w:sz w:val="26"/>
          <w:szCs w:val="26"/>
        </w:rPr>
        <w:t>.  The Petition</w:t>
      </w:r>
      <w:r w:rsidR="008426D9">
        <w:rPr>
          <w:sz w:val="26"/>
          <w:szCs w:val="26"/>
        </w:rPr>
        <w:t xml:space="preserve"> </w:t>
      </w:r>
      <w:r w:rsidR="00F44776">
        <w:rPr>
          <w:sz w:val="26"/>
          <w:szCs w:val="26"/>
        </w:rPr>
        <w:t>contend</w:t>
      </w:r>
      <w:r w:rsidR="00D65627">
        <w:rPr>
          <w:sz w:val="26"/>
          <w:szCs w:val="26"/>
        </w:rPr>
        <w:t xml:space="preserve">s, </w:t>
      </w:r>
      <w:r w:rsidR="00D65627">
        <w:rPr>
          <w:i/>
          <w:sz w:val="26"/>
          <w:szCs w:val="26"/>
        </w:rPr>
        <w:t>inter alia</w:t>
      </w:r>
      <w:r w:rsidR="00D65627">
        <w:rPr>
          <w:sz w:val="26"/>
          <w:szCs w:val="26"/>
        </w:rPr>
        <w:t>,</w:t>
      </w:r>
      <w:r w:rsidR="00F44776">
        <w:rPr>
          <w:sz w:val="26"/>
          <w:szCs w:val="26"/>
        </w:rPr>
        <w:t xml:space="preserve"> a lack of substantial evidence to support certain Commission’s findings of the issues.</w:t>
      </w:r>
    </w:p>
    <w:p w14:paraId="6943FA0B" w14:textId="77777777" w:rsidR="00F44776" w:rsidRDefault="00F44776" w:rsidP="001C75D6">
      <w:pPr>
        <w:widowControl/>
        <w:spacing w:line="360" w:lineRule="auto"/>
        <w:ind w:firstLine="1440"/>
        <w:rPr>
          <w:sz w:val="26"/>
          <w:szCs w:val="26"/>
        </w:rPr>
      </w:pPr>
    </w:p>
    <w:p w14:paraId="5CAF5F06" w14:textId="04FB868C" w:rsidR="00F44776" w:rsidRDefault="003C0075" w:rsidP="001C75D6">
      <w:pPr>
        <w:widowControl/>
        <w:spacing w:line="360" w:lineRule="auto"/>
        <w:ind w:firstLine="1440"/>
        <w:rPr>
          <w:sz w:val="26"/>
          <w:szCs w:val="26"/>
        </w:rPr>
      </w:pPr>
      <w:r>
        <w:rPr>
          <w:sz w:val="26"/>
          <w:szCs w:val="26"/>
        </w:rPr>
        <w:t>O</w:t>
      </w:r>
      <w:r w:rsidR="00F15864">
        <w:rPr>
          <w:sz w:val="26"/>
          <w:szCs w:val="26"/>
        </w:rPr>
        <w:t xml:space="preserve">n June 14, 2018, the OCA filed its Answer </w:t>
      </w:r>
      <w:r w:rsidR="00F44776">
        <w:rPr>
          <w:sz w:val="26"/>
          <w:szCs w:val="26"/>
        </w:rPr>
        <w:t>to the Petition</w:t>
      </w:r>
      <w:r w:rsidR="00E24647">
        <w:rPr>
          <w:sz w:val="26"/>
          <w:szCs w:val="26"/>
        </w:rPr>
        <w:t xml:space="preserve">.  The OCA agreed </w:t>
      </w:r>
      <w:r w:rsidR="00950E32">
        <w:rPr>
          <w:sz w:val="26"/>
          <w:szCs w:val="26"/>
        </w:rPr>
        <w:t xml:space="preserve">that the </w:t>
      </w:r>
      <w:r w:rsidR="00F44776">
        <w:rPr>
          <w:sz w:val="26"/>
          <w:szCs w:val="26"/>
        </w:rPr>
        <w:t xml:space="preserve">Commission </w:t>
      </w:r>
      <w:r w:rsidR="00950E32">
        <w:rPr>
          <w:sz w:val="26"/>
          <w:szCs w:val="26"/>
        </w:rPr>
        <w:t xml:space="preserve">may need to </w:t>
      </w:r>
      <w:r w:rsidR="00F44776">
        <w:rPr>
          <w:sz w:val="26"/>
          <w:szCs w:val="26"/>
        </w:rPr>
        <w:t xml:space="preserve">revisit the </w:t>
      </w:r>
      <w:r w:rsidR="006D3CFA">
        <w:rPr>
          <w:sz w:val="26"/>
          <w:szCs w:val="26"/>
        </w:rPr>
        <w:t>ninety</w:t>
      </w:r>
      <w:r w:rsidR="00F44776">
        <w:rPr>
          <w:sz w:val="26"/>
          <w:szCs w:val="26"/>
        </w:rPr>
        <w:t>-day timeframe for implementation of the directed modifications but assert</w:t>
      </w:r>
      <w:r w:rsidR="00E24647">
        <w:rPr>
          <w:sz w:val="26"/>
          <w:szCs w:val="26"/>
        </w:rPr>
        <w:t>ed</w:t>
      </w:r>
      <w:r w:rsidR="00F44776">
        <w:rPr>
          <w:sz w:val="26"/>
          <w:szCs w:val="26"/>
        </w:rPr>
        <w:t xml:space="preserve"> that PGW’s proposed </w:t>
      </w:r>
      <w:r w:rsidR="006D3CFA">
        <w:rPr>
          <w:sz w:val="26"/>
          <w:szCs w:val="26"/>
        </w:rPr>
        <w:t>fifty</w:t>
      </w:r>
      <w:r w:rsidR="00F44776">
        <w:rPr>
          <w:sz w:val="26"/>
          <w:szCs w:val="26"/>
        </w:rPr>
        <w:t xml:space="preserve">-week timeframe may be excessive.  In all other respects, </w:t>
      </w:r>
      <w:r w:rsidR="00950E32">
        <w:rPr>
          <w:sz w:val="26"/>
          <w:szCs w:val="26"/>
        </w:rPr>
        <w:t xml:space="preserve">the </w:t>
      </w:r>
      <w:r w:rsidR="00F44776">
        <w:rPr>
          <w:sz w:val="26"/>
          <w:szCs w:val="26"/>
        </w:rPr>
        <w:t xml:space="preserve">OCA argued for the Commission to leave its </w:t>
      </w:r>
      <w:r w:rsidR="00F44776" w:rsidRPr="00F44776">
        <w:rPr>
          <w:i/>
          <w:sz w:val="26"/>
          <w:szCs w:val="26"/>
        </w:rPr>
        <w:t>May 2018 Order</w:t>
      </w:r>
      <w:r w:rsidR="00F44776">
        <w:rPr>
          <w:sz w:val="26"/>
          <w:szCs w:val="26"/>
        </w:rPr>
        <w:t xml:space="preserve"> intact. </w:t>
      </w:r>
    </w:p>
    <w:p w14:paraId="1C29C86B" w14:textId="09FA71B0" w:rsidR="00F44776" w:rsidRDefault="00F44776" w:rsidP="001C75D6">
      <w:pPr>
        <w:widowControl/>
        <w:spacing w:line="360" w:lineRule="auto"/>
        <w:ind w:firstLine="1440"/>
        <w:rPr>
          <w:sz w:val="26"/>
          <w:szCs w:val="26"/>
        </w:rPr>
      </w:pPr>
    </w:p>
    <w:p w14:paraId="165025CD" w14:textId="4D1640A4" w:rsidR="00F44776" w:rsidRDefault="00F44776" w:rsidP="001C75D6">
      <w:pPr>
        <w:widowControl/>
        <w:spacing w:line="360" w:lineRule="auto"/>
        <w:ind w:firstLine="1440"/>
        <w:rPr>
          <w:sz w:val="26"/>
          <w:szCs w:val="26"/>
        </w:rPr>
      </w:pPr>
      <w:r>
        <w:rPr>
          <w:sz w:val="26"/>
          <w:szCs w:val="26"/>
        </w:rPr>
        <w:t>By Opinion and Order entered June 14, 2018, the Commission granted PGW’s Petition, pending review of, and consideration on, the merits of the Petition.</w:t>
      </w:r>
    </w:p>
    <w:p w14:paraId="67E824FB" w14:textId="04BE5F06" w:rsidR="00F44776" w:rsidRDefault="00F44776" w:rsidP="001C75D6">
      <w:pPr>
        <w:widowControl/>
        <w:spacing w:line="360" w:lineRule="auto"/>
        <w:ind w:firstLine="1440"/>
        <w:rPr>
          <w:sz w:val="26"/>
          <w:szCs w:val="26"/>
        </w:rPr>
      </w:pPr>
      <w:r>
        <w:rPr>
          <w:sz w:val="26"/>
          <w:szCs w:val="26"/>
        </w:rPr>
        <w:t xml:space="preserve"> </w:t>
      </w:r>
    </w:p>
    <w:p w14:paraId="2700410D" w14:textId="0AD0A9B6" w:rsidR="00F44776" w:rsidRDefault="00E82728" w:rsidP="001C75D6">
      <w:pPr>
        <w:widowControl/>
        <w:spacing w:line="360" w:lineRule="auto"/>
        <w:ind w:firstLine="1440"/>
        <w:rPr>
          <w:sz w:val="26"/>
          <w:szCs w:val="26"/>
        </w:rPr>
      </w:pPr>
      <w:r>
        <w:rPr>
          <w:sz w:val="26"/>
          <w:szCs w:val="26"/>
        </w:rPr>
        <w:t xml:space="preserve">The </w:t>
      </w:r>
      <w:r w:rsidR="00D056DE">
        <w:rPr>
          <w:sz w:val="26"/>
          <w:szCs w:val="26"/>
        </w:rPr>
        <w:t>P</w:t>
      </w:r>
      <w:r>
        <w:rPr>
          <w:sz w:val="26"/>
          <w:szCs w:val="26"/>
        </w:rPr>
        <w:t xml:space="preserve">arties then entered into settlement negotiations.  </w:t>
      </w:r>
      <w:r w:rsidR="00950E32">
        <w:rPr>
          <w:sz w:val="26"/>
          <w:szCs w:val="26"/>
        </w:rPr>
        <w:t xml:space="preserve">By letter filed </w:t>
      </w:r>
      <w:r w:rsidR="00F44776">
        <w:rPr>
          <w:sz w:val="26"/>
          <w:szCs w:val="26"/>
        </w:rPr>
        <w:t>August</w:t>
      </w:r>
      <w:r w:rsidR="00FF6A09">
        <w:rPr>
          <w:sz w:val="26"/>
          <w:szCs w:val="26"/>
        </w:rPr>
        <w:t> </w:t>
      </w:r>
      <w:r w:rsidR="00F44776">
        <w:rPr>
          <w:sz w:val="26"/>
          <w:szCs w:val="26"/>
        </w:rPr>
        <w:t>21, 2018</w:t>
      </w:r>
      <w:r w:rsidR="00950E32">
        <w:rPr>
          <w:sz w:val="26"/>
          <w:szCs w:val="26"/>
        </w:rPr>
        <w:t xml:space="preserve"> (</w:t>
      </w:r>
      <w:r w:rsidR="00950E32" w:rsidRPr="005A7022">
        <w:rPr>
          <w:i/>
          <w:sz w:val="26"/>
          <w:szCs w:val="26"/>
        </w:rPr>
        <w:t>August 2018 Letter</w:t>
      </w:r>
      <w:r w:rsidR="00950E32">
        <w:rPr>
          <w:sz w:val="26"/>
          <w:szCs w:val="26"/>
        </w:rPr>
        <w:t>)</w:t>
      </w:r>
      <w:r w:rsidR="00F44776">
        <w:rPr>
          <w:sz w:val="26"/>
          <w:szCs w:val="26"/>
        </w:rPr>
        <w:t xml:space="preserve">, </w:t>
      </w:r>
      <w:r w:rsidR="00950E32">
        <w:rPr>
          <w:sz w:val="26"/>
          <w:szCs w:val="26"/>
        </w:rPr>
        <w:t xml:space="preserve">PGW requested that </w:t>
      </w:r>
      <w:r w:rsidR="005D3192">
        <w:rPr>
          <w:sz w:val="26"/>
          <w:szCs w:val="26"/>
        </w:rPr>
        <w:t>the Commission</w:t>
      </w:r>
      <w:r w:rsidR="00950E32">
        <w:rPr>
          <w:sz w:val="26"/>
          <w:szCs w:val="26"/>
        </w:rPr>
        <w:t xml:space="preserve"> hold in abeyance any decision on </w:t>
      </w:r>
      <w:r>
        <w:rPr>
          <w:sz w:val="26"/>
          <w:szCs w:val="26"/>
        </w:rPr>
        <w:t xml:space="preserve">the merits of </w:t>
      </w:r>
      <w:r w:rsidR="00950E32">
        <w:rPr>
          <w:sz w:val="26"/>
          <w:szCs w:val="26"/>
        </w:rPr>
        <w:t xml:space="preserve">PGW’s Petition </w:t>
      </w:r>
      <w:r w:rsidR="00D65627">
        <w:rPr>
          <w:sz w:val="26"/>
          <w:szCs w:val="26"/>
        </w:rPr>
        <w:t xml:space="preserve">so as </w:t>
      </w:r>
      <w:r w:rsidR="00950E32">
        <w:rPr>
          <w:sz w:val="26"/>
          <w:szCs w:val="26"/>
        </w:rPr>
        <w:t xml:space="preserve">to permit PGW and the OCA </w:t>
      </w:r>
      <w:r w:rsidR="00D65627">
        <w:rPr>
          <w:sz w:val="26"/>
          <w:szCs w:val="26"/>
        </w:rPr>
        <w:t xml:space="preserve">the opportunity </w:t>
      </w:r>
      <w:r w:rsidR="00950E32">
        <w:rPr>
          <w:sz w:val="26"/>
          <w:szCs w:val="26"/>
        </w:rPr>
        <w:t>to engage in settlement discussions on the</w:t>
      </w:r>
      <w:r w:rsidR="008426D9">
        <w:rPr>
          <w:sz w:val="26"/>
          <w:szCs w:val="26"/>
        </w:rPr>
        <w:t xml:space="preserve"> litigated</w:t>
      </w:r>
      <w:r w:rsidR="00950E32">
        <w:rPr>
          <w:sz w:val="26"/>
          <w:szCs w:val="26"/>
        </w:rPr>
        <w:t xml:space="preserve"> issues</w:t>
      </w:r>
      <w:r w:rsidR="008426D9">
        <w:rPr>
          <w:sz w:val="26"/>
          <w:szCs w:val="26"/>
        </w:rPr>
        <w:t xml:space="preserve"> concerning PGW’s partial payment allocation practices</w:t>
      </w:r>
      <w:r w:rsidR="00950E32">
        <w:rPr>
          <w:sz w:val="26"/>
          <w:szCs w:val="26"/>
        </w:rPr>
        <w:t xml:space="preserve">.  </w:t>
      </w:r>
      <w:r w:rsidR="00AF6A35">
        <w:rPr>
          <w:sz w:val="26"/>
          <w:szCs w:val="26"/>
        </w:rPr>
        <w:t xml:space="preserve">PGW stated that the settlement discussions were anticipated to be completed within a few weeks of its request.  </w:t>
      </w:r>
      <w:r w:rsidR="00950E32">
        <w:rPr>
          <w:sz w:val="26"/>
          <w:szCs w:val="26"/>
        </w:rPr>
        <w:t xml:space="preserve">PGW noted </w:t>
      </w:r>
      <w:r w:rsidR="005D3192">
        <w:rPr>
          <w:sz w:val="26"/>
          <w:szCs w:val="26"/>
        </w:rPr>
        <w:t xml:space="preserve">in </w:t>
      </w:r>
      <w:r w:rsidR="00AF6A35">
        <w:rPr>
          <w:sz w:val="26"/>
          <w:szCs w:val="26"/>
        </w:rPr>
        <w:t xml:space="preserve">the </w:t>
      </w:r>
      <w:r w:rsidR="00AF6A35" w:rsidRPr="005A7022">
        <w:rPr>
          <w:i/>
          <w:sz w:val="26"/>
          <w:szCs w:val="26"/>
        </w:rPr>
        <w:t>August 2018 L</w:t>
      </w:r>
      <w:r w:rsidR="005D3192" w:rsidRPr="005A7022">
        <w:rPr>
          <w:i/>
          <w:sz w:val="26"/>
          <w:szCs w:val="26"/>
        </w:rPr>
        <w:t>etter</w:t>
      </w:r>
      <w:r w:rsidR="005D3192">
        <w:rPr>
          <w:sz w:val="26"/>
          <w:szCs w:val="26"/>
        </w:rPr>
        <w:t xml:space="preserve"> </w:t>
      </w:r>
      <w:r w:rsidR="00950E32">
        <w:rPr>
          <w:sz w:val="26"/>
          <w:szCs w:val="26"/>
        </w:rPr>
        <w:t xml:space="preserve">that the OCA was in agreement </w:t>
      </w:r>
      <w:r w:rsidR="00A75E04">
        <w:rPr>
          <w:sz w:val="26"/>
          <w:szCs w:val="26"/>
        </w:rPr>
        <w:t>with PGW’s</w:t>
      </w:r>
      <w:r w:rsidR="00950E32">
        <w:rPr>
          <w:sz w:val="26"/>
          <w:szCs w:val="26"/>
        </w:rPr>
        <w:t xml:space="preserve"> request.</w:t>
      </w:r>
    </w:p>
    <w:p w14:paraId="04F26393" w14:textId="61E2C3B6" w:rsidR="00120983" w:rsidRDefault="00120983" w:rsidP="001C75D6">
      <w:pPr>
        <w:widowControl/>
        <w:spacing w:line="360" w:lineRule="auto"/>
        <w:ind w:firstLine="1440"/>
        <w:rPr>
          <w:sz w:val="26"/>
          <w:szCs w:val="26"/>
        </w:rPr>
      </w:pPr>
    </w:p>
    <w:p w14:paraId="537AF7A1" w14:textId="4D37ADC4" w:rsidR="00120983" w:rsidRDefault="00120983" w:rsidP="001C75D6">
      <w:pPr>
        <w:widowControl/>
        <w:spacing w:line="360" w:lineRule="auto"/>
        <w:ind w:firstLine="1440"/>
        <w:rPr>
          <w:sz w:val="26"/>
          <w:szCs w:val="26"/>
        </w:rPr>
      </w:pPr>
      <w:r>
        <w:rPr>
          <w:sz w:val="26"/>
          <w:szCs w:val="26"/>
        </w:rPr>
        <w:t xml:space="preserve">On April 17, 2019, </w:t>
      </w:r>
      <w:r w:rsidR="003F1D77">
        <w:rPr>
          <w:sz w:val="26"/>
          <w:szCs w:val="26"/>
        </w:rPr>
        <w:t xml:space="preserve">PGW and the OCA filed the </w:t>
      </w:r>
      <w:r w:rsidR="008426D9">
        <w:rPr>
          <w:sz w:val="26"/>
          <w:szCs w:val="26"/>
        </w:rPr>
        <w:t xml:space="preserve">Joint Petition for </w:t>
      </w:r>
      <w:r w:rsidR="003F1D77">
        <w:rPr>
          <w:sz w:val="26"/>
          <w:szCs w:val="26"/>
        </w:rPr>
        <w:t xml:space="preserve">Settlement, requesting the Commission approve the Settlement without modification </w:t>
      </w:r>
      <w:r w:rsidR="008426D9">
        <w:rPr>
          <w:sz w:val="26"/>
          <w:szCs w:val="26"/>
        </w:rPr>
        <w:t xml:space="preserve">and </w:t>
      </w:r>
      <w:r w:rsidR="00724D74">
        <w:rPr>
          <w:sz w:val="26"/>
          <w:szCs w:val="26"/>
        </w:rPr>
        <w:t>amend</w:t>
      </w:r>
      <w:r w:rsidR="003F1D77">
        <w:rPr>
          <w:sz w:val="26"/>
          <w:szCs w:val="26"/>
        </w:rPr>
        <w:t xml:space="preserve"> </w:t>
      </w:r>
      <w:r w:rsidR="00E82728">
        <w:rPr>
          <w:sz w:val="26"/>
          <w:szCs w:val="26"/>
        </w:rPr>
        <w:t xml:space="preserve">the </w:t>
      </w:r>
      <w:r w:rsidR="003F1D77" w:rsidRPr="009351B6">
        <w:rPr>
          <w:i/>
          <w:sz w:val="26"/>
          <w:szCs w:val="26"/>
        </w:rPr>
        <w:t>May 20</w:t>
      </w:r>
      <w:r w:rsidR="009351B6" w:rsidRPr="009351B6">
        <w:rPr>
          <w:i/>
          <w:sz w:val="26"/>
          <w:szCs w:val="26"/>
        </w:rPr>
        <w:t>1</w:t>
      </w:r>
      <w:r w:rsidR="003F1D77" w:rsidRPr="009351B6">
        <w:rPr>
          <w:i/>
          <w:sz w:val="26"/>
          <w:szCs w:val="26"/>
        </w:rPr>
        <w:t>8 Order</w:t>
      </w:r>
      <w:r w:rsidR="003F1D77">
        <w:rPr>
          <w:sz w:val="26"/>
          <w:szCs w:val="26"/>
        </w:rPr>
        <w:t xml:space="preserve"> to provide for a </w:t>
      </w:r>
      <w:r w:rsidR="008426D9">
        <w:rPr>
          <w:sz w:val="26"/>
          <w:szCs w:val="26"/>
        </w:rPr>
        <w:t>fifty-eight</w:t>
      </w:r>
      <w:r w:rsidR="003F1D77">
        <w:rPr>
          <w:sz w:val="26"/>
          <w:szCs w:val="26"/>
        </w:rPr>
        <w:t>-week period</w:t>
      </w:r>
      <w:r w:rsidR="00E82728">
        <w:rPr>
          <w:sz w:val="26"/>
          <w:szCs w:val="26"/>
        </w:rPr>
        <w:t>, instead of a ninety-day period,</w:t>
      </w:r>
      <w:r w:rsidR="003F1D77">
        <w:rPr>
          <w:sz w:val="26"/>
          <w:szCs w:val="26"/>
        </w:rPr>
        <w:t xml:space="preserve"> for PGW to implement the directed changes to its partial payment allocation practices.</w:t>
      </w:r>
    </w:p>
    <w:p w14:paraId="719C923A" w14:textId="1EA2AC24" w:rsidR="008426D9" w:rsidRDefault="008426D9" w:rsidP="001C75D6">
      <w:pPr>
        <w:widowControl/>
        <w:spacing w:line="360" w:lineRule="auto"/>
        <w:ind w:firstLine="1440"/>
        <w:rPr>
          <w:sz w:val="26"/>
          <w:szCs w:val="26"/>
        </w:rPr>
      </w:pPr>
    </w:p>
    <w:p w14:paraId="61B2984C" w14:textId="020B69D6" w:rsidR="008426D9" w:rsidRDefault="008426D9" w:rsidP="001C75D6">
      <w:pPr>
        <w:widowControl/>
        <w:spacing w:line="360" w:lineRule="auto"/>
        <w:ind w:firstLine="1440"/>
        <w:rPr>
          <w:sz w:val="26"/>
          <w:szCs w:val="26"/>
        </w:rPr>
      </w:pPr>
      <w:r w:rsidRPr="003F1D77">
        <w:rPr>
          <w:sz w:val="26"/>
          <w:szCs w:val="26"/>
        </w:rPr>
        <w:lastRenderedPageBreak/>
        <w:t xml:space="preserve">While PGW and the OCA are the only </w:t>
      </w:r>
      <w:r w:rsidR="00FF6A09">
        <w:rPr>
          <w:sz w:val="26"/>
          <w:szCs w:val="26"/>
        </w:rPr>
        <w:t>P</w:t>
      </w:r>
      <w:r w:rsidRPr="003F1D77">
        <w:rPr>
          <w:sz w:val="26"/>
          <w:szCs w:val="26"/>
        </w:rPr>
        <w:t>arties to the Settlement</w:t>
      </w:r>
      <w:r w:rsidR="00B43A77">
        <w:rPr>
          <w:sz w:val="26"/>
          <w:szCs w:val="26"/>
        </w:rPr>
        <w:t xml:space="preserve"> currently before us</w:t>
      </w:r>
      <w:r w:rsidRPr="003F1D77">
        <w:rPr>
          <w:sz w:val="26"/>
          <w:szCs w:val="26"/>
        </w:rPr>
        <w:t xml:space="preserve">, </w:t>
      </w:r>
      <w:r w:rsidR="00CE3EDB">
        <w:rPr>
          <w:sz w:val="26"/>
          <w:szCs w:val="26"/>
        </w:rPr>
        <w:t xml:space="preserve">the Joint Petition for Settlement represents that </w:t>
      </w:r>
      <w:r w:rsidRPr="003F1D77">
        <w:rPr>
          <w:sz w:val="26"/>
          <w:szCs w:val="26"/>
        </w:rPr>
        <w:t xml:space="preserve">the other Parties to </w:t>
      </w:r>
      <w:r>
        <w:rPr>
          <w:sz w:val="26"/>
          <w:szCs w:val="26"/>
        </w:rPr>
        <w:t>PGW’s base rate</w:t>
      </w:r>
      <w:r w:rsidRPr="003F1D77">
        <w:rPr>
          <w:sz w:val="26"/>
          <w:szCs w:val="26"/>
        </w:rPr>
        <w:t xml:space="preserve"> proceeding</w:t>
      </w:r>
      <w:r w:rsidR="00741CB7">
        <w:rPr>
          <w:sz w:val="26"/>
          <w:szCs w:val="26"/>
        </w:rPr>
        <w:t xml:space="preserve"> in the above-captioned dockets</w:t>
      </w:r>
      <w:r w:rsidRPr="003F1D77">
        <w:rPr>
          <w:sz w:val="26"/>
          <w:szCs w:val="26"/>
        </w:rPr>
        <w:t xml:space="preserve">, including </w:t>
      </w:r>
      <w:r w:rsidR="00C13BFB">
        <w:rPr>
          <w:sz w:val="26"/>
          <w:szCs w:val="26"/>
        </w:rPr>
        <w:t>I&amp;E</w:t>
      </w:r>
      <w:r w:rsidR="00C13BFB" w:rsidRPr="003F1D77">
        <w:rPr>
          <w:sz w:val="26"/>
          <w:szCs w:val="26"/>
        </w:rPr>
        <w:t xml:space="preserve">, </w:t>
      </w:r>
      <w:r w:rsidR="00F15804">
        <w:rPr>
          <w:sz w:val="26"/>
          <w:szCs w:val="26"/>
        </w:rPr>
        <w:t xml:space="preserve">the </w:t>
      </w:r>
      <w:r w:rsidR="00C13BFB">
        <w:rPr>
          <w:sz w:val="26"/>
          <w:szCs w:val="26"/>
        </w:rPr>
        <w:t>OSBA</w:t>
      </w:r>
      <w:r w:rsidR="00C13BFB" w:rsidRPr="003F1D77">
        <w:rPr>
          <w:sz w:val="26"/>
          <w:szCs w:val="26"/>
        </w:rPr>
        <w:t xml:space="preserve">, </w:t>
      </w:r>
      <w:r w:rsidR="00C13BFB">
        <w:rPr>
          <w:sz w:val="26"/>
          <w:szCs w:val="26"/>
        </w:rPr>
        <w:t>RESA</w:t>
      </w:r>
      <w:r w:rsidR="00C13BFB" w:rsidRPr="003F1D77">
        <w:rPr>
          <w:sz w:val="26"/>
          <w:szCs w:val="26"/>
        </w:rPr>
        <w:t xml:space="preserve">, </w:t>
      </w:r>
      <w:r w:rsidR="00C13BFB">
        <w:rPr>
          <w:sz w:val="26"/>
          <w:szCs w:val="26"/>
        </w:rPr>
        <w:t>PICGUG</w:t>
      </w:r>
      <w:r w:rsidR="00C13BFB" w:rsidRPr="003F1D77">
        <w:rPr>
          <w:sz w:val="26"/>
          <w:szCs w:val="26"/>
        </w:rPr>
        <w:t xml:space="preserve">, </w:t>
      </w:r>
      <w:r w:rsidR="00C13BFB">
        <w:rPr>
          <w:sz w:val="26"/>
          <w:szCs w:val="26"/>
        </w:rPr>
        <w:t>CAUSE-PA</w:t>
      </w:r>
      <w:r w:rsidR="00C13BFB" w:rsidRPr="003F1D77">
        <w:rPr>
          <w:sz w:val="26"/>
          <w:szCs w:val="26"/>
        </w:rPr>
        <w:t xml:space="preserve">, and </w:t>
      </w:r>
      <w:r w:rsidR="00C13BFB">
        <w:rPr>
          <w:sz w:val="26"/>
          <w:szCs w:val="26"/>
        </w:rPr>
        <w:t xml:space="preserve">TURN </w:t>
      </w:r>
      <w:r w:rsidR="00C13BFB" w:rsidRPr="00C13BFB">
        <w:rPr>
          <w:i/>
          <w:sz w:val="26"/>
          <w:szCs w:val="26"/>
        </w:rPr>
        <w:t>et al</w:t>
      </w:r>
      <w:r w:rsidR="00C13BFB">
        <w:rPr>
          <w:sz w:val="26"/>
          <w:szCs w:val="26"/>
        </w:rPr>
        <w:t>.</w:t>
      </w:r>
      <w:r w:rsidRPr="003F1D77">
        <w:rPr>
          <w:sz w:val="26"/>
          <w:szCs w:val="26"/>
        </w:rPr>
        <w:t>, have indicated that they do not oppose this Joint Petition for Settlement.</w:t>
      </w:r>
      <w:r>
        <w:rPr>
          <w:sz w:val="26"/>
          <w:szCs w:val="26"/>
        </w:rPr>
        <w:t xml:space="preserve">  </w:t>
      </w:r>
      <w:r w:rsidRPr="003F1D77">
        <w:rPr>
          <w:i/>
          <w:sz w:val="26"/>
          <w:szCs w:val="26"/>
        </w:rPr>
        <w:t>See</w:t>
      </w:r>
      <w:r>
        <w:rPr>
          <w:sz w:val="26"/>
          <w:szCs w:val="26"/>
        </w:rPr>
        <w:t xml:space="preserve"> Joint Petition for Settlement at 1.</w:t>
      </w:r>
    </w:p>
    <w:p w14:paraId="4D419A17" w14:textId="77777777" w:rsidR="00F15864" w:rsidRDefault="00F15864" w:rsidP="001C75D6">
      <w:pPr>
        <w:widowControl/>
        <w:spacing w:line="360" w:lineRule="auto"/>
        <w:rPr>
          <w:sz w:val="26"/>
          <w:szCs w:val="26"/>
        </w:rPr>
      </w:pPr>
    </w:p>
    <w:p w14:paraId="68C137D3" w14:textId="77777777" w:rsidR="00F15864" w:rsidRDefault="00F15864" w:rsidP="001C75D6">
      <w:pPr>
        <w:pStyle w:val="ListParagraph"/>
        <w:keepNext/>
        <w:keepLines/>
        <w:numPr>
          <w:ilvl w:val="0"/>
          <w:numId w:val="7"/>
        </w:numPr>
        <w:spacing w:after="0" w:line="360" w:lineRule="auto"/>
        <w:contextualSpacing w:val="0"/>
        <w:jc w:val="center"/>
        <w:rPr>
          <w:rFonts w:ascii="Times New Roman" w:hAnsi="Times New Roman" w:cs="Times New Roman"/>
          <w:b/>
          <w:sz w:val="26"/>
          <w:szCs w:val="26"/>
        </w:rPr>
      </w:pPr>
      <w:r w:rsidRPr="00E95541">
        <w:rPr>
          <w:rFonts w:ascii="Times New Roman" w:hAnsi="Times New Roman" w:cs="Times New Roman"/>
          <w:b/>
          <w:sz w:val="26"/>
          <w:szCs w:val="26"/>
        </w:rPr>
        <w:t>Discussion</w:t>
      </w:r>
    </w:p>
    <w:p w14:paraId="578780D4" w14:textId="77777777" w:rsidR="00F15864" w:rsidRPr="00E95541" w:rsidRDefault="00F15864" w:rsidP="001C75D6">
      <w:pPr>
        <w:pStyle w:val="ListParagraph"/>
        <w:keepNext/>
        <w:keepLines/>
        <w:spacing w:after="0" w:line="360" w:lineRule="auto"/>
        <w:ind w:left="1080"/>
        <w:contextualSpacing w:val="0"/>
        <w:rPr>
          <w:rFonts w:ascii="Times New Roman" w:hAnsi="Times New Roman" w:cs="Times New Roman"/>
          <w:b/>
          <w:sz w:val="26"/>
          <w:szCs w:val="26"/>
        </w:rPr>
      </w:pPr>
    </w:p>
    <w:p w14:paraId="0466236E" w14:textId="77777777" w:rsidR="00F15864" w:rsidRDefault="00F15864" w:rsidP="001C75D6">
      <w:pPr>
        <w:pStyle w:val="ListParagraph"/>
        <w:keepNext/>
        <w:keepLines/>
        <w:numPr>
          <w:ilvl w:val="1"/>
          <w:numId w:val="7"/>
        </w:numPr>
        <w:spacing w:after="0" w:line="360" w:lineRule="auto"/>
        <w:ind w:left="0" w:firstLine="0"/>
        <w:contextualSpacing w:val="0"/>
        <w:rPr>
          <w:rFonts w:ascii="Times New Roman" w:hAnsi="Times New Roman" w:cs="Times New Roman"/>
          <w:b/>
          <w:sz w:val="26"/>
          <w:szCs w:val="26"/>
        </w:rPr>
      </w:pPr>
      <w:r w:rsidRPr="00E95541">
        <w:rPr>
          <w:rFonts w:ascii="Times New Roman" w:hAnsi="Times New Roman" w:cs="Times New Roman"/>
          <w:b/>
          <w:sz w:val="26"/>
          <w:szCs w:val="26"/>
        </w:rPr>
        <w:t>Legal Standards</w:t>
      </w:r>
    </w:p>
    <w:p w14:paraId="5D69E157" w14:textId="77777777" w:rsidR="00F15864" w:rsidRPr="00E95541" w:rsidRDefault="00F15864" w:rsidP="001C75D6">
      <w:pPr>
        <w:pStyle w:val="ListParagraph"/>
        <w:keepNext/>
        <w:keepLines/>
        <w:spacing w:after="0" w:line="360" w:lineRule="auto"/>
        <w:ind w:left="1440"/>
        <w:contextualSpacing w:val="0"/>
        <w:rPr>
          <w:rFonts w:ascii="Times New Roman" w:hAnsi="Times New Roman" w:cs="Times New Roman"/>
          <w:b/>
          <w:sz w:val="26"/>
          <w:szCs w:val="26"/>
        </w:rPr>
      </w:pPr>
    </w:p>
    <w:p w14:paraId="28EC862C" w14:textId="7818D992" w:rsidR="00D60F6D" w:rsidRPr="001E0F20" w:rsidRDefault="00D60F6D" w:rsidP="00D60F6D">
      <w:pPr>
        <w:widowControl/>
        <w:spacing w:line="360" w:lineRule="auto"/>
        <w:ind w:firstLine="1440"/>
        <w:contextualSpacing/>
        <w:rPr>
          <w:sz w:val="26"/>
          <w:szCs w:val="26"/>
        </w:rPr>
      </w:pPr>
      <w:r w:rsidRPr="001E0F20">
        <w:rPr>
          <w:rFonts w:eastAsiaTheme="minorHAnsi"/>
          <w:sz w:val="26"/>
          <w:szCs w:val="26"/>
        </w:rPr>
        <w:t xml:space="preserve">By the terms of Section 703(g) of the Code, </w:t>
      </w:r>
      <w:r w:rsidRPr="00E95541">
        <w:rPr>
          <w:sz w:val="26"/>
          <w:szCs w:val="26"/>
        </w:rPr>
        <w:t xml:space="preserve">the Commission has the power to amend or rescind its own orders at any time subject only to the requirements of due process. </w:t>
      </w:r>
      <w:r>
        <w:rPr>
          <w:sz w:val="26"/>
          <w:szCs w:val="26"/>
        </w:rPr>
        <w:t xml:space="preserve"> Section 703(g) of the Code</w:t>
      </w:r>
      <w:r w:rsidRPr="001E0F20">
        <w:rPr>
          <w:sz w:val="26"/>
          <w:szCs w:val="26"/>
        </w:rPr>
        <w:t xml:space="preserve"> </w:t>
      </w:r>
      <w:r>
        <w:rPr>
          <w:sz w:val="26"/>
          <w:szCs w:val="26"/>
        </w:rPr>
        <w:t xml:space="preserve">states: </w:t>
      </w:r>
      <w:r w:rsidRPr="001E0F20">
        <w:rPr>
          <w:sz w:val="26"/>
          <w:szCs w:val="26"/>
        </w:rPr>
        <w:t xml:space="preserve"> </w:t>
      </w:r>
    </w:p>
    <w:p w14:paraId="14E41184" w14:textId="77777777" w:rsidR="00D60F6D" w:rsidRPr="001E0F20" w:rsidRDefault="00D60F6D" w:rsidP="00D60F6D">
      <w:pPr>
        <w:widowControl/>
        <w:spacing w:line="360" w:lineRule="auto"/>
        <w:ind w:firstLine="1440"/>
        <w:contextualSpacing/>
        <w:rPr>
          <w:rFonts w:eastAsiaTheme="minorHAnsi"/>
          <w:sz w:val="26"/>
          <w:szCs w:val="26"/>
        </w:rPr>
      </w:pPr>
    </w:p>
    <w:p w14:paraId="0C80AC07" w14:textId="77777777" w:rsidR="00D60F6D" w:rsidRDefault="00D60F6D" w:rsidP="00D60F6D">
      <w:pPr>
        <w:widowControl/>
        <w:ind w:left="1440" w:right="1440"/>
        <w:contextualSpacing/>
        <w:rPr>
          <w:rFonts w:eastAsiaTheme="minorHAnsi"/>
          <w:sz w:val="26"/>
          <w:szCs w:val="26"/>
        </w:rPr>
      </w:pPr>
      <w:r w:rsidRPr="001E0F20">
        <w:rPr>
          <w:rFonts w:eastAsiaTheme="minorHAnsi"/>
          <w:sz w:val="26"/>
          <w:szCs w:val="26"/>
        </w:rPr>
        <w:t>The commission may, at any time, after notice and after opportunity to be heard as provided in this chapter, rescind or amend any order made by it.  Any order rescinding or amending a prior order shall, when served upon the person, corporation, or municipal corporation affected, and after notice thereof is given to the other parties to the proceedings, have the same effect as is herein provided for original orders.</w:t>
      </w:r>
    </w:p>
    <w:p w14:paraId="3F544F6D" w14:textId="77777777" w:rsidR="00D60F6D" w:rsidRDefault="00D60F6D" w:rsidP="00D60F6D">
      <w:pPr>
        <w:widowControl/>
        <w:ind w:left="1440" w:right="1440"/>
        <w:contextualSpacing/>
        <w:rPr>
          <w:rFonts w:eastAsiaTheme="minorHAnsi"/>
          <w:sz w:val="26"/>
          <w:szCs w:val="26"/>
        </w:rPr>
      </w:pPr>
    </w:p>
    <w:p w14:paraId="2077DBFF" w14:textId="77777777" w:rsidR="00D60F6D" w:rsidRPr="001E0F20" w:rsidRDefault="00D60F6D" w:rsidP="00D60F6D">
      <w:pPr>
        <w:widowControl/>
        <w:ind w:left="1440" w:right="1440"/>
        <w:contextualSpacing/>
        <w:rPr>
          <w:rFonts w:eastAsiaTheme="minorHAnsi"/>
          <w:sz w:val="26"/>
          <w:szCs w:val="26"/>
        </w:rPr>
      </w:pPr>
    </w:p>
    <w:p w14:paraId="6868BCC0" w14:textId="78197E94" w:rsidR="00D60F6D" w:rsidRPr="00D60F6D" w:rsidRDefault="00D60F6D" w:rsidP="00D60F6D">
      <w:pPr>
        <w:widowControl/>
        <w:spacing w:line="360" w:lineRule="auto"/>
        <w:contextualSpacing/>
        <w:rPr>
          <w:rFonts w:eastAsiaTheme="minorHAnsi"/>
          <w:sz w:val="26"/>
          <w:szCs w:val="26"/>
        </w:rPr>
      </w:pPr>
      <w:r w:rsidRPr="001E0F20">
        <w:rPr>
          <w:rFonts w:eastAsiaTheme="minorHAnsi"/>
          <w:sz w:val="26"/>
          <w:szCs w:val="26"/>
        </w:rPr>
        <w:t>66 Pa. C.S. § 703(g)</w:t>
      </w:r>
      <w:r>
        <w:rPr>
          <w:rFonts w:eastAsiaTheme="minorHAnsi"/>
          <w:sz w:val="26"/>
          <w:szCs w:val="26"/>
        </w:rPr>
        <w:t xml:space="preserve">; </w:t>
      </w:r>
      <w:r w:rsidRPr="00D60F6D">
        <w:rPr>
          <w:rFonts w:eastAsiaTheme="minorHAnsi"/>
          <w:i/>
          <w:iCs/>
          <w:sz w:val="26"/>
          <w:szCs w:val="26"/>
        </w:rPr>
        <w:t>s</w:t>
      </w:r>
      <w:r w:rsidRPr="00E95541">
        <w:rPr>
          <w:i/>
          <w:sz w:val="26"/>
          <w:szCs w:val="26"/>
        </w:rPr>
        <w:t>ee</w:t>
      </w:r>
      <w:r>
        <w:rPr>
          <w:i/>
          <w:sz w:val="26"/>
          <w:szCs w:val="26"/>
        </w:rPr>
        <w:t xml:space="preserve"> also</w:t>
      </w:r>
      <w:r w:rsidRPr="00E95541">
        <w:rPr>
          <w:i/>
          <w:sz w:val="26"/>
          <w:szCs w:val="26"/>
        </w:rPr>
        <w:t xml:space="preserve"> Department of Highways v. Pa. P.U.C</w:t>
      </w:r>
      <w:r w:rsidRPr="00E95541">
        <w:rPr>
          <w:sz w:val="26"/>
          <w:szCs w:val="26"/>
        </w:rPr>
        <w:t>., 185 Pa.</w:t>
      </w:r>
      <w:r>
        <w:rPr>
          <w:sz w:val="26"/>
          <w:szCs w:val="26"/>
        </w:rPr>
        <w:t xml:space="preserve"> </w:t>
      </w:r>
      <w:r w:rsidRPr="00E95541">
        <w:rPr>
          <w:sz w:val="26"/>
          <w:szCs w:val="26"/>
        </w:rPr>
        <w:t xml:space="preserve">Super. 418, 138 A.2d 143 (1958).  </w:t>
      </w:r>
      <w:r w:rsidRPr="001E0F20">
        <w:rPr>
          <w:rFonts w:eastAsiaTheme="minorHAnsi"/>
          <w:sz w:val="26"/>
          <w:szCs w:val="26"/>
        </w:rPr>
        <w:t xml:space="preserve">“Because such relief may result in disturbance of final orders, it must be granted judiciously and only under appropriate circumstances.”  </w:t>
      </w:r>
      <w:r w:rsidRPr="00E95541">
        <w:rPr>
          <w:i/>
          <w:sz w:val="26"/>
          <w:szCs w:val="26"/>
        </w:rPr>
        <w:t>See City of Pittsburgh v. Pennsylvania Department of Transportation,</w:t>
      </w:r>
      <w:r w:rsidRPr="00E95541">
        <w:rPr>
          <w:sz w:val="26"/>
          <w:szCs w:val="26"/>
        </w:rPr>
        <w:t xml:space="preserve"> 490 Pa. 264, 416 A.2d 461 (1980).</w:t>
      </w:r>
    </w:p>
    <w:p w14:paraId="513D3BC8" w14:textId="77777777" w:rsidR="00D60F6D" w:rsidRDefault="00D60F6D" w:rsidP="001C75D6">
      <w:pPr>
        <w:widowControl/>
        <w:spacing w:line="360" w:lineRule="auto"/>
        <w:ind w:firstLine="1440"/>
        <w:rPr>
          <w:sz w:val="26"/>
          <w:szCs w:val="26"/>
        </w:rPr>
      </w:pPr>
    </w:p>
    <w:p w14:paraId="16D4C00E" w14:textId="549CFC49" w:rsidR="00FF2C39" w:rsidRPr="00FF2C39" w:rsidRDefault="00FF2C39" w:rsidP="001C75D6">
      <w:pPr>
        <w:widowControl/>
        <w:spacing w:line="360" w:lineRule="auto"/>
        <w:ind w:firstLine="1440"/>
        <w:rPr>
          <w:sz w:val="26"/>
          <w:szCs w:val="26"/>
        </w:rPr>
      </w:pPr>
      <w:r w:rsidRPr="00FF2C39">
        <w:rPr>
          <w:sz w:val="26"/>
          <w:szCs w:val="26"/>
        </w:rPr>
        <w:t>The Commission</w:t>
      </w:r>
      <w:r w:rsidR="00586A81">
        <w:rPr>
          <w:sz w:val="26"/>
          <w:szCs w:val="26"/>
        </w:rPr>
        <w:t>’s</w:t>
      </w:r>
      <w:r w:rsidR="00E474F6">
        <w:rPr>
          <w:sz w:val="26"/>
          <w:szCs w:val="26"/>
        </w:rPr>
        <w:t xml:space="preserve"> long-standing</w:t>
      </w:r>
      <w:r w:rsidR="00586A81">
        <w:rPr>
          <w:sz w:val="26"/>
          <w:szCs w:val="26"/>
        </w:rPr>
        <w:t xml:space="preserve"> </w:t>
      </w:r>
      <w:r w:rsidRPr="00FF2C39">
        <w:rPr>
          <w:sz w:val="26"/>
          <w:szCs w:val="26"/>
        </w:rPr>
        <w:t>policy</w:t>
      </w:r>
      <w:r w:rsidR="00586A81">
        <w:rPr>
          <w:sz w:val="26"/>
          <w:szCs w:val="26"/>
        </w:rPr>
        <w:t xml:space="preserve"> is to</w:t>
      </w:r>
      <w:r w:rsidRPr="00FF2C39">
        <w:rPr>
          <w:sz w:val="26"/>
          <w:szCs w:val="26"/>
        </w:rPr>
        <w:t xml:space="preserve"> encourag</w:t>
      </w:r>
      <w:r w:rsidR="00586A81">
        <w:rPr>
          <w:sz w:val="26"/>
          <w:szCs w:val="26"/>
        </w:rPr>
        <w:t>e</w:t>
      </w:r>
      <w:r w:rsidRPr="00FF2C39">
        <w:rPr>
          <w:sz w:val="26"/>
          <w:szCs w:val="26"/>
        </w:rPr>
        <w:t xml:space="preserve"> settlements.  </w:t>
      </w:r>
      <w:r w:rsidRPr="00FF2C39">
        <w:rPr>
          <w:i/>
          <w:sz w:val="26"/>
          <w:szCs w:val="26"/>
        </w:rPr>
        <w:t>See</w:t>
      </w:r>
      <w:r w:rsidRPr="00FF2C39">
        <w:rPr>
          <w:sz w:val="26"/>
          <w:szCs w:val="26"/>
        </w:rPr>
        <w:t xml:space="preserve"> 52 Pa. Code §§ 5.231 and 69.401.  A settlement may reduce or eliminate the substantial time, effort, and expense that otherwise may be used or incurred in litigating a </w:t>
      </w:r>
      <w:r w:rsidRPr="00FF2C39">
        <w:rPr>
          <w:sz w:val="26"/>
          <w:szCs w:val="26"/>
        </w:rPr>
        <w:lastRenderedPageBreak/>
        <w:t>proceeding.  Rate cases, in general, are expensive to litigate and settlements may reduce a utility’s rate case expense; an expense which, if reasonable and prudently incurred, is entitled to be recovered from customers through rates approved by the Commission, as a cost of regulation.  Thus, a settlement, whether full or partial, benefits not only the named parties directly but also may indirectly benefit the customers of the public utility through potential expense savings.  For this and other sound reasons, settlements are encouraged by long</w:t>
      </w:r>
      <w:r w:rsidRPr="00FF2C39">
        <w:rPr>
          <w:sz w:val="26"/>
          <w:szCs w:val="26"/>
        </w:rPr>
        <w:noBreakHyphen/>
        <w:t xml:space="preserve">standing Commission policy. </w:t>
      </w:r>
      <w:r w:rsidR="00D056DE">
        <w:rPr>
          <w:sz w:val="26"/>
          <w:szCs w:val="26"/>
        </w:rPr>
        <w:t xml:space="preserve"> </w:t>
      </w:r>
      <w:r w:rsidR="00D056DE" w:rsidRPr="004E2F3E">
        <w:rPr>
          <w:i/>
          <w:sz w:val="26"/>
          <w:szCs w:val="26"/>
        </w:rPr>
        <w:t>See November 2017 Order</w:t>
      </w:r>
      <w:r w:rsidR="00D056DE">
        <w:rPr>
          <w:sz w:val="26"/>
          <w:szCs w:val="26"/>
        </w:rPr>
        <w:t>, slip op, at 13-14.</w:t>
      </w:r>
    </w:p>
    <w:p w14:paraId="7AD8983F" w14:textId="77777777" w:rsidR="00FF2C39" w:rsidRPr="00FF2C39" w:rsidRDefault="00FF2C39" w:rsidP="001C75D6">
      <w:pPr>
        <w:widowControl/>
        <w:spacing w:line="360" w:lineRule="auto"/>
        <w:ind w:firstLine="1440"/>
        <w:rPr>
          <w:sz w:val="26"/>
          <w:szCs w:val="26"/>
        </w:rPr>
      </w:pPr>
    </w:p>
    <w:p w14:paraId="368CC44C" w14:textId="484BE9FA" w:rsidR="00120983" w:rsidRDefault="00FF2C39" w:rsidP="001C75D6">
      <w:pPr>
        <w:widowControl/>
        <w:spacing w:line="360" w:lineRule="auto"/>
        <w:ind w:firstLine="1440"/>
        <w:contextualSpacing/>
        <w:rPr>
          <w:rFonts w:eastAsia="Calibri"/>
          <w:snapToGrid w:val="0"/>
          <w:sz w:val="26"/>
        </w:rPr>
      </w:pPr>
      <w:r w:rsidRPr="00FF2C39">
        <w:rPr>
          <w:sz w:val="26"/>
          <w:szCs w:val="26"/>
        </w:rPr>
        <w:t xml:space="preserve">In order to accept a settlement, the Commission must determine that the proposed terms and conditions of the settlement are in the public interest.  </w:t>
      </w:r>
      <w:r w:rsidRPr="00FF2C39">
        <w:rPr>
          <w:i/>
          <w:sz w:val="26"/>
          <w:szCs w:val="26"/>
        </w:rPr>
        <w:t>Pa. PUC v. York Water Co.</w:t>
      </w:r>
      <w:r w:rsidRPr="00FF2C39">
        <w:rPr>
          <w:sz w:val="26"/>
          <w:szCs w:val="26"/>
        </w:rPr>
        <w:t>, Docket No. R</w:t>
      </w:r>
      <w:r w:rsidRPr="00FF2C39">
        <w:rPr>
          <w:sz w:val="26"/>
          <w:szCs w:val="26"/>
        </w:rPr>
        <w:noBreakHyphen/>
        <w:t xml:space="preserve">00049165 (Order entered October 4, 2004); </w:t>
      </w:r>
      <w:r w:rsidRPr="00FF2C39">
        <w:rPr>
          <w:i/>
          <w:sz w:val="26"/>
          <w:szCs w:val="26"/>
        </w:rPr>
        <w:t>Pa. PUC v. Philadelphia Gas Works</w:t>
      </w:r>
      <w:r w:rsidRPr="00FF2C39">
        <w:rPr>
          <w:sz w:val="26"/>
          <w:szCs w:val="26"/>
        </w:rPr>
        <w:t>, Docket No. M</w:t>
      </w:r>
      <w:r w:rsidRPr="00FF2C39">
        <w:rPr>
          <w:sz w:val="26"/>
          <w:szCs w:val="26"/>
        </w:rPr>
        <w:noBreakHyphen/>
        <w:t xml:space="preserve">00031768 (Order entered January 7, 2004); </w:t>
      </w:r>
      <w:r w:rsidRPr="00FF2C39">
        <w:rPr>
          <w:i/>
          <w:sz w:val="26"/>
          <w:szCs w:val="26"/>
        </w:rPr>
        <w:t>Pa. PUC v. C S Water and Sewer Assoc.</w:t>
      </w:r>
      <w:r w:rsidRPr="00FF2C39">
        <w:rPr>
          <w:sz w:val="26"/>
          <w:szCs w:val="26"/>
        </w:rPr>
        <w:t>, 74 Pa. P.U.C. 767 (1991) (</w:t>
      </w:r>
      <w:r w:rsidRPr="00FF2C39">
        <w:rPr>
          <w:i/>
          <w:sz w:val="26"/>
          <w:szCs w:val="26"/>
        </w:rPr>
        <w:t>CS Water and Sewer)</w:t>
      </w:r>
      <w:r w:rsidRPr="00FF2C39">
        <w:rPr>
          <w:sz w:val="26"/>
          <w:szCs w:val="26"/>
        </w:rPr>
        <w:t xml:space="preserve">; </w:t>
      </w:r>
      <w:r w:rsidRPr="00FF2C39">
        <w:rPr>
          <w:i/>
          <w:sz w:val="26"/>
          <w:szCs w:val="26"/>
        </w:rPr>
        <w:t>Pa. PUC v. Philadelphia Electric Co.</w:t>
      </w:r>
      <w:r w:rsidRPr="00FF2C39">
        <w:rPr>
          <w:sz w:val="26"/>
          <w:szCs w:val="26"/>
        </w:rPr>
        <w:t xml:space="preserve">, 60 Pa. P.U.C. 1 (1985).  The focus of the inquiry for determining whether a proposed settlement should be approved by the Commission is whether the proposed terms and conditions foster, promote and serve the public interest.  </w:t>
      </w:r>
      <w:r w:rsidRPr="00FF2C39">
        <w:rPr>
          <w:i/>
          <w:sz w:val="26"/>
          <w:szCs w:val="26"/>
        </w:rPr>
        <w:t>Pa. PUC, et al. v. City of Lancaster – Bureau of Water</w:t>
      </w:r>
      <w:r w:rsidRPr="00FF2C39">
        <w:rPr>
          <w:sz w:val="26"/>
          <w:szCs w:val="26"/>
        </w:rPr>
        <w:t xml:space="preserve">, Docket Nos. R-2010-2179103, </w:t>
      </w:r>
      <w:r w:rsidRPr="00FF2C39">
        <w:rPr>
          <w:i/>
          <w:sz w:val="26"/>
          <w:szCs w:val="26"/>
        </w:rPr>
        <w:t>et al</w:t>
      </w:r>
      <w:r w:rsidRPr="00FF2C39">
        <w:rPr>
          <w:sz w:val="26"/>
          <w:szCs w:val="26"/>
        </w:rPr>
        <w:t xml:space="preserve">. (Order entered July 14, 2011), citing </w:t>
      </w:r>
      <w:r w:rsidRPr="00FF2C39">
        <w:rPr>
          <w:i/>
          <w:sz w:val="26"/>
          <w:szCs w:val="26"/>
        </w:rPr>
        <w:t>Warner v. GTE North, Inc</w:t>
      </w:r>
      <w:r w:rsidRPr="00FF2C39">
        <w:rPr>
          <w:sz w:val="26"/>
          <w:szCs w:val="26"/>
        </w:rPr>
        <w:t>., Docket No. C</w:t>
      </w:r>
      <w:r w:rsidRPr="00FF2C39">
        <w:rPr>
          <w:sz w:val="26"/>
          <w:szCs w:val="26"/>
        </w:rPr>
        <w:noBreakHyphen/>
        <w:t xml:space="preserve">00902815 (Order entered April 1, 1996) and </w:t>
      </w:r>
      <w:r w:rsidRPr="00FF2C39">
        <w:rPr>
          <w:i/>
          <w:sz w:val="26"/>
          <w:szCs w:val="26"/>
        </w:rPr>
        <w:t>CS Water and Sewer.</w:t>
      </w:r>
    </w:p>
    <w:p w14:paraId="053D681B" w14:textId="77777777" w:rsidR="00120983" w:rsidRDefault="00120983" w:rsidP="001C75D6">
      <w:pPr>
        <w:widowControl/>
        <w:spacing w:line="360" w:lineRule="auto"/>
        <w:ind w:firstLine="1440"/>
        <w:contextualSpacing/>
        <w:rPr>
          <w:rFonts w:eastAsia="Calibri"/>
          <w:snapToGrid w:val="0"/>
          <w:sz w:val="26"/>
        </w:rPr>
      </w:pPr>
    </w:p>
    <w:p w14:paraId="7BAC55D6" w14:textId="59718433" w:rsidR="00120983" w:rsidRPr="00120983" w:rsidRDefault="009861D9" w:rsidP="001C75D6">
      <w:pPr>
        <w:widowControl/>
        <w:spacing w:line="360" w:lineRule="auto"/>
        <w:ind w:firstLine="1440"/>
        <w:contextualSpacing/>
        <w:rPr>
          <w:rFonts w:eastAsia="Calibri"/>
          <w:snapToGrid w:val="0"/>
          <w:sz w:val="26"/>
        </w:rPr>
      </w:pPr>
      <w:r>
        <w:rPr>
          <w:sz w:val="26"/>
          <w:szCs w:val="26"/>
        </w:rPr>
        <w:t>A</w:t>
      </w:r>
      <w:r w:rsidR="00120983" w:rsidRPr="00A760A8">
        <w:rPr>
          <w:sz w:val="26"/>
          <w:szCs w:val="26"/>
        </w:rPr>
        <w:t xml:space="preserve">ny issue that we do not specifically delineate shall be deemed to have been duly considered and denied without further discussion.  It is well-settled that the Commission is not required to consider expressly or at length each contention or argument raised by the parties.  </w:t>
      </w:r>
      <w:hyperlink r:id="rId8" w:history="1">
        <w:r w:rsidR="00120983" w:rsidRPr="00A760A8">
          <w:rPr>
            <w:i/>
            <w:iCs/>
            <w:sz w:val="26"/>
            <w:szCs w:val="26"/>
          </w:rPr>
          <w:t>Consolidated Ra</w:t>
        </w:r>
        <w:r w:rsidR="00120983" w:rsidRPr="00A760A8">
          <w:rPr>
            <w:i/>
            <w:iCs/>
            <w:color w:val="000000"/>
            <w:sz w:val="26"/>
            <w:szCs w:val="26"/>
          </w:rPr>
          <w:t xml:space="preserve">il Corp. v. Pa. PUC, </w:t>
        </w:r>
        <w:r w:rsidR="00120983" w:rsidRPr="00A760A8">
          <w:rPr>
            <w:color w:val="000000"/>
            <w:sz w:val="26"/>
            <w:szCs w:val="26"/>
          </w:rPr>
          <w:t>625 A.2d 741 (Pa. Cmwlth. 1993);</w:t>
        </w:r>
      </w:hyperlink>
      <w:r w:rsidR="00120983" w:rsidRPr="00A760A8">
        <w:rPr>
          <w:color w:val="000000"/>
          <w:sz w:val="26"/>
          <w:szCs w:val="26"/>
        </w:rPr>
        <w:t xml:space="preserve"> </w:t>
      </w:r>
      <w:r w:rsidR="00120983" w:rsidRPr="00A760A8">
        <w:rPr>
          <w:i/>
          <w:color w:val="000000"/>
          <w:sz w:val="26"/>
          <w:szCs w:val="26"/>
        </w:rPr>
        <w:t xml:space="preserve">also </w:t>
      </w:r>
      <w:r w:rsidR="00120983" w:rsidRPr="00A760A8">
        <w:rPr>
          <w:i/>
          <w:iCs/>
          <w:color w:val="000000"/>
          <w:sz w:val="26"/>
          <w:szCs w:val="26"/>
        </w:rPr>
        <w:t xml:space="preserve">see, generally, </w:t>
      </w:r>
      <w:hyperlink r:id="rId9" w:history="1">
        <w:r w:rsidR="00120983" w:rsidRPr="00A760A8">
          <w:rPr>
            <w:i/>
            <w:iCs/>
            <w:color w:val="000000"/>
            <w:sz w:val="26"/>
            <w:szCs w:val="26"/>
          </w:rPr>
          <w:t>University of Pennsylvania v. Pa. PUC</w:t>
        </w:r>
        <w:r w:rsidR="00120983" w:rsidRPr="00A760A8">
          <w:rPr>
            <w:color w:val="000000"/>
            <w:sz w:val="26"/>
            <w:szCs w:val="26"/>
          </w:rPr>
          <w:t>, 485 A.2d 1217 (Pa. Cmwlth. 1984).</w:t>
        </w:r>
      </w:hyperlink>
    </w:p>
    <w:p w14:paraId="357A02A3" w14:textId="77777777" w:rsidR="00B662CD" w:rsidRDefault="00B662CD" w:rsidP="001C75D6">
      <w:pPr>
        <w:widowControl/>
        <w:spacing w:line="360" w:lineRule="auto"/>
        <w:rPr>
          <w:sz w:val="26"/>
          <w:szCs w:val="24"/>
        </w:rPr>
      </w:pPr>
    </w:p>
    <w:p w14:paraId="2B4C5354" w14:textId="33C1B2DB" w:rsidR="00FF2C39" w:rsidRPr="00FF2C39" w:rsidRDefault="00FF2C39" w:rsidP="001C75D6">
      <w:pPr>
        <w:pStyle w:val="ListParagraph"/>
        <w:keepNext/>
        <w:keepLines/>
        <w:numPr>
          <w:ilvl w:val="1"/>
          <w:numId w:val="7"/>
        </w:numPr>
        <w:spacing w:after="0" w:line="360" w:lineRule="auto"/>
        <w:ind w:left="0" w:firstLine="0"/>
        <w:contextualSpacing w:val="0"/>
        <w:rPr>
          <w:rFonts w:ascii="Times New Roman" w:hAnsi="Times New Roman" w:cs="Times New Roman"/>
          <w:b/>
          <w:i/>
          <w:sz w:val="26"/>
          <w:szCs w:val="26"/>
        </w:rPr>
      </w:pPr>
      <w:r w:rsidRPr="00FF2C39">
        <w:rPr>
          <w:rFonts w:ascii="Times New Roman" w:hAnsi="Times New Roman" w:cs="Times New Roman"/>
          <w:b/>
          <w:i/>
          <w:sz w:val="26"/>
          <w:szCs w:val="26"/>
        </w:rPr>
        <w:lastRenderedPageBreak/>
        <w:t>May 2018 Order</w:t>
      </w:r>
    </w:p>
    <w:p w14:paraId="28F75447" w14:textId="7725BCE1" w:rsidR="00FF2C39" w:rsidRDefault="00FF2C39" w:rsidP="001C75D6">
      <w:pPr>
        <w:pStyle w:val="ListParagraph"/>
        <w:keepNext/>
        <w:keepLines/>
        <w:spacing w:after="0" w:line="360" w:lineRule="auto"/>
        <w:ind w:left="0"/>
        <w:contextualSpacing w:val="0"/>
        <w:rPr>
          <w:rFonts w:ascii="Times New Roman" w:hAnsi="Times New Roman" w:cs="Times New Roman"/>
          <w:b/>
          <w:sz w:val="26"/>
          <w:szCs w:val="26"/>
        </w:rPr>
      </w:pPr>
    </w:p>
    <w:p w14:paraId="138FAB07" w14:textId="3E1F49E2" w:rsidR="00FF2C39" w:rsidRDefault="009351B6" w:rsidP="001C75D6">
      <w:pPr>
        <w:widowControl/>
        <w:spacing w:line="360" w:lineRule="auto"/>
        <w:ind w:firstLine="1440"/>
        <w:rPr>
          <w:sz w:val="26"/>
          <w:szCs w:val="26"/>
        </w:rPr>
      </w:pPr>
      <w:r>
        <w:rPr>
          <w:sz w:val="26"/>
          <w:szCs w:val="26"/>
        </w:rPr>
        <w:t xml:space="preserve">In the </w:t>
      </w:r>
      <w:r>
        <w:rPr>
          <w:i/>
          <w:sz w:val="26"/>
          <w:szCs w:val="26"/>
        </w:rPr>
        <w:t>May 2018 Order</w:t>
      </w:r>
      <w:r>
        <w:rPr>
          <w:sz w:val="26"/>
          <w:szCs w:val="26"/>
        </w:rPr>
        <w:t xml:space="preserve">, after reconsidering </w:t>
      </w:r>
      <w:r w:rsidR="00177BA7">
        <w:rPr>
          <w:sz w:val="26"/>
          <w:szCs w:val="26"/>
        </w:rPr>
        <w:t>the Parties’</w:t>
      </w:r>
      <w:r w:rsidR="00FF2C39">
        <w:rPr>
          <w:sz w:val="26"/>
          <w:szCs w:val="26"/>
        </w:rPr>
        <w:t xml:space="preserve"> prepared written testimonies, as admitted into the record, </w:t>
      </w:r>
      <w:r>
        <w:rPr>
          <w:sz w:val="26"/>
          <w:szCs w:val="26"/>
        </w:rPr>
        <w:t xml:space="preserve">and </w:t>
      </w:r>
      <w:r w:rsidR="00177BA7">
        <w:rPr>
          <w:sz w:val="26"/>
          <w:szCs w:val="26"/>
        </w:rPr>
        <w:t xml:space="preserve">the Parties’ </w:t>
      </w:r>
      <w:r w:rsidR="00313959">
        <w:rPr>
          <w:sz w:val="26"/>
          <w:szCs w:val="26"/>
        </w:rPr>
        <w:t xml:space="preserve">Briefs and Exceptions addressing </w:t>
      </w:r>
      <w:r>
        <w:rPr>
          <w:sz w:val="26"/>
          <w:szCs w:val="26"/>
        </w:rPr>
        <w:t xml:space="preserve">the issues </w:t>
      </w:r>
      <w:r w:rsidR="00B3598D">
        <w:rPr>
          <w:sz w:val="26"/>
          <w:szCs w:val="26"/>
        </w:rPr>
        <w:t>concerning</w:t>
      </w:r>
      <w:r>
        <w:rPr>
          <w:sz w:val="26"/>
          <w:szCs w:val="26"/>
        </w:rPr>
        <w:t xml:space="preserve"> PGW’s partial payment allocation practices</w:t>
      </w:r>
      <w:r w:rsidR="00313959">
        <w:rPr>
          <w:sz w:val="26"/>
          <w:szCs w:val="26"/>
        </w:rPr>
        <w:t xml:space="preserve">, </w:t>
      </w:r>
      <w:r>
        <w:rPr>
          <w:sz w:val="26"/>
          <w:szCs w:val="26"/>
        </w:rPr>
        <w:t>we found that the evidentiary record and legal argument</w:t>
      </w:r>
      <w:r w:rsidR="00F17AF6">
        <w:rPr>
          <w:sz w:val="26"/>
          <w:szCs w:val="26"/>
        </w:rPr>
        <w:t>s</w:t>
      </w:r>
      <w:r>
        <w:rPr>
          <w:sz w:val="26"/>
          <w:szCs w:val="26"/>
        </w:rPr>
        <w:t xml:space="preserve"> of the Parties had been fully developed in th</w:t>
      </w:r>
      <w:r w:rsidR="00B3598D">
        <w:rPr>
          <w:sz w:val="26"/>
          <w:szCs w:val="26"/>
        </w:rPr>
        <w:t>is</w:t>
      </w:r>
      <w:r>
        <w:rPr>
          <w:sz w:val="26"/>
          <w:szCs w:val="26"/>
        </w:rPr>
        <w:t xml:space="preserve"> proceeding.  Accordingly,</w:t>
      </w:r>
      <w:r w:rsidR="00FF2C39">
        <w:rPr>
          <w:sz w:val="26"/>
          <w:szCs w:val="26"/>
        </w:rPr>
        <w:t xml:space="preserve"> we agreed</w:t>
      </w:r>
      <w:r>
        <w:rPr>
          <w:sz w:val="26"/>
          <w:szCs w:val="26"/>
        </w:rPr>
        <w:t xml:space="preserve"> with the OCA in the </w:t>
      </w:r>
      <w:r w:rsidRPr="009351B6">
        <w:rPr>
          <w:i/>
          <w:sz w:val="26"/>
          <w:szCs w:val="26"/>
        </w:rPr>
        <w:t>May 2018 Order</w:t>
      </w:r>
      <w:r>
        <w:rPr>
          <w:sz w:val="26"/>
          <w:szCs w:val="26"/>
        </w:rPr>
        <w:t xml:space="preserve"> that to require the Parties to relitigate</w:t>
      </w:r>
      <w:r w:rsidR="00FF2C39" w:rsidRPr="00E95541">
        <w:rPr>
          <w:sz w:val="26"/>
          <w:szCs w:val="26"/>
        </w:rPr>
        <w:t xml:space="preserve"> a</w:t>
      </w:r>
      <w:r>
        <w:rPr>
          <w:sz w:val="26"/>
          <w:szCs w:val="26"/>
        </w:rPr>
        <w:t xml:space="preserve"> new</w:t>
      </w:r>
      <w:r w:rsidR="00FF2C39" w:rsidRPr="00E95541">
        <w:rPr>
          <w:sz w:val="26"/>
          <w:szCs w:val="26"/>
        </w:rPr>
        <w:t xml:space="preserve"> complaint raising the same claims</w:t>
      </w:r>
      <w:r>
        <w:rPr>
          <w:sz w:val="26"/>
          <w:szCs w:val="26"/>
        </w:rPr>
        <w:t xml:space="preserve">, evidence and arguments on the merits, would not promote an efficient use of </w:t>
      </w:r>
      <w:r w:rsidR="000E0A33">
        <w:rPr>
          <w:sz w:val="26"/>
          <w:szCs w:val="26"/>
        </w:rPr>
        <w:t>the Commission’s</w:t>
      </w:r>
      <w:r>
        <w:rPr>
          <w:sz w:val="26"/>
          <w:szCs w:val="26"/>
        </w:rPr>
        <w:t xml:space="preserve"> or the Parties’ time and resources.  </w:t>
      </w:r>
      <w:r w:rsidR="00DF4591">
        <w:rPr>
          <w:sz w:val="26"/>
          <w:szCs w:val="26"/>
        </w:rPr>
        <w:t>We t</w:t>
      </w:r>
      <w:r>
        <w:rPr>
          <w:sz w:val="26"/>
          <w:szCs w:val="26"/>
        </w:rPr>
        <w:t>herefore</w:t>
      </w:r>
      <w:r w:rsidR="00DF4591">
        <w:rPr>
          <w:sz w:val="26"/>
          <w:szCs w:val="26"/>
        </w:rPr>
        <w:t xml:space="preserve"> </w:t>
      </w:r>
      <w:r>
        <w:rPr>
          <w:sz w:val="26"/>
          <w:szCs w:val="26"/>
        </w:rPr>
        <w:t>concluded that</w:t>
      </w:r>
      <w:r w:rsidR="00FF2C39">
        <w:rPr>
          <w:sz w:val="26"/>
          <w:szCs w:val="26"/>
        </w:rPr>
        <w:t xml:space="preserve"> </w:t>
      </w:r>
      <w:r w:rsidR="00FF2C39" w:rsidRPr="00E95541">
        <w:rPr>
          <w:sz w:val="26"/>
          <w:szCs w:val="26"/>
        </w:rPr>
        <w:t>a sep</w:t>
      </w:r>
      <w:r w:rsidR="00FF2C39">
        <w:rPr>
          <w:sz w:val="26"/>
          <w:szCs w:val="26"/>
        </w:rPr>
        <w:t>arate on-the-record proceeding w</w:t>
      </w:r>
      <w:r w:rsidR="00F17AF6">
        <w:rPr>
          <w:sz w:val="26"/>
          <w:szCs w:val="26"/>
        </w:rPr>
        <w:t>ould not be</w:t>
      </w:r>
      <w:r w:rsidR="00FF2C39" w:rsidRPr="00E95541">
        <w:rPr>
          <w:sz w:val="26"/>
          <w:szCs w:val="26"/>
        </w:rPr>
        <w:t xml:space="preserve"> </w:t>
      </w:r>
      <w:r w:rsidR="00FF2C39">
        <w:rPr>
          <w:sz w:val="26"/>
          <w:szCs w:val="26"/>
        </w:rPr>
        <w:t>necessary to</w:t>
      </w:r>
      <w:r w:rsidR="00F17AF6">
        <w:rPr>
          <w:sz w:val="26"/>
          <w:szCs w:val="26"/>
        </w:rPr>
        <w:t xml:space="preserve"> reach a disposition on the merits of</w:t>
      </w:r>
      <w:r w:rsidR="00FF2C39">
        <w:rPr>
          <w:sz w:val="26"/>
          <w:szCs w:val="26"/>
        </w:rPr>
        <w:t xml:space="preserve"> the OCA’s claims</w:t>
      </w:r>
      <w:r w:rsidR="00F17AF6">
        <w:rPr>
          <w:sz w:val="26"/>
          <w:szCs w:val="26"/>
        </w:rPr>
        <w:t xml:space="preserve"> involving PGW’s partial payment allocation practices</w:t>
      </w:r>
      <w:r w:rsidR="00FF2C39">
        <w:rPr>
          <w:sz w:val="26"/>
          <w:szCs w:val="26"/>
        </w:rPr>
        <w:t xml:space="preserve">.  </w:t>
      </w:r>
      <w:r w:rsidR="00FF2C39" w:rsidRPr="00477BB4">
        <w:rPr>
          <w:i/>
          <w:sz w:val="26"/>
          <w:szCs w:val="26"/>
        </w:rPr>
        <w:t>See</w:t>
      </w:r>
      <w:r w:rsidR="00FF2C39">
        <w:rPr>
          <w:sz w:val="26"/>
          <w:szCs w:val="26"/>
        </w:rPr>
        <w:t xml:space="preserve"> </w:t>
      </w:r>
      <w:r w:rsidR="00FF2C39">
        <w:rPr>
          <w:i/>
          <w:sz w:val="26"/>
          <w:szCs w:val="26"/>
        </w:rPr>
        <w:t>May 2018 Order</w:t>
      </w:r>
      <w:r w:rsidR="00FF2C39">
        <w:rPr>
          <w:sz w:val="26"/>
          <w:szCs w:val="26"/>
        </w:rPr>
        <w:t xml:space="preserve"> at 16.</w:t>
      </w:r>
      <w:r w:rsidR="00313959">
        <w:rPr>
          <w:sz w:val="26"/>
          <w:szCs w:val="26"/>
        </w:rPr>
        <w:t xml:space="preserve">  We deemed the OCA’s claims regarding PGW’s partial payment allocation practices as having been bifurcated from our final determination in the </w:t>
      </w:r>
      <w:r w:rsidR="00313959" w:rsidRPr="00B3598D">
        <w:rPr>
          <w:i/>
          <w:sz w:val="26"/>
          <w:szCs w:val="26"/>
        </w:rPr>
        <w:t>November 2017 Order</w:t>
      </w:r>
      <w:r w:rsidR="00313959">
        <w:rPr>
          <w:sz w:val="26"/>
          <w:szCs w:val="26"/>
        </w:rPr>
        <w:t xml:space="preserve"> and held in abeyance for a final decision on the merits</w:t>
      </w:r>
      <w:r w:rsidR="00DF4591">
        <w:rPr>
          <w:sz w:val="26"/>
          <w:szCs w:val="26"/>
        </w:rPr>
        <w:t>.</w:t>
      </w:r>
      <w:r w:rsidR="00DF4591">
        <w:rPr>
          <w:rStyle w:val="FootnoteReference"/>
          <w:sz w:val="26"/>
          <w:szCs w:val="26"/>
        </w:rPr>
        <w:footnoteReference w:id="3"/>
      </w:r>
      <w:r w:rsidR="00DF4591">
        <w:rPr>
          <w:sz w:val="26"/>
          <w:szCs w:val="26"/>
        </w:rPr>
        <w:t xml:space="preserve">  </w:t>
      </w:r>
      <w:r w:rsidR="00DF4591" w:rsidRPr="00DF4591">
        <w:rPr>
          <w:i/>
          <w:sz w:val="26"/>
          <w:szCs w:val="26"/>
        </w:rPr>
        <w:t>Id.</w:t>
      </w:r>
      <w:r w:rsidR="00DF4591">
        <w:rPr>
          <w:sz w:val="26"/>
          <w:szCs w:val="26"/>
        </w:rPr>
        <w:t xml:space="preserve"> at 16-17.</w:t>
      </w:r>
    </w:p>
    <w:p w14:paraId="09A0F919" w14:textId="77777777" w:rsidR="00FF2C39" w:rsidRDefault="00FF2C39" w:rsidP="001C75D6">
      <w:pPr>
        <w:widowControl/>
        <w:spacing w:line="360" w:lineRule="auto"/>
        <w:ind w:firstLine="1440"/>
        <w:rPr>
          <w:sz w:val="26"/>
          <w:szCs w:val="26"/>
        </w:rPr>
      </w:pPr>
    </w:p>
    <w:p w14:paraId="7F80E77B" w14:textId="71C5BBBD" w:rsidR="00FF2C39" w:rsidRDefault="00DC37DD" w:rsidP="001C75D6">
      <w:pPr>
        <w:widowControl/>
        <w:spacing w:line="360" w:lineRule="auto"/>
        <w:ind w:firstLine="1440"/>
        <w:rPr>
          <w:sz w:val="26"/>
          <w:szCs w:val="26"/>
        </w:rPr>
      </w:pPr>
      <w:r>
        <w:rPr>
          <w:sz w:val="26"/>
          <w:szCs w:val="26"/>
        </w:rPr>
        <w:t xml:space="preserve">In turning to </w:t>
      </w:r>
      <w:r w:rsidR="00C220BE">
        <w:rPr>
          <w:sz w:val="26"/>
          <w:szCs w:val="26"/>
        </w:rPr>
        <w:t>our</w:t>
      </w:r>
      <w:r w:rsidR="00FF2C39">
        <w:rPr>
          <w:sz w:val="26"/>
          <w:szCs w:val="26"/>
        </w:rPr>
        <w:t xml:space="preserve"> disposition on </w:t>
      </w:r>
      <w:r w:rsidR="00FF2C39" w:rsidRPr="009351B6">
        <w:rPr>
          <w:sz w:val="26"/>
          <w:szCs w:val="26"/>
        </w:rPr>
        <w:t>the merits of the OCA’s claims</w:t>
      </w:r>
      <w:r>
        <w:rPr>
          <w:sz w:val="26"/>
          <w:szCs w:val="26"/>
        </w:rPr>
        <w:t>, we</w:t>
      </w:r>
      <w:r w:rsidR="00FF2C39" w:rsidRPr="009351B6">
        <w:rPr>
          <w:sz w:val="26"/>
          <w:szCs w:val="26"/>
        </w:rPr>
        <w:t xml:space="preserve"> determined in the </w:t>
      </w:r>
      <w:r w:rsidR="00FF2C39" w:rsidRPr="009351B6">
        <w:rPr>
          <w:i/>
          <w:sz w:val="26"/>
          <w:szCs w:val="26"/>
        </w:rPr>
        <w:t>May 2018 Order</w:t>
      </w:r>
      <w:r w:rsidR="00FF2C39" w:rsidRPr="009351B6">
        <w:rPr>
          <w:sz w:val="26"/>
          <w:szCs w:val="26"/>
        </w:rPr>
        <w:t xml:space="preserve"> that </w:t>
      </w:r>
      <w:r w:rsidR="009351B6" w:rsidRPr="009351B6">
        <w:rPr>
          <w:sz w:val="26"/>
          <w:szCs w:val="26"/>
        </w:rPr>
        <w:t>PGW’s</w:t>
      </w:r>
      <w:r w:rsidR="00177BA7">
        <w:rPr>
          <w:sz w:val="26"/>
          <w:szCs w:val="26"/>
        </w:rPr>
        <w:t xml:space="preserve"> current</w:t>
      </w:r>
      <w:r w:rsidR="00FF2C39" w:rsidRPr="009351B6">
        <w:rPr>
          <w:sz w:val="26"/>
          <w:szCs w:val="26"/>
        </w:rPr>
        <w:t xml:space="preserve"> practice</w:t>
      </w:r>
      <w:r w:rsidR="000E0A33">
        <w:rPr>
          <w:sz w:val="26"/>
          <w:szCs w:val="26"/>
        </w:rPr>
        <w:t xml:space="preserve"> –</w:t>
      </w:r>
      <w:r w:rsidR="00FF2C39">
        <w:rPr>
          <w:sz w:val="26"/>
          <w:szCs w:val="26"/>
        </w:rPr>
        <w:t xml:space="preserve"> applying</w:t>
      </w:r>
      <w:r w:rsidR="00177BA7">
        <w:rPr>
          <w:sz w:val="26"/>
          <w:szCs w:val="26"/>
        </w:rPr>
        <w:t xml:space="preserve"> a customer’s</w:t>
      </w:r>
      <w:r w:rsidR="00FF2C39">
        <w:rPr>
          <w:sz w:val="26"/>
          <w:szCs w:val="26"/>
        </w:rPr>
        <w:t xml:space="preserve"> partial payments out</w:t>
      </w:r>
      <w:r w:rsidR="00177BA7">
        <w:rPr>
          <w:sz w:val="26"/>
          <w:szCs w:val="26"/>
        </w:rPr>
        <w:t>-</w:t>
      </w:r>
      <w:r w:rsidR="00FF2C39">
        <w:rPr>
          <w:sz w:val="26"/>
          <w:szCs w:val="26"/>
        </w:rPr>
        <w:t>of</w:t>
      </w:r>
      <w:r w:rsidR="00177BA7">
        <w:rPr>
          <w:sz w:val="26"/>
          <w:szCs w:val="26"/>
        </w:rPr>
        <w:t>-</w:t>
      </w:r>
      <w:r w:rsidR="00FF2C39">
        <w:rPr>
          <w:sz w:val="26"/>
          <w:szCs w:val="26"/>
        </w:rPr>
        <w:t>sequence so</w:t>
      </w:r>
      <w:r w:rsidR="00FF2C39" w:rsidRPr="00C24749">
        <w:rPr>
          <w:sz w:val="26"/>
          <w:szCs w:val="26"/>
        </w:rPr>
        <w:t xml:space="preserve"> </w:t>
      </w:r>
      <w:r w:rsidR="00FF2C39" w:rsidRPr="00EF78FF">
        <w:rPr>
          <w:sz w:val="26"/>
          <w:szCs w:val="26"/>
        </w:rPr>
        <w:t xml:space="preserve">that </w:t>
      </w:r>
      <w:r w:rsidR="00177BA7">
        <w:rPr>
          <w:sz w:val="26"/>
          <w:szCs w:val="26"/>
        </w:rPr>
        <w:t xml:space="preserve">any </w:t>
      </w:r>
      <w:r w:rsidR="00FF2C39">
        <w:rPr>
          <w:sz w:val="26"/>
          <w:szCs w:val="26"/>
        </w:rPr>
        <w:t xml:space="preserve">outstanding </w:t>
      </w:r>
      <w:r w:rsidR="00D056DE">
        <w:rPr>
          <w:sz w:val="26"/>
          <w:szCs w:val="26"/>
        </w:rPr>
        <w:t xml:space="preserve">prior and current </w:t>
      </w:r>
      <w:r w:rsidR="00FF2C39" w:rsidRPr="00EF78FF">
        <w:rPr>
          <w:sz w:val="26"/>
          <w:szCs w:val="26"/>
        </w:rPr>
        <w:t>late payment charges are paid</w:t>
      </w:r>
      <w:r w:rsidR="00177BA7">
        <w:rPr>
          <w:sz w:val="26"/>
          <w:szCs w:val="26"/>
        </w:rPr>
        <w:t xml:space="preserve"> in full prior to applying such payments to </w:t>
      </w:r>
      <w:r w:rsidR="00FF2C39">
        <w:rPr>
          <w:sz w:val="26"/>
          <w:szCs w:val="26"/>
        </w:rPr>
        <w:t>outstanding amounts</w:t>
      </w:r>
      <w:r w:rsidR="00FF2C39" w:rsidRPr="00EF78FF">
        <w:rPr>
          <w:sz w:val="26"/>
          <w:szCs w:val="26"/>
        </w:rPr>
        <w:t xml:space="preserve"> due for </w:t>
      </w:r>
      <w:r w:rsidR="00FF2C39">
        <w:rPr>
          <w:sz w:val="26"/>
          <w:szCs w:val="26"/>
        </w:rPr>
        <w:t>other</w:t>
      </w:r>
      <w:r w:rsidR="00D056DE">
        <w:rPr>
          <w:sz w:val="26"/>
          <w:szCs w:val="26"/>
        </w:rPr>
        <w:t xml:space="preserve"> prior</w:t>
      </w:r>
      <w:r w:rsidR="00FF2C39" w:rsidRPr="00EF78FF">
        <w:rPr>
          <w:sz w:val="26"/>
          <w:szCs w:val="26"/>
        </w:rPr>
        <w:t xml:space="preserve"> </w:t>
      </w:r>
      <w:r w:rsidR="00FF2C39">
        <w:rPr>
          <w:sz w:val="26"/>
          <w:szCs w:val="26"/>
        </w:rPr>
        <w:t xml:space="preserve">basic </w:t>
      </w:r>
      <w:r w:rsidR="00FF2C39" w:rsidRPr="00EF78FF">
        <w:rPr>
          <w:sz w:val="26"/>
          <w:szCs w:val="26"/>
        </w:rPr>
        <w:t>service</w:t>
      </w:r>
      <w:r w:rsidR="00FF2C39">
        <w:rPr>
          <w:sz w:val="26"/>
          <w:szCs w:val="26"/>
        </w:rPr>
        <w:t xml:space="preserve"> charges</w:t>
      </w:r>
      <w:r w:rsidR="000E0A33">
        <w:rPr>
          <w:sz w:val="26"/>
          <w:szCs w:val="26"/>
        </w:rPr>
        <w:t xml:space="preserve"> –</w:t>
      </w:r>
      <w:r w:rsidR="00FF2C39">
        <w:rPr>
          <w:sz w:val="26"/>
          <w:szCs w:val="26"/>
        </w:rPr>
        <w:t xml:space="preserve"> constitutes a violation</w:t>
      </w:r>
      <w:r w:rsidR="00FF2C39" w:rsidRPr="00CA48F8">
        <w:rPr>
          <w:sz w:val="26"/>
          <w:szCs w:val="26"/>
        </w:rPr>
        <w:t xml:space="preserve"> </w:t>
      </w:r>
      <w:r w:rsidR="00FF2C39">
        <w:rPr>
          <w:sz w:val="26"/>
          <w:szCs w:val="26"/>
        </w:rPr>
        <w:t xml:space="preserve">of Section 56.24 of our Regulations, 52 Pa. Code § 56.24, and </w:t>
      </w:r>
      <w:r w:rsidR="00177BA7">
        <w:rPr>
          <w:sz w:val="26"/>
          <w:szCs w:val="26"/>
        </w:rPr>
        <w:t>a</w:t>
      </w:r>
      <w:r w:rsidR="00FF2C39">
        <w:rPr>
          <w:sz w:val="26"/>
          <w:szCs w:val="26"/>
        </w:rPr>
        <w:t xml:space="preserve"> violation of </w:t>
      </w:r>
      <w:r w:rsidR="00177BA7">
        <w:rPr>
          <w:sz w:val="26"/>
          <w:szCs w:val="26"/>
        </w:rPr>
        <w:t xml:space="preserve">PGW’s obligation to provide adequate and reasonable service under </w:t>
      </w:r>
      <w:r w:rsidR="00FF2C39">
        <w:rPr>
          <w:sz w:val="26"/>
          <w:szCs w:val="26"/>
        </w:rPr>
        <w:t xml:space="preserve">Section 1501 of the Code, 66 Pa. C.S. § 1501.  </w:t>
      </w:r>
      <w:r w:rsidR="00FF2C39">
        <w:rPr>
          <w:i/>
          <w:sz w:val="26"/>
          <w:szCs w:val="26"/>
        </w:rPr>
        <w:t>May 2018 Order</w:t>
      </w:r>
      <w:r w:rsidR="00FF2C39">
        <w:rPr>
          <w:sz w:val="26"/>
          <w:szCs w:val="26"/>
        </w:rPr>
        <w:t xml:space="preserve"> at 19, 27, 28.  In the </w:t>
      </w:r>
      <w:r w:rsidR="00FF2C39">
        <w:rPr>
          <w:i/>
          <w:sz w:val="26"/>
          <w:szCs w:val="26"/>
        </w:rPr>
        <w:t>May 2018 Order</w:t>
      </w:r>
      <w:r w:rsidR="00FF2C39">
        <w:rPr>
          <w:sz w:val="26"/>
          <w:szCs w:val="26"/>
        </w:rPr>
        <w:t xml:space="preserve"> we directed PGW to modify its </w:t>
      </w:r>
      <w:r w:rsidR="00FF2C39">
        <w:rPr>
          <w:sz w:val="26"/>
          <w:szCs w:val="26"/>
        </w:rPr>
        <w:lastRenderedPageBreak/>
        <w:t>practices to stop the practice of applying a customer’s partial payment to</w:t>
      </w:r>
      <w:r w:rsidR="000F5F2A">
        <w:rPr>
          <w:sz w:val="26"/>
          <w:szCs w:val="26"/>
        </w:rPr>
        <w:t xml:space="preserve"> the satisfaction of</w:t>
      </w:r>
      <w:r w:rsidR="00FF2C39">
        <w:rPr>
          <w:sz w:val="26"/>
          <w:szCs w:val="26"/>
        </w:rPr>
        <w:t xml:space="preserve"> all late payment charges due before applying the payment to the balance due for prior basic service.  </w:t>
      </w:r>
      <w:r w:rsidR="00FF2C39">
        <w:rPr>
          <w:i/>
          <w:sz w:val="26"/>
          <w:szCs w:val="26"/>
        </w:rPr>
        <w:t>May 2018 Order</w:t>
      </w:r>
      <w:r w:rsidR="00FF2C39">
        <w:rPr>
          <w:sz w:val="26"/>
          <w:szCs w:val="26"/>
        </w:rPr>
        <w:t xml:space="preserve"> at 22.  We also directed PGW to </w:t>
      </w:r>
      <w:r w:rsidR="00FF2C39" w:rsidRPr="00E95541">
        <w:rPr>
          <w:sz w:val="26"/>
          <w:szCs w:val="26"/>
        </w:rPr>
        <w:t xml:space="preserve">apply a customer’s partial payment </w:t>
      </w:r>
      <w:r w:rsidR="00FF2C39">
        <w:rPr>
          <w:sz w:val="26"/>
          <w:szCs w:val="26"/>
        </w:rPr>
        <w:t xml:space="preserve">to basic services </w:t>
      </w:r>
      <w:r w:rsidR="00FF2C39" w:rsidRPr="00E95541">
        <w:rPr>
          <w:sz w:val="26"/>
          <w:szCs w:val="26"/>
        </w:rPr>
        <w:t>first</w:t>
      </w:r>
      <w:r w:rsidR="00FF2C39">
        <w:rPr>
          <w:sz w:val="26"/>
          <w:szCs w:val="26"/>
        </w:rPr>
        <w:t xml:space="preserve"> </w:t>
      </w:r>
      <w:r w:rsidR="000E0A33">
        <w:rPr>
          <w:sz w:val="26"/>
          <w:szCs w:val="26"/>
        </w:rPr>
        <w:t>without giving</w:t>
      </w:r>
      <w:r w:rsidR="00FF2C39">
        <w:rPr>
          <w:sz w:val="26"/>
          <w:szCs w:val="26"/>
        </w:rPr>
        <w:t xml:space="preserve"> priority </w:t>
      </w:r>
      <w:r w:rsidR="00FF2C39" w:rsidRPr="00E95541">
        <w:rPr>
          <w:sz w:val="26"/>
          <w:szCs w:val="26"/>
        </w:rPr>
        <w:t>to late payment charges</w:t>
      </w:r>
      <w:r w:rsidR="00FF2C39">
        <w:rPr>
          <w:sz w:val="26"/>
          <w:szCs w:val="26"/>
        </w:rPr>
        <w:t xml:space="preserve"> over other types of basic charges.  </w:t>
      </w:r>
      <w:r w:rsidR="00FF2C39" w:rsidRPr="00FA5DFE">
        <w:rPr>
          <w:i/>
          <w:sz w:val="26"/>
          <w:szCs w:val="26"/>
        </w:rPr>
        <w:t>I</w:t>
      </w:r>
      <w:r w:rsidR="00FF2C39">
        <w:rPr>
          <w:i/>
          <w:sz w:val="26"/>
          <w:szCs w:val="26"/>
        </w:rPr>
        <w:t xml:space="preserve">d.  </w:t>
      </w:r>
      <w:r w:rsidR="00FF2C39" w:rsidRPr="00FA5DFE">
        <w:rPr>
          <w:sz w:val="26"/>
          <w:szCs w:val="26"/>
        </w:rPr>
        <w:t>As for timing</w:t>
      </w:r>
      <w:r w:rsidR="00415282">
        <w:rPr>
          <w:sz w:val="26"/>
          <w:szCs w:val="26"/>
        </w:rPr>
        <w:t xml:space="preserve"> to implement the Commission</w:t>
      </w:r>
      <w:r w:rsidR="00925B16">
        <w:rPr>
          <w:sz w:val="26"/>
          <w:szCs w:val="26"/>
        </w:rPr>
        <w:t>’s</w:t>
      </w:r>
      <w:r w:rsidR="00415282">
        <w:rPr>
          <w:sz w:val="26"/>
          <w:szCs w:val="26"/>
        </w:rPr>
        <w:t xml:space="preserve"> directives</w:t>
      </w:r>
      <w:r w:rsidR="00177BA7">
        <w:rPr>
          <w:sz w:val="26"/>
          <w:szCs w:val="26"/>
        </w:rPr>
        <w:t xml:space="preserve"> in</w:t>
      </w:r>
      <w:r w:rsidR="00FF2C39">
        <w:rPr>
          <w:i/>
          <w:sz w:val="26"/>
          <w:szCs w:val="26"/>
        </w:rPr>
        <w:t xml:space="preserve"> </w:t>
      </w:r>
      <w:r w:rsidR="00177BA7">
        <w:rPr>
          <w:sz w:val="26"/>
          <w:szCs w:val="26"/>
        </w:rPr>
        <w:t xml:space="preserve">the </w:t>
      </w:r>
      <w:r w:rsidR="00177BA7">
        <w:rPr>
          <w:i/>
          <w:sz w:val="26"/>
          <w:szCs w:val="26"/>
        </w:rPr>
        <w:t>May 2018 Order</w:t>
      </w:r>
      <w:r w:rsidR="00177BA7">
        <w:rPr>
          <w:sz w:val="26"/>
          <w:szCs w:val="26"/>
        </w:rPr>
        <w:t>,</w:t>
      </w:r>
      <w:r w:rsidR="00177BA7" w:rsidRPr="00C64786">
        <w:rPr>
          <w:i/>
          <w:sz w:val="26"/>
          <w:szCs w:val="26"/>
        </w:rPr>
        <w:t xml:space="preserve"> </w:t>
      </w:r>
      <w:r w:rsidR="00FF2C39">
        <w:rPr>
          <w:sz w:val="26"/>
          <w:szCs w:val="26"/>
        </w:rPr>
        <w:t>we provided PGW with ninety</w:t>
      </w:r>
      <w:r w:rsidR="00177BA7">
        <w:rPr>
          <w:sz w:val="26"/>
          <w:szCs w:val="26"/>
        </w:rPr>
        <w:t xml:space="preserve"> </w:t>
      </w:r>
      <w:r w:rsidR="00FF2C39">
        <w:rPr>
          <w:sz w:val="26"/>
          <w:szCs w:val="26"/>
        </w:rPr>
        <w:t>days to comply with the requirement</w:t>
      </w:r>
      <w:r w:rsidR="00177BA7">
        <w:rPr>
          <w:sz w:val="26"/>
          <w:szCs w:val="26"/>
        </w:rPr>
        <w:t xml:space="preserve"> to modify</w:t>
      </w:r>
      <w:r w:rsidR="00FF2C39">
        <w:rPr>
          <w:sz w:val="26"/>
          <w:szCs w:val="26"/>
        </w:rPr>
        <w:t xml:space="preserve"> its partial payment allocation practices.  </w:t>
      </w:r>
      <w:r w:rsidR="00FF2C39">
        <w:rPr>
          <w:i/>
          <w:sz w:val="26"/>
          <w:szCs w:val="26"/>
        </w:rPr>
        <w:t>May 2018 Order</w:t>
      </w:r>
      <w:r w:rsidR="00FF2C39">
        <w:rPr>
          <w:sz w:val="26"/>
          <w:szCs w:val="26"/>
        </w:rPr>
        <w:t xml:space="preserve"> at 23.</w:t>
      </w:r>
    </w:p>
    <w:p w14:paraId="0F3D4AC1" w14:textId="77777777" w:rsidR="00FF2C39" w:rsidRDefault="00FF2C39" w:rsidP="001C75D6">
      <w:pPr>
        <w:widowControl/>
        <w:spacing w:line="360" w:lineRule="auto"/>
        <w:ind w:firstLine="1440"/>
        <w:rPr>
          <w:sz w:val="26"/>
          <w:szCs w:val="26"/>
        </w:rPr>
      </w:pPr>
    </w:p>
    <w:p w14:paraId="281A0FFD" w14:textId="2C765642" w:rsidR="00FF2C39" w:rsidRPr="00FF2C39" w:rsidRDefault="00FF2C39" w:rsidP="001C75D6">
      <w:pPr>
        <w:widowControl/>
        <w:spacing w:line="360" w:lineRule="auto"/>
        <w:ind w:firstLine="1440"/>
        <w:rPr>
          <w:sz w:val="26"/>
          <w:szCs w:val="26"/>
        </w:rPr>
      </w:pPr>
      <w:r>
        <w:rPr>
          <w:sz w:val="26"/>
          <w:szCs w:val="26"/>
        </w:rPr>
        <w:t xml:space="preserve">Finally, in the </w:t>
      </w:r>
      <w:r>
        <w:rPr>
          <w:i/>
          <w:sz w:val="26"/>
          <w:szCs w:val="26"/>
        </w:rPr>
        <w:t>May 2018 Order</w:t>
      </w:r>
      <w:r>
        <w:rPr>
          <w:sz w:val="26"/>
          <w:szCs w:val="26"/>
        </w:rPr>
        <w:t xml:space="preserve">, we determined that PGW’s methodology of applying a partial payment against more recent, non-interest-bearing late payment charges followed by older, interest-bearing principal, effectively </w:t>
      </w:r>
      <w:r w:rsidR="000E0A33">
        <w:rPr>
          <w:sz w:val="26"/>
          <w:szCs w:val="26"/>
        </w:rPr>
        <w:t>result</w:t>
      </w:r>
      <w:r w:rsidR="00724D74">
        <w:rPr>
          <w:sz w:val="26"/>
          <w:szCs w:val="26"/>
        </w:rPr>
        <w:t>ed</w:t>
      </w:r>
      <w:r w:rsidR="000E0A33">
        <w:rPr>
          <w:sz w:val="26"/>
          <w:szCs w:val="26"/>
        </w:rPr>
        <w:t xml:space="preserve"> in charging customers </w:t>
      </w:r>
      <w:r>
        <w:rPr>
          <w:sz w:val="26"/>
          <w:szCs w:val="26"/>
        </w:rPr>
        <w:t xml:space="preserve">interest in excess of the </w:t>
      </w:r>
      <w:r w:rsidR="000F5F2A">
        <w:rPr>
          <w:sz w:val="26"/>
          <w:szCs w:val="26"/>
        </w:rPr>
        <w:t xml:space="preserve">eighteen percent simple interest </w:t>
      </w:r>
      <w:r>
        <w:rPr>
          <w:sz w:val="26"/>
          <w:szCs w:val="26"/>
        </w:rPr>
        <w:t>annual limit, in violation of Section 56.22(a) of our Regulations, 52 Pa. Code § 56.22(a).</w:t>
      </w:r>
      <w:r w:rsidRPr="000936AE">
        <w:rPr>
          <w:sz w:val="26"/>
          <w:szCs w:val="26"/>
        </w:rPr>
        <w:t xml:space="preserve">  </w:t>
      </w:r>
      <w:r>
        <w:rPr>
          <w:i/>
          <w:sz w:val="26"/>
          <w:szCs w:val="26"/>
        </w:rPr>
        <w:t>May 2018 Order</w:t>
      </w:r>
      <w:r>
        <w:rPr>
          <w:sz w:val="26"/>
          <w:szCs w:val="26"/>
        </w:rPr>
        <w:t xml:space="preserve"> at 26, 28.  We </w:t>
      </w:r>
      <w:r w:rsidR="001D1BE2">
        <w:rPr>
          <w:sz w:val="26"/>
          <w:szCs w:val="26"/>
        </w:rPr>
        <w:t xml:space="preserve">concluded </w:t>
      </w:r>
      <w:r>
        <w:rPr>
          <w:sz w:val="26"/>
          <w:szCs w:val="26"/>
        </w:rPr>
        <w:t>that a</w:t>
      </w:r>
      <w:r w:rsidRPr="000936AE">
        <w:rPr>
          <w:sz w:val="26"/>
          <w:szCs w:val="26"/>
        </w:rPr>
        <w:t xml:space="preserve">ny interest rate charged by PGW that exceeds the </w:t>
      </w:r>
      <w:r w:rsidR="000F5F2A">
        <w:rPr>
          <w:sz w:val="26"/>
          <w:szCs w:val="26"/>
        </w:rPr>
        <w:t>eighteen percent</w:t>
      </w:r>
      <w:r w:rsidRPr="000936AE">
        <w:rPr>
          <w:sz w:val="26"/>
          <w:szCs w:val="26"/>
        </w:rPr>
        <w:t xml:space="preserve"> simple interest</w:t>
      </w:r>
      <w:r w:rsidR="000F5F2A">
        <w:rPr>
          <w:sz w:val="26"/>
          <w:szCs w:val="26"/>
        </w:rPr>
        <w:t xml:space="preserve"> annual maximum</w:t>
      </w:r>
      <w:r w:rsidRPr="000936AE">
        <w:rPr>
          <w:sz w:val="26"/>
          <w:szCs w:val="26"/>
        </w:rPr>
        <w:t xml:space="preserve"> </w:t>
      </w:r>
      <w:r>
        <w:rPr>
          <w:sz w:val="26"/>
          <w:szCs w:val="26"/>
        </w:rPr>
        <w:t xml:space="preserve">established in our Regulations </w:t>
      </w:r>
      <w:r w:rsidRPr="000936AE">
        <w:rPr>
          <w:sz w:val="26"/>
          <w:szCs w:val="26"/>
        </w:rPr>
        <w:t xml:space="preserve">is a </w:t>
      </w:r>
      <w:r w:rsidRPr="000936AE">
        <w:rPr>
          <w:i/>
          <w:sz w:val="26"/>
          <w:szCs w:val="26"/>
        </w:rPr>
        <w:t>de facto</w:t>
      </w:r>
      <w:r w:rsidRPr="000936AE">
        <w:rPr>
          <w:sz w:val="26"/>
          <w:szCs w:val="26"/>
        </w:rPr>
        <w:t xml:space="preserve"> unjust and unreasonable </w:t>
      </w:r>
      <w:r>
        <w:rPr>
          <w:sz w:val="26"/>
          <w:szCs w:val="26"/>
        </w:rPr>
        <w:t xml:space="preserve">rate, in violation of </w:t>
      </w:r>
      <w:r w:rsidRPr="000936AE">
        <w:rPr>
          <w:sz w:val="26"/>
          <w:szCs w:val="26"/>
        </w:rPr>
        <w:t>66 Pa. C.S. § 1301</w:t>
      </w:r>
      <w:r>
        <w:rPr>
          <w:sz w:val="26"/>
          <w:szCs w:val="26"/>
        </w:rPr>
        <w:t xml:space="preserve">.  </w:t>
      </w:r>
      <w:r w:rsidRPr="00B13E4F">
        <w:rPr>
          <w:i/>
          <w:sz w:val="26"/>
          <w:szCs w:val="26"/>
        </w:rPr>
        <w:t>Id</w:t>
      </w:r>
      <w:r>
        <w:rPr>
          <w:sz w:val="26"/>
          <w:szCs w:val="26"/>
        </w:rPr>
        <w:t>.  In addition, we stated that a</w:t>
      </w:r>
      <w:r w:rsidRPr="000936AE">
        <w:rPr>
          <w:sz w:val="26"/>
          <w:szCs w:val="26"/>
        </w:rPr>
        <w:t xml:space="preserve">ny interest rate charged by PGW that exceeds the </w:t>
      </w:r>
      <w:r w:rsidR="000F5F2A">
        <w:rPr>
          <w:sz w:val="26"/>
          <w:szCs w:val="26"/>
        </w:rPr>
        <w:t xml:space="preserve">eighteen percent </w:t>
      </w:r>
      <w:r w:rsidRPr="000936AE">
        <w:rPr>
          <w:sz w:val="26"/>
          <w:szCs w:val="26"/>
        </w:rPr>
        <w:t xml:space="preserve">simple interest </w:t>
      </w:r>
      <w:r w:rsidR="000F5F2A">
        <w:rPr>
          <w:sz w:val="26"/>
          <w:szCs w:val="26"/>
        </w:rPr>
        <w:t>annual maximum</w:t>
      </w:r>
      <w:r w:rsidRPr="000936AE">
        <w:rPr>
          <w:sz w:val="26"/>
          <w:szCs w:val="26"/>
        </w:rPr>
        <w:t xml:space="preserve"> </w:t>
      </w:r>
      <w:r>
        <w:rPr>
          <w:sz w:val="26"/>
          <w:szCs w:val="26"/>
        </w:rPr>
        <w:t>established in Rule 4.2 of PGW’s Tariff is a violation of 66 Pa. C.S. § </w:t>
      </w:r>
      <w:r w:rsidRPr="000936AE">
        <w:rPr>
          <w:sz w:val="26"/>
          <w:szCs w:val="26"/>
        </w:rPr>
        <w:t>1303</w:t>
      </w:r>
      <w:r>
        <w:rPr>
          <w:sz w:val="26"/>
          <w:szCs w:val="26"/>
        </w:rPr>
        <w:t>, which prohibits utilities from charging or receiving any rate greater than that established in its Commission-approved tariff</w:t>
      </w:r>
      <w:r w:rsidRPr="000936AE">
        <w:rPr>
          <w:sz w:val="26"/>
          <w:szCs w:val="26"/>
        </w:rPr>
        <w:t>.</w:t>
      </w:r>
      <w:r>
        <w:rPr>
          <w:sz w:val="26"/>
          <w:szCs w:val="26"/>
        </w:rPr>
        <w:t xml:space="preserve">  </w:t>
      </w:r>
      <w:r w:rsidRPr="00B13E4F">
        <w:rPr>
          <w:i/>
          <w:sz w:val="26"/>
          <w:szCs w:val="26"/>
        </w:rPr>
        <w:t>Id</w:t>
      </w:r>
      <w:r>
        <w:rPr>
          <w:sz w:val="26"/>
          <w:szCs w:val="26"/>
        </w:rPr>
        <w:t xml:space="preserve">.  We directed the same remedy for the foregoing violations as we did for PGW’s violation of Section 56.24 of our Regulations. </w:t>
      </w:r>
      <w:r w:rsidRPr="00B13E4F">
        <w:rPr>
          <w:i/>
          <w:sz w:val="26"/>
          <w:szCs w:val="26"/>
        </w:rPr>
        <w:t>Id</w:t>
      </w:r>
      <w:r>
        <w:rPr>
          <w:sz w:val="26"/>
          <w:szCs w:val="26"/>
        </w:rPr>
        <w:t>. at 26.</w:t>
      </w:r>
    </w:p>
    <w:p w14:paraId="6D7D334B" w14:textId="77777777" w:rsidR="00FF2C39" w:rsidRDefault="00FF2C39" w:rsidP="001C75D6">
      <w:pPr>
        <w:pStyle w:val="ListParagraph"/>
        <w:spacing w:after="0" w:line="360" w:lineRule="auto"/>
        <w:ind w:left="0"/>
        <w:contextualSpacing w:val="0"/>
        <w:rPr>
          <w:rFonts w:ascii="Times New Roman" w:hAnsi="Times New Roman" w:cs="Times New Roman"/>
          <w:b/>
          <w:sz w:val="26"/>
          <w:szCs w:val="26"/>
        </w:rPr>
      </w:pPr>
    </w:p>
    <w:p w14:paraId="4D941C4E" w14:textId="67F202A9" w:rsidR="009249D6" w:rsidRPr="00DF0852" w:rsidRDefault="005137DB" w:rsidP="001C75D6">
      <w:pPr>
        <w:pStyle w:val="ListParagraph"/>
        <w:numPr>
          <w:ilvl w:val="1"/>
          <w:numId w:val="7"/>
        </w:numPr>
        <w:spacing w:after="0" w:line="360" w:lineRule="auto"/>
        <w:ind w:left="0" w:firstLine="0"/>
        <w:contextualSpacing w:val="0"/>
        <w:rPr>
          <w:rFonts w:ascii="Times New Roman" w:hAnsi="Times New Roman" w:cs="Times New Roman"/>
          <w:b/>
          <w:sz w:val="26"/>
          <w:szCs w:val="26"/>
        </w:rPr>
      </w:pPr>
      <w:r>
        <w:rPr>
          <w:rFonts w:ascii="Times New Roman" w:hAnsi="Times New Roman" w:cs="Times New Roman"/>
          <w:b/>
          <w:sz w:val="26"/>
          <w:szCs w:val="26"/>
        </w:rPr>
        <w:t xml:space="preserve">PGW </w:t>
      </w:r>
      <w:r w:rsidR="00E004BE">
        <w:rPr>
          <w:rFonts w:ascii="Times New Roman" w:hAnsi="Times New Roman" w:cs="Times New Roman"/>
          <w:b/>
          <w:sz w:val="26"/>
          <w:szCs w:val="26"/>
        </w:rPr>
        <w:t>Petition</w:t>
      </w:r>
      <w:r w:rsidR="009249D6">
        <w:rPr>
          <w:rFonts w:ascii="Times New Roman" w:hAnsi="Times New Roman" w:cs="Times New Roman"/>
          <w:b/>
          <w:sz w:val="26"/>
          <w:szCs w:val="26"/>
        </w:rPr>
        <w:t xml:space="preserve"> </w:t>
      </w:r>
      <w:r>
        <w:rPr>
          <w:rFonts w:ascii="Times New Roman" w:hAnsi="Times New Roman" w:cs="Times New Roman"/>
          <w:b/>
          <w:sz w:val="26"/>
          <w:szCs w:val="26"/>
        </w:rPr>
        <w:t xml:space="preserve">for Reconsideration </w:t>
      </w:r>
      <w:r w:rsidR="009249D6">
        <w:rPr>
          <w:rFonts w:ascii="Times New Roman" w:hAnsi="Times New Roman" w:cs="Times New Roman"/>
          <w:b/>
          <w:sz w:val="26"/>
          <w:szCs w:val="26"/>
        </w:rPr>
        <w:t>and</w:t>
      </w:r>
      <w:r w:rsidR="00FF2C39">
        <w:rPr>
          <w:rFonts w:ascii="Times New Roman" w:hAnsi="Times New Roman" w:cs="Times New Roman"/>
          <w:b/>
          <w:sz w:val="26"/>
          <w:szCs w:val="26"/>
        </w:rPr>
        <w:t xml:space="preserve"> </w:t>
      </w:r>
      <w:r>
        <w:rPr>
          <w:rFonts w:ascii="Times New Roman" w:hAnsi="Times New Roman" w:cs="Times New Roman"/>
          <w:b/>
          <w:sz w:val="26"/>
          <w:szCs w:val="26"/>
        </w:rPr>
        <w:t xml:space="preserve">the OCA’s </w:t>
      </w:r>
      <w:r w:rsidR="00E004BE">
        <w:rPr>
          <w:rFonts w:ascii="Times New Roman" w:hAnsi="Times New Roman" w:cs="Times New Roman"/>
          <w:b/>
          <w:sz w:val="26"/>
          <w:szCs w:val="26"/>
        </w:rPr>
        <w:t>Answer</w:t>
      </w:r>
    </w:p>
    <w:p w14:paraId="6FB56D49" w14:textId="77777777" w:rsidR="00E004BE" w:rsidRDefault="00E004BE" w:rsidP="001C75D6">
      <w:pPr>
        <w:pStyle w:val="ListParagraph"/>
        <w:spacing w:after="0" w:line="360" w:lineRule="auto"/>
        <w:ind w:left="0"/>
        <w:contextualSpacing w:val="0"/>
        <w:rPr>
          <w:rFonts w:ascii="Times New Roman" w:hAnsi="Times New Roman" w:cs="Times New Roman"/>
          <w:b/>
          <w:sz w:val="26"/>
          <w:szCs w:val="26"/>
        </w:rPr>
      </w:pPr>
    </w:p>
    <w:p w14:paraId="59F318EE" w14:textId="57C4FCF0" w:rsidR="007F7736" w:rsidRDefault="00FF2C39" w:rsidP="001C75D6">
      <w:pPr>
        <w:pStyle w:val="ListParagraph"/>
        <w:spacing w:after="0" w:line="360" w:lineRule="auto"/>
        <w:ind w:left="0" w:firstLine="1440"/>
        <w:contextualSpacing w:val="0"/>
        <w:rPr>
          <w:rFonts w:ascii="Times New Roman" w:hAnsi="Times New Roman" w:cs="Times New Roman"/>
          <w:color w:val="000000"/>
          <w:sz w:val="26"/>
          <w:szCs w:val="26"/>
        </w:rPr>
      </w:pPr>
      <w:r>
        <w:rPr>
          <w:rFonts w:ascii="Times New Roman" w:hAnsi="Times New Roman" w:cs="Times New Roman"/>
          <w:color w:val="000000"/>
          <w:sz w:val="26"/>
          <w:szCs w:val="26"/>
        </w:rPr>
        <w:t>I</w:t>
      </w:r>
      <w:r w:rsidR="00E004BE">
        <w:rPr>
          <w:rFonts w:ascii="Times New Roman" w:hAnsi="Times New Roman" w:cs="Times New Roman"/>
          <w:color w:val="000000"/>
          <w:sz w:val="26"/>
          <w:szCs w:val="26"/>
        </w:rPr>
        <w:t>n</w:t>
      </w:r>
      <w:r w:rsidR="00E004BE" w:rsidRPr="00D66487">
        <w:rPr>
          <w:rFonts w:ascii="Times New Roman" w:hAnsi="Times New Roman" w:cs="Times New Roman"/>
          <w:color w:val="000000"/>
          <w:sz w:val="26"/>
          <w:szCs w:val="26"/>
        </w:rPr>
        <w:t xml:space="preserve"> </w:t>
      </w:r>
      <w:r w:rsidR="00E004BE">
        <w:rPr>
          <w:rFonts w:ascii="Times New Roman" w:hAnsi="Times New Roman" w:cs="Times New Roman"/>
          <w:color w:val="000000"/>
          <w:sz w:val="26"/>
          <w:szCs w:val="26"/>
        </w:rPr>
        <w:t>its Petition</w:t>
      </w:r>
      <w:r>
        <w:rPr>
          <w:rFonts w:ascii="Times New Roman" w:hAnsi="Times New Roman" w:cs="Times New Roman"/>
          <w:color w:val="000000"/>
          <w:sz w:val="26"/>
          <w:szCs w:val="26"/>
        </w:rPr>
        <w:t>,</w:t>
      </w:r>
      <w:r w:rsidRPr="00FF2C39">
        <w:rPr>
          <w:rFonts w:ascii="Times New Roman" w:hAnsi="Times New Roman" w:cs="Times New Roman"/>
          <w:color w:val="000000"/>
          <w:sz w:val="26"/>
          <w:szCs w:val="26"/>
        </w:rPr>
        <w:t xml:space="preserve"> </w:t>
      </w:r>
      <w:r>
        <w:rPr>
          <w:rFonts w:ascii="Times New Roman" w:hAnsi="Times New Roman" w:cs="Times New Roman"/>
          <w:color w:val="000000"/>
          <w:sz w:val="26"/>
          <w:szCs w:val="26"/>
        </w:rPr>
        <w:t>PGW argues</w:t>
      </w:r>
      <w:r w:rsidR="00E004BE">
        <w:rPr>
          <w:rFonts w:ascii="Times New Roman" w:hAnsi="Times New Roman" w:cs="Times New Roman"/>
          <w:color w:val="000000"/>
          <w:sz w:val="26"/>
          <w:szCs w:val="26"/>
        </w:rPr>
        <w:t xml:space="preserve"> </w:t>
      </w:r>
      <w:r w:rsidR="00883B2D">
        <w:rPr>
          <w:rFonts w:ascii="Times New Roman" w:hAnsi="Times New Roman" w:cs="Times New Roman"/>
          <w:color w:val="000000"/>
          <w:sz w:val="26"/>
          <w:szCs w:val="26"/>
        </w:rPr>
        <w:t>that we should reconsider</w:t>
      </w:r>
      <w:r w:rsidR="00E004BE" w:rsidRPr="00A823BF">
        <w:rPr>
          <w:rFonts w:ascii="Times New Roman" w:hAnsi="Times New Roman" w:cs="Times New Roman"/>
          <w:color w:val="000000"/>
          <w:sz w:val="26"/>
          <w:szCs w:val="26"/>
        </w:rPr>
        <w:t xml:space="preserve"> the </w:t>
      </w:r>
      <w:r w:rsidR="00037613">
        <w:rPr>
          <w:rFonts w:ascii="Times New Roman" w:hAnsi="Times New Roman" w:cs="Times New Roman"/>
          <w:i/>
          <w:color w:val="000000"/>
          <w:sz w:val="26"/>
          <w:szCs w:val="26"/>
        </w:rPr>
        <w:t>May 2018 Order</w:t>
      </w:r>
      <w:r w:rsidR="00E004BE" w:rsidRPr="00A823BF">
        <w:rPr>
          <w:rFonts w:ascii="Times New Roman" w:hAnsi="Times New Roman" w:cs="Times New Roman"/>
          <w:color w:val="000000"/>
          <w:sz w:val="26"/>
          <w:szCs w:val="26"/>
        </w:rPr>
        <w:t xml:space="preserve">, </w:t>
      </w:r>
      <w:r w:rsidR="000F5F2A">
        <w:rPr>
          <w:rFonts w:ascii="Times New Roman" w:hAnsi="Times New Roman" w:cs="Times New Roman"/>
          <w:color w:val="000000"/>
          <w:sz w:val="26"/>
          <w:szCs w:val="26"/>
        </w:rPr>
        <w:t xml:space="preserve">arguing, in summary, </w:t>
      </w:r>
      <w:r w:rsidR="00E004BE" w:rsidRPr="00A823BF">
        <w:rPr>
          <w:rFonts w:ascii="Times New Roman" w:hAnsi="Times New Roman" w:cs="Times New Roman"/>
          <w:sz w:val="26"/>
          <w:szCs w:val="26"/>
        </w:rPr>
        <w:t>as follows</w:t>
      </w:r>
      <w:r w:rsidR="00E004BE" w:rsidRPr="00A823BF">
        <w:rPr>
          <w:rFonts w:ascii="Times New Roman" w:hAnsi="Times New Roman" w:cs="Times New Roman"/>
          <w:color w:val="000000"/>
          <w:sz w:val="26"/>
          <w:szCs w:val="26"/>
        </w:rPr>
        <w:t>:</w:t>
      </w:r>
      <w:r w:rsidR="00E004BE">
        <w:rPr>
          <w:rFonts w:ascii="Times New Roman" w:hAnsi="Times New Roman" w:cs="Times New Roman"/>
          <w:color w:val="000000"/>
          <w:sz w:val="26"/>
          <w:szCs w:val="26"/>
        </w:rPr>
        <w:t xml:space="preserve"> (1) that substantial evidence of the record does not support </w:t>
      </w:r>
      <w:r w:rsidR="00E86139">
        <w:rPr>
          <w:rFonts w:ascii="Times New Roman" w:hAnsi="Times New Roman" w:cs="Times New Roman"/>
          <w:color w:val="000000"/>
          <w:sz w:val="26"/>
          <w:szCs w:val="26"/>
        </w:rPr>
        <w:t>a</w:t>
      </w:r>
      <w:r w:rsidR="00E004BE">
        <w:rPr>
          <w:rFonts w:ascii="Times New Roman" w:hAnsi="Times New Roman" w:cs="Times New Roman"/>
          <w:color w:val="000000"/>
          <w:sz w:val="26"/>
          <w:szCs w:val="26"/>
        </w:rPr>
        <w:t xml:space="preserve"> finding that PGW charges more than </w:t>
      </w:r>
      <w:r w:rsidR="000F5F2A">
        <w:rPr>
          <w:rFonts w:ascii="Times New Roman" w:hAnsi="Times New Roman" w:cs="Times New Roman"/>
          <w:color w:val="000000"/>
          <w:sz w:val="26"/>
          <w:szCs w:val="26"/>
        </w:rPr>
        <w:t>eighteen percent simple</w:t>
      </w:r>
      <w:r w:rsidR="00E004BE">
        <w:rPr>
          <w:rFonts w:ascii="Times New Roman" w:hAnsi="Times New Roman" w:cs="Times New Roman"/>
          <w:color w:val="000000"/>
          <w:sz w:val="26"/>
          <w:szCs w:val="26"/>
        </w:rPr>
        <w:t xml:space="preserve"> interest on an annual basis to residential customers</w:t>
      </w:r>
      <w:r w:rsidR="000F5F2A">
        <w:rPr>
          <w:rFonts w:ascii="Times New Roman" w:hAnsi="Times New Roman" w:cs="Times New Roman"/>
          <w:color w:val="000000"/>
          <w:sz w:val="26"/>
          <w:szCs w:val="26"/>
        </w:rPr>
        <w:t xml:space="preserve"> who submit partial payments</w:t>
      </w:r>
      <w:r w:rsidR="00702C2A">
        <w:rPr>
          <w:rFonts w:ascii="Times New Roman" w:hAnsi="Times New Roman" w:cs="Times New Roman"/>
          <w:color w:val="000000"/>
          <w:sz w:val="26"/>
          <w:szCs w:val="26"/>
        </w:rPr>
        <w:t xml:space="preserve"> to pay their bill</w:t>
      </w:r>
      <w:r w:rsidR="00E004BE">
        <w:rPr>
          <w:rFonts w:ascii="Times New Roman" w:hAnsi="Times New Roman" w:cs="Times New Roman"/>
          <w:color w:val="000000"/>
          <w:sz w:val="26"/>
          <w:szCs w:val="26"/>
        </w:rPr>
        <w:t xml:space="preserve">, </w:t>
      </w:r>
      <w:r w:rsidR="00E004BE" w:rsidRPr="004C6ED3">
        <w:rPr>
          <w:rFonts w:ascii="Times New Roman" w:hAnsi="Times New Roman" w:cs="Times New Roman"/>
          <w:i/>
          <w:color w:val="000000"/>
          <w:sz w:val="26"/>
          <w:szCs w:val="26"/>
        </w:rPr>
        <w:t>see</w:t>
      </w:r>
      <w:r w:rsidR="00E004BE">
        <w:rPr>
          <w:rFonts w:ascii="Times New Roman" w:hAnsi="Times New Roman" w:cs="Times New Roman"/>
          <w:color w:val="000000"/>
          <w:sz w:val="26"/>
          <w:szCs w:val="26"/>
        </w:rPr>
        <w:t xml:space="preserve"> </w:t>
      </w:r>
      <w:r w:rsidR="00E004BE">
        <w:rPr>
          <w:rFonts w:ascii="Times New Roman" w:hAnsi="Times New Roman" w:cs="Times New Roman"/>
          <w:color w:val="000000"/>
          <w:sz w:val="26"/>
          <w:szCs w:val="26"/>
        </w:rPr>
        <w:lastRenderedPageBreak/>
        <w:t>Petition at</w:t>
      </w:r>
      <w:r w:rsidR="00811C29">
        <w:rPr>
          <w:rFonts w:ascii="Times New Roman" w:hAnsi="Times New Roman" w:cs="Times New Roman"/>
          <w:color w:val="000000"/>
          <w:sz w:val="26"/>
          <w:szCs w:val="26"/>
        </w:rPr>
        <w:t xml:space="preserve"> </w:t>
      </w:r>
      <w:r w:rsidR="00E004BE">
        <w:rPr>
          <w:rFonts w:ascii="Times New Roman" w:hAnsi="Times New Roman" w:cs="Times New Roman"/>
          <w:color w:val="000000"/>
          <w:sz w:val="26"/>
          <w:szCs w:val="26"/>
        </w:rPr>
        <w:t>4,</w:t>
      </w:r>
      <w:r w:rsidR="00811C29">
        <w:rPr>
          <w:rFonts w:ascii="Times New Roman" w:hAnsi="Times New Roman" w:cs="Times New Roman"/>
          <w:color w:val="000000"/>
          <w:sz w:val="26"/>
          <w:szCs w:val="26"/>
        </w:rPr>
        <w:t xml:space="preserve"> </w:t>
      </w:r>
      <w:r w:rsidR="00E004BE">
        <w:rPr>
          <w:rFonts w:ascii="Times New Roman" w:hAnsi="Times New Roman" w:cs="Times New Roman"/>
          <w:color w:val="000000"/>
          <w:sz w:val="26"/>
          <w:szCs w:val="26"/>
        </w:rPr>
        <w:t>14</w:t>
      </w:r>
      <w:r w:rsidR="00B662CD">
        <w:rPr>
          <w:rFonts w:ascii="Times New Roman" w:hAnsi="Times New Roman" w:cs="Times New Roman"/>
          <w:color w:val="000000"/>
          <w:sz w:val="26"/>
          <w:szCs w:val="26"/>
        </w:rPr>
        <w:noBreakHyphen/>
      </w:r>
      <w:r w:rsidR="00E004BE">
        <w:rPr>
          <w:rFonts w:ascii="Times New Roman" w:hAnsi="Times New Roman" w:cs="Times New Roman"/>
          <w:color w:val="000000"/>
          <w:sz w:val="26"/>
          <w:szCs w:val="26"/>
        </w:rPr>
        <w:t xml:space="preserve">16; (2) that our interpretation of Section 56.24 of our Regulations as contained in the </w:t>
      </w:r>
      <w:r w:rsidR="00037613">
        <w:rPr>
          <w:rFonts w:ascii="Times New Roman" w:hAnsi="Times New Roman" w:cs="Times New Roman"/>
          <w:i/>
          <w:color w:val="000000"/>
          <w:sz w:val="26"/>
          <w:szCs w:val="26"/>
        </w:rPr>
        <w:t>May 2018 Order</w:t>
      </w:r>
      <w:r w:rsidR="00E004BE">
        <w:rPr>
          <w:rFonts w:ascii="Times New Roman" w:hAnsi="Times New Roman" w:cs="Times New Roman"/>
          <w:color w:val="000000"/>
          <w:sz w:val="26"/>
          <w:szCs w:val="26"/>
        </w:rPr>
        <w:t xml:space="preserve"> unlawfully circumvents the regulatory review process and establishes </w:t>
      </w:r>
      <w:r w:rsidR="000F5F2A">
        <w:rPr>
          <w:rFonts w:ascii="Times New Roman" w:hAnsi="Times New Roman" w:cs="Times New Roman"/>
          <w:color w:val="000000"/>
          <w:sz w:val="26"/>
          <w:szCs w:val="26"/>
        </w:rPr>
        <w:t xml:space="preserve">impermissible </w:t>
      </w:r>
      <w:r w:rsidR="00E004BE">
        <w:rPr>
          <w:rFonts w:ascii="Times New Roman" w:hAnsi="Times New Roman" w:cs="Times New Roman"/>
          <w:color w:val="000000"/>
          <w:sz w:val="26"/>
          <w:szCs w:val="26"/>
        </w:rPr>
        <w:t xml:space="preserve">binding norms, </w:t>
      </w:r>
      <w:r w:rsidR="00E004BE" w:rsidRPr="004C6ED3">
        <w:rPr>
          <w:rFonts w:ascii="Times New Roman" w:hAnsi="Times New Roman" w:cs="Times New Roman"/>
          <w:i/>
          <w:color w:val="000000"/>
          <w:sz w:val="26"/>
          <w:szCs w:val="26"/>
        </w:rPr>
        <w:t>see</w:t>
      </w:r>
      <w:r w:rsidR="00E004BE">
        <w:rPr>
          <w:rFonts w:ascii="Times New Roman" w:hAnsi="Times New Roman" w:cs="Times New Roman"/>
          <w:color w:val="000000"/>
          <w:sz w:val="26"/>
          <w:szCs w:val="26"/>
        </w:rPr>
        <w:t xml:space="preserve"> Petition at 3, 10-13</w:t>
      </w:r>
      <w:r w:rsidR="004816DF">
        <w:rPr>
          <w:rFonts w:ascii="Times New Roman" w:hAnsi="Times New Roman" w:cs="Times New Roman"/>
          <w:color w:val="000000"/>
          <w:sz w:val="26"/>
          <w:szCs w:val="26"/>
        </w:rPr>
        <w:t xml:space="preserve">; and (3) that we failed to consider in the </w:t>
      </w:r>
      <w:r w:rsidR="004816DF" w:rsidRPr="004816DF">
        <w:rPr>
          <w:rFonts w:ascii="Times New Roman" w:hAnsi="Times New Roman" w:cs="Times New Roman"/>
          <w:i/>
          <w:color w:val="000000"/>
          <w:sz w:val="26"/>
          <w:szCs w:val="26"/>
        </w:rPr>
        <w:t>May 2018 Order</w:t>
      </w:r>
      <w:r w:rsidR="004816DF">
        <w:rPr>
          <w:rFonts w:ascii="Times New Roman" w:hAnsi="Times New Roman" w:cs="Times New Roman"/>
          <w:color w:val="000000"/>
          <w:sz w:val="26"/>
          <w:szCs w:val="26"/>
        </w:rPr>
        <w:t xml:space="preserve"> the significant costs associated with the required modifications to its payment posting practices (including the expense to be incurred by PGW to upgrade its billing system and the increase in bad debt expense to be experienced by PGW as a result of the decline in collection of late payment charges) and the resulting rate impacts on customers who pay their bills on time and in full, </w:t>
      </w:r>
      <w:r w:rsidR="004816DF" w:rsidRPr="004816DF">
        <w:rPr>
          <w:rFonts w:ascii="Times New Roman" w:hAnsi="Times New Roman" w:cs="Times New Roman"/>
          <w:i/>
          <w:color w:val="000000"/>
          <w:sz w:val="26"/>
          <w:szCs w:val="26"/>
        </w:rPr>
        <w:t>s</w:t>
      </w:r>
      <w:r w:rsidR="004816DF" w:rsidRPr="004C6ED3">
        <w:rPr>
          <w:rFonts w:ascii="Times New Roman" w:hAnsi="Times New Roman" w:cs="Times New Roman"/>
          <w:i/>
          <w:color w:val="000000"/>
          <w:sz w:val="26"/>
          <w:szCs w:val="26"/>
        </w:rPr>
        <w:t>ee</w:t>
      </w:r>
      <w:r w:rsidR="004816DF">
        <w:rPr>
          <w:rFonts w:ascii="Times New Roman" w:hAnsi="Times New Roman" w:cs="Times New Roman"/>
          <w:color w:val="000000"/>
          <w:sz w:val="26"/>
          <w:szCs w:val="26"/>
        </w:rPr>
        <w:t xml:space="preserve"> Petition at 2-3, 16-17.  </w:t>
      </w:r>
    </w:p>
    <w:p w14:paraId="31F9EFB8" w14:textId="77777777" w:rsidR="007F7736" w:rsidRDefault="007F7736" w:rsidP="001C75D6">
      <w:pPr>
        <w:pStyle w:val="ListParagraph"/>
        <w:spacing w:after="0" w:line="360" w:lineRule="auto"/>
        <w:ind w:left="0" w:firstLine="1440"/>
        <w:contextualSpacing w:val="0"/>
        <w:rPr>
          <w:rFonts w:ascii="Times New Roman" w:hAnsi="Times New Roman" w:cs="Times New Roman"/>
          <w:color w:val="000000"/>
          <w:sz w:val="26"/>
          <w:szCs w:val="26"/>
        </w:rPr>
      </w:pPr>
    </w:p>
    <w:p w14:paraId="263427D4" w14:textId="23494B38" w:rsidR="007F7736" w:rsidRDefault="00C220BE" w:rsidP="001C75D6">
      <w:pPr>
        <w:pStyle w:val="ListParagraph"/>
        <w:spacing w:after="0" w:line="360" w:lineRule="auto"/>
        <w:ind w:left="0" w:firstLine="1440"/>
        <w:contextualSpacing w:val="0"/>
        <w:rPr>
          <w:rFonts w:ascii="Times New Roman" w:hAnsi="Times New Roman" w:cs="Times New Roman"/>
          <w:color w:val="000000"/>
          <w:sz w:val="26"/>
          <w:szCs w:val="26"/>
        </w:rPr>
      </w:pPr>
      <w:r>
        <w:rPr>
          <w:rFonts w:ascii="Times New Roman" w:hAnsi="Times New Roman" w:cs="Times New Roman"/>
          <w:sz w:val="26"/>
          <w:szCs w:val="26"/>
        </w:rPr>
        <w:t xml:space="preserve">In addition, </w:t>
      </w:r>
      <w:r w:rsidR="007F7736">
        <w:rPr>
          <w:rFonts w:ascii="Times New Roman" w:hAnsi="Times New Roman" w:cs="Times New Roman"/>
          <w:color w:val="000000"/>
          <w:sz w:val="26"/>
          <w:szCs w:val="26"/>
        </w:rPr>
        <w:t>PGW requests</w:t>
      </w:r>
      <w:r>
        <w:rPr>
          <w:rFonts w:ascii="Times New Roman" w:hAnsi="Times New Roman" w:cs="Times New Roman"/>
          <w:color w:val="000000"/>
          <w:sz w:val="26"/>
          <w:szCs w:val="26"/>
        </w:rPr>
        <w:t xml:space="preserve"> in the Petition</w:t>
      </w:r>
      <w:r w:rsidR="007F7736">
        <w:rPr>
          <w:rFonts w:ascii="Times New Roman" w:hAnsi="Times New Roman" w:cs="Times New Roman"/>
          <w:color w:val="000000"/>
          <w:sz w:val="26"/>
          <w:szCs w:val="26"/>
        </w:rPr>
        <w:t xml:space="preserve"> that we </w:t>
      </w:r>
      <w:r w:rsidR="00724D74">
        <w:rPr>
          <w:rFonts w:ascii="Times New Roman" w:hAnsi="Times New Roman" w:cs="Times New Roman"/>
          <w:color w:val="000000"/>
          <w:sz w:val="26"/>
          <w:szCs w:val="26"/>
        </w:rPr>
        <w:t xml:space="preserve">amend </w:t>
      </w:r>
      <w:r w:rsidR="00CD5DA8">
        <w:rPr>
          <w:rFonts w:ascii="Times New Roman" w:hAnsi="Times New Roman" w:cs="Times New Roman"/>
          <w:color w:val="000000"/>
          <w:sz w:val="26"/>
          <w:szCs w:val="26"/>
        </w:rPr>
        <w:t xml:space="preserve">and </w:t>
      </w:r>
      <w:r w:rsidR="007F7736">
        <w:rPr>
          <w:rFonts w:ascii="Times New Roman" w:hAnsi="Times New Roman" w:cs="Times New Roman"/>
          <w:color w:val="000000"/>
          <w:sz w:val="26"/>
          <w:szCs w:val="26"/>
        </w:rPr>
        <w:t xml:space="preserve">extend the ninety-day deadline established in the </w:t>
      </w:r>
      <w:r w:rsidR="007F7736" w:rsidRPr="007F7736">
        <w:rPr>
          <w:rFonts w:ascii="Times New Roman" w:hAnsi="Times New Roman" w:cs="Times New Roman"/>
          <w:i/>
          <w:color w:val="000000"/>
          <w:sz w:val="26"/>
          <w:szCs w:val="26"/>
        </w:rPr>
        <w:t>May 2018 Order</w:t>
      </w:r>
      <w:r w:rsidR="007F7736">
        <w:rPr>
          <w:rFonts w:ascii="Times New Roman" w:hAnsi="Times New Roman" w:cs="Times New Roman"/>
          <w:color w:val="000000"/>
          <w:sz w:val="26"/>
          <w:szCs w:val="26"/>
        </w:rPr>
        <w:t xml:space="preserve"> to at least fifty weeks,</w:t>
      </w:r>
      <w:r w:rsidR="000F5F2A">
        <w:rPr>
          <w:rFonts w:ascii="Times New Roman" w:hAnsi="Times New Roman" w:cs="Times New Roman"/>
          <w:color w:val="000000"/>
          <w:sz w:val="26"/>
          <w:szCs w:val="26"/>
        </w:rPr>
        <w:t xml:space="preserve"> and</w:t>
      </w:r>
      <w:r w:rsidR="007F7736">
        <w:rPr>
          <w:rFonts w:ascii="Times New Roman" w:hAnsi="Times New Roman" w:cs="Times New Roman"/>
          <w:color w:val="000000"/>
          <w:sz w:val="26"/>
          <w:szCs w:val="26"/>
        </w:rPr>
        <w:t xml:space="preserve"> up to fifty-seven weeks, from the entry date of the </w:t>
      </w:r>
      <w:r w:rsidR="007F7736" w:rsidRPr="007F7736">
        <w:rPr>
          <w:rFonts w:ascii="Times New Roman" w:hAnsi="Times New Roman" w:cs="Times New Roman"/>
          <w:i/>
          <w:color w:val="000000"/>
          <w:sz w:val="26"/>
          <w:szCs w:val="26"/>
        </w:rPr>
        <w:t>May 2018 Order</w:t>
      </w:r>
      <w:r w:rsidR="00CD5DA8">
        <w:rPr>
          <w:rFonts w:ascii="Times New Roman" w:hAnsi="Times New Roman" w:cs="Times New Roman"/>
          <w:color w:val="000000"/>
          <w:sz w:val="26"/>
          <w:szCs w:val="26"/>
        </w:rPr>
        <w:t xml:space="preserve">.  PGW </w:t>
      </w:r>
      <w:r w:rsidR="00296481">
        <w:rPr>
          <w:rFonts w:ascii="Times New Roman" w:hAnsi="Times New Roman" w:cs="Times New Roman"/>
          <w:color w:val="000000"/>
          <w:sz w:val="26"/>
          <w:szCs w:val="26"/>
        </w:rPr>
        <w:t xml:space="preserve">is of the opinion </w:t>
      </w:r>
      <w:r w:rsidR="007F7736">
        <w:rPr>
          <w:rFonts w:ascii="Times New Roman" w:hAnsi="Times New Roman" w:cs="Times New Roman"/>
          <w:color w:val="000000"/>
          <w:sz w:val="26"/>
          <w:szCs w:val="26"/>
        </w:rPr>
        <w:t>that</w:t>
      </w:r>
      <w:r w:rsidR="00CD5DA8">
        <w:rPr>
          <w:rFonts w:ascii="Times New Roman" w:hAnsi="Times New Roman" w:cs="Times New Roman"/>
          <w:color w:val="000000"/>
          <w:sz w:val="26"/>
          <w:szCs w:val="26"/>
        </w:rPr>
        <w:t xml:space="preserve"> </w:t>
      </w:r>
      <w:r w:rsidR="00E617FC">
        <w:rPr>
          <w:rFonts w:ascii="Times New Roman" w:hAnsi="Times New Roman" w:cs="Times New Roman"/>
          <w:color w:val="000000"/>
          <w:sz w:val="26"/>
          <w:szCs w:val="26"/>
        </w:rPr>
        <w:t xml:space="preserve">an extension of time </w:t>
      </w:r>
      <w:r w:rsidR="00296481">
        <w:rPr>
          <w:rFonts w:ascii="Times New Roman" w:hAnsi="Times New Roman" w:cs="Times New Roman"/>
          <w:color w:val="000000"/>
          <w:sz w:val="26"/>
          <w:szCs w:val="26"/>
        </w:rPr>
        <w:t xml:space="preserve">is essential </w:t>
      </w:r>
      <w:r w:rsidR="007F7736">
        <w:rPr>
          <w:rFonts w:ascii="Times New Roman" w:hAnsi="Times New Roman" w:cs="Times New Roman"/>
          <w:color w:val="000000"/>
          <w:sz w:val="26"/>
          <w:szCs w:val="26"/>
        </w:rPr>
        <w:t>based on substantial evidence in the record relat</w:t>
      </w:r>
      <w:r w:rsidR="00296481">
        <w:rPr>
          <w:rFonts w:ascii="Times New Roman" w:hAnsi="Times New Roman" w:cs="Times New Roman"/>
          <w:color w:val="000000"/>
          <w:sz w:val="26"/>
          <w:szCs w:val="26"/>
        </w:rPr>
        <w:t>ed</w:t>
      </w:r>
      <w:r w:rsidR="007F7736">
        <w:rPr>
          <w:rFonts w:ascii="Times New Roman" w:hAnsi="Times New Roman" w:cs="Times New Roman"/>
          <w:color w:val="000000"/>
          <w:sz w:val="26"/>
          <w:szCs w:val="26"/>
        </w:rPr>
        <w:t xml:space="preserve"> to the</w:t>
      </w:r>
      <w:r w:rsidR="00724D74">
        <w:rPr>
          <w:rFonts w:ascii="Times New Roman" w:hAnsi="Times New Roman" w:cs="Times New Roman"/>
          <w:color w:val="000000"/>
          <w:sz w:val="26"/>
          <w:szCs w:val="26"/>
        </w:rPr>
        <w:t xml:space="preserve"> </w:t>
      </w:r>
      <w:r w:rsidR="007F7736">
        <w:rPr>
          <w:rFonts w:ascii="Times New Roman" w:hAnsi="Times New Roman" w:cs="Times New Roman"/>
          <w:color w:val="000000"/>
          <w:sz w:val="26"/>
          <w:szCs w:val="26"/>
        </w:rPr>
        <w:t xml:space="preserve">modifications </w:t>
      </w:r>
      <w:r w:rsidR="00296481">
        <w:rPr>
          <w:rFonts w:ascii="Times New Roman" w:hAnsi="Times New Roman" w:cs="Times New Roman"/>
          <w:color w:val="000000"/>
          <w:sz w:val="26"/>
          <w:szCs w:val="26"/>
        </w:rPr>
        <w:t>it h</w:t>
      </w:r>
      <w:r w:rsidR="007F7736">
        <w:rPr>
          <w:rFonts w:ascii="Times New Roman" w:hAnsi="Times New Roman" w:cs="Times New Roman"/>
          <w:color w:val="000000"/>
          <w:sz w:val="26"/>
          <w:szCs w:val="26"/>
        </w:rPr>
        <w:t xml:space="preserve">as </w:t>
      </w:r>
      <w:r w:rsidR="00724D74">
        <w:rPr>
          <w:rFonts w:ascii="Times New Roman" w:hAnsi="Times New Roman" w:cs="Times New Roman"/>
          <w:color w:val="000000"/>
          <w:sz w:val="26"/>
          <w:szCs w:val="26"/>
        </w:rPr>
        <w:t>identified</w:t>
      </w:r>
      <w:r w:rsidR="00724D74">
        <w:rPr>
          <w:rStyle w:val="FootnoteReference"/>
          <w:rFonts w:ascii="Times New Roman" w:hAnsi="Times New Roman" w:cs="Times New Roman"/>
          <w:sz w:val="26"/>
          <w:szCs w:val="26"/>
        </w:rPr>
        <w:footnoteReference w:id="4"/>
      </w:r>
      <w:r w:rsidR="00724D74">
        <w:rPr>
          <w:rFonts w:ascii="Times New Roman" w:hAnsi="Times New Roman" w:cs="Times New Roman"/>
          <w:color w:val="000000"/>
          <w:sz w:val="26"/>
          <w:szCs w:val="26"/>
        </w:rPr>
        <w:t xml:space="preserve"> </w:t>
      </w:r>
      <w:r w:rsidR="00772912">
        <w:rPr>
          <w:rFonts w:ascii="Times New Roman" w:hAnsi="Times New Roman" w:cs="Times New Roman"/>
          <w:color w:val="000000"/>
          <w:sz w:val="26"/>
          <w:szCs w:val="26"/>
        </w:rPr>
        <w:t xml:space="preserve">are necessary </w:t>
      </w:r>
      <w:r w:rsidR="007F7736">
        <w:rPr>
          <w:rFonts w:ascii="Times New Roman" w:hAnsi="Times New Roman" w:cs="Times New Roman"/>
          <w:color w:val="000000"/>
          <w:sz w:val="26"/>
          <w:szCs w:val="26"/>
        </w:rPr>
        <w:t>to</w:t>
      </w:r>
      <w:r w:rsidR="00724D74">
        <w:rPr>
          <w:rFonts w:ascii="Times New Roman" w:hAnsi="Times New Roman" w:cs="Times New Roman"/>
          <w:color w:val="000000"/>
          <w:sz w:val="26"/>
          <w:szCs w:val="26"/>
        </w:rPr>
        <w:t xml:space="preserve"> be made to</w:t>
      </w:r>
      <w:r w:rsidR="007F7736">
        <w:rPr>
          <w:rFonts w:ascii="Times New Roman" w:hAnsi="Times New Roman" w:cs="Times New Roman"/>
          <w:color w:val="000000"/>
          <w:sz w:val="26"/>
          <w:szCs w:val="26"/>
        </w:rPr>
        <w:t xml:space="preserve"> its automated billing system in order to bring its partial payment posting practices into compliance with </w:t>
      </w:r>
      <w:r w:rsidR="007F7736">
        <w:rPr>
          <w:rFonts w:ascii="Times New Roman" w:hAnsi="Times New Roman" w:cs="Times New Roman"/>
          <w:sz w:val="26"/>
          <w:szCs w:val="26"/>
        </w:rPr>
        <w:t>the requirements of 52 Pa. Code § 56.22 and § 56.24</w:t>
      </w:r>
      <w:r w:rsidR="007F7736">
        <w:rPr>
          <w:rFonts w:ascii="Times New Roman" w:hAnsi="Times New Roman" w:cs="Times New Roman"/>
          <w:color w:val="000000"/>
          <w:sz w:val="26"/>
          <w:szCs w:val="26"/>
        </w:rPr>
        <w:t xml:space="preserve">.  </w:t>
      </w:r>
      <w:r w:rsidR="007F7736" w:rsidRPr="00EA3BE1">
        <w:rPr>
          <w:rFonts w:ascii="Times New Roman" w:hAnsi="Times New Roman" w:cs="Times New Roman"/>
          <w:i/>
          <w:color w:val="000000"/>
          <w:sz w:val="26"/>
          <w:szCs w:val="26"/>
        </w:rPr>
        <w:t>S</w:t>
      </w:r>
      <w:r w:rsidR="007F7736" w:rsidRPr="00A823BF">
        <w:rPr>
          <w:rFonts w:ascii="Times New Roman" w:hAnsi="Times New Roman" w:cs="Times New Roman"/>
          <w:i/>
          <w:color w:val="000000"/>
          <w:sz w:val="26"/>
          <w:szCs w:val="26"/>
        </w:rPr>
        <w:t>ee</w:t>
      </w:r>
      <w:r w:rsidR="007F7736">
        <w:rPr>
          <w:rFonts w:ascii="Times New Roman" w:hAnsi="Times New Roman" w:cs="Times New Roman"/>
          <w:color w:val="000000"/>
          <w:sz w:val="26"/>
          <w:szCs w:val="26"/>
        </w:rPr>
        <w:t xml:space="preserve"> Petition at 1-3, 9-10, 16-17.  Attached to the Petition is the Verified Statement of Frank Weigert, stating in relevant part as follows:</w:t>
      </w:r>
    </w:p>
    <w:p w14:paraId="39E8ADFB" w14:textId="77777777" w:rsidR="007F7736" w:rsidRDefault="007F7736" w:rsidP="001C75D6">
      <w:pPr>
        <w:pStyle w:val="ListParagraph"/>
        <w:spacing w:after="0" w:line="360" w:lineRule="auto"/>
        <w:ind w:left="0" w:firstLine="1440"/>
        <w:contextualSpacing w:val="0"/>
        <w:rPr>
          <w:rFonts w:ascii="Times New Roman" w:hAnsi="Times New Roman" w:cs="Times New Roman"/>
          <w:color w:val="000000"/>
          <w:sz w:val="26"/>
          <w:szCs w:val="26"/>
        </w:rPr>
      </w:pPr>
    </w:p>
    <w:p w14:paraId="2E675857" w14:textId="77777777" w:rsidR="007F7736" w:rsidRDefault="007F7736" w:rsidP="001C75D6">
      <w:pPr>
        <w:pStyle w:val="ListParagraph"/>
        <w:spacing w:after="0" w:line="240" w:lineRule="auto"/>
        <w:ind w:left="1440" w:right="1440"/>
        <w:contextualSpacing w:val="0"/>
        <w:rPr>
          <w:rFonts w:ascii="Times New Roman" w:hAnsi="Times New Roman" w:cs="Times New Roman"/>
          <w:color w:val="000000"/>
          <w:sz w:val="26"/>
          <w:szCs w:val="26"/>
        </w:rPr>
      </w:pPr>
      <w:r>
        <w:rPr>
          <w:rFonts w:ascii="Times New Roman" w:hAnsi="Times New Roman" w:cs="Times New Roman"/>
          <w:color w:val="000000"/>
          <w:sz w:val="26"/>
          <w:szCs w:val="26"/>
        </w:rPr>
        <w:t>7.</w:t>
      </w:r>
      <w:r>
        <w:rPr>
          <w:rFonts w:ascii="Times New Roman" w:hAnsi="Times New Roman" w:cs="Times New Roman"/>
          <w:color w:val="000000"/>
          <w:sz w:val="26"/>
          <w:szCs w:val="26"/>
        </w:rPr>
        <w:tab/>
        <w:t xml:space="preserve">Consistent with the record in this proceeding, the system-wide modifications involve new code development, wide-ranging quality assurance and user acceptance testing, which are necessary to ensure that the implementation of new partial payment application practices does not result in massive, Company-wide billing errors. </w:t>
      </w:r>
    </w:p>
    <w:p w14:paraId="4DB4D97F" w14:textId="77777777" w:rsidR="007F7736" w:rsidRDefault="007F7736" w:rsidP="001C75D6">
      <w:pPr>
        <w:pStyle w:val="ListParagraph"/>
        <w:spacing w:after="0" w:line="240" w:lineRule="auto"/>
        <w:ind w:left="1440" w:right="1440"/>
        <w:contextualSpacing w:val="0"/>
        <w:rPr>
          <w:rFonts w:ascii="Times New Roman" w:hAnsi="Times New Roman" w:cs="Times New Roman"/>
          <w:color w:val="000000"/>
          <w:sz w:val="26"/>
          <w:szCs w:val="26"/>
        </w:rPr>
      </w:pPr>
    </w:p>
    <w:p w14:paraId="2E08B973" w14:textId="77777777" w:rsidR="007F7736" w:rsidRDefault="007F7736" w:rsidP="001C75D6">
      <w:pPr>
        <w:pStyle w:val="ListParagraph"/>
        <w:spacing w:after="0" w:line="240" w:lineRule="auto"/>
        <w:ind w:left="1440" w:right="1440"/>
        <w:contextualSpacing w:val="0"/>
        <w:rPr>
          <w:rFonts w:ascii="Times New Roman" w:hAnsi="Times New Roman" w:cs="Times New Roman"/>
          <w:color w:val="000000"/>
          <w:sz w:val="26"/>
          <w:szCs w:val="26"/>
        </w:rPr>
      </w:pPr>
      <w:r>
        <w:rPr>
          <w:rFonts w:ascii="Times New Roman" w:hAnsi="Times New Roman" w:cs="Times New Roman"/>
          <w:color w:val="000000"/>
          <w:sz w:val="26"/>
          <w:szCs w:val="26"/>
        </w:rPr>
        <w:t>8.</w:t>
      </w:r>
      <w:r>
        <w:rPr>
          <w:rFonts w:ascii="Times New Roman" w:hAnsi="Times New Roman" w:cs="Times New Roman"/>
          <w:color w:val="000000"/>
          <w:sz w:val="26"/>
          <w:szCs w:val="26"/>
        </w:rPr>
        <w:tab/>
        <w:t xml:space="preserve">During this proceeding, PGW estimated it would take approximately 57 weeks to reprogram its system, including 33 weeks to develop the code and 24 weeks for quality assurance and user acceptance testing.  </w:t>
      </w:r>
    </w:p>
    <w:p w14:paraId="1FBF423A" w14:textId="77777777" w:rsidR="007F7736" w:rsidRDefault="007F7736" w:rsidP="001C75D6">
      <w:pPr>
        <w:pStyle w:val="ListParagraph"/>
        <w:spacing w:after="0" w:line="240" w:lineRule="auto"/>
        <w:ind w:left="1440" w:right="1440"/>
        <w:contextualSpacing w:val="0"/>
        <w:rPr>
          <w:rFonts w:ascii="Times New Roman" w:hAnsi="Times New Roman" w:cs="Times New Roman"/>
          <w:color w:val="000000"/>
          <w:sz w:val="26"/>
          <w:szCs w:val="26"/>
        </w:rPr>
      </w:pPr>
    </w:p>
    <w:p w14:paraId="075C6F8F" w14:textId="77777777" w:rsidR="007F7736" w:rsidRDefault="007F7736" w:rsidP="001C75D6">
      <w:pPr>
        <w:pStyle w:val="ListParagraph"/>
        <w:spacing w:after="0" w:line="240" w:lineRule="auto"/>
        <w:ind w:left="1440" w:right="1440"/>
        <w:contextualSpacing w:val="0"/>
        <w:rPr>
          <w:rFonts w:ascii="Times New Roman" w:hAnsi="Times New Roman" w:cs="Times New Roman"/>
          <w:color w:val="000000"/>
          <w:sz w:val="26"/>
          <w:szCs w:val="26"/>
        </w:rPr>
      </w:pPr>
      <w:r>
        <w:rPr>
          <w:rFonts w:ascii="Times New Roman" w:hAnsi="Times New Roman" w:cs="Times New Roman"/>
          <w:color w:val="000000"/>
          <w:sz w:val="26"/>
          <w:szCs w:val="26"/>
        </w:rPr>
        <w:t>9.</w:t>
      </w:r>
      <w:r>
        <w:rPr>
          <w:rFonts w:ascii="Times New Roman" w:hAnsi="Times New Roman" w:cs="Times New Roman"/>
          <w:color w:val="000000"/>
          <w:sz w:val="26"/>
          <w:szCs w:val="26"/>
        </w:rPr>
        <w:tab/>
        <w:t xml:space="preserve">Because PGW has initiated the project and some initial work has been done, PGW is better able to forecast the time needed.  PGW now estimates being able to complete the changes within 50 weeks. </w:t>
      </w:r>
    </w:p>
    <w:p w14:paraId="0030752E" w14:textId="77777777" w:rsidR="007F7736" w:rsidRDefault="007F7736" w:rsidP="001C75D6">
      <w:pPr>
        <w:pStyle w:val="ListParagraph"/>
        <w:spacing w:after="0" w:line="240" w:lineRule="auto"/>
        <w:ind w:left="1440" w:right="1440"/>
        <w:contextualSpacing w:val="0"/>
        <w:rPr>
          <w:rFonts w:ascii="Times New Roman" w:hAnsi="Times New Roman" w:cs="Times New Roman"/>
          <w:color w:val="000000"/>
          <w:sz w:val="26"/>
          <w:szCs w:val="26"/>
        </w:rPr>
      </w:pPr>
    </w:p>
    <w:p w14:paraId="5E0C09FA" w14:textId="77777777" w:rsidR="007F7736" w:rsidRDefault="007F7736" w:rsidP="001C75D6">
      <w:pPr>
        <w:pStyle w:val="ListParagraph"/>
        <w:spacing w:after="0" w:line="240" w:lineRule="auto"/>
        <w:ind w:left="1440" w:right="1440"/>
        <w:contextualSpacing w:val="0"/>
        <w:rPr>
          <w:rFonts w:ascii="Times New Roman" w:hAnsi="Times New Roman" w:cs="Times New Roman"/>
          <w:color w:val="000000"/>
          <w:sz w:val="26"/>
          <w:szCs w:val="26"/>
        </w:rPr>
      </w:pPr>
      <w:r>
        <w:rPr>
          <w:rFonts w:ascii="Times New Roman" w:hAnsi="Times New Roman" w:cs="Times New Roman"/>
          <w:color w:val="000000"/>
          <w:sz w:val="26"/>
          <w:szCs w:val="26"/>
        </w:rPr>
        <w:t>10.</w:t>
      </w:r>
      <w:r>
        <w:rPr>
          <w:rFonts w:ascii="Times New Roman" w:hAnsi="Times New Roman" w:cs="Times New Roman"/>
          <w:color w:val="000000"/>
          <w:sz w:val="26"/>
          <w:szCs w:val="26"/>
        </w:rPr>
        <w:tab/>
        <w:t>Further support for the estimated 50-week timeline is set forth in the attachment.</w:t>
      </w:r>
    </w:p>
    <w:p w14:paraId="0EE7925E" w14:textId="77777777" w:rsidR="007F7736" w:rsidRDefault="007F7736" w:rsidP="001C75D6">
      <w:pPr>
        <w:pStyle w:val="ListParagraph"/>
        <w:spacing w:after="0" w:line="240" w:lineRule="auto"/>
        <w:ind w:left="1440" w:right="1440"/>
        <w:contextualSpacing w:val="0"/>
        <w:rPr>
          <w:rFonts w:ascii="Times New Roman" w:hAnsi="Times New Roman" w:cs="Times New Roman"/>
          <w:color w:val="000000"/>
          <w:sz w:val="26"/>
          <w:szCs w:val="26"/>
        </w:rPr>
      </w:pPr>
    </w:p>
    <w:p w14:paraId="64E6DA24" w14:textId="77777777" w:rsidR="007F7736" w:rsidRDefault="007F7736" w:rsidP="001C75D6">
      <w:pPr>
        <w:pStyle w:val="ListParagraph"/>
        <w:spacing w:after="0" w:line="240" w:lineRule="auto"/>
        <w:ind w:left="1440" w:right="1440"/>
        <w:contextualSpacing w:val="0"/>
        <w:rPr>
          <w:rFonts w:ascii="Times New Roman" w:hAnsi="Times New Roman" w:cs="Times New Roman"/>
          <w:color w:val="000000"/>
          <w:sz w:val="26"/>
          <w:szCs w:val="26"/>
        </w:rPr>
      </w:pPr>
    </w:p>
    <w:p w14:paraId="074B878D" w14:textId="4DD75B3D" w:rsidR="007F7736" w:rsidRDefault="007F7736" w:rsidP="001C75D6">
      <w:pPr>
        <w:widowControl/>
        <w:spacing w:line="360" w:lineRule="auto"/>
        <w:rPr>
          <w:color w:val="000000"/>
          <w:sz w:val="26"/>
          <w:szCs w:val="26"/>
        </w:rPr>
      </w:pPr>
      <w:r w:rsidRPr="00B43801">
        <w:rPr>
          <w:i/>
          <w:color w:val="000000"/>
          <w:sz w:val="26"/>
          <w:szCs w:val="26"/>
        </w:rPr>
        <w:t>See</w:t>
      </w:r>
      <w:r>
        <w:rPr>
          <w:color w:val="000000"/>
          <w:sz w:val="26"/>
          <w:szCs w:val="26"/>
        </w:rPr>
        <w:t xml:space="preserve"> Petition, Verified Statement of Frank Weigert, ¶¶ 7-10.</w:t>
      </w:r>
    </w:p>
    <w:p w14:paraId="0D37869F" w14:textId="77777777" w:rsidR="007F7736" w:rsidRDefault="007F7736" w:rsidP="001C75D6">
      <w:pPr>
        <w:pStyle w:val="ListParagraph"/>
        <w:spacing w:after="0" w:line="360" w:lineRule="auto"/>
        <w:ind w:left="0" w:firstLine="1440"/>
        <w:contextualSpacing w:val="0"/>
        <w:rPr>
          <w:rFonts w:ascii="Times New Roman" w:hAnsi="Times New Roman" w:cs="Times New Roman"/>
          <w:color w:val="000000"/>
          <w:sz w:val="26"/>
          <w:szCs w:val="26"/>
        </w:rPr>
      </w:pPr>
    </w:p>
    <w:p w14:paraId="07D04704" w14:textId="59D42054" w:rsidR="00E004BE" w:rsidRDefault="00E004BE" w:rsidP="001C75D6">
      <w:pPr>
        <w:pStyle w:val="ListParagraph"/>
        <w:spacing w:after="0" w:line="360" w:lineRule="auto"/>
        <w:ind w:left="0" w:firstLine="1440"/>
        <w:contextualSpacing w:val="0"/>
        <w:rPr>
          <w:rFonts w:ascii="Times New Roman" w:hAnsi="Times New Roman" w:cs="Times New Roman"/>
          <w:color w:val="000000"/>
          <w:sz w:val="26"/>
          <w:szCs w:val="26"/>
        </w:rPr>
      </w:pPr>
      <w:r>
        <w:rPr>
          <w:rFonts w:ascii="Times New Roman" w:hAnsi="Times New Roman" w:cs="Times New Roman"/>
          <w:color w:val="000000"/>
          <w:sz w:val="26"/>
          <w:szCs w:val="26"/>
        </w:rPr>
        <w:t>The OCA’s Answer responds to each of the issues</w:t>
      </w:r>
      <w:r w:rsidR="00883B2D">
        <w:rPr>
          <w:rFonts w:ascii="Times New Roman" w:hAnsi="Times New Roman" w:cs="Times New Roman"/>
          <w:color w:val="000000"/>
          <w:sz w:val="26"/>
          <w:szCs w:val="26"/>
        </w:rPr>
        <w:t xml:space="preserve"> raised in the Petition</w:t>
      </w:r>
      <w:r>
        <w:rPr>
          <w:rFonts w:ascii="Times New Roman" w:hAnsi="Times New Roman" w:cs="Times New Roman"/>
          <w:color w:val="000000"/>
          <w:sz w:val="26"/>
          <w:szCs w:val="26"/>
        </w:rPr>
        <w:t xml:space="preserve">.  </w:t>
      </w:r>
      <w:r w:rsidRPr="002C62FC">
        <w:rPr>
          <w:rFonts w:ascii="Times New Roman" w:hAnsi="Times New Roman" w:cs="Times New Roman"/>
          <w:i/>
          <w:color w:val="000000"/>
          <w:sz w:val="26"/>
          <w:szCs w:val="26"/>
        </w:rPr>
        <w:t>See generally</w:t>
      </w:r>
      <w:r>
        <w:rPr>
          <w:rFonts w:ascii="Times New Roman" w:hAnsi="Times New Roman" w:cs="Times New Roman"/>
          <w:color w:val="000000"/>
          <w:sz w:val="26"/>
          <w:szCs w:val="26"/>
        </w:rPr>
        <w:t xml:space="preserve"> OCA Answer at 3-12.  </w:t>
      </w:r>
      <w:r w:rsidR="009D61AF">
        <w:rPr>
          <w:rFonts w:ascii="Times New Roman" w:hAnsi="Times New Roman" w:cs="Times New Roman"/>
          <w:color w:val="000000"/>
          <w:sz w:val="26"/>
          <w:szCs w:val="26"/>
        </w:rPr>
        <w:t xml:space="preserve">Except </w:t>
      </w:r>
      <w:r w:rsidR="00C220BE">
        <w:rPr>
          <w:rFonts w:ascii="Times New Roman" w:hAnsi="Times New Roman" w:cs="Times New Roman"/>
          <w:color w:val="000000"/>
          <w:sz w:val="26"/>
          <w:szCs w:val="26"/>
        </w:rPr>
        <w:t>for PGW’s request for an extension of the</w:t>
      </w:r>
      <w:r>
        <w:rPr>
          <w:rFonts w:ascii="Times New Roman" w:hAnsi="Times New Roman" w:cs="Times New Roman"/>
          <w:color w:val="000000"/>
          <w:sz w:val="26"/>
          <w:szCs w:val="26"/>
        </w:rPr>
        <w:t xml:space="preserve"> </w:t>
      </w:r>
      <w:r w:rsidR="009D5793">
        <w:rPr>
          <w:rFonts w:ascii="Times New Roman" w:hAnsi="Times New Roman" w:cs="Times New Roman"/>
          <w:color w:val="000000"/>
          <w:sz w:val="26"/>
          <w:szCs w:val="26"/>
        </w:rPr>
        <w:t>ninety</w:t>
      </w:r>
      <w:r>
        <w:rPr>
          <w:rFonts w:ascii="Times New Roman" w:hAnsi="Times New Roman" w:cs="Times New Roman"/>
          <w:color w:val="000000"/>
          <w:sz w:val="26"/>
          <w:szCs w:val="26"/>
        </w:rPr>
        <w:t>-day time</w:t>
      </w:r>
      <w:r w:rsidR="00883B2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frame, the OCA rejects PGW’s arguments as </w:t>
      </w:r>
      <w:r w:rsidR="00D8511B">
        <w:rPr>
          <w:rFonts w:ascii="Times New Roman" w:hAnsi="Times New Roman" w:cs="Times New Roman"/>
          <w:color w:val="000000"/>
          <w:sz w:val="26"/>
          <w:szCs w:val="26"/>
        </w:rPr>
        <w:t>failing to</w:t>
      </w:r>
      <w:r>
        <w:rPr>
          <w:rFonts w:ascii="Times New Roman" w:hAnsi="Times New Roman" w:cs="Times New Roman"/>
          <w:color w:val="000000"/>
          <w:sz w:val="26"/>
          <w:szCs w:val="26"/>
        </w:rPr>
        <w:t xml:space="preserve"> meet the</w:t>
      </w:r>
      <w:r w:rsidR="00D8511B">
        <w:rPr>
          <w:rFonts w:ascii="Times New Roman" w:hAnsi="Times New Roman" w:cs="Times New Roman"/>
          <w:color w:val="000000"/>
          <w:sz w:val="26"/>
          <w:szCs w:val="26"/>
        </w:rPr>
        <w:t xml:space="preserve"> standards of</w:t>
      </w:r>
      <w:r>
        <w:rPr>
          <w:rFonts w:ascii="Times New Roman" w:hAnsi="Times New Roman" w:cs="Times New Roman"/>
          <w:color w:val="000000"/>
          <w:sz w:val="26"/>
          <w:szCs w:val="26"/>
        </w:rPr>
        <w:t xml:space="preserve"> </w:t>
      </w:r>
      <w:r w:rsidRPr="004C6ED3">
        <w:rPr>
          <w:rFonts w:ascii="Times New Roman" w:hAnsi="Times New Roman" w:cs="Times New Roman"/>
          <w:i/>
          <w:color w:val="000000"/>
          <w:sz w:val="26"/>
          <w:szCs w:val="26"/>
        </w:rPr>
        <w:t>Duick</w:t>
      </w:r>
      <w:r>
        <w:rPr>
          <w:rFonts w:ascii="Times New Roman" w:hAnsi="Times New Roman" w:cs="Times New Roman"/>
          <w:color w:val="000000"/>
          <w:sz w:val="26"/>
          <w:szCs w:val="26"/>
        </w:rPr>
        <w:t xml:space="preserve"> because the OCA argues that</w:t>
      </w:r>
      <w:r w:rsidR="00D8511B">
        <w:rPr>
          <w:rFonts w:ascii="Times New Roman" w:hAnsi="Times New Roman" w:cs="Times New Roman"/>
          <w:color w:val="000000"/>
          <w:sz w:val="26"/>
          <w:szCs w:val="26"/>
        </w:rPr>
        <w:t xml:space="preserve"> </w:t>
      </w:r>
      <w:r>
        <w:rPr>
          <w:rFonts w:ascii="Times New Roman" w:hAnsi="Times New Roman" w:cs="Times New Roman"/>
          <w:color w:val="000000"/>
          <w:sz w:val="26"/>
          <w:szCs w:val="26"/>
        </w:rPr>
        <w:t>PGW fails to present any considerations that are new, novel, overlooked</w:t>
      </w:r>
      <w:r w:rsidR="00D8511B">
        <w:rPr>
          <w:rFonts w:ascii="Times New Roman" w:hAnsi="Times New Roman" w:cs="Times New Roman"/>
          <w:color w:val="000000"/>
          <w:sz w:val="26"/>
          <w:szCs w:val="26"/>
        </w:rPr>
        <w:t>,</w:t>
      </w:r>
      <w:r>
        <w:rPr>
          <w:rFonts w:ascii="Times New Roman" w:hAnsi="Times New Roman" w:cs="Times New Roman"/>
          <w:color w:val="000000"/>
          <w:sz w:val="26"/>
          <w:szCs w:val="26"/>
        </w:rPr>
        <w:t xml:space="preserve"> or otherwise not addressed in the </w:t>
      </w:r>
      <w:r w:rsidR="00037613">
        <w:rPr>
          <w:rFonts w:ascii="Times New Roman" w:hAnsi="Times New Roman" w:cs="Times New Roman"/>
          <w:i/>
          <w:color w:val="000000"/>
          <w:sz w:val="26"/>
          <w:szCs w:val="26"/>
        </w:rPr>
        <w:t>May 2018 Order</w:t>
      </w:r>
      <w:r>
        <w:rPr>
          <w:rFonts w:ascii="Times New Roman" w:hAnsi="Times New Roman" w:cs="Times New Roman"/>
          <w:color w:val="000000"/>
          <w:sz w:val="26"/>
          <w:szCs w:val="26"/>
        </w:rPr>
        <w:t xml:space="preserve">.  </w:t>
      </w:r>
      <w:r w:rsidRPr="00E004BE">
        <w:rPr>
          <w:rFonts w:ascii="Times New Roman" w:hAnsi="Times New Roman" w:cs="Times New Roman"/>
          <w:i/>
          <w:color w:val="000000"/>
          <w:sz w:val="26"/>
          <w:szCs w:val="26"/>
        </w:rPr>
        <w:t>Id</w:t>
      </w:r>
      <w:r>
        <w:rPr>
          <w:rFonts w:ascii="Times New Roman" w:hAnsi="Times New Roman" w:cs="Times New Roman"/>
          <w:color w:val="000000"/>
          <w:sz w:val="26"/>
          <w:szCs w:val="26"/>
        </w:rPr>
        <w:t>.  With respect to</w:t>
      </w:r>
      <w:r w:rsidR="00C220BE">
        <w:rPr>
          <w:rFonts w:ascii="Times New Roman" w:hAnsi="Times New Roman" w:cs="Times New Roman"/>
          <w:color w:val="000000"/>
          <w:sz w:val="26"/>
          <w:szCs w:val="26"/>
        </w:rPr>
        <w:t xml:space="preserve"> PGW’s request for an extension of</w:t>
      </w:r>
      <w:r>
        <w:rPr>
          <w:rFonts w:ascii="Times New Roman" w:hAnsi="Times New Roman" w:cs="Times New Roman"/>
          <w:color w:val="000000"/>
          <w:sz w:val="26"/>
          <w:szCs w:val="26"/>
        </w:rPr>
        <w:t xml:space="preserve"> the </w:t>
      </w:r>
      <w:r w:rsidR="009D5793">
        <w:rPr>
          <w:rFonts w:ascii="Times New Roman" w:hAnsi="Times New Roman" w:cs="Times New Roman"/>
          <w:color w:val="000000"/>
          <w:sz w:val="26"/>
          <w:szCs w:val="26"/>
        </w:rPr>
        <w:t>ninety</w:t>
      </w:r>
      <w:r>
        <w:rPr>
          <w:rFonts w:ascii="Times New Roman" w:hAnsi="Times New Roman" w:cs="Times New Roman"/>
          <w:color w:val="000000"/>
          <w:sz w:val="26"/>
          <w:szCs w:val="26"/>
        </w:rPr>
        <w:t>-day</w:t>
      </w:r>
      <w:r w:rsidR="007F7736">
        <w:rPr>
          <w:rFonts w:ascii="Times New Roman" w:hAnsi="Times New Roman" w:cs="Times New Roman"/>
          <w:color w:val="000000"/>
          <w:sz w:val="26"/>
          <w:szCs w:val="26"/>
        </w:rPr>
        <w:t xml:space="preserve"> deadline</w:t>
      </w:r>
      <w:r>
        <w:rPr>
          <w:rFonts w:ascii="Times New Roman" w:hAnsi="Times New Roman" w:cs="Times New Roman"/>
          <w:color w:val="000000"/>
          <w:sz w:val="26"/>
          <w:szCs w:val="26"/>
        </w:rPr>
        <w:t xml:space="preserve">, the OCA generally supports </w:t>
      </w:r>
      <w:r w:rsidR="00E86139">
        <w:rPr>
          <w:rFonts w:ascii="Times New Roman" w:hAnsi="Times New Roman" w:cs="Times New Roman"/>
          <w:color w:val="000000"/>
          <w:sz w:val="26"/>
          <w:szCs w:val="26"/>
        </w:rPr>
        <w:t>the Commission’s directive t</w:t>
      </w:r>
      <w:r w:rsidR="00D8511B">
        <w:rPr>
          <w:rFonts w:ascii="Times New Roman" w:hAnsi="Times New Roman" w:cs="Times New Roman"/>
          <w:color w:val="000000"/>
          <w:sz w:val="26"/>
          <w:szCs w:val="26"/>
        </w:rPr>
        <w:t>hat</w:t>
      </w:r>
      <w:r>
        <w:rPr>
          <w:rFonts w:ascii="Times New Roman" w:hAnsi="Times New Roman" w:cs="Times New Roman"/>
          <w:color w:val="000000"/>
          <w:sz w:val="26"/>
          <w:szCs w:val="26"/>
        </w:rPr>
        <w:t xml:space="preserve"> PGW </w:t>
      </w:r>
      <w:r w:rsidR="00415282">
        <w:rPr>
          <w:rFonts w:ascii="Times New Roman" w:hAnsi="Times New Roman" w:cs="Times New Roman"/>
          <w:color w:val="000000"/>
          <w:sz w:val="26"/>
          <w:szCs w:val="26"/>
        </w:rPr>
        <w:t>promptly</w:t>
      </w:r>
      <w:r>
        <w:rPr>
          <w:rFonts w:ascii="Times New Roman" w:hAnsi="Times New Roman" w:cs="Times New Roman"/>
          <w:color w:val="000000"/>
          <w:sz w:val="26"/>
          <w:szCs w:val="26"/>
        </w:rPr>
        <w:t xml:space="preserve"> compl</w:t>
      </w:r>
      <w:r w:rsidR="008B4DC6">
        <w:rPr>
          <w:rFonts w:ascii="Times New Roman" w:hAnsi="Times New Roman" w:cs="Times New Roman"/>
          <w:color w:val="000000"/>
          <w:sz w:val="26"/>
          <w:szCs w:val="26"/>
        </w:rPr>
        <w:t>y</w:t>
      </w:r>
      <w:r>
        <w:rPr>
          <w:rFonts w:ascii="Times New Roman" w:hAnsi="Times New Roman" w:cs="Times New Roman"/>
          <w:color w:val="000000"/>
          <w:sz w:val="26"/>
          <w:szCs w:val="26"/>
        </w:rPr>
        <w:t xml:space="preserve"> </w:t>
      </w:r>
      <w:r w:rsidR="00D8511B">
        <w:rPr>
          <w:rFonts w:ascii="Times New Roman" w:hAnsi="Times New Roman" w:cs="Times New Roman"/>
          <w:color w:val="000000"/>
          <w:sz w:val="26"/>
          <w:szCs w:val="26"/>
        </w:rPr>
        <w:t xml:space="preserve">with </w:t>
      </w:r>
      <w:r w:rsidR="00E86139">
        <w:rPr>
          <w:rFonts w:ascii="Times New Roman" w:hAnsi="Times New Roman" w:cs="Times New Roman"/>
          <w:color w:val="000000"/>
          <w:sz w:val="26"/>
          <w:szCs w:val="26"/>
        </w:rPr>
        <w:t>the Commission’s</w:t>
      </w:r>
      <w:r w:rsidR="00D8511B">
        <w:rPr>
          <w:rFonts w:ascii="Times New Roman" w:hAnsi="Times New Roman" w:cs="Times New Roman"/>
          <w:color w:val="000000"/>
          <w:sz w:val="26"/>
          <w:szCs w:val="26"/>
        </w:rPr>
        <w:t xml:space="preserve"> Regulations</w:t>
      </w:r>
      <w:r w:rsidR="00AA233F">
        <w:rPr>
          <w:rFonts w:ascii="Times New Roman" w:hAnsi="Times New Roman" w:cs="Times New Roman"/>
          <w:color w:val="000000"/>
          <w:sz w:val="26"/>
          <w:szCs w:val="26"/>
        </w:rPr>
        <w:t xml:space="preserve"> but</w:t>
      </w:r>
      <w:r>
        <w:rPr>
          <w:rFonts w:ascii="Times New Roman" w:hAnsi="Times New Roman" w:cs="Times New Roman"/>
          <w:color w:val="000000"/>
          <w:sz w:val="26"/>
          <w:szCs w:val="26"/>
        </w:rPr>
        <w:t xml:space="preserve"> submits that the Commission may need to </w:t>
      </w:r>
      <w:r w:rsidR="00CD5DA8">
        <w:rPr>
          <w:rFonts w:ascii="Times New Roman" w:hAnsi="Times New Roman" w:cs="Times New Roman"/>
          <w:color w:val="000000"/>
          <w:sz w:val="26"/>
          <w:szCs w:val="26"/>
        </w:rPr>
        <w:t xml:space="preserve">revisit the ninety-day deadline and </w:t>
      </w:r>
      <w:r w:rsidR="009D61AF">
        <w:rPr>
          <w:rFonts w:ascii="Times New Roman" w:hAnsi="Times New Roman" w:cs="Times New Roman"/>
          <w:color w:val="000000"/>
          <w:sz w:val="26"/>
          <w:szCs w:val="26"/>
        </w:rPr>
        <w:t xml:space="preserve">give </w:t>
      </w:r>
      <w:r w:rsidR="00CD5DA8">
        <w:rPr>
          <w:rFonts w:ascii="Times New Roman" w:hAnsi="Times New Roman" w:cs="Times New Roman"/>
          <w:color w:val="000000"/>
          <w:sz w:val="26"/>
          <w:szCs w:val="26"/>
        </w:rPr>
        <w:t>more</w:t>
      </w:r>
      <w:r w:rsidR="00D8511B">
        <w:rPr>
          <w:rFonts w:ascii="Times New Roman" w:hAnsi="Times New Roman" w:cs="Times New Roman"/>
          <w:color w:val="000000"/>
          <w:sz w:val="26"/>
          <w:szCs w:val="26"/>
        </w:rPr>
        <w:t xml:space="preserve"> time </w:t>
      </w:r>
      <w:r w:rsidR="00E86139">
        <w:rPr>
          <w:rFonts w:ascii="Times New Roman" w:hAnsi="Times New Roman" w:cs="Times New Roman"/>
          <w:color w:val="000000"/>
          <w:sz w:val="26"/>
          <w:szCs w:val="26"/>
        </w:rPr>
        <w:t xml:space="preserve">for PGW </w:t>
      </w:r>
      <w:r w:rsidR="00D8511B">
        <w:rPr>
          <w:rFonts w:ascii="Times New Roman" w:hAnsi="Times New Roman" w:cs="Times New Roman"/>
          <w:color w:val="000000"/>
          <w:sz w:val="26"/>
          <w:szCs w:val="26"/>
        </w:rPr>
        <w:t xml:space="preserve">to </w:t>
      </w:r>
      <w:r>
        <w:rPr>
          <w:rFonts w:ascii="Times New Roman" w:hAnsi="Times New Roman" w:cs="Times New Roman"/>
          <w:color w:val="000000"/>
          <w:sz w:val="26"/>
          <w:szCs w:val="26"/>
        </w:rPr>
        <w:t xml:space="preserve">implement the modifications </w:t>
      </w:r>
      <w:r w:rsidR="00E86139">
        <w:rPr>
          <w:rFonts w:ascii="Times New Roman" w:hAnsi="Times New Roman" w:cs="Times New Roman"/>
          <w:color w:val="000000"/>
          <w:sz w:val="26"/>
          <w:szCs w:val="26"/>
        </w:rPr>
        <w:t xml:space="preserve">in its billing system </w:t>
      </w:r>
      <w:r>
        <w:rPr>
          <w:rFonts w:ascii="Times New Roman" w:hAnsi="Times New Roman" w:cs="Times New Roman"/>
          <w:color w:val="000000"/>
          <w:sz w:val="26"/>
          <w:szCs w:val="26"/>
        </w:rPr>
        <w:t>and</w:t>
      </w:r>
      <w:r w:rsidR="009D61AF">
        <w:rPr>
          <w:rFonts w:ascii="Times New Roman" w:hAnsi="Times New Roman" w:cs="Times New Roman"/>
          <w:color w:val="000000"/>
          <w:sz w:val="26"/>
          <w:szCs w:val="26"/>
        </w:rPr>
        <w:t xml:space="preserve"> </w:t>
      </w:r>
      <w:r w:rsidR="00D8511B">
        <w:rPr>
          <w:rFonts w:ascii="Times New Roman" w:hAnsi="Times New Roman" w:cs="Times New Roman"/>
          <w:color w:val="000000"/>
          <w:sz w:val="26"/>
          <w:szCs w:val="26"/>
        </w:rPr>
        <w:t xml:space="preserve">conduct </w:t>
      </w:r>
      <w:r>
        <w:rPr>
          <w:rFonts w:ascii="Times New Roman" w:hAnsi="Times New Roman" w:cs="Times New Roman"/>
          <w:color w:val="000000"/>
          <w:sz w:val="26"/>
          <w:szCs w:val="26"/>
        </w:rPr>
        <w:t>required testing to avoid unintended disruption of other aspects of its billing system.  OCA Answer at 4-5.</w:t>
      </w:r>
    </w:p>
    <w:p w14:paraId="332A6EEF" w14:textId="4C1DA122" w:rsidR="00586A81" w:rsidRDefault="00586A81" w:rsidP="009C62C5">
      <w:pPr>
        <w:widowControl/>
        <w:spacing w:line="360" w:lineRule="auto"/>
        <w:rPr>
          <w:color w:val="000000"/>
          <w:sz w:val="26"/>
          <w:szCs w:val="26"/>
        </w:rPr>
      </w:pPr>
    </w:p>
    <w:p w14:paraId="1261EE1B" w14:textId="77777777" w:rsidR="00DF0852" w:rsidRDefault="00DF0852" w:rsidP="001C75D6">
      <w:pPr>
        <w:pStyle w:val="ListParagraph"/>
        <w:keepNext/>
        <w:keepLines/>
        <w:numPr>
          <w:ilvl w:val="1"/>
          <w:numId w:val="7"/>
        </w:numPr>
        <w:spacing w:after="0" w:line="360" w:lineRule="auto"/>
        <w:ind w:left="0" w:firstLine="0"/>
        <w:contextualSpacing w:val="0"/>
        <w:rPr>
          <w:rFonts w:ascii="Times New Roman" w:hAnsi="Times New Roman" w:cs="Times New Roman"/>
          <w:b/>
          <w:sz w:val="26"/>
          <w:szCs w:val="26"/>
        </w:rPr>
      </w:pPr>
      <w:r>
        <w:rPr>
          <w:rFonts w:ascii="Times New Roman" w:hAnsi="Times New Roman" w:cs="Times New Roman"/>
          <w:b/>
          <w:sz w:val="26"/>
          <w:szCs w:val="26"/>
        </w:rPr>
        <w:t>Joint Petition for Settlement</w:t>
      </w:r>
    </w:p>
    <w:p w14:paraId="3CB48FBF" w14:textId="77777777" w:rsidR="009249D6" w:rsidRPr="00DF0852" w:rsidRDefault="009249D6" w:rsidP="001C75D6">
      <w:pPr>
        <w:keepNext/>
        <w:keepLines/>
        <w:widowControl/>
        <w:spacing w:line="360" w:lineRule="auto"/>
        <w:rPr>
          <w:color w:val="000000"/>
          <w:sz w:val="26"/>
          <w:szCs w:val="26"/>
        </w:rPr>
      </w:pPr>
    </w:p>
    <w:p w14:paraId="429924DE" w14:textId="2863BC6A" w:rsidR="00137174" w:rsidRPr="00137174" w:rsidRDefault="00F57A3A" w:rsidP="001C75D6">
      <w:pPr>
        <w:pStyle w:val="ListParagraph"/>
        <w:spacing w:after="0" w:line="360" w:lineRule="auto"/>
        <w:ind w:left="0" w:firstLine="1440"/>
        <w:contextualSpacing w:val="0"/>
        <w:rPr>
          <w:rFonts w:ascii="Times New Roman" w:hAnsi="Times New Roman" w:cs="Times New Roman"/>
          <w:color w:val="000000"/>
          <w:sz w:val="26"/>
          <w:szCs w:val="26"/>
        </w:rPr>
      </w:pPr>
      <w:r>
        <w:rPr>
          <w:rFonts w:ascii="Times New Roman" w:hAnsi="Times New Roman" w:cs="Times New Roman"/>
          <w:color w:val="000000"/>
          <w:sz w:val="26"/>
          <w:szCs w:val="26"/>
        </w:rPr>
        <w:t>In the Joint Petition for Settlement, PGW and the OCA submit that the terms and conditions of the Settlement fully resolve the issue</w:t>
      </w:r>
      <w:r w:rsidR="008A25D1">
        <w:rPr>
          <w:rFonts w:ascii="Times New Roman" w:hAnsi="Times New Roman" w:cs="Times New Roman"/>
          <w:color w:val="000000"/>
          <w:sz w:val="26"/>
          <w:szCs w:val="26"/>
        </w:rPr>
        <w:t>s</w:t>
      </w:r>
      <w:r>
        <w:rPr>
          <w:rFonts w:ascii="Times New Roman" w:hAnsi="Times New Roman" w:cs="Times New Roman"/>
          <w:color w:val="000000"/>
          <w:sz w:val="26"/>
          <w:szCs w:val="26"/>
        </w:rPr>
        <w:t xml:space="preserve"> raised during this proceeding by</w:t>
      </w:r>
      <w:r w:rsidR="009D61AF">
        <w:rPr>
          <w:rFonts w:ascii="Times New Roman" w:hAnsi="Times New Roman" w:cs="Times New Roman"/>
          <w:color w:val="000000"/>
          <w:sz w:val="26"/>
          <w:szCs w:val="26"/>
        </w:rPr>
        <w:t xml:space="preserve"> the</w:t>
      </w:r>
      <w:r>
        <w:rPr>
          <w:rFonts w:ascii="Times New Roman" w:hAnsi="Times New Roman" w:cs="Times New Roman"/>
          <w:color w:val="000000"/>
          <w:sz w:val="26"/>
          <w:szCs w:val="26"/>
        </w:rPr>
        <w:t xml:space="preserve"> OCA concerning PGW’s partial payment allocation practices without </w:t>
      </w:r>
      <w:r>
        <w:rPr>
          <w:rFonts w:ascii="Times New Roman" w:hAnsi="Times New Roman" w:cs="Times New Roman"/>
          <w:color w:val="000000"/>
          <w:sz w:val="26"/>
          <w:szCs w:val="26"/>
        </w:rPr>
        <w:lastRenderedPageBreak/>
        <w:t xml:space="preserve">the need for further litigation, including appellate remedies, and is the only remaining open issue in this proceeding.  Joint Petition for Settlement at 1. </w:t>
      </w:r>
      <w:r w:rsidR="008A25D1">
        <w:rPr>
          <w:rFonts w:ascii="Times New Roman" w:hAnsi="Times New Roman" w:cs="Times New Roman"/>
          <w:color w:val="000000"/>
          <w:sz w:val="26"/>
          <w:szCs w:val="26"/>
        </w:rPr>
        <w:t xml:space="preserve"> </w:t>
      </w:r>
      <w:r w:rsidR="00137174" w:rsidRPr="009249D6">
        <w:rPr>
          <w:rFonts w:ascii="Times New Roman" w:hAnsi="Times New Roman" w:cs="Times New Roman"/>
          <w:color w:val="000000"/>
          <w:sz w:val="26"/>
          <w:szCs w:val="26"/>
        </w:rPr>
        <w:t xml:space="preserve">PGW and </w:t>
      </w:r>
      <w:r w:rsidR="008B4DC6">
        <w:rPr>
          <w:rFonts w:ascii="Times New Roman" w:hAnsi="Times New Roman" w:cs="Times New Roman"/>
          <w:color w:val="000000"/>
          <w:sz w:val="26"/>
          <w:szCs w:val="26"/>
        </w:rPr>
        <w:t xml:space="preserve">the </w:t>
      </w:r>
      <w:r w:rsidR="00137174" w:rsidRPr="009249D6">
        <w:rPr>
          <w:rFonts w:ascii="Times New Roman" w:hAnsi="Times New Roman" w:cs="Times New Roman"/>
          <w:color w:val="000000"/>
          <w:sz w:val="26"/>
          <w:szCs w:val="26"/>
        </w:rPr>
        <w:t xml:space="preserve">OCA submit that the Settlement terms and conditions are in the public interest because they provide for a reasonable resolution of issues that PGW and </w:t>
      </w:r>
      <w:r w:rsidR="008B4DC6">
        <w:rPr>
          <w:rFonts w:ascii="Times New Roman" w:hAnsi="Times New Roman" w:cs="Times New Roman"/>
          <w:color w:val="000000"/>
          <w:sz w:val="26"/>
          <w:szCs w:val="26"/>
        </w:rPr>
        <w:t xml:space="preserve">the </w:t>
      </w:r>
      <w:r w:rsidR="00137174" w:rsidRPr="009249D6">
        <w:rPr>
          <w:rFonts w:ascii="Times New Roman" w:hAnsi="Times New Roman" w:cs="Times New Roman"/>
          <w:color w:val="000000"/>
          <w:sz w:val="26"/>
          <w:szCs w:val="26"/>
        </w:rPr>
        <w:t xml:space="preserve">OCA have been litigating for nearly two years.  </w:t>
      </w:r>
      <w:r w:rsidR="00137174" w:rsidRPr="009249D6">
        <w:rPr>
          <w:rFonts w:ascii="Times New Roman" w:hAnsi="Times New Roman" w:cs="Times New Roman"/>
          <w:sz w:val="26"/>
          <w:szCs w:val="26"/>
        </w:rPr>
        <w:t>Joint Petition for Settlement at 6.</w:t>
      </w:r>
      <w:r w:rsidR="00137174">
        <w:rPr>
          <w:rFonts w:ascii="Times New Roman" w:hAnsi="Times New Roman" w:cs="Times New Roman"/>
          <w:sz w:val="26"/>
          <w:szCs w:val="26"/>
        </w:rPr>
        <w:t xml:space="preserve">  </w:t>
      </w:r>
      <w:r w:rsidR="00137174" w:rsidRPr="009249D6">
        <w:rPr>
          <w:rFonts w:ascii="Times New Roman" w:hAnsi="Times New Roman" w:cs="Times New Roman"/>
          <w:color w:val="000000"/>
          <w:sz w:val="26"/>
          <w:szCs w:val="26"/>
        </w:rPr>
        <w:t xml:space="preserve">According to the Parties, such resolution ensures that PGW’s partial payment allocation practices will be modified in the manner directed by the </w:t>
      </w:r>
      <w:r w:rsidR="00137174" w:rsidRPr="009249D6">
        <w:rPr>
          <w:rFonts w:ascii="Times New Roman" w:hAnsi="Times New Roman" w:cs="Times New Roman"/>
          <w:i/>
          <w:color w:val="000000"/>
          <w:sz w:val="26"/>
          <w:szCs w:val="26"/>
        </w:rPr>
        <w:t>May 2018 Order</w:t>
      </w:r>
      <w:r w:rsidR="00137174" w:rsidRPr="009249D6">
        <w:rPr>
          <w:rFonts w:ascii="Times New Roman" w:hAnsi="Times New Roman" w:cs="Times New Roman"/>
          <w:color w:val="000000"/>
          <w:sz w:val="26"/>
          <w:szCs w:val="26"/>
        </w:rPr>
        <w:t xml:space="preserve">, while also affording PGW adequate time to continue undertaking new code development and wide-ranging quality assurance and user acceptance testing.  </w:t>
      </w:r>
      <w:r w:rsidR="00137174" w:rsidRPr="00137174">
        <w:rPr>
          <w:rFonts w:ascii="Times New Roman" w:hAnsi="Times New Roman" w:cs="Times New Roman"/>
          <w:i/>
          <w:color w:val="000000"/>
          <w:sz w:val="26"/>
          <w:szCs w:val="26"/>
        </w:rPr>
        <w:t>Id</w:t>
      </w:r>
      <w:r w:rsidR="00137174">
        <w:rPr>
          <w:rFonts w:ascii="Times New Roman" w:hAnsi="Times New Roman" w:cs="Times New Roman"/>
          <w:color w:val="000000"/>
          <w:sz w:val="26"/>
          <w:szCs w:val="26"/>
        </w:rPr>
        <w:t xml:space="preserve">.  </w:t>
      </w:r>
      <w:r w:rsidR="00137174" w:rsidRPr="009249D6">
        <w:rPr>
          <w:rFonts w:ascii="Times New Roman" w:hAnsi="Times New Roman" w:cs="Times New Roman"/>
          <w:color w:val="000000"/>
          <w:sz w:val="26"/>
          <w:szCs w:val="26"/>
        </w:rPr>
        <w:t xml:space="preserve">Through these measures, </w:t>
      </w:r>
      <w:r w:rsidR="00137174">
        <w:rPr>
          <w:rFonts w:ascii="Times New Roman" w:hAnsi="Times New Roman" w:cs="Times New Roman"/>
          <w:color w:val="000000"/>
          <w:sz w:val="26"/>
          <w:szCs w:val="26"/>
        </w:rPr>
        <w:t xml:space="preserve">the Parties assert that </w:t>
      </w:r>
      <w:r w:rsidR="00137174" w:rsidRPr="009249D6">
        <w:rPr>
          <w:rFonts w:ascii="Times New Roman" w:hAnsi="Times New Roman" w:cs="Times New Roman"/>
          <w:color w:val="000000"/>
          <w:sz w:val="26"/>
          <w:szCs w:val="26"/>
        </w:rPr>
        <w:t xml:space="preserve">PGW will increase the likelihood that the implementation of the new practices will not result in significant, Company-wide billing errors or other implementation errors. </w:t>
      </w:r>
      <w:r w:rsidR="00137174">
        <w:rPr>
          <w:rFonts w:ascii="Times New Roman" w:hAnsi="Times New Roman" w:cs="Times New Roman"/>
          <w:color w:val="000000"/>
          <w:sz w:val="26"/>
          <w:szCs w:val="26"/>
        </w:rPr>
        <w:t xml:space="preserve"> </w:t>
      </w:r>
      <w:r w:rsidR="00137174" w:rsidRPr="00137174">
        <w:rPr>
          <w:rFonts w:ascii="Times New Roman" w:hAnsi="Times New Roman" w:cs="Times New Roman"/>
          <w:i/>
          <w:color w:val="000000"/>
          <w:sz w:val="26"/>
          <w:szCs w:val="26"/>
        </w:rPr>
        <w:t>Id</w:t>
      </w:r>
      <w:r w:rsidR="00137174">
        <w:rPr>
          <w:rFonts w:ascii="Times New Roman" w:hAnsi="Times New Roman" w:cs="Times New Roman"/>
          <w:color w:val="000000"/>
          <w:sz w:val="26"/>
          <w:szCs w:val="26"/>
        </w:rPr>
        <w:t>.</w:t>
      </w:r>
      <w:r w:rsidR="00137174" w:rsidRPr="009249D6">
        <w:rPr>
          <w:rFonts w:ascii="Times New Roman" w:hAnsi="Times New Roman" w:cs="Times New Roman"/>
          <w:color w:val="000000"/>
          <w:sz w:val="26"/>
          <w:szCs w:val="26"/>
        </w:rPr>
        <w:t xml:space="preserve"> </w:t>
      </w:r>
      <w:r w:rsidR="008A25D1">
        <w:rPr>
          <w:rFonts w:ascii="Times New Roman" w:hAnsi="Times New Roman" w:cs="Times New Roman"/>
          <w:color w:val="000000"/>
          <w:sz w:val="26"/>
          <w:szCs w:val="26"/>
        </w:rPr>
        <w:t xml:space="preserve"> </w:t>
      </w:r>
      <w:r w:rsidR="00137174">
        <w:rPr>
          <w:rFonts w:ascii="Times New Roman" w:hAnsi="Times New Roman" w:cs="Times New Roman"/>
          <w:color w:val="000000"/>
          <w:sz w:val="26"/>
          <w:szCs w:val="26"/>
        </w:rPr>
        <w:t>The Parties assert that r</w:t>
      </w:r>
      <w:r w:rsidR="00137174" w:rsidRPr="009249D6">
        <w:rPr>
          <w:rFonts w:ascii="Times New Roman" w:hAnsi="Times New Roman" w:cs="Times New Roman"/>
          <w:color w:val="000000"/>
          <w:sz w:val="26"/>
          <w:szCs w:val="26"/>
        </w:rPr>
        <w:t xml:space="preserve">ushing the time in which these billing system changes are implemented will increase the potential for errors to the detriment of customers and add additional cost and time to the process. </w:t>
      </w:r>
      <w:r w:rsidR="00137174">
        <w:rPr>
          <w:rFonts w:ascii="Times New Roman" w:hAnsi="Times New Roman" w:cs="Times New Roman"/>
          <w:color w:val="000000"/>
          <w:sz w:val="26"/>
          <w:szCs w:val="26"/>
        </w:rPr>
        <w:t xml:space="preserve"> </w:t>
      </w:r>
      <w:r w:rsidR="00137174" w:rsidRPr="00137174">
        <w:rPr>
          <w:rFonts w:ascii="Times New Roman" w:hAnsi="Times New Roman" w:cs="Times New Roman"/>
          <w:i/>
          <w:sz w:val="26"/>
          <w:szCs w:val="26"/>
        </w:rPr>
        <w:t>Id</w:t>
      </w:r>
      <w:r w:rsidR="00137174">
        <w:rPr>
          <w:rFonts w:ascii="Times New Roman" w:hAnsi="Times New Roman" w:cs="Times New Roman"/>
          <w:sz w:val="26"/>
          <w:szCs w:val="26"/>
        </w:rPr>
        <w:t>.</w:t>
      </w:r>
    </w:p>
    <w:p w14:paraId="082840CD" w14:textId="77777777" w:rsidR="00137174" w:rsidRDefault="00137174" w:rsidP="001C75D6">
      <w:pPr>
        <w:pStyle w:val="ListParagraph"/>
        <w:spacing w:after="0" w:line="360" w:lineRule="auto"/>
        <w:ind w:left="0" w:firstLine="1440"/>
        <w:contextualSpacing w:val="0"/>
        <w:rPr>
          <w:rFonts w:ascii="Times New Roman" w:hAnsi="Times New Roman" w:cs="Times New Roman"/>
          <w:sz w:val="26"/>
          <w:szCs w:val="26"/>
        </w:rPr>
      </w:pPr>
    </w:p>
    <w:p w14:paraId="0B4ABE62" w14:textId="7AC175CF" w:rsidR="00137174" w:rsidRDefault="00137174" w:rsidP="001C75D6">
      <w:pPr>
        <w:pStyle w:val="ListParagraph"/>
        <w:spacing w:after="0" w:line="360" w:lineRule="auto"/>
        <w:ind w:left="0" w:firstLine="1440"/>
        <w:contextualSpacing w:val="0"/>
        <w:rPr>
          <w:rFonts w:ascii="Times New Roman" w:hAnsi="Times New Roman" w:cs="Times New Roman"/>
          <w:sz w:val="26"/>
          <w:szCs w:val="26"/>
        </w:rPr>
      </w:pPr>
      <w:r w:rsidRPr="00DF0852">
        <w:rPr>
          <w:rFonts w:ascii="Times New Roman" w:hAnsi="Times New Roman" w:cs="Times New Roman"/>
          <w:sz w:val="26"/>
          <w:szCs w:val="26"/>
        </w:rPr>
        <w:t>The Parties assert that t</w:t>
      </w:r>
      <w:r w:rsidRPr="00DF0852">
        <w:rPr>
          <w:rFonts w:ascii="Times New Roman" w:hAnsi="Times New Roman" w:cs="Times New Roman"/>
          <w:color w:val="000000"/>
          <w:sz w:val="26"/>
          <w:szCs w:val="26"/>
        </w:rPr>
        <w:t xml:space="preserve">he result achieved by the Settlement is supported by the record in this proceeding, wherein PGW’s witness estimated that it would take </w:t>
      </w:r>
      <w:r w:rsidR="008A25D1">
        <w:rPr>
          <w:rFonts w:ascii="Times New Roman" w:hAnsi="Times New Roman" w:cs="Times New Roman"/>
          <w:color w:val="000000"/>
          <w:sz w:val="26"/>
          <w:szCs w:val="26"/>
        </w:rPr>
        <w:t>thirty-three</w:t>
      </w:r>
      <w:r w:rsidRPr="00DF0852">
        <w:rPr>
          <w:rFonts w:ascii="Times New Roman" w:hAnsi="Times New Roman" w:cs="Times New Roman"/>
          <w:color w:val="000000"/>
          <w:sz w:val="26"/>
          <w:szCs w:val="26"/>
        </w:rPr>
        <w:t xml:space="preserve"> weeks to develop the code to reprogram the complex changes that would be entailed and another </w:t>
      </w:r>
      <w:r w:rsidR="008A25D1">
        <w:rPr>
          <w:rFonts w:ascii="Times New Roman" w:hAnsi="Times New Roman" w:cs="Times New Roman"/>
          <w:color w:val="000000"/>
          <w:sz w:val="26"/>
          <w:szCs w:val="26"/>
        </w:rPr>
        <w:t>twenty-four</w:t>
      </w:r>
      <w:r w:rsidRPr="00DF0852">
        <w:rPr>
          <w:rFonts w:ascii="Times New Roman" w:hAnsi="Times New Roman" w:cs="Times New Roman"/>
          <w:color w:val="000000"/>
          <w:sz w:val="26"/>
          <w:szCs w:val="26"/>
        </w:rPr>
        <w:t xml:space="preserve"> weeks for quality assurance and user acceptance testing.  Because PGW has begun the process for making these changes, PGW anticipates that a </w:t>
      </w:r>
      <w:r w:rsidR="008A25D1" w:rsidRPr="00DF0852">
        <w:rPr>
          <w:rFonts w:ascii="Times New Roman" w:hAnsi="Times New Roman" w:cs="Times New Roman"/>
          <w:color w:val="000000"/>
          <w:sz w:val="26"/>
          <w:szCs w:val="26"/>
        </w:rPr>
        <w:t>fifty-eight-week</w:t>
      </w:r>
      <w:r w:rsidRPr="00DF0852">
        <w:rPr>
          <w:rFonts w:ascii="Times New Roman" w:hAnsi="Times New Roman" w:cs="Times New Roman"/>
          <w:color w:val="000000"/>
          <w:sz w:val="26"/>
          <w:szCs w:val="26"/>
        </w:rPr>
        <w:t xml:space="preserve"> period from the date of the </w:t>
      </w:r>
      <w:r w:rsidRPr="00DF0852">
        <w:rPr>
          <w:rFonts w:ascii="Times New Roman" w:hAnsi="Times New Roman" w:cs="Times New Roman"/>
          <w:i/>
          <w:color w:val="000000"/>
          <w:sz w:val="26"/>
          <w:szCs w:val="26"/>
        </w:rPr>
        <w:t>May 2018 Order</w:t>
      </w:r>
      <w:r w:rsidRPr="00DF0852">
        <w:rPr>
          <w:rFonts w:ascii="Times New Roman" w:hAnsi="Times New Roman" w:cs="Times New Roman"/>
          <w:color w:val="000000"/>
          <w:sz w:val="26"/>
          <w:szCs w:val="26"/>
        </w:rPr>
        <w:t xml:space="preserve"> will be sufficient.  </w:t>
      </w:r>
      <w:r w:rsidRPr="00DF0852">
        <w:rPr>
          <w:rFonts w:ascii="Times New Roman" w:hAnsi="Times New Roman" w:cs="Times New Roman"/>
          <w:sz w:val="26"/>
          <w:szCs w:val="26"/>
        </w:rPr>
        <w:t>Joint Petition for Settlement at 7.</w:t>
      </w:r>
    </w:p>
    <w:p w14:paraId="4D767B22" w14:textId="77777777" w:rsidR="00137174" w:rsidRDefault="00137174" w:rsidP="001C75D6">
      <w:pPr>
        <w:pStyle w:val="ListParagraph"/>
        <w:spacing w:after="0" w:line="360" w:lineRule="auto"/>
        <w:ind w:left="0" w:firstLine="1440"/>
        <w:contextualSpacing w:val="0"/>
        <w:rPr>
          <w:rFonts w:ascii="Times New Roman" w:hAnsi="Times New Roman" w:cs="Times New Roman"/>
          <w:sz w:val="26"/>
          <w:szCs w:val="26"/>
        </w:rPr>
      </w:pPr>
    </w:p>
    <w:p w14:paraId="555EB6C5" w14:textId="40E279AA" w:rsidR="00137174" w:rsidRPr="00DF0852" w:rsidRDefault="00137174" w:rsidP="001C75D6">
      <w:pPr>
        <w:pStyle w:val="ListParagraph"/>
        <w:spacing w:after="0" w:line="360" w:lineRule="auto"/>
        <w:ind w:left="0" w:firstLine="1440"/>
        <w:contextualSpacing w:val="0"/>
        <w:rPr>
          <w:rFonts w:ascii="Times New Roman" w:hAnsi="Times New Roman" w:cs="Times New Roman"/>
          <w:sz w:val="26"/>
          <w:szCs w:val="26"/>
        </w:rPr>
      </w:pPr>
      <w:r w:rsidRPr="00DF0852">
        <w:rPr>
          <w:rFonts w:ascii="Times New Roman" w:hAnsi="Times New Roman" w:cs="Times New Roman"/>
          <w:color w:val="000000"/>
          <w:sz w:val="26"/>
          <w:szCs w:val="26"/>
        </w:rPr>
        <w:t xml:space="preserve">PGW and </w:t>
      </w:r>
      <w:r w:rsidR="00C86CDD">
        <w:rPr>
          <w:rFonts w:ascii="Times New Roman" w:hAnsi="Times New Roman" w:cs="Times New Roman"/>
          <w:color w:val="000000"/>
          <w:sz w:val="26"/>
          <w:szCs w:val="26"/>
        </w:rPr>
        <w:t xml:space="preserve">the </w:t>
      </w:r>
      <w:r w:rsidRPr="00DF0852">
        <w:rPr>
          <w:rFonts w:ascii="Times New Roman" w:hAnsi="Times New Roman" w:cs="Times New Roman"/>
          <w:color w:val="000000"/>
          <w:sz w:val="26"/>
          <w:szCs w:val="26"/>
        </w:rPr>
        <w:t>OCA further submit that th</w:t>
      </w:r>
      <w:r>
        <w:rPr>
          <w:rFonts w:ascii="Times New Roman" w:hAnsi="Times New Roman" w:cs="Times New Roman"/>
          <w:color w:val="000000"/>
          <w:sz w:val="26"/>
          <w:szCs w:val="26"/>
        </w:rPr>
        <w:t>e</w:t>
      </w:r>
      <w:r w:rsidRPr="00DF0852">
        <w:rPr>
          <w:rFonts w:ascii="Times New Roman" w:hAnsi="Times New Roman" w:cs="Times New Roman"/>
          <w:color w:val="000000"/>
          <w:sz w:val="26"/>
          <w:szCs w:val="26"/>
        </w:rPr>
        <w:t xml:space="preserve"> Settlement avoids the need for any further litigation of these issues, including appellate remedies, thereby eliminating any delay caused by the appellate process, and reducing associated costs for both PGW and the Commission.  </w:t>
      </w:r>
      <w:r>
        <w:rPr>
          <w:rFonts w:ascii="Times New Roman" w:hAnsi="Times New Roman" w:cs="Times New Roman"/>
          <w:color w:val="000000"/>
          <w:sz w:val="26"/>
          <w:szCs w:val="26"/>
        </w:rPr>
        <w:t xml:space="preserve">The Parties also assert that the Settlement </w:t>
      </w:r>
      <w:r w:rsidRPr="00DF0852">
        <w:rPr>
          <w:rFonts w:ascii="Times New Roman" w:hAnsi="Times New Roman" w:cs="Times New Roman"/>
          <w:color w:val="000000"/>
          <w:sz w:val="26"/>
          <w:szCs w:val="26"/>
        </w:rPr>
        <w:t xml:space="preserve">is consistent with the Commission’s policies promoting negotiated settlements.  </w:t>
      </w:r>
      <w:r w:rsidRPr="00DF0852">
        <w:rPr>
          <w:rFonts w:ascii="Times New Roman" w:hAnsi="Times New Roman" w:cs="Times New Roman"/>
          <w:sz w:val="26"/>
          <w:szCs w:val="26"/>
        </w:rPr>
        <w:t>Joint Petition for Settlement at 7</w:t>
      </w:r>
      <w:r>
        <w:rPr>
          <w:rFonts w:ascii="Times New Roman" w:hAnsi="Times New Roman" w:cs="Times New Roman"/>
          <w:sz w:val="26"/>
          <w:szCs w:val="26"/>
        </w:rPr>
        <w:t xml:space="preserve"> (citing </w:t>
      </w:r>
      <w:r w:rsidRPr="00DF0852">
        <w:rPr>
          <w:rFonts w:ascii="Times New Roman" w:hAnsi="Times New Roman" w:cs="Times New Roman"/>
          <w:color w:val="000000"/>
          <w:sz w:val="26"/>
          <w:szCs w:val="26"/>
        </w:rPr>
        <w:t>52 Pa.</w:t>
      </w:r>
      <w:r>
        <w:rPr>
          <w:rFonts w:ascii="Times New Roman" w:hAnsi="Times New Roman" w:cs="Times New Roman"/>
          <w:color w:val="000000"/>
          <w:sz w:val="26"/>
          <w:szCs w:val="26"/>
        </w:rPr>
        <w:t xml:space="preserve"> </w:t>
      </w:r>
      <w:r w:rsidRPr="00DF0852">
        <w:rPr>
          <w:rFonts w:ascii="Times New Roman" w:hAnsi="Times New Roman" w:cs="Times New Roman"/>
          <w:color w:val="000000"/>
          <w:sz w:val="26"/>
          <w:szCs w:val="26"/>
        </w:rPr>
        <w:t>Code §§ 5.231, 69.391, 69.401-69.406</w:t>
      </w:r>
      <w:r>
        <w:rPr>
          <w:rFonts w:ascii="Times New Roman" w:hAnsi="Times New Roman" w:cs="Times New Roman"/>
          <w:color w:val="000000"/>
          <w:sz w:val="26"/>
          <w:szCs w:val="26"/>
        </w:rPr>
        <w:t>)</w:t>
      </w:r>
      <w:r w:rsidRPr="00DF0852">
        <w:rPr>
          <w:rFonts w:ascii="Times New Roman" w:hAnsi="Times New Roman" w:cs="Times New Roman"/>
          <w:color w:val="000000"/>
          <w:sz w:val="26"/>
          <w:szCs w:val="26"/>
        </w:rPr>
        <w:t>.</w:t>
      </w:r>
    </w:p>
    <w:p w14:paraId="37FADBDB" w14:textId="2DD12C50" w:rsidR="00137174" w:rsidRDefault="00137174" w:rsidP="001C75D6">
      <w:pPr>
        <w:pStyle w:val="ListParagraph"/>
        <w:spacing w:after="0" w:line="360" w:lineRule="auto"/>
        <w:ind w:left="0" w:firstLine="1440"/>
        <w:contextualSpacing w:val="0"/>
        <w:rPr>
          <w:rFonts w:ascii="Times New Roman" w:hAnsi="Times New Roman" w:cs="Times New Roman"/>
          <w:color w:val="000000"/>
          <w:sz w:val="26"/>
          <w:szCs w:val="26"/>
        </w:rPr>
      </w:pPr>
    </w:p>
    <w:p w14:paraId="4C9DC50A" w14:textId="3AAAAD15" w:rsidR="00137174" w:rsidRPr="00137174" w:rsidRDefault="00137174" w:rsidP="009C62C5">
      <w:pPr>
        <w:keepNext/>
        <w:keepLines/>
        <w:widowControl/>
        <w:spacing w:line="360" w:lineRule="auto"/>
        <w:ind w:firstLine="720"/>
        <w:rPr>
          <w:b/>
          <w:color w:val="000000"/>
          <w:sz w:val="26"/>
          <w:szCs w:val="26"/>
        </w:rPr>
      </w:pPr>
      <w:r w:rsidRPr="00137174">
        <w:rPr>
          <w:b/>
          <w:color w:val="000000"/>
          <w:sz w:val="26"/>
          <w:szCs w:val="26"/>
        </w:rPr>
        <w:t>Settlement Terms and Conditions</w:t>
      </w:r>
    </w:p>
    <w:p w14:paraId="001CEE37" w14:textId="77777777" w:rsidR="00F57A3A" w:rsidRDefault="00F57A3A" w:rsidP="009C62C5">
      <w:pPr>
        <w:pStyle w:val="ListParagraph"/>
        <w:keepNext/>
        <w:keepLines/>
        <w:spacing w:after="0" w:line="360" w:lineRule="auto"/>
        <w:ind w:left="0" w:firstLine="1440"/>
        <w:contextualSpacing w:val="0"/>
        <w:rPr>
          <w:rFonts w:ascii="Times New Roman" w:hAnsi="Times New Roman" w:cs="Times New Roman"/>
          <w:color w:val="000000"/>
          <w:sz w:val="26"/>
          <w:szCs w:val="26"/>
        </w:rPr>
      </w:pPr>
    </w:p>
    <w:p w14:paraId="10E855D3" w14:textId="14CC63CA" w:rsidR="005D2F58" w:rsidRDefault="005D2F58" w:rsidP="001C75D6">
      <w:pPr>
        <w:pStyle w:val="ListParagraph"/>
        <w:spacing w:after="0" w:line="360" w:lineRule="auto"/>
        <w:ind w:left="0" w:firstLine="1440"/>
        <w:contextualSpacing w:val="0"/>
        <w:rPr>
          <w:rFonts w:ascii="Times New Roman" w:hAnsi="Times New Roman" w:cs="Times New Roman"/>
          <w:color w:val="000000"/>
          <w:sz w:val="26"/>
          <w:szCs w:val="26"/>
        </w:rPr>
      </w:pPr>
      <w:r>
        <w:rPr>
          <w:rFonts w:ascii="Times New Roman" w:hAnsi="Times New Roman" w:cs="Times New Roman"/>
          <w:color w:val="000000"/>
          <w:sz w:val="26"/>
          <w:szCs w:val="26"/>
        </w:rPr>
        <w:t>The Settlement terms and conditions as presented in the Joint Petition for Settlement are as follows:</w:t>
      </w:r>
    </w:p>
    <w:p w14:paraId="6A9933A3" w14:textId="1D52EA04" w:rsidR="005D2F58" w:rsidRDefault="005D2F58" w:rsidP="001C75D6">
      <w:pPr>
        <w:pStyle w:val="ListParagraph"/>
        <w:spacing w:after="0" w:line="360" w:lineRule="auto"/>
        <w:ind w:left="0" w:firstLine="1440"/>
        <w:contextualSpacing w:val="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14:paraId="3C885726" w14:textId="4B6250EA" w:rsidR="005D2F58" w:rsidRPr="00012785" w:rsidRDefault="005D2F58" w:rsidP="001C75D6">
      <w:pPr>
        <w:pStyle w:val="ListParagraph"/>
        <w:numPr>
          <w:ilvl w:val="0"/>
          <w:numId w:val="10"/>
        </w:numPr>
        <w:spacing w:after="0" w:line="240" w:lineRule="auto"/>
        <w:ind w:right="1440"/>
        <w:contextualSpacing w:val="0"/>
        <w:rPr>
          <w:rFonts w:ascii="Times New Roman" w:hAnsi="Times New Roman" w:cs="Times New Roman"/>
          <w:color w:val="000000"/>
          <w:sz w:val="26"/>
          <w:szCs w:val="26"/>
        </w:rPr>
      </w:pPr>
      <w:r w:rsidRPr="00012785">
        <w:rPr>
          <w:rFonts w:ascii="Times New Roman" w:hAnsi="Times New Roman" w:cs="Times New Roman"/>
          <w:color w:val="000000"/>
          <w:sz w:val="26"/>
          <w:szCs w:val="26"/>
        </w:rPr>
        <w:t>PGW commits to making the modifications directed by the May 18, 2018 Order no later than July 2, 2019.  Attached as Exhibit A is a timeline for implementation, which describes in detail each step of the process, along with an estimated amount of time for completion</w:t>
      </w:r>
      <w:r w:rsidR="00536CE0">
        <w:rPr>
          <w:rFonts w:ascii="Times New Roman" w:hAnsi="Times New Roman" w:cs="Times New Roman"/>
          <w:color w:val="000000"/>
          <w:sz w:val="26"/>
          <w:szCs w:val="26"/>
        </w:rPr>
        <w:t>.</w:t>
      </w:r>
    </w:p>
    <w:p w14:paraId="18C2F185" w14:textId="77777777" w:rsidR="009D730F" w:rsidRPr="00012785" w:rsidRDefault="009D730F" w:rsidP="001C75D6">
      <w:pPr>
        <w:pStyle w:val="ListParagraph"/>
        <w:spacing w:after="0" w:line="240" w:lineRule="auto"/>
        <w:ind w:left="2160" w:right="1440"/>
        <w:contextualSpacing w:val="0"/>
        <w:rPr>
          <w:rFonts w:ascii="Times New Roman" w:hAnsi="Times New Roman" w:cs="Times New Roman"/>
          <w:color w:val="000000"/>
          <w:sz w:val="26"/>
          <w:szCs w:val="26"/>
        </w:rPr>
      </w:pPr>
    </w:p>
    <w:p w14:paraId="55842FDC" w14:textId="0D476BDF" w:rsidR="005D2F58" w:rsidRPr="004B1320" w:rsidRDefault="005D2F58" w:rsidP="009C62C5">
      <w:pPr>
        <w:pStyle w:val="ListParagraph"/>
        <w:numPr>
          <w:ilvl w:val="0"/>
          <w:numId w:val="10"/>
        </w:numPr>
        <w:spacing w:after="0" w:line="240" w:lineRule="auto"/>
        <w:ind w:right="1440"/>
        <w:contextualSpacing w:val="0"/>
        <w:rPr>
          <w:color w:val="000000"/>
          <w:sz w:val="26"/>
        </w:rPr>
      </w:pPr>
      <w:r w:rsidRPr="00C86CDD">
        <w:rPr>
          <w:rFonts w:ascii="Times New Roman" w:hAnsi="Times New Roman" w:cs="Times New Roman"/>
          <w:color w:val="000000"/>
          <w:sz w:val="26"/>
          <w:szCs w:val="26"/>
        </w:rPr>
        <w:t xml:space="preserve">By this Settlement, PGW does not admit that its </w:t>
      </w:r>
      <w:r w:rsidRPr="009C62C5">
        <w:rPr>
          <w:rFonts w:ascii="Times New Roman" w:hAnsi="Times New Roman"/>
          <w:color w:val="000000"/>
          <w:sz w:val="26"/>
        </w:rPr>
        <w:t>current partial payment allocation practices violate any Commission regulations or provisions of the Public Utility Code.</w:t>
      </w:r>
    </w:p>
    <w:p w14:paraId="5D29714C" w14:textId="77777777" w:rsidR="009D730F" w:rsidRPr="00012785" w:rsidRDefault="009D730F" w:rsidP="009C62C5">
      <w:pPr>
        <w:widowControl/>
        <w:ind w:left="2160" w:right="1440"/>
        <w:rPr>
          <w:color w:val="000000"/>
          <w:sz w:val="26"/>
          <w:szCs w:val="26"/>
        </w:rPr>
      </w:pPr>
    </w:p>
    <w:p w14:paraId="26B2CB03" w14:textId="1596E4A8" w:rsidR="005D2F58" w:rsidRDefault="005D2F58" w:rsidP="001C75D6">
      <w:pPr>
        <w:pStyle w:val="ListParagraph"/>
        <w:numPr>
          <w:ilvl w:val="0"/>
          <w:numId w:val="10"/>
        </w:numPr>
        <w:ind w:right="1440"/>
        <w:rPr>
          <w:rFonts w:ascii="Times New Roman" w:hAnsi="Times New Roman" w:cs="Times New Roman"/>
          <w:color w:val="000000"/>
          <w:sz w:val="26"/>
          <w:szCs w:val="26"/>
        </w:rPr>
      </w:pPr>
      <w:r w:rsidRPr="00012785">
        <w:rPr>
          <w:rFonts w:ascii="Times New Roman" w:hAnsi="Times New Roman" w:cs="Times New Roman"/>
          <w:color w:val="000000"/>
          <w:sz w:val="26"/>
          <w:szCs w:val="26"/>
        </w:rPr>
        <w:t xml:space="preserve">Upon approval of this Settlement and amendment by the Commission of the required implementation timeframe set forth in the May 18, 2018 Order to reflect the timeframe for modification of PGW’s billing system as set forth herein, PGW’s pending Petition for Reconsideration shall be deemed withdrawn.  Further, PGW will forego any appellate remedies in connection with the </w:t>
      </w:r>
      <w:r w:rsidR="00417526">
        <w:rPr>
          <w:rFonts w:ascii="Times New Roman" w:hAnsi="Times New Roman" w:cs="Times New Roman"/>
          <w:color w:val="000000"/>
          <w:sz w:val="26"/>
          <w:szCs w:val="26"/>
        </w:rPr>
        <w:t>May 18 Order</w:t>
      </w:r>
      <w:r w:rsidRPr="00012785">
        <w:rPr>
          <w:rFonts w:ascii="Times New Roman" w:hAnsi="Times New Roman" w:cs="Times New Roman"/>
          <w:color w:val="000000"/>
          <w:sz w:val="26"/>
          <w:szCs w:val="26"/>
        </w:rPr>
        <w:t>.</w:t>
      </w:r>
    </w:p>
    <w:p w14:paraId="58CEBCE6" w14:textId="0E31A26B" w:rsidR="00C86CDD" w:rsidRPr="009C62C5" w:rsidRDefault="00C86CDD" w:rsidP="009C62C5">
      <w:pPr>
        <w:pStyle w:val="ListParagraph"/>
        <w:ind w:left="2160" w:right="1440"/>
        <w:rPr>
          <w:rFonts w:ascii="Times New Roman" w:hAnsi="Times New Roman"/>
          <w:color w:val="000000"/>
          <w:sz w:val="26"/>
        </w:rPr>
      </w:pPr>
    </w:p>
    <w:p w14:paraId="213094B3" w14:textId="77777777" w:rsidR="00C86CDD" w:rsidRDefault="00C86CDD" w:rsidP="001C75D6">
      <w:pPr>
        <w:pStyle w:val="ListParagraph"/>
        <w:ind w:left="2160" w:right="1440"/>
        <w:rPr>
          <w:rFonts w:ascii="Times New Roman" w:hAnsi="Times New Roman" w:cs="Times New Roman"/>
          <w:color w:val="000000"/>
          <w:sz w:val="26"/>
          <w:szCs w:val="26"/>
        </w:rPr>
      </w:pPr>
    </w:p>
    <w:p w14:paraId="02A8B6F4" w14:textId="77777777" w:rsidR="009249D6" w:rsidRDefault="009D730F" w:rsidP="001C75D6">
      <w:pPr>
        <w:pStyle w:val="ListParagraph"/>
        <w:spacing w:after="0" w:line="360" w:lineRule="auto"/>
        <w:ind w:left="0"/>
        <w:contextualSpacing w:val="0"/>
        <w:rPr>
          <w:rFonts w:ascii="Times New Roman" w:hAnsi="Times New Roman" w:cs="Times New Roman"/>
          <w:sz w:val="26"/>
          <w:szCs w:val="26"/>
        </w:rPr>
      </w:pPr>
      <w:r w:rsidRPr="009D730F">
        <w:rPr>
          <w:rFonts w:ascii="Times New Roman" w:hAnsi="Times New Roman" w:cs="Times New Roman"/>
          <w:sz w:val="26"/>
          <w:szCs w:val="26"/>
        </w:rPr>
        <w:t xml:space="preserve">Joint Petition for Settlement at 5-6. </w:t>
      </w:r>
    </w:p>
    <w:p w14:paraId="3AC72BDE" w14:textId="77777777" w:rsidR="009249D6" w:rsidRDefault="009249D6" w:rsidP="001C75D6">
      <w:pPr>
        <w:pStyle w:val="ListParagraph"/>
        <w:spacing w:after="0" w:line="360" w:lineRule="auto"/>
        <w:ind w:left="0"/>
        <w:contextualSpacing w:val="0"/>
        <w:rPr>
          <w:rFonts w:ascii="Times New Roman" w:hAnsi="Times New Roman" w:cs="Times New Roman"/>
          <w:sz w:val="26"/>
          <w:szCs w:val="26"/>
        </w:rPr>
      </w:pPr>
    </w:p>
    <w:p w14:paraId="36CBD7D0" w14:textId="4E248491" w:rsidR="00137174" w:rsidRDefault="00CC06DF" w:rsidP="001C75D6">
      <w:pPr>
        <w:pStyle w:val="ListParagraph"/>
        <w:spacing w:after="0" w:line="360" w:lineRule="auto"/>
        <w:ind w:left="0" w:firstLine="1440"/>
        <w:contextualSpacing w:val="0"/>
        <w:rPr>
          <w:rFonts w:ascii="Times New Roman" w:hAnsi="Times New Roman" w:cs="Times New Roman"/>
          <w:sz w:val="26"/>
          <w:szCs w:val="26"/>
        </w:rPr>
      </w:pPr>
      <w:r>
        <w:rPr>
          <w:rFonts w:ascii="Times New Roman" w:hAnsi="Times New Roman" w:cs="Times New Roman"/>
          <w:sz w:val="26"/>
          <w:szCs w:val="26"/>
        </w:rPr>
        <w:t>I</w:t>
      </w:r>
      <w:r w:rsidR="00E74610">
        <w:rPr>
          <w:rFonts w:ascii="Times New Roman" w:hAnsi="Times New Roman" w:cs="Times New Roman"/>
          <w:sz w:val="26"/>
          <w:szCs w:val="26"/>
        </w:rPr>
        <w:t xml:space="preserve">ncorporated into paragraph (a) of the Settlement is an </w:t>
      </w:r>
      <w:r w:rsidR="00137174">
        <w:rPr>
          <w:rFonts w:ascii="Times New Roman" w:hAnsi="Times New Roman" w:cs="Times New Roman"/>
          <w:sz w:val="26"/>
          <w:szCs w:val="26"/>
        </w:rPr>
        <w:t>Exhibit A</w:t>
      </w:r>
      <w:r w:rsidR="00E74610">
        <w:rPr>
          <w:rFonts w:ascii="Times New Roman" w:hAnsi="Times New Roman" w:cs="Times New Roman"/>
          <w:sz w:val="26"/>
          <w:szCs w:val="26"/>
        </w:rPr>
        <w:t xml:space="preserve"> </w:t>
      </w:r>
      <w:r w:rsidR="00C202C8">
        <w:rPr>
          <w:rFonts w:ascii="Times New Roman" w:hAnsi="Times New Roman" w:cs="Times New Roman"/>
          <w:sz w:val="26"/>
          <w:szCs w:val="26"/>
        </w:rPr>
        <w:t>summarizing</w:t>
      </w:r>
      <w:r w:rsidR="00E74610">
        <w:rPr>
          <w:rFonts w:ascii="Times New Roman" w:hAnsi="Times New Roman" w:cs="Times New Roman"/>
          <w:sz w:val="26"/>
          <w:szCs w:val="26"/>
        </w:rPr>
        <w:t xml:space="preserve"> each step PGW </w:t>
      </w:r>
      <w:r w:rsidR="00C202C8">
        <w:rPr>
          <w:rFonts w:ascii="Times New Roman" w:hAnsi="Times New Roman" w:cs="Times New Roman"/>
          <w:sz w:val="26"/>
          <w:szCs w:val="26"/>
        </w:rPr>
        <w:t xml:space="preserve">has made or </w:t>
      </w:r>
      <w:r w:rsidR="00E74610">
        <w:rPr>
          <w:rFonts w:ascii="Times New Roman" w:hAnsi="Times New Roman" w:cs="Times New Roman"/>
          <w:sz w:val="26"/>
          <w:szCs w:val="26"/>
        </w:rPr>
        <w:t>anticipates mak</w:t>
      </w:r>
      <w:r w:rsidR="00C202C8">
        <w:rPr>
          <w:rFonts w:ascii="Times New Roman" w:hAnsi="Times New Roman" w:cs="Times New Roman"/>
          <w:sz w:val="26"/>
          <w:szCs w:val="26"/>
        </w:rPr>
        <w:t>ing</w:t>
      </w:r>
      <w:r w:rsidR="00E74610">
        <w:rPr>
          <w:rFonts w:ascii="Times New Roman" w:hAnsi="Times New Roman" w:cs="Times New Roman"/>
          <w:sz w:val="26"/>
          <w:szCs w:val="26"/>
        </w:rPr>
        <w:t xml:space="preserve"> as part of its system updates along with an estimated time for completion.  Exhibit A indicates that PGW already </w:t>
      </w:r>
      <w:r w:rsidR="001E47A6">
        <w:rPr>
          <w:rFonts w:ascii="Times New Roman" w:hAnsi="Times New Roman" w:cs="Times New Roman"/>
          <w:sz w:val="26"/>
          <w:szCs w:val="26"/>
        </w:rPr>
        <w:t xml:space="preserve">has </w:t>
      </w:r>
      <w:r w:rsidR="00E74610">
        <w:rPr>
          <w:rFonts w:ascii="Times New Roman" w:hAnsi="Times New Roman" w:cs="Times New Roman"/>
          <w:sz w:val="26"/>
          <w:szCs w:val="26"/>
        </w:rPr>
        <w:t>prepared full business and technical requirements for this project</w:t>
      </w:r>
      <w:r w:rsidR="00C202C8">
        <w:rPr>
          <w:rFonts w:ascii="Times New Roman" w:hAnsi="Times New Roman" w:cs="Times New Roman"/>
          <w:sz w:val="26"/>
          <w:szCs w:val="26"/>
        </w:rPr>
        <w:t xml:space="preserve"> and that certain significant milestones (coding and unit testing, and testing quality assurance) have already been completed as of the entry date of this Order.  It also details the remaining </w:t>
      </w:r>
      <w:r w:rsidR="00C202C8">
        <w:rPr>
          <w:rFonts w:ascii="Times New Roman" w:hAnsi="Times New Roman" w:cs="Times New Roman"/>
          <w:sz w:val="26"/>
          <w:szCs w:val="26"/>
        </w:rPr>
        <w:lastRenderedPageBreak/>
        <w:t>steps to be taken by PGW in order to achieve completion on or before July 2, 2019.</w:t>
      </w:r>
      <w:r>
        <w:rPr>
          <w:rFonts w:ascii="Times New Roman" w:hAnsi="Times New Roman" w:cs="Times New Roman"/>
          <w:sz w:val="26"/>
          <w:szCs w:val="26"/>
        </w:rPr>
        <w:t xml:space="preserve">  </w:t>
      </w:r>
      <w:r w:rsidR="008A25D1" w:rsidRPr="008A25D1">
        <w:rPr>
          <w:rFonts w:ascii="Times New Roman" w:hAnsi="Times New Roman" w:cs="Times New Roman"/>
          <w:i/>
          <w:sz w:val="26"/>
          <w:szCs w:val="26"/>
        </w:rPr>
        <w:t>See</w:t>
      </w:r>
      <w:r w:rsidR="008A25D1">
        <w:rPr>
          <w:rFonts w:ascii="Times New Roman" w:hAnsi="Times New Roman" w:cs="Times New Roman"/>
          <w:sz w:val="26"/>
          <w:szCs w:val="26"/>
        </w:rPr>
        <w:t xml:space="preserve"> </w:t>
      </w:r>
      <w:r>
        <w:rPr>
          <w:rFonts w:ascii="Times New Roman" w:hAnsi="Times New Roman" w:cs="Times New Roman"/>
          <w:sz w:val="26"/>
          <w:szCs w:val="26"/>
        </w:rPr>
        <w:t>Exhibit A to Joint Petition for Settlement.</w:t>
      </w:r>
    </w:p>
    <w:p w14:paraId="34907852" w14:textId="2564BA0E" w:rsidR="00CC06DF" w:rsidRDefault="00CC06DF" w:rsidP="001C75D6">
      <w:pPr>
        <w:pStyle w:val="ListParagraph"/>
        <w:spacing w:after="0" w:line="360" w:lineRule="auto"/>
        <w:ind w:left="0" w:firstLine="1440"/>
        <w:contextualSpacing w:val="0"/>
        <w:rPr>
          <w:rFonts w:ascii="Times New Roman" w:hAnsi="Times New Roman" w:cs="Times New Roman"/>
          <w:sz w:val="26"/>
          <w:szCs w:val="26"/>
        </w:rPr>
      </w:pPr>
    </w:p>
    <w:p w14:paraId="26CA0B95" w14:textId="06D74828" w:rsidR="00CC06DF" w:rsidRDefault="00CC06DF" w:rsidP="001C75D6">
      <w:pPr>
        <w:pStyle w:val="ListParagraph"/>
        <w:spacing w:after="0" w:line="360" w:lineRule="auto"/>
        <w:ind w:left="0" w:firstLine="1440"/>
        <w:contextualSpacing w:val="0"/>
        <w:rPr>
          <w:rFonts w:ascii="Times New Roman" w:hAnsi="Times New Roman" w:cs="Times New Roman"/>
          <w:sz w:val="26"/>
          <w:szCs w:val="26"/>
        </w:rPr>
      </w:pPr>
      <w:r>
        <w:rPr>
          <w:rFonts w:ascii="Times New Roman" w:hAnsi="Times New Roman" w:cs="Times New Roman"/>
          <w:sz w:val="26"/>
          <w:szCs w:val="26"/>
        </w:rPr>
        <w:t xml:space="preserve">Also incorporated into paragraph </w:t>
      </w:r>
      <w:r w:rsidRPr="009249D6">
        <w:rPr>
          <w:rFonts w:ascii="Times New Roman" w:hAnsi="Times New Roman" w:cs="Times New Roman"/>
          <w:sz w:val="26"/>
          <w:szCs w:val="26"/>
        </w:rPr>
        <w:t>(a) of the Settlement</w:t>
      </w:r>
      <w:r>
        <w:rPr>
          <w:rFonts w:ascii="Times New Roman" w:hAnsi="Times New Roman" w:cs="Times New Roman"/>
          <w:sz w:val="26"/>
          <w:szCs w:val="26"/>
        </w:rPr>
        <w:t xml:space="preserve"> is a footnote that further clarifies PGW’s commitment to the July 2, 2019 implementation date.  In the footnote, PGW states </w:t>
      </w:r>
      <w:r w:rsidRPr="009249D6">
        <w:rPr>
          <w:rFonts w:ascii="Times New Roman" w:hAnsi="Times New Roman" w:cs="Times New Roman"/>
          <w:sz w:val="26"/>
          <w:szCs w:val="26"/>
        </w:rPr>
        <w:t xml:space="preserve">that </w:t>
      </w:r>
      <w:r>
        <w:rPr>
          <w:rFonts w:ascii="Times New Roman" w:hAnsi="Times New Roman" w:cs="Times New Roman"/>
          <w:sz w:val="26"/>
          <w:szCs w:val="26"/>
        </w:rPr>
        <w:t>while it</w:t>
      </w:r>
      <w:r w:rsidRPr="009249D6">
        <w:rPr>
          <w:rFonts w:ascii="Times New Roman" w:hAnsi="Times New Roman" w:cs="Times New Roman"/>
          <w:sz w:val="26"/>
          <w:szCs w:val="26"/>
        </w:rPr>
        <w:t xml:space="preserve"> believes it is currently on track to meet </w:t>
      </w:r>
      <w:r>
        <w:rPr>
          <w:rFonts w:ascii="Times New Roman" w:hAnsi="Times New Roman" w:cs="Times New Roman"/>
          <w:sz w:val="26"/>
          <w:szCs w:val="26"/>
        </w:rPr>
        <w:t>its commitment by</w:t>
      </w:r>
      <w:r w:rsidRPr="009249D6">
        <w:rPr>
          <w:rFonts w:ascii="Times New Roman" w:hAnsi="Times New Roman" w:cs="Times New Roman"/>
          <w:sz w:val="26"/>
          <w:szCs w:val="26"/>
        </w:rPr>
        <w:t xml:space="preserve"> </w:t>
      </w:r>
      <w:r>
        <w:rPr>
          <w:rFonts w:ascii="Times New Roman" w:hAnsi="Times New Roman" w:cs="Times New Roman"/>
          <w:sz w:val="26"/>
          <w:szCs w:val="26"/>
        </w:rPr>
        <w:t xml:space="preserve">July 2, 2019, </w:t>
      </w:r>
      <w:r w:rsidRPr="009249D6">
        <w:rPr>
          <w:rFonts w:ascii="Times New Roman" w:hAnsi="Times New Roman" w:cs="Times New Roman"/>
          <w:sz w:val="26"/>
          <w:szCs w:val="26"/>
        </w:rPr>
        <w:t xml:space="preserve">circumstances beyond its control have </w:t>
      </w:r>
      <w:r>
        <w:rPr>
          <w:rFonts w:ascii="Times New Roman" w:hAnsi="Times New Roman" w:cs="Times New Roman"/>
          <w:sz w:val="26"/>
          <w:szCs w:val="26"/>
        </w:rPr>
        <w:t xml:space="preserve">already </w:t>
      </w:r>
      <w:r w:rsidRPr="009249D6">
        <w:rPr>
          <w:rFonts w:ascii="Times New Roman" w:hAnsi="Times New Roman" w:cs="Times New Roman"/>
          <w:sz w:val="26"/>
          <w:szCs w:val="26"/>
        </w:rPr>
        <w:t>occurred during the process of implementing th</w:t>
      </w:r>
      <w:r>
        <w:rPr>
          <w:rFonts w:ascii="Times New Roman" w:hAnsi="Times New Roman" w:cs="Times New Roman"/>
          <w:sz w:val="26"/>
          <w:szCs w:val="26"/>
        </w:rPr>
        <w:t>e</w:t>
      </w:r>
      <w:r w:rsidRPr="009249D6">
        <w:rPr>
          <w:rFonts w:ascii="Times New Roman" w:hAnsi="Times New Roman" w:cs="Times New Roman"/>
          <w:sz w:val="26"/>
          <w:szCs w:val="26"/>
        </w:rPr>
        <w:t xml:space="preserve"> change</w:t>
      </w:r>
      <w:r>
        <w:rPr>
          <w:rFonts w:ascii="Times New Roman" w:hAnsi="Times New Roman" w:cs="Times New Roman"/>
          <w:sz w:val="26"/>
          <w:szCs w:val="26"/>
        </w:rPr>
        <w:t xml:space="preserve"> to its billing system, </w:t>
      </w:r>
      <w:r w:rsidRPr="009249D6">
        <w:rPr>
          <w:rFonts w:ascii="Times New Roman" w:hAnsi="Times New Roman" w:cs="Times New Roman"/>
          <w:sz w:val="26"/>
          <w:szCs w:val="26"/>
        </w:rPr>
        <w:t>including the serious illness and subsequent death of its primary coder</w:t>
      </w:r>
      <w:r>
        <w:rPr>
          <w:rFonts w:ascii="Times New Roman" w:hAnsi="Times New Roman" w:cs="Times New Roman"/>
          <w:sz w:val="26"/>
          <w:szCs w:val="26"/>
        </w:rPr>
        <w:t>,</w:t>
      </w:r>
      <w:r w:rsidRPr="009249D6">
        <w:rPr>
          <w:rFonts w:ascii="Times New Roman" w:hAnsi="Times New Roman" w:cs="Times New Roman"/>
          <w:sz w:val="26"/>
          <w:szCs w:val="26"/>
        </w:rPr>
        <w:t xml:space="preserve"> which delayed completion of the complex coding changes.</w:t>
      </w:r>
      <w:r w:rsidR="001E47A6">
        <w:rPr>
          <w:rFonts w:ascii="Times New Roman" w:hAnsi="Times New Roman" w:cs="Times New Roman"/>
          <w:sz w:val="26"/>
          <w:szCs w:val="26"/>
        </w:rPr>
        <w:t xml:space="preserve"> </w:t>
      </w:r>
      <w:r w:rsidRPr="009249D6">
        <w:rPr>
          <w:rFonts w:ascii="Times New Roman" w:hAnsi="Times New Roman" w:cs="Times New Roman"/>
          <w:sz w:val="26"/>
          <w:szCs w:val="26"/>
        </w:rPr>
        <w:t xml:space="preserve"> Given th</w:t>
      </w:r>
      <w:r>
        <w:rPr>
          <w:rFonts w:ascii="Times New Roman" w:hAnsi="Times New Roman" w:cs="Times New Roman"/>
          <w:sz w:val="26"/>
          <w:szCs w:val="26"/>
        </w:rPr>
        <w:t>e</w:t>
      </w:r>
      <w:r w:rsidRPr="009249D6">
        <w:rPr>
          <w:rFonts w:ascii="Times New Roman" w:hAnsi="Times New Roman" w:cs="Times New Roman"/>
          <w:sz w:val="26"/>
          <w:szCs w:val="26"/>
        </w:rPr>
        <w:t xml:space="preserve"> complexity</w:t>
      </w:r>
      <w:r>
        <w:rPr>
          <w:rFonts w:ascii="Times New Roman" w:hAnsi="Times New Roman" w:cs="Times New Roman"/>
          <w:sz w:val="26"/>
          <w:szCs w:val="26"/>
        </w:rPr>
        <w:t xml:space="preserve"> of the coding changes</w:t>
      </w:r>
      <w:r w:rsidRPr="009249D6">
        <w:rPr>
          <w:rFonts w:ascii="Times New Roman" w:hAnsi="Times New Roman" w:cs="Times New Roman"/>
          <w:sz w:val="26"/>
          <w:szCs w:val="26"/>
        </w:rPr>
        <w:t xml:space="preserve">, PGW </w:t>
      </w:r>
      <w:r>
        <w:rPr>
          <w:rFonts w:ascii="Times New Roman" w:hAnsi="Times New Roman" w:cs="Times New Roman"/>
          <w:sz w:val="26"/>
          <w:szCs w:val="26"/>
        </w:rPr>
        <w:t xml:space="preserve">explains </w:t>
      </w:r>
      <w:r w:rsidRPr="009249D6">
        <w:rPr>
          <w:rFonts w:ascii="Times New Roman" w:hAnsi="Times New Roman" w:cs="Times New Roman"/>
          <w:sz w:val="26"/>
          <w:szCs w:val="26"/>
        </w:rPr>
        <w:t>that it is imperative that</w:t>
      </w:r>
      <w:r>
        <w:rPr>
          <w:rFonts w:ascii="Times New Roman" w:hAnsi="Times New Roman" w:cs="Times New Roman"/>
          <w:sz w:val="26"/>
          <w:szCs w:val="26"/>
        </w:rPr>
        <w:t xml:space="preserve"> it</w:t>
      </w:r>
      <w:r w:rsidRPr="009249D6">
        <w:rPr>
          <w:rFonts w:ascii="Times New Roman" w:hAnsi="Times New Roman" w:cs="Times New Roman"/>
          <w:sz w:val="26"/>
          <w:szCs w:val="26"/>
        </w:rPr>
        <w:t xml:space="preserve"> thoroughly test </w:t>
      </w:r>
      <w:r>
        <w:rPr>
          <w:rFonts w:ascii="Times New Roman" w:hAnsi="Times New Roman" w:cs="Times New Roman"/>
          <w:sz w:val="26"/>
          <w:szCs w:val="26"/>
        </w:rPr>
        <w:t>the coding changes</w:t>
      </w:r>
      <w:r w:rsidRPr="009249D6">
        <w:rPr>
          <w:rFonts w:ascii="Times New Roman" w:hAnsi="Times New Roman" w:cs="Times New Roman"/>
          <w:sz w:val="26"/>
          <w:szCs w:val="26"/>
        </w:rPr>
        <w:t xml:space="preserve"> prior to fully implementing </w:t>
      </w:r>
      <w:r>
        <w:rPr>
          <w:rFonts w:ascii="Times New Roman" w:hAnsi="Times New Roman" w:cs="Times New Roman"/>
          <w:sz w:val="26"/>
          <w:szCs w:val="26"/>
        </w:rPr>
        <w:t>them and that s</w:t>
      </w:r>
      <w:r w:rsidRPr="009249D6">
        <w:rPr>
          <w:rFonts w:ascii="Times New Roman" w:hAnsi="Times New Roman" w:cs="Times New Roman"/>
          <w:sz w:val="26"/>
          <w:szCs w:val="26"/>
        </w:rPr>
        <w:t xml:space="preserve">uch testing takes significant time and can lead to </w:t>
      </w:r>
      <w:r>
        <w:rPr>
          <w:rFonts w:ascii="Times New Roman" w:hAnsi="Times New Roman" w:cs="Times New Roman"/>
          <w:sz w:val="26"/>
          <w:szCs w:val="26"/>
        </w:rPr>
        <w:t xml:space="preserve">additional </w:t>
      </w:r>
      <w:r w:rsidRPr="009249D6">
        <w:rPr>
          <w:rFonts w:ascii="Times New Roman" w:hAnsi="Times New Roman" w:cs="Times New Roman"/>
          <w:sz w:val="26"/>
          <w:szCs w:val="26"/>
        </w:rPr>
        <w:t>coding changes and related re-testing.</w:t>
      </w:r>
      <w:r w:rsidR="001E47A6">
        <w:rPr>
          <w:rFonts w:ascii="Times New Roman" w:hAnsi="Times New Roman" w:cs="Times New Roman"/>
          <w:sz w:val="26"/>
          <w:szCs w:val="26"/>
        </w:rPr>
        <w:t xml:space="preserve"> </w:t>
      </w:r>
      <w:r w:rsidRPr="009249D6">
        <w:rPr>
          <w:rFonts w:ascii="Times New Roman" w:hAnsi="Times New Roman" w:cs="Times New Roman"/>
          <w:sz w:val="26"/>
          <w:szCs w:val="26"/>
        </w:rPr>
        <w:t xml:space="preserve"> </w:t>
      </w:r>
      <w:r>
        <w:rPr>
          <w:rFonts w:ascii="Times New Roman" w:hAnsi="Times New Roman" w:cs="Times New Roman"/>
          <w:sz w:val="26"/>
          <w:szCs w:val="26"/>
        </w:rPr>
        <w:t>PGW submits that t</w:t>
      </w:r>
      <w:r w:rsidRPr="009249D6">
        <w:rPr>
          <w:rFonts w:ascii="Times New Roman" w:hAnsi="Times New Roman" w:cs="Times New Roman"/>
          <w:sz w:val="26"/>
          <w:szCs w:val="26"/>
        </w:rPr>
        <w:t xml:space="preserve">o the extent </w:t>
      </w:r>
      <w:r>
        <w:rPr>
          <w:rFonts w:ascii="Times New Roman" w:hAnsi="Times New Roman" w:cs="Times New Roman"/>
          <w:sz w:val="26"/>
          <w:szCs w:val="26"/>
        </w:rPr>
        <w:t xml:space="preserve">that </w:t>
      </w:r>
      <w:r w:rsidRPr="009249D6">
        <w:rPr>
          <w:rFonts w:ascii="Times New Roman" w:hAnsi="Times New Roman" w:cs="Times New Roman"/>
          <w:sz w:val="26"/>
          <w:szCs w:val="26"/>
        </w:rPr>
        <w:t xml:space="preserve">other delays interfere with deployment by July 2, 2019, </w:t>
      </w:r>
      <w:r w:rsidR="0054514F">
        <w:rPr>
          <w:rFonts w:ascii="Times New Roman" w:hAnsi="Times New Roman" w:cs="Times New Roman"/>
          <w:sz w:val="26"/>
          <w:szCs w:val="26"/>
        </w:rPr>
        <w:t>it</w:t>
      </w:r>
      <w:r w:rsidRPr="009249D6">
        <w:rPr>
          <w:rFonts w:ascii="Times New Roman" w:hAnsi="Times New Roman" w:cs="Times New Roman"/>
          <w:sz w:val="26"/>
          <w:szCs w:val="26"/>
        </w:rPr>
        <w:t xml:space="preserve"> will promptly inform the OCA and the </w:t>
      </w:r>
      <w:r w:rsidR="008A25D1">
        <w:rPr>
          <w:rFonts w:ascii="Times New Roman" w:hAnsi="Times New Roman" w:cs="Times New Roman"/>
          <w:sz w:val="26"/>
          <w:szCs w:val="26"/>
        </w:rPr>
        <w:t>Commission</w:t>
      </w:r>
      <w:r w:rsidRPr="009249D6">
        <w:rPr>
          <w:rFonts w:ascii="Times New Roman" w:hAnsi="Times New Roman" w:cs="Times New Roman"/>
          <w:sz w:val="26"/>
          <w:szCs w:val="26"/>
        </w:rPr>
        <w:t xml:space="preserve">, along with a detailed explanation and </w:t>
      </w:r>
      <w:r>
        <w:rPr>
          <w:rFonts w:ascii="Times New Roman" w:hAnsi="Times New Roman" w:cs="Times New Roman"/>
          <w:sz w:val="26"/>
          <w:szCs w:val="26"/>
        </w:rPr>
        <w:t xml:space="preserve">a </w:t>
      </w:r>
      <w:r w:rsidRPr="009249D6">
        <w:rPr>
          <w:rFonts w:ascii="Times New Roman" w:hAnsi="Times New Roman" w:cs="Times New Roman"/>
          <w:sz w:val="26"/>
          <w:szCs w:val="26"/>
        </w:rPr>
        <w:t xml:space="preserve">new implementation date, and thereafter provide bi-weekly status updates to the OCA and the </w:t>
      </w:r>
      <w:r w:rsidR="008A25D1">
        <w:rPr>
          <w:rFonts w:ascii="Times New Roman" w:hAnsi="Times New Roman" w:cs="Times New Roman"/>
          <w:sz w:val="26"/>
          <w:szCs w:val="26"/>
        </w:rPr>
        <w:t>Commission</w:t>
      </w:r>
      <w:r w:rsidRPr="009249D6">
        <w:rPr>
          <w:rFonts w:ascii="Times New Roman" w:hAnsi="Times New Roman" w:cs="Times New Roman"/>
          <w:sz w:val="26"/>
          <w:szCs w:val="26"/>
        </w:rPr>
        <w:t xml:space="preserve">. </w:t>
      </w:r>
      <w:r w:rsidR="0054514F">
        <w:rPr>
          <w:rFonts w:ascii="Times New Roman" w:hAnsi="Times New Roman" w:cs="Times New Roman"/>
          <w:sz w:val="26"/>
          <w:szCs w:val="26"/>
        </w:rPr>
        <w:t xml:space="preserve"> </w:t>
      </w:r>
      <w:r w:rsidRPr="009249D6">
        <w:rPr>
          <w:rFonts w:ascii="Times New Roman" w:hAnsi="Times New Roman" w:cs="Times New Roman"/>
          <w:sz w:val="26"/>
          <w:szCs w:val="26"/>
        </w:rPr>
        <w:t xml:space="preserve">PGW recognizes that the OCA retains all procedural rights to respond to a notification of a delay, if the OCA deems it necessary.  </w:t>
      </w:r>
      <w:bookmarkStart w:id="1" w:name="_Hlk8047515"/>
      <w:r w:rsidRPr="009249D6">
        <w:rPr>
          <w:rFonts w:ascii="Times New Roman" w:hAnsi="Times New Roman" w:cs="Times New Roman"/>
          <w:sz w:val="26"/>
          <w:szCs w:val="26"/>
        </w:rPr>
        <w:t>Joint Petition for Settlement at 6.</w:t>
      </w:r>
      <w:bookmarkEnd w:id="1"/>
    </w:p>
    <w:p w14:paraId="5C4126EA" w14:textId="77777777" w:rsidR="00E004BE" w:rsidRPr="00E004BE" w:rsidRDefault="00E004BE" w:rsidP="001C75D6">
      <w:pPr>
        <w:pStyle w:val="ListParagraph"/>
        <w:spacing w:after="0" w:line="360" w:lineRule="auto"/>
        <w:ind w:left="0"/>
        <w:contextualSpacing w:val="0"/>
        <w:rPr>
          <w:rFonts w:ascii="Times New Roman" w:hAnsi="Times New Roman" w:cs="Times New Roman"/>
          <w:b/>
          <w:sz w:val="26"/>
          <w:szCs w:val="26"/>
        </w:rPr>
      </w:pPr>
    </w:p>
    <w:p w14:paraId="4A7EBD44" w14:textId="77777777" w:rsidR="00E71631" w:rsidRPr="004C6ED3" w:rsidRDefault="00E71631" w:rsidP="001C75D6">
      <w:pPr>
        <w:pStyle w:val="ListParagraph"/>
        <w:keepNext/>
        <w:keepLines/>
        <w:numPr>
          <w:ilvl w:val="1"/>
          <w:numId w:val="7"/>
        </w:numPr>
        <w:spacing w:after="0" w:line="360" w:lineRule="auto"/>
        <w:ind w:left="0" w:firstLine="0"/>
        <w:contextualSpacing w:val="0"/>
        <w:rPr>
          <w:rFonts w:ascii="Times New Roman" w:hAnsi="Times New Roman" w:cs="Times New Roman"/>
          <w:b/>
          <w:sz w:val="26"/>
          <w:szCs w:val="26"/>
        </w:rPr>
      </w:pPr>
      <w:r w:rsidRPr="004C6ED3">
        <w:rPr>
          <w:rFonts w:ascii="Times New Roman" w:hAnsi="Times New Roman" w:cs="Times New Roman"/>
          <w:b/>
          <w:sz w:val="26"/>
          <w:szCs w:val="26"/>
        </w:rPr>
        <w:t>Disposition</w:t>
      </w:r>
    </w:p>
    <w:p w14:paraId="7B2FC6DF" w14:textId="310DB7B8" w:rsidR="00260316" w:rsidRDefault="00260316" w:rsidP="001C75D6">
      <w:pPr>
        <w:keepNext/>
        <w:keepLines/>
        <w:widowControl/>
        <w:spacing w:line="360" w:lineRule="auto"/>
        <w:rPr>
          <w:sz w:val="26"/>
        </w:rPr>
      </w:pPr>
    </w:p>
    <w:p w14:paraId="31A5C0A0" w14:textId="444BF538" w:rsidR="00217E91" w:rsidRPr="00702C2A" w:rsidRDefault="009861D9" w:rsidP="001C75D6">
      <w:pPr>
        <w:pStyle w:val="ListParagraph"/>
        <w:spacing w:after="0" w:line="360" w:lineRule="auto"/>
        <w:ind w:left="0" w:firstLine="1440"/>
        <w:contextualSpacing w:val="0"/>
        <w:rPr>
          <w:rFonts w:ascii="Times New Roman" w:hAnsi="Times New Roman" w:cs="Times New Roman"/>
          <w:color w:val="000000"/>
          <w:sz w:val="26"/>
          <w:szCs w:val="26"/>
        </w:rPr>
      </w:pPr>
      <w:r>
        <w:rPr>
          <w:rFonts w:ascii="Times New Roman" w:hAnsi="Times New Roman" w:cs="Times New Roman"/>
          <w:color w:val="000000"/>
          <w:sz w:val="26"/>
          <w:szCs w:val="26"/>
        </w:rPr>
        <w:t>W</w:t>
      </w:r>
      <w:r w:rsidR="0094509B" w:rsidRPr="00A86779">
        <w:rPr>
          <w:rFonts w:ascii="Times New Roman" w:hAnsi="Times New Roman" w:cs="Times New Roman"/>
          <w:color w:val="000000"/>
          <w:sz w:val="26"/>
          <w:szCs w:val="26"/>
        </w:rPr>
        <w:t>e conclude that adoption of</w:t>
      </w:r>
      <w:r w:rsidR="00A86779">
        <w:rPr>
          <w:rFonts w:ascii="Times New Roman" w:hAnsi="Times New Roman" w:cs="Times New Roman"/>
          <w:color w:val="000000"/>
          <w:sz w:val="26"/>
          <w:szCs w:val="26"/>
        </w:rPr>
        <w:t xml:space="preserve"> paragraph (a) of</w:t>
      </w:r>
      <w:r w:rsidR="0094509B" w:rsidRPr="00A86779">
        <w:rPr>
          <w:rFonts w:ascii="Times New Roman" w:hAnsi="Times New Roman" w:cs="Times New Roman"/>
          <w:color w:val="000000"/>
          <w:sz w:val="26"/>
          <w:szCs w:val="26"/>
        </w:rPr>
        <w:t xml:space="preserve"> the instant Settlement </w:t>
      </w:r>
      <w:r w:rsidR="00702C2A">
        <w:rPr>
          <w:rFonts w:ascii="Times New Roman" w:hAnsi="Times New Roman" w:cs="Times New Roman"/>
          <w:color w:val="000000"/>
          <w:sz w:val="26"/>
          <w:szCs w:val="26"/>
        </w:rPr>
        <w:t xml:space="preserve">between the OCA and PGW </w:t>
      </w:r>
      <w:r w:rsidR="0094509B" w:rsidRPr="00A86779">
        <w:rPr>
          <w:rFonts w:ascii="Times New Roman" w:hAnsi="Times New Roman" w:cs="Times New Roman"/>
          <w:color w:val="000000"/>
          <w:sz w:val="26"/>
          <w:szCs w:val="26"/>
        </w:rPr>
        <w:t xml:space="preserve">is in the public interest </w:t>
      </w:r>
      <w:r w:rsidR="002D23F8">
        <w:rPr>
          <w:rFonts w:ascii="Times New Roman" w:hAnsi="Times New Roman" w:cs="Times New Roman"/>
          <w:color w:val="000000"/>
          <w:sz w:val="26"/>
          <w:szCs w:val="26"/>
        </w:rPr>
        <w:t>as to</w:t>
      </w:r>
      <w:r w:rsidR="0094509B" w:rsidRPr="00A86779">
        <w:rPr>
          <w:rFonts w:ascii="Times New Roman" w:hAnsi="Times New Roman" w:cs="Times New Roman"/>
          <w:color w:val="000000"/>
          <w:sz w:val="26"/>
          <w:szCs w:val="26"/>
        </w:rPr>
        <w:t xml:space="preserve"> the extension of time </w:t>
      </w:r>
      <w:r w:rsidR="00702C2A">
        <w:rPr>
          <w:rFonts w:ascii="Times New Roman" w:hAnsi="Times New Roman" w:cs="Times New Roman"/>
          <w:color w:val="000000"/>
          <w:sz w:val="26"/>
          <w:szCs w:val="26"/>
        </w:rPr>
        <w:t>and related conditions to be granted</w:t>
      </w:r>
      <w:r>
        <w:rPr>
          <w:rFonts w:ascii="Times New Roman" w:hAnsi="Times New Roman" w:cs="Times New Roman"/>
          <w:color w:val="000000"/>
          <w:sz w:val="26"/>
          <w:szCs w:val="26"/>
        </w:rPr>
        <w:t xml:space="preserve"> for PGW to modify its billing system consistent with the direction in the </w:t>
      </w:r>
      <w:r w:rsidRPr="009861D9">
        <w:rPr>
          <w:rFonts w:ascii="Times New Roman" w:hAnsi="Times New Roman" w:cs="Times New Roman"/>
          <w:i/>
          <w:iCs/>
          <w:color w:val="000000"/>
          <w:sz w:val="26"/>
          <w:szCs w:val="26"/>
        </w:rPr>
        <w:t>May 2018 Order</w:t>
      </w:r>
      <w:r>
        <w:rPr>
          <w:rFonts w:ascii="Times New Roman" w:hAnsi="Times New Roman" w:cs="Times New Roman"/>
          <w:color w:val="000000"/>
          <w:sz w:val="26"/>
          <w:szCs w:val="26"/>
        </w:rPr>
        <w:t xml:space="preserve"> to PGW to amend its partial payment allocation practices</w:t>
      </w:r>
      <w:r w:rsidR="00702C2A">
        <w:rPr>
          <w:rFonts w:ascii="Times New Roman" w:hAnsi="Times New Roman" w:cs="Times New Roman"/>
          <w:color w:val="000000"/>
          <w:sz w:val="26"/>
          <w:szCs w:val="26"/>
        </w:rPr>
        <w:t xml:space="preserve">. </w:t>
      </w:r>
      <w:r w:rsidR="002D23F8">
        <w:rPr>
          <w:rFonts w:ascii="Times New Roman" w:hAnsi="Times New Roman" w:cs="Times New Roman"/>
          <w:color w:val="000000"/>
          <w:sz w:val="26"/>
          <w:szCs w:val="26"/>
        </w:rPr>
        <w:t xml:space="preserve"> </w:t>
      </w:r>
      <w:r w:rsidR="003A287F">
        <w:rPr>
          <w:rFonts w:ascii="Times New Roman" w:hAnsi="Times New Roman" w:cs="Times New Roman"/>
          <w:color w:val="000000"/>
          <w:sz w:val="26"/>
          <w:szCs w:val="26"/>
        </w:rPr>
        <w:t xml:space="preserve">In paragraph (a) of </w:t>
      </w:r>
      <w:r w:rsidR="00A86779" w:rsidRPr="00A86779">
        <w:rPr>
          <w:rFonts w:ascii="Times New Roman" w:hAnsi="Times New Roman" w:cs="Times New Roman"/>
          <w:color w:val="000000"/>
          <w:sz w:val="26"/>
          <w:szCs w:val="26"/>
        </w:rPr>
        <w:t>the Settlement</w:t>
      </w:r>
      <w:r w:rsidR="003A287F">
        <w:rPr>
          <w:rFonts w:ascii="Times New Roman" w:hAnsi="Times New Roman" w:cs="Times New Roman"/>
          <w:color w:val="000000"/>
          <w:sz w:val="26"/>
          <w:szCs w:val="26"/>
        </w:rPr>
        <w:t>, PGW commits</w:t>
      </w:r>
      <w:r w:rsidR="00A86779" w:rsidRPr="00A86779">
        <w:rPr>
          <w:rFonts w:ascii="Times New Roman" w:hAnsi="Times New Roman" w:cs="Times New Roman"/>
          <w:color w:val="000000"/>
          <w:sz w:val="26"/>
          <w:szCs w:val="26"/>
        </w:rPr>
        <w:t xml:space="preserve"> to </w:t>
      </w:r>
      <w:r w:rsidR="00767E45">
        <w:rPr>
          <w:rFonts w:ascii="Times New Roman" w:hAnsi="Times New Roman" w:cs="Times New Roman"/>
          <w:color w:val="000000"/>
          <w:sz w:val="26"/>
          <w:szCs w:val="26"/>
        </w:rPr>
        <w:t xml:space="preserve">bringing its </w:t>
      </w:r>
      <w:r w:rsidR="003A287F">
        <w:rPr>
          <w:rFonts w:ascii="Times New Roman" w:hAnsi="Times New Roman" w:cs="Times New Roman"/>
          <w:color w:val="000000"/>
          <w:sz w:val="26"/>
          <w:szCs w:val="26"/>
        </w:rPr>
        <w:t xml:space="preserve">payment posting </w:t>
      </w:r>
      <w:r w:rsidR="00767E45">
        <w:rPr>
          <w:rFonts w:ascii="Times New Roman" w:hAnsi="Times New Roman" w:cs="Times New Roman"/>
          <w:color w:val="000000"/>
          <w:sz w:val="26"/>
          <w:szCs w:val="26"/>
        </w:rPr>
        <w:t>practices into complian</w:t>
      </w:r>
      <w:r w:rsidR="005B330A">
        <w:rPr>
          <w:rFonts w:ascii="Times New Roman" w:hAnsi="Times New Roman" w:cs="Times New Roman"/>
          <w:color w:val="000000"/>
          <w:sz w:val="26"/>
          <w:szCs w:val="26"/>
        </w:rPr>
        <w:t>c</w:t>
      </w:r>
      <w:r w:rsidR="00767E45">
        <w:rPr>
          <w:rFonts w:ascii="Times New Roman" w:hAnsi="Times New Roman" w:cs="Times New Roman"/>
          <w:color w:val="000000"/>
          <w:sz w:val="26"/>
          <w:szCs w:val="26"/>
        </w:rPr>
        <w:t>e</w:t>
      </w:r>
      <w:r w:rsidR="005B330A">
        <w:rPr>
          <w:rFonts w:ascii="Times New Roman" w:hAnsi="Times New Roman" w:cs="Times New Roman"/>
          <w:color w:val="000000"/>
          <w:sz w:val="26"/>
          <w:szCs w:val="26"/>
        </w:rPr>
        <w:t xml:space="preserve"> with the requirements</w:t>
      </w:r>
      <w:r w:rsidR="00767E45">
        <w:rPr>
          <w:rFonts w:ascii="Times New Roman" w:hAnsi="Times New Roman" w:cs="Times New Roman"/>
          <w:color w:val="000000"/>
          <w:sz w:val="26"/>
          <w:szCs w:val="26"/>
        </w:rPr>
        <w:t xml:space="preserve"> </w:t>
      </w:r>
      <w:r w:rsidR="005B330A">
        <w:rPr>
          <w:rFonts w:ascii="Times New Roman" w:hAnsi="Times New Roman" w:cs="Times New Roman"/>
          <w:color w:val="000000"/>
          <w:sz w:val="26"/>
          <w:szCs w:val="26"/>
        </w:rPr>
        <w:t xml:space="preserve">of 52 Pa. Code § 56.22 and § </w:t>
      </w:r>
      <w:r w:rsidR="00A635E8">
        <w:t> </w:t>
      </w:r>
      <w:r w:rsidR="005B330A">
        <w:rPr>
          <w:rFonts w:ascii="Times New Roman" w:hAnsi="Times New Roman" w:cs="Times New Roman"/>
          <w:color w:val="000000"/>
          <w:sz w:val="26"/>
          <w:szCs w:val="26"/>
        </w:rPr>
        <w:t>56.24, as</w:t>
      </w:r>
      <w:r w:rsidR="00767E45">
        <w:rPr>
          <w:rFonts w:ascii="Times New Roman" w:hAnsi="Times New Roman" w:cs="Times New Roman"/>
          <w:color w:val="000000"/>
          <w:sz w:val="26"/>
          <w:szCs w:val="26"/>
        </w:rPr>
        <w:t xml:space="preserve"> </w:t>
      </w:r>
      <w:r w:rsidR="00A86779" w:rsidRPr="00A86779">
        <w:rPr>
          <w:rFonts w:ascii="Times New Roman" w:hAnsi="Times New Roman" w:cs="Times New Roman"/>
          <w:color w:val="000000"/>
          <w:sz w:val="26"/>
          <w:szCs w:val="26"/>
        </w:rPr>
        <w:t>directed</w:t>
      </w:r>
      <w:r w:rsidR="00767E45">
        <w:rPr>
          <w:rFonts w:ascii="Times New Roman" w:hAnsi="Times New Roman" w:cs="Times New Roman"/>
          <w:color w:val="000000"/>
          <w:sz w:val="26"/>
          <w:szCs w:val="26"/>
        </w:rPr>
        <w:t xml:space="preserve"> in</w:t>
      </w:r>
      <w:r w:rsidR="00A86779" w:rsidRPr="00A86779">
        <w:rPr>
          <w:rFonts w:ascii="Times New Roman" w:hAnsi="Times New Roman" w:cs="Times New Roman"/>
          <w:color w:val="000000"/>
          <w:sz w:val="26"/>
          <w:szCs w:val="26"/>
        </w:rPr>
        <w:t xml:space="preserve"> the </w:t>
      </w:r>
      <w:r w:rsidR="00A86779" w:rsidRPr="00A86779">
        <w:rPr>
          <w:rFonts w:ascii="Times New Roman" w:hAnsi="Times New Roman" w:cs="Times New Roman"/>
          <w:i/>
          <w:color w:val="000000"/>
          <w:sz w:val="26"/>
          <w:szCs w:val="26"/>
        </w:rPr>
        <w:t>May 2018 Order</w:t>
      </w:r>
      <w:r w:rsidR="005B330A">
        <w:rPr>
          <w:rFonts w:ascii="Times New Roman" w:hAnsi="Times New Roman" w:cs="Times New Roman"/>
          <w:color w:val="000000"/>
          <w:sz w:val="26"/>
          <w:szCs w:val="26"/>
        </w:rPr>
        <w:t>,</w:t>
      </w:r>
      <w:r w:rsidR="00A86779" w:rsidRPr="00A86779">
        <w:rPr>
          <w:rFonts w:ascii="Times New Roman" w:hAnsi="Times New Roman" w:cs="Times New Roman"/>
          <w:color w:val="000000"/>
          <w:sz w:val="26"/>
          <w:szCs w:val="26"/>
        </w:rPr>
        <w:t xml:space="preserve"> </w:t>
      </w:r>
      <w:r w:rsidR="003A287F">
        <w:rPr>
          <w:rFonts w:ascii="Times New Roman" w:hAnsi="Times New Roman" w:cs="Times New Roman"/>
          <w:color w:val="000000"/>
          <w:sz w:val="26"/>
          <w:szCs w:val="26"/>
        </w:rPr>
        <w:t xml:space="preserve">through the implementation of modifications to its automated billing system and processes, </w:t>
      </w:r>
      <w:r w:rsidR="00F63618">
        <w:rPr>
          <w:rFonts w:ascii="Times New Roman" w:hAnsi="Times New Roman" w:cs="Times New Roman"/>
          <w:color w:val="000000"/>
          <w:sz w:val="26"/>
          <w:szCs w:val="26"/>
        </w:rPr>
        <w:t xml:space="preserve">by </w:t>
      </w:r>
      <w:r w:rsidR="00A86779" w:rsidRPr="00A86779">
        <w:rPr>
          <w:rFonts w:ascii="Times New Roman" w:hAnsi="Times New Roman" w:cs="Times New Roman"/>
          <w:color w:val="000000"/>
          <w:sz w:val="26"/>
          <w:szCs w:val="26"/>
        </w:rPr>
        <w:t xml:space="preserve">no later than July 2, 2019, subject to the </w:t>
      </w:r>
      <w:r w:rsidR="005B330A">
        <w:rPr>
          <w:rFonts w:ascii="Times New Roman" w:hAnsi="Times New Roman" w:cs="Times New Roman"/>
          <w:color w:val="000000"/>
          <w:sz w:val="26"/>
          <w:szCs w:val="26"/>
        </w:rPr>
        <w:lastRenderedPageBreak/>
        <w:t xml:space="preserve">following </w:t>
      </w:r>
      <w:r w:rsidR="00A86779" w:rsidRPr="00A86779">
        <w:rPr>
          <w:rFonts w:ascii="Times New Roman" w:hAnsi="Times New Roman" w:cs="Times New Roman"/>
          <w:color w:val="000000"/>
          <w:sz w:val="26"/>
          <w:szCs w:val="26"/>
        </w:rPr>
        <w:t>condition</w:t>
      </w:r>
      <w:r w:rsidR="005B330A">
        <w:rPr>
          <w:rFonts w:ascii="Times New Roman" w:hAnsi="Times New Roman" w:cs="Times New Roman"/>
          <w:color w:val="000000"/>
          <w:sz w:val="26"/>
          <w:szCs w:val="26"/>
        </w:rPr>
        <w:t xml:space="preserve">: </w:t>
      </w:r>
      <w:r w:rsidR="00A86779" w:rsidRPr="00A86779">
        <w:rPr>
          <w:rFonts w:ascii="Times New Roman" w:hAnsi="Times New Roman" w:cs="Times New Roman"/>
          <w:color w:val="000000"/>
          <w:sz w:val="26"/>
          <w:szCs w:val="26"/>
        </w:rPr>
        <w:t xml:space="preserve">should PGW experience </w:t>
      </w:r>
      <w:r w:rsidR="00A86779" w:rsidRPr="00A86779">
        <w:rPr>
          <w:rFonts w:ascii="Times New Roman" w:hAnsi="Times New Roman" w:cs="Times New Roman"/>
          <w:sz w:val="26"/>
          <w:szCs w:val="26"/>
        </w:rPr>
        <w:t xml:space="preserve">delays that interfere with deployment by July 2, 2019, PGW will promptly inform the OCA and the </w:t>
      </w:r>
      <w:r w:rsidR="008A25D1">
        <w:rPr>
          <w:rFonts w:ascii="Times New Roman" w:hAnsi="Times New Roman" w:cs="Times New Roman"/>
          <w:sz w:val="26"/>
          <w:szCs w:val="26"/>
        </w:rPr>
        <w:t>Commission</w:t>
      </w:r>
      <w:r w:rsidR="00F63618">
        <w:rPr>
          <w:rFonts w:ascii="Times New Roman" w:hAnsi="Times New Roman" w:cs="Times New Roman"/>
          <w:sz w:val="26"/>
          <w:szCs w:val="26"/>
        </w:rPr>
        <w:t xml:space="preserve"> along with </w:t>
      </w:r>
      <w:r w:rsidR="00A86779" w:rsidRPr="00A86779">
        <w:rPr>
          <w:rFonts w:ascii="Times New Roman" w:hAnsi="Times New Roman" w:cs="Times New Roman"/>
          <w:sz w:val="26"/>
          <w:szCs w:val="26"/>
        </w:rPr>
        <w:t>a detailed explanation</w:t>
      </w:r>
      <w:r w:rsidR="00F63618">
        <w:rPr>
          <w:rFonts w:ascii="Times New Roman" w:hAnsi="Times New Roman" w:cs="Times New Roman"/>
          <w:sz w:val="26"/>
          <w:szCs w:val="26"/>
        </w:rPr>
        <w:t xml:space="preserve"> for the delay</w:t>
      </w:r>
      <w:r w:rsidR="00A86779" w:rsidRPr="00A86779">
        <w:rPr>
          <w:rFonts w:ascii="Times New Roman" w:hAnsi="Times New Roman" w:cs="Times New Roman"/>
          <w:sz w:val="26"/>
          <w:szCs w:val="26"/>
        </w:rPr>
        <w:t xml:space="preserve"> and </w:t>
      </w:r>
      <w:r w:rsidR="00F63618">
        <w:rPr>
          <w:rFonts w:ascii="Times New Roman" w:hAnsi="Times New Roman" w:cs="Times New Roman"/>
          <w:sz w:val="26"/>
          <w:szCs w:val="26"/>
        </w:rPr>
        <w:t xml:space="preserve">a </w:t>
      </w:r>
      <w:r w:rsidR="00A86779" w:rsidRPr="00A86779">
        <w:rPr>
          <w:rFonts w:ascii="Times New Roman" w:hAnsi="Times New Roman" w:cs="Times New Roman"/>
          <w:sz w:val="26"/>
          <w:szCs w:val="26"/>
        </w:rPr>
        <w:t xml:space="preserve">new implementation date, and thereafter PGW will provide bi-weekly status updates to the OCA and the </w:t>
      </w:r>
      <w:r w:rsidR="008A25D1">
        <w:rPr>
          <w:rFonts w:ascii="Times New Roman" w:hAnsi="Times New Roman" w:cs="Times New Roman"/>
          <w:sz w:val="26"/>
          <w:szCs w:val="26"/>
        </w:rPr>
        <w:t>Commission</w:t>
      </w:r>
      <w:r w:rsidR="00F63618">
        <w:rPr>
          <w:rFonts w:ascii="Times New Roman" w:hAnsi="Times New Roman" w:cs="Times New Roman"/>
          <w:sz w:val="26"/>
          <w:szCs w:val="26"/>
        </w:rPr>
        <w:t xml:space="preserve"> on its progress</w:t>
      </w:r>
      <w:r w:rsidR="00A86779" w:rsidRPr="00A86779">
        <w:rPr>
          <w:rFonts w:ascii="Times New Roman" w:hAnsi="Times New Roman" w:cs="Times New Roman"/>
          <w:sz w:val="26"/>
          <w:szCs w:val="26"/>
        </w:rPr>
        <w:t xml:space="preserve">. </w:t>
      </w:r>
      <w:r w:rsidR="00DB4F7C">
        <w:rPr>
          <w:rFonts w:ascii="Times New Roman" w:hAnsi="Times New Roman" w:cs="Times New Roman"/>
          <w:sz w:val="26"/>
          <w:szCs w:val="26"/>
        </w:rPr>
        <w:t xml:space="preserve"> </w:t>
      </w:r>
      <w:r w:rsidR="00FF11F5">
        <w:rPr>
          <w:rFonts w:ascii="Times New Roman" w:hAnsi="Times New Roman" w:cs="Times New Roman"/>
          <w:sz w:val="26"/>
          <w:szCs w:val="26"/>
        </w:rPr>
        <w:t xml:space="preserve">In paragraph (a), </w:t>
      </w:r>
      <w:r w:rsidR="00783453">
        <w:rPr>
          <w:rFonts w:ascii="Times New Roman" w:hAnsi="Times New Roman" w:cs="Times New Roman"/>
          <w:sz w:val="26"/>
          <w:szCs w:val="26"/>
        </w:rPr>
        <w:t xml:space="preserve">PGW </w:t>
      </w:r>
      <w:r w:rsidR="00783453">
        <w:rPr>
          <w:rFonts w:ascii="Times New Roman" w:hAnsi="Times New Roman" w:cs="Times New Roman"/>
          <w:color w:val="000000"/>
          <w:sz w:val="26"/>
          <w:szCs w:val="26"/>
        </w:rPr>
        <w:t>represents that it has been taking</w:t>
      </w:r>
      <w:r w:rsidR="00BD1CCA">
        <w:rPr>
          <w:rFonts w:ascii="Times New Roman" w:hAnsi="Times New Roman" w:cs="Times New Roman"/>
          <w:color w:val="000000"/>
          <w:sz w:val="26"/>
          <w:szCs w:val="26"/>
        </w:rPr>
        <w:t>,</w:t>
      </w:r>
      <w:r w:rsidR="00783453">
        <w:rPr>
          <w:rFonts w:ascii="Times New Roman" w:hAnsi="Times New Roman" w:cs="Times New Roman"/>
          <w:color w:val="000000"/>
          <w:sz w:val="26"/>
          <w:szCs w:val="26"/>
        </w:rPr>
        <w:t xml:space="preserve"> </w:t>
      </w:r>
      <w:r w:rsidR="00D22B98">
        <w:rPr>
          <w:rFonts w:ascii="Times New Roman" w:hAnsi="Times New Roman" w:cs="Times New Roman"/>
          <w:color w:val="000000"/>
          <w:sz w:val="26"/>
          <w:szCs w:val="26"/>
        </w:rPr>
        <w:t>and will continue to take</w:t>
      </w:r>
      <w:r w:rsidR="00BD1CCA">
        <w:rPr>
          <w:rFonts w:ascii="Times New Roman" w:hAnsi="Times New Roman" w:cs="Times New Roman"/>
          <w:color w:val="000000"/>
          <w:sz w:val="26"/>
          <w:szCs w:val="26"/>
        </w:rPr>
        <w:t>,</w:t>
      </w:r>
      <w:r w:rsidR="00D22B98">
        <w:rPr>
          <w:rFonts w:ascii="Times New Roman" w:hAnsi="Times New Roman" w:cs="Times New Roman"/>
          <w:color w:val="000000"/>
          <w:sz w:val="26"/>
          <w:szCs w:val="26"/>
        </w:rPr>
        <w:t xml:space="preserve"> </w:t>
      </w:r>
      <w:r w:rsidR="00783453">
        <w:rPr>
          <w:rFonts w:ascii="Times New Roman" w:hAnsi="Times New Roman" w:cs="Times New Roman"/>
          <w:color w:val="000000"/>
          <w:sz w:val="26"/>
          <w:szCs w:val="26"/>
        </w:rPr>
        <w:t xml:space="preserve">necessary steps to achieve implementation of the wide-scale modifications to its billing system on or before </w:t>
      </w:r>
      <w:r w:rsidR="00D22B98">
        <w:rPr>
          <w:rFonts w:ascii="Times New Roman" w:hAnsi="Times New Roman" w:cs="Times New Roman"/>
          <w:color w:val="000000"/>
          <w:sz w:val="26"/>
          <w:szCs w:val="26"/>
        </w:rPr>
        <w:t>the July 2, 2019 implementation date</w:t>
      </w:r>
      <w:r w:rsidR="00783453">
        <w:rPr>
          <w:rFonts w:ascii="Times New Roman" w:hAnsi="Times New Roman" w:cs="Times New Roman"/>
          <w:color w:val="000000"/>
          <w:sz w:val="26"/>
          <w:szCs w:val="26"/>
        </w:rPr>
        <w:t xml:space="preserve">.  </w:t>
      </w:r>
      <w:r w:rsidR="00BD1CCA">
        <w:rPr>
          <w:rFonts w:ascii="Times New Roman" w:hAnsi="Times New Roman" w:cs="Times New Roman"/>
          <w:color w:val="000000"/>
          <w:sz w:val="26"/>
          <w:szCs w:val="26"/>
        </w:rPr>
        <w:t>PGW also represents</w:t>
      </w:r>
      <w:r w:rsidR="00FF11F5">
        <w:rPr>
          <w:rFonts w:ascii="Times New Roman" w:hAnsi="Times New Roman" w:cs="Times New Roman"/>
          <w:color w:val="000000"/>
          <w:sz w:val="26"/>
          <w:szCs w:val="26"/>
        </w:rPr>
        <w:t xml:space="preserve"> in paragraph (a)</w:t>
      </w:r>
      <w:r w:rsidR="00BD1CCA">
        <w:rPr>
          <w:rFonts w:ascii="Times New Roman" w:hAnsi="Times New Roman" w:cs="Times New Roman"/>
          <w:color w:val="000000"/>
          <w:sz w:val="26"/>
          <w:szCs w:val="26"/>
        </w:rPr>
        <w:t xml:space="preserve"> that circumstances beyond its control have occurred during the implementation process which have caused delay in completion of complex coding changes.  </w:t>
      </w:r>
      <w:r w:rsidR="00A86779">
        <w:rPr>
          <w:rFonts w:ascii="Times New Roman" w:hAnsi="Times New Roman" w:cs="Times New Roman"/>
          <w:sz w:val="26"/>
          <w:szCs w:val="26"/>
        </w:rPr>
        <w:t>The foregoing commitment</w:t>
      </w:r>
      <w:r w:rsidR="005B330A">
        <w:rPr>
          <w:rFonts w:ascii="Times New Roman" w:hAnsi="Times New Roman" w:cs="Times New Roman"/>
          <w:sz w:val="26"/>
          <w:szCs w:val="26"/>
        </w:rPr>
        <w:t xml:space="preserve">s </w:t>
      </w:r>
      <w:r w:rsidR="00783453">
        <w:rPr>
          <w:rFonts w:ascii="Times New Roman" w:hAnsi="Times New Roman" w:cs="Times New Roman"/>
          <w:sz w:val="26"/>
          <w:szCs w:val="26"/>
        </w:rPr>
        <w:t xml:space="preserve">and representations </w:t>
      </w:r>
      <w:r w:rsidR="005B330A">
        <w:rPr>
          <w:rFonts w:ascii="Times New Roman" w:hAnsi="Times New Roman" w:cs="Times New Roman"/>
          <w:sz w:val="26"/>
          <w:szCs w:val="26"/>
        </w:rPr>
        <w:t>are</w:t>
      </w:r>
      <w:r w:rsidR="00A86779">
        <w:rPr>
          <w:rFonts w:ascii="Times New Roman" w:hAnsi="Times New Roman" w:cs="Times New Roman"/>
          <w:sz w:val="26"/>
          <w:szCs w:val="26"/>
        </w:rPr>
        <w:t xml:space="preserve"> made by </w:t>
      </w:r>
      <w:r w:rsidR="00A86779" w:rsidRPr="00A86779">
        <w:rPr>
          <w:rFonts w:ascii="Times New Roman" w:hAnsi="Times New Roman" w:cs="Times New Roman"/>
          <w:sz w:val="26"/>
          <w:szCs w:val="26"/>
        </w:rPr>
        <w:t>PGW</w:t>
      </w:r>
      <w:r w:rsidR="00A86779">
        <w:rPr>
          <w:rFonts w:ascii="Times New Roman" w:hAnsi="Times New Roman" w:cs="Times New Roman"/>
          <w:sz w:val="26"/>
          <w:szCs w:val="26"/>
        </w:rPr>
        <w:t xml:space="preserve"> with full recognition </w:t>
      </w:r>
      <w:r w:rsidR="00A86779" w:rsidRPr="00A86779">
        <w:rPr>
          <w:rFonts w:ascii="Times New Roman" w:hAnsi="Times New Roman" w:cs="Times New Roman"/>
          <w:sz w:val="26"/>
          <w:szCs w:val="26"/>
        </w:rPr>
        <w:t>that the OCA retains all procedural rights to respond to a notification of a delay, if the OCA deems it necessary.</w:t>
      </w:r>
    </w:p>
    <w:p w14:paraId="09551612" w14:textId="77777777" w:rsidR="00217E91" w:rsidRDefault="00217E91" w:rsidP="001C75D6">
      <w:pPr>
        <w:pStyle w:val="ListParagraph"/>
        <w:spacing w:after="0" w:line="360" w:lineRule="auto"/>
        <w:ind w:left="0" w:firstLine="1440"/>
        <w:contextualSpacing w:val="0"/>
        <w:rPr>
          <w:rFonts w:ascii="Times New Roman" w:hAnsi="Times New Roman" w:cs="Times New Roman"/>
          <w:sz w:val="26"/>
          <w:szCs w:val="26"/>
        </w:rPr>
      </w:pPr>
    </w:p>
    <w:p w14:paraId="42A7AAE4" w14:textId="25201E5B" w:rsidR="005B330A" w:rsidRDefault="00395454" w:rsidP="001C75D6">
      <w:pPr>
        <w:pStyle w:val="ListParagraph"/>
        <w:spacing w:after="0" w:line="360" w:lineRule="auto"/>
        <w:ind w:left="0" w:firstLine="1440"/>
        <w:contextualSpacing w:val="0"/>
        <w:rPr>
          <w:rFonts w:ascii="Times New Roman" w:hAnsi="Times New Roman" w:cs="Times New Roman"/>
          <w:color w:val="000000"/>
          <w:sz w:val="26"/>
          <w:szCs w:val="26"/>
        </w:rPr>
      </w:pPr>
      <w:r>
        <w:rPr>
          <w:rFonts w:ascii="Times New Roman" w:hAnsi="Times New Roman" w:cs="Times New Roman"/>
          <w:sz w:val="26"/>
          <w:szCs w:val="26"/>
        </w:rPr>
        <w:t xml:space="preserve">In our opinion, </w:t>
      </w:r>
      <w:r w:rsidR="00853041">
        <w:rPr>
          <w:rFonts w:ascii="Times New Roman" w:hAnsi="Times New Roman" w:cs="Times New Roman"/>
          <w:sz w:val="26"/>
          <w:szCs w:val="26"/>
        </w:rPr>
        <w:t xml:space="preserve">approval </w:t>
      </w:r>
      <w:r w:rsidR="00A86779">
        <w:rPr>
          <w:rFonts w:ascii="Times New Roman" w:hAnsi="Times New Roman" w:cs="Times New Roman"/>
          <w:sz w:val="26"/>
          <w:szCs w:val="26"/>
        </w:rPr>
        <w:t>of</w:t>
      </w:r>
      <w:r>
        <w:rPr>
          <w:rFonts w:ascii="Times New Roman" w:hAnsi="Times New Roman" w:cs="Times New Roman"/>
          <w:sz w:val="26"/>
          <w:szCs w:val="26"/>
        </w:rPr>
        <w:t xml:space="preserve"> paragraph (a) of </w:t>
      </w:r>
      <w:r w:rsidR="00A86779">
        <w:rPr>
          <w:rFonts w:ascii="Times New Roman" w:hAnsi="Times New Roman" w:cs="Times New Roman"/>
          <w:sz w:val="26"/>
          <w:szCs w:val="26"/>
        </w:rPr>
        <w:t>the Settlement promote</w:t>
      </w:r>
      <w:r>
        <w:rPr>
          <w:rFonts w:ascii="Times New Roman" w:hAnsi="Times New Roman" w:cs="Times New Roman"/>
          <w:sz w:val="26"/>
          <w:szCs w:val="26"/>
        </w:rPr>
        <w:t>s</w:t>
      </w:r>
      <w:r w:rsidR="00A86779">
        <w:rPr>
          <w:rFonts w:ascii="Times New Roman" w:hAnsi="Times New Roman" w:cs="Times New Roman"/>
          <w:sz w:val="26"/>
          <w:szCs w:val="26"/>
        </w:rPr>
        <w:t xml:space="preserve"> the public interest because it</w:t>
      </w:r>
      <w:r w:rsidR="003A287F">
        <w:rPr>
          <w:rFonts w:ascii="Times New Roman" w:hAnsi="Times New Roman" w:cs="Times New Roman"/>
          <w:sz w:val="26"/>
          <w:szCs w:val="26"/>
        </w:rPr>
        <w:t xml:space="preserve"> grants a reasonable extension of time to </w:t>
      </w:r>
      <w:r w:rsidR="003A287F">
        <w:rPr>
          <w:rFonts w:ascii="Times New Roman" w:hAnsi="Times New Roman" w:cs="Times New Roman"/>
          <w:color w:val="000000"/>
          <w:sz w:val="26"/>
          <w:szCs w:val="26"/>
        </w:rPr>
        <w:t xml:space="preserve">permit </w:t>
      </w:r>
      <w:r w:rsidR="003A287F" w:rsidRPr="00A86779">
        <w:rPr>
          <w:rFonts w:ascii="Times New Roman" w:hAnsi="Times New Roman" w:cs="Times New Roman"/>
          <w:color w:val="000000"/>
          <w:sz w:val="26"/>
          <w:szCs w:val="26"/>
        </w:rPr>
        <w:t>PGW</w:t>
      </w:r>
      <w:r w:rsidR="003A287F">
        <w:rPr>
          <w:rFonts w:ascii="Times New Roman" w:hAnsi="Times New Roman" w:cs="Times New Roman"/>
          <w:color w:val="000000"/>
          <w:sz w:val="26"/>
          <w:szCs w:val="26"/>
        </w:rPr>
        <w:t xml:space="preserve"> to implement modifications to its automated billing system and processes in order to bring its partial payment posting practices into compliance with</w:t>
      </w:r>
      <w:r w:rsidR="003A287F" w:rsidRPr="00A86779">
        <w:rPr>
          <w:rFonts w:ascii="Times New Roman" w:hAnsi="Times New Roman" w:cs="Times New Roman"/>
          <w:color w:val="000000"/>
          <w:sz w:val="26"/>
          <w:szCs w:val="26"/>
        </w:rPr>
        <w:t xml:space="preserve"> </w:t>
      </w:r>
      <w:r w:rsidR="003A287F">
        <w:rPr>
          <w:rFonts w:ascii="Times New Roman" w:hAnsi="Times New Roman" w:cs="Times New Roman"/>
          <w:color w:val="000000"/>
          <w:sz w:val="26"/>
          <w:szCs w:val="26"/>
        </w:rPr>
        <w:t xml:space="preserve">the requirements of 52 Pa. Code § 56.22 and § 56.24, as directed </w:t>
      </w:r>
      <w:r w:rsidR="003A287F" w:rsidRPr="00A86779">
        <w:rPr>
          <w:rFonts w:ascii="Times New Roman" w:hAnsi="Times New Roman" w:cs="Times New Roman"/>
          <w:color w:val="000000"/>
          <w:sz w:val="26"/>
          <w:szCs w:val="26"/>
        </w:rPr>
        <w:t xml:space="preserve">in the </w:t>
      </w:r>
      <w:r w:rsidR="003A287F" w:rsidRPr="00A86779">
        <w:rPr>
          <w:rFonts w:ascii="Times New Roman" w:hAnsi="Times New Roman" w:cs="Times New Roman"/>
          <w:i/>
          <w:color w:val="000000"/>
          <w:sz w:val="26"/>
          <w:szCs w:val="26"/>
        </w:rPr>
        <w:t>May 2018 Order</w:t>
      </w:r>
      <w:r w:rsidR="003A287F">
        <w:rPr>
          <w:rFonts w:ascii="Times New Roman" w:hAnsi="Times New Roman" w:cs="Times New Roman"/>
          <w:color w:val="000000"/>
          <w:sz w:val="26"/>
          <w:szCs w:val="26"/>
        </w:rPr>
        <w:t>.</w:t>
      </w:r>
      <w:r w:rsidR="00D15823">
        <w:rPr>
          <w:rFonts w:ascii="Times New Roman" w:hAnsi="Times New Roman" w:cs="Times New Roman"/>
          <w:color w:val="000000"/>
          <w:sz w:val="26"/>
          <w:szCs w:val="26"/>
        </w:rPr>
        <w:t xml:space="preserve">  </w:t>
      </w:r>
      <w:r w:rsidR="00BA4A88">
        <w:rPr>
          <w:rFonts w:ascii="Times New Roman" w:hAnsi="Times New Roman" w:cs="Times New Roman"/>
          <w:color w:val="000000"/>
          <w:sz w:val="26"/>
          <w:szCs w:val="26"/>
        </w:rPr>
        <w:t>We accept t</w:t>
      </w:r>
      <w:r w:rsidR="00783453">
        <w:rPr>
          <w:rFonts w:ascii="Times New Roman" w:hAnsi="Times New Roman" w:cs="Times New Roman"/>
          <w:color w:val="000000"/>
          <w:sz w:val="26"/>
          <w:szCs w:val="26"/>
        </w:rPr>
        <w:t>he Parties</w:t>
      </w:r>
      <w:r w:rsidR="00BA4A88">
        <w:rPr>
          <w:rFonts w:ascii="Times New Roman" w:hAnsi="Times New Roman" w:cs="Times New Roman"/>
          <w:color w:val="000000"/>
          <w:sz w:val="26"/>
          <w:szCs w:val="26"/>
        </w:rPr>
        <w:t>’</w:t>
      </w:r>
      <w:r w:rsidR="00783453">
        <w:rPr>
          <w:rFonts w:ascii="Times New Roman" w:hAnsi="Times New Roman" w:cs="Times New Roman"/>
          <w:color w:val="000000"/>
          <w:sz w:val="26"/>
          <w:szCs w:val="26"/>
        </w:rPr>
        <w:t xml:space="preserve"> represent</w:t>
      </w:r>
      <w:r w:rsidR="00BA4A88">
        <w:rPr>
          <w:rFonts w:ascii="Times New Roman" w:hAnsi="Times New Roman" w:cs="Times New Roman"/>
          <w:color w:val="000000"/>
          <w:sz w:val="26"/>
          <w:szCs w:val="26"/>
        </w:rPr>
        <w:t>ation in the Joint Petition for Settlement</w:t>
      </w:r>
      <w:r w:rsidR="00783453">
        <w:rPr>
          <w:rFonts w:ascii="Times New Roman" w:hAnsi="Times New Roman" w:cs="Times New Roman"/>
          <w:color w:val="000000"/>
          <w:sz w:val="26"/>
          <w:szCs w:val="26"/>
        </w:rPr>
        <w:t xml:space="preserve"> that our granting of additional time will increase the likelihood that the implementation of the compliant practices will not result in significant, Company-wide billing errors or other implementation errors.  </w:t>
      </w:r>
      <w:r w:rsidR="005B330A">
        <w:rPr>
          <w:rFonts w:ascii="Times New Roman" w:hAnsi="Times New Roman" w:cs="Times New Roman"/>
          <w:color w:val="000000"/>
          <w:sz w:val="26"/>
          <w:szCs w:val="26"/>
        </w:rPr>
        <w:t xml:space="preserve">Additionally, since the OCA and PGW are the only Parties </w:t>
      </w:r>
      <w:r w:rsidR="003A287F">
        <w:rPr>
          <w:rFonts w:ascii="Times New Roman" w:hAnsi="Times New Roman" w:cs="Times New Roman"/>
          <w:color w:val="000000"/>
          <w:sz w:val="26"/>
          <w:szCs w:val="26"/>
        </w:rPr>
        <w:t>to litigate</w:t>
      </w:r>
      <w:r w:rsidR="005B330A">
        <w:rPr>
          <w:rFonts w:ascii="Times New Roman" w:hAnsi="Times New Roman" w:cs="Times New Roman"/>
          <w:color w:val="000000"/>
          <w:sz w:val="26"/>
          <w:szCs w:val="26"/>
        </w:rPr>
        <w:t xml:space="preserve"> </w:t>
      </w:r>
      <w:r w:rsidR="003A287F">
        <w:rPr>
          <w:rFonts w:ascii="Times New Roman" w:hAnsi="Times New Roman" w:cs="Times New Roman"/>
          <w:color w:val="000000"/>
          <w:sz w:val="26"/>
          <w:szCs w:val="26"/>
        </w:rPr>
        <w:t>t</w:t>
      </w:r>
      <w:r w:rsidR="005B330A">
        <w:rPr>
          <w:rFonts w:ascii="Times New Roman" w:hAnsi="Times New Roman" w:cs="Times New Roman"/>
          <w:color w:val="000000"/>
          <w:sz w:val="26"/>
          <w:szCs w:val="26"/>
        </w:rPr>
        <w:t>he issue of PGW’s partial payment allocation practices in this proceeding, and since the OCA and PGW agree to all the terms of paragraph (a),</w:t>
      </w:r>
      <w:r w:rsidR="003A287F">
        <w:rPr>
          <w:rFonts w:ascii="Times New Roman" w:hAnsi="Times New Roman" w:cs="Times New Roman"/>
          <w:color w:val="000000"/>
          <w:sz w:val="26"/>
          <w:szCs w:val="26"/>
        </w:rPr>
        <w:t xml:space="preserve"> our adoption of the Settlement will eliminate the possibility of an appeal related to this proceeding, thus saving the Parties and the Commission the additional time and expense </w:t>
      </w:r>
      <w:r w:rsidR="00555620">
        <w:rPr>
          <w:rFonts w:ascii="Times New Roman" w:hAnsi="Times New Roman" w:cs="Times New Roman"/>
          <w:color w:val="000000"/>
          <w:sz w:val="26"/>
          <w:szCs w:val="26"/>
        </w:rPr>
        <w:t>relating to the Parties’ prosecution and/or defense of such appeal.</w:t>
      </w:r>
    </w:p>
    <w:p w14:paraId="5C393C62" w14:textId="1ACE65B4" w:rsidR="00D60F6D" w:rsidRDefault="00D60F6D" w:rsidP="001C75D6">
      <w:pPr>
        <w:pStyle w:val="ListParagraph"/>
        <w:spacing w:after="0" w:line="360" w:lineRule="auto"/>
        <w:ind w:left="0" w:firstLine="1440"/>
        <w:contextualSpacing w:val="0"/>
        <w:rPr>
          <w:rFonts w:ascii="Times New Roman" w:hAnsi="Times New Roman" w:cs="Times New Roman"/>
          <w:color w:val="000000"/>
          <w:sz w:val="26"/>
          <w:szCs w:val="26"/>
        </w:rPr>
      </w:pPr>
    </w:p>
    <w:p w14:paraId="24E8D1DF" w14:textId="77777777" w:rsidR="00D60F6D" w:rsidRDefault="00D60F6D" w:rsidP="00D60F6D">
      <w:pPr>
        <w:pStyle w:val="ListParagraph"/>
        <w:spacing w:after="0" w:line="360" w:lineRule="auto"/>
        <w:ind w:left="0" w:firstLine="1440"/>
        <w:contextualSpacing w:val="0"/>
        <w:rPr>
          <w:rFonts w:ascii="Times New Roman" w:hAnsi="Times New Roman" w:cs="Times New Roman"/>
          <w:sz w:val="26"/>
          <w:szCs w:val="26"/>
        </w:rPr>
      </w:pPr>
      <w:r>
        <w:rPr>
          <w:rFonts w:ascii="Times New Roman" w:hAnsi="Times New Roman" w:cs="Times New Roman"/>
          <w:sz w:val="26"/>
          <w:szCs w:val="26"/>
        </w:rPr>
        <w:lastRenderedPageBreak/>
        <w:t xml:space="preserve">Based on the foregoing, </w:t>
      </w:r>
      <w:bookmarkStart w:id="2" w:name="_Hlk9946796"/>
      <w:r>
        <w:rPr>
          <w:rFonts w:ascii="Times New Roman" w:hAnsi="Times New Roman" w:cs="Times New Roman"/>
          <w:sz w:val="26"/>
          <w:szCs w:val="26"/>
        </w:rPr>
        <w:t xml:space="preserve">we shall amend the </w:t>
      </w:r>
      <w:r w:rsidRPr="00987E80">
        <w:rPr>
          <w:rFonts w:ascii="Times New Roman" w:hAnsi="Times New Roman" w:cs="Times New Roman"/>
          <w:i/>
          <w:sz w:val="26"/>
          <w:szCs w:val="26"/>
        </w:rPr>
        <w:t>May 2018 Order</w:t>
      </w:r>
      <w:r>
        <w:rPr>
          <w:rFonts w:ascii="Times New Roman" w:hAnsi="Times New Roman" w:cs="Times New Roman"/>
          <w:sz w:val="26"/>
          <w:szCs w:val="26"/>
        </w:rPr>
        <w:t xml:space="preserve"> to direct PGW to achieve compliance with the directives in the </w:t>
      </w:r>
      <w:r w:rsidRPr="00987E80">
        <w:rPr>
          <w:rFonts w:ascii="Times New Roman" w:hAnsi="Times New Roman" w:cs="Times New Roman"/>
          <w:i/>
          <w:sz w:val="26"/>
          <w:szCs w:val="26"/>
        </w:rPr>
        <w:t>May 2018 Order</w:t>
      </w:r>
      <w:r>
        <w:rPr>
          <w:rFonts w:ascii="Times New Roman" w:hAnsi="Times New Roman" w:cs="Times New Roman"/>
          <w:sz w:val="26"/>
          <w:szCs w:val="26"/>
        </w:rPr>
        <w:t xml:space="preserve"> by no later than July 2, 2019, subject to the conditions and representations set forth in paragraph (a) of the Settlement, which includes the incorporated footnote and Exhibit A.</w:t>
      </w:r>
    </w:p>
    <w:bookmarkEnd w:id="2"/>
    <w:p w14:paraId="76C5E15F" w14:textId="77777777" w:rsidR="00D7564B" w:rsidRDefault="00D7564B" w:rsidP="001C75D6">
      <w:pPr>
        <w:keepNext/>
        <w:keepLines/>
        <w:widowControl/>
        <w:spacing w:line="360" w:lineRule="auto"/>
        <w:rPr>
          <w:b/>
          <w:sz w:val="26"/>
          <w:u w:val="single"/>
        </w:rPr>
      </w:pPr>
    </w:p>
    <w:p w14:paraId="2424D5C4" w14:textId="1519BB8E" w:rsidR="00D60F6D" w:rsidRDefault="00DF60B9" w:rsidP="001C75D6">
      <w:pPr>
        <w:pStyle w:val="ListParagraph"/>
        <w:spacing w:after="0" w:line="360" w:lineRule="auto"/>
        <w:ind w:left="0" w:firstLine="1440"/>
        <w:contextualSpacing w:val="0"/>
        <w:rPr>
          <w:rFonts w:ascii="Times New Roman" w:hAnsi="Times New Roman" w:cs="Times New Roman"/>
          <w:color w:val="000000"/>
          <w:sz w:val="26"/>
          <w:szCs w:val="26"/>
        </w:rPr>
      </w:pPr>
      <w:r>
        <w:rPr>
          <w:rFonts w:ascii="Times New Roman" w:hAnsi="Times New Roman" w:cs="Times New Roman"/>
          <w:color w:val="000000"/>
          <w:sz w:val="26"/>
          <w:szCs w:val="26"/>
        </w:rPr>
        <w:t>P</w:t>
      </w:r>
      <w:r w:rsidR="005B2FD6" w:rsidRPr="00632F10">
        <w:rPr>
          <w:rFonts w:ascii="Times New Roman" w:hAnsi="Times New Roman" w:cs="Times New Roman"/>
          <w:color w:val="000000"/>
          <w:sz w:val="26"/>
          <w:szCs w:val="26"/>
        </w:rPr>
        <w:t>aragraph (b)</w:t>
      </w:r>
      <w:r w:rsidR="005B2FD6">
        <w:rPr>
          <w:rFonts w:ascii="Times New Roman" w:hAnsi="Times New Roman" w:cs="Times New Roman"/>
          <w:color w:val="000000"/>
          <w:sz w:val="26"/>
          <w:szCs w:val="26"/>
        </w:rPr>
        <w:t xml:space="preserve"> of the Settlement</w:t>
      </w:r>
      <w:r>
        <w:rPr>
          <w:rFonts w:ascii="Times New Roman" w:hAnsi="Times New Roman" w:cs="Times New Roman"/>
          <w:color w:val="000000"/>
          <w:sz w:val="26"/>
          <w:szCs w:val="26"/>
        </w:rPr>
        <w:t xml:space="preserve"> </w:t>
      </w:r>
      <w:r w:rsidR="005B2FD6">
        <w:rPr>
          <w:rFonts w:ascii="Times New Roman" w:hAnsi="Times New Roman" w:cs="Times New Roman"/>
          <w:color w:val="000000"/>
          <w:sz w:val="26"/>
          <w:szCs w:val="26"/>
        </w:rPr>
        <w:t>states that PGW</w:t>
      </w:r>
      <w:r w:rsidR="005B2FD6" w:rsidRPr="00632F10">
        <w:rPr>
          <w:rFonts w:ascii="Times New Roman" w:hAnsi="Times New Roman" w:cs="Times New Roman"/>
          <w:color w:val="000000"/>
          <w:sz w:val="26"/>
          <w:szCs w:val="26"/>
        </w:rPr>
        <w:t xml:space="preserve"> “does not admit that its current partial payment allocation practices violate any Commission regulations or provisions of the Public Utility Code.”  </w:t>
      </w:r>
      <w:r w:rsidR="00F424E9">
        <w:rPr>
          <w:rFonts w:ascii="Times New Roman" w:hAnsi="Times New Roman" w:cs="Times New Roman"/>
          <w:color w:val="000000"/>
          <w:sz w:val="26"/>
          <w:szCs w:val="26"/>
        </w:rPr>
        <w:t>P</w:t>
      </w:r>
      <w:r w:rsidR="00500CA0">
        <w:rPr>
          <w:rFonts w:ascii="Times New Roman" w:hAnsi="Times New Roman" w:cs="Times New Roman"/>
          <w:color w:val="000000"/>
          <w:sz w:val="26"/>
          <w:szCs w:val="26"/>
        </w:rPr>
        <w:t xml:space="preserve">aragraph (c) </w:t>
      </w:r>
      <w:r w:rsidR="007B4673">
        <w:rPr>
          <w:rFonts w:ascii="Times New Roman" w:hAnsi="Times New Roman" w:cs="Times New Roman"/>
          <w:color w:val="000000"/>
          <w:sz w:val="26"/>
          <w:szCs w:val="26"/>
        </w:rPr>
        <w:t xml:space="preserve">states </w:t>
      </w:r>
      <w:r w:rsidR="00FF11F5">
        <w:rPr>
          <w:rFonts w:ascii="Times New Roman" w:hAnsi="Times New Roman" w:cs="Times New Roman"/>
          <w:color w:val="000000"/>
          <w:sz w:val="26"/>
          <w:szCs w:val="26"/>
        </w:rPr>
        <w:t>that</w:t>
      </w:r>
      <w:r w:rsidR="009861D9">
        <w:rPr>
          <w:rFonts w:ascii="Times New Roman" w:hAnsi="Times New Roman" w:cs="Times New Roman"/>
          <w:color w:val="000000"/>
          <w:sz w:val="26"/>
          <w:szCs w:val="26"/>
        </w:rPr>
        <w:t xml:space="preserve"> PGW’s Petition for Reconsideration will be deemed withdrawn upon </w:t>
      </w:r>
      <w:r w:rsidR="00AE515C">
        <w:rPr>
          <w:rFonts w:ascii="Times New Roman" w:hAnsi="Times New Roman" w:cs="Times New Roman"/>
          <w:color w:val="000000"/>
          <w:sz w:val="26"/>
          <w:szCs w:val="26"/>
        </w:rPr>
        <w:t xml:space="preserve">our </w:t>
      </w:r>
      <w:r w:rsidR="009861D9">
        <w:rPr>
          <w:rFonts w:ascii="Times New Roman" w:hAnsi="Times New Roman" w:cs="Times New Roman"/>
          <w:color w:val="000000"/>
          <w:sz w:val="26"/>
          <w:szCs w:val="26"/>
        </w:rPr>
        <w:t xml:space="preserve">approval of the new timeframe for PGW to complete modifications to its billing system and that </w:t>
      </w:r>
      <w:r w:rsidR="007B4673">
        <w:rPr>
          <w:rFonts w:ascii="Times New Roman" w:hAnsi="Times New Roman" w:cs="Times New Roman"/>
          <w:color w:val="000000"/>
          <w:sz w:val="26"/>
          <w:szCs w:val="26"/>
        </w:rPr>
        <w:t xml:space="preserve">PGW will </w:t>
      </w:r>
      <w:r w:rsidR="00500CA0">
        <w:rPr>
          <w:rFonts w:ascii="Times New Roman" w:hAnsi="Times New Roman" w:cs="Times New Roman"/>
          <w:color w:val="000000"/>
          <w:sz w:val="26"/>
          <w:szCs w:val="26"/>
        </w:rPr>
        <w:t xml:space="preserve">forego any appellate remedies in connection with the </w:t>
      </w:r>
      <w:r w:rsidR="00500CA0" w:rsidRPr="007B4673">
        <w:rPr>
          <w:rFonts w:ascii="Times New Roman" w:hAnsi="Times New Roman" w:cs="Times New Roman"/>
          <w:i/>
          <w:color w:val="000000"/>
          <w:sz w:val="26"/>
          <w:szCs w:val="26"/>
        </w:rPr>
        <w:t>May 2018 Order</w:t>
      </w:r>
      <w:r w:rsidR="00B005A0">
        <w:rPr>
          <w:rFonts w:ascii="Times New Roman" w:hAnsi="Times New Roman" w:cs="Times New Roman"/>
          <w:color w:val="000000"/>
          <w:sz w:val="26"/>
          <w:szCs w:val="26"/>
        </w:rPr>
        <w:t xml:space="preserve"> upon our approval of the Settlement.</w:t>
      </w:r>
    </w:p>
    <w:p w14:paraId="3A49B234" w14:textId="77777777" w:rsidR="00D60F6D" w:rsidRDefault="00D60F6D" w:rsidP="001C75D6">
      <w:pPr>
        <w:pStyle w:val="ListParagraph"/>
        <w:spacing w:after="0" w:line="360" w:lineRule="auto"/>
        <w:ind w:left="0" w:firstLine="1440"/>
        <w:contextualSpacing w:val="0"/>
        <w:rPr>
          <w:rFonts w:ascii="Times New Roman" w:hAnsi="Times New Roman" w:cs="Times New Roman"/>
          <w:color w:val="000000"/>
          <w:sz w:val="26"/>
          <w:szCs w:val="26"/>
        </w:rPr>
      </w:pPr>
    </w:p>
    <w:p w14:paraId="16496777" w14:textId="664BE9CE" w:rsidR="005B2FD6" w:rsidRDefault="00AE515C" w:rsidP="001C75D6">
      <w:pPr>
        <w:pStyle w:val="ListParagraph"/>
        <w:spacing w:after="0" w:line="360" w:lineRule="auto"/>
        <w:ind w:left="0" w:firstLine="1440"/>
        <w:contextualSpacing w:val="0"/>
        <w:rPr>
          <w:rFonts w:ascii="Times New Roman" w:hAnsi="Times New Roman" w:cs="Times New Roman"/>
          <w:color w:val="000000"/>
          <w:sz w:val="26"/>
          <w:szCs w:val="26"/>
        </w:rPr>
      </w:pPr>
      <w:r>
        <w:rPr>
          <w:rFonts w:ascii="Times New Roman" w:hAnsi="Times New Roman" w:cs="Times New Roman"/>
          <w:color w:val="000000"/>
          <w:sz w:val="26"/>
          <w:szCs w:val="26"/>
        </w:rPr>
        <w:t xml:space="preserve">Whether PGW admits that its current partial payment allocation practices violate Commission Regulations or provisions of the Public Utility Code is of no moment, as we have already determined in the </w:t>
      </w:r>
      <w:r w:rsidRPr="00AE515C">
        <w:rPr>
          <w:rFonts w:ascii="Times New Roman" w:hAnsi="Times New Roman" w:cs="Times New Roman"/>
          <w:i/>
          <w:iCs/>
          <w:color w:val="000000"/>
          <w:sz w:val="26"/>
          <w:szCs w:val="26"/>
        </w:rPr>
        <w:t>May 2018 Order</w:t>
      </w:r>
      <w:r>
        <w:rPr>
          <w:rFonts w:ascii="Times New Roman" w:hAnsi="Times New Roman" w:cs="Times New Roman"/>
          <w:color w:val="000000"/>
          <w:sz w:val="26"/>
          <w:szCs w:val="26"/>
        </w:rPr>
        <w:t xml:space="preserve"> that PGW’s practices constitute violations and need to be changed, and PGW has agreed to modify its practices.  Accordingly</w:t>
      </w:r>
      <w:r w:rsidR="00FF11F5">
        <w:rPr>
          <w:rFonts w:ascii="Times New Roman" w:hAnsi="Times New Roman" w:cs="Times New Roman"/>
          <w:color w:val="000000"/>
          <w:sz w:val="26"/>
          <w:szCs w:val="26"/>
        </w:rPr>
        <w:t>, except for</w:t>
      </w:r>
      <w:r w:rsidR="00B005A0">
        <w:rPr>
          <w:rFonts w:ascii="Times New Roman" w:hAnsi="Times New Roman" w:cs="Times New Roman"/>
          <w:color w:val="000000"/>
          <w:sz w:val="26"/>
          <w:szCs w:val="26"/>
        </w:rPr>
        <w:t xml:space="preserve"> our decision herein to amend the </w:t>
      </w:r>
      <w:r w:rsidR="00B005A0" w:rsidRPr="00B005A0">
        <w:rPr>
          <w:rFonts w:ascii="Times New Roman" w:hAnsi="Times New Roman" w:cs="Times New Roman"/>
          <w:i/>
          <w:color w:val="000000"/>
          <w:sz w:val="26"/>
          <w:szCs w:val="26"/>
        </w:rPr>
        <w:t>May 2018 Order</w:t>
      </w:r>
      <w:r w:rsidR="00B005A0">
        <w:rPr>
          <w:rFonts w:ascii="Times New Roman" w:hAnsi="Times New Roman" w:cs="Times New Roman"/>
          <w:color w:val="000000"/>
          <w:sz w:val="26"/>
          <w:szCs w:val="26"/>
        </w:rPr>
        <w:t xml:space="preserve"> to extend the deadline for</w:t>
      </w:r>
      <w:r w:rsidR="00B005A0">
        <w:rPr>
          <w:rFonts w:ascii="Times New Roman" w:hAnsi="Times New Roman" w:cs="Times New Roman"/>
          <w:sz w:val="26"/>
          <w:szCs w:val="26"/>
        </w:rPr>
        <w:t xml:space="preserve"> PGW to achieve compliance with the directives therein, </w:t>
      </w:r>
      <w:r w:rsidR="00A635E8">
        <w:rPr>
          <w:rFonts w:ascii="Times New Roman" w:hAnsi="Times New Roman" w:cs="Times New Roman"/>
          <w:sz w:val="26"/>
          <w:szCs w:val="26"/>
        </w:rPr>
        <w:t xml:space="preserve">this term as well as the withdrawal of the Petition for Reconsideration are acceptable.  Therefore, </w:t>
      </w:r>
      <w:r w:rsidR="00B005A0" w:rsidRPr="00B005A0">
        <w:rPr>
          <w:rFonts w:ascii="Times New Roman" w:hAnsi="Times New Roman" w:cs="Times New Roman"/>
          <w:sz w:val="26"/>
          <w:szCs w:val="26"/>
        </w:rPr>
        <w:t xml:space="preserve">the </w:t>
      </w:r>
      <w:r w:rsidR="00B005A0" w:rsidRPr="00B005A0">
        <w:rPr>
          <w:rFonts w:ascii="Times New Roman" w:hAnsi="Times New Roman" w:cs="Times New Roman"/>
          <w:i/>
          <w:sz w:val="26"/>
          <w:szCs w:val="26"/>
        </w:rPr>
        <w:t>May 2018 Order</w:t>
      </w:r>
      <w:r w:rsidR="00FF11F5" w:rsidRPr="00B005A0">
        <w:rPr>
          <w:rFonts w:ascii="Times New Roman" w:hAnsi="Times New Roman" w:cs="Times New Roman"/>
          <w:sz w:val="26"/>
          <w:szCs w:val="26"/>
        </w:rPr>
        <w:t xml:space="preserve"> </w:t>
      </w:r>
      <w:r w:rsidR="00B005A0">
        <w:rPr>
          <w:rFonts w:ascii="Times New Roman" w:hAnsi="Times New Roman" w:cs="Times New Roman"/>
          <w:sz w:val="26"/>
          <w:szCs w:val="26"/>
        </w:rPr>
        <w:t xml:space="preserve">shall </w:t>
      </w:r>
      <w:r w:rsidR="00FF11F5" w:rsidRPr="00B005A0">
        <w:rPr>
          <w:rFonts w:ascii="Times New Roman" w:hAnsi="Times New Roman" w:cs="Times New Roman"/>
          <w:sz w:val="26"/>
          <w:szCs w:val="26"/>
        </w:rPr>
        <w:t>remain in full force and effect.</w:t>
      </w:r>
      <w:r>
        <w:rPr>
          <w:rFonts w:ascii="Times New Roman" w:hAnsi="Times New Roman" w:cs="Times New Roman"/>
          <w:sz w:val="26"/>
          <w:szCs w:val="26"/>
        </w:rPr>
        <w:t xml:space="preserve">  </w:t>
      </w:r>
      <w:r>
        <w:rPr>
          <w:rFonts w:ascii="Times New Roman" w:hAnsi="Times New Roman" w:cs="Times New Roman"/>
          <w:color w:val="000000"/>
          <w:sz w:val="26"/>
          <w:szCs w:val="26"/>
        </w:rPr>
        <w:t xml:space="preserve">We conclude that our approval of paragraphs (b) and (c) </w:t>
      </w:r>
      <w:r w:rsidR="00D60F6D">
        <w:rPr>
          <w:rFonts w:ascii="Times New Roman" w:hAnsi="Times New Roman" w:cs="Times New Roman"/>
          <w:color w:val="000000"/>
          <w:sz w:val="26"/>
          <w:szCs w:val="26"/>
        </w:rPr>
        <w:t xml:space="preserve">of the Settlement </w:t>
      </w:r>
      <w:r>
        <w:rPr>
          <w:rFonts w:ascii="Times New Roman" w:hAnsi="Times New Roman" w:cs="Times New Roman"/>
          <w:color w:val="000000"/>
          <w:sz w:val="26"/>
          <w:szCs w:val="26"/>
        </w:rPr>
        <w:t>is</w:t>
      </w:r>
      <w:r w:rsidR="001F53BD">
        <w:rPr>
          <w:rFonts w:ascii="Times New Roman" w:hAnsi="Times New Roman" w:cs="Times New Roman"/>
          <w:color w:val="000000"/>
          <w:sz w:val="26"/>
          <w:szCs w:val="26"/>
        </w:rPr>
        <w:t xml:space="preserve"> in</w:t>
      </w:r>
      <w:r>
        <w:rPr>
          <w:rFonts w:ascii="Times New Roman" w:hAnsi="Times New Roman" w:cs="Times New Roman"/>
          <w:color w:val="000000"/>
          <w:sz w:val="26"/>
          <w:szCs w:val="26"/>
        </w:rPr>
        <w:t xml:space="preserve"> the public interest since it will bring final resolution to this matter and eliminate the possibility of an appeal related to this proceeding, thus saving the Parties and the Commission the additional time and expense relating to the Parties’ prosecution and/or defense of such appeal.</w:t>
      </w:r>
    </w:p>
    <w:p w14:paraId="4DD1385D" w14:textId="77777777" w:rsidR="00D60F6D" w:rsidRDefault="00D60F6D" w:rsidP="001C75D6">
      <w:pPr>
        <w:pStyle w:val="ListParagraph"/>
        <w:spacing w:after="0" w:line="360" w:lineRule="auto"/>
        <w:ind w:left="0" w:firstLine="1440"/>
        <w:contextualSpacing w:val="0"/>
        <w:rPr>
          <w:rFonts w:ascii="Times New Roman" w:hAnsi="Times New Roman" w:cs="Times New Roman"/>
          <w:color w:val="000000"/>
          <w:sz w:val="26"/>
          <w:szCs w:val="26"/>
        </w:rPr>
      </w:pPr>
    </w:p>
    <w:p w14:paraId="167AB834" w14:textId="16687935" w:rsidR="00577F64" w:rsidRDefault="00577F64" w:rsidP="00D60F6D">
      <w:pPr>
        <w:pStyle w:val="ListParagraph"/>
        <w:keepNext/>
        <w:keepLines/>
        <w:numPr>
          <w:ilvl w:val="0"/>
          <w:numId w:val="7"/>
        </w:numPr>
        <w:spacing w:line="360" w:lineRule="auto"/>
        <w:contextualSpacing w:val="0"/>
        <w:jc w:val="center"/>
        <w:rPr>
          <w:rFonts w:ascii="Times New Roman" w:hAnsi="Times New Roman" w:cs="Times New Roman"/>
          <w:b/>
          <w:sz w:val="26"/>
          <w:szCs w:val="26"/>
        </w:rPr>
      </w:pPr>
      <w:r w:rsidRPr="00577F64">
        <w:rPr>
          <w:rFonts w:ascii="Times New Roman" w:hAnsi="Times New Roman" w:cs="Times New Roman"/>
          <w:b/>
          <w:sz w:val="26"/>
          <w:szCs w:val="26"/>
        </w:rPr>
        <w:lastRenderedPageBreak/>
        <w:t>Conclusion</w:t>
      </w:r>
    </w:p>
    <w:p w14:paraId="40FEA079" w14:textId="77777777" w:rsidR="00B43801" w:rsidRPr="00B43801" w:rsidRDefault="00B43801" w:rsidP="00D60F6D">
      <w:pPr>
        <w:keepNext/>
        <w:keepLines/>
        <w:widowControl/>
        <w:spacing w:line="360" w:lineRule="auto"/>
        <w:ind w:left="360"/>
        <w:rPr>
          <w:b/>
          <w:sz w:val="26"/>
          <w:szCs w:val="26"/>
        </w:rPr>
      </w:pPr>
    </w:p>
    <w:p w14:paraId="7CF9523E" w14:textId="2EEAD1E7" w:rsidR="000F1318" w:rsidRPr="00577F64" w:rsidRDefault="00577F64" w:rsidP="00D60F6D">
      <w:pPr>
        <w:widowControl/>
        <w:spacing w:line="360" w:lineRule="auto"/>
        <w:ind w:firstLine="1440"/>
        <w:rPr>
          <w:sz w:val="26"/>
        </w:rPr>
      </w:pPr>
      <w:r w:rsidRPr="00E95541">
        <w:rPr>
          <w:sz w:val="26"/>
          <w:szCs w:val="26"/>
        </w:rPr>
        <w:t xml:space="preserve">Based upon our review of the record in this proceeding, </w:t>
      </w:r>
      <w:r>
        <w:rPr>
          <w:sz w:val="26"/>
          <w:szCs w:val="26"/>
        </w:rPr>
        <w:t xml:space="preserve">we shall </w:t>
      </w:r>
      <w:r w:rsidR="00076149">
        <w:rPr>
          <w:sz w:val="26"/>
          <w:szCs w:val="26"/>
        </w:rPr>
        <w:t>grant</w:t>
      </w:r>
      <w:r w:rsidR="009861D9">
        <w:rPr>
          <w:sz w:val="26"/>
          <w:szCs w:val="26"/>
        </w:rPr>
        <w:t xml:space="preserve"> </w:t>
      </w:r>
      <w:r w:rsidR="00076149">
        <w:rPr>
          <w:sz w:val="26"/>
          <w:szCs w:val="26"/>
        </w:rPr>
        <w:t>the Joint Petition for Settlement</w:t>
      </w:r>
      <w:r w:rsidR="009861D9">
        <w:rPr>
          <w:sz w:val="26"/>
          <w:szCs w:val="26"/>
        </w:rPr>
        <w:t xml:space="preserve"> and deem PGW’s Petition for Reconsideration withdrawn</w:t>
      </w:r>
      <w:r w:rsidR="009861D9" w:rsidRPr="00EE0609">
        <w:rPr>
          <w:sz w:val="26"/>
          <w:szCs w:val="26"/>
        </w:rPr>
        <w:t xml:space="preserve">, </w:t>
      </w:r>
      <w:r w:rsidRPr="00EE0609">
        <w:rPr>
          <w:sz w:val="26"/>
          <w:szCs w:val="26"/>
        </w:rPr>
        <w:t>consistent with this Opinion and Order</w:t>
      </w:r>
      <w:r w:rsidR="00002CE4">
        <w:rPr>
          <w:sz w:val="26"/>
        </w:rPr>
        <w:t xml:space="preserve">; </w:t>
      </w:r>
      <w:r w:rsidR="000F1318" w:rsidRPr="00027664">
        <w:rPr>
          <w:b/>
          <w:sz w:val="26"/>
        </w:rPr>
        <w:t>THEREFORE,</w:t>
      </w:r>
    </w:p>
    <w:p w14:paraId="03D50CF0" w14:textId="389FE33E" w:rsidR="000F1318" w:rsidRDefault="000F1318" w:rsidP="00D60F6D">
      <w:pPr>
        <w:widowControl/>
        <w:spacing w:line="360" w:lineRule="auto"/>
        <w:ind w:firstLine="1440"/>
        <w:rPr>
          <w:sz w:val="26"/>
          <w:szCs w:val="26"/>
        </w:rPr>
      </w:pPr>
    </w:p>
    <w:p w14:paraId="15B18B87" w14:textId="12AB19A9" w:rsidR="00830A90" w:rsidRDefault="000F1318" w:rsidP="009C62C5">
      <w:pPr>
        <w:keepNext/>
        <w:keepLines/>
        <w:widowControl/>
        <w:spacing w:line="360" w:lineRule="auto"/>
        <w:ind w:firstLine="1440"/>
        <w:rPr>
          <w:sz w:val="26"/>
        </w:rPr>
      </w:pPr>
      <w:r w:rsidRPr="00027664">
        <w:rPr>
          <w:b/>
          <w:sz w:val="26"/>
          <w:szCs w:val="26"/>
        </w:rPr>
        <w:t>IT IS ORDERED:</w:t>
      </w:r>
    </w:p>
    <w:p w14:paraId="2C7001F8" w14:textId="77777777" w:rsidR="00830A90" w:rsidRDefault="00830A90" w:rsidP="009C62C5">
      <w:pPr>
        <w:keepNext/>
        <w:keepLines/>
        <w:widowControl/>
        <w:spacing w:line="360" w:lineRule="auto"/>
        <w:ind w:firstLine="1440"/>
        <w:rPr>
          <w:sz w:val="26"/>
        </w:rPr>
      </w:pPr>
    </w:p>
    <w:p w14:paraId="64872CDD" w14:textId="0955828B" w:rsidR="008C4829" w:rsidRDefault="00830A90" w:rsidP="009861D9">
      <w:pPr>
        <w:widowControl/>
        <w:spacing w:line="360" w:lineRule="auto"/>
        <w:ind w:firstLine="1440"/>
        <w:rPr>
          <w:sz w:val="26"/>
          <w:szCs w:val="26"/>
        </w:rPr>
      </w:pPr>
      <w:r>
        <w:rPr>
          <w:sz w:val="26"/>
        </w:rPr>
        <w:t>1.</w:t>
      </w:r>
      <w:r>
        <w:rPr>
          <w:sz w:val="26"/>
        </w:rPr>
        <w:tab/>
      </w:r>
      <w:r w:rsidR="009861D9">
        <w:rPr>
          <w:sz w:val="26"/>
          <w:szCs w:val="26"/>
        </w:rPr>
        <w:t>That the Joint Petition for Settlement, filed on April 17, 2019, by Philadelphia Gas Works and the Office of Consumer Advocate, in the above-captioned dockets, is approved.</w:t>
      </w:r>
    </w:p>
    <w:p w14:paraId="7066C0B7" w14:textId="77777777" w:rsidR="00AE515C" w:rsidRDefault="00AE515C" w:rsidP="009861D9">
      <w:pPr>
        <w:widowControl/>
        <w:spacing w:line="360" w:lineRule="auto"/>
        <w:ind w:firstLine="1440"/>
        <w:rPr>
          <w:sz w:val="26"/>
          <w:szCs w:val="26"/>
        </w:rPr>
      </w:pPr>
    </w:p>
    <w:p w14:paraId="77079A90" w14:textId="307DC7E4" w:rsidR="009861D9" w:rsidRDefault="008C4829" w:rsidP="009861D9">
      <w:pPr>
        <w:widowControl/>
        <w:spacing w:line="360" w:lineRule="auto"/>
        <w:ind w:firstLine="1440"/>
        <w:rPr>
          <w:sz w:val="26"/>
          <w:szCs w:val="26"/>
        </w:rPr>
      </w:pPr>
      <w:r>
        <w:rPr>
          <w:sz w:val="26"/>
          <w:szCs w:val="26"/>
        </w:rPr>
        <w:t>2.</w:t>
      </w:r>
      <w:r>
        <w:rPr>
          <w:sz w:val="26"/>
          <w:szCs w:val="26"/>
        </w:rPr>
        <w:tab/>
      </w:r>
      <w:r w:rsidR="009861D9" w:rsidRPr="00027664">
        <w:rPr>
          <w:sz w:val="26"/>
          <w:szCs w:val="26"/>
        </w:rPr>
        <w:t>That the Petition for Reconsideration</w:t>
      </w:r>
      <w:r w:rsidR="009861D9">
        <w:rPr>
          <w:sz w:val="26"/>
          <w:szCs w:val="26"/>
        </w:rPr>
        <w:t>,</w:t>
      </w:r>
      <w:r w:rsidR="009861D9" w:rsidRPr="00027664">
        <w:rPr>
          <w:sz w:val="26"/>
          <w:szCs w:val="26"/>
        </w:rPr>
        <w:t xml:space="preserve"> filed on</w:t>
      </w:r>
      <w:r w:rsidR="009861D9">
        <w:rPr>
          <w:sz w:val="26"/>
          <w:szCs w:val="26"/>
        </w:rPr>
        <w:t xml:space="preserve"> June 4, 2018, </w:t>
      </w:r>
      <w:r w:rsidR="009861D9" w:rsidRPr="00027664">
        <w:rPr>
          <w:sz w:val="26"/>
          <w:szCs w:val="26"/>
        </w:rPr>
        <w:t>by</w:t>
      </w:r>
      <w:r w:rsidR="009861D9">
        <w:rPr>
          <w:sz w:val="26"/>
          <w:szCs w:val="26"/>
        </w:rPr>
        <w:t xml:space="preserve"> Philadelphia Gas Works</w:t>
      </w:r>
      <w:r w:rsidR="009861D9" w:rsidRPr="00027664">
        <w:rPr>
          <w:sz w:val="26"/>
          <w:szCs w:val="26"/>
        </w:rPr>
        <w:t>,</w:t>
      </w:r>
      <w:r w:rsidR="009861D9">
        <w:rPr>
          <w:sz w:val="26"/>
          <w:szCs w:val="26"/>
        </w:rPr>
        <w:t xml:space="preserve"> in the above-captioned dockets,</w:t>
      </w:r>
      <w:r w:rsidR="009861D9" w:rsidRPr="00027664">
        <w:rPr>
          <w:sz w:val="26"/>
          <w:szCs w:val="26"/>
        </w:rPr>
        <w:t xml:space="preserve"> is </w:t>
      </w:r>
      <w:r w:rsidR="009861D9">
        <w:rPr>
          <w:sz w:val="26"/>
          <w:szCs w:val="26"/>
        </w:rPr>
        <w:t>deemed withdrawn.</w:t>
      </w:r>
    </w:p>
    <w:p w14:paraId="105479BA" w14:textId="13CE9589" w:rsidR="008C4829" w:rsidRDefault="008C4829" w:rsidP="009861D9">
      <w:pPr>
        <w:widowControl/>
        <w:spacing w:line="360" w:lineRule="auto"/>
        <w:rPr>
          <w:sz w:val="26"/>
          <w:szCs w:val="26"/>
        </w:rPr>
      </w:pPr>
    </w:p>
    <w:p w14:paraId="2EF19DBA" w14:textId="77777777" w:rsidR="00FB587D" w:rsidRDefault="008C4829" w:rsidP="009861D9">
      <w:pPr>
        <w:widowControl/>
        <w:spacing w:line="360" w:lineRule="auto"/>
        <w:ind w:firstLine="1440"/>
        <w:rPr>
          <w:color w:val="000000"/>
          <w:sz w:val="26"/>
          <w:szCs w:val="26"/>
        </w:rPr>
      </w:pPr>
      <w:r>
        <w:rPr>
          <w:sz w:val="26"/>
          <w:szCs w:val="26"/>
        </w:rPr>
        <w:t>3.</w:t>
      </w:r>
      <w:r>
        <w:rPr>
          <w:sz w:val="26"/>
          <w:szCs w:val="26"/>
        </w:rPr>
        <w:tab/>
      </w:r>
      <w:r w:rsidR="00CB31AE">
        <w:rPr>
          <w:sz w:val="26"/>
          <w:szCs w:val="26"/>
        </w:rPr>
        <w:t>That</w:t>
      </w:r>
      <w:r w:rsidR="003E019B">
        <w:rPr>
          <w:sz w:val="26"/>
          <w:szCs w:val="26"/>
        </w:rPr>
        <w:t xml:space="preserve"> </w:t>
      </w:r>
      <w:r w:rsidR="0005305F">
        <w:rPr>
          <w:sz w:val="26"/>
          <w:szCs w:val="26"/>
        </w:rPr>
        <w:t xml:space="preserve">the </w:t>
      </w:r>
      <w:r w:rsidR="003E019B">
        <w:rPr>
          <w:sz w:val="26"/>
          <w:szCs w:val="26"/>
        </w:rPr>
        <w:t>Opinion and Order entered May 18, 2018</w:t>
      </w:r>
      <w:r w:rsidR="0005305F">
        <w:rPr>
          <w:sz w:val="26"/>
          <w:szCs w:val="26"/>
        </w:rPr>
        <w:t>,</w:t>
      </w:r>
      <w:r w:rsidR="003E019B">
        <w:rPr>
          <w:sz w:val="26"/>
          <w:szCs w:val="26"/>
        </w:rPr>
        <w:t xml:space="preserve"> in the above-captioned dockets</w:t>
      </w:r>
      <w:r w:rsidR="00510AE1">
        <w:rPr>
          <w:sz w:val="26"/>
          <w:szCs w:val="26"/>
        </w:rPr>
        <w:t xml:space="preserve">, both in </w:t>
      </w:r>
      <w:r w:rsidR="003B5170">
        <w:rPr>
          <w:sz w:val="26"/>
          <w:szCs w:val="26"/>
        </w:rPr>
        <w:t xml:space="preserve">the </w:t>
      </w:r>
      <w:r w:rsidR="00510AE1">
        <w:rPr>
          <w:sz w:val="26"/>
          <w:szCs w:val="26"/>
        </w:rPr>
        <w:t xml:space="preserve">body </w:t>
      </w:r>
      <w:r w:rsidR="003B5170">
        <w:rPr>
          <w:sz w:val="26"/>
          <w:szCs w:val="26"/>
        </w:rPr>
        <w:t xml:space="preserve">of the Opinion and Order </w:t>
      </w:r>
      <w:r w:rsidR="00510AE1">
        <w:rPr>
          <w:sz w:val="26"/>
          <w:szCs w:val="26"/>
        </w:rPr>
        <w:t>and in Ordering Paragraph No. 10</w:t>
      </w:r>
      <w:r w:rsidR="00305769">
        <w:rPr>
          <w:sz w:val="26"/>
          <w:szCs w:val="26"/>
        </w:rPr>
        <w:t xml:space="preserve"> thereto</w:t>
      </w:r>
      <w:r w:rsidR="00510AE1">
        <w:rPr>
          <w:sz w:val="26"/>
          <w:szCs w:val="26"/>
        </w:rPr>
        <w:t>,</w:t>
      </w:r>
      <w:r w:rsidR="003E019B">
        <w:rPr>
          <w:sz w:val="26"/>
          <w:szCs w:val="26"/>
        </w:rPr>
        <w:t xml:space="preserve"> is amended such that</w:t>
      </w:r>
      <w:r w:rsidR="00510AE1">
        <w:rPr>
          <w:sz w:val="26"/>
          <w:szCs w:val="26"/>
        </w:rPr>
        <w:t xml:space="preserve"> Philadelphia Gas Works is directed to bring</w:t>
      </w:r>
      <w:r w:rsidR="00510AE1">
        <w:rPr>
          <w:color w:val="000000"/>
          <w:sz w:val="26"/>
          <w:szCs w:val="26"/>
        </w:rPr>
        <w:t xml:space="preserve"> its payment posting practices into compliance with the requirements of 52 Pa. Code § 56.22 and § 56.24,</w:t>
      </w:r>
      <w:r w:rsidR="00510AE1" w:rsidRPr="00A86779">
        <w:rPr>
          <w:color w:val="000000"/>
          <w:sz w:val="26"/>
          <w:szCs w:val="26"/>
        </w:rPr>
        <w:t xml:space="preserve"> </w:t>
      </w:r>
      <w:r w:rsidR="00510AE1">
        <w:rPr>
          <w:color w:val="000000"/>
          <w:sz w:val="26"/>
          <w:szCs w:val="26"/>
        </w:rPr>
        <w:t xml:space="preserve">through the implementation of modifications to its automated billing system and processes, by </w:t>
      </w:r>
      <w:r w:rsidR="00510AE1" w:rsidRPr="00A86779">
        <w:rPr>
          <w:color w:val="000000"/>
          <w:sz w:val="26"/>
          <w:szCs w:val="26"/>
        </w:rPr>
        <w:t>no later than July 2, 2019, subject to the</w:t>
      </w:r>
      <w:r w:rsidR="001D1B07">
        <w:rPr>
          <w:color w:val="000000"/>
          <w:sz w:val="26"/>
          <w:szCs w:val="26"/>
        </w:rPr>
        <w:t xml:space="preserve"> representations</w:t>
      </w:r>
      <w:r w:rsidR="004B1320">
        <w:rPr>
          <w:color w:val="000000"/>
          <w:sz w:val="26"/>
          <w:szCs w:val="26"/>
        </w:rPr>
        <w:t xml:space="preserve"> and conditions</w:t>
      </w:r>
      <w:r w:rsidR="001D1B07">
        <w:rPr>
          <w:color w:val="000000"/>
          <w:sz w:val="26"/>
          <w:szCs w:val="26"/>
        </w:rPr>
        <w:t xml:space="preserve"> set forth in paragraph (a) of the Settlement</w:t>
      </w:r>
      <w:r w:rsidR="00305769">
        <w:rPr>
          <w:color w:val="000000"/>
          <w:sz w:val="26"/>
          <w:szCs w:val="26"/>
        </w:rPr>
        <w:t xml:space="preserve">.  </w:t>
      </w:r>
    </w:p>
    <w:p w14:paraId="62F293B6" w14:textId="77777777" w:rsidR="00FB587D" w:rsidRDefault="00FB587D" w:rsidP="009861D9">
      <w:pPr>
        <w:widowControl/>
        <w:spacing w:line="360" w:lineRule="auto"/>
        <w:ind w:firstLine="1440"/>
        <w:rPr>
          <w:color w:val="000000"/>
          <w:sz w:val="26"/>
          <w:szCs w:val="26"/>
        </w:rPr>
      </w:pPr>
    </w:p>
    <w:p w14:paraId="2766A907" w14:textId="2E80B95C" w:rsidR="00FB587D" w:rsidRDefault="00FB587D" w:rsidP="009861D9">
      <w:pPr>
        <w:widowControl/>
        <w:spacing w:line="360" w:lineRule="auto"/>
        <w:ind w:firstLine="1440"/>
        <w:rPr>
          <w:sz w:val="26"/>
          <w:szCs w:val="26"/>
        </w:rPr>
      </w:pPr>
      <w:r>
        <w:rPr>
          <w:color w:val="000000"/>
          <w:sz w:val="26"/>
          <w:szCs w:val="26"/>
        </w:rPr>
        <w:t>4.</w:t>
      </w:r>
      <w:r>
        <w:rPr>
          <w:color w:val="000000"/>
          <w:sz w:val="26"/>
          <w:szCs w:val="26"/>
        </w:rPr>
        <w:tab/>
        <w:t>That</w:t>
      </w:r>
      <w:r w:rsidR="00596A95">
        <w:rPr>
          <w:color w:val="000000"/>
          <w:sz w:val="26"/>
          <w:szCs w:val="26"/>
        </w:rPr>
        <w:t>,</w:t>
      </w:r>
      <w:r>
        <w:rPr>
          <w:color w:val="000000"/>
          <w:sz w:val="26"/>
          <w:szCs w:val="26"/>
        </w:rPr>
        <w:t xml:space="preserve"> w</w:t>
      </w:r>
      <w:r w:rsidR="00F424E9">
        <w:rPr>
          <w:sz w:val="26"/>
          <w:szCs w:val="26"/>
        </w:rPr>
        <w:t xml:space="preserve">ithin ten (10) days of completion of upgrading its billing system, Philadelphia Gas Works shall file a verification statement pursuant to 52 Pa. Code § 1.36 with the Secretary’s Bureau at this docket indicating compliance with the directives in the May 18, 2018 Opinion and Order.  </w:t>
      </w:r>
    </w:p>
    <w:p w14:paraId="4B8CFB3F" w14:textId="77777777" w:rsidR="00FB587D" w:rsidRDefault="00FB587D" w:rsidP="009861D9">
      <w:pPr>
        <w:widowControl/>
        <w:spacing w:line="360" w:lineRule="auto"/>
        <w:ind w:firstLine="1440"/>
        <w:rPr>
          <w:sz w:val="26"/>
          <w:szCs w:val="26"/>
        </w:rPr>
      </w:pPr>
    </w:p>
    <w:p w14:paraId="42ED4304" w14:textId="3CDCB04E" w:rsidR="009861D9" w:rsidRDefault="00FB587D" w:rsidP="009861D9">
      <w:pPr>
        <w:widowControl/>
        <w:spacing w:line="360" w:lineRule="auto"/>
        <w:ind w:firstLine="1440"/>
        <w:rPr>
          <w:sz w:val="26"/>
          <w:szCs w:val="26"/>
        </w:rPr>
      </w:pPr>
      <w:r>
        <w:rPr>
          <w:sz w:val="26"/>
          <w:szCs w:val="26"/>
        </w:rPr>
        <w:lastRenderedPageBreak/>
        <w:t>5.</w:t>
      </w:r>
      <w:r>
        <w:rPr>
          <w:sz w:val="26"/>
          <w:szCs w:val="26"/>
        </w:rPr>
        <w:tab/>
        <w:t>That, s</w:t>
      </w:r>
      <w:r w:rsidR="00510AE1" w:rsidRPr="00A86779">
        <w:rPr>
          <w:color w:val="000000"/>
          <w:sz w:val="26"/>
          <w:szCs w:val="26"/>
        </w:rPr>
        <w:t>hould P</w:t>
      </w:r>
      <w:r w:rsidR="001F53BD">
        <w:rPr>
          <w:color w:val="000000"/>
          <w:sz w:val="26"/>
          <w:szCs w:val="26"/>
        </w:rPr>
        <w:t xml:space="preserve">hiladelphia Gas Works </w:t>
      </w:r>
      <w:r w:rsidR="00510AE1" w:rsidRPr="00A86779">
        <w:rPr>
          <w:color w:val="000000"/>
          <w:sz w:val="26"/>
          <w:szCs w:val="26"/>
        </w:rPr>
        <w:t xml:space="preserve">experience </w:t>
      </w:r>
      <w:r w:rsidR="00510AE1" w:rsidRPr="00A86779">
        <w:rPr>
          <w:sz w:val="26"/>
          <w:szCs w:val="26"/>
        </w:rPr>
        <w:t>delays that interfere with deployment by July 2, 2019, P</w:t>
      </w:r>
      <w:r w:rsidR="00F42AD9">
        <w:rPr>
          <w:sz w:val="26"/>
          <w:szCs w:val="26"/>
        </w:rPr>
        <w:t>hiladelphia Gas Works</w:t>
      </w:r>
      <w:r w:rsidR="00510AE1" w:rsidRPr="00A86779">
        <w:rPr>
          <w:sz w:val="26"/>
          <w:szCs w:val="26"/>
        </w:rPr>
        <w:t xml:space="preserve"> </w:t>
      </w:r>
      <w:r>
        <w:rPr>
          <w:sz w:val="26"/>
          <w:szCs w:val="26"/>
        </w:rPr>
        <w:t xml:space="preserve">shall </w:t>
      </w:r>
      <w:r w:rsidR="00510AE1" w:rsidRPr="00A86779">
        <w:rPr>
          <w:sz w:val="26"/>
          <w:szCs w:val="26"/>
        </w:rPr>
        <w:t>promptly inform the O</w:t>
      </w:r>
      <w:r w:rsidR="000071FD">
        <w:rPr>
          <w:sz w:val="26"/>
          <w:szCs w:val="26"/>
        </w:rPr>
        <w:t>ffice of Consumer Advocate</w:t>
      </w:r>
      <w:r w:rsidR="00510AE1" w:rsidRPr="00A86779">
        <w:rPr>
          <w:sz w:val="26"/>
          <w:szCs w:val="26"/>
        </w:rPr>
        <w:t xml:space="preserve"> and the </w:t>
      </w:r>
      <w:r w:rsidR="00305769">
        <w:rPr>
          <w:sz w:val="26"/>
          <w:szCs w:val="26"/>
        </w:rPr>
        <w:t xml:space="preserve">Secretary of the Commission, </w:t>
      </w:r>
      <w:r w:rsidR="00510AE1">
        <w:rPr>
          <w:sz w:val="26"/>
          <w:szCs w:val="26"/>
        </w:rPr>
        <w:t xml:space="preserve">along with </w:t>
      </w:r>
      <w:r w:rsidR="00510AE1" w:rsidRPr="00A86779">
        <w:rPr>
          <w:sz w:val="26"/>
          <w:szCs w:val="26"/>
        </w:rPr>
        <w:t>a detailed explanation</w:t>
      </w:r>
      <w:r w:rsidR="00510AE1">
        <w:rPr>
          <w:sz w:val="26"/>
          <w:szCs w:val="26"/>
        </w:rPr>
        <w:t xml:space="preserve"> for the delay</w:t>
      </w:r>
      <w:r w:rsidR="00510AE1" w:rsidRPr="00A86779">
        <w:rPr>
          <w:sz w:val="26"/>
          <w:szCs w:val="26"/>
        </w:rPr>
        <w:t xml:space="preserve"> and </w:t>
      </w:r>
      <w:r w:rsidR="00510AE1">
        <w:rPr>
          <w:sz w:val="26"/>
          <w:szCs w:val="26"/>
        </w:rPr>
        <w:t xml:space="preserve">a </w:t>
      </w:r>
      <w:r w:rsidR="00510AE1" w:rsidRPr="00A86779">
        <w:rPr>
          <w:sz w:val="26"/>
          <w:szCs w:val="26"/>
        </w:rPr>
        <w:t>new implementation date, and</w:t>
      </w:r>
      <w:r w:rsidR="00305769">
        <w:rPr>
          <w:sz w:val="26"/>
          <w:szCs w:val="26"/>
        </w:rPr>
        <w:t>,</w:t>
      </w:r>
      <w:r w:rsidR="00510AE1" w:rsidRPr="00A86779">
        <w:rPr>
          <w:sz w:val="26"/>
          <w:szCs w:val="26"/>
        </w:rPr>
        <w:t xml:space="preserve"> thereafter</w:t>
      </w:r>
      <w:r w:rsidR="00305769">
        <w:rPr>
          <w:sz w:val="26"/>
          <w:szCs w:val="26"/>
        </w:rPr>
        <w:t>,</w:t>
      </w:r>
      <w:r w:rsidR="00510AE1" w:rsidRPr="00A86779">
        <w:rPr>
          <w:sz w:val="26"/>
          <w:szCs w:val="26"/>
        </w:rPr>
        <w:t xml:space="preserve"> P</w:t>
      </w:r>
      <w:r w:rsidR="000071FD">
        <w:rPr>
          <w:sz w:val="26"/>
          <w:szCs w:val="26"/>
        </w:rPr>
        <w:t xml:space="preserve">hiladelphia Gas Works </w:t>
      </w:r>
      <w:r w:rsidR="00E06659">
        <w:rPr>
          <w:sz w:val="26"/>
          <w:szCs w:val="26"/>
        </w:rPr>
        <w:t xml:space="preserve">shall </w:t>
      </w:r>
      <w:r w:rsidR="00510AE1" w:rsidRPr="00A86779">
        <w:rPr>
          <w:sz w:val="26"/>
          <w:szCs w:val="26"/>
        </w:rPr>
        <w:t>provide bi-weekly status updates to the O</w:t>
      </w:r>
      <w:r w:rsidR="000071FD">
        <w:rPr>
          <w:sz w:val="26"/>
          <w:szCs w:val="26"/>
        </w:rPr>
        <w:t>ffice of Consumer Advocate</w:t>
      </w:r>
      <w:r w:rsidR="00510AE1" w:rsidRPr="00A86779">
        <w:rPr>
          <w:sz w:val="26"/>
          <w:szCs w:val="26"/>
        </w:rPr>
        <w:t xml:space="preserve"> and the </w:t>
      </w:r>
      <w:r w:rsidR="00A16BDA">
        <w:rPr>
          <w:sz w:val="26"/>
          <w:szCs w:val="26"/>
        </w:rPr>
        <w:t xml:space="preserve">Secretary of the Commission </w:t>
      </w:r>
      <w:r w:rsidR="00510AE1">
        <w:rPr>
          <w:sz w:val="26"/>
          <w:szCs w:val="26"/>
        </w:rPr>
        <w:t>on its progress</w:t>
      </w:r>
      <w:r w:rsidR="00510AE1" w:rsidRPr="00A86779">
        <w:rPr>
          <w:sz w:val="26"/>
          <w:szCs w:val="26"/>
        </w:rPr>
        <w:t>.</w:t>
      </w:r>
    </w:p>
    <w:p w14:paraId="21FB6EDA" w14:textId="77777777" w:rsidR="009861D9" w:rsidRDefault="009861D9" w:rsidP="009861D9">
      <w:pPr>
        <w:widowControl/>
        <w:spacing w:line="360" w:lineRule="auto"/>
        <w:ind w:firstLine="1440"/>
        <w:rPr>
          <w:sz w:val="26"/>
          <w:szCs w:val="26"/>
        </w:rPr>
      </w:pPr>
    </w:p>
    <w:p w14:paraId="7D9EF59B" w14:textId="4FA3179C" w:rsidR="00510AE1" w:rsidRDefault="000D57B7" w:rsidP="009861D9">
      <w:pPr>
        <w:widowControl/>
        <w:spacing w:line="360" w:lineRule="auto"/>
        <w:ind w:firstLine="1440"/>
        <w:rPr>
          <w:sz w:val="26"/>
          <w:szCs w:val="26"/>
        </w:rPr>
      </w:pPr>
      <w:r>
        <w:rPr>
          <w:sz w:val="26"/>
          <w:szCs w:val="26"/>
        </w:rPr>
        <w:t>6</w:t>
      </w:r>
      <w:r w:rsidR="009861D9">
        <w:rPr>
          <w:sz w:val="26"/>
          <w:szCs w:val="26"/>
        </w:rPr>
        <w:t>.</w:t>
      </w:r>
      <w:r w:rsidR="009861D9">
        <w:rPr>
          <w:sz w:val="26"/>
          <w:szCs w:val="26"/>
        </w:rPr>
        <w:tab/>
      </w:r>
      <w:r w:rsidR="0005305F">
        <w:rPr>
          <w:sz w:val="26"/>
          <w:szCs w:val="26"/>
        </w:rPr>
        <w:t>That the Opinion and Order entered May 18, 2018, in the above-captioned dockets, remains in full force and effect except as expressly modified herein</w:t>
      </w:r>
      <w:r w:rsidR="00A03895">
        <w:rPr>
          <w:sz w:val="26"/>
          <w:szCs w:val="26"/>
        </w:rPr>
        <w:t xml:space="preserve"> </w:t>
      </w:r>
      <w:r w:rsidR="00A16BDA">
        <w:rPr>
          <w:sz w:val="26"/>
          <w:szCs w:val="26"/>
        </w:rPr>
        <w:t xml:space="preserve">with regard </w:t>
      </w:r>
      <w:r w:rsidR="00A03895">
        <w:rPr>
          <w:sz w:val="26"/>
          <w:szCs w:val="26"/>
        </w:rPr>
        <w:t>to the extension of time granted herein</w:t>
      </w:r>
      <w:r w:rsidR="0005305F">
        <w:rPr>
          <w:sz w:val="26"/>
          <w:szCs w:val="26"/>
        </w:rPr>
        <w:t>.</w:t>
      </w:r>
    </w:p>
    <w:p w14:paraId="56614DA2" w14:textId="77777777" w:rsidR="003E019B" w:rsidRDefault="003E019B" w:rsidP="001C75D6">
      <w:pPr>
        <w:widowControl/>
        <w:spacing w:line="360" w:lineRule="auto"/>
        <w:ind w:firstLine="1440"/>
        <w:rPr>
          <w:sz w:val="26"/>
          <w:szCs w:val="26"/>
        </w:rPr>
      </w:pPr>
    </w:p>
    <w:p w14:paraId="774B6EC0" w14:textId="73548D13" w:rsidR="008C4829" w:rsidRDefault="000D57B7" w:rsidP="001C75D6">
      <w:pPr>
        <w:widowControl/>
        <w:spacing w:line="360" w:lineRule="auto"/>
        <w:ind w:firstLine="1440"/>
        <w:rPr>
          <w:sz w:val="26"/>
          <w:szCs w:val="26"/>
        </w:rPr>
      </w:pPr>
      <w:r>
        <w:rPr>
          <w:sz w:val="26"/>
          <w:szCs w:val="26"/>
        </w:rPr>
        <w:t>7</w:t>
      </w:r>
      <w:r w:rsidR="003E019B">
        <w:rPr>
          <w:sz w:val="26"/>
          <w:szCs w:val="26"/>
        </w:rPr>
        <w:t>.</w:t>
      </w:r>
      <w:r w:rsidR="0005305F">
        <w:rPr>
          <w:sz w:val="26"/>
          <w:szCs w:val="26"/>
        </w:rPr>
        <w:tab/>
        <w:t xml:space="preserve">That </w:t>
      </w:r>
      <w:r w:rsidR="002B7644">
        <w:rPr>
          <w:sz w:val="26"/>
          <w:szCs w:val="26"/>
        </w:rPr>
        <w:t xml:space="preserve">a copy of </w:t>
      </w:r>
      <w:r w:rsidR="0005305F">
        <w:rPr>
          <w:sz w:val="26"/>
          <w:szCs w:val="26"/>
        </w:rPr>
        <w:t xml:space="preserve">this Opinion and Order </w:t>
      </w:r>
      <w:r w:rsidR="003341B2">
        <w:rPr>
          <w:sz w:val="26"/>
          <w:szCs w:val="26"/>
        </w:rPr>
        <w:t xml:space="preserve">be served </w:t>
      </w:r>
      <w:r w:rsidR="0005305F">
        <w:rPr>
          <w:sz w:val="26"/>
          <w:szCs w:val="26"/>
        </w:rPr>
        <w:t xml:space="preserve">on all the Parties to this proceeding </w:t>
      </w:r>
      <w:r w:rsidR="002B7644">
        <w:rPr>
          <w:sz w:val="26"/>
          <w:szCs w:val="26"/>
        </w:rPr>
        <w:t>at</w:t>
      </w:r>
      <w:r w:rsidR="0005305F">
        <w:rPr>
          <w:sz w:val="26"/>
          <w:szCs w:val="26"/>
        </w:rPr>
        <w:t xml:space="preserve"> the above-captioned dockets.</w:t>
      </w:r>
    </w:p>
    <w:p w14:paraId="4A42C3CF" w14:textId="77777777" w:rsidR="00D87A1D" w:rsidRPr="00027664" w:rsidRDefault="00D87A1D" w:rsidP="001C75D6">
      <w:pPr>
        <w:widowControl/>
        <w:spacing w:line="360" w:lineRule="auto"/>
        <w:ind w:firstLine="1440"/>
        <w:rPr>
          <w:b/>
          <w:sz w:val="26"/>
          <w:szCs w:val="26"/>
        </w:rPr>
      </w:pPr>
    </w:p>
    <w:p w14:paraId="461BC809" w14:textId="77777777" w:rsidR="000F1318" w:rsidRPr="00027664" w:rsidRDefault="000F1318" w:rsidP="000071FD">
      <w:pPr>
        <w:widowControl/>
        <w:spacing w:line="360" w:lineRule="auto"/>
        <w:ind w:firstLine="4680"/>
        <w:rPr>
          <w:sz w:val="26"/>
          <w:szCs w:val="26"/>
        </w:rPr>
      </w:pPr>
      <w:r w:rsidRPr="00027664">
        <w:rPr>
          <w:b/>
          <w:sz w:val="26"/>
          <w:szCs w:val="26"/>
        </w:rPr>
        <w:t>BY THE COMMISSION,</w:t>
      </w:r>
    </w:p>
    <w:p w14:paraId="32D5E274" w14:textId="77777777" w:rsidR="000F1318" w:rsidRPr="00027664" w:rsidRDefault="000F1318" w:rsidP="001C75D6">
      <w:pPr>
        <w:widowControl/>
        <w:rPr>
          <w:sz w:val="26"/>
          <w:szCs w:val="26"/>
        </w:rPr>
      </w:pPr>
    </w:p>
    <w:p w14:paraId="6EDF02B6" w14:textId="10F96BA6" w:rsidR="00D524FF" w:rsidRDefault="009D3218" w:rsidP="001C75D6">
      <w:pPr>
        <w:widowControl/>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noProof/>
          <w:sz w:val="26"/>
          <w:szCs w:val="26"/>
        </w:rPr>
        <w:drawing>
          <wp:inline distT="0" distB="0" distL="0" distR="0" wp14:anchorId="35183B39" wp14:editId="1563E12B">
            <wp:extent cx="2057400" cy="786384"/>
            <wp:effectExtent l="0" t="0" r="0" b="0"/>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mary 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400" cy="786384"/>
                    </a:xfrm>
                    <a:prstGeom prst="rect">
                      <a:avLst/>
                    </a:prstGeom>
                  </pic:spPr>
                </pic:pic>
              </a:graphicData>
            </a:graphic>
          </wp:inline>
        </w:drawing>
      </w:r>
    </w:p>
    <w:p w14:paraId="12D31705" w14:textId="5DA3915D" w:rsidR="00600F6F" w:rsidRPr="00027664" w:rsidRDefault="009D3218" w:rsidP="009D3218">
      <w:pPr>
        <w:widowControl/>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600F6F">
        <w:rPr>
          <w:sz w:val="26"/>
          <w:szCs w:val="26"/>
        </w:rPr>
        <w:t>Rosemary Chiavetta</w:t>
      </w:r>
    </w:p>
    <w:p w14:paraId="4726E6B8" w14:textId="77777777" w:rsidR="000F1318" w:rsidRPr="00027664" w:rsidRDefault="000F1318" w:rsidP="000071FD">
      <w:pPr>
        <w:widowControl/>
        <w:ind w:firstLine="4680"/>
        <w:rPr>
          <w:sz w:val="26"/>
          <w:szCs w:val="26"/>
        </w:rPr>
      </w:pPr>
      <w:r w:rsidRPr="00027664">
        <w:rPr>
          <w:sz w:val="26"/>
          <w:szCs w:val="26"/>
        </w:rPr>
        <w:t>Secretary</w:t>
      </w:r>
    </w:p>
    <w:p w14:paraId="3A6DFAC2" w14:textId="77777777" w:rsidR="000F1318" w:rsidRPr="00027664" w:rsidRDefault="000F1318" w:rsidP="001C75D6">
      <w:pPr>
        <w:widowControl/>
        <w:rPr>
          <w:sz w:val="26"/>
          <w:szCs w:val="26"/>
        </w:rPr>
      </w:pPr>
    </w:p>
    <w:p w14:paraId="2839BD1E" w14:textId="77777777" w:rsidR="000F1318" w:rsidRPr="00027664" w:rsidRDefault="000F1318" w:rsidP="001C75D6">
      <w:pPr>
        <w:widowControl/>
        <w:rPr>
          <w:sz w:val="26"/>
          <w:szCs w:val="26"/>
        </w:rPr>
      </w:pPr>
      <w:r w:rsidRPr="00027664">
        <w:rPr>
          <w:sz w:val="26"/>
          <w:szCs w:val="26"/>
        </w:rPr>
        <w:t>(SEAL)</w:t>
      </w:r>
    </w:p>
    <w:p w14:paraId="4A18FD2B" w14:textId="77777777" w:rsidR="000F1318" w:rsidRPr="00027664" w:rsidRDefault="000F1318" w:rsidP="001C75D6">
      <w:pPr>
        <w:widowControl/>
        <w:rPr>
          <w:sz w:val="26"/>
          <w:szCs w:val="26"/>
        </w:rPr>
      </w:pPr>
      <w:bookmarkStart w:id="3" w:name="_GoBack"/>
      <w:bookmarkEnd w:id="3"/>
    </w:p>
    <w:p w14:paraId="3BB52939" w14:textId="74B840B1" w:rsidR="000F1318" w:rsidRPr="00027664" w:rsidRDefault="00F248A4" w:rsidP="001C75D6">
      <w:pPr>
        <w:widowControl/>
        <w:rPr>
          <w:sz w:val="26"/>
          <w:szCs w:val="26"/>
        </w:rPr>
      </w:pPr>
      <w:r>
        <w:rPr>
          <w:sz w:val="26"/>
          <w:szCs w:val="26"/>
        </w:rPr>
        <w:t>ORDER ADOPTED:</w:t>
      </w:r>
      <w:r w:rsidR="00776AD2">
        <w:rPr>
          <w:sz w:val="26"/>
          <w:szCs w:val="26"/>
        </w:rPr>
        <w:t xml:space="preserve">  </w:t>
      </w:r>
      <w:r w:rsidR="0005305F">
        <w:rPr>
          <w:sz w:val="26"/>
          <w:szCs w:val="26"/>
        </w:rPr>
        <w:t>June 13, 2019</w:t>
      </w:r>
    </w:p>
    <w:p w14:paraId="2FFB37F0" w14:textId="77777777" w:rsidR="000F1318" w:rsidRPr="00027664" w:rsidRDefault="000F1318" w:rsidP="001C75D6">
      <w:pPr>
        <w:widowControl/>
        <w:rPr>
          <w:sz w:val="26"/>
          <w:szCs w:val="26"/>
        </w:rPr>
      </w:pPr>
    </w:p>
    <w:p w14:paraId="683E737D" w14:textId="67514B6E" w:rsidR="00F272E7" w:rsidRDefault="000F1318" w:rsidP="001C75D6">
      <w:pPr>
        <w:widowControl/>
        <w:rPr>
          <w:b/>
          <w:sz w:val="26"/>
        </w:rPr>
      </w:pPr>
      <w:r w:rsidRPr="00027664">
        <w:rPr>
          <w:sz w:val="26"/>
          <w:szCs w:val="26"/>
        </w:rPr>
        <w:t xml:space="preserve">ORDER ENTERED:  </w:t>
      </w:r>
      <w:r w:rsidR="009D3218">
        <w:rPr>
          <w:sz w:val="26"/>
          <w:szCs w:val="26"/>
        </w:rPr>
        <w:t>June 28, 2019</w:t>
      </w:r>
    </w:p>
    <w:sectPr w:rsidR="00F272E7" w:rsidSect="003742CF">
      <w:headerReference w:type="default" r:id="rId11"/>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EDFCB" w14:textId="77777777" w:rsidR="00EB0E01" w:rsidRDefault="00EB0E01">
      <w:r>
        <w:separator/>
      </w:r>
    </w:p>
  </w:endnote>
  <w:endnote w:type="continuationSeparator" w:id="0">
    <w:p w14:paraId="3533F6A3" w14:textId="77777777" w:rsidR="00EB0E01" w:rsidRDefault="00EB0E01">
      <w:r>
        <w:continuationSeparator/>
      </w:r>
    </w:p>
  </w:endnote>
  <w:endnote w:type="continuationNotice" w:id="1">
    <w:p w14:paraId="2DB8D9D0" w14:textId="77777777" w:rsidR="00EB0E01" w:rsidRDefault="00EB0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7099" w14:textId="77777777" w:rsidR="00D22B98" w:rsidRDefault="00D22B98"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CE929F" w14:textId="77777777" w:rsidR="00D22B98" w:rsidRDefault="00D22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32FB" w14:textId="5B526B97" w:rsidR="00D22B98" w:rsidRPr="00C7667D" w:rsidRDefault="00D22B98" w:rsidP="00610A49">
    <w:pPr>
      <w:pStyle w:val="Footer"/>
      <w:framePr w:wrap="around" w:vAnchor="text" w:hAnchor="margin" w:xAlign="center" w:y="1"/>
      <w:rPr>
        <w:rStyle w:val="PageNumber"/>
        <w:sz w:val="26"/>
      </w:rPr>
    </w:pPr>
    <w:r w:rsidRPr="00C7667D">
      <w:rPr>
        <w:rStyle w:val="PageNumber"/>
        <w:sz w:val="26"/>
      </w:rPr>
      <w:fldChar w:fldCharType="begin"/>
    </w:r>
    <w:r w:rsidRPr="00C7667D">
      <w:rPr>
        <w:rStyle w:val="PageNumber"/>
        <w:sz w:val="26"/>
      </w:rPr>
      <w:instrText xml:space="preserve">PAGE  </w:instrText>
    </w:r>
    <w:r w:rsidRPr="00C7667D">
      <w:rPr>
        <w:rStyle w:val="PageNumber"/>
        <w:sz w:val="26"/>
      </w:rPr>
      <w:fldChar w:fldCharType="separate"/>
    </w:r>
    <w:r>
      <w:rPr>
        <w:rStyle w:val="PageNumber"/>
        <w:noProof/>
        <w:sz w:val="26"/>
      </w:rPr>
      <w:t>24</w:t>
    </w:r>
    <w:r w:rsidRPr="00C7667D">
      <w:rPr>
        <w:rStyle w:val="PageNumber"/>
        <w:sz w:val="26"/>
      </w:rPr>
      <w:fldChar w:fldCharType="end"/>
    </w:r>
  </w:p>
  <w:p w14:paraId="62BBAA50" w14:textId="77777777" w:rsidR="00D22B98" w:rsidRDefault="00D22B98" w:rsidP="00C76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B4A0B" w14:textId="77777777" w:rsidR="00EB0E01" w:rsidRDefault="00EB0E01">
      <w:r>
        <w:separator/>
      </w:r>
    </w:p>
  </w:footnote>
  <w:footnote w:type="continuationSeparator" w:id="0">
    <w:p w14:paraId="16611962" w14:textId="77777777" w:rsidR="00EB0E01" w:rsidRDefault="00EB0E01">
      <w:r>
        <w:continuationSeparator/>
      </w:r>
    </w:p>
  </w:footnote>
  <w:footnote w:type="continuationNotice" w:id="1">
    <w:p w14:paraId="6C46F5DE" w14:textId="77777777" w:rsidR="00EB0E01" w:rsidRDefault="00EB0E01"/>
  </w:footnote>
  <w:footnote w:id="2">
    <w:p w14:paraId="1F9F2ED1" w14:textId="301F69D7" w:rsidR="00D22B98" w:rsidRPr="00037613" w:rsidRDefault="00D22B98" w:rsidP="009C62C5">
      <w:pPr>
        <w:pStyle w:val="FootnoteText"/>
        <w:keepNext/>
        <w:keepLines/>
        <w:spacing w:after="120"/>
        <w:ind w:firstLine="720"/>
        <w:rPr>
          <w:sz w:val="26"/>
          <w:szCs w:val="26"/>
        </w:rPr>
      </w:pPr>
      <w:r w:rsidRPr="00037613">
        <w:rPr>
          <w:rStyle w:val="FootnoteReference"/>
          <w:sz w:val="26"/>
          <w:szCs w:val="26"/>
        </w:rPr>
        <w:footnoteRef/>
      </w:r>
      <w:r w:rsidRPr="00037613">
        <w:rPr>
          <w:sz w:val="26"/>
          <w:szCs w:val="26"/>
        </w:rPr>
        <w:tab/>
        <w:t>Upon the letter request filed by PGW on August 21, 2018, the Petition was held in abeyance until the present</w:t>
      </w:r>
      <w:r w:rsidR="00490992">
        <w:rPr>
          <w:sz w:val="26"/>
          <w:szCs w:val="26"/>
        </w:rPr>
        <w:t>,</w:t>
      </w:r>
      <w:r w:rsidRPr="00037613">
        <w:rPr>
          <w:sz w:val="26"/>
          <w:szCs w:val="26"/>
        </w:rPr>
        <w:t xml:space="preserve"> pending Settlement discussions by the Parties.</w:t>
      </w:r>
    </w:p>
  </w:footnote>
  <w:footnote w:id="3">
    <w:p w14:paraId="5698A28C" w14:textId="402C3213" w:rsidR="00D22B98" w:rsidRPr="00B57A44" w:rsidRDefault="00D22B98" w:rsidP="009C62C5">
      <w:pPr>
        <w:pStyle w:val="FootnoteText"/>
        <w:keepNext/>
        <w:keepLines/>
        <w:spacing w:after="120"/>
        <w:ind w:firstLine="720"/>
        <w:rPr>
          <w:sz w:val="26"/>
          <w:szCs w:val="26"/>
        </w:rPr>
      </w:pPr>
      <w:r w:rsidRPr="00B57A44">
        <w:rPr>
          <w:rStyle w:val="FootnoteReference"/>
          <w:sz w:val="26"/>
          <w:szCs w:val="26"/>
        </w:rPr>
        <w:footnoteRef/>
      </w:r>
      <w:r>
        <w:rPr>
          <w:sz w:val="26"/>
          <w:szCs w:val="26"/>
        </w:rPr>
        <w:tab/>
        <w:t>Since the</w:t>
      </w:r>
      <w:r w:rsidRPr="00B57A44">
        <w:rPr>
          <w:sz w:val="26"/>
          <w:szCs w:val="26"/>
        </w:rPr>
        <w:t xml:space="preserve"> issues relating to PGW’s partial payment allocation practices</w:t>
      </w:r>
      <w:r>
        <w:rPr>
          <w:sz w:val="26"/>
          <w:szCs w:val="26"/>
        </w:rPr>
        <w:t xml:space="preserve"> </w:t>
      </w:r>
      <w:r w:rsidRPr="00B57A44">
        <w:rPr>
          <w:sz w:val="26"/>
          <w:szCs w:val="26"/>
        </w:rPr>
        <w:t xml:space="preserve">did not directly impact the </w:t>
      </w:r>
      <w:r>
        <w:rPr>
          <w:sz w:val="26"/>
          <w:szCs w:val="26"/>
        </w:rPr>
        <w:t xml:space="preserve">new base </w:t>
      </w:r>
      <w:r w:rsidRPr="00B57A44">
        <w:rPr>
          <w:sz w:val="26"/>
          <w:szCs w:val="26"/>
        </w:rPr>
        <w:t>rates that were to take effect</w:t>
      </w:r>
      <w:r w:rsidR="00724D74">
        <w:rPr>
          <w:sz w:val="26"/>
          <w:szCs w:val="26"/>
        </w:rPr>
        <w:t xml:space="preserve"> within the statutory time period</w:t>
      </w:r>
      <w:r w:rsidRPr="00B57A44">
        <w:rPr>
          <w:sz w:val="26"/>
          <w:szCs w:val="26"/>
        </w:rPr>
        <w:t xml:space="preserve">, </w:t>
      </w:r>
      <w:r>
        <w:rPr>
          <w:sz w:val="26"/>
          <w:szCs w:val="26"/>
        </w:rPr>
        <w:t xml:space="preserve">we noted that bifurcation </w:t>
      </w:r>
      <w:r w:rsidRPr="00B57A44">
        <w:rPr>
          <w:sz w:val="26"/>
          <w:szCs w:val="26"/>
        </w:rPr>
        <w:t>was a permitted exercise of our discretion to allow us to take additional time to reach a thorough and well-reasoned decision on the issues based on the sufficiently developed record in this proceeding.</w:t>
      </w:r>
      <w:r>
        <w:rPr>
          <w:sz w:val="26"/>
          <w:szCs w:val="26"/>
        </w:rPr>
        <w:t xml:space="preserve">  </w:t>
      </w:r>
      <w:r w:rsidRPr="00B57A44">
        <w:rPr>
          <w:i/>
          <w:sz w:val="26"/>
          <w:szCs w:val="26"/>
        </w:rPr>
        <w:t>See May 2018 Order</w:t>
      </w:r>
      <w:r>
        <w:rPr>
          <w:sz w:val="26"/>
          <w:szCs w:val="26"/>
        </w:rPr>
        <w:t xml:space="preserve"> at 17.</w:t>
      </w:r>
    </w:p>
  </w:footnote>
  <w:footnote w:id="4">
    <w:p w14:paraId="27E4F88A" w14:textId="6D0D0125" w:rsidR="00724D74" w:rsidRDefault="00724D74" w:rsidP="009C62C5">
      <w:pPr>
        <w:pStyle w:val="ListParagraph"/>
        <w:keepNext/>
        <w:keepLines/>
        <w:spacing w:after="120" w:line="240" w:lineRule="auto"/>
        <w:ind w:left="0" w:firstLine="720"/>
        <w:contextualSpacing w:val="0"/>
      </w:pPr>
      <w:r w:rsidRPr="009E3127">
        <w:rPr>
          <w:rStyle w:val="FootnoteReference"/>
          <w:rFonts w:ascii="Times New Roman" w:hAnsi="Times New Roman" w:cs="Times New Roman"/>
          <w:sz w:val="26"/>
          <w:szCs w:val="26"/>
        </w:rPr>
        <w:footnoteRef/>
      </w:r>
      <w:r w:rsidRPr="009E3127">
        <w:rPr>
          <w:rFonts w:ascii="Times New Roman" w:hAnsi="Times New Roman" w:cs="Times New Roman"/>
          <w:sz w:val="26"/>
          <w:szCs w:val="26"/>
        </w:rPr>
        <w:tab/>
        <w:t>T</w:t>
      </w:r>
      <w:r w:rsidRPr="009E3127">
        <w:rPr>
          <w:rFonts w:ascii="Times New Roman" w:hAnsi="Times New Roman" w:cs="Times New Roman"/>
          <w:color w:val="000000"/>
          <w:sz w:val="26"/>
          <w:szCs w:val="26"/>
        </w:rPr>
        <w:t>o be</w:t>
      </w:r>
      <w:r>
        <w:rPr>
          <w:rFonts w:ascii="Times New Roman" w:hAnsi="Times New Roman" w:cs="Times New Roman"/>
          <w:color w:val="000000"/>
          <w:sz w:val="26"/>
          <w:szCs w:val="26"/>
        </w:rPr>
        <w:t xml:space="preserve"> clear, </w:t>
      </w:r>
      <w:r w:rsidRPr="00C825F7">
        <w:rPr>
          <w:rFonts w:ascii="Times New Roman" w:hAnsi="Times New Roman" w:cs="Times New Roman"/>
          <w:color w:val="000000"/>
          <w:sz w:val="26"/>
          <w:szCs w:val="26"/>
        </w:rPr>
        <w:t xml:space="preserve">in the </w:t>
      </w:r>
      <w:r w:rsidRPr="00C825F7">
        <w:rPr>
          <w:rFonts w:ascii="Times New Roman" w:hAnsi="Times New Roman" w:cs="Times New Roman"/>
          <w:i/>
          <w:color w:val="000000"/>
          <w:sz w:val="26"/>
          <w:szCs w:val="26"/>
        </w:rPr>
        <w:t xml:space="preserve">May </w:t>
      </w:r>
      <w:r>
        <w:rPr>
          <w:rFonts w:ascii="Times New Roman" w:hAnsi="Times New Roman" w:cs="Times New Roman"/>
          <w:i/>
          <w:color w:val="000000"/>
          <w:sz w:val="26"/>
          <w:szCs w:val="26"/>
        </w:rPr>
        <w:t>20</w:t>
      </w:r>
      <w:r w:rsidRPr="00C825F7">
        <w:rPr>
          <w:rFonts w:ascii="Times New Roman" w:hAnsi="Times New Roman" w:cs="Times New Roman"/>
          <w:i/>
          <w:color w:val="000000"/>
          <w:sz w:val="26"/>
          <w:szCs w:val="26"/>
        </w:rPr>
        <w:t>18 Order</w:t>
      </w:r>
      <w:r>
        <w:rPr>
          <w:rFonts w:ascii="Times New Roman" w:hAnsi="Times New Roman" w:cs="Times New Roman"/>
          <w:color w:val="000000"/>
          <w:sz w:val="26"/>
          <w:szCs w:val="26"/>
        </w:rPr>
        <w:t xml:space="preserve"> we did not </w:t>
      </w:r>
      <w:r w:rsidRPr="00C825F7">
        <w:rPr>
          <w:rFonts w:ascii="Times New Roman" w:hAnsi="Times New Roman" w:cs="Times New Roman"/>
          <w:color w:val="000000"/>
          <w:sz w:val="26"/>
          <w:szCs w:val="26"/>
        </w:rPr>
        <w:t xml:space="preserve">direct PGW to </w:t>
      </w:r>
      <w:r>
        <w:rPr>
          <w:rFonts w:ascii="Times New Roman" w:hAnsi="Times New Roman" w:cs="Times New Roman"/>
          <w:color w:val="000000"/>
          <w:sz w:val="26"/>
          <w:szCs w:val="26"/>
        </w:rPr>
        <w:t>develop, implement and test</w:t>
      </w:r>
      <w:r w:rsidRPr="00C825F7">
        <w:rPr>
          <w:rFonts w:ascii="Times New Roman" w:hAnsi="Times New Roman" w:cs="Times New Roman"/>
          <w:color w:val="000000"/>
          <w:sz w:val="26"/>
          <w:szCs w:val="26"/>
        </w:rPr>
        <w:t xml:space="preserve"> wide-scale modifications to its billing system </w:t>
      </w:r>
      <w:r>
        <w:rPr>
          <w:rFonts w:ascii="Times New Roman" w:hAnsi="Times New Roman" w:cs="Times New Roman"/>
          <w:color w:val="000000"/>
          <w:sz w:val="26"/>
          <w:szCs w:val="26"/>
        </w:rPr>
        <w:t xml:space="preserve">in order </w:t>
      </w:r>
      <w:r w:rsidRPr="00C825F7">
        <w:rPr>
          <w:rFonts w:ascii="Times New Roman" w:hAnsi="Times New Roman" w:cs="Times New Roman"/>
          <w:sz w:val="26"/>
          <w:szCs w:val="26"/>
        </w:rPr>
        <w:t>achieve compliance</w:t>
      </w:r>
      <w:r>
        <w:rPr>
          <w:rFonts w:ascii="Times New Roman" w:hAnsi="Times New Roman" w:cs="Times New Roman"/>
          <w:sz w:val="26"/>
          <w:szCs w:val="26"/>
        </w:rPr>
        <w:t xml:space="preserve"> with our Regulations</w:t>
      </w:r>
      <w:r w:rsidRPr="00C825F7">
        <w:rPr>
          <w:rFonts w:ascii="Times New Roman" w:hAnsi="Times New Roman" w:cs="Times New Roman"/>
          <w:sz w:val="26"/>
          <w:szCs w:val="26"/>
        </w:rPr>
        <w:t xml:space="preserve">.  </w:t>
      </w:r>
      <w:r>
        <w:rPr>
          <w:rFonts w:ascii="Times New Roman" w:hAnsi="Times New Roman" w:cs="Times New Roman"/>
          <w:sz w:val="26"/>
          <w:szCs w:val="26"/>
        </w:rPr>
        <w:t>While we</w:t>
      </w:r>
      <w:r>
        <w:rPr>
          <w:rFonts w:ascii="Times New Roman" w:hAnsi="Times New Roman" w:cs="Times New Roman"/>
          <w:color w:val="000000"/>
          <w:sz w:val="26"/>
          <w:szCs w:val="26"/>
        </w:rPr>
        <w:t xml:space="preserve"> acknowledge herein that the record evidence demonstrates that such steps were identified by PGW as being necessary for it to achieve compliance with existing Regulations, we did not direct these steps in the </w:t>
      </w:r>
      <w:r w:rsidRPr="005131BE">
        <w:rPr>
          <w:rFonts w:ascii="Times New Roman" w:hAnsi="Times New Roman" w:cs="Times New Roman"/>
          <w:i/>
          <w:color w:val="000000"/>
          <w:sz w:val="26"/>
          <w:szCs w:val="26"/>
        </w:rPr>
        <w:t>May 2018 Order</w:t>
      </w:r>
      <w:r>
        <w:rPr>
          <w:rFonts w:ascii="Times New Roman" w:hAnsi="Times New Roman" w:cs="Times New Roman"/>
          <w:color w:val="000000"/>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8CB1" w14:textId="77777777" w:rsidR="00076C13" w:rsidRDefault="00076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7454"/>
    <w:multiLevelType w:val="hybridMultilevel"/>
    <w:tmpl w:val="1288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A4CAA"/>
    <w:multiLevelType w:val="hybridMultilevel"/>
    <w:tmpl w:val="E736A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23F2337"/>
    <w:multiLevelType w:val="hybridMultilevel"/>
    <w:tmpl w:val="7EA635BE"/>
    <w:lvl w:ilvl="0" w:tplc="F2E84D5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9F76D1"/>
    <w:multiLevelType w:val="hybridMultilevel"/>
    <w:tmpl w:val="3ADEC7BA"/>
    <w:lvl w:ilvl="0" w:tplc="90CA126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8453BA"/>
    <w:multiLevelType w:val="hybridMultilevel"/>
    <w:tmpl w:val="901625E8"/>
    <w:lvl w:ilvl="0" w:tplc="56B24A28">
      <w:start w:val="1"/>
      <w:numFmt w:val="lowerLetter"/>
      <w:lvlText w:val="(%1)"/>
      <w:lvlJc w:val="left"/>
      <w:pPr>
        <w:ind w:left="2160" w:hanging="660"/>
      </w:pPr>
      <w:rPr>
        <w:rFonts w:hint="default"/>
      </w:rPr>
    </w:lvl>
    <w:lvl w:ilvl="1" w:tplc="04090019">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15:restartNumberingAfterBreak="0">
    <w:nsid w:val="33434F23"/>
    <w:multiLevelType w:val="hybridMultilevel"/>
    <w:tmpl w:val="5E8EF3FA"/>
    <w:lvl w:ilvl="0" w:tplc="56B24A28">
      <w:start w:val="1"/>
      <w:numFmt w:val="lowerLetter"/>
      <w:lvlText w:val="(%1)"/>
      <w:lvlJc w:val="left"/>
      <w:pPr>
        <w:ind w:left="2160" w:hanging="660"/>
      </w:pPr>
      <w:rPr>
        <w:rFonts w:hint="default"/>
      </w:rPr>
    </w:lvl>
    <w:lvl w:ilvl="1" w:tplc="04090019">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15:restartNumberingAfterBreak="0">
    <w:nsid w:val="55F00F91"/>
    <w:multiLevelType w:val="hybridMultilevel"/>
    <w:tmpl w:val="6A0E30B4"/>
    <w:lvl w:ilvl="0" w:tplc="63B0D5B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7" w15:restartNumberingAfterBreak="0">
    <w:nsid w:val="67A44DE7"/>
    <w:multiLevelType w:val="hybridMultilevel"/>
    <w:tmpl w:val="555E4BEC"/>
    <w:lvl w:ilvl="0" w:tplc="C0C83164">
      <w:start w:val="1"/>
      <w:numFmt w:val="upperRoman"/>
      <w:lvlText w:val="%1."/>
      <w:lvlJc w:val="left"/>
      <w:pPr>
        <w:ind w:left="1080" w:hanging="720"/>
      </w:pPr>
      <w:rPr>
        <w:rFonts w:hint="default"/>
        <w:i w:val="0"/>
      </w:rPr>
    </w:lvl>
    <w:lvl w:ilvl="1" w:tplc="9870A456">
      <w:start w:val="1"/>
      <w:numFmt w:val="upperLetter"/>
      <w:lvlText w:val="%2."/>
      <w:lvlJc w:val="left"/>
      <w:pPr>
        <w:ind w:left="720" w:hanging="360"/>
      </w:pPr>
      <w:rPr>
        <w:i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8B2E30"/>
    <w:multiLevelType w:val="hybridMultilevel"/>
    <w:tmpl w:val="2FFC55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7ECF13E6"/>
    <w:multiLevelType w:val="hybridMultilevel"/>
    <w:tmpl w:val="0C903E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7F106715"/>
    <w:multiLevelType w:val="hybridMultilevel"/>
    <w:tmpl w:val="3FA06692"/>
    <w:lvl w:ilvl="0" w:tplc="BCCA3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9"/>
  </w:num>
  <w:num w:numId="5">
    <w:abstractNumId w:val="8"/>
  </w:num>
  <w:num w:numId="6">
    <w:abstractNumId w:val="0"/>
  </w:num>
  <w:num w:numId="7">
    <w:abstractNumId w:val="7"/>
  </w:num>
  <w:num w:numId="8">
    <w:abstractNumId w:val="2"/>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90"/>
    <w:rsid w:val="00000173"/>
    <w:rsid w:val="00000B1A"/>
    <w:rsid w:val="00002348"/>
    <w:rsid w:val="00002CE4"/>
    <w:rsid w:val="00002F2A"/>
    <w:rsid w:val="00002F49"/>
    <w:rsid w:val="00003731"/>
    <w:rsid w:val="000038D3"/>
    <w:rsid w:val="0000415E"/>
    <w:rsid w:val="00004C82"/>
    <w:rsid w:val="00005EE1"/>
    <w:rsid w:val="00005F78"/>
    <w:rsid w:val="000071FD"/>
    <w:rsid w:val="00007440"/>
    <w:rsid w:val="000074DC"/>
    <w:rsid w:val="00007555"/>
    <w:rsid w:val="00007597"/>
    <w:rsid w:val="00007888"/>
    <w:rsid w:val="0001099D"/>
    <w:rsid w:val="00012785"/>
    <w:rsid w:val="00012D0C"/>
    <w:rsid w:val="000138C9"/>
    <w:rsid w:val="00013FDE"/>
    <w:rsid w:val="00014492"/>
    <w:rsid w:val="000158F2"/>
    <w:rsid w:val="00015A01"/>
    <w:rsid w:val="00020552"/>
    <w:rsid w:val="00020E43"/>
    <w:rsid w:val="00021A47"/>
    <w:rsid w:val="00022D45"/>
    <w:rsid w:val="00023536"/>
    <w:rsid w:val="0002355F"/>
    <w:rsid w:val="00025EF1"/>
    <w:rsid w:val="00027F27"/>
    <w:rsid w:val="000310BE"/>
    <w:rsid w:val="00031FAD"/>
    <w:rsid w:val="000323A8"/>
    <w:rsid w:val="00033C9A"/>
    <w:rsid w:val="00034CD7"/>
    <w:rsid w:val="00036461"/>
    <w:rsid w:val="00036927"/>
    <w:rsid w:val="000369A9"/>
    <w:rsid w:val="00037613"/>
    <w:rsid w:val="000438A2"/>
    <w:rsid w:val="0004435B"/>
    <w:rsid w:val="00045637"/>
    <w:rsid w:val="00045A7A"/>
    <w:rsid w:val="000505E5"/>
    <w:rsid w:val="00051647"/>
    <w:rsid w:val="00052E9B"/>
    <w:rsid w:val="0005305F"/>
    <w:rsid w:val="00053CED"/>
    <w:rsid w:val="000549A7"/>
    <w:rsid w:val="0005628A"/>
    <w:rsid w:val="00056968"/>
    <w:rsid w:val="00057057"/>
    <w:rsid w:val="00057859"/>
    <w:rsid w:val="000606AA"/>
    <w:rsid w:val="000610F9"/>
    <w:rsid w:val="00061850"/>
    <w:rsid w:val="000629CD"/>
    <w:rsid w:val="00063028"/>
    <w:rsid w:val="0006437D"/>
    <w:rsid w:val="00065DB6"/>
    <w:rsid w:val="00066D04"/>
    <w:rsid w:val="00067196"/>
    <w:rsid w:val="000673D1"/>
    <w:rsid w:val="00067A0D"/>
    <w:rsid w:val="00071064"/>
    <w:rsid w:val="00071A8A"/>
    <w:rsid w:val="00073870"/>
    <w:rsid w:val="00075210"/>
    <w:rsid w:val="00075F0C"/>
    <w:rsid w:val="00076149"/>
    <w:rsid w:val="00076B5E"/>
    <w:rsid w:val="00076C13"/>
    <w:rsid w:val="00077D1D"/>
    <w:rsid w:val="00080CCC"/>
    <w:rsid w:val="0008328F"/>
    <w:rsid w:val="00084DB9"/>
    <w:rsid w:val="000862CB"/>
    <w:rsid w:val="00086D0B"/>
    <w:rsid w:val="000877F1"/>
    <w:rsid w:val="00087D18"/>
    <w:rsid w:val="0009007E"/>
    <w:rsid w:val="00090AF0"/>
    <w:rsid w:val="00091989"/>
    <w:rsid w:val="0009269E"/>
    <w:rsid w:val="00092ABD"/>
    <w:rsid w:val="00092BF2"/>
    <w:rsid w:val="000940CD"/>
    <w:rsid w:val="0009466E"/>
    <w:rsid w:val="0009476C"/>
    <w:rsid w:val="00094F3D"/>
    <w:rsid w:val="00096F18"/>
    <w:rsid w:val="0009781B"/>
    <w:rsid w:val="000A0AFD"/>
    <w:rsid w:val="000A0D32"/>
    <w:rsid w:val="000A135D"/>
    <w:rsid w:val="000A1B73"/>
    <w:rsid w:val="000A1EF2"/>
    <w:rsid w:val="000A35F4"/>
    <w:rsid w:val="000A4770"/>
    <w:rsid w:val="000A748C"/>
    <w:rsid w:val="000A7DDC"/>
    <w:rsid w:val="000A7F96"/>
    <w:rsid w:val="000B2B80"/>
    <w:rsid w:val="000B465F"/>
    <w:rsid w:val="000B729D"/>
    <w:rsid w:val="000C0702"/>
    <w:rsid w:val="000C3A8D"/>
    <w:rsid w:val="000C5E81"/>
    <w:rsid w:val="000C70D1"/>
    <w:rsid w:val="000C742F"/>
    <w:rsid w:val="000D03DD"/>
    <w:rsid w:val="000D0572"/>
    <w:rsid w:val="000D2456"/>
    <w:rsid w:val="000D2A03"/>
    <w:rsid w:val="000D57B7"/>
    <w:rsid w:val="000D63CC"/>
    <w:rsid w:val="000D7243"/>
    <w:rsid w:val="000D7483"/>
    <w:rsid w:val="000E0A33"/>
    <w:rsid w:val="000E3622"/>
    <w:rsid w:val="000E3D4C"/>
    <w:rsid w:val="000E4BED"/>
    <w:rsid w:val="000E515B"/>
    <w:rsid w:val="000E570C"/>
    <w:rsid w:val="000E5BCD"/>
    <w:rsid w:val="000F1318"/>
    <w:rsid w:val="000F22DA"/>
    <w:rsid w:val="000F2540"/>
    <w:rsid w:val="000F35E6"/>
    <w:rsid w:val="000F3795"/>
    <w:rsid w:val="000F3896"/>
    <w:rsid w:val="000F4467"/>
    <w:rsid w:val="000F4A82"/>
    <w:rsid w:val="000F4F95"/>
    <w:rsid w:val="000F5F2A"/>
    <w:rsid w:val="000F6D5A"/>
    <w:rsid w:val="0010013C"/>
    <w:rsid w:val="001006F0"/>
    <w:rsid w:val="00100BA6"/>
    <w:rsid w:val="00101745"/>
    <w:rsid w:val="00102D03"/>
    <w:rsid w:val="00105084"/>
    <w:rsid w:val="00105193"/>
    <w:rsid w:val="00106537"/>
    <w:rsid w:val="00106BE0"/>
    <w:rsid w:val="00111A44"/>
    <w:rsid w:val="0011423D"/>
    <w:rsid w:val="00114D80"/>
    <w:rsid w:val="0011587A"/>
    <w:rsid w:val="001170DB"/>
    <w:rsid w:val="00120983"/>
    <w:rsid w:val="00120FCD"/>
    <w:rsid w:val="00121111"/>
    <w:rsid w:val="00122941"/>
    <w:rsid w:val="00123375"/>
    <w:rsid w:val="00123802"/>
    <w:rsid w:val="0012456C"/>
    <w:rsid w:val="001260A0"/>
    <w:rsid w:val="0012697D"/>
    <w:rsid w:val="00131273"/>
    <w:rsid w:val="00131517"/>
    <w:rsid w:val="00131A77"/>
    <w:rsid w:val="00131B43"/>
    <w:rsid w:val="00132C3A"/>
    <w:rsid w:val="00132DE3"/>
    <w:rsid w:val="00133684"/>
    <w:rsid w:val="00134C35"/>
    <w:rsid w:val="00134D3A"/>
    <w:rsid w:val="00137174"/>
    <w:rsid w:val="00140272"/>
    <w:rsid w:val="00141760"/>
    <w:rsid w:val="001437B9"/>
    <w:rsid w:val="00150989"/>
    <w:rsid w:val="00151166"/>
    <w:rsid w:val="001523C4"/>
    <w:rsid w:val="00153234"/>
    <w:rsid w:val="00153B73"/>
    <w:rsid w:val="0015538B"/>
    <w:rsid w:val="0015662E"/>
    <w:rsid w:val="0015669F"/>
    <w:rsid w:val="00156BE1"/>
    <w:rsid w:val="0015798E"/>
    <w:rsid w:val="00157A84"/>
    <w:rsid w:val="0016005F"/>
    <w:rsid w:val="00160565"/>
    <w:rsid w:val="001606BC"/>
    <w:rsid w:val="00160B7C"/>
    <w:rsid w:val="00160CE9"/>
    <w:rsid w:val="001620E4"/>
    <w:rsid w:val="00162420"/>
    <w:rsid w:val="00163AA3"/>
    <w:rsid w:val="001654C1"/>
    <w:rsid w:val="00165945"/>
    <w:rsid w:val="00167BBD"/>
    <w:rsid w:val="00167F11"/>
    <w:rsid w:val="00171DC5"/>
    <w:rsid w:val="00172C4A"/>
    <w:rsid w:val="001730AD"/>
    <w:rsid w:val="001738D5"/>
    <w:rsid w:val="00175393"/>
    <w:rsid w:val="00175B2F"/>
    <w:rsid w:val="00177A43"/>
    <w:rsid w:val="00177BA7"/>
    <w:rsid w:val="00177D1E"/>
    <w:rsid w:val="001807DF"/>
    <w:rsid w:val="001827DB"/>
    <w:rsid w:val="00184212"/>
    <w:rsid w:val="00184513"/>
    <w:rsid w:val="00185B5E"/>
    <w:rsid w:val="00186183"/>
    <w:rsid w:val="00186887"/>
    <w:rsid w:val="00192EBC"/>
    <w:rsid w:val="001932DE"/>
    <w:rsid w:val="00193D64"/>
    <w:rsid w:val="00196484"/>
    <w:rsid w:val="001967BB"/>
    <w:rsid w:val="00196BDC"/>
    <w:rsid w:val="00197F3D"/>
    <w:rsid w:val="001A29C7"/>
    <w:rsid w:val="001A3959"/>
    <w:rsid w:val="001A4A0C"/>
    <w:rsid w:val="001A53C8"/>
    <w:rsid w:val="001A6370"/>
    <w:rsid w:val="001A70D0"/>
    <w:rsid w:val="001B1A49"/>
    <w:rsid w:val="001B4783"/>
    <w:rsid w:val="001B48DC"/>
    <w:rsid w:val="001B54B3"/>
    <w:rsid w:val="001B694C"/>
    <w:rsid w:val="001B6B53"/>
    <w:rsid w:val="001B7E44"/>
    <w:rsid w:val="001C167C"/>
    <w:rsid w:val="001C3135"/>
    <w:rsid w:val="001C53B1"/>
    <w:rsid w:val="001C730F"/>
    <w:rsid w:val="001C75D6"/>
    <w:rsid w:val="001C76BB"/>
    <w:rsid w:val="001C7C12"/>
    <w:rsid w:val="001D0126"/>
    <w:rsid w:val="001D11B8"/>
    <w:rsid w:val="001D1B07"/>
    <w:rsid w:val="001D1BE2"/>
    <w:rsid w:val="001D266F"/>
    <w:rsid w:val="001D2BAD"/>
    <w:rsid w:val="001D5436"/>
    <w:rsid w:val="001D7EBD"/>
    <w:rsid w:val="001E05C6"/>
    <w:rsid w:val="001E2658"/>
    <w:rsid w:val="001E2CA6"/>
    <w:rsid w:val="001E2CFB"/>
    <w:rsid w:val="001E342B"/>
    <w:rsid w:val="001E47A6"/>
    <w:rsid w:val="001E4C1C"/>
    <w:rsid w:val="001E51E9"/>
    <w:rsid w:val="001E5417"/>
    <w:rsid w:val="001E5511"/>
    <w:rsid w:val="001E5B4F"/>
    <w:rsid w:val="001E6066"/>
    <w:rsid w:val="001E73AB"/>
    <w:rsid w:val="001F0488"/>
    <w:rsid w:val="001F2321"/>
    <w:rsid w:val="001F268B"/>
    <w:rsid w:val="001F2BD2"/>
    <w:rsid w:val="001F4060"/>
    <w:rsid w:val="001F53BD"/>
    <w:rsid w:val="001F55D5"/>
    <w:rsid w:val="001F6EA1"/>
    <w:rsid w:val="001F794B"/>
    <w:rsid w:val="001F7B55"/>
    <w:rsid w:val="002013B2"/>
    <w:rsid w:val="00201CF3"/>
    <w:rsid w:val="00201F63"/>
    <w:rsid w:val="00205839"/>
    <w:rsid w:val="00206720"/>
    <w:rsid w:val="00206C74"/>
    <w:rsid w:val="00210B26"/>
    <w:rsid w:val="00211405"/>
    <w:rsid w:val="00211442"/>
    <w:rsid w:val="00211624"/>
    <w:rsid w:val="00211B98"/>
    <w:rsid w:val="00213024"/>
    <w:rsid w:val="00213B95"/>
    <w:rsid w:val="00214830"/>
    <w:rsid w:val="002158D0"/>
    <w:rsid w:val="0021645F"/>
    <w:rsid w:val="00217333"/>
    <w:rsid w:val="00217C4E"/>
    <w:rsid w:val="00217E3D"/>
    <w:rsid w:val="00217E91"/>
    <w:rsid w:val="00220CE0"/>
    <w:rsid w:val="00221C10"/>
    <w:rsid w:val="002234B5"/>
    <w:rsid w:val="002235CE"/>
    <w:rsid w:val="002242F7"/>
    <w:rsid w:val="00224B35"/>
    <w:rsid w:val="00225B81"/>
    <w:rsid w:val="00225BD2"/>
    <w:rsid w:val="0022734C"/>
    <w:rsid w:val="00230396"/>
    <w:rsid w:val="00230BAB"/>
    <w:rsid w:val="00233309"/>
    <w:rsid w:val="0023349D"/>
    <w:rsid w:val="00233E2F"/>
    <w:rsid w:val="0023535F"/>
    <w:rsid w:val="00237CB3"/>
    <w:rsid w:val="00241A25"/>
    <w:rsid w:val="00241B87"/>
    <w:rsid w:val="0024617A"/>
    <w:rsid w:val="00247BB1"/>
    <w:rsid w:val="00252D9D"/>
    <w:rsid w:val="00252E14"/>
    <w:rsid w:val="00253F56"/>
    <w:rsid w:val="00253FD2"/>
    <w:rsid w:val="00255A6D"/>
    <w:rsid w:val="002560E9"/>
    <w:rsid w:val="0025691E"/>
    <w:rsid w:val="00256A4C"/>
    <w:rsid w:val="00260041"/>
    <w:rsid w:val="00260316"/>
    <w:rsid w:val="00260547"/>
    <w:rsid w:val="00260A97"/>
    <w:rsid w:val="0026191C"/>
    <w:rsid w:val="00263EDB"/>
    <w:rsid w:val="00264ABB"/>
    <w:rsid w:val="00264FEB"/>
    <w:rsid w:val="00266735"/>
    <w:rsid w:val="00266827"/>
    <w:rsid w:val="002706E5"/>
    <w:rsid w:val="00270A71"/>
    <w:rsid w:val="00271CE3"/>
    <w:rsid w:val="00274284"/>
    <w:rsid w:val="00274861"/>
    <w:rsid w:val="00274AE0"/>
    <w:rsid w:val="00275124"/>
    <w:rsid w:val="002751AE"/>
    <w:rsid w:val="002753CE"/>
    <w:rsid w:val="002755DE"/>
    <w:rsid w:val="00277004"/>
    <w:rsid w:val="00281642"/>
    <w:rsid w:val="00281D3B"/>
    <w:rsid w:val="00282D52"/>
    <w:rsid w:val="002836FA"/>
    <w:rsid w:val="002838E3"/>
    <w:rsid w:val="00285550"/>
    <w:rsid w:val="00285919"/>
    <w:rsid w:val="0028615A"/>
    <w:rsid w:val="00286F7C"/>
    <w:rsid w:val="00287BE6"/>
    <w:rsid w:val="0029085A"/>
    <w:rsid w:val="002931D9"/>
    <w:rsid w:val="00294CD5"/>
    <w:rsid w:val="002958B5"/>
    <w:rsid w:val="00295962"/>
    <w:rsid w:val="002959EC"/>
    <w:rsid w:val="00296481"/>
    <w:rsid w:val="00296612"/>
    <w:rsid w:val="00296E96"/>
    <w:rsid w:val="00297C2E"/>
    <w:rsid w:val="002A1506"/>
    <w:rsid w:val="002A1C25"/>
    <w:rsid w:val="002A1E1B"/>
    <w:rsid w:val="002A2A68"/>
    <w:rsid w:val="002A3A6E"/>
    <w:rsid w:val="002A3AC8"/>
    <w:rsid w:val="002A4B76"/>
    <w:rsid w:val="002A53EA"/>
    <w:rsid w:val="002A5B9B"/>
    <w:rsid w:val="002A63DE"/>
    <w:rsid w:val="002A6C1F"/>
    <w:rsid w:val="002A6F9C"/>
    <w:rsid w:val="002A71F9"/>
    <w:rsid w:val="002A740E"/>
    <w:rsid w:val="002B2EC8"/>
    <w:rsid w:val="002B3767"/>
    <w:rsid w:val="002B3979"/>
    <w:rsid w:val="002B4B0D"/>
    <w:rsid w:val="002B574E"/>
    <w:rsid w:val="002B7644"/>
    <w:rsid w:val="002C0012"/>
    <w:rsid w:val="002C011D"/>
    <w:rsid w:val="002C19D9"/>
    <w:rsid w:val="002C203B"/>
    <w:rsid w:val="002C34A6"/>
    <w:rsid w:val="002C4BF6"/>
    <w:rsid w:val="002C5EE0"/>
    <w:rsid w:val="002C62FC"/>
    <w:rsid w:val="002C6BD7"/>
    <w:rsid w:val="002C6E17"/>
    <w:rsid w:val="002C73A4"/>
    <w:rsid w:val="002D0B8E"/>
    <w:rsid w:val="002D1465"/>
    <w:rsid w:val="002D1892"/>
    <w:rsid w:val="002D1BEE"/>
    <w:rsid w:val="002D23F8"/>
    <w:rsid w:val="002D2D30"/>
    <w:rsid w:val="002D43F8"/>
    <w:rsid w:val="002D504A"/>
    <w:rsid w:val="002D5A50"/>
    <w:rsid w:val="002D5C5B"/>
    <w:rsid w:val="002D61D8"/>
    <w:rsid w:val="002D6210"/>
    <w:rsid w:val="002D650D"/>
    <w:rsid w:val="002E035D"/>
    <w:rsid w:val="002E0503"/>
    <w:rsid w:val="002E1177"/>
    <w:rsid w:val="002E124D"/>
    <w:rsid w:val="002E16FC"/>
    <w:rsid w:val="002E5790"/>
    <w:rsid w:val="002E6E40"/>
    <w:rsid w:val="002E6EE9"/>
    <w:rsid w:val="002F0636"/>
    <w:rsid w:val="002F0ADE"/>
    <w:rsid w:val="002F0CED"/>
    <w:rsid w:val="002F1870"/>
    <w:rsid w:val="002F2CEF"/>
    <w:rsid w:val="002F5424"/>
    <w:rsid w:val="002F5D1D"/>
    <w:rsid w:val="002F714D"/>
    <w:rsid w:val="0030065B"/>
    <w:rsid w:val="00301039"/>
    <w:rsid w:val="00301857"/>
    <w:rsid w:val="00302000"/>
    <w:rsid w:val="00303C9B"/>
    <w:rsid w:val="00304ABF"/>
    <w:rsid w:val="00304E14"/>
    <w:rsid w:val="0030541E"/>
    <w:rsid w:val="00305769"/>
    <w:rsid w:val="0030758B"/>
    <w:rsid w:val="0031153E"/>
    <w:rsid w:val="00312E08"/>
    <w:rsid w:val="00313959"/>
    <w:rsid w:val="003139CA"/>
    <w:rsid w:val="003143DF"/>
    <w:rsid w:val="003158CE"/>
    <w:rsid w:val="00316BFA"/>
    <w:rsid w:val="003170ED"/>
    <w:rsid w:val="003177A0"/>
    <w:rsid w:val="003211A5"/>
    <w:rsid w:val="003218DD"/>
    <w:rsid w:val="00322A65"/>
    <w:rsid w:val="0032453A"/>
    <w:rsid w:val="00324FDF"/>
    <w:rsid w:val="003255BF"/>
    <w:rsid w:val="00326A17"/>
    <w:rsid w:val="0032765D"/>
    <w:rsid w:val="003336F9"/>
    <w:rsid w:val="003341B2"/>
    <w:rsid w:val="00335E61"/>
    <w:rsid w:val="00337DFD"/>
    <w:rsid w:val="00340C45"/>
    <w:rsid w:val="003413EB"/>
    <w:rsid w:val="00343BD1"/>
    <w:rsid w:val="00345135"/>
    <w:rsid w:val="00350145"/>
    <w:rsid w:val="003502AA"/>
    <w:rsid w:val="003510ED"/>
    <w:rsid w:val="0035208E"/>
    <w:rsid w:val="00353BD2"/>
    <w:rsid w:val="00353E07"/>
    <w:rsid w:val="003550FF"/>
    <w:rsid w:val="003551C4"/>
    <w:rsid w:val="003564D8"/>
    <w:rsid w:val="0036013A"/>
    <w:rsid w:val="00360A8C"/>
    <w:rsid w:val="00360D84"/>
    <w:rsid w:val="0036428E"/>
    <w:rsid w:val="00364C2A"/>
    <w:rsid w:val="00365293"/>
    <w:rsid w:val="00366601"/>
    <w:rsid w:val="003669C8"/>
    <w:rsid w:val="00366C7B"/>
    <w:rsid w:val="00367C68"/>
    <w:rsid w:val="003704B1"/>
    <w:rsid w:val="003708CD"/>
    <w:rsid w:val="00373F74"/>
    <w:rsid w:val="003742CF"/>
    <w:rsid w:val="00374344"/>
    <w:rsid w:val="003749FB"/>
    <w:rsid w:val="00375080"/>
    <w:rsid w:val="0037692B"/>
    <w:rsid w:val="003806A7"/>
    <w:rsid w:val="00380889"/>
    <w:rsid w:val="0038121C"/>
    <w:rsid w:val="003813B6"/>
    <w:rsid w:val="00381949"/>
    <w:rsid w:val="00381C7A"/>
    <w:rsid w:val="00382A4B"/>
    <w:rsid w:val="00383539"/>
    <w:rsid w:val="00384D26"/>
    <w:rsid w:val="00385595"/>
    <w:rsid w:val="00390901"/>
    <w:rsid w:val="00390FB3"/>
    <w:rsid w:val="00391C4A"/>
    <w:rsid w:val="00394901"/>
    <w:rsid w:val="00395454"/>
    <w:rsid w:val="00396E0C"/>
    <w:rsid w:val="00397A8B"/>
    <w:rsid w:val="00397DE1"/>
    <w:rsid w:val="003A0289"/>
    <w:rsid w:val="003A05A4"/>
    <w:rsid w:val="003A1A53"/>
    <w:rsid w:val="003A1BF7"/>
    <w:rsid w:val="003A287F"/>
    <w:rsid w:val="003A3278"/>
    <w:rsid w:val="003A3888"/>
    <w:rsid w:val="003A4F76"/>
    <w:rsid w:val="003A50AE"/>
    <w:rsid w:val="003A5385"/>
    <w:rsid w:val="003A79A7"/>
    <w:rsid w:val="003A7F57"/>
    <w:rsid w:val="003B1460"/>
    <w:rsid w:val="003B1EFB"/>
    <w:rsid w:val="003B3893"/>
    <w:rsid w:val="003B3CEA"/>
    <w:rsid w:val="003B5170"/>
    <w:rsid w:val="003B55BA"/>
    <w:rsid w:val="003B561F"/>
    <w:rsid w:val="003B6A0D"/>
    <w:rsid w:val="003B6F63"/>
    <w:rsid w:val="003C0075"/>
    <w:rsid w:val="003C042A"/>
    <w:rsid w:val="003C0DCF"/>
    <w:rsid w:val="003C0F72"/>
    <w:rsid w:val="003C135E"/>
    <w:rsid w:val="003C4355"/>
    <w:rsid w:val="003C4E00"/>
    <w:rsid w:val="003C5B59"/>
    <w:rsid w:val="003C5CBD"/>
    <w:rsid w:val="003C61AD"/>
    <w:rsid w:val="003D1299"/>
    <w:rsid w:val="003D234C"/>
    <w:rsid w:val="003D4436"/>
    <w:rsid w:val="003D4638"/>
    <w:rsid w:val="003D4FE2"/>
    <w:rsid w:val="003D509A"/>
    <w:rsid w:val="003D59EA"/>
    <w:rsid w:val="003D7A8D"/>
    <w:rsid w:val="003E019B"/>
    <w:rsid w:val="003E22CB"/>
    <w:rsid w:val="003E3836"/>
    <w:rsid w:val="003E6544"/>
    <w:rsid w:val="003E6F37"/>
    <w:rsid w:val="003E771C"/>
    <w:rsid w:val="003E784C"/>
    <w:rsid w:val="003F07AF"/>
    <w:rsid w:val="003F08B3"/>
    <w:rsid w:val="003F1D77"/>
    <w:rsid w:val="003F27D1"/>
    <w:rsid w:val="003F287E"/>
    <w:rsid w:val="003F57EC"/>
    <w:rsid w:val="003F5B4C"/>
    <w:rsid w:val="003F6494"/>
    <w:rsid w:val="003F7000"/>
    <w:rsid w:val="00400A85"/>
    <w:rsid w:val="004023F4"/>
    <w:rsid w:val="00402479"/>
    <w:rsid w:val="00403E6A"/>
    <w:rsid w:val="00404D47"/>
    <w:rsid w:val="004055C4"/>
    <w:rsid w:val="00406562"/>
    <w:rsid w:val="00407F42"/>
    <w:rsid w:val="0041052A"/>
    <w:rsid w:val="0041088E"/>
    <w:rsid w:val="004113DE"/>
    <w:rsid w:val="00411CC6"/>
    <w:rsid w:val="00412DCF"/>
    <w:rsid w:val="004144EE"/>
    <w:rsid w:val="004146BE"/>
    <w:rsid w:val="00414852"/>
    <w:rsid w:val="00414855"/>
    <w:rsid w:val="00415282"/>
    <w:rsid w:val="00415460"/>
    <w:rsid w:val="00415483"/>
    <w:rsid w:val="004170E4"/>
    <w:rsid w:val="00417166"/>
    <w:rsid w:val="00417526"/>
    <w:rsid w:val="00420B2F"/>
    <w:rsid w:val="004214D7"/>
    <w:rsid w:val="004217F6"/>
    <w:rsid w:val="00421BAB"/>
    <w:rsid w:val="0042446A"/>
    <w:rsid w:val="00426B65"/>
    <w:rsid w:val="00433069"/>
    <w:rsid w:val="00433414"/>
    <w:rsid w:val="004337A1"/>
    <w:rsid w:val="00434118"/>
    <w:rsid w:val="00435A06"/>
    <w:rsid w:val="00437F57"/>
    <w:rsid w:val="0044093E"/>
    <w:rsid w:val="00442A6D"/>
    <w:rsid w:val="00442CCD"/>
    <w:rsid w:val="00446BF2"/>
    <w:rsid w:val="0044738E"/>
    <w:rsid w:val="00450B3B"/>
    <w:rsid w:val="00450DD5"/>
    <w:rsid w:val="00450E86"/>
    <w:rsid w:val="0045283E"/>
    <w:rsid w:val="0045374A"/>
    <w:rsid w:val="00455DFC"/>
    <w:rsid w:val="00456B8C"/>
    <w:rsid w:val="00456DED"/>
    <w:rsid w:val="00457051"/>
    <w:rsid w:val="0045711B"/>
    <w:rsid w:val="0045730E"/>
    <w:rsid w:val="0045734E"/>
    <w:rsid w:val="004600FF"/>
    <w:rsid w:val="00461040"/>
    <w:rsid w:val="004635D2"/>
    <w:rsid w:val="00464917"/>
    <w:rsid w:val="00464C0F"/>
    <w:rsid w:val="00465BFC"/>
    <w:rsid w:val="00467B9B"/>
    <w:rsid w:val="00467C2D"/>
    <w:rsid w:val="00470B07"/>
    <w:rsid w:val="00470ECD"/>
    <w:rsid w:val="00471CE8"/>
    <w:rsid w:val="00472283"/>
    <w:rsid w:val="00472342"/>
    <w:rsid w:val="004724DE"/>
    <w:rsid w:val="004728B4"/>
    <w:rsid w:val="0047373F"/>
    <w:rsid w:val="00473CA5"/>
    <w:rsid w:val="00475D26"/>
    <w:rsid w:val="00476668"/>
    <w:rsid w:val="00477723"/>
    <w:rsid w:val="00477A9D"/>
    <w:rsid w:val="00477BB4"/>
    <w:rsid w:val="004816DF"/>
    <w:rsid w:val="00482FDC"/>
    <w:rsid w:val="00483C56"/>
    <w:rsid w:val="004840C2"/>
    <w:rsid w:val="004864D1"/>
    <w:rsid w:val="004870D9"/>
    <w:rsid w:val="0048747D"/>
    <w:rsid w:val="00490992"/>
    <w:rsid w:val="004920D8"/>
    <w:rsid w:val="004938FA"/>
    <w:rsid w:val="00493EA2"/>
    <w:rsid w:val="004949D0"/>
    <w:rsid w:val="00496DAA"/>
    <w:rsid w:val="0049745E"/>
    <w:rsid w:val="0049771B"/>
    <w:rsid w:val="004A34D5"/>
    <w:rsid w:val="004A43F1"/>
    <w:rsid w:val="004A45DC"/>
    <w:rsid w:val="004A4A5C"/>
    <w:rsid w:val="004A4D14"/>
    <w:rsid w:val="004A6496"/>
    <w:rsid w:val="004A6520"/>
    <w:rsid w:val="004A70B5"/>
    <w:rsid w:val="004A7831"/>
    <w:rsid w:val="004A7E33"/>
    <w:rsid w:val="004B1320"/>
    <w:rsid w:val="004B2FCC"/>
    <w:rsid w:val="004B3A7B"/>
    <w:rsid w:val="004B3BCD"/>
    <w:rsid w:val="004B430B"/>
    <w:rsid w:val="004B5D7F"/>
    <w:rsid w:val="004B5F0B"/>
    <w:rsid w:val="004C017E"/>
    <w:rsid w:val="004C0FD3"/>
    <w:rsid w:val="004C1418"/>
    <w:rsid w:val="004C1F63"/>
    <w:rsid w:val="004C39DE"/>
    <w:rsid w:val="004C40E8"/>
    <w:rsid w:val="004C4277"/>
    <w:rsid w:val="004C4F45"/>
    <w:rsid w:val="004C64C0"/>
    <w:rsid w:val="004C6AD8"/>
    <w:rsid w:val="004C6ED3"/>
    <w:rsid w:val="004C749A"/>
    <w:rsid w:val="004D08F5"/>
    <w:rsid w:val="004D35E2"/>
    <w:rsid w:val="004D438D"/>
    <w:rsid w:val="004D5A16"/>
    <w:rsid w:val="004D5E02"/>
    <w:rsid w:val="004D5EB9"/>
    <w:rsid w:val="004D5FB6"/>
    <w:rsid w:val="004D652F"/>
    <w:rsid w:val="004D667C"/>
    <w:rsid w:val="004D78EC"/>
    <w:rsid w:val="004D7D82"/>
    <w:rsid w:val="004E2F3E"/>
    <w:rsid w:val="004E5323"/>
    <w:rsid w:val="004E58C3"/>
    <w:rsid w:val="004F2383"/>
    <w:rsid w:val="004F5453"/>
    <w:rsid w:val="004F5854"/>
    <w:rsid w:val="004F59CD"/>
    <w:rsid w:val="004F7A3A"/>
    <w:rsid w:val="004F7A65"/>
    <w:rsid w:val="00500B53"/>
    <w:rsid w:val="00500CA0"/>
    <w:rsid w:val="00501313"/>
    <w:rsid w:val="00505654"/>
    <w:rsid w:val="00505BA0"/>
    <w:rsid w:val="00505E50"/>
    <w:rsid w:val="00510AE1"/>
    <w:rsid w:val="005121D5"/>
    <w:rsid w:val="005125C4"/>
    <w:rsid w:val="005129AA"/>
    <w:rsid w:val="005137DB"/>
    <w:rsid w:val="00515C72"/>
    <w:rsid w:val="00515F69"/>
    <w:rsid w:val="005175D0"/>
    <w:rsid w:val="00517E17"/>
    <w:rsid w:val="005201D8"/>
    <w:rsid w:val="00520BBC"/>
    <w:rsid w:val="0052172B"/>
    <w:rsid w:val="005229E8"/>
    <w:rsid w:val="00523347"/>
    <w:rsid w:val="005233D3"/>
    <w:rsid w:val="00524EF6"/>
    <w:rsid w:val="005265A2"/>
    <w:rsid w:val="00530F5B"/>
    <w:rsid w:val="005321F4"/>
    <w:rsid w:val="00532F6E"/>
    <w:rsid w:val="005332F5"/>
    <w:rsid w:val="00534A1D"/>
    <w:rsid w:val="00536217"/>
    <w:rsid w:val="00536591"/>
    <w:rsid w:val="00536B76"/>
    <w:rsid w:val="00536CE0"/>
    <w:rsid w:val="005406D3"/>
    <w:rsid w:val="005417B5"/>
    <w:rsid w:val="005429B4"/>
    <w:rsid w:val="00542BE8"/>
    <w:rsid w:val="00543E4D"/>
    <w:rsid w:val="00544F99"/>
    <w:rsid w:val="0054514F"/>
    <w:rsid w:val="005455AB"/>
    <w:rsid w:val="00545FB5"/>
    <w:rsid w:val="00546CD8"/>
    <w:rsid w:val="005503A0"/>
    <w:rsid w:val="00552997"/>
    <w:rsid w:val="0055414F"/>
    <w:rsid w:val="00554A1D"/>
    <w:rsid w:val="00555069"/>
    <w:rsid w:val="00555620"/>
    <w:rsid w:val="00555731"/>
    <w:rsid w:val="005579ED"/>
    <w:rsid w:val="005579F7"/>
    <w:rsid w:val="005605A1"/>
    <w:rsid w:val="00560E96"/>
    <w:rsid w:val="0056119D"/>
    <w:rsid w:val="00561CCD"/>
    <w:rsid w:val="005621B2"/>
    <w:rsid w:val="005626BA"/>
    <w:rsid w:val="00562E63"/>
    <w:rsid w:val="00563B14"/>
    <w:rsid w:val="00564E19"/>
    <w:rsid w:val="0056783D"/>
    <w:rsid w:val="00567D40"/>
    <w:rsid w:val="005703A8"/>
    <w:rsid w:val="00570442"/>
    <w:rsid w:val="00574ED6"/>
    <w:rsid w:val="00575107"/>
    <w:rsid w:val="0057514C"/>
    <w:rsid w:val="0057789B"/>
    <w:rsid w:val="00577B05"/>
    <w:rsid w:val="00577F64"/>
    <w:rsid w:val="005823D7"/>
    <w:rsid w:val="0058331B"/>
    <w:rsid w:val="00583807"/>
    <w:rsid w:val="00584BB2"/>
    <w:rsid w:val="00584C6A"/>
    <w:rsid w:val="0058529B"/>
    <w:rsid w:val="00586A81"/>
    <w:rsid w:val="00587FE4"/>
    <w:rsid w:val="0059284F"/>
    <w:rsid w:val="00592CAB"/>
    <w:rsid w:val="00594B50"/>
    <w:rsid w:val="0059626E"/>
    <w:rsid w:val="00596A95"/>
    <w:rsid w:val="00597DD3"/>
    <w:rsid w:val="005A08BE"/>
    <w:rsid w:val="005A0CF6"/>
    <w:rsid w:val="005A2D70"/>
    <w:rsid w:val="005A36EC"/>
    <w:rsid w:val="005A4358"/>
    <w:rsid w:val="005A4418"/>
    <w:rsid w:val="005A4D2D"/>
    <w:rsid w:val="005A6378"/>
    <w:rsid w:val="005A6DEC"/>
    <w:rsid w:val="005A6F52"/>
    <w:rsid w:val="005A7022"/>
    <w:rsid w:val="005B01F2"/>
    <w:rsid w:val="005B1396"/>
    <w:rsid w:val="005B1D92"/>
    <w:rsid w:val="005B1F31"/>
    <w:rsid w:val="005B2FD6"/>
    <w:rsid w:val="005B330A"/>
    <w:rsid w:val="005B4DDD"/>
    <w:rsid w:val="005B5F54"/>
    <w:rsid w:val="005C1460"/>
    <w:rsid w:val="005C1FAF"/>
    <w:rsid w:val="005C27AF"/>
    <w:rsid w:val="005C4A52"/>
    <w:rsid w:val="005C58FD"/>
    <w:rsid w:val="005C78FA"/>
    <w:rsid w:val="005C7928"/>
    <w:rsid w:val="005D14A8"/>
    <w:rsid w:val="005D14FC"/>
    <w:rsid w:val="005D173D"/>
    <w:rsid w:val="005D18D2"/>
    <w:rsid w:val="005D2D5F"/>
    <w:rsid w:val="005D2F58"/>
    <w:rsid w:val="005D2F6A"/>
    <w:rsid w:val="005D3192"/>
    <w:rsid w:val="005D353A"/>
    <w:rsid w:val="005D3582"/>
    <w:rsid w:val="005D482A"/>
    <w:rsid w:val="005D60FF"/>
    <w:rsid w:val="005D73C6"/>
    <w:rsid w:val="005D7C3E"/>
    <w:rsid w:val="005E0114"/>
    <w:rsid w:val="005E0DB4"/>
    <w:rsid w:val="005E2082"/>
    <w:rsid w:val="005E6F70"/>
    <w:rsid w:val="005F37D2"/>
    <w:rsid w:val="005F4E1B"/>
    <w:rsid w:val="005F5031"/>
    <w:rsid w:val="005F5268"/>
    <w:rsid w:val="005F5398"/>
    <w:rsid w:val="005F6FFE"/>
    <w:rsid w:val="005F777A"/>
    <w:rsid w:val="005F7A1F"/>
    <w:rsid w:val="00600E98"/>
    <w:rsid w:val="00600F6F"/>
    <w:rsid w:val="0060108D"/>
    <w:rsid w:val="006017F9"/>
    <w:rsid w:val="00601D83"/>
    <w:rsid w:val="00602797"/>
    <w:rsid w:val="0060382E"/>
    <w:rsid w:val="00604966"/>
    <w:rsid w:val="006049C5"/>
    <w:rsid w:val="00604CAC"/>
    <w:rsid w:val="006054D5"/>
    <w:rsid w:val="00605D8F"/>
    <w:rsid w:val="00605DED"/>
    <w:rsid w:val="00607554"/>
    <w:rsid w:val="006102A8"/>
    <w:rsid w:val="00610A49"/>
    <w:rsid w:val="006114D8"/>
    <w:rsid w:val="006129C9"/>
    <w:rsid w:val="00612ACD"/>
    <w:rsid w:val="00613C23"/>
    <w:rsid w:val="0061418D"/>
    <w:rsid w:val="0061498B"/>
    <w:rsid w:val="006158BA"/>
    <w:rsid w:val="006161D8"/>
    <w:rsid w:val="00616EA7"/>
    <w:rsid w:val="00617175"/>
    <w:rsid w:val="0061739E"/>
    <w:rsid w:val="006209DD"/>
    <w:rsid w:val="0062143F"/>
    <w:rsid w:val="00625036"/>
    <w:rsid w:val="00625C7F"/>
    <w:rsid w:val="006301EB"/>
    <w:rsid w:val="006307F3"/>
    <w:rsid w:val="0063290C"/>
    <w:rsid w:val="00632B4A"/>
    <w:rsid w:val="00632F10"/>
    <w:rsid w:val="00634133"/>
    <w:rsid w:val="0063425C"/>
    <w:rsid w:val="00634CD6"/>
    <w:rsid w:val="00634D67"/>
    <w:rsid w:val="006359C2"/>
    <w:rsid w:val="00635D6D"/>
    <w:rsid w:val="00635DA2"/>
    <w:rsid w:val="00636142"/>
    <w:rsid w:val="00636AAC"/>
    <w:rsid w:val="00637445"/>
    <w:rsid w:val="00637B98"/>
    <w:rsid w:val="006403CA"/>
    <w:rsid w:val="00640D08"/>
    <w:rsid w:val="006419B5"/>
    <w:rsid w:val="00641E40"/>
    <w:rsid w:val="00641F38"/>
    <w:rsid w:val="00642A8F"/>
    <w:rsid w:val="006430BC"/>
    <w:rsid w:val="00643BA9"/>
    <w:rsid w:val="006464FE"/>
    <w:rsid w:val="00646EA4"/>
    <w:rsid w:val="0064745B"/>
    <w:rsid w:val="0065242B"/>
    <w:rsid w:val="00652638"/>
    <w:rsid w:val="006526C1"/>
    <w:rsid w:val="006532D5"/>
    <w:rsid w:val="0065707C"/>
    <w:rsid w:val="00657623"/>
    <w:rsid w:val="00657E57"/>
    <w:rsid w:val="00660C81"/>
    <w:rsid w:val="00660EDC"/>
    <w:rsid w:val="006617A4"/>
    <w:rsid w:val="00663222"/>
    <w:rsid w:val="00663A80"/>
    <w:rsid w:val="006643E9"/>
    <w:rsid w:val="00664FE3"/>
    <w:rsid w:val="006675EB"/>
    <w:rsid w:val="00667DA0"/>
    <w:rsid w:val="0067116A"/>
    <w:rsid w:val="00675032"/>
    <w:rsid w:val="006757DB"/>
    <w:rsid w:val="00676B83"/>
    <w:rsid w:val="00677531"/>
    <w:rsid w:val="00677F26"/>
    <w:rsid w:val="006811E0"/>
    <w:rsid w:val="006812F2"/>
    <w:rsid w:val="006815AB"/>
    <w:rsid w:val="00681F8C"/>
    <w:rsid w:val="00682EFB"/>
    <w:rsid w:val="0068309C"/>
    <w:rsid w:val="0068393B"/>
    <w:rsid w:val="00683F4C"/>
    <w:rsid w:val="00685BC7"/>
    <w:rsid w:val="00685C47"/>
    <w:rsid w:val="00686D73"/>
    <w:rsid w:val="00686F6C"/>
    <w:rsid w:val="006873CB"/>
    <w:rsid w:val="006878D9"/>
    <w:rsid w:val="0069010E"/>
    <w:rsid w:val="0069121A"/>
    <w:rsid w:val="00693AF4"/>
    <w:rsid w:val="00693B4A"/>
    <w:rsid w:val="00694612"/>
    <w:rsid w:val="00697705"/>
    <w:rsid w:val="006A0106"/>
    <w:rsid w:val="006A0550"/>
    <w:rsid w:val="006A0B82"/>
    <w:rsid w:val="006A15A1"/>
    <w:rsid w:val="006A24C3"/>
    <w:rsid w:val="006A29BE"/>
    <w:rsid w:val="006A41E2"/>
    <w:rsid w:val="006A5D48"/>
    <w:rsid w:val="006A780B"/>
    <w:rsid w:val="006A78FD"/>
    <w:rsid w:val="006B1632"/>
    <w:rsid w:val="006B2529"/>
    <w:rsid w:val="006B2CA4"/>
    <w:rsid w:val="006B2D7F"/>
    <w:rsid w:val="006B54BB"/>
    <w:rsid w:val="006B6994"/>
    <w:rsid w:val="006B6F21"/>
    <w:rsid w:val="006B7130"/>
    <w:rsid w:val="006C12CA"/>
    <w:rsid w:val="006C2A53"/>
    <w:rsid w:val="006C48BC"/>
    <w:rsid w:val="006C4B3A"/>
    <w:rsid w:val="006C5B4C"/>
    <w:rsid w:val="006C5BFF"/>
    <w:rsid w:val="006C5DAF"/>
    <w:rsid w:val="006D16EE"/>
    <w:rsid w:val="006D1F59"/>
    <w:rsid w:val="006D3169"/>
    <w:rsid w:val="006D3CFA"/>
    <w:rsid w:val="006D3F69"/>
    <w:rsid w:val="006D44CC"/>
    <w:rsid w:val="006D494E"/>
    <w:rsid w:val="006D77BA"/>
    <w:rsid w:val="006E05E8"/>
    <w:rsid w:val="006E0927"/>
    <w:rsid w:val="006E0FF9"/>
    <w:rsid w:val="006E26F2"/>
    <w:rsid w:val="006E37C1"/>
    <w:rsid w:val="006E3BBC"/>
    <w:rsid w:val="006E40D4"/>
    <w:rsid w:val="006E4730"/>
    <w:rsid w:val="006E7EAD"/>
    <w:rsid w:val="006F0316"/>
    <w:rsid w:val="006F1FC8"/>
    <w:rsid w:val="006F35C0"/>
    <w:rsid w:val="006F381F"/>
    <w:rsid w:val="006F3A31"/>
    <w:rsid w:val="006F3BFD"/>
    <w:rsid w:val="006F4482"/>
    <w:rsid w:val="006F4DA1"/>
    <w:rsid w:val="006F57F7"/>
    <w:rsid w:val="006F611E"/>
    <w:rsid w:val="006F7821"/>
    <w:rsid w:val="0070000C"/>
    <w:rsid w:val="00701FDC"/>
    <w:rsid w:val="00702633"/>
    <w:rsid w:val="00702C2A"/>
    <w:rsid w:val="00702EF7"/>
    <w:rsid w:val="00707BC4"/>
    <w:rsid w:val="00707E17"/>
    <w:rsid w:val="007104BC"/>
    <w:rsid w:val="00711101"/>
    <w:rsid w:val="00713260"/>
    <w:rsid w:val="007143E1"/>
    <w:rsid w:val="00714B3B"/>
    <w:rsid w:val="00714CF1"/>
    <w:rsid w:val="00715EC5"/>
    <w:rsid w:val="007161EE"/>
    <w:rsid w:val="00717887"/>
    <w:rsid w:val="00717AA6"/>
    <w:rsid w:val="007202D3"/>
    <w:rsid w:val="0072098C"/>
    <w:rsid w:val="00722821"/>
    <w:rsid w:val="007228F5"/>
    <w:rsid w:val="00724D74"/>
    <w:rsid w:val="00725DC7"/>
    <w:rsid w:val="00727214"/>
    <w:rsid w:val="007272EB"/>
    <w:rsid w:val="0073214E"/>
    <w:rsid w:val="00733B06"/>
    <w:rsid w:val="00734D57"/>
    <w:rsid w:val="0073522D"/>
    <w:rsid w:val="00737F05"/>
    <w:rsid w:val="007417DE"/>
    <w:rsid w:val="0074182D"/>
    <w:rsid w:val="00741CB7"/>
    <w:rsid w:val="00742B89"/>
    <w:rsid w:val="00743A76"/>
    <w:rsid w:val="007446FC"/>
    <w:rsid w:val="00745184"/>
    <w:rsid w:val="00745908"/>
    <w:rsid w:val="007477F4"/>
    <w:rsid w:val="00752F02"/>
    <w:rsid w:val="007538C7"/>
    <w:rsid w:val="00753992"/>
    <w:rsid w:val="0075784D"/>
    <w:rsid w:val="00757B89"/>
    <w:rsid w:val="00757C4B"/>
    <w:rsid w:val="007600DC"/>
    <w:rsid w:val="00760C68"/>
    <w:rsid w:val="0076153C"/>
    <w:rsid w:val="00761682"/>
    <w:rsid w:val="007631E0"/>
    <w:rsid w:val="00763D69"/>
    <w:rsid w:val="007644C9"/>
    <w:rsid w:val="007650CD"/>
    <w:rsid w:val="007655F8"/>
    <w:rsid w:val="00765FB5"/>
    <w:rsid w:val="0076670A"/>
    <w:rsid w:val="00766745"/>
    <w:rsid w:val="00766820"/>
    <w:rsid w:val="00767745"/>
    <w:rsid w:val="00767E45"/>
    <w:rsid w:val="00771CA5"/>
    <w:rsid w:val="00772912"/>
    <w:rsid w:val="00772F48"/>
    <w:rsid w:val="007736BA"/>
    <w:rsid w:val="00774316"/>
    <w:rsid w:val="00774394"/>
    <w:rsid w:val="0077505E"/>
    <w:rsid w:val="00775F8A"/>
    <w:rsid w:val="007769C8"/>
    <w:rsid w:val="00776AD2"/>
    <w:rsid w:val="007800E4"/>
    <w:rsid w:val="00780972"/>
    <w:rsid w:val="00780A9E"/>
    <w:rsid w:val="00780AA2"/>
    <w:rsid w:val="00781A9D"/>
    <w:rsid w:val="00781E30"/>
    <w:rsid w:val="00782E57"/>
    <w:rsid w:val="00783453"/>
    <w:rsid w:val="007836A1"/>
    <w:rsid w:val="00783778"/>
    <w:rsid w:val="007840BB"/>
    <w:rsid w:val="00784D18"/>
    <w:rsid w:val="00785E2E"/>
    <w:rsid w:val="00787ADD"/>
    <w:rsid w:val="00790164"/>
    <w:rsid w:val="007908C5"/>
    <w:rsid w:val="00791772"/>
    <w:rsid w:val="0079363C"/>
    <w:rsid w:val="00794A1F"/>
    <w:rsid w:val="00795F22"/>
    <w:rsid w:val="007A1051"/>
    <w:rsid w:val="007A20AD"/>
    <w:rsid w:val="007A2411"/>
    <w:rsid w:val="007A48C0"/>
    <w:rsid w:val="007A5539"/>
    <w:rsid w:val="007A5B55"/>
    <w:rsid w:val="007A61EC"/>
    <w:rsid w:val="007A6548"/>
    <w:rsid w:val="007A6E7E"/>
    <w:rsid w:val="007A7415"/>
    <w:rsid w:val="007A7CE5"/>
    <w:rsid w:val="007B00E1"/>
    <w:rsid w:val="007B1211"/>
    <w:rsid w:val="007B187C"/>
    <w:rsid w:val="007B1ECA"/>
    <w:rsid w:val="007B220F"/>
    <w:rsid w:val="007B3B0E"/>
    <w:rsid w:val="007B3DF4"/>
    <w:rsid w:val="007B4673"/>
    <w:rsid w:val="007B6B1E"/>
    <w:rsid w:val="007B72E7"/>
    <w:rsid w:val="007B7CC9"/>
    <w:rsid w:val="007C2AD4"/>
    <w:rsid w:val="007C2DD4"/>
    <w:rsid w:val="007C3B06"/>
    <w:rsid w:val="007C3E46"/>
    <w:rsid w:val="007C4F78"/>
    <w:rsid w:val="007C5024"/>
    <w:rsid w:val="007C5CBD"/>
    <w:rsid w:val="007C62CE"/>
    <w:rsid w:val="007C73B8"/>
    <w:rsid w:val="007D1B48"/>
    <w:rsid w:val="007D3420"/>
    <w:rsid w:val="007D3687"/>
    <w:rsid w:val="007D4EA3"/>
    <w:rsid w:val="007D5362"/>
    <w:rsid w:val="007E000F"/>
    <w:rsid w:val="007E1135"/>
    <w:rsid w:val="007E1D38"/>
    <w:rsid w:val="007E1F05"/>
    <w:rsid w:val="007E29CF"/>
    <w:rsid w:val="007E35D8"/>
    <w:rsid w:val="007E496A"/>
    <w:rsid w:val="007E4CDB"/>
    <w:rsid w:val="007E4F7B"/>
    <w:rsid w:val="007E6661"/>
    <w:rsid w:val="007E6721"/>
    <w:rsid w:val="007E77E3"/>
    <w:rsid w:val="007F2E32"/>
    <w:rsid w:val="007F3880"/>
    <w:rsid w:val="007F3B8C"/>
    <w:rsid w:val="007F421B"/>
    <w:rsid w:val="007F6F0B"/>
    <w:rsid w:val="007F7736"/>
    <w:rsid w:val="00804D26"/>
    <w:rsid w:val="008068E7"/>
    <w:rsid w:val="00807623"/>
    <w:rsid w:val="00807B53"/>
    <w:rsid w:val="00810D34"/>
    <w:rsid w:val="00811503"/>
    <w:rsid w:val="00811C29"/>
    <w:rsid w:val="00812CF0"/>
    <w:rsid w:val="00812EEE"/>
    <w:rsid w:val="00812F41"/>
    <w:rsid w:val="008135CC"/>
    <w:rsid w:val="00814E45"/>
    <w:rsid w:val="00815E2E"/>
    <w:rsid w:val="0081620E"/>
    <w:rsid w:val="0081658F"/>
    <w:rsid w:val="0081739B"/>
    <w:rsid w:val="008179CF"/>
    <w:rsid w:val="00817F37"/>
    <w:rsid w:val="00820CE5"/>
    <w:rsid w:val="00820E00"/>
    <w:rsid w:val="008213F1"/>
    <w:rsid w:val="00825D43"/>
    <w:rsid w:val="00830148"/>
    <w:rsid w:val="00830A90"/>
    <w:rsid w:val="008316AD"/>
    <w:rsid w:val="00833286"/>
    <w:rsid w:val="0083378E"/>
    <w:rsid w:val="00833C7E"/>
    <w:rsid w:val="00834FD5"/>
    <w:rsid w:val="008363A2"/>
    <w:rsid w:val="00837125"/>
    <w:rsid w:val="00837275"/>
    <w:rsid w:val="00837924"/>
    <w:rsid w:val="00837FC0"/>
    <w:rsid w:val="00841DAA"/>
    <w:rsid w:val="00842130"/>
    <w:rsid w:val="008426D9"/>
    <w:rsid w:val="008426FB"/>
    <w:rsid w:val="00842834"/>
    <w:rsid w:val="008445D4"/>
    <w:rsid w:val="008446F1"/>
    <w:rsid w:val="00846A81"/>
    <w:rsid w:val="00846FF0"/>
    <w:rsid w:val="00847435"/>
    <w:rsid w:val="00851879"/>
    <w:rsid w:val="0085298A"/>
    <w:rsid w:val="00853041"/>
    <w:rsid w:val="00854877"/>
    <w:rsid w:val="00855458"/>
    <w:rsid w:val="0085728C"/>
    <w:rsid w:val="0086134D"/>
    <w:rsid w:val="00861FD7"/>
    <w:rsid w:val="008642FC"/>
    <w:rsid w:val="00864A7F"/>
    <w:rsid w:val="00865057"/>
    <w:rsid w:val="00865472"/>
    <w:rsid w:val="0087080C"/>
    <w:rsid w:val="00870E37"/>
    <w:rsid w:val="0087120E"/>
    <w:rsid w:val="00874671"/>
    <w:rsid w:val="00874E94"/>
    <w:rsid w:val="0087635E"/>
    <w:rsid w:val="00876921"/>
    <w:rsid w:val="00876B68"/>
    <w:rsid w:val="0088013C"/>
    <w:rsid w:val="008821C7"/>
    <w:rsid w:val="0088286F"/>
    <w:rsid w:val="00883B2D"/>
    <w:rsid w:val="00883EAF"/>
    <w:rsid w:val="00884452"/>
    <w:rsid w:val="008905D7"/>
    <w:rsid w:val="00890679"/>
    <w:rsid w:val="008926C3"/>
    <w:rsid w:val="00893951"/>
    <w:rsid w:val="00893FC1"/>
    <w:rsid w:val="008955C5"/>
    <w:rsid w:val="00895B87"/>
    <w:rsid w:val="00896511"/>
    <w:rsid w:val="00897763"/>
    <w:rsid w:val="00897A5A"/>
    <w:rsid w:val="008A08D2"/>
    <w:rsid w:val="008A25D1"/>
    <w:rsid w:val="008A26A7"/>
    <w:rsid w:val="008A2E7B"/>
    <w:rsid w:val="008A35E6"/>
    <w:rsid w:val="008A3A4A"/>
    <w:rsid w:val="008A4B8E"/>
    <w:rsid w:val="008A5C8E"/>
    <w:rsid w:val="008B1C95"/>
    <w:rsid w:val="008B30B7"/>
    <w:rsid w:val="008B4DC6"/>
    <w:rsid w:val="008B562E"/>
    <w:rsid w:val="008B5748"/>
    <w:rsid w:val="008B5B9D"/>
    <w:rsid w:val="008B6355"/>
    <w:rsid w:val="008B6A22"/>
    <w:rsid w:val="008B6B0E"/>
    <w:rsid w:val="008B6E1A"/>
    <w:rsid w:val="008C1B0A"/>
    <w:rsid w:val="008C2078"/>
    <w:rsid w:val="008C4829"/>
    <w:rsid w:val="008C4D02"/>
    <w:rsid w:val="008C4E56"/>
    <w:rsid w:val="008C520E"/>
    <w:rsid w:val="008C55BE"/>
    <w:rsid w:val="008C5CA5"/>
    <w:rsid w:val="008C7368"/>
    <w:rsid w:val="008C73D6"/>
    <w:rsid w:val="008C7DD4"/>
    <w:rsid w:val="008D0C62"/>
    <w:rsid w:val="008D1FCC"/>
    <w:rsid w:val="008D2528"/>
    <w:rsid w:val="008D2CD6"/>
    <w:rsid w:val="008D39B0"/>
    <w:rsid w:val="008D462B"/>
    <w:rsid w:val="008D4939"/>
    <w:rsid w:val="008D4F0B"/>
    <w:rsid w:val="008E0465"/>
    <w:rsid w:val="008E1195"/>
    <w:rsid w:val="008E3AEA"/>
    <w:rsid w:val="008E3D60"/>
    <w:rsid w:val="008E49C6"/>
    <w:rsid w:val="008E6B68"/>
    <w:rsid w:val="008E7390"/>
    <w:rsid w:val="008E762D"/>
    <w:rsid w:val="008F000D"/>
    <w:rsid w:val="008F1F00"/>
    <w:rsid w:val="008F32A1"/>
    <w:rsid w:val="008F6E84"/>
    <w:rsid w:val="008F7EBB"/>
    <w:rsid w:val="0090056C"/>
    <w:rsid w:val="00900939"/>
    <w:rsid w:val="00900DF0"/>
    <w:rsid w:val="00903621"/>
    <w:rsid w:val="00905898"/>
    <w:rsid w:val="00906580"/>
    <w:rsid w:val="00907EE2"/>
    <w:rsid w:val="009113AE"/>
    <w:rsid w:val="00911F60"/>
    <w:rsid w:val="00914284"/>
    <w:rsid w:val="00914550"/>
    <w:rsid w:val="00914E36"/>
    <w:rsid w:val="00915300"/>
    <w:rsid w:val="009173B9"/>
    <w:rsid w:val="00917AE1"/>
    <w:rsid w:val="009202B1"/>
    <w:rsid w:val="0092042A"/>
    <w:rsid w:val="009216CA"/>
    <w:rsid w:val="009225C9"/>
    <w:rsid w:val="00922808"/>
    <w:rsid w:val="00922934"/>
    <w:rsid w:val="009229D3"/>
    <w:rsid w:val="00923CCF"/>
    <w:rsid w:val="009245CB"/>
    <w:rsid w:val="009249D6"/>
    <w:rsid w:val="009259EF"/>
    <w:rsid w:val="00925B16"/>
    <w:rsid w:val="00927725"/>
    <w:rsid w:val="00930782"/>
    <w:rsid w:val="00931452"/>
    <w:rsid w:val="009332EE"/>
    <w:rsid w:val="0093355A"/>
    <w:rsid w:val="009335BA"/>
    <w:rsid w:val="00934660"/>
    <w:rsid w:val="00934E21"/>
    <w:rsid w:val="009351B6"/>
    <w:rsid w:val="00935635"/>
    <w:rsid w:val="00936B44"/>
    <w:rsid w:val="00936EC8"/>
    <w:rsid w:val="00941659"/>
    <w:rsid w:val="009416FE"/>
    <w:rsid w:val="009417E1"/>
    <w:rsid w:val="00942AE0"/>
    <w:rsid w:val="0094509B"/>
    <w:rsid w:val="00945D12"/>
    <w:rsid w:val="00947F9D"/>
    <w:rsid w:val="00950381"/>
    <w:rsid w:val="00950E32"/>
    <w:rsid w:val="00953C4E"/>
    <w:rsid w:val="00962287"/>
    <w:rsid w:val="00962690"/>
    <w:rsid w:val="00967EA5"/>
    <w:rsid w:val="00971077"/>
    <w:rsid w:val="00971B25"/>
    <w:rsid w:val="00973FD3"/>
    <w:rsid w:val="00973FE6"/>
    <w:rsid w:val="009740C4"/>
    <w:rsid w:val="0097666B"/>
    <w:rsid w:val="00976F69"/>
    <w:rsid w:val="00977268"/>
    <w:rsid w:val="00981F79"/>
    <w:rsid w:val="009825C9"/>
    <w:rsid w:val="009832E9"/>
    <w:rsid w:val="0098406B"/>
    <w:rsid w:val="00984333"/>
    <w:rsid w:val="009850EF"/>
    <w:rsid w:val="00985278"/>
    <w:rsid w:val="009861D9"/>
    <w:rsid w:val="009868FC"/>
    <w:rsid w:val="00987E80"/>
    <w:rsid w:val="00990A70"/>
    <w:rsid w:val="00991558"/>
    <w:rsid w:val="00991A16"/>
    <w:rsid w:val="00992433"/>
    <w:rsid w:val="00992BE2"/>
    <w:rsid w:val="009941C2"/>
    <w:rsid w:val="00994ECC"/>
    <w:rsid w:val="0099562E"/>
    <w:rsid w:val="009964D8"/>
    <w:rsid w:val="00996DDC"/>
    <w:rsid w:val="009A2E41"/>
    <w:rsid w:val="009A36C9"/>
    <w:rsid w:val="009A52C1"/>
    <w:rsid w:val="009A5EA7"/>
    <w:rsid w:val="009A7F0B"/>
    <w:rsid w:val="009B19E8"/>
    <w:rsid w:val="009B455D"/>
    <w:rsid w:val="009B4597"/>
    <w:rsid w:val="009B4E8F"/>
    <w:rsid w:val="009B7769"/>
    <w:rsid w:val="009C2436"/>
    <w:rsid w:val="009C3C2F"/>
    <w:rsid w:val="009C441C"/>
    <w:rsid w:val="009C62C5"/>
    <w:rsid w:val="009D0462"/>
    <w:rsid w:val="009D12AD"/>
    <w:rsid w:val="009D242A"/>
    <w:rsid w:val="009D2975"/>
    <w:rsid w:val="009D2D8D"/>
    <w:rsid w:val="009D2FBA"/>
    <w:rsid w:val="009D3218"/>
    <w:rsid w:val="009D351E"/>
    <w:rsid w:val="009D3629"/>
    <w:rsid w:val="009D3B9B"/>
    <w:rsid w:val="009D3D9D"/>
    <w:rsid w:val="009D4172"/>
    <w:rsid w:val="009D42C8"/>
    <w:rsid w:val="009D4DCD"/>
    <w:rsid w:val="009D5793"/>
    <w:rsid w:val="009D58D1"/>
    <w:rsid w:val="009D61AF"/>
    <w:rsid w:val="009D730F"/>
    <w:rsid w:val="009D7565"/>
    <w:rsid w:val="009D7787"/>
    <w:rsid w:val="009D7D9C"/>
    <w:rsid w:val="009E02C9"/>
    <w:rsid w:val="009E121C"/>
    <w:rsid w:val="009E1929"/>
    <w:rsid w:val="009E1B98"/>
    <w:rsid w:val="009E23CD"/>
    <w:rsid w:val="009E3127"/>
    <w:rsid w:val="009E3824"/>
    <w:rsid w:val="009E39DC"/>
    <w:rsid w:val="009E3E51"/>
    <w:rsid w:val="009E3FAC"/>
    <w:rsid w:val="009E5378"/>
    <w:rsid w:val="009E56B4"/>
    <w:rsid w:val="009E6D68"/>
    <w:rsid w:val="009F029A"/>
    <w:rsid w:val="009F0DA4"/>
    <w:rsid w:val="009F28C9"/>
    <w:rsid w:val="009F43C3"/>
    <w:rsid w:val="009F4D28"/>
    <w:rsid w:val="009F6110"/>
    <w:rsid w:val="009F615E"/>
    <w:rsid w:val="009F6737"/>
    <w:rsid w:val="009F6933"/>
    <w:rsid w:val="009F7D43"/>
    <w:rsid w:val="00A012D0"/>
    <w:rsid w:val="00A01D98"/>
    <w:rsid w:val="00A0344B"/>
    <w:rsid w:val="00A03895"/>
    <w:rsid w:val="00A043FE"/>
    <w:rsid w:val="00A04EB9"/>
    <w:rsid w:val="00A05366"/>
    <w:rsid w:val="00A05803"/>
    <w:rsid w:val="00A05916"/>
    <w:rsid w:val="00A069DB"/>
    <w:rsid w:val="00A06E1B"/>
    <w:rsid w:val="00A0794D"/>
    <w:rsid w:val="00A12869"/>
    <w:rsid w:val="00A16741"/>
    <w:rsid w:val="00A16BDA"/>
    <w:rsid w:val="00A2114F"/>
    <w:rsid w:val="00A218A7"/>
    <w:rsid w:val="00A2216E"/>
    <w:rsid w:val="00A22A96"/>
    <w:rsid w:val="00A2370B"/>
    <w:rsid w:val="00A24782"/>
    <w:rsid w:val="00A25885"/>
    <w:rsid w:val="00A265F3"/>
    <w:rsid w:val="00A26690"/>
    <w:rsid w:val="00A26CAA"/>
    <w:rsid w:val="00A26CCB"/>
    <w:rsid w:val="00A27AFB"/>
    <w:rsid w:val="00A30811"/>
    <w:rsid w:val="00A31536"/>
    <w:rsid w:val="00A31956"/>
    <w:rsid w:val="00A33C0B"/>
    <w:rsid w:val="00A33DC9"/>
    <w:rsid w:val="00A33F77"/>
    <w:rsid w:val="00A35189"/>
    <w:rsid w:val="00A35831"/>
    <w:rsid w:val="00A36E14"/>
    <w:rsid w:val="00A3743F"/>
    <w:rsid w:val="00A412EF"/>
    <w:rsid w:val="00A42EF2"/>
    <w:rsid w:val="00A44D84"/>
    <w:rsid w:val="00A44F25"/>
    <w:rsid w:val="00A45BD2"/>
    <w:rsid w:val="00A46F60"/>
    <w:rsid w:val="00A4716C"/>
    <w:rsid w:val="00A479EA"/>
    <w:rsid w:val="00A500DC"/>
    <w:rsid w:val="00A50436"/>
    <w:rsid w:val="00A5275D"/>
    <w:rsid w:val="00A52A12"/>
    <w:rsid w:val="00A52ED5"/>
    <w:rsid w:val="00A5372E"/>
    <w:rsid w:val="00A54194"/>
    <w:rsid w:val="00A54E6E"/>
    <w:rsid w:val="00A5515B"/>
    <w:rsid w:val="00A578D4"/>
    <w:rsid w:val="00A61015"/>
    <w:rsid w:val="00A612D2"/>
    <w:rsid w:val="00A61D6F"/>
    <w:rsid w:val="00A61D7A"/>
    <w:rsid w:val="00A62484"/>
    <w:rsid w:val="00A635E8"/>
    <w:rsid w:val="00A6408E"/>
    <w:rsid w:val="00A64735"/>
    <w:rsid w:val="00A64A5F"/>
    <w:rsid w:val="00A653BF"/>
    <w:rsid w:val="00A654E5"/>
    <w:rsid w:val="00A659E2"/>
    <w:rsid w:val="00A66218"/>
    <w:rsid w:val="00A6699D"/>
    <w:rsid w:val="00A67053"/>
    <w:rsid w:val="00A71930"/>
    <w:rsid w:val="00A72F5E"/>
    <w:rsid w:val="00A7322E"/>
    <w:rsid w:val="00A73FFB"/>
    <w:rsid w:val="00A75E04"/>
    <w:rsid w:val="00A760A8"/>
    <w:rsid w:val="00A766F9"/>
    <w:rsid w:val="00A77283"/>
    <w:rsid w:val="00A81E2E"/>
    <w:rsid w:val="00A823BF"/>
    <w:rsid w:val="00A8265A"/>
    <w:rsid w:val="00A83F16"/>
    <w:rsid w:val="00A84303"/>
    <w:rsid w:val="00A84D22"/>
    <w:rsid w:val="00A8510A"/>
    <w:rsid w:val="00A86009"/>
    <w:rsid w:val="00A860D4"/>
    <w:rsid w:val="00A8651D"/>
    <w:rsid w:val="00A86779"/>
    <w:rsid w:val="00A91681"/>
    <w:rsid w:val="00A91BFE"/>
    <w:rsid w:val="00A92240"/>
    <w:rsid w:val="00A931DE"/>
    <w:rsid w:val="00A93D89"/>
    <w:rsid w:val="00A95A99"/>
    <w:rsid w:val="00A95EB3"/>
    <w:rsid w:val="00A964C1"/>
    <w:rsid w:val="00AA0D4C"/>
    <w:rsid w:val="00AA1034"/>
    <w:rsid w:val="00AA233F"/>
    <w:rsid w:val="00AA4A4A"/>
    <w:rsid w:val="00AA548E"/>
    <w:rsid w:val="00AA5C5A"/>
    <w:rsid w:val="00AA6178"/>
    <w:rsid w:val="00AA6650"/>
    <w:rsid w:val="00AB0443"/>
    <w:rsid w:val="00AB2251"/>
    <w:rsid w:val="00AB2C4F"/>
    <w:rsid w:val="00AB4FCE"/>
    <w:rsid w:val="00AB5F73"/>
    <w:rsid w:val="00AB6968"/>
    <w:rsid w:val="00AC014D"/>
    <w:rsid w:val="00AC16F0"/>
    <w:rsid w:val="00AC3C79"/>
    <w:rsid w:val="00AC409E"/>
    <w:rsid w:val="00AC43E5"/>
    <w:rsid w:val="00AC4FFA"/>
    <w:rsid w:val="00AC7204"/>
    <w:rsid w:val="00AC7D5C"/>
    <w:rsid w:val="00AC7EA1"/>
    <w:rsid w:val="00AD0707"/>
    <w:rsid w:val="00AD07F3"/>
    <w:rsid w:val="00AD0B76"/>
    <w:rsid w:val="00AD12A0"/>
    <w:rsid w:val="00AD1F22"/>
    <w:rsid w:val="00AD316E"/>
    <w:rsid w:val="00AD3C01"/>
    <w:rsid w:val="00AD445A"/>
    <w:rsid w:val="00AD5079"/>
    <w:rsid w:val="00AD5E93"/>
    <w:rsid w:val="00AD6ADC"/>
    <w:rsid w:val="00AD7D0B"/>
    <w:rsid w:val="00AE05CF"/>
    <w:rsid w:val="00AE1258"/>
    <w:rsid w:val="00AE22A4"/>
    <w:rsid w:val="00AE32D0"/>
    <w:rsid w:val="00AE515C"/>
    <w:rsid w:val="00AE5BCC"/>
    <w:rsid w:val="00AE665F"/>
    <w:rsid w:val="00AE67D7"/>
    <w:rsid w:val="00AF03C9"/>
    <w:rsid w:val="00AF0428"/>
    <w:rsid w:val="00AF2F16"/>
    <w:rsid w:val="00AF3BFA"/>
    <w:rsid w:val="00AF3E3E"/>
    <w:rsid w:val="00AF43A6"/>
    <w:rsid w:val="00AF490E"/>
    <w:rsid w:val="00AF57F6"/>
    <w:rsid w:val="00AF629B"/>
    <w:rsid w:val="00AF6A35"/>
    <w:rsid w:val="00B005A0"/>
    <w:rsid w:val="00B00C45"/>
    <w:rsid w:val="00B021C3"/>
    <w:rsid w:val="00B04D8B"/>
    <w:rsid w:val="00B05208"/>
    <w:rsid w:val="00B068F4"/>
    <w:rsid w:val="00B075DE"/>
    <w:rsid w:val="00B07E37"/>
    <w:rsid w:val="00B11D1A"/>
    <w:rsid w:val="00B11E5B"/>
    <w:rsid w:val="00B12E10"/>
    <w:rsid w:val="00B13579"/>
    <w:rsid w:val="00B13E4F"/>
    <w:rsid w:val="00B146AF"/>
    <w:rsid w:val="00B15CC1"/>
    <w:rsid w:val="00B177C2"/>
    <w:rsid w:val="00B210A2"/>
    <w:rsid w:val="00B216E3"/>
    <w:rsid w:val="00B217E8"/>
    <w:rsid w:val="00B21E50"/>
    <w:rsid w:val="00B23540"/>
    <w:rsid w:val="00B24B12"/>
    <w:rsid w:val="00B258FE"/>
    <w:rsid w:val="00B26BB7"/>
    <w:rsid w:val="00B30888"/>
    <w:rsid w:val="00B3107C"/>
    <w:rsid w:val="00B32269"/>
    <w:rsid w:val="00B32D74"/>
    <w:rsid w:val="00B3598D"/>
    <w:rsid w:val="00B35E0E"/>
    <w:rsid w:val="00B36C27"/>
    <w:rsid w:val="00B378CA"/>
    <w:rsid w:val="00B40231"/>
    <w:rsid w:val="00B41911"/>
    <w:rsid w:val="00B43801"/>
    <w:rsid w:val="00B43A77"/>
    <w:rsid w:val="00B46787"/>
    <w:rsid w:val="00B501B5"/>
    <w:rsid w:val="00B508E9"/>
    <w:rsid w:val="00B50A32"/>
    <w:rsid w:val="00B51417"/>
    <w:rsid w:val="00B52B1B"/>
    <w:rsid w:val="00B531F1"/>
    <w:rsid w:val="00B54027"/>
    <w:rsid w:val="00B55F29"/>
    <w:rsid w:val="00B562F0"/>
    <w:rsid w:val="00B56E5D"/>
    <w:rsid w:val="00B57A16"/>
    <w:rsid w:val="00B57A44"/>
    <w:rsid w:val="00B60F8C"/>
    <w:rsid w:val="00B6365C"/>
    <w:rsid w:val="00B64EC2"/>
    <w:rsid w:val="00B662CD"/>
    <w:rsid w:val="00B668BA"/>
    <w:rsid w:val="00B70517"/>
    <w:rsid w:val="00B715C6"/>
    <w:rsid w:val="00B74DDC"/>
    <w:rsid w:val="00B75272"/>
    <w:rsid w:val="00B75BB3"/>
    <w:rsid w:val="00B76878"/>
    <w:rsid w:val="00B76BFB"/>
    <w:rsid w:val="00B779AC"/>
    <w:rsid w:val="00B802C9"/>
    <w:rsid w:val="00B8045B"/>
    <w:rsid w:val="00B8210E"/>
    <w:rsid w:val="00B831D5"/>
    <w:rsid w:val="00B8325D"/>
    <w:rsid w:val="00B84A0A"/>
    <w:rsid w:val="00B84B13"/>
    <w:rsid w:val="00B8546D"/>
    <w:rsid w:val="00B85C14"/>
    <w:rsid w:val="00B85E95"/>
    <w:rsid w:val="00B85EED"/>
    <w:rsid w:val="00B875C0"/>
    <w:rsid w:val="00B9185F"/>
    <w:rsid w:val="00B922CA"/>
    <w:rsid w:val="00B95925"/>
    <w:rsid w:val="00B96A3D"/>
    <w:rsid w:val="00BA24D2"/>
    <w:rsid w:val="00BA293F"/>
    <w:rsid w:val="00BA29F9"/>
    <w:rsid w:val="00BA3102"/>
    <w:rsid w:val="00BA3B2B"/>
    <w:rsid w:val="00BA4A88"/>
    <w:rsid w:val="00BA4EA6"/>
    <w:rsid w:val="00BA657A"/>
    <w:rsid w:val="00BA698B"/>
    <w:rsid w:val="00BA78E5"/>
    <w:rsid w:val="00BB0534"/>
    <w:rsid w:val="00BB0DB8"/>
    <w:rsid w:val="00BB0F8F"/>
    <w:rsid w:val="00BB13D7"/>
    <w:rsid w:val="00BB1979"/>
    <w:rsid w:val="00BB2C8C"/>
    <w:rsid w:val="00BB348E"/>
    <w:rsid w:val="00BB354F"/>
    <w:rsid w:val="00BB36A8"/>
    <w:rsid w:val="00BB3F60"/>
    <w:rsid w:val="00BB4777"/>
    <w:rsid w:val="00BB4EEB"/>
    <w:rsid w:val="00BB5B0A"/>
    <w:rsid w:val="00BC06C3"/>
    <w:rsid w:val="00BC24C1"/>
    <w:rsid w:val="00BC4B1E"/>
    <w:rsid w:val="00BC55DE"/>
    <w:rsid w:val="00BC5C7E"/>
    <w:rsid w:val="00BD0AC4"/>
    <w:rsid w:val="00BD0BDE"/>
    <w:rsid w:val="00BD1988"/>
    <w:rsid w:val="00BD1CCA"/>
    <w:rsid w:val="00BD2BC3"/>
    <w:rsid w:val="00BD4AA6"/>
    <w:rsid w:val="00BD4FD8"/>
    <w:rsid w:val="00BE17D6"/>
    <w:rsid w:val="00BE1981"/>
    <w:rsid w:val="00BE25C9"/>
    <w:rsid w:val="00BE37E1"/>
    <w:rsid w:val="00BE6BBF"/>
    <w:rsid w:val="00BE78A4"/>
    <w:rsid w:val="00BF0B2F"/>
    <w:rsid w:val="00BF1182"/>
    <w:rsid w:val="00BF2383"/>
    <w:rsid w:val="00BF4C43"/>
    <w:rsid w:val="00BF643E"/>
    <w:rsid w:val="00BF778F"/>
    <w:rsid w:val="00BF7D4A"/>
    <w:rsid w:val="00BF7DC3"/>
    <w:rsid w:val="00C017BF"/>
    <w:rsid w:val="00C02983"/>
    <w:rsid w:val="00C03981"/>
    <w:rsid w:val="00C04218"/>
    <w:rsid w:val="00C057DA"/>
    <w:rsid w:val="00C0680D"/>
    <w:rsid w:val="00C07042"/>
    <w:rsid w:val="00C0704F"/>
    <w:rsid w:val="00C07844"/>
    <w:rsid w:val="00C10C95"/>
    <w:rsid w:val="00C11B45"/>
    <w:rsid w:val="00C11E3E"/>
    <w:rsid w:val="00C1209A"/>
    <w:rsid w:val="00C13022"/>
    <w:rsid w:val="00C13BFB"/>
    <w:rsid w:val="00C14AB0"/>
    <w:rsid w:val="00C15225"/>
    <w:rsid w:val="00C15CEE"/>
    <w:rsid w:val="00C15E9D"/>
    <w:rsid w:val="00C167D1"/>
    <w:rsid w:val="00C17D3D"/>
    <w:rsid w:val="00C202C8"/>
    <w:rsid w:val="00C2093B"/>
    <w:rsid w:val="00C212AB"/>
    <w:rsid w:val="00C214F0"/>
    <w:rsid w:val="00C220BE"/>
    <w:rsid w:val="00C24749"/>
    <w:rsid w:val="00C26422"/>
    <w:rsid w:val="00C26C7C"/>
    <w:rsid w:val="00C3269F"/>
    <w:rsid w:val="00C3288D"/>
    <w:rsid w:val="00C342DB"/>
    <w:rsid w:val="00C3626E"/>
    <w:rsid w:val="00C3780E"/>
    <w:rsid w:val="00C40EF8"/>
    <w:rsid w:val="00C42785"/>
    <w:rsid w:val="00C43A17"/>
    <w:rsid w:val="00C45243"/>
    <w:rsid w:val="00C4681F"/>
    <w:rsid w:val="00C52184"/>
    <w:rsid w:val="00C5255F"/>
    <w:rsid w:val="00C52D75"/>
    <w:rsid w:val="00C53234"/>
    <w:rsid w:val="00C53382"/>
    <w:rsid w:val="00C53989"/>
    <w:rsid w:val="00C53E83"/>
    <w:rsid w:val="00C54F52"/>
    <w:rsid w:val="00C553B7"/>
    <w:rsid w:val="00C5798E"/>
    <w:rsid w:val="00C57D4A"/>
    <w:rsid w:val="00C6055A"/>
    <w:rsid w:val="00C60A09"/>
    <w:rsid w:val="00C64786"/>
    <w:rsid w:val="00C65356"/>
    <w:rsid w:val="00C65A41"/>
    <w:rsid w:val="00C67C95"/>
    <w:rsid w:val="00C67EE6"/>
    <w:rsid w:val="00C70497"/>
    <w:rsid w:val="00C70CDB"/>
    <w:rsid w:val="00C70D5A"/>
    <w:rsid w:val="00C71284"/>
    <w:rsid w:val="00C72121"/>
    <w:rsid w:val="00C72A32"/>
    <w:rsid w:val="00C72DC6"/>
    <w:rsid w:val="00C7307F"/>
    <w:rsid w:val="00C7375E"/>
    <w:rsid w:val="00C7463A"/>
    <w:rsid w:val="00C74CA2"/>
    <w:rsid w:val="00C756E0"/>
    <w:rsid w:val="00C7667D"/>
    <w:rsid w:val="00C773AA"/>
    <w:rsid w:val="00C77E8A"/>
    <w:rsid w:val="00C81F24"/>
    <w:rsid w:val="00C825F7"/>
    <w:rsid w:val="00C83E12"/>
    <w:rsid w:val="00C869F3"/>
    <w:rsid w:val="00C86CDD"/>
    <w:rsid w:val="00C87B7D"/>
    <w:rsid w:val="00C91119"/>
    <w:rsid w:val="00C91249"/>
    <w:rsid w:val="00C9495E"/>
    <w:rsid w:val="00C94E7E"/>
    <w:rsid w:val="00C95505"/>
    <w:rsid w:val="00C959EF"/>
    <w:rsid w:val="00C97C9B"/>
    <w:rsid w:val="00CA0008"/>
    <w:rsid w:val="00CA0521"/>
    <w:rsid w:val="00CA08AE"/>
    <w:rsid w:val="00CA0E3A"/>
    <w:rsid w:val="00CA12F4"/>
    <w:rsid w:val="00CA1C47"/>
    <w:rsid w:val="00CA3333"/>
    <w:rsid w:val="00CA48F8"/>
    <w:rsid w:val="00CA6A22"/>
    <w:rsid w:val="00CA6E12"/>
    <w:rsid w:val="00CB004D"/>
    <w:rsid w:val="00CB08D8"/>
    <w:rsid w:val="00CB0B66"/>
    <w:rsid w:val="00CB2047"/>
    <w:rsid w:val="00CB31AE"/>
    <w:rsid w:val="00CB34CC"/>
    <w:rsid w:val="00CB42F2"/>
    <w:rsid w:val="00CB4618"/>
    <w:rsid w:val="00CB7E66"/>
    <w:rsid w:val="00CC04CB"/>
    <w:rsid w:val="00CC06DF"/>
    <w:rsid w:val="00CC14C4"/>
    <w:rsid w:val="00CC1A90"/>
    <w:rsid w:val="00CC4EAB"/>
    <w:rsid w:val="00CC5527"/>
    <w:rsid w:val="00CD1C68"/>
    <w:rsid w:val="00CD2768"/>
    <w:rsid w:val="00CD32A8"/>
    <w:rsid w:val="00CD5DA8"/>
    <w:rsid w:val="00CD682B"/>
    <w:rsid w:val="00CD7494"/>
    <w:rsid w:val="00CD754D"/>
    <w:rsid w:val="00CD7F80"/>
    <w:rsid w:val="00CE02AD"/>
    <w:rsid w:val="00CE053C"/>
    <w:rsid w:val="00CE080E"/>
    <w:rsid w:val="00CE10E3"/>
    <w:rsid w:val="00CE186F"/>
    <w:rsid w:val="00CE23AA"/>
    <w:rsid w:val="00CE25B2"/>
    <w:rsid w:val="00CE2B42"/>
    <w:rsid w:val="00CE319B"/>
    <w:rsid w:val="00CE3EDB"/>
    <w:rsid w:val="00CE40E3"/>
    <w:rsid w:val="00CE4A86"/>
    <w:rsid w:val="00CE4CAE"/>
    <w:rsid w:val="00CE5384"/>
    <w:rsid w:val="00CE55DA"/>
    <w:rsid w:val="00CE69C0"/>
    <w:rsid w:val="00CF38F4"/>
    <w:rsid w:val="00CF44B5"/>
    <w:rsid w:val="00CF5879"/>
    <w:rsid w:val="00D00375"/>
    <w:rsid w:val="00D022DC"/>
    <w:rsid w:val="00D0253C"/>
    <w:rsid w:val="00D046C9"/>
    <w:rsid w:val="00D05183"/>
    <w:rsid w:val="00D056DE"/>
    <w:rsid w:val="00D05704"/>
    <w:rsid w:val="00D06BC9"/>
    <w:rsid w:val="00D107A2"/>
    <w:rsid w:val="00D12493"/>
    <w:rsid w:val="00D12C7A"/>
    <w:rsid w:val="00D14EF9"/>
    <w:rsid w:val="00D15416"/>
    <w:rsid w:val="00D15823"/>
    <w:rsid w:val="00D2066E"/>
    <w:rsid w:val="00D20F4F"/>
    <w:rsid w:val="00D214F7"/>
    <w:rsid w:val="00D22B98"/>
    <w:rsid w:val="00D22C5B"/>
    <w:rsid w:val="00D23D51"/>
    <w:rsid w:val="00D250CE"/>
    <w:rsid w:val="00D25867"/>
    <w:rsid w:val="00D276A4"/>
    <w:rsid w:val="00D30181"/>
    <w:rsid w:val="00D30B29"/>
    <w:rsid w:val="00D3328D"/>
    <w:rsid w:val="00D3464C"/>
    <w:rsid w:val="00D3501F"/>
    <w:rsid w:val="00D36224"/>
    <w:rsid w:val="00D3657A"/>
    <w:rsid w:val="00D41625"/>
    <w:rsid w:val="00D416AA"/>
    <w:rsid w:val="00D416F5"/>
    <w:rsid w:val="00D44111"/>
    <w:rsid w:val="00D444A1"/>
    <w:rsid w:val="00D4655A"/>
    <w:rsid w:val="00D46A93"/>
    <w:rsid w:val="00D47637"/>
    <w:rsid w:val="00D476F6"/>
    <w:rsid w:val="00D50EE4"/>
    <w:rsid w:val="00D51945"/>
    <w:rsid w:val="00D522BB"/>
    <w:rsid w:val="00D524FF"/>
    <w:rsid w:val="00D53045"/>
    <w:rsid w:val="00D53DBC"/>
    <w:rsid w:val="00D541B7"/>
    <w:rsid w:val="00D5474F"/>
    <w:rsid w:val="00D55056"/>
    <w:rsid w:val="00D5703E"/>
    <w:rsid w:val="00D5724D"/>
    <w:rsid w:val="00D60393"/>
    <w:rsid w:val="00D60F6D"/>
    <w:rsid w:val="00D61635"/>
    <w:rsid w:val="00D626A9"/>
    <w:rsid w:val="00D628C5"/>
    <w:rsid w:val="00D63DB5"/>
    <w:rsid w:val="00D65627"/>
    <w:rsid w:val="00D66487"/>
    <w:rsid w:val="00D7066E"/>
    <w:rsid w:val="00D7078F"/>
    <w:rsid w:val="00D72BC6"/>
    <w:rsid w:val="00D72F3C"/>
    <w:rsid w:val="00D74447"/>
    <w:rsid w:val="00D7564B"/>
    <w:rsid w:val="00D75DD0"/>
    <w:rsid w:val="00D76EF3"/>
    <w:rsid w:val="00D77FB0"/>
    <w:rsid w:val="00D80DD7"/>
    <w:rsid w:val="00D82050"/>
    <w:rsid w:val="00D838FD"/>
    <w:rsid w:val="00D83927"/>
    <w:rsid w:val="00D83C5C"/>
    <w:rsid w:val="00D84E23"/>
    <w:rsid w:val="00D8511B"/>
    <w:rsid w:val="00D8588C"/>
    <w:rsid w:val="00D85FE8"/>
    <w:rsid w:val="00D86245"/>
    <w:rsid w:val="00D86D2F"/>
    <w:rsid w:val="00D87378"/>
    <w:rsid w:val="00D87A1D"/>
    <w:rsid w:val="00D87CCB"/>
    <w:rsid w:val="00D9043F"/>
    <w:rsid w:val="00D91604"/>
    <w:rsid w:val="00D91C87"/>
    <w:rsid w:val="00D92E74"/>
    <w:rsid w:val="00D93844"/>
    <w:rsid w:val="00D94CBE"/>
    <w:rsid w:val="00D9594F"/>
    <w:rsid w:val="00D95CD0"/>
    <w:rsid w:val="00D97AB4"/>
    <w:rsid w:val="00DA3E5A"/>
    <w:rsid w:val="00DA3FEA"/>
    <w:rsid w:val="00DA56A6"/>
    <w:rsid w:val="00DA5B39"/>
    <w:rsid w:val="00DA7199"/>
    <w:rsid w:val="00DB07BF"/>
    <w:rsid w:val="00DB14B2"/>
    <w:rsid w:val="00DB2370"/>
    <w:rsid w:val="00DB4F7C"/>
    <w:rsid w:val="00DC0B04"/>
    <w:rsid w:val="00DC262C"/>
    <w:rsid w:val="00DC2DC4"/>
    <w:rsid w:val="00DC37DD"/>
    <w:rsid w:val="00DC3D25"/>
    <w:rsid w:val="00DC4128"/>
    <w:rsid w:val="00DC4371"/>
    <w:rsid w:val="00DC4FD4"/>
    <w:rsid w:val="00DC5F21"/>
    <w:rsid w:val="00DC6174"/>
    <w:rsid w:val="00DC6E87"/>
    <w:rsid w:val="00DC72ED"/>
    <w:rsid w:val="00DC7506"/>
    <w:rsid w:val="00DC7BC1"/>
    <w:rsid w:val="00DD035E"/>
    <w:rsid w:val="00DD1C92"/>
    <w:rsid w:val="00DD461A"/>
    <w:rsid w:val="00DD58FD"/>
    <w:rsid w:val="00DD6697"/>
    <w:rsid w:val="00DD75E5"/>
    <w:rsid w:val="00DD7963"/>
    <w:rsid w:val="00DE04DD"/>
    <w:rsid w:val="00DE0C80"/>
    <w:rsid w:val="00DE1E03"/>
    <w:rsid w:val="00DE252A"/>
    <w:rsid w:val="00DE49C0"/>
    <w:rsid w:val="00DE5402"/>
    <w:rsid w:val="00DE69EA"/>
    <w:rsid w:val="00DE7564"/>
    <w:rsid w:val="00DE7AB3"/>
    <w:rsid w:val="00DE7F24"/>
    <w:rsid w:val="00DF0036"/>
    <w:rsid w:val="00DF013F"/>
    <w:rsid w:val="00DF0724"/>
    <w:rsid w:val="00DF0852"/>
    <w:rsid w:val="00DF1C9D"/>
    <w:rsid w:val="00DF4591"/>
    <w:rsid w:val="00DF4709"/>
    <w:rsid w:val="00DF5DEB"/>
    <w:rsid w:val="00DF60B9"/>
    <w:rsid w:val="00DF7501"/>
    <w:rsid w:val="00DF788A"/>
    <w:rsid w:val="00E004BE"/>
    <w:rsid w:val="00E0081B"/>
    <w:rsid w:val="00E01BE5"/>
    <w:rsid w:val="00E01FDB"/>
    <w:rsid w:val="00E03674"/>
    <w:rsid w:val="00E04231"/>
    <w:rsid w:val="00E0486D"/>
    <w:rsid w:val="00E05419"/>
    <w:rsid w:val="00E05C07"/>
    <w:rsid w:val="00E05C7D"/>
    <w:rsid w:val="00E05E46"/>
    <w:rsid w:val="00E05EB1"/>
    <w:rsid w:val="00E064FC"/>
    <w:rsid w:val="00E06659"/>
    <w:rsid w:val="00E10031"/>
    <w:rsid w:val="00E12301"/>
    <w:rsid w:val="00E127CD"/>
    <w:rsid w:val="00E12B86"/>
    <w:rsid w:val="00E13CEA"/>
    <w:rsid w:val="00E14272"/>
    <w:rsid w:val="00E14DFA"/>
    <w:rsid w:val="00E1618F"/>
    <w:rsid w:val="00E163B1"/>
    <w:rsid w:val="00E16CC8"/>
    <w:rsid w:val="00E20FAC"/>
    <w:rsid w:val="00E21838"/>
    <w:rsid w:val="00E21C8C"/>
    <w:rsid w:val="00E22360"/>
    <w:rsid w:val="00E23BB7"/>
    <w:rsid w:val="00E24647"/>
    <w:rsid w:val="00E25274"/>
    <w:rsid w:val="00E2573D"/>
    <w:rsid w:val="00E266C1"/>
    <w:rsid w:val="00E26E0C"/>
    <w:rsid w:val="00E302B8"/>
    <w:rsid w:val="00E3133A"/>
    <w:rsid w:val="00E338C6"/>
    <w:rsid w:val="00E33FA7"/>
    <w:rsid w:val="00E34E03"/>
    <w:rsid w:val="00E36AE9"/>
    <w:rsid w:val="00E375EE"/>
    <w:rsid w:val="00E40018"/>
    <w:rsid w:val="00E40854"/>
    <w:rsid w:val="00E40F9B"/>
    <w:rsid w:val="00E412C8"/>
    <w:rsid w:val="00E41345"/>
    <w:rsid w:val="00E41F14"/>
    <w:rsid w:val="00E42464"/>
    <w:rsid w:val="00E428C8"/>
    <w:rsid w:val="00E42CB1"/>
    <w:rsid w:val="00E44028"/>
    <w:rsid w:val="00E4428D"/>
    <w:rsid w:val="00E45397"/>
    <w:rsid w:val="00E46C3A"/>
    <w:rsid w:val="00E474F6"/>
    <w:rsid w:val="00E47ACF"/>
    <w:rsid w:val="00E47FDD"/>
    <w:rsid w:val="00E5134F"/>
    <w:rsid w:val="00E522D2"/>
    <w:rsid w:val="00E52A37"/>
    <w:rsid w:val="00E538F0"/>
    <w:rsid w:val="00E53E02"/>
    <w:rsid w:val="00E5492C"/>
    <w:rsid w:val="00E549E2"/>
    <w:rsid w:val="00E54B68"/>
    <w:rsid w:val="00E55021"/>
    <w:rsid w:val="00E5535D"/>
    <w:rsid w:val="00E55595"/>
    <w:rsid w:val="00E57269"/>
    <w:rsid w:val="00E5737B"/>
    <w:rsid w:val="00E60082"/>
    <w:rsid w:val="00E6065B"/>
    <w:rsid w:val="00E606C0"/>
    <w:rsid w:val="00E617FC"/>
    <w:rsid w:val="00E626BD"/>
    <w:rsid w:val="00E627A0"/>
    <w:rsid w:val="00E6413E"/>
    <w:rsid w:val="00E66A5E"/>
    <w:rsid w:val="00E70009"/>
    <w:rsid w:val="00E71631"/>
    <w:rsid w:val="00E743CA"/>
    <w:rsid w:val="00E74610"/>
    <w:rsid w:val="00E7534B"/>
    <w:rsid w:val="00E76ABC"/>
    <w:rsid w:val="00E77401"/>
    <w:rsid w:val="00E80FAC"/>
    <w:rsid w:val="00E82728"/>
    <w:rsid w:val="00E83822"/>
    <w:rsid w:val="00E83FCA"/>
    <w:rsid w:val="00E8400B"/>
    <w:rsid w:val="00E84422"/>
    <w:rsid w:val="00E8461C"/>
    <w:rsid w:val="00E84665"/>
    <w:rsid w:val="00E84CC7"/>
    <w:rsid w:val="00E8564D"/>
    <w:rsid w:val="00E85DC4"/>
    <w:rsid w:val="00E86139"/>
    <w:rsid w:val="00E86E77"/>
    <w:rsid w:val="00E907C3"/>
    <w:rsid w:val="00E912B1"/>
    <w:rsid w:val="00E9272A"/>
    <w:rsid w:val="00E94FED"/>
    <w:rsid w:val="00E952A1"/>
    <w:rsid w:val="00E95F0D"/>
    <w:rsid w:val="00E966E3"/>
    <w:rsid w:val="00E968B2"/>
    <w:rsid w:val="00E96FC9"/>
    <w:rsid w:val="00EA11DE"/>
    <w:rsid w:val="00EA12AE"/>
    <w:rsid w:val="00EA1774"/>
    <w:rsid w:val="00EA1B47"/>
    <w:rsid w:val="00EA1C91"/>
    <w:rsid w:val="00EA35A5"/>
    <w:rsid w:val="00EA35EA"/>
    <w:rsid w:val="00EA3915"/>
    <w:rsid w:val="00EA3BE1"/>
    <w:rsid w:val="00EA4B71"/>
    <w:rsid w:val="00EA4EBA"/>
    <w:rsid w:val="00EA6567"/>
    <w:rsid w:val="00EA79E3"/>
    <w:rsid w:val="00EB0E01"/>
    <w:rsid w:val="00EB18A2"/>
    <w:rsid w:val="00EB24BD"/>
    <w:rsid w:val="00EB3A89"/>
    <w:rsid w:val="00EB40AE"/>
    <w:rsid w:val="00EB51CF"/>
    <w:rsid w:val="00EC0156"/>
    <w:rsid w:val="00EC0A2F"/>
    <w:rsid w:val="00EC18D0"/>
    <w:rsid w:val="00EC4AB0"/>
    <w:rsid w:val="00EC56D6"/>
    <w:rsid w:val="00EC5EF0"/>
    <w:rsid w:val="00EC7841"/>
    <w:rsid w:val="00ED1ED0"/>
    <w:rsid w:val="00ED250C"/>
    <w:rsid w:val="00ED370C"/>
    <w:rsid w:val="00ED3810"/>
    <w:rsid w:val="00ED3C7F"/>
    <w:rsid w:val="00ED46F3"/>
    <w:rsid w:val="00ED76C6"/>
    <w:rsid w:val="00ED785A"/>
    <w:rsid w:val="00ED7D8E"/>
    <w:rsid w:val="00ED7F27"/>
    <w:rsid w:val="00EE08A5"/>
    <w:rsid w:val="00EE5E51"/>
    <w:rsid w:val="00EE7916"/>
    <w:rsid w:val="00EE7A1F"/>
    <w:rsid w:val="00EE7F74"/>
    <w:rsid w:val="00EF1579"/>
    <w:rsid w:val="00EF257C"/>
    <w:rsid w:val="00EF25C0"/>
    <w:rsid w:val="00EF311A"/>
    <w:rsid w:val="00EF361A"/>
    <w:rsid w:val="00EF41B6"/>
    <w:rsid w:val="00EF56AC"/>
    <w:rsid w:val="00EF6755"/>
    <w:rsid w:val="00EF67D7"/>
    <w:rsid w:val="00EF70EB"/>
    <w:rsid w:val="00EF72E6"/>
    <w:rsid w:val="00EF77F3"/>
    <w:rsid w:val="00F014A8"/>
    <w:rsid w:val="00F02BCC"/>
    <w:rsid w:val="00F04BBF"/>
    <w:rsid w:val="00F05A99"/>
    <w:rsid w:val="00F05B65"/>
    <w:rsid w:val="00F06071"/>
    <w:rsid w:val="00F07004"/>
    <w:rsid w:val="00F07424"/>
    <w:rsid w:val="00F079B7"/>
    <w:rsid w:val="00F10C02"/>
    <w:rsid w:val="00F10EEE"/>
    <w:rsid w:val="00F132DD"/>
    <w:rsid w:val="00F13567"/>
    <w:rsid w:val="00F147F9"/>
    <w:rsid w:val="00F15724"/>
    <w:rsid w:val="00F15804"/>
    <w:rsid w:val="00F15864"/>
    <w:rsid w:val="00F15A5B"/>
    <w:rsid w:val="00F15B68"/>
    <w:rsid w:val="00F167D4"/>
    <w:rsid w:val="00F167EB"/>
    <w:rsid w:val="00F16A42"/>
    <w:rsid w:val="00F16E62"/>
    <w:rsid w:val="00F175F4"/>
    <w:rsid w:val="00F177E3"/>
    <w:rsid w:val="00F17AF6"/>
    <w:rsid w:val="00F20CC9"/>
    <w:rsid w:val="00F2234E"/>
    <w:rsid w:val="00F22901"/>
    <w:rsid w:val="00F24356"/>
    <w:rsid w:val="00F248A4"/>
    <w:rsid w:val="00F24F10"/>
    <w:rsid w:val="00F25509"/>
    <w:rsid w:val="00F25E7F"/>
    <w:rsid w:val="00F25EDD"/>
    <w:rsid w:val="00F26F06"/>
    <w:rsid w:val="00F272E7"/>
    <w:rsid w:val="00F27BAE"/>
    <w:rsid w:val="00F312BE"/>
    <w:rsid w:val="00F313CD"/>
    <w:rsid w:val="00F32049"/>
    <w:rsid w:val="00F320E3"/>
    <w:rsid w:val="00F32B4B"/>
    <w:rsid w:val="00F332CF"/>
    <w:rsid w:val="00F3684A"/>
    <w:rsid w:val="00F36ED1"/>
    <w:rsid w:val="00F378C1"/>
    <w:rsid w:val="00F408A7"/>
    <w:rsid w:val="00F409F0"/>
    <w:rsid w:val="00F41668"/>
    <w:rsid w:val="00F424E9"/>
    <w:rsid w:val="00F42AD9"/>
    <w:rsid w:val="00F43B25"/>
    <w:rsid w:val="00F44776"/>
    <w:rsid w:val="00F4477B"/>
    <w:rsid w:val="00F50C10"/>
    <w:rsid w:val="00F52C7E"/>
    <w:rsid w:val="00F53844"/>
    <w:rsid w:val="00F5537D"/>
    <w:rsid w:val="00F55602"/>
    <w:rsid w:val="00F55C05"/>
    <w:rsid w:val="00F56F88"/>
    <w:rsid w:val="00F5729E"/>
    <w:rsid w:val="00F57A3A"/>
    <w:rsid w:val="00F60E5D"/>
    <w:rsid w:val="00F61820"/>
    <w:rsid w:val="00F622E2"/>
    <w:rsid w:val="00F626EF"/>
    <w:rsid w:val="00F6311D"/>
    <w:rsid w:val="00F63618"/>
    <w:rsid w:val="00F63B9D"/>
    <w:rsid w:val="00F64418"/>
    <w:rsid w:val="00F64BE2"/>
    <w:rsid w:val="00F64FAE"/>
    <w:rsid w:val="00F65F60"/>
    <w:rsid w:val="00F67F35"/>
    <w:rsid w:val="00F7068C"/>
    <w:rsid w:val="00F72200"/>
    <w:rsid w:val="00F7247A"/>
    <w:rsid w:val="00F755DA"/>
    <w:rsid w:val="00F77AB0"/>
    <w:rsid w:val="00F80010"/>
    <w:rsid w:val="00F805B1"/>
    <w:rsid w:val="00F80FD9"/>
    <w:rsid w:val="00F814EE"/>
    <w:rsid w:val="00F8156C"/>
    <w:rsid w:val="00F8487F"/>
    <w:rsid w:val="00F8488F"/>
    <w:rsid w:val="00F86AFF"/>
    <w:rsid w:val="00F9099C"/>
    <w:rsid w:val="00F9223A"/>
    <w:rsid w:val="00F93027"/>
    <w:rsid w:val="00F9451F"/>
    <w:rsid w:val="00F96208"/>
    <w:rsid w:val="00F9654A"/>
    <w:rsid w:val="00F979DB"/>
    <w:rsid w:val="00FA02AF"/>
    <w:rsid w:val="00FA1E4A"/>
    <w:rsid w:val="00FA2770"/>
    <w:rsid w:val="00FA31C5"/>
    <w:rsid w:val="00FA3DA8"/>
    <w:rsid w:val="00FA4180"/>
    <w:rsid w:val="00FA4F12"/>
    <w:rsid w:val="00FA5D6D"/>
    <w:rsid w:val="00FA5DFE"/>
    <w:rsid w:val="00FB0722"/>
    <w:rsid w:val="00FB2332"/>
    <w:rsid w:val="00FB434F"/>
    <w:rsid w:val="00FB4C38"/>
    <w:rsid w:val="00FB587D"/>
    <w:rsid w:val="00FB65AC"/>
    <w:rsid w:val="00FB7B78"/>
    <w:rsid w:val="00FB7E44"/>
    <w:rsid w:val="00FC14C8"/>
    <w:rsid w:val="00FC196D"/>
    <w:rsid w:val="00FC3DEB"/>
    <w:rsid w:val="00FC45C9"/>
    <w:rsid w:val="00FC4BD9"/>
    <w:rsid w:val="00FC4D9A"/>
    <w:rsid w:val="00FC50D2"/>
    <w:rsid w:val="00FC5243"/>
    <w:rsid w:val="00FC620D"/>
    <w:rsid w:val="00FC651C"/>
    <w:rsid w:val="00FC695B"/>
    <w:rsid w:val="00FC71E8"/>
    <w:rsid w:val="00FC77C4"/>
    <w:rsid w:val="00FD0540"/>
    <w:rsid w:val="00FD1C3A"/>
    <w:rsid w:val="00FD2521"/>
    <w:rsid w:val="00FD2638"/>
    <w:rsid w:val="00FD2B91"/>
    <w:rsid w:val="00FD30D4"/>
    <w:rsid w:val="00FD4FB3"/>
    <w:rsid w:val="00FD5776"/>
    <w:rsid w:val="00FD5BB3"/>
    <w:rsid w:val="00FE0C89"/>
    <w:rsid w:val="00FE2C87"/>
    <w:rsid w:val="00FE3446"/>
    <w:rsid w:val="00FE4072"/>
    <w:rsid w:val="00FE4AD9"/>
    <w:rsid w:val="00FF0555"/>
    <w:rsid w:val="00FF11F5"/>
    <w:rsid w:val="00FF1289"/>
    <w:rsid w:val="00FF2C39"/>
    <w:rsid w:val="00FF2E68"/>
    <w:rsid w:val="00FF3AAA"/>
    <w:rsid w:val="00FF40FC"/>
    <w:rsid w:val="00FF4CF7"/>
    <w:rsid w:val="00FF4F7F"/>
    <w:rsid w:val="00FF66C1"/>
    <w:rsid w:val="00FF6A09"/>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85392"/>
  <w15:docId w15:val="{BB95994D-2DE4-4470-B050-DE3FE294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690"/>
    <w:pPr>
      <w:widowControl w:val="0"/>
    </w:pPr>
  </w:style>
  <w:style w:type="paragraph" w:styleId="Heading1">
    <w:name w:val="heading 1"/>
    <w:basedOn w:val="Normal"/>
    <w:next w:val="Normal"/>
    <w:link w:val="Heading1Char"/>
    <w:qFormat/>
    <w:rsid w:val="005D2F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D2F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E0FF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link w:val="FooterChar"/>
    <w:uiPriority w:val="99"/>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link w:val="FootnoteTextChar"/>
    <w:uiPriority w:val="99"/>
    <w:rsid w:val="00022D45"/>
    <w:pPr>
      <w:widowControl/>
    </w:pPr>
  </w:style>
  <w:style w:type="character" w:styleId="FootnoteReference">
    <w:name w:val="footnote reference"/>
    <w:aliases w:val="o,fr,Appel note de bas de p,Style 12,(NECG) Footnote Reference,Style 124,Style 3,Style 13,FR,Style 17,Style 6,Footnote Reference/,Style 42"/>
    <w:uiPriority w:val="99"/>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table" w:customStyle="1" w:styleId="TableGrid1">
    <w:name w:val="Table Grid1"/>
    <w:basedOn w:val="TableNormal"/>
    <w:next w:val="TableGrid"/>
    <w:uiPriority w:val="59"/>
    <w:rsid w:val="00F60E5D"/>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uiPriority w:val="11"/>
    <w:qFormat/>
    <w:rsid w:val="00F60E5D"/>
    <w:pPr>
      <w:widowControl/>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60E5D"/>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B64EC2"/>
    <w:pPr>
      <w:widowControl/>
      <w:spacing w:after="160" w:line="259"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sid w:val="00B64EC2"/>
  </w:style>
  <w:style w:type="character" w:customStyle="1" w:styleId="Heading3Char">
    <w:name w:val="Heading 3 Char"/>
    <w:basedOn w:val="DefaultParagraphFont"/>
    <w:link w:val="Heading3"/>
    <w:rsid w:val="006E0FF9"/>
    <w:rPr>
      <w:rFonts w:asciiTheme="majorHAnsi" w:eastAsiaTheme="majorEastAsia" w:hAnsiTheme="majorHAnsi" w:cstheme="majorBidi"/>
      <w:color w:val="243F60" w:themeColor="accent1" w:themeShade="7F"/>
      <w:sz w:val="24"/>
      <w:szCs w:val="24"/>
    </w:rPr>
  </w:style>
  <w:style w:type="character" w:customStyle="1" w:styleId="FooterChar">
    <w:name w:val="Footer Char"/>
    <w:basedOn w:val="DefaultParagraphFont"/>
    <w:link w:val="Footer"/>
    <w:uiPriority w:val="99"/>
    <w:rsid w:val="006E0FF9"/>
  </w:style>
  <w:style w:type="character" w:customStyle="1" w:styleId="Heading2Char">
    <w:name w:val="Heading 2 Char"/>
    <w:basedOn w:val="DefaultParagraphFont"/>
    <w:link w:val="Heading2"/>
    <w:semiHidden/>
    <w:rsid w:val="005D2F5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5D2F5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3510ED"/>
    <w:rPr>
      <w:sz w:val="16"/>
      <w:szCs w:val="16"/>
    </w:rPr>
  </w:style>
  <w:style w:type="paragraph" w:styleId="CommentText">
    <w:name w:val="annotation text"/>
    <w:basedOn w:val="Normal"/>
    <w:link w:val="CommentTextChar"/>
    <w:semiHidden/>
    <w:unhideWhenUsed/>
    <w:rsid w:val="003510ED"/>
  </w:style>
  <w:style w:type="character" w:customStyle="1" w:styleId="CommentTextChar">
    <w:name w:val="Comment Text Char"/>
    <w:basedOn w:val="DefaultParagraphFont"/>
    <w:link w:val="CommentText"/>
    <w:semiHidden/>
    <w:rsid w:val="003510ED"/>
  </w:style>
  <w:style w:type="paragraph" w:styleId="CommentSubject">
    <w:name w:val="annotation subject"/>
    <w:basedOn w:val="CommentText"/>
    <w:next w:val="CommentText"/>
    <w:link w:val="CommentSubjectChar"/>
    <w:semiHidden/>
    <w:unhideWhenUsed/>
    <w:rsid w:val="003510ED"/>
    <w:rPr>
      <w:b/>
      <w:bCs/>
    </w:rPr>
  </w:style>
  <w:style w:type="character" w:customStyle="1" w:styleId="CommentSubjectChar">
    <w:name w:val="Comment Subject Char"/>
    <w:basedOn w:val="CommentTextChar"/>
    <w:link w:val="CommentSubject"/>
    <w:semiHidden/>
    <w:rsid w:val="00351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94092">
      <w:bodyDiv w:val="1"/>
      <w:marLeft w:val="0"/>
      <w:marRight w:val="0"/>
      <w:marTop w:val="0"/>
      <w:marBottom w:val="0"/>
      <w:divBdr>
        <w:top w:val="none" w:sz="0" w:space="0" w:color="auto"/>
        <w:left w:val="none" w:sz="0" w:space="0" w:color="auto"/>
        <w:bottom w:val="none" w:sz="0" w:space="0" w:color="auto"/>
        <w:right w:val="none" w:sz="0" w:space="0" w:color="auto"/>
      </w:divBdr>
      <w:divsChild>
        <w:div w:id="374743556">
          <w:marLeft w:val="0"/>
          <w:marRight w:val="0"/>
          <w:marTop w:val="0"/>
          <w:marBottom w:val="0"/>
          <w:divBdr>
            <w:top w:val="none" w:sz="0" w:space="0" w:color="auto"/>
            <w:left w:val="none" w:sz="0" w:space="0" w:color="auto"/>
            <w:bottom w:val="none" w:sz="0" w:space="0" w:color="auto"/>
            <w:right w:val="none" w:sz="0" w:space="0" w:color="auto"/>
          </w:divBdr>
          <w:divsChild>
            <w:div w:id="1267007712">
              <w:marLeft w:val="0"/>
              <w:marRight w:val="0"/>
              <w:marTop w:val="0"/>
              <w:marBottom w:val="0"/>
              <w:divBdr>
                <w:top w:val="none" w:sz="0" w:space="0" w:color="auto"/>
                <w:left w:val="none" w:sz="0" w:space="0" w:color="auto"/>
                <w:bottom w:val="none" w:sz="0" w:space="0" w:color="auto"/>
                <w:right w:val="none" w:sz="0" w:space="0" w:color="auto"/>
              </w:divBdr>
              <w:divsChild>
                <w:div w:id="1652056880">
                  <w:marLeft w:val="0"/>
                  <w:marRight w:val="300"/>
                  <w:marTop w:val="0"/>
                  <w:marBottom w:val="0"/>
                  <w:divBdr>
                    <w:top w:val="none" w:sz="0" w:space="0" w:color="auto"/>
                    <w:left w:val="none" w:sz="0" w:space="0" w:color="auto"/>
                    <w:bottom w:val="none" w:sz="0" w:space="0" w:color="auto"/>
                    <w:right w:val="none" w:sz="0" w:space="0" w:color="auto"/>
                  </w:divBdr>
                  <w:divsChild>
                    <w:div w:id="66076469">
                      <w:marLeft w:val="0"/>
                      <w:marRight w:val="0"/>
                      <w:marTop w:val="0"/>
                      <w:marBottom w:val="0"/>
                      <w:divBdr>
                        <w:top w:val="none" w:sz="0" w:space="0" w:color="auto"/>
                        <w:left w:val="none" w:sz="0" w:space="0" w:color="auto"/>
                        <w:bottom w:val="none" w:sz="0" w:space="0" w:color="auto"/>
                        <w:right w:val="none" w:sz="0" w:space="0" w:color="auto"/>
                      </w:divBdr>
                      <w:divsChild>
                        <w:div w:id="63715160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911545365">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19811">
      <w:bodyDiv w:val="1"/>
      <w:marLeft w:val="0"/>
      <w:marRight w:val="0"/>
      <w:marTop w:val="0"/>
      <w:marBottom w:val="0"/>
      <w:divBdr>
        <w:top w:val="none" w:sz="0" w:space="0" w:color="auto"/>
        <w:left w:val="none" w:sz="0" w:space="0" w:color="auto"/>
        <w:bottom w:val="none" w:sz="0" w:space="0" w:color="auto"/>
        <w:right w:val="none" w:sz="0" w:space="0" w:color="auto"/>
      </w:divBdr>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0DBE2-3CF6-4871-9D4C-43A6F998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4779</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PENNINGTON</dc:creator>
  <cp:keywords/>
  <dc:description/>
  <cp:lastModifiedBy>Reside, Melissa</cp:lastModifiedBy>
  <cp:revision>3</cp:revision>
  <cp:lastPrinted>2019-05-28T16:56:00Z</cp:lastPrinted>
  <dcterms:created xsi:type="dcterms:W3CDTF">2019-06-27T14:50:00Z</dcterms:created>
  <dcterms:modified xsi:type="dcterms:W3CDTF">2019-06-28T12:18:00Z</dcterms:modified>
</cp:coreProperties>
</file>