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EB12A" w14:textId="77777777" w:rsidR="009A4B39" w:rsidRPr="009A4B39" w:rsidRDefault="009A4B39" w:rsidP="009A4B39">
      <w:pPr>
        <w:spacing w:line="240" w:lineRule="auto"/>
        <w:ind w:firstLine="0"/>
        <w:jc w:val="center"/>
        <w:rPr>
          <w:b/>
          <w:spacing w:val="-3"/>
          <w:sz w:val="24"/>
          <w:szCs w:val="24"/>
        </w:rPr>
      </w:pPr>
      <w:r w:rsidRPr="009A4B39">
        <w:rPr>
          <w:b/>
          <w:spacing w:val="-3"/>
          <w:sz w:val="24"/>
          <w:szCs w:val="24"/>
        </w:rPr>
        <w:t>BEFORE THE</w:t>
      </w:r>
    </w:p>
    <w:p w14:paraId="134F67FC" w14:textId="77777777" w:rsidR="009A4B39" w:rsidRPr="009A4B39" w:rsidRDefault="009A4B39" w:rsidP="009A4B39">
      <w:pPr>
        <w:spacing w:line="240" w:lineRule="auto"/>
        <w:ind w:firstLine="0"/>
        <w:jc w:val="center"/>
        <w:rPr>
          <w:b/>
          <w:spacing w:val="-3"/>
          <w:sz w:val="24"/>
          <w:szCs w:val="24"/>
        </w:rPr>
      </w:pPr>
      <w:r w:rsidRPr="009A4B39">
        <w:rPr>
          <w:b/>
          <w:spacing w:val="-3"/>
          <w:sz w:val="24"/>
          <w:szCs w:val="24"/>
        </w:rPr>
        <w:t>PENNSYLVANIA PUBLIC UTILITY COMMISSION</w:t>
      </w:r>
    </w:p>
    <w:p w14:paraId="6854EC36" w14:textId="77777777" w:rsidR="009A4B39" w:rsidRPr="009A4B39" w:rsidRDefault="009A4B39" w:rsidP="009A4B39">
      <w:pPr>
        <w:spacing w:line="240" w:lineRule="auto"/>
        <w:ind w:firstLine="0"/>
        <w:rPr>
          <w:spacing w:val="-3"/>
          <w:sz w:val="24"/>
          <w:szCs w:val="24"/>
        </w:rPr>
      </w:pPr>
    </w:p>
    <w:p w14:paraId="1CF6C044" w14:textId="77777777" w:rsidR="009A4B39" w:rsidRPr="009A4B39" w:rsidRDefault="009A4B39" w:rsidP="009A4B39">
      <w:pPr>
        <w:tabs>
          <w:tab w:val="left" w:pos="-1440"/>
          <w:tab w:val="left" w:pos="-720"/>
        </w:tabs>
        <w:suppressAutoHyphens/>
        <w:spacing w:line="240" w:lineRule="auto"/>
        <w:ind w:firstLine="0"/>
        <w:rPr>
          <w:spacing w:val="-3"/>
          <w:sz w:val="24"/>
          <w:szCs w:val="24"/>
        </w:rPr>
      </w:pPr>
    </w:p>
    <w:p w14:paraId="413AB2B7" w14:textId="77777777" w:rsidR="009A4B39" w:rsidRPr="009A4B39" w:rsidRDefault="009A4B39" w:rsidP="009A4B39">
      <w:pPr>
        <w:tabs>
          <w:tab w:val="left" w:pos="-1440"/>
          <w:tab w:val="left" w:pos="-720"/>
        </w:tabs>
        <w:suppressAutoHyphens/>
        <w:spacing w:line="240" w:lineRule="auto"/>
        <w:ind w:firstLine="0"/>
        <w:rPr>
          <w:spacing w:val="-3"/>
          <w:sz w:val="24"/>
          <w:szCs w:val="24"/>
        </w:rPr>
      </w:pPr>
    </w:p>
    <w:p w14:paraId="03E6F14C" w14:textId="77777777" w:rsidR="009A4B39" w:rsidRPr="009A4B39" w:rsidRDefault="009A4B39" w:rsidP="009A4B39">
      <w:pPr>
        <w:tabs>
          <w:tab w:val="left" w:pos="-1440"/>
          <w:tab w:val="left" w:pos="-720"/>
        </w:tabs>
        <w:suppressAutoHyphens/>
        <w:spacing w:line="240" w:lineRule="auto"/>
        <w:ind w:firstLine="0"/>
        <w:rPr>
          <w:spacing w:val="-3"/>
          <w:sz w:val="24"/>
          <w:szCs w:val="24"/>
        </w:rPr>
      </w:pPr>
      <w:r w:rsidRPr="009A4B39">
        <w:rPr>
          <w:spacing w:val="-3"/>
          <w:sz w:val="24"/>
          <w:szCs w:val="24"/>
        </w:rPr>
        <w:t>William Beveridge</w:t>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t>:</w:t>
      </w:r>
      <w:r w:rsidRPr="009A4B39">
        <w:rPr>
          <w:spacing w:val="-3"/>
          <w:sz w:val="24"/>
          <w:szCs w:val="24"/>
        </w:rPr>
        <w:tab/>
      </w:r>
    </w:p>
    <w:p w14:paraId="4DC3A9C7" w14:textId="77777777" w:rsidR="009A4B39" w:rsidRPr="009A4B39" w:rsidRDefault="009A4B39" w:rsidP="009A4B39">
      <w:pPr>
        <w:tabs>
          <w:tab w:val="left" w:pos="-1440"/>
          <w:tab w:val="left" w:pos="-720"/>
        </w:tabs>
        <w:suppressAutoHyphens/>
        <w:spacing w:line="240" w:lineRule="auto"/>
        <w:ind w:firstLine="0"/>
        <w:rPr>
          <w:spacing w:val="-3"/>
          <w:sz w:val="24"/>
          <w:szCs w:val="24"/>
        </w:rPr>
      </w:pP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t>:</w:t>
      </w:r>
    </w:p>
    <w:p w14:paraId="665527D5" w14:textId="77777777" w:rsidR="009A4B39" w:rsidRPr="009A4B39" w:rsidRDefault="009A4B39" w:rsidP="009A4B39">
      <w:pPr>
        <w:tabs>
          <w:tab w:val="left" w:pos="-1440"/>
          <w:tab w:val="left" w:pos="-720"/>
        </w:tabs>
        <w:suppressAutoHyphens/>
        <w:spacing w:line="240" w:lineRule="auto"/>
        <w:ind w:firstLine="0"/>
        <w:rPr>
          <w:spacing w:val="-3"/>
          <w:sz w:val="24"/>
          <w:szCs w:val="24"/>
        </w:rPr>
      </w:pPr>
      <w:r w:rsidRPr="009A4B39">
        <w:rPr>
          <w:spacing w:val="-3"/>
          <w:sz w:val="24"/>
          <w:szCs w:val="24"/>
        </w:rPr>
        <w:tab/>
        <w:t>v.</w:t>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t>:</w:t>
      </w:r>
      <w:r w:rsidRPr="009A4B39">
        <w:rPr>
          <w:spacing w:val="-3"/>
          <w:sz w:val="24"/>
          <w:szCs w:val="24"/>
        </w:rPr>
        <w:tab/>
      </w:r>
      <w:r w:rsidRPr="009A4B39">
        <w:rPr>
          <w:spacing w:val="-3"/>
          <w:sz w:val="24"/>
          <w:szCs w:val="24"/>
        </w:rPr>
        <w:tab/>
        <w:t>C-2018-</w:t>
      </w:r>
      <w:bookmarkStart w:id="0" w:name="_Hlk12949153"/>
      <w:r w:rsidRPr="009A4B39">
        <w:rPr>
          <w:spacing w:val="-3"/>
          <w:sz w:val="24"/>
          <w:szCs w:val="24"/>
        </w:rPr>
        <w:t>3005314</w:t>
      </w:r>
      <w:bookmarkEnd w:id="0"/>
    </w:p>
    <w:p w14:paraId="6BE60FD6" w14:textId="77777777" w:rsidR="009A4B39" w:rsidRPr="009A4B39" w:rsidRDefault="009A4B39" w:rsidP="009A4B39">
      <w:pPr>
        <w:tabs>
          <w:tab w:val="left" w:pos="-1440"/>
          <w:tab w:val="left" w:pos="-720"/>
        </w:tabs>
        <w:suppressAutoHyphens/>
        <w:spacing w:line="240" w:lineRule="auto"/>
        <w:ind w:firstLine="0"/>
        <w:rPr>
          <w:spacing w:val="-3"/>
          <w:sz w:val="24"/>
          <w:szCs w:val="24"/>
        </w:rPr>
      </w:pP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t>:</w:t>
      </w:r>
      <w:r w:rsidRPr="009A4B39">
        <w:rPr>
          <w:spacing w:val="-3"/>
          <w:sz w:val="24"/>
          <w:szCs w:val="24"/>
        </w:rPr>
        <w:tab/>
      </w:r>
    </w:p>
    <w:p w14:paraId="73FA6F70" w14:textId="77777777" w:rsidR="009A4B39" w:rsidRPr="009A4B39" w:rsidRDefault="009A4B39" w:rsidP="009A4B39">
      <w:pPr>
        <w:tabs>
          <w:tab w:val="left" w:pos="-1440"/>
          <w:tab w:val="left" w:pos="-720"/>
        </w:tabs>
        <w:suppressAutoHyphens/>
        <w:spacing w:line="240" w:lineRule="auto"/>
        <w:ind w:firstLine="0"/>
        <w:rPr>
          <w:spacing w:val="-3"/>
          <w:sz w:val="24"/>
          <w:szCs w:val="24"/>
        </w:rPr>
      </w:pPr>
      <w:r w:rsidRPr="009A4B39">
        <w:rPr>
          <w:spacing w:val="-3"/>
          <w:sz w:val="24"/>
          <w:szCs w:val="24"/>
        </w:rPr>
        <w:t>PPL Electric Utilities Corporation</w:t>
      </w:r>
      <w:r w:rsidRPr="009A4B39">
        <w:rPr>
          <w:spacing w:val="-3"/>
          <w:sz w:val="24"/>
          <w:szCs w:val="24"/>
        </w:rPr>
        <w:tab/>
      </w:r>
      <w:r w:rsidRPr="009A4B39">
        <w:rPr>
          <w:spacing w:val="-3"/>
          <w:sz w:val="24"/>
          <w:szCs w:val="24"/>
        </w:rPr>
        <w:tab/>
      </w:r>
      <w:r w:rsidRPr="009A4B39">
        <w:rPr>
          <w:spacing w:val="-3"/>
          <w:sz w:val="24"/>
          <w:szCs w:val="24"/>
        </w:rPr>
        <w:tab/>
        <w:t>:</w:t>
      </w:r>
    </w:p>
    <w:p w14:paraId="69920EB3" w14:textId="77777777" w:rsidR="009A4B39" w:rsidRPr="009A4B39" w:rsidRDefault="009A4B39" w:rsidP="009A4B39">
      <w:pPr>
        <w:tabs>
          <w:tab w:val="left" w:pos="-1440"/>
          <w:tab w:val="left" w:pos="-720"/>
        </w:tabs>
        <w:suppressAutoHyphens/>
        <w:spacing w:line="240" w:lineRule="auto"/>
        <w:ind w:firstLine="0"/>
        <w:rPr>
          <w:spacing w:val="-3"/>
          <w:sz w:val="24"/>
          <w:szCs w:val="24"/>
        </w:rPr>
      </w:pPr>
    </w:p>
    <w:p w14:paraId="234AE257" w14:textId="77777777" w:rsidR="009A4B39" w:rsidRPr="009A4B39" w:rsidRDefault="009A4B39" w:rsidP="009A4B39">
      <w:pPr>
        <w:tabs>
          <w:tab w:val="left" w:pos="-1440"/>
          <w:tab w:val="left" w:pos="-720"/>
        </w:tabs>
        <w:suppressAutoHyphens/>
        <w:spacing w:line="240" w:lineRule="auto"/>
        <w:ind w:firstLine="0"/>
        <w:rPr>
          <w:spacing w:val="-3"/>
          <w:sz w:val="24"/>
          <w:szCs w:val="24"/>
        </w:rPr>
      </w:pPr>
    </w:p>
    <w:p w14:paraId="0AD9DA02" w14:textId="77777777" w:rsidR="009A4B39" w:rsidRPr="009A4B39" w:rsidRDefault="009A4B39" w:rsidP="009A4B39">
      <w:pPr>
        <w:tabs>
          <w:tab w:val="left" w:pos="-1440"/>
          <w:tab w:val="left" w:pos="-720"/>
        </w:tabs>
        <w:suppressAutoHyphens/>
        <w:spacing w:line="240" w:lineRule="auto"/>
        <w:ind w:firstLine="0"/>
        <w:rPr>
          <w:spacing w:val="-3"/>
          <w:sz w:val="24"/>
          <w:szCs w:val="24"/>
        </w:rPr>
      </w:pPr>
    </w:p>
    <w:p w14:paraId="628D2D41" w14:textId="77777777" w:rsidR="009A4B39" w:rsidRPr="009A4B39" w:rsidRDefault="009A4B39" w:rsidP="009A4B39">
      <w:pPr>
        <w:ind w:firstLine="0"/>
        <w:jc w:val="center"/>
        <w:rPr>
          <w:b/>
          <w:spacing w:val="-3"/>
          <w:sz w:val="24"/>
          <w:szCs w:val="24"/>
          <w:u w:val="single"/>
        </w:rPr>
      </w:pPr>
      <w:r w:rsidRPr="009A4B39">
        <w:rPr>
          <w:b/>
          <w:spacing w:val="-3"/>
          <w:sz w:val="24"/>
          <w:szCs w:val="24"/>
          <w:u w:val="single"/>
        </w:rPr>
        <w:t>ERRATA</w:t>
      </w:r>
    </w:p>
    <w:p w14:paraId="5D0E0F19" w14:textId="77777777" w:rsidR="009A4B39" w:rsidRPr="009A4B39" w:rsidRDefault="009A4B39" w:rsidP="009A4B39">
      <w:pPr>
        <w:ind w:firstLine="0"/>
        <w:jc w:val="center"/>
        <w:rPr>
          <w:b/>
          <w:spacing w:val="-3"/>
          <w:sz w:val="24"/>
          <w:szCs w:val="24"/>
          <w:u w:val="single"/>
        </w:rPr>
      </w:pPr>
    </w:p>
    <w:p w14:paraId="7F660EEA" w14:textId="77777777" w:rsidR="009A4B39" w:rsidRPr="009A4B39" w:rsidRDefault="009A4B39" w:rsidP="009A4B39">
      <w:pPr>
        <w:rPr>
          <w:spacing w:val="-3"/>
          <w:sz w:val="24"/>
          <w:szCs w:val="24"/>
        </w:rPr>
      </w:pPr>
      <w:r w:rsidRPr="009A4B39">
        <w:rPr>
          <w:spacing w:val="-3"/>
          <w:sz w:val="24"/>
          <w:szCs w:val="24"/>
        </w:rPr>
        <w:t xml:space="preserve">A review of the Initial Decision dated June 19, 2019 and issued on June 24, 2019 in the above-captioned proceeding, revealed a typographical error on page 22, paragraph 3.  The word “Auburn” is amended to state “Duncannon.” </w:t>
      </w:r>
      <w:r w:rsidRPr="009A4B39">
        <w:rPr>
          <w:i/>
          <w:spacing w:val="-3"/>
          <w:sz w:val="24"/>
          <w:szCs w:val="24"/>
        </w:rPr>
        <w:t xml:space="preserve"> </w:t>
      </w:r>
      <w:r w:rsidRPr="009A4B39">
        <w:rPr>
          <w:spacing w:val="-3"/>
          <w:sz w:val="24"/>
          <w:szCs w:val="24"/>
        </w:rPr>
        <w:t xml:space="preserve">  </w:t>
      </w:r>
    </w:p>
    <w:p w14:paraId="0957293D" w14:textId="77777777" w:rsidR="009A4B39" w:rsidRPr="009A4B39" w:rsidRDefault="009A4B39" w:rsidP="009A4B39">
      <w:pPr>
        <w:rPr>
          <w:spacing w:val="-3"/>
          <w:sz w:val="24"/>
          <w:szCs w:val="24"/>
        </w:rPr>
      </w:pPr>
      <w:bookmarkStart w:id="1" w:name="_GoBack"/>
      <w:bookmarkEnd w:id="1"/>
    </w:p>
    <w:p w14:paraId="18449722" w14:textId="77777777" w:rsidR="00A6314B" w:rsidRPr="00A6314B" w:rsidRDefault="009A4B39" w:rsidP="00A6314B">
      <w:pPr>
        <w:rPr>
          <w:spacing w:val="-3"/>
          <w:sz w:val="24"/>
          <w:szCs w:val="24"/>
        </w:rPr>
      </w:pPr>
      <w:r w:rsidRPr="009A4B39">
        <w:rPr>
          <w:spacing w:val="-3"/>
          <w:sz w:val="24"/>
          <w:szCs w:val="24"/>
        </w:rPr>
        <w:t xml:space="preserve">In all other respects the Initial Decision remains in full force and effect in its entirety.  </w:t>
      </w:r>
      <w:r w:rsidR="00A6314B" w:rsidRPr="00A6314B">
        <w:rPr>
          <w:spacing w:val="-3"/>
          <w:sz w:val="24"/>
          <w:szCs w:val="24"/>
        </w:rPr>
        <w:t>The corrected page of the decision is attached to this notice.  Please replace the incorrect page in your copy of the ID.</w:t>
      </w:r>
    </w:p>
    <w:p w14:paraId="1A66B8FF" w14:textId="77777777" w:rsidR="00A6314B" w:rsidRPr="00A6314B" w:rsidRDefault="00A6314B" w:rsidP="00A6314B">
      <w:pPr>
        <w:rPr>
          <w:spacing w:val="-3"/>
          <w:sz w:val="24"/>
          <w:szCs w:val="24"/>
        </w:rPr>
      </w:pPr>
    </w:p>
    <w:p w14:paraId="71D3DE52" w14:textId="682B47CE" w:rsidR="00A6314B" w:rsidRPr="00A6314B" w:rsidRDefault="00A6314B" w:rsidP="00A6314B">
      <w:pPr>
        <w:rPr>
          <w:spacing w:val="-3"/>
          <w:sz w:val="24"/>
          <w:szCs w:val="24"/>
        </w:rPr>
      </w:pPr>
      <w:r w:rsidRPr="00A6314B">
        <w:rPr>
          <w:spacing w:val="-3"/>
          <w:sz w:val="24"/>
          <w:szCs w:val="24"/>
        </w:rPr>
        <w:t xml:space="preserve">The Initial Decision on the PA PUC website will be corrected as indicated above.  </w:t>
      </w:r>
      <w:r w:rsidR="00FC7C4D">
        <w:rPr>
          <w:spacing w:val="-3"/>
          <w:sz w:val="24"/>
          <w:szCs w:val="24"/>
        </w:rPr>
        <w:t>Thank you.</w:t>
      </w:r>
    </w:p>
    <w:p w14:paraId="73F21F0F" w14:textId="033B62A9" w:rsidR="009A4B39" w:rsidRPr="009A4B39" w:rsidRDefault="009A4B39" w:rsidP="00A6314B">
      <w:pPr>
        <w:rPr>
          <w:spacing w:val="-3"/>
          <w:sz w:val="24"/>
          <w:szCs w:val="24"/>
        </w:rPr>
      </w:pPr>
      <w:r w:rsidRPr="009A4B39">
        <w:rPr>
          <w:spacing w:val="-3"/>
          <w:sz w:val="24"/>
          <w:szCs w:val="24"/>
        </w:rPr>
        <w:tab/>
      </w:r>
      <w:r w:rsidRPr="009A4B39">
        <w:rPr>
          <w:spacing w:val="-3"/>
          <w:sz w:val="24"/>
          <w:szCs w:val="24"/>
        </w:rPr>
        <w:tab/>
      </w:r>
    </w:p>
    <w:p w14:paraId="2A9E7910" w14:textId="77777777" w:rsidR="009A4B39" w:rsidRPr="009A4B39" w:rsidRDefault="009A4B39" w:rsidP="009A4B39">
      <w:pPr>
        <w:ind w:firstLine="0"/>
        <w:rPr>
          <w:spacing w:val="-3"/>
          <w:sz w:val="24"/>
          <w:szCs w:val="24"/>
        </w:rPr>
      </w:pPr>
    </w:p>
    <w:p w14:paraId="1C9722F9" w14:textId="77777777" w:rsidR="009A4B39" w:rsidRPr="009A4B39" w:rsidRDefault="009A4B39" w:rsidP="009A4B39">
      <w:pPr>
        <w:spacing w:line="240" w:lineRule="auto"/>
        <w:ind w:firstLine="0"/>
        <w:rPr>
          <w:spacing w:val="-3"/>
          <w:sz w:val="24"/>
          <w:szCs w:val="24"/>
          <w:u w:val="single"/>
        </w:rPr>
      </w:pPr>
      <w:r w:rsidRPr="009A4B39">
        <w:rPr>
          <w:spacing w:val="-3"/>
          <w:sz w:val="24"/>
          <w:szCs w:val="24"/>
        </w:rPr>
        <w:t>Date:</w:t>
      </w:r>
      <w:r w:rsidRPr="009A4B39">
        <w:rPr>
          <w:spacing w:val="-3"/>
          <w:sz w:val="24"/>
          <w:szCs w:val="24"/>
        </w:rPr>
        <w:tab/>
      </w:r>
      <w:r w:rsidRPr="009A4B39">
        <w:rPr>
          <w:spacing w:val="-3"/>
          <w:sz w:val="24"/>
          <w:szCs w:val="24"/>
          <w:u w:val="single"/>
        </w:rPr>
        <w:t>July 1, 2019</w:t>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u w:val="single"/>
        </w:rPr>
        <w:tab/>
        <w:t>/s/</w:t>
      </w:r>
      <w:r w:rsidRPr="009A4B39">
        <w:rPr>
          <w:spacing w:val="-3"/>
          <w:sz w:val="24"/>
          <w:szCs w:val="24"/>
          <w:u w:val="single"/>
        </w:rPr>
        <w:tab/>
      </w:r>
      <w:r w:rsidRPr="009A4B39">
        <w:rPr>
          <w:spacing w:val="-3"/>
          <w:sz w:val="24"/>
          <w:szCs w:val="24"/>
          <w:u w:val="single"/>
        </w:rPr>
        <w:tab/>
      </w:r>
      <w:r w:rsidRPr="009A4B39">
        <w:rPr>
          <w:spacing w:val="-3"/>
          <w:sz w:val="24"/>
          <w:szCs w:val="24"/>
          <w:u w:val="single"/>
        </w:rPr>
        <w:tab/>
      </w:r>
      <w:r w:rsidRPr="009A4B39">
        <w:rPr>
          <w:spacing w:val="-3"/>
          <w:sz w:val="24"/>
          <w:szCs w:val="24"/>
          <w:u w:val="single"/>
        </w:rPr>
        <w:tab/>
      </w:r>
    </w:p>
    <w:p w14:paraId="6D255ADC" w14:textId="77777777" w:rsidR="009A4B39" w:rsidRPr="009A4B39" w:rsidRDefault="009A4B39" w:rsidP="009A4B39">
      <w:pPr>
        <w:spacing w:line="240" w:lineRule="auto"/>
        <w:ind w:firstLine="0"/>
        <w:rPr>
          <w:spacing w:val="-3"/>
          <w:sz w:val="24"/>
          <w:szCs w:val="24"/>
        </w:rPr>
      </w:pP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t>Elizabeth H. Barnes</w:t>
      </w:r>
    </w:p>
    <w:p w14:paraId="4D1B90CC" w14:textId="77777777" w:rsidR="009A4B39" w:rsidRPr="009A4B39" w:rsidRDefault="009A4B39" w:rsidP="009A4B39">
      <w:pPr>
        <w:spacing w:line="240" w:lineRule="auto"/>
        <w:ind w:firstLine="0"/>
        <w:rPr>
          <w:spacing w:val="-3"/>
          <w:sz w:val="24"/>
          <w:szCs w:val="24"/>
        </w:rPr>
      </w:pP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r>
      <w:r w:rsidRPr="009A4B39">
        <w:rPr>
          <w:spacing w:val="-3"/>
          <w:sz w:val="24"/>
          <w:szCs w:val="24"/>
        </w:rPr>
        <w:tab/>
        <w:t>Administrative Law Judge</w:t>
      </w:r>
    </w:p>
    <w:p w14:paraId="358ECB16" w14:textId="77777777" w:rsidR="009A4B39" w:rsidRDefault="009A4B39" w:rsidP="009A4B39">
      <w:pPr>
        <w:rPr>
          <w:sz w:val="24"/>
          <w:szCs w:val="24"/>
        </w:rPr>
        <w:sectPr w:rsidR="009A4B39" w:rsidSect="009A4B39">
          <w:pgSz w:w="12240" w:h="15840" w:code="1"/>
          <w:pgMar w:top="1296" w:right="1440" w:bottom="1296" w:left="1440" w:header="720" w:footer="720" w:gutter="0"/>
          <w:paperSrc w:first="260" w:other="260"/>
          <w:cols w:space="720"/>
          <w:docGrid w:linePitch="360"/>
        </w:sectPr>
      </w:pPr>
    </w:p>
    <w:p w14:paraId="4211D0D3" w14:textId="77777777" w:rsidR="009A4B39" w:rsidRPr="00543C62" w:rsidRDefault="009A4B39" w:rsidP="009A4B39">
      <w:pPr>
        <w:ind w:firstLine="0"/>
        <w:rPr>
          <w:sz w:val="24"/>
          <w:szCs w:val="24"/>
        </w:rPr>
      </w:pPr>
      <w:r w:rsidRPr="00543C62">
        <w:rPr>
          <w:sz w:val="24"/>
          <w:szCs w:val="24"/>
        </w:rPr>
        <w:lastRenderedPageBreak/>
        <w:t xml:space="preserve">Drug Administration (FDA) and the Environmental Protection Agency (EPA).  PPL Electric Statement No. 1 at 9-10.  </w:t>
      </w:r>
    </w:p>
    <w:p w14:paraId="40851395" w14:textId="77777777" w:rsidR="009A4B39" w:rsidRPr="00543C62" w:rsidRDefault="009A4B39" w:rsidP="009A4B39">
      <w:pPr>
        <w:rPr>
          <w:sz w:val="24"/>
          <w:szCs w:val="24"/>
        </w:rPr>
      </w:pPr>
    </w:p>
    <w:p w14:paraId="4C4D084E" w14:textId="77777777" w:rsidR="009A4B39" w:rsidRPr="00543C62" w:rsidRDefault="009A4B39" w:rsidP="009A4B39">
      <w:pPr>
        <w:rPr>
          <w:sz w:val="24"/>
          <w:szCs w:val="24"/>
        </w:rPr>
      </w:pPr>
      <w:r w:rsidRPr="00543C62">
        <w:rPr>
          <w:sz w:val="24"/>
          <w:szCs w:val="24"/>
        </w:rPr>
        <w:t>The levels of RF fields from the Landis + Gyr Focus AX-SD AMI meters are 98,000 times lower than the RF exposure safety limits established by the FCC.  PPL Electric Statement No. 1 at 15, PPL Electric Exhibit CD2.  RF signals from the AMI meter are of very short duration and will occur for only a total of 84 seconds over a 24-hour period.  PPL Electric Statement No. 1 at 7.</w:t>
      </w:r>
    </w:p>
    <w:p w14:paraId="4244759F" w14:textId="77777777" w:rsidR="009A4B39" w:rsidRPr="00543C62" w:rsidRDefault="009A4B39" w:rsidP="009A4B39">
      <w:pPr>
        <w:rPr>
          <w:sz w:val="24"/>
          <w:szCs w:val="24"/>
        </w:rPr>
      </w:pPr>
    </w:p>
    <w:p w14:paraId="57613412" w14:textId="77777777" w:rsidR="009A4B39" w:rsidRPr="00E91806" w:rsidRDefault="009A4B39" w:rsidP="009A4B39">
      <w:pPr>
        <w:rPr>
          <w:sz w:val="24"/>
          <w:szCs w:val="24"/>
        </w:rPr>
      </w:pPr>
      <w:r w:rsidRPr="00543C62">
        <w:rPr>
          <w:sz w:val="24"/>
          <w:szCs w:val="24"/>
        </w:rPr>
        <w:t xml:space="preserve">The RF field exposure 30 feet from a person using a cell phone are three times larger than the RF fields from the AMI meter.  PPL Electric Statement No. 1 at 14, PPL Electric Exhibit CD4.  RF fields from using cell phones near the head can be over 260,000 times higher than the RF fields from the AMI meter.  PPL Electric Exhibit CD4.  </w:t>
      </w:r>
      <w:r>
        <w:rPr>
          <w:sz w:val="24"/>
          <w:szCs w:val="24"/>
        </w:rPr>
        <w:t xml:space="preserve"> </w:t>
      </w:r>
    </w:p>
    <w:p w14:paraId="4717722D" w14:textId="77777777" w:rsidR="009A4B39" w:rsidRPr="00E91806" w:rsidRDefault="009A4B39" w:rsidP="009A4B39">
      <w:pPr>
        <w:rPr>
          <w:sz w:val="24"/>
          <w:szCs w:val="24"/>
        </w:rPr>
      </w:pPr>
    </w:p>
    <w:p w14:paraId="698407CE" w14:textId="77777777" w:rsidR="009A4B39" w:rsidRPr="00543C62" w:rsidRDefault="009A4B39" w:rsidP="009A4B39">
      <w:pPr>
        <w:rPr>
          <w:sz w:val="24"/>
          <w:szCs w:val="24"/>
        </w:rPr>
      </w:pPr>
      <w:r w:rsidRPr="00543C62">
        <w:rPr>
          <w:sz w:val="24"/>
          <w:szCs w:val="24"/>
        </w:rPr>
        <w:t xml:space="preserve">Additionally, there are </w:t>
      </w:r>
      <w:r>
        <w:rPr>
          <w:sz w:val="24"/>
          <w:szCs w:val="24"/>
        </w:rPr>
        <w:t>seven</w:t>
      </w:r>
      <w:r w:rsidRPr="00543C62">
        <w:rPr>
          <w:sz w:val="24"/>
          <w:szCs w:val="24"/>
        </w:rPr>
        <w:t xml:space="preserve"> television broadcast towers within a 50-mile radius of Complainant’s location in </w:t>
      </w:r>
      <w:r>
        <w:rPr>
          <w:sz w:val="24"/>
          <w:szCs w:val="24"/>
        </w:rPr>
        <w:t>Duncannon</w:t>
      </w:r>
      <w:r w:rsidRPr="00543C62">
        <w:rPr>
          <w:sz w:val="24"/>
          <w:szCs w:val="24"/>
        </w:rPr>
        <w:t xml:space="preserve">, Pennsylvania.  PPL Electric Statement No. 1 at 15.   Based on the locations of each tower and their RF power outputs, the constant background level of RF fields at Complainant’s residence are </w:t>
      </w:r>
      <w:r>
        <w:rPr>
          <w:sz w:val="24"/>
          <w:szCs w:val="24"/>
        </w:rPr>
        <w:t>1</w:t>
      </w:r>
      <w:r w:rsidRPr="00E91806">
        <w:rPr>
          <w:sz w:val="24"/>
          <w:szCs w:val="24"/>
        </w:rPr>
        <w:t xml:space="preserve">3 </w:t>
      </w:r>
      <w:r w:rsidRPr="00543C62">
        <w:rPr>
          <w:sz w:val="24"/>
          <w:szCs w:val="24"/>
        </w:rPr>
        <w:t>times higher than the RF signals from the AMI meter.  PPL Electric Statement No. 1 at 15, PPL Electric Exhibit CD-5.  Thus, given the background RF exposure to the service property compared to the minimal RF exposure from the AMI meter, I am not persuaded to conclude the AMI meter will cause a deleterious health effect to Complainant.  This holding is consistent with recent caselaw precedent including:</w:t>
      </w:r>
      <w:r w:rsidRPr="006307E7">
        <w:rPr>
          <w:i/>
          <w:sz w:val="24"/>
          <w:szCs w:val="24"/>
        </w:rPr>
        <w:t xml:space="preserve"> </w:t>
      </w:r>
      <w:r w:rsidRPr="002461D7">
        <w:rPr>
          <w:i/>
          <w:sz w:val="24"/>
          <w:szCs w:val="24"/>
        </w:rPr>
        <w:t>Hoffman-Lorah</w:t>
      </w:r>
      <w:r>
        <w:rPr>
          <w:i/>
          <w:sz w:val="24"/>
          <w:szCs w:val="24"/>
        </w:rPr>
        <w:t xml:space="preserve"> supra.</w:t>
      </w:r>
      <w:r>
        <w:rPr>
          <w:sz w:val="24"/>
          <w:szCs w:val="24"/>
        </w:rPr>
        <w:t xml:space="preserve">; </w:t>
      </w:r>
      <w:r w:rsidRPr="00543C62">
        <w:rPr>
          <w:i/>
          <w:sz w:val="24"/>
          <w:szCs w:val="24"/>
        </w:rPr>
        <w:t>Benha</w:t>
      </w:r>
      <w:r>
        <w:rPr>
          <w:i/>
          <w:sz w:val="24"/>
          <w:szCs w:val="24"/>
        </w:rPr>
        <w:t>y</w:t>
      </w:r>
      <w:r w:rsidRPr="00543C62">
        <w:rPr>
          <w:i/>
          <w:sz w:val="24"/>
          <w:szCs w:val="24"/>
        </w:rPr>
        <w:t xml:space="preserve">on v. PPL Electric Utilities Corporation, </w:t>
      </w:r>
      <w:r w:rsidRPr="00543C62">
        <w:rPr>
          <w:sz w:val="24"/>
          <w:szCs w:val="24"/>
        </w:rPr>
        <w:t>C-2018-3003491 (Final Order entered April 29, 2019, adopting Initial Decision issued March 25, 2019) and</w:t>
      </w:r>
      <w:r w:rsidRPr="00543C62">
        <w:rPr>
          <w:i/>
          <w:sz w:val="24"/>
          <w:szCs w:val="24"/>
        </w:rPr>
        <w:t xml:space="preserve"> </w:t>
      </w:r>
      <w:bookmarkStart w:id="2" w:name="_Hlk7600764"/>
      <w:r w:rsidRPr="00543C62">
        <w:rPr>
          <w:i/>
          <w:sz w:val="24"/>
          <w:szCs w:val="24"/>
        </w:rPr>
        <w:t xml:space="preserve">Lesniewski </w:t>
      </w:r>
      <w:bookmarkEnd w:id="2"/>
      <w:r w:rsidRPr="00543C62">
        <w:rPr>
          <w:i/>
          <w:sz w:val="24"/>
          <w:szCs w:val="24"/>
        </w:rPr>
        <w:t>v. PPL Electric Utilities Corporation</w:t>
      </w:r>
      <w:r w:rsidRPr="00543C62">
        <w:rPr>
          <w:sz w:val="24"/>
          <w:szCs w:val="24"/>
        </w:rPr>
        <w:t xml:space="preserve">, C-2018-3004594 (Final Order entered April 29, 2019, adopting Initial Decision issued March 25, 2019).  </w:t>
      </w:r>
    </w:p>
    <w:p w14:paraId="092C536A" w14:textId="77777777" w:rsidR="009A4B39" w:rsidRPr="00543C62" w:rsidRDefault="009A4B39" w:rsidP="009A4B39">
      <w:pPr>
        <w:rPr>
          <w:sz w:val="24"/>
          <w:szCs w:val="24"/>
        </w:rPr>
      </w:pPr>
    </w:p>
    <w:p w14:paraId="0488BA5D" w14:textId="77777777" w:rsidR="009A4B39" w:rsidRPr="00543C62" w:rsidRDefault="009A4B39" w:rsidP="009A4B39">
      <w:pPr>
        <w:ind w:firstLine="0"/>
        <w:rPr>
          <w:sz w:val="24"/>
          <w:szCs w:val="24"/>
          <w:u w:val="single"/>
        </w:rPr>
      </w:pPr>
      <w:r w:rsidRPr="00543C62">
        <w:rPr>
          <w:sz w:val="24"/>
          <w:szCs w:val="24"/>
          <w:u w:val="single"/>
        </w:rPr>
        <w:t>Data Privacy</w:t>
      </w:r>
    </w:p>
    <w:p w14:paraId="0C6245C0" w14:textId="77777777" w:rsidR="009A4B39" w:rsidRPr="00543C62" w:rsidRDefault="009A4B39" w:rsidP="009A4B39">
      <w:pPr>
        <w:ind w:firstLine="0"/>
        <w:rPr>
          <w:sz w:val="24"/>
          <w:szCs w:val="24"/>
          <w:u w:val="single"/>
        </w:rPr>
      </w:pPr>
    </w:p>
    <w:p w14:paraId="311A8090" w14:textId="77777777" w:rsidR="00C51B6E" w:rsidRDefault="009A4B39" w:rsidP="009A4B39">
      <w:r w:rsidRPr="00543C62">
        <w:rPr>
          <w:sz w:val="24"/>
          <w:szCs w:val="24"/>
        </w:rPr>
        <w:t>Complainant contends it is unreasonable that the new AMI meter invades h</w:t>
      </w:r>
      <w:r>
        <w:rPr>
          <w:sz w:val="24"/>
          <w:szCs w:val="24"/>
        </w:rPr>
        <w:t>is</w:t>
      </w:r>
      <w:r w:rsidRPr="00543C62">
        <w:rPr>
          <w:sz w:val="24"/>
          <w:szCs w:val="24"/>
        </w:rPr>
        <w:t xml:space="preserve"> privacy </w:t>
      </w:r>
      <w:r>
        <w:rPr>
          <w:sz w:val="24"/>
          <w:szCs w:val="24"/>
        </w:rPr>
        <w:t>and that the meters are not cyber secure.  Complainant offers as evidence the articles and blogs contained in Complainant Exhibit No. 1.   Conversely, PPL argues its witnesses’</w:t>
      </w:r>
    </w:p>
    <w:sectPr w:rsidR="00C51B6E" w:rsidSect="009A4B39">
      <w:footerReference w:type="default" r:id="rId6"/>
      <w:pgSz w:w="12240" w:h="15840" w:code="1"/>
      <w:pgMar w:top="1296" w:right="1440" w:bottom="1296"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8EECB" w14:textId="77777777" w:rsidR="009A4B39" w:rsidRDefault="009A4B39" w:rsidP="009A4B39">
      <w:pPr>
        <w:spacing w:line="240" w:lineRule="auto"/>
      </w:pPr>
      <w:r>
        <w:separator/>
      </w:r>
    </w:p>
  </w:endnote>
  <w:endnote w:type="continuationSeparator" w:id="0">
    <w:p w14:paraId="56509471" w14:textId="77777777" w:rsidR="009A4B39" w:rsidRDefault="009A4B39" w:rsidP="009A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57C41" w14:textId="77777777" w:rsidR="009A4B39" w:rsidRPr="009A4B39" w:rsidRDefault="009A4B39" w:rsidP="009A4B39">
    <w:pPr>
      <w:pStyle w:val="Footer"/>
      <w:tabs>
        <w:tab w:val="clear" w:pos="4680"/>
      </w:tabs>
      <w:ind w:firstLine="0"/>
      <w:jc w:val="center"/>
      <w:rPr>
        <w:sz w:val="20"/>
      </w:rPr>
    </w:pPr>
    <w:r>
      <w:rPr>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75F58" w14:textId="77777777" w:rsidR="009A4B39" w:rsidRDefault="009A4B39" w:rsidP="009A4B39">
      <w:pPr>
        <w:spacing w:line="240" w:lineRule="auto"/>
      </w:pPr>
      <w:r>
        <w:separator/>
      </w:r>
    </w:p>
  </w:footnote>
  <w:footnote w:type="continuationSeparator" w:id="0">
    <w:p w14:paraId="3E91CBC2" w14:textId="77777777" w:rsidR="009A4B39" w:rsidRDefault="009A4B39" w:rsidP="009A4B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4B39"/>
    <w:rsid w:val="00061759"/>
    <w:rsid w:val="002A51F2"/>
    <w:rsid w:val="0035516A"/>
    <w:rsid w:val="003B489F"/>
    <w:rsid w:val="005061BD"/>
    <w:rsid w:val="009A4B39"/>
    <w:rsid w:val="00A6314B"/>
    <w:rsid w:val="00B11B94"/>
    <w:rsid w:val="00F619C5"/>
    <w:rsid w:val="00F83E9C"/>
    <w:rsid w:val="00FC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77D6"/>
  <w15:chartTrackingRefBased/>
  <w15:docId w15:val="{1988B124-86F2-4534-818D-F910F996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B39"/>
    <w:pPr>
      <w:spacing w:after="0" w:line="360" w:lineRule="auto"/>
      <w:ind w:firstLine="1440"/>
    </w:pPr>
    <w:rPr>
      <w:rFonts w:ascii="Times New Roman" w:eastAsia="Times New Roman" w:hAnsi="Times New Roman" w:cs="Times New Roman"/>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B39"/>
    <w:pPr>
      <w:tabs>
        <w:tab w:val="center" w:pos="4680"/>
        <w:tab w:val="right" w:pos="9360"/>
      </w:tabs>
      <w:spacing w:line="240" w:lineRule="auto"/>
    </w:pPr>
  </w:style>
  <w:style w:type="character" w:customStyle="1" w:styleId="HeaderChar">
    <w:name w:val="Header Char"/>
    <w:basedOn w:val="DefaultParagraphFont"/>
    <w:link w:val="Header"/>
    <w:uiPriority w:val="99"/>
    <w:rsid w:val="009A4B39"/>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9A4B39"/>
    <w:pPr>
      <w:tabs>
        <w:tab w:val="center" w:pos="4680"/>
        <w:tab w:val="right" w:pos="9360"/>
      </w:tabs>
      <w:spacing w:line="240" w:lineRule="auto"/>
    </w:pPr>
  </w:style>
  <w:style w:type="character" w:customStyle="1" w:styleId="FooterChar">
    <w:name w:val="Footer Char"/>
    <w:basedOn w:val="DefaultParagraphFont"/>
    <w:link w:val="Footer"/>
    <w:uiPriority w:val="99"/>
    <w:rsid w:val="009A4B39"/>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shoffner</cp:lastModifiedBy>
  <cp:revision>3</cp:revision>
  <dcterms:created xsi:type="dcterms:W3CDTF">2019-07-02T12:42:00Z</dcterms:created>
  <dcterms:modified xsi:type="dcterms:W3CDTF">2019-07-02T12:53:00Z</dcterms:modified>
</cp:coreProperties>
</file>