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769A150D"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32A85">
        <w:rPr>
          <w:rFonts w:ascii="Times New Roman" w:hAnsi="Times New Roman"/>
          <w:sz w:val="24"/>
          <w:szCs w:val="24"/>
        </w:rPr>
        <w:t>July 11</w:t>
      </w:r>
      <w:r w:rsidR="003265F9">
        <w:rPr>
          <w:rFonts w:ascii="Times New Roman" w:hAnsi="Times New Roman"/>
          <w:sz w:val="24"/>
          <w:szCs w:val="24"/>
        </w:rPr>
        <w:t>, 2019</w:t>
      </w:r>
    </w:p>
    <w:p w14:paraId="67BEB132" w14:textId="15C9405F" w:rsidR="00CB25E0"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0D87DD9A" w:rsidR="006418EF" w:rsidRDefault="006418EF" w:rsidP="000A63CB">
      <w:pPr>
        <w:rPr>
          <w:rFonts w:ascii="Times New Roman" w:eastAsia="Times New Roman" w:hAnsi="Times New Roman"/>
          <w:bCs/>
          <w:sz w:val="24"/>
          <w:szCs w:val="24"/>
        </w:rPr>
      </w:pPr>
    </w:p>
    <w:p w14:paraId="304D11C5" w14:textId="77777777" w:rsidR="00232A85" w:rsidRDefault="00232A85" w:rsidP="000A63CB">
      <w:pPr>
        <w:rPr>
          <w:rFonts w:ascii="Times New Roman" w:eastAsia="Times New Roman" w:hAnsi="Times New Roman"/>
          <w:bCs/>
          <w:sz w:val="24"/>
          <w:szCs w:val="24"/>
        </w:rPr>
      </w:pPr>
    </w:p>
    <w:p w14:paraId="0805A634" w14:textId="652B73CA" w:rsidR="00232A85" w:rsidRPr="00232A85" w:rsidRDefault="00232A85" w:rsidP="00232A85">
      <w:pPr>
        <w:rPr>
          <w:rFonts w:ascii="Times New Roman" w:eastAsia="Times New Roman" w:hAnsi="Times New Roman"/>
          <w:sz w:val="24"/>
          <w:szCs w:val="24"/>
        </w:rPr>
      </w:pPr>
      <w:r w:rsidRPr="00232A85">
        <w:rPr>
          <w:rFonts w:ascii="Times New Roman" w:eastAsia="Times New Roman" w:hAnsi="Times New Roman"/>
          <w:sz w:val="24"/>
          <w:szCs w:val="24"/>
        </w:rPr>
        <w:t>Pennsylvania Public Utility Commission</w:t>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t>:</w:t>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Pr>
          <w:rFonts w:ascii="Times New Roman" w:eastAsia="Times New Roman" w:hAnsi="Times New Roman"/>
          <w:sz w:val="24"/>
          <w:szCs w:val="24"/>
        </w:rPr>
        <w:tab/>
      </w:r>
      <w:r w:rsidRPr="00232A85">
        <w:rPr>
          <w:rFonts w:ascii="Times New Roman" w:eastAsia="Times New Roman" w:hAnsi="Times New Roman"/>
          <w:sz w:val="24"/>
          <w:szCs w:val="24"/>
        </w:rPr>
        <w:t>R-2019-3007103</w:t>
      </w:r>
    </w:p>
    <w:p w14:paraId="5BC5D01D" w14:textId="3AB55D61" w:rsidR="00232A85" w:rsidRPr="00232A85" w:rsidRDefault="00232A85" w:rsidP="00232A85">
      <w:pPr>
        <w:rPr>
          <w:rFonts w:ascii="Times New Roman" w:eastAsia="Times New Roman" w:hAnsi="Times New Roman"/>
          <w:sz w:val="24"/>
          <w:szCs w:val="24"/>
        </w:rPr>
      </w:pPr>
      <w:r w:rsidRPr="00232A85">
        <w:rPr>
          <w:rFonts w:ascii="Times New Roman" w:eastAsia="Times New Roman" w:hAnsi="Times New Roman"/>
          <w:sz w:val="24"/>
          <w:szCs w:val="24"/>
        </w:rPr>
        <w:t>Office of Consumer Advocate</w:t>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t>:</w:t>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bookmarkStart w:id="0" w:name="_Hlk511388369"/>
      <w:r>
        <w:rPr>
          <w:rFonts w:ascii="Times New Roman" w:eastAsia="Times New Roman" w:hAnsi="Times New Roman"/>
          <w:sz w:val="24"/>
          <w:szCs w:val="24"/>
        </w:rPr>
        <w:tab/>
      </w:r>
      <w:r w:rsidRPr="00232A85">
        <w:rPr>
          <w:rFonts w:ascii="Times New Roman" w:eastAsia="Times New Roman" w:hAnsi="Times New Roman"/>
          <w:sz w:val="24"/>
          <w:szCs w:val="24"/>
        </w:rPr>
        <w:t>C-201</w:t>
      </w:r>
      <w:bookmarkEnd w:id="0"/>
      <w:r w:rsidRPr="00232A85">
        <w:rPr>
          <w:rFonts w:ascii="Times New Roman" w:eastAsia="Times New Roman" w:hAnsi="Times New Roman"/>
          <w:sz w:val="24"/>
          <w:szCs w:val="24"/>
        </w:rPr>
        <w:t>9-3007947</w:t>
      </w:r>
    </w:p>
    <w:p w14:paraId="4ECDBD5A" w14:textId="77777777" w:rsidR="00232A85" w:rsidRPr="00232A85" w:rsidRDefault="00232A85" w:rsidP="00232A85">
      <w:pPr>
        <w:rPr>
          <w:rFonts w:ascii="Times New Roman" w:eastAsia="Times New Roman" w:hAnsi="Times New Roman"/>
          <w:sz w:val="24"/>
          <w:szCs w:val="24"/>
        </w:rPr>
      </w:pP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t>:</w:t>
      </w:r>
    </w:p>
    <w:p w14:paraId="45E61736" w14:textId="77777777" w:rsidR="00232A85" w:rsidRPr="00232A85" w:rsidRDefault="00232A85" w:rsidP="00232A85">
      <w:pPr>
        <w:rPr>
          <w:rFonts w:ascii="Times New Roman" w:eastAsia="Times New Roman" w:hAnsi="Times New Roman"/>
          <w:sz w:val="24"/>
          <w:szCs w:val="24"/>
        </w:rPr>
      </w:pPr>
      <w:r w:rsidRPr="00232A85">
        <w:rPr>
          <w:rFonts w:ascii="Times New Roman" w:eastAsia="Times New Roman" w:hAnsi="Times New Roman"/>
          <w:sz w:val="24"/>
          <w:szCs w:val="24"/>
        </w:rPr>
        <w:tab/>
        <w:t>v.</w:t>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t>:</w:t>
      </w:r>
    </w:p>
    <w:p w14:paraId="27155394" w14:textId="77777777" w:rsidR="00232A85" w:rsidRPr="00232A85" w:rsidRDefault="00232A85" w:rsidP="00232A85">
      <w:pPr>
        <w:rPr>
          <w:rFonts w:ascii="Times New Roman" w:eastAsia="Times New Roman" w:hAnsi="Times New Roman"/>
          <w:sz w:val="24"/>
          <w:szCs w:val="24"/>
        </w:rPr>
      </w:pP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t>:</w:t>
      </w:r>
    </w:p>
    <w:p w14:paraId="783409E3" w14:textId="77777777" w:rsidR="00232A85" w:rsidRPr="00232A85" w:rsidRDefault="00232A85" w:rsidP="00232A85">
      <w:pPr>
        <w:rPr>
          <w:rFonts w:ascii="Times New Roman" w:eastAsia="Times New Roman" w:hAnsi="Times New Roman"/>
          <w:sz w:val="24"/>
          <w:szCs w:val="24"/>
        </w:rPr>
      </w:pPr>
      <w:r w:rsidRPr="00232A85">
        <w:rPr>
          <w:rFonts w:ascii="Times New Roman" w:eastAsia="Times New Roman" w:hAnsi="Times New Roman"/>
          <w:sz w:val="24"/>
          <w:szCs w:val="24"/>
        </w:rPr>
        <w:t>Buck Hill Water Company</w:t>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r>
      <w:r w:rsidRPr="00232A85">
        <w:rPr>
          <w:rFonts w:ascii="Times New Roman" w:eastAsia="Times New Roman" w:hAnsi="Times New Roman"/>
          <w:sz w:val="24"/>
          <w:szCs w:val="24"/>
        </w:rPr>
        <w:tab/>
        <w:t>:</w:t>
      </w:r>
    </w:p>
    <w:p w14:paraId="386F441E" w14:textId="2C7A11A6" w:rsidR="009906B2" w:rsidRDefault="009906B2" w:rsidP="00577603">
      <w:pPr>
        <w:jc w:val="center"/>
        <w:rPr>
          <w:rFonts w:ascii="Times New Roman" w:hAnsi="Times New Roman"/>
          <w:b/>
          <w:sz w:val="24"/>
          <w:szCs w:val="24"/>
          <w:u w:val="single"/>
        </w:rPr>
      </w:pPr>
    </w:p>
    <w:p w14:paraId="439CCEB4" w14:textId="17AF8E95" w:rsidR="00C43298" w:rsidRDefault="00C43298" w:rsidP="00577603">
      <w:pPr>
        <w:jc w:val="center"/>
        <w:rPr>
          <w:rFonts w:ascii="Times New Roman" w:hAnsi="Times New Roman"/>
          <w:b/>
          <w:sz w:val="24"/>
          <w:szCs w:val="24"/>
          <w:u w:val="single"/>
        </w:rPr>
      </w:pPr>
    </w:p>
    <w:p w14:paraId="44FD9FB4" w14:textId="77777777" w:rsidR="00232A85" w:rsidRDefault="00232A85"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1A72372F"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232A85" w:rsidRPr="00232A85">
        <w:rPr>
          <w:rFonts w:ascii="Times New Roman" w:hAnsi="Times New Roman"/>
          <w:sz w:val="24"/>
          <w:szCs w:val="24"/>
        </w:rPr>
        <w:t>F. Joseph Brady</w:t>
      </w:r>
      <w:r w:rsidR="00E17242" w:rsidRPr="00A1530D">
        <w:rPr>
          <w:rFonts w:ascii="Times New Roman" w:hAnsi="Times New Roman"/>
          <w:sz w:val="24"/>
          <w:szCs w:val="24"/>
        </w:rPr>
        <w:t xml:space="preserve">, dated </w:t>
      </w:r>
      <w:r w:rsidR="00232A85">
        <w:rPr>
          <w:rFonts w:ascii="Times New Roman" w:hAnsi="Times New Roman"/>
          <w:sz w:val="24"/>
          <w:szCs w:val="24"/>
        </w:rPr>
        <w:t>May 29</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232A85">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D4416C8" w14:textId="77777777" w:rsidR="00232A85" w:rsidRPr="00232A85" w:rsidRDefault="00232A85" w:rsidP="00232A85">
      <w:pPr>
        <w:numPr>
          <w:ilvl w:val="0"/>
          <w:numId w:val="20"/>
        </w:numPr>
        <w:spacing w:line="360" w:lineRule="auto"/>
        <w:ind w:left="0" w:firstLine="1440"/>
        <w:jc w:val="both"/>
        <w:rPr>
          <w:rFonts w:ascii="Times New Roman" w:eastAsia="Times New Roman" w:hAnsi="Times New Roman"/>
          <w:sz w:val="24"/>
          <w:szCs w:val="24"/>
        </w:rPr>
      </w:pPr>
      <w:r w:rsidRPr="00232A85">
        <w:rPr>
          <w:rFonts w:ascii="Times New Roman" w:eastAsia="Times New Roman" w:hAnsi="Times New Roman"/>
          <w:sz w:val="24"/>
          <w:szCs w:val="24"/>
        </w:rPr>
        <w:t xml:space="preserve">That Buck Hill Water Company shall not place into effect the rates, rules, and regulations contained in Supplement No. 32 to Tariff Water – Pa. P.U.C. No. 3 as filed on January 11, 2019; </w:t>
      </w:r>
    </w:p>
    <w:p w14:paraId="072C61E7" w14:textId="77777777" w:rsidR="00232A85" w:rsidRDefault="00232A85" w:rsidP="00232A85">
      <w:pPr>
        <w:spacing w:line="360" w:lineRule="auto"/>
        <w:ind w:firstLine="1440"/>
        <w:jc w:val="both"/>
        <w:rPr>
          <w:rFonts w:ascii="Times New Roman" w:eastAsia="Times New Roman" w:hAnsi="Times New Roman"/>
          <w:sz w:val="24"/>
          <w:szCs w:val="24"/>
        </w:rPr>
        <w:sectPr w:rsidR="00232A85" w:rsidSect="00232A85">
          <w:footerReference w:type="default" r:id="rId8"/>
          <w:pgSz w:w="12240" w:h="15840" w:code="1"/>
          <w:pgMar w:top="1296" w:right="1440" w:bottom="1296" w:left="1440" w:header="720" w:footer="720" w:gutter="0"/>
          <w:pgNumType w:start="2"/>
          <w:cols w:space="720"/>
          <w:docGrid w:linePitch="360"/>
        </w:sectPr>
      </w:pPr>
    </w:p>
    <w:p w14:paraId="53A643BC" w14:textId="77777777" w:rsidR="00232A85" w:rsidRPr="00232A85" w:rsidRDefault="00232A85" w:rsidP="00232A85">
      <w:pPr>
        <w:numPr>
          <w:ilvl w:val="0"/>
          <w:numId w:val="20"/>
        </w:numPr>
        <w:spacing w:line="360" w:lineRule="auto"/>
        <w:ind w:left="0" w:firstLine="1440"/>
        <w:jc w:val="both"/>
        <w:rPr>
          <w:rFonts w:ascii="Times New Roman" w:eastAsia="Times New Roman" w:hAnsi="Times New Roman"/>
          <w:sz w:val="24"/>
          <w:szCs w:val="24"/>
        </w:rPr>
      </w:pPr>
      <w:r w:rsidRPr="00232A85">
        <w:rPr>
          <w:rFonts w:ascii="Times New Roman" w:eastAsia="Times New Roman" w:hAnsi="Times New Roman"/>
          <w:sz w:val="24"/>
          <w:szCs w:val="24"/>
        </w:rPr>
        <w:lastRenderedPageBreak/>
        <w:t>That the rates, terms and conditions contained in the Joint Settlement Petition filed by Buck Hill Water Company and the Office of Consumer Advocate be approved and adopted consistent with the discussion contained herein;</w:t>
      </w:r>
    </w:p>
    <w:p w14:paraId="2C815DF6" w14:textId="77777777" w:rsidR="00232A85" w:rsidRPr="00232A85" w:rsidRDefault="00232A85" w:rsidP="00232A85">
      <w:pPr>
        <w:spacing w:line="360" w:lineRule="auto"/>
        <w:ind w:firstLine="1440"/>
        <w:jc w:val="both"/>
        <w:rPr>
          <w:rFonts w:ascii="Times New Roman" w:eastAsia="Times New Roman" w:hAnsi="Times New Roman"/>
          <w:sz w:val="24"/>
          <w:szCs w:val="24"/>
        </w:rPr>
      </w:pPr>
    </w:p>
    <w:p w14:paraId="79FE77F6" w14:textId="77777777" w:rsidR="00232A85" w:rsidRPr="00232A85" w:rsidRDefault="00232A85" w:rsidP="00232A85">
      <w:pPr>
        <w:numPr>
          <w:ilvl w:val="0"/>
          <w:numId w:val="20"/>
        </w:numPr>
        <w:spacing w:line="360" w:lineRule="auto"/>
        <w:ind w:left="0" w:firstLine="1440"/>
        <w:jc w:val="both"/>
        <w:rPr>
          <w:rFonts w:ascii="Times New Roman" w:eastAsia="Times New Roman" w:hAnsi="Times New Roman"/>
          <w:sz w:val="24"/>
          <w:szCs w:val="24"/>
        </w:rPr>
      </w:pPr>
      <w:r w:rsidRPr="00232A85">
        <w:rPr>
          <w:rFonts w:ascii="Times New Roman" w:eastAsia="Times New Roman" w:hAnsi="Times New Roman"/>
          <w:sz w:val="24"/>
          <w:szCs w:val="24"/>
        </w:rPr>
        <w:t>That upon the Commission's approval of this Joint Settlement, Buck Hill Water Company will be permitted to charge the rates for water service set forth in the revised Supplement No. 34 to Tariff Water – Pa. P.U.C. No. 3, which is attached to the Joint Settlement Petition as Appendix A;</w:t>
      </w:r>
    </w:p>
    <w:p w14:paraId="324D1127" w14:textId="77777777" w:rsidR="00232A85" w:rsidRPr="00232A85" w:rsidRDefault="00232A85" w:rsidP="00232A85">
      <w:pPr>
        <w:spacing w:line="360" w:lineRule="auto"/>
        <w:ind w:firstLine="1440"/>
        <w:jc w:val="both"/>
        <w:rPr>
          <w:rFonts w:ascii="Times New Roman" w:eastAsia="Times New Roman" w:hAnsi="Times New Roman"/>
          <w:sz w:val="24"/>
          <w:szCs w:val="24"/>
        </w:rPr>
      </w:pPr>
    </w:p>
    <w:p w14:paraId="5197D783" w14:textId="77777777" w:rsidR="00232A85" w:rsidRPr="00232A85" w:rsidRDefault="00232A85" w:rsidP="00232A85">
      <w:pPr>
        <w:numPr>
          <w:ilvl w:val="0"/>
          <w:numId w:val="20"/>
        </w:numPr>
        <w:spacing w:line="360" w:lineRule="auto"/>
        <w:ind w:left="0" w:firstLine="1440"/>
        <w:jc w:val="both"/>
        <w:rPr>
          <w:rFonts w:ascii="Times New Roman" w:eastAsia="Times New Roman" w:hAnsi="Times New Roman"/>
          <w:sz w:val="24"/>
          <w:szCs w:val="24"/>
        </w:rPr>
      </w:pPr>
      <w:r w:rsidRPr="00232A85">
        <w:rPr>
          <w:rFonts w:ascii="Times New Roman" w:eastAsia="Times New Roman" w:hAnsi="Times New Roman"/>
          <w:sz w:val="24"/>
          <w:szCs w:val="24"/>
        </w:rPr>
        <w:t xml:space="preserve">That Buck Hill Water Company file a tariff or tariff supplement in substantially the same form as that attached as Appendix “A” to the Joint Settlement Petition of the Rate Investigation at Docket No. </w:t>
      </w:r>
      <w:bookmarkStart w:id="1" w:name="_Hlk9515490"/>
      <w:r w:rsidRPr="00232A85">
        <w:rPr>
          <w:rFonts w:ascii="Times New Roman" w:eastAsia="Times New Roman" w:hAnsi="Times New Roman"/>
          <w:sz w:val="24"/>
          <w:szCs w:val="24"/>
        </w:rPr>
        <w:t>R-2019-3007103</w:t>
      </w:r>
      <w:bookmarkEnd w:id="1"/>
      <w:r w:rsidRPr="00232A85">
        <w:rPr>
          <w:rFonts w:ascii="Times New Roman" w:eastAsia="Times New Roman" w:hAnsi="Times New Roman"/>
          <w:sz w:val="24"/>
          <w:szCs w:val="24"/>
        </w:rPr>
        <w:t xml:space="preserve"> reflecting the rates, rules, and regulations to become effective upon one day's notice, upon entry of the Commission Order approving the recommendation to adopt the Joint Settlement Petition of the Rate Investigation consistent with the discussion contained herein;</w:t>
      </w:r>
    </w:p>
    <w:p w14:paraId="4933AE55" w14:textId="77777777" w:rsidR="00232A85" w:rsidRPr="00232A85" w:rsidRDefault="00232A85" w:rsidP="00232A85">
      <w:pPr>
        <w:spacing w:line="360" w:lineRule="auto"/>
        <w:ind w:firstLine="1440"/>
        <w:jc w:val="both"/>
        <w:rPr>
          <w:rFonts w:ascii="Times New Roman" w:eastAsia="Times New Roman" w:hAnsi="Times New Roman"/>
          <w:sz w:val="24"/>
          <w:szCs w:val="24"/>
        </w:rPr>
      </w:pPr>
    </w:p>
    <w:p w14:paraId="5EB3C260" w14:textId="77777777" w:rsidR="00232A85" w:rsidRPr="00232A85" w:rsidRDefault="00232A85" w:rsidP="00232A85">
      <w:pPr>
        <w:numPr>
          <w:ilvl w:val="0"/>
          <w:numId w:val="20"/>
        </w:numPr>
        <w:spacing w:line="360" w:lineRule="auto"/>
        <w:ind w:left="0" w:firstLine="1440"/>
        <w:jc w:val="both"/>
        <w:rPr>
          <w:rFonts w:ascii="Times New Roman" w:eastAsia="Times New Roman" w:hAnsi="Times New Roman"/>
          <w:sz w:val="24"/>
          <w:szCs w:val="24"/>
        </w:rPr>
      </w:pPr>
      <w:r w:rsidRPr="00232A85">
        <w:rPr>
          <w:rFonts w:ascii="Times New Roman" w:eastAsia="Times New Roman" w:hAnsi="Times New Roman"/>
          <w:sz w:val="24"/>
          <w:szCs w:val="24"/>
        </w:rPr>
        <w:t>That upon acceptance of the appropriate compliance filing, the formal Complaint of the Office of Consumer Advocate filed at Docket No. C-2019-3007947 be deemed satisfied and marked closed; and</w:t>
      </w:r>
    </w:p>
    <w:p w14:paraId="3134D25D" w14:textId="77777777" w:rsidR="00232A85" w:rsidRPr="00232A85" w:rsidRDefault="00232A85" w:rsidP="00232A85">
      <w:pPr>
        <w:spacing w:line="360" w:lineRule="auto"/>
        <w:ind w:firstLine="1440"/>
        <w:jc w:val="both"/>
        <w:rPr>
          <w:rFonts w:ascii="Times New Roman" w:eastAsia="Times New Roman" w:hAnsi="Times New Roman"/>
          <w:sz w:val="24"/>
          <w:szCs w:val="24"/>
        </w:rPr>
      </w:pPr>
    </w:p>
    <w:p w14:paraId="52770C6E" w14:textId="77777777" w:rsidR="00232A85" w:rsidRPr="00232A85" w:rsidRDefault="00232A85" w:rsidP="00232A85">
      <w:pPr>
        <w:numPr>
          <w:ilvl w:val="0"/>
          <w:numId w:val="20"/>
        </w:numPr>
        <w:spacing w:line="360" w:lineRule="auto"/>
        <w:ind w:left="0" w:firstLine="1440"/>
        <w:jc w:val="both"/>
        <w:rPr>
          <w:rFonts w:ascii="Times New Roman" w:eastAsia="Times New Roman" w:hAnsi="Times New Roman"/>
          <w:sz w:val="24"/>
          <w:szCs w:val="24"/>
        </w:rPr>
      </w:pPr>
      <w:r w:rsidRPr="00232A85">
        <w:rPr>
          <w:rFonts w:ascii="Times New Roman" w:eastAsia="Times New Roman" w:hAnsi="Times New Roman"/>
          <w:sz w:val="24"/>
          <w:szCs w:val="24"/>
        </w:rPr>
        <w:t>That upon acceptance of the appropriate compliance filing, the Commission’s inquiry and investigation at Docket R-2019-3007103 be marked closed.</w:t>
      </w:r>
    </w:p>
    <w:p w14:paraId="078E226E" w14:textId="69D0A7D4" w:rsidR="000D5EA1" w:rsidRDefault="000D5EA1" w:rsidP="00926EEF">
      <w:pPr>
        <w:spacing w:line="360" w:lineRule="auto"/>
        <w:jc w:val="both"/>
        <w:rPr>
          <w:rFonts w:ascii="Times New Roman" w:hAnsi="Times New Roman"/>
          <w:sz w:val="24"/>
          <w:szCs w:val="24"/>
        </w:rPr>
      </w:pPr>
    </w:p>
    <w:p w14:paraId="32EC2B50" w14:textId="04C365BB" w:rsidR="00577603" w:rsidRPr="00A1530D" w:rsidRDefault="00EA1F0D"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15032B85" wp14:editId="04615EDB">
            <wp:simplePos x="0" y="0"/>
            <wp:positionH relativeFrom="column">
              <wp:posOffset>3152775</wp:posOffset>
            </wp:positionH>
            <wp:positionV relativeFrom="paragraph">
              <wp:posOffset>89535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67499938"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232A85">
        <w:rPr>
          <w:rFonts w:ascii="Times New Roman" w:hAnsi="Times New Roman"/>
          <w:sz w:val="24"/>
          <w:szCs w:val="24"/>
        </w:rPr>
        <w:t>July 11</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034D82A9"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EA1F0D">
        <w:rPr>
          <w:rFonts w:ascii="Times New Roman" w:hAnsi="Times New Roman"/>
          <w:sz w:val="24"/>
          <w:szCs w:val="24"/>
        </w:rPr>
        <w:t>July 11, 2019</w:t>
      </w:r>
      <w:bookmarkStart w:id="2" w:name="_GoBack"/>
      <w:bookmarkEnd w:id="2"/>
    </w:p>
    <w:sectPr w:rsidR="00B4392F" w:rsidRPr="00A1530D" w:rsidSect="00232A85">
      <w:footerReference w:type="default" r:id="rId10"/>
      <w:pgSz w:w="12240" w:h="15840" w:code="1"/>
      <w:pgMar w:top="1296" w:right="1440" w:bottom="1296"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803C6" w14:textId="77777777" w:rsidR="009B1EFF" w:rsidRDefault="009B1EFF" w:rsidP="00577603">
      <w:r>
        <w:separator/>
      </w:r>
    </w:p>
  </w:endnote>
  <w:endnote w:type="continuationSeparator" w:id="0">
    <w:p w14:paraId="69C6DAD4" w14:textId="77777777" w:rsidR="009B1EFF" w:rsidRDefault="009B1EFF"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241D" w14:textId="7E126073" w:rsidR="008722D0" w:rsidRPr="00926EEF" w:rsidRDefault="008722D0">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2B739" w14:textId="77777777" w:rsidR="00232A85" w:rsidRPr="00926EEF" w:rsidRDefault="00232A85">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6DAC6" w14:textId="77777777" w:rsidR="009B1EFF" w:rsidRDefault="009B1EFF" w:rsidP="00577603">
      <w:r>
        <w:separator/>
      </w:r>
    </w:p>
  </w:footnote>
  <w:footnote w:type="continuationSeparator" w:id="0">
    <w:p w14:paraId="16BCDDBC" w14:textId="77777777" w:rsidR="009B1EFF" w:rsidRDefault="009B1EFF"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3"/>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6"/>
  </w:num>
  <w:num w:numId="12">
    <w:abstractNumId w:val="3"/>
  </w:num>
  <w:num w:numId="13">
    <w:abstractNumId w:val="14"/>
  </w:num>
  <w:num w:numId="14">
    <w:abstractNumId w:val="8"/>
  </w:num>
  <w:num w:numId="15">
    <w:abstractNumId w:val="11"/>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7B29"/>
    <w:rsid w:val="0018257D"/>
    <w:rsid w:val="001A7A94"/>
    <w:rsid w:val="001B07F4"/>
    <w:rsid w:val="001B27C9"/>
    <w:rsid w:val="001B79A6"/>
    <w:rsid w:val="001C6A74"/>
    <w:rsid w:val="001D4E5B"/>
    <w:rsid w:val="001D5649"/>
    <w:rsid w:val="001D654E"/>
    <w:rsid w:val="001D7592"/>
    <w:rsid w:val="001E4ACD"/>
    <w:rsid w:val="001F620A"/>
    <w:rsid w:val="001F6775"/>
    <w:rsid w:val="002053BB"/>
    <w:rsid w:val="00227917"/>
    <w:rsid w:val="00232A85"/>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F3637"/>
    <w:rsid w:val="00513883"/>
    <w:rsid w:val="005155A2"/>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572D"/>
    <w:rsid w:val="00866145"/>
    <w:rsid w:val="00871EEB"/>
    <w:rsid w:val="008722D0"/>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0891"/>
    <w:rsid w:val="009714D3"/>
    <w:rsid w:val="00984892"/>
    <w:rsid w:val="009906B2"/>
    <w:rsid w:val="00991F61"/>
    <w:rsid w:val="009A62B3"/>
    <w:rsid w:val="009B1EFF"/>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DF4DF6"/>
    <w:rsid w:val="00E06370"/>
    <w:rsid w:val="00E17242"/>
    <w:rsid w:val="00E2017D"/>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1F0D"/>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4D5FB8-DAE0-4109-B4D7-C2EB738C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2019-06-19T18:45:00Z</cp:lastPrinted>
  <dcterms:created xsi:type="dcterms:W3CDTF">2019-06-19T18:40:00Z</dcterms:created>
  <dcterms:modified xsi:type="dcterms:W3CDTF">2019-07-11T11:41:00Z</dcterms:modified>
</cp:coreProperties>
</file>