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7354DA" w:rsidRPr="00943090" w14:paraId="55562160" w14:textId="77777777" w:rsidTr="00742FD1">
        <w:tc>
          <w:tcPr>
            <w:tcW w:w="2448" w:type="dxa"/>
          </w:tcPr>
          <w:p w14:paraId="3F84215D" w14:textId="77777777" w:rsidR="007354DA" w:rsidRPr="00943090" w:rsidRDefault="007354DA" w:rsidP="00742FD1">
            <w:pPr>
              <w:pStyle w:val="Heading3"/>
              <w:rPr>
                <w:rFonts w:ascii="Times New Roman" w:hAnsi="Times New Roman" w:cs="Times New Roman"/>
              </w:rPr>
            </w:pPr>
          </w:p>
        </w:tc>
        <w:tc>
          <w:tcPr>
            <w:tcW w:w="5130" w:type="dxa"/>
          </w:tcPr>
          <w:p w14:paraId="4B00D0D0" w14:textId="77777777" w:rsidR="007354DA" w:rsidRPr="00943090" w:rsidRDefault="007354DA" w:rsidP="00742FD1">
            <w:pPr>
              <w:jc w:val="center"/>
              <w:rPr>
                <w:b/>
                <w:sz w:val="26"/>
                <w:szCs w:val="26"/>
              </w:rPr>
            </w:pPr>
            <w:r w:rsidRPr="00943090">
              <w:rPr>
                <w:b/>
                <w:sz w:val="26"/>
                <w:szCs w:val="26"/>
              </w:rPr>
              <w:t>PENNSYLVANIA</w:t>
            </w:r>
          </w:p>
          <w:p w14:paraId="7957A835" w14:textId="77777777" w:rsidR="007354DA" w:rsidRPr="00943090" w:rsidRDefault="007354DA" w:rsidP="00742FD1">
            <w:pPr>
              <w:jc w:val="center"/>
              <w:rPr>
                <w:b/>
                <w:sz w:val="26"/>
                <w:szCs w:val="26"/>
              </w:rPr>
            </w:pPr>
            <w:r w:rsidRPr="00943090">
              <w:rPr>
                <w:b/>
                <w:sz w:val="26"/>
                <w:szCs w:val="26"/>
              </w:rPr>
              <w:t>PUBLIC UTILITY COMMISSION</w:t>
            </w:r>
          </w:p>
          <w:p w14:paraId="32DCE1A1" w14:textId="77777777" w:rsidR="007354DA" w:rsidRPr="00943090" w:rsidRDefault="007354DA" w:rsidP="00742FD1">
            <w:pPr>
              <w:pStyle w:val="StyleCentered"/>
              <w:rPr>
                <w:b/>
                <w:sz w:val="26"/>
                <w:szCs w:val="26"/>
              </w:rPr>
            </w:pPr>
            <w:r w:rsidRPr="00943090">
              <w:rPr>
                <w:b/>
                <w:sz w:val="26"/>
                <w:szCs w:val="26"/>
              </w:rPr>
              <w:t>Harrisburg, PA  17105-3265</w:t>
            </w:r>
          </w:p>
        </w:tc>
        <w:tc>
          <w:tcPr>
            <w:tcW w:w="2700" w:type="dxa"/>
          </w:tcPr>
          <w:p w14:paraId="5EC8B860" w14:textId="77777777" w:rsidR="007354DA" w:rsidRPr="00943090" w:rsidRDefault="007354DA" w:rsidP="00742FD1">
            <w:pPr>
              <w:rPr>
                <w:sz w:val="26"/>
                <w:szCs w:val="26"/>
              </w:rPr>
            </w:pPr>
          </w:p>
        </w:tc>
      </w:tr>
    </w:tbl>
    <w:p w14:paraId="644B4C4B" w14:textId="77777777" w:rsidR="007354DA" w:rsidRPr="00943090" w:rsidRDefault="007354DA" w:rsidP="007354DA">
      <w:pPr>
        <w:rPr>
          <w:sz w:val="26"/>
          <w:szCs w:val="26"/>
        </w:rPr>
      </w:pPr>
    </w:p>
    <w:tbl>
      <w:tblPr>
        <w:tblW w:w="0" w:type="auto"/>
        <w:tblLayout w:type="fixed"/>
        <w:tblLook w:val="0000" w:firstRow="0" w:lastRow="0" w:firstColumn="0" w:lastColumn="0" w:noHBand="0" w:noVBand="0"/>
      </w:tblPr>
      <w:tblGrid>
        <w:gridCol w:w="5148"/>
        <w:gridCol w:w="5148"/>
      </w:tblGrid>
      <w:tr w:rsidR="007354DA" w:rsidRPr="00943090" w14:paraId="687F0675" w14:textId="77777777" w:rsidTr="00742FD1">
        <w:tc>
          <w:tcPr>
            <w:tcW w:w="5148" w:type="dxa"/>
          </w:tcPr>
          <w:p w14:paraId="37BAD315" w14:textId="77777777" w:rsidR="007354DA" w:rsidRPr="00943090" w:rsidRDefault="007354DA" w:rsidP="00742FD1">
            <w:pPr>
              <w:rPr>
                <w:sz w:val="26"/>
                <w:szCs w:val="26"/>
              </w:rPr>
            </w:pPr>
          </w:p>
        </w:tc>
        <w:tc>
          <w:tcPr>
            <w:tcW w:w="5148" w:type="dxa"/>
          </w:tcPr>
          <w:p w14:paraId="15408D72" w14:textId="71285053" w:rsidR="007354DA" w:rsidRPr="00943090" w:rsidRDefault="007354DA" w:rsidP="00A74F68">
            <w:pPr>
              <w:ind w:firstLine="612"/>
              <w:rPr>
                <w:sz w:val="26"/>
                <w:szCs w:val="26"/>
              </w:rPr>
            </w:pPr>
            <w:r w:rsidRPr="00943090">
              <w:rPr>
                <w:sz w:val="26"/>
                <w:szCs w:val="26"/>
              </w:rPr>
              <w:t xml:space="preserve">Public Meeting held </w:t>
            </w:r>
            <w:r w:rsidR="005F580F">
              <w:rPr>
                <w:sz w:val="26"/>
                <w:szCs w:val="26"/>
              </w:rPr>
              <w:t>July 11, 2019</w:t>
            </w:r>
          </w:p>
        </w:tc>
      </w:tr>
      <w:tr w:rsidR="007354DA" w:rsidRPr="00943090" w14:paraId="223D8193" w14:textId="77777777" w:rsidTr="00742FD1">
        <w:tc>
          <w:tcPr>
            <w:tcW w:w="5148" w:type="dxa"/>
          </w:tcPr>
          <w:p w14:paraId="6C27B19C" w14:textId="77777777" w:rsidR="007354DA" w:rsidRPr="00943090" w:rsidRDefault="007354DA" w:rsidP="00742FD1">
            <w:pPr>
              <w:rPr>
                <w:sz w:val="26"/>
                <w:szCs w:val="26"/>
              </w:rPr>
            </w:pPr>
            <w:r w:rsidRPr="00943090">
              <w:rPr>
                <w:sz w:val="26"/>
                <w:szCs w:val="26"/>
              </w:rPr>
              <w:t>Commissioners Present:</w:t>
            </w:r>
          </w:p>
        </w:tc>
        <w:tc>
          <w:tcPr>
            <w:tcW w:w="5148" w:type="dxa"/>
          </w:tcPr>
          <w:p w14:paraId="49D59838" w14:textId="77777777" w:rsidR="007354DA" w:rsidRPr="00943090" w:rsidRDefault="007354DA" w:rsidP="00742FD1">
            <w:pPr>
              <w:rPr>
                <w:sz w:val="26"/>
                <w:szCs w:val="26"/>
              </w:rPr>
            </w:pPr>
          </w:p>
        </w:tc>
      </w:tr>
    </w:tbl>
    <w:p w14:paraId="2CA0A717" w14:textId="77777777" w:rsidR="007354DA" w:rsidRPr="00943090" w:rsidRDefault="007354DA" w:rsidP="007354DA">
      <w:pPr>
        <w:rPr>
          <w:sz w:val="26"/>
          <w:szCs w:val="26"/>
        </w:rPr>
      </w:pPr>
    </w:p>
    <w:tbl>
      <w:tblPr>
        <w:tblW w:w="10296" w:type="dxa"/>
        <w:tblLayout w:type="fixed"/>
        <w:tblLook w:val="0000" w:firstRow="0" w:lastRow="0" w:firstColumn="0" w:lastColumn="0" w:noHBand="0" w:noVBand="0"/>
      </w:tblPr>
      <w:tblGrid>
        <w:gridCol w:w="5958"/>
        <w:gridCol w:w="3420"/>
        <w:gridCol w:w="900"/>
        <w:gridCol w:w="18"/>
      </w:tblGrid>
      <w:tr w:rsidR="007354DA" w:rsidRPr="00943090" w14:paraId="72B69C4B" w14:textId="77777777" w:rsidTr="00742FD1">
        <w:tc>
          <w:tcPr>
            <w:tcW w:w="9378" w:type="dxa"/>
            <w:gridSpan w:val="2"/>
          </w:tcPr>
          <w:p w14:paraId="2A36EA29" w14:textId="3D90DF83" w:rsidR="007354DA" w:rsidRPr="00943090" w:rsidRDefault="00BF0BE6" w:rsidP="00742FD1">
            <w:pPr>
              <w:overflowPunct/>
              <w:ind w:left="720"/>
              <w:textAlignment w:val="auto"/>
              <w:rPr>
                <w:sz w:val="26"/>
                <w:szCs w:val="26"/>
              </w:rPr>
            </w:pPr>
            <w:r w:rsidRPr="00943090">
              <w:rPr>
                <w:sz w:val="26"/>
                <w:szCs w:val="26"/>
              </w:rPr>
              <w:t xml:space="preserve">Gladys </w:t>
            </w:r>
            <w:r w:rsidR="00C4438F">
              <w:rPr>
                <w:sz w:val="26"/>
                <w:szCs w:val="26"/>
              </w:rPr>
              <w:t>Brown Du</w:t>
            </w:r>
            <w:r w:rsidR="00FA3D11">
              <w:rPr>
                <w:sz w:val="26"/>
                <w:szCs w:val="26"/>
              </w:rPr>
              <w:t>trieuille</w:t>
            </w:r>
            <w:r w:rsidR="007354DA" w:rsidRPr="00943090">
              <w:rPr>
                <w:sz w:val="26"/>
                <w:szCs w:val="26"/>
              </w:rPr>
              <w:t>, Chairman</w:t>
            </w:r>
          </w:p>
          <w:p w14:paraId="17C1E157" w14:textId="1BB9A5E0" w:rsidR="00E50BF0" w:rsidRPr="00943090" w:rsidRDefault="009E3523" w:rsidP="006114A4">
            <w:pPr>
              <w:overflowPunct/>
              <w:ind w:left="720"/>
              <w:textAlignment w:val="auto"/>
              <w:rPr>
                <w:sz w:val="26"/>
                <w:szCs w:val="26"/>
              </w:rPr>
            </w:pPr>
            <w:r w:rsidRPr="00943090">
              <w:rPr>
                <w:sz w:val="26"/>
                <w:szCs w:val="26"/>
              </w:rPr>
              <w:t>David W. Sweet</w:t>
            </w:r>
            <w:r w:rsidR="00E50BF0" w:rsidRPr="00943090">
              <w:rPr>
                <w:sz w:val="26"/>
                <w:szCs w:val="26"/>
              </w:rPr>
              <w:t>, Vice Chairman</w:t>
            </w:r>
          </w:p>
        </w:tc>
        <w:tc>
          <w:tcPr>
            <w:tcW w:w="918" w:type="dxa"/>
            <w:gridSpan w:val="2"/>
          </w:tcPr>
          <w:p w14:paraId="03EE9429" w14:textId="77777777" w:rsidR="007354DA" w:rsidRPr="00943090" w:rsidRDefault="007354DA" w:rsidP="00742FD1">
            <w:pPr>
              <w:rPr>
                <w:sz w:val="26"/>
                <w:szCs w:val="26"/>
              </w:rPr>
            </w:pPr>
          </w:p>
        </w:tc>
      </w:tr>
      <w:tr w:rsidR="00E50BF0" w:rsidRPr="00943090" w14:paraId="10EC1120" w14:textId="77777777" w:rsidTr="00742FD1">
        <w:tc>
          <w:tcPr>
            <w:tcW w:w="9378" w:type="dxa"/>
            <w:gridSpan w:val="2"/>
          </w:tcPr>
          <w:p w14:paraId="6296DA50" w14:textId="77777777" w:rsidR="00E50BF0" w:rsidRPr="00943090" w:rsidRDefault="00BA0A9F" w:rsidP="00742FD1">
            <w:pPr>
              <w:overflowPunct/>
              <w:ind w:left="720"/>
              <w:textAlignment w:val="auto"/>
              <w:rPr>
                <w:sz w:val="26"/>
                <w:szCs w:val="26"/>
              </w:rPr>
            </w:pPr>
            <w:r w:rsidRPr="00943090">
              <w:rPr>
                <w:sz w:val="26"/>
                <w:szCs w:val="26"/>
              </w:rPr>
              <w:t>Norman J. Kennard</w:t>
            </w:r>
          </w:p>
        </w:tc>
        <w:tc>
          <w:tcPr>
            <w:tcW w:w="918" w:type="dxa"/>
            <w:gridSpan w:val="2"/>
          </w:tcPr>
          <w:p w14:paraId="50420CA6" w14:textId="77777777" w:rsidR="00E50BF0" w:rsidRPr="00943090" w:rsidRDefault="00E50BF0" w:rsidP="00742FD1">
            <w:pPr>
              <w:rPr>
                <w:sz w:val="26"/>
                <w:szCs w:val="26"/>
              </w:rPr>
            </w:pPr>
          </w:p>
        </w:tc>
      </w:tr>
      <w:tr w:rsidR="00E50BF0" w:rsidRPr="00943090" w14:paraId="3B9C94BD" w14:textId="77777777" w:rsidTr="00742FD1">
        <w:tc>
          <w:tcPr>
            <w:tcW w:w="9378" w:type="dxa"/>
            <w:gridSpan w:val="2"/>
          </w:tcPr>
          <w:p w14:paraId="4B59C3C7" w14:textId="3DC5C256" w:rsidR="00E50BF0" w:rsidRPr="00943090" w:rsidRDefault="009E3523" w:rsidP="00E50BF0">
            <w:pPr>
              <w:overflowPunct/>
              <w:ind w:left="720"/>
              <w:textAlignment w:val="auto"/>
              <w:rPr>
                <w:sz w:val="26"/>
                <w:szCs w:val="26"/>
              </w:rPr>
            </w:pPr>
            <w:r w:rsidRPr="00943090">
              <w:rPr>
                <w:sz w:val="26"/>
                <w:szCs w:val="26"/>
              </w:rPr>
              <w:t xml:space="preserve">Andrew G. Place </w:t>
            </w:r>
          </w:p>
        </w:tc>
        <w:tc>
          <w:tcPr>
            <w:tcW w:w="918" w:type="dxa"/>
            <w:gridSpan w:val="2"/>
          </w:tcPr>
          <w:p w14:paraId="4DB88A40" w14:textId="77777777" w:rsidR="00E50BF0" w:rsidRPr="00943090" w:rsidRDefault="00E50BF0" w:rsidP="00742FD1">
            <w:pPr>
              <w:rPr>
                <w:sz w:val="26"/>
                <w:szCs w:val="26"/>
              </w:rPr>
            </w:pPr>
          </w:p>
        </w:tc>
      </w:tr>
      <w:tr w:rsidR="00E50BF0" w:rsidRPr="00943090" w14:paraId="6BA9F782" w14:textId="77777777" w:rsidTr="009807CA">
        <w:trPr>
          <w:gridAfter w:val="1"/>
          <w:wAfter w:w="18" w:type="dxa"/>
        </w:trPr>
        <w:tc>
          <w:tcPr>
            <w:tcW w:w="5958" w:type="dxa"/>
          </w:tcPr>
          <w:p w14:paraId="0102E830" w14:textId="77777777" w:rsidR="00E50BF0" w:rsidRPr="00943090" w:rsidRDefault="00BA0A9F" w:rsidP="005C5125">
            <w:pPr>
              <w:overflowPunct/>
              <w:ind w:left="720"/>
              <w:textAlignment w:val="auto"/>
              <w:rPr>
                <w:sz w:val="26"/>
                <w:szCs w:val="26"/>
              </w:rPr>
            </w:pPr>
            <w:r w:rsidRPr="00943090">
              <w:rPr>
                <w:sz w:val="26"/>
                <w:szCs w:val="26"/>
              </w:rPr>
              <w:t>John F. Coleman, Jr.</w:t>
            </w:r>
          </w:p>
        </w:tc>
        <w:tc>
          <w:tcPr>
            <w:tcW w:w="4320" w:type="dxa"/>
            <w:gridSpan w:val="2"/>
          </w:tcPr>
          <w:p w14:paraId="67921E86" w14:textId="77777777" w:rsidR="00E50BF0" w:rsidRPr="00943090" w:rsidRDefault="00E50BF0" w:rsidP="00742FD1">
            <w:pPr>
              <w:rPr>
                <w:sz w:val="26"/>
                <w:szCs w:val="26"/>
              </w:rPr>
            </w:pPr>
          </w:p>
        </w:tc>
      </w:tr>
      <w:tr w:rsidR="00E50BF0" w:rsidRPr="00943090" w14:paraId="7076A1FA" w14:textId="77777777" w:rsidTr="009807CA">
        <w:trPr>
          <w:gridAfter w:val="1"/>
          <w:wAfter w:w="18" w:type="dxa"/>
        </w:trPr>
        <w:tc>
          <w:tcPr>
            <w:tcW w:w="5958" w:type="dxa"/>
          </w:tcPr>
          <w:p w14:paraId="7289330E" w14:textId="77777777" w:rsidR="00E50BF0" w:rsidRPr="00943090" w:rsidRDefault="00E50BF0" w:rsidP="00742FD1">
            <w:pPr>
              <w:rPr>
                <w:sz w:val="26"/>
                <w:szCs w:val="26"/>
              </w:rPr>
            </w:pPr>
          </w:p>
        </w:tc>
        <w:tc>
          <w:tcPr>
            <w:tcW w:w="4320" w:type="dxa"/>
            <w:gridSpan w:val="2"/>
          </w:tcPr>
          <w:p w14:paraId="1478919B" w14:textId="77777777" w:rsidR="00E50BF0" w:rsidRPr="00943090" w:rsidRDefault="00E50BF0" w:rsidP="00742FD1">
            <w:pPr>
              <w:rPr>
                <w:sz w:val="26"/>
                <w:szCs w:val="26"/>
              </w:rPr>
            </w:pPr>
          </w:p>
        </w:tc>
      </w:tr>
      <w:tr w:rsidR="00E50BF0" w:rsidRPr="00943090" w14:paraId="2D31E718" w14:textId="77777777" w:rsidTr="009807CA">
        <w:trPr>
          <w:gridAfter w:val="1"/>
          <w:wAfter w:w="18" w:type="dxa"/>
        </w:trPr>
        <w:tc>
          <w:tcPr>
            <w:tcW w:w="5958" w:type="dxa"/>
          </w:tcPr>
          <w:p w14:paraId="1230D647" w14:textId="0BAFDC83" w:rsidR="00E50BF0" w:rsidRPr="00943090" w:rsidRDefault="00BA0A9F" w:rsidP="009807CA">
            <w:pPr>
              <w:rPr>
                <w:sz w:val="26"/>
                <w:szCs w:val="26"/>
              </w:rPr>
            </w:pPr>
            <w:r w:rsidRPr="00943090">
              <w:rPr>
                <w:sz w:val="26"/>
                <w:szCs w:val="26"/>
              </w:rPr>
              <w:t xml:space="preserve">Cancellation of Certificates of Public Convenience for </w:t>
            </w:r>
            <w:r w:rsidR="00282702" w:rsidRPr="00943090">
              <w:rPr>
                <w:sz w:val="26"/>
                <w:szCs w:val="26"/>
              </w:rPr>
              <w:t xml:space="preserve">Telecommunication </w:t>
            </w:r>
            <w:r w:rsidR="00533E70">
              <w:rPr>
                <w:sz w:val="26"/>
                <w:szCs w:val="26"/>
              </w:rPr>
              <w:t xml:space="preserve">Public </w:t>
            </w:r>
            <w:r w:rsidR="00A34E82">
              <w:rPr>
                <w:sz w:val="26"/>
                <w:szCs w:val="26"/>
              </w:rPr>
              <w:t>U</w:t>
            </w:r>
            <w:r w:rsidR="00282702" w:rsidRPr="00943090">
              <w:rPr>
                <w:sz w:val="26"/>
                <w:szCs w:val="26"/>
              </w:rPr>
              <w:t>tilities</w:t>
            </w:r>
            <w:r w:rsidR="004575F3" w:rsidRPr="00943090">
              <w:rPr>
                <w:sz w:val="26"/>
                <w:szCs w:val="26"/>
              </w:rPr>
              <w:t xml:space="preserve">; Failure to Operate or </w:t>
            </w:r>
            <w:r w:rsidR="007C7F9B">
              <w:rPr>
                <w:sz w:val="26"/>
                <w:szCs w:val="26"/>
              </w:rPr>
              <w:t xml:space="preserve">File Annual Revenue </w:t>
            </w:r>
            <w:r w:rsidR="004575F3" w:rsidRPr="00943090">
              <w:rPr>
                <w:sz w:val="26"/>
                <w:szCs w:val="26"/>
              </w:rPr>
              <w:t>Report</w:t>
            </w:r>
          </w:p>
        </w:tc>
        <w:tc>
          <w:tcPr>
            <w:tcW w:w="4320" w:type="dxa"/>
            <w:gridSpan w:val="2"/>
          </w:tcPr>
          <w:p w14:paraId="76992F57" w14:textId="15C75DF7" w:rsidR="00E50BF0" w:rsidRPr="007A1F8E" w:rsidRDefault="007A1F8E" w:rsidP="00B43A27">
            <w:pPr>
              <w:jc w:val="center"/>
              <w:rPr>
                <w:sz w:val="26"/>
                <w:szCs w:val="26"/>
              </w:rPr>
            </w:pPr>
            <w:r w:rsidRPr="007A1F8E">
              <w:rPr>
                <w:sz w:val="26"/>
                <w:szCs w:val="26"/>
              </w:rPr>
              <w:t>M-2019-301</w:t>
            </w:r>
            <w:r w:rsidR="00304F2F">
              <w:rPr>
                <w:sz w:val="26"/>
                <w:szCs w:val="26"/>
              </w:rPr>
              <w:t>1090</w:t>
            </w:r>
          </w:p>
          <w:p w14:paraId="6DBA1CBB" w14:textId="77777777" w:rsidR="00E50BF0" w:rsidRPr="00943090" w:rsidRDefault="00E50BF0" w:rsidP="00742FD1">
            <w:pPr>
              <w:rPr>
                <w:sz w:val="26"/>
                <w:szCs w:val="26"/>
              </w:rPr>
            </w:pPr>
          </w:p>
          <w:p w14:paraId="17ED2327" w14:textId="77777777" w:rsidR="00E50BF0" w:rsidRPr="00943090" w:rsidRDefault="00E50BF0" w:rsidP="00742FD1">
            <w:pPr>
              <w:rPr>
                <w:sz w:val="26"/>
                <w:szCs w:val="26"/>
              </w:rPr>
            </w:pPr>
          </w:p>
          <w:p w14:paraId="7F6A5453" w14:textId="77777777" w:rsidR="00E50BF0" w:rsidRPr="00943090" w:rsidRDefault="00E50BF0" w:rsidP="00742FD1">
            <w:pPr>
              <w:rPr>
                <w:sz w:val="26"/>
                <w:szCs w:val="26"/>
              </w:rPr>
            </w:pPr>
          </w:p>
        </w:tc>
      </w:tr>
    </w:tbl>
    <w:p w14:paraId="784E4B23" w14:textId="77777777" w:rsidR="0080702E" w:rsidRDefault="0080702E" w:rsidP="007354DA">
      <w:pPr>
        <w:jc w:val="center"/>
        <w:rPr>
          <w:b/>
          <w:sz w:val="26"/>
          <w:szCs w:val="26"/>
        </w:rPr>
      </w:pPr>
    </w:p>
    <w:p w14:paraId="6E7B4FC5" w14:textId="71703280" w:rsidR="007354DA" w:rsidRPr="00943090" w:rsidRDefault="007354DA" w:rsidP="007354DA">
      <w:pPr>
        <w:jc w:val="center"/>
        <w:rPr>
          <w:b/>
          <w:sz w:val="26"/>
          <w:szCs w:val="26"/>
        </w:rPr>
      </w:pPr>
      <w:r w:rsidRPr="00943090">
        <w:rPr>
          <w:b/>
          <w:sz w:val="26"/>
          <w:szCs w:val="26"/>
        </w:rPr>
        <w:t>TENTATIVE ORDER</w:t>
      </w:r>
    </w:p>
    <w:p w14:paraId="0BB0206C" w14:textId="77777777" w:rsidR="009154AD" w:rsidRPr="00943090" w:rsidRDefault="009154AD" w:rsidP="007354DA">
      <w:pPr>
        <w:jc w:val="center"/>
        <w:rPr>
          <w:b/>
          <w:sz w:val="26"/>
          <w:szCs w:val="26"/>
        </w:rPr>
      </w:pPr>
    </w:p>
    <w:p w14:paraId="7ED8796A" w14:textId="77777777" w:rsidR="007354DA" w:rsidRPr="00943090" w:rsidRDefault="007354DA" w:rsidP="0080702E">
      <w:pPr>
        <w:pStyle w:val="p3"/>
        <w:spacing w:line="480" w:lineRule="auto"/>
        <w:rPr>
          <w:b/>
          <w:sz w:val="26"/>
          <w:szCs w:val="26"/>
        </w:rPr>
      </w:pPr>
      <w:r w:rsidRPr="00943090">
        <w:rPr>
          <w:b/>
          <w:sz w:val="26"/>
          <w:szCs w:val="26"/>
        </w:rPr>
        <w:t>BY THE COMMISSION:</w:t>
      </w:r>
    </w:p>
    <w:p w14:paraId="51B6E1D3" w14:textId="7BD7C534" w:rsidR="00DD149C" w:rsidRPr="00943090" w:rsidRDefault="00DD149C" w:rsidP="00A62A77">
      <w:pPr>
        <w:spacing w:line="360" w:lineRule="auto"/>
        <w:ind w:right="-90"/>
        <w:rPr>
          <w:sz w:val="26"/>
          <w:szCs w:val="26"/>
        </w:rPr>
      </w:pPr>
      <w:r w:rsidRPr="00943090">
        <w:rPr>
          <w:sz w:val="26"/>
          <w:szCs w:val="26"/>
        </w:rPr>
        <w:tab/>
        <w:t>The Public Utility Code requires that by March 31 of each year</w:t>
      </w:r>
      <w:r w:rsidR="004575F3" w:rsidRPr="00943090">
        <w:rPr>
          <w:sz w:val="26"/>
          <w:szCs w:val="26"/>
        </w:rPr>
        <w:t>,</w:t>
      </w:r>
      <w:r w:rsidRPr="00943090">
        <w:rPr>
          <w:sz w:val="26"/>
          <w:szCs w:val="26"/>
        </w:rPr>
        <w:t xml:space="preserve"> every public utility </w:t>
      </w:r>
      <w:r w:rsidR="004575F3" w:rsidRPr="00943090">
        <w:rPr>
          <w:sz w:val="26"/>
          <w:szCs w:val="26"/>
        </w:rPr>
        <w:t xml:space="preserve">must </w:t>
      </w:r>
      <w:r w:rsidRPr="00943090">
        <w:rPr>
          <w:sz w:val="26"/>
          <w:szCs w:val="26"/>
        </w:rPr>
        <w:t xml:space="preserve">file a </w:t>
      </w:r>
      <w:r w:rsidR="004575F3" w:rsidRPr="00943090">
        <w:rPr>
          <w:sz w:val="26"/>
          <w:szCs w:val="26"/>
        </w:rPr>
        <w:t>report</w:t>
      </w:r>
      <w:r w:rsidRPr="00943090">
        <w:rPr>
          <w:sz w:val="26"/>
          <w:szCs w:val="26"/>
        </w:rPr>
        <w:t xml:space="preserve"> </w:t>
      </w:r>
      <w:r w:rsidR="004575F3" w:rsidRPr="00943090">
        <w:rPr>
          <w:sz w:val="26"/>
          <w:szCs w:val="26"/>
        </w:rPr>
        <w:t>detailing</w:t>
      </w:r>
      <w:r w:rsidRPr="00943090">
        <w:rPr>
          <w:sz w:val="26"/>
          <w:szCs w:val="26"/>
        </w:rPr>
        <w:t xml:space="preserve"> its gross intrastate operating revenue for the preceding calendar year.  66 Pa. C.S. § 510(b).</w:t>
      </w:r>
      <w:r w:rsidR="00BA0511" w:rsidRPr="00943090">
        <w:rPr>
          <w:sz w:val="26"/>
          <w:szCs w:val="26"/>
        </w:rPr>
        <w:t xml:space="preserve">  </w:t>
      </w:r>
      <w:r w:rsidR="003A6835">
        <w:rPr>
          <w:sz w:val="26"/>
          <w:szCs w:val="26"/>
        </w:rPr>
        <w:t>Gross intrastate operat</w:t>
      </w:r>
      <w:r w:rsidR="0097395C">
        <w:rPr>
          <w:sz w:val="26"/>
          <w:szCs w:val="26"/>
        </w:rPr>
        <w:t>ing</w:t>
      </w:r>
      <w:r w:rsidR="003A6835">
        <w:rPr>
          <w:sz w:val="26"/>
          <w:szCs w:val="26"/>
        </w:rPr>
        <w:t xml:space="preserve"> revenue includes both retail and wholesale revenue</w:t>
      </w:r>
      <w:r w:rsidR="00A03368">
        <w:rPr>
          <w:sz w:val="26"/>
          <w:szCs w:val="26"/>
        </w:rPr>
        <w:t xml:space="preserve"> derived from providing public utility service to the public for compensation in Pennsylvania</w:t>
      </w:r>
      <w:r w:rsidR="003A6835">
        <w:rPr>
          <w:sz w:val="26"/>
          <w:szCs w:val="26"/>
        </w:rPr>
        <w:t xml:space="preserve">.  </w:t>
      </w:r>
      <w:r w:rsidR="00A03368">
        <w:rPr>
          <w:sz w:val="26"/>
          <w:szCs w:val="26"/>
        </w:rPr>
        <w:t>Under the assessment process and allocation formula established by the General Assembly, the public utility’s</w:t>
      </w:r>
      <w:r w:rsidR="00BA0511" w:rsidRPr="00943090">
        <w:rPr>
          <w:sz w:val="26"/>
          <w:szCs w:val="26"/>
        </w:rPr>
        <w:t xml:space="preserve"> </w:t>
      </w:r>
      <w:r w:rsidR="00A03368">
        <w:rPr>
          <w:sz w:val="26"/>
          <w:szCs w:val="26"/>
        </w:rPr>
        <w:t xml:space="preserve">annual revenue </w:t>
      </w:r>
      <w:r w:rsidR="00BA0511" w:rsidRPr="00943090">
        <w:rPr>
          <w:sz w:val="26"/>
          <w:szCs w:val="26"/>
        </w:rPr>
        <w:t xml:space="preserve">report is essential for the Commission </w:t>
      </w:r>
      <w:r w:rsidR="002B7E97" w:rsidRPr="00943090">
        <w:rPr>
          <w:sz w:val="26"/>
          <w:szCs w:val="26"/>
        </w:rPr>
        <w:t xml:space="preserve">to fund its operations and </w:t>
      </w:r>
      <w:r w:rsidR="00BA0511" w:rsidRPr="00943090">
        <w:rPr>
          <w:sz w:val="26"/>
          <w:szCs w:val="26"/>
        </w:rPr>
        <w:t>to properly allocate assessment costs among the regulated utility community.</w:t>
      </w:r>
      <w:r w:rsidR="004575F3" w:rsidRPr="00943090">
        <w:rPr>
          <w:sz w:val="26"/>
          <w:szCs w:val="26"/>
        </w:rPr>
        <w:t xml:space="preserve">  </w:t>
      </w:r>
      <w:r w:rsidR="00385A06" w:rsidRPr="00943090">
        <w:rPr>
          <w:i/>
          <w:sz w:val="26"/>
          <w:szCs w:val="26"/>
        </w:rPr>
        <w:t>Id</w:t>
      </w:r>
      <w:r w:rsidR="00385A06" w:rsidRPr="00943090">
        <w:rPr>
          <w:sz w:val="26"/>
          <w:szCs w:val="26"/>
        </w:rPr>
        <w:t xml:space="preserve">.  </w:t>
      </w:r>
      <w:r w:rsidR="004575F3" w:rsidRPr="00943090">
        <w:rPr>
          <w:sz w:val="26"/>
          <w:szCs w:val="26"/>
        </w:rPr>
        <w:t xml:space="preserve">Additionally, </w:t>
      </w:r>
      <w:r w:rsidR="00533E70">
        <w:rPr>
          <w:sz w:val="26"/>
          <w:szCs w:val="26"/>
        </w:rPr>
        <w:t>all</w:t>
      </w:r>
      <w:r w:rsidR="00282702" w:rsidRPr="00943090">
        <w:rPr>
          <w:sz w:val="26"/>
          <w:szCs w:val="26"/>
        </w:rPr>
        <w:t xml:space="preserve"> </w:t>
      </w:r>
      <w:r w:rsidR="00533E70">
        <w:rPr>
          <w:sz w:val="26"/>
          <w:szCs w:val="26"/>
        </w:rPr>
        <w:t xml:space="preserve">public </w:t>
      </w:r>
      <w:r w:rsidR="00282702" w:rsidRPr="00943090">
        <w:rPr>
          <w:sz w:val="26"/>
          <w:szCs w:val="26"/>
        </w:rPr>
        <w:t>utilities</w:t>
      </w:r>
      <w:r w:rsidR="00533E70">
        <w:rPr>
          <w:sz w:val="26"/>
          <w:szCs w:val="26"/>
        </w:rPr>
        <w:t>, including telecommunication</w:t>
      </w:r>
      <w:r w:rsidR="001E5CF8">
        <w:rPr>
          <w:sz w:val="26"/>
          <w:szCs w:val="26"/>
        </w:rPr>
        <w:t>s</w:t>
      </w:r>
      <w:r w:rsidR="00533E70">
        <w:rPr>
          <w:sz w:val="26"/>
          <w:szCs w:val="26"/>
        </w:rPr>
        <w:t xml:space="preserve"> public utilities,</w:t>
      </w:r>
      <w:r w:rsidR="004575F3" w:rsidRPr="00943090">
        <w:rPr>
          <w:sz w:val="26"/>
          <w:szCs w:val="26"/>
        </w:rPr>
        <w:t xml:space="preserve"> are required to operate continuously and without unreasonable interruption</w:t>
      </w:r>
      <w:r w:rsidR="005E5DE6" w:rsidRPr="00943090">
        <w:rPr>
          <w:sz w:val="26"/>
          <w:szCs w:val="26"/>
        </w:rPr>
        <w:t>s</w:t>
      </w:r>
      <w:r w:rsidR="004575F3" w:rsidRPr="00943090">
        <w:rPr>
          <w:sz w:val="26"/>
          <w:szCs w:val="26"/>
        </w:rPr>
        <w:t xml:space="preserve"> of service.  66 Pa. C.S. § </w:t>
      </w:r>
      <w:r w:rsidR="005E5DE6" w:rsidRPr="00943090">
        <w:rPr>
          <w:sz w:val="26"/>
          <w:szCs w:val="26"/>
        </w:rPr>
        <w:t>1501.</w:t>
      </w:r>
      <w:r w:rsidRPr="00943090">
        <w:rPr>
          <w:sz w:val="26"/>
          <w:szCs w:val="26"/>
        </w:rPr>
        <w:t xml:space="preserve">  </w:t>
      </w:r>
    </w:p>
    <w:p w14:paraId="7002417A" w14:textId="77777777" w:rsidR="00DD149C" w:rsidRPr="00943090" w:rsidRDefault="00DD149C" w:rsidP="007354DA">
      <w:pPr>
        <w:spacing w:line="360" w:lineRule="auto"/>
        <w:rPr>
          <w:sz w:val="26"/>
          <w:szCs w:val="26"/>
        </w:rPr>
      </w:pPr>
    </w:p>
    <w:p w14:paraId="2196DFC1" w14:textId="1CB58ED5" w:rsidR="00D844AA" w:rsidRDefault="0054358F" w:rsidP="00114AD1">
      <w:pPr>
        <w:spacing w:line="360" w:lineRule="auto"/>
        <w:rPr>
          <w:sz w:val="26"/>
          <w:szCs w:val="26"/>
        </w:rPr>
      </w:pPr>
      <w:r w:rsidRPr="00943090">
        <w:rPr>
          <w:sz w:val="26"/>
          <w:szCs w:val="26"/>
        </w:rPr>
        <w:tab/>
      </w:r>
      <w:r w:rsidR="002B7E97" w:rsidRPr="00943090">
        <w:rPr>
          <w:sz w:val="26"/>
          <w:szCs w:val="26"/>
        </w:rPr>
        <w:t>The Commission</w:t>
      </w:r>
      <w:r w:rsidR="00533E70">
        <w:rPr>
          <w:sz w:val="26"/>
          <w:szCs w:val="26"/>
        </w:rPr>
        <w:t xml:space="preserve">’s Bureau of </w:t>
      </w:r>
      <w:r w:rsidR="000F6BAE">
        <w:rPr>
          <w:sz w:val="26"/>
          <w:szCs w:val="26"/>
        </w:rPr>
        <w:t>Administration</w:t>
      </w:r>
      <w:r w:rsidR="002B7E97" w:rsidRPr="00943090">
        <w:rPr>
          <w:sz w:val="26"/>
          <w:szCs w:val="26"/>
        </w:rPr>
        <w:t xml:space="preserve"> has undertaken a review of its records to determine whether various utilities are in compliance with </w:t>
      </w:r>
      <w:r w:rsidR="003A6835">
        <w:rPr>
          <w:sz w:val="26"/>
          <w:szCs w:val="26"/>
        </w:rPr>
        <w:t>their</w:t>
      </w:r>
      <w:r w:rsidR="002B7E97" w:rsidRPr="00943090">
        <w:rPr>
          <w:sz w:val="26"/>
          <w:szCs w:val="26"/>
        </w:rPr>
        <w:t xml:space="preserve"> operating and reporting requirements.  That review has revealed that a significant number of </w:t>
      </w:r>
      <w:r w:rsidR="00282702" w:rsidRPr="00943090">
        <w:rPr>
          <w:sz w:val="26"/>
          <w:szCs w:val="26"/>
        </w:rPr>
        <w:lastRenderedPageBreak/>
        <w:t>telecommunication</w:t>
      </w:r>
      <w:r w:rsidR="001E5CF8">
        <w:rPr>
          <w:sz w:val="26"/>
          <w:szCs w:val="26"/>
        </w:rPr>
        <w:t>s</w:t>
      </w:r>
      <w:r w:rsidR="00282702" w:rsidRPr="00943090">
        <w:rPr>
          <w:sz w:val="26"/>
          <w:szCs w:val="26"/>
        </w:rPr>
        <w:t xml:space="preserve"> </w:t>
      </w:r>
      <w:r w:rsidR="00533E70">
        <w:rPr>
          <w:sz w:val="26"/>
          <w:szCs w:val="26"/>
        </w:rPr>
        <w:t xml:space="preserve">public </w:t>
      </w:r>
      <w:r w:rsidR="00282702" w:rsidRPr="00943090">
        <w:rPr>
          <w:sz w:val="26"/>
          <w:szCs w:val="26"/>
        </w:rPr>
        <w:t>utilities</w:t>
      </w:r>
      <w:r w:rsidR="002B7E97" w:rsidRPr="00943090">
        <w:rPr>
          <w:sz w:val="26"/>
          <w:szCs w:val="26"/>
        </w:rPr>
        <w:t xml:space="preserve"> have repeatedly failed to file the required annual </w:t>
      </w:r>
      <w:r w:rsidR="00A03368">
        <w:rPr>
          <w:sz w:val="26"/>
          <w:szCs w:val="26"/>
        </w:rPr>
        <w:t>revenue</w:t>
      </w:r>
      <w:r w:rsidR="002B7E97" w:rsidRPr="00943090">
        <w:rPr>
          <w:sz w:val="26"/>
          <w:szCs w:val="26"/>
        </w:rPr>
        <w:t xml:space="preserve"> </w:t>
      </w:r>
      <w:r w:rsidR="004A232F" w:rsidRPr="00943090">
        <w:rPr>
          <w:sz w:val="26"/>
          <w:szCs w:val="26"/>
        </w:rPr>
        <w:t>report</w:t>
      </w:r>
      <w:r w:rsidR="00A62A77">
        <w:rPr>
          <w:sz w:val="26"/>
          <w:szCs w:val="26"/>
        </w:rPr>
        <w:t xml:space="preserve"> demonstrating service to the public in </w:t>
      </w:r>
      <w:r w:rsidR="002D49A9">
        <w:rPr>
          <w:sz w:val="26"/>
          <w:szCs w:val="26"/>
        </w:rPr>
        <w:t xml:space="preserve">Pennsylvania </w:t>
      </w:r>
      <w:r w:rsidR="00E569B8">
        <w:rPr>
          <w:sz w:val="26"/>
          <w:szCs w:val="26"/>
        </w:rPr>
        <w:t>in violation of</w:t>
      </w:r>
      <w:r w:rsidR="00533E70">
        <w:rPr>
          <w:sz w:val="26"/>
          <w:szCs w:val="26"/>
        </w:rPr>
        <w:t xml:space="preserve"> Section 510(b)</w:t>
      </w:r>
      <w:r w:rsidR="002B7E97" w:rsidRPr="00943090">
        <w:rPr>
          <w:sz w:val="26"/>
          <w:szCs w:val="26"/>
        </w:rPr>
        <w:t xml:space="preserve">.  </w:t>
      </w:r>
      <w:r w:rsidR="00533E70">
        <w:rPr>
          <w:sz w:val="26"/>
          <w:szCs w:val="26"/>
        </w:rPr>
        <w:t xml:space="preserve">66 Pa. C.S. § 510(b).  </w:t>
      </w:r>
      <w:r w:rsidR="002B7E97" w:rsidRPr="00943090">
        <w:rPr>
          <w:sz w:val="26"/>
          <w:szCs w:val="26"/>
        </w:rPr>
        <w:t xml:space="preserve">Specifically, </w:t>
      </w:r>
      <w:r w:rsidR="00D36D25">
        <w:rPr>
          <w:sz w:val="26"/>
          <w:szCs w:val="26"/>
        </w:rPr>
        <w:t xml:space="preserve">the </w:t>
      </w:r>
      <w:r w:rsidR="00397150" w:rsidRPr="00943090">
        <w:rPr>
          <w:sz w:val="26"/>
          <w:szCs w:val="26"/>
        </w:rPr>
        <w:t>telecommunication</w:t>
      </w:r>
      <w:r w:rsidR="001E5CF8">
        <w:rPr>
          <w:sz w:val="26"/>
          <w:szCs w:val="26"/>
        </w:rPr>
        <w:t>s</w:t>
      </w:r>
      <w:r w:rsidR="00397150" w:rsidRPr="00943090">
        <w:rPr>
          <w:sz w:val="26"/>
          <w:szCs w:val="26"/>
        </w:rPr>
        <w:t xml:space="preserve"> </w:t>
      </w:r>
      <w:r w:rsidR="00533E70">
        <w:rPr>
          <w:sz w:val="26"/>
          <w:szCs w:val="26"/>
        </w:rPr>
        <w:t xml:space="preserve">public </w:t>
      </w:r>
      <w:r w:rsidR="00397150" w:rsidRPr="00943090">
        <w:rPr>
          <w:sz w:val="26"/>
          <w:szCs w:val="26"/>
        </w:rPr>
        <w:t>utilit</w:t>
      </w:r>
      <w:r w:rsidR="00D36D25">
        <w:rPr>
          <w:sz w:val="26"/>
          <w:szCs w:val="26"/>
        </w:rPr>
        <w:t>ies</w:t>
      </w:r>
      <w:r w:rsidR="00E474D5" w:rsidRPr="00943090">
        <w:rPr>
          <w:sz w:val="26"/>
          <w:szCs w:val="26"/>
        </w:rPr>
        <w:t xml:space="preserve"> listed in </w:t>
      </w:r>
      <w:r w:rsidR="005F580F">
        <w:rPr>
          <w:sz w:val="26"/>
          <w:szCs w:val="26"/>
        </w:rPr>
        <w:t>the Appendix</w:t>
      </w:r>
      <w:r w:rsidR="002B7E97" w:rsidRPr="00943090">
        <w:rPr>
          <w:sz w:val="26"/>
          <w:szCs w:val="26"/>
        </w:rPr>
        <w:t xml:space="preserve">, attached hereto, </w:t>
      </w:r>
      <w:r w:rsidR="00CC4FD2" w:rsidRPr="00943090">
        <w:rPr>
          <w:sz w:val="26"/>
          <w:szCs w:val="26"/>
        </w:rPr>
        <w:t>ha</w:t>
      </w:r>
      <w:r w:rsidR="00D36D25">
        <w:rPr>
          <w:sz w:val="26"/>
          <w:szCs w:val="26"/>
        </w:rPr>
        <w:t>ve</w:t>
      </w:r>
      <w:r w:rsidR="00CC4FD2" w:rsidRPr="00943090">
        <w:rPr>
          <w:sz w:val="26"/>
          <w:szCs w:val="26"/>
        </w:rPr>
        <w:t xml:space="preserve"> </w:t>
      </w:r>
      <w:r w:rsidR="008D4951" w:rsidRPr="00943090">
        <w:rPr>
          <w:sz w:val="26"/>
          <w:szCs w:val="26"/>
        </w:rPr>
        <w:t>failed to</w:t>
      </w:r>
      <w:r w:rsidR="00CC4FD2" w:rsidRPr="00943090">
        <w:rPr>
          <w:sz w:val="26"/>
          <w:szCs w:val="26"/>
        </w:rPr>
        <w:t xml:space="preserve"> </w:t>
      </w:r>
      <w:r w:rsidR="00533E70">
        <w:rPr>
          <w:sz w:val="26"/>
          <w:szCs w:val="26"/>
        </w:rPr>
        <w:t xml:space="preserve">file the annual revenue report required by Section 510(b) </w:t>
      </w:r>
      <w:r w:rsidR="000A1BE2" w:rsidRPr="00943090">
        <w:rPr>
          <w:sz w:val="26"/>
          <w:szCs w:val="26"/>
        </w:rPr>
        <w:t xml:space="preserve">for </w:t>
      </w:r>
      <w:r w:rsidR="002B7E97" w:rsidRPr="00943090">
        <w:rPr>
          <w:sz w:val="26"/>
          <w:szCs w:val="26"/>
        </w:rPr>
        <w:t>each of the last</w:t>
      </w:r>
      <w:r w:rsidR="000A1BE2" w:rsidRPr="00943090">
        <w:rPr>
          <w:sz w:val="26"/>
          <w:szCs w:val="26"/>
        </w:rPr>
        <w:t xml:space="preserve"> </w:t>
      </w:r>
      <w:r w:rsidR="00D36D25">
        <w:rPr>
          <w:sz w:val="26"/>
          <w:szCs w:val="26"/>
        </w:rPr>
        <w:t>three calendar</w:t>
      </w:r>
      <w:r w:rsidR="000A1BE2" w:rsidRPr="00943090">
        <w:rPr>
          <w:sz w:val="26"/>
          <w:szCs w:val="26"/>
        </w:rPr>
        <w:t xml:space="preserve"> years</w:t>
      </w:r>
      <w:r w:rsidR="002B7E97" w:rsidRPr="00943090">
        <w:rPr>
          <w:sz w:val="26"/>
          <w:szCs w:val="26"/>
        </w:rPr>
        <w:t xml:space="preserve"> and ha</w:t>
      </w:r>
      <w:r w:rsidR="00D36D25">
        <w:rPr>
          <w:sz w:val="26"/>
          <w:szCs w:val="26"/>
        </w:rPr>
        <w:t>ve</w:t>
      </w:r>
      <w:r w:rsidR="002B7E97" w:rsidRPr="00943090">
        <w:rPr>
          <w:sz w:val="26"/>
          <w:szCs w:val="26"/>
        </w:rPr>
        <w:t xml:space="preserve"> consequently failed to establish any </w:t>
      </w:r>
      <w:r w:rsidR="00D36D25">
        <w:rPr>
          <w:sz w:val="26"/>
          <w:szCs w:val="26"/>
        </w:rPr>
        <w:t xml:space="preserve">public utility </w:t>
      </w:r>
      <w:r w:rsidR="002B7E97" w:rsidRPr="00943090">
        <w:rPr>
          <w:sz w:val="26"/>
          <w:szCs w:val="26"/>
        </w:rPr>
        <w:t>operations</w:t>
      </w:r>
      <w:r w:rsidR="00D36D25">
        <w:rPr>
          <w:sz w:val="26"/>
          <w:szCs w:val="26"/>
        </w:rPr>
        <w:t xml:space="preserve"> in Pennsylvania</w:t>
      </w:r>
      <w:r w:rsidR="002B7E97" w:rsidRPr="00943090">
        <w:rPr>
          <w:sz w:val="26"/>
          <w:szCs w:val="26"/>
        </w:rPr>
        <w:t xml:space="preserve"> for that same period of time</w:t>
      </w:r>
      <w:r w:rsidR="00CC4FD2" w:rsidRPr="00943090">
        <w:rPr>
          <w:sz w:val="26"/>
          <w:szCs w:val="26"/>
        </w:rPr>
        <w:t>.</w:t>
      </w:r>
      <w:r w:rsidR="00AF2083">
        <w:rPr>
          <w:sz w:val="26"/>
          <w:szCs w:val="26"/>
        </w:rPr>
        <w:t xml:space="preserve">  </w:t>
      </w:r>
    </w:p>
    <w:p w14:paraId="4783FDDE" w14:textId="2DAEFCD9" w:rsidR="00D36D25" w:rsidRDefault="00D36D25" w:rsidP="0054358F">
      <w:pPr>
        <w:spacing w:line="360" w:lineRule="auto"/>
        <w:rPr>
          <w:sz w:val="26"/>
          <w:szCs w:val="26"/>
        </w:rPr>
      </w:pPr>
    </w:p>
    <w:p w14:paraId="27856581" w14:textId="51774789" w:rsidR="00B36427" w:rsidRDefault="00D36D25" w:rsidP="00B36427">
      <w:pPr>
        <w:spacing w:line="360" w:lineRule="auto"/>
        <w:rPr>
          <w:sz w:val="26"/>
          <w:szCs w:val="26"/>
        </w:rPr>
      </w:pPr>
      <w:r>
        <w:rPr>
          <w:sz w:val="26"/>
          <w:szCs w:val="26"/>
        </w:rPr>
        <w:tab/>
        <w:t xml:space="preserve">Each </w:t>
      </w:r>
      <w:r w:rsidR="000F6BAE">
        <w:rPr>
          <w:sz w:val="26"/>
          <w:szCs w:val="26"/>
        </w:rPr>
        <w:t>telecommunication</w:t>
      </w:r>
      <w:r w:rsidR="001E5CF8">
        <w:rPr>
          <w:sz w:val="26"/>
          <w:szCs w:val="26"/>
        </w:rPr>
        <w:t>s</w:t>
      </w:r>
      <w:r>
        <w:rPr>
          <w:sz w:val="26"/>
          <w:szCs w:val="26"/>
        </w:rPr>
        <w:t xml:space="preserve"> public utility holding a Commission-issued </w:t>
      </w:r>
      <w:r w:rsidR="00B732D1">
        <w:rPr>
          <w:sz w:val="26"/>
          <w:szCs w:val="26"/>
        </w:rPr>
        <w:t>C</w:t>
      </w:r>
      <w:r>
        <w:rPr>
          <w:sz w:val="26"/>
          <w:szCs w:val="26"/>
        </w:rPr>
        <w:t xml:space="preserve">ertificate of </w:t>
      </w:r>
      <w:r w:rsidR="00B732D1">
        <w:rPr>
          <w:sz w:val="26"/>
          <w:szCs w:val="26"/>
        </w:rPr>
        <w:t>P</w:t>
      </w:r>
      <w:r>
        <w:rPr>
          <w:sz w:val="26"/>
          <w:szCs w:val="26"/>
        </w:rPr>
        <w:t xml:space="preserve">ublic </w:t>
      </w:r>
      <w:r w:rsidR="00B732D1">
        <w:rPr>
          <w:sz w:val="26"/>
          <w:szCs w:val="26"/>
        </w:rPr>
        <w:t>C</w:t>
      </w:r>
      <w:r w:rsidR="000F6BAE">
        <w:rPr>
          <w:sz w:val="26"/>
          <w:szCs w:val="26"/>
        </w:rPr>
        <w:t>onvenience</w:t>
      </w:r>
      <w:r w:rsidR="00B732D1">
        <w:rPr>
          <w:sz w:val="26"/>
          <w:szCs w:val="26"/>
        </w:rPr>
        <w:t xml:space="preserve"> (CPC)</w:t>
      </w:r>
      <w:r w:rsidR="000F6BAE">
        <w:rPr>
          <w:sz w:val="26"/>
          <w:szCs w:val="26"/>
        </w:rPr>
        <w:t xml:space="preserve"> is</w:t>
      </w:r>
      <w:r>
        <w:rPr>
          <w:sz w:val="26"/>
          <w:szCs w:val="26"/>
        </w:rPr>
        <w:t xml:space="preserve"> assessed based on its gross intrastate operating revenues and is obligate</w:t>
      </w:r>
      <w:r w:rsidR="000F6BAE">
        <w:rPr>
          <w:sz w:val="26"/>
          <w:szCs w:val="26"/>
        </w:rPr>
        <w:t>d</w:t>
      </w:r>
      <w:r>
        <w:rPr>
          <w:sz w:val="26"/>
          <w:szCs w:val="26"/>
        </w:rPr>
        <w:t xml:space="preserve"> to pay for the reasonable costs attributable to the regulation of all </w:t>
      </w:r>
      <w:r w:rsidR="000F6BAE">
        <w:rPr>
          <w:sz w:val="26"/>
          <w:szCs w:val="26"/>
        </w:rPr>
        <w:t>telecommunication</w:t>
      </w:r>
      <w:r w:rsidR="001E5CF8">
        <w:rPr>
          <w:sz w:val="26"/>
          <w:szCs w:val="26"/>
        </w:rPr>
        <w:t>s</w:t>
      </w:r>
      <w:r>
        <w:rPr>
          <w:sz w:val="26"/>
          <w:szCs w:val="26"/>
        </w:rPr>
        <w:t xml:space="preserve"> public utilities.  </w:t>
      </w:r>
      <w:r w:rsidR="000F6BAE">
        <w:rPr>
          <w:sz w:val="26"/>
          <w:szCs w:val="26"/>
        </w:rPr>
        <w:t>66 Pa</w:t>
      </w:r>
      <w:r w:rsidR="009A6B89">
        <w:rPr>
          <w:sz w:val="26"/>
          <w:szCs w:val="26"/>
        </w:rPr>
        <w:t>.</w:t>
      </w:r>
      <w:r w:rsidR="000F6BAE">
        <w:rPr>
          <w:sz w:val="26"/>
          <w:szCs w:val="26"/>
        </w:rPr>
        <w:t xml:space="preserve"> C.S. § 510(f).  </w:t>
      </w:r>
      <w:r>
        <w:rPr>
          <w:sz w:val="26"/>
          <w:szCs w:val="26"/>
        </w:rPr>
        <w:t xml:space="preserve">Under </w:t>
      </w:r>
      <w:r w:rsidR="000F6BAE">
        <w:rPr>
          <w:sz w:val="26"/>
          <w:szCs w:val="26"/>
        </w:rPr>
        <w:t xml:space="preserve">the Section 510 assessment process established by the General Assembly, gross intrastate operating revenues is a key </w:t>
      </w:r>
      <w:r w:rsidR="000F6BAE" w:rsidRPr="00D14C1C">
        <w:rPr>
          <w:i/>
          <w:sz w:val="26"/>
          <w:szCs w:val="26"/>
        </w:rPr>
        <w:t>metric</w:t>
      </w:r>
      <w:r w:rsidR="000F6BAE">
        <w:rPr>
          <w:sz w:val="26"/>
          <w:szCs w:val="26"/>
        </w:rPr>
        <w:t xml:space="preserve"> by which the Commission’s costs of operations are allocated among public utilities</w:t>
      </w:r>
      <w:r w:rsidR="002803A5">
        <w:rPr>
          <w:sz w:val="26"/>
          <w:szCs w:val="26"/>
        </w:rPr>
        <w:t xml:space="preserve"> holding a Commission-issued CPC</w:t>
      </w:r>
      <w:r w:rsidR="000F6BAE">
        <w:rPr>
          <w:sz w:val="26"/>
          <w:szCs w:val="26"/>
        </w:rPr>
        <w:t>.  66 Pa. C.S. § 510(b).</w:t>
      </w:r>
      <w:r w:rsidR="00812665">
        <w:rPr>
          <w:sz w:val="26"/>
          <w:szCs w:val="26"/>
        </w:rPr>
        <w:t xml:space="preserve">  By repeatedly failing to </w:t>
      </w:r>
      <w:r w:rsidR="00812665" w:rsidRPr="00943090">
        <w:rPr>
          <w:sz w:val="26"/>
          <w:szCs w:val="26"/>
        </w:rPr>
        <w:t xml:space="preserve">file the required annual </w:t>
      </w:r>
      <w:r w:rsidR="00812665">
        <w:rPr>
          <w:sz w:val="26"/>
          <w:szCs w:val="26"/>
        </w:rPr>
        <w:t>revenue</w:t>
      </w:r>
      <w:r w:rsidR="00812665" w:rsidRPr="00943090">
        <w:rPr>
          <w:sz w:val="26"/>
          <w:szCs w:val="26"/>
        </w:rPr>
        <w:t xml:space="preserve"> report</w:t>
      </w:r>
      <w:r w:rsidR="00812665">
        <w:rPr>
          <w:sz w:val="26"/>
          <w:szCs w:val="26"/>
        </w:rPr>
        <w:t xml:space="preserve">, the telecommunication public utilities listed in </w:t>
      </w:r>
      <w:r w:rsidR="00E041CE">
        <w:rPr>
          <w:sz w:val="26"/>
          <w:szCs w:val="26"/>
        </w:rPr>
        <w:t>the Appendix</w:t>
      </w:r>
      <w:r w:rsidR="00812665">
        <w:rPr>
          <w:sz w:val="26"/>
          <w:szCs w:val="26"/>
        </w:rPr>
        <w:t xml:space="preserve"> have violated Section 510(b) of the Code and failed to establish that they are operating continuously in Pennsylvania.</w:t>
      </w:r>
      <w:r w:rsidR="00B36427">
        <w:rPr>
          <w:sz w:val="26"/>
          <w:szCs w:val="26"/>
        </w:rPr>
        <w:t xml:space="preserve">  Moreover, a carrier that repeatedly fails to file an annual report to demonstrate its intrastate operating revenues indicates that it is either not providing or no longer providing jurisdictional public utility service in Pennsylvania and, therefore, a CPC for that entity is no longer “necessary or proper for the service, accommodation, convenience, or safety of the public.”  66 Pa. C.S. § 1103(a).</w:t>
      </w:r>
    </w:p>
    <w:p w14:paraId="4E94973F" w14:textId="3C1D5300" w:rsidR="00CB25B4" w:rsidRPr="00943090" w:rsidRDefault="00CB25B4" w:rsidP="0054358F">
      <w:pPr>
        <w:spacing w:line="360" w:lineRule="auto"/>
        <w:rPr>
          <w:sz w:val="26"/>
          <w:szCs w:val="26"/>
        </w:rPr>
      </w:pPr>
    </w:p>
    <w:p w14:paraId="4ED67417" w14:textId="537DDE24" w:rsidR="00220E6B" w:rsidRDefault="0054358F" w:rsidP="00304F2F">
      <w:pPr>
        <w:spacing w:line="360" w:lineRule="auto"/>
        <w:rPr>
          <w:b/>
          <w:sz w:val="26"/>
          <w:szCs w:val="26"/>
        </w:rPr>
      </w:pPr>
      <w:r w:rsidRPr="00943090">
        <w:rPr>
          <w:color w:val="FF0000"/>
          <w:sz w:val="26"/>
          <w:szCs w:val="26"/>
        </w:rPr>
        <w:tab/>
      </w:r>
      <w:r w:rsidR="004E32C8" w:rsidRPr="00943090">
        <w:rPr>
          <w:sz w:val="26"/>
          <w:szCs w:val="26"/>
        </w:rPr>
        <w:t>Under the circumstances</w:t>
      </w:r>
      <w:r w:rsidR="007354DA" w:rsidRPr="00943090">
        <w:rPr>
          <w:sz w:val="26"/>
          <w:szCs w:val="26"/>
        </w:rPr>
        <w:t>, we tentatively conclude that</w:t>
      </w:r>
      <w:r w:rsidR="00366BAE" w:rsidRPr="00943090">
        <w:rPr>
          <w:sz w:val="26"/>
          <w:szCs w:val="26"/>
        </w:rPr>
        <w:t xml:space="preserve"> the </w:t>
      </w:r>
      <w:r w:rsidR="004269CC" w:rsidRPr="00943090">
        <w:rPr>
          <w:sz w:val="26"/>
          <w:szCs w:val="26"/>
        </w:rPr>
        <w:t>telecommunication</w:t>
      </w:r>
      <w:r w:rsidR="001E5CF8">
        <w:rPr>
          <w:sz w:val="26"/>
          <w:szCs w:val="26"/>
        </w:rPr>
        <w:t>s</w:t>
      </w:r>
      <w:r w:rsidR="004269CC" w:rsidRPr="00943090">
        <w:rPr>
          <w:sz w:val="26"/>
          <w:szCs w:val="26"/>
        </w:rPr>
        <w:t xml:space="preserve"> </w:t>
      </w:r>
      <w:r w:rsidR="00734740">
        <w:rPr>
          <w:sz w:val="26"/>
          <w:szCs w:val="26"/>
        </w:rPr>
        <w:t xml:space="preserve">public </w:t>
      </w:r>
      <w:r w:rsidR="004269CC" w:rsidRPr="00943090">
        <w:rPr>
          <w:sz w:val="26"/>
          <w:szCs w:val="26"/>
        </w:rPr>
        <w:t>utilities</w:t>
      </w:r>
      <w:r w:rsidR="00366BAE" w:rsidRPr="00943090">
        <w:rPr>
          <w:sz w:val="26"/>
          <w:szCs w:val="26"/>
        </w:rPr>
        <w:t xml:space="preserve"> listed in </w:t>
      </w:r>
      <w:r w:rsidR="005F580F">
        <w:rPr>
          <w:sz w:val="26"/>
          <w:szCs w:val="26"/>
        </w:rPr>
        <w:t>the Appendix</w:t>
      </w:r>
      <w:r w:rsidR="00F75700" w:rsidRPr="00943090">
        <w:rPr>
          <w:sz w:val="26"/>
          <w:szCs w:val="26"/>
        </w:rPr>
        <w:t xml:space="preserve"> </w:t>
      </w:r>
      <w:r w:rsidR="00366BAE" w:rsidRPr="00943090">
        <w:rPr>
          <w:sz w:val="26"/>
          <w:szCs w:val="26"/>
        </w:rPr>
        <w:t xml:space="preserve">are not in compliance with </w:t>
      </w:r>
      <w:r w:rsidR="00F75700" w:rsidRPr="00943090">
        <w:rPr>
          <w:sz w:val="26"/>
          <w:szCs w:val="26"/>
        </w:rPr>
        <w:t xml:space="preserve">the reporting requirements of </w:t>
      </w:r>
      <w:r w:rsidR="004E32C8" w:rsidRPr="00943090">
        <w:rPr>
          <w:sz w:val="26"/>
          <w:szCs w:val="26"/>
        </w:rPr>
        <w:t>66</w:t>
      </w:r>
      <w:r w:rsidR="00366BAE" w:rsidRPr="00943090">
        <w:rPr>
          <w:sz w:val="26"/>
          <w:szCs w:val="26"/>
        </w:rPr>
        <w:t xml:space="preserve"> Pa. C</w:t>
      </w:r>
      <w:r w:rsidR="004E32C8" w:rsidRPr="00943090">
        <w:rPr>
          <w:sz w:val="26"/>
          <w:szCs w:val="26"/>
        </w:rPr>
        <w:t>.S.</w:t>
      </w:r>
      <w:r w:rsidR="00366BAE" w:rsidRPr="00943090">
        <w:rPr>
          <w:sz w:val="26"/>
          <w:szCs w:val="26"/>
        </w:rPr>
        <w:t xml:space="preserve"> §</w:t>
      </w:r>
      <w:r w:rsidR="00B8022C" w:rsidRPr="00943090">
        <w:rPr>
          <w:sz w:val="26"/>
          <w:szCs w:val="26"/>
        </w:rPr>
        <w:t> </w:t>
      </w:r>
      <w:r w:rsidR="004E32C8" w:rsidRPr="00943090">
        <w:rPr>
          <w:sz w:val="26"/>
          <w:szCs w:val="26"/>
        </w:rPr>
        <w:t>510(b)</w:t>
      </w:r>
      <w:r w:rsidR="00F75700" w:rsidRPr="00943090">
        <w:rPr>
          <w:sz w:val="26"/>
          <w:szCs w:val="26"/>
        </w:rPr>
        <w:t xml:space="preserve"> nor are they in compliance with the operational requirements of 66 Pa. C.S. § 1501. </w:t>
      </w:r>
      <w:r w:rsidR="00A8339A">
        <w:rPr>
          <w:sz w:val="26"/>
          <w:szCs w:val="26"/>
        </w:rPr>
        <w:t xml:space="preserve"> </w:t>
      </w:r>
      <w:r w:rsidR="00B1634E" w:rsidRPr="00943090">
        <w:rPr>
          <w:sz w:val="26"/>
          <w:szCs w:val="26"/>
        </w:rPr>
        <w:t>As such</w:t>
      </w:r>
      <w:r w:rsidR="004E32C8" w:rsidRPr="00943090">
        <w:rPr>
          <w:sz w:val="26"/>
          <w:szCs w:val="26"/>
        </w:rPr>
        <w:t>,</w:t>
      </w:r>
      <w:r w:rsidR="00366BAE" w:rsidRPr="00943090">
        <w:rPr>
          <w:sz w:val="26"/>
          <w:szCs w:val="26"/>
        </w:rPr>
        <w:t xml:space="preserve"> </w:t>
      </w:r>
      <w:r w:rsidR="007354DA" w:rsidRPr="00943090">
        <w:rPr>
          <w:sz w:val="26"/>
          <w:szCs w:val="26"/>
        </w:rPr>
        <w:t xml:space="preserve">it is appropriate to </w:t>
      </w:r>
      <w:r w:rsidR="00954297" w:rsidRPr="00943090">
        <w:rPr>
          <w:sz w:val="26"/>
          <w:szCs w:val="26"/>
        </w:rPr>
        <w:t xml:space="preserve">initiate the process for </w:t>
      </w:r>
      <w:r w:rsidR="004E32C8" w:rsidRPr="00943090">
        <w:rPr>
          <w:sz w:val="26"/>
          <w:szCs w:val="26"/>
        </w:rPr>
        <w:t>cancel</w:t>
      </w:r>
      <w:r w:rsidR="00023334" w:rsidRPr="00943090">
        <w:rPr>
          <w:sz w:val="26"/>
          <w:szCs w:val="26"/>
        </w:rPr>
        <w:t>l</w:t>
      </w:r>
      <w:r w:rsidR="004E32C8" w:rsidRPr="00943090">
        <w:rPr>
          <w:sz w:val="26"/>
          <w:szCs w:val="26"/>
        </w:rPr>
        <w:t xml:space="preserve">ing </w:t>
      </w:r>
      <w:r w:rsidR="00A5163A">
        <w:rPr>
          <w:sz w:val="26"/>
          <w:szCs w:val="26"/>
        </w:rPr>
        <w:t>the telecommunication</w:t>
      </w:r>
      <w:r w:rsidR="001E5CF8">
        <w:rPr>
          <w:sz w:val="26"/>
          <w:szCs w:val="26"/>
        </w:rPr>
        <w:t>s</w:t>
      </w:r>
      <w:r w:rsidR="00A5163A">
        <w:rPr>
          <w:sz w:val="26"/>
          <w:szCs w:val="26"/>
        </w:rPr>
        <w:t xml:space="preserve"> </w:t>
      </w:r>
      <w:r w:rsidR="00734740">
        <w:rPr>
          <w:sz w:val="26"/>
          <w:szCs w:val="26"/>
        </w:rPr>
        <w:t xml:space="preserve">public </w:t>
      </w:r>
      <w:r w:rsidR="00A5163A">
        <w:rPr>
          <w:sz w:val="26"/>
          <w:szCs w:val="26"/>
        </w:rPr>
        <w:t>utilities’</w:t>
      </w:r>
      <w:r w:rsidR="004E32C8" w:rsidRPr="00943090">
        <w:rPr>
          <w:sz w:val="26"/>
          <w:szCs w:val="26"/>
        </w:rPr>
        <w:t xml:space="preserve"> CPCs</w:t>
      </w:r>
      <w:r w:rsidR="007354DA" w:rsidRPr="00943090">
        <w:rPr>
          <w:sz w:val="26"/>
          <w:szCs w:val="26"/>
        </w:rPr>
        <w:t xml:space="preserve"> </w:t>
      </w:r>
      <w:r w:rsidR="008B1727">
        <w:rPr>
          <w:sz w:val="26"/>
          <w:szCs w:val="26"/>
        </w:rPr>
        <w:t>listed in</w:t>
      </w:r>
      <w:r w:rsidR="009D030E">
        <w:rPr>
          <w:sz w:val="26"/>
          <w:szCs w:val="26"/>
        </w:rPr>
        <w:t xml:space="preserve"> the</w:t>
      </w:r>
      <w:r w:rsidR="008B1727">
        <w:rPr>
          <w:sz w:val="26"/>
          <w:szCs w:val="26"/>
        </w:rPr>
        <w:t xml:space="preserve"> Appendix </w:t>
      </w:r>
      <w:r w:rsidR="007354DA" w:rsidRPr="00943090">
        <w:rPr>
          <w:sz w:val="26"/>
          <w:szCs w:val="26"/>
        </w:rPr>
        <w:t xml:space="preserve">as being in the public interest; </w:t>
      </w:r>
      <w:r w:rsidR="007354DA" w:rsidRPr="00943090">
        <w:rPr>
          <w:b/>
          <w:sz w:val="26"/>
          <w:szCs w:val="26"/>
        </w:rPr>
        <w:t>THEREFORE,</w:t>
      </w:r>
    </w:p>
    <w:p w14:paraId="20390C41" w14:textId="35B22716" w:rsidR="007354DA" w:rsidRDefault="007354DA" w:rsidP="00220E6B">
      <w:pPr>
        <w:spacing w:line="360" w:lineRule="auto"/>
        <w:rPr>
          <w:b/>
          <w:sz w:val="26"/>
          <w:szCs w:val="26"/>
        </w:rPr>
      </w:pPr>
      <w:r w:rsidRPr="00943090">
        <w:rPr>
          <w:b/>
          <w:sz w:val="26"/>
          <w:szCs w:val="26"/>
        </w:rPr>
        <w:lastRenderedPageBreak/>
        <w:t>IT IS ORDERED:</w:t>
      </w:r>
    </w:p>
    <w:p w14:paraId="0E92351C" w14:textId="77777777" w:rsidR="0080702E" w:rsidRPr="00943090" w:rsidRDefault="0080702E" w:rsidP="00220E6B">
      <w:pPr>
        <w:spacing w:line="360" w:lineRule="auto"/>
        <w:rPr>
          <w:b/>
          <w:sz w:val="26"/>
          <w:szCs w:val="26"/>
        </w:rPr>
      </w:pPr>
    </w:p>
    <w:p w14:paraId="4797D8A1" w14:textId="7E0B85E3" w:rsidR="007354DA" w:rsidRDefault="007354DA" w:rsidP="007A1F8E">
      <w:pPr>
        <w:pStyle w:val="ListParagraph"/>
        <w:numPr>
          <w:ilvl w:val="0"/>
          <w:numId w:val="4"/>
        </w:numPr>
        <w:spacing w:line="360" w:lineRule="auto"/>
        <w:ind w:left="0" w:firstLine="720"/>
        <w:rPr>
          <w:sz w:val="26"/>
          <w:szCs w:val="26"/>
        </w:rPr>
      </w:pPr>
      <w:r w:rsidRPr="008525EA">
        <w:rPr>
          <w:sz w:val="26"/>
          <w:szCs w:val="26"/>
        </w:rPr>
        <w:t xml:space="preserve">That </w:t>
      </w:r>
      <w:r w:rsidR="00827541" w:rsidRPr="008525EA">
        <w:rPr>
          <w:sz w:val="26"/>
          <w:szCs w:val="26"/>
        </w:rPr>
        <w:t>cancellation</w:t>
      </w:r>
      <w:r w:rsidRPr="008525EA">
        <w:rPr>
          <w:sz w:val="26"/>
          <w:szCs w:val="26"/>
        </w:rPr>
        <w:t xml:space="preserve"> of </w:t>
      </w:r>
      <w:r w:rsidR="00251A99" w:rsidRPr="008525EA">
        <w:rPr>
          <w:sz w:val="26"/>
          <w:szCs w:val="26"/>
        </w:rPr>
        <w:t xml:space="preserve">the </w:t>
      </w:r>
      <w:r w:rsidR="004B2814" w:rsidRPr="008525EA">
        <w:rPr>
          <w:sz w:val="26"/>
          <w:szCs w:val="26"/>
        </w:rPr>
        <w:t>Certificates of Public Convenience</w:t>
      </w:r>
      <w:r w:rsidR="00D422A9" w:rsidRPr="008525EA">
        <w:rPr>
          <w:sz w:val="26"/>
          <w:szCs w:val="26"/>
        </w:rPr>
        <w:t xml:space="preserve"> of</w:t>
      </w:r>
      <w:r w:rsidR="00FB1E2E" w:rsidRPr="008525EA">
        <w:rPr>
          <w:sz w:val="26"/>
          <w:szCs w:val="26"/>
        </w:rPr>
        <w:t xml:space="preserve"> each </w:t>
      </w:r>
      <w:r w:rsidR="0025683C" w:rsidRPr="008525EA">
        <w:rPr>
          <w:sz w:val="26"/>
          <w:szCs w:val="26"/>
        </w:rPr>
        <w:t>telecommunication</w:t>
      </w:r>
      <w:r w:rsidR="001E5CF8">
        <w:rPr>
          <w:sz w:val="26"/>
          <w:szCs w:val="26"/>
        </w:rPr>
        <w:t>s</w:t>
      </w:r>
      <w:r w:rsidR="0025683C" w:rsidRPr="008525EA">
        <w:rPr>
          <w:sz w:val="26"/>
          <w:szCs w:val="26"/>
        </w:rPr>
        <w:t xml:space="preserve"> </w:t>
      </w:r>
      <w:r w:rsidR="00004946">
        <w:rPr>
          <w:sz w:val="26"/>
          <w:szCs w:val="26"/>
        </w:rPr>
        <w:t xml:space="preserve">public </w:t>
      </w:r>
      <w:r w:rsidR="0025683C" w:rsidRPr="008525EA">
        <w:rPr>
          <w:sz w:val="26"/>
          <w:szCs w:val="26"/>
        </w:rPr>
        <w:t>utility</w:t>
      </w:r>
      <w:r w:rsidR="00251A99" w:rsidRPr="008525EA">
        <w:rPr>
          <w:sz w:val="26"/>
          <w:szCs w:val="26"/>
        </w:rPr>
        <w:t xml:space="preserve"> listed in </w:t>
      </w:r>
      <w:r w:rsidR="00A41A70">
        <w:rPr>
          <w:sz w:val="26"/>
          <w:szCs w:val="26"/>
        </w:rPr>
        <w:t>the Appendix</w:t>
      </w:r>
      <w:r w:rsidRPr="008525EA">
        <w:rPr>
          <w:sz w:val="26"/>
          <w:szCs w:val="26"/>
        </w:rPr>
        <w:t xml:space="preserve"> </w:t>
      </w:r>
      <w:r w:rsidR="003A6835">
        <w:rPr>
          <w:sz w:val="26"/>
          <w:szCs w:val="26"/>
        </w:rPr>
        <w:t xml:space="preserve">for the provision of </w:t>
      </w:r>
      <w:r w:rsidR="003A6835" w:rsidRPr="008525EA">
        <w:rPr>
          <w:i/>
          <w:sz w:val="26"/>
          <w:szCs w:val="26"/>
        </w:rPr>
        <w:t>intrastate</w:t>
      </w:r>
      <w:r w:rsidR="003A6835">
        <w:rPr>
          <w:sz w:val="26"/>
          <w:szCs w:val="26"/>
        </w:rPr>
        <w:t xml:space="preserve"> service in Pennsylvania </w:t>
      </w:r>
      <w:r w:rsidR="003E2CA9" w:rsidRPr="008525EA">
        <w:rPr>
          <w:sz w:val="26"/>
          <w:szCs w:val="26"/>
        </w:rPr>
        <w:t>is</w:t>
      </w:r>
      <w:r w:rsidRPr="008525EA">
        <w:rPr>
          <w:sz w:val="26"/>
          <w:szCs w:val="26"/>
        </w:rPr>
        <w:t xml:space="preserve"> hereby </w:t>
      </w:r>
      <w:r w:rsidRPr="008525EA">
        <w:rPr>
          <w:i/>
          <w:sz w:val="26"/>
          <w:szCs w:val="26"/>
        </w:rPr>
        <w:t>tentatively</w:t>
      </w:r>
      <w:r w:rsidRPr="008525EA">
        <w:rPr>
          <w:sz w:val="26"/>
          <w:szCs w:val="26"/>
        </w:rPr>
        <w:t xml:space="preserve"> approved as being in the public interest.</w:t>
      </w:r>
    </w:p>
    <w:p w14:paraId="29829A30" w14:textId="77777777" w:rsidR="00004946" w:rsidRPr="006F4672" w:rsidRDefault="00004946" w:rsidP="00C46D91">
      <w:pPr>
        <w:pStyle w:val="ListParagraph"/>
        <w:spacing w:line="360" w:lineRule="auto"/>
        <w:ind w:left="1440"/>
        <w:rPr>
          <w:sz w:val="26"/>
          <w:szCs w:val="26"/>
        </w:rPr>
      </w:pPr>
    </w:p>
    <w:p w14:paraId="1B2A9841" w14:textId="1B1C5DE9" w:rsidR="00004946" w:rsidRPr="006F4672" w:rsidRDefault="00004946" w:rsidP="007A1F8E">
      <w:pPr>
        <w:pStyle w:val="ListParagraph"/>
        <w:numPr>
          <w:ilvl w:val="0"/>
          <w:numId w:val="4"/>
        </w:numPr>
        <w:spacing w:line="360" w:lineRule="auto"/>
        <w:ind w:left="0" w:firstLine="720"/>
        <w:rPr>
          <w:sz w:val="26"/>
          <w:szCs w:val="26"/>
        </w:rPr>
      </w:pPr>
      <w:r>
        <w:rPr>
          <w:sz w:val="26"/>
          <w:szCs w:val="26"/>
        </w:rPr>
        <w:t xml:space="preserve">That cancellation of these Certificates of Public Convenience shall not affect whatever </w:t>
      </w:r>
      <w:r w:rsidRPr="006F4672">
        <w:rPr>
          <w:i/>
          <w:sz w:val="26"/>
          <w:szCs w:val="26"/>
        </w:rPr>
        <w:t>interstate</w:t>
      </w:r>
      <w:r>
        <w:rPr>
          <w:sz w:val="26"/>
          <w:szCs w:val="26"/>
        </w:rPr>
        <w:t xml:space="preserve"> operating authority, interconnection rights or other </w:t>
      </w:r>
      <w:r w:rsidR="001E5CF8">
        <w:rPr>
          <w:sz w:val="26"/>
          <w:szCs w:val="26"/>
        </w:rPr>
        <w:t>privileges</w:t>
      </w:r>
      <w:r>
        <w:rPr>
          <w:sz w:val="26"/>
          <w:szCs w:val="26"/>
        </w:rPr>
        <w:t xml:space="preserve"> or obligations these telecommunication</w:t>
      </w:r>
      <w:r w:rsidR="001E5CF8">
        <w:rPr>
          <w:sz w:val="26"/>
          <w:szCs w:val="26"/>
        </w:rPr>
        <w:t>s</w:t>
      </w:r>
      <w:r>
        <w:rPr>
          <w:sz w:val="26"/>
          <w:szCs w:val="26"/>
        </w:rPr>
        <w:t xml:space="preserve"> </w:t>
      </w:r>
      <w:r w:rsidR="00D41FD8">
        <w:rPr>
          <w:sz w:val="26"/>
          <w:szCs w:val="26"/>
        </w:rPr>
        <w:t>public utilities</w:t>
      </w:r>
      <w:r>
        <w:rPr>
          <w:sz w:val="26"/>
          <w:szCs w:val="26"/>
        </w:rPr>
        <w:t xml:space="preserve"> may have under federal law, regulations, tariffs or orders.</w:t>
      </w:r>
    </w:p>
    <w:p w14:paraId="275E691D" w14:textId="77777777" w:rsidR="004B2814" w:rsidRPr="00943090" w:rsidRDefault="004B2814" w:rsidP="007354DA">
      <w:pPr>
        <w:spacing w:line="360" w:lineRule="auto"/>
        <w:rPr>
          <w:sz w:val="26"/>
          <w:szCs w:val="26"/>
        </w:rPr>
      </w:pPr>
    </w:p>
    <w:p w14:paraId="6BF34218" w14:textId="24A617F0" w:rsidR="00A466B0" w:rsidRPr="00943090" w:rsidRDefault="0054358F" w:rsidP="0054358F">
      <w:pPr>
        <w:spacing w:line="360" w:lineRule="auto"/>
        <w:rPr>
          <w:sz w:val="26"/>
          <w:szCs w:val="26"/>
        </w:rPr>
      </w:pPr>
      <w:r w:rsidRPr="00943090">
        <w:rPr>
          <w:color w:val="FF0000"/>
          <w:sz w:val="26"/>
          <w:szCs w:val="26"/>
        </w:rPr>
        <w:tab/>
      </w:r>
      <w:r w:rsidR="00004946" w:rsidRPr="007A1F8E">
        <w:rPr>
          <w:sz w:val="26"/>
          <w:szCs w:val="26"/>
        </w:rPr>
        <w:t>3</w:t>
      </w:r>
      <w:r w:rsidR="007354DA" w:rsidRPr="007A1F8E">
        <w:rPr>
          <w:sz w:val="26"/>
          <w:szCs w:val="26"/>
        </w:rPr>
        <w:t>.</w:t>
      </w:r>
      <w:r w:rsidR="007354DA" w:rsidRPr="00943090">
        <w:rPr>
          <w:sz w:val="26"/>
          <w:szCs w:val="26"/>
        </w:rPr>
        <w:tab/>
        <w:t xml:space="preserve">That the Secretary serve a copy of this Tentative Order upon the </w:t>
      </w:r>
      <w:r w:rsidR="001E5CF8">
        <w:rPr>
          <w:sz w:val="26"/>
          <w:szCs w:val="26"/>
        </w:rPr>
        <w:t xml:space="preserve">Commission’s </w:t>
      </w:r>
      <w:r w:rsidR="007354DA" w:rsidRPr="00943090">
        <w:rPr>
          <w:sz w:val="26"/>
          <w:szCs w:val="26"/>
        </w:rPr>
        <w:t>Bureau of Investigation &amp; Enforcement,</w:t>
      </w:r>
      <w:r w:rsidR="0084135A" w:rsidRPr="00943090">
        <w:rPr>
          <w:sz w:val="26"/>
          <w:szCs w:val="26"/>
        </w:rPr>
        <w:t xml:space="preserve"> the Bureau of T</w:t>
      </w:r>
      <w:r w:rsidR="003F1E55" w:rsidRPr="00943090">
        <w:rPr>
          <w:sz w:val="26"/>
          <w:szCs w:val="26"/>
        </w:rPr>
        <w:t>echnical Utility Services</w:t>
      </w:r>
      <w:r w:rsidR="0084135A" w:rsidRPr="00943090">
        <w:rPr>
          <w:sz w:val="26"/>
          <w:szCs w:val="26"/>
        </w:rPr>
        <w:t>, the Bureau of Administration,</w:t>
      </w:r>
      <w:r w:rsidR="00366BAE" w:rsidRPr="00943090">
        <w:rPr>
          <w:sz w:val="26"/>
          <w:szCs w:val="26"/>
        </w:rPr>
        <w:t xml:space="preserve"> </w:t>
      </w:r>
      <w:r w:rsidR="003075CA" w:rsidRPr="00943090">
        <w:rPr>
          <w:sz w:val="26"/>
          <w:szCs w:val="26"/>
        </w:rPr>
        <w:t>Department of Revenue – Bureau of Corporation Taxes</w:t>
      </w:r>
      <w:r w:rsidR="00A466B0" w:rsidRPr="00943090">
        <w:rPr>
          <w:sz w:val="26"/>
          <w:szCs w:val="26"/>
        </w:rPr>
        <w:t>, and</w:t>
      </w:r>
      <w:r w:rsidR="003075CA" w:rsidRPr="00943090">
        <w:rPr>
          <w:sz w:val="26"/>
          <w:szCs w:val="26"/>
        </w:rPr>
        <w:t xml:space="preserve"> </w:t>
      </w:r>
      <w:r w:rsidR="002B7E97" w:rsidRPr="00943090">
        <w:rPr>
          <w:sz w:val="26"/>
          <w:szCs w:val="26"/>
        </w:rPr>
        <w:t>all</w:t>
      </w:r>
      <w:r w:rsidR="00366BAE" w:rsidRPr="00943090">
        <w:rPr>
          <w:sz w:val="26"/>
          <w:szCs w:val="26"/>
        </w:rPr>
        <w:t xml:space="preserve"> </w:t>
      </w:r>
      <w:r w:rsidR="0025683C" w:rsidRPr="00943090">
        <w:rPr>
          <w:sz w:val="26"/>
          <w:szCs w:val="26"/>
        </w:rPr>
        <w:t>telecommunication</w:t>
      </w:r>
      <w:r w:rsidR="001E5CF8">
        <w:rPr>
          <w:sz w:val="26"/>
          <w:szCs w:val="26"/>
        </w:rPr>
        <w:t>s</w:t>
      </w:r>
      <w:r w:rsidR="00FD16E6">
        <w:rPr>
          <w:sz w:val="26"/>
          <w:szCs w:val="26"/>
        </w:rPr>
        <w:t xml:space="preserve"> public</w:t>
      </w:r>
      <w:r w:rsidR="0025683C" w:rsidRPr="00943090">
        <w:rPr>
          <w:sz w:val="26"/>
          <w:szCs w:val="26"/>
        </w:rPr>
        <w:t xml:space="preserve"> </w:t>
      </w:r>
      <w:r w:rsidR="00D634AE" w:rsidRPr="00943090">
        <w:rPr>
          <w:sz w:val="26"/>
          <w:szCs w:val="26"/>
        </w:rPr>
        <w:t>utilities</w:t>
      </w:r>
      <w:r w:rsidR="004B2814" w:rsidRPr="00943090">
        <w:rPr>
          <w:sz w:val="26"/>
          <w:szCs w:val="26"/>
        </w:rPr>
        <w:t xml:space="preserve"> listed in </w:t>
      </w:r>
      <w:r w:rsidR="00CF67C2">
        <w:rPr>
          <w:sz w:val="26"/>
          <w:szCs w:val="26"/>
        </w:rPr>
        <w:t>the Appendix</w:t>
      </w:r>
      <w:r w:rsidR="00BF7134" w:rsidRPr="00943090">
        <w:rPr>
          <w:sz w:val="26"/>
          <w:szCs w:val="26"/>
        </w:rPr>
        <w:t>.  T</w:t>
      </w:r>
      <w:r w:rsidR="00EC7314" w:rsidRPr="00943090">
        <w:rPr>
          <w:sz w:val="26"/>
          <w:szCs w:val="26"/>
        </w:rPr>
        <w:t xml:space="preserve">he Tentative Order </w:t>
      </w:r>
      <w:r w:rsidR="00BF7134" w:rsidRPr="00943090">
        <w:rPr>
          <w:sz w:val="26"/>
          <w:szCs w:val="26"/>
        </w:rPr>
        <w:t>shall be filed at</w:t>
      </w:r>
      <w:r w:rsidR="00EC7314" w:rsidRPr="00943090">
        <w:rPr>
          <w:sz w:val="26"/>
          <w:szCs w:val="26"/>
        </w:rPr>
        <w:t xml:space="preserve"> each </w:t>
      </w:r>
      <w:r w:rsidR="00D41FD8">
        <w:rPr>
          <w:sz w:val="26"/>
          <w:szCs w:val="26"/>
        </w:rPr>
        <w:t>telecommunication</w:t>
      </w:r>
      <w:r w:rsidR="001E5CF8">
        <w:rPr>
          <w:sz w:val="26"/>
          <w:szCs w:val="26"/>
        </w:rPr>
        <w:t>s</w:t>
      </w:r>
      <w:r w:rsidR="00D41FD8">
        <w:rPr>
          <w:sz w:val="26"/>
          <w:szCs w:val="26"/>
        </w:rPr>
        <w:t xml:space="preserve"> public utility’s</w:t>
      </w:r>
      <w:r w:rsidR="00EC7314" w:rsidRPr="00943090">
        <w:rPr>
          <w:sz w:val="26"/>
          <w:szCs w:val="26"/>
        </w:rPr>
        <w:t xml:space="preserve"> </w:t>
      </w:r>
      <w:r w:rsidR="001E5CF8">
        <w:rPr>
          <w:sz w:val="26"/>
          <w:szCs w:val="26"/>
        </w:rPr>
        <w:t xml:space="preserve">application </w:t>
      </w:r>
      <w:r w:rsidR="00EC7314" w:rsidRPr="00943090">
        <w:rPr>
          <w:sz w:val="26"/>
          <w:szCs w:val="26"/>
        </w:rPr>
        <w:t>docket</w:t>
      </w:r>
      <w:r w:rsidR="00F75700" w:rsidRPr="00943090">
        <w:rPr>
          <w:sz w:val="26"/>
          <w:szCs w:val="26"/>
        </w:rPr>
        <w:t xml:space="preserve"> number</w:t>
      </w:r>
      <w:r w:rsidR="00A466B0" w:rsidRPr="00943090">
        <w:rPr>
          <w:sz w:val="26"/>
          <w:szCs w:val="26"/>
        </w:rPr>
        <w:t>.</w:t>
      </w:r>
    </w:p>
    <w:p w14:paraId="6E3B7446" w14:textId="77777777" w:rsidR="008B2202" w:rsidRPr="00943090" w:rsidRDefault="008B2202" w:rsidP="0054358F">
      <w:pPr>
        <w:spacing w:line="360" w:lineRule="auto"/>
        <w:rPr>
          <w:sz w:val="26"/>
          <w:szCs w:val="26"/>
        </w:rPr>
      </w:pPr>
    </w:p>
    <w:p w14:paraId="79E88E72" w14:textId="5247F86F" w:rsidR="007354DA" w:rsidRDefault="00A466B0" w:rsidP="0054358F">
      <w:pPr>
        <w:spacing w:line="360" w:lineRule="auto"/>
        <w:rPr>
          <w:sz w:val="26"/>
          <w:szCs w:val="26"/>
        </w:rPr>
      </w:pPr>
      <w:r w:rsidRPr="00943090">
        <w:rPr>
          <w:sz w:val="26"/>
          <w:szCs w:val="26"/>
        </w:rPr>
        <w:tab/>
      </w:r>
      <w:r w:rsidR="00004946">
        <w:rPr>
          <w:sz w:val="26"/>
          <w:szCs w:val="26"/>
        </w:rPr>
        <w:t>4</w:t>
      </w:r>
      <w:r w:rsidRPr="00943090">
        <w:rPr>
          <w:sz w:val="26"/>
          <w:szCs w:val="26"/>
        </w:rPr>
        <w:t>.</w:t>
      </w:r>
      <w:r w:rsidRPr="00943090">
        <w:rPr>
          <w:sz w:val="26"/>
          <w:szCs w:val="26"/>
        </w:rPr>
        <w:tab/>
        <w:t xml:space="preserve">That the </w:t>
      </w:r>
      <w:r w:rsidR="000B4D10" w:rsidRPr="00943090">
        <w:rPr>
          <w:sz w:val="26"/>
          <w:szCs w:val="26"/>
        </w:rPr>
        <w:t>Law Bureau</w:t>
      </w:r>
      <w:r w:rsidR="007354DA" w:rsidRPr="00943090">
        <w:rPr>
          <w:sz w:val="26"/>
          <w:szCs w:val="26"/>
        </w:rPr>
        <w:t xml:space="preserve"> </w:t>
      </w:r>
      <w:r w:rsidR="00BF7134" w:rsidRPr="00943090">
        <w:rPr>
          <w:sz w:val="26"/>
          <w:szCs w:val="26"/>
        </w:rPr>
        <w:t xml:space="preserve">shall </w:t>
      </w:r>
      <w:r w:rsidR="009B1EE2" w:rsidRPr="00943090">
        <w:rPr>
          <w:sz w:val="26"/>
          <w:szCs w:val="26"/>
        </w:rPr>
        <w:t>publish</w:t>
      </w:r>
      <w:r w:rsidR="007354DA" w:rsidRPr="00943090">
        <w:rPr>
          <w:sz w:val="26"/>
          <w:szCs w:val="26"/>
        </w:rPr>
        <w:t xml:space="preserve"> a copy of this Tentative Order in the </w:t>
      </w:r>
      <w:r w:rsidR="007354DA" w:rsidRPr="00943090">
        <w:rPr>
          <w:i/>
          <w:sz w:val="26"/>
          <w:szCs w:val="26"/>
        </w:rPr>
        <w:t>Pennsylvania Bulletin</w:t>
      </w:r>
      <w:r w:rsidR="007354DA" w:rsidRPr="00943090">
        <w:rPr>
          <w:sz w:val="26"/>
          <w:szCs w:val="26"/>
        </w:rPr>
        <w:t>.</w:t>
      </w:r>
    </w:p>
    <w:p w14:paraId="507543E6" w14:textId="77777777" w:rsidR="0080702E" w:rsidRPr="00943090" w:rsidRDefault="0080702E" w:rsidP="0054358F">
      <w:pPr>
        <w:spacing w:line="360" w:lineRule="auto"/>
        <w:rPr>
          <w:sz w:val="26"/>
          <w:szCs w:val="26"/>
        </w:rPr>
      </w:pPr>
    </w:p>
    <w:p w14:paraId="69ADB6B4" w14:textId="302A2840" w:rsidR="00F75700" w:rsidRPr="00943090" w:rsidRDefault="00F75700" w:rsidP="0054358F">
      <w:pPr>
        <w:spacing w:line="360" w:lineRule="auto"/>
        <w:rPr>
          <w:sz w:val="26"/>
          <w:szCs w:val="26"/>
        </w:rPr>
      </w:pPr>
      <w:r w:rsidRPr="00943090">
        <w:rPr>
          <w:sz w:val="26"/>
          <w:szCs w:val="26"/>
        </w:rPr>
        <w:tab/>
      </w:r>
      <w:r w:rsidR="00FD16E6">
        <w:rPr>
          <w:sz w:val="26"/>
          <w:szCs w:val="26"/>
        </w:rPr>
        <w:t>5</w:t>
      </w:r>
      <w:r w:rsidRPr="00943090">
        <w:rPr>
          <w:sz w:val="26"/>
          <w:szCs w:val="26"/>
        </w:rPr>
        <w:t>.</w:t>
      </w:r>
      <w:r w:rsidRPr="00943090">
        <w:rPr>
          <w:sz w:val="26"/>
          <w:szCs w:val="26"/>
        </w:rPr>
        <w:tab/>
        <w:t xml:space="preserve">That </w:t>
      </w:r>
      <w:r w:rsidR="002803A5" w:rsidRPr="00AE43C3">
        <w:rPr>
          <w:sz w:val="26"/>
          <w:szCs w:val="26"/>
        </w:rPr>
        <w:t>telecommunication</w:t>
      </w:r>
      <w:r w:rsidR="001E5CF8">
        <w:rPr>
          <w:sz w:val="26"/>
          <w:szCs w:val="26"/>
        </w:rPr>
        <w:t>s</w:t>
      </w:r>
      <w:r w:rsidR="002803A5" w:rsidRPr="00AE43C3">
        <w:rPr>
          <w:sz w:val="26"/>
          <w:szCs w:val="26"/>
        </w:rPr>
        <w:t xml:space="preserve"> </w:t>
      </w:r>
      <w:r w:rsidR="002803A5">
        <w:rPr>
          <w:sz w:val="26"/>
          <w:szCs w:val="26"/>
        </w:rPr>
        <w:t xml:space="preserve">public </w:t>
      </w:r>
      <w:r w:rsidR="002803A5" w:rsidRPr="00AE43C3">
        <w:rPr>
          <w:sz w:val="26"/>
          <w:szCs w:val="26"/>
        </w:rPr>
        <w:t>utilit</w:t>
      </w:r>
      <w:r w:rsidR="005C4F3A">
        <w:rPr>
          <w:sz w:val="26"/>
          <w:szCs w:val="26"/>
        </w:rPr>
        <w:t>ies</w:t>
      </w:r>
      <w:r w:rsidR="002803A5" w:rsidRPr="00AE43C3">
        <w:rPr>
          <w:sz w:val="26"/>
          <w:szCs w:val="26"/>
        </w:rPr>
        <w:t xml:space="preserve"> listed in</w:t>
      </w:r>
      <w:r w:rsidR="00CB5C7D">
        <w:rPr>
          <w:sz w:val="26"/>
          <w:szCs w:val="26"/>
        </w:rPr>
        <w:t xml:space="preserve"> the</w:t>
      </w:r>
      <w:r w:rsidR="002803A5" w:rsidRPr="00AE43C3">
        <w:rPr>
          <w:sz w:val="26"/>
          <w:szCs w:val="26"/>
        </w:rPr>
        <w:t xml:space="preserve"> Appendix</w:t>
      </w:r>
      <w:r w:rsidRPr="00943090">
        <w:rPr>
          <w:sz w:val="26"/>
          <w:szCs w:val="26"/>
        </w:rPr>
        <w:t xml:space="preserve">, to the extent they challenge cancellation of </w:t>
      </w:r>
      <w:r w:rsidR="002803A5">
        <w:rPr>
          <w:sz w:val="26"/>
          <w:szCs w:val="26"/>
        </w:rPr>
        <w:t xml:space="preserve">their </w:t>
      </w:r>
      <w:r w:rsidR="001E5CF8">
        <w:rPr>
          <w:sz w:val="26"/>
          <w:szCs w:val="26"/>
        </w:rPr>
        <w:t>Certificates of Public Convenience</w:t>
      </w:r>
      <w:r w:rsidRPr="00943090">
        <w:rPr>
          <w:sz w:val="26"/>
          <w:szCs w:val="26"/>
        </w:rPr>
        <w:t>, must file comments within 20 days after publication</w:t>
      </w:r>
      <w:r w:rsidR="002803A5">
        <w:rPr>
          <w:sz w:val="26"/>
          <w:szCs w:val="26"/>
        </w:rPr>
        <w:t xml:space="preserve"> of</w:t>
      </w:r>
      <w:r w:rsidRPr="00943090">
        <w:rPr>
          <w:sz w:val="26"/>
          <w:szCs w:val="26"/>
        </w:rPr>
        <w:t xml:space="preserve"> </w:t>
      </w:r>
      <w:r w:rsidR="002803A5">
        <w:rPr>
          <w:sz w:val="26"/>
          <w:szCs w:val="26"/>
        </w:rPr>
        <w:t xml:space="preserve">this </w:t>
      </w:r>
      <w:r w:rsidR="001E5CF8">
        <w:rPr>
          <w:sz w:val="26"/>
          <w:szCs w:val="26"/>
        </w:rPr>
        <w:t>T</w:t>
      </w:r>
      <w:r w:rsidR="002803A5">
        <w:rPr>
          <w:sz w:val="26"/>
          <w:szCs w:val="26"/>
        </w:rPr>
        <w:t xml:space="preserve">entative </w:t>
      </w:r>
      <w:r w:rsidR="001E5CF8">
        <w:rPr>
          <w:sz w:val="26"/>
          <w:szCs w:val="26"/>
        </w:rPr>
        <w:t>O</w:t>
      </w:r>
      <w:r w:rsidR="002803A5">
        <w:rPr>
          <w:sz w:val="26"/>
          <w:szCs w:val="26"/>
        </w:rPr>
        <w:t xml:space="preserve">rder </w:t>
      </w:r>
      <w:r w:rsidRPr="00943090">
        <w:rPr>
          <w:sz w:val="26"/>
          <w:szCs w:val="26"/>
        </w:rPr>
        <w:t xml:space="preserve">in the </w:t>
      </w:r>
      <w:r w:rsidRPr="00943090">
        <w:rPr>
          <w:i/>
          <w:sz w:val="26"/>
          <w:szCs w:val="26"/>
        </w:rPr>
        <w:t>Pennsylvania Bulletin</w:t>
      </w:r>
      <w:r w:rsidRPr="00943090">
        <w:rPr>
          <w:sz w:val="26"/>
          <w:szCs w:val="26"/>
        </w:rPr>
        <w:t xml:space="preserve">. </w:t>
      </w:r>
      <w:r w:rsidR="00F322A2" w:rsidRPr="00943090">
        <w:rPr>
          <w:sz w:val="26"/>
          <w:szCs w:val="26"/>
        </w:rPr>
        <w:t xml:space="preserve"> Comments shall be sent to the Pennsylvania Public Utility Commission, Attn: Secretary Rosemary Chiavetta, Commonwealth Keystone Building, 400 North Street, 2</w:t>
      </w:r>
      <w:r w:rsidR="00F322A2" w:rsidRPr="00943090">
        <w:rPr>
          <w:sz w:val="26"/>
          <w:szCs w:val="26"/>
          <w:vertAlign w:val="superscript"/>
        </w:rPr>
        <w:t>nd</w:t>
      </w:r>
      <w:r w:rsidR="00F322A2" w:rsidRPr="00943090">
        <w:rPr>
          <w:sz w:val="26"/>
          <w:szCs w:val="26"/>
        </w:rPr>
        <w:t xml:space="preserve"> Floor, Harrisburg, PA 17120.</w:t>
      </w:r>
    </w:p>
    <w:p w14:paraId="48470B01" w14:textId="77777777" w:rsidR="003F1E55" w:rsidRPr="00943090" w:rsidRDefault="003F1E55" w:rsidP="0054358F">
      <w:pPr>
        <w:spacing w:line="360" w:lineRule="auto"/>
        <w:rPr>
          <w:sz w:val="26"/>
          <w:szCs w:val="26"/>
        </w:rPr>
      </w:pPr>
    </w:p>
    <w:p w14:paraId="687E099D" w14:textId="687BA3B9" w:rsidR="003F1E55" w:rsidRPr="00943090" w:rsidRDefault="003F1E55" w:rsidP="0054358F">
      <w:pPr>
        <w:spacing w:line="360" w:lineRule="auto"/>
        <w:rPr>
          <w:sz w:val="26"/>
          <w:szCs w:val="26"/>
        </w:rPr>
      </w:pPr>
      <w:r w:rsidRPr="00943090">
        <w:rPr>
          <w:sz w:val="26"/>
          <w:szCs w:val="26"/>
        </w:rPr>
        <w:lastRenderedPageBreak/>
        <w:tab/>
      </w:r>
      <w:r w:rsidR="00FD16E6">
        <w:rPr>
          <w:sz w:val="26"/>
          <w:szCs w:val="26"/>
        </w:rPr>
        <w:t>6</w:t>
      </w:r>
      <w:r w:rsidRPr="00943090">
        <w:rPr>
          <w:sz w:val="26"/>
          <w:szCs w:val="26"/>
        </w:rPr>
        <w:t>.</w:t>
      </w:r>
      <w:r w:rsidRPr="00943090">
        <w:rPr>
          <w:sz w:val="26"/>
          <w:szCs w:val="26"/>
        </w:rPr>
        <w:tab/>
        <w:t xml:space="preserve">Alternatively, </w:t>
      </w:r>
      <w:r w:rsidR="004A232F">
        <w:rPr>
          <w:sz w:val="26"/>
          <w:szCs w:val="26"/>
        </w:rPr>
        <w:t xml:space="preserve">the </w:t>
      </w:r>
      <w:r w:rsidR="0025683C" w:rsidRPr="00943090">
        <w:rPr>
          <w:sz w:val="26"/>
          <w:szCs w:val="26"/>
        </w:rPr>
        <w:t>telecommunication</w:t>
      </w:r>
      <w:r w:rsidR="001E5CF8">
        <w:rPr>
          <w:sz w:val="26"/>
          <w:szCs w:val="26"/>
        </w:rPr>
        <w:t>s</w:t>
      </w:r>
      <w:r w:rsidR="0025683C" w:rsidRPr="00943090">
        <w:rPr>
          <w:sz w:val="26"/>
          <w:szCs w:val="26"/>
        </w:rPr>
        <w:t xml:space="preserve"> </w:t>
      </w:r>
      <w:r w:rsidR="00004946">
        <w:rPr>
          <w:sz w:val="26"/>
          <w:szCs w:val="26"/>
        </w:rPr>
        <w:t xml:space="preserve">public </w:t>
      </w:r>
      <w:r w:rsidR="0025683C" w:rsidRPr="00943090">
        <w:rPr>
          <w:sz w:val="26"/>
          <w:szCs w:val="26"/>
        </w:rPr>
        <w:t>utilities</w:t>
      </w:r>
      <w:r w:rsidR="005F6967" w:rsidRPr="00943090">
        <w:rPr>
          <w:sz w:val="26"/>
          <w:szCs w:val="26"/>
        </w:rPr>
        <w:t xml:space="preserve"> listed in </w:t>
      </w:r>
      <w:r w:rsidR="00FC745E">
        <w:rPr>
          <w:sz w:val="26"/>
          <w:szCs w:val="26"/>
        </w:rPr>
        <w:t xml:space="preserve">the </w:t>
      </w:r>
      <w:r w:rsidR="005F6967" w:rsidRPr="00943090">
        <w:rPr>
          <w:sz w:val="26"/>
          <w:szCs w:val="26"/>
        </w:rPr>
        <w:t xml:space="preserve">Appendix </w:t>
      </w:r>
      <w:r w:rsidR="002803A5">
        <w:rPr>
          <w:sz w:val="26"/>
          <w:szCs w:val="26"/>
        </w:rPr>
        <w:t xml:space="preserve"> </w:t>
      </w:r>
      <w:r w:rsidRPr="00943090">
        <w:rPr>
          <w:sz w:val="26"/>
          <w:szCs w:val="26"/>
        </w:rPr>
        <w:t>may file</w:t>
      </w:r>
      <w:r w:rsidR="003A6835">
        <w:rPr>
          <w:sz w:val="26"/>
          <w:szCs w:val="26"/>
        </w:rPr>
        <w:t xml:space="preserve"> Section 510(b) revenue reports for calendar years 2016, 2017 and 2018</w:t>
      </w:r>
      <w:r w:rsidRPr="00943090">
        <w:rPr>
          <w:sz w:val="26"/>
          <w:szCs w:val="26"/>
        </w:rPr>
        <w:t xml:space="preserve">, within 20 days after publication in the </w:t>
      </w:r>
      <w:r w:rsidRPr="00943090">
        <w:rPr>
          <w:i/>
          <w:sz w:val="26"/>
          <w:szCs w:val="26"/>
        </w:rPr>
        <w:t>Pennsylvania Bulletin</w:t>
      </w:r>
      <w:r w:rsidR="001E5CF8">
        <w:rPr>
          <w:sz w:val="26"/>
          <w:szCs w:val="26"/>
        </w:rPr>
        <w:t>, to reflect gross intrastate operating revenues derived from Pennsylvania operations.</w:t>
      </w:r>
      <w:r w:rsidRPr="00943090">
        <w:rPr>
          <w:sz w:val="26"/>
          <w:szCs w:val="26"/>
        </w:rPr>
        <w:t xml:space="preserve">  </w:t>
      </w:r>
      <w:r w:rsidR="003A6835">
        <w:rPr>
          <w:sz w:val="26"/>
          <w:szCs w:val="26"/>
        </w:rPr>
        <w:t>The r</w:t>
      </w:r>
      <w:r w:rsidR="00F322A2" w:rsidRPr="00943090">
        <w:rPr>
          <w:sz w:val="26"/>
          <w:szCs w:val="26"/>
        </w:rPr>
        <w:t xml:space="preserve">eports </w:t>
      </w:r>
      <w:r w:rsidR="00B16BA2" w:rsidRPr="00943090">
        <w:rPr>
          <w:sz w:val="26"/>
          <w:szCs w:val="26"/>
        </w:rPr>
        <w:t>shall be sent to the Pennsylvania Public Utility Commission, Attn: Secretary Rosemary Chiavetta, Commonwealth Keystone Building, 400 North Street, 2</w:t>
      </w:r>
      <w:r w:rsidR="00B16BA2" w:rsidRPr="00943090">
        <w:rPr>
          <w:sz w:val="26"/>
          <w:szCs w:val="26"/>
          <w:vertAlign w:val="superscript"/>
        </w:rPr>
        <w:t>nd</w:t>
      </w:r>
      <w:r w:rsidR="00B16BA2" w:rsidRPr="00943090">
        <w:rPr>
          <w:sz w:val="26"/>
          <w:szCs w:val="26"/>
        </w:rPr>
        <w:t xml:space="preserve"> Floor, Harrisburg, PA 17120.</w:t>
      </w:r>
    </w:p>
    <w:p w14:paraId="4643CD96" w14:textId="77777777" w:rsidR="00104C5C" w:rsidRPr="0080702E" w:rsidRDefault="00104C5C" w:rsidP="00EE5D56">
      <w:pPr>
        <w:spacing w:line="360" w:lineRule="auto"/>
        <w:rPr>
          <w:sz w:val="26"/>
          <w:szCs w:val="26"/>
        </w:rPr>
      </w:pPr>
    </w:p>
    <w:p w14:paraId="3232CF81" w14:textId="77144100" w:rsidR="007354DA" w:rsidRPr="00943090" w:rsidRDefault="007354DA" w:rsidP="007354DA">
      <w:pPr>
        <w:spacing w:line="360" w:lineRule="auto"/>
        <w:rPr>
          <w:sz w:val="26"/>
          <w:szCs w:val="26"/>
        </w:rPr>
      </w:pPr>
      <w:r w:rsidRPr="00943090">
        <w:rPr>
          <w:sz w:val="26"/>
          <w:szCs w:val="26"/>
        </w:rPr>
        <w:tab/>
      </w:r>
      <w:r w:rsidR="00FD16E6">
        <w:rPr>
          <w:sz w:val="26"/>
          <w:szCs w:val="26"/>
        </w:rPr>
        <w:t>7</w:t>
      </w:r>
      <w:r w:rsidRPr="00943090">
        <w:rPr>
          <w:sz w:val="26"/>
          <w:szCs w:val="26"/>
        </w:rPr>
        <w:t>.</w:t>
      </w:r>
      <w:r w:rsidRPr="00943090">
        <w:rPr>
          <w:sz w:val="26"/>
          <w:szCs w:val="26"/>
        </w:rPr>
        <w:tab/>
        <w:t>That absent the</w:t>
      </w:r>
      <w:r w:rsidR="00BF7134" w:rsidRPr="00943090">
        <w:rPr>
          <w:sz w:val="26"/>
          <w:szCs w:val="26"/>
        </w:rPr>
        <w:t xml:space="preserve"> timely</w:t>
      </w:r>
      <w:r w:rsidRPr="00943090">
        <w:rPr>
          <w:sz w:val="26"/>
          <w:szCs w:val="26"/>
        </w:rPr>
        <w:t xml:space="preserve"> filing of comment</w:t>
      </w:r>
      <w:r w:rsidR="003F1E55" w:rsidRPr="00943090">
        <w:rPr>
          <w:sz w:val="26"/>
          <w:szCs w:val="26"/>
        </w:rPr>
        <w:t xml:space="preserve">s challenging cancellation of </w:t>
      </w:r>
      <w:r w:rsidR="001E5CF8">
        <w:rPr>
          <w:sz w:val="26"/>
          <w:szCs w:val="26"/>
        </w:rPr>
        <w:t xml:space="preserve">a </w:t>
      </w:r>
      <w:r w:rsidR="002803A5">
        <w:rPr>
          <w:sz w:val="26"/>
          <w:szCs w:val="26"/>
        </w:rPr>
        <w:t>telecommunication</w:t>
      </w:r>
      <w:r w:rsidR="001E5CF8">
        <w:rPr>
          <w:sz w:val="26"/>
          <w:szCs w:val="26"/>
        </w:rPr>
        <w:t>s</w:t>
      </w:r>
      <w:r w:rsidR="002803A5">
        <w:rPr>
          <w:sz w:val="26"/>
          <w:szCs w:val="26"/>
        </w:rPr>
        <w:t xml:space="preserve"> public utility’s</w:t>
      </w:r>
      <w:r w:rsidR="003F1E55" w:rsidRPr="00943090">
        <w:rPr>
          <w:sz w:val="26"/>
          <w:szCs w:val="26"/>
        </w:rPr>
        <w:t xml:space="preserve"> </w:t>
      </w:r>
      <w:r w:rsidR="001E5CF8">
        <w:rPr>
          <w:sz w:val="26"/>
          <w:szCs w:val="26"/>
        </w:rPr>
        <w:t>Certificates of Public Convenience</w:t>
      </w:r>
      <w:r w:rsidR="003F1E55" w:rsidRPr="00943090">
        <w:rPr>
          <w:sz w:val="26"/>
          <w:szCs w:val="26"/>
        </w:rPr>
        <w:t xml:space="preserve">, </w:t>
      </w:r>
      <w:r w:rsidR="00E8575D" w:rsidRPr="00943090">
        <w:rPr>
          <w:sz w:val="26"/>
          <w:szCs w:val="26"/>
        </w:rPr>
        <w:t xml:space="preserve">or the </w:t>
      </w:r>
      <w:r w:rsidR="00BF7134" w:rsidRPr="00943090">
        <w:rPr>
          <w:sz w:val="26"/>
          <w:szCs w:val="26"/>
        </w:rPr>
        <w:t xml:space="preserve">timely </w:t>
      </w:r>
      <w:r w:rsidR="003A6835">
        <w:rPr>
          <w:sz w:val="26"/>
          <w:szCs w:val="26"/>
        </w:rPr>
        <w:t xml:space="preserve">filing of </w:t>
      </w:r>
      <w:r w:rsidR="001E5CF8">
        <w:rPr>
          <w:sz w:val="26"/>
          <w:szCs w:val="26"/>
        </w:rPr>
        <w:t>revised</w:t>
      </w:r>
      <w:r w:rsidR="003A6835">
        <w:rPr>
          <w:sz w:val="26"/>
          <w:szCs w:val="26"/>
        </w:rPr>
        <w:t xml:space="preserve"> </w:t>
      </w:r>
      <w:r w:rsidR="001E5CF8">
        <w:rPr>
          <w:sz w:val="26"/>
          <w:szCs w:val="26"/>
        </w:rPr>
        <w:t xml:space="preserve">Section 510(b) </w:t>
      </w:r>
      <w:r w:rsidR="003A6835">
        <w:rPr>
          <w:sz w:val="26"/>
          <w:szCs w:val="26"/>
        </w:rPr>
        <w:t>revenue reports</w:t>
      </w:r>
      <w:r w:rsidR="00F75700" w:rsidRPr="00943090">
        <w:rPr>
          <w:sz w:val="26"/>
          <w:szCs w:val="26"/>
        </w:rPr>
        <w:t xml:space="preserve">, </w:t>
      </w:r>
      <w:r w:rsidR="009A262E" w:rsidRPr="00943090">
        <w:rPr>
          <w:sz w:val="26"/>
          <w:szCs w:val="26"/>
        </w:rPr>
        <w:t xml:space="preserve">the </w:t>
      </w:r>
      <w:r w:rsidR="00EE5D56" w:rsidRPr="00943090">
        <w:rPr>
          <w:sz w:val="26"/>
          <w:szCs w:val="26"/>
        </w:rPr>
        <w:t>Law Bureau</w:t>
      </w:r>
      <w:r w:rsidR="009A262E" w:rsidRPr="00943090">
        <w:rPr>
          <w:sz w:val="26"/>
          <w:szCs w:val="26"/>
        </w:rPr>
        <w:t xml:space="preserve"> shall prepare </w:t>
      </w:r>
      <w:r w:rsidR="00EC7C7E" w:rsidRPr="00943090">
        <w:rPr>
          <w:sz w:val="26"/>
          <w:szCs w:val="26"/>
        </w:rPr>
        <w:t xml:space="preserve">a </w:t>
      </w:r>
      <w:r w:rsidR="009A262E" w:rsidRPr="00943090">
        <w:rPr>
          <w:sz w:val="26"/>
          <w:szCs w:val="26"/>
        </w:rPr>
        <w:t>Final Order for entry by the Secretary</w:t>
      </w:r>
      <w:r w:rsidR="00BF7134" w:rsidRPr="00943090">
        <w:rPr>
          <w:sz w:val="26"/>
          <w:szCs w:val="26"/>
        </w:rPr>
        <w:t xml:space="preserve"> cance</w:t>
      </w:r>
      <w:r w:rsidR="005F6967" w:rsidRPr="00943090">
        <w:rPr>
          <w:sz w:val="26"/>
          <w:szCs w:val="26"/>
        </w:rPr>
        <w:t>l</w:t>
      </w:r>
      <w:r w:rsidR="00BF7134" w:rsidRPr="00943090">
        <w:rPr>
          <w:sz w:val="26"/>
          <w:szCs w:val="26"/>
        </w:rPr>
        <w:t xml:space="preserve">ling the </w:t>
      </w:r>
      <w:r w:rsidR="0025683C" w:rsidRPr="00943090">
        <w:rPr>
          <w:sz w:val="26"/>
          <w:szCs w:val="26"/>
        </w:rPr>
        <w:t>telecommunication</w:t>
      </w:r>
      <w:r w:rsidR="001E5CF8">
        <w:rPr>
          <w:sz w:val="26"/>
          <w:szCs w:val="26"/>
        </w:rPr>
        <w:t>s</w:t>
      </w:r>
      <w:r w:rsidR="0025683C" w:rsidRPr="00943090">
        <w:rPr>
          <w:sz w:val="26"/>
          <w:szCs w:val="26"/>
        </w:rPr>
        <w:t xml:space="preserve"> </w:t>
      </w:r>
      <w:r w:rsidR="002803A5">
        <w:rPr>
          <w:sz w:val="26"/>
          <w:szCs w:val="26"/>
        </w:rPr>
        <w:t xml:space="preserve">public </w:t>
      </w:r>
      <w:r w:rsidR="0025683C" w:rsidRPr="00943090">
        <w:rPr>
          <w:sz w:val="26"/>
          <w:szCs w:val="26"/>
        </w:rPr>
        <w:t>utility’s</w:t>
      </w:r>
      <w:r w:rsidR="00BF7134" w:rsidRPr="00943090">
        <w:rPr>
          <w:sz w:val="26"/>
          <w:szCs w:val="26"/>
        </w:rPr>
        <w:t xml:space="preserve"> </w:t>
      </w:r>
      <w:r w:rsidR="001E5CF8">
        <w:rPr>
          <w:sz w:val="26"/>
          <w:szCs w:val="26"/>
        </w:rPr>
        <w:t>Certificate of Public Convenience</w:t>
      </w:r>
      <w:r w:rsidR="00BF7134" w:rsidRPr="00943090">
        <w:rPr>
          <w:sz w:val="26"/>
          <w:szCs w:val="26"/>
        </w:rPr>
        <w:t>.</w:t>
      </w:r>
    </w:p>
    <w:p w14:paraId="624F63CC" w14:textId="77777777" w:rsidR="00503929" w:rsidRPr="00943090" w:rsidRDefault="00503929" w:rsidP="00503929">
      <w:pPr>
        <w:overflowPunct/>
        <w:autoSpaceDE/>
        <w:autoSpaceDN/>
        <w:adjustRightInd/>
        <w:textAlignment w:val="auto"/>
        <w:rPr>
          <w:sz w:val="26"/>
          <w:szCs w:val="26"/>
        </w:rPr>
      </w:pPr>
    </w:p>
    <w:p w14:paraId="1AB48472" w14:textId="3F0699F8" w:rsidR="00AF6380" w:rsidRPr="00943090" w:rsidRDefault="00FD16E6" w:rsidP="00F75700">
      <w:pPr>
        <w:overflowPunct/>
        <w:autoSpaceDE/>
        <w:autoSpaceDN/>
        <w:adjustRightInd/>
        <w:spacing w:line="360" w:lineRule="auto"/>
        <w:ind w:firstLine="720"/>
        <w:textAlignment w:val="auto"/>
        <w:rPr>
          <w:sz w:val="26"/>
          <w:szCs w:val="26"/>
        </w:rPr>
      </w:pPr>
      <w:r>
        <w:rPr>
          <w:sz w:val="26"/>
          <w:szCs w:val="26"/>
        </w:rPr>
        <w:t>8</w:t>
      </w:r>
      <w:r w:rsidR="007354DA" w:rsidRPr="00943090">
        <w:rPr>
          <w:sz w:val="26"/>
          <w:szCs w:val="26"/>
        </w:rPr>
        <w:t>.</w:t>
      </w:r>
      <w:r w:rsidR="007354DA" w:rsidRPr="00943090">
        <w:rPr>
          <w:sz w:val="26"/>
          <w:szCs w:val="26"/>
        </w:rPr>
        <w:tab/>
        <w:t>That upon</w:t>
      </w:r>
      <w:r w:rsidR="009A262E" w:rsidRPr="00943090">
        <w:rPr>
          <w:sz w:val="26"/>
          <w:szCs w:val="26"/>
        </w:rPr>
        <w:t xml:space="preserve"> entry of the Final Order </w:t>
      </w:r>
      <w:r w:rsidR="00B150B1" w:rsidRPr="00943090">
        <w:rPr>
          <w:sz w:val="26"/>
          <w:szCs w:val="26"/>
        </w:rPr>
        <w:t>described in O</w:t>
      </w:r>
      <w:r w:rsidR="00A61269" w:rsidRPr="00943090">
        <w:rPr>
          <w:sz w:val="26"/>
          <w:szCs w:val="26"/>
        </w:rPr>
        <w:t>rdering Paragraph </w:t>
      </w:r>
      <w:r w:rsidR="009A262E" w:rsidRPr="00943090">
        <w:rPr>
          <w:sz w:val="26"/>
          <w:szCs w:val="26"/>
        </w:rPr>
        <w:t xml:space="preserve">No. </w:t>
      </w:r>
      <w:r>
        <w:rPr>
          <w:sz w:val="26"/>
          <w:szCs w:val="26"/>
        </w:rPr>
        <w:t>7</w:t>
      </w:r>
      <w:r w:rsidR="009A262E" w:rsidRPr="00943090">
        <w:rPr>
          <w:sz w:val="26"/>
          <w:szCs w:val="26"/>
        </w:rPr>
        <w:t xml:space="preserve"> above,</w:t>
      </w:r>
      <w:r w:rsidR="0084135A" w:rsidRPr="00943090">
        <w:rPr>
          <w:sz w:val="26"/>
          <w:szCs w:val="26"/>
        </w:rPr>
        <w:t xml:space="preserve"> the </w:t>
      </w:r>
      <w:r w:rsidR="001E5CF8">
        <w:rPr>
          <w:sz w:val="26"/>
          <w:szCs w:val="26"/>
        </w:rPr>
        <w:t>Certificate of Public Convenience</w:t>
      </w:r>
      <w:r w:rsidR="001E5CF8" w:rsidDel="001E5CF8">
        <w:rPr>
          <w:sz w:val="26"/>
          <w:szCs w:val="26"/>
        </w:rPr>
        <w:t xml:space="preserve"> </w:t>
      </w:r>
      <w:r w:rsidR="0084135A" w:rsidRPr="00943090">
        <w:rPr>
          <w:sz w:val="26"/>
          <w:szCs w:val="26"/>
        </w:rPr>
        <w:t>of</w:t>
      </w:r>
      <w:r w:rsidR="009A262E" w:rsidRPr="00943090">
        <w:rPr>
          <w:sz w:val="26"/>
          <w:szCs w:val="26"/>
        </w:rPr>
        <w:t xml:space="preserve"> </w:t>
      </w:r>
      <w:r w:rsidR="00FB1E2E" w:rsidRPr="00943090">
        <w:rPr>
          <w:sz w:val="26"/>
          <w:szCs w:val="26"/>
        </w:rPr>
        <w:t xml:space="preserve">each </w:t>
      </w:r>
      <w:r w:rsidR="00BF7134" w:rsidRPr="00943090">
        <w:rPr>
          <w:sz w:val="26"/>
          <w:szCs w:val="26"/>
        </w:rPr>
        <w:t>non-compliant</w:t>
      </w:r>
      <w:r w:rsidR="00C46D91">
        <w:rPr>
          <w:sz w:val="26"/>
          <w:szCs w:val="26"/>
        </w:rPr>
        <w:t xml:space="preserve"> telecommunication</w:t>
      </w:r>
      <w:r w:rsidR="001E5CF8">
        <w:rPr>
          <w:sz w:val="26"/>
          <w:szCs w:val="26"/>
        </w:rPr>
        <w:t>s</w:t>
      </w:r>
      <w:r w:rsidR="00BF7134" w:rsidRPr="00943090">
        <w:rPr>
          <w:sz w:val="26"/>
          <w:szCs w:val="26"/>
        </w:rPr>
        <w:t xml:space="preserve"> </w:t>
      </w:r>
      <w:r w:rsidR="003A6835">
        <w:rPr>
          <w:sz w:val="26"/>
          <w:szCs w:val="26"/>
        </w:rPr>
        <w:t>public utility</w:t>
      </w:r>
      <w:r w:rsidR="00827541" w:rsidRPr="00943090">
        <w:rPr>
          <w:sz w:val="26"/>
          <w:szCs w:val="26"/>
        </w:rPr>
        <w:t xml:space="preserve"> </w:t>
      </w:r>
      <w:r w:rsidR="0084135A" w:rsidRPr="00943090">
        <w:rPr>
          <w:sz w:val="26"/>
          <w:szCs w:val="26"/>
        </w:rPr>
        <w:t>shall be cancel</w:t>
      </w:r>
      <w:r w:rsidR="00745269" w:rsidRPr="00943090">
        <w:rPr>
          <w:sz w:val="26"/>
          <w:szCs w:val="26"/>
        </w:rPr>
        <w:t>l</w:t>
      </w:r>
      <w:r w:rsidR="0084135A" w:rsidRPr="00943090">
        <w:rPr>
          <w:sz w:val="26"/>
          <w:szCs w:val="26"/>
        </w:rPr>
        <w:t>ed, and each</w:t>
      </w:r>
      <w:r w:rsidR="00BF7134" w:rsidRPr="00943090">
        <w:rPr>
          <w:sz w:val="26"/>
          <w:szCs w:val="26"/>
        </w:rPr>
        <w:t xml:space="preserve"> non-compliant</w:t>
      </w:r>
      <w:r w:rsidR="0084135A" w:rsidRPr="00943090">
        <w:rPr>
          <w:sz w:val="26"/>
          <w:szCs w:val="26"/>
        </w:rPr>
        <w:t xml:space="preserve"> </w:t>
      </w:r>
      <w:r w:rsidR="00C46D91">
        <w:rPr>
          <w:sz w:val="26"/>
          <w:szCs w:val="26"/>
        </w:rPr>
        <w:t>telecommunication</w:t>
      </w:r>
      <w:r w:rsidR="001E5CF8">
        <w:rPr>
          <w:sz w:val="26"/>
          <w:szCs w:val="26"/>
        </w:rPr>
        <w:t>s</w:t>
      </w:r>
      <w:r w:rsidR="00C46D91">
        <w:rPr>
          <w:sz w:val="26"/>
          <w:szCs w:val="26"/>
        </w:rPr>
        <w:t xml:space="preserve"> </w:t>
      </w:r>
      <w:r w:rsidR="003A6835">
        <w:rPr>
          <w:sz w:val="26"/>
          <w:szCs w:val="26"/>
        </w:rPr>
        <w:t>public utility</w:t>
      </w:r>
      <w:r w:rsidR="005F6967" w:rsidRPr="00943090">
        <w:rPr>
          <w:sz w:val="26"/>
          <w:szCs w:val="26"/>
        </w:rPr>
        <w:t xml:space="preserve"> listed in </w:t>
      </w:r>
      <w:r w:rsidR="00114AD1">
        <w:rPr>
          <w:sz w:val="26"/>
          <w:szCs w:val="26"/>
        </w:rPr>
        <w:t xml:space="preserve">the </w:t>
      </w:r>
      <w:r w:rsidR="005F580F">
        <w:rPr>
          <w:sz w:val="26"/>
          <w:szCs w:val="26"/>
        </w:rPr>
        <w:t>Appendix</w:t>
      </w:r>
      <w:r w:rsidR="0084135A" w:rsidRPr="00943090">
        <w:rPr>
          <w:sz w:val="26"/>
          <w:szCs w:val="26"/>
        </w:rPr>
        <w:t xml:space="preserve"> </w:t>
      </w:r>
      <w:r w:rsidR="009A262E" w:rsidRPr="00943090">
        <w:rPr>
          <w:sz w:val="26"/>
          <w:szCs w:val="26"/>
        </w:rPr>
        <w:t xml:space="preserve">will be </w:t>
      </w:r>
      <w:r w:rsidR="007354DA" w:rsidRPr="00943090">
        <w:rPr>
          <w:sz w:val="26"/>
          <w:szCs w:val="26"/>
        </w:rPr>
        <w:t>stricken from all active utility lists maintained by the Commission</w:t>
      </w:r>
      <w:r w:rsidR="0084135A" w:rsidRPr="00943090">
        <w:rPr>
          <w:sz w:val="26"/>
          <w:szCs w:val="26"/>
        </w:rPr>
        <w:t>’s</w:t>
      </w:r>
      <w:r w:rsidR="007354DA" w:rsidRPr="00943090">
        <w:rPr>
          <w:sz w:val="26"/>
          <w:szCs w:val="26"/>
        </w:rPr>
        <w:t xml:space="preserve"> Bureau of T</w:t>
      </w:r>
      <w:r w:rsidR="003F1E55" w:rsidRPr="00943090">
        <w:rPr>
          <w:sz w:val="26"/>
          <w:szCs w:val="26"/>
        </w:rPr>
        <w:t>echnical Utility Services</w:t>
      </w:r>
      <w:r w:rsidR="007354DA" w:rsidRPr="00943090">
        <w:rPr>
          <w:sz w:val="26"/>
          <w:szCs w:val="26"/>
        </w:rPr>
        <w:t xml:space="preserve"> and the </w:t>
      </w:r>
      <w:r w:rsidR="0084135A" w:rsidRPr="00943090">
        <w:rPr>
          <w:sz w:val="26"/>
          <w:szCs w:val="26"/>
        </w:rPr>
        <w:t xml:space="preserve">Fiscal &amp; </w:t>
      </w:r>
      <w:r w:rsidR="007354DA" w:rsidRPr="00943090">
        <w:rPr>
          <w:sz w:val="26"/>
          <w:szCs w:val="26"/>
        </w:rPr>
        <w:t>Assessment</w:t>
      </w:r>
      <w:r w:rsidR="0084135A" w:rsidRPr="00943090">
        <w:rPr>
          <w:sz w:val="26"/>
          <w:szCs w:val="26"/>
        </w:rPr>
        <w:t>s</w:t>
      </w:r>
      <w:r w:rsidR="007354DA" w:rsidRPr="00943090">
        <w:rPr>
          <w:sz w:val="26"/>
          <w:szCs w:val="26"/>
        </w:rPr>
        <w:t xml:space="preserve"> Section of the Bureau of </w:t>
      </w:r>
      <w:r w:rsidR="0084135A" w:rsidRPr="00943090">
        <w:rPr>
          <w:sz w:val="26"/>
          <w:szCs w:val="26"/>
        </w:rPr>
        <w:t>Administration</w:t>
      </w:r>
      <w:r w:rsidR="007354DA" w:rsidRPr="00943090">
        <w:rPr>
          <w:sz w:val="26"/>
          <w:szCs w:val="26"/>
        </w:rPr>
        <w:t>.</w:t>
      </w:r>
      <w:r w:rsidR="002A0FD5" w:rsidRPr="002A0FD5">
        <w:rPr>
          <w:noProof/>
        </w:rPr>
        <w:t xml:space="preserve"> </w:t>
      </w:r>
    </w:p>
    <w:p w14:paraId="1A49BC25" w14:textId="7B4D91F6" w:rsidR="007354DA" w:rsidRPr="00943090" w:rsidRDefault="002A0FD5" w:rsidP="007354DA">
      <w:pPr>
        <w:tabs>
          <w:tab w:val="left" w:pos="742"/>
        </w:tabs>
        <w:rPr>
          <w:sz w:val="26"/>
          <w:szCs w:val="26"/>
        </w:rPr>
      </w:pPr>
      <w:r>
        <w:rPr>
          <w:noProof/>
        </w:rPr>
        <w:drawing>
          <wp:anchor distT="0" distB="0" distL="114300" distR="114300" simplePos="0" relativeHeight="251659264" behindDoc="1" locked="0" layoutInCell="1" allowOverlap="1" wp14:anchorId="3BA482DD" wp14:editId="7C84516A">
            <wp:simplePos x="0" y="0"/>
            <wp:positionH relativeFrom="column">
              <wp:posOffset>3257550</wp:posOffset>
            </wp:positionH>
            <wp:positionV relativeFrom="paragraph">
              <wp:posOffset>124460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389CC" w14:textId="250FD9F5" w:rsidR="007354DA" w:rsidRPr="00943090" w:rsidRDefault="007354DA" w:rsidP="007354DA">
      <w:pPr>
        <w:pStyle w:val="p17"/>
        <w:ind w:left="5057"/>
        <w:rPr>
          <w:b/>
          <w:bCs/>
          <w:sz w:val="26"/>
          <w:szCs w:val="26"/>
        </w:rPr>
      </w:pPr>
      <w:r w:rsidRPr="00943090">
        <w:rPr>
          <w:b/>
          <w:bCs/>
          <w:sz w:val="26"/>
          <w:szCs w:val="26"/>
        </w:rPr>
        <w:t>BY THE COMMISSION</w:t>
      </w:r>
      <w:r w:rsidR="000660C9" w:rsidRPr="00943090">
        <w:rPr>
          <w:b/>
          <w:bCs/>
          <w:sz w:val="26"/>
          <w:szCs w:val="26"/>
        </w:rPr>
        <w:t>,</w:t>
      </w:r>
    </w:p>
    <w:p w14:paraId="7D8A0CFB" w14:textId="77FF88F8" w:rsidR="007354DA" w:rsidRPr="00943090" w:rsidRDefault="007354DA" w:rsidP="007354DA">
      <w:pPr>
        <w:tabs>
          <w:tab w:val="left" w:pos="5057"/>
        </w:tabs>
        <w:rPr>
          <w:bCs/>
          <w:sz w:val="26"/>
          <w:szCs w:val="26"/>
        </w:rPr>
      </w:pPr>
    </w:p>
    <w:p w14:paraId="3420EA07" w14:textId="77777777" w:rsidR="001773BC" w:rsidRPr="00943090" w:rsidRDefault="001773BC" w:rsidP="001773BC">
      <w:pPr>
        <w:tabs>
          <w:tab w:val="left" w:pos="6128"/>
        </w:tabs>
        <w:rPr>
          <w:sz w:val="26"/>
          <w:szCs w:val="26"/>
        </w:rPr>
      </w:pPr>
    </w:p>
    <w:p w14:paraId="6DBED74C" w14:textId="77777777" w:rsidR="007354DA" w:rsidRPr="00943090" w:rsidRDefault="007354DA" w:rsidP="007354DA">
      <w:pPr>
        <w:pStyle w:val="p18"/>
        <w:ind w:left="5062"/>
        <w:rPr>
          <w:sz w:val="26"/>
          <w:szCs w:val="26"/>
        </w:rPr>
      </w:pPr>
      <w:r w:rsidRPr="00943090">
        <w:rPr>
          <w:sz w:val="26"/>
          <w:szCs w:val="26"/>
        </w:rPr>
        <w:t>Rosemary Chiavetta</w:t>
      </w:r>
    </w:p>
    <w:p w14:paraId="4D5666C2" w14:textId="5DC7BCC7" w:rsidR="007354DA" w:rsidRDefault="007354DA" w:rsidP="007354DA">
      <w:pPr>
        <w:pStyle w:val="p18"/>
        <w:ind w:left="5062"/>
        <w:rPr>
          <w:sz w:val="26"/>
          <w:szCs w:val="26"/>
        </w:rPr>
      </w:pPr>
      <w:r w:rsidRPr="00943090">
        <w:rPr>
          <w:sz w:val="26"/>
          <w:szCs w:val="26"/>
        </w:rPr>
        <w:t>Secretary</w:t>
      </w:r>
    </w:p>
    <w:p w14:paraId="52A1FCED" w14:textId="77777777" w:rsidR="0080702E" w:rsidRPr="00943090" w:rsidRDefault="0080702E" w:rsidP="007354DA">
      <w:pPr>
        <w:pStyle w:val="p18"/>
        <w:ind w:left="5062"/>
        <w:rPr>
          <w:sz w:val="26"/>
          <w:szCs w:val="26"/>
        </w:rPr>
      </w:pPr>
    </w:p>
    <w:p w14:paraId="06B10CE7" w14:textId="77777777" w:rsidR="007354DA" w:rsidRPr="00943090" w:rsidRDefault="007354DA" w:rsidP="007354DA">
      <w:pPr>
        <w:pStyle w:val="p14"/>
        <w:rPr>
          <w:sz w:val="26"/>
          <w:szCs w:val="26"/>
        </w:rPr>
      </w:pPr>
      <w:r w:rsidRPr="00943090">
        <w:rPr>
          <w:sz w:val="26"/>
          <w:szCs w:val="26"/>
        </w:rPr>
        <w:t>(SEAL)</w:t>
      </w:r>
    </w:p>
    <w:p w14:paraId="5148A706" w14:textId="77777777" w:rsidR="00A4326E" w:rsidRPr="00943090" w:rsidRDefault="00A4326E" w:rsidP="007354DA">
      <w:pPr>
        <w:pStyle w:val="p14"/>
        <w:rPr>
          <w:sz w:val="26"/>
          <w:szCs w:val="26"/>
        </w:rPr>
      </w:pPr>
    </w:p>
    <w:p w14:paraId="6B3C785B" w14:textId="759FB34E" w:rsidR="008B2202" w:rsidRDefault="007354DA" w:rsidP="008B2202">
      <w:pPr>
        <w:pStyle w:val="p14"/>
        <w:spacing w:line="360" w:lineRule="auto"/>
        <w:rPr>
          <w:sz w:val="26"/>
          <w:szCs w:val="26"/>
        </w:rPr>
      </w:pPr>
      <w:r w:rsidRPr="00943090">
        <w:rPr>
          <w:sz w:val="26"/>
          <w:szCs w:val="26"/>
        </w:rPr>
        <w:t xml:space="preserve">ORDER ADOPTED:  </w:t>
      </w:r>
      <w:r w:rsidR="00304F2F">
        <w:rPr>
          <w:sz w:val="26"/>
          <w:szCs w:val="26"/>
        </w:rPr>
        <w:t>July 11, 2019</w:t>
      </w:r>
    </w:p>
    <w:p w14:paraId="046A03D7" w14:textId="77777777" w:rsidR="007A1F8E" w:rsidRPr="00943090" w:rsidRDefault="007A1F8E" w:rsidP="007A1F8E">
      <w:pPr>
        <w:pStyle w:val="p14"/>
        <w:rPr>
          <w:sz w:val="26"/>
          <w:szCs w:val="26"/>
        </w:rPr>
      </w:pPr>
    </w:p>
    <w:p w14:paraId="0EDB888C" w14:textId="3D2F0553" w:rsidR="007A1F8E" w:rsidRDefault="007354DA" w:rsidP="00967A87">
      <w:pPr>
        <w:pStyle w:val="p14"/>
        <w:spacing w:line="360" w:lineRule="auto"/>
        <w:rPr>
          <w:sz w:val="26"/>
          <w:szCs w:val="26"/>
        </w:rPr>
      </w:pPr>
      <w:r w:rsidRPr="00943090">
        <w:rPr>
          <w:sz w:val="26"/>
          <w:szCs w:val="26"/>
        </w:rPr>
        <w:t xml:space="preserve">ORDER ENTERED: </w:t>
      </w:r>
      <w:r w:rsidR="002A0FD5">
        <w:rPr>
          <w:sz w:val="26"/>
          <w:szCs w:val="26"/>
        </w:rPr>
        <w:t>July 11</w:t>
      </w:r>
      <w:bookmarkStart w:id="0" w:name="_GoBack"/>
      <w:bookmarkEnd w:id="0"/>
      <w:r w:rsidR="002A0FD5">
        <w:rPr>
          <w:sz w:val="26"/>
          <w:szCs w:val="26"/>
        </w:rPr>
        <w:t>, 2019</w:t>
      </w:r>
    </w:p>
    <w:p w14:paraId="09E21979" w14:textId="50DECFED" w:rsidR="00967A87" w:rsidRPr="00943090" w:rsidRDefault="007354DA" w:rsidP="00967A87">
      <w:pPr>
        <w:pStyle w:val="p14"/>
        <w:spacing w:line="360" w:lineRule="auto"/>
        <w:rPr>
          <w:sz w:val="26"/>
          <w:szCs w:val="26"/>
        </w:rPr>
        <w:sectPr w:rsidR="00967A87" w:rsidRPr="00943090" w:rsidSect="004960E0">
          <w:footerReference w:type="even" r:id="rId9"/>
          <w:footerReference w:type="default" r:id="rId10"/>
          <w:pgSz w:w="12240" w:h="15840"/>
          <w:pgMar w:top="1440" w:right="1440" w:bottom="1440" w:left="1440" w:header="720" w:footer="720" w:gutter="0"/>
          <w:pgNumType w:start="1"/>
          <w:cols w:space="720"/>
          <w:titlePg/>
        </w:sectPr>
      </w:pPr>
      <w:r w:rsidRPr="00943090">
        <w:rPr>
          <w:sz w:val="26"/>
          <w:szCs w:val="26"/>
        </w:rPr>
        <w:t xml:space="preserve"> </w:t>
      </w:r>
    </w:p>
    <w:p w14:paraId="41F7E556" w14:textId="2341934F" w:rsidR="00101A40" w:rsidRPr="00943090" w:rsidRDefault="00101A40" w:rsidP="00967A87">
      <w:pPr>
        <w:pStyle w:val="p14"/>
        <w:spacing w:line="360" w:lineRule="auto"/>
        <w:jc w:val="center"/>
        <w:rPr>
          <w:b/>
          <w:sz w:val="44"/>
          <w:szCs w:val="44"/>
        </w:rPr>
      </w:pPr>
      <w:r w:rsidRPr="00943090">
        <w:rPr>
          <w:b/>
          <w:sz w:val="44"/>
          <w:szCs w:val="44"/>
        </w:rPr>
        <w:lastRenderedPageBreak/>
        <w:t>APPENDIX</w:t>
      </w:r>
    </w:p>
    <w:p w14:paraId="5E25FECA" w14:textId="77777777" w:rsidR="00967A87" w:rsidRPr="00943090" w:rsidRDefault="00967A87" w:rsidP="002B7E97">
      <w:pPr>
        <w:spacing w:line="360" w:lineRule="auto"/>
        <w:jc w:val="center"/>
        <w:rPr>
          <w:b/>
          <w:sz w:val="26"/>
          <w:szCs w:val="26"/>
        </w:rPr>
        <w:sectPr w:rsidR="00967A87" w:rsidRPr="00943090" w:rsidSect="004960E0">
          <w:pgSz w:w="12240" w:h="15840"/>
          <w:pgMar w:top="1440" w:right="1440" w:bottom="1440" w:left="1440" w:header="720" w:footer="720" w:gutter="0"/>
          <w:pgNumType w:start="1"/>
          <w:cols w:space="720"/>
          <w:titlePg/>
        </w:sectPr>
      </w:pPr>
    </w:p>
    <w:p w14:paraId="753B1849" w14:textId="222819DC" w:rsidR="00A331DE" w:rsidRPr="00943090" w:rsidRDefault="00A331DE" w:rsidP="00A331DE">
      <w:pPr>
        <w:spacing w:line="360" w:lineRule="auto"/>
        <w:jc w:val="center"/>
        <w:rPr>
          <w:b/>
          <w:sz w:val="26"/>
          <w:szCs w:val="26"/>
        </w:rPr>
      </w:pPr>
      <w:r w:rsidRPr="00943090">
        <w:rPr>
          <w:b/>
          <w:sz w:val="26"/>
          <w:szCs w:val="26"/>
        </w:rPr>
        <w:lastRenderedPageBreak/>
        <w:t xml:space="preserve">Carriers Not Reporting Revenue for </w:t>
      </w:r>
      <w:r w:rsidR="00AD56D8" w:rsidRPr="00943090">
        <w:rPr>
          <w:b/>
          <w:sz w:val="26"/>
          <w:szCs w:val="26"/>
        </w:rPr>
        <w:t>Three</w:t>
      </w:r>
      <w:r w:rsidRPr="00943090">
        <w:rPr>
          <w:b/>
          <w:sz w:val="26"/>
          <w:szCs w:val="26"/>
        </w:rPr>
        <w:t xml:space="preserve"> or More Years</w:t>
      </w:r>
    </w:p>
    <w:tbl>
      <w:tblPr>
        <w:tblStyle w:val="TableGrid"/>
        <w:tblW w:w="0" w:type="auto"/>
        <w:tblLook w:val="04A0" w:firstRow="1" w:lastRow="0" w:firstColumn="1" w:lastColumn="0" w:noHBand="0" w:noVBand="1"/>
      </w:tblPr>
      <w:tblGrid>
        <w:gridCol w:w="1345"/>
        <w:gridCol w:w="4320"/>
        <w:gridCol w:w="3685"/>
      </w:tblGrid>
      <w:tr w:rsidR="00EE3B8A" w:rsidRPr="00943090" w14:paraId="18E1D5CD" w14:textId="77777777" w:rsidTr="00F478BC">
        <w:tc>
          <w:tcPr>
            <w:tcW w:w="1345" w:type="dxa"/>
          </w:tcPr>
          <w:p w14:paraId="0E23564C" w14:textId="7411A63A" w:rsidR="00EE3B8A" w:rsidRPr="00943090" w:rsidRDefault="00EE3B8A" w:rsidP="00EE3B8A">
            <w:pPr>
              <w:overflowPunct/>
              <w:autoSpaceDE/>
              <w:autoSpaceDN/>
              <w:adjustRightInd/>
              <w:jc w:val="center"/>
              <w:textAlignment w:val="auto"/>
              <w:rPr>
                <w:b/>
                <w:szCs w:val="24"/>
                <w:u w:val="single"/>
              </w:rPr>
            </w:pPr>
            <w:r w:rsidRPr="00943090">
              <w:rPr>
                <w:b/>
                <w:color w:val="000000"/>
                <w:szCs w:val="24"/>
                <w:u w:val="single"/>
              </w:rPr>
              <w:t>Utility Code</w:t>
            </w:r>
          </w:p>
        </w:tc>
        <w:tc>
          <w:tcPr>
            <w:tcW w:w="4320" w:type="dxa"/>
          </w:tcPr>
          <w:p w14:paraId="7CB2577B" w14:textId="4D9A9C0F" w:rsidR="00EE3B8A" w:rsidRPr="00943090" w:rsidRDefault="00EE3B8A" w:rsidP="00EE3B8A">
            <w:pPr>
              <w:overflowPunct/>
              <w:autoSpaceDE/>
              <w:autoSpaceDN/>
              <w:adjustRightInd/>
              <w:jc w:val="center"/>
              <w:textAlignment w:val="auto"/>
              <w:rPr>
                <w:b/>
                <w:szCs w:val="24"/>
                <w:u w:val="single"/>
              </w:rPr>
            </w:pPr>
            <w:r w:rsidRPr="00943090">
              <w:rPr>
                <w:b/>
                <w:color w:val="000000"/>
                <w:szCs w:val="24"/>
                <w:u w:val="single"/>
              </w:rPr>
              <w:t>Company Name</w:t>
            </w:r>
          </w:p>
        </w:tc>
        <w:tc>
          <w:tcPr>
            <w:tcW w:w="3685" w:type="dxa"/>
          </w:tcPr>
          <w:p w14:paraId="60D2FA86" w14:textId="3AF7774E" w:rsidR="00EE3B8A" w:rsidRPr="00943090" w:rsidRDefault="00EE3B8A" w:rsidP="00EE3B8A">
            <w:pPr>
              <w:overflowPunct/>
              <w:autoSpaceDE/>
              <w:autoSpaceDN/>
              <w:adjustRightInd/>
              <w:jc w:val="center"/>
              <w:textAlignment w:val="auto"/>
              <w:rPr>
                <w:b/>
                <w:szCs w:val="24"/>
                <w:u w:val="single"/>
              </w:rPr>
            </w:pPr>
            <w:r w:rsidRPr="00943090">
              <w:rPr>
                <w:b/>
                <w:color w:val="000000"/>
                <w:szCs w:val="24"/>
                <w:u w:val="single"/>
              </w:rPr>
              <w:t>Application docket</w:t>
            </w:r>
          </w:p>
        </w:tc>
      </w:tr>
      <w:tr w:rsidR="00AD56D8" w:rsidRPr="00943090" w14:paraId="6AA6EB13" w14:textId="77777777" w:rsidTr="00F478BC">
        <w:tc>
          <w:tcPr>
            <w:tcW w:w="1345" w:type="dxa"/>
          </w:tcPr>
          <w:p w14:paraId="2AD3DB43" w14:textId="32B4E49E" w:rsidR="00AD56D8" w:rsidRPr="00943090" w:rsidRDefault="00AD56D8" w:rsidP="00D33A1D">
            <w:pPr>
              <w:spacing w:line="360" w:lineRule="auto"/>
              <w:jc w:val="right"/>
              <w:rPr>
                <w:sz w:val="26"/>
                <w:szCs w:val="26"/>
              </w:rPr>
            </w:pPr>
            <w:r w:rsidRPr="00943090">
              <w:t>310121</w:t>
            </w:r>
          </w:p>
        </w:tc>
        <w:tc>
          <w:tcPr>
            <w:tcW w:w="4320" w:type="dxa"/>
          </w:tcPr>
          <w:p w14:paraId="1C8F5F40" w14:textId="15D76E97" w:rsidR="00AD56D8" w:rsidRPr="00943090" w:rsidRDefault="00AD56D8" w:rsidP="00AD56D8">
            <w:pPr>
              <w:spacing w:line="360" w:lineRule="auto"/>
              <w:rPr>
                <w:sz w:val="26"/>
                <w:szCs w:val="26"/>
              </w:rPr>
            </w:pPr>
            <w:r w:rsidRPr="00943090">
              <w:t>Telecare Inc</w:t>
            </w:r>
          </w:p>
        </w:tc>
        <w:tc>
          <w:tcPr>
            <w:tcW w:w="3685" w:type="dxa"/>
            <w:vAlign w:val="bottom"/>
          </w:tcPr>
          <w:p w14:paraId="4345DFC9" w14:textId="0609B015" w:rsidR="00AD56D8" w:rsidRPr="00943090" w:rsidRDefault="00AD56D8" w:rsidP="00AD56D8">
            <w:pPr>
              <w:spacing w:line="360" w:lineRule="auto"/>
              <w:rPr>
                <w:szCs w:val="24"/>
              </w:rPr>
            </w:pPr>
            <w:r w:rsidRPr="00943090">
              <w:rPr>
                <w:color w:val="000000"/>
                <w:szCs w:val="24"/>
              </w:rPr>
              <w:t>A-310121</w:t>
            </w:r>
          </w:p>
        </w:tc>
      </w:tr>
      <w:tr w:rsidR="00AD56D8" w:rsidRPr="00943090" w14:paraId="1EC0FEA8" w14:textId="77777777" w:rsidTr="00F478BC">
        <w:tc>
          <w:tcPr>
            <w:tcW w:w="1345" w:type="dxa"/>
          </w:tcPr>
          <w:p w14:paraId="20951591" w14:textId="60B33CF7" w:rsidR="00AD56D8" w:rsidRPr="00943090" w:rsidRDefault="00AD56D8" w:rsidP="00D33A1D">
            <w:pPr>
              <w:spacing w:line="360" w:lineRule="auto"/>
              <w:jc w:val="right"/>
              <w:rPr>
                <w:sz w:val="26"/>
                <w:szCs w:val="26"/>
              </w:rPr>
            </w:pPr>
            <w:r w:rsidRPr="00943090">
              <w:t>310527</w:t>
            </w:r>
          </w:p>
        </w:tc>
        <w:tc>
          <w:tcPr>
            <w:tcW w:w="4320" w:type="dxa"/>
          </w:tcPr>
          <w:p w14:paraId="1269111A" w14:textId="04BA5A38" w:rsidR="00AD56D8" w:rsidRPr="00943090" w:rsidRDefault="00AD56D8" w:rsidP="00AD56D8">
            <w:pPr>
              <w:spacing w:line="360" w:lineRule="auto"/>
              <w:rPr>
                <w:sz w:val="26"/>
                <w:szCs w:val="26"/>
              </w:rPr>
            </w:pPr>
            <w:r w:rsidRPr="00943090">
              <w:t>Association Administrators Inc</w:t>
            </w:r>
          </w:p>
        </w:tc>
        <w:tc>
          <w:tcPr>
            <w:tcW w:w="3685" w:type="dxa"/>
            <w:vAlign w:val="bottom"/>
          </w:tcPr>
          <w:p w14:paraId="63C1D97A" w14:textId="3CB4DB50" w:rsidR="00AD56D8" w:rsidRPr="00943090" w:rsidRDefault="00AD56D8" w:rsidP="00AD56D8">
            <w:pPr>
              <w:spacing w:line="360" w:lineRule="auto"/>
              <w:rPr>
                <w:szCs w:val="24"/>
              </w:rPr>
            </w:pPr>
            <w:r w:rsidRPr="00943090">
              <w:rPr>
                <w:color w:val="000000"/>
                <w:szCs w:val="24"/>
              </w:rPr>
              <w:t>A-310527</w:t>
            </w:r>
          </w:p>
        </w:tc>
      </w:tr>
      <w:tr w:rsidR="00AD56D8" w:rsidRPr="00943090" w14:paraId="47C696F1" w14:textId="77777777" w:rsidTr="00F478BC">
        <w:tc>
          <w:tcPr>
            <w:tcW w:w="1345" w:type="dxa"/>
          </w:tcPr>
          <w:p w14:paraId="6CF624A2" w14:textId="5736B914" w:rsidR="00AD56D8" w:rsidRPr="00943090" w:rsidRDefault="00AD56D8" w:rsidP="00D33A1D">
            <w:pPr>
              <w:spacing w:line="360" w:lineRule="auto"/>
              <w:jc w:val="right"/>
              <w:rPr>
                <w:sz w:val="26"/>
                <w:szCs w:val="26"/>
              </w:rPr>
            </w:pPr>
            <w:r w:rsidRPr="00943090">
              <w:t>310543</w:t>
            </w:r>
          </w:p>
        </w:tc>
        <w:tc>
          <w:tcPr>
            <w:tcW w:w="4320" w:type="dxa"/>
          </w:tcPr>
          <w:p w14:paraId="39E83E22" w14:textId="7C23D521" w:rsidR="00AD56D8" w:rsidRPr="00943090" w:rsidRDefault="00AD56D8" w:rsidP="00AD56D8">
            <w:pPr>
              <w:spacing w:line="360" w:lineRule="auto"/>
              <w:rPr>
                <w:sz w:val="26"/>
                <w:szCs w:val="26"/>
              </w:rPr>
            </w:pPr>
            <w:r w:rsidRPr="00943090">
              <w:t>Net one International Inc</w:t>
            </w:r>
          </w:p>
        </w:tc>
        <w:tc>
          <w:tcPr>
            <w:tcW w:w="3685" w:type="dxa"/>
            <w:vAlign w:val="bottom"/>
          </w:tcPr>
          <w:p w14:paraId="1DA46BC1" w14:textId="014E630F" w:rsidR="00AD56D8" w:rsidRPr="00943090" w:rsidRDefault="00AD56D8" w:rsidP="00AD56D8">
            <w:pPr>
              <w:spacing w:line="360" w:lineRule="auto"/>
              <w:rPr>
                <w:szCs w:val="24"/>
              </w:rPr>
            </w:pPr>
            <w:r w:rsidRPr="00943090">
              <w:rPr>
                <w:color w:val="000000"/>
                <w:szCs w:val="24"/>
              </w:rPr>
              <w:t>A-310543</w:t>
            </w:r>
          </w:p>
        </w:tc>
      </w:tr>
      <w:tr w:rsidR="00AD56D8" w:rsidRPr="00943090" w14:paraId="46E1D3E6" w14:textId="77777777" w:rsidTr="00F478BC">
        <w:tc>
          <w:tcPr>
            <w:tcW w:w="1345" w:type="dxa"/>
          </w:tcPr>
          <w:p w14:paraId="28996E80" w14:textId="69671CF0" w:rsidR="00AD56D8" w:rsidRPr="00943090" w:rsidRDefault="00AD56D8" w:rsidP="00D33A1D">
            <w:pPr>
              <w:spacing w:line="360" w:lineRule="auto"/>
              <w:jc w:val="right"/>
              <w:rPr>
                <w:sz w:val="26"/>
                <w:szCs w:val="26"/>
              </w:rPr>
            </w:pPr>
            <w:r w:rsidRPr="00943090">
              <w:t>310715</w:t>
            </w:r>
          </w:p>
        </w:tc>
        <w:tc>
          <w:tcPr>
            <w:tcW w:w="4320" w:type="dxa"/>
          </w:tcPr>
          <w:p w14:paraId="2130DAE6" w14:textId="05B45B70" w:rsidR="00AD56D8" w:rsidRPr="00943090" w:rsidRDefault="00AD56D8" w:rsidP="00AD56D8">
            <w:pPr>
              <w:spacing w:line="360" w:lineRule="auto"/>
              <w:rPr>
                <w:sz w:val="26"/>
                <w:szCs w:val="26"/>
              </w:rPr>
            </w:pPr>
            <w:r w:rsidRPr="00943090">
              <w:t>Public Interest Network Svcs Inc</w:t>
            </w:r>
          </w:p>
        </w:tc>
        <w:tc>
          <w:tcPr>
            <w:tcW w:w="3685" w:type="dxa"/>
            <w:vAlign w:val="bottom"/>
          </w:tcPr>
          <w:p w14:paraId="6A4A7E72" w14:textId="373AE581" w:rsidR="00AD56D8" w:rsidRPr="00943090" w:rsidRDefault="00AD56D8" w:rsidP="00AD56D8">
            <w:pPr>
              <w:spacing w:line="360" w:lineRule="auto"/>
              <w:rPr>
                <w:szCs w:val="24"/>
              </w:rPr>
            </w:pPr>
            <w:r w:rsidRPr="00943090">
              <w:rPr>
                <w:color w:val="000000"/>
                <w:szCs w:val="24"/>
              </w:rPr>
              <w:t>A-310715</w:t>
            </w:r>
          </w:p>
        </w:tc>
      </w:tr>
      <w:tr w:rsidR="00AD56D8" w:rsidRPr="00943090" w14:paraId="461E85AF" w14:textId="77777777" w:rsidTr="00F478BC">
        <w:tc>
          <w:tcPr>
            <w:tcW w:w="1345" w:type="dxa"/>
          </w:tcPr>
          <w:p w14:paraId="608AFB64" w14:textId="33CE19E0" w:rsidR="00AD56D8" w:rsidRPr="00943090" w:rsidRDefault="00AD56D8" w:rsidP="00D33A1D">
            <w:pPr>
              <w:spacing w:line="360" w:lineRule="auto"/>
              <w:jc w:val="right"/>
              <w:rPr>
                <w:sz w:val="26"/>
                <w:szCs w:val="26"/>
              </w:rPr>
            </w:pPr>
            <w:r w:rsidRPr="00943090">
              <w:t>310794</w:t>
            </w:r>
          </w:p>
        </w:tc>
        <w:tc>
          <w:tcPr>
            <w:tcW w:w="4320" w:type="dxa"/>
          </w:tcPr>
          <w:p w14:paraId="4EDB0731" w14:textId="73248252" w:rsidR="00AD56D8" w:rsidRPr="00943090" w:rsidRDefault="00AD56D8" w:rsidP="00AD56D8">
            <w:pPr>
              <w:spacing w:line="360" w:lineRule="auto"/>
              <w:rPr>
                <w:sz w:val="26"/>
                <w:szCs w:val="26"/>
              </w:rPr>
            </w:pPr>
            <w:r w:rsidRPr="00943090">
              <w:t>Airnex Communications Inc</w:t>
            </w:r>
          </w:p>
        </w:tc>
        <w:tc>
          <w:tcPr>
            <w:tcW w:w="3685" w:type="dxa"/>
            <w:vAlign w:val="bottom"/>
          </w:tcPr>
          <w:p w14:paraId="43AFB0CD" w14:textId="69836266" w:rsidR="00AD56D8" w:rsidRPr="00943090" w:rsidRDefault="00AD56D8" w:rsidP="00AD56D8">
            <w:pPr>
              <w:spacing w:line="360" w:lineRule="auto"/>
              <w:rPr>
                <w:szCs w:val="24"/>
              </w:rPr>
            </w:pPr>
            <w:r w:rsidRPr="00943090">
              <w:rPr>
                <w:color w:val="000000"/>
                <w:szCs w:val="24"/>
              </w:rPr>
              <w:t>A-310794</w:t>
            </w:r>
          </w:p>
        </w:tc>
      </w:tr>
      <w:tr w:rsidR="00AD56D8" w:rsidRPr="00943090" w14:paraId="41F0BD9E" w14:textId="77777777" w:rsidTr="00F478BC">
        <w:tc>
          <w:tcPr>
            <w:tcW w:w="1345" w:type="dxa"/>
          </w:tcPr>
          <w:p w14:paraId="1BFB62EB" w14:textId="04C3756E" w:rsidR="00AD56D8" w:rsidRPr="00943090" w:rsidRDefault="00AD56D8" w:rsidP="00D33A1D">
            <w:pPr>
              <w:spacing w:line="360" w:lineRule="auto"/>
              <w:jc w:val="right"/>
              <w:rPr>
                <w:sz w:val="26"/>
                <w:szCs w:val="26"/>
              </w:rPr>
            </w:pPr>
            <w:r w:rsidRPr="00943090">
              <w:t>310856</w:t>
            </w:r>
          </w:p>
        </w:tc>
        <w:tc>
          <w:tcPr>
            <w:tcW w:w="4320" w:type="dxa"/>
          </w:tcPr>
          <w:p w14:paraId="160E8AC5" w14:textId="5AA86B30" w:rsidR="00AD56D8" w:rsidRPr="00943090" w:rsidRDefault="00AD56D8" w:rsidP="00AD56D8">
            <w:pPr>
              <w:spacing w:line="360" w:lineRule="auto"/>
              <w:rPr>
                <w:sz w:val="26"/>
                <w:szCs w:val="26"/>
              </w:rPr>
            </w:pPr>
            <w:r w:rsidRPr="00943090">
              <w:t>Miracle Communications Inc</w:t>
            </w:r>
          </w:p>
        </w:tc>
        <w:tc>
          <w:tcPr>
            <w:tcW w:w="3685" w:type="dxa"/>
            <w:vAlign w:val="bottom"/>
          </w:tcPr>
          <w:p w14:paraId="46EE6049" w14:textId="7062D4DE" w:rsidR="00AD56D8" w:rsidRPr="00943090" w:rsidRDefault="00AD56D8" w:rsidP="00AD56D8">
            <w:pPr>
              <w:spacing w:line="360" w:lineRule="auto"/>
              <w:rPr>
                <w:szCs w:val="24"/>
              </w:rPr>
            </w:pPr>
            <w:r w:rsidRPr="00943090">
              <w:rPr>
                <w:color w:val="000000"/>
                <w:szCs w:val="24"/>
              </w:rPr>
              <w:t>A-310856</w:t>
            </w:r>
          </w:p>
        </w:tc>
      </w:tr>
      <w:tr w:rsidR="00AD56D8" w:rsidRPr="00943090" w14:paraId="0B529DA5" w14:textId="77777777" w:rsidTr="00F478BC">
        <w:tc>
          <w:tcPr>
            <w:tcW w:w="1345" w:type="dxa"/>
          </w:tcPr>
          <w:p w14:paraId="4BA71BDB" w14:textId="597CA246" w:rsidR="00AD56D8" w:rsidRPr="00943090" w:rsidRDefault="00AD56D8" w:rsidP="00D33A1D">
            <w:pPr>
              <w:spacing w:line="360" w:lineRule="auto"/>
              <w:jc w:val="right"/>
              <w:rPr>
                <w:sz w:val="26"/>
                <w:szCs w:val="26"/>
              </w:rPr>
            </w:pPr>
            <w:r w:rsidRPr="00943090">
              <w:t>310995</w:t>
            </w:r>
          </w:p>
        </w:tc>
        <w:tc>
          <w:tcPr>
            <w:tcW w:w="4320" w:type="dxa"/>
          </w:tcPr>
          <w:p w14:paraId="64E48902" w14:textId="0A2503C1" w:rsidR="00AD56D8" w:rsidRPr="00943090" w:rsidRDefault="00AD56D8" w:rsidP="00AD56D8">
            <w:pPr>
              <w:spacing w:line="360" w:lineRule="auto"/>
              <w:rPr>
                <w:sz w:val="26"/>
                <w:szCs w:val="26"/>
              </w:rPr>
            </w:pPr>
            <w:r w:rsidRPr="00943090">
              <w:t>PulseNet Inc</w:t>
            </w:r>
          </w:p>
        </w:tc>
        <w:tc>
          <w:tcPr>
            <w:tcW w:w="3685" w:type="dxa"/>
            <w:vAlign w:val="bottom"/>
          </w:tcPr>
          <w:p w14:paraId="2E68F382" w14:textId="1A8D457B" w:rsidR="00AD56D8" w:rsidRPr="00943090" w:rsidRDefault="00AD56D8" w:rsidP="00AD56D8">
            <w:pPr>
              <w:spacing w:line="360" w:lineRule="auto"/>
              <w:rPr>
                <w:szCs w:val="24"/>
              </w:rPr>
            </w:pPr>
            <w:r w:rsidRPr="00943090">
              <w:rPr>
                <w:color w:val="000000"/>
                <w:szCs w:val="24"/>
              </w:rPr>
              <w:t>A-310995</w:t>
            </w:r>
          </w:p>
        </w:tc>
      </w:tr>
      <w:tr w:rsidR="00AD56D8" w:rsidRPr="00943090" w14:paraId="4967FA11" w14:textId="77777777" w:rsidTr="00F478BC">
        <w:tc>
          <w:tcPr>
            <w:tcW w:w="1345" w:type="dxa"/>
          </w:tcPr>
          <w:p w14:paraId="7B766721" w14:textId="1D6A42CE" w:rsidR="00AD56D8" w:rsidRPr="00943090" w:rsidRDefault="00AD56D8" w:rsidP="00D33A1D">
            <w:pPr>
              <w:spacing w:line="360" w:lineRule="auto"/>
              <w:jc w:val="right"/>
              <w:rPr>
                <w:sz w:val="26"/>
                <w:szCs w:val="26"/>
              </w:rPr>
            </w:pPr>
            <w:r w:rsidRPr="00943090">
              <w:t>3110239</w:t>
            </w:r>
          </w:p>
        </w:tc>
        <w:tc>
          <w:tcPr>
            <w:tcW w:w="4320" w:type="dxa"/>
          </w:tcPr>
          <w:p w14:paraId="085F52EE" w14:textId="490DCB7E" w:rsidR="00AD56D8" w:rsidRPr="00943090" w:rsidRDefault="00AD56D8" w:rsidP="00AD56D8">
            <w:pPr>
              <w:spacing w:line="360" w:lineRule="auto"/>
              <w:rPr>
                <w:sz w:val="26"/>
                <w:szCs w:val="26"/>
              </w:rPr>
            </w:pPr>
            <w:r w:rsidRPr="00943090">
              <w:t>iNetworks Group Inc</w:t>
            </w:r>
          </w:p>
        </w:tc>
        <w:tc>
          <w:tcPr>
            <w:tcW w:w="3685" w:type="dxa"/>
            <w:vAlign w:val="bottom"/>
          </w:tcPr>
          <w:p w14:paraId="4BFD2457" w14:textId="3952DFB8" w:rsidR="00AD56D8" w:rsidRPr="00943090" w:rsidRDefault="00AD56D8" w:rsidP="00AD56D8">
            <w:pPr>
              <w:spacing w:line="360" w:lineRule="auto"/>
              <w:rPr>
                <w:szCs w:val="24"/>
              </w:rPr>
            </w:pPr>
            <w:r w:rsidRPr="00943090">
              <w:rPr>
                <w:color w:val="000000"/>
                <w:szCs w:val="24"/>
              </w:rPr>
              <w:t>A-2008-2049121, A-2009-2115228, A-2009-2115231</w:t>
            </w:r>
          </w:p>
        </w:tc>
      </w:tr>
      <w:tr w:rsidR="00AD56D8" w:rsidRPr="00943090" w14:paraId="2201A2AF" w14:textId="77777777" w:rsidTr="00F478BC">
        <w:tc>
          <w:tcPr>
            <w:tcW w:w="1345" w:type="dxa"/>
          </w:tcPr>
          <w:p w14:paraId="34F13D8F" w14:textId="1091977B" w:rsidR="00AD56D8" w:rsidRPr="00943090" w:rsidRDefault="00AD56D8" w:rsidP="00D33A1D">
            <w:pPr>
              <w:spacing w:line="360" w:lineRule="auto"/>
              <w:jc w:val="right"/>
              <w:rPr>
                <w:sz w:val="26"/>
                <w:szCs w:val="26"/>
              </w:rPr>
            </w:pPr>
            <w:r w:rsidRPr="00943090">
              <w:t>311087</w:t>
            </w:r>
          </w:p>
        </w:tc>
        <w:tc>
          <w:tcPr>
            <w:tcW w:w="4320" w:type="dxa"/>
          </w:tcPr>
          <w:p w14:paraId="25D3798F" w14:textId="31448C72" w:rsidR="00AD56D8" w:rsidRPr="00943090" w:rsidRDefault="00AD56D8" w:rsidP="00AD56D8">
            <w:pPr>
              <w:spacing w:line="360" w:lineRule="auto"/>
              <w:rPr>
                <w:sz w:val="26"/>
                <w:szCs w:val="26"/>
              </w:rPr>
            </w:pPr>
            <w:r w:rsidRPr="00943090">
              <w:t>PAClec Corporation</w:t>
            </w:r>
          </w:p>
        </w:tc>
        <w:tc>
          <w:tcPr>
            <w:tcW w:w="3685" w:type="dxa"/>
            <w:vAlign w:val="bottom"/>
          </w:tcPr>
          <w:p w14:paraId="3CEB17ED" w14:textId="37D6D4B3" w:rsidR="00AD56D8" w:rsidRPr="00943090" w:rsidRDefault="00AD56D8" w:rsidP="00AD56D8">
            <w:pPr>
              <w:spacing w:line="360" w:lineRule="auto"/>
              <w:rPr>
                <w:szCs w:val="24"/>
              </w:rPr>
            </w:pPr>
            <w:r w:rsidRPr="00943090">
              <w:rPr>
                <w:color w:val="000000"/>
                <w:szCs w:val="24"/>
              </w:rPr>
              <w:t>A-311087</w:t>
            </w:r>
          </w:p>
        </w:tc>
      </w:tr>
      <w:tr w:rsidR="00AD56D8" w:rsidRPr="00943090" w14:paraId="7A8AFE0A" w14:textId="77777777" w:rsidTr="00F478BC">
        <w:tc>
          <w:tcPr>
            <w:tcW w:w="1345" w:type="dxa"/>
          </w:tcPr>
          <w:p w14:paraId="33CAE745" w14:textId="3C6CF777" w:rsidR="00AD56D8" w:rsidRPr="00943090" w:rsidRDefault="00AD56D8" w:rsidP="00D33A1D">
            <w:pPr>
              <w:spacing w:line="360" w:lineRule="auto"/>
              <w:jc w:val="right"/>
              <w:rPr>
                <w:sz w:val="26"/>
                <w:szCs w:val="26"/>
              </w:rPr>
            </w:pPr>
            <w:r w:rsidRPr="00943090">
              <w:t>3111118</w:t>
            </w:r>
          </w:p>
        </w:tc>
        <w:tc>
          <w:tcPr>
            <w:tcW w:w="4320" w:type="dxa"/>
          </w:tcPr>
          <w:p w14:paraId="0A1717CA" w14:textId="2DCCCBEE" w:rsidR="00AD56D8" w:rsidRPr="00943090" w:rsidRDefault="00AD56D8" w:rsidP="00AD56D8">
            <w:pPr>
              <w:spacing w:line="360" w:lineRule="auto"/>
              <w:rPr>
                <w:sz w:val="26"/>
                <w:szCs w:val="26"/>
              </w:rPr>
            </w:pPr>
            <w:r w:rsidRPr="00943090">
              <w:t>321 Communications Inc</w:t>
            </w:r>
          </w:p>
        </w:tc>
        <w:tc>
          <w:tcPr>
            <w:tcW w:w="3685" w:type="dxa"/>
            <w:vAlign w:val="bottom"/>
          </w:tcPr>
          <w:p w14:paraId="32F84C11" w14:textId="47AAB284" w:rsidR="00AD56D8" w:rsidRPr="00943090" w:rsidRDefault="00AD56D8" w:rsidP="00AD56D8">
            <w:pPr>
              <w:spacing w:line="360" w:lineRule="auto"/>
              <w:rPr>
                <w:szCs w:val="24"/>
              </w:rPr>
            </w:pPr>
            <w:r w:rsidRPr="00943090">
              <w:rPr>
                <w:color w:val="000000"/>
                <w:szCs w:val="24"/>
              </w:rPr>
              <w:t>A-2009-2109275</w:t>
            </w:r>
          </w:p>
        </w:tc>
      </w:tr>
      <w:tr w:rsidR="00AD56D8" w:rsidRPr="00943090" w14:paraId="4B1A634C" w14:textId="77777777" w:rsidTr="00F478BC">
        <w:tc>
          <w:tcPr>
            <w:tcW w:w="1345" w:type="dxa"/>
          </w:tcPr>
          <w:p w14:paraId="4140CBFB" w14:textId="3B5E6965" w:rsidR="00AD56D8" w:rsidRPr="00943090" w:rsidRDefault="00AD56D8" w:rsidP="00D33A1D">
            <w:pPr>
              <w:spacing w:line="360" w:lineRule="auto"/>
              <w:jc w:val="right"/>
              <w:rPr>
                <w:sz w:val="26"/>
                <w:szCs w:val="26"/>
              </w:rPr>
            </w:pPr>
            <w:r w:rsidRPr="00943090">
              <w:t>311161</w:t>
            </w:r>
          </w:p>
        </w:tc>
        <w:tc>
          <w:tcPr>
            <w:tcW w:w="4320" w:type="dxa"/>
          </w:tcPr>
          <w:p w14:paraId="6DDE29E2" w14:textId="24B82D20" w:rsidR="00AD56D8" w:rsidRPr="00943090" w:rsidRDefault="00AD56D8" w:rsidP="00AD56D8">
            <w:pPr>
              <w:spacing w:line="360" w:lineRule="auto"/>
              <w:rPr>
                <w:sz w:val="26"/>
                <w:szCs w:val="26"/>
              </w:rPr>
            </w:pPr>
            <w:r w:rsidRPr="00943090">
              <w:t>Gold Line Telemanagement Inc</w:t>
            </w:r>
          </w:p>
        </w:tc>
        <w:tc>
          <w:tcPr>
            <w:tcW w:w="3685" w:type="dxa"/>
            <w:vAlign w:val="bottom"/>
          </w:tcPr>
          <w:p w14:paraId="7EF9AACC" w14:textId="7A8F4379" w:rsidR="00AD56D8" w:rsidRPr="00943090" w:rsidRDefault="00AD56D8" w:rsidP="00AD56D8">
            <w:pPr>
              <w:spacing w:line="360" w:lineRule="auto"/>
              <w:rPr>
                <w:szCs w:val="24"/>
              </w:rPr>
            </w:pPr>
            <w:r w:rsidRPr="00943090">
              <w:rPr>
                <w:color w:val="000000"/>
                <w:szCs w:val="24"/>
              </w:rPr>
              <w:t>A-311161</w:t>
            </w:r>
          </w:p>
        </w:tc>
      </w:tr>
      <w:tr w:rsidR="00AD56D8" w:rsidRPr="00943090" w14:paraId="6BB3E603" w14:textId="77777777" w:rsidTr="00F478BC">
        <w:tc>
          <w:tcPr>
            <w:tcW w:w="1345" w:type="dxa"/>
          </w:tcPr>
          <w:p w14:paraId="4E6038F2" w14:textId="2FFE2760" w:rsidR="00AD56D8" w:rsidRPr="00943090" w:rsidRDefault="00AD56D8" w:rsidP="00D33A1D">
            <w:pPr>
              <w:spacing w:line="360" w:lineRule="auto"/>
              <w:jc w:val="right"/>
              <w:rPr>
                <w:sz w:val="26"/>
                <w:szCs w:val="26"/>
              </w:rPr>
            </w:pPr>
            <w:r w:rsidRPr="00943090">
              <w:t>311184</w:t>
            </w:r>
          </w:p>
        </w:tc>
        <w:tc>
          <w:tcPr>
            <w:tcW w:w="4320" w:type="dxa"/>
          </w:tcPr>
          <w:p w14:paraId="5C7569B0" w14:textId="48A7D8ED" w:rsidR="00AD56D8" w:rsidRPr="00943090" w:rsidRDefault="00AD56D8" w:rsidP="00AD56D8">
            <w:pPr>
              <w:spacing w:line="360" w:lineRule="auto"/>
              <w:rPr>
                <w:sz w:val="26"/>
                <w:szCs w:val="26"/>
              </w:rPr>
            </w:pPr>
            <w:r w:rsidRPr="00943090">
              <w:t>Telenational Communications Inc</w:t>
            </w:r>
          </w:p>
        </w:tc>
        <w:tc>
          <w:tcPr>
            <w:tcW w:w="3685" w:type="dxa"/>
            <w:vAlign w:val="bottom"/>
          </w:tcPr>
          <w:p w14:paraId="1F64739C" w14:textId="651C6AC5" w:rsidR="00AD56D8" w:rsidRPr="00943090" w:rsidRDefault="00AD56D8" w:rsidP="00AD56D8">
            <w:pPr>
              <w:spacing w:line="360" w:lineRule="auto"/>
              <w:rPr>
                <w:szCs w:val="24"/>
              </w:rPr>
            </w:pPr>
            <w:r w:rsidRPr="00943090">
              <w:rPr>
                <w:color w:val="000000"/>
                <w:szCs w:val="24"/>
              </w:rPr>
              <w:t>A-311184</w:t>
            </w:r>
          </w:p>
        </w:tc>
      </w:tr>
      <w:tr w:rsidR="00AD56D8" w:rsidRPr="00943090" w14:paraId="2279C8FD" w14:textId="77777777" w:rsidTr="00F478BC">
        <w:tc>
          <w:tcPr>
            <w:tcW w:w="1345" w:type="dxa"/>
          </w:tcPr>
          <w:p w14:paraId="6F8BDFB9" w14:textId="443965FE" w:rsidR="00AD56D8" w:rsidRPr="00943090" w:rsidRDefault="00AD56D8" w:rsidP="00D33A1D">
            <w:pPr>
              <w:spacing w:line="360" w:lineRule="auto"/>
              <w:jc w:val="right"/>
              <w:rPr>
                <w:sz w:val="26"/>
                <w:szCs w:val="26"/>
              </w:rPr>
            </w:pPr>
            <w:r w:rsidRPr="00943090">
              <w:t>311209</w:t>
            </w:r>
          </w:p>
        </w:tc>
        <w:tc>
          <w:tcPr>
            <w:tcW w:w="4320" w:type="dxa"/>
          </w:tcPr>
          <w:p w14:paraId="6412A5EE" w14:textId="6A39CDB1" w:rsidR="00AD56D8" w:rsidRPr="00943090" w:rsidRDefault="00AD56D8" w:rsidP="00AD56D8">
            <w:pPr>
              <w:spacing w:line="360" w:lineRule="auto"/>
              <w:rPr>
                <w:sz w:val="26"/>
                <w:szCs w:val="26"/>
              </w:rPr>
            </w:pPr>
            <w:r w:rsidRPr="00943090">
              <w:t>NECC Telecom Inc</w:t>
            </w:r>
          </w:p>
        </w:tc>
        <w:tc>
          <w:tcPr>
            <w:tcW w:w="3685" w:type="dxa"/>
            <w:vAlign w:val="bottom"/>
          </w:tcPr>
          <w:p w14:paraId="3A7480B1" w14:textId="0E39047A" w:rsidR="00AD56D8" w:rsidRPr="00943090" w:rsidRDefault="00AD56D8" w:rsidP="00AD56D8">
            <w:pPr>
              <w:spacing w:line="360" w:lineRule="auto"/>
              <w:rPr>
                <w:szCs w:val="24"/>
              </w:rPr>
            </w:pPr>
            <w:r w:rsidRPr="00943090">
              <w:rPr>
                <w:color w:val="000000"/>
                <w:szCs w:val="24"/>
              </w:rPr>
              <w:t>A-311209</w:t>
            </w:r>
          </w:p>
        </w:tc>
      </w:tr>
      <w:tr w:rsidR="00AD56D8" w:rsidRPr="00943090" w14:paraId="455ED312" w14:textId="77777777" w:rsidTr="00F478BC">
        <w:tc>
          <w:tcPr>
            <w:tcW w:w="1345" w:type="dxa"/>
          </w:tcPr>
          <w:p w14:paraId="35205EB6" w14:textId="690A8C20" w:rsidR="00AD56D8" w:rsidRPr="00943090" w:rsidRDefault="00AD56D8" w:rsidP="00D33A1D">
            <w:pPr>
              <w:spacing w:line="360" w:lineRule="auto"/>
              <w:jc w:val="right"/>
              <w:rPr>
                <w:sz w:val="26"/>
                <w:szCs w:val="26"/>
              </w:rPr>
            </w:pPr>
            <w:r w:rsidRPr="00943090">
              <w:t>311227</w:t>
            </w:r>
          </w:p>
        </w:tc>
        <w:tc>
          <w:tcPr>
            <w:tcW w:w="4320" w:type="dxa"/>
          </w:tcPr>
          <w:p w14:paraId="35DE4CED" w14:textId="4694F816" w:rsidR="00AD56D8" w:rsidRPr="00943090" w:rsidRDefault="00AD56D8" w:rsidP="00AD56D8">
            <w:pPr>
              <w:spacing w:line="360" w:lineRule="auto"/>
              <w:rPr>
                <w:sz w:val="26"/>
                <w:szCs w:val="26"/>
              </w:rPr>
            </w:pPr>
            <w:r w:rsidRPr="00943090">
              <w:t>Teledias Communications Inc</w:t>
            </w:r>
          </w:p>
        </w:tc>
        <w:tc>
          <w:tcPr>
            <w:tcW w:w="3685" w:type="dxa"/>
            <w:vAlign w:val="bottom"/>
          </w:tcPr>
          <w:p w14:paraId="2C39EDA6" w14:textId="3C6D67EE" w:rsidR="00AD56D8" w:rsidRPr="00943090" w:rsidRDefault="00AD56D8" w:rsidP="00AD56D8">
            <w:pPr>
              <w:spacing w:line="360" w:lineRule="auto"/>
              <w:rPr>
                <w:szCs w:val="24"/>
              </w:rPr>
            </w:pPr>
            <w:r w:rsidRPr="00943090">
              <w:rPr>
                <w:color w:val="000000"/>
                <w:szCs w:val="24"/>
              </w:rPr>
              <w:t>A-311227</w:t>
            </w:r>
          </w:p>
        </w:tc>
      </w:tr>
      <w:tr w:rsidR="00AD56D8" w:rsidRPr="00943090" w14:paraId="5231BB89" w14:textId="77777777" w:rsidTr="00F478BC">
        <w:tc>
          <w:tcPr>
            <w:tcW w:w="1345" w:type="dxa"/>
          </w:tcPr>
          <w:p w14:paraId="61D4243E" w14:textId="54AE9312" w:rsidR="00AD56D8" w:rsidRPr="00943090" w:rsidRDefault="00AD56D8" w:rsidP="00D33A1D">
            <w:pPr>
              <w:spacing w:line="360" w:lineRule="auto"/>
              <w:jc w:val="right"/>
              <w:rPr>
                <w:sz w:val="26"/>
                <w:szCs w:val="26"/>
              </w:rPr>
            </w:pPr>
            <w:r w:rsidRPr="00943090">
              <w:t>3112769</w:t>
            </w:r>
          </w:p>
        </w:tc>
        <w:tc>
          <w:tcPr>
            <w:tcW w:w="4320" w:type="dxa"/>
          </w:tcPr>
          <w:p w14:paraId="227F3C09" w14:textId="5BFE3656" w:rsidR="00AD56D8" w:rsidRPr="00943090" w:rsidRDefault="00AD56D8" w:rsidP="00AD56D8">
            <w:pPr>
              <w:spacing w:line="360" w:lineRule="auto"/>
              <w:rPr>
                <w:sz w:val="26"/>
                <w:szCs w:val="26"/>
              </w:rPr>
            </w:pPr>
            <w:r w:rsidRPr="00943090">
              <w:t>CCI Network Services LLC</w:t>
            </w:r>
          </w:p>
        </w:tc>
        <w:tc>
          <w:tcPr>
            <w:tcW w:w="3685" w:type="dxa"/>
            <w:vAlign w:val="bottom"/>
          </w:tcPr>
          <w:p w14:paraId="062EF320" w14:textId="4C38E45C" w:rsidR="00AD56D8" w:rsidRPr="00943090" w:rsidRDefault="00AD56D8" w:rsidP="00AD56D8">
            <w:pPr>
              <w:spacing w:line="360" w:lineRule="auto"/>
              <w:rPr>
                <w:szCs w:val="24"/>
              </w:rPr>
            </w:pPr>
            <w:r w:rsidRPr="00943090">
              <w:rPr>
                <w:color w:val="000000"/>
                <w:szCs w:val="24"/>
              </w:rPr>
              <w:t>A-2010-2201625</w:t>
            </w:r>
          </w:p>
        </w:tc>
      </w:tr>
      <w:tr w:rsidR="00AD56D8" w:rsidRPr="00943090" w14:paraId="5B54E0E5" w14:textId="77777777" w:rsidTr="00F478BC">
        <w:tc>
          <w:tcPr>
            <w:tcW w:w="1345" w:type="dxa"/>
          </w:tcPr>
          <w:p w14:paraId="58F4575A" w14:textId="484D0583" w:rsidR="00AD56D8" w:rsidRPr="00943090" w:rsidRDefault="00AD56D8" w:rsidP="00D33A1D">
            <w:pPr>
              <w:spacing w:line="360" w:lineRule="auto"/>
              <w:jc w:val="right"/>
              <w:rPr>
                <w:sz w:val="26"/>
                <w:szCs w:val="26"/>
              </w:rPr>
            </w:pPr>
            <w:r w:rsidRPr="00943090">
              <w:t>311304</w:t>
            </w:r>
          </w:p>
        </w:tc>
        <w:tc>
          <w:tcPr>
            <w:tcW w:w="4320" w:type="dxa"/>
          </w:tcPr>
          <w:p w14:paraId="30C7F6B5" w14:textId="427772FC" w:rsidR="00AD56D8" w:rsidRPr="00943090" w:rsidRDefault="00AD56D8" w:rsidP="00AD56D8">
            <w:pPr>
              <w:spacing w:line="360" w:lineRule="auto"/>
              <w:rPr>
                <w:sz w:val="26"/>
                <w:szCs w:val="26"/>
              </w:rPr>
            </w:pPr>
            <w:r w:rsidRPr="00943090">
              <w:t>Independent Telecom Systems Inc</w:t>
            </w:r>
          </w:p>
        </w:tc>
        <w:tc>
          <w:tcPr>
            <w:tcW w:w="3685" w:type="dxa"/>
            <w:vAlign w:val="bottom"/>
          </w:tcPr>
          <w:p w14:paraId="02503D86" w14:textId="3D9D8187" w:rsidR="00AD56D8" w:rsidRPr="00943090" w:rsidRDefault="00AD56D8" w:rsidP="00AD56D8">
            <w:pPr>
              <w:spacing w:line="360" w:lineRule="auto"/>
              <w:rPr>
                <w:szCs w:val="24"/>
              </w:rPr>
            </w:pPr>
            <w:r w:rsidRPr="00943090">
              <w:rPr>
                <w:color w:val="000000"/>
                <w:szCs w:val="24"/>
              </w:rPr>
              <w:t>A-311304</w:t>
            </w:r>
          </w:p>
        </w:tc>
      </w:tr>
      <w:tr w:rsidR="00AD56D8" w:rsidRPr="00943090" w14:paraId="76CEB5DD" w14:textId="77777777" w:rsidTr="00F478BC">
        <w:tc>
          <w:tcPr>
            <w:tcW w:w="1345" w:type="dxa"/>
          </w:tcPr>
          <w:p w14:paraId="62449944" w14:textId="4DD9429D" w:rsidR="00AD56D8" w:rsidRPr="00943090" w:rsidRDefault="00AD56D8" w:rsidP="00D33A1D">
            <w:pPr>
              <w:spacing w:line="360" w:lineRule="auto"/>
              <w:jc w:val="right"/>
              <w:rPr>
                <w:sz w:val="26"/>
                <w:szCs w:val="26"/>
              </w:rPr>
            </w:pPr>
            <w:r w:rsidRPr="00943090">
              <w:t>311318</w:t>
            </w:r>
          </w:p>
        </w:tc>
        <w:tc>
          <w:tcPr>
            <w:tcW w:w="4320" w:type="dxa"/>
          </w:tcPr>
          <w:p w14:paraId="7CB8C201" w14:textId="7B82FD0B" w:rsidR="00AD56D8" w:rsidRPr="00943090" w:rsidRDefault="00AD56D8" w:rsidP="00AD56D8">
            <w:pPr>
              <w:spacing w:line="360" w:lineRule="auto"/>
              <w:rPr>
                <w:sz w:val="26"/>
                <w:szCs w:val="26"/>
              </w:rPr>
            </w:pPr>
            <w:r w:rsidRPr="00943090">
              <w:t>Advanced Tel Inc</w:t>
            </w:r>
          </w:p>
        </w:tc>
        <w:tc>
          <w:tcPr>
            <w:tcW w:w="3685" w:type="dxa"/>
            <w:vAlign w:val="bottom"/>
          </w:tcPr>
          <w:p w14:paraId="56F7ADAD" w14:textId="5E7EE54B" w:rsidR="00AD56D8" w:rsidRPr="00943090" w:rsidRDefault="00AD56D8" w:rsidP="00AD56D8">
            <w:pPr>
              <w:spacing w:line="360" w:lineRule="auto"/>
              <w:rPr>
                <w:szCs w:val="24"/>
              </w:rPr>
            </w:pPr>
            <w:r w:rsidRPr="00943090">
              <w:rPr>
                <w:color w:val="000000"/>
                <w:szCs w:val="24"/>
              </w:rPr>
              <w:t>A-311318</w:t>
            </w:r>
          </w:p>
        </w:tc>
      </w:tr>
      <w:tr w:rsidR="00AD56D8" w:rsidRPr="00943090" w14:paraId="15CD3643" w14:textId="77777777" w:rsidTr="00F478BC">
        <w:tc>
          <w:tcPr>
            <w:tcW w:w="1345" w:type="dxa"/>
          </w:tcPr>
          <w:p w14:paraId="7323CE53" w14:textId="22DD5A94" w:rsidR="00AD56D8" w:rsidRPr="00943090" w:rsidRDefault="00AD56D8" w:rsidP="00D33A1D">
            <w:pPr>
              <w:spacing w:line="360" w:lineRule="auto"/>
              <w:jc w:val="right"/>
              <w:rPr>
                <w:sz w:val="26"/>
                <w:szCs w:val="26"/>
              </w:rPr>
            </w:pPr>
            <w:r w:rsidRPr="00943090">
              <w:t>311323</w:t>
            </w:r>
          </w:p>
        </w:tc>
        <w:tc>
          <w:tcPr>
            <w:tcW w:w="4320" w:type="dxa"/>
          </w:tcPr>
          <w:p w14:paraId="3FAF4DD9" w14:textId="6B32847B" w:rsidR="00AD56D8" w:rsidRPr="00943090" w:rsidRDefault="00AD56D8" w:rsidP="00AD56D8">
            <w:pPr>
              <w:spacing w:line="360" w:lineRule="auto"/>
              <w:rPr>
                <w:sz w:val="26"/>
                <w:szCs w:val="26"/>
              </w:rPr>
            </w:pPr>
            <w:r w:rsidRPr="00943090">
              <w:t>Crowe Consulting Inc</w:t>
            </w:r>
          </w:p>
        </w:tc>
        <w:tc>
          <w:tcPr>
            <w:tcW w:w="3685" w:type="dxa"/>
            <w:vAlign w:val="bottom"/>
          </w:tcPr>
          <w:p w14:paraId="434A55DF" w14:textId="452F5280" w:rsidR="00AD56D8" w:rsidRPr="00943090" w:rsidRDefault="00AD56D8" w:rsidP="00AD56D8">
            <w:pPr>
              <w:spacing w:line="360" w:lineRule="auto"/>
              <w:rPr>
                <w:szCs w:val="24"/>
              </w:rPr>
            </w:pPr>
            <w:r w:rsidRPr="00943090">
              <w:rPr>
                <w:color w:val="000000"/>
                <w:szCs w:val="24"/>
              </w:rPr>
              <w:t>A-311323</w:t>
            </w:r>
          </w:p>
        </w:tc>
      </w:tr>
      <w:tr w:rsidR="00AD56D8" w:rsidRPr="00943090" w14:paraId="3AE3297C" w14:textId="77777777" w:rsidTr="00F478BC">
        <w:tc>
          <w:tcPr>
            <w:tcW w:w="1345" w:type="dxa"/>
          </w:tcPr>
          <w:p w14:paraId="7CA7718B" w14:textId="20E89591" w:rsidR="00AD56D8" w:rsidRPr="00943090" w:rsidRDefault="00AD56D8" w:rsidP="00D33A1D">
            <w:pPr>
              <w:spacing w:line="360" w:lineRule="auto"/>
              <w:jc w:val="right"/>
              <w:rPr>
                <w:sz w:val="26"/>
                <w:szCs w:val="26"/>
              </w:rPr>
            </w:pPr>
            <w:r w:rsidRPr="00943090">
              <w:t>311373</w:t>
            </w:r>
          </w:p>
        </w:tc>
        <w:tc>
          <w:tcPr>
            <w:tcW w:w="4320" w:type="dxa"/>
          </w:tcPr>
          <w:p w14:paraId="3EBBCD18" w14:textId="0C115BB2" w:rsidR="00AD56D8" w:rsidRPr="00943090" w:rsidRDefault="00AD56D8" w:rsidP="00AD56D8">
            <w:pPr>
              <w:spacing w:line="360" w:lineRule="auto"/>
              <w:rPr>
                <w:sz w:val="26"/>
                <w:szCs w:val="26"/>
              </w:rPr>
            </w:pPr>
            <w:r w:rsidRPr="00943090">
              <w:t>Salsgiver Telecom Inc</w:t>
            </w:r>
          </w:p>
        </w:tc>
        <w:tc>
          <w:tcPr>
            <w:tcW w:w="3685" w:type="dxa"/>
            <w:vAlign w:val="bottom"/>
          </w:tcPr>
          <w:p w14:paraId="45B7E544" w14:textId="1ED5D44C" w:rsidR="00AD56D8" w:rsidRPr="00943090" w:rsidRDefault="00AD56D8" w:rsidP="00AD56D8">
            <w:pPr>
              <w:spacing w:line="360" w:lineRule="auto"/>
              <w:rPr>
                <w:szCs w:val="24"/>
              </w:rPr>
            </w:pPr>
            <w:r w:rsidRPr="00943090">
              <w:rPr>
                <w:color w:val="000000"/>
                <w:szCs w:val="24"/>
              </w:rPr>
              <w:t>A-311373, A-311373F0002</w:t>
            </w:r>
          </w:p>
        </w:tc>
      </w:tr>
      <w:tr w:rsidR="00AD56D8" w:rsidRPr="00943090" w14:paraId="22421841" w14:textId="77777777" w:rsidTr="00F478BC">
        <w:tc>
          <w:tcPr>
            <w:tcW w:w="1345" w:type="dxa"/>
          </w:tcPr>
          <w:p w14:paraId="37BB5456" w14:textId="15BE9F30" w:rsidR="00AD56D8" w:rsidRPr="00943090" w:rsidRDefault="00AD56D8" w:rsidP="00D33A1D">
            <w:pPr>
              <w:spacing w:line="360" w:lineRule="auto"/>
              <w:jc w:val="right"/>
              <w:rPr>
                <w:sz w:val="26"/>
                <w:szCs w:val="26"/>
              </w:rPr>
            </w:pPr>
            <w:r w:rsidRPr="00943090">
              <w:t>311418</w:t>
            </w:r>
          </w:p>
        </w:tc>
        <w:tc>
          <w:tcPr>
            <w:tcW w:w="4320" w:type="dxa"/>
          </w:tcPr>
          <w:p w14:paraId="289F3C5D" w14:textId="10F77CA1" w:rsidR="00AD56D8" w:rsidRPr="00943090" w:rsidRDefault="00AD56D8" w:rsidP="00AD56D8">
            <w:pPr>
              <w:spacing w:line="360" w:lineRule="auto"/>
              <w:rPr>
                <w:sz w:val="26"/>
                <w:szCs w:val="26"/>
              </w:rPr>
            </w:pPr>
            <w:r w:rsidRPr="00943090">
              <w:t>Yestel USA Inc</w:t>
            </w:r>
          </w:p>
        </w:tc>
        <w:tc>
          <w:tcPr>
            <w:tcW w:w="3685" w:type="dxa"/>
            <w:vAlign w:val="bottom"/>
          </w:tcPr>
          <w:p w14:paraId="7FDB7C72" w14:textId="26D1E2F4" w:rsidR="00AD56D8" w:rsidRPr="00943090" w:rsidRDefault="00AD56D8" w:rsidP="00AD56D8">
            <w:pPr>
              <w:spacing w:line="360" w:lineRule="auto"/>
              <w:rPr>
                <w:szCs w:val="24"/>
              </w:rPr>
            </w:pPr>
            <w:r w:rsidRPr="00943090">
              <w:rPr>
                <w:color w:val="000000"/>
                <w:szCs w:val="24"/>
              </w:rPr>
              <w:t>A-311418</w:t>
            </w:r>
          </w:p>
        </w:tc>
      </w:tr>
      <w:tr w:rsidR="00AD56D8" w:rsidRPr="00943090" w14:paraId="50A7C9F8" w14:textId="77777777" w:rsidTr="00F478BC">
        <w:tc>
          <w:tcPr>
            <w:tcW w:w="1345" w:type="dxa"/>
          </w:tcPr>
          <w:p w14:paraId="5CA92C62" w14:textId="4CEDC12A" w:rsidR="00AD56D8" w:rsidRPr="00943090" w:rsidRDefault="00AD56D8" w:rsidP="00D33A1D">
            <w:pPr>
              <w:spacing w:line="360" w:lineRule="auto"/>
              <w:jc w:val="right"/>
              <w:rPr>
                <w:sz w:val="26"/>
                <w:szCs w:val="26"/>
              </w:rPr>
            </w:pPr>
            <w:r w:rsidRPr="00943090">
              <w:t>311440</w:t>
            </w:r>
          </w:p>
        </w:tc>
        <w:tc>
          <w:tcPr>
            <w:tcW w:w="4320" w:type="dxa"/>
          </w:tcPr>
          <w:p w14:paraId="6118A356" w14:textId="0174F27A" w:rsidR="00AD56D8" w:rsidRPr="00943090" w:rsidRDefault="00AD56D8" w:rsidP="00AD56D8">
            <w:pPr>
              <w:spacing w:line="360" w:lineRule="auto"/>
              <w:rPr>
                <w:sz w:val="26"/>
                <w:szCs w:val="26"/>
              </w:rPr>
            </w:pPr>
            <w:r w:rsidRPr="00943090">
              <w:t>Pulse Telecom Inc</w:t>
            </w:r>
          </w:p>
        </w:tc>
        <w:tc>
          <w:tcPr>
            <w:tcW w:w="3685" w:type="dxa"/>
            <w:vAlign w:val="bottom"/>
          </w:tcPr>
          <w:p w14:paraId="093EFE20" w14:textId="5CFC6037" w:rsidR="00AD56D8" w:rsidRPr="00943090" w:rsidRDefault="00AD56D8" w:rsidP="00AD56D8">
            <w:pPr>
              <w:spacing w:line="360" w:lineRule="auto"/>
              <w:rPr>
                <w:szCs w:val="24"/>
              </w:rPr>
            </w:pPr>
            <w:r w:rsidRPr="00943090">
              <w:rPr>
                <w:color w:val="000000"/>
                <w:szCs w:val="24"/>
              </w:rPr>
              <w:t>A-311440</w:t>
            </w:r>
          </w:p>
        </w:tc>
      </w:tr>
      <w:tr w:rsidR="00AD56D8" w:rsidRPr="00943090" w14:paraId="48B05DE9" w14:textId="77777777" w:rsidTr="00F478BC">
        <w:tc>
          <w:tcPr>
            <w:tcW w:w="1345" w:type="dxa"/>
          </w:tcPr>
          <w:p w14:paraId="4FFC1FB6" w14:textId="58184218" w:rsidR="00AD56D8" w:rsidRPr="00943090" w:rsidRDefault="00AD56D8" w:rsidP="00D33A1D">
            <w:pPr>
              <w:spacing w:line="360" w:lineRule="auto"/>
              <w:jc w:val="right"/>
              <w:rPr>
                <w:sz w:val="26"/>
                <w:szCs w:val="26"/>
              </w:rPr>
            </w:pPr>
            <w:r w:rsidRPr="00943090">
              <w:t>311448</w:t>
            </w:r>
          </w:p>
        </w:tc>
        <w:tc>
          <w:tcPr>
            <w:tcW w:w="4320" w:type="dxa"/>
          </w:tcPr>
          <w:p w14:paraId="1659632F" w14:textId="7E86D875" w:rsidR="00AD56D8" w:rsidRPr="00943090" w:rsidRDefault="00AD56D8" w:rsidP="00AD56D8">
            <w:pPr>
              <w:spacing w:line="360" w:lineRule="auto"/>
              <w:rPr>
                <w:sz w:val="26"/>
                <w:szCs w:val="26"/>
              </w:rPr>
            </w:pPr>
            <w:r w:rsidRPr="00943090">
              <w:t>Cheap2Dial Telephone</w:t>
            </w:r>
          </w:p>
        </w:tc>
        <w:tc>
          <w:tcPr>
            <w:tcW w:w="3685" w:type="dxa"/>
            <w:vAlign w:val="bottom"/>
          </w:tcPr>
          <w:p w14:paraId="7E3EC249" w14:textId="5903F2F3" w:rsidR="00AD56D8" w:rsidRPr="00943090" w:rsidRDefault="00AD56D8" w:rsidP="00AD56D8">
            <w:pPr>
              <w:spacing w:line="360" w:lineRule="auto"/>
              <w:rPr>
                <w:szCs w:val="24"/>
              </w:rPr>
            </w:pPr>
            <w:r w:rsidRPr="00943090">
              <w:rPr>
                <w:color w:val="000000"/>
                <w:szCs w:val="24"/>
              </w:rPr>
              <w:t>A-311448</w:t>
            </w:r>
          </w:p>
        </w:tc>
      </w:tr>
      <w:tr w:rsidR="00AD56D8" w:rsidRPr="00943090" w14:paraId="117C02A3" w14:textId="77777777" w:rsidTr="00F478BC">
        <w:tc>
          <w:tcPr>
            <w:tcW w:w="1345" w:type="dxa"/>
          </w:tcPr>
          <w:p w14:paraId="310F82FF" w14:textId="35AC8AC1" w:rsidR="00AD56D8" w:rsidRPr="00943090" w:rsidRDefault="00AD56D8" w:rsidP="00D33A1D">
            <w:pPr>
              <w:spacing w:line="360" w:lineRule="auto"/>
              <w:jc w:val="right"/>
              <w:rPr>
                <w:sz w:val="26"/>
                <w:szCs w:val="26"/>
              </w:rPr>
            </w:pPr>
            <w:r w:rsidRPr="00943090">
              <w:t>3115665</w:t>
            </w:r>
          </w:p>
        </w:tc>
        <w:tc>
          <w:tcPr>
            <w:tcW w:w="4320" w:type="dxa"/>
          </w:tcPr>
          <w:p w14:paraId="3B2131D3" w14:textId="162AEBCE" w:rsidR="00AD56D8" w:rsidRPr="00943090" w:rsidRDefault="00AD56D8" w:rsidP="00AD56D8">
            <w:pPr>
              <w:spacing w:line="360" w:lineRule="auto"/>
              <w:rPr>
                <w:sz w:val="26"/>
                <w:szCs w:val="26"/>
              </w:rPr>
            </w:pPr>
            <w:r w:rsidRPr="00943090">
              <w:t>Freedom Telecom Services LLC</w:t>
            </w:r>
          </w:p>
        </w:tc>
        <w:tc>
          <w:tcPr>
            <w:tcW w:w="3685" w:type="dxa"/>
            <w:vAlign w:val="bottom"/>
          </w:tcPr>
          <w:p w14:paraId="0381468B" w14:textId="078C2D5F" w:rsidR="00AD56D8" w:rsidRPr="00943090" w:rsidRDefault="00AD56D8" w:rsidP="00AD56D8">
            <w:pPr>
              <w:spacing w:line="360" w:lineRule="auto"/>
              <w:rPr>
                <w:szCs w:val="24"/>
              </w:rPr>
            </w:pPr>
            <w:r w:rsidRPr="00943090">
              <w:rPr>
                <w:color w:val="000000"/>
                <w:szCs w:val="24"/>
              </w:rPr>
              <w:t>A-2013-2358095</w:t>
            </w:r>
          </w:p>
        </w:tc>
      </w:tr>
      <w:tr w:rsidR="00AD56D8" w:rsidRPr="00943090" w14:paraId="3A4D7B58" w14:textId="77777777" w:rsidTr="00F478BC">
        <w:tc>
          <w:tcPr>
            <w:tcW w:w="1345" w:type="dxa"/>
          </w:tcPr>
          <w:p w14:paraId="5D7DED45" w14:textId="3753E781" w:rsidR="00AD56D8" w:rsidRPr="00943090" w:rsidRDefault="00AD56D8" w:rsidP="00D33A1D">
            <w:pPr>
              <w:spacing w:line="360" w:lineRule="auto"/>
              <w:jc w:val="right"/>
              <w:rPr>
                <w:sz w:val="26"/>
                <w:szCs w:val="26"/>
              </w:rPr>
            </w:pPr>
            <w:r w:rsidRPr="00943090">
              <w:t>3117176</w:t>
            </w:r>
          </w:p>
        </w:tc>
        <w:tc>
          <w:tcPr>
            <w:tcW w:w="4320" w:type="dxa"/>
          </w:tcPr>
          <w:p w14:paraId="430469E6" w14:textId="07A5010D" w:rsidR="00AD56D8" w:rsidRPr="00943090" w:rsidRDefault="00AD56D8" w:rsidP="00AD56D8">
            <w:pPr>
              <w:spacing w:line="360" w:lineRule="auto"/>
              <w:rPr>
                <w:sz w:val="26"/>
                <w:szCs w:val="26"/>
              </w:rPr>
            </w:pPr>
            <w:r w:rsidRPr="00943090">
              <w:t>Vitcom LLC</w:t>
            </w:r>
          </w:p>
        </w:tc>
        <w:tc>
          <w:tcPr>
            <w:tcW w:w="3685" w:type="dxa"/>
            <w:vAlign w:val="bottom"/>
          </w:tcPr>
          <w:p w14:paraId="1B5F83BC" w14:textId="7B37B313" w:rsidR="00AD56D8" w:rsidRPr="00943090" w:rsidRDefault="00AD56D8" w:rsidP="00AD56D8">
            <w:pPr>
              <w:spacing w:line="360" w:lineRule="auto"/>
              <w:rPr>
                <w:szCs w:val="24"/>
              </w:rPr>
            </w:pPr>
            <w:r w:rsidRPr="00943090">
              <w:rPr>
                <w:color w:val="000000"/>
                <w:szCs w:val="24"/>
              </w:rPr>
              <w:t>A-2014-2458175, A-2014-2458213, A-2014-2458214</w:t>
            </w:r>
          </w:p>
        </w:tc>
      </w:tr>
    </w:tbl>
    <w:p w14:paraId="62B6E3F8" w14:textId="6FC46F63" w:rsidR="00003D45" w:rsidRPr="00943090" w:rsidRDefault="00003D45">
      <w:pPr>
        <w:overflowPunct/>
        <w:autoSpaceDE/>
        <w:autoSpaceDN/>
        <w:adjustRightInd/>
        <w:textAlignment w:val="auto"/>
        <w:rPr>
          <w:sz w:val="26"/>
          <w:szCs w:val="26"/>
        </w:rPr>
      </w:pPr>
    </w:p>
    <w:p w14:paraId="2E5ED5A9" w14:textId="77777777" w:rsidR="001E1648" w:rsidRPr="00943090" w:rsidRDefault="001E1648" w:rsidP="00956B7B">
      <w:pPr>
        <w:jc w:val="center"/>
      </w:pPr>
    </w:p>
    <w:sectPr w:rsidR="001E1648" w:rsidRPr="00943090" w:rsidSect="00967A87">
      <w:foot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78B7C" w14:textId="77777777" w:rsidR="005D4A2C" w:rsidRDefault="005D4A2C">
      <w:r>
        <w:separator/>
      </w:r>
    </w:p>
  </w:endnote>
  <w:endnote w:type="continuationSeparator" w:id="0">
    <w:p w14:paraId="55D87D29" w14:textId="77777777" w:rsidR="005D4A2C" w:rsidRDefault="005D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4DBA8" w14:textId="77777777" w:rsidR="00061828" w:rsidRDefault="000618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B96B2" w14:textId="77777777" w:rsidR="00061828" w:rsidRDefault="0006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68C3" w14:textId="1F5C3293" w:rsidR="00061828" w:rsidRPr="0080702E" w:rsidRDefault="00061828">
    <w:pPr>
      <w:pStyle w:val="Footer"/>
      <w:framePr w:wrap="around" w:vAnchor="text" w:hAnchor="margin" w:xAlign="center" w:y="1"/>
      <w:rPr>
        <w:rStyle w:val="PageNumber"/>
        <w:szCs w:val="24"/>
      </w:rPr>
    </w:pPr>
    <w:r w:rsidRPr="0080702E">
      <w:rPr>
        <w:rStyle w:val="PageNumber"/>
        <w:szCs w:val="24"/>
      </w:rPr>
      <w:fldChar w:fldCharType="begin"/>
    </w:r>
    <w:r w:rsidRPr="0080702E">
      <w:rPr>
        <w:rStyle w:val="PageNumber"/>
        <w:szCs w:val="24"/>
      </w:rPr>
      <w:instrText xml:space="preserve">PAGE  </w:instrText>
    </w:r>
    <w:r w:rsidRPr="0080702E">
      <w:rPr>
        <w:rStyle w:val="PageNumber"/>
        <w:szCs w:val="24"/>
      </w:rPr>
      <w:fldChar w:fldCharType="separate"/>
    </w:r>
    <w:r w:rsidRPr="0080702E">
      <w:rPr>
        <w:rStyle w:val="PageNumber"/>
        <w:noProof/>
        <w:szCs w:val="24"/>
      </w:rPr>
      <w:t>5</w:t>
    </w:r>
    <w:r w:rsidRPr="0080702E">
      <w:rPr>
        <w:rStyle w:val="PageNumber"/>
        <w:szCs w:val="24"/>
      </w:rPr>
      <w:fldChar w:fldCharType="end"/>
    </w:r>
  </w:p>
  <w:p w14:paraId="47E19B82" w14:textId="66A692D7" w:rsidR="007A1F8E" w:rsidRDefault="007A1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F351A" w14:textId="77777777" w:rsidR="00EF5753" w:rsidRDefault="00DE2AE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D1315" w14:textId="77777777" w:rsidR="005D4A2C" w:rsidRDefault="005D4A2C">
      <w:r>
        <w:separator/>
      </w:r>
    </w:p>
  </w:footnote>
  <w:footnote w:type="continuationSeparator" w:id="0">
    <w:p w14:paraId="7F7ABBA6" w14:textId="77777777" w:rsidR="005D4A2C" w:rsidRDefault="005D4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B645E"/>
    <w:multiLevelType w:val="hybridMultilevel"/>
    <w:tmpl w:val="E90CF528"/>
    <w:lvl w:ilvl="0" w:tplc="5EAC5226">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6DB7DD6"/>
    <w:multiLevelType w:val="hybridMultilevel"/>
    <w:tmpl w:val="E0641C9E"/>
    <w:lvl w:ilvl="0" w:tplc="AA32C6F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FF0A85"/>
    <w:multiLevelType w:val="hybridMultilevel"/>
    <w:tmpl w:val="AD10D996"/>
    <w:lvl w:ilvl="0" w:tplc="68C8273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C484500"/>
    <w:multiLevelType w:val="hybridMultilevel"/>
    <w:tmpl w:val="EC9CCB82"/>
    <w:lvl w:ilvl="0" w:tplc="283CCDF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A"/>
    <w:rsid w:val="00001DE5"/>
    <w:rsid w:val="00003D45"/>
    <w:rsid w:val="00004946"/>
    <w:rsid w:val="000075C8"/>
    <w:rsid w:val="0001322B"/>
    <w:rsid w:val="00020335"/>
    <w:rsid w:val="00023334"/>
    <w:rsid w:val="0002606A"/>
    <w:rsid w:val="00026342"/>
    <w:rsid w:val="00035D5C"/>
    <w:rsid w:val="00040ADB"/>
    <w:rsid w:val="00043D22"/>
    <w:rsid w:val="00047902"/>
    <w:rsid w:val="00054007"/>
    <w:rsid w:val="00061828"/>
    <w:rsid w:val="00062282"/>
    <w:rsid w:val="00065E53"/>
    <w:rsid w:val="000660C9"/>
    <w:rsid w:val="00067C32"/>
    <w:rsid w:val="00070B90"/>
    <w:rsid w:val="00077526"/>
    <w:rsid w:val="00083068"/>
    <w:rsid w:val="000861A8"/>
    <w:rsid w:val="00094239"/>
    <w:rsid w:val="000A0061"/>
    <w:rsid w:val="000A191A"/>
    <w:rsid w:val="000A1BE2"/>
    <w:rsid w:val="000A3FA6"/>
    <w:rsid w:val="000A6173"/>
    <w:rsid w:val="000A70B6"/>
    <w:rsid w:val="000B41F3"/>
    <w:rsid w:val="000B4C45"/>
    <w:rsid w:val="000B4D10"/>
    <w:rsid w:val="000B66EC"/>
    <w:rsid w:val="000C1111"/>
    <w:rsid w:val="000D690E"/>
    <w:rsid w:val="000D75FC"/>
    <w:rsid w:val="000E19A1"/>
    <w:rsid w:val="000E229C"/>
    <w:rsid w:val="000E45FE"/>
    <w:rsid w:val="000E54C7"/>
    <w:rsid w:val="000E6451"/>
    <w:rsid w:val="000F6BAE"/>
    <w:rsid w:val="000F7417"/>
    <w:rsid w:val="00101A40"/>
    <w:rsid w:val="00102A17"/>
    <w:rsid w:val="00104C5C"/>
    <w:rsid w:val="00105036"/>
    <w:rsid w:val="00112F1A"/>
    <w:rsid w:val="00114AD1"/>
    <w:rsid w:val="001169D8"/>
    <w:rsid w:val="00125A23"/>
    <w:rsid w:val="0012784B"/>
    <w:rsid w:val="00133AC3"/>
    <w:rsid w:val="001348CA"/>
    <w:rsid w:val="0014241E"/>
    <w:rsid w:val="00147C63"/>
    <w:rsid w:val="00155EAB"/>
    <w:rsid w:val="00160081"/>
    <w:rsid w:val="0016531A"/>
    <w:rsid w:val="00165F07"/>
    <w:rsid w:val="001773BC"/>
    <w:rsid w:val="00180A1E"/>
    <w:rsid w:val="00185F52"/>
    <w:rsid w:val="00194CB2"/>
    <w:rsid w:val="001965DB"/>
    <w:rsid w:val="001A1FE0"/>
    <w:rsid w:val="001A21AB"/>
    <w:rsid w:val="001A29BC"/>
    <w:rsid w:val="001A33EB"/>
    <w:rsid w:val="001A544F"/>
    <w:rsid w:val="001A7F98"/>
    <w:rsid w:val="001B2263"/>
    <w:rsid w:val="001B240D"/>
    <w:rsid w:val="001B3D79"/>
    <w:rsid w:val="001C259E"/>
    <w:rsid w:val="001C3AB8"/>
    <w:rsid w:val="001C4CB0"/>
    <w:rsid w:val="001D0A4D"/>
    <w:rsid w:val="001D0D80"/>
    <w:rsid w:val="001D292B"/>
    <w:rsid w:val="001D60CA"/>
    <w:rsid w:val="001E1648"/>
    <w:rsid w:val="001E228A"/>
    <w:rsid w:val="001E4A60"/>
    <w:rsid w:val="001E5A45"/>
    <w:rsid w:val="001E5CF8"/>
    <w:rsid w:val="001F22B7"/>
    <w:rsid w:val="001F2D68"/>
    <w:rsid w:val="001F6E4F"/>
    <w:rsid w:val="00201AEE"/>
    <w:rsid w:val="002166AC"/>
    <w:rsid w:val="00217AD0"/>
    <w:rsid w:val="00220DDA"/>
    <w:rsid w:val="00220E6B"/>
    <w:rsid w:val="002211D3"/>
    <w:rsid w:val="00224C25"/>
    <w:rsid w:val="00225BCA"/>
    <w:rsid w:val="00234869"/>
    <w:rsid w:val="00236AE1"/>
    <w:rsid w:val="00237B26"/>
    <w:rsid w:val="00237CFD"/>
    <w:rsid w:val="0024142C"/>
    <w:rsid w:val="00241889"/>
    <w:rsid w:val="00247C85"/>
    <w:rsid w:val="00251A99"/>
    <w:rsid w:val="00253899"/>
    <w:rsid w:val="00253C35"/>
    <w:rsid w:val="00253D6D"/>
    <w:rsid w:val="0025683C"/>
    <w:rsid w:val="00257BE0"/>
    <w:rsid w:val="0026598A"/>
    <w:rsid w:val="00276ED8"/>
    <w:rsid w:val="002803A5"/>
    <w:rsid w:val="0028096F"/>
    <w:rsid w:val="00280A37"/>
    <w:rsid w:val="00280B05"/>
    <w:rsid w:val="00281D26"/>
    <w:rsid w:val="00282702"/>
    <w:rsid w:val="002870D0"/>
    <w:rsid w:val="00287C65"/>
    <w:rsid w:val="00292C91"/>
    <w:rsid w:val="002931F8"/>
    <w:rsid w:val="002977D9"/>
    <w:rsid w:val="002A0FD5"/>
    <w:rsid w:val="002A1171"/>
    <w:rsid w:val="002A12E7"/>
    <w:rsid w:val="002A1993"/>
    <w:rsid w:val="002A4881"/>
    <w:rsid w:val="002A780F"/>
    <w:rsid w:val="002B27AD"/>
    <w:rsid w:val="002B7E97"/>
    <w:rsid w:val="002B7ED4"/>
    <w:rsid w:val="002C244A"/>
    <w:rsid w:val="002C5658"/>
    <w:rsid w:val="002D337D"/>
    <w:rsid w:val="002D3AC4"/>
    <w:rsid w:val="002D49A9"/>
    <w:rsid w:val="002D5189"/>
    <w:rsid w:val="002D7EBB"/>
    <w:rsid w:val="002E4864"/>
    <w:rsid w:val="002F4224"/>
    <w:rsid w:val="002F4509"/>
    <w:rsid w:val="002F6BFB"/>
    <w:rsid w:val="00302187"/>
    <w:rsid w:val="00304F2F"/>
    <w:rsid w:val="00306C82"/>
    <w:rsid w:val="003075CA"/>
    <w:rsid w:val="003116DA"/>
    <w:rsid w:val="003119D6"/>
    <w:rsid w:val="00314CB4"/>
    <w:rsid w:val="00321C2E"/>
    <w:rsid w:val="00321D4E"/>
    <w:rsid w:val="00323FF3"/>
    <w:rsid w:val="00325748"/>
    <w:rsid w:val="00333634"/>
    <w:rsid w:val="003352F4"/>
    <w:rsid w:val="00343624"/>
    <w:rsid w:val="00343E61"/>
    <w:rsid w:val="00345274"/>
    <w:rsid w:val="00354FF3"/>
    <w:rsid w:val="0036219E"/>
    <w:rsid w:val="00365F35"/>
    <w:rsid w:val="00366BAE"/>
    <w:rsid w:val="003678F8"/>
    <w:rsid w:val="00373A1D"/>
    <w:rsid w:val="003748C1"/>
    <w:rsid w:val="0037651B"/>
    <w:rsid w:val="00385A06"/>
    <w:rsid w:val="00387EA9"/>
    <w:rsid w:val="00390527"/>
    <w:rsid w:val="00390F60"/>
    <w:rsid w:val="00392349"/>
    <w:rsid w:val="00393D5D"/>
    <w:rsid w:val="00395CD0"/>
    <w:rsid w:val="00397150"/>
    <w:rsid w:val="00397DB5"/>
    <w:rsid w:val="003A6835"/>
    <w:rsid w:val="003B5A12"/>
    <w:rsid w:val="003C261B"/>
    <w:rsid w:val="003C5750"/>
    <w:rsid w:val="003C7D81"/>
    <w:rsid w:val="003D042C"/>
    <w:rsid w:val="003D218F"/>
    <w:rsid w:val="003D3737"/>
    <w:rsid w:val="003D5AD6"/>
    <w:rsid w:val="003D6105"/>
    <w:rsid w:val="003E2CA9"/>
    <w:rsid w:val="003E378F"/>
    <w:rsid w:val="003E396F"/>
    <w:rsid w:val="003E5318"/>
    <w:rsid w:val="003E63D3"/>
    <w:rsid w:val="003E6873"/>
    <w:rsid w:val="003E7579"/>
    <w:rsid w:val="003F1E55"/>
    <w:rsid w:val="003F3971"/>
    <w:rsid w:val="003F3BD1"/>
    <w:rsid w:val="003F5670"/>
    <w:rsid w:val="003F7195"/>
    <w:rsid w:val="003F78B4"/>
    <w:rsid w:val="004058DF"/>
    <w:rsid w:val="00406215"/>
    <w:rsid w:val="00410D1A"/>
    <w:rsid w:val="00411EA6"/>
    <w:rsid w:val="00413C07"/>
    <w:rsid w:val="0041484E"/>
    <w:rsid w:val="00414C56"/>
    <w:rsid w:val="00416B1D"/>
    <w:rsid w:val="00420840"/>
    <w:rsid w:val="00423E64"/>
    <w:rsid w:val="004269CC"/>
    <w:rsid w:val="00426BCF"/>
    <w:rsid w:val="00426F4F"/>
    <w:rsid w:val="004309BE"/>
    <w:rsid w:val="004331EB"/>
    <w:rsid w:val="004354CE"/>
    <w:rsid w:val="00437886"/>
    <w:rsid w:val="00441E2E"/>
    <w:rsid w:val="00442FB1"/>
    <w:rsid w:val="004453F5"/>
    <w:rsid w:val="004462AB"/>
    <w:rsid w:val="004575F3"/>
    <w:rsid w:val="00457D09"/>
    <w:rsid w:val="00462733"/>
    <w:rsid w:val="004635B0"/>
    <w:rsid w:val="004668A0"/>
    <w:rsid w:val="00467180"/>
    <w:rsid w:val="004753D5"/>
    <w:rsid w:val="004822AB"/>
    <w:rsid w:val="00485F78"/>
    <w:rsid w:val="0048653A"/>
    <w:rsid w:val="00492573"/>
    <w:rsid w:val="00492FE8"/>
    <w:rsid w:val="004938A8"/>
    <w:rsid w:val="00494261"/>
    <w:rsid w:val="004960E0"/>
    <w:rsid w:val="00497AB0"/>
    <w:rsid w:val="004A118A"/>
    <w:rsid w:val="004A232F"/>
    <w:rsid w:val="004A3581"/>
    <w:rsid w:val="004A45C1"/>
    <w:rsid w:val="004B0ABB"/>
    <w:rsid w:val="004B1DE8"/>
    <w:rsid w:val="004B25FE"/>
    <w:rsid w:val="004B2814"/>
    <w:rsid w:val="004B69CA"/>
    <w:rsid w:val="004C0A9C"/>
    <w:rsid w:val="004C23F0"/>
    <w:rsid w:val="004C26F4"/>
    <w:rsid w:val="004C2BAA"/>
    <w:rsid w:val="004C7144"/>
    <w:rsid w:val="004D08A6"/>
    <w:rsid w:val="004D2BFC"/>
    <w:rsid w:val="004D78E9"/>
    <w:rsid w:val="004E221E"/>
    <w:rsid w:val="004E32C8"/>
    <w:rsid w:val="004E3DDD"/>
    <w:rsid w:val="004E69C8"/>
    <w:rsid w:val="004E7908"/>
    <w:rsid w:val="004F02CD"/>
    <w:rsid w:val="00500326"/>
    <w:rsid w:val="00503283"/>
    <w:rsid w:val="00503929"/>
    <w:rsid w:val="00510B28"/>
    <w:rsid w:val="005179CF"/>
    <w:rsid w:val="00520344"/>
    <w:rsid w:val="00522424"/>
    <w:rsid w:val="005249FC"/>
    <w:rsid w:val="00526F10"/>
    <w:rsid w:val="00533E70"/>
    <w:rsid w:val="00534B0C"/>
    <w:rsid w:val="00537FC6"/>
    <w:rsid w:val="0054358F"/>
    <w:rsid w:val="00544348"/>
    <w:rsid w:val="00545A60"/>
    <w:rsid w:val="005466FF"/>
    <w:rsid w:val="00552A3F"/>
    <w:rsid w:val="00553D0F"/>
    <w:rsid w:val="00556E8E"/>
    <w:rsid w:val="0056101D"/>
    <w:rsid w:val="0056110A"/>
    <w:rsid w:val="00566B62"/>
    <w:rsid w:val="00572F28"/>
    <w:rsid w:val="00577560"/>
    <w:rsid w:val="0058092C"/>
    <w:rsid w:val="00591646"/>
    <w:rsid w:val="0059383B"/>
    <w:rsid w:val="00594D6B"/>
    <w:rsid w:val="005A0283"/>
    <w:rsid w:val="005A5ADF"/>
    <w:rsid w:val="005B354B"/>
    <w:rsid w:val="005B5DB5"/>
    <w:rsid w:val="005C1081"/>
    <w:rsid w:val="005C420E"/>
    <w:rsid w:val="005C4745"/>
    <w:rsid w:val="005C4F3A"/>
    <w:rsid w:val="005C5125"/>
    <w:rsid w:val="005C6AA9"/>
    <w:rsid w:val="005D0674"/>
    <w:rsid w:val="005D1CEA"/>
    <w:rsid w:val="005D21A8"/>
    <w:rsid w:val="005D383A"/>
    <w:rsid w:val="005D3EC2"/>
    <w:rsid w:val="005D4A2C"/>
    <w:rsid w:val="005D5F34"/>
    <w:rsid w:val="005D5FF1"/>
    <w:rsid w:val="005E5A9E"/>
    <w:rsid w:val="005E5DE6"/>
    <w:rsid w:val="005E6EA3"/>
    <w:rsid w:val="005E7624"/>
    <w:rsid w:val="005F14A9"/>
    <w:rsid w:val="005F39F2"/>
    <w:rsid w:val="005F580F"/>
    <w:rsid w:val="005F6967"/>
    <w:rsid w:val="0060190E"/>
    <w:rsid w:val="00605F73"/>
    <w:rsid w:val="0060769D"/>
    <w:rsid w:val="006114A4"/>
    <w:rsid w:val="00612840"/>
    <w:rsid w:val="00613F8C"/>
    <w:rsid w:val="0061741E"/>
    <w:rsid w:val="00620E59"/>
    <w:rsid w:val="0062207D"/>
    <w:rsid w:val="0062582B"/>
    <w:rsid w:val="00627DA9"/>
    <w:rsid w:val="0063597D"/>
    <w:rsid w:val="00646211"/>
    <w:rsid w:val="00650FAE"/>
    <w:rsid w:val="00651017"/>
    <w:rsid w:val="00651212"/>
    <w:rsid w:val="00651A3B"/>
    <w:rsid w:val="00657A36"/>
    <w:rsid w:val="0066072E"/>
    <w:rsid w:val="00660CFE"/>
    <w:rsid w:val="006616F3"/>
    <w:rsid w:val="00664DAB"/>
    <w:rsid w:val="006663DA"/>
    <w:rsid w:val="006665D0"/>
    <w:rsid w:val="00667315"/>
    <w:rsid w:val="00667C38"/>
    <w:rsid w:val="00667DE8"/>
    <w:rsid w:val="006748D1"/>
    <w:rsid w:val="0067663E"/>
    <w:rsid w:val="0068069C"/>
    <w:rsid w:val="00680754"/>
    <w:rsid w:val="00680A34"/>
    <w:rsid w:val="00690A56"/>
    <w:rsid w:val="0069259A"/>
    <w:rsid w:val="006A1A3D"/>
    <w:rsid w:val="006A2DA1"/>
    <w:rsid w:val="006A416D"/>
    <w:rsid w:val="006A5F10"/>
    <w:rsid w:val="006A62FF"/>
    <w:rsid w:val="006B4AC0"/>
    <w:rsid w:val="006B6E13"/>
    <w:rsid w:val="006C48B8"/>
    <w:rsid w:val="006E71E5"/>
    <w:rsid w:val="006E7F26"/>
    <w:rsid w:val="006E7F56"/>
    <w:rsid w:val="006F171C"/>
    <w:rsid w:val="006F4672"/>
    <w:rsid w:val="00700595"/>
    <w:rsid w:val="0070114C"/>
    <w:rsid w:val="00701E67"/>
    <w:rsid w:val="00704715"/>
    <w:rsid w:val="00706B1F"/>
    <w:rsid w:val="00712927"/>
    <w:rsid w:val="007135CB"/>
    <w:rsid w:val="00715664"/>
    <w:rsid w:val="00723E78"/>
    <w:rsid w:val="00725F75"/>
    <w:rsid w:val="007278ED"/>
    <w:rsid w:val="00731496"/>
    <w:rsid w:val="00733684"/>
    <w:rsid w:val="00734740"/>
    <w:rsid w:val="007354DA"/>
    <w:rsid w:val="00735630"/>
    <w:rsid w:val="0074217B"/>
    <w:rsid w:val="00742366"/>
    <w:rsid w:val="00742D36"/>
    <w:rsid w:val="00742FD1"/>
    <w:rsid w:val="007433A5"/>
    <w:rsid w:val="007434F7"/>
    <w:rsid w:val="00745269"/>
    <w:rsid w:val="00753E56"/>
    <w:rsid w:val="007547BA"/>
    <w:rsid w:val="007611BA"/>
    <w:rsid w:val="00763124"/>
    <w:rsid w:val="00766FB5"/>
    <w:rsid w:val="00771344"/>
    <w:rsid w:val="00785F7C"/>
    <w:rsid w:val="00787AB6"/>
    <w:rsid w:val="00792F76"/>
    <w:rsid w:val="00793907"/>
    <w:rsid w:val="007A06DD"/>
    <w:rsid w:val="007A1F8E"/>
    <w:rsid w:val="007A3E4E"/>
    <w:rsid w:val="007B09F5"/>
    <w:rsid w:val="007B17E0"/>
    <w:rsid w:val="007B2E33"/>
    <w:rsid w:val="007B689D"/>
    <w:rsid w:val="007C26A9"/>
    <w:rsid w:val="007C2B35"/>
    <w:rsid w:val="007C343A"/>
    <w:rsid w:val="007C4176"/>
    <w:rsid w:val="007C6AE3"/>
    <w:rsid w:val="007C7614"/>
    <w:rsid w:val="007C7F9B"/>
    <w:rsid w:val="007D222E"/>
    <w:rsid w:val="007D6CB0"/>
    <w:rsid w:val="007D6CF4"/>
    <w:rsid w:val="007D7DAC"/>
    <w:rsid w:val="007E0C9D"/>
    <w:rsid w:val="007E4C1E"/>
    <w:rsid w:val="007E6F14"/>
    <w:rsid w:val="007F6C20"/>
    <w:rsid w:val="007F6DA7"/>
    <w:rsid w:val="00802CEA"/>
    <w:rsid w:val="00803CEC"/>
    <w:rsid w:val="0080507E"/>
    <w:rsid w:val="0080702E"/>
    <w:rsid w:val="00807C37"/>
    <w:rsid w:val="00812665"/>
    <w:rsid w:val="00814F38"/>
    <w:rsid w:val="00817F37"/>
    <w:rsid w:val="00826A2A"/>
    <w:rsid w:val="00827541"/>
    <w:rsid w:val="00827DFF"/>
    <w:rsid w:val="008368FE"/>
    <w:rsid w:val="00836BE5"/>
    <w:rsid w:val="0084135A"/>
    <w:rsid w:val="00842271"/>
    <w:rsid w:val="00843F68"/>
    <w:rsid w:val="008466E2"/>
    <w:rsid w:val="008525EA"/>
    <w:rsid w:val="00854A8B"/>
    <w:rsid w:val="00860A24"/>
    <w:rsid w:val="00862106"/>
    <w:rsid w:val="0086287D"/>
    <w:rsid w:val="008645D7"/>
    <w:rsid w:val="00867962"/>
    <w:rsid w:val="008711CD"/>
    <w:rsid w:val="00871688"/>
    <w:rsid w:val="008717AE"/>
    <w:rsid w:val="00872CB2"/>
    <w:rsid w:val="00876DFA"/>
    <w:rsid w:val="0088157B"/>
    <w:rsid w:val="0088327C"/>
    <w:rsid w:val="00885EAA"/>
    <w:rsid w:val="008903D5"/>
    <w:rsid w:val="00890B8A"/>
    <w:rsid w:val="00893E23"/>
    <w:rsid w:val="00895FA0"/>
    <w:rsid w:val="00896962"/>
    <w:rsid w:val="008A4D76"/>
    <w:rsid w:val="008A6E96"/>
    <w:rsid w:val="008A7B30"/>
    <w:rsid w:val="008B1727"/>
    <w:rsid w:val="008B2202"/>
    <w:rsid w:val="008B7B6A"/>
    <w:rsid w:val="008C2D6B"/>
    <w:rsid w:val="008C68B5"/>
    <w:rsid w:val="008C7EA3"/>
    <w:rsid w:val="008D10F5"/>
    <w:rsid w:val="008D2946"/>
    <w:rsid w:val="008D48FB"/>
    <w:rsid w:val="008D4951"/>
    <w:rsid w:val="008D5F6C"/>
    <w:rsid w:val="008D6EF4"/>
    <w:rsid w:val="008E1253"/>
    <w:rsid w:val="008E214D"/>
    <w:rsid w:val="008E3694"/>
    <w:rsid w:val="008F5C64"/>
    <w:rsid w:val="00900BA2"/>
    <w:rsid w:val="00903563"/>
    <w:rsid w:val="00911635"/>
    <w:rsid w:val="00913847"/>
    <w:rsid w:val="009154AD"/>
    <w:rsid w:val="00925D4A"/>
    <w:rsid w:val="00926EBB"/>
    <w:rsid w:val="009274D6"/>
    <w:rsid w:val="00927F74"/>
    <w:rsid w:val="00930182"/>
    <w:rsid w:val="00933F95"/>
    <w:rsid w:val="00934699"/>
    <w:rsid w:val="00943090"/>
    <w:rsid w:val="00947576"/>
    <w:rsid w:val="00954297"/>
    <w:rsid w:val="009554EB"/>
    <w:rsid w:val="009558AC"/>
    <w:rsid w:val="00956B7B"/>
    <w:rsid w:val="00967A87"/>
    <w:rsid w:val="009701B8"/>
    <w:rsid w:val="00970EED"/>
    <w:rsid w:val="009731AC"/>
    <w:rsid w:val="0097395C"/>
    <w:rsid w:val="00976534"/>
    <w:rsid w:val="00976B25"/>
    <w:rsid w:val="009807CA"/>
    <w:rsid w:val="0098735E"/>
    <w:rsid w:val="009910A3"/>
    <w:rsid w:val="009914E4"/>
    <w:rsid w:val="009A1572"/>
    <w:rsid w:val="009A262E"/>
    <w:rsid w:val="009A33CC"/>
    <w:rsid w:val="009A3753"/>
    <w:rsid w:val="009A45C1"/>
    <w:rsid w:val="009A5E4A"/>
    <w:rsid w:val="009A6B89"/>
    <w:rsid w:val="009B1EE2"/>
    <w:rsid w:val="009B2072"/>
    <w:rsid w:val="009B5A24"/>
    <w:rsid w:val="009B6D3F"/>
    <w:rsid w:val="009C1CC4"/>
    <w:rsid w:val="009C2BCA"/>
    <w:rsid w:val="009C3038"/>
    <w:rsid w:val="009C5D85"/>
    <w:rsid w:val="009D030E"/>
    <w:rsid w:val="009D23A9"/>
    <w:rsid w:val="009D3670"/>
    <w:rsid w:val="009D5A0C"/>
    <w:rsid w:val="009E3523"/>
    <w:rsid w:val="009E45A3"/>
    <w:rsid w:val="009E4C01"/>
    <w:rsid w:val="009E7504"/>
    <w:rsid w:val="009F3C63"/>
    <w:rsid w:val="009F66EC"/>
    <w:rsid w:val="00A02DDA"/>
    <w:rsid w:val="00A03368"/>
    <w:rsid w:val="00A06874"/>
    <w:rsid w:val="00A10EED"/>
    <w:rsid w:val="00A12B40"/>
    <w:rsid w:val="00A12B44"/>
    <w:rsid w:val="00A1377B"/>
    <w:rsid w:val="00A1500A"/>
    <w:rsid w:val="00A15B39"/>
    <w:rsid w:val="00A24865"/>
    <w:rsid w:val="00A24DC6"/>
    <w:rsid w:val="00A32A58"/>
    <w:rsid w:val="00A331DE"/>
    <w:rsid w:val="00A33517"/>
    <w:rsid w:val="00A33699"/>
    <w:rsid w:val="00A34E82"/>
    <w:rsid w:val="00A3764D"/>
    <w:rsid w:val="00A401F4"/>
    <w:rsid w:val="00A40D98"/>
    <w:rsid w:val="00A41A70"/>
    <w:rsid w:val="00A4326E"/>
    <w:rsid w:val="00A466B0"/>
    <w:rsid w:val="00A476AF"/>
    <w:rsid w:val="00A5163A"/>
    <w:rsid w:val="00A5508E"/>
    <w:rsid w:val="00A55395"/>
    <w:rsid w:val="00A61269"/>
    <w:rsid w:val="00A6211A"/>
    <w:rsid w:val="00A622FF"/>
    <w:rsid w:val="00A62A77"/>
    <w:rsid w:val="00A67C5B"/>
    <w:rsid w:val="00A67D68"/>
    <w:rsid w:val="00A72CF5"/>
    <w:rsid w:val="00A74958"/>
    <w:rsid w:val="00A74F68"/>
    <w:rsid w:val="00A762F9"/>
    <w:rsid w:val="00A82ED3"/>
    <w:rsid w:val="00A8339A"/>
    <w:rsid w:val="00A942FE"/>
    <w:rsid w:val="00A96F04"/>
    <w:rsid w:val="00AB07D4"/>
    <w:rsid w:val="00AB4385"/>
    <w:rsid w:val="00AC1965"/>
    <w:rsid w:val="00AC20D1"/>
    <w:rsid w:val="00AC3F3E"/>
    <w:rsid w:val="00AC61F5"/>
    <w:rsid w:val="00AC62BC"/>
    <w:rsid w:val="00AC7591"/>
    <w:rsid w:val="00AD3798"/>
    <w:rsid w:val="00AD56D8"/>
    <w:rsid w:val="00AD61E7"/>
    <w:rsid w:val="00AD7B38"/>
    <w:rsid w:val="00AE2EAB"/>
    <w:rsid w:val="00AE5FB7"/>
    <w:rsid w:val="00AE625C"/>
    <w:rsid w:val="00AF0501"/>
    <w:rsid w:val="00AF124E"/>
    <w:rsid w:val="00AF1FA7"/>
    <w:rsid w:val="00AF2083"/>
    <w:rsid w:val="00AF2D95"/>
    <w:rsid w:val="00AF3B4A"/>
    <w:rsid w:val="00AF4373"/>
    <w:rsid w:val="00AF47D5"/>
    <w:rsid w:val="00AF6139"/>
    <w:rsid w:val="00AF6380"/>
    <w:rsid w:val="00AF7130"/>
    <w:rsid w:val="00B150B1"/>
    <w:rsid w:val="00B1634E"/>
    <w:rsid w:val="00B16BA2"/>
    <w:rsid w:val="00B2073A"/>
    <w:rsid w:val="00B22634"/>
    <w:rsid w:val="00B22C77"/>
    <w:rsid w:val="00B2539F"/>
    <w:rsid w:val="00B267CB"/>
    <w:rsid w:val="00B30DD7"/>
    <w:rsid w:val="00B36427"/>
    <w:rsid w:val="00B36859"/>
    <w:rsid w:val="00B37A09"/>
    <w:rsid w:val="00B41454"/>
    <w:rsid w:val="00B4318B"/>
    <w:rsid w:val="00B43359"/>
    <w:rsid w:val="00B434E6"/>
    <w:rsid w:val="00B43A27"/>
    <w:rsid w:val="00B45721"/>
    <w:rsid w:val="00B46158"/>
    <w:rsid w:val="00B47B7C"/>
    <w:rsid w:val="00B533D0"/>
    <w:rsid w:val="00B53D08"/>
    <w:rsid w:val="00B61C68"/>
    <w:rsid w:val="00B63AF9"/>
    <w:rsid w:val="00B63F20"/>
    <w:rsid w:val="00B643DF"/>
    <w:rsid w:val="00B7003E"/>
    <w:rsid w:val="00B7032F"/>
    <w:rsid w:val="00B7159E"/>
    <w:rsid w:val="00B732D1"/>
    <w:rsid w:val="00B751FE"/>
    <w:rsid w:val="00B8022C"/>
    <w:rsid w:val="00B82079"/>
    <w:rsid w:val="00B8321A"/>
    <w:rsid w:val="00B90704"/>
    <w:rsid w:val="00B93D5C"/>
    <w:rsid w:val="00B964E4"/>
    <w:rsid w:val="00B97BEA"/>
    <w:rsid w:val="00BA0511"/>
    <w:rsid w:val="00BA0A9F"/>
    <w:rsid w:val="00BA1A55"/>
    <w:rsid w:val="00BA4818"/>
    <w:rsid w:val="00BA5BD7"/>
    <w:rsid w:val="00BA6AC7"/>
    <w:rsid w:val="00BA6BA5"/>
    <w:rsid w:val="00BA6FED"/>
    <w:rsid w:val="00BB0406"/>
    <w:rsid w:val="00BB0574"/>
    <w:rsid w:val="00BB1AD7"/>
    <w:rsid w:val="00BB5941"/>
    <w:rsid w:val="00BB5B53"/>
    <w:rsid w:val="00BB64AA"/>
    <w:rsid w:val="00BC0F31"/>
    <w:rsid w:val="00BC2E6C"/>
    <w:rsid w:val="00BD08E8"/>
    <w:rsid w:val="00BD32E7"/>
    <w:rsid w:val="00BD6EB5"/>
    <w:rsid w:val="00BE1D3E"/>
    <w:rsid w:val="00BE1D6C"/>
    <w:rsid w:val="00BE3BB0"/>
    <w:rsid w:val="00BE4FE6"/>
    <w:rsid w:val="00BE5BF7"/>
    <w:rsid w:val="00BE6220"/>
    <w:rsid w:val="00BF0BE6"/>
    <w:rsid w:val="00BF0CC4"/>
    <w:rsid w:val="00BF480C"/>
    <w:rsid w:val="00BF58AD"/>
    <w:rsid w:val="00BF7134"/>
    <w:rsid w:val="00C11926"/>
    <w:rsid w:val="00C16328"/>
    <w:rsid w:val="00C16C40"/>
    <w:rsid w:val="00C317BF"/>
    <w:rsid w:val="00C3304B"/>
    <w:rsid w:val="00C3486E"/>
    <w:rsid w:val="00C41446"/>
    <w:rsid w:val="00C4393C"/>
    <w:rsid w:val="00C4438F"/>
    <w:rsid w:val="00C46D91"/>
    <w:rsid w:val="00C47D5E"/>
    <w:rsid w:val="00C50266"/>
    <w:rsid w:val="00C5315E"/>
    <w:rsid w:val="00C55448"/>
    <w:rsid w:val="00C57B21"/>
    <w:rsid w:val="00C62889"/>
    <w:rsid w:val="00C636C9"/>
    <w:rsid w:val="00C72B45"/>
    <w:rsid w:val="00C76887"/>
    <w:rsid w:val="00C76C63"/>
    <w:rsid w:val="00C770B9"/>
    <w:rsid w:val="00C778AF"/>
    <w:rsid w:val="00C904EC"/>
    <w:rsid w:val="00C915FF"/>
    <w:rsid w:val="00C91FFC"/>
    <w:rsid w:val="00C94E10"/>
    <w:rsid w:val="00C96257"/>
    <w:rsid w:val="00CA0746"/>
    <w:rsid w:val="00CA7802"/>
    <w:rsid w:val="00CB0FB2"/>
    <w:rsid w:val="00CB25B4"/>
    <w:rsid w:val="00CB2BA3"/>
    <w:rsid w:val="00CB5C7D"/>
    <w:rsid w:val="00CC3C32"/>
    <w:rsid w:val="00CC4FD2"/>
    <w:rsid w:val="00CC5203"/>
    <w:rsid w:val="00CC52DD"/>
    <w:rsid w:val="00CC58D7"/>
    <w:rsid w:val="00CC645D"/>
    <w:rsid w:val="00CE2C68"/>
    <w:rsid w:val="00CE33C3"/>
    <w:rsid w:val="00CE5853"/>
    <w:rsid w:val="00CE6246"/>
    <w:rsid w:val="00CE79F2"/>
    <w:rsid w:val="00CE7F29"/>
    <w:rsid w:val="00CF057E"/>
    <w:rsid w:val="00CF29EE"/>
    <w:rsid w:val="00CF67C2"/>
    <w:rsid w:val="00CF7F23"/>
    <w:rsid w:val="00D078C0"/>
    <w:rsid w:val="00D14790"/>
    <w:rsid w:val="00D14C1C"/>
    <w:rsid w:val="00D15B21"/>
    <w:rsid w:val="00D22790"/>
    <w:rsid w:val="00D25539"/>
    <w:rsid w:val="00D30859"/>
    <w:rsid w:val="00D33A1D"/>
    <w:rsid w:val="00D34875"/>
    <w:rsid w:val="00D3489E"/>
    <w:rsid w:val="00D36D25"/>
    <w:rsid w:val="00D36E6A"/>
    <w:rsid w:val="00D37E0C"/>
    <w:rsid w:val="00D41FD8"/>
    <w:rsid w:val="00D422A9"/>
    <w:rsid w:val="00D45569"/>
    <w:rsid w:val="00D51C87"/>
    <w:rsid w:val="00D51DD5"/>
    <w:rsid w:val="00D554AE"/>
    <w:rsid w:val="00D55D4F"/>
    <w:rsid w:val="00D6130D"/>
    <w:rsid w:val="00D62668"/>
    <w:rsid w:val="00D634AE"/>
    <w:rsid w:val="00D7003B"/>
    <w:rsid w:val="00D76334"/>
    <w:rsid w:val="00D8231B"/>
    <w:rsid w:val="00D82413"/>
    <w:rsid w:val="00D844AA"/>
    <w:rsid w:val="00D85078"/>
    <w:rsid w:val="00D85917"/>
    <w:rsid w:val="00D87379"/>
    <w:rsid w:val="00D92A8C"/>
    <w:rsid w:val="00D938C4"/>
    <w:rsid w:val="00D93E73"/>
    <w:rsid w:val="00D96A42"/>
    <w:rsid w:val="00D96B85"/>
    <w:rsid w:val="00DA1D4F"/>
    <w:rsid w:val="00DA1DA9"/>
    <w:rsid w:val="00DA49CF"/>
    <w:rsid w:val="00DA4A0C"/>
    <w:rsid w:val="00DA62D7"/>
    <w:rsid w:val="00DB0196"/>
    <w:rsid w:val="00DC1901"/>
    <w:rsid w:val="00DC51D2"/>
    <w:rsid w:val="00DC703D"/>
    <w:rsid w:val="00DD0592"/>
    <w:rsid w:val="00DD0BF6"/>
    <w:rsid w:val="00DD149C"/>
    <w:rsid w:val="00DE2AE3"/>
    <w:rsid w:val="00DE3FFE"/>
    <w:rsid w:val="00DE7D93"/>
    <w:rsid w:val="00DF1AA4"/>
    <w:rsid w:val="00DF372B"/>
    <w:rsid w:val="00DF6E1E"/>
    <w:rsid w:val="00E0040C"/>
    <w:rsid w:val="00E0398A"/>
    <w:rsid w:val="00E041CE"/>
    <w:rsid w:val="00E05268"/>
    <w:rsid w:val="00E06CFA"/>
    <w:rsid w:val="00E109FC"/>
    <w:rsid w:val="00E11696"/>
    <w:rsid w:val="00E15DD1"/>
    <w:rsid w:val="00E20290"/>
    <w:rsid w:val="00E215B7"/>
    <w:rsid w:val="00E33E82"/>
    <w:rsid w:val="00E37259"/>
    <w:rsid w:val="00E41620"/>
    <w:rsid w:val="00E43A45"/>
    <w:rsid w:val="00E45E7C"/>
    <w:rsid w:val="00E46B82"/>
    <w:rsid w:val="00E474D5"/>
    <w:rsid w:val="00E50BF0"/>
    <w:rsid w:val="00E5621D"/>
    <w:rsid w:val="00E569B8"/>
    <w:rsid w:val="00E74310"/>
    <w:rsid w:val="00E80272"/>
    <w:rsid w:val="00E8104C"/>
    <w:rsid w:val="00E816E5"/>
    <w:rsid w:val="00E8575D"/>
    <w:rsid w:val="00E92489"/>
    <w:rsid w:val="00EA0B94"/>
    <w:rsid w:val="00EA3207"/>
    <w:rsid w:val="00EB06E2"/>
    <w:rsid w:val="00EC1E64"/>
    <w:rsid w:val="00EC2BA5"/>
    <w:rsid w:val="00EC512C"/>
    <w:rsid w:val="00EC5C2E"/>
    <w:rsid w:val="00EC7314"/>
    <w:rsid w:val="00EC7C7E"/>
    <w:rsid w:val="00ED759F"/>
    <w:rsid w:val="00EE0818"/>
    <w:rsid w:val="00EE3B8A"/>
    <w:rsid w:val="00EE441A"/>
    <w:rsid w:val="00EE5D56"/>
    <w:rsid w:val="00EF0F82"/>
    <w:rsid w:val="00EF2E63"/>
    <w:rsid w:val="00EF515D"/>
    <w:rsid w:val="00EF5753"/>
    <w:rsid w:val="00F02470"/>
    <w:rsid w:val="00F02B80"/>
    <w:rsid w:val="00F06961"/>
    <w:rsid w:val="00F10D9E"/>
    <w:rsid w:val="00F263AE"/>
    <w:rsid w:val="00F31D77"/>
    <w:rsid w:val="00F322A2"/>
    <w:rsid w:val="00F334AC"/>
    <w:rsid w:val="00F3487A"/>
    <w:rsid w:val="00F36144"/>
    <w:rsid w:val="00F40D0C"/>
    <w:rsid w:val="00F43A7D"/>
    <w:rsid w:val="00F43DDF"/>
    <w:rsid w:val="00F43F47"/>
    <w:rsid w:val="00F44066"/>
    <w:rsid w:val="00F45A60"/>
    <w:rsid w:val="00F46AA1"/>
    <w:rsid w:val="00F478BC"/>
    <w:rsid w:val="00F514D8"/>
    <w:rsid w:val="00F51A25"/>
    <w:rsid w:val="00F520FC"/>
    <w:rsid w:val="00F54ED4"/>
    <w:rsid w:val="00F55423"/>
    <w:rsid w:val="00F612BE"/>
    <w:rsid w:val="00F64173"/>
    <w:rsid w:val="00F67309"/>
    <w:rsid w:val="00F70AA9"/>
    <w:rsid w:val="00F74CF1"/>
    <w:rsid w:val="00F75700"/>
    <w:rsid w:val="00F77295"/>
    <w:rsid w:val="00F773F1"/>
    <w:rsid w:val="00F7749A"/>
    <w:rsid w:val="00F77C28"/>
    <w:rsid w:val="00F865C7"/>
    <w:rsid w:val="00F87307"/>
    <w:rsid w:val="00F969CC"/>
    <w:rsid w:val="00F96EFD"/>
    <w:rsid w:val="00F96F62"/>
    <w:rsid w:val="00F9729A"/>
    <w:rsid w:val="00F97C94"/>
    <w:rsid w:val="00FA119E"/>
    <w:rsid w:val="00FA3D11"/>
    <w:rsid w:val="00FA7B55"/>
    <w:rsid w:val="00FB1E2E"/>
    <w:rsid w:val="00FB25DA"/>
    <w:rsid w:val="00FB4215"/>
    <w:rsid w:val="00FB4C15"/>
    <w:rsid w:val="00FB6320"/>
    <w:rsid w:val="00FC023F"/>
    <w:rsid w:val="00FC4F1F"/>
    <w:rsid w:val="00FC51B7"/>
    <w:rsid w:val="00FC6A03"/>
    <w:rsid w:val="00FC70EC"/>
    <w:rsid w:val="00FC745E"/>
    <w:rsid w:val="00FD16E6"/>
    <w:rsid w:val="00FD1947"/>
    <w:rsid w:val="00FD3F24"/>
    <w:rsid w:val="00FD4EF8"/>
    <w:rsid w:val="00FD6C86"/>
    <w:rsid w:val="00FE28AB"/>
    <w:rsid w:val="00FE2DF8"/>
    <w:rsid w:val="00FF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FB7DB"/>
  <w15:docId w15:val="{6AFDD003-590A-48BB-A7F6-B2CCC047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DA"/>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354D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54DA"/>
    <w:rPr>
      <w:rFonts w:ascii="Arial" w:eastAsia="Times New Roman" w:hAnsi="Arial" w:cs="Arial"/>
      <w:b/>
      <w:bCs/>
      <w:sz w:val="26"/>
      <w:szCs w:val="26"/>
    </w:rPr>
  </w:style>
  <w:style w:type="paragraph" w:styleId="Footer">
    <w:name w:val="footer"/>
    <w:basedOn w:val="Normal"/>
    <w:link w:val="FooterChar"/>
    <w:uiPriority w:val="99"/>
    <w:rsid w:val="007354DA"/>
    <w:pPr>
      <w:tabs>
        <w:tab w:val="center" w:pos="4320"/>
        <w:tab w:val="right" w:pos="8640"/>
      </w:tabs>
    </w:pPr>
  </w:style>
  <w:style w:type="character" w:customStyle="1" w:styleId="FooterChar">
    <w:name w:val="Footer Char"/>
    <w:basedOn w:val="DefaultParagraphFont"/>
    <w:link w:val="Footer"/>
    <w:uiPriority w:val="99"/>
    <w:rsid w:val="007354DA"/>
    <w:rPr>
      <w:rFonts w:ascii="Times New Roman" w:eastAsia="Times New Roman" w:hAnsi="Times New Roman" w:cs="Times New Roman"/>
      <w:sz w:val="24"/>
      <w:szCs w:val="20"/>
    </w:rPr>
  </w:style>
  <w:style w:type="character" w:styleId="PageNumber">
    <w:name w:val="page number"/>
    <w:basedOn w:val="DefaultParagraphFont"/>
    <w:rsid w:val="007354DA"/>
  </w:style>
  <w:style w:type="paragraph" w:customStyle="1" w:styleId="p3">
    <w:name w:val="p3"/>
    <w:basedOn w:val="Normal"/>
    <w:rsid w:val="007354DA"/>
    <w:pPr>
      <w:widowControl w:val="0"/>
      <w:tabs>
        <w:tab w:val="left" w:pos="204"/>
      </w:tabs>
      <w:overflowPunct/>
      <w:textAlignment w:val="auto"/>
    </w:pPr>
    <w:rPr>
      <w:szCs w:val="24"/>
    </w:rPr>
  </w:style>
  <w:style w:type="paragraph" w:customStyle="1" w:styleId="p14">
    <w:name w:val="p14"/>
    <w:basedOn w:val="Normal"/>
    <w:rsid w:val="007354DA"/>
    <w:pPr>
      <w:widowControl w:val="0"/>
      <w:tabs>
        <w:tab w:val="left" w:pos="204"/>
      </w:tabs>
      <w:overflowPunct/>
      <w:textAlignment w:val="auto"/>
    </w:pPr>
    <w:rPr>
      <w:szCs w:val="24"/>
    </w:rPr>
  </w:style>
  <w:style w:type="paragraph" w:customStyle="1" w:styleId="p17">
    <w:name w:val="p17"/>
    <w:basedOn w:val="Normal"/>
    <w:rsid w:val="007354DA"/>
    <w:pPr>
      <w:widowControl w:val="0"/>
      <w:tabs>
        <w:tab w:val="left" w:pos="5057"/>
      </w:tabs>
      <w:overflowPunct/>
      <w:ind w:left="3617"/>
      <w:textAlignment w:val="auto"/>
    </w:pPr>
    <w:rPr>
      <w:szCs w:val="24"/>
    </w:rPr>
  </w:style>
  <w:style w:type="paragraph" w:customStyle="1" w:styleId="p18">
    <w:name w:val="p18"/>
    <w:basedOn w:val="Normal"/>
    <w:rsid w:val="007354DA"/>
    <w:pPr>
      <w:widowControl w:val="0"/>
      <w:tabs>
        <w:tab w:val="left" w:pos="5062"/>
      </w:tabs>
      <w:overflowPunct/>
      <w:ind w:left="3622"/>
      <w:textAlignment w:val="auto"/>
    </w:pPr>
    <w:rPr>
      <w:szCs w:val="24"/>
    </w:rPr>
  </w:style>
  <w:style w:type="paragraph" w:customStyle="1" w:styleId="StyleCentered">
    <w:name w:val="Style Centered"/>
    <w:basedOn w:val="Normal"/>
    <w:rsid w:val="007354DA"/>
    <w:pPr>
      <w:jc w:val="center"/>
    </w:pPr>
  </w:style>
  <w:style w:type="paragraph" w:styleId="BalloonText">
    <w:name w:val="Balloon Text"/>
    <w:basedOn w:val="Normal"/>
    <w:link w:val="BalloonTextChar"/>
    <w:uiPriority w:val="99"/>
    <w:semiHidden/>
    <w:unhideWhenUsed/>
    <w:rsid w:val="0062582B"/>
    <w:rPr>
      <w:rFonts w:ascii="Tahoma" w:hAnsi="Tahoma" w:cs="Tahoma"/>
      <w:sz w:val="16"/>
      <w:szCs w:val="16"/>
    </w:rPr>
  </w:style>
  <w:style w:type="character" w:customStyle="1" w:styleId="BalloonTextChar">
    <w:name w:val="Balloon Text Char"/>
    <w:basedOn w:val="DefaultParagraphFont"/>
    <w:link w:val="BalloonText"/>
    <w:uiPriority w:val="99"/>
    <w:semiHidden/>
    <w:rsid w:val="0062582B"/>
    <w:rPr>
      <w:rFonts w:ascii="Tahoma" w:eastAsia="Times New Roman" w:hAnsi="Tahoma" w:cs="Tahoma"/>
      <w:sz w:val="16"/>
      <w:szCs w:val="16"/>
    </w:rPr>
  </w:style>
  <w:style w:type="table" w:styleId="TableGrid">
    <w:name w:val="Table Grid"/>
    <w:basedOn w:val="TableNormal"/>
    <w:uiPriority w:val="59"/>
    <w:rsid w:val="00B4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6EC"/>
    <w:pPr>
      <w:ind w:left="720"/>
      <w:contextualSpacing/>
    </w:pPr>
  </w:style>
  <w:style w:type="paragraph" w:styleId="FootnoteText">
    <w:name w:val="footnote text"/>
    <w:basedOn w:val="Normal"/>
    <w:link w:val="FootnoteTextChar"/>
    <w:uiPriority w:val="99"/>
    <w:semiHidden/>
    <w:unhideWhenUsed/>
    <w:rsid w:val="00047902"/>
    <w:rPr>
      <w:sz w:val="20"/>
    </w:rPr>
  </w:style>
  <w:style w:type="character" w:customStyle="1" w:styleId="FootnoteTextChar">
    <w:name w:val="Footnote Text Char"/>
    <w:basedOn w:val="DefaultParagraphFont"/>
    <w:link w:val="FootnoteText"/>
    <w:uiPriority w:val="99"/>
    <w:semiHidden/>
    <w:rsid w:val="000479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7902"/>
    <w:rPr>
      <w:vertAlign w:val="superscript"/>
    </w:rPr>
  </w:style>
  <w:style w:type="character" w:styleId="CommentReference">
    <w:name w:val="annotation reference"/>
    <w:basedOn w:val="DefaultParagraphFont"/>
    <w:uiPriority w:val="99"/>
    <w:semiHidden/>
    <w:unhideWhenUsed/>
    <w:rsid w:val="0048653A"/>
    <w:rPr>
      <w:sz w:val="16"/>
      <w:szCs w:val="16"/>
    </w:rPr>
  </w:style>
  <w:style w:type="paragraph" w:styleId="CommentText">
    <w:name w:val="annotation text"/>
    <w:basedOn w:val="Normal"/>
    <w:link w:val="CommentTextChar"/>
    <w:uiPriority w:val="99"/>
    <w:semiHidden/>
    <w:unhideWhenUsed/>
    <w:rsid w:val="0048653A"/>
    <w:rPr>
      <w:sz w:val="20"/>
    </w:rPr>
  </w:style>
  <w:style w:type="character" w:customStyle="1" w:styleId="CommentTextChar">
    <w:name w:val="Comment Text Char"/>
    <w:basedOn w:val="DefaultParagraphFont"/>
    <w:link w:val="CommentText"/>
    <w:uiPriority w:val="99"/>
    <w:semiHidden/>
    <w:rsid w:val="004865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653A"/>
    <w:rPr>
      <w:b/>
      <w:bCs/>
    </w:rPr>
  </w:style>
  <w:style w:type="character" w:customStyle="1" w:styleId="CommentSubjectChar">
    <w:name w:val="Comment Subject Char"/>
    <w:basedOn w:val="CommentTextChar"/>
    <w:link w:val="CommentSubject"/>
    <w:uiPriority w:val="99"/>
    <w:semiHidden/>
    <w:rsid w:val="0048653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01A40"/>
    <w:pPr>
      <w:tabs>
        <w:tab w:val="center" w:pos="4680"/>
        <w:tab w:val="right" w:pos="9360"/>
      </w:tabs>
    </w:pPr>
  </w:style>
  <w:style w:type="character" w:customStyle="1" w:styleId="HeaderChar">
    <w:name w:val="Header Char"/>
    <w:basedOn w:val="DefaultParagraphFont"/>
    <w:link w:val="Header"/>
    <w:uiPriority w:val="99"/>
    <w:rsid w:val="00101A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6438">
      <w:bodyDiv w:val="1"/>
      <w:marLeft w:val="0"/>
      <w:marRight w:val="0"/>
      <w:marTop w:val="0"/>
      <w:marBottom w:val="0"/>
      <w:divBdr>
        <w:top w:val="none" w:sz="0" w:space="0" w:color="auto"/>
        <w:left w:val="none" w:sz="0" w:space="0" w:color="auto"/>
        <w:bottom w:val="none" w:sz="0" w:space="0" w:color="auto"/>
        <w:right w:val="none" w:sz="0" w:space="0" w:color="auto"/>
      </w:divBdr>
    </w:div>
    <w:div w:id="22751953">
      <w:bodyDiv w:val="1"/>
      <w:marLeft w:val="0"/>
      <w:marRight w:val="0"/>
      <w:marTop w:val="0"/>
      <w:marBottom w:val="0"/>
      <w:divBdr>
        <w:top w:val="none" w:sz="0" w:space="0" w:color="auto"/>
        <w:left w:val="none" w:sz="0" w:space="0" w:color="auto"/>
        <w:bottom w:val="none" w:sz="0" w:space="0" w:color="auto"/>
        <w:right w:val="none" w:sz="0" w:space="0" w:color="auto"/>
      </w:divBdr>
    </w:div>
    <w:div w:id="67269934">
      <w:bodyDiv w:val="1"/>
      <w:marLeft w:val="0"/>
      <w:marRight w:val="0"/>
      <w:marTop w:val="0"/>
      <w:marBottom w:val="0"/>
      <w:divBdr>
        <w:top w:val="none" w:sz="0" w:space="0" w:color="auto"/>
        <w:left w:val="none" w:sz="0" w:space="0" w:color="auto"/>
        <w:bottom w:val="none" w:sz="0" w:space="0" w:color="auto"/>
        <w:right w:val="none" w:sz="0" w:space="0" w:color="auto"/>
      </w:divBdr>
    </w:div>
    <w:div w:id="105933179">
      <w:bodyDiv w:val="1"/>
      <w:marLeft w:val="0"/>
      <w:marRight w:val="0"/>
      <w:marTop w:val="0"/>
      <w:marBottom w:val="0"/>
      <w:divBdr>
        <w:top w:val="none" w:sz="0" w:space="0" w:color="auto"/>
        <w:left w:val="none" w:sz="0" w:space="0" w:color="auto"/>
        <w:bottom w:val="none" w:sz="0" w:space="0" w:color="auto"/>
        <w:right w:val="none" w:sz="0" w:space="0" w:color="auto"/>
      </w:divBdr>
    </w:div>
    <w:div w:id="106781446">
      <w:bodyDiv w:val="1"/>
      <w:marLeft w:val="0"/>
      <w:marRight w:val="0"/>
      <w:marTop w:val="0"/>
      <w:marBottom w:val="0"/>
      <w:divBdr>
        <w:top w:val="none" w:sz="0" w:space="0" w:color="auto"/>
        <w:left w:val="none" w:sz="0" w:space="0" w:color="auto"/>
        <w:bottom w:val="none" w:sz="0" w:space="0" w:color="auto"/>
        <w:right w:val="none" w:sz="0" w:space="0" w:color="auto"/>
      </w:divBdr>
    </w:div>
    <w:div w:id="174882278">
      <w:bodyDiv w:val="1"/>
      <w:marLeft w:val="0"/>
      <w:marRight w:val="0"/>
      <w:marTop w:val="0"/>
      <w:marBottom w:val="0"/>
      <w:divBdr>
        <w:top w:val="none" w:sz="0" w:space="0" w:color="auto"/>
        <w:left w:val="none" w:sz="0" w:space="0" w:color="auto"/>
        <w:bottom w:val="none" w:sz="0" w:space="0" w:color="auto"/>
        <w:right w:val="none" w:sz="0" w:space="0" w:color="auto"/>
      </w:divBdr>
    </w:div>
    <w:div w:id="179320390">
      <w:bodyDiv w:val="1"/>
      <w:marLeft w:val="0"/>
      <w:marRight w:val="0"/>
      <w:marTop w:val="0"/>
      <w:marBottom w:val="0"/>
      <w:divBdr>
        <w:top w:val="none" w:sz="0" w:space="0" w:color="auto"/>
        <w:left w:val="none" w:sz="0" w:space="0" w:color="auto"/>
        <w:bottom w:val="none" w:sz="0" w:space="0" w:color="auto"/>
        <w:right w:val="none" w:sz="0" w:space="0" w:color="auto"/>
      </w:divBdr>
    </w:div>
    <w:div w:id="186985566">
      <w:bodyDiv w:val="1"/>
      <w:marLeft w:val="0"/>
      <w:marRight w:val="0"/>
      <w:marTop w:val="0"/>
      <w:marBottom w:val="0"/>
      <w:divBdr>
        <w:top w:val="none" w:sz="0" w:space="0" w:color="auto"/>
        <w:left w:val="none" w:sz="0" w:space="0" w:color="auto"/>
        <w:bottom w:val="none" w:sz="0" w:space="0" w:color="auto"/>
        <w:right w:val="none" w:sz="0" w:space="0" w:color="auto"/>
      </w:divBdr>
    </w:div>
    <w:div w:id="215703783">
      <w:bodyDiv w:val="1"/>
      <w:marLeft w:val="0"/>
      <w:marRight w:val="0"/>
      <w:marTop w:val="0"/>
      <w:marBottom w:val="0"/>
      <w:divBdr>
        <w:top w:val="none" w:sz="0" w:space="0" w:color="auto"/>
        <w:left w:val="none" w:sz="0" w:space="0" w:color="auto"/>
        <w:bottom w:val="none" w:sz="0" w:space="0" w:color="auto"/>
        <w:right w:val="none" w:sz="0" w:space="0" w:color="auto"/>
      </w:divBdr>
    </w:div>
    <w:div w:id="217474592">
      <w:bodyDiv w:val="1"/>
      <w:marLeft w:val="0"/>
      <w:marRight w:val="0"/>
      <w:marTop w:val="0"/>
      <w:marBottom w:val="0"/>
      <w:divBdr>
        <w:top w:val="none" w:sz="0" w:space="0" w:color="auto"/>
        <w:left w:val="none" w:sz="0" w:space="0" w:color="auto"/>
        <w:bottom w:val="none" w:sz="0" w:space="0" w:color="auto"/>
        <w:right w:val="none" w:sz="0" w:space="0" w:color="auto"/>
      </w:divBdr>
    </w:div>
    <w:div w:id="231889044">
      <w:bodyDiv w:val="1"/>
      <w:marLeft w:val="0"/>
      <w:marRight w:val="0"/>
      <w:marTop w:val="0"/>
      <w:marBottom w:val="0"/>
      <w:divBdr>
        <w:top w:val="none" w:sz="0" w:space="0" w:color="auto"/>
        <w:left w:val="none" w:sz="0" w:space="0" w:color="auto"/>
        <w:bottom w:val="none" w:sz="0" w:space="0" w:color="auto"/>
        <w:right w:val="none" w:sz="0" w:space="0" w:color="auto"/>
      </w:divBdr>
    </w:div>
    <w:div w:id="240679726">
      <w:bodyDiv w:val="1"/>
      <w:marLeft w:val="0"/>
      <w:marRight w:val="0"/>
      <w:marTop w:val="0"/>
      <w:marBottom w:val="0"/>
      <w:divBdr>
        <w:top w:val="none" w:sz="0" w:space="0" w:color="auto"/>
        <w:left w:val="none" w:sz="0" w:space="0" w:color="auto"/>
        <w:bottom w:val="none" w:sz="0" w:space="0" w:color="auto"/>
        <w:right w:val="none" w:sz="0" w:space="0" w:color="auto"/>
      </w:divBdr>
    </w:div>
    <w:div w:id="255287617">
      <w:bodyDiv w:val="1"/>
      <w:marLeft w:val="0"/>
      <w:marRight w:val="0"/>
      <w:marTop w:val="0"/>
      <w:marBottom w:val="0"/>
      <w:divBdr>
        <w:top w:val="none" w:sz="0" w:space="0" w:color="auto"/>
        <w:left w:val="none" w:sz="0" w:space="0" w:color="auto"/>
        <w:bottom w:val="none" w:sz="0" w:space="0" w:color="auto"/>
        <w:right w:val="none" w:sz="0" w:space="0" w:color="auto"/>
      </w:divBdr>
    </w:div>
    <w:div w:id="274211332">
      <w:bodyDiv w:val="1"/>
      <w:marLeft w:val="0"/>
      <w:marRight w:val="0"/>
      <w:marTop w:val="0"/>
      <w:marBottom w:val="0"/>
      <w:divBdr>
        <w:top w:val="none" w:sz="0" w:space="0" w:color="auto"/>
        <w:left w:val="none" w:sz="0" w:space="0" w:color="auto"/>
        <w:bottom w:val="none" w:sz="0" w:space="0" w:color="auto"/>
        <w:right w:val="none" w:sz="0" w:space="0" w:color="auto"/>
      </w:divBdr>
    </w:div>
    <w:div w:id="308437443">
      <w:bodyDiv w:val="1"/>
      <w:marLeft w:val="0"/>
      <w:marRight w:val="0"/>
      <w:marTop w:val="0"/>
      <w:marBottom w:val="0"/>
      <w:divBdr>
        <w:top w:val="none" w:sz="0" w:space="0" w:color="auto"/>
        <w:left w:val="none" w:sz="0" w:space="0" w:color="auto"/>
        <w:bottom w:val="none" w:sz="0" w:space="0" w:color="auto"/>
        <w:right w:val="none" w:sz="0" w:space="0" w:color="auto"/>
      </w:divBdr>
    </w:div>
    <w:div w:id="319047057">
      <w:bodyDiv w:val="1"/>
      <w:marLeft w:val="0"/>
      <w:marRight w:val="0"/>
      <w:marTop w:val="0"/>
      <w:marBottom w:val="0"/>
      <w:divBdr>
        <w:top w:val="none" w:sz="0" w:space="0" w:color="auto"/>
        <w:left w:val="none" w:sz="0" w:space="0" w:color="auto"/>
        <w:bottom w:val="none" w:sz="0" w:space="0" w:color="auto"/>
        <w:right w:val="none" w:sz="0" w:space="0" w:color="auto"/>
      </w:divBdr>
    </w:div>
    <w:div w:id="331572909">
      <w:bodyDiv w:val="1"/>
      <w:marLeft w:val="0"/>
      <w:marRight w:val="0"/>
      <w:marTop w:val="0"/>
      <w:marBottom w:val="0"/>
      <w:divBdr>
        <w:top w:val="none" w:sz="0" w:space="0" w:color="auto"/>
        <w:left w:val="none" w:sz="0" w:space="0" w:color="auto"/>
        <w:bottom w:val="none" w:sz="0" w:space="0" w:color="auto"/>
        <w:right w:val="none" w:sz="0" w:space="0" w:color="auto"/>
      </w:divBdr>
    </w:div>
    <w:div w:id="351078463">
      <w:bodyDiv w:val="1"/>
      <w:marLeft w:val="0"/>
      <w:marRight w:val="0"/>
      <w:marTop w:val="0"/>
      <w:marBottom w:val="0"/>
      <w:divBdr>
        <w:top w:val="none" w:sz="0" w:space="0" w:color="auto"/>
        <w:left w:val="none" w:sz="0" w:space="0" w:color="auto"/>
        <w:bottom w:val="none" w:sz="0" w:space="0" w:color="auto"/>
        <w:right w:val="none" w:sz="0" w:space="0" w:color="auto"/>
      </w:divBdr>
    </w:div>
    <w:div w:id="359551016">
      <w:bodyDiv w:val="1"/>
      <w:marLeft w:val="0"/>
      <w:marRight w:val="0"/>
      <w:marTop w:val="0"/>
      <w:marBottom w:val="0"/>
      <w:divBdr>
        <w:top w:val="none" w:sz="0" w:space="0" w:color="auto"/>
        <w:left w:val="none" w:sz="0" w:space="0" w:color="auto"/>
        <w:bottom w:val="none" w:sz="0" w:space="0" w:color="auto"/>
        <w:right w:val="none" w:sz="0" w:space="0" w:color="auto"/>
      </w:divBdr>
    </w:div>
    <w:div w:id="368802944">
      <w:bodyDiv w:val="1"/>
      <w:marLeft w:val="0"/>
      <w:marRight w:val="0"/>
      <w:marTop w:val="0"/>
      <w:marBottom w:val="0"/>
      <w:divBdr>
        <w:top w:val="none" w:sz="0" w:space="0" w:color="auto"/>
        <w:left w:val="none" w:sz="0" w:space="0" w:color="auto"/>
        <w:bottom w:val="none" w:sz="0" w:space="0" w:color="auto"/>
        <w:right w:val="none" w:sz="0" w:space="0" w:color="auto"/>
      </w:divBdr>
    </w:div>
    <w:div w:id="390422645">
      <w:bodyDiv w:val="1"/>
      <w:marLeft w:val="0"/>
      <w:marRight w:val="0"/>
      <w:marTop w:val="0"/>
      <w:marBottom w:val="0"/>
      <w:divBdr>
        <w:top w:val="none" w:sz="0" w:space="0" w:color="auto"/>
        <w:left w:val="none" w:sz="0" w:space="0" w:color="auto"/>
        <w:bottom w:val="none" w:sz="0" w:space="0" w:color="auto"/>
        <w:right w:val="none" w:sz="0" w:space="0" w:color="auto"/>
      </w:divBdr>
    </w:div>
    <w:div w:id="394859554">
      <w:bodyDiv w:val="1"/>
      <w:marLeft w:val="0"/>
      <w:marRight w:val="0"/>
      <w:marTop w:val="0"/>
      <w:marBottom w:val="0"/>
      <w:divBdr>
        <w:top w:val="none" w:sz="0" w:space="0" w:color="auto"/>
        <w:left w:val="none" w:sz="0" w:space="0" w:color="auto"/>
        <w:bottom w:val="none" w:sz="0" w:space="0" w:color="auto"/>
        <w:right w:val="none" w:sz="0" w:space="0" w:color="auto"/>
      </w:divBdr>
    </w:div>
    <w:div w:id="408581121">
      <w:bodyDiv w:val="1"/>
      <w:marLeft w:val="0"/>
      <w:marRight w:val="0"/>
      <w:marTop w:val="0"/>
      <w:marBottom w:val="0"/>
      <w:divBdr>
        <w:top w:val="none" w:sz="0" w:space="0" w:color="auto"/>
        <w:left w:val="none" w:sz="0" w:space="0" w:color="auto"/>
        <w:bottom w:val="none" w:sz="0" w:space="0" w:color="auto"/>
        <w:right w:val="none" w:sz="0" w:space="0" w:color="auto"/>
      </w:divBdr>
    </w:div>
    <w:div w:id="418866034">
      <w:bodyDiv w:val="1"/>
      <w:marLeft w:val="0"/>
      <w:marRight w:val="0"/>
      <w:marTop w:val="0"/>
      <w:marBottom w:val="0"/>
      <w:divBdr>
        <w:top w:val="none" w:sz="0" w:space="0" w:color="auto"/>
        <w:left w:val="none" w:sz="0" w:space="0" w:color="auto"/>
        <w:bottom w:val="none" w:sz="0" w:space="0" w:color="auto"/>
        <w:right w:val="none" w:sz="0" w:space="0" w:color="auto"/>
      </w:divBdr>
    </w:div>
    <w:div w:id="474491374">
      <w:bodyDiv w:val="1"/>
      <w:marLeft w:val="0"/>
      <w:marRight w:val="0"/>
      <w:marTop w:val="0"/>
      <w:marBottom w:val="0"/>
      <w:divBdr>
        <w:top w:val="none" w:sz="0" w:space="0" w:color="auto"/>
        <w:left w:val="none" w:sz="0" w:space="0" w:color="auto"/>
        <w:bottom w:val="none" w:sz="0" w:space="0" w:color="auto"/>
        <w:right w:val="none" w:sz="0" w:space="0" w:color="auto"/>
      </w:divBdr>
    </w:div>
    <w:div w:id="486433207">
      <w:bodyDiv w:val="1"/>
      <w:marLeft w:val="0"/>
      <w:marRight w:val="0"/>
      <w:marTop w:val="0"/>
      <w:marBottom w:val="0"/>
      <w:divBdr>
        <w:top w:val="none" w:sz="0" w:space="0" w:color="auto"/>
        <w:left w:val="none" w:sz="0" w:space="0" w:color="auto"/>
        <w:bottom w:val="none" w:sz="0" w:space="0" w:color="auto"/>
        <w:right w:val="none" w:sz="0" w:space="0" w:color="auto"/>
      </w:divBdr>
    </w:div>
    <w:div w:id="498619605">
      <w:bodyDiv w:val="1"/>
      <w:marLeft w:val="0"/>
      <w:marRight w:val="0"/>
      <w:marTop w:val="0"/>
      <w:marBottom w:val="0"/>
      <w:divBdr>
        <w:top w:val="none" w:sz="0" w:space="0" w:color="auto"/>
        <w:left w:val="none" w:sz="0" w:space="0" w:color="auto"/>
        <w:bottom w:val="none" w:sz="0" w:space="0" w:color="auto"/>
        <w:right w:val="none" w:sz="0" w:space="0" w:color="auto"/>
      </w:divBdr>
    </w:div>
    <w:div w:id="536090195">
      <w:bodyDiv w:val="1"/>
      <w:marLeft w:val="0"/>
      <w:marRight w:val="0"/>
      <w:marTop w:val="0"/>
      <w:marBottom w:val="0"/>
      <w:divBdr>
        <w:top w:val="none" w:sz="0" w:space="0" w:color="auto"/>
        <w:left w:val="none" w:sz="0" w:space="0" w:color="auto"/>
        <w:bottom w:val="none" w:sz="0" w:space="0" w:color="auto"/>
        <w:right w:val="none" w:sz="0" w:space="0" w:color="auto"/>
      </w:divBdr>
    </w:div>
    <w:div w:id="546793036">
      <w:bodyDiv w:val="1"/>
      <w:marLeft w:val="0"/>
      <w:marRight w:val="0"/>
      <w:marTop w:val="0"/>
      <w:marBottom w:val="0"/>
      <w:divBdr>
        <w:top w:val="none" w:sz="0" w:space="0" w:color="auto"/>
        <w:left w:val="none" w:sz="0" w:space="0" w:color="auto"/>
        <w:bottom w:val="none" w:sz="0" w:space="0" w:color="auto"/>
        <w:right w:val="none" w:sz="0" w:space="0" w:color="auto"/>
      </w:divBdr>
    </w:div>
    <w:div w:id="565992380">
      <w:bodyDiv w:val="1"/>
      <w:marLeft w:val="0"/>
      <w:marRight w:val="0"/>
      <w:marTop w:val="0"/>
      <w:marBottom w:val="0"/>
      <w:divBdr>
        <w:top w:val="none" w:sz="0" w:space="0" w:color="auto"/>
        <w:left w:val="none" w:sz="0" w:space="0" w:color="auto"/>
        <w:bottom w:val="none" w:sz="0" w:space="0" w:color="auto"/>
        <w:right w:val="none" w:sz="0" w:space="0" w:color="auto"/>
      </w:divBdr>
    </w:div>
    <w:div w:id="603223992">
      <w:bodyDiv w:val="1"/>
      <w:marLeft w:val="0"/>
      <w:marRight w:val="0"/>
      <w:marTop w:val="0"/>
      <w:marBottom w:val="0"/>
      <w:divBdr>
        <w:top w:val="none" w:sz="0" w:space="0" w:color="auto"/>
        <w:left w:val="none" w:sz="0" w:space="0" w:color="auto"/>
        <w:bottom w:val="none" w:sz="0" w:space="0" w:color="auto"/>
        <w:right w:val="none" w:sz="0" w:space="0" w:color="auto"/>
      </w:divBdr>
    </w:div>
    <w:div w:id="607785130">
      <w:bodyDiv w:val="1"/>
      <w:marLeft w:val="0"/>
      <w:marRight w:val="0"/>
      <w:marTop w:val="0"/>
      <w:marBottom w:val="0"/>
      <w:divBdr>
        <w:top w:val="none" w:sz="0" w:space="0" w:color="auto"/>
        <w:left w:val="none" w:sz="0" w:space="0" w:color="auto"/>
        <w:bottom w:val="none" w:sz="0" w:space="0" w:color="auto"/>
        <w:right w:val="none" w:sz="0" w:space="0" w:color="auto"/>
      </w:divBdr>
    </w:div>
    <w:div w:id="611670439">
      <w:bodyDiv w:val="1"/>
      <w:marLeft w:val="0"/>
      <w:marRight w:val="0"/>
      <w:marTop w:val="0"/>
      <w:marBottom w:val="0"/>
      <w:divBdr>
        <w:top w:val="none" w:sz="0" w:space="0" w:color="auto"/>
        <w:left w:val="none" w:sz="0" w:space="0" w:color="auto"/>
        <w:bottom w:val="none" w:sz="0" w:space="0" w:color="auto"/>
        <w:right w:val="none" w:sz="0" w:space="0" w:color="auto"/>
      </w:divBdr>
    </w:div>
    <w:div w:id="628049240">
      <w:bodyDiv w:val="1"/>
      <w:marLeft w:val="0"/>
      <w:marRight w:val="0"/>
      <w:marTop w:val="0"/>
      <w:marBottom w:val="0"/>
      <w:divBdr>
        <w:top w:val="none" w:sz="0" w:space="0" w:color="auto"/>
        <w:left w:val="none" w:sz="0" w:space="0" w:color="auto"/>
        <w:bottom w:val="none" w:sz="0" w:space="0" w:color="auto"/>
        <w:right w:val="none" w:sz="0" w:space="0" w:color="auto"/>
      </w:divBdr>
    </w:div>
    <w:div w:id="648824329">
      <w:bodyDiv w:val="1"/>
      <w:marLeft w:val="0"/>
      <w:marRight w:val="0"/>
      <w:marTop w:val="0"/>
      <w:marBottom w:val="0"/>
      <w:divBdr>
        <w:top w:val="none" w:sz="0" w:space="0" w:color="auto"/>
        <w:left w:val="none" w:sz="0" w:space="0" w:color="auto"/>
        <w:bottom w:val="none" w:sz="0" w:space="0" w:color="auto"/>
        <w:right w:val="none" w:sz="0" w:space="0" w:color="auto"/>
      </w:divBdr>
    </w:div>
    <w:div w:id="691348300">
      <w:bodyDiv w:val="1"/>
      <w:marLeft w:val="0"/>
      <w:marRight w:val="0"/>
      <w:marTop w:val="0"/>
      <w:marBottom w:val="0"/>
      <w:divBdr>
        <w:top w:val="none" w:sz="0" w:space="0" w:color="auto"/>
        <w:left w:val="none" w:sz="0" w:space="0" w:color="auto"/>
        <w:bottom w:val="none" w:sz="0" w:space="0" w:color="auto"/>
        <w:right w:val="none" w:sz="0" w:space="0" w:color="auto"/>
      </w:divBdr>
    </w:div>
    <w:div w:id="760839716">
      <w:bodyDiv w:val="1"/>
      <w:marLeft w:val="0"/>
      <w:marRight w:val="0"/>
      <w:marTop w:val="0"/>
      <w:marBottom w:val="0"/>
      <w:divBdr>
        <w:top w:val="none" w:sz="0" w:space="0" w:color="auto"/>
        <w:left w:val="none" w:sz="0" w:space="0" w:color="auto"/>
        <w:bottom w:val="none" w:sz="0" w:space="0" w:color="auto"/>
        <w:right w:val="none" w:sz="0" w:space="0" w:color="auto"/>
      </w:divBdr>
    </w:div>
    <w:div w:id="804543983">
      <w:bodyDiv w:val="1"/>
      <w:marLeft w:val="0"/>
      <w:marRight w:val="0"/>
      <w:marTop w:val="0"/>
      <w:marBottom w:val="0"/>
      <w:divBdr>
        <w:top w:val="none" w:sz="0" w:space="0" w:color="auto"/>
        <w:left w:val="none" w:sz="0" w:space="0" w:color="auto"/>
        <w:bottom w:val="none" w:sz="0" w:space="0" w:color="auto"/>
        <w:right w:val="none" w:sz="0" w:space="0" w:color="auto"/>
      </w:divBdr>
    </w:div>
    <w:div w:id="807862712">
      <w:bodyDiv w:val="1"/>
      <w:marLeft w:val="0"/>
      <w:marRight w:val="0"/>
      <w:marTop w:val="0"/>
      <w:marBottom w:val="0"/>
      <w:divBdr>
        <w:top w:val="none" w:sz="0" w:space="0" w:color="auto"/>
        <w:left w:val="none" w:sz="0" w:space="0" w:color="auto"/>
        <w:bottom w:val="none" w:sz="0" w:space="0" w:color="auto"/>
        <w:right w:val="none" w:sz="0" w:space="0" w:color="auto"/>
      </w:divBdr>
    </w:div>
    <w:div w:id="834615686">
      <w:bodyDiv w:val="1"/>
      <w:marLeft w:val="0"/>
      <w:marRight w:val="0"/>
      <w:marTop w:val="0"/>
      <w:marBottom w:val="0"/>
      <w:divBdr>
        <w:top w:val="none" w:sz="0" w:space="0" w:color="auto"/>
        <w:left w:val="none" w:sz="0" w:space="0" w:color="auto"/>
        <w:bottom w:val="none" w:sz="0" w:space="0" w:color="auto"/>
        <w:right w:val="none" w:sz="0" w:space="0" w:color="auto"/>
      </w:divBdr>
    </w:div>
    <w:div w:id="845557177">
      <w:bodyDiv w:val="1"/>
      <w:marLeft w:val="0"/>
      <w:marRight w:val="0"/>
      <w:marTop w:val="0"/>
      <w:marBottom w:val="0"/>
      <w:divBdr>
        <w:top w:val="none" w:sz="0" w:space="0" w:color="auto"/>
        <w:left w:val="none" w:sz="0" w:space="0" w:color="auto"/>
        <w:bottom w:val="none" w:sz="0" w:space="0" w:color="auto"/>
        <w:right w:val="none" w:sz="0" w:space="0" w:color="auto"/>
      </w:divBdr>
    </w:div>
    <w:div w:id="889458263">
      <w:bodyDiv w:val="1"/>
      <w:marLeft w:val="0"/>
      <w:marRight w:val="0"/>
      <w:marTop w:val="0"/>
      <w:marBottom w:val="0"/>
      <w:divBdr>
        <w:top w:val="none" w:sz="0" w:space="0" w:color="auto"/>
        <w:left w:val="none" w:sz="0" w:space="0" w:color="auto"/>
        <w:bottom w:val="none" w:sz="0" w:space="0" w:color="auto"/>
        <w:right w:val="none" w:sz="0" w:space="0" w:color="auto"/>
      </w:divBdr>
    </w:div>
    <w:div w:id="910194462">
      <w:bodyDiv w:val="1"/>
      <w:marLeft w:val="0"/>
      <w:marRight w:val="0"/>
      <w:marTop w:val="0"/>
      <w:marBottom w:val="0"/>
      <w:divBdr>
        <w:top w:val="none" w:sz="0" w:space="0" w:color="auto"/>
        <w:left w:val="none" w:sz="0" w:space="0" w:color="auto"/>
        <w:bottom w:val="none" w:sz="0" w:space="0" w:color="auto"/>
        <w:right w:val="none" w:sz="0" w:space="0" w:color="auto"/>
      </w:divBdr>
    </w:div>
    <w:div w:id="925571900">
      <w:bodyDiv w:val="1"/>
      <w:marLeft w:val="0"/>
      <w:marRight w:val="0"/>
      <w:marTop w:val="0"/>
      <w:marBottom w:val="0"/>
      <w:divBdr>
        <w:top w:val="none" w:sz="0" w:space="0" w:color="auto"/>
        <w:left w:val="none" w:sz="0" w:space="0" w:color="auto"/>
        <w:bottom w:val="none" w:sz="0" w:space="0" w:color="auto"/>
        <w:right w:val="none" w:sz="0" w:space="0" w:color="auto"/>
      </w:divBdr>
    </w:div>
    <w:div w:id="929698298">
      <w:bodyDiv w:val="1"/>
      <w:marLeft w:val="0"/>
      <w:marRight w:val="0"/>
      <w:marTop w:val="0"/>
      <w:marBottom w:val="0"/>
      <w:divBdr>
        <w:top w:val="none" w:sz="0" w:space="0" w:color="auto"/>
        <w:left w:val="none" w:sz="0" w:space="0" w:color="auto"/>
        <w:bottom w:val="none" w:sz="0" w:space="0" w:color="auto"/>
        <w:right w:val="none" w:sz="0" w:space="0" w:color="auto"/>
      </w:divBdr>
    </w:div>
    <w:div w:id="976953306">
      <w:bodyDiv w:val="1"/>
      <w:marLeft w:val="0"/>
      <w:marRight w:val="0"/>
      <w:marTop w:val="0"/>
      <w:marBottom w:val="0"/>
      <w:divBdr>
        <w:top w:val="none" w:sz="0" w:space="0" w:color="auto"/>
        <w:left w:val="none" w:sz="0" w:space="0" w:color="auto"/>
        <w:bottom w:val="none" w:sz="0" w:space="0" w:color="auto"/>
        <w:right w:val="none" w:sz="0" w:space="0" w:color="auto"/>
      </w:divBdr>
    </w:div>
    <w:div w:id="978458852">
      <w:bodyDiv w:val="1"/>
      <w:marLeft w:val="0"/>
      <w:marRight w:val="0"/>
      <w:marTop w:val="0"/>
      <w:marBottom w:val="0"/>
      <w:divBdr>
        <w:top w:val="none" w:sz="0" w:space="0" w:color="auto"/>
        <w:left w:val="none" w:sz="0" w:space="0" w:color="auto"/>
        <w:bottom w:val="none" w:sz="0" w:space="0" w:color="auto"/>
        <w:right w:val="none" w:sz="0" w:space="0" w:color="auto"/>
      </w:divBdr>
    </w:div>
    <w:div w:id="1003126376">
      <w:bodyDiv w:val="1"/>
      <w:marLeft w:val="0"/>
      <w:marRight w:val="0"/>
      <w:marTop w:val="0"/>
      <w:marBottom w:val="0"/>
      <w:divBdr>
        <w:top w:val="none" w:sz="0" w:space="0" w:color="auto"/>
        <w:left w:val="none" w:sz="0" w:space="0" w:color="auto"/>
        <w:bottom w:val="none" w:sz="0" w:space="0" w:color="auto"/>
        <w:right w:val="none" w:sz="0" w:space="0" w:color="auto"/>
      </w:divBdr>
    </w:div>
    <w:div w:id="1019745487">
      <w:bodyDiv w:val="1"/>
      <w:marLeft w:val="0"/>
      <w:marRight w:val="0"/>
      <w:marTop w:val="0"/>
      <w:marBottom w:val="0"/>
      <w:divBdr>
        <w:top w:val="none" w:sz="0" w:space="0" w:color="auto"/>
        <w:left w:val="none" w:sz="0" w:space="0" w:color="auto"/>
        <w:bottom w:val="none" w:sz="0" w:space="0" w:color="auto"/>
        <w:right w:val="none" w:sz="0" w:space="0" w:color="auto"/>
      </w:divBdr>
    </w:div>
    <w:div w:id="1043335492">
      <w:bodyDiv w:val="1"/>
      <w:marLeft w:val="0"/>
      <w:marRight w:val="0"/>
      <w:marTop w:val="0"/>
      <w:marBottom w:val="0"/>
      <w:divBdr>
        <w:top w:val="none" w:sz="0" w:space="0" w:color="auto"/>
        <w:left w:val="none" w:sz="0" w:space="0" w:color="auto"/>
        <w:bottom w:val="none" w:sz="0" w:space="0" w:color="auto"/>
        <w:right w:val="none" w:sz="0" w:space="0" w:color="auto"/>
      </w:divBdr>
    </w:div>
    <w:div w:id="1100220700">
      <w:bodyDiv w:val="1"/>
      <w:marLeft w:val="0"/>
      <w:marRight w:val="0"/>
      <w:marTop w:val="0"/>
      <w:marBottom w:val="0"/>
      <w:divBdr>
        <w:top w:val="none" w:sz="0" w:space="0" w:color="auto"/>
        <w:left w:val="none" w:sz="0" w:space="0" w:color="auto"/>
        <w:bottom w:val="none" w:sz="0" w:space="0" w:color="auto"/>
        <w:right w:val="none" w:sz="0" w:space="0" w:color="auto"/>
      </w:divBdr>
    </w:div>
    <w:div w:id="1135683781">
      <w:bodyDiv w:val="1"/>
      <w:marLeft w:val="0"/>
      <w:marRight w:val="0"/>
      <w:marTop w:val="0"/>
      <w:marBottom w:val="0"/>
      <w:divBdr>
        <w:top w:val="none" w:sz="0" w:space="0" w:color="auto"/>
        <w:left w:val="none" w:sz="0" w:space="0" w:color="auto"/>
        <w:bottom w:val="none" w:sz="0" w:space="0" w:color="auto"/>
        <w:right w:val="none" w:sz="0" w:space="0" w:color="auto"/>
      </w:divBdr>
    </w:div>
    <w:div w:id="1148091198">
      <w:bodyDiv w:val="1"/>
      <w:marLeft w:val="0"/>
      <w:marRight w:val="0"/>
      <w:marTop w:val="0"/>
      <w:marBottom w:val="0"/>
      <w:divBdr>
        <w:top w:val="none" w:sz="0" w:space="0" w:color="auto"/>
        <w:left w:val="none" w:sz="0" w:space="0" w:color="auto"/>
        <w:bottom w:val="none" w:sz="0" w:space="0" w:color="auto"/>
        <w:right w:val="none" w:sz="0" w:space="0" w:color="auto"/>
      </w:divBdr>
    </w:div>
    <w:div w:id="1163164312">
      <w:bodyDiv w:val="1"/>
      <w:marLeft w:val="0"/>
      <w:marRight w:val="0"/>
      <w:marTop w:val="0"/>
      <w:marBottom w:val="0"/>
      <w:divBdr>
        <w:top w:val="none" w:sz="0" w:space="0" w:color="auto"/>
        <w:left w:val="none" w:sz="0" w:space="0" w:color="auto"/>
        <w:bottom w:val="none" w:sz="0" w:space="0" w:color="auto"/>
        <w:right w:val="none" w:sz="0" w:space="0" w:color="auto"/>
      </w:divBdr>
    </w:div>
    <w:div w:id="1168983099">
      <w:bodyDiv w:val="1"/>
      <w:marLeft w:val="0"/>
      <w:marRight w:val="0"/>
      <w:marTop w:val="0"/>
      <w:marBottom w:val="0"/>
      <w:divBdr>
        <w:top w:val="none" w:sz="0" w:space="0" w:color="auto"/>
        <w:left w:val="none" w:sz="0" w:space="0" w:color="auto"/>
        <w:bottom w:val="none" w:sz="0" w:space="0" w:color="auto"/>
        <w:right w:val="none" w:sz="0" w:space="0" w:color="auto"/>
      </w:divBdr>
    </w:div>
    <w:div w:id="1176072210">
      <w:bodyDiv w:val="1"/>
      <w:marLeft w:val="0"/>
      <w:marRight w:val="0"/>
      <w:marTop w:val="0"/>
      <w:marBottom w:val="0"/>
      <w:divBdr>
        <w:top w:val="none" w:sz="0" w:space="0" w:color="auto"/>
        <w:left w:val="none" w:sz="0" w:space="0" w:color="auto"/>
        <w:bottom w:val="none" w:sz="0" w:space="0" w:color="auto"/>
        <w:right w:val="none" w:sz="0" w:space="0" w:color="auto"/>
      </w:divBdr>
    </w:div>
    <w:div w:id="1183981949">
      <w:bodyDiv w:val="1"/>
      <w:marLeft w:val="0"/>
      <w:marRight w:val="0"/>
      <w:marTop w:val="0"/>
      <w:marBottom w:val="0"/>
      <w:divBdr>
        <w:top w:val="none" w:sz="0" w:space="0" w:color="auto"/>
        <w:left w:val="none" w:sz="0" w:space="0" w:color="auto"/>
        <w:bottom w:val="none" w:sz="0" w:space="0" w:color="auto"/>
        <w:right w:val="none" w:sz="0" w:space="0" w:color="auto"/>
      </w:divBdr>
    </w:div>
    <w:div w:id="1197085370">
      <w:bodyDiv w:val="1"/>
      <w:marLeft w:val="0"/>
      <w:marRight w:val="0"/>
      <w:marTop w:val="0"/>
      <w:marBottom w:val="0"/>
      <w:divBdr>
        <w:top w:val="none" w:sz="0" w:space="0" w:color="auto"/>
        <w:left w:val="none" w:sz="0" w:space="0" w:color="auto"/>
        <w:bottom w:val="none" w:sz="0" w:space="0" w:color="auto"/>
        <w:right w:val="none" w:sz="0" w:space="0" w:color="auto"/>
      </w:divBdr>
    </w:div>
    <w:div w:id="1227037082">
      <w:bodyDiv w:val="1"/>
      <w:marLeft w:val="0"/>
      <w:marRight w:val="0"/>
      <w:marTop w:val="0"/>
      <w:marBottom w:val="0"/>
      <w:divBdr>
        <w:top w:val="none" w:sz="0" w:space="0" w:color="auto"/>
        <w:left w:val="none" w:sz="0" w:space="0" w:color="auto"/>
        <w:bottom w:val="none" w:sz="0" w:space="0" w:color="auto"/>
        <w:right w:val="none" w:sz="0" w:space="0" w:color="auto"/>
      </w:divBdr>
    </w:div>
    <w:div w:id="1238973251">
      <w:bodyDiv w:val="1"/>
      <w:marLeft w:val="0"/>
      <w:marRight w:val="0"/>
      <w:marTop w:val="0"/>
      <w:marBottom w:val="0"/>
      <w:divBdr>
        <w:top w:val="none" w:sz="0" w:space="0" w:color="auto"/>
        <w:left w:val="none" w:sz="0" w:space="0" w:color="auto"/>
        <w:bottom w:val="none" w:sz="0" w:space="0" w:color="auto"/>
        <w:right w:val="none" w:sz="0" w:space="0" w:color="auto"/>
      </w:divBdr>
    </w:div>
    <w:div w:id="1240823948">
      <w:bodyDiv w:val="1"/>
      <w:marLeft w:val="0"/>
      <w:marRight w:val="0"/>
      <w:marTop w:val="0"/>
      <w:marBottom w:val="0"/>
      <w:divBdr>
        <w:top w:val="none" w:sz="0" w:space="0" w:color="auto"/>
        <w:left w:val="none" w:sz="0" w:space="0" w:color="auto"/>
        <w:bottom w:val="none" w:sz="0" w:space="0" w:color="auto"/>
        <w:right w:val="none" w:sz="0" w:space="0" w:color="auto"/>
      </w:divBdr>
    </w:div>
    <w:div w:id="1263806160">
      <w:bodyDiv w:val="1"/>
      <w:marLeft w:val="0"/>
      <w:marRight w:val="0"/>
      <w:marTop w:val="0"/>
      <w:marBottom w:val="0"/>
      <w:divBdr>
        <w:top w:val="none" w:sz="0" w:space="0" w:color="auto"/>
        <w:left w:val="none" w:sz="0" w:space="0" w:color="auto"/>
        <w:bottom w:val="none" w:sz="0" w:space="0" w:color="auto"/>
        <w:right w:val="none" w:sz="0" w:space="0" w:color="auto"/>
      </w:divBdr>
    </w:div>
    <w:div w:id="1270236802">
      <w:bodyDiv w:val="1"/>
      <w:marLeft w:val="0"/>
      <w:marRight w:val="0"/>
      <w:marTop w:val="0"/>
      <w:marBottom w:val="0"/>
      <w:divBdr>
        <w:top w:val="none" w:sz="0" w:space="0" w:color="auto"/>
        <w:left w:val="none" w:sz="0" w:space="0" w:color="auto"/>
        <w:bottom w:val="none" w:sz="0" w:space="0" w:color="auto"/>
        <w:right w:val="none" w:sz="0" w:space="0" w:color="auto"/>
      </w:divBdr>
    </w:div>
    <w:div w:id="1317562959">
      <w:bodyDiv w:val="1"/>
      <w:marLeft w:val="0"/>
      <w:marRight w:val="0"/>
      <w:marTop w:val="0"/>
      <w:marBottom w:val="0"/>
      <w:divBdr>
        <w:top w:val="none" w:sz="0" w:space="0" w:color="auto"/>
        <w:left w:val="none" w:sz="0" w:space="0" w:color="auto"/>
        <w:bottom w:val="none" w:sz="0" w:space="0" w:color="auto"/>
        <w:right w:val="none" w:sz="0" w:space="0" w:color="auto"/>
      </w:divBdr>
    </w:div>
    <w:div w:id="1357080549">
      <w:bodyDiv w:val="1"/>
      <w:marLeft w:val="0"/>
      <w:marRight w:val="0"/>
      <w:marTop w:val="0"/>
      <w:marBottom w:val="0"/>
      <w:divBdr>
        <w:top w:val="none" w:sz="0" w:space="0" w:color="auto"/>
        <w:left w:val="none" w:sz="0" w:space="0" w:color="auto"/>
        <w:bottom w:val="none" w:sz="0" w:space="0" w:color="auto"/>
        <w:right w:val="none" w:sz="0" w:space="0" w:color="auto"/>
      </w:divBdr>
    </w:div>
    <w:div w:id="1367944133">
      <w:bodyDiv w:val="1"/>
      <w:marLeft w:val="0"/>
      <w:marRight w:val="0"/>
      <w:marTop w:val="0"/>
      <w:marBottom w:val="0"/>
      <w:divBdr>
        <w:top w:val="none" w:sz="0" w:space="0" w:color="auto"/>
        <w:left w:val="none" w:sz="0" w:space="0" w:color="auto"/>
        <w:bottom w:val="none" w:sz="0" w:space="0" w:color="auto"/>
        <w:right w:val="none" w:sz="0" w:space="0" w:color="auto"/>
      </w:divBdr>
    </w:div>
    <w:div w:id="1375539105">
      <w:bodyDiv w:val="1"/>
      <w:marLeft w:val="0"/>
      <w:marRight w:val="0"/>
      <w:marTop w:val="0"/>
      <w:marBottom w:val="0"/>
      <w:divBdr>
        <w:top w:val="none" w:sz="0" w:space="0" w:color="auto"/>
        <w:left w:val="none" w:sz="0" w:space="0" w:color="auto"/>
        <w:bottom w:val="none" w:sz="0" w:space="0" w:color="auto"/>
        <w:right w:val="none" w:sz="0" w:space="0" w:color="auto"/>
      </w:divBdr>
    </w:div>
    <w:div w:id="1376851614">
      <w:bodyDiv w:val="1"/>
      <w:marLeft w:val="0"/>
      <w:marRight w:val="0"/>
      <w:marTop w:val="0"/>
      <w:marBottom w:val="0"/>
      <w:divBdr>
        <w:top w:val="none" w:sz="0" w:space="0" w:color="auto"/>
        <w:left w:val="none" w:sz="0" w:space="0" w:color="auto"/>
        <w:bottom w:val="none" w:sz="0" w:space="0" w:color="auto"/>
        <w:right w:val="none" w:sz="0" w:space="0" w:color="auto"/>
      </w:divBdr>
    </w:div>
    <w:div w:id="1379162817">
      <w:bodyDiv w:val="1"/>
      <w:marLeft w:val="0"/>
      <w:marRight w:val="0"/>
      <w:marTop w:val="0"/>
      <w:marBottom w:val="0"/>
      <w:divBdr>
        <w:top w:val="none" w:sz="0" w:space="0" w:color="auto"/>
        <w:left w:val="none" w:sz="0" w:space="0" w:color="auto"/>
        <w:bottom w:val="none" w:sz="0" w:space="0" w:color="auto"/>
        <w:right w:val="none" w:sz="0" w:space="0" w:color="auto"/>
      </w:divBdr>
    </w:div>
    <w:div w:id="1403524716">
      <w:bodyDiv w:val="1"/>
      <w:marLeft w:val="0"/>
      <w:marRight w:val="0"/>
      <w:marTop w:val="0"/>
      <w:marBottom w:val="0"/>
      <w:divBdr>
        <w:top w:val="none" w:sz="0" w:space="0" w:color="auto"/>
        <w:left w:val="none" w:sz="0" w:space="0" w:color="auto"/>
        <w:bottom w:val="none" w:sz="0" w:space="0" w:color="auto"/>
        <w:right w:val="none" w:sz="0" w:space="0" w:color="auto"/>
      </w:divBdr>
    </w:div>
    <w:div w:id="1440026184">
      <w:bodyDiv w:val="1"/>
      <w:marLeft w:val="0"/>
      <w:marRight w:val="0"/>
      <w:marTop w:val="0"/>
      <w:marBottom w:val="0"/>
      <w:divBdr>
        <w:top w:val="none" w:sz="0" w:space="0" w:color="auto"/>
        <w:left w:val="none" w:sz="0" w:space="0" w:color="auto"/>
        <w:bottom w:val="none" w:sz="0" w:space="0" w:color="auto"/>
        <w:right w:val="none" w:sz="0" w:space="0" w:color="auto"/>
      </w:divBdr>
    </w:div>
    <w:div w:id="1442801046">
      <w:bodyDiv w:val="1"/>
      <w:marLeft w:val="0"/>
      <w:marRight w:val="0"/>
      <w:marTop w:val="0"/>
      <w:marBottom w:val="0"/>
      <w:divBdr>
        <w:top w:val="none" w:sz="0" w:space="0" w:color="auto"/>
        <w:left w:val="none" w:sz="0" w:space="0" w:color="auto"/>
        <w:bottom w:val="none" w:sz="0" w:space="0" w:color="auto"/>
        <w:right w:val="none" w:sz="0" w:space="0" w:color="auto"/>
      </w:divBdr>
    </w:div>
    <w:div w:id="1473713837">
      <w:bodyDiv w:val="1"/>
      <w:marLeft w:val="0"/>
      <w:marRight w:val="0"/>
      <w:marTop w:val="0"/>
      <w:marBottom w:val="0"/>
      <w:divBdr>
        <w:top w:val="none" w:sz="0" w:space="0" w:color="auto"/>
        <w:left w:val="none" w:sz="0" w:space="0" w:color="auto"/>
        <w:bottom w:val="none" w:sz="0" w:space="0" w:color="auto"/>
        <w:right w:val="none" w:sz="0" w:space="0" w:color="auto"/>
      </w:divBdr>
    </w:div>
    <w:div w:id="1488327744">
      <w:bodyDiv w:val="1"/>
      <w:marLeft w:val="0"/>
      <w:marRight w:val="0"/>
      <w:marTop w:val="0"/>
      <w:marBottom w:val="0"/>
      <w:divBdr>
        <w:top w:val="none" w:sz="0" w:space="0" w:color="auto"/>
        <w:left w:val="none" w:sz="0" w:space="0" w:color="auto"/>
        <w:bottom w:val="none" w:sz="0" w:space="0" w:color="auto"/>
        <w:right w:val="none" w:sz="0" w:space="0" w:color="auto"/>
      </w:divBdr>
    </w:div>
    <w:div w:id="1495561196">
      <w:bodyDiv w:val="1"/>
      <w:marLeft w:val="0"/>
      <w:marRight w:val="0"/>
      <w:marTop w:val="0"/>
      <w:marBottom w:val="0"/>
      <w:divBdr>
        <w:top w:val="none" w:sz="0" w:space="0" w:color="auto"/>
        <w:left w:val="none" w:sz="0" w:space="0" w:color="auto"/>
        <w:bottom w:val="none" w:sz="0" w:space="0" w:color="auto"/>
        <w:right w:val="none" w:sz="0" w:space="0" w:color="auto"/>
      </w:divBdr>
    </w:div>
    <w:div w:id="1518276481">
      <w:bodyDiv w:val="1"/>
      <w:marLeft w:val="0"/>
      <w:marRight w:val="0"/>
      <w:marTop w:val="0"/>
      <w:marBottom w:val="0"/>
      <w:divBdr>
        <w:top w:val="none" w:sz="0" w:space="0" w:color="auto"/>
        <w:left w:val="none" w:sz="0" w:space="0" w:color="auto"/>
        <w:bottom w:val="none" w:sz="0" w:space="0" w:color="auto"/>
        <w:right w:val="none" w:sz="0" w:space="0" w:color="auto"/>
      </w:divBdr>
    </w:div>
    <w:div w:id="1520773622">
      <w:bodyDiv w:val="1"/>
      <w:marLeft w:val="0"/>
      <w:marRight w:val="0"/>
      <w:marTop w:val="0"/>
      <w:marBottom w:val="0"/>
      <w:divBdr>
        <w:top w:val="none" w:sz="0" w:space="0" w:color="auto"/>
        <w:left w:val="none" w:sz="0" w:space="0" w:color="auto"/>
        <w:bottom w:val="none" w:sz="0" w:space="0" w:color="auto"/>
        <w:right w:val="none" w:sz="0" w:space="0" w:color="auto"/>
      </w:divBdr>
    </w:div>
    <w:div w:id="1555965601">
      <w:bodyDiv w:val="1"/>
      <w:marLeft w:val="0"/>
      <w:marRight w:val="0"/>
      <w:marTop w:val="0"/>
      <w:marBottom w:val="0"/>
      <w:divBdr>
        <w:top w:val="none" w:sz="0" w:space="0" w:color="auto"/>
        <w:left w:val="none" w:sz="0" w:space="0" w:color="auto"/>
        <w:bottom w:val="none" w:sz="0" w:space="0" w:color="auto"/>
        <w:right w:val="none" w:sz="0" w:space="0" w:color="auto"/>
      </w:divBdr>
    </w:div>
    <w:div w:id="1558200040">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3144239">
      <w:bodyDiv w:val="1"/>
      <w:marLeft w:val="0"/>
      <w:marRight w:val="0"/>
      <w:marTop w:val="0"/>
      <w:marBottom w:val="0"/>
      <w:divBdr>
        <w:top w:val="none" w:sz="0" w:space="0" w:color="auto"/>
        <w:left w:val="none" w:sz="0" w:space="0" w:color="auto"/>
        <w:bottom w:val="none" w:sz="0" w:space="0" w:color="auto"/>
        <w:right w:val="none" w:sz="0" w:space="0" w:color="auto"/>
      </w:divBdr>
    </w:div>
    <w:div w:id="1607695289">
      <w:bodyDiv w:val="1"/>
      <w:marLeft w:val="0"/>
      <w:marRight w:val="0"/>
      <w:marTop w:val="0"/>
      <w:marBottom w:val="0"/>
      <w:divBdr>
        <w:top w:val="none" w:sz="0" w:space="0" w:color="auto"/>
        <w:left w:val="none" w:sz="0" w:space="0" w:color="auto"/>
        <w:bottom w:val="none" w:sz="0" w:space="0" w:color="auto"/>
        <w:right w:val="none" w:sz="0" w:space="0" w:color="auto"/>
      </w:divBdr>
    </w:div>
    <w:div w:id="1611038344">
      <w:bodyDiv w:val="1"/>
      <w:marLeft w:val="0"/>
      <w:marRight w:val="0"/>
      <w:marTop w:val="0"/>
      <w:marBottom w:val="0"/>
      <w:divBdr>
        <w:top w:val="none" w:sz="0" w:space="0" w:color="auto"/>
        <w:left w:val="none" w:sz="0" w:space="0" w:color="auto"/>
        <w:bottom w:val="none" w:sz="0" w:space="0" w:color="auto"/>
        <w:right w:val="none" w:sz="0" w:space="0" w:color="auto"/>
      </w:divBdr>
    </w:div>
    <w:div w:id="1654259793">
      <w:bodyDiv w:val="1"/>
      <w:marLeft w:val="0"/>
      <w:marRight w:val="0"/>
      <w:marTop w:val="0"/>
      <w:marBottom w:val="0"/>
      <w:divBdr>
        <w:top w:val="none" w:sz="0" w:space="0" w:color="auto"/>
        <w:left w:val="none" w:sz="0" w:space="0" w:color="auto"/>
        <w:bottom w:val="none" w:sz="0" w:space="0" w:color="auto"/>
        <w:right w:val="none" w:sz="0" w:space="0" w:color="auto"/>
      </w:divBdr>
    </w:div>
    <w:div w:id="1687437173">
      <w:bodyDiv w:val="1"/>
      <w:marLeft w:val="0"/>
      <w:marRight w:val="0"/>
      <w:marTop w:val="0"/>
      <w:marBottom w:val="0"/>
      <w:divBdr>
        <w:top w:val="none" w:sz="0" w:space="0" w:color="auto"/>
        <w:left w:val="none" w:sz="0" w:space="0" w:color="auto"/>
        <w:bottom w:val="none" w:sz="0" w:space="0" w:color="auto"/>
        <w:right w:val="none" w:sz="0" w:space="0" w:color="auto"/>
      </w:divBdr>
    </w:div>
    <w:div w:id="1742092437">
      <w:bodyDiv w:val="1"/>
      <w:marLeft w:val="0"/>
      <w:marRight w:val="0"/>
      <w:marTop w:val="0"/>
      <w:marBottom w:val="0"/>
      <w:divBdr>
        <w:top w:val="none" w:sz="0" w:space="0" w:color="auto"/>
        <w:left w:val="none" w:sz="0" w:space="0" w:color="auto"/>
        <w:bottom w:val="none" w:sz="0" w:space="0" w:color="auto"/>
        <w:right w:val="none" w:sz="0" w:space="0" w:color="auto"/>
      </w:divBdr>
    </w:div>
    <w:div w:id="1749692750">
      <w:bodyDiv w:val="1"/>
      <w:marLeft w:val="0"/>
      <w:marRight w:val="0"/>
      <w:marTop w:val="0"/>
      <w:marBottom w:val="0"/>
      <w:divBdr>
        <w:top w:val="none" w:sz="0" w:space="0" w:color="auto"/>
        <w:left w:val="none" w:sz="0" w:space="0" w:color="auto"/>
        <w:bottom w:val="none" w:sz="0" w:space="0" w:color="auto"/>
        <w:right w:val="none" w:sz="0" w:space="0" w:color="auto"/>
      </w:divBdr>
    </w:div>
    <w:div w:id="1760104447">
      <w:bodyDiv w:val="1"/>
      <w:marLeft w:val="0"/>
      <w:marRight w:val="0"/>
      <w:marTop w:val="0"/>
      <w:marBottom w:val="0"/>
      <w:divBdr>
        <w:top w:val="none" w:sz="0" w:space="0" w:color="auto"/>
        <w:left w:val="none" w:sz="0" w:space="0" w:color="auto"/>
        <w:bottom w:val="none" w:sz="0" w:space="0" w:color="auto"/>
        <w:right w:val="none" w:sz="0" w:space="0" w:color="auto"/>
      </w:divBdr>
    </w:div>
    <w:div w:id="1770587090">
      <w:bodyDiv w:val="1"/>
      <w:marLeft w:val="0"/>
      <w:marRight w:val="0"/>
      <w:marTop w:val="0"/>
      <w:marBottom w:val="0"/>
      <w:divBdr>
        <w:top w:val="none" w:sz="0" w:space="0" w:color="auto"/>
        <w:left w:val="none" w:sz="0" w:space="0" w:color="auto"/>
        <w:bottom w:val="none" w:sz="0" w:space="0" w:color="auto"/>
        <w:right w:val="none" w:sz="0" w:space="0" w:color="auto"/>
      </w:divBdr>
    </w:div>
    <w:div w:id="1783643721">
      <w:bodyDiv w:val="1"/>
      <w:marLeft w:val="0"/>
      <w:marRight w:val="0"/>
      <w:marTop w:val="0"/>
      <w:marBottom w:val="0"/>
      <w:divBdr>
        <w:top w:val="none" w:sz="0" w:space="0" w:color="auto"/>
        <w:left w:val="none" w:sz="0" w:space="0" w:color="auto"/>
        <w:bottom w:val="none" w:sz="0" w:space="0" w:color="auto"/>
        <w:right w:val="none" w:sz="0" w:space="0" w:color="auto"/>
      </w:divBdr>
    </w:div>
    <w:div w:id="1846169128">
      <w:bodyDiv w:val="1"/>
      <w:marLeft w:val="0"/>
      <w:marRight w:val="0"/>
      <w:marTop w:val="0"/>
      <w:marBottom w:val="0"/>
      <w:divBdr>
        <w:top w:val="none" w:sz="0" w:space="0" w:color="auto"/>
        <w:left w:val="none" w:sz="0" w:space="0" w:color="auto"/>
        <w:bottom w:val="none" w:sz="0" w:space="0" w:color="auto"/>
        <w:right w:val="none" w:sz="0" w:space="0" w:color="auto"/>
      </w:divBdr>
    </w:div>
    <w:div w:id="1861503417">
      <w:bodyDiv w:val="1"/>
      <w:marLeft w:val="0"/>
      <w:marRight w:val="0"/>
      <w:marTop w:val="0"/>
      <w:marBottom w:val="0"/>
      <w:divBdr>
        <w:top w:val="none" w:sz="0" w:space="0" w:color="auto"/>
        <w:left w:val="none" w:sz="0" w:space="0" w:color="auto"/>
        <w:bottom w:val="none" w:sz="0" w:space="0" w:color="auto"/>
        <w:right w:val="none" w:sz="0" w:space="0" w:color="auto"/>
      </w:divBdr>
    </w:div>
    <w:div w:id="1880626266">
      <w:bodyDiv w:val="1"/>
      <w:marLeft w:val="0"/>
      <w:marRight w:val="0"/>
      <w:marTop w:val="0"/>
      <w:marBottom w:val="0"/>
      <w:divBdr>
        <w:top w:val="none" w:sz="0" w:space="0" w:color="auto"/>
        <w:left w:val="none" w:sz="0" w:space="0" w:color="auto"/>
        <w:bottom w:val="none" w:sz="0" w:space="0" w:color="auto"/>
        <w:right w:val="none" w:sz="0" w:space="0" w:color="auto"/>
      </w:divBdr>
    </w:div>
    <w:div w:id="1881623568">
      <w:bodyDiv w:val="1"/>
      <w:marLeft w:val="0"/>
      <w:marRight w:val="0"/>
      <w:marTop w:val="0"/>
      <w:marBottom w:val="0"/>
      <w:divBdr>
        <w:top w:val="none" w:sz="0" w:space="0" w:color="auto"/>
        <w:left w:val="none" w:sz="0" w:space="0" w:color="auto"/>
        <w:bottom w:val="none" w:sz="0" w:space="0" w:color="auto"/>
        <w:right w:val="none" w:sz="0" w:space="0" w:color="auto"/>
      </w:divBdr>
    </w:div>
    <w:div w:id="1914509414">
      <w:bodyDiv w:val="1"/>
      <w:marLeft w:val="0"/>
      <w:marRight w:val="0"/>
      <w:marTop w:val="0"/>
      <w:marBottom w:val="0"/>
      <w:divBdr>
        <w:top w:val="none" w:sz="0" w:space="0" w:color="auto"/>
        <w:left w:val="none" w:sz="0" w:space="0" w:color="auto"/>
        <w:bottom w:val="none" w:sz="0" w:space="0" w:color="auto"/>
        <w:right w:val="none" w:sz="0" w:space="0" w:color="auto"/>
      </w:divBdr>
    </w:div>
    <w:div w:id="1946034559">
      <w:bodyDiv w:val="1"/>
      <w:marLeft w:val="0"/>
      <w:marRight w:val="0"/>
      <w:marTop w:val="0"/>
      <w:marBottom w:val="0"/>
      <w:divBdr>
        <w:top w:val="none" w:sz="0" w:space="0" w:color="auto"/>
        <w:left w:val="none" w:sz="0" w:space="0" w:color="auto"/>
        <w:bottom w:val="none" w:sz="0" w:space="0" w:color="auto"/>
        <w:right w:val="none" w:sz="0" w:space="0" w:color="auto"/>
      </w:divBdr>
    </w:div>
    <w:div w:id="1989819500">
      <w:bodyDiv w:val="1"/>
      <w:marLeft w:val="0"/>
      <w:marRight w:val="0"/>
      <w:marTop w:val="0"/>
      <w:marBottom w:val="0"/>
      <w:divBdr>
        <w:top w:val="none" w:sz="0" w:space="0" w:color="auto"/>
        <w:left w:val="none" w:sz="0" w:space="0" w:color="auto"/>
        <w:bottom w:val="none" w:sz="0" w:space="0" w:color="auto"/>
        <w:right w:val="none" w:sz="0" w:space="0" w:color="auto"/>
      </w:divBdr>
    </w:div>
    <w:div w:id="2056074024">
      <w:bodyDiv w:val="1"/>
      <w:marLeft w:val="0"/>
      <w:marRight w:val="0"/>
      <w:marTop w:val="0"/>
      <w:marBottom w:val="0"/>
      <w:divBdr>
        <w:top w:val="none" w:sz="0" w:space="0" w:color="auto"/>
        <w:left w:val="none" w:sz="0" w:space="0" w:color="auto"/>
        <w:bottom w:val="none" w:sz="0" w:space="0" w:color="auto"/>
        <w:right w:val="none" w:sz="0" w:space="0" w:color="auto"/>
      </w:divBdr>
    </w:div>
    <w:div w:id="2056923234">
      <w:bodyDiv w:val="1"/>
      <w:marLeft w:val="0"/>
      <w:marRight w:val="0"/>
      <w:marTop w:val="0"/>
      <w:marBottom w:val="0"/>
      <w:divBdr>
        <w:top w:val="none" w:sz="0" w:space="0" w:color="auto"/>
        <w:left w:val="none" w:sz="0" w:space="0" w:color="auto"/>
        <w:bottom w:val="none" w:sz="0" w:space="0" w:color="auto"/>
        <w:right w:val="none" w:sz="0" w:space="0" w:color="auto"/>
      </w:divBdr>
    </w:div>
    <w:div w:id="2109234336">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EB9B5-CD10-4D82-9AE2-2874373E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Hisiro, Carl</dc:creator>
  <cp:lastModifiedBy>Wagner, Nathan R</cp:lastModifiedBy>
  <cp:revision>3</cp:revision>
  <cp:lastPrinted>2019-06-25T15:33:00Z</cp:lastPrinted>
  <dcterms:created xsi:type="dcterms:W3CDTF">2019-06-25T15:38:00Z</dcterms:created>
  <dcterms:modified xsi:type="dcterms:W3CDTF">2019-07-10T19:55:00Z</dcterms:modified>
</cp:coreProperties>
</file>