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B1C30" w14:textId="77777777" w:rsidR="001F0176" w:rsidRPr="00FC3806" w:rsidRDefault="001F0176" w:rsidP="00027CB5">
      <w:pPr>
        <w:widowControl/>
        <w:tabs>
          <w:tab w:val="center" w:pos="4680"/>
        </w:tabs>
        <w:jc w:val="center"/>
        <w:rPr>
          <w:b/>
          <w:sz w:val="26"/>
          <w:szCs w:val="26"/>
        </w:rPr>
      </w:pPr>
      <w:r w:rsidRPr="00FC3806">
        <w:rPr>
          <w:b/>
          <w:sz w:val="26"/>
          <w:szCs w:val="26"/>
        </w:rPr>
        <w:t>PENNSYLVANIA</w:t>
      </w:r>
    </w:p>
    <w:p w14:paraId="3CE5121D" w14:textId="77777777" w:rsidR="001F0176" w:rsidRPr="00FC3806" w:rsidRDefault="001F0176" w:rsidP="00027CB5">
      <w:pPr>
        <w:widowControl/>
        <w:tabs>
          <w:tab w:val="center" w:pos="4680"/>
        </w:tabs>
        <w:jc w:val="center"/>
        <w:rPr>
          <w:sz w:val="26"/>
          <w:szCs w:val="26"/>
        </w:rPr>
      </w:pPr>
      <w:r w:rsidRPr="00FC3806">
        <w:rPr>
          <w:b/>
          <w:sz w:val="26"/>
          <w:szCs w:val="26"/>
        </w:rPr>
        <w:t>PUBLIC UTILITY COMMISSION</w:t>
      </w:r>
    </w:p>
    <w:p w14:paraId="3AF4B09C" w14:textId="77777777" w:rsidR="001F0176" w:rsidRPr="00FC3806" w:rsidRDefault="001F0176" w:rsidP="00027CB5">
      <w:pPr>
        <w:widowControl/>
        <w:tabs>
          <w:tab w:val="center" w:pos="4680"/>
        </w:tabs>
        <w:jc w:val="center"/>
        <w:rPr>
          <w:sz w:val="26"/>
          <w:szCs w:val="26"/>
        </w:rPr>
      </w:pPr>
      <w:r w:rsidRPr="00FC3806">
        <w:rPr>
          <w:b/>
          <w:sz w:val="26"/>
          <w:szCs w:val="26"/>
        </w:rPr>
        <w:t>Harrisburg, PA 17105-3265</w:t>
      </w:r>
    </w:p>
    <w:p w14:paraId="582834DA" w14:textId="77777777" w:rsidR="001F0176" w:rsidRDefault="001F0176" w:rsidP="00027CB5">
      <w:pPr>
        <w:widowControl/>
        <w:rPr>
          <w:sz w:val="26"/>
          <w:szCs w:val="26"/>
        </w:rPr>
      </w:pPr>
    </w:p>
    <w:p w14:paraId="1980636B" w14:textId="77777777" w:rsidR="001F0176" w:rsidRPr="00FC3806" w:rsidRDefault="001F0176" w:rsidP="00027CB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F0176" w:rsidRPr="00FC3806" w14:paraId="2ECDD1B8" w14:textId="77777777" w:rsidTr="009C0A32">
        <w:tc>
          <w:tcPr>
            <w:tcW w:w="4821" w:type="dxa"/>
          </w:tcPr>
          <w:p w14:paraId="6D72B9A3" w14:textId="77777777" w:rsidR="001F0176" w:rsidRPr="00FC3806" w:rsidRDefault="001F0176" w:rsidP="00027CB5">
            <w:pPr>
              <w:widowControl/>
              <w:rPr>
                <w:sz w:val="26"/>
                <w:szCs w:val="26"/>
              </w:rPr>
            </w:pPr>
          </w:p>
        </w:tc>
        <w:tc>
          <w:tcPr>
            <w:tcW w:w="4539" w:type="dxa"/>
          </w:tcPr>
          <w:p w14:paraId="6548A423" w14:textId="5EC37CEC" w:rsidR="001F0176" w:rsidRPr="00FC3806" w:rsidRDefault="001F0176" w:rsidP="00027CB5">
            <w:pPr>
              <w:widowControl/>
              <w:jc w:val="right"/>
              <w:rPr>
                <w:sz w:val="26"/>
                <w:szCs w:val="26"/>
              </w:rPr>
            </w:pPr>
            <w:r w:rsidRPr="00FC3806">
              <w:rPr>
                <w:sz w:val="26"/>
                <w:szCs w:val="26"/>
              </w:rPr>
              <w:t xml:space="preserve">Public Meeting held </w:t>
            </w:r>
            <w:r w:rsidR="00B55E0B">
              <w:rPr>
                <w:sz w:val="26"/>
                <w:szCs w:val="26"/>
              </w:rPr>
              <w:t>Ju</w:t>
            </w:r>
            <w:r w:rsidR="008E06F7">
              <w:rPr>
                <w:sz w:val="26"/>
                <w:szCs w:val="26"/>
              </w:rPr>
              <w:t>ly</w:t>
            </w:r>
            <w:r w:rsidR="00B55E0B">
              <w:rPr>
                <w:sz w:val="26"/>
                <w:szCs w:val="26"/>
              </w:rPr>
              <w:t xml:space="preserve"> 1</w:t>
            </w:r>
            <w:r w:rsidR="00531DA7">
              <w:rPr>
                <w:sz w:val="26"/>
                <w:szCs w:val="26"/>
              </w:rPr>
              <w:t>1</w:t>
            </w:r>
            <w:r w:rsidRPr="00FC3806">
              <w:rPr>
                <w:sz w:val="26"/>
                <w:szCs w:val="26"/>
              </w:rPr>
              <w:t>, 201</w:t>
            </w:r>
            <w:r w:rsidR="00531DA7">
              <w:rPr>
                <w:sz w:val="26"/>
                <w:szCs w:val="26"/>
              </w:rPr>
              <w:t>9</w:t>
            </w:r>
          </w:p>
        </w:tc>
      </w:tr>
      <w:tr w:rsidR="00744816" w:rsidRPr="00FC3806" w14:paraId="3996364A" w14:textId="77777777" w:rsidTr="00F979F9">
        <w:tc>
          <w:tcPr>
            <w:tcW w:w="9360" w:type="dxa"/>
            <w:gridSpan w:val="2"/>
          </w:tcPr>
          <w:p w14:paraId="5E732997" w14:textId="77777777" w:rsidR="00744816" w:rsidRDefault="00744816" w:rsidP="00027CB5">
            <w:pPr>
              <w:widowControl/>
              <w:rPr>
                <w:sz w:val="26"/>
                <w:szCs w:val="26"/>
              </w:rPr>
            </w:pPr>
          </w:p>
          <w:p w14:paraId="030F7F05" w14:textId="77777777" w:rsidR="00744816" w:rsidRPr="00FC3806" w:rsidRDefault="00744816" w:rsidP="00027CB5">
            <w:pPr>
              <w:widowControl/>
              <w:rPr>
                <w:sz w:val="26"/>
                <w:szCs w:val="26"/>
              </w:rPr>
            </w:pPr>
            <w:r w:rsidRPr="00FC3806">
              <w:rPr>
                <w:sz w:val="26"/>
                <w:szCs w:val="26"/>
              </w:rPr>
              <w:t>Commissioners Present:</w:t>
            </w:r>
          </w:p>
          <w:p w14:paraId="04888B48" w14:textId="77777777" w:rsidR="00744816" w:rsidRPr="00FC3806" w:rsidRDefault="00744816" w:rsidP="00027CB5">
            <w:pPr>
              <w:widowControl/>
              <w:rPr>
                <w:sz w:val="26"/>
                <w:szCs w:val="26"/>
              </w:rPr>
            </w:pPr>
          </w:p>
          <w:p w14:paraId="0553FFEF" w14:textId="042A1B02" w:rsidR="00744816" w:rsidRPr="002A5D4B" w:rsidRDefault="00744816" w:rsidP="00027CB5">
            <w:pPr>
              <w:widowControl/>
              <w:rPr>
                <w:sz w:val="26"/>
                <w:szCs w:val="26"/>
              </w:rPr>
            </w:pPr>
            <w:r>
              <w:rPr>
                <w:sz w:val="26"/>
                <w:szCs w:val="26"/>
              </w:rPr>
              <w:tab/>
              <w:t>Gladys Brown</w:t>
            </w:r>
            <w:r w:rsidR="00531DA7">
              <w:rPr>
                <w:sz w:val="26"/>
                <w:szCs w:val="26"/>
              </w:rPr>
              <w:t xml:space="preserve"> Dutrieuille</w:t>
            </w:r>
            <w:r w:rsidRPr="002A5D4B">
              <w:rPr>
                <w:sz w:val="26"/>
                <w:szCs w:val="26"/>
              </w:rPr>
              <w:t>, Chairman</w:t>
            </w:r>
          </w:p>
          <w:p w14:paraId="028E35D5" w14:textId="15242846" w:rsidR="00744816" w:rsidRDefault="00744816" w:rsidP="00027CB5">
            <w:pPr>
              <w:widowControl/>
              <w:rPr>
                <w:sz w:val="26"/>
                <w:szCs w:val="26"/>
              </w:rPr>
            </w:pPr>
            <w:r>
              <w:rPr>
                <w:sz w:val="26"/>
                <w:szCs w:val="26"/>
              </w:rPr>
              <w:tab/>
            </w:r>
            <w:r w:rsidR="00531DA7">
              <w:rPr>
                <w:sz w:val="26"/>
                <w:szCs w:val="26"/>
              </w:rPr>
              <w:t>David W. Sweet</w:t>
            </w:r>
            <w:r w:rsidRPr="002A5D4B">
              <w:rPr>
                <w:sz w:val="26"/>
                <w:szCs w:val="26"/>
              </w:rPr>
              <w:t>, Vice Chairman</w:t>
            </w:r>
          </w:p>
          <w:p w14:paraId="24B3D193" w14:textId="489DFF15" w:rsidR="00744816" w:rsidRDefault="00744816" w:rsidP="00027CB5">
            <w:pPr>
              <w:widowControl/>
              <w:rPr>
                <w:sz w:val="26"/>
                <w:szCs w:val="26"/>
              </w:rPr>
            </w:pPr>
            <w:r>
              <w:rPr>
                <w:sz w:val="26"/>
                <w:szCs w:val="26"/>
              </w:rPr>
              <w:tab/>
              <w:t>Norman J. Kennard</w:t>
            </w:r>
          </w:p>
          <w:p w14:paraId="217BB2E3" w14:textId="0259E299" w:rsidR="00744816" w:rsidRDefault="00744816" w:rsidP="00027CB5">
            <w:pPr>
              <w:widowControl/>
              <w:rPr>
                <w:sz w:val="26"/>
                <w:szCs w:val="26"/>
              </w:rPr>
            </w:pPr>
            <w:r>
              <w:rPr>
                <w:sz w:val="26"/>
                <w:szCs w:val="26"/>
              </w:rPr>
              <w:tab/>
            </w:r>
            <w:r w:rsidR="00531DA7">
              <w:rPr>
                <w:sz w:val="26"/>
                <w:szCs w:val="26"/>
              </w:rPr>
              <w:t>Andrew G. Place</w:t>
            </w:r>
          </w:p>
          <w:p w14:paraId="33964E20" w14:textId="389D3856" w:rsidR="00744816" w:rsidRPr="00FC3806" w:rsidRDefault="00744816" w:rsidP="00744816">
            <w:pPr>
              <w:widowControl/>
              <w:rPr>
                <w:sz w:val="26"/>
                <w:szCs w:val="26"/>
              </w:rPr>
            </w:pPr>
            <w:r>
              <w:rPr>
                <w:sz w:val="26"/>
                <w:szCs w:val="26"/>
              </w:rPr>
              <w:tab/>
              <w:t>John F. Coleman, Jr.</w:t>
            </w:r>
          </w:p>
          <w:p w14:paraId="283FFB3E" w14:textId="77777777" w:rsidR="00744816" w:rsidRPr="00FC3806" w:rsidRDefault="00744816" w:rsidP="00027CB5">
            <w:pPr>
              <w:widowControl/>
              <w:jc w:val="right"/>
              <w:rPr>
                <w:sz w:val="26"/>
                <w:szCs w:val="26"/>
              </w:rPr>
            </w:pPr>
          </w:p>
        </w:tc>
      </w:tr>
      <w:tr w:rsidR="001F0176" w:rsidRPr="00FC3806" w14:paraId="4F1D6045" w14:textId="77777777" w:rsidTr="009C0A32">
        <w:tc>
          <w:tcPr>
            <w:tcW w:w="4821" w:type="dxa"/>
          </w:tcPr>
          <w:p w14:paraId="52AD9AA2" w14:textId="77777777" w:rsidR="001F0176" w:rsidRDefault="001F0176" w:rsidP="00027CB5">
            <w:pPr>
              <w:widowControl/>
              <w:rPr>
                <w:sz w:val="26"/>
                <w:szCs w:val="26"/>
              </w:rPr>
            </w:pPr>
          </w:p>
          <w:p w14:paraId="69122C50" w14:textId="4079C56D" w:rsidR="001F0176" w:rsidRPr="00FC3806" w:rsidRDefault="00531DA7" w:rsidP="00027CB5">
            <w:pPr>
              <w:widowControl/>
              <w:rPr>
                <w:sz w:val="26"/>
                <w:szCs w:val="26"/>
              </w:rPr>
            </w:pPr>
            <w:r>
              <w:rPr>
                <w:sz w:val="26"/>
                <w:szCs w:val="26"/>
              </w:rPr>
              <w:t>Keary Willis</w:t>
            </w:r>
          </w:p>
          <w:p w14:paraId="793AF5BD" w14:textId="77777777" w:rsidR="001F0176" w:rsidRPr="00FC3806" w:rsidRDefault="001F0176" w:rsidP="00027CB5">
            <w:pPr>
              <w:widowControl/>
              <w:rPr>
                <w:sz w:val="26"/>
                <w:szCs w:val="26"/>
              </w:rPr>
            </w:pPr>
          </w:p>
        </w:tc>
        <w:tc>
          <w:tcPr>
            <w:tcW w:w="4539" w:type="dxa"/>
          </w:tcPr>
          <w:p w14:paraId="65F25D74" w14:textId="77777777" w:rsidR="001F0176" w:rsidRPr="00FC3806" w:rsidRDefault="001F0176" w:rsidP="00027CB5">
            <w:pPr>
              <w:widowControl/>
              <w:rPr>
                <w:sz w:val="26"/>
                <w:szCs w:val="26"/>
              </w:rPr>
            </w:pPr>
          </w:p>
          <w:p w14:paraId="1DF8067B" w14:textId="35AB98AC" w:rsidR="001F0176" w:rsidRPr="00FC3806" w:rsidRDefault="00862389" w:rsidP="00027CB5">
            <w:pPr>
              <w:widowControl/>
              <w:jc w:val="right"/>
              <w:rPr>
                <w:sz w:val="26"/>
                <w:szCs w:val="26"/>
              </w:rPr>
            </w:pPr>
            <w:r>
              <w:rPr>
                <w:sz w:val="26"/>
                <w:szCs w:val="26"/>
              </w:rPr>
              <w:t>F</w:t>
            </w:r>
            <w:r w:rsidR="00BD70D6">
              <w:rPr>
                <w:sz w:val="26"/>
                <w:szCs w:val="26"/>
              </w:rPr>
              <w:t>-201</w:t>
            </w:r>
            <w:r w:rsidR="00531DA7">
              <w:rPr>
                <w:sz w:val="26"/>
                <w:szCs w:val="26"/>
              </w:rPr>
              <w:t>8</w:t>
            </w:r>
            <w:r w:rsidR="00BD70D6">
              <w:rPr>
                <w:sz w:val="26"/>
                <w:szCs w:val="26"/>
              </w:rPr>
              <w:t>-</w:t>
            </w:r>
            <w:r w:rsidR="00531DA7">
              <w:rPr>
                <w:sz w:val="26"/>
                <w:szCs w:val="26"/>
              </w:rPr>
              <w:t>3003082</w:t>
            </w:r>
          </w:p>
        </w:tc>
      </w:tr>
      <w:tr w:rsidR="001F0176" w:rsidRPr="00FC3806" w14:paraId="05381F82" w14:textId="77777777" w:rsidTr="009C0A32">
        <w:tc>
          <w:tcPr>
            <w:tcW w:w="4821" w:type="dxa"/>
          </w:tcPr>
          <w:p w14:paraId="35030AC3" w14:textId="77777777" w:rsidR="001F0176" w:rsidRPr="00FC3806" w:rsidRDefault="001F0176" w:rsidP="00027CB5">
            <w:pPr>
              <w:widowControl/>
              <w:ind w:firstLine="720"/>
              <w:rPr>
                <w:sz w:val="26"/>
                <w:szCs w:val="26"/>
              </w:rPr>
            </w:pPr>
            <w:r w:rsidRPr="00FC3806">
              <w:rPr>
                <w:sz w:val="26"/>
                <w:szCs w:val="26"/>
              </w:rPr>
              <w:t>v.</w:t>
            </w:r>
          </w:p>
          <w:p w14:paraId="50C0B08F" w14:textId="77777777" w:rsidR="001F0176" w:rsidRPr="00FC3806" w:rsidRDefault="001F0176" w:rsidP="00027CB5">
            <w:pPr>
              <w:widowControl/>
              <w:ind w:firstLine="1440"/>
              <w:rPr>
                <w:sz w:val="26"/>
                <w:szCs w:val="26"/>
              </w:rPr>
            </w:pPr>
          </w:p>
        </w:tc>
        <w:tc>
          <w:tcPr>
            <w:tcW w:w="4539" w:type="dxa"/>
          </w:tcPr>
          <w:p w14:paraId="0B423000" w14:textId="77777777" w:rsidR="001F0176" w:rsidRPr="00FC3806" w:rsidRDefault="001F0176" w:rsidP="00027CB5">
            <w:pPr>
              <w:widowControl/>
              <w:rPr>
                <w:sz w:val="26"/>
                <w:szCs w:val="26"/>
              </w:rPr>
            </w:pPr>
          </w:p>
        </w:tc>
      </w:tr>
      <w:tr w:rsidR="001F0176" w:rsidRPr="00FC3806" w14:paraId="3662C4BE" w14:textId="77777777" w:rsidTr="009C0A32">
        <w:tc>
          <w:tcPr>
            <w:tcW w:w="4821" w:type="dxa"/>
          </w:tcPr>
          <w:p w14:paraId="551D77D8" w14:textId="77777777" w:rsidR="001F0176" w:rsidRPr="00FC3806" w:rsidRDefault="00862389" w:rsidP="00027CB5">
            <w:pPr>
              <w:widowControl/>
              <w:rPr>
                <w:sz w:val="26"/>
                <w:szCs w:val="26"/>
              </w:rPr>
            </w:pPr>
            <w:r>
              <w:rPr>
                <w:sz w:val="26"/>
                <w:szCs w:val="26"/>
              </w:rPr>
              <w:t>PECO Energy Company</w:t>
            </w:r>
          </w:p>
          <w:p w14:paraId="668B8D75" w14:textId="77777777" w:rsidR="001F0176" w:rsidRPr="00FC3806" w:rsidRDefault="001F0176" w:rsidP="00027CB5">
            <w:pPr>
              <w:widowControl/>
              <w:rPr>
                <w:sz w:val="26"/>
                <w:szCs w:val="26"/>
              </w:rPr>
            </w:pPr>
          </w:p>
        </w:tc>
        <w:tc>
          <w:tcPr>
            <w:tcW w:w="4539" w:type="dxa"/>
          </w:tcPr>
          <w:p w14:paraId="12BEA23D" w14:textId="77777777" w:rsidR="001F0176" w:rsidRPr="00FC3806" w:rsidRDefault="001F0176" w:rsidP="00027CB5">
            <w:pPr>
              <w:widowControl/>
              <w:rPr>
                <w:sz w:val="26"/>
                <w:szCs w:val="26"/>
              </w:rPr>
            </w:pPr>
          </w:p>
        </w:tc>
      </w:tr>
    </w:tbl>
    <w:p w14:paraId="06228AEA" w14:textId="77777777" w:rsidR="001F0176" w:rsidRPr="00FC3806" w:rsidRDefault="001F0176" w:rsidP="00027CB5">
      <w:pPr>
        <w:widowControl/>
        <w:rPr>
          <w:sz w:val="26"/>
          <w:szCs w:val="26"/>
        </w:rPr>
      </w:pPr>
    </w:p>
    <w:p w14:paraId="7637D6F8" w14:textId="4A01316E" w:rsidR="001F0176" w:rsidRDefault="001F0176" w:rsidP="00027CB5">
      <w:pPr>
        <w:widowControl/>
        <w:spacing w:line="360" w:lineRule="auto"/>
        <w:jc w:val="center"/>
        <w:rPr>
          <w:b/>
          <w:sz w:val="26"/>
          <w:szCs w:val="26"/>
        </w:rPr>
      </w:pPr>
      <w:r w:rsidRPr="00FC3806">
        <w:rPr>
          <w:b/>
          <w:sz w:val="26"/>
          <w:szCs w:val="26"/>
        </w:rPr>
        <w:t>OPINION AND ORDER</w:t>
      </w:r>
    </w:p>
    <w:p w14:paraId="2AD22067" w14:textId="77777777" w:rsidR="006A1E41" w:rsidRPr="00FC3806" w:rsidRDefault="006A1E41" w:rsidP="00027CB5">
      <w:pPr>
        <w:widowControl/>
        <w:spacing w:line="360" w:lineRule="auto"/>
        <w:jc w:val="center"/>
        <w:rPr>
          <w:b/>
          <w:sz w:val="26"/>
          <w:szCs w:val="26"/>
        </w:rPr>
      </w:pPr>
    </w:p>
    <w:p w14:paraId="573EEF7D" w14:textId="77777777" w:rsidR="001F0176" w:rsidRPr="00FC3806" w:rsidRDefault="001F0176" w:rsidP="00027CB5">
      <w:pPr>
        <w:widowControl/>
        <w:spacing w:line="360" w:lineRule="auto"/>
        <w:rPr>
          <w:b/>
          <w:sz w:val="26"/>
          <w:szCs w:val="26"/>
        </w:rPr>
      </w:pPr>
      <w:r w:rsidRPr="00FC3806">
        <w:rPr>
          <w:b/>
          <w:sz w:val="26"/>
          <w:szCs w:val="26"/>
        </w:rPr>
        <w:t>BY THE COMMISSION:</w:t>
      </w:r>
    </w:p>
    <w:p w14:paraId="247670F1" w14:textId="77777777" w:rsidR="001F0176" w:rsidRPr="00FC3806" w:rsidRDefault="001F0176" w:rsidP="00027CB5">
      <w:pPr>
        <w:widowControl/>
        <w:spacing w:line="360" w:lineRule="auto"/>
        <w:rPr>
          <w:b/>
          <w:sz w:val="26"/>
          <w:szCs w:val="26"/>
        </w:rPr>
      </w:pPr>
    </w:p>
    <w:p w14:paraId="5F8A1587" w14:textId="14D4F5CA" w:rsidR="001F38B7" w:rsidRPr="00BB5C84" w:rsidRDefault="001F0176" w:rsidP="001F38B7">
      <w:pPr>
        <w:widowControl/>
        <w:spacing w:line="360" w:lineRule="auto"/>
        <w:ind w:firstLine="1440"/>
        <w:rPr>
          <w:sz w:val="26"/>
          <w:szCs w:val="26"/>
        </w:rPr>
      </w:pPr>
      <w:r w:rsidRPr="00FC3806">
        <w:rPr>
          <w:sz w:val="26"/>
          <w:szCs w:val="26"/>
        </w:rPr>
        <w:t xml:space="preserve">Before the Pennsylvania Public Utility Commission (Commission) for consideration and disposition </w:t>
      </w:r>
      <w:r w:rsidR="0047617A">
        <w:rPr>
          <w:sz w:val="26"/>
          <w:szCs w:val="26"/>
        </w:rPr>
        <w:t xml:space="preserve">are the Exceptions of </w:t>
      </w:r>
      <w:r w:rsidR="00531DA7">
        <w:rPr>
          <w:sz w:val="26"/>
          <w:szCs w:val="26"/>
        </w:rPr>
        <w:t>Keary Willis</w:t>
      </w:r>
      <w:r w:rsidR="005E10A3">
        <w:rPr>
          <w:sz w:val="26"/>
          <w:szCs w:val="26"/>
        </w:rPr>
        <w:t xml:space="preserve"> (Complainant)</w:t>
      </w:r>
      <w:r w:rsidR="00BB5C84">
        <w:rPr>
          <w:sz w:val="26"/>
          <w:szCs w:val="26"/>
        </w:rPr>
        <w:t>,</w:t>
      </w:r>
      <w:r w:rsidR="005E10A3">
        <w:rPr>
          <w:sz w:val="26"/>
          <w:szCs w:val="26"/>
        </w:rPr>
        <w:t xml:space="preserve"> </w:t>
      </w:r>
      <w:r w:rsidR="00EB267E">
        <w:rPr>
          <w:sz w:val="26"/>
          <w:szCs w:val="26"/>
        </w:rPr>
        <w:t xml:space="preserve">filed on </w:t>
      </w:r>
      <w:r w:rsidR="00531DA7">
        <w:rPr>
          <w:sz w:val="26"/>
          <w:szCs w:val="26"/>
        </w:rPr>
        <w:t>March 25</w:t>
      </w:r>
      <w:r w:rsidR="00EB267E">
        <w:rPr>
          <w:sz w:val="26"/>
          <w:szCs w:val="26"/>
        </w:rPr>
        <w:t>, 201</w:t>
      </w:r>
      <w:r w:rsidR="00531DA7">
        <w:rPr>
          <w:sz w:val="26"/>
          <w:szCs w:val="26"/>
        </w:rPr>
        <w:t>9</w:t>
      </w:r>
      <w:r w:rsidR="00EB267E">
        <w:rPr>
          <w:sz w:val="26"/>
          <w:szCs w:val="26"/>
        </w:rPr>
        <w:t xml:space="preserve">, </w:t>
      </w:r>
      <w:r w:rsidR="0047617A">
        <w:rPr>
          <w:sz w:val="26"/>
          <w:szCs w:val="26"/>
        </w:rPr>
        <w:t xml:space="preserve">to the </w:t>
      </w:r>
      <w:r w:rsidRPr="00FC3806">
        <w:rPr>
          <w:sz w:val="26"/>
          <w:szCs w:val="26"/>
        </w:rPr>
        <w:t xml:space="preserve">Initial Decision (I.D.) of Administrative Law Judge (ALJ) </w:t>
      </w:r>
      <w:r w:rsidR="00531DA7">
        <w:rPr>
          <w:sz w:val="26"/>
          <w:szCs w:val="26"/>
        </w:rPr>
        <w:t>Eranda</w:t>
      </w:r>
      <w:r w:rsidR="00180FE2">
        <w:rPr>
          <w:sz w:val="26"/>
          <w:szCs w:val="26"/>
        </w:rPr>
        <w:t xml:space="preserve"> </w:t>
      </w:r>
      <w:r w:rsidR="00531DA7">
        <w:rPr>
          <w:sz w:val="26"/>
          <w:szCs w:val="26"/>
        </w:rPr>
        <w:t>Vero</w:t>
      </w:r>
      <w:r w:rsidRPr="00FC3806">
        <w:rPr>
          <w:sz w:val="26"/>
          <w:szCs w:val="26"/>
        </w:rPr>
        <w:t xml:space="preserve">, </w:t>
      </w:r>
      <w:r w:rsidR="00EB267E">
        <w:rPr>
          <w:sz w:val="26"/>
          <w:szCs w:val="26"/>
        </w:rPr>
        <w:t xml:space="preserve">which was </w:t>
      </w:r>
      <w:r w:rsidRPr="00FC3806">
        <w:rPr>
          <w:sz w:val="26"/>
          <w:szCs w:val="26"/>
        </w:rPr>
        <w:t xml:space="preserve">issued on </w:t>
      </w:r>
      <w:r w:rsidR="00531DA7">
        <w:rPr>
          <w:sz w:val="26"/>
          <w:szCs w:val="26"/>
        </w:rPr>
        <w:t>March 5</w:t>
      </w:r>
      <w:r w:rsidR="00F91FC0">
        <w:rPr>
          <w:sz w:val="26"/>
          <w:szCs w:val="26"/>
        </w:rPr>
        <w:t>, 201</w:t>
      </w:r>
      <w:r w:rsidR="00531DA7">
        <w:rPr>
          <w:sz w:val="26"/>
          <w:szCs w:val="26"/>
        </w:rPr>
        <w:t>9</w:t>
      </w:r>
      <w:r w:rsidR="00AC6661">
        <w:rPr>
          <w:sz w:val="26"/>
          <w:szCs w:val="26"/>
        </w:rPr>
        <w:t>,</w:t>
      </w:r>
      <w:r w:rsidRPr="00FC3806">
        <w:rPr>
          <w:sz w:val="26"/>
          <w:szCs w:val="26"/>
        </w:rPr>
        <w:t xml:space="preserve"> </w:t>
      </w:r>
      <w:r w:rsidR="00EB267E">
        <w:rPr>
          <w:sz w:val="26"/>
          <w:szCs w:val="26"/>
        </w:rPr>
        <w:t xml:space="preserve">and </w:t>
      </w:r>
      <w:r w:rsidR="005E10A3">
        <w:rPr>
          <w:sz w:val="26"/>
          <w:szCs w:val="26"/>
        </w:rPr>
        <w:t xml:space="preserve">which </w:t>
      </w:r>
      <w:r w:rsidRPr="00FC3806">
        <w:rPr>
          <w:sz w:val="26"/>
          <w:szCs w:val="26"/>
        </w:rPr>
        <w:t>dismiss</w:t>
      </w:r>
      <w:r w:rsidR="005E10A3">
        <w:rPr>
          <w:sz w:val="26"/>
          <w:szCs w:val="26"/>
        </w:rPr>
        <w:t>ed</w:t>
      </w:r>
      <w:r w:rsidR="006126D4">
        <w:rPr>
          <w:sz w:val="26"/>
          <w:szCs w:val="26"/>
        </w:rPr>
        <w:t xml:space="preserve"> the Complainant’s Formal Complaint (Complaint)</w:t>
      </w:r>
      <w:r w:rsidRPr="00FC3806">
        <w:rPr>
          <w:sz w:val="26"/>
          <w:szCs w:val="26"/>
        </w:rPr>
        <w:t xml:space="preserve"> </w:t>
      </w:r>
      <w:r w:rsidRPr="00194052">
        <w:rPr>
          <w:sz w:val="26"/>
          <w:szCs w:val="26"/>
        </w:rPr>
        <w:t>with prejudice</w:t>
      </w:r>
      <w:r w:rsidR="006126D4">
        <w:rPr>
          <w:sz w:val="26"/>
          <w:szCs w:val="26"/>
        </w:rPr>
        <w:t>.</w:t>
      </w:r>
      <w:r w:rsidR="005E10A3">
        <w:rPr>
          <w:sz w:val="26"/>
          <w:szCs w:val="26"/>
        </w:rPr>
        <w:t xml:space="preserve">  </w:t>
      </w:r>
      <w:r w:rsidR="0066095F">
        <w:rPr>
          <w:sz w:val="26"/>
          <w:szCs w:val="26"/>
        </w:rPr>
        <w:t>P</w:t>
      </w:r>
      <w:r w:rsidR="00180FE2">
        <w:rPr>
          <w:sz w:val="26"/>
          <w:szCs w:val="26"/>
        </w:rPr>
        <w:t>ECO</w:t>
      </w:r>
      <w:r w:rsidR="00531DA7">
        <w:rPr>
          <w:sz w:val="26"/>
          <w:szCs w:val="26"/>
        </w:rPr>
        <w:t xml:space="preserve"> Energy Company (PECO)</w:t>
      </w:r>
      <w:r w:rsidR="0066095F">
        <w:rPr>
          <w:sz w:val="26"/>
          <w:szCs w:val="26"/>
        </w:rPr>
        <w:t xml:space="preserve"> </w:t>
      </w:r>
      <w:r w:rsidR="00BC03F2">
        <w:rPr>
          <w:sz w:val="26"/>
          <w:szCs w:val="26"/>
        </w:rPr>
        <w:t>did not file</w:t>
      </w:r>
      <w:r w:rsidR="0066095F">
        <w:rPr>
          <w:sz w:val="26"/>
          <w:szCs w:val="26"/>
        </w:rPr>
        <w:t xml:space="preserve"> </w:t>
      </w:r>
      <w:r w:rsidR="00BC03F2">
        <w:rPr>
          <w:sz w:val="26"/>
          <w:szCs w:val="26"/>
        </w:rPr>
        <w:t>Repl</w:t>
      </w:r>
      <w:r w:rsidR="00BB5C84">
        <w:rPr>
          <w:sz w:val="26"/>
          <w:szCs w:val="26"/>
        </w:rPr>
        <w:t>ies to Exception</w:t>
      </w:r>
      <w:r w:rsidR="00AC6661">
        <w:rPr>
          <w:sz w:val="26"/>
          <w:szCs w:val="26"/>
        </w:rPr>
        <w:t>.</w:t>
      </w:r>
      <w:r w:rsidRPr="00FC3806">
        <w:rPr>
          <w:sz w:val="26"/>
          <w:szCs w:val="26"/>
        </w:rPr>
        <w:t xml:space="preserve">  </w:t>
      </w:r>
      <w:r w:rsidR="001F38B7" w:rsidRPr="006A1E41">
        <w:rPr>
          <w:sz w:val="26"/>
          <w:szCs w:val="26"/>
        </w:rPr>
        <w:t>For the reasons se</w:t>
      </w:r>
      <w:r w:rsidR="006A1E41">
        <w:rPr>
          <w:sz w:val="26"/>
          <w:szCs w:val="26"/>
        </w:rPr>
        <w:t>t forth</w:t>
      </w:r>
      <w:r w:rsidR="001F38B7" w:rsidRPr="006A1E41">
        <w:rPr>
          <w:sz w:val="26"/>
          <w:szCs w:val="26"/>
        </w:rPr>
        <w:t xml:space="preserve"> below, we shall deny the Complainant’s Exceptions, adopt the ALJ’s Initial Decision and dismiss the Complaint.</w:t>
      </w:r>
    </w:p>
    <w:p w14:paraId="616BA270" w14:textId="77777777" w:rsidR="001F0176" w:rsidRDefault="001F0176" w:rsidP="00027CB5">
      <w:pPr>
        <w:widowControl/>
        <w:spacing w:line="360" w:lineRule="auto"/>
        <w:rPr>
          <w:sz w:val="26"/>
        </w:rPr>
      </w:pPr>
    </w:p>
    <w:p w14:paraId="31D5A1A0" w14:textId="77777777" w:rsidR="001F0176" w:rsidRPr="00F91FC0" w:rsidRDefault="001F0176" w:rsidP="00027CB5">
      <w:pPr>
        <w:keepNext/>
        <w:keepLines/>
        <w:widowControl/>
        <w:spacing w:line="360" w:lineRule="auto"/>
        <w:jc w:val="center"/>
        <w:rPr>
          <w:b/>
          <w:sz w:val="26"/>
          <w:szCs w:val="26"/>
        </w:rPr>
      </w:pPr>
      <w:r w:rsidRPr="00FC3806">
        <w:rPr>
          <w:b/>
          <w:sz w:val="26"/>
          <w:szCs w:val="26"/>
        </w:rPr>
        <w:lastRenderedPageBreak/>
        <w:t>History of the Proceeding</w:t>
      </w:r>
    </w:p>
    <w:p w14:paraId="6BA6334A" w14:textId="77777777" w:rsidR="002B2C4A" w:rsidRPr="002B2C4A" w:rsidRDefault="002B2C4A" w:rsidP="00027CB5">
      <w:pPr>
        <w:keepNext/>
        <w:keepLines/>
        <w:widowControl/>
        <w:autoSpaceDE w:val="0"/>
        <w:autoSpaceDN w:val="0"/>
        <w:adjustRightInd w:val="0"/>
        <w:spacing w:line="360" w:lineRule="auto"/>
        <w:rPr>
          <w:rFonts w:eastAsiaTheme="minorHAnsi"/>
          <w:color w:val="000000"/>
          <w:sz w:val="24"/>
          <w:szCs w:val="24"/>
        </w:rPr>
      </w:pPr>
    </w:p>
    <w:p w14:paraId="620A989D" w14:textId="029DFB7D" w:rsidR="00F91FC0" w:rsidRPr="00F91FC0" w:rsidRDefault="002B2C4A" w:rsidP="00027CB5">
      <w:pPr>
        <w:widowControl/>
        <w:spacing w:line="360" w:lineRule="auto"/>
        <w:ind w:firstLine="1440"/>
        <w:rPr>
          <w:rFonts w:eastAsiaTheme="minorHAnsi"/>
          <w:color w:val="000000"/>
          <w:sz w:val="26"/>
          <w:szCs w:val="26"/>
        </w:rPr>
      </w:pPr>
      <w:r w:rsidRPr="00F91FC0">
        <w:rPr>
          <w:rFonts w:eastAsiaTheme="minorHAnsi"/>
          <w:color w:val="000000"/>
          <w:sz w:val="26"/>
          <w:szCs w:val="26"/>
        </w:rPr>
        <w:t xml:space="preserve">On </w:t>
      </w:r>
      <w:r w:rsidR="004E2673">
        <w:rPr>
          <w:rFonts w:eastAsiaTheme="minorHAnsi"/>
          <w:color w:val="000000"/>
          <w:sz w:val="26"/>
          <w:szCs w:val="26"/>
        </w:rPr>
        <w:t>June 25, 2018</w:t>
      </w:r>
      <w:r w:rsidR="00180FE2">
        <w:rPr>
          <w:rFonts w:eastAsiaTheme="minorHAnsi"/>
          <w:color w:val="000000"/>
          <w:sz w:val="26"/>
          <w:szCs w:val="26"/>
        </w:rPr>
        <w:t xml:space="preserve">, </w:t>
      </w:r>
      <w:r w:rsidR="006126D4">
        <w:rPr>
          <w:rFonts w:eastAsiaTheme="minorHAnsi"/>
          <w:color w:val="000000"/>
          <w:sz w:val="26"/>
          <w:szCs w:val="26"/>
        </w:rPr>
        <w:t>the Complainant</w:t>
      </w:r>
      <w:r w:rsidRPr="00F91FC0">
        <w:rPr>
          <w:rFonts w:eastAsiaTheme="minorHAnsi"/>
          <w:color w:val="000000"/>
          <w:sz w:val="26"/>
          <w:szCs w:val="26"/>
        </w:rPr>
        <w:t xml:space="preserve"> filed </w:t>
      </w:r>
      <w:r w:rsidR="0066095F">
        <w:rPr>
          <w:rFonts w:eastAsiaTheme="minorHAnsi"/>
          <w:color w:val="000000"/>
          <w:sz w:val="26"/>
          <w:szCs w:val="26"/>
        </w:rPr>
        <w:t xml:space="preserve">the instant Complaint </w:t>
      </w:r>
      <w:r w:rsidRPr="00F91FC0">
        <w:rPr>
          <w:rFonts w:eastAsiaTheme="minorHAnsi"/>
          <w:color w:val="000000"/>
          <w:sz w:val="26"/>
          <w:szCs w:val="26"/>
        </w:rPr>
        <w:t xml:space="preserve">with the </w:t>
      </w:r>
      <w:r w:rsidR="0066095F">
        <w:rPr>
          <w:rFonts w:eastAsiaTheme="minorHAnsi"/>
          <w:color w:val="000000"/>
          <w:sz w:val="26"/>
          <w:szCs w:val="26"/>
        </w:rPr>
        <w:t xml:space="preserve">Commission, </w:t>
      </w:r>
      <w:r w:rsidR="007E094B">
        <w:rPr>
          <w:rFonts w:eastAsiaTheme="minorHAnsi"/>
          <w:color w:val="000000"/>
          <w:sz w:val="26"/>
          <w:szCs w:val="26"/>
        </w:rPr>
        <w:t xml:space="preserve">wherein she </w:t>
      </w:r>
      <w:r w:rsidR="0066095F">
        <w:rPr>
          <w:rFonts w:eastAsiaTheme="minorHAnsi"/>
          <w:color w:val="000000"/>
          <w:sz w:val="26"/>
          <w:szCs w:val="26"/>
        </w:rPr>
        <w:t>alleg</w:t>
      </w:r>
      <w:r w:rsidR="007E094B">
        <w:rPr>
          <w:rFonts w:eastAsiaTheme="minorHAnsi"/>
          <w:color w:val="000000"/>
          <w:sz w:val="26"/>
          <w:szCs w:val="26"/>
        </w:rPr>
        <w:t>ed</w:t>
      </w:r>
      <w:r w:rsidR="0066095F">
        <w:rPr>
          <w:rFonts w:eastAsiaTheme="minorHAnsi"/>
          <w:color w:val="000000"/>
          <w:sz w:val="26"/>
          <w:szCs w:val="26"/>
        </w:rPr>
        <w:t xml:space="preserve"> that </w:t>
      </w:r>
      <w:r w:rsidR="00180FE2">
        <w:rPr>
          <w:rFonts w:eastAsiaTheme="minorHAnsi"/>
          <w:color w:val="000000"/>
          <w:sz w:val="26"/>
          <w:szCs w:val="26"/>
        </w:rPr>
        <w:t xml:space="preserve">PECO </w:t>
      </w:r>
      <w:r w:rsidR="004E2673">
        <w:rPr>
          <w:rFonts w:eastAsiaTheme="minorHAnsi"/>
          <w:color w:val="000000"/>
          <w:sz w:val="26"/>
          <w:szCs w:val="26"/>
        </w:rPr>
        <w:t>threatened to terminate</w:t>
      </w:r>
      <w:r w:rsidR="00180FE2">
        <w:rPr>
          <w:rFonts w:eastAsiaTheme="minorHAnsi"/>
          <w:color w:val="000000"/>
          <w:sz w:val="26"/>
          <w:szCs w:val="26"/>
        </w:rPr>
        <w:t xml:space="preserve"> her</w:t>
      </w:r>
      <w:r w:rsidRPr="00F91FC0">
        <w:rPr>
          <w:rFonts w:eastAsiaTheme="minorHAnsi"/>
          <w:color w:val="000000"/>
          <w:sz w:val="26"/>
          <w:szCs w:val="26"/>
        </w:rPr>
        <w:t xml:space="preserve"> electric service</w:t>
      </w:r>
      <w:r w:rsidR="004E2673">
        <w:rPr>
          <w:rFonts w:eastAsiaTheme="minorHAnsi"/>
          <w:color w:val="000000"/>
          <w:sz w:val="26"/>
          <w:szCs w:val="26"/>
        </w:rPr>
        <w:t>, that PECO enrolled her in its Consumer Assistance Program (CAP) without her permission, and that she was unable to make payments to PECO</w:t>
      </w:r>
      <w:r w:rsidR="007E094B">
        <w:rPr>
          <w:rFonts w:eastAsiaTheme="minorHAnsi"/>
          <w:color w:val="000000"/>
          <w:sz w:val="26"/>
          <w:szCs w:val="26"/>
        </w:rPr>
        <w:t xml:space="preserve">.  For relief, the Complainant </w:t>
      </w:r>
      <w:r w:rsidR="00180FE2">
        <w:rPr>
          <w:rFonts w:eastAsiaTheme="minorHAnsi"/>
          <w:color w:val="000000"/>
          <w:sz w:val="26"/>
          <w:szCs w:val="26"/>
        </w:rPr>
        <w:t>request</w:t>
      </w:r>
      <w:r w:rsidR="007E094B">
        <w:rPr>
          <w:rFonts w:eastAsiaTheme="minorHAnsi"/>
          <w:color w:val="000000"/>
          <w:sz w:val="26"/>
          <w:szCs w:val="26"/>
        </w:rPr>
        <w:t>ed</w:t>
      </w:r>
      <w:r w:rsidR="00180FE2">
        <w:rPr>
          <w:rFonts w:eastAsiaTheme="minorHAnsi"/>
          <w:color w:val="000000"/>
          <w:sz w:val="26"/>
          <w:szCs w:val="26"/>
        </w:rPr>
        <w:t xml:space="preserve"> a payment arrangement</w:t>
      </w:r>
      <w:r w:rsidRPr="00F91FC0">
        <w:rPr>
          <w:rFonts w:eastAsiaTheme="minorHAnsi"/>
          <w:color w:val="000000"/>
          <w:sz w:val="26"/>
          <w:szCs w:val="26"/>
        </w:rPr>
        <w:t>.</w:t>
      </w:r>
      <w:r w:rsidR="00F465BA">
        <w:rPr>
          <w:rFonts w:eastAsiaTheme="minorHAnsi"/>
          <w:color w:val="000000"/>
          <w:sz w:val="26"/>
          <w:szCs w:val="26"/>
        </w:rPr>
        <w:t xml:space="preserve">  I.D. at 1; </w:t>
      </w:r>
      <w:r w:rsidR="00F465BA" w:rsidRPr="004A7365">
        <w:rPr>
          <w:rFonts w:eastAsiaTheme="minorHAnsi"/>
          <w:color w:val="000000"/>
          <w:sz w:val="26"/>
          <w:szCs w:val="26"/>
        </w:rPr>
        <w:t>Complaint at ¶¶ 4-5.</w:t>
      </w:r>
    </w:p>
    <w:p w14:paraId="4B8DAD41" w14:textId="77777777" w:rsidR="00F91FC0" w:rsidRPr="00F91FC0" w:rsidRDefault="00F91FC0" w:rsidP="00027CB5">
      <w:pPr>
        <w:widowControl/>
        <w:autoSpaceDE w:val="0"/>
        <w:autoSpaceDN w:val="0"/>
        <w:adjustRightInd w:val="0"/>
        <w:spacing w:line="360" w:lineRule="auto"/>
        <w:ind w:firstLine="1440"/>
        <w:rPr>
          <w:rFonts w:eastAsiaTheme="minorHAnsi"/>
          <w:color w:val="000000"/>
          <w:sz w:val="26"/>
          <w:szCs w:val="26"/>
        </w:rPr>
      </w:pPr>
    </w:p>
    <w:p w14:paraId="153C77E0" w14:textId="01EBB97B" w:rsidR="00F91FC0" w:rsidRPr="00F91FC0" w:rsidRDefault="00180FE2" w:rsidP="00027CB5">
      <w:pPr>
        <w:widowControl/>
        <w:spacing w:line="360" w:lineRule="auto"/>
        <w:ind w:firstLine="1440"/>
        <w:rPr>
          <w:sz w:val="26"/>
          <w:szCs w:val="26"/>
        </w:rPr>
      </w:pPr>
      <w:r>
        <w:rPr>
          <w:rFonts w:eastAsiaTheme="minorHAnsi"/>
          <w:color w:val="000000"/>
          <w:sz w:val="26"/>
          <w:szCs w:val="26"/>
        </w:rPr>
        <w:t xml:space="preserve">On </w:t>
      </w:r>
      <w:r w:rsidR="004E2673">
        <w:rPr>
          <w:rFonts w:eastAsiaTheme="minorHAnsi"/>
          <w:color w:val="000000"/>
          <w:sz w:val="26"/>
          <w:szCs w:val="26"/>
        </w:rPr>
        <w:t>July 16, 2018</w:t>
      </w:r>
      <w:r>
        <w:rPr>
          <w:rFonts w:eastAsiaTheme="minorHAnsi"/>
          <w:color w:val="000000"/>
          <w:sz w:val="26"/>
          <w:szCs w:val="26"/>
        </w:rPr>
        <w:t>, PECO</w:t>
      </w:r>
      <w:r w:rsidR="0066095F">
        <w:rPr>
          <w:rFonts w:eastAsiaTheme="minorHAnsi"/>
          <w:color w:val="000000"/>
          <w:sz w:val="26"/>
          <w:szCs w:val="26"/>
        </w:rPr>
        <w:t xml:space="preserve"> filed an Answer</w:t>
      </w:r>
      <w:r>
        <w:rPr>
          <w:rFonts w:eastAsiaTheme="minorHAnsi"/>
          <w:color w:val="000000"/>
          <w:sz w:val="26"/>
          <w:szCs w:val="26"/>
        </w:rPr>
        <w:t xml:space="preserve">, </w:t>
      </w:r>
      <w:r w:rsidR="0066095F">
        <w:rPr>
          <w:rFonts w:eastAsiaTheme="minorHAnsi"/>
          <w:color w:val="000000"/>
          <w:sz w:val="26"/>
          <w:szCs w:val="26"/>
        </w:rPr>
        <w:t xml:space="preserve">denying </w:t>
      </w:r>
      <w:r w:rsidR="00F91FC0" w:rsidRPr="00F91FC0">
        <w:rPr>
          <w:rFonts w:eastAsiaTheme="minorHAnsi"/>
          <w:color w:val="000000"/>
          <w:sz w:val="26"/>
          <w:szCs w:val="26"/>
        </w:rPr>
        <w:t>the mater</w:t>
      </w:r>
      <w:r w:rsidR="0066095F">
        <w:rPr>
          <w:rFonts w:eastAsiaTheme="minorHAnsi"/>
          <w:color w:val="000000"/>
          <w:sz w:val="26"/>
          <w:szCs w:val="26"/>
        </w:rPr>
        <w:t>ial averments set forth in the C</w:t>
      </w:r>
      <w:r w:rsidR="00F91FC0" w:rsidRPr="00F91FC0">
        <w:rPr>
          <w:rFonts w:eastAsiaTheme="minorHAnsi"/>
          <w:color w:val="000000"/>
          <w:sz w:val="26"/>
          <w:szCs w:val="26"/>
        </w:rPr>
        <w:t xml:space="preserve">omplaint. </w:t>
      </w:r>
      <w:r w:rsidR="00F465BA" w:rsidRPr="00F465BA">
        <w:rPr>
          <w:rFonts w:eastAsiaTheme="minorHAnsi"/>
          <w:i/>
          <w:color w:val="000000"/>
          <w:sz w:val="26"/>
          <w:szCs w:val="26"/>
        </w:rPr>
        <w:t xml:space="preserve">See </w:t>
      </w:r>
      <w:r w:rsidR="00F465BA">
        <w:rPr>
          <w:rFonts w:eastAsiaTheme="minorHAnsi"/>
          <w:color w:val="000000"/>
          <w:sz w:val="26"/>
          <w:szCs w:val="26"/>
        </w:rPr>
        <w:t xml:space="preserve">I.D. at </w:t>
      </w:r>
      <w:r w:rsidR="004E2673">
        <w:rPr>
          <w:rFonts w:eastAsiaTheme="minorHAnsi"/>
          <w:color w:val="000000"/>
          <w:sz w:val="26"/>
          <w:szCs w:val="26"/>
        </w:rPr>
        <w:t>2</w:t>
      </w:r>
      <w:r w:rsidR="00F465BA">
        <w:rPr>
          <w:rFonts w:eastAsiaTheme="minorHAnsi"/>
          <w:color w:val="000000"/>
          <w:sz w:val="26"/>
          <w:szCs w:val="26"/>
        </w:rPr>
        <w:t xml:space="preserve">; </w:t>
      </w:r>
      <w:r w:rsidR="00F465BA" w:rsidRPr="00F465BA">
        <w:rPr>
          <w:rFonts w:eastAsiaTheme="minorHAnsi"/>
          <w:i/>
          <w:color w:val="000000"/>
          <w:sz w:val="26"/>
          <w:szCs w:val="26"/>
        </w:rPr>
        <w:t xml:space="preserve">see generally </w:t>
      </w:r>
      <w:r w:rsidR="00F465BA">
        <w:rPr>
          <w:rFonts w:eastAsiaTheme="minorHAnsi"/>
          <w:color w:val="000000"/>
          <w:sz w:val="26"/>
          <w:szCs w:val="26"/>
        </w:rPr>
        <w:t>Answer.</w:t>
      </w:r>
    </w:p>
    <w:p w14:paraId="4BCF7702" w14:textId="77777777" w:rsidR="001F0176" w:rsidRPr="00F91FC0" w:rsidRDefault="001F0176" w:rsidP="00027CB5">
      <w:pPr>
        <w:widowControl/>
        <w:spacing w:line="360" w:lineRule="auto"/>
        <w:ind w:firstLine="1440"/>
        <w:rPr>
          <w:sz w:val="26"/>
          <w:szCs w:val="26"/>
        </w:rPr>
      </w:pPr>
    </w:p>
    <w:p w14:paraId="71156F20" w14:textId="5BD169A9" w:rsidR="00B46AD4" w:rsidRDefault="00F91FC0" w:rsidP="00027CB5">
      <w:pPr>
        <w:widowControl/>
        <w:autoSpaceDE w:val="0"/>
        <w:autoSpaceDN w:val="0"/>
        <w:adjustRightInd w:val="0"/>
        <w:spacing w:line="360" w:lineRule="auto"/>
        <w:ind w:firstLine="1440"/>
        <w:rPr>
          <w:rFonts w:eastAsiaTheme="minorHAnsi"/>
          <w:color w:val="000000"/>
          <w:sz w:val="26"/>
          <w:szCs w:val="26"/>
        </w:rPr>
      </w:pPr>
      <w:r w:rsidRPr="00F91FC0">
        <w:rPr>
          <w:rFonts w:eastAsiaTheme="minorHAnsi"/>
          <w:color w:val="000000"/>
          <w:sz w:val="26"/>
          <w:szCs w:val="26"/>
        </w:rPr>
        <w:t xml:space="preserve">By notice dated </w:t>
      </w:r>
      <w:r w:rsidR="004E2673">
        <w:rPr>
          <w:rFonts w:eastAsiaTheme="minorHAnsi"/>
          <w:color w:val="000000"/>
          <w:sz w:val="26"/>
          <w:szCs w:val="26"/>
        </w:rPr>
        <w:t>July 26, 2018</w:t>
      </w:r>
      <w:r w:rsidR="00340D38">
        <w:rPr>
          <w:rFonts w:eastAsiaTheme="minorHAnsi"/>
          <w:color w:val="000000"/>
          <w:sz w:val="26"/>
          <w:szCs w:val="26"/>
        </w:rPr>
        <w:t xml:space="preserve"> (Hearing Notice)</w:t>
      </w:r>
      <w:r w:rsidRPr="00F91FC0">
        <w:rPr>
          <w:rFonts w:eastAsiaTheme="minorHAnsi"/>
          <w:color w:val="000000"/>
          <w:sz w:val="26"/>
          <w:szCs w:val="26"/>
        </w:rPr>
        <w:t xml:space="preserve">, the Commission scheduled this matter for a hearing on </w:t>
      </w:r>
      <w:r w:rsidR="004E2673">
        <w:rPr>
          <w:rFonts w:eastAsiaTheme="minorHAnsi"/>
          <w:color w:val="000000"/>
          <w:sz w:val="26"/>
          <w:szCs w:val="26"/>
        </w:rPr>
        <w:t>September 19</w:t>
      </w:r>
      <w:r w:rsidRPr="00F91FC0">
        <w:rPr>
          <w:rFonts w:eastAsiaTheme="minorHAnsi"/>
          <w:color w:val="000000"/>
          <w:sz w:val="26"/>
          <w:szCs w:val="26"/>
        </w:rPr>
        <w:t>, 201</w:t>
      </w:r>
      <w:r w:rsidR="004E2673">
        <w:rPr>
          <w:rFonts w:eastAsiaTheme="minorHAnsi"/>
          <w:color w:val="000000"/>
          <w:sz w:val="26"/>
          <w:szCs w:val="26"/>
        </w:rPr>
        <w:t>8</w:t>
      </w:r>
      <w:r w:rsidRPr="00F91FC0">
        <w:rPr>
          <w:rFonts w:eastAsiaTheme="minorHAnsi"/>
          <w:color w:val="000000"/>
          <w:sz w:val="26"/>
          <w:szCs w:val="26"/>
        </w:rPr>
        <w:t xml:space="preserve">, at </w:t>
      </w:r>
      <w:r w:rsidR="004E2673">
        <w:rPr>
          <w:rFonts w:eastAsiaTheme="minorHAnsi"/>
          <w:color w:val="000000"/>
          <w:sz w:val="26"/>
          <w:szCs w:val="26"/>
        </w:rPr>
        <w:t>10</w:t>
      </w:r>
      <w:r w:rsidRPr="00F91FC0">
        <w:rPr>
          <w:rFonts w:eastAsiaTheme="minorHAnsi"/>
          <w:color w:val="000000"/>
          <w:sz w:val="26"/>
          <w:szCs w:val="26"/>
        </w:rPr>
        <w:t>:</w:t>
      </w:r>
      <w:r w:rsidR="004E2673">
        <w:rPr>
          <w:rFonts w:eastAsiaTheme="minorHAnsi"/>
          <w:color w:val="000000"/>
          <w:sz w:val="26"/>
          <w:szCs w:val="26"/>
        </w:rPr>
        <w:t>0</w:t>
      </w:r>
      <w:r w:rsidRPr="00F91FC0">
        <w:rPr>
          <w:rFonts w:eastAsiaTheme="minorHAnsi"/>
          <w:color w:val="000000"/>
          <w:sz w:val="26"/>
          <w:szCs w:val="26"/>
        </w:rPr>
        <w:t>0 a.m.</w:t>
      </w:r>
      <w:r w:rsidR="0066095F">
        <w:rPr>
          <w:rFonts w:eastAsiaTheme="minorHAnsi"/>
          <w:color w:val="000000"/>
          <w:sz w:val="26"/>
          <w:szCs w:val="26"/>
        </w:rPr>
        <w:t xml:space="preserve">  </w:t>
      </w:r>
      <w:r w:rsidR="00B46AD4">
        <w:rPr>
          <w:rFonts w:eastAsiaTheme="minorHAnsi"/>
          <w:color w:val="000000"/>
          <w:sz w:val="26"/>
          <w:szCs w:val="26"/>
        </w:rPr>
        <w:t>I.D. at 2.</w:t>
      </w:r>
    </w:p>
    <w:p w14:paraId="0BCF4DD1" w14:textId="2AE9011A" w:rsidR="004E2673" w:rsidRDefault="004E2673" w:rsidP="00027CB5">
      <w:pPr>
        <w:widowControl/>
        <w:autoSpaceDE w:val="0"/>
        <w:autoSpaceDN w:val="0"/>
        <w:adjustRightInd w:val="0"/>
        <w:spacing w:line="360" w:lineRule="auto"/>
        <w:ind w:firstLine="1440"/>
        <w:rPr>
          <w:rFonts w:eastAsiaTheme="minorHAnsi"/>
          <w:color w:val="000000"/>
          <w:sz w:val="26"/>
          <w:szCs w:val="26"/>
        </w:rPr>
      </w:pPr>
    </w:p>
    <w:p w14:paraId="47DC026F" w14:textId="3CDBCC07" w:rsidR="004E2673" w:rsidRDefault="004E2673"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On September 4, 2018, the Complainant</w:t>
      </w:r>
      <w:r w:rsidR="008C5AFE">
        <w:rPr>
          <w:rFonts w:eastAsiaTheme="minorHAnsi"/>
          <w:color w:val="000000"/>
          <w:sz w:val="26"/>
          <w:szCs w:val="26"/>
        </w:rPr>
        <w:t>, citing medical reasons,</w:t>
      </w:r>
      <w:r>
        <w:rPr>
          <w:rFonts w:eastAsiaTheme="minorHAnsi"/>
          <w:color w:val="000000"/>
          <w:sz w:val="26"/>
          <w:szCs w:val="26"/>
        </w:rPr>
        <w:t xml:space="preserve"> submitted a written request for a continuance of the scheduled hearing</w:t>
      </w:r>
      <w:r w:rsidR="008C5AFE">
        <w:rPr>
          <w:rFonts w:eastAsiaTheme="minorHAnsi"/>
          <w:color w:val="000000"/>
          <w:sz w:val="26"/>
          <w:szCs w:val="26"/>
        </w:rPr>
        <w:t>.</w:t>
      </w:r>
      <w:r>
        <w:rPr>
          <w:rFonts w:eastAsiaTheme="minorHAnsi"/>
          <w:color w:val="000000"/>
          <w:sz w:val="26"/>
          <w:szCs w:val="26"/>
        </w:rPr>
        <w:t xml:space="preserve">  On September 7, 2018, PECO indicated that it did not object to the Complainant’s request.  I.D. at 2.</w:t>
      </w:r>
    </w:p>
    <w:p w14:paraId="5E5511F0" w14:textId="77777777" w:rsidR="00B46AD4" w:rsidRDefault="00B46AD4" w:rsidP="00027CB5">
      <w:pPr>
        <w:widowControl/>
        <w:autoSpaceDE w:val="0"/>
        <w:autoSpaceDN w:val="0"/>
        <w:adjustRightInd w:val="0"/>
        <w:spacing w:line="360" w:lineRule="auto"/>
        <w:ind w:firstLine="1440"/>
        <w:rPr>
          <w:rFonts w:eastAsiaTheme="minorHAnsi"/>
          <w:color w:val="000000"/>
          <w:sz w:val="26"/>
          <w:szCs w:val="26"/>
        </w:rPr>
      </w:pPr>
    </w:p>
    <w:p w14:paraId="009E1303" w14:textId="2F36462F" w:rsidR="00F91FC0" w:rsidRDefault="00B46AD4"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On </w:t>
      </w:r>
      <w:r w:rsidR="00085FF5">
        <w:rPr>
          <w:rFonts w:eastAsiaTheme="minorHAnsi"/>
          <w:color w:val="000000"/>
          <w:sz w:val="26"/>
          <w:szCs w:val="26"/>
        </w:rPr>
        <w:t>September 11</w:t>
      </w:r>
      <w:r>
        <w:rPr>
          <w:rFonts w:eastAsiaTheme="minorHAnsi"/>
          <w:color w:val="000000"/>
          <w:sz w:val="26"/>
          <w:szCs w:val="26"/>
        </w:rPr>
        <w:t>, 201</w:t>
      </w:r>
      <w:r w:rsidR="00733FBF">
        <w:rPr>
          <w:rFonts w:eastAsiaTheme="minorHAnsi"/>
          <w:color w:val="000000"/>
          <w:sz w:val="26"/>
          <w:szCs w:val="26"/>
        </w:rPr>
        <w:t>8</w:t>
      </w:r>
      <w:r>
        <w:rPr>
          <w:rFonts w:eastAsiaTheme="minorHAnsi"/>
          <w:color w:val="000000"/>
          <w:sz w:val="26"/>
          <w:szCs w:val="26"/>
        </w:rPr>
        <w:t xml:space="preserve">, </w:t>
      </w:r>
      <w:r w:rsidR="0066095F">
        <w:rPr>
          <w:rFonts w:eastAsiaTheme="minorHAnsi"/>
          <w:color w:val="000000"/>
          <w:sz w:val="26"/>
          <w:szCs w:val="26"/>
        </w:rPr>
        <w:t>A</w:t>
      </w:r>
      <w:r w:rsidR="00340D38">
        <w:rPr>
          <w:rFonts w:eastAsiaTheme="minorHAnsi"/>
          <w:color w:val="000000"/>
          <w:sz w:val="26"/>
          <w:szCs w:val="26"/>
        </w:rPr>
        <w:t xml:space="preserve">LJ </w:t>
      </w:r>
      <w:r w:rsidR="00085FF5">
        <w:rPr>
          <w:rFonts w:eastAsiaTheme="minorHAnsi"/>
          <w:color w:val="000000"/>
          <w:sz w:val="26"/>
          <w:szCs w:val="26"/>
        </w:rPr>
        <w:t>Vero</w:t>
      </w:r>
      <w:r>
        <w:rPr>
          <w:rFonts w:eastAsiaTheme="minorHAnsi"/>
          <w:color w:val="000000"/>
          <w:sz w:val="26"/>
          <w:szCs w:val="26"/>
        </w:rPr>
        <w:t xml:space="preserve"> </w:t>
      </w:r>
      <w:r w:rsidR="00340D38">
        <w:rPr>
          <w:rFonts w:eastAsiaTheme="minorHAnsi"/>
          <w:color w:val="000000"/>
          <w:sz w:val="26"/>
          <w:szCs w:val="26"/>
        </w:rPr>
        <w:t>issued a</w:t>
      </w:r>
      <w:r w:rsidR="00F91FC0" w:rsidRPr="00F91FC0">
        <w:rPr>
          <w:rFonts w:eastAsiaTheme="minorHAnsi"/>
          <w:color w:val="000000"/>
          <w:sz w:val="26"/>
          <w:szCs w:val="26"/>
        </w:rPr>
        <w:t xml:space="preserve"> </w:t>
      </w:r>
      <w:r w:rsidR="00085FF5">
        <w:rPr>
          <w:rFonts w:eastAsiaTheme="minorHAnsi"/>
          <w:color w:val="000000"/>
          <w:sz w:val="26"/>
          <w:szCs w:val="26"/>
        </w:rPr>
        <w:t>H</w:t>
      </w:r>
      <w:r w:rsidR="0066095F">
        <w:rPr>
          <w:rFonts w:eastAsiaTheme="minorHAnsi"/>
          <w:color w:val="000000"/>
          <w:sz w:val="26"/>
          <w:szCs w:val="26"/>
        </w:rPr>
        <w:t xml:space="preserve">earing </w:t>
      </w:r>
      <w:r w:rsidR="00085FF5">
        <w:rPr>
          <w:rFonts w:eastAsiaTheme="minorHAnsi"/>
          <w:color w:val="000000"/>
          <w:sz w:val="26"/>
          <w:szCs w:val="26"/>
        </w:rPr>
        <w:t>Notice</w:t>
      </w:r>
      <w:r w:rsidR="008C5AFE">
        <w:rPr>
          <w:rFonts w:eastAsiaTheme="minorHAnsi"/>
          <w:color w:val="000000"/>
          <w:sz w:val="26"/>
          <w:szCs w:val="26"/>
        </w:rPr>
        <w:t xml:space="preserve"> that cancelled </w:t>
      </w:r>
      <w:r w:rsidR="00085FF5">
        <w:rPr>
          <w:rFonts w:eastAsiaTheme="minorHAnsi"/>
          <w:color w:val="000000"/>
          <w:sz w:val="26"/>
          <w:szCs w:val="26"/>
        </w:rPr>
        <w:t xml:space="preserve">the September 19, 2018 hearing and rescheduled </w:t>
      </w:r>
      <w:r w:rsidR="008C5AFE">
        <w:rPr>
          <w:rFonts w:eastAsiaTheme="minorHAnsi"/>
          <w:color w:val="000000"/>
          <w:sz w:val="26"/>
          <w:szCs w:val="26"/>
        </w:rPr>
        <w:t xml:space="preserve">a hearing in this proceeding </w:t>
      </w:r>
      <w:r w:rsidR="00085FF5">
        <w:rPr>
          <w:rFonts w:eastAsiaTheme="minorHAnsi"/>
          <w:color w:val="000000"/>
          <w:sz w:val="26"/>
          <w:szCs w:val="26"/>
        </w:rPr>
        <w:t>for October</w:t>
      </w:r>
      <w:r w:rsidR="00F662D7">
        <w:rPr>
          <w:rFonts w:eastAsiaTheme="minorHAnsi"/>
          <w:color w:val="000000"/>
          <w:sz w:val="26"/>
          <w:szCs w:val="26"/>
        </w:rPr>
        <w:t> </w:t>
      </w:r>
      <w:r w:rsidR="00085FF5">
        <w:rPr>
          <w:rFonts w:eastAsiaTheme="minorHAnsi"/>
          <w:color w:val="000000"/>
          <w:sz w:val="26"/>
          <w:szCs w:val="26"/>
        </w:rPr>
        <w:t>30, 2018</w:t>
      </w:r>
      <w:r w:rsidR="008C5AFE">
        <w:rPr>
          <w:rFonts w:eastAsiaTheme="minorHAnsi"/>
          <w:color w:val="000000"/>
          <w:sz w:val="26"/>
          <w:szCs w:val="26"/>
        </w:rPr>
        <w:t>,</w:t>
      </w:r>
      <w:r w:rsidR="00085FF5">
        <w:rPr>
          <w:rFonts w:eastAsiaTheme="minorHAnsi"/>
          <w:color w:val="000000"/>
          <w:sz w:val="26"/>
          <w:szCs w:val="26"/>
        </w:rPr>
        <w:t xml:space="preserve"> at 10:00 am</w:t>
      </w:r>
      <w:r w:rsidR="00F91FC0" w:rsidRPr="00F91FC0">
        <w:rPr>
          <w:rFonts w:eastAsiaTheme="minorHAnsi"/>
          <w:color w:val="000000"/>
          <w:sz w:val="26"/>
          <w:szCs w:val="26"/>
        </w:rPr>
        <w:t xml:space="preserve">. </w:t>
      </w:r>
      <w:r w:rsidR="00F465BA">
        <w:rPr>
          <w:rFonts w:eastAsiaTheme="minorHAnsi"/>
          <w:color w:val="000000"/>
          <w:sz w:val="26"/>
          <w:szCs w:val="26"/>
        </w:rPr>
        <w:t xml:space="preserve"> I.D. at 2.</w:t>
      </w:r>
    </w:p>
    <w:p w14:paraId="5B1DB721" w14:textId="1E0742DC" w:rsidR="00085FF5" w:rsidRDefault="00085FF5" w:rsidP="00027CB5">
      <w:pPr>
        <w:widowControl/>
        <w:autoSpaceDE w:val="0"/>
        <w:autoSpaceDN w:val="0"/>
        <w:adjustRightInd w:val="0"/>
        <w:spacing w:line="360" w:lineRule="auto"/>
        <w:ind w:firstLine="1440"/>
        <w:rPr>
          <w:rFonts w:eastAsiaTheme="minorHAnsi"/>
          <w:color w:val="000000"/>
          <w:sz w:val="26"/>
          <w:szCs w:val="26"/>
        </w:rPr>
      </w:pPr>
    </w:p>
    <w:p w14:paraId="179CAB8B" w14:textId="36DFAE1E" w:rsidR="00085FF5" w:rsidRDefault="00085FF5"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On October 24, 2018, </w:t>
      </w:r>
      <w:r w:rsidR="00F662D7">
        <w:rPr>
          <w:rFonts w:eastAsiaTheme="minorHAnsi"/>
          <w:color w:val="000000"/>
          <w:sz w:val="26"/>
          <w:szCs w:val="26"/>
        </w:rPr>
        <w:t xml:space="preserve">Lisa Willis, who identified herself as the sister of the Complainant, faxed </w:t>
      </w:r>
      <w:r>
        <w:rPr>
          <w:rFonts w:eastAsiaTheme="minorHAnsi"/>
          <w:color w:val="000000"/>
          <w:sz w:val="26"/>
          <w:szCs w:val="26"/>
        </w:rPr>
        <w:t>a written communication to ALJ Vero request</w:t>
      </w:r>
      <w:r w:rsidR="00F662D7">
        <w:rPr>
          <w:rFonts w:eastAsiaTheme="minorHAnsi"/>
          <w:color w:val="000000"/>
          <w:sz w:val="26"/>
          <w:szCs w:val="26"/>
        </w:rPr>
        <w:t xml:space="preserve">ing </w:t>
      </w:r>
      <w:r>
        <w:rPr>
          <w:rFonts w:eastAsiaTheme="minorHAnsi"/>
          <w:color w:val="000000"/>
          <w:sz w:val="26"/>
          <w:szCs w:val="26"/>
        </w:rPr>
        <w:t>a continuance of the October 30, 2018 hearing</w:t>
      </w:r>
      <w:r w:rsidR="00F662D7">
        <w:rPr>
          <w:rFonts w:eastAsiaTheme="minorHAnsi"/>
          <w:color w:val="000000"/>
          <w:sz w:val="26"/>
          <w:szCs w:val="26"/>
        </w:rPr>
        <w:t xml:space="preserve">.  Included with the communication was a </w:t>
      </w:r>
      <w:r>
        <w:rPr>
          <w:rFonts w:eastAsiaTheme="minorHAnsi"/>
          <w:color w:val="000000"/>
          <w:sz w:val="26"/>
          <w:szCs w:val="26"/>
        </w:rPr>
        <w:t>letter purporting to be from the Complainant’s doctor</w:t>
      </w:r>
      <w:r w:rsidR="00F812A1">
        <w:rPr>
          <w:rFonts w:eastAsiaTheme="minorHAnsi"/>
          <w:color w:val="000000"/>
          <w:sz w:val="26"/>
          <w:szCs w:val="26"/>
        </w:rPr>
        <w:t xml:space="preserve"> in support of the hearing continuance request</w:t>
      </w:r>
      <w:r>
        <w:rPr>
          <w:rFonts w:eastAsiaTheme="minorHAnsi"/>
          <w:color w:val="000000"/>
          <w:sz w:val="26"/>
          <w:szCs w:val="26"/>
        </w:rPr>
        <w:t>.</w:t>
      </w:r>
    </w:p>
    <w:p w14:paraId="53C9EBDF" w14:textId="046AAFFE" w:rsidR="00834EB8" w:rsidRDefault="00834EB8" w:rsidP="00027CB5">
      <w:pPr>
        <w:widowControl/>
        <w:autoSpaceDE w:val="0"/>
        <w:autoSpaceDN w:val="0"/>
        <w:adjustRightInd w:val="0"/>
        <w:spacing w:line="360" w:lineRule="auto"/>
        <w:ind w:firstLine="1440"/>
        <w:rPr>
          <w:rFonts w:eastAsiaTheme="minorHAnsi"/>
          <w:color w:val="000000"/>
          <w:sz w:val="26"/>
          <w:szCs w:val="26"/>
        </w:rPr>
      </w:pPr>
    </w:p>
    <w:p w14:paraId="12132294" w14:textId="195FE323" w:rsidR="00783660" w:rsidRDefault="00783660" w:rsidP="00783660">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The next day, on October 25, 2018, ALJ Vero issued an Order Denying the Complainant’s Second Request for a Continuance of Scheduled Hearing.  In the Order, </w:t>
      </w:r>
      <w:r>
        <w:rPr>
          <w:rFonts w:eastAsiaTheme="minorHAnsi"/>
          <w:color w:val="000000"/>
          <w:sz w:val="26"/>
          <w:szCs w:val="26"/>
        </w:rPr>
        <w:lastRenderedPageBreak/>
        <w:t xml:space="preserve">the ALJ found </w:t>
      </w:r>
      <w:r w:rsidR="00F662D7">
        <w:rPr>
          <w:rFonts w:eastAsiaTheme="minorHAnsi"/>
          <w:color w:val="000000"/>
          <w:sz w:val="26"/>
          <w:szCs w:val="26"/>
        </w:rPr>
        <w:t xml:space="preserve">that </w:t>
      </w:r>
      <w:r>
        <w:rPr>
          <w:rFonts w:eastAsiaTheme="minorHAnsi"/>
          <w:color w:val="000000"/>
          <w:sz w:val="26"/>
          <w:szCs w:val="26"/>
        </w:rPr>
        <w:t xml:space="preserve">the doctor’s letter lacked authenticity and, therefore, denied the request for a second continuance of the hearing.  Specifically, the ALJ discerned that the letterhead was missing the city, state and zip code of the medical office.  The ALJ noted that the letterhead included a telephone number with a Harrisburg area code and a fax number with a Philadelphia area code.  The ALJ stated that when she dialed the telephone number, the call was picked up by an answering machine which did not identify the owner and could </w:t>
      </w:r>
      <w:r w:rsidR="00F02C96">
        <w:rPr>
          <w:rFonts w:eastAsiaTheme="minorHAnsi"/>
          <w:color w:val="000000"/>
          <w:sz w:val="26"/>
          <w:szCs w:val="26"/>
        </w:rPr>
        <w:t xml:space="preserve">not </w:t>
      </w:r>
      <w:r>
        <w:rPr>
          <w:rFonts w:eastAsiaTheme="minorHAnsi"/>
          <w:color w:val="000000"/>
          <w:sz w:val="26"/>
          <w:szCs w:val="26"/>
        </w:rPr>
        <w:t xml:space="preserve">receive voice messages as it appeared to be full.  The </w:t>
      </w:r>
      <w:r w:rsidRPr="00C3073C">
        <w:rPr>
          <w:rFonts w:eastAsiaTheme="minorHAnsi"/>
          <w:color w:val="000000"/>
          <w:sz w:val="26"/>
          <w:szCs w:val="26"/>
        </w:rPr>
        <w:t>ALJ noted that t</w:t>
      </w:r>
      <w:r w:rsidRPr="00C3073C">
        <w:rPr>
          <w:sz w:val="26"/>
          <w:szCs w:val="26"/>
        </w:rPr>
        <w:t xml:space="preserve">he letter, which was addressed “To Whom It May Concern” and “strongly encourage(d) [the reader that] any appointments, etc., be rescheduled” after November 30, 2018, was carbon copied to the board of directors of the medical facility.  </w:t>
      </w:r>
      <w:r>
        <w:rPr>
          <w:rFonts w:eastAsiaTheme="minorHAnsi"/>
          <w:color w:val="000000"/>
          <w:sz w:val="26"/>
          <w:szCs w:val="26"/>
        </w:rPr>
        <w:t>The ALJ found that the letter provided such detailed information on the Complainant’s medical condition that it would be in violation of the Health Insurance Portability and Accountability Act of 1996 (HIPAA).  I.D. at 6.  Accordingly, the ALJ concluded that the authenticity of the doctor’s letter was doubtful and denied the second continuance of the hearing.  However, to accommodate any medical hardships the Complainant</w:t>
      </w:r>
      <w:r w:rsidR="00397869">
        <w:rPr>
          <w:rFonts w:eastAsiaTheme="minorHAnsi"/>
          <w:color w:val="000000"/>
          <w:sz w:val="26"/>
          <w:szCs w:val="26"/>
        </w:rPr>
        <w:t xml:space="preserve"> may have had</w:t>
      </w:r>
      <w:r>
        <w:rPr>
          <w:rFonts w:eastAsiaTheme="minorHAnsi"/>
          <w:color w:val="000000"/>
          <w:sz w:val="26"/>
          <w:szCs w:val="26"/>
        </w:rPr>
        <w:t xml:space="preserve">, the ALJ offered, in the Order, for </w:t>
      </w:r>
      <w:r w:rsidR="006126D4">
        <w:rPr>
          <w:rFonts w:eastAsiaTheme="minorHAnsi"/>
          <w:color w:val="000000"/>
          <w:sz w:val="26"/>
          <w:szCs w:val="26"/>
        </w:rPr>
        <w:t xml:space="preserve">the Complainant </w:t>
      </w:r>
      <w:r>
        <w:rPr>
          <w:rFonts w:eastAsiaTheme="minorHAnsi"/>
          <w:color w:val="000000"/>
          <w:sz w:val="26"/>
          <w:szCs w:val="26"/>
        </w:rPr>
        <w:t>to attend the upcoming hearing via telephone.  I.D. at 2-3.</w:t>
      </w:r>
    </w:p>
    <w:p w14:paraId="1D513510" w14:textId="77777777" w:rsidR="00783660" w:rsidRDefault="00783660" w:rsidP="00027CB5">
      <w:pPr>
        <w:widowControl/>
        <w:autoSpaceDE w:val="0"/>
        <w:autoSpaceDN w:val="0"/>
        <w:adjustRightInd w:val="0"/>
        <w:spacing w:line="360" w:lineRule="auto"/>
        <w:ind w:firstLine="1440"/>
        <w:rPr>
          <w:rFonts w:eastAsiaTheme="minorHAnsi"/>
          <w:color w:val="000000"/>
          <w:sz w:val="26"/>
          <w:szCs w:val="26"/>
        </w:rPr>
      </w:pPr>
    </w:p>
    <w:p w14:paraId="4439CFB4" w14:textId="6F160D4A" w:rsidR="00855DF5" w:rsidRDefault="00855DF5"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On or about October 26, 2018, a woman</w:t>
      </w:r>
      <w:r w:rsidR="00B20EEF">
        <w:rPr>
          <w:rFonts w:eastAsiaTheme="minorHAnsi"/>
          <w:color w:val="000000"/>
          <w:sz w:val="26"/>
          <w:szCs w:val="26"/>
        </w:rPr>
        <w:t>,</w:t>
      </w:r>
      <w:r>
        <w:rPr>
          <w:rFonts w:eastAsiaTheme="minorHAnsi"/>
          <w:color w:val="000000"/>
          <w:sz w:val="26"/>
          <w:szCs w:val="26"/>
        </w:rPr>
        <w:t xml:space="preserve"> who identified herself as Lisa Willis</w:t>
      </w:r>
      <w:r w:rsidR="00B20EEF">
        <w:rPr>
          <w:rFonts w:eastAsiaTheme="minorHAnsi"/>
          <w:color w:val="000000"/>
          <w:sz w:val="26"/>
          <w:szCs w:val="26"/>
        </w:rPr>
        <w:t>,</w:t>
      </w:r>
      <w:r>
        <w:rPr>
          <w:rFonts w:eastAsiaTheme="minorHAnsi"/>
          <w:color w:val="000000"/>
          <w:sz w:val="26"/>
          <w:szCs w:val="26"/>
        </w:rPr>
        <w:t xml:space="preserve"> contacted the Commission’s Philadelphia Office inquiring about the request for a continuance of the October 30, 2018, hearing.  She was informed that the request was not granted and that the hearing would take place as scheduled.  Lisa Willis responded that </w:t>
      </w:r>
      <w:r w:rsidR="00733FBF">
        <w:rPr>
          <w:rFonts w:eastAsiaTheme="minorHAnsi"/>
          <w:color w:val="000000"/>
          <w:sz w:val="26"/>
          <w:szCs w:val="26"/>
        </w:rPr>
        <w:t>the Complainant</w:t>
      </w:r>
      <w:r>
        <w:rPr>
          <w:rFonts w:eastAsiaTheme="minorHAnsi"/>
          <w:color w:val="000000"/>
          <w:sz w:val="26"/>
          <w:szCs w:val="26"/>
        </w:rPr>
        <w:t xml:space="preserve"> would not attend the hearing.  I.D. at 3.</w:t>
      </w:r>
    </w:p>
    <w:p w14:paraId="2D09F138" w14:textId="7177C4BC" w:rsidR="00855DF5" w:rsidRDefault="00855DF5" w:rsidP="00027CB5">
      <w:pPr>
        <w:widowControl/>
        <w:autoSpaceDE w:val="0"/>
        <w:autoSpaceDN w:val="0"/>
        <w:adjustRightInd w:val="0"/>
        <w:spacing w:line="360" w:lineRule="auto"/>
        <w:ind w:firstLine="1440"/>
        <w:rPr>
          <w:rFonts w:eastAsiaTheme="minorHAnsi"/>
          <w:color w:val="000000"/>
          <w:sz w:val="26"/>
          <w:szCs w:val="26"/>
        </w:rPr>
      </w:pPr>
    </w:p>
    <w:p w14:paraId="1AC366DF" w14:textId="23406263" w:rsidR="00855DF5" w:rsidRPr="00F91FC0" w:rsidRDefault="00855DF5"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On October 29, 2018, the Complainant faxed a letter to the ALJ reiterating the request for a continuance of the hearing.  I.D. at 3.</w:t>
      </w:r>
    </w:p>
    <w:p w14:paraId="4B4C0001" w14:textId="77777777" w:rsidR="00F91FC0" w:rsidRPr="00F91FC0" w:rsidRDefault="00F91FC0" w:rsidP="00027CB5">
      <w:pPr>
        <w:widowControl/>
        <w:autoSpaceDE w:val="0"/>
        <w:autoSpaceDN w:val="0"/>
        <w:adjustRightInd w:val="0"/>
        <w:spacing w:line="360" w:lineRule="auto"/>
        <w:ind w:firstLine="1440"/>
        <w:rPr>
          <w:rFonts w:eastAsiaTheme="minorHAnsi"/>
          <w:color w:val="000000"/>
          <w:sz w:val="26"/>
          <w:szCs w:val="26"/>
        </w:rPr>
      </w:pPr>
    </w:p>
    <w:p w14:paraId="5580E80A" w14:textId="1C0203B8" w:rsidR="009619E7" w:rsidRDefault="0066095F"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w:t>
      </w:r>
      <w:r w:rsidR="00F91FC0" w:rsidRPr="00F91FC0">
        <w:rPr>
          <w:rFonts w:eastAsiaTheme="minorHAnsi"/>
          <w:color w:val="000000"/>
          <w:sz w:val="26"/>
          <w:szCs w:val="26"/>
        </w:rPr>
        <w:t xml:space="preserve">n </w:t>
      </w:r>
      <w:r w:rsidR="00855DF5">
        <w:rPr>
          <w:rFonts w:eastAsiaTheme="minorHAnsi"/>
          <w:color w:val="000000"/>
          <w:sz w:val="26"/>
          <w:szCs w:val="26"/>
        </w:rPr>
        <w:t>October</w:t>
      </w:r>
      <w:r w:rsidR="00B46AD4">
        <w:rPr>
          <w:rFonts w:eastAsiaTheme="minorHAnsi"/>
          <w:color w:val="000000"/>
          <w:sz w:val="26"/>
          <w:szCs w:val="26"/>
        </w:rPr>
        <w:t xml:space="preserve"> </w:t>
      </w:r>
      <w:r w:rsidR="00855DF5">
        <w:rPr>
          <w:rFonts w:eastAsiaTheme="minorHAnsi"/>
          <w:color w:val="000000"/>
          <w:sz w:val="26"/>
          <w:szCs w:val="26"/>
        </w:rPr>
        <w:t>30</w:t>
      </w:r>
      <w:r w:rsidR="00F91FC0" w:rsidRPr="00F91FC0">
        <w:rPr>
          <w:rFonts w:eastAsiaTheme="minorHAnsi"/>
          <w:color w:val="000000"/>
          <w:sz w:val="26"/>
          <w:szCs w:val="26"/>
        </w:rPr>
        <w:t>, 201</w:t>
      </w:r>
      <w:r w:rsidR="00855DF5">
        <w:rPr>
          <w:rFonts w:eastAsiaTheme="minorHAnsi"/>
          <w:color w:val="000000"/>
          <w:sz w:val="26"/>
          <w:szCs w:val="26"/>
        </w:rPr>
        <w:t>8</w:t>
      </w:r>
      <w:r w:rsidR="00F91FC0" w:rsidRPr="00F91FC0">
        <w:rPr>
          <w:rFonts w:eastAsiaTheme="minorHAnsi"/>
          <w:color w:val="000000"/>
          <w:sz w:val="26"/>
          <w:szCs w:val="26"/>
        </w:rPr>
        <w:t>,</w:t>
      </w:r>
      <w:r w:rsidR="00B46AD4">
        <w:rPr>
          <w:rFonts w:eastAsiaTheme="minorHAnsi"/>
          <w:color w:val="000000"/>
          <w:sz w:val="26"/>
          <w:szCs w:val="26"/>
        </w:rPr>
        <w:t xml:space="preserve"> ALJ </w:t>
      </w:r>
      <w:r w:rsidR="00855DF5">
        <w:rPr>
          <w:rFonts w:eastAsiaTheme="minorHAnsi"/>
          <w:color w:val="000000"/>
          <w:sz w:val="26"/>
          <w:szCs w:val="26"/>
        </w:rPr>
        <w:t xml:space="preserve">Vero </w:t>
      </w:r>
      <w:r>
        <w:rPr>
          <w:rFonts w:eastAsiaTheme="minorHAnsi"/>
          <w:color w:val="000000"/>
          <w:sz w:val="26"/>
          <w:szCs w:val="26"/>
        </w:rPr>
        <w:t xml:space="preserve">convened the hearing as scheduled. </w:t>
      </w:r>
      <w:r w:rsidR="00F91FC0" w:rsidRPr="00F91FC0">
        <w:rPr>
          <w:rFonts w:eastAsiaTheme="minorHAnsi"/>
          <w:color w:val="000000"/>
          <w:sz w:val="26"/>
          <w:szCs w:val="26"/>
        </w:rPr>
        <w:t xml:space="preserve"> </w:t>
      </w:r>
      <w:r w:rsidR="00B46AD4">
        <w:rPr>
          <w:rFonts w:eastAsiaTheme="minorHAnsi"/>
          <w:color w:val="000000"/>
          <w:sz w:val="26"/>
          <w:szCs w:val="26"/>
        </w:rPr>
        <w:t xml:space="preserve">Counsel for </w:t>
      </w:r>
      <w:r w:rsidR="00F3319A">
        <w:rPr>
          <w:rFonts w:eastAsiaTheme="minorHAnsi"/>
          <w:color w:val="000000"/>
          <w:sz w:val="26"/>
          <w:szCs w:val="26"/>
        </w:rPr>
        <w:t>PECO</w:t>
      </w:r>
      <w:r w:rsidR="00B46AD4">
        <w:rPr>
          <w:rFonts w:eastAsiaTheme="minorHAnsi"/>
          <w:color w:val="000000"/>
          <w:sz w:val="26"/>
          <w:szCs w:val="26"/>
        </w:rPr>
        <w:t xml:space="preserve"> was present and was prepared to proceed.  </w:t>
      </w:r>
      <w:r w:rsidR="00F3319A">
        <w:rPr>
          <w:rFonts w:eastAsiaTheme="minorHAnsi"/>
          <w:color w:val="000000"/>
          <w:sz w:val="26"/>
          <w:szCs w:val="26"/>
        </w:rPr>
        <w:t xml:space="preserve">The Complainant did not appear in person or by telephone.  </w:t>
      </w:r>
      <w:r w:rsidR="00855DF5">
        <w:rPr>
          <w:rFonts w:eastAsiaTheme="minorHAnsi"/>
          <w:color w:val="000000"/>
          <w:sz w:val="26"/>
          <w:szCs w:val="26"/>
        </w:rPr>
        <w:t xml:space="preserve">ALJ Vero placed a call to the </w:t>
      </w:r>
      <w:r w:rsidR="00F91FC0" w:rsidRPr="00B46AD4">
        <w:rPr>
          <w:rFonts w:eastAsiaTheme="minorHAnsi"/>
          <w:color w:val="000000"/>
          <w:sz w:val="26"/>
          <w:szCs w:val="26"/>
        </w:rPr>
        <w:t>Compl</w:t>
      </w:r>
      <w:r w:rsidR="00B46AD4" w:rsidRPr="00B46AD4">
        <w:rPr>
          <w:rFonts w:eastAsiaTheme="minorHAnsi"/>
          <w:color w:val="000000"/>
          <w:sz w:val="26"/>
          <w:szCs w:val="26"/>
        </w:rPr>
        <w:t xml:space="preserve">ainant </w:t>
      </w:r>
      <w:r w:rsidR="00855DF5">
        <w:rPr>
          <w:rFonts w:eastAsiaTheme="minorHAnsi"/>
          <w:color w:val="000000"/>
          <w:sz w:val="26"/>
          <w:szCs w:val="26"/>
        </w:rPr>
        <w:t xml:space="preserve">at the </w:t>
      </w:r>
      <w:r w:rsidR="00855DF5">
        <w:rPr>
          <w:rFonts w:eastAsiaTheme="minorHAnsi"/>
          <w:color w:val="000000"/>
          <w:sz w:val="26"/>
          <w:szCs w:val="26"/>
        </w:rPr>
        <w:lastRenderedPageBreak/>
        <w:t xml:space="preserve">telephone number entered in her formal Complaint.  The call was picked up by a woman who identified herself as Lisa Willis.  Lisa Willis stated that she was the Complainant’s </w:t>
      </w:r>
      <w:r w:rsidR="00FE7946">
        <w:rPr>
          <w:rFonts w:eastAsiaTheme="minorHAnsi"/>
          <w:color w:val="000000"/>
          <w:sz w:val="26"/>
          <w:szCs w:val="26"/>
        </w:rPr>
        <w:t xml:space="preserve">sister and </w:t>
      </w:r>
      <w:r w:rsidR="00855DF5">
        <w:rPr>
          <w:rFonts w:eastAsiaTheme="minorHAnsi"/>
          <w:color w:val="000000"/>
          <w:sz w:val="26"/>
          <w:szCs w:val="26"/>
        </w:rPr>
        <w:t>caretaker, and that the Complainant was not available for the hearing since she had just left to attend a therapy session</w:t>
      </w:r>
      <w:r w:rsidR="00FE7946">
        <w:rPr>
          <w:rFonts w:eastAsiaTheme="minorHAnsi"/>
          <w:color w:val="000000"/>
          <w:sz w:val="26"/>
          <w:szCs w:val="26"/>
        </w:rPr>
        <w:t xml:space="preserve">.  Lisa Willis </w:t>
      </w:r>
      <w:r w:rsidR="009619E7">
        <w:rPr>
          <w:rFonts w:eastAsiaTheme="minorHAnsi"/>
          <w:color w:val="000000"/>
          <w:sz w:val="26"/>
          <w:szCs w:val="26"/>
        </w:rPr>
        <w:t xml:space="preserve">could not provide a time when the </w:t>
      </w:r>
      <w:r w:rsidR="00FE7946">
        <w:rPr>
          <w:rFonts w:eastAsiaTheme="minorHAnsi"/>
          <w:color w:val="000000"/>
          <w:sz w:val="26"/>
          <w:szCs w:val="26"/>
        </w:rPr>
        <w:t xml:space="preserve">Complainant’s </w:t>
      </w:r>
      <w:r w:rsidR="009619E7">
        <w:rPr>
          <w:rFonts w:eastAsiaTheme="minorHAnsi"/>
          <w:color w:val="000000"/>
          <w:sz w:val="26"/>
          <w:szCs w:val="26"/>
        </w:rPr>
        <w:t xml:space="preserve">therapy session would be over.  </w:t>
      </w:r>
      <w:r w:rsidR="009619E7" w:rsidRPr="009A106C">
        <w:rPr>
          <w:sz w:val="26"/>
          <w:szCs w:val="26"/>
        </w:rPr>
        <w:t xml:space="preserve">PECO moved that the Complaint be dismissed </w:t>
      </w:r>
      <w:r w:rsidR="009619E7" w:rsidRPr="00F3319A">
        <w:rPr>
          <w:sz w:val="26"/>
          <w:szCs w:val="26"/>
        </w:rPr>
        <w:t>with prejudice</w:t>
      </w:r>
      <w:r w:rsidR="009619E7" w:rsidRPr="009A106C">
        <w:rPr>
          <w:sz w:val="26"/>
          <w:szCs w:val="26"/>
        </w:rPr>
        <w:t xml:space="preserve"> for lack of prosecution pursuant to 52 Pa.</w:t>
      </w:r>
      <w:r w:rsidR="009619E7">
        <w:rPr>
          <w:sz w:val="26"/>
          <w:szCs w:val="26"/>
        </w:rPr>
        <w:t xml:space="preserve"> </w:t>
      </w:r>
      <w:r w:rsidR="009619E7" w:rsidRPr="009A106C">
        <w:rPr>
          <w:sz w:val="26"/>
          <w:szCs w:val="26"/>
        </w:rPr>
        <w:t>Code § 5.245.</w:t>
      </w:r>
      <w:r w:rsidR="009619E7">
        <w:rPr>
          <w:sz w:val="26"/>
          <w:szCs w:val="26"/>
        </w:rPr>
        <w:t xml:space="preserve">  I.D. at 3.</w:t>
      </w:r>
      <w:r w:rsidR="00F3319A">
        <w:rPr>
          <w:sz w:val="26"/>
          <w:szCs w:val="26"/>
        </w:rPr>
        <w:t xml:space="preserve">  The ALJ took PECO’s motion to dismiss under advisement.  Tr. at 9.</w:t>
      </w:r>
    </w:p>
    <w:p w14:paraId="0A469602" w14:textId="77777777" w:rsidR="009A106C" w:rsidRDefault="009A106C" w:rsidP="00027CB5">
      <w:pPr>
        <w:widowControl/>
        <w:autoSpaceDE w:val="0"/>
        <w:autoSpaceDN w:val="0"/>
        <w:adjustRightInd w:val="0"/>
        <w:spacing w:line="360" w:lineRule="auto"/>
        <w:ind w:firstLine="1440"/>
        <w:rPr>
          <w:sz w:val="23"/>
          <w:szCs w:val="23"/>
        </w:rPr>
      </w:pPr>
    </w:p>
    <w:p w14:paraId="50F5786F" w14:textId="1C85E306" w:rsidR="0066095F" w:rsidRDefault="009A106C" w:rsidP="00027CB5">
      <w:pPr>
        <w:widowControl/>
        <w:spacing w:line="360" w:lineRule="auto"/>
        <w:ind w:firstLine="1440"/>
        <w:rPr>
          <w:rFonts w:eastAsiaTheme="minorHAnsi"/>
          <w:color w:val="000000"/>
          <w:sz w:val="26"/>
          <w:szCs w:val="26"/>
        </w:rPr>
      </w:pPr>
      <w:r>
        <w:rPr>
          <w:rFonts w:eastAsiaTheme="minorHAnsi"/>
          <w:color w:val="000000"/>
          <w:sz w:val="26"/>
          <w:szCs w:val="26"/>
        </w:rPr>
        <w:t xml:space="preserve">The record closed on </w:t>
      </w:r>
      <w:r w:rsidR="009619E7">
        <w:rPr>
          <w:rFonts w:eastAsiaTheme="minorHAnsi"/>
          <w:color w:val="000000"/>
          <w:sz w:val="26"/>
          <w:szCs w:val="26"/>
        </w:rPr>
        <w:t>December 3, 2018,</w:t>
      </w:r>
      <w:r w:rsidR="00F91FC0" w:rsidRPr="00F91FC0">
        <w:rPr>
          <w:rFonts w:eastAsiaTheme="minorHAnsi"/>
          <w:color w:val="000000"/>
          <w:sz w:val="26"/>
          <w:szCs w:val="26"/>
        </w:rPr>
        <w:t xml:space="preserve"> </w:t>
      </w:r>
      <w:r>
        <w:rPr>
          <w:rFonts w:eastAsiaTheme="minorHAnsi"/>
          <w:color w:val="000000"/>
          <w:sz w:val="26"/>
          <w:szCs w:val="26"/>
        </w:rPr>
        <w:t xml:space="preserve">when ALJ </w:t>
      </w:r>
      <w:r w:rsidR="009619E7">
        <w:rPr>
          <w:rFonts w:eastAsiaTheme="minorHAnsi"/>
          <w:color w:val="000000"/>
          <w:sz w:val="26"/>
          <w:szCs w:val="26"/>
        </w:rPr>
        <w:t xml:space="preserve">Vero </w:t>
      </w:r>
      <w:r>
        <w:rPr>
          <w:rFonts w:eastAsiaTheme="minorHAnsi"/>
          <w:color w:val="000000"/>
          <w:sz w:val="26"/>
          <w:szCs w:val="26"/>
        </w:rPr>
        <w:t>received the hearing transcript</w:t>
      </w:r>
      <w:r w:rsidR="00F91FC0" w:rsidRPr="00F91FC0">
        <w:rPr>
          <w:rFonts w:eastAsiaTheme="minorHAnsi"/>
          <w:color w:val="000000"/>
          <w:sz w:val="26"/>
          <w:szCs w:val="26"/>
        </w:rPr>
        <w:t xml:space="preserve">. </w:t>
      </w:r>
      <w:r w:rsidR="00F465BA">
        <w:rPr>
          <w:rFonts w:eastAsiaTheme="minorHAnsi"/>
          <w:color w:val="000000"/>
          <w:sz w:val="26"/>
          <w:szCs w:val="26"/>
        </w:rPr>
        <w:t xml:space="preserve"> I.D. at </w:t>
      </w:r>
      <w:r w:rsidR="009619E7">
        <w:rPr>
          <w:rFonts w:eastAsiaTheme="minorHAnsi"/>
          <w:color w:val="000000"/>
          <w:sz w:val="26"/>
          <w:szCs w:val="26"/>
        </w:rPr>
        <w:t>3</w:t>
      </w:r>
      <w:r w:rsidR="00F465BA">
        <w:rPr>
          <w:rFonts w:eastAsiaTheme="minorHAnsi"/>
          <w:color w:val="000000"/>
          <w:sz w:val="26"/>
          <w:szCs w:val="26"/>
        </w:rPr>
        <w:t>.</w:t>
      </w:r>
    </w:p>
    <w:p w14:paraId="1D7C2CD2" w14:textId="77777777" w:rsidR="00A4385A" w:rsidRDefault="00A4385A" w:rsidP="00027CB5">
      <w:pPr>
        <w:widowControl/>
        <w:spacing w:line="360" w:lineRule="auto"/>
        <w:ind w:firstLine="1440"/>
        <w:rPr>
          <w:rFonts w:eastAsiaTheme="minorHAnsi"/>
          <w:color w:val="000000"/>
          <w:sz w:val="26"/>
          <w:szCs w:val="26"/>
        </w:rPr>
      </w:pPr>
    </w:p>
    <w:p w14:paraId="265F2E1F" w14:textId="271D29CD" w:rsidR="00AC6661" w:rsidRDefault="0066095F" w:rsidP="00027CB5">
      <w:pPr>
        <w:widowControl/>
        <w:spacing w:line="360" w:lineRule="auto"/>
        <w:ind w:firstLine="1440"/>
        <w:rPr>
          <w:rFonts w:eastAsiaTheme="minorHAnsi"/>
          <w:color w:val="000000"/>
          <w:sz w:val="26"/>
          <w:szCs w:val="26"/>
        </w:rPr>
      </w:pPr>
      <w:r>
        <w:rPr>
          <w:rFonts w:eastAsiaTheme="minorHAnsi"/>
          <w:color w:val="000000"/>
          <w:sz w:val="26"/>
          <w:szCs w:val="26"/>
        </w:rPr>
        <w:t xml:space="preserve">On </w:t>
      </w:r>
      <w:r w:rsidR="00A4385A">
        <w:rPr>
          <w:rFonts w:eastAsiaTheme="minorHAnsi"/>
          <w:color w:val="000000"/>
          <w:sz w:val="26"/>
          <w:szCs w:val="26"/>
        </w:rPr>
        <w:t>March 5</w:t>
      </w:r>
      <w:r>
        <w:rPr>
          <w:rFonts w:eastAsiaTheme="minorHAnsi"/>
          <w:color w:val="000000"/>
          <w:sz w:val="26"/>
          <w:szCs w:val="26"/>
        </w:rPr>
        <w:t>, 201</w:t>
      </w:r>
      <w:r w:rsidR="00A4385A">
        <w:rPr>
          <w:rFonts w:eastAsiaTheme="minorHAnsi"/>
          <w:color w:val="000000"/>
          <w:sz w:val="26"/>
          <w:szCs w:val="26"/>
        </w:rPr>
        <w:t>9</w:t>
      </w:r>
      <w:r>
        <w:rPr>
          <w:rFonts w:eastAsiaTheme="minorHAnsi"/>
          <w:color w:val="000000"/>
          <w:sz w:val="26"/>
          <w:szCs w:val="26"/>
        </w:rPr>
        <w:t xml:space="preserve">, the Initial Decision of ALJ </w:t>
      </w:r>
      <w:r w:rsidR="00A4385A">
        <w:rPr>
          <w:rFonts w:eastAsiaTheme="minorHAnsi"/>
          <w:color w:val="000000"/>
          <w:sz w:val="26"/>
          <w:szCs w:val="26"/>
        </w:rPr>
        <w:t>Vero</w:t>
      </w:r>
      <w:r>
        <w:rPr>
          <w:rFonts w:eastAsiaTheme="minorHAnsi"/>
          <w:color w:val="000000"/>
          <w:sz w:val="26"/>
          <w:szCs w:val="26"/>
        </w:rPr>
        <w:t xml:space="preserve"> was </w:t>
      </w:r>
      <w:r w:rsidR="00B55E2B">
        <w:rPr>
          <w:rFonts w:eastAsiaTheme="minorHAnsi"/>
          <w:color w:val="000000"/>
          <w:sz w:val="26"/>
          <w:szCs w:val="26"/>
        </w:rPr>
        <w:t>served on the Parties</w:t>
      </w:r>
      <w:r w:rsidR="00140ABF">
        <w:rPr>
          <w:rFonts w:eastAsiaTheme="minorHAnsi"/>
          <w:color w:val="000000"/>
          <w:sz w:val="26"/>
          <w:szCs w:val="26"/>
        </w:rPr>
        <w:t xml:space="preserve"> by Commission Secretarial Letter.  The Initial Decision granted</w:t>
      </w:r>
      <w:r>
        <w:rPr>
          <w:rFonts w:eastAsiaTheme="minorHAnsi"/>
          <w:color w:val="000000"/>
          <w:sz w:val="26"/>
          <w:szCs w:val="26"/>
        </w:rPr>
        <w:t xml:space="preserve"> </w:t>
      </w:r>
      <w:r w:rsidR="00B55E2B">
        <w:rPr>
          <w:rFonts w:eastAsiaTheme="minorHAnsi"/>
          <w:color w:val="000000"/>
          <w:sz w:val="26"/>
          <w:szCs w:val="26"/>
        </w:rPr>
        <w:t>PECO’s</w:t>
      </w:r>
      <w:r w:rsidR="00F91FC0" w:rsidRPr="00F91FC0">
        <w:rPr>
          <w:rFonts w:eastAsiaTheme="minorHAnsi"/>
          <w:color w:val="000000"/>
          <w:sz w:val="26"/>
          <w:szCs w:val="26"/>
        </w:rPr>
        <w:t xml:space="preserve"> motion </w:t>
      </w:r>
      <w:r>
        <w:rPr>
          <w:rFonts w:eastAsiaTheme="minorHAnsi"/>
          <w:color w:val="000000"/>
          <w:sz w:val="26"/>
          <w:szCs w:val="26"/>
        </w:rPr>
        <w:t>and dismiss</w:t>
      </w:r>
      <w:r w:rsidR="00140ABF">
        <w:rPr>
          <w:rFonts w:eastAsiaTheme="minorHAnsi"/>
          <w:color w:val="000000"/>
          <w:sz w:val="26"/>
          <w:szCs w:val="26"/>
        </w:rPr>
        <w:t>ed</w:t>
      </w:r>
      <w:r>
        <w:rPr>
          <w:rFonts w:eastAsiaTheme="minorHAnsi"/>
          <w:color w:val="000000"/>
          <w:sz w:val="26"/>
          <w:szCs w:val="26"/>
        </w:rPr>
        <w:t xml:space="preserve"> the complaint </w:t>
      </w:r>
      <w:r w:rsidRPr="00B55E2B">
        <w:rPr>
          <w:rFonts w:eastAsiaTheme="minorHAnsi"/>
          <w:color w:val="000000"/>
          <w:sz w:val="26"/>
          <w:szCs w:val="26"/>
        </w:rPr>
        <w:t>with prejudice</w:t>
      </w:r>
      <w:r>
        <w:rPr>
          <w:rFonts w:eastAsiaTheme="minorHAnsi"/>
          <w:color w:val="000000"/>
          <w:sz w:val="26"/>
          <w:szCs w:val="26"/>
        </w:rPr>
        <w:t xml:space="preserve">. </w:t>
      </w:r>
      <w:r w:rsidR="00140ABF">
        <w:rPr>
          <w:rFonts w:eastAsiaTheme="minorHAnsi"/>
          <w:color w:val="000000"/>
          <w:sz w:val="26"/>
          <w:szCs w:val="26"/>
        </w:rPr>
        <w:t xml:space="preserve"> </w:t>
      </w:r>
    </w:p>
    <w:p w14:paraId="2C793301" w14:textId="77777777" w:rsidR="0066095F" w:rsidRDefault="0066095F" w:rsidP="00027CB5">
      <w:pPr>
        <w:widowControl/>
        <w:spacing w:line="360" w:lineRule="auto"/>
        <w:ind w:firstLine="1440"/>
        <w:rPr>
          <w:rFonts w:eastAsiaTheme="minorHAnsi"/>
          <w:color w:val="000000"/>
          <w:sz w:val="26"/>
          <w:szCs w:val="26"/>
        </w:rPr>
      </w:pPr>
    </w:p>
    <w:p w14:paraId="4DE5DB59" w14:textId="2F8D8573" w:rsidR="007868AD" w:rsidRDefault="00B55E2B" w:rsidP="00027CB5">
      <w:pPr>
        <w:widowControl/>
        <w:spacing w:line="360" w:lineRule="auto"/>
        <w:ind w:firstLine="1440"/>
        <w:rPr>
          <w:sz w:val="26"/>
          <w:szCs w:val="26"/>
        </w:rPr>
      </w:pPr>
      <w:r>
        <w:rPr>
          <w:sz w:val="26"/>
          <w:szCs w:val="26"/>
        </w:rPr>
        <w:t>On March 25, 2019, t</w:t>
      </w:r>
      <w:r w:rsidR="0066095F">
        <w:rPr>
          <w:sz w:val="26"/>
          <w:szCs w:val="26"/>
        </w:rPr>
        <w:t>he Complainan</w:t>
      </w:r>
      <w:r w:rsidR="00CA1BEF">
        <w:rPr>
          <w:sz w:val="26"/>
          <w:szCs w:val="26"/>
        </w:rPr>
        <w:t>t</w:t>
      </w:r>
      <w:r w:rsidR="0066095F">
        <w:rPr>
          <w:sz w:val="26"/>
          <w:szCs w:val="26"/>
        </w:rPr>
        <w:t xml:space="preserve"> filed Exceptions</w:t>
      </w:r>
      <w:r w:rsidR="00CA1BEF">
        <w:rPr>
          <w:sz w:val="26"/>
          <w:szCs w:val="26"/>
        </w:rPr>
        <w:t xml:space="preserve"> to the Initial Decision</w:t>
      </w:r>
      <w:r w:rsidR="0066095F">
        <w:rPr>
          <w:sz w:val="26"/>
          <w:szCs w:val="26"/>
        </w:rPr>
        <w:t xml:space="preserve">.  </w:t>
      </w:r>
    </w:p>
    <w:p w14:paraId="634546C5" w14:textId="77777777" w:rsidR="00B55E2B" w:rsidRDefault="00B55E2B" w:rsidP="00027CB5">
      <w:pPr>
        <w:widowControl/>
        <w:spacing w:line="360" w:lineRule="auto"/>
        <w:ind w:firstLine="1440"/>
        <w:rPr>
          <w:sz w:val="26"/>
          <w:szCs w:val="26"/>
        </w:rPr>
      </w:pPr>
    </w:p>
    <w:p w14:paraId="5668550F" w14:textId="31BD0A36" w:rsidR="0066095F" w:rsidRDefault="007868AD" w:rsidP="00027CB5">
      <w:pPr>
        <w:widowControl/>
        <w:spacing w:line="360" w:lineRule="auto"/>
        <w:ind w:firstLine="1440"/>
        <w:rPr>
          <w:sz w:val="26"/>
          <w:szCs w:val="26"/>
        </w:rPr>
      </w:pPr>
      <w:r>
        <w:rPr>
          <w:sz w:val="26"/>
          <w:szCs w:val="26"/>
        </w:rPr>
        <w:t xml:space="preserve">PECO </w:t>
      </w:r>
      <w:r w:rsidR="009D61A3">
        <w:rPr>
          <w:sz w:val="26"/>
          <w:szCs w:val="26"/>
        </w:rPr>
        <w:t xml:space="preserve">did not </w:t>
      </w:r>
      <w:r w:rsidR="00140ABF">
        <w:rPr>
          <w:sz w:val="26"/>
          <w:szCs w:val="26"/>
        </w:rPr>
        <w:t>file Replies to Exceptions.</w:t>
      </w:r>
    </w:p>
    <w:p w14:paraId="7B940453" w14:textId="77777777" w:rsidR="0066095F" w:rsidRPr="00F91FC0" w:rsidRDefault="0066095F" w:rsidP="00027CB5">
      <w:pPr>
        <w:widowControl/>
        <w:spacing w:line="360" w:lineRule="auto"/>
        <w:rPr>
          <w:b/>
          <w:sz w:val="26"/>
          <w:szCs w:val="26"/>
        </w:rPr>
      </w:pPr>
    </w:p>
    <w:p w14:paraId="7876E939" w14:textId="77777777" w:rsidR="001F0176" w:rsidRDefault="001F0176" w:rsidP="00AC4B41">
      <w:pPr>
        <w:keepNext/>
        <w:keepLines/>
        <w:widowControl/>
        <w:spacing w:after="160" w:line="259" w:lineRule="auto"/>
        <w:jc w:val="center"/>
        <w:rPr>
          <w:b/>
          <w:sz w:val="26"/>
          <w:szCs w:val="26"/>
        </w:rPr>
      </w:pPr>
      <w:r w:rsidRPr="00FC3806">
        <w:rPr>
          <w:b/>
          <w:sz w:val="26"/>
          <w:szCs w:val="26"/>
        </w:rPr>
        <w:t>Discussion</w:t>
      </w:r>
    </w:p>
    <w:p w14:paraId="04DE2054" w14:textId="77777777" w:rsidR="00AC6661" w:rsidRDefault="00AC6661" w:rsidP="00AC4B41">
      <w:pPr>
        <w:keepNext/>
        <w:keepLines/>
        <w:widowControl/>
        <w:overflowPunct w:val="0"/>
        <w:autoSpaceDE w:val="0"/>
        <w:autoSpaceDN w:val="0"/>
        <w:adjustRightInd w:val="0"/>
        <w:spacing w:line="360" w:lineRule="auto"/>
        <w:ind w:firstLine="1440"/>
        <w:textAlignment w:val="baseline"/>
        <w:rPr>
          <w:sz w:val="26"/>
          <w:szCs w:val="26"/>
        </w:rPr>
      </w:pPr>
    </w:p>
    <w:p w14:paraId="2D4272DE" w14:textId="77777777" w:rsidR="001F0176" w:rsidRPr="00FC3806" w:rsidRDefault="001F0176" w:rsidP="00AC4B41">
      <w:pPr>
        <w:keepNext/>
        <w:keepLines/>
        <w:widowControl/>
        <w:spacing w:line="360" w:lineRule="auto"/>
        <w:rPr>
          <w:b/>
          <w:sz w:val="26"/>
          <w:szCs w:val="26"/>
        </w:rPr>
      </w:pPr>
      <w:r w:rsidRPr="00FC3806">
        <w:rPr>
          <w:b/>
          <w:sz w:val="26"/>
          <w:szCs w:val="26"/>
        </w:rPr>
        <w:t>Legal Standard</w:t>
      </w:r>
      <w:r w:rsidR="009C0A32">
        <w:rPr>
          <w:b/>
          <w:sz w:val="26"/>
          <w:szCs w:val="26"/>
        </w:rPr>
        <w:t>s</w:t>
      </w:r>
    </w:p>
    <w:p w14:paraId="693D7E5F" w14:textId="77777777" w:rsidR="001F0176" w:rsidRDefault="001F0176" w:rsidP="00AC4B41">
      <w:pPr>
        <w:keepNext/>
        <w:keepLines/>
        <w:widowControl/>
        <w:spacing w:line="360" w:lineRule="auto"/>
        <w:rPr>
          <w:b/>
          <w:sz w:val="26"/>
          <w:szCs w:val="26"/>
        </w:rPr>
      </w:pPr>
    </w:p>
    <w:p w14:paraId="34B81F5C" w14:textId="77777777" w:rsidR="00B55E2B" w:rsidRPr="00427A1E" w:rsidRDefault="00B55E2B" w:rsidP="00AC4B41">
      <w:pPr>
        <w:keepNext/>
        <w:widowControl/>
        <w:spacing w:line="360" w:lineRule="auto"/>
        <w:ind w:firstLine="1440"/>
        <w:rPr>
          <w:rFonts w:eastAsiaTheme="minorHAnsi"/>
          <w:sz w:val="26"/>
          <w:szCs w:val="26"/>
        </w:rPr>
      </w:pPr>
      <w:r w:rsidRPr="00427A1E">
        <w:rPr>
          <w:rFonts w:eastAsiaTheme="minorHAnsi"/>
          <w:sz w:val="26"/>
          <w:szCs w:val="26"/>
        </w:rPr>
        <w:t xml:space="preserve">As an administrative agency of the Commonwealth, the Commission is required to provide due process to the parties appearing before it.  </w:t>
      </w:r>
      <w:r w:rsidRPr="00427A1E">
        <w:rPr>
          <w:rFonts w:eastAsiaTheme="minorHAnsi"/>
          <w:i/>
          <w:sz w:val="26"/>
          <w:szCs w:val="26"/>
        </w:rPr>
        <w:t>Schneider v. Pa. PUC</w:t>
      </w:r>
      <w:r w:rsidRPr="00427A1E">
        <w:rPr>
          <w:rFonts w:eastAsiaTheme="minorHAnsi"/>
          <w:sz w:val="26"/>
          <w:szCs w:val="26"/>
        </w:rPr>
        <w:t>, 479 A.2d 10, 15 (Pa. Cmwlth. 1984) (</w:t>
      </w:r>
      <w:r w:rsidRPr="00427A1E">
        <w:rPr>
          <w:rFonts w:eastAsiaTheme="minorHAnsi"/>
          <w:i/>
          <w:sz w:val="26"/>
          <w:szCs w:val="26"/>
        </w:rPr>
        <w:t>Schneider</w:t>
      </w:r>
      <w:r w:rsidRPr="00427A1E">
        <w:rPr>
          <w:rFonts w:eastAsiaTheme="minorHAnsi"/>
          <w:sz w:val="26"/>
          <w:szCs w:val="26"/>
        </w:rPr>
        <w:t xml:space="preserve">), citing </w:t>
      </w:r>
      <w:r w:rsidRPr="00427A1E">
        <w:rPr>
          <w:rFonts w:eastAsiaTheme="minorHAnsi"/>
          <w:i/>
          <w:sz w:val="26"/>
          <w:szCs w:val="26"/>
        </w:rPr>
        <w:t>Fusaro v. Pa. PUC</w:t>
      </w:r>
      <w:r w:rsidRPr="00427A1E">
        <w:rPr>
          <w:rFonts w:eastAsiaTheme="minorHAnsi"/>
          <w:sz w:val="26"/>
          <w:szCs w:val="26"/>
        </w:rPr>
        <w:t xml:space="preserve">, 382 A.2d 794 (Pa. Cmwlth. 1978).  Due process is satisfied when the parties are afforded notice and the opportunity to appear and be heard.  </w:t>
      </w:r>
      <w:r w:rsidRPr="00427A1E">
        <w:rPr>
          <w:rFonts w:eastAsiaTheme="minorHAnsi"/>
          <w:i/>
          <w:sz w:val="26"/>
          <w:szCs w:val="26"/>
        </w:rPr>
        <w:t>Schneider</w:t>
      </w:r>
      <w:r w:rsidRPr="00427A1E">
        <w:rPr>
          <w:rFonts w:eastAsiaTheme="minorHAnsi"/>
          <w:sz w:val="26"/>
          <w:szCs w:val="26"/>
        </w:rPr>
        <w:t xml:space="preserve">, 479 A.2d at 15 (Pa.  Cmwlth. </w:t>
      </w:r>
      <w:r w:rsidRPr="00427A1E">
        <w:rPr>
          <w:rFonts w:eastAsiaTheme="minorHAnsi"/>
          <w:sz w:val="26"/>
          <w:szCs w:val="26"/>
        </w:rPr>
        <w:lastRenderedPageBreak/>
        <w:t xml:space="preserve">1984), citing </w:t>
      </w:r>
      <w:r w:rsidRPr="00427A1E">
        <w:rPr>
          <w:rFonts w:eastAsiaTheme="minorHAnsi"/>
          <w:i/>
          <w:sz w:val="26"/>
          <w:szCs w:val="26"/>
        </w:rPr>
        <w:t>Township of Middleton v. The Institute District of the County of Delaware</w:t>
      </w:r>
      <w:r w:rsidRPr="00427A1E">
        <w:rPr>
          <w:rFonts w:eastAsiaTheme="minorHAnsi"/>
          <w:sz w:val="26"/>
          <w:szCs w:val="26"/>
        </w:rPr>
        <w:t xml:space="preserve">, 293 A.2d 885 (Pa. Cmwlth. 1972), aff’d 450 Pa. 282, 299 A.2d 599 (Pa. Cmwlth. 1973).   The fundamental requirement of due process is the opportunity to be heard at a meaningful time and in a meaningful manner. </w:t>
      </w:r>
      <w:r w:rsidRPr="00427A1E">
        <w:rPr>
          <w:rFonts w:eastAsiaTheme="minorHAnsi"/>
          <w:i/>
          <w:sz w:val="26"/>
          <w:szCs w:val="26"/>
        </w:rPr>
        <w:t>Montefiore Hospital Ass’n of Western Pennsylvania v. Pa. PUC</w:t>
      </w:r>
      <w:r w:rsidRPr="00427A1E">
        <w:rPr>
          <w:rFonts w:eastAsiaTheme="minorHAnsi"/>
          <w:sz w:val="26"/>
          <w:szCs w:val="26"/>
        </w:rPr>
        <w:t>, 421 A.2d 481, 484 (Pa. Cmwlth. 1980).</w:t>
      </w:r>
    </w:p>
    <w:p w14:paraId="1697EDE8" w14:textId="77777777" w:rsidR="00B55E2B" w:rsidRPr="00427A1E" w:rsidRDefault="00B55E2B" w:rsidP="00B55E2B">
      <w:pPr>
        <w:widowControl/>
        <w:spacing w:line="360" w:lineRule="auto"/>
        <w:ind w:left="720" w:firstLine="1440"/>
        <w:rPr>
          <w:rFonts w:eastAsiaTheme="minorHAnsi"/>
          <w:sz w:val="26"/>
          <w:szCs w:val="26"/>
        </w:rPr>
      </w:pPr>
    </w:p>
    <w:p w14:paraId="5D8E9CD2" w14:textId="77777777" w:rsidR="00B55E2B" w:rsidRPr="00427A1E" w:rsidRDefault="00B55E2B" w:rsidP="00B55E2B">
      <w:pPr>
        <w:widowControl/>
        <w:spacing w:line="360" w:lineRule="auto"/>
        <w:ind w:firstLine="1440"/>
        <w:rPr>
          <w:rFonts w:eastAsiaTheme="minorHAnsi"/>
          <w:sz w:val="26"/>
          <w:szCs w:val="26"/>
        </w:rPr>
      </w:pPr>
      <w:r w:rsidRPr="00427A1E">
        <w:rPr>
          <w:rFonts w:eastAsiaTheme="minorHAnsi"/>
          <w:sz w:val="26"/>
          <w:szCs w:val="26"/>
        </w:rPr>
        <w:t xml:space="preserve">The Commission is required to fix the time and place of a hearing in a complaint proceeding and to serve notice thereof upon the parties in interest.  </w:t>
      </w:r>
      <w:r w:rsidRPr="00427A1E">
        <w:rPr>
          <w:rFonts w:eastAsiaTheme="minorHAnsi"/>
          <w:i/>
          <w:sz w:val="26"/>
          <w:szCs w:val="26"/>
        </w:rPr>
        <w:t>See</w:t>
      </w:r>
      <w:r w:rsidRPr="00427A1E">
        <w:rPr>
          <w:rFonts w:eastAsiaTheme="minorHAnsi"/>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427A1E">
        <w:rPr>
          <w:rFonts w:eastAsiaTheme="minorHAnsi"/>
          <w:i/>
          <w:sz w:val="26"/>
          <w:szCs w:val="26"/>
        </w:rPr>
        <w:t>See Berkowitz v. Mayflower Securities, Inc</w:t>
      </w:r>
      <w:r w:rsidRPr="00427A1E">
        <w:rPr>
          <w:rFonts w:eastAsiaTheme="minorHAnsi"/>
          <w:sz w:val="26"/>
          <w:szCs w:val="26"/>
        </w:rPr>
        <w:t>., 455 Pa. 531, 317 A.2d 584 (Pa. 1974) (</w:t>
      </w:r>
      <w:r w:rsidRPr="00427A1E">
        <w:rPr>
          <w:rFonts w:eastAsiaTheme="minorHAnsi"/>
          <w:i/>
          <w:sz w:val="26"/>
          <w:szCs w:val="26"/>
        </w:rPr>
        <w:t>Mayflower</w:t>
      </w:r>
      <w:r w:rsidRPr="00427A1E">
        <w:rPr>
          <w:rFonts w:eastAsiaTheme="minorHAnsi"/>
          <w:sz w:val="26"/>
          <w:szCs w:val="26"/>
        </w:rPr>
        <w:t xml:space="preserve">); </w:t>
      </w:r>
      <w:r w:rsidRPr="00427A1E">
        <w:rPr>
          <w:rFonts w:eastAsiaTheme="minorHAnsi"/>
          <w:i/>
          <w:sz w:val="26"/>
          <w:szCs w:val="26"/>
        </w:rPr>
        <w:t>Chartiers Industrial and Commercial Development Authority v. Allegheny County Board of Property Assessment Appeals and Review</w:t>
      </w:r>
      <w:r w:rsidRPr="00427A1E">
        <w:rPr>
          <w:rFonts w:eastAsiaTheme="minorHAnsi"/>
          <w:sz w:val="26"/>
          <w:szCs w:val="26"/>
        </w:rPr>
        <w:t xml:space="preserve">, 645 A.2d 944, 946 (Pa. Cmwlth. 1994), appeal denied 539 Pa. 696, 653 A.2d 1234 (1994); </w:t>
      </w:r>
      <w:r w:rsidRPr="00427A1E">
        <w:rPr>
          <w:rFonts w:eastAsiaTheme="minorHAnsi"/>
          <w:i/>
          <w:sz w:val="26"/>
          <w:szCs w:val="26"/>
        </w:rPr>
        <w:t>Geary v. Verizon Pennsylvania Inc</w:t>
      </w:r>
      <w:r w:rsidRPr="00427A1E">
        <w:rPr>
          <w:rFonts w:eastAsiaTheme="minorHAnsi"/>
          <w:sz w:val="26"/>
          <w:szCs w:val="26"/>
        </w:rPr>
        <w:t>., Docket No. C-2009-2118625 (Order entered September 16, 2010) (</w:t>
      </w:r>
      <w:r w:rsidRPr="00427A1E">
        <w:rPr>
          <w:rFonts w:eastAsiaTheme="minorHAnsi"/>
          <w:i/>
          <w:sz w:val="26"/>
          <w:szCs w:val="26"/>
        </w:rPr>
        <w:t>Geary</w:t>
      </w:r>
      <w:r w:rsidRPr="00427A1E">
        <w:rPr>
          <w:rFonts w:eastAsiaTheme="minorHAnsi"/>
          <w:sz w:val="26"/>
          <w:szCs w:val="26"/>
        </w:rPr>
        <w:t>).</w:t>
      </w:r>
    </w:p>
    <w:p w14:paraId="4322FF54" w14:textId="77777777" w:rsidR="00B55E2B" w:rsidRPr="00427A1E" w:rsidRDefault="00B55E2B" w:rsidP="00B55E2B">
      <w:pPr>
        <w:widowControl/>
        <w:spacing w:line="360" w:lineRule="auto"/>
        <w:ind w:firstLine="1440"/>
        <w:rPr>
          <w:rFonts w:eastAsiaTheme="minorHAnsi"/>
          <w:sz w:val="26"/>
          <w:szCs w:val="26"/>
        </w:rPr>
      </w:pPr>
    </w:p>
    <w:p w14:paraId="30AA0798" w14:textId="64B84242" w:rsidR="00B55E2B" w:rsidRDefault="00B55E2B" w:rsidP="00B55E2B">
      <w:pPr>
        <w:widowControl/>
        <w:spacing w:line="360" w:lineRule="auto"/>
        <w:ind w:firstLine="1440"/>
        <w:rPr>
          <w:rFonts w:eastAsiaTheme="minorHAnsi"/>
          <w:sz w:val="26"/>
          <w:szCs w:val="26"/>
        </w:rPr>
      </w:pPr>
      <w:r w:rsidRPr="00427A1E">
        <w:rPr>
          <w:rFonts w:eastAsiaTheme="minorHAnsi"/>
          <w:sz w:val="26"/>
          <w:szCs w:val="26"/>
        </w:rPr>
        <w:t xml:space="preserve">Once a hearing is scheduled and duly notified by the Commission, it is the responsibility of the parties to appear and participate in the hearing.  </w:t>
      </w:r>
      <w:r w:rsidRPr="00427A1E">
        <w:rPr>
          <w:rFonts w:eastAsiaTheme="minorHAnsi"/>
          <w:i/>
          <w:sz w:val="26"/>
          <w:szCs w:val="26"/>
        </w:rPr>
        <w:t>Mumma v. PPL Electric Utilities Corporation</w:t>
      </w:r>
      <w:r w:rsidRPr="00427A1E">
        <w:rPr>
          <w:rFonts w:eastAsiaTheme="minorHAnsi"/>
          <w:sz w:val="26"/>
          <w:szCs w:val="26"/>
        </w:rPr>
        <w:t>, Docket No. C-00014869 (Order entered January 24, 2002) (</w:t>
      </w:r>
      <w:r w:rsidRPr="00427A1E">
        <w:rPr>
          <w:rFonts w:eastAsiaTheme="minorHAnsi"/>
          <w:i/>
          <w:sz w:val="26"/>
          <w:szCs w:val="26"/>
        </w:rPr>
        <w:t>Mumma</w:t>
      </w:r>
      <w:r w:rsidRPr="00427A1E">
        <w:rPr>
          <w:rFonts w:eastAsiaTheme="minorHAnsi"/>
          <w:sz w:val="26"/>
          <w:szCs w:val="26"/>
        </w:rPr>
        <w:t xml:space="preserve">); </w:t>
      </w:r>
      <w:r w:rsidRPr="00427A1E">
        <w:rPr>
          <w:rFonts w:eastAsiaTheme="minorHAnsi"/>
          <w:i/>
          <w:sz w:val="26"/>
          <w:szCs w:val="26"/>
        </w:rPr>
        <w:t>Sentner v. Bell Tel. Co. of PA</w:t>
      </w:r>
      <w:r w:rsidRPr="00427A1E">
        <w:rPr>
          <w:rFonts w:eastAsiaTheme="minorHAnsi"/>
          <w:sz w:val="26"/>
          <w:szCs w:val="26"/>
        </w:rPr>
        <w:t>, Docket No. F-00161106 (Order entered October 25, 1993) (</w:t>
      </w:r>
      <w:r w:rsidRPr="00427A1E">
        <w:rPr>
          <w:rFonts w:eastAsiaTheme="minorHAnsi"/>
          <w:i/>
          <w:sz w:val="26"/>
          <w:szCs w:val="26"/>
        </w:rPr>
        <w:t>Sentner</w:t>
      </w:r>
      <w:r w:rsidRPr="00427A1E">
        <w:rPr>
          <w:rFonts w:eastAsiaTheme="minorHAnsi"/>
          <w:sz w:val="26"/>
          <w:szCs w:val="26"/>
        </w:rPr>
        <w:t>).</w:t>
      </w:r>
    </w:p>
    <w:p w14:paraId="0BD2DC9C" w14:textId="77777777" w:rsidR="00AC4B41" w:rsidRPr="00427A1E" w:rsidRDefault="00AC4B41" w:rsidP="00B55E2B">
      <w:pPr>
        <w:widowControl/>
        <w:spacing w:line="360" w:lineRule="auto"/>
        <w:ind w:firstLine="1440"/>
        <w:rPr>
          <w:rFonts w:eastAsiaTheme="minorHAnsi"/>
          <w:sz w:val="26"/>
          <w:szCs w:val="26"/>
        </w:rPr>
      </w:pPr>
    </w:p>
    <w:p w14:paraId="325DFD7D" w14:textId="77777777" w:rsidR="00B55E2B" w:rsidRPr="00427A1E" w:rsidRDefault="00B55E2B" w:rsidP="00B55E2B">
      <w:pPr>
        <w:widowControl/>
        <w:spacing w:line="360" w:lineRule="auto"/>
        <w:ind w:firstLine="1440"/>
        <w:rPr>
          <w:rFonts w:eastAsiaTheme="minorHAnsi"/>
          <w:sz w:val="26"/>
          <w:szCs w:val="26"/>
        </w:rPr>
      </w:pPr>
      <w:r w:rsidRPr="00427A1E">
        <w:rPr>
          <w:rFonts w:eastAsiaTheme="minorHAnsi"/>
          <w:sz w:val="26"/>
          <w:szCs w:val="26"/>
        </w:rPr>
        <w:t xml:space="preserve">A party to a proceeding has the right to request a continuance of the hearing, which may be considered and granted by the presiding officer “only for good cause shown.”  </w:t>
      </w:r>
      <w:r w:rsidRPr="00427A1E">
        <w:rPr>
          <w:rFonts w:eastAsiaTheme="minorHAnsi"/>
          <w:i/>
          <w:sz w:val="26"/>
          <w:szCs w:val="26"/>
        </w:rPr>
        <w:t>See</w:t>
      </w:r>
      <w:r w:rsidRPr="00427A1E">
        <w:rPr>
          <w:rFonts w:eastAsiaTheme="minorHAnsi"/>
          <w:sz w:val="26"/>
          <w:szCs w:val="26"/>
        </w:rPr>
        <w:t xml:space="preserve"> 52 Pa. Code § 1.15(b).  The party making the request must file a motion at least five days prior to the hearing date stating the facts on which the request is made, except that during a hearing, an oral request for hearing continuance may be made before the presiding officer in the hearing room.  52 Pa. Code § 1.15(b).</w:t>
      </w:r>
    </w:p>
    <w:p w14:paraId="5AD2848B" w14:textId="77777777" w:rsidR="00B55E2B" w:rsidRPr="00427A1E" w:rsidRDefault="00B55E2B" w:rsidP="00B55E2B">
      <w:pPr>
        <w:widowControl/>
        <w:spacing w:line="360" w:lineRule="auto"/>
        <w:ind w:firstLine="1440"/>
        <w:rPr>
          <w:rFonts w:eastAsiaTheme="minorHAnsi"/>
          <w:sz w:val="26"/>
          <w:szCs w:val="26"/>
        </w:rPr>
      </w:pPr>
    </w:p>
    <w:p w14:paraId="5933A40F" w14:textId="77777777" w:rsidR="00B55E2B" w:rsidRPr="00427A1E" w:rsidRDefault="00B55E2B" w:rsidP="00B55E2B">
      <w:pPr>
        <w:widowControl/>
        <w:spacing w:line="360" w:lineRule="auto"/>
        <w:ind w:firstLine="1440"/>
        <w:rPr>
          <w:sz w:val="26"/>
          <w:szCs w:val="26"/>
        </w:rPr>
      </w:pPr>
      <w:r w:rsidRPr="00427A1E">
        <w:rPr>
          <w:rFonts w:eastAsiaTheme="minorHAnsi"/>
          <w:sz w:val="26"/>
          <w:szCs w:val="26"/>
        </w:rPr>
        <w:t xml:space="preserve">If a party fails to appear at a scheduled and duly notified hearing, the party will be deemed to have waived the opportunity to participate in a hearing in the matter.  66 Pa. C.S. § 332(f); 52 Pa. Code § 5.245(a)-(b).  This result is not applied to the party, however, if the presiding officer determines that the party’s failure to appear was “unavoidable” and the interests of the other party (or parties) and the public will not be “prejudiced” by permitting the reopening or further examination.  66 Pa. C.S. § 332(f); 52 Pa. Code § 5.245(a)-(b).  Also, this result may not be applied </w:t>
      </w:r>
      <w:r w:rsidRPr="00427A1E">
        <w:rPr>
          <w:sz w:val="26"/>
          <w:szCs w:val="26"/>
        </w:rPr>
        <w:t xml:space="preserve">if the presiding officer of Commission determines that the complainant demonstrated a good faith attempt to attend the hearing.  </w:t>
      </w:r>
      <w:r w:rsidRPr="00427A1E">
        <w:rPr>
          <w:i/>
          <w:sz w:val="26"/>
          <w:szCs w:val="26"/>
        </w:rPr>
        <w:t>See, e.g., Yomari Then v. Philadelphia Gas Works</w:t>
      </w:r>
      <w:r w:rsidRPr="00427A1E">
        <w:rPr>
          <w:sz w:val="26"/>
          <w:szCs w:val="26"/>
        </w:rPr>
        <w:t>, Docket No. F-2012-2318264 (Order entered June 13, 2013) (</w:t>
      </w:r>
      <w:r w:rsidRPr="00427A1E">
        <w:rPr>
          <w:i/>
          <w:sz w:val="26"/>
          <w:szCs w:val="26"/>
        </w:rPr>
        <w:t>Yomari Then</w:t>
      </w:r>
      <w:r w:rsidRPr="00427A1E">
        <w:rPr>
          <w:sz w:val="26"/>
          <w:szCs w:val="26"/>
        </w:rPr>
        <w:t xml:space="preserve">); </w:t>
      </w:r>
      <w:r w:rsidRPr="00427A1E">
        <w:rPr>
          <w:rFonts w:eastAsiaTheme="minorHAnsi"/>
          <w:i/>
          <w:sz w:val="26"/>
          <w:szCs w:val="26"/>
        </w:rPr>
        <w:t>see also Windell C. Wiggins v. PECO Energy Company</w:t>
      </w:r>
      <w:r w:rsidRPr="00427A1E">
        <w:rPr>
          <w:rFonts w:eastAsiaTheme="minorHAnsi"/>
          <w:sz w:val="26"/>
          <w:szCs w:val="26"/>
        </w:rPr>
        <w:t>, Docket No. C-2010-2190335 (Order entered October 27, 2011) (</w:t>
      </w:r>
      <w:r w:rsidRPr="00427A1E">
        <w:rPr>
          <w:rFonts w:eastAsiaTheme="minorHAnsi"/>
          <w:i/>
          <w:sz w:val="26"/>
          <w:szCs w:val="26"/>
        </w:rPr>
        <w:t>Wiggins</w:t>
      </w:r>
      <w:r w:rsidRPr="00427A1E">
        <w:rPr>
          <w:rFonts w:eastAsiaTheme="minorHAnsi"/>
          <w:sz w:val="26"/>
          <w:szCs w:val="26"/>
        </w:rPr>
        <w:t>).</w:t>
      </w:r>
    </w:p>
    <w:p w14:paraId="2D29ABF1" w14:textId="77777777" w:rsidR="00B55E2B" w:rsidRPr="00427A1E" w:rsidRDefault="00B55E2B" w:rsidP="00B55E2B">
      <w:pPr>
        <w:widowControl/>
        <w:spacing w:line="360" w:lineRule="auto"/>
        <w:rPr>
          <w:sz w:val="26"/>
          <w:szCs w:val="26"/>
        </w:rPr>
      </w:pPr>
    </w:p>
    <w:p w14:paraId="32B603E2" w14:textId="77777777" w:rsidR="00B55E2B" w:rsidRPr="00427A1E" w:rsidRDefault="00B55E2B" w:rsidP="00B55E2B">
      <w:pPr>
        <w:widowControl/>
        <w:spacing w:line="360" w:lineRule="auto"/>
        <w:ind w:firstLine="1440"/>
        <w:rPr>
          <w:rFonts w:eastAsiaTheme="minorHAnsi"/>
          <w:spacing w:val="-3"/>
          <w:sz w:val="26"/>
          <w:szCs w:val="26"/>
        </w:rPr>
      </w:pPr>
      <w:r w:rsidRPr="00427A1E">
        <w:rPr>
          <w:sz w:val="26"/>
          <w:szCs w:val="26"/>
        </w:rPr>
        <w:t xml:space="preserve">The public interest is prejudiced by the wasteful use of the agency’s and the respondent’s time and resources in addressing a complaint.  </w:t>
      </w:r>
      <w:r w:rsidRPr="00427A1E">
        <w:rPr>
          <w:i/>
          <w:sz w:val="26"/>
          <w:szCs w:val="26"/>
        </w:rPr>
        <w:t>See Jefferson v. UGI Utilities, Inc.</w:t>
      </w:r>
      <w:r w:rsidRPr="00427A1E">
        <w:rPr>
          <w:sz w:val="26"/>
          <w:szCs w:val="26"/>
        </w:rPr>
        <w:t>,</w:t>
      </w:r>
      <w:r w:rsidRPr="00427A1E">
        <w:rPr>
          <w:i/>
          <w:sz w:val="26"/>
          <w:szCs w:val="26"/>
        </w:rPr>
        <w:t xml:space="preserve"> </w:t>
      </w:r>
      <w:r w:rsidRPr="00427A1E">
        <w:rPr>
          <w:sz w:val="26"/>
          <w:szCs w:val="26"/>
        </w:rPr>
        <w:t>Docket No. Z-00269892 (Order entered December 26, 1995) (</w:t>
      </w:r>
      <w:r w:rsidRPr="00427A1E">
        <w:rPr>
          <w:i/>
          <w:sz w:val="26"/>
          <w:szCs w:val="26"/>
        </w:rPr>
        <w:t>Jefferson</w:t>
      </w:r>
      <w:r w:rsidRPr="00427A1E">
        <w:rPr>
          <w:sz w:val="26"/>
          <w:szCs w:val="26"/>
        </w:rPr>
        <w:t xml:space="preserve">), </w:t>
      </w:r>
      <w:r w:rsidRPr="00427A1E">
        <w:rPr>
          <w:i/>
          <w:sz w:val="26"/>
          <w:szCs w:val="26"/>
        </w:rPr>
        <w:t>see also</w:t>
      </w:r>
      <w:r w:rsidRPr="00427A1E">
        <w:rPr>
          <w:sz w:val="26"/>
          <w:szCs w:val="26"/>
        </w:rPr>
        <w:t xml:space="preserve">, </w:t>
      </w:r>
      <w:r w:rsidRPr="00427A1E">
        <w:rPr>
          <w:i/>
          <w:sz w:val="26"/>
          <w:szCs w:val="26"/>
        </w:rPr>
        <w:t xml:space="preserve">e.g., </w:t>
      </w:r>
      <w:r w:rsidRPr="00427A1E">
        <w:rPr>
          <w:rFonts w:eastAsiaTheme="minorHAnsi"/>
          <w:i/>
          <w:sz w:val="26"/>
          <w:szCs w:val="26"/>
        </w:rPr>
        <w:t>Charles Nichols III v. Bell-Atlantic-Pennsyl</w:t>
      </w:r>
      <w:r w:rsidRPr="00427A1E">
        <w:rPr>
          <w:rFonts w:eastAsiaTheme="minorHAnsi"/>
          <w:i/>
          <w:sz w:val="26"/>
          <w:szCs w:val="26"/>
        </w:rPr>
        <w:softHyphen/>
        <w:t xml:space="preserve">vania, </w:t>
      </w:r>
      <w:r w:rsidRPr="00427A1E">
        <w:rPr>
          <w:rFonts w:eastAsiaTheme="minorHAnsi"/>
          <w:sz w:val="26"/>
          <w:szCs w:val="26"/>
        </w:rPr>
        <w:t>Docket No. </w:t>
      </w:r>
      <w:r w:rsidRPr="00427A1E">
        <w:rPr>
          <w:rFonts w:eastAsiaTheme="minorHAnsi"/>
          <w:spacing w:val="-3"/>
          <w:sz w:val="26"/>
          <w:szCs w:val="26"/>
        </w:rPr>
        <w:t>C</w:t>
      </w:r>
      <w:r w:rsidRPr="00427A1E">
        <w:rPr>
          <w:rFonts w:eastAsiaTheme="minorHAnsi"/>
          <w:spacing w:val="-3"/>
          <w:sz w:val="26"/>
          <w:szCs w:val="26"/>
        </w:rPr>
        <w:noBreakHyphen/>
        <w:t>00956667 (Opinion and Order entered August 4, 1995) (</w:t>
      </w:r>
      <w:r w:rsidRPr="00427A1E">
        <w:rPr>
          <w:rFonts w:eastAsiaTheme="minorHAnsi"/>
          <w:i/>
          <w:spacing w:val="-3"/>
          <w:sz w:val="26"/>
          <w:szCs w:val="26"/>
        </w:rPr>
        <w:t>Nichols III</w:t>
      </w:r>
      <w:r w:rsidRPr="00427A1E">
        <w:rPr>
          <w:rFonts w:eastAsiaTheme="minorHAnsi"/>
          <w:spacing w:val="-3"/>
          <w:sz w:val="26"/>
          <w:szCs w:val="26"/>
        </w:rPr>
        <w:t>).</w:t>
      </w:r>
    </w:p>
    <w:p w14:paraId="0BBFCBF2" w14:textId="77777777" w:rsidR="00B55E2B" w:rsidRPr="00427A1E" w:rsidRDefault="00B55E2B" w:rsidP="00B55E2B">
      <w:pPr>
        <w:widowControl/>
        <w:spacing w:line="360" w:lineRule="auto"/>
        <w:ind w:firstLine="1440"/>
        <w:rPr>
          <w:rFonts w:eastAsiaTheme="minorHAnsi"/>
          <w:spacing w:val="-3"/>
          <w:sz w:val="26"/>
          <w:szCs w:val="26"/>
        </w:rPr>
      </w:pPr>
    </w:p>
    <w:p w14:paraId="57FFCA65" w14:textId="1EC160EF" w:rsidR="00B55E2B" w:rsidRDefault="00B55E2B" w:rsidP="00B55E2B">
      <w:pPr>
        <w:widowControl/>
        <w:spacing w:line="360" w:lineRule="auto"/>
        <w:ind w:firstLine="1440"/>
        <w:rPr>
          <w:sz w:val="26"/>
          <w:szCs w:val="26"/>
        </w:rPr>
      </w:pPr>
      <w:r>
        <w:rPr>
          <w:sz w:val="26"/>
          <w:szCs w:val="26"/>
        </w:rPr>
        <w:t>A</w:t>
      </w:r>
      <w:r w:rsidRPr="00BC7E17">
        <w:rPr>
          <w:sz w:val="26"/>
          <w:szCs w:val="26"/>
        </w:rPr>
        <w:t xml:space="preserve"> complainant, as the party seeking affirmative relief from the Commission, has the burden of proof.  66 Pa. C.S. § 332(a).  The burden of proof </w:t>
      </w:r>
      <w:r>
        <w:rPr>
          <w:sz w:val="26"/>
          <w:szCs w:val="26"/>
        </w:rPr>
        <w:t xml:space="preserve">in </w:t>
      </w:r>
      <w:r w:rsidRPr="00BC7E17">
        <w:rPr>
          <w:sz w:val="26"/>
          <w:szCs w:val="26"/>
        </w:rPr>
        <w:t xml:space="preserve">actions before the Commission is the “preponderance of the evidence” standard.  </w:t>
      </w:r>
      <w:r w:rsidRPr="00BC7E17">
        <w:rPr>
          <w:i/>
          <w:sz w:val="26"/>
          <w:szCs w:val="26"/>
        </w:rPr>
        <w:t>Suber v. Pennsylvania Com’n on Crime and Deliquency</w:t>
      </w:r>
      <w:r w:rsidRPr="00BC7E17">
        <w:rPr>
          <w:sz w:val="26"/>
          <w:szCs w:val="26"/>
        </w:rPr>
        <w:t>, 885 A. 2d 678, 682 (Pa. Cmwlth. 2005) (</w:t>
      </w:r>
      <w:r w:rsidRPr="00BC7E17">
        <w:rPr>
          <w:i/>
          <w:sz w:val="26"/>
          <w:szCs w:val="26"/>
        </w:rPr>
        <w:t>Suber</w:t>
      </w:r>
      <w:r w:rsidRPr="00BC7E17">
        <w:rPr>
          <w:sz w:val="26"/>
          <w:szCs w:val="26"/>
        </w:rPr>
        <w:t xml:space="preserve">); </w:t>
      </w:r>
      <w:r w:rsidRPr="00BC7E17">
        <w:rPr>
          <w:i/>
          <w:iCs/>
          <w:sz w:val="26"/>
          <w:szCs w:val="26"/>
        </w:rPr>
        <w:t>Samuel J. Lansberry, Inc. v. Pa. PUC</w:t>
      </w:r>
      <w:r w:rsidRPr="00BC7E17">
        <w:rPr>
          <w:sz w:val="26"/>
          <w:szCs w:val="26"/>
        </w:rPr>
        <w:t xml:space="preserve">, 578 A.2d 600 (Pa. Cmwlth. 1990), </w:t>
      </w:r>
      <w:r w:rsidRPr="00BC7E17">
        <w:rPr>
          <w:i/>
          <w:sz w:val="26"/>
          <w:szCs w:val="26"/>
        </w:rPr>
        <w:t>alloc. denied,</w:t>
      </w:r>
      <w:r w:rsidRPr="00BC7E17">
        <w:rPr>
          <w:sz w:val="26"/>
          <w:szCs w:val="26"/>
        </w:rPr>
        <w:t xml:space="preserve"> 529 Pa. 654, 602 A.2d 863 (1992) (</w:t>
      </w:r>
      <w:r w:rsidRPr="00BC7E17">
        <w:rPr>
          <w:i/>
          <w:sz w:val="26"/>
          <w:szCs w:val="26"/>
        </w:rPr>
        <w:t>Lansberry</w:t>
      </w:r>
      <w:r w:rsidRPr="00BC7E17">
        <w:rPr>
          <w:sz w:val="26"/>
          <w:szCs w:val="26"/>
        </w:rPr>
        <w:t xml:space="preserve">); </w:t>
      </w:r>
      <w:r w:rsidRPr="00BC7E17">
        <w:rPr>
          <w:i/>
          <w:sz w:val="26"/>
          <w:szCs w:val="26"/>
        </w:rPr>
        <w:t>see also</w:t>
      </w:r>
      <w:r w:rsidRPr="00BC7E17">
        <w:rPr>
          <w:rFonts w:ascii="Arial" w:hAnsi="Arial" w:cs="Arial"/>
          <w:i/>
          <w:sz w:val="21"/>
          <w:szCs w:val="21"/>
        </w:rPr>
        <w:t xml:space="preserve"> </w:t>
      </w:r>
      <w:r w:rsidRPr="00BC7E17">
        <w:rPr>
          <w:i/>
          <w:iCs/>
          <w:sz w:val="26"/>
          <w:szCs w:val="26"/>
        </w:rPr>
        <w:t>North American Coal Corp. v. Air Pollution Commission,</w:t>
      </w:r>
      <w:r w:rsidRPr="00BC7E17">
        <w:rPr>
          <w:sz w:val="26"/>
          <w:szCs w:val="26"/>
        </w:rPr>
        <w:t xml:space="preserve"> 279 A.2d 356 (Pa. Cmwlth. 1971).</w:t>
      </w:r>
    </w:p>
    <w:p w14:paraId="0B046979" w14:textId="77777777" w:rsidR="00B55E2B" w:rsidRDefault="00B55E2B" w:rsidP="00B55E2B">
      <w:pPr>
        <w:widowControl/>
        <w:spacing w:line="360" w:lineRule="auto"/>
        <w:ind w:firstLine="1440"/>
        <w:rPr>
          <w:sz w:val="26"/>
          <w:szCs w:val="26"/>
        </w:rPr>
      </w:pPr>
    </w:p>
    <w:p w14:paraId="434F0632" w14:textId="1BE5524C" w:rsidR="00B55E2B" w:rsidRPr="00427A1E" w:rsidRDefault="00B55E2B" w:rsidP="00B55E2B">
      <w:pPr>
        <w:widowControl/>
        <w:spacing w:line="360" w:lineRule="auto"/>
        <w:ind w:firstLine="1440"/>
        <w:rPr>
          <w:rFonts w:eastAsiaTheme="minorHAnsi"/>
          <w:sz w:val="26"/>
          <w:szCs w:val="26"/>
        </w:rPr>
      </w:pPr>
      <w:r w:rsidRPr="00427A1E">
        <w:rPr>
          <w:sz w:val="26"/>
          <w:szCs w:val="26"/>
        </w:rPr>
        <w:lastRenderedPageBreak/>
        <w:t xml:space="preserve">Any issue that we do not specifically </w:t>
      </w:r>
      <w:r w:rsidR="00501485" w:rsidRPr="00427A1E">
        <w:rPr>
          <w:sz w:val="26"/>
          <w:szCs w:val="26"/>
        </w:rPr>
        <w:t>delineate,</w:t>
      </w:r>
      <w:r w:rsidRPr="00427A1E">
        <w:rPr>
          <w:sz w:val="26"/>
          <w:szCs w:val="26"/>
        </w:rPr>
        <w:t xml:space="preserve"> or address herein shall be deemed to have been duly considered and denied without further discussion.  It is well-settled that the Commission is not required to consider expressly or at length each contention or argument raised by the parties.  </w:t>
      </w:r>
      <w:hyperlink r:id="rId8" w:history="1">
        <w:r w:rsidRPr="00427A1E">
          <w:rPr>
            <w:i/>
            <w:iCs/>
            <w:sz w:val="26"/>
            <w:szCs w:val="26"/>
          </w:rPr>
          <w:t xml:space="preserve">Consolidated Rail Corp. v. Pa. PUC, </w:t>
        </w:r>
        <w:r w:rsidRPr="00427A1E">
          <w:rPr>
            <w:sz w:val="26"/>
            <w:szCs w:val="26"/>
          </w:rPr>
          <w:t>625 A.2d 741, 744 (Pa. Cmwlth. 1993);</w:t>
        </w:r>
      </w:hyperlink>
      <w:r w:rsidRPr="00427A1E">
        <w:rPr>
          <w:sz w:val="26"/>
          <w:szCs w:val="26"/>
        </w:rPr>
        <w:t xml:space="preserve"> </w:t>
      </w:r>
      <w:r w:rsidRPr="00427A1E">
        <w:rPr>
          <w:i/>
          <w:sz w:val="26"/>
          <w:szCs w:val="26"/>
        </w:rPr>
        <w:t xml:space="preserve">also </w:t>
      </w:r>
      <w:r w:rsidRPr="00427A1E">
        <w:rPr>
          <w:i/>
          <w:iCs/>
          <w:sz w:val="26"/>
          <w:szCs w:val="26"/>
        </w:rPr>
        <w:t xml:space="preserve">see, generally, </w:t>
      </w:r>
      <w:hyperlink r:id="rId9" w:history="1">
        <w:r w:rsidRPr="00427A1E">
          <w:rPr>
            <w:i/>
            <w:iCs/>
            <w:sz w:val="26"/>
            <w:szCs w:val="26"/>
          </w:rPr>
          <w:t>University of Pennsylvania v. Pa. PUC</w:t>
        </w:r>
        <w:r w:rsidRPr="00427A1E">
          <w:rPr>
            <w:sz w:val="26"/>
            <w:szCs w:val="26"/>
          </w:rPr>
          <w:t>, 485 A.2d 1217, 1222-1223 (Pa. Cmwlth. 1984).</w:t>
        </w:r>
      </w:hyperlink>
    </w:p>
    <w:p w14:paraId="47BA4200" w14:textId="77777777" w:rsidR="00AC6661" w:rsidRDefault="00AC6661" w:rsidP="00027CB5">
      <w:pPr>
        <w:widowControl/>
        <w:spacing w:line="360" w:lineRule="auto"/>
        <w:ind w:firstLine="1440"/>
        <w:rPr>
          <w:sz w:val="26"/>
          <w:szCs w:val="26"/>
        </w:rPr>
      </w:pPr>
    </w:p>
    <w:p w14:paraId="779AFD8E" w14:textId="7BB07AC6" w:rsidR="00007A6C" w:rsidRPr="000B7A70" w:rsidRDefault="00007A6C" w:rsidP="00027CB5">
      <w:pPr>
        <w:keepNext/>
        <w:keepLines/>
        <w:widowControl/>
        <w:spacing w:line="360" w:lineRule="auto"/>
        <w:contextualSpacing/>
        <w:rPr>
          <w:sz w:val="26"/>
          <w:szCs w:val="26"/>
        </w:rPr>
      </w:pPr>
      <w:r w:rsidRPr="002937C9">
        <w:rPr>
          <w:b/>
          <w:sz w:val="26"/>
          <w:szCs w:val="26"/>
        </w:rPr>
        <w:t>ALJ’s Initial Decision</w:t>
      </w:r>
    </w:p>
    <w:p w14:paraId="0FFE1E6F" w14:textId="77777777" w:rsidR="00007A6C" w:rsidRPr="00733B3A" w:rsidRDefault="00007A6C" w:rsidP="00027CB5">
      <w:pPr>
        <w:keepNext/>
        <w:keepLines/>
        <w:widowControl/>
        <w:spacing w:line="360" w:lineRule="auto"/>
        <w:rPr>
          <w:sz w:val="26"/>
          <w:szCs w:val="26"/>
        </w:rPr>
      </w:pPr>
    </w:p>
    <w:p w14:paraId="22E246E4" w14:textId="5A5FB7AC" w:rsidR="004C4510" w:rsidRDefault="004C4510" w:rsidP="00027CB5">
      <w:pPr>
        <w:widowControl/>
        <w:spacing w:line="360" w:lineRule="auto"/>
        <w:ind w:firstLine="1440"/>
        <w:rPr>
          <w:sz w:val="26"/>
          <w:szCs w:val="26"/>
        </w:rPr>
      </w:pPr>
      <w:r w:rsidRPr="00A9787D">
        <w:rPr>
          <w:sz w:val="26"/>
          <w:szCs w:val="26"/>
        </w:rPr>
        <w:t>ALJ</w:t>
      </w:r>
      <w:r>
        <w:rPr>
          <w:sz w:val="26"/>
          <w:szCs w:val="26"/>
        </w:rPr>
        <w:t xml:space="preserve"> </w:t>
      </w:r>
      <w:r w:rsidR="00C346EA">
        <w:rPr>
          <w:sz w:val="26"/>
          <w:szCs w:val="26"/>
        </w:rPr>
        <w:t>Vero</w:t>
      </w:r>
      <w:r>
        <w:rPr>
          <w:sz w:val="26"/>
          <w:szCs w:val="26"/>
        </w:rPr>
        <w:t xml:space="preserve"> made </w:t>
      </w:r>
      <w:r w:rsidR="00C346EA">
        <w:rPr>
          <w:sz w:val="26"/>
          <w:szCs w:val="26"/>
        </w:rPr>
        <w:t>sixteen</w:t>
      </w:r>
      <w:r w:rsidR="0012749A">
        <w:rPr>
          <w:sz w:val="26"/>
          <w:szCs w:val="26"/>
        </w:rPr>
        <w:t xml:space="preserve"> </w:t>
      </w:r>
      <w:r w:rsidRPr="00A9787D">
        <w:rPr>
          <w:sz w:val="26"/>
          <w:szCs w:val="26"/>
        </w:rPr>
        <w:t>Find</w:t>
      </w:r>
      <w:r>
        <w:rPr>
          <w:sz w:val="26"/>
          <w:szCs w:val="26"/>
        </w:rPr>
        <w:t xml:space="preserve">ings of Fact and reached </w:t>
      </w:r>
      <w:r w:rsidR="00885328">
        <w:rPr>
          <w:sz w:val="26"/>
          <w:szCs w:val="26"/>
        </w:rPr>
        <w:t>five</w:t>
      </w:r>
      <w:r w:rsidRPr="00A9787D">
        <w:rPr>
          <w:sz w:val="26"/>
          <w:szCs w:val="26"/>
        </w:rPr>
        <w:t xml:space="preserve"> Conclusions of Law.  I.D. at </w:t>
      </w:r>
      <w:r w:rsidR="00885328">
        <w:rPr>
          <w:sz w:val="26"/>
          <w:szCs w:val="26"/>
        </w:rPr>
        <w:t>3</w:t>
      </w:r>
      <w:r w:rsidR="0012749A">
        <w:rPr>
          <w:sz w:val="26"/>
          <w:szCs w:val="26"/>
        </w:rPr>
        <w:t>-5</w:t>
      </w:r>
      <w:r w:rsidRPr="00A9787D">
        <w:rPr>
          <w:sz w:val="26"/>
          <w:szCs w:val="26"/>
        </w:rPr>
        <w:t xml:space="preserve">, </w:t>
      </w:r>
      <w:r w:rsidR="0012749A">
        <w:rPr>
          <w:sz w:val="26"/>
          <w:szCs w:val="26"/>
        </w:rPr>
        <w:t>8</w:t>
      </w:r>
      <w:r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14:paraId="5DC66601" w14:textId="77777777" w:rsidR="004C4510" w:rsidRPr="00A9787D" w:rsidRDefault="004C4510" w:rsidP="00027CB5">
      <w:pPr>
        <w:widowControl/>
        <w:spacing w:line="360" w:lineRule="auto"/>
        <w:ind w:firstLine="1440"/>
        <w:rPr>
          <w:sz w:val="26"/>
          <w:szCs w:val="26"/>
        </w:rPr>
      </w:pPr>
    </w:p>
    <w:p w14:paraId="1F4411A7" w14:textId="7916D6F2" w:rsidR="001D5644" w:rsidRPr="0052333F" w:rsidRDefault="00C84168" w:rsidP="00027CB5">
      <w:pPr>
        <w:widowControl/>
        <w:spacing w:line="360" w:lineRule="auto"/>
        <w:ind w:firstLine="1440"/>
        <w:rPr>
          <w:rFonts w:eastAsiaTheme="minorHAnsi"/>
          <w:color w:val="000000"/>
          <w:sz w:val="26"/>
          <w:szCs w:val="26"/>
        </w:rPr>
      </w:pPr>
      <w:r>
        <w:rPr>
          <w:sz w:val="26"/>
          <w:szCs w:val="26"/>
        </w:rPr>
        <w:t>The ALJ noted that t</w:t>
      </w:r>
      <w:r w:rsidR="00340D38">
        <w:rPr>
          <w:sz w:val="26"/>
          <w:szCs w:val="26"/>
        </w:rPr>
        <w:t xml:space="preserve">he Commission sent </w:t>
      </w:r>
      <w:r w:rsidR="00796CDF">
        <w:rPr>
          <w:sz w:val="26"/>
          <w:szCs w:val="26"/>
        </w:rPr>
        <w:t xml:space="preserve">the Hearing </w:t>
      </w:r>
      <w:r w:rsidR="00340D38">
        <w:rPr>
          <w:sz w:val="26"/>
          <w:szCs w:val="26"/>
        </w:rPr>
        <w:t>N</w:t>
      </w:r>
      <w:r w:rsidR="0003143A" w:rsidRPr="0003143A">
        <w:rPr>
          <w:sz w:val="26"/>
          <w:szCs w:val="26"/>
        </w:rPr>
        <w:t>otice to the Complainant by regular first</w:t>
      </w:r>
      <w:r>
        <w:rPr>
          <w:sz w:val="26"/>
          <w:szCs w:val="26"/>
        </w:rPr>
        <w:t>-</w:t>
      </w:r>
      <w:r w:rsidR="0003143A" w:rsidRPr="0003143A">
        <w:rPr>
          <w:sz w:val="26"/>
          <w:szCs w:val="26"/>
        </w:rPr>
        <w:t>class mai</w:t>
      </w:r>
      <w:r>
        <w:rPr>
          <w:sz w:val="26"/>
          <w:szCs w:val="26"/>
        </w:rPr>
        <w:t xml:space="preserve">l to the </w:t>
      </w:r>
      <w:r w:rsidR="00796CDF">
        <w:rPr>
          <w:sz w:val="26"/>
          <w:szCs w:val="26"/>
        </w:rPr>
        <w:t xml:space="preserve">mailing </w:t>
      </w:r>
      <w:r>
        <w:rPr>
          <w:sz w:val="26"/>
          <w:szCs w:val="26"/>
        </w:rPr>
        <w:t>addre</w:t>
      </w:r>
      <w:r w:rsidR="00340D38">
        <w:rPr>
          <w:sz w:val="26"/>
          <w:szCs w:val="26"/>
        </w:rPr>
        <w:t xml:space="preserve">ss stated on the Complaint, and </w:t>
      </w:r>
      <w:r>
        <w:rPr>
          <w:sz w:val="26"/>
          <w:szCs w:val="26"/>
        </w:rPr>
        <w:t xml:space="preserve">such </w:t>
      </w:r>
      <w:r w:rsidR="0003143A" w:rsidRPr="0003143A">
        <w:rPr>
          <w:sz w:val="26"/>
          <w:szCs w:val="26"/>
        </w:rPr>
        <w:t>notice</w:t>
      </w:r>
      <w:r w:rsidR="00532462">
        <w:rPr>
          <w:sz w:val="26"/>
          <w:szCs w:val="26"/>
        </w:rPr>
        <w:t xml:space="preserve"> was not returned </w:t>
      </w:r>
      <w:r w:rsidR="00340D38">
        <w:rPr>
          <w:sz w:val="26"/>
          <w:szCs w:val="26"/>
        </w:rPr>
        <w:t xml:space="preserve">to sender </w:t>
      </w:r>
      <w:r w:rsidR="00CF3F20">
        <w:rPr>
          <w:sz w:val="26"/>
          <w:szCs w:val="26"/>
        </w:rPr>
        <w:t>as undeliverable.</w:t>
      </w:r>
      <w:r w:rsidR="0003143A" w:rsidRPr="0003143A">
        <w:rPr>
          <w:sz w:val="26"/>
          <w:szCs w:val="26"/>
        </w:rPr>
        <w:t xml:space="preserve"> </w:t>
      </w:r>
      <w:r w:rsidR="001D5644">
        <w:rPr>
          <w:sz w:val="26"/>
          <w:szCs w:val="26"/>
        </w:rPr>
        <w:t xml:space="preserve"> </w:t>
      </w:r>
      <w:r w:rsidR="00CF3F20">
        <w:rPr>
          <w:sz w:val="26"/>
          <w:szCs w:val="26"/>
        </w:rPr>
        <w:t>T</w:t>
      </w:r>
      <w:r w:rsidR="001D5644">
        <w:rPr>
          <w:sz w:val="26"/>
          <w:szCs w:val="26"/>
        </w:rPr>
        <w:t>he ALJ recognized that</w:t>
      </w:r>
      <w:r w:rsidR="00CF3F20" w:rsidRPr="00CF3F20">
        <w:rPr>
          <w:rFonts w:eastAsiaTheme="minorHAnsi"/>
          <w:color w:val="000000"/>
          <w:sz w:val="26"/>
          <w:szCs w:val="26"/>
        </w:rPr>
        <w:t xml:space="preserve"> </w:t>
      </w:r>
      <w:r w:rsidR="00CF3F20" w:rsidRPr="0003143A">
        <w:rPr>
          <w:rFonts w:eastAsiaTheme="minorHAnsi"/>
          <w:color w:val="000000"/>
          <w:sz w:val="26"/>
          <w:szCs w:val="26"/>
        </w:rPr>
        <w:t xml:space="preserve">under </w:t>
      </w:r>
      <w:r w:rsidR="00CF3F20">
        <w:rPr>
          <w:rFonts w:eastAsiaTheme="minorHAnsi"/>
          <w:color w:val="000000"/>
          <w:sz w:val="26"/>
          <w:szCs w:val="26"/>
        </w:rPr>
        <w:t>such</w:t>
      </w:r>
      <w:r w:rsidR="00CF3F20" w:rsidRPr="0003143A">
        <w:rPr>
          <w:rFonts w:eastAsiaTheme="minorHAnsi"/>
          <w:color w:val="000000"/>
          <w:sz w:val="26"/>
          <w:szCs w:val="26"/>
        </w:rPr>
        <w:t xml:space="preserve"> circumstances,</w:t>
      </w:r>
      <w:r w:rsidR="00CF3F20">
        <w:rPr>
          <w:sz w:val="26"/>
          <w:szCs w:val="26"/>
        </w:rPr>
        <w:t xml:space="preserve"> </w:t>
      </w:r>
      <w:r w:rsidR="001D5644">
        <w:rPr>
          <w:sz w:val="26"/>
          <w:szCs w:val="26"/>
        </w:rPr>
        <w:t xml:space="preserve">the </w:t>
      </w:r>
      <w:r w:rsidR="00796CDF">
        <w:rPr>
          <w:sz w:val="26"/>
          <w:szCs w:val="26"/>
        </w:rPr>
        <w:t>presumption is that the H</w:t>
      </w:r>
      <w:r w:rsidR="001D5644">
        <w:rPr>
          <w:sz w:val="26"/>
          <w:szCs w:val="26"/>
        </w:rPr>
        <w:t xml:space="preserve">earing </w:t>
      </w:r>
      <w:r w:rsidR="00796CDF">
        <w:rPr>
          <w:sz w:val="26"/>
          <w:szCs w:val="26"/>
        </w:rPr>
        <w:t>N</w:t>
      </w:r>
      <w:r w:rsidR="00577194">
        <w:rPr>
          <w:sz w:val="26"/>
          <w:szCs w:val="26"/>
        </w:rPr>
        <w:t>otice</w:t>
      </w:r>
      <w:r w:rsidR="001D5644">
        <w:rPr>
          <w:sz w:val="26"/>
          <w:szCs w:val="26"/>
        </w:rPr>
        <w:t xml:space="preserve"> </w:t>
      </w:r>
      <w:r w:rsidR="00796CDF">
        <w:rPr>
          <w:sz w:val="26"/>
          <w:szCs w:val="26"/>
        </w:rPr>
        <w:t>had been</w:t>
      </w:r>
      <w:r w:rsidR="001D5644" w:rsidRPr="0003143A">
        <w:rPr>
          <w:rFonts w:eastAsiaTheme="minorHAnsi"/>
          <w:color w:val="000000"/>
          <w:sz w:val="26"/>
          <w:szCs w:val="26"/>
        </w:rPr>
        <w:t xml:space="preserve"> received by </w:t>
      </w:r>
      <w:r w:rsidR="002D3A26">
        <w:rPr>
          <w:rFonts w:eastAsiaTheme="minorHAnsi"/>
          <w:color w:val="000000"/>
          <w:sz w:val="26"/>
          <w:szCs w:val="26"/>
        </w:rPr>
        <w:t xml:space="preserve">the </w:t>
      </w:r>
      <w:r w:rsidR="001D5644" w:rsidRPr="0003143A">
        <w:rPr>
          <w:rFonts w:eastAsiaTheme="minorHAnsi"/>
          <w:color w:val="000000"/>
          <w:sz w:val="26"/>
          <w:szCs w:val="26"/>
        </w:rPr>
        <w:t>Complainant.</w:t>
      </w:r>
      <w:r w:rsidR="00577194">
        <w:rPr>
          <w:sz w:val="26"/>
          <w:szCs w:val="26"/>
        </w:rPr>
        <w:t xml:space="preserve">  I.D. at </w:t>
      </w:r>
      <w:r w:rsidR="00A34A4B">
        <w:rPr>
          <w:sz w:val="26"/>
          <w:szCs w:val="26"/>
        </w:rPr>
        <w:t>5-6</w:t>
      </w:r>
      <w:r w:rsidR="001D5644">
        <w:rPr>
          <w:sz w:val="26"/>
          <w:szCs w:val="26"/>
        </w:rPr>
        <w:t xml:space="preserve"> (</w:t>
      </w:r>
      <w:r w:rsidR="00F6525D">
        <w:rPr>
          <w:sz w:val="26"/>
          <w:szCs w:val="26"/>
        </w:rPr>
        <w:t xml:space="preserve">citing </w:t>
      </w:r>
      <w:r w:rsidR="00A34A4B" w:rsidRPr="00A34A4B">
        <w:rPr>
          <w:i/>
          <w:iCs/>
          <w:sz w:val="26"/>
          <w:szCs w:val="26"/>
        </w:rPr>
        <w:t>Schneider</w:t>
      </w:r>
      <w:r w:rsidR="00F6525D">
        <w:rPr>
          <w:sz w:val="26"/>
          <w:szCs w:val="26"/>
        </w:rPr>
        <w:t xml:space="preserve">; </w:t>
      </w:r>
      <w:r w:rsidR="00A34A4B">
        <w:rPr>
          <w:i/>
          <w:sz w:val="26"/>
          <w:szCs w:val="26"/>
        </w:rPr>
        <w:t>Chartiers Industrial and Commercial Development Authority</w:t>
      </w:r>
      <w:r w:rsidR="00273868">
        <w:rPr>
          <w:sz w:val="26"/>
          <w:szCs w:val="26"/>
        </w:rPr>
        <w:t>).</w:t>
      </w:r>
    </w:p>
    <w:p w14:paraId="1165EC9E" w14:textId="77777777" w:rsidR="0003143A" w:rsidRPr="0003143A" w:rsidRDefault="0003143A" w:rsidP="00027CB5">
      <w:pPr>
        <w:pStyle w:val="Default"/>
        <w:spacing w:line="360" w:lineRule="auto"/>
        <w:ind w:firstLine="1440"/>
        <w:rPr>
          <w:sz w:val="26"/>
          <w:szCs w:val="26"/>
        </w:rPr>
      </w:pPr>
    </w:p>
    <w:p w14:paraId="0E331EAD" w14:textId="094ACEFD" w:rsidR="00577194" w:rsidRDefault="0003143A" w:rsidP="003633ED">
      <w:pPr>
        <w:keepNext/>
        <w:widowControl/>
        <w:autoSpaceDE w:val="0"/>
        <w:autoSpaceDN w:val="0"/>
        <w:adjustRightInd w:val="0"/>
        <w:spacing w:line="360" w:lineRule="auto"/>
        <w:ind w:firstLine="1440"/>
        <w:rPr>
          <w:rFonts w:eastAsiaTheme="minorHAnsi"/>
          <w:color w:val="000000"/>
          <w:sz w:val="26"/>
          <w:szCs w:val="26"/>
        </w:rPr>
      </w:pPr>
      <w:r w:rsidRPr="0003143A">
        <w:rPr>
          <w:rFonts w:eastAsiaTheme="minorHAnsi"/>
          <w:color w:val="000000"/>
          <w:sz w:val="26"/>
          <w:szCs w:val="26"/>
        </w:rPr>
        <w:t>The</w:t>
      </w:r>
      <w:r w:rsidR="001D5644">
        <w:rPr>
          <w:rFonts w:eastAsiaTheme="minorHAnsi"/>
          <w:color w:val="000000"/>
          <w:sz w:val="26"/>
          <w:szCs w:val="26"/>
        </w:rPr>
        <w:t xml:space="preserve"> ALJ explained</w:t>
      </w:r>
      <w:r w:rsidR="00577194">
        <w:rPr>
          <w:rFonts w:eastAsiaTheme="minorHAnsi"/>
          <w:color w:val="000000"/>
          <w:sz w:val="26"/>
          <w:szCs w:val="26"/>
        </w:rPr>
        <w:t>:</w:t>
      </w:r>
    </w:p>
    <w:p w14:paraId="15F372B7" w14:textId="77777777" w:rsidR="00507145" w:rsidRDefault="00507145" w:rsidP="003633ED">
      <w:pPr>
        <w:keepNext/>
        <w:widowControl/>
        <w:autoSpaceDE w:val="0"/>
        <w:autoSpaceDN w:val="0"/>
        <w:adjustRightInd w:val="0"/>
        <w:spacing w:line="360" w:lineRule="auto"/>
        <w:ind w:firstLine="1440"/>
        <w:rPr>
          <w:rFonts w:eastAsiaTheme="minorHAnsi"/>
          <w:color w:val="000000"/>
          <w:sz w:val="26"/>
          <w:szCs w:val="26"/>
        </w:rPr>
      </w:pPr>
    </w:p>
    <w:p w14:paraId="5A2C8BF1" w14:textId="581F7A4B" w:rsidR="00577194" w:rsidRPr="00C321B5" w:rsidRDefault="00C321B5" w:rsidP="003633ED">
      <w:pPr>
        <w:keepNext/>
        <w:widowControl/>
        <w:autoSpaceDE w:val="0"/>
        <w:autoSpaceDN w:val="0"/>
        <w:adjustRightInd w:val="0"/>
        <w:ind w:left="1440" w:right="1440"/>
        <w:rPr>
          <w:i/>
          <w:iCs/>
          <w:sz w:val="26"/>
          <w:szCs w:val="26"/>
        </w:rPr>
      </w:pPr>
      <w:r w:rsidRPr="00C321B5">
        <w:rPr>
          <w:sz w:val="26"/>
          <w:szCs w:val="23"/>
        </w:rPr>
        <w:t>None of these documents w</w:t>
      </w:r>
      <w:r>
        <w:rPr>
          <w:sz w:val="26"/>
          <w:szCs w:val="23"/>
        </w:rPr>
        <w:t>ere</w:t>
      </w:r>
      <w:r w:rsidRPr="00C321B5">
        <w:rPr>
          <w:sz w:val="26"/>
          <w:szCs w:val="23"/>
        </w:rPr>
        <w:t xml:space="preserve"> returned to the Commission as undeliverable by the post office.</w:t>
      </w:r>
      <w:r w:rsidR="00427225">
        <w:rPr>
          <w:sz w:val="26"/>
          <w:szCs w:val="23"/>
        </w:rPr>
        <w:t xml:space="preserve"> </w:t>
      </w:r>
      <w:r w:rsidRPr="00C321B5">
        <w:rPr>
          <w:sz w:val="26"/>
          <w:szCs w:val="23"/>
        </w:rPr>
        <w:t xml:space="preserve"> Therefore, the Complainant was deemed to have received these documents and had sufficient notice of the day, date and time of the scheduled hearing. </w:t>
      </w:r>
      <w:r>
        <w:rPr>
          <w:sz w:val="26"/>
          <w:szCs w:val="23"/>
        </w:rPr>
        <w:t xml:space="preserve"> </w:t>
      </w:r>
      <w:r w:rsidRPr="00C321B5">
        <w:rPr>
          <w:i/>
          <w:iCs/>
          <w:sz w:val="26"/>
          <w:szCs w:val="23"/>
        </w:rPr>
        <w:t xml:space="preserve">In addition to the constructive notice, the Complainant also had actual notice of the day, date and time </w:t>
      </w:r>
      <w:r w:rsidRPr="00C321B5">
        <w:rPr>
          <w:i/>
          <w:iCs/>
          <w:sz w:val="26"/>
          <w:szCs w:val="23"/>
        </w:rPr>
        <w:lastRenderedPageBreak/>
        <w:t>of the scheduled hearing as evidenced by the communications received from Keary Willis and Lisa Willis.</w:t>
      </w:r>
    </w:p>
    <w:p w14:paraId="23724A83" w14:textId="72A140F4" w:rsidR="00F65247" w:rsidRDefault="00F65247" w:rsidP="00027CB5">
      <w:pPr>
        <w:widowControl/>
        <w:autoSpaceDE w:val="0"/>
        <w:autoSpaceDN w:val="0"/>
        <w:adjustRightInd w:val="0"/>
        <w:ind w:left="1440" w:right="1440"/>
        <w:rPr>
          <w:rFonts w:eastAsiaTheme="minorHAnsi"/>
          <w:color w:val="000000"/>
          <w:sz w:val="26"/>
          <w:szCs w:val="26"/>
        </w:rPr>
      </w:pPr>
    </w:p>
    <w:p w14:paraId="2F45C7C7" w14:textId="77777777" w:rsidR="00F65247" w:rsidRPr="00577194" w:rsidRDefault="00F65247" w:rsidP="00027CB5">
      <w:pPr>
        <w:widowControl/>
        <w:autoSpaceDE w:val="0"/>
        <w:autoSpaceDN w:val="0"/>
        <w:adjustRightInd w:val="0"/>
        <w:ind w:left="1440" w:right="1440"/>
        <w:rPr>
          <w:rFonts w:eastAsiaTheme="minorHAnsi"/>
          <w:color w:val="000000"/>
          <w:sz w:val="26"/>
          <w:szCs w:val="26"/>
        </w:rPr>
      </w:pPr>
    </w:p>
    <w:p w14:paraId="278350D8" w14:textId="071B640C" w:rsidR="00577194" w:rsidRDefault="00577194" w:rsidP="00027CB5">
      <w:pPr>
        <w:widowControl/>
        <w:autoSpaceDE w:val="0"/>
        <w:autoSpaceDN w:val="0"/>
        <w:adjustRightInd w:val="0"/>
        <w:spacing w:line="360" w:lineRule="auto"/>
        <w:rPr>
          <w:rFonts w:eastAsiaTheme="minorHAnsi"/>
          <w:color w:val="000000"/>
          <w:sz w:val="26"/>
          <w:szCs w:val="26"/>
        </w:rPr>
      </w:pPr>
      <w:r>
        <w:rPr>
          <w:rFonts w:eastAsiaTheme="minorHAnsi"/>
          <w:color w:val="000000"/>
          <w:sz w:val="26"/>
          <w:szCs w:val="26"/>
        </w:rPr>
        <w:t xml:space="preserve">I.D. at </w:t>
      </w:r>
      <w:r w:rsidR="00C321B5">
        <w:rPr>
          <w:rFonts w:eastAsiaTheme="minorHAnsi"/>
          <w:color w:val="000000"/>
          <w:sz w:val="26"/>
          <w:szCs w:val="26"/>
        </w:rPr>
        <w:t>6</w:t>
      </w:r>
      <w:r>
        <w:rPr>
          <w:rFonts w:eastAsiaTheme="minorHAnsi"/>
          <w:color w:val="000000"/>
          <w:sz w:val="26"/>
          <w:szCs w:val="26"/>
        </w:rPr>
        <w:t xml:space="preserve"> (emphasis added).  </w:t>
      </w:r>
      <w:r>
        <w:rPr>
          <w:sz w:val="26"/>
          <w:szCs w:val="26"/>
        </w:rPr>
        <w:t>Under such</w:t>
      </w:r>
      <w:r w:rsidRPr="00577194">
        <w:rPr>
          <w:sz w:val="26"/>
          <w:szCs w:val="26"/>
        </w:rPr>
        <w:t xml:space="preserve"> circumstances, </w:t>
      </w:r>
      <w:r>
        <w:rPr>
          <w:sz w:val="26"/>
          <w:szCs w:val="26"/>
        </w:rPr>
        <w:t>the ALJ reasoned that the</w:t>
      </w:r>
      <w:r w:rsidRPr="00577194">
        <w:rPr>
          <w:sz w:val="26"/>
          <w:szCs w:val="26"/>
        </w:rPr>
        <w:t xml:space="preserve"> Complainant had ample opportunity</w:t>
      </w:r>
      <w:r>
        <w:rPr>
          <w:sz w:val="26"/>
          <w:szCs w:val="26"/>
        </w:rPr>
        <w:t xml:space="preserve"> to be heard in this proceeding</w:t>
      </w:r>
      <w:r w:rsidR="00427225">
        <w:rPr>
          <w:sz w:val="26"/>
          <w:szCs w:val="26"/>
        </w:rPr>
        <w:t xml:space="preserve"> but </w:t>
      </w:r>
      <w:r w:rsidR="000038FB">
        <w:rPr>
          <w:sz w:val="26"/>
          <w:szCs w:val="26"/>
        </w:rPr>
        <w:t>failed to appear</w:t>
      </w:r>
      <w:r w:rsidR="00C321B5">
        <w:rPr>
          <w:sz w:val="26"/>
          <w:szCs w:val="26"/>
        </w:rPr>
        <w:t xml:space="preserve"> in person or via telephone</w:t>
      </w:r>
      <w:r w:rsidR="000038FB">
        <w:rPr>
          <w:sz w:val="26"/>
          <w:szCs w:val="26"/>
        </w:rPr>
        <w:t xml:space="preserve">.  Therefore, the ALJ concluded </w:t>
      </w:r>
      <w:r>
        <w:rPr>
          <w:sz w:val="26"/>
          <w:szCs w:val="26"/>
        </w:rPr>
        <w:t>that</w:t>
      </w:r>
      <w:r w:rsidRPr="00577194">
        <w:rPr>
          <w:sz w:val="26"/>
          <w:szCs w:val="26"/>
        </w:rPr>
        <w:t xml:space="preserve"> the due process rights of the Complainant have been fully protected.</w:t>
      </w:r>
      <w:r>
        <w:rPr>
          <w:sz w:val="26"/>
          <w:szCs w:val="26"/>
        </w:rPr>
        <w:t xml:space="preserve">  I.D. at 7</w:t>
      </w:r>
      <w:r w:rsidR="00C321B5">
        <w:rPr>
          <w:sz w:val="26"/>
          <w:szCs w:val="26"/>
        </w:rPr>
        <w:t>-8</w:t>
      </w:r>
      <w:r>
        <w:rPr>
          <w:sz w:val="26"/>
          <w:szCs w:val="26"/>
        </w:rPr>
        <w:t>.</w:t>
      </w:r>
    </w:p>
    <w:p w14:paraId="73C1326D" w14:textId="77777777" w:rsidR="00577194" w:rsidRDefault="00577194" w:rsidP="00027CB5">
      <w:pPr>
        <w:widowControl/>
        <w:autoSpaceDE w:val="0"/>
        <w:autoSpaceDN w:val="0"/>
        <w:adjustRightInd w:val="0"/>
        <w:spacing w:line="360" w:lineRule="auto"/>
        <w:rPr>
          <w:rFonts w:eastAsiaTheme="minorHAnsi"/>
          <w:color w:val="000000"/>
          <w:sz w:val="26"/>
          <w:szCs w:val="26"/>
        </w:rPr>
      </w:pPr>
    </w:p>
    <w:p w14:paraId="55B87622" w14:textId="2A1DD21C" w:rsidR="00577194" w:rsidRDefault="000038FB" w:rsidP="00027CB5">
      <w:pPr>
        <w:widowControl/>
        <w:autoSpaceDE w:val="0"/>
        <w:autoSpaceDN w:val="0"/>
        <w:adjustRightInd w:val="0"/>
        <w:spacing w:line="360" w:lineRule="auto"/>
        <w:ind w:firstLine="1440"/>
        <w:rPr>
          <w:sz w:val="26"/>
          <w:szCs w:val="26"/>
        </w:rPr>
      </w:pPr>
      <w:r>
        <w:rPr>
          <w:sz w:val="26"/>
          <w:szCs w:val="26"/>
        </w:rPr>
        <w:t xml:space="preserve">The ALJ </w:t>
      </w:r>
      <w:r w:rsidR="00C321B5">
        <w:rPr>
          <w:sz w:val="26"/>
          <w:szCs w:val="26"/>
        </w:rPr>
        <w:t>found</w:t>
      </w:r>
      <w:r>
        <w:rPr>
          <w:sz w:val="26"/>
          <w:szCs w:val="26"/>
        </w:rPr>
        <w:t xml:space="preserve"> </w:t>
      </w:r>
      <w:r w:rsidR="00C321B5">
        <w:rPr>
          <w:sz w:val="26"/>
          <w:szCs w:val="26"/>
        </w:rPr>
        <w:t>that since no further information about the Complainant</w:t>
      </w:r>
      <w:r w:rsidR="00B5528E">
        <w:rPr>
          <w:sz w:val="26"/>
          <w:szCs w:val="26"/>
        </w:rPr>
        <w:t>’s</w:t>
      </w:r>
      <w:r w:rsidR="00C321B5">
        <w:rPr>
          <w:sz w:val="26"/>
          <w:szCs w:val="26"/>
        </w:rPr>
        <w:t xml:space="preserve"> </w:t>
      </w:r>
      <w:r w:rsidR="00B5528E">
        <w:rPr>
          <w:sz w:val="26"/>
          <w:szCs w:val="26"/>
        </w:rPr>
        <w:t>absence from</w:t>
      </w:r>
      <w:r w:rsidR="00C321B5">
        <w:rPr>
          <w:sz w:val="26"/>
          <w:szCs w:val="26"/>
        </w:rPr>
        <w:t xml:space="preserve"> this hearing</w:t>
      </w:r>
      <w:r w:rsidR="00B5528E">
        <w:rPr>
          <w:sz w:val="26"/>
          <w:szCs w:val="26"/>
        </w:rPr>
        <w:t xml:space="preserve"> ha</w:t>
      </w:r>
      <w:r w:rsidR="00B625F1">
        <w:rPr>
          <w:sz w:val="26"/>
          <w:szCs w:val="26"/>
        </w:rPr>
        <w:t>d</w:t>
      </w:r>
      <w:r w:rsidR="00B5528E">
        <w:rPr>
          <w:sz w:val="26"/>
          <w:szCs w:val="26"/>
        </w:rPr>
        <w:t xml:space="preserve"> been presented</w:t>
      </w:r>
      <w:r w:rsidR="00C321B5">
        <w:rPr>
          <w:sz w:val="26"/>
          <w:szCs w:val="26"/>
        </w:rPr>
        <w:t xml:space="preserve">, her failure to appear is unexcused.  </w:t>
      </w:r>
      <w:r w:rsidR="003633ED">
        <w:rPr>
          <w:sz w:val="26"/>
          <w:szCs w:val="26"/>
        </w:rPr>
        <w:t>I.D. at</w:t>
      </w:r>
      <w:r w:rsidR="00B625F1">
        <w:rPr>
          <w:sz w:val="26"/>
          <w:szCs w:val="26"/>
        </w:rPr>
        <w:t> </w:t>
      </w:r>
      <w:r w:rsidR="003633ED">
        <w:rPr>
          <w:sz w:val="26"/>
          <w:szCs w:val="26"/>
        </w:rPr>
        <w:t xml:space="preserve">7.  </w:t>
      </w:r>
      <w:r w:rsidR="00C321B5">
        <w:rPr>
          <w:sz w:val="26"/>
          <w:szCs w:val="26"/>
        </w:rPr>
        <w:t xml:space="preserve">The ALJ concluded </w:t>
      </w:r>
      <w:r>
        <w:rPr>
          <w:sz w:val="26"/>
          <w:szCs w:val="26"/>
        </w:rPr>
        <w:t xml:space="preserve">that </w:t>
      </w:r>
      <w:r w:rsidR="003633ED" w:rsidRPr="004230DC">
        <w:rPr>
          <w:sz w:val="26"/>
          <w:szCs w:val="26"/>
        </w:rPr>
        <w:t>th</w:t>
      </w:r>
      <w:r w:rsidR="003633ED" w:rsidRPr="004230DC">
        <w:rPr>
          <w:rFonts w:eastAsiaTheme="minorHAnsi"/>
          <w:color w:val="000000"/>
          <w:sz w:val="26"/>
          <w:szCs w:val="26"/>
        </w:rPr>
        <w:t xml:space="preserve">e Complainant waived the opportunity to participate in the hearing by </w:t>
      </w:r>
      <w:r w:rsidR="003633ED" w:rsidRPr="004230DC">
        <w:rPr>
          <w:rFonts w:eastAsiaTheme="minorHAnsi"/>
          <w:sz w:val="26"/>
          <w:szCs w:val="26"/>
        </w:rPr>
        <w:t xml:space="preserve">failing to appear.  I.D. at 7-8 (citing 52 Pa. Code § 5.245(a); citing also </w:t>
      </w:r>
      <w:r w:rsidR="003633ED" w:rsidRPr="004D3530">
        <w:rPr>
          <w:rFonts w:eastAsiaTheme="minorHAnsi"/>
          <w:i/>
          <w:iCs/>
          <w:sz w:val="26"/>
          <w:szCs w:val="26"/>
        </w:rPr>
        <w:t>Jefferson</w:t>
      </w:r>
      <w:r w:rsidR="003633ED" w:rsidRPr="004230DC">
        <w:rPr>
          <w:rFonts w:eastAsiaTheme="minorHAnsi"/>
          <w:sz w:val="26"/>
          <w:szCs w:val="26"/>
        </w:rPr>
        <w:t>).</w:t>
      </w:r>
      <w:r w:rsidR="003633ED" w:rsidRPr="004230DC">
        <w:rPr>
          <w:sz w:val="26"/>
          <w:szCs w:val="26"/>
        </w:rPr>
        <w:t xml:space="preserve">  The ALJ also </w:t>
      </w:r>
      <w:r w:rsidR="00B625F1">
        <w:rPr>
          <w:sz w:val="26"/>
          <w:szCs w:val="26"/>
        </w:rPr>
        <w:t xml:space="preserve">ruled that </w:t>
      </w:r>
      <w:r w:rsidR="003633ED" w:rsidRPr="004230DC">
        <w:rPr>
          <w:sz w:val="26"/>
          <w:szCs w:val="26"/>
        </w:rPr>
        <w:t>by not appearing for the scheduled hearing, the Complainant</w:t>
      </w:r>
      <w:r w:rsidR="003633ED" w:rsidRPr="00577194">
        <w:rPr>
          <w:sz w:val="26"/>
          <w:szCs w:val="26"/>
        </w:rPr>
        <w:t xml:space="preserve"> failed to </w:t>
      </w:r>
      <w:r w:rsidR="003633ED">
        <w:rPr>
          <w:sz w:val="26"/>
          <w:szCs w:val="26"/>
        </w:rPr>
        <w:t>carry</w:t>
      </w:r>
      <w:r w:rsidR="003633ED" w:rsidRPr="00577194">
        <w:rPr>
          <w:sz w:val="26"/>
          <w:szCs w:val="26"/>
        </w:rPr>
        <w:t xml:space="preserve"> her burden of proof.</w:t>
      </w:r>
      <w:r w:rsidR="003633ED">
        <w:rPr>
          <w:sz w:val="26"/>
          <w:szCs w:val="26"/>
        </w:rPr>
        <w:t xml:space="preserve">  I.D. at 8.  </w:t>
      </w:r>
      <w:r w:rsidR="003633ED">
        <w:rPr>
          <w:rFonts w:eastAsiaTheme="minorHAnsi"/>
          <w:color w:val="000000"/>
          <w:sz w:val="26"/>
          <w:szCs w:val="26"/>
        </w:rPr>
        <w:t>As such, the ALJ dismiss</w:t>
      </w:r>
      <w:r w:rsidR="00B625F1">
        <w:rPr>
          <w:rFonts w:eastAsiaTheme="minorHAnsi"/>
          <w:color w:val="000000"/>
          <w:sz w:val="26"/>
          <w:szCs w:val="26"/>
        </w:rPr>
        <w:t>ed</w:t>
      </w:r>
      <w:r w:rsidR="003633ED">
        <w:rPr>
          <w:rFonts w:eastAsiaTheme="minorHAnsi"/>
          <w:color w:val="000000"/>
          <w:sz w:val="26"/>
          <w:szCs w:val="26"/>
        </w:rPr>
        <w:t xml:space="preserve"> the Complaint </w:t>
      </w:r>
      <w:r w:rsidR="003633ED" w:rsidRPr="001B7471">
        <w:rPr>
          <w:rFonts w:eastAsiaTheme="minorHAnsi"/>
          <w:color w:val="000000"/>
          <w:sz w:val="26"/>
          <w:szCs w:val="26"/>
        </w:rPr>
        <w:t>with prejudice</w:t>
      </w:r>
      <w:r w:rsidR="003633ED">
        <w:rPr>
          <w:rFonts w:eastAsiaTheme="minorHAnsi"/>
          <w:color w:val="000000"/>
          <w:sz w:val="26"/>
          <w:szCs w:val="26"/>
        </w:rPr>
        <w:t>.  I.D. at 7-8.</w:t>
      </w:r>
    </w:p>
    <w:p w14:paraId="2098DDFB" w14:textId="77777777" w:rsidR="00577194" w:rsidRPr="00577194" w:rsidRDefault="00577194" w:rsidP="00027CB5">
      <w:pPr>
        <w:widowControl/>
        <w:autoSpaceDE w:val="0"/>
        <w:autoSpaceDN w:val="0"/>
        <w:adjustRightInd w:val="0"/>
        <w:spacing w:line="360" w:lineRule="auto"/>
        <w:ind w:firstLine="1440"/>
        <w:rPr>
          <w:rFonts w:eastAsiaTheme="minorHAnsi"/>
          <w:color w:val="000000"/>
          <w:sz w:val="26"/>
          <w:szCs w:val="26"/>
        </w:rPr>
      </w:pPr>
    </w:p>
    <w:p w14:paraId="3F86C527" w14:textId="7E117D70" w:rsidR="001F0176" w:rsidRPr="00733B3A" w:rsidRDefault="001F0176" w:rsidP="00027CB5">
      <w:pPr>
        <w:keepNext/>
        <w:keepLines/>
        <w:widowControl/>
        <w:spacing w:line="360" w:lineRule="auto"/>
        <w:rPr>
          <w:b/>
          <w:sz w:val="26"/>
          <w:szCs w:val="26"/>
        </w:rPr>
      </w:pPr>
      <w:r w:rsidRPr="00733B3A">
        <w:rPr>
          <w:b/>
          <w:sz w:val="26"/>
          <w:szCs w:val="26"/>
        </w:rPr>
        <w:t xml:space="preserve">Exceptions </w:t>
      </w:r>
    </w:p>
    <w:p w14:paraId="30464974" w14:textId="77777777" w:rsidR="00007A6C" w:rsidRPr="00733B3A" w:rsidRDefault="00007A6C" w:rsidP="00027CB5">
      <w:pPr>
        <w:keepNext/>
        <w:keepLines/>
        <w:widowControl/>
        <w:spacing w:line="360" w:lineRule="auto"/>
        <w:rPr>
          <w:sz w:val="26"/>
          <w:szCs w:val="26"/>
        </w:rPr>
      </w:pPr>
    </w:p>
    <w:p w14:paraId="0DF6D38A" w14:textId="2A7C0E83" w:rsidR="003633ED" w:rsidRDefault="003903B0" w:rsidP="003633ED">
      <w:pPr>
        <w:widowControl/>
        <w:spacing w:line="360" w:lineRule="auto"/>
        <w:ind w:firstLine="1440"/>
        <w:rPr>
          <w:sz w:val="26"/>
          <w:szCs w:val="26"/>
        </w:rPr>
      </w:pPr>
      <w:r>
        <w:rPr>
          <w:sz w:val="26"/>
          <w:szCs w:val="26"/>
        </w:rPr>
        <w:t>In h</w:t>
      </w:r>
      <w:r w:rsidR="00066646">
        <w:rPr>
          <w:sz w:val="26"/>
          <w:szCs w:val="26"/>
        </w:rPr>
        <w:t>er</w:t>
      </w:r>
      <w:r>
        <w:rPr>
          <w:sz w:val="26"/>
          <w:szCs w:val="26"/>
        </w:rPr>
        <w:t xml:space="preserve"> Exceptions</w:t>
      </w:r>
      <w:r w:rsidR="002F63AB">
        <w:rPr>
          <w:sz w:val="26"/>
          <w:szCs w:val="26"/>
        </w:rPr>
        <w:t xml:space="preserve">, </w:t>
      </w:r>
      <w:r>
        <w:rPr>
          <w:sz w:val="26"/>
          <w:szCs w:val="26"/>
        </w:rPr>
        <w:t>the Complainant</w:t>
      </w:r>
      <w:r w:rsidR="00066646">
        <w:rPr>
          <w:sz w:val="26"/>
          <w:szCs w:val="26"/>
        </w:rPr>
        <w:t xml:space="preserve"> </w:t>
      </w:r>
      <w:r w:rsidR="003633ED">
        <w:rPr>
          <w:sz w:val="26"/>
          <w:szCs w:val="26"/>
        </w:rPr>
        <w:t>contend</w:t>
      </w:r>
      <w:r w:rsidR="00066646">
        <w:rPr>
          <w:sz w:val="26"/>
          <w:szCs w:val="26"/>
        </w:rPr>
        <w:t>s that</w:t>
      </w:r>
      <w:r w:rsidR="006B3E50">
        <w:rPr>
          <w:sz w:val="26"/>
          <w:szCs w:val="26"/>
        </w:rPr>
        <w:t xml:space="preserve"> </w:t>
      </w:r>
      <w:r w:rsidR="00065A0A">
        <w:rPr>
          <w:sz w:val="26"/>
          <w:szCs w:val="26"/>
        </w:rPr>
        <w:t xml:space="preserve">she did </w:t>
      </w:r>
      <w:r w:rsidR="003633ED">
        <w:rPr>
          <w:sz w:val="26"/>
          <w:szCs w:val="26"/>
        </w:rPr>
        <w:t>“</w:t>
      </w:r>
      <w:r w:rsidR="00065A0A">
        <w:rPr>
          <w:sz w:val="26"/>
          <w:szCs w:val="26"/>
        </w:rPr>
        <w:t xml:space="preserve">provide reasonable and adequate notice and documentation of inability to attend </w:t>
      </w:r>
      <w:r w:rsidR="00BB169A">
        <w:rPr>
          <w:sz w:val="26"/>
          <w:szCs w:val="26"/>
        </w:rPr>
        <w:t xml:space="preserve">the </w:t>
      </w:r>
      <w:r w:rsidR="00065A0A">
        <w:rPr>
          <w:sz w:val="26"/>
          <w:szCs w:val="26"/>
        </w:rPr>
        <w:t>hearing in person.</w:t>
      </w:r>
      <w:r w:rsidR="003633ED">
        <w:rPr>
          <w:sz w:val="26"/>
          <w:szCs w:val="26"/>
        </w:rPr>
        <w:t>”</w:t>
      </w:r>
      <w:r w:rsidR="00065A0A">
        <w:rPr>
          <w:sz w:val="26"/>
          <w:szCs w:val="26"/>
        </w:rPr>
        <w:t xml:space="preserve">  </w:t>
      </w:r>
      <w:r w:rsidR="003633ED">
        <w:rPr>
          <w:sz w:val="26"/>
          <w:szCs w:val="26"/>
        </w:rPr>
        <w:t xml:space="preserve">Exc. at 2.  She asserts that the ALJ called the Complainant’s phone on the day of the scheduled hearing and spoke with a “hospital point of contact” and questioned such caretaker without swearing in the caretaker.  The Complainant also asserts that the ALJ was quick to point out to this unsworn third-party that the hearing was scheduled and the ALJ would wait until the Complainant came back to the hospital room for the telephonic hearing.  Exc.at 2.  </w:t>
      </w:r>
      <w:r w:rsidR="00E065A6">
        <w:rPr>
          <w:sz w:val="26"/>
          <w:szCs w:val="26"/>
        </w:rPr>
        <w:t>T</w:t>
      </w:r>
      <w:r w:rsidR="003633ED">
        <w:rPr>
          <w:sz w:val="26"/>
          <w:szCs w:val="26"/>
        </w:rPr>
        <w:t xml:space="preserve">he Complainant </w:t>
      </w:r>
      <w:r w:rsidR="00E065A6">
        <w:rPr>
          <w:sz w:val="26"/>
          <w:szCs w:val="26"/>
        </w:rPr>
        <w:t xml:space="preserve">opines </w:t>
      </w:r>
      <w:r w:rsidR="003633ED">
        <w:rPr>
          <w:sz w:val="26"/>
          <w:szCs w:val="26"/>
        </w:rPr>
        <w:t xml:space="preserve">that the evidence in this case does not support the </w:t>
      </w:r>
      <w:r w:rsidR="00E065A6">
        <w:rPr>
          <w:sz w:val="26"/>
          <w:szCs w:val="26"/>
        </w:rPr>
        <w:t xml:space="preserve">ALJ’s </w:t>
      </w:r>
      <w:r w:rsidR="003633ED">
        <w:rPr>
          <w:sz w:val="26"/>
          <w:szCs w:val="26"/>
        </w:rPr>
        <w:t>conclusion to deny the Complaint without the opportunity to be heard.  She requests that the Initial Decision be vacated, and another hearing be rescheduled.  Exc. at 3.</w:t>
      </w:r>
    </w:p>
    <w:p w14:paraId="12317233" w14:textId="77777777" w:rsidR="003633ED" w:rsidRDefault="003633ED" w:rsidP="00027CB5">
      <w:pPr>
        <w:widowControl/>
        <w:spacing w:line="360" w:lineRule="auto"/>
        <w:ind w:firstLine="1440"/>
        <w:rPr>
          <w:sz w:val="26"/>
          <w:szCs w:val="26"/>
        </w:rPr>
      </w:pPr>
    </w:p>
    <w:p w14:paraId="056D6F58" w14:textId="7177C03F" w:rsidR="00065A0A" w:rsidRDefault="003633ED" w:rsidP="00027CB5">
      <w:pPr>
        <w:widowControl/>
        <w:spacing w:line="360" w:lineRule="auto"/>
        <w:ind w:firstLine="1440"/>
        <w:rPr>
          <w:sz w:val="26"/>
          <w:szCs w:val="26"/>
        </w:rPr>
      </w:pPr>
      <w:r>
        <w:rPr>
          <w:sz w:val="26"/>
          <w:szCs w:val="26"/>
        </w:rPr>
        <w:t xml:space="preserve">The remainder of the </w:t>
      </w:r>
      <w:r w:rsidR="00C4384F">
        <w:rPr>
          <w:sz w:val="26"/>
          <w:szCs w:val="26"/>
        </w:rPr>
        <w:t>Complainant</w:t>
      </w:r>
      <w:r>
        <w:rPr>
          <w:sz w:val="26"/>
          <w:szCs w:val="26"/>
        </w:rPr>
        <w:t>’s Exceptions present</w:t>
      </w:r>
      <w:r w:rsidR="001F3658">
        <w:rPr>
          <w:sz w:val="26"/>
          <w:szCs w:val="26"/>
        </w:rPr>
        <w:t>s</w:t>
      </w:r>
      <w:r>
        <w:rPr>
          <w:sz w:val="26"/>
          <w:szCs w:val="26"/>
        </w:rPr>
        <w:t xml:space="preserve"> argument</w:t>
      </w:r>
      <w:r w:rsidR="001F3658">
        <w:rPr>
          <w:sz w:val="26"/>
          <w:szCs w:val="26"/>
        </w:rPr>
        <w:t>s</w:t>
      </w:r>
      <w:r>
        <w:rPr>
          <w:sz w:val="26"/>
          <w:szCs w:val="26"/>
        </w:rPr>
        <w:t xml:space="preserve"> related to the claims in her Complaint.  In summary, she</w:t>
      </w:r>
      <w:r w:rsidR="00C4384F">
        <w:rPr>
          <w:sz w:val="26"/>
          <w:szCs w:val="26"/>
        </w:rPr>
        <w:t xml:space="preserve"> contends that a reasonable payment plan is </w:t>
      </w:r>
      <w:r w:rsidR="00501485">
        <w:rPr>
          <w:sz w:val="26"/>
          <w:szCs w:val="26"/>
        </w:rPr>
        <w:t>warranted,</w:t>
      </w:r>
      <w:r w:rsidR="00C4384F">
        <w:rPr>
          <w:sz w:val="26"/>
          <w:szCs w:val="26"/>
        </w:rPr>
        <w:t xml:space="preserve"> and that PECO is not justified to disconnect service based on medical and improper notice.  </w:t>
      </w:r>
      <w:r w:rsidR="00B20EEF">
        <w:rPr>
          <w:sz w:val="26"/>
          <w:szCs w:val="26"/>
        </w:rPr>
        <w:t>The Complainant</w:t>
      </w:r>
      <w:r w:rsidR="00C4384F">
        <w:rPr>
          <w:sz w:val="26"/>
          <w:szCs w:val="26"/>
        </w:rPr>
        <w:t xml:space="preserve"> avers that the evidence in this case does not support the conclusion to deny the Complaint and allow service to be disconnected without </w:t>
      </w:r>
      <w:r w:rsidR="00606353">
        <w:rPr>
          <w:sz w:val="26"/>
          <w:szCs w:val="26"/>
        </w:rPr>
        <w:t xml:space="preserve">setting up </w:t>
      </w:r>
      <w:r w:rsidR="00C4384F">
        <w:rPr>
          <w:sz w:val="26"/>
          <w:szCs w:val="26"/>
        </w:rPr>
        <w:t>a payment arrangement.  Exc. at 2-3.</w:t>
      </w:r>
    </w:p>
    <w:p w14:paraId="276D5165" w14:textId="77777777" w:rsidR="00065A0A" w:rsidRDefault="00065A0A" w:rsidP="00027CB5">
      <w:pPr>
        <w:widowControl/>
        <w:spacing w:line="360" w:lineRule="auto"/>
        <w:ind w:firstLine="1440"/>
        <w:rPr>
          <w:sz w:val="26"/>
          <w:szCs w:val="26"/>
        </w:rPr>
      </w:pPr>
    </w:p>
    <w:p w14:paraId="18A2ED8A" w14:textId="77777777" w:rsidR="001F0176" w:rsidRPr="00733B3A" w:rsidRDefault="001F0176" w:rsidP="00027CB5">
      <w:pPr>
        <w:keepNext/>
        <w:keepLines/>
        <w:widowControl/>
        <w:spacing w:line="360" w:lineRule="auto"/>
        <w:rPr>
          <w:sz w:val="26"/>
          <w:szCs w:val="26"/>
        </w:rPr>
      </w:pPr>
      <w:r w:rsidRPr="00733B3A">
        <w:rPr>
          <w:b/>
          <w:sz w:val="26"/>
          <w:szCs w:val="26"/>
        </w:rPr>
        <w:t>Disposition</w:t>
      </w:r>
    </w:p>
    <w:p w14:paraId="3D7F932F" w14:textId="77777777" w:rsidR="00007A6C" w:rsidRPr="00733B3A" w:rsidRDefault="00007A6C" w:rsidP="00027CB5">
      <w:pPr>
        <w:keepNext/>
        <w:keepLines/>
        <w:widowControl/>
        <w:spacing w:line="360" w:lineRule="auto"/>
        <w:rPr>
          <w:sz w:val="26"/>
          <w:szCs w:val="26"/>
        </w:rPr>
      </w:pPr>
    </w:p>
    <w:p w14:paraId="623E59EC" w14:textId="26A3FF30" w:rsidR="002937C9" w:rsidRDefault="00877396" w:rsidP="00027CB5">
      <w:pPr>
        <w:widowControl/>
        <w:overflowPunct w:val="0"/>
        <w:autoSpaceDE w:val="0"/>
        <w:autoSpaceDN w:val="0"/>
        <w:adjustRightInd w:val="0"/>
        <w:spacing w:line="360" w:lineRule="auto"/>
        <w:ind w:firstLine="1440"/>
        <w:textAlignment w:val="baseline"/>
        <w:rPr>
          <w:sz w:val="26"/>
          <w:szCs w:val="26"/>
        </w:rPr>
      </w:pPr>
      <w:r>
        <w:rPr>
          <w:color w:val="000000" w:themeColor="text1"/>
          <w:sz w:val="26"/>
        </w:rPr>
        <w:t xml:space="preserve">On consideration of the positions of the parties, we note that </w:t>
      </w:r>
      <w:r w:rsidR="002F64C8">
        <w:rPr>
          <w:color w:val="000000" w:themeColor="text1"/>
          <w:sz w:val="26"/>
        </w:rPr>
        <w:t>i</w:t>
      </w:r>
      <w:r w:rsidR="00273868">
        <w:rPr>
          <w:color w:val="000000" w:themeColor="text1"/>
          <w:sz w:val="26"/>
        </w:rPr>
        <w:t xml:space="preserve">t is within the </w:t>
      </w:r>
      <w:r w:rsidR="00273868" w:rsidRPr="00CB4BFA">
        <w:rPr>
          <w:color w:val="000000" w:themeColor="text1"/>
          <w:sz w:val="26"/>
          <w:szCs w:val="26"/>
        </w:rPr>
        <w:t xml:space="preserve">sound discretion of the </w:t>
      </w:r>
      <w:r w:rsidR="00273868">
        <w:rPr>
          <w:color w:val="000000" w:themeColor="text1"/>
          <w:sz w:val="26"/>
          <w:szCs w:val="26"/>
        </w:rPr>
        <w:t xml:space="preserve">ALJ to decide whether the Complainant’s failure to appear was unavoidable and whether permitting a hearing would prejudice the public interest or the interest of the </w:t>
      </w:r>
      <w:r w:rsidR="00CA1440">
        <w:rPr>
          <w:color w:val="000000" w:themeColor="text1"/>
          <w:sz w:val="26"/>
          <w:szCs w:val="26"/>
        </w:rPr>
        <w:t>other party</w:t>
      </w:r>
      <w:r w:rsidR="00273868">
        <w:rPr>
          <w:color w:val="000000" w:themeColor="text1"/>
          <w:sz w:val="26"/>
          <w:szCs w:val="26"/>
        </w:rPr>
        <w:t xml:space="preserve">.  </w:t>
      </w:r>
      <w:r w:rsidR="00273868" w:rsidRPr="008C2C13">
        <w:rPr>
          <w:i/>
          <w:sz w:val="26"/>
          <w:szCs w:val="26"/>
        </w:rPr>
        <w:t xml:space="preserve">See </w:t>
      </w:r>
      <w:r w:rsidR="00273868" w:rsidRPr="002A7FFC">
        <w:rPr>
          <w:sz w:val="26"/>
          <w:szCs w:val="26"/>
        </w:rPr>
        <w:t xml:space="preserve">66 Pa. C.S. § 332(f); </w:t>
      </w:r>
      <w:r w:rsidR="00273868" w:rsidRPr="002A7FFC">
        <w:rPr>
          <w:i/>
          <w:sz w:val="26"/>
          <w:szCs w:val="26"/>
        </w:rPr>
        <w:t>see also</w:t>
      </w:r>
      <w:r w:rsidR="00273868">
        <w:rPr>
          <w:sz w:val="26"/>
          <w:szCs w:val="26"/>
        </w:rPr>
        <w:t xml:space="preserve"> 52 Pa. Code § 5.245(a)-(b).  </w:t>
      </w:r>
      <w:r w:rsidR="004668D3">
        <w:rPr>
          <w:color w:val="000000" w:themeColor="text1"/>
          <w:sz w:val="26"/>
          <w:szCs w:val="26"/>
        </w:rPr>
        <w:t xml:space="preserve">In the matter before us, the ALJ </w:t>
      </w:r>
      <w:r w:rsidR="00B10E89">
        <w:rPr>
          <w:color w:val="000000" w:themeColor="text1"/>
          <w:sz w:val="26"/>
          <w:szCs w:val="26"/>
        </w:rPr>
        <w:t xml:space="preserve">ruled to dismiss </w:t>
      </w:r>
      <w:r w:rsidR="004668D3">
        <w:rPr>
          <w:color w:val="000000" w:themeColor="text1"/>
          <w:sz w:val="26"/>
          <w:szCs w:val="26"/>
        </w:rPr>
        <w:t xml:space="preserve">the </w:t>
      </w:r>
      <w:r w:rsidR="0040009E">
        <w:rPr>
          <w:color w:val="000000" w:themeColor="text1"/>
          <w:sz w:val="26"/>
          <w:szCs w:val="26"/>
        </w:rPr>
        <w:t>C</w:t>
      </w:r>
      <w:r w:rsidR="004668D3">
        <w:rPr>
          <w:color w:val="000000" w:themeColor="text1"/>
          <w:sz w:val="26"/>
          <w:szCs w:val="26"/>
        </w:rPr>
        <w:t>ompl</w:t>
      </w:r>
      <w:r w:rsidR="0040009E">
        <w:rPr>
          <w:color w:val="000000" w:themeColor="text1"/>
          <w:sz w:val="26"/>
          <w:szCs w:val="26"/>
        </w:rPr>
        <w:t>ai</w:t>
      </w:r>
      <w:r w:rsidR="004668D3">
        <w:rPr>
          <w:color w:val="000000" w:themeColor="text1"/>
          <w:sz w:val="26"/>
          <w:szCs w:val="26"/>
        </w:rPr>
        <w:t>nt</w:t>
      </w:r>
      <w:r w:rsidR="009F0BCF">
        <w:rPr>
          <w:color w:val="000000" w:themeColor="text1"/>
          <w:sz w:val="26"/>
          <w:szCs w:val="26"/>
        </w:rPr>
        <w:t>,</w:t>
      </w:r>
      <w:r w:rsidR="004668D3">
        <w:rPr>
          <w:color w:val="000000" w:themeColor="text1"/>
          <w:sz w:val="26"/>
          <w:szCs w:val="26"/>
        </w:rPr>
        <w:t xml:space="preserve"> </w:t>
      </w:r>
      <w:r w:rsidR="004668D3" w:rsidRPr="00501485">
        <w:rPr>
          <w:iCs/>
          <w:color w:val="000000" w:themeColor="text1"/>
          <w:sz w:val="26"/>
          <w:szCs w:val="26"/>
        </w:rPr>
        <w:t>with prejudice</w:t>
      </w:r>
      <w:r w:rsidR="00C362B6">
        <w:rPr>
          <w:color w:val="000000" w:themeColor="text1"/>
          <w:sz w:val="26"/>
          <w:szCs w:val="26"/>
        </w:rPr>
        <w:t xml:space="preserve">, </w:t>
      </w:r>
      <w:r w:rsidR="00B20EEF">
        <w:rPr>
          <w:color w:val="000000" w:themeColor="text1"/>
          <w:sz w:val="26"/>
          <w:szCs w:val="26"/>
        </w:rPr>
        <w:t xml:space="preserve">because </w:t>
      </w:r>
      <w:r w:rsidR="004668D3">
        <w:rPr>
          <w:sz w:val="26"/>
          <w:szCs w:val="26"/>
        </w:rPr>
        <w:t>the</w:t>
      </w:r>
      <w:r w:rsidR="004668D3" w:rsidRPr="0003143A">
        <w:rPr>
          <w:sz w:val="26"/>
          <w:szCs w:val="26"/>
        </w:rPr>
        <w:t xml:space="preserve"> Complainant had ample opportunity to appear </w:t>
      </w:r>
      <w:r w:rsidR="00B10E89">
        <w:rPr>
          <w:sz w:val="26"/>
          <w:szCs w:val="26"/>
        </w:rPr>
        <w:t>and be heard in this proceeding</w:t>
      </w:r>
      <w:r w:rsidR="004668D3" w:rsidRPr="0003143A">
        <w:rPr>
          <w:sz w:val="26"/>
          <w:szCs w:val="26"/>
        </w:rPr>
        <w:t xml:space="preserve"> but chose not to ca</w:t>
      </w:r>
      <w:r w:rsidR="00271950">
        <w:rPr>
          <w:sz w:val="26"/>
          <w:szCs w:val="26"/>
        </w:rPr>
        <w:t>ll into the hearing conference.</w:t>
      </w:r>
    </w:p>
    <w:p w14:paraId="4D7C776C" w14:textId="77777777" w:rsidR="0040009E" w:rsidRDefault="0040009E" w:rsidP="00027CB5">
      <w:pPr>
        <w:widowControl/>
        <w:overflowPunct w:val="0"/>
        <w:autoSpaceDE w:val="0"/>
        <w:autoSpaceDN w:val="0"/>
        <w:adjustRightInd w:val="0"/>
        <w:spacing w:line="360" w:lineRule="auto"/>
        <w:ind w:firstLine="1440"/>
        <w:textAlignment w:val="baseline"/>
        <w:rPr>
          <w:sz w:val="26"/>
          <w:szCs w:val="26"/>
        </w:rPr>
      </w:pPr>
    </w:p>
    <w:p w14:paraId="1F78C0BE" w14:textId="24011DA2" w:rsidR="0042160A" w:rsidRDefault="00D83B4C" w:rsidP="00027CB5">
      <w:pPr>
        <w:widowControl/>
        <w:spacing w:line="360" w:lineRule="auto"/>
        <w:ind w:firstLine="1440"/>
        <w:rPr>
          <w:color w:val="000000" w:themeColor="text1"/>
          <w:sz w:val="26"/>
          <w:szCs w:val="26"/>
        </w:rPr>
      </w:pPr>
      <w:r>
        <w:rPr>
          <w:color w:val="000000" w:themeColor="text1"/>
          <w:sz w:val="26"/>
          <w:szCs w:val="26"/>
        </w:rPr>
        <w:t>W</w:t>
      </w:r>
      <w:r w:rsidR="00F96907">
        <w:rPr>
          <w:color w:val="000000" w:themeColor="text1"/>
          <w:sz w:val="26"/>
          <w:szCs w:val="26"/>
        </w:rPr>
        <w:t xml:space="preserve">e recognize that </w:t>
      </w:r>
      <w:r w:rsidR="009C0A32">
        <w:rPr>
          <w:color w:val="000000" w:themeColor="text1"/>
          <w:sz w:val="26"/>
          <w:szCs w:val="26"/>
        </w:rPr>
        <w:t>a</w:t>
      </w:r>
      <w:r w:rsidR="00FB53CD">
        <w:rPr>
          <w:color w:val="000000" w:themeColor="text1"/>
          <w:sz w:val="26"/>
          <w:szCs w:val="26"/>
        </w:rPr>
        <w:t>fter the ALJ convened th</w:t>
      </w:r>
      <w:r w:rsidR="0042160A">
        <w:rPr>
          <w:color w:val="000000" w:themeColor="text1"/>
          <w:sz w:val="26"/>
          <w:szCs w:val="26"/>
        </w:rPr>
        <w:t>e schedule</w:t>
      </w:r>
      <w:r w:rsidR="00205577">
        <w:rPr>
          <w:color w:val="000000" w:themeColor="text1"/>
          <w:sz w:val="26"/>
          <w:szCs w:val="26"/>
        </w:rPr>
        <w:t>d</w:t>
      </w:r>
      <w:r w:rsidR="0042160A">
        <w:rPr>
          <w:color w:val="000000" w:themeColor="text1"/>
          <w:sz w:val="26"/>
          <w:szCs w:val="26"/>
        </w:rPr>
        <w:t xml:space="preserve"> </w:t>
      </w:r>
      <w:r w:rsidR="000533D7">
        <w:rPr>
          <w:color w:val="000000" w:themeColor="text1"/>
          <w:sz w:val="26"/>
          <w:szCs w:val="26"/>
        </w:rPr>
        <w:t xml:space="preserve">in-person </w:t>
      </w:r>
      <w:r w:rsidR="0042160A">
        <w:rPr>
          <w:color w:val="000000" w:themeColor="text1"/>
          <w:sz w:val="26"/>
          <w:szCs w:val="26"/>
        </w:rPr>
        <w:t xml:space="preserve">hearing, </w:t>
      </w:r>
      <w:r w:rsidR="00482331">
        <w:rPr>
          <w:color w:val="000000" w:themeColor="text1"/>
          <w:sz w:val="26"/>
          <w:szCs w:val="26"/>
        </w:rPr>
        <w:t xml:space="preserve">the </w:t>
      </w:r>
      <w:r w:rsidR="00CA1440">
        <w:rPr>
          <w:color w:val="000000" w:themeColor="text1"/>
          <w:sz w:val="26"/>
          <w:szCs w:val="26"/>
        </w:rPr>
        <w:t xml:space="preserve">Complainant </w:t>
      </w:r>
      <w:r w:rsidR="0042160A">
        <w:rPr>
          <w:color w:val="000000" w:themeColor="text1"/>
          <w:sz w:val="26"/>
          <w:szCs w:val="26"/>
        </w:rPr>
        <w:t xml:space="preserve">did not </w:t>
      </w:r>
      <w:r w:rsidR="00E205A7">
        <w:rPr>
          <w:color w:val="000000" w:themeColor="text1"/>
          <w:sz w:val="26"/>
          <w:szCs w:val="26"/>
        </w:rPr>
        <w:t>attend</w:t>
      </w:r>
      <w:r w:rsidR="00205577">
        <w:rPr>
          <w:color w:val="000000" w:themeColor="text1"/>
          <w:sz w:val="26"/>
          <w:szCs w:val="26"/>
        </w:rPr>
        <w:t xml:space="preserve"> the</w:t>
      </w:r>
      <w:r w:rsidR="00BF466E">
        <w:rPr>
          <w:color w:val="000000" w:themeColor="text1"/>
          <w:sz w:val="26"/>
          <w:szCs w:val="26"/>
        </w:rPr>
        <w:t xml:space="preserve"> hearing</w:t>
      </w:r>
      <w:r w:rsidR="00E205A7">
        <w:rPr>
          <w:color w:val="000000" w:themeColor="text1"/>
          <w:sz w:val="26"/>
          <w:szCs w:val="26"/>
        </w:rPr>
        <w:t xml:space="preserve"> in person or via telephone</w:t>
      </w:r>
      <w:r w:rsidR="00FB53CD">
        <w:rPr>
          <w:color w:val="000000" w:themeColor="text1"/>
          <w:sz w:val="26"/>
          <w:szCs w:val="26"/>
        </w:rPr>
        <w:t>.</w:t>
      </w:r>
      <w:r w:rsidR="00F4320E">
        <w:rPr>
          <w:color w:val="000000" w:themeColor="text1"/>
          <w:sz w:val="26"/>
          <w:szCs w:val="26"/>
        </w:rPr>
        <w:t xml:space="preserve"> </w:t>
      </w:r>
      <w:r w:rsidR="00FB53CD">
        <w:rPr>
          <w:color w:val="000000" w:themeColor="text1"/>
          <w:sz w:val="26"/>
          <w:szCs w:val="26"/>
        </w:rPr>
        <w:t xml:space="preserve"> </w:t>
      </w:r>
      <w:r w:rsidR="005926C7">
        <w:rPr>
          <w:color w:val="000000" w:themeColor="text1"/>
          <w:sz w:val="26"/>
          <w:szCs w:val="26"/>
        </w:rPr>
        <w:t>From an administrative due process standpoint, t</w:t>
      </w:r>
      <w:r w:rsidR="0042160A">
        <w:rPr>
          <w:color w:val="000000" w:themeColor="text1"/>
          <w:sz w:val="26"/>
          <w:szCs w:val="26"/>
        </w:rPr>
        <w:t>he question is whether the Complainant’s failure to appear sh</w:t>
      </w:r>
      <w:r w:rsidR="00A64097">
        <w:rPr>
          <w:color w:val="000000" w:themeColor="text1"/>
          <w:sz w:val="26"/>
          <w:szCs w:val="26"/>
        </w:rPr>
        <w:t xml:space="preserve">ould </w:t>
      </w:r>
      <w:r w:rsidR="0042160A">
        <w:rPr>
          <w:color w:val="000000" w:themeColor="text1"/>
          <w:sz w:val="26"/>
          <w:szCs w:val="26"/>
        </w:rPr>
        <w:t xml:space="preserve">be deemed the Complainant’s waiver of the opportunity to participate in a hearing </w:t>
      </w:r>
      <w:r w:rsidR="00430883">
        <w:rPr>
          <w:color w:val="000000" w:themeColor="text1"/>
          <w:sz w:val="26"/>
          <w:szCs w:val="26"/>
        </w:rPr>
        <w:t>in this</w:t>
      </w:r>
      <w:r w:rsidR="0042160A">
        <w:rPr>
          <w:color w:val="000000" w:themeColor="text1"/>
          <w:sz w:val="26"/>
          <w:szCs w:val="26"/>
        </w:rPr>
        <w:t xml:space="preserve"> Complaint</w:t>
      </w:r>
      <w:r w:rsidR="00430883">
        <w:rPr>
          <w:color w:val="000000" w:themeColor="text1"/>
          <w:sz w:val="26"/>
          <w:szCs w:val="26"/>
        </w:rPr>
        <w:t xml:space="preserve"> proceeding</w:t>
      </w:r>
      <w:r w:rsidR="0042160A">
        <w:rPr>
          <w:color w:val="000000" w:themeColor="text1"/>
          <w:sz w:val="26"/>
          <w:szCs w:val="26"/>
        </w:rPr>
        <w:t>, pursuant to 66 Pa. C.S. § 332(f) and 52 Pa. Code § 5.245(a)-(b).</w:t>
      </w:r>
    </w:p>
    <w:p w14:paraId="7686F424" w14:textId="77777777" w:rsidR="00B859E6" w:rsidRDefault="00B859E6" w:rsidP="00027CB5">
      <w:pPr>
        <w:widowControl/>
        <w:spacing w:line="360" w:lineRule="auto"/>
        <w:ind w:firstLine="1440"/>
        <w:rPr>
          <w:color w:val="000000" w:themeColor="text1"/>
          <w:sz w:val="26"/>
          <w:szCs w:val="26"/>
        </w:rPr>
      </w:pPr>
    </w:p>
    <w:p w14:paraId="3250EEFB" w14:textId="61303954" w:rsidR="002F64C8" w:rsidRDefault="002F64C8" w:rsidP="00027CB5">
      <w:pPr>
        <w:widowControl/>
        <w:spacing w:line="360" w:lineRule="auto"/>
        <w:ind w:firstLine="1440"/>
        <w:rPr>
          <w:color w:val="000000" w:themeColor="text1"/>
          <w:sz w:val="26"/>
          <w:szCs w:val="26"/>
        </w:rPr>
      </w:pPr>
      <w:r>
        <w:rPr>
          <w:color w:val="000000" w:themeColor="text1"/>
          <w:sz w:val="26"/>
          <w:szCs w:val="26"/>
        </w:rPr>
        <w:t>To begin our analysis, b</w:t>
      </w:r>
      <w:r>
        <w:rPr>
          <w:sz w:val="26"/>
          <w:szCs w:val="26"/>
        </w:rPr>
        <w:t>ecause</w:t>
      </w:r>
      <w:r w:rsidR="00FA7D1F">
        <w:rPr>
          <w:sz w:val="26"/>
          <w:szCs w:val="26"/>
        </w:rPr>
        <w:t xml:space="preserve"> all </w:t>
      </w:r>
      <w:r w:rsidR="00E2754B">
        <w:rPr>
          <w:sz w:val="26"/>
          <w:szCs w:val="26"/>
        </w:rPr>
        <w:t>documents</w:t>
      </w:r>
      <w:r w:rsidR="00FA7D1F">
        <w:rPr>
          <w:sz w:val="26"/>
          <w:szCs w:val="26"/>
        </w:rPr>
        <w:t>, including</w:t>
      </w:r>
      <w:r>
        <w:rPr>
          <w:sz w:val="26"/>
          <w:szCs w:val="26"/>
        </w:rPr>
        <w:t xml:space="preserve"> both the </w:t>
      </w:r>
      <w:r w:rsidR="00D83B4C">
        <w:rPr>
          <w:sz w:val="26"/>
          <w:szCs w:val="26"/>
        </w:rPr>
        <w:t>Rescheduled</w:t>
      </w:r>
      <w:r w:rsidR="004A7365">
        <w:rPr>
          <w:sz w:val="26"/>
          <w:szCs w:val="26"/>
        </w:rPr>
        <w:t xml:space="preserve"> </w:t>
      </w:r>
      <w:r>
        <w:rPr>
          <w:sz w:val="26"/>
          <w:szCs w:val="26"/>
        </w:rPr>
        <w:t>Hearing Notice</w:t>
      </w:r>
      <w:r w:rsidR="00FA7D1F">
        <w:rPr>
          <w:sz w:val="26"/>
          <w:szCs w:val="26"/>
        </w:rPr>
        <w:t>,</w:t>
      </w:r>
      <w:r>
        <w:rPr>
          <w:sz w:val="26"/>
          <w:szCs w:val="26"/>
        </w:rPr>
        <w:t xml:space="preserve"> the Prehearing Order</w:t>
      </w:r>
      <w:r w:rsidR="00A64097">
        <w:rPr>
          <w:sz w:val="26"/>
          <w:szCs w:val="26"/>
        </w:rPr>
        <w:t>,</w:t>
      </w:r>
      <w:r w:rsidR="00FA7D1F">
        <w:rPr>
          <w:sz w:val="26"/>
          <w:szCs w:val="26"/>
        </w:rPr>
        <w:t xml:space="preserve"> and the Order </w:t>
      </w:r>
      <w:r w:rsidR="00E2754B">
        <w:rPr>
          <w:sz w:val="26"/>
          <w:szCs w:val="26"/>
        </w:rPr>
        <w:t>D</w:t>
      </w:r>
      <w:r w:rsidR="00FA7D1F">
        <w:rPr>
          <w:sz w:val="26"/>
          <w:szCs w:val="26"/>
        </w:rPr>
        <w:t>enying the Complainant’s Second Request for a Continuance</w:t>
      </w:r>
      <w:r w:rsidR="00A64097">
        <w:rPr>
          <w:sz w:val="26"/>
          <w:szCs w:val="26"/>
        </w:rPr>
        <w:t>,</w:t>
      </w:r>
      <w:r w:rsidR="00FA7D1F">
        <w:rPr>
          <w:sz w:val="26"/>
          <w:szCs w:val="26"/>
        </w:rPr>
        <w:t xml:space="preserve"> </w:t>
      </w:r>
      <w:r>
        <w:rPr>
          <w:sz w:val="26"/>
          <w:szCs w:val="26"/>
        </w:rPr>
        <w:t xml:space="preserve">had been sent to the Complainant’s mailing address listed on the Complaint and </w:t>
      </w:r>
      <w:r w:rsidR="00A64097">
        <w:rPr>
          <w:sz w:val="26"/>
          <w:szCs w:val="26"/>
        </w:rPr>
        <w:t>were not</w:t>
      </w:r>
      <w:r>
        <w:rPr>
          <w:sz w:val="26"/>
          <w:szCs w:val="26"/>
        </w:rPr>
        <w:t xml:space="preserve"> returned by the post office as </w:t>
      </w:r>
      <w:r>
        <w:rPr>
          <w:sz w:val="26"/>
          <w:szCs w:val="26"/>
        </w:rPr>
        <w:lastRenderedPageBreak/>
        <w:t xml:space="preserve">undeliverable, we are to presume that </w:t>
      </w:r>
      <w:r w:rsidR="00FA7D1F">
        <w:rPr>
          <w:sz w:val="26"/>
          <w:szCs w:val="26"/>
        </w:rPr>
        <w:t xml:space="preserve">all </w:t>
      </w:r>
      <w:r w:rsidR="00E2754B">
        <w:rPr>
          <w:sz w:val="26"/>
          <w:szCs w:val="26"/>
        </w:rPr>
        <w:t>documents were</w:t>
      </w:r>
      <w:r w:rsidRPr="00FC3806">
        <w:rPr>
          <w:sz w:val="26"/>
          <w:szCs w:val="26"/>
        </w:rPr>
        <w:t xml:space="preserve"> received</w:t>
      </w:r>
      <w:r>
        <w:rPr>
          <w:sz w:val="26"/>
          <w:szCs w:val="26"/>
        </w:rPr>
        <w:t xml:space="preserve"> by the Complainant.  No evidence was submitted in the</w:t>
      </w:r>
      <w:r w:rsidR="00745D1A">
        <w:rPr>
          <w:sz w:val="26"/>
          <w:szCs w:val="26"/>
        </w:rPr>
        <w:t xml:space="preserve"> record or the</w:t>
      </w:r>
      <w:r>
        <w:rPr>
          <w:sz w:val="26"/>
          <w:szCs w:val="26"/>
        </w:rPr>
        <w:t xml:space="preserve"> Complainant’s Exceptions to overcome this presumption.  Therefore, we agree with the ALJ that the Complainant received sufficient notice of the hearing.</w:t>
      </w:r>
    </w:p>
    <w:p w14:paraId="65ECEE38" w14:textId="77777777" w:rsidR="0042160A" w:rsidRDefault="0042160A" w:rsidP="00027CB5">
      <w:pPr>
        <w:widowControl/>
        <w:spacing w:line="360" w:lineRule="auto"/>
        <w:ind w:firstLine="1440"/>
        <w:rPr>
          <w:color w:val="000000" w:themeColor="text1"/>
          <w:sz w:val="26"/>
          <w:szCs w:val="26"/>
        </w:rPr>
      </w:pPr>
    </w:p>
    <w:p w14:paraId="4750B1EA" w14:textId="0C1E9B5F" w:rsidR="000616F4" w:rsidRPr="00B54FCA" w:rsidRDefault="00205577" w:rsidP="000616F4">
      <w:pPr>
        <w:widowControl/>
        <w:autoSpaceDE w:val="0"/>
        <w:autoSpaceDN w:val="0"/>
        <w:adjustRightInd w:val="0"/>
        <w:spacing w:line="360" w:lineRule="auto"/>
        <w:ind w:firstLine="1440"/>
        <w:rPr>
          <w:sz w:val="26"/>
          <w:szCs w:val="26"/>
        </w:rPr>
      </w:pPr>
      <w:r>
        <w:rPr>
          <w:color w:val="000000" w:themeColor="text1"/>
          <w:sz w:val="26"/>
          <w:szCs w:val="26"/>
        </w:rPr>
        <w:t xml:space="preserve">Next, the Complainant </w:t>
      </w:r>
      <w:r>
        <w:rPr>
          <w:sz w:val="26"/>
          <w:szCs w:val="26"/>
        </w:rPr>
        <w:t>indicates</w:t>
      </w:r>
      <w:r w:rsidR="00D81BE7">
        <w:rPr>
          <w:sz w:val="26"/>
          <w:szCs w:val="26"/>
        </w:rPr>
        <w:t xml:space="preserve"> in her</w:t>
      </w:r>
      <w:r>
        <w:rPr>
          <w:sz w:val="26"/>
          <w:szCs w:val="26"/>
        </w:rPr>
        <w:t xml:space="preserve"> Exceptions that </w:t>
      </w:r>
      <w:r w:rsidR="00D81BE7">
        <w:rPr>
          <w:sz w:val="26"/>
          <w:szCs w:val="26"/>
        </w:rPr>
        <w:t xml:space="preserve">she </w:t>
      </w:r>
      <w:r w:rsidR="00E2754B">
        <w:rPr>
          <w:sz w:val="26"/>
          <w:szCs w:val="26"/>
        </w:rPr>
        <w:t xml:space="preserve">provided reasonable and adequate notice and documentation of the inability to attend </w:t>
      </w:r>
      <w:r w:rsidR="000616F4">
        <w:rPr>
          <w:sz w:val="26"/>
          <w:szCs w:val="26"/>
        </w:rPr>
        <w:t xml:space="preserve">the </w:t>
      </w:r>
      <w:r w:rsidR="00E2754B">
        <w:rPr>
          <w:sz w:val="26"/>
          <w:szCs w:val="26"/>
        </w:rPr>
        <w:t xml:space="preserve">hearing </w:t>
      </w:r>
      <w:r w:rsidR="000616F4">
        <w:rPr>
          <w:sz w:val="26"/>
          <w:szCs w:val="26"/>
        </w:rPr>
        <w:t xml:space="preserve">“in </w:t>
      </w:r>
      <w:r w:rsidR="00E2754B">
        <w:rPr>
          <w:sz w:val="26"/>
          <w:szCs w:val="26"/>
        </w:rPr>
        <w:t>person.</w:t>
      </w:r>
      <w:r w:rsidR="000616F4">
        <w:rPr>
          <w:sz w:val="26"/>
          <w:szCs w:val="26"/>
        </w:rPr>
        <w:t>”</w:t>
      </w:r>
      <w:r w:rsidR="00B27D7F">
        <w:rPr>
          <w:sz w:val="26"/>
          <w:szCs w:val="26"/>
        </w:rPr>
        <w:t xml:space="preserve">  </w:t>
      </w:r>
      <w:r w:rsidR="00C53D37">
        <w:rPr>
          <w:rFonts w:eastAsiaTheme="minorHAnsi"/>
          <w:color w:val="000000"/>
          <w:sz w:val="26"/>
          <w:szCs w:val="26"/>
        </w:rPr>
        <w:t xml:space="preserve">In </w:t>
      </w:r>
      <w:r w:rsidR="000616F4">
        <w:rPr>
          <w:rFonts w:eastAsiaTheme="minorHAnsi"/>
          <w:color w:val="000000"/>
          <w:sz w:val="26"/>
          <w:szCs w:val="26"/>
        </w:rPr>
        <w:t>review</w:t>
      </w:r>
      <w:r w:rsidR="00C53D37">
        <w:rPr>
          <w:rFonts w:eastAsiaTheme="minorHAnsi"/>
          <w:color w:val="000000"/>
          <w:sz w:val="26"/>
          <w:szCs w:val="26"/>
        </w:rPr>
        <w:t xml:space="preserve">ing this matter, we examined the Complainant’s second request for a continuance of the hearing scheduled for October 30, 2018, and the attached doctor’s letter.  Upon </w:t>
      </w:r>
      <w:r w:rsidR="00BF7AC0">
        <w:rPr>
          <w:rFonts w:eastAsiaTheme="minorHAnsi"/>
          <w:color w:val="000000"/>
          <w:sz w:val="26"/>
          <w:szCs w:val="26"/>
        </w:rPr>
        <w:t xml:space="preserve">our </w:t>
      </w:r>
      <w:r w:rsidR="00C53D37">
        <w:rPr>
          <w:rFonts w:eastAsiaTheme="minorHAnsi"/>
          <w:color w:val="000000"/>
          <w:sz w:val="26"/>
          <w:szCs w:val="26"/>
        </w:rPr>
        <w:t xml:space="preserve">review, </w:t>
      </w:r>
      <w:r w:rsidR="000616F4">
        <w:rPr>
          <w:rFonts w:eastAsiaTheme="minorHAnsi"/>
          <w:color w:val="000000"/>
          <w:sz w:val="26"/>
          <w:szCs w:val="26"/>
        </w:rPr>
        <w:t>we find no clear abuse of discretion or error of law in the ALJ’s conclusion that the doctor’s note submitted in support of the Complainant’s second hearing continuance request lacked veracity and, therefore, we see no reason to reverse the ALJ’s ruling to deny the Complainant’s second continuance of hearing.</w:t>
      </w:r>
      <w:r w:rsidR="000616F4">
        <w:rPr>
          <w:rStyle w:val="FootnoteReference"/>
          <w:rFonts w:eastAsiaTheme="minorHAnsi"/>
          <w:color w:val="000000"/>
          <w:sz w:val="26"/>
          <w:szCs w:val="26"/>
        </w:rPr>
        <w:footnoteReference w:id="2"/>
      </w:r>
      <w:r w:rsidR="000616F4">
        <w:rPr>
          <w:rFonts w:eastAsiaTheme="minorHAnsi"/>
          <w:color w:val="000000"/>
          <w:sz w:val="26"/>
          <w:szCs w:val="26"/>
        </w:rPr>
        <w:t xml:space="preserve">   Notwithstanding the foregoing, we believe ALJ Vero reasonably accommodated the Complainant by allowing her to attend the hearing via telephone.  Days prior to the hearing, through the October 25, 2018 Order Denying the Complainant’s Second Request for Hearing Continuance, the Complainant was notified of the ALJ’s denial of the second request for hearing continuance and the Complainant’s ability to attend the hearing by telephone, thereby giving the Complainant time to adjust her schedule in order to participate at the hearing.  When the ALJ called the Complainant’s telephone number listed in the Complaint, the Complainant was not available to participate by telephone at the scheduled hearing time.  </w:t>
      </w:r>
      <w:r w:rsidR="000616F4">
        <w:rPr>
          <w:sz w:val="26"/>
          <w:szCs w:val="26"/>
        </w:rPr>
        <w:t xml:space="preserve">In her Exceptions, the Complainant did not present any reason why she failed to make herself available for the hearing via telephone.  She only stated that she was unable to attend the hearing in person and referred to her previously submitted doctor’s note, which, as noted, the ALJ found lacked veracity.  Thus, </w:t>
      </w:r>
      <w:r w:rsidR="000616F4">
        <w:rPr>
          <w:rFonts w:eastAsiaTheme="minorHAnsi"/>
          <w:color w:val="000000"/>
          <w:sz w:val="26"/>
          <w:szCs w:val="26"/>
        </w:rPr>
        <w:t xml:space="preserve">the </w:t>
      </w:r>
      <w:r w:rsidR="000616F4">
        <w:rPr>
          <w:rFonts w:eastAsiaTheme="minorHAnsi"/>
          <w:color w:val="000000"/>
          <w:sz w:val="26"/>
          <w:szCs w:val="26"/>
        </w:rPr>
        <w:lastRenderedPageBreak/>
        <w:t>Complainant has presented no reason for our consideration to conclude that the Complainant’s absence via telephone was unavoidable.</w:t>
      </w:r>
      <w:r w:rsidR="000616F4">
        <w:rPr>
          <w:sz w:val="26"/>
          <w:szCs w:val="26"/>
        </w:rPr>
        <w:t xml:space="preserve">  Thus, we are left to conclude that </w:t>
      </w:r>
      <w:r w:rsidR="000616F4">
        <w:rPr>
          <w:rFonts w:eastAsiaTheme="minorHAnsi"/>
          <w:color w:val="000000"/>
          <w:sz w:val="26"/>
          <w:szCs w:val="26"/>
        </w:rPr>
        <w:t>the Complainant chose not to avail herself of the accommodation to appear at the hearing by telephone.  Therefore, we agree with the ALJ that the Complainant waived the opportunity to participate in the hearing by failing to appear.</w:t>
      </w:r>
    </w:p>
    <w:p w14:paraId="21A7BCFD" w14:textId="77777777" w:rsidR="000616F4" w:rsidRDefault="000616F4" w:rsidP="00027CB5">
      <w:pPr>
        <w:widowControl/>
        <w:autoSpaceDE w:val="0"/>
        <w:autoSpaceDN w:val="0"/>
        <w:adjustRightInd w:val="0"/>
        <w:spacing w:line="360" w:lineRule="auto"/>
        <w:ind w:firstLine="1440"/>
        <w:rPr>
          <w:rFonts w:eastAsiaTheme="minorHAnsi"/>
          <w:color w:val="000000"/>
          <w:sz w:val="26"/>
          <w:szCs w:val="26"/>
        </w:rPr>
      </w:pPr>
    </w:p>
    <w:p w14:paraId="5E89397F" w14:textId="13D47D4A" w:rsidR="008B26D7" w:rsidRDefault="00F41A6A" w:rsidP="00027CB5">
      <w:pPr>
        <w:widowControl/>
        <w:spacing w:line="360" w:lineRule="auto"/>
        <w:ind w:firstLine="1440"/>
        <w:rPr>
          <w:sz w:val="26"/>
          <w:szCs w:val="26"/>
        </w:rPr>
      </w:pPr>
      <w:r>
        <w:rPr>
          <w:sz w:val="26"/>
          <w:szCs w:val="26"/>
        </w:rPr>
        <w:t xml:space="preserve">Accordingly, for all the forgoing reasons, we </w:t>
      </w:r>
      <w:r w:rsidR="00BF7AC0">
        <w:rPr>
          <w:sz w:val="26"/>
          <w:szCs w:val="26"/>
        </w:rPr>
        <w:t>shall</w:t>
      </w:r>
      <w:r>
        <w:rPr>
          <w:sz w:val="26"/>
          <w:szCs w:val="26"/>
        </w:rPr>
        <w:t xml:space="preserve"> affirm the Initial Decision and dismiss</w:t>
      </w:r>
      <w:r w:rsidR="00BF7AC0">
        <w:rPr>
          <w:sz w:val="26"/>
          <w:szCs w:val="26"/>
        </w:rPr>
        <w:t xml:space="preserve"> </w:t>
      </w:r>
      <w:r>
        <w:rPr>
          <w:sz w:val="26"/>
          <w:szCs w:val="26"/>
        </w:rPr>
        <w:t>the Complainant</w:t>
      </w:r>
      <w:r w:rsidR="00BF7AC0">
        <w:rPr>
          <w:sz w:val="26"/>
          <w:szCs w:val="26"/>
        </w:rPr>
        <w:t xml:space="preserve">, </w:t>
      </w:r>
      <w:r w:rsidR="00BF7AC0" w:rsidRPr="000616F4">
        <w:rPr>
          <w:sz w:val="26"/>
          <w:szCs w:val="26"/>
        </w:rPr>
        <w:t>with prejudice</w:t>
      </w:r>
      <w:r>
        <w:rPr>
          <w:sz w:val="26"/>
          <w:szCs w:val="26"/>
        </w:rPr>
        <w:t xml:space="preserve">.  A dismissal </w:t>
      </w:r>
      <w:r w:rsidR="00BF7AC0">
        <w:rPr>
          <w:sz w:val="26"/>
          <w:szCs w:val="26"/>
        </w:rPr>
        <w:t>“</w:t>
      </w:r>
      <w:r w:rsidRPr="000616F4">
        <w:rPr>
          <w:sz w:val="26"/>
          <w:szCs w:val="26"/>
        </w:rPr>
        <w:t>with prejudice</w:t>
      </w:r>
      <w:r w:rsidR="00BF7AC0">
        <w:rPr>
          <w:sz w:val="26"/>
          <w:szCs w:val="26"/>
        </w:rPr>
        <w:t>”</w:t>
      </w:r>
      <w:r>
        <w:rPr>
          <w:sz w:val="26"/>
          <w:szCs w:val="26"/>
        </w:rPr>
        <w:t xml:space="preserve"> means that the Complainant is barred from filing another complainant with the Commission raising the same issues or claims as raised in the dismissed complaint.</w:t>
      </w:r>
    </w:p>
    <w:p w14:paraId="5A1B63AE" w14:textId="77777777" w:rsidR="008B26D7" w:rsidRDefault="008B26D7" w:rsidP="00027CB5">
      <w:pPr>
        <w:widowControl/>
        <w:spacing w:line="360" w:lineRule="auto"/>
        <w:ind w:firstLine="1440"/>
        <w:rPr>
          <w:sz w:val="26"/>
          <w:szCs w:val="26"/>
        </w:rPr>
      </w:pPr>
    </w:p>
    <w:p w14:paraId="7DB1C06A" w14:textId="77777777" w:rsidR="001F38B7" w:rsidRPr="00F41A6A" w:rsidRDefault="001F38B7" w:rsidP="001F38B7">
      <w:pPr>
        <w:keepNext/>
        <w:keepLines/>
        <w:widowControl/>
        <w:spacing w:line="360" w:lineRule="auto"/>
        <w:jc w:val="center"/>
        <w:rPr>
          <w:b/>
          <w:sz w:val="26"/>
          <w:szCs w:val="26"/>
        </w:rPr>
      </w:pPr>
      <w:r w:rsidRPr="00F41A6A">
        <w:rPr>
          <w:b/>
          <w:sz w:val="26"/>
          <w:szCs w:val="26"/>
        </w:rPr>
        <w:t>Conclusion</w:t>
      </w:r>
    </w:p>
    <w:p w14:paraId="272FA93B" w14:textId="77777777" w:rsidR="001F38B7" w:rsidRPr="002262C4" w:rsidRDefault="001F38B7" w:rsidP="001F38B7">
      <w:pPr>
        <w:keepNext/>
        <w:keepLines/>
        <w:widowControl/>
        <w:spacing w:line="360" w:lineRule="auto"/>
        <w:ind w:firstLine="1440"/>
        <w:rPr>
          <w:sz w:val="26"/>
          <w:szCs w:val="26"/>
        </w:rPr>
      </w:pPr>
    </w:p>
    <w:p w14:paraId="6A7C06AF" w14:textId="015E7C6D" w:rsidR="001F38B7" w:rsidRPr="002262C4" w:rsidRDefault="001F38B7" w:rsidP="001F38B7">
      <w:pPr>
        <w:widowControl/>
        <w:spacing w:line="360" w:lineRule="auto"/>
        <w:ind w:firstLine="1440"/>
        <w:rPr>
          <w:sz w:val="26"/>
          <w:szCs w:val="26"/>
        </w:rPr>
      </w:pPr>
      <w:r w:rsidRPr="002262C4">
        <w:rPr>
          <w:sz w:val="26"/>
          <w:szCs w:val="26"/>
        </w:rPr>
        <w:t xml:space="preserve">Based upon our review of the record and the applicable law, we shall deny the </w:t>
      </w:r>
      <w:r w:rsidR="00F41A6A">
        <w:rPr>
          <w:sz w:val="26"/>
          <w:szCs w:val="26"/>
        </w:rPr>
        <w:t xml:space="preserve">Complainant’s </w:t>
      </w:r>
      <w:r w:rsidRPr="002262C4">
        <w:rPr>
          <w:sz w:val="26"/>
          <w:szCs w:val="26"/>
        </w:rPr>
        <w:t xml:space="preserve">Exceptions </w:t>
      </w:r>
      <w:r w:rsidR="00F41A6A">
        <w:rPr>
          <w:sz w:val="26"/>
          <w:szCs w:val="26"/>
        </w:rPr>
        <w:t>and</w:t>
      </w:r>
      <w:r w:rsidRPr="002262C4">
        <w:rPr>
          <w:sz w:val="26"/>
          <w:szCs w:val="26"/>
        </w:rPr>
        <w:t xml:space="preserve"> adopt the </w:t>
      </w:r>
      <w:r w:rsidR="00F41A6A">
        <w:rPr>
          <w:sz w:val="26"/>
          <w:szCs w:val="26"/>
        </w:rPr>
        <w:t>ALJ’s</w:t>
      </w:r>
      <w:r w:rsidRPr="002262C4">
        <w:rPr>
          <w:sz w:val="26"/>
          <w:szCs w:val="26"/>
        </w:rPr>
        <w:t xml:space="preserve"> Initial Decision, consistent with this Opinion and Order; </w:t>
      </w:r>
      <w:r w:rsidRPr="002262C4">
        <w:rPr>
          <w:b/>
          <w:sz w:val="26"/>
          <w:szCs w:val="26"/>
        </w:rPr>
        <w:t>THEREFORE,</w:t>
      </w:r>
      <w:r w:rsidRPr="002262C4">
        <w:rPr>
          <w:sz w:val="26"/>
          <w:szCs w:val="26"/>
        </w:rPr>
        <w:t xml:space="preserve"> </w:t>
      </w:r>
    </w:p>
    <w:p w14:paraId="33196801" w14:textId="77777777" w:rsidR="001F38B7" w:rsidRPr="002262C4" w:rsidRDefault="001F38B7" w:rsidP="001F38B7">
      <w:pPr>
        <w:widowControl/>
        <w:rPr>
          <w:sz w:val="26"/>
          <w:szCs w:val="26"/>
        </w:rPr>
      </w:pPr>
    </w:p>
    <w:p w14:paraId="70B7AE93" w14:textId="08FE7F92" w:rsidR="001F38B7" w:rsidRDefault="001F38B7" w:rsidP="001F38B7">
      <w:pPr>
        <w:widowControl/>
        <w:spacing w:line="360" w:lineRule="auto"/>
        <w:ind w:firstLine="1440"/>
        <w:rPr>
          <w:b/>
          <w:sz w:val="26"/>
          <w:szCs w:val="26"/>
        </w:rPr>
      </w:pPr>
      <w:r w:rsidRPr="002262C4">
        <w:rPr>
          <w:b/>
          <w:sz w:val="26"/>
          <w:szCs w:val="26"/>
        </w:rPr>
        <w:t>IT IS ORDERED:</w:t>
      </w:r>
    </w:p>
    <w:p w14:paraId="2065B502" w14:textId="77777777" w:rsidR="00146CCB" w:rsidRDefault="00146CCB" w:rsidP="00146CCB">
      <w:pPr>
        <w:keepNext/>
        <w:keepLines/>
        <w:widowControl/>
        <w:spacing w:line="360" w:lineRule="auto"/>
        <w:rPr>
          <w:sz w:val="26"/>
          <w:szCs w:val="26"/>
        </w:rPr>
      </w:pPr>
    </w:p>
    <w:p w14:paraId="78DDC2D9" w14:textId="08481BA3" w:rsidR="00146CCB" w:rsidRDefault="00146CCB" w:rsidP="00146CCB">
      <w:pPr>
        <w:widowControl/>
        <w:numPr>
          <w:ilvl w:val="0"/>
          <w:numId w:val="5"/>
        </w:numPr>
        <w:tabs>
          <w:tab w:val="num" w:pos="0"/>
        </w:tabs>
        <w:spacing w:line="360" w:lineRule="auto"/>
        <w:ind w:left="0" w:firstLine="1440"/>
        <w:rPr>
          <w:sz w:val="26"/>
          <w:szCs w:val="26"/>
        </w:rPr>
      </w:pPr>
      <w:r>
        <w:rPr>
          <w:sz w:val="26"/>
          <w:szCs w:val="26"/>
        </w:rPr>
        <w:t xml:space="preserve">That the Exceptions </w:t>
      </w:r>
      <w:r w:rsidR="009466A3">
        <w:rPr>
          <w:sz w:val="26"/>
          <w:szCs w:val="26"/>
        </w:rPr>
        <w:t xml:space="preserve">filed by </w:t>
      </w:r>
      <w:r>
        <w:rPr>
          <w:rFonts w:eastAsiaTheme="minorHAnsi"/>
          <w:color w:val="000000"/>
          <w:sz w:val="26"/>
          <w:szCs w:val="26"/>
        </w:rPr>
        <w:t>Keary Willis</w:t>
      </w:r>
      <w:r>
        <w:rPr>
          <w:sz w:val="26"/>
        </w:rPr>
        <w:t xml:space="preserve">, </w:t>
      </w:r>
      <w:r w:rsidR="009466A3">
        <w:rPr>
          <w:sz w:val="26"/>
        </w:rPr>
        <w:t>on March 25</w:t>
      </w:r>
      <w:r w:rsidR="009466A3">
        <w:rPr>
          <w:sz w:val="26"/>
          <w:szCs w:val="26"/>
        </w:rPr>
        <w:t>, 2019</w:t>
      </w:r>
      <w:r>
        <w:rPr>
          <w:sz w:val="26"/>
        </w:rPr>
        <w:t xml:space="preserve">, </w:t>
      </w:r>
      <w:r w:rsidR="009466A3">
        <w:rPr>
          <w:sz w:val="26"/>
          <w:szCs w:val="26"/>
        </w:rPr>
        <w:t xml:space="preserve">to the Initial Decision of Administrative Law Judge Eranda Vero, issued on March 5, 2019, </w:t>
      </w:r>
      <w:r w:rsidR="00E5437E">
        <w:rPr>
          <w:sz w:val="26"/>
        </w:rPr>
        <w:t xml:space="preserve">Docket No. </w:t>
      </w:r>
      <w:r w:rsidR="00E5437E">
        <w:rPr>
          <w:sz w:val="26"/>
          <w:szCs w:val="26"/>
        </w:rPr>
        <w:t>F-2018-3003082</w:t>
      </w:r>
      <w:r w:rsidR="00E5437E">
        <w:rPr>
          <w:sz w:val="26"/>
        </w:rPr>
        <w:t xml:space="preserve">, </w:t>
      </w:r>
      <w:r>
        <w:rPr>
          <w:sz w:val="26"/>
          <w:szCs w:val="26"/>
        </w:rPr>
        <w:t>are denied.</w:t>
      </w:r>
    </w:p>
    <w:p w14:paraId="6E88F6B7" w14:textId="77777777" w:rsidR="00146CCB" w:rsidRDefault="00146CCB" w:rsidP="00146CCB">
      <w:pPr>
        <w:widowControl/>
        <w:spacing w:line="360" w:lineRule="auto"/>
        <w:rPr>
          <w:sz w:val="26"/>
          <w:szCs w:val="26"/>
        </w:rPr>
      </w:pPr>
    </w:p>
    <w:p w14:paraId="176DBC4D" w14:textId="6DDBDB11" w:rsidR="00146CCB" w:rsidRDefault="00146CCB" w:rsidP="00146CCB">
      <w:pPr>
        <w:widowControl/>
        <w:numPr>
          <w:ilvl w:val="0"/>
          <w:numId w:val="5"/>
        </w:numPr>
        <w:tabs>
          <w:tab w:val="num" w:pos="0"/>
        </w:tabs>
        <w:spacing w:line="360" w:lineRule="auto"/>
        <w:ind w:left="0" w:firstLine="1440"/>
        <w:rPr>
          <w:sz w:val="26"/>
          <w:szCs w:val="26"/>
        </w:rPr>
      </w:pPr>
      <w:r>
        <w:rPr>
          <w:sz w:val="26"/>
          <w:szCs w:val="26"/>
        </w:rPr>
        <w:t xml:space="preserve">That the Initial Decision of Administrative Law Judge Eranda Vero, issued on March 5, 2019, at </w:t>
      </w:r>
      <w:r w:rsidR="00E5437E">
        <w:rPr>
          <w:sz w:val="26"/>
        </w:rPr>
        <w:t xml:space="preserve">Docket No. </w:t>
      </w:r>
      <w:r w:rsidR="00E5437E">
        <w:rPr>
          <w:sz w:val="26"/>
          <w:szCs w:val="26"/>
        </w:rPr>
        <w:t>F-2018-3003082</w:t>
      </w:r>
      <w:r>
        <w:rPr>
          <w:sz w:val="26"/>
          <w:szCs w:val="26"/>
        </w:rPr>
        <w:t>, is adopted.</w:t>
      </w:r>
    </w:p>
    <w:p w14:paraId="67DD8626" w14:textId="77777777" w:rsidR="00146CCB" w:rsidRDefault="00146CCB" w:rsidP="00146CCB">
      <w:pPr>
        <w:widowControl/>
        <w:spacing w:line="360" w:lineRule="auto"/>
        <w:ind w:left="1440"/>
        <w:rPr>
          <w:sz w:val="26"/>
          <w:szCs w:val="26"/>
        </w:rPr>
      </w:pPr>
    </w:p>
    <w:p w14:paraId="38705824" w14:textId="2D947BC2" w:rsidR="00146CCB" w:rsidRDefault="00146CCB" w:rsidP="00146CCB">
      <w:pPr>
        <w:widowControl/>
        <w:numPr>
          <w:ilvl w:val="0"/>
          <w:numId w:val="5"/>
        </w:numPr>
        <w:tabs>
          <w:tab w:val="num" w:pos="0"/>
        </w:tabs>
        <w:spacing w:line="360" w:lineRule="auto"/>
        <w:ind w:left="0" w:firstLine="1440"/>
        <w:rPr>
          <w:sz w:val="26"/>
          <w:szCs w:val="26"/>
        </w:rPr>
      </w:pPr>
      <w:r>
        <w:rPr>
          <w:sz w:val="26"/>
          <w:szCs w:val="26"/>
        </w:rPr>
        <w:t xml:space="preserve">That, pursuant to 66 Pa. C.S. § 332(f) and 52 Pa. Code § 5.245, the Complainant, Keary Willis, is deemed to have waived her opportunity to participate in a </w:t>
      </w:r>
      <w:r>
        <w:rPr>
          <w:sz w:val="26"/>
          <w:szCs w:val="26"/>
        </w:rPr>
        <w:lastRenderedPageBreak/>
        <w:t>hearing regarding her Formal Complaint filed on June 25, 2018, due to her failure to appear at the October 30, 2018 hearing held at this proceeding.</w:t>
      </w:r>
    </w:p>
    <w:p w14:paraId="48F22BFA" w14:textId="77777777" w:rsidR="00146CCB" w:rsidRDefault="00146CCB" w:rsidP="00146CCB">
      <w:pPr>
        <w:pStyle w:val="ListParagraph"/>
        <w:rPr>
          <w:sz w:val="26"/>
          <w:szCs w:val="26"/>
        </w:rPr>
      </w:pPr>
    </w:p>
    <w:p w14:paraId="0D8DF9EE" w14:textId="39C826F3" w:rsidR="00146CCB" w:rsidRDefault="00146CCB" w:rsidP="00146CCB">
      <w:pPr>
        <w:widowControl/>
        <w:numPr>
          <w:ilvl w:val="0"/>
          <w:numId w:val="5"/>
        </w:numPr>
        <w:tabs>
          <w:tab w:val="num" w:pos="0"/>
        </w:tabs>
        <w:spacing w:line="360" w:lineRule="auto"/>
        <w:ind w:left="0" w:firstLine="1440"/>
        <w:rPr>
          <w:sz w:val="26"/>
          <w:szCs w:val="26"/>
        </w:rPr>
      </w:pPr>
      <w:r>
        <w:rPr>
          <w:sz w:val="26"/>
          <w:szCs w:val="26"/>
        </w:rPr>
        <w:t>That, the Formal Complaint of Keary Willis</w:t>
      </w:r>
      <w:r w:rsidR="00C57A36">
        <w:rPr>
          <w:sz w:val="26"/>
          <w:szCs w:val="26"/>
        </w:rPr>
        <w:t>,</w:t>
      </w:r>
      <w:r>
        <w:rPr>
          <w:sz w:val="26"/>
          <w:szCs w:val="26"/>
        </w:rPr>
        <w:t xml:space="preserve"> filed on June 25, 2018, at this docket, is dismissed, </w:t>
      </w:r>
      <w:r w:rsidRPr="000616F4">
        <w:rPr>
          <w:iCs/>
          <w:sz w:val="26"/>
          <w:szCs w:val="26"/>
        </w:rPr>
        <w:t>with prejudice</w:t>
      </w:r>
      <w:r>
        <w:rPr>
          <w:sz w:val="26"/>
          <w:szCs w:val="26"/>
        </w:rPr>
        <w:t xml:space="preserve">, barring the Complainant from filing another formal complaint with the Public Utility Commission raising the same issues or claims as raised in the Formal Complaint filed on June 25, 2018, at </w:t>
      </w:r>
      <w:r w:rsidR="00E5437E">
        <w:rPr>
          <w:sz w:val="26"/>
        </w:rPr>
        <w:t xml:space="preserve">Docket No. </w:t>
      </w:r>
      <w:r w:rsidR="00E5437E">
        <w:rPr>
          <w:sz w:val="26"/>
          <w:szCs w:val="26"/>
        </w:rPr>
        <w:t>F-2018-3003082</w:t>
      </w:r>
      <w:r>
        <w:rPr>
          <w:sz w:val="26"/>
          <w:szCs w:val="26"/>
        </w:rPr>
        <w:t>.</w:t>
      </w:r>
    </w:p>
    <w:p w14:paraId="1AB9C65A" w14:textId="77777777" w:rsidR="00146CCB" w:rsidRDefault="00146CCB" w:rsidP="00146CCB">
      <w:pPr>
        <w:pStyle w:val="ListParagraph"/>
        <w:rPr>
          <w:sz w:val="26"/>
          <w:szCs w:val="26"/>
        </w:rPr>
      </w:pPr>
    </w:p>
    <w:p w14:paraId="63FB2896" w14:textId="459478E2" w:rsidR="00146CCB" w:rsidRDefault="00146CCB" w:rsidP="00146CCB">
      <w:pPr>
        <w:widowControl/>
        <w:numPr>
          <w:ilvl w:val="0"/>
          <w:numId w:val="5"/>
        </w:numPr>
        <w:tabs>
          <w:tab w:val="num" w:pos="0"/>
        </w:tabs>
        <w:spacing w:line="360" w:lineRule="auto"/>
        <w:ind w:left="0" w:firstLine="1440"/>
        <w:rPr>
          <w:sz w:val="26"/>
          <w:szCs w:val="26"/>
        </w:rPr>
      </w:pPr>
      <w:r>
        <w:rPr>
          <w:sz w:val="26"/>
          <w:szCs w:val="26"/>
        </w:rPr>
        <w:t>That</w:t>
      </w:r>
      <w:r w:rsidR="00BB5C84">
        <w:rPr>
          <w:sz w:val="26"/>
          <w:szCs w:val="26"/>
        </w:rPr>
        <w:t xml:space="preserve"> this proceeding be marked</w:t>
      </w:r>
      <w:r>
        <w:rPr>
          <w:sz w:val="26"/>
          <w:szCs w:val="26"/>
        </w:rPr>
        <w:t xml:space="preserve"> closed.</w:t>
      </w:r>
    </w:p>
    <w:p w14:paraId="3550DDAE" w14:textId="24DA3983" w:rsidR="00146CCB" w:rsidRDefault="00146CCB" w:rsidP="00146CCB">
      <w:pPr>
        <w:keepNext/>
        <w:keepLines/>
        <w:widowControl/>
        <w:spacing w:line="360" w:lineRule="auto"/>
        <w:rPr>
          <w:sz w:val="26"/>
          <w:szCs w:val="26"/>
        </w:rPr>
      </w:pPr>
    </w:p>
    <w:p w14:paraId="3BD1A640" w14:textId="62DD2E67" w:rsidR="001F38B7" w:rsidRPr="002262C4" w:rsidRDefault="00910F79" w:rsidP="001F38B7">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24C65801" wp14:editId="2C7F2983">
            <wp:simplePos x="0" y="0"/>
            <wp:positionH relativeFrom="column">
              <wp:posOffset>3190875</wp:posOffset>
            </wp:positionH>
            <wp:positionV relativeFrom="paragraph">
              <wp:posOffset>133985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B7" w:rsidRPr="002262C4">
        <w:rPr>
          <w:b/>
          <w:sz w:val="26"/>
          <w:szCs w:val="26"/>
        </w:rPr>
        <w:t>BY THE COMMISSION,</w:t>
      </w:r>
    </w:p>
    <w:p w14:paraId="74E3CAB3" w14:textId="77777777" w:rsidR="001F38B7" w:rsidRPr="002262C4" w:rsidRDefault="001F38B7" w:rsidP="001F38B7">
      <w:pPr>
        <w:keepNext/>
        <w:keepLines/>
        <w:widowControl/>
        <w:tabs>
          <w:tab w:val="left" w:pos="-720"/>
        </w:tabs>
        <w:rPr>
          <w:sz w:val="26"/>
          <w:szCs w:val="26"/>
        </w:rPr>
      </w:pPr>
    </w:p>
    <w:p w14:paraId="61E432FB" w14:textId="05CC4D91" w:rsidR="001F38B7" w:rsidRDefault="001F38B7" w:rsidP="001F38B7">
      <w:pPr>
        <w:keepNext/>
        <w:keepLines/>
        <w:widowControl/>
        <w:tabs>
          <w:tab w:val="left" w:pos="-720"/>
        </w:tabs>
        <w:rPr>
          <w:sz w:val="26"/>
          <w:szCs w:val="26"/>
        </w:rPr>
      </w:pPr>
    </w:p>
    <w:p w14:paraId="09C86AFA" w14:textId="77777777" w:rsidR="00BB5C84" w:rsidRPr="002262C4" w:rsidRDefault="00BB5C84" w:rsidP="001F38B7">
      <w:pPr>
        <w:keepNext/>
        <w:keepLines/>
        <w:widowControl/>
        <w:tabs>
          <w:tab w:val="left" w:pos="-720"/>
        </w:tabs>
        <w:rPr>
          <w:sz w:val="26"/>
          <w:szCs w:val="26"/>
        </w:rPr>
      </w:pPr>
    </w:p>
    <w:p w14:paraId="0A84AE10" w14:textId="77777777" w:rsidR="001F38B7" w:rsidRPr="002262C4" w:rsidRDefault="001F38B7" w:rsidP="001F38B7">
      <w:pPr>
        <w:keepNext/>
        <w:keepLines/>
        <w:widowControl/>
        <w:tabs>
          <w:tab w:val="left" w:pos="-720"/>
        </w:tabs>
        <w:rPr>
          <w:sz w:val="26"/>
          <w:szCs w:val="26"/>
        </w:rPr>
      </w:pPr>
    </w:p>
    <w:p w14:paraId="1F165E5A" w14:textId="77777777" w:rsidR="001F38B7" w:rsidRPr="002262C4" w:rsidRDefault="001F38B7" w:rsidP="001F38B7">
      <w:pPr>
        <w:keepNext/>
        <w:keepLines/>
        <w:widowControl/>
        <w:tabs>
          <w:tab w:val="left" w:pos="-720"/>
        </w:tabs>
        <w:ind w:firstLine="5040"/>
        <w:rPr>
          <w:b/>
          <w:sz w:val="26"/>
          <w:szCs w:val="26"/>
        </w:rPr>
      </w:pPr>
      <w:r w:rsidRPr="002262C4">
        <w:rPr>
          <w:sz w:val="26"/>
          <w:szCs w:val="26"/>
        </w:rPr>
        <w:t>Rosemary Chiavetta</w:t>
      </w:r>
    </w:p>
    <w:p w14:paraId="382E6190" w14:textId="77777777" w:rsidR="001F38B7" w:rsidRPr="002262C4" w:rsidRDefault="001F38B7" w:rsidP="001F38B7">
      <w:pPr>
        <w:keepNext/>
        <w:keepLines/>
        <w:widowControl/>
        <w:tabs>
          <w:tab w:val="left" w:pos="-720"/>
        </w:tabs>
        <w:ind w:firstLine="5040"/>
        <w:rPr>
          <w:sz w:val="26"/>
          <w:szCs w:val="26"/>
        </w:rPr>
      </w:pPr>
      <w:r w:rsidRPr="002262C4">
        <w:rPr>
          <w:sz w:val="26"/>
          <w:szCs w:val="26"/>
        </w:rPr>
        <w:t>Secretary</w:t>
      </w:r>
    </w:p>
    <w:p w14:paraId="666193FF" w14:textId="77777777" w:rsidR="001F38B7" w:rsidRPr="002262C4" w:rsidRDefault="001F38B7" w:rsidP="001F38B7">
      <w:pPr>
        <w:keepNext/>
        <w:keepLines/>
        <w:widowControl/>
        <w:tabs>
          <w:tab w:val="left" w:pos="-720"/>
        </w:tabs>
        <w:rPr>
          <w:sz w:val="26"/>
          <w:szCs w:val="26"/>
        </w:rPr>
      </w:pPr>
    </w:p>
    <w:p w14:paraId="487790CD" w14:textId="77777777" w:rsidR="001F38B7" w:rsidRPr="002262C4" w:rsidRDefault="001F38B7" w:rsidP="001F38B7">
      <w:pPr>
        <w:keepNext/>
        <w:keepLines/>
        <w:widowControl/>
        <w:tabs>
          <w:tab w:val="left" w:pos="-720"/>
        </w:tabs>
        <w:rPr>
          <w:sz w:val="26"/>
          <w:szCs w:val="26"/>
        </w:rPr>
      </w:pPr>
      <w:r w:rsidRPr="002262C4">
        <w:rPr>
          <w:sz w:val="26"/>
          <w:szCs w:val="26"/>
        </w:rPr>
        <w:t>(SEAL)</w:t>
      </w:r>
    </w:p>
    <w:p w14:paraId="2DFAE948" w14:textId="77777777" w:rsidR="001F38B7" w:rsidRPr="002262C4" w:rsidRDefault="001F38B7" w:rsidP="001F38B7">
      <w:pPr>
        <w:keepNext/>
        <w:keepLines/>
        <w:widowControl/>
        <w:tabs>
          <w:tab w:val="left" w:pos="-720"/>
        </w:tabs>
        <w:rPr>
          <w:sz w:val="26"/>
          <w:szCs w:val="26"/>
        </w:rPr>
      </w:pPr>
    </w:p>
    <w:p w14:paraId="0DD43CB6" w14:textId="2BB6CAA0" w:rsidR="001F38B7" w:rsidRPr="002262C4" w:rsidRDefault="001F38B7" w:rsidP="001F38B7">
      <w:pPr>
        <w:keepNext/>
        <w:keepLines/>
        <w:widowControl/>
        <w:tabs>
          <w:tab w:val="left" w:pos="-720"/>
        </w:tabs>
        <w:rPr>
          <w:sz w:val="26"/>
          <w:szCs w:val="26"/>
        </w:rPr>
      </w:pPr>
      <w:r w:rsidRPr="002262C4">
        <w:rPr>
          <w:sz w:val="26"/>
          <w:szCs w:val="26"/>
        </w:rPr>
        <w:t xml:space="preserve">ORDER ADOPTED: </w:t>
      </w:r>
      <w:r w:rsidR="00146CCB">
        <w:rPr>
          <w:sz w:val="26"/>
          <w:szCs w:val="26"/>
        </w:rPr>
        <w:t>July 11</w:t>
      </w:r>
      <w:r w:rsidRPr="002262C4">
        <w:rPr>
          <w:sz w:val="26"/>
          <w:szCs w:val="26"/>
        </w:rPr>
        <w:t>, 201</w:t>
      </w:r>
      <w:r w:rsidR="00146CCB">
        <w:rPr>
          <w:sz w:val="26"/>
          <w:szCs w:val="26"/>
        </w:rPr>
        <w:t>9</w:t>
      </w:r>
    </w:p>
    <w:p w14:paraId="2229C585" w14:textId="77777777" w:rsidR="001F38B7" w:rsidRPr="002262C4" w:rsidRDefault="001F38B7" w:rsidP="001F38B7">
      <w:pPr>
        <w:keepNext/>
        <w:keepLines/>
        <w:tabs>
          <w:tab w:val="left" w:pos="-720"/>
        </w:tabs>
        <w:rPr>
          <w:sz w:val="26"/>
          <w:szCs w:val="26"/>
        </w:rPr>
      </w:pPr>
    </w:p>
    <w:p w14:paraId="378B4A05" w14:textId="225FDB82" w:rsidR="001F38B7" w:rsidRPr="002262C4" w:rsidRDefault="001F38B7" w:rsidP="001F38B7">
      <w:pPr>
        <w:keepNext/>
        <w:keepLines/>
        <w:tabs>
          <w:tab w:val="left" w:pos="-720"/>
        </w:tabs>
        <w:rPr>
          <w:sz w:val="26"/>
          <w:szCs w:val="26"/>
        </w:rPr>
      </w:pPr>
      <w:r w:rsidRPr="002262C4">
        <w:rPr>
          <w:sz w:val="26"/>
          <w:szCs w:val="26"/>
        </w:rPr>
        <w:t xml:space="preserve">ORDER ENTERED:  </w:t>
      </w:r>
      <w:r w:rsidR="00910F79">
        <w:rPr>
          <w:sz w:val="26"/>
          <w:szCs w:val="26"/>
        </w:rPr>
        <w:t>July 11, 2019</w:t>
      </w:r>
      <w:bookmarkStart w:id="0" w:name="_GoBack"/>
      <w:bookmarkEnd w:id="0"/>
    </w:p>
    <w:p w14:paraId="10CCF3C7" w14:textId="77777777" w:rsidR="00A3095E" w:rsidRDefault="00A3095E" w:rsidP="00027CB5">
      <w:pPr>
        <w:widowControl/>
        <w:spacing w:line="360" w:lineRule="auto"/>
        <w:ind w:firstLine="1440"/>
        <w:rPr>
          <w:sz w:val="26"/>
          <w:szCs w:val="26"/>
        </w:rPr>
      </w:pPr>
    </w:p>
    <w:sectPr w:rsidR="00A3095E" w:rsidSect="00C0518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D0809" w14:textId="77777777" w:rsidR="00420CFB" w:rsidRDefault="00420CFB" w:rsidP="001F0176">
      <w:r>
        <w:separator/>
      </w:r>
    </w:p>
  </w:endnote>
  <w:endnote w:type="continuationSeparator" w:id="0">
    <w:p w14:paraId="38CF8523" w14:textId="77777777" w:rsidR="00420CFB" w:rsidRDefault="00420CFB" w:rsidP="001F0176">
      <w:r>
        <w:continuationSeparator/>
      </w:r>
    </w:p>
  </w:endnote>
  <w:endnote w:type="continuationNotice" w:id="1">
    <w:p w14:paraId="291AD8A4" w14:textId="77777777" w:rsidR="00420CFB" w:rsidRDefault="00420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4548" w14:textId="77777777" w:rsidR="003042F3" w:rsidRDefault="00304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sz w:val="26"/>
        <w:szCs w:val="26"/>
      </w:rPr>
    </w:sdtEndPr>
    <w:sdtContent>
      <w:p w14:paraId="38372D20" w14:textId="117A7E11" w:rsidR="006A462D" w:rsidRPr="003042F3" w:rsidRDefault="006A462D">
        <w:pPr>
          <w:pStyle w:val="Footer"/>
          <w:jc w:val="center"/>
          <w:rPr>
            <w:sz w:val="26"/>
            <w:szCs w:val="26"/>
          </w:rPr>
        </w:pPr>
        <w:r w:rsidRPr="003042F3">
          <w:rPr>
            <w:sz w:val="26"/>
            <w:szCs w:val="26"/>
          </w:rPr>
          <w:fldChar w:fldCharType="begin"/>
        </w:r>
        <w:r w:rsidRPr="003042F3">
          <w:rPr>
            <w:sz w:val="26"/>
            <w:szCs w:val="26"/>
          </w:rPr>
          <w:instrText xml:space="preserve"> PAGE   \* MERGEFORMAT </w:instrText>
        </w:r>
        <w:r w:rsidRPr="003042F3">
          <w:rPr>
            <w:sz w:val="26"/>
            <w:szCs w:val="26"/>
          </w:rPr>
          <w:fldChar w:fldCharType="separate"/>
        </w:r>
        <w:r w:rsidR="00745D1A" w:rsidRPr="003042F3">
          <w:rPr>
            <w:noProof/>
            <w:sz w:val="26"/>
            <w:szCs w:val="26"/>
          </w:rPr>
          <w:t>18</w:t>
        </w:r>
        <w:r w:rsidRPr="003042F3">
          <w:rPr>
            <w:noProof/>
            <w:sz w:val="26"/>
            <w:szCs w:val="26"/>
          </w:rPr>
          <w:fldChar w:fldCharType="end"/>
        </w:r>
      </w:p>
    </w:sdtContent>
  </w:sdt>
  <w:p w14:paraId="37CAEF41" w14:textId="77777777" w:rsidR="006A462D" w:rsidRDefault="006A4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66B2" w14:textId="77777777" w:rsidR="003042F3" w:rsidRDefault="0030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DAE7D" w14:textId="77777777" w:rsidR="00420CFB" w:rsidRDefault="00420CFB" w:rsidP="001F0176">
      <w:r>
        <w:separator/>
      </w:r>
    </w:p>
  </w:footnote>
  <w:footnote w:type="continuationSeparator" w:id="0">
    <w:p w14:paraId="0B7DF730" w14:textId="77777777" w:rsidR="00420CFB" w:rsidRDefault="00420CFB" w:rsidP="001F0176">
      <w:r>
        <w:continuationSeparator/>
      </w:r>
    </w:p>
  </w:footnote>
  <w:footnote w:type="continuationNotice" w:id="1">
    <w:p w14:paraId="31953BED" w14:textId="77777777" w:rsidR="00420CFB" w:rsidRDefault="00420CFB"/>
  </w:footnote>
  <w:footnote w:id="2">
    <w:p w14:paraId="380E94DE" w14:textId="0B60C1A4" w:rsidR="000616F4" w:rsidRDefault="000616F4" w:rsidP="000616F4">
      <w:pPr>
        <w:pStyle w:val="FootnoteText"/>
        <w:ind w:firstLine="720"/>
      </w:pPr>
      <w:r>
        <w:rPr>
          <w:rStyle w:val="FootnoteReference"/>
        </w:rPr>
        <w:footnoteRef/>
      </w:r>
      <w:r>
        <w:t xml:space="preserve"> </w:t>
      </w:r>
      <w:r>
        <w:rPr>
          <w:color w:val="000000" w:themeColor="text1"/>
          <w:sz w:val="26"/>
        </w:rPr>
        <w:tab/>
      </w:r>
      <w:r w:rsidRPr="00CB4BFA">
        <w:rPr>
          <w:i/>
          <w:color w:val="000000" w:themeColor="text1"/>
          <w:sz w:val="26"/>
          <w:szCs w:val="26"/>
        </w:rPr>
        <w:t>See Jo Anna Warren Williamson v. Duquesne Light</w:t>
      </w:r>
      <w:r w:rsidRPr="00CB4BFA">
        <w:rPr>
          <w:color w:val="000000" w:themeColor="text1"/>
          <w:sz w:val="26"/>
          <w:szCs w:val="26"/>
        </w:rPr>
        <w:t xml:space="preserve"> </w:t>
      </w:r>
      <w:r w:rsidRPr="00CB4BFA">
        <w:rPr>
          <w:i/>
          <w:color w:val="000000" w:themeColor="text1"/>
          <w:sz w:val="26"/>
          <w:szCs w:val="26"/>
        </w:rPr>
        <w:t>Company</w:t>
      </w:r>
      <w:r w:rsidRPr="00CB4BFA">
        <w:rPr>
          <w:color w:val="000000" w:themeColor="text1"/>
          <w:sz w:val="26"/>
          <w:szCs w:val="26"/>
        </w:rPr>
        <w:t>, Docket No.</w:t>
      </w:r>
      <w:r w:rsidR="00BF7AC0">
        <w:rPr>
          <w:color w:val="000000" w:themeColor="text1"/>
          <w:sz w:val="26"/>
          <w:szCs w:val="26"/>
        </w:rPr>
        <w:t> </w:t>
      </w:r>
      <w:r w:rsidRPr="00CB4BFA">
        <w:rPr>
          <w:color w:val="000000" w:themeColor="text1"/>
          <w:sz w:val="26"/>
          <w:szCs w:val="26"/>
        </w:rPr>
        <w:t>C-2009-2138578 (Opinion and Order entered February 10, 2011)</w:t>
      </w:r>
      <w:r>
        <w:rPr>
          <w:color w:val="000000" w:themeColor="text1"/>
          <w:sz w:val="26"/>
          <w:szCs w:val="26"/>
        </w:rPr>
        <w:t>(“</w:t>
      </w:r>
      <w:r>
        <w:rPr>
          <w:sz w:val="26"/>
        </w:rPr>
        <w:t>[T]he admission of evidence is generally a matter within the sound discretion of the ALJ, and the ALJ’s rulings thereon will not be reversed in the absence of a clear abuse of discretion or error of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21678" w14:textId="77777777" w:rsidR="003042F3" w:rsidRDefault="00304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94DB2" w14:textId="77777777" w:rsidR="003042F3" w:rsidRDefault="00304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4C383" w14:textId="77777777" w:rsidR="003042F3" w:rsidRDefault="00304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D4B2785"/>
    <w:multiLevelType w:val="hybridMultilevel"/>
    <w:tmpl w:val="1978632A"/>
    <w:lvl w:ilvl="0" w:tplc="4DF03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9841D0"/>
    <w:multiLevelType w:val="hybridMultilevel"/>
    <w:tmpl w:val="E25A443E"/>
    <w:lvl w:ilvl="0" w:tplc="1AA4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AF075D"/>
    <w:multiLevelType w:val="hybridMultilevel"/>
    <w:tmpl w:val="56A42F0E"/>
    <w:lvl w:ilvl="0" w:tplc="767AC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76"/>
    <w:rsid w:val="000038FB"/>
    <w:rsid w:val="00005FD6"/>
    <w:rsid w:val="00007A6C"/>
    <w:rsid w:val="000207EC"/>
    <w:rsid w:val="00027CB5"/>
    <w:rsid w:val="0003143A"/>
    <w:rsid w:val="0003317C"/>
    <w:rsid w:val="0004138C"/>
    <w:rsid w:val="000533D7"/>
    <w:rsid w:val="000616F4"/>
    <w:rsid w:val="00063902"/>
    <w:rsid w:val="00065A0A"/>
    <w:rsid w:val="00066646"/>
    <w:rsid w:val="00085FF5"/>
    <w:rsid w:val="00086F68"/>
    <w:rsid w:val="000979F8"/>
    <w:rsid w:val="00097FA5"/>
    <w:rsid w:val="000A16A9"/>
    <w:rsid w:val="000B2EC7"/>
    <w:rsid w:val="000B7A70"/>
    <w:rsid w:val="000C4E9F"/>
    <w:rsid w:val="000D3509"/>
    <w:rsid w:val="000D3CB7"/>
    <w:rsid w:val="000D6F39"/>
    <w:rsid w:val="000E513A"/>
    <w:rsid w:val="000F00D1"/>
    <w:rsid w:val="0010011C"/>
    <w:rsid w:val="001008F1"/>
    <w:rsid w:val="00104BBD"/>
    <w:rsid w:val="00126A0E"/>
    <w:rsid w:val="0012749A"/>
    <w:rsid w:val="001277CD"/>
    <w:rsid w:val="00140ABF"/>
    <w:rsid w:val="0014180D"/>
    <w:rsid w:val="00146CCB"/>
    <w:rsid w:val="001559FC"/>
    <w:rsid w:val="001565C8"/>
    <w:rsid w:val="00173840"/>
    <w:rsid w:val="00180FE2"/>
    <w:rsid w:val="0018300A"/>
    <w:rsid w:val="0018484A"/>
    <w:rsid w:val="00194052"/>
    <w:rsid w:val="001A048C"/>
    <w:rsid w:val="001C75C3"/>
    <w:rsid w:val="001D5644"/>
    <w:rsid w:val="001E4F37"/>
    <w:rsid w:val="001F0176"/>
    <w:rsid w:val="001F3658"/>
    <w:rsid w:val="001F38B7"/>
    <w:rsid w:val="001F3A63"/>
    <w:rsid w:val="00202574"/>
    <w:rsid w:val="00205281"/>
    <w:rsid w:val="00205577"/>
    <w:rsid w:val="00211F86"/>
    <w:rsid w:val="002332D7"/>
    <w:rsid w:val="00233498"/>
    <w:rsid w:val="00241EA2"/>
    <w:rsid w:val="00270861"/>
    <w:rsid w:val="00271950"/>
    <w:rsid w:val="00273868"/>
    <w:rsid w:val="0027593A"/>
    <w:rsid w:val="00281B04"/>
    <w:rsid w:val="00290EE6"/>
    <w:rsid w:val="00293120"/>
    <w:rsid w:val="002937C9"/>
    <w:rsid w:val="002A5127"/>
    <w:rsid w:val="002A7FFC"/>
    <w:rsid w:val="002B1339"/>
    <w:rsid w:val="002B2C4A"/>
    <w:rsid w:val="002C656D"/>
    <w:rsid w:val="002D24F0"/>
    <w:rsid w:val="002D2BEB"/>
    <w:rsid w:val="002D396E"/>
    <w:rsid w:val="002D3A26"/>
    <w:rsid w:val="002F2A52"/>
    <w:rsid w:val="002F63AB"/>
    <w:rsid w:val="002F64C8"/>
    <w:rsid w:val="003042F3"/>
    <w:rsid w:val="003118C8"/>
    <w:rsid w:val="00316620"/>
    <w:rsid w:val="003265F5"/>
    <w:rsid w:val="00333F1C"/>
    <w:rsid w:val="0033797C"/>
    <w:rsid w:val="003400E1"/>
    <w:rsid w:val="00340D38"/>
    <w:rsid w:val="0034131C"/>
    <w:rsid w:val="00350470"/>
    <w:rsid w:val="0035084A"/>
    <w:rsid w:val="00351D02"/>
    <w:rsid w:val="00357B29"/>
    <w:rsid w:val="003611E6"/>
    <w:rsid w:val="003633ED"/>
    <w:rsid w:val="003731DD"/>
    <w:rsid w:val="00390284"/>
    <w:rsid w:val="003903B0"/>
    <w:rsid w:val="00391B1A"/>
    <w:rsid w:val="0039367E"/>
    <w:rsid w:val="0039748A"/>
    <w:rsid w:val="00397869"/>
    <w:rsid w:val="003B152C"/>
    <w:rsid w:val="003C5DFE"/>
    <w:rsid w:val="003D4693"/>
    <w:rsid w:val="003D5C5F"/>
    <w:rsid w:val="003D6E8E"/>
    <w:rsid w:val="003E0D4E"/>
    <w:rsid w:val="003E4E5F"/>
    <w:rsid w:val="003E5039"/>
    <w:rsid w:val="003F2439"/>
    <w:rsid w:val="0040009E"/>
    <w:rsid w:val="00400B66"/>
    <w:rsid w:val="0040264A"/>
    <w:rsid w:val="00403AB1"/>
    <w:rsid w:val="0041520A"/>
    <w:rsid w:val="00420CFB"/>
    <w:rsid w:val="0042160A"/>
    <w:rsid w:val="004246A3"/>
    <w:rsid w:val="00427225"/>
    <w:rsid w:val="00430883"/>
    <w:rsid w:val="004354A4"/>
    <w:rsid w:val="0044122F"/>
    <w:rsid w:val="004668D3"/>
    <w:rsid w:val="00472263"/>
    <w:rsid w:val="0047617A"/>
    <w:rsid w:val="00482331"/>
    <w:rsid w:val="00483B8C"/>
    <w:rsid w:val="00491EAC"/>
    <w:rsid w:val="00492840"/>
    <w:rsid w:val="004938DF"/>
    <w:rsid w:val="004A1A86"/>
    <w:rsid w:val="004A28A4"/>
    <w:rsid w:val="004A2C4A"/>
    <w:rsid w:val="004A380F"/>
    <w:rsid w:val="004A7365"/>
    <w:rsid w:val="004A74EC"/>
    <w:rsid w:val="004B6D0C"/>
    <w:rsid w:val="004C4510"/>
    <w:rsid w:val="004E2673"/>
    <w:rsid w:val="00501485"/>
    <w:rsid w:val="00506398"/>
    <w:rsid w:val="00506F43"/>
    <w:rsid w:val="00507145"/>
    <w:rsid w:val="00507480"/>
    <w:rsid w:val="00515E22"/>
    <w:rsid w:val="005164B8"/>
    <w:rsid w:val="0052081D"/>
    <w:rsid w:val="0052333F"/>
    <w:rsid w:val="00531DA7"/>
    <w:rsid w:val="00532462"/>
    <w:rsid w:val="00552636"/>
    <w:rsid w:val="00564F2E"/>
    <w:rsid w:val="005650B7"/>
    <w:rsid w:val="00571E2D"/>
    <w:rsid w:val="00577194"/>
    <w:rsid w:val="005926C7"/>
    <w:rsid w:val="005A083F"/>
    <w:rsid w:val="005A4E44"/>
    <w:rsid w:val="005A5939"/>
    <w:rsid w:val="005B46CD"/>
    <w:rsid w:val="005B6415"/>
    <w:rsid w:val="005C0F83"/>
    <w:rsid w:val="005C50A1"/>
    <w:rsid w:val="005D29BB"/>
    <w:rsid w:val="005D6470"/>
    <w:rsid w:val="005E10A3"/>
    <w:rsid w:val="005E3BE5"/>
    <w:rsid w:val="005E3DCA"/>
    <w:rsid w:val="005F76BA"/>
    <w:rsid w:val="005F7FEB"/>
    <w:rsid w:val="00601293"/>
    <w:rsid w:val="00603C36"/>
    <w:rsid w:val="00606353"/>
    <w:rsid w:val="00610C8A"/>
    <w:rsid w:val="006126D4"/>
    <w:rsid w:val="00613F68"/>
    <w:rsid w:val="00616C44"/>
    <w:rsid w:val="006262F2"/>
    <w:rsid w:val="00626B80"/>
    <w:rsid w:val="00641757"/>
    <w:rsid w:val="00646A14"/>
    <w:rsid w:val="006513C4"/>
    <w:rsid w:val="006604AB"/>
    <w:rsid w:val="0066095F"/>
    <w:rsid w:val="00674E8E"/>
    <w:rsid w:val="00691948"/>
    <w:rsid w:val="006925A0"/>
    <w:rsid w:val="00694569"/>
    <w:rsid w:val="0069543F"/>
    <w:rsid w:val="006A1E41"/>
    <w:rsid w:val="006A462D"/>
    <w:rsid w:val="006B0210"/>
    <w:rsid w:val="006B3DC3"/>
    <w:rsid w:val="006B3E50"/>
    <w:rsid w:val="006C5C0E"/>
    <w:rsid w:val="006D4304"/>
    <w:rsid w:val="006D5B1B"/>
    <w:rsid w:val="006D5BF5"/>
    <w:rsid w:val="006E1783"/>
    <w:rsid w:val="006E35F5"/>
    <w:rsid w:val="006E4BEF"/>
    <w:rsid w:val="007004CC"/>
    <w:rsid w:val="00703797"/>
    <w:rsid w:val="00710EA4"/>
    <w:rsid w:val="0071475D"/>
    <w:rsid w:val="00715D74"/>
    <w:rsid w:val="00721606"/>
    <w:rsid w:val="00733B3A"/>
    <w:rsid w:val="00733FBF"/>
    <w:rsid w:val="00740BEB"/>
    <w:rsid w:val="00744816"/>
    <w:rsid w:val="00745D1A"/>
    <w:rsid w:val="00747261"/>
    <w:rsid w:val="00753DF4"/>
    <w:rsid w:val="007555FF"/>
    <w:rsid w:val="007766F9"/>
    <w:rsid w:val="00783660"/>
    <w:rsid w:val="007868AD"/>
    <w:rsid w:val="00796CDF"/>
    <w:rsid w:val="007A3AEC"/>
    <w:rsid w:val="007A6DFE"/>
    <w:rsid w:val="007A786B"/>
    <w:rsid w:val="007C2014"/>
    <w:rsid w:val="007C34EE"/>
    <w:rsid w:val="007C4AFE"/>
    <w:rsid w:val="007E094B"/>
    <w:rsid w:val="007E1B73"/>
    <w:rsid w:val="007E5DE6"/>
    <w:rsid w:val="007E7197"/>
    <w:rsid w:val="008057C6"/>
    <w:rsid w:val="00812686"/>
    <w:rsid w:val="008220F2"/>
    <w:rsid w:val="00832981"/>
    <w:rsid w:val="00834BD9"/>
    <w:rsid w:val="00834EB8"/>
    <w:rsid w:val="008412B0"/>
    <w:rsid w:val="0084527A"/>
    <w:rsid w:val="0084709A"/>
    <w:rsid w:val="008540FF"/>
    <w:rsid w:val="008558BF"/>
    <w:rsid w:val="00855DF5"/>
    <w:rsid w:val="00862389"/>
    <w:rsid w:val="00867B31"/>
    <w:rsid w:val="00873D97"/>
    <w:rsid w:val="00873F67"/>
    <w:rsid w:val="00877396"/>
    <w:rsid w:val="00885328"/>
    <w:rsid w:val="00885E00"/>
    <w:rsid w:val="00892371"/>
    <w:rsid w:val="0089265E"/>
    <w:rsid w:val="008A133C"/>
    <w:rsid w:val="008B17FA"/>
    <w:rsid w:val="008B26D7"/>
    <w:rsid w:val="008B6A7F"/>
    <w:rsid w:val="008C2C13"/>
    <w:rsid w:val="008C5AFE"/>
    <w:rsid w:val="008D1D9B"/>
    <w:rsid w:val="008E06F7"/>
    <w:rsid w:val="00910F79"/>
    <w:rsid w:val="00911044"/>
    <w:rsid w:val="009115A4"/>
    <w:rsid w:val="00913D14"/>
    <w:rsid w:val="00921EF3"/>
    <w:rsid w:val="00930C55"/>
    <w:rsid w:val="00931373"/>
    <w:rsid w:val="009466A3"/>
    <w:rsid w:val="00947BCC"/>
    <w:rsid w:val="009619E7"/>
    <w:rsid w:val="00966A49"/>
    <w:rsid w:val="00971A89"/>
    <w:rsid w:val="00973A82"/>
    <w:rsid w:val="009770F4"/>
    <w:rsid w:val="009915F0"/>
    <w:rsid w:val="009A106C"/>
    <w:rsid w:val="009A15B2"/>
    <w:rsid w:val="009A1607"/>
    <w:rsid w:val="009A226D"/>
    <w:rsid w:val="009A2724"/>
    <w:rsid w:val="009C0A32"/>
    <w:rsid w:val="009C5538"/>
    <w:rsid w:val="009D3139"/>
    <w:rsid w:val="009D61A3"/>
    <w:rsid w:val="009D7B90"/>
    <w:rsid w:val="009E20F8"/>
    <w:rsid w:val="009F0BCF"/>
    <w:rsid w:val="009F10EE"/>
    <w:rsid w:val="009F2EC6"/>
    <w:rsid w:val="00A05A19"/>
    <w:rsid w:val="00A14D17"/>
    <w:rsid w:val="00A1682B"/>
    <w:rsid w:val="00A3095E"/>
    <w:rsid w:val="00A31D5A"/>
    <w:rsid w:val="00A33402"/>
    <w:rsid w:val="00A34A4B"/>
    <w:rsid w:val="00A4385A"/>
    <w:rsid w:val="00A44D54"/>
    <w:rsid w:val="00A46686"/>
    <w:rsid w:val="00A544A7"/>
    <w:rsid w:val="00A64097"/>
    <w:rsid w:val="00A7505C"/>
    <w:rsid w:val="00A77404"/>
    <w:rsid w:val="00A92891"/>
    <w:rsid w:val="00A95023"/>
    <w:rsid w:val="00AA0B3E"/>
    <w:rsid w:val="00AA0DBD"/>
    <w:rsid w:val="00AA79BA"/>
    <w:rsid w:val="00AC201A"/>
    <w:rsid w:val="00AC2873"/>
    <w:rsid w:val="00AC446E"/>
    <w:rsid w:val="00AC4B41"/>
    <w:rsid w:val="00AC5EAF"/>
    <w:rsid w:val="00AC6661"/>
    <w:rsid w:val="00AC7B96"/>
    <w:rsid w:val="00B00105"/>
    <w:rsid w:val="00B04A04"/>
    <w:rsid w:val="00B058A1"/>
    <w:rsid w:val="00B05E9E"/>
    <w:rsid w:val="00B07A0B"/>
    <w:rsid w:val="00B10E89"/>
    <w:rsid w:val="00B10F54"/>
    <w:rsid w:val="00B17C9E"/>
    <w:rsid w:val="00B20EEF"/>
    <w:rsid w:val="00B21FDB"/>
    <w:rsid w:val="00B27D7F"/>
    <w:rsid w:val="00B408BF"/>
    <w:rsid w:val="00B46514"/>
    <w:rsid w:val="00B46AD4"/>
    <w:rsid w:val="00B5494B"/>
    <w:rsid w:val="00B5528E"/>
    <w:rsid w:val="00B55E0B"/>
    <w:rsid w:val="00B55E2B"/>
    <w:rsid w:val="00B60ED3"/>
    <w:rsid w:val="00B625F1"/>
    <w:rsid w:val="00B6589C"/>
    <w:rsid w:val="00B859E6"/>
    <w:rsid w:val="00B946BC"/>
    <w:rsid w:val="00BB169A"/>
    <w:rsid w:val="00BB5C84"/>
    <w:rsid w:val="00BC03F2"/>
    <w:rsid w:val="00BC3017"/>
    <w:rsid w:val="00BC43F2"/>
    <w:rsid w:val="00BC7D2F"/>
    <w:rsid w:val="00BD70D6"/>
    <w:rsid w:val="00BF238E"/>
    <w:rsid w:val="00BF23FC"/>
    <w:rsid w:val="00BF466E"/>
    <w:rsid w:val="00BF7AC0"/>
    <w:rsid w:val="00C0136D"/>
    <w:rsid w:val="00C04D45"/>
    <w:rsid w:val="00C05183"/>
    <w:rsid w:val="00C0785B"/>
    <w:rsid w:val="00C13274"/>
    <w:rsid w:val="00C15EDA"/>
    <w:rsid w:val="00C321B5"/>
    <w:rsid w:val="00C346EA"/>
    <w:rsid w:val="00C362B6"/>
    <w:rsid w:val="00C4384F"/>
    <w:rsid w:val="00C45FAF"/>
    <w:rsid w:val="00C52E47"/>
    <w:rsid w:val="00C53428"/>
    <w:rsid w:val="00C53D37"/>
    <w:rsid w:val="00C57A36"/>
    <w:rsid w:val="00C57D54"/>
    <w:rsid w:val="00C631FF"/>
    <w:rsid w:val="00C658C0"/>
    <w:rsid w:val="00C84168"/>
    <w:rsid w:val="00C86EDF"/>
    <w:rsid w:val="00C9465A"/>
    <w:rsid w:val="00CA1440"/>
    <w:rsid w:val="00CA1BEF"/>
    <w:rsid w:val="00CA479C"/>
    <w:rsid w:val="00CA6C13"/>
    <w:rsid w:val="00CC64ED"/>
    <w:rsid w:val="00CE421F"/>
    <w:rsid w:val="00CF3F20"/>
    <w:rsid w:val="00CF4933"/>
    <w:rsid w:val="00D00409"/>
    <w:rsid w:val="00D00480"/>
    <w:rsid w:val="00D02E86"/>
    <w:rsid w:val="00D13F6C"/>
    <w:rsid w:val="00D217BD"/>
    <w:rsid w:val="00D22DF9"/>
    <w:rsid w:val="00D328B8"/>
    <w:rsid w:val="00D45052"/>
    <w:rsid w:val="00D477ED"/>
    <w:rsid w:val="00D549A2"/>
    <w:rsid w:val="00D62B18"/>
    <w:rsid w:val="00D67BFD"/>
    <w:rsid w:val="00D74062"/>
    <w:rsid w:val="00D81BE7"/>
    <w:rsid w:val="00D83B4C"/>
    <w:rsid w:val="00D9277B"/>
    <w:rsid w:val="00D952C3"/>
    <w:rsid w:val="00DB65E9"/>
    <w:rsid w:val="00DD1F91"/>
    <w:rsid w:val="00DD59D8"/>
    <w:rsid w:val="00DD63DA"/>
    <w:rsid w:val="00DE41F2"/>
    <w:rsid w:val="00E065A6"/>
    <w:rsid w:val="00E0717C"/>
    <w:rsid w:val="00E11FBD"/>
    <w:rsid w:val="00E177BA"/>
    <w:rsid w:val="00E205A7"/>
    <w:rsid w:val="00E227EE"/>
    <w:rsid w:val="00E24439"/>
    <w:rsid w:val="00E2754B"/>
    <w:rsid w:val="00E317AF"/>
    <w:rsid w:val="00E4428D"/>
    <w:rsid w:val="00E50333"/>
    <w:rsid w:val="00E5437E"/>
    <w:rsid w:val="00E74F63"/>
    <w:rsid w:val="00E8586A"/>
    <w:rsid w:val="00E92AC8"/>
    <w:rsid w:val="00EB267E"/>
    <w:rsid w:val="00EC0380"/>
    <w:rsid w:val="00ED6D2A"/>
    <w:rsid w:val="00EE5603"/>
    <w:rsid w:val="00EE779B"/>
    <w:rsid w:val="00F02C96"/>
    <w:rsid w:val="00F2341A"/>
    <w:rsid w:val="00F24AFE"/>
    <w:rsid w:val="00F3088E"/>
    <w:rsid w:val="00F31C44"/>
    <w:rsid w:val="00F3319A"/>
    <w:rsid w:val="00F41A6A"/>
    <w:rsid w:val="00F4320E"/>
    <w:rsid w:val="00F465BA"/>
    <w:rsid w:val="00F65247"/>
    <w:rsid w:val="00F6525D"/>
    <w:rsid w:val="00F662D7"/>
    <w:rsid w:val="00F735AD"/>
    <w:rsid w:val="00F812A1"/>
    <w:rsid w:val="00F8631E"/>
    <w:rsid w:val="00F91FC0"/>
    <w:rsid w:val="00F96907"/>
    <w:rsid w:val="00FA7059"/>
    <w:rsid w:val="00FA79D3"/>
    <w:rsid w:val="00FA7D1F"/>
    <w:rsid w:val="00FB53CD"/>
    <w:rsid w:val="00FC06A4"/>
    <w:rsid w:val="00FD5DB8"/>
    <w:rsid w:val="00FD79D5"/>
    <w:rsid w:val="00FE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D81F"/>
  <w15:chartTrackingRefBased/>
  <w15:docId w15:val="{D678FBF3-B2D6-4AED-B52B-E2D5560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7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1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F0176"/>
    <w:pPr>
      <w:widowControl/>
      <w:spacing w:before="100" w:beforeAutospacing="1" w:after="100" w:afterAutospacing="1"/>
    </w:pPr>
    <w:rPr>
      <w:sz w:val="24"/>
      <w:szCs w:val="24"/>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1F0176"/>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1F0176"/>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1F0176"/>
    <w:rPr>
      <w:vertAlign w:val="superscript"/>
    </w:rPr>
  </w:style>
  <w:style w:type="character" w:customStyle="1" w:styleId="term1">
    <w:name w:val="term1"/>
    <w:basedOn w:val="DefaultParagraphFont"/>
    <w:rsid w:val="001F0176"/>
    <w:rPr>
      <w:b/>
      <w:bCs/>
    </w:rPr>
  </w:style>
  <w:style w:type="paragraph" w:customStyle="1" w:styleId="Default">
    <w:name w:val="Default"/>
    <w:rsid w:val="001C75C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0785B"/>
    <w:pPr>
      <w:ind w:left="720"/>
      <w:contextualSpacing/>
    </w:pPr>
  </w:style>
  <w:style w:type="paragraph" w:styleId="Header">
    <w:name w:val="header"/>
    <w:basedOn w:val="Normal"/>
    <w:link w:val="HeaderChar"/>
    <w:uiPriority w:val="99"/>
    <w:unhideWhenUsed/>
    <w:rsid w:val="009D3139"/>
    <w:pPr>
      <w:tabs>
        <w:tab w:val="center" w:pos="4680"/>
        <w:tab w:val="right" w:pos="9360"/>
      </w:tabs>
    </w:pPr>
  </w:style>
  <w:style w:type="character" w:customStyle="1" w:styleId="HeaderChar">
    <w:name w:val="Header Char"/>
    <w:basedOn w:val="DefaultParagraphFont"/>
    <w:link w:val="Header"/>
    <w:uiPriority w:val="99"/>
    <w:rsid w:val="009D31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3139"/>
    <w:pPr>
      <w:tabs>
        <w:tab w:val="center" w:pos="4680"/>
        <w:tab w:val="right" w:pos="9360"/>
      </w:tabs>
    </w:pPr>
  </w:style>
  <w:style w:type="character" w:customStyle="1" w:styleId="FooterChar">
    <w:name w:val="Footer Char"/>
    <w:basedOn w:val="DefaultParagraphFont"/>
    <w:link w:val="Footer"/>
    <w:uiPriority w:val="99"/>
    <w:rsid w:val="009D31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4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6A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246A3"/>
    <w:rPr>
      <w:sz w:val="16"/>
      <w:szCs w:val="16"/>
    </w:rPr>
  </w:style>
  <w:style w:type="paragraph" w:styleId="CommentText">
    <w:name w:val="annotation text"/>
    <w:basedOn w:val="Normal"/>
    <w:link w:val="CommentTextChar"/>
    <w:uiPriority w:val="99"/>
    <w:semiHidden/>
    <w:unhideWhenUsed/>
    <w:rsid w:val="004246A3"/>
  </w:style>
  <w:style w:type="character" w:customStyle="1" w:styleId="CommentTextChar">
    <w:name w:val="Comment Text Char"/>
    <w:basedOn w:val="DefaultParagraphFont"/>
    <w:link w:val="CommentText"/>
    <w:uiPriority w:val="99"/>
    <w:semiHidden/>
    <w:rsid w:val="004246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46A3"/>
    <w:rPr>
      <w:b/>
      <w:bCs/>
    </w:rPr>
  </w:style>
  <w:style w:type="character" w:customStyle="1" w:styleId="CommentSubjectChar">
    <w:name w:val="Comment Subject Char"/>
    <w:basedOn w:val="CommentTextChar"/>
    <w:link w:val="CommentSubject"/>
    <w:uiPriority w:val="99"/>
    <w:semiHidden/>
    <w:rsid w:val="004246A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91007">
      <w:bodyDiv w:val="1"/>
      <w:marLeft w:val="0"/>
      <w:marRight w:val="0"/>
      <w:marTop w:val="0"/>
      <w:marBottom w:val="0"/>
      <w:divBdr>
        <w:top w:val="none" w:sz="0" w:space="0" w:color="auto"/>
        <w:left w:val="none" w:sz="0" w:space="0" w:color="auto"/>
        <w:bottom w:val="none" w:sz="0" w:space="0" w:color="auto"/>
        <w:right w:val="none" w:sz="0" w:space="0" w:color="auto"/>
      </w:divBdr>
    </w:div>
    <w:div w:id="555046091">
      <w:bodyDiv w:val="1"/>
      <w:marLeft w:val="0"/>
      <w:marRight w:val="0"/>
      <w:marTop w:val="0"/>
      <w:marBottom w:val="0"/>
      <w:divBdr>
        <w:top w:val="none" w:sz="0" w:space="0" w:color="auto"/>
        <w:left w:val="none" w:sz="0" w:space="0" w:color="auto"/>
        <w:bottom w:val="none" w:sz="0" w:space="0" w:color="auto"/>
        <w:right w:val="none" w:sz="0" w:space="0" w:color="auto"/>
      </w:divBdr>
    </w:div>
    <w:div w:id="861551793">
      <w:bodyDiv w:val="1"/>
      <w:marLeft w:val="0"/>
      <w:marRight w:val="0"/>
      <w:marTop w:val="0"/>
      <w:marBottom w:val="0"/>
      <w:divBdr>
        <w:top w:val="none" w:sz="0" w:space="0" w:color="auto"/>
        <w:left w:val="none" w:sz="0" w:space="0" w:color="auto"/>
        <w:bottom w:val="none" w:sz="0" w:space="0" w:color="auto"/>
        <w:right w:val="none" w:sz="0" w:space="0" w:color="auto"/>
      </w:divBdr>
    </w:div>
    <w:div w:id="1506627723">
      <w:bodyDiv w:val="1"/>
      <w:marLeft w:val="0"/>
      <w:marRight w:val="0"/>
      <w:marTop w:val="0"/>
      <w:marBottom w:val="0"/>
      <w:divBdr>
        <w:top w:val="none" w:sz="0" w:space="0" w:color="auto"/>
        <w:left w:val="none" w:sz="0" w:space="0" w:color="auto"/>
        <w:bottom w:val="none" w:sz="0" w:space="0" w:color="auto"/>
        <w:right w:val="none" w:sz="0" w:space="0" w:color="auto"/>
      </w:divBdr>
    </w:div>
    <w:div w:id="1757163351">
      <w:bodyDiv w:val="1"/>
      <w:marLeft w:val="0"/>
      <w:marRight w:val="0"/>
      <w:marTop w:val="0"/>
      <w:marBottom w:val="0"/>
      <w:divBdr>
        <w:top w:val="none" w:sz="0" w:space="0" w:color="auto"/>
        <w:left w:val="none" w:sz="0" w:space="0" w:color="auto"/>
        <w:bottom w:val="none" w:sz="0" w:space="0" w:color="auto"/>
        <w:right w:val="none" w:sz="0" w:space="0" w:color="auto"/>
      </w:divBdr>
    </w:div>
    <w:div w:id="1935941545">
      <w:bodyDiv w:val="1"/>
      <w:marLeft w:val="0"/>
      <w:marRight w:val="0"/>
      <w:marTop w:val="0"/>
      <w:marBottom w:val="0"/>
      <w:divBdr>
        <w:top w:val="none" w:sz="0" w:space="0" w:color="auto"/>
        <w:left w:val="none" w:sz="0" w:space="0" w:color="auto"/>
        <w:bottom w:val="none" w:sz="0" w:space="0" w:color="auto"/>
        <w:right w:val="none" w:sz="0" w:space="0" w:color="auto"/>
      </w:divBdr>
    </w:div>
    <w:div w:id="194048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290D-70A1-4CA8-BE5C-A6138E37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4</cp:revision>
  <cp:lastPrinted>2019-05-29T18:25:00Z</cp:lastPrinted>
  <dcterms:created xsi:type="dcterms:W3CDTF">2019-06-19T17:47:00Z</dcterms:created>
  <dcterms:modified xsi:type="dcterms:W3CDTF">2019-07-11T11:47:00Z</dcterms:modified>
</cp:coreProperties>
</file>