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907"/>
        <w:gridCol w:w="1620"/>
      </w:tblGrid>
      <w:tr w:rsidR="00745581" w14:paraId="013F67FD" w14:textId="77777777" w:rsidTr="39FD25B0">
        <w:trPr>
          <w:trHeight w:val="990"/>
        </w:trPr>
        <w:tc>
          <w:tcPr>
            <w:tcW w:w="1363" w:type="dxa"/>
          </w:tcPr>
          <w:p w14:paraId="405FC4FA" w14:textId="77777777" w:rsidR="00745581" w:rsidRDefault="00745581" w:rsidP="00A140F9">
            <w:pPr>
              <w:rPr>
                <w:sz w:val="24"/>
              </w:rPr>
            </w:pPr>
            <w:r>
              <w:rPr>
                <w:noProof/>
                <w:spacing w:val="-2"/>
              </w:rPr>
              <w:drawing>
                <wp:inline distT="0" distB="0" distL="0" distR="0" wp14:anchorId="3B76FD70" wp14:editId="5EE5896D">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907" w:type="dxa"/>
          </w:tcPr>
          <w:p w14:paraId="35147586" w14:textId="77777777" w:rsidR="00745581" w:rsidRDefault="00745581" w:rsidP="00A140F9">
            <w:pPr>
              <w:suppressAutoHyphens/>
              <w:spacing w:line="204" w:lineRule="auto"/>
              <w:jc w:val="center"/>
              <w:rPr>
                <w:rFonts w:ascii="Arial" w:hAnsi="Arial"/>
                <w:color w:val="000080"/>
                <w:spacing w:val="-3"/>
                <w:sz w:val="26"/>
              </w:rPr>
            </w:pPr>
          </w:p>
          <w:p w14:paraId="6CED7330" w14:textId="77777777" w:rsidR="00745581" w:rsidRDefault="00745581" w:rsidP="00A140F9">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6C68ECA6" w14:textId="77777777" w:rsidR="00745581" w:rsidRDefault="00745581" w:rsidP="00A140F9">
            <w:pPr>
              <w:suppressAutoHyphens/>
              <w:spacing w:line="204" w:lineRule="auto"/>
              <w:jc w:val="center"/>
              <w:rPr>
                <w:rFonts w:ascii="Arial" w:hAnsi="Arial"/>
                <w:color w:val="000080"/>
                <w:spacing w:val="-3"/>
                <w:sz w:val="26"/>
              </w:rPr>
            </w:pPr>
            <w:smartTag w:uri="urn:schemas-microsoft-com:office:smarttags" w:element="PostalCod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04B9205" w14:textId="77777777" w:rsidR="00745581" w:rsidRPr="00AF02D1" w:rsidRDefault="00745581" w:rsidP="00A140F9">
            <w:pPr>
              <w:jc w:val="center"/>
              <w:rPr>
                <w:rFonts w:ascii="Arial" w:hAnsi="Arial"/>
                <w:color w:val="000080"/>
                <w:spacing w:val="-3"/>
                <w:sz w:val="26"/>
              </w:rPr>
            </w:pPr>
            <w:r>
              <w:rPr>
                <w:rFonts w:ascii="Arial" w:hAnsi="Arial"/>
                <w:color w:val="000080"/>
                <w:spacing w:val="-3"/>
                <w:sz w:val="26"/>
              </w:rPr>
              <w:t>P.O. BOX 3265, HARRISBURG, PA 17105-3265</w:t>
            </w:r>
          </w:p>
        </w:tc>
        <w:tc>
          <w:tcPr>
            <w:tcW w:w="1620" w:type="dxa"/>
          </w:tcPr>
          <w:p w14:paraId="3E2D8B14" w14:textId="77777777" w:rsidR="00745581" w:rsidRDefault="00745581" w:rsidP="00A140F9">
            <w:pPr>
              <w:rPr>
                <w:rFonts w:ascii="Arial" w:hAnsi="Arial"/>
                <w:sz w:val="12"/>
              </w:rPr>
            </w:pPr>
          </w:p>
          <w:p w14:paraId="743D601E" w14:textId="77777777" w:rsidR="00745581" w:rsidRDefault="00745581" w:rsidP="00A140F9">
            <w:pPr>
              <w:jc w:val="right"/>
              <w:rPr>
                <w:rFonts w:ascii="Arial" w:hAnsi="Arial"/>
                <w:b/>
                <w:spacing w:val="-1"/>
                <w:sz w:val="12"/>
              </w:rPr>
            </w:pPr>
            <w:r>
              <w:rPr>
                <w:rFonts w:ascii="Arial" w:hAnsi="Arial"/>
                <w:b/>
                <w:spacing w:val="-1"/>
                <w:sz w:val="12"/>
              </w:rPr>
              <w:t>IN REPLY PLEASE REFER TO OUR FILES</w:t>
            </w:r>
          </w:p>
          <w:p w14:paraId="719D67A4" w14:textId="77777777" w:rsidR="00745581" w:rsidRPr="00EE4605" w:rsidRDefault="00745581" w:rsidP="00A140F9">
            <w:pPr>
              <w:jc w:val="right"/>
              <w:rPr>
                <w:rFonts w:ascii="Arial" w:hAnsi="Arial"/>
                <w:b/>
                <w:spacing w:val="-1"/>
                <w:sz w:val="12"/>
              </w:rPr>
            </w:pPr>
          </w:p>
          <w:p w14:paraId="3E9DEB73" w14:textId="77777777" w:rsidR="00745581" w:rsidRDefault="00745581" w:rsidP="00A140F9">
            <w:pPr>
              <w:jc w:val="right"/>
              <w:rPr>
                <w:sz w:val="16"/>
                <w:szCs w:val="16"/>
              </w:rPr>
            </w:pPr>
            <w:bookmarkStart w:id="0" w:name="_Hlk529537933"/>
            <w:bookmarkStart w:id="1" w:name="_Hlk13034559"/>
            <w:r w:rsidRPr="00D4410E">
              <w:rPr>
                <w:sz w:val="16"/>
                <w:szCs w:val="16"/>
              </w:rPr>
              <w:t>M-201</w:t>
            </w:r>
            <w:r w:rsidR="00027904">
              <w:rPr>
                <w:sz w:val="16"/>
                <w:szCs w:val="16"/>
              </w:rPr>
              <w:t>9</w:t>
            </w:r>
            <w:r w:rsidRPr="00D4410E">
              <w:rPr>
                <w:sz w:val="16"/>
                <w:szCs w:val="16"/>
              </w:rPr>
              <w:t>-</w:t>
            </w:r>
            <w:bookmarkEnd w:id="0"/>
            <w:r w:rsidR="00027904">
              <w:rPr>
                <w:sz w:val="16"/>
                <w:szCs w:val="16"/>
              </w:rPr>
              <w:t>3010190</w:t>
            </w:r>
          </w:p>
          <w:bookmarkEnd w:id="1"/>
          <w:p w14:paraId="4B5E71C5" w14:textId="77777777" w:rsidR="00745581" w:rsidRPr="00D4410E" w:rsidRDefault="00745581" w:rsidP="00A140F9">
            <w:pPr>
              <w:jc w:val="right"/>
              <w:rPr>
                <w:sz w:val="16"/>
                <w:szCs w:val="16"/>
              </w:rPr>
            </w:pPr>
          </w:p>
        </w:tc>
      </w:tr>
    </w:tbl>
    <w:p w14:paraId="78850B15" w14:textId="77777777" w:rsidR="00745581" w:rsidRDefault="00745581" w:rsidP="00745581">
      <w:pPr>
        <w:rPr>
          <w:sz w:val="24"/>
        </w:rPr>
        <w:sectPr w:rsidR="00745581" w:rsidSect="00BF6F03">
          <w:headerReference w:type="default" r:id="rId8"/>
          <w:footerReference w:type="even" r:id="rId9"/>
          <w:footerReference w:type="default" r:id="rId10"/>
          <w:pgSz w:w="12240" w:h="15840"/>
          <w:pgMar w:top="504" w:right="1440" w:bottom="1440" w:left="1440" w:header="720" w:footer="720" w:gutter="0"/>
          <w:cols w:space="720"/>
          <w:titlePg/>
        </w:sectPr>
      </w:pPr>
    </w:p>
    <w:p w14:paraId="603D2935" w14:textId="77777777" w:rsidR="00745581" w:rsidRPr="00E86D18" w:rsidRDefault="00745581" w:rsidP="00745581">
      <w:pPr>
        <w:jc w:val="center"/>
        <w:rPr>
          <w:sz w:val="26"/>
          <w:szCs w:val="26"/>
        </w:rPr>
      </w:pPr>
    </w:p>
    <w:p w14:paraId="2562B0EB" w14:textId="29E2A49D" w:rsidR="00745581" w:rsidRPr="008D5897" w:rsidRDefault="00B21FCF" w:rsidP="00745581">
      <w:pPr>
        <w:jc w:val="center"/>
        <w:rPr>
          <w:b/>
          <w:sz w:val="24"/>
          <w:szCs w:val="24"/>
        </w:rPr>
      </w:pPr>
      <w:r>
        <w:rPr>
          <w:b/>
          <w:sz w:val="24"/>
          <w:szCs w:val="24"/>
        </w:rPr>
        <w:t>July 17, 2019</w:t>
      </w:r>
      <w:r w:rsidR="00745581" w:rsidRPr="008D5897">
        <w:rPr>
          <w:b/>
          <w:sz w:val="24"/>
          <w:szCs w:val="24"/>
        </w:rPr>
        <w:t xml:space="preserve"> </w:t>
      </w:r>
    </w:p>
    <w:p w14:paraId="5629F8F8" w14:textId="77777777" w:rsidR="00745581" w:rsidRPr="008D5897" w:rsidRDefault="00745581" w:rsidP="00745581">
      <w:pPr>
        <w:jc w:val="center"/>
        <w:rPr>
          <w:sz w:val="24"/>
          <w:szCs w:val="24"/>
        </w:rPr>
      </w:pPr>
    </w:p>
    <w:p w14:paraId="23411484" w14:textId="77777777" w:rsidR="00745581" w:rsidRPr="003C61FA" w:rsidRDefault="00745581" w:rsidP="00745581">
      <w:pPr>
        <w:rPr>
          <w:sz w:val="26"/>
          <w:szCs w:val="26"/>
        </w:rPr>
      </w:pPr>
      <w:r w:rsidRPr="003C61FA">
        <w:rPr>
          <w:sz w:val="26"/>
          <w:szCs w:val="26"/>
        </w:rPr>
        <w:t>TO:</w:t>
      </w:r>
      <w:r w:rsidRPr="003C61FA">
        <w:rPr>
          <w:sz w:val="26"/>
          <w:szCs w:val="26"/>
        </w:rPr>
        <w:tab/>
        <w:t>All Parties of Record in:</w:t>
      </w:r>
    </w:p>
    <w:p w14:paraId="12BCDE4D" w14:textId="341589BC" w:rsidR="004C3465" w:rsidRDefault="00745581" w:rsidP="004C3465">
      <w:pPr>
        <w:ind w:left="1080" w:hanging="720"/>
        <w:rPr>
          <w:sz w:val="26"/>
          <w:szCs w:val="26"/>
        </w:rPr>
      </w:pPr>
      <w:r w:rsidRPr="003C61FA">
        <w:rPr>
          <w:sz w:val="26"/>
          <w:szCs w:val="26"/>
        </w:rPr>
        <w:tab/>
      </w:r>
      <w:r w:rsidR="004C3465" w:rsidRPr="004C3465">
        <w:rPr>
          <w:sz w:val="26"/>
          <w:szCs w:val="26"/>
        </w:rPr>
        <w:t>Energy Affordability for Low-Income Customers</w:t>
      </w:r>
      <w:r w:rsidR="004C3465">
        <w:rPr>
          <w:sz w:val="26"/>
          <w:szCs w:val="26"/>
        </w:rPr>
        <w:t xml:space="preserve">, </w:t>
      </w:r>
    </w:p>
    <w:p w14:paraId="72A8FB59" w14:textId="77777777" w:rsidR="00745581" w:rsidRDefault="004C3465" w:rsidP="004C3465">
      <w:pPr>
        <w:ind w:left="1080"/>
        <w:rPr>
          <w:sz w:val="26"/>
          <w:szCs w:val="26"/>
        </w:rPr>
      </w:pPr>
      <w:r w:rsidRPr="004C3465">
        <w:rPr>
          <w:sz w:val="26"/>
          <w:szCs w:val="26"/>
        </w:rPr>
        <w:t>Docket No. M-2017-2587711</w:t>
      </w:r>
    </w:p>
    <w:p w14:paraId="57BF7B31" w14:textId="3951B08A" w:rsidR="004C3465" w:rsidRDefault="004C3465" w:rsidP="004C3465">
      <w:pPr>
        <w:ind w:left="1080"/>
        <w:rPr>
          <w:sz w:val="26"/>
          <w:szCs w:val="26"/>
        </w:rPr>
      </w:pPr>
      <w:r w:rsidRPr="004C3465">
        <w:rPr>
          <w:sz w:val="26"/>
          <w:szCs w:val="26"/>
        </w:rPr>
        <w:t>Review of Universal Service and Energy Conservation Programs</w:t>
      </w:r>
      <w:r>
        <w:rPr>
          <w:sz w:val="26"/>
          <w:szCs w:val="26"/>
        </w:rPr>
        <w:t>,</w:t>
      </w:r>
    </w:p>
    <w:p w14:paraId="2E7ECEF4" w14:textId="48038AD2" w:rsidR="00C75C79" w:rsidRPr="003C61FA" w:rsidRDefault="004C3465" w:rsidP="003224BE">
      <w:pPr>
        <w:ind w:left="1080"/>
        <w:rPr>
          <w:sz w:val="26"/>
          <w:szCs w:val="26"/>
        </w:rPr>
      </w:pPr>
      <w:r w:rsidRPr="004C3465">
        <w:rPr>
          <w:sz w:val="26"/>
          <w:szCs w:val="26"/>
        </w:rPr>
        <w:t>Docket No. M-2017-2596907</w:t>
      </w:r>
    </w:p>
    <w:p w14:paraId="7D0F5565" w14:textId="77777777" w:rsidR="00745581" w:rsidRPr="003C61FA" w:rsidRDefault="00745581" w:rsidP="00745581">
      <w:pPr>
        <w:rPr>
          <w:sz w:val="26"/>
          <w:szCs w:val="26"/>
        </w:rPr>
      </w:pPr>
    </w:p>
    <w:p w14:paraId="504C0D2F" w14:textId="3BF5CC3E" w:rsidR="004C3465" w:rsidRDefault="00745581" w:rsidP="004C3465">
      <w:pPr>
        <w:ind w:left="1080" w:hanging="720"/>
        <w:rPr>
          <w:sz w:val="26"/>
          <w:szCs w:val="26"/>
        </w:rPr>
      </w:pPr>
      <w:r w:rsidRPr="003C61FA">
        <w:rPr>
          <w:sz w:val="26"/>
          <w:szCs w:val="26"/>
        </w:rPr>
        <w:t>RE:</w:t>
      </w:r>
      <w:r w:rsidRPr="003C61FA">
        <w:rPr>
          <w:sz w:val="26"/>
          <w:szCs w:val="26"/>
        </w:rPr>
        <w:tab/>
      </w:r>
      <w:r w:rsidR="004C3465">
        <w:rPr>
          <w:sz w:val="26"/>
          <w:szCs w:val="26"/>
        </w:rPr>
        <w:t>Staff Review of CAP Final Billing Methods</w:t>
      </w:r>
      <w:r w:rsidR="004C3465" w:rsidRPr="003C61FA">
        <w:rPr>
          <w:sz w:val="26"/>
          <w:szCs w:val="26"/>
        </w:rPr>
        <w:t xml:space="preserve">, </w:t>
      </w:r>
    </w:p>
    <w:p w14:paraId="10A2A9E8" w14:textId="77777777" w:rsidR="00745581" w:rsidRDefault="004C3465" w:rsidP="004C3465">
      <w:pPr>
        <w:ind w:left="1080"/>
        <w:rPr>
          <w:sz w:val="26"/>
          <w:szCs w:val="26"/>
        </w:rPr>
      </w:pPr>
      <w:r w:rsidRPr="003C61FA">
        <w:rPr>
          <w:sz w:val="26"/>
          <w:szCs w:val="26"/>
        </w:rPr>
        <w:t>Docket</w:t>
      </w:r>
      <w:r>
        <w:rPr>
          <w:sz w:val="26"/>
          <w:szCs w:val="26"/>
        </w:rPr>
        <w:t> </w:t>
      </w:r>
      <w:r w:rsidRPr="003C61FA">
        <w:rPr>
          <w:sz w:val="26"/>
          <w:szCs w:val="26"/>
        </w:rPr>
        <w:t>No.</w:t>
      </w:r>
      <w:r>
        <w:rPr>
          <w:sz w:val="26"/>
          <w:szCs w:val="26"/>
        </w:rPr>
        <w:t> </w:t>
      </w:r>
      <w:r w:rsidRPr="003C61FA">
        <w:rPr>
          <w:sz w:val="26"/>
          <w:szCs w:val="26"/>
        </w:rPr>
        <w:t>M</w:t>
      </w:r>
      <w:r>
        <w:rPr>
          <w:sz w:val="26"/>
          <w:szCs w:val="26"/>
        </w:rPr>
        <w:noBreakHyphen/>
      </w:r>
      <w:r w:rsidRPr="003C61FA">
        <w:rPr>
          <w:sz w:val="26"/>
          <w:szCs w:val="26"/>
        </w:rPr>
        <w:t>2</w:t>
      </w:r>
      <w:r>
        <w:rPr>
          <w:sz w:val="26"/>
          <w:szCs w:val="26"/>
        </w:rPr>
        <w:t>019-3010190</w:t>
      </w:r>
    </w:p>
    <w:p w14:paraId="4B5CD6FD" w14:textId="77777777" w:rsidR="004C3465" w:rsidRPr="003C61FA" w:rsidRDefault="004C3465" w:rsidP="004C3465">
      <w:pPr>
        <w:ind w:left="1080"/>
        <w:rPr>
          <w:sz w:val="26"/>
          <w:szCs w:val="26"/>
        </w:rPr>
      </w:pPr>
    </w:p>
    <w:p w14:paraId="43B07A1B" w14:textId="77777777" w:rsidR="00745581" w:rsidRPr="003C61FA" w:rsidRDefault="00745581" w:rsidP="00745581">
      <w:pPr>
        <w:rPr>
          <w:sz w:val="26"/>
          <w:szCs w:val="26"/>
        </w:rPr>
      </w:pPr>
    </w:p>
    <w:p w14:paraId="6449419C" w14:textId="41AC4BA1" w:rsidR="00745581" w:rsidRPr="003C61FA" w:rsidRDefault="004C3465" w:rsidP="00F02BE9">
      <w:pPr>
        <w:textAlignment w:val="baseline"/>
        <w:rPr>
          <w:color w:val="000000"/>
          <w:spacing w:val="-1"/>
          <w:sz w:val="26"/>
          <w:szCs w:val="26"/>
        </w:rPr>
      </w:pPr>
      <w:r>
        <w:rPr>
          <w:color w:val="000000"/>
          <w:spacing w:val="-1"/>
          <w:sz w:val="26"/>
          <w:szCs w:val="26"/>
        </w:rPr>
        <w:t xml:space="preserve">By </w:t>
      </w:r>
      <w:r w:rsidR="00DE7B3F">
        <w:rPr>
          <w:color w:val="000000"/>
          <w:spacing w:val="-1"/>
          <w:sz w:val="26"/>
          <w:szCs w:val="26"/>
        </w:rPr>
        <w:t>O</w:t>
      </w:r>
      <w:r>
        <w:rPr>
          <w:color w:val="000000"/>
          <w:spacing w:val="-1"/>
          <w:sz w:val="26"/>
          <w:szCs w:val="26"/>
        </w:rPr>
        <w:t>rder entered May 23, 2019, at Docket No</w:t>
      </w:r>
      <w:r w:rsidR="002373AA">
        <w:rPr>
          <w:color w:val="000000"/>
          <w:spacing w:val="-1"/>
          <w:sz w:val="26"/>
          <w:szCs w:val="26"/>
        </w:rPr>
        <w:t>s</w:t>
      </w:r>
      <w:r>
        <w:rPr>
          <w:color w:val="000000"/>
          <w:spacing w:val="-1"/>
          <w:sz w:val="26"/>
          <w:szCs w:val="26"/>
        </w:rPr>
        <w:t xml:space="preserve">. </w:t>
      </w:r>
      <w:r w:rsidRPr="004C3465">
        <w:rPr>
          <w:color w:val="000000"/>
          <w:spacing w:val="-1"/>
          <w:sz w:val="26"/>
          <w:szCs w:val="26"/>
        </w:rPr>
        <w:t>M-2017-2636969</w:t>
      </w:r>
      <w:r w:rsidR="002373AA">
        <w:rPr>
          <w:color w:val="000000"/>
          <w:spacing w:val="-1"/>
          <w:sz w:val="26"/>
          <w:szCs w:val="26"/>
        </w:rPr>
        <w:t xml:space="preserve">, </w:t>
      </w:r>
      <w:r w:rsidR="002373AA" w:rsidRPr="00EE46FC">
        <w:rPr>
          <w:i/>
          <w:color w:val="000000"/>
          <w:spacing w:val="-1"/>
          <w:sz w:val="26"/>
          <w:szCs w:val="26"/>
        </w:rPr>
        <w:t>et al.</w:t>
      </w:r>
      <w:r>
        <w:rPr>
          <w:color w:val="000000"/>
          <w:spacing w:val="-1"/>
          <w:sz w:val="26"/>
          <w:szCs w:val="26"/>
        </w:rPr>
        <w:t xml:space="preserve">, </w:t>
      </w:r>
      <w:r w:rsidR="009C79CD">
        <w:rPr>
          <w:color w:val="000000"/>
          <w:spacing w:val="-1"/>
          <w:sz w:val="26"/>
          <w:szCs w:val="26"/>
        </w:rPr>
        <w:t xml:space="preserve">(FE Order) </w:t>
      </w:r>
      <w:r w:rsidR="009601B4">
        <w:rPr>
          <w:color w:val="000000"/>
          <w:spacing w:val="-1"/>
          <w:sz w:val="26"/>
          <w:szCs w:val="26"/>
        </w:rPr>
        <w:t xml:space="preserve">regarding </w:t>
      </w:r>
      <w:r w:rsidR="002F6B70">
        <w:rPr>
          <w:color w:val="000000"/>
          <w:spacing w:val="-1"/>
          <w:sz w:val="26"/>
          <w:szCs w:val="26"/>
        </w:rPr>
        <w:t>FirstEnergy’s</w:t>
      </w:r>
      <w:r w:rsidR="00736089">
        <w:rPr>
          <w:color w:val="000000"/>
          <w:spacing w:val="-1"/>
          <w:sz w:val="26"/>
          <w:szCs w:val="26"/>
        </w:rPr>
        <w:t xml:space="preserve"> 2019-2021 U</w:t>
      </w:r>
      <w:r w:rsidR="00BF218A">
        <w:rPr>
          <w:color w:val="000000"/>
          <w:spacing w:val="-1"/>
          <w:sz w:val="26"/>
          <w:szCs w:val="26"/>
        </w:rPr>
        <w:t>niversal Service and Energy Conservation Plan (USECP or Plan)</w:t>
      </w:r>
      <w:r w:rsidR="009601B4">
        <w:rPr>
          <w:color w:val="000000"/>
          <w:spacing w:val="-1"/>
          <w:sz w:val="26"/>
          <w:szCs w:val="26"/>
        </w:rPr>
        <w:t xml:space="preserve">, the Commission </w:t>
      </w:r>
      <w:r w:rsidR="005C65D0">
        <w:rPr>
          <w:color w:val="000000"/>
          <w:spacing w:val="-1"/>
          <w:sz w:val="26"/>
          <w:szCs w:val="26"/>
        </w:rPr>
        <w:t xml:space="preserve">directed the </w:t>
      </w:r>
      <w:r w:rsidR="009601B4">
        <w:rPr>
          <w:color w:val="000000"/>
          <w:spacing w:val="-1"/>
          <w:sz w:val="26"/>
          <w:szCs w:val="26"/>
        </w:rPr>
        <w:t>initiat</w:t>
      </w:r>
      <w:r w:rsidR="005C65D0">
        <w:rPr>
          <w:color w:val="000000"/>
          <w:spacing w:val="-1"/>
          <w:sz w:val="26"/>
          <w:szCs w:val="26"/>
        </w:rPr>
        <w:t>ion of</w:t>
      </w:r>
      <w:r w:rsidR="009601B4">
        <w:rPr>
          <w:color w:val="000000"/>
          <w:spacing w:val="-1"/>
          <w:sz w:val="26"/>
          <w:szCs w:val="26"/>
        </w:rPr>
        <w:t xml:space="preserve"> a review of utility </w:t>
      </w:r>
      <w:r w:rsidR="00D91BC4">
        <w:rPr>
          <w:color w:val="000000"/>
          <w:spacing w:val="-1"/>
          <w:sz w:val="26"/>
          <w:szCs w:val="26"/>
        </w:rPr>
        <w:t>customer assistance program (</w:t>
      </w:r>
      <w:r w:rsidR="009601B4">
        <w:rPr>
          <w:color w:val="000000"/>
          <w:spacing w:val="-1"/>
          <w:sz w:val="26"/>
          <w:szCs w:val="26"/>
        </w:rPr>
        <w:t>CAP</w:t>
      </w:r>
      <w:r w:rsidR="00D91BC4">
        <w:rPr>
          <w:color w:val="000000"/>
          <w:spacing w:val="-1"/>
          <w:sz w:val="26"/>
          <w:szCs w:val="26"/>
        </w:rPr>
        <w:t>)</w:t>
      </w:r>
      <w:r w:rsidR="00A44C17">
        <w:rPr>
          <w:rStyle w:val="FootnoteReference"/>
          <w:color w:val="000000"/>
          <w:spacing w:val="-1"/>
          <w:sz w:val="26"/>
          <w:szCs w:val="26"/>
        </w:rPr>
        <w:footnoteReference w:id="2"/>
      </w:r>
      <w:r w:rsidR="009601B4">
        <w:rPr>
          <w:color w:val="000000"/>
          <w:spacing w:val="-1"/>
          <w:sz w:val="26"/>
          <w:szCs w:val="26"/>
        </w:rPr>
        <w:t xml:space="preserve"> final billing practices</w:t>
      </w:r>
      <w:r w:rsidR="00D765F3">
        <w:rPr>
          <w:color w:val="000000"/>
          <w:spacing w:val="-1"/>
          <w:sz w:val="26"/>
          <w:szCs w:val="26"/>
        </w:rPr>
        <w:t xml:space="preserve">. </w:t>
      </w:r>
      <w:r w:rsidR="00AC3B01">
        <w:rPr>
          <w:color w:val="000000"/>
          <w:spacing w:val="-1"/>
          <w:sz w:val="26"/>
          <w:szCs w:val="26"/>
        </w:rPr>
        <w:t xml:space="preserve"> </w:t>
      </w:r>
      <w:r w:rsidR="009601B4">
        <w:rPr>
          <w:color w:val="000000"/>
          <w:spacing w:val="-1"/>
          <w:sz w:val="26"/>
          <w:szCs w:val="26"/>
        </w:rPr>
        <w:t xml:space="preserve">The </w:t>
      </w:r>
      <w:r w:rsidR="00586F56">
        <w:rPr>
          <w:color w:val="000000"/>
          <w:spacing w:val="-1"/>
          <w:sz w:val="26"/>
          <w:szCs w:val="26"/>
        </w:rPr>
        <w:t xml:space="preserve">Commission </w:t>
      </w:r>
      <w:r w:rsidR="003B0B29">
        <w:rPr>
          <w:color w:val="000000"/>
          <w:spacing w:val="-1"/>
          <w:sz w:val="26"/>
          <w:szCs w:val="26"/>
        </w:rPr>
        <w:t>summarized in the FE</w:t>
      </w:r>
      <w:r w:rsidR="00B70FDA">
        <w:rPr>
          <w:color w:val="000000"/>
          <w:spacing w:val="-1"/>
          <w:sz w:val="26"/>
          <w:szCs w:val="26"/>
        </w:rPr>
        <w:t> </w:t>
      </w:r>
      <w:r w:rsidR="003B0B29">
        <w:rPr>
          <w:color w:val="000000"/>
          <w:spacing w:val="-1"/>
          <w:sz w:val="26"/>
          <w:szCs w:val="26"/>
        </w:rPr>
        <w:t>Order that</w:t>
      </w:r>
      <w:r w:rsidR="007D20A3">
        <w:rPr>
          <w:color w:val="000000"/>
          <w:spacing w:val="-1"/>
          <w:sz w:val="26"/>
          <w:szCs w:val="26"/>
        </w:rPr>
        <w:t>, over time,</w:t>
      </w:r>
      <w:r w:rsidR="003B0B29">
        <w:rPr>
          <w:color w:val="000000"/>
          <w:spacing w:val="-1"/>
          <w:sz w:val="26"/>
          <w:szCs w:val="26"/>
        </w:rPr>
        <w:t xml:space="preserve"> it has </w:t>
      </w:r>
      <w:r w:rsidR="00D765F3">
        <w:rPr>
          <w:color w:val="000000"/>
          <w:spacing w:val="-1"/>
          <w:sz w:val="26"/>
          <w:szCs w:val="26"/>
        </w:rPr>
        <w:t xml:space="preserve">noted </w:t>
      </w:r>
      <w:r w:rsidR="009601B4">
        <w:rPr>
          <w:color w:val="000000"/>
          <w:spacing w:val="-1"/>
          <w:sz w:val="26"/>
          <w:szCs w:val="26"/>
        </w:rPr>
        <w:t xml:space="preserve">inconsistencies in how utilities </w:t>
      </w:r>
      <w:r w:rsidR="00FF5404">
        <w:rPr>
          <w:color w:val="000000"/>
          <w:spacing w:val="-1"/>
          <w:sz w:val="26"/>
          <w:szCs w:val="26"/>
        </w:rPr>
        <w:t xml:space="preserve">calculate </w:t>
      </w:r>
      <w:r w:rsidR="009601B4">
        <w:rPr>
          <w:color w:val="000000"/>
          <w:spacing w:val="-1"/>
          <w:sz w:val="26"/>
          <w:szCs w:val="26"/>
        </w:rPr>
        <w:t xml:space="preserve">final CAP </w:t>
      </w:r>
      <w:r w:rsidR="00FF5404">
        <w:rPr>
          <w:color w:val="000000"/>
          <w:spacing w:val="-1"/>
          <w:sz w:val="26"/>
          <w:szCs w:val="26"/>
        </w:rPr>
        <w:t xml:space="preserve">bills, </w:t>
      </w:r>
      <w:r w:rsidR="00D03C9C">
        <w:rPr>
          <w:color w:val="000000"/>
          <w:spacing w:val="-1"/>
          <w:sz w:val="26"/>
          <w:szCs w:val="26"/>
        </w:rPr>
        <w:t>with</w:t>
      </w:r>
      <w:r w:rsidR="007D20A3">
        <w:rPr>
          <w:color w:val="000000"/>
          <w:spacing w:val="-1"/>
          <w:sz w:val="26"/>
          <w:szCs w:val="26"/>
        </w:rPr>
        <w:t>, for example,</w:t>
      </w:r>
      <w:r w:rsidR="00D03C9C">
        <w:rPr>
          <w:color w:val="000000"/>
          <w:spacing w:val="-1"/>
          <w:sz w:val="26"/>
          <w:szCs w:val="26"/>
        </w:rPr>
        <w:t xml:space="preserve"> some companies charging full-tariff </w:t>
      </w:r>
      <w:r w:rsidR="00FF5404">
        <w:rPr>
          <w:color w:val="000000"/>
          <w:spacing w:val="-1"/>
          <w:sz w:val="26"/>
          <w:szCs w:val="26"/>
        </w:rPr>
        <w:t xml:space="preserve">rates rather than </w:t>
      </w:r>
      <w:r w:rsidR="00DE7B3F">
        <w:rPr>
          <w:color w:val="000000"/>
          <w:spacing w:val="-1"/>
          <w:sz w:val="26"/>
          <w:szCs w:val="26"/>
        </w:rPr>
        <w:t>prorating a CAP payment</w:t>
      </w:r>
      <w:r w:rsidR="00114A95">
        <w:rPr>
          <w:color w:val="000000"/>
          <w:spacing w:val="-1"/>
          <w:sz w:val="26"/>
          <w:szCs w:val="26"/>
        </w:rPr>
        <w:t xml:space="preserve"> for a partial month’s usage</w:t>
      </w:r>
      <w:r w:rsidR="00DE7B3F">
        <w:rPr>
          <w:color w:val="000000"/>
          <w:spacing w:val="-1"/>
          <w:sz w:val="26"/>
          <w:szCs w:val="26"/>
        </w:rPr>
        <w:t>.</w:t>
      </w:r>
      <w:r w:rsidR="00F84889">
        <w:rPr>
          <w:color w:val="000000"/>
          <w:spacing w:val="-1"/>
          <w:sz w:val="26"/>
          <w:szCs w:val="26"/>
        </w:rPr>
        <w:t xml:space="preserve">  </w:t>
      </w:r>
      <w:r w:rsidR="00114A95">
        <w:rPr>
          <w:color w:val="000000"/>
          <w:spacing w:val="-1"/>
          <w:sz w:val="26"/>
          <w:szCs w:val="26"/>
        </w:rPr>
        <w:t>F</w:t>
      </w:r>
      <w:r w:rsidR="002A241D">
        <w:rPr>
          <w:color w:val="000000"/>
          <w:spacing w:val="-1"/>
          <w:sz w:val="26"/>
          <w:szCs w:val="26"/>
        </w:rPr>
        <w:t xml:space="preserve">E </w:t>
      </w:r>
      <w:r w:rsidR="002F6B70">
        <w:rPr>
          <w:color w:val="000000"/>
          <w:spacing w:val="-1"/>
          <w:sz w:val="26"/>
          <w:szCs w:val="26"/>
        </w:rPr>
        <w:t>Order at 32-33</w:t>
      </w:r>
      <w:r w:rsidR="00FF5404">
        <w:rPr>
          <w:color w:val="000000"/>
          <w:spacing w:val="-1"/>
          <w:sz w:val="26"/>
          <w:szCs w:val="26"/>
        </w:rPr>
        <w:t>.</w:t>
      </w:r>
      <w:r w:rsidR="001D572B">
        <w:rPr>
          <w:color w:val="000000"/>
          <w:spacing w:val="-1"/>
          <w:sz w:val="26"/>
          <w:szCs w:val="26"/>
        </w:rPr>
        <w:t xml:space="preserve">  This Secretarial Letter </w:t>
      </w:r>
      <w:r w:rsidR="009D0152">
        <w:rPr>
          <w:color w:val="000000"/>
          <w:spacing w:val="-1"/>
          <w:sz w:val="26"/>
          <w:szCs w:val="26"/>
        </w:rPr>
        <w:t xml:space="preserve">initiates </w:t>
      </w:r>
      <w:r w:rsidR="001D572B">
        <w:rPr>
          <w:color w:val="000000"/>
          <w:spacing w:val="-1"/>
          <w:sz w:val="26"/>
          <w:szCs w:val="26"/>
        </w:rPr>
        <w:t xml:space="preserve">that </w:t>
      </w:r>
      <w:r w:rsidR="005A523C">
        <w:rPr>
          <w:color w:val="000000"/>
          <w:spacing w:val="-1"/>
          <w:sz w:val="26"/>
          <w:szCs w:val="26"/>
        </w:rPr>
        <w:t>review.</w:t>
      </w:r>
    </w:p>
    <w:p w14:paraId="6966FBC6" w14:textId="77777777" w:rsidR="00745581" w:rsidRPr="003C61FA" w:rsidRDefault="00745581" w:rsidP="00745581">
      <w:pPr>
        <w:ind w:firstLine="720"/>
        <w:textAlignment w:val="baseline"/>
        <w:rPr>
          <w:color w:val="000000"/>
          <w:spacing w:val="-1"/>
          <w:sz w:val="26"/>
          <w:szCs w:val="26"/>
        </w:rPr>
      </w:pPr>
    </w:p>
    <w:p w14:paraId="2ED5CFAB" w14:textId="01A1B3CC" w:rsidR="00745581" w:rsidRDefault="00DE7B3F" w:rsidP="00F02BE9">
      <w:pPr>
        <w:rPr>
          <w:sz w:val="26"/>
          <w:szCs w:val="26"/>
        </w:rPr>
      </w:pPr>
      <w:r>
        <w:rPr>
          <w:sz w:val="26"/>
          <w:szCs w:val="26"/>
        </w:rPr>
        <w:t xml:space="preserve">Through the </w:t>
      </w:r>
      <w:r w:rsidR="009D0152">
        <w:rPr>
          <w:sz w:val="26"/>
          <w:szCs w:val="26"/>
        </w:rPr>
        <w:t xml:space="preserve">FE </w:t>
      </w:r>
      <w:r>
        <w:rPr>
          <w:sz w:val="26"/>
          <w:szCs w:val="26"/>
        </w:rPr>
        <w:t>Order, the Commission directed BCS</w:t>
      </w:r>
      <w:r w:rsidR="007624BC" w:rsidRPr="007624BC">
        <w:rPr>
          <w:sz w:val="26"/>
          <w:szCs w:val="26"/>
        </w:rPr>
        <w:t xml:space="preserve">, with the assistance of the Commission’s Law Bureau, </w:t>
      </w:r>
      <w:r>
        <w:rPr>
          <w:sz w:val="26"/>
          <w:szCs w:val="26"/>
        </w:rPr>
        <w:t>to commence</w:t>
      </w:r>
      <w:r w:rsidR="002F6B70">
        <w:rPr>
          <w:sz w:val="26"/>
          <w:szCs w:val="26"/>
        </w:rPr>
        <w:t xml:space="preserve">, </w:t>
      </w:r>
      <w:r w:rsidR="006F3781">
        <w:rPr>
          <w:sz w:val="26"/>
          <w:szCs w:val="26"/>
        </w:rPr>
        <w:t>by July 22, 2019</w:t>
      </w:r>
      <w:r w:rsidR="002F6B70">
        <w:rPr>
          <w:sz w:val="26"/>
          <w:szCs w:val="26"/>
        </w:rPr>
        <w:t>,</w:t>
      </w:r>
      <w:r>
        <w:rPr>
          <w:sz w:val="26"/>
          <w:szCs w:val="26"/>
        </w:rPr>
        <w:t xml:space="preserve"> an inquiry into the final bill</w:t>
      </w:r>
      <w:r w:rsidR="002F6B70">
        <w:rPr>
          <w:sz w:val="26"/>
          <w:szCs w:val="26"/>
        </w:rPr>
        <w:t>ing method</w:t>
      </w:r>
      <w:r>
        <w:rPr>
          <w:sz w:val="26"/>
          <w:szCs w:val="26"/>
        </w:rPr>
        <w:t xml:space="preserve"> </w:t>
      </w:r>
      <w:r w:rsidR="002F6B70">
        <w:rPr>
          <w:sz w:val="26"/>
          <w:szCs w:val="26"/>
        </w:rPr>
        <w:t>for CAP customers</w:t>
      </w:r>
      <w:r w:rsidR="007624BC">
        <w:rPr>
          <w:sz w:val="26"/>
          <w:szCs w:val="26"/>
        </w:rPr>
        <w:t xml:space="preserve"> with the goal of </w:t>
      </w:r>
      <w:r w:rsidR="002F6B70">
        <w:rPr>
          <w:sz w:val="26"/>
          <w:szCs w:val="26"/>
        </w:rPr>
        <w:t>determin</w:t>
      </w:r>
      <w:r w:rsidR="00AE5D8E">
        <w:rPr>
          <w:sz w:val="26"/>
          <w:szCs w:val="26"/>
        </w:rPr>
        <w:t>ing</w:t>
      </w:r>
      <w:r w:rsidR="002F6B70">
        <w:rPr>
          <w:sz w:val="26"/>
          <w:szCs w:val="26"/>
        </w:rPr>
        <w:t xml:space="preserve"> whether the Commission should establish a standardized </w:t>
      </w:r>
      <w:r w:rsidR="007624BC">
        <w:rPr>
          <w:sz w:val="26"/>
          <w:szCs w:val="26"/>
        </w:rPr>
        <w:t xml:space="preserve">CAP final billing </w:t>
      </w:r>
      <w:r w:rsidR="002F6B70">
        <w:rPr>
          <w:sz w:val="26"/>
          <w:szCs w:val="26"/>
        </w:rPr>
        <w:t xml:space="preserve">policy for all jurisdictional energy utilities.  </w:t>
      </w:r>
      <w:r w:rsidR="00AE5D8E">
        <w:rPr>
          <w:sz w:val="26"/>
          <w:szCs w:val="26"/>
        </w:rPr>
        <w:t xml:space="preserve">FE </w:t>
      </w:r>
      <w:r w:rsidR="002F6B70">
        <w:rPr>
          <w:sz w:val="26"/>
          <w:szCs w:val="26"/>
        </w:rPr>
        <w:t>Order at 61-62</w:t>
      </w:r>
      <w:r w:rsidR="00FF5404">
        <w:rPr>
          <w:sz w:val="26"/>
          <w:szCs w:val="26"/>
        </w:rPr>
        <w:t>, OP #12</w:t>
      </w:r>
      <w:r w:rsidR="00FF5404" w:rsidDel="00AE5D8E">
        <w:rPr>
          <w:sz w:val="26"/>
          <w:szCs w:val="26"/>
        </w:rPr>
        <w:t>.</w:t>
      </w:r>
    </w:p>
    <w:p w14:paraId="465FECEC" w14:textId="6910FD16" w:rsidR="00FF5404" w:rsidRDefault="00FF5404" w:rsidP="00745581">
      <w:pPr>
        <w:rPr>
          <w:sz w:val="26"/>
          <w:szCs w:val="26"/>
        </w:rPr>
      </w:pPr>
    </w:p>
    <w:p w14:paraId="18F3CA5D" w14:textId="7356F027" w:rsidR="004F5FC6" w:rsidRDefault="00FF5404" w:rsidP="00F02BE9">
      <w:pPr>
        <w:rPr>
          <w:sz w:val="26"/>
          <w:szCs w:val="26"/>
        </w:rPr>
      </w:pPr>
      <w:r>
        <w:rPr>
          <w:sz w:val="26"/>
          <w:szCs w:val="26"/>
        </w:rPr>
        <w:t xml:space="preserve">The Commission </w:t>
      </w:r>
      <w:r w:rsidR="00A857AD">
        <w:rPr>
          <w:sz w:val="26"/>
          <w:szCs w:val="26"/>
        </w:rPr>
        <w:t xml:space="preserve">acknowledges there are </w:t>
      </w:r>
      <w:r w:rsidR="004E5712">
        <w:rPr>
          <w:sz w:val="26"/>
          <w:szCs w:val="26"/>
        </w:rPr>
        <w:t xml:space="preserve">circumstances where </w:t>
      </w:r>
      <w:r w:rsidR="00967991">
        <w:rPr>
          <w:sz w:val="26"/>
          <w:szCs w:val="26"/>
        </w:rPr>
        <w:t xml:space="preserve">calculating </w:t>
      </w:r>
      <w:r w:rsidR="004E5712">
        <w:rPr>
          <w:sz w:val="26"/>
          <w:szCs w:val="26"/>
        </w:rPr>
        <w:t xml:space="preserve">the final bill </w:t>
      </w:r>
      <w:r w:rsidR="00A90DD0">
        <w:rPr>
          <w:sz w:val="26"/>
          <w:szCs w:val="26"/>
        </w:rPr>
        <w:t xml:space="preserve">at </w:t>
      </w:r>
      <w:r w:rsidR="004E5712">
        <w:rPr>
          <w:sz w:val="26"/>
          <w:szCs w:val="26"/>
        </w:rPr>
        <w:t xml:space="preserve">the full tariff rate may be more beneficial for CAP customers.  </w:t>
      </w:r>
      <w:r w:rsidR="00B77701">
        <w:rPr>
          <w:sz w:val="26"/>
          <w:szCs w:val="26"/>
        </w:rPr>
        <w:t>T</w:t>
      </w:r>
      <w:r w:rsidR="004E5712">
        <w:rPr>
          <w:sz w:val="26"/>
          <w:szCs w:val="26"/>
        </w:rPr>
        <w:t xml:space="preserve">he full tariff rate </w:t>
      </w:r>
      <w:r w:rsidR="00171EEB">
        <w:rPr>
          <w:sz w:val="26"/>
          <w:szCs w:val="26"/>
        </w:rPr>
        <w:t xml:space="preserve">for a </w:t>
      </w:r>
      <w:r w:rsidR="00DF4BD3">
        <w:rPr>
          <w:sz w:val="26"/>
          <w:szCs w:val="26"/>
        </w:rPr>
        <w:t xml:space="preserve">partial </w:t>
      </w:r>
      <w:r w:rsidR="00171EEB">
        <w:rPr>
          <w:sz w:val="26"/>
          <w:szCs w:val="26"/>
        </w:rPr>
        <w:t xml:space="preserve">month </w:t>
      </w:r>
      <w:r w:rsidR="006519E7">
        <w:rPr>
          <w:sz w:val="26"/>
          <w:szCs w:val="26"/>
        </w:rPr>
        <w:t xml:space="preserve">as a CAP customer </w:t>
      </w:r>
      <w:r w:rsidR="004E5712">
        <w:rPr>
          <w:sz w:val="26"/>
          <w:szCs w:val="26"/>
        </w:rPr>
        <w:t>may be lower than the CAP bill (</w:t>
      </w:r>
      <w:r w:rsidR="004E5712" w:rsidRPr="00B669C4">
        <w:rPr>
          <w:i/>
          <w:iCs/>
          <w:sz w:val="26"/>
          <w:szCs w:val="26"/>
        </w:rPr>
        <w:t>e.g.</w:t>
      </w:r>
      <w:r w:rsidR="004E5712">
        <w:rPr>
          <w:sz w:val="26"/>
          <w:szCs w:val="26"/>
        </w:rPr>
        <w:t xml:space="preserve">, </w:t>
      </w:r>
      <w:r w:rsidR="00393009">
        <w:rPr>
          <w:sz w:val="26"/>
          <w:szCs w:val="26"/>
        </w:rPr>
        <w:t>s</w:t>
      </w:r>
      <w:r w:rsidR="004E5712">
        <w:rPr>
          <w:sz w:val="26"/>
          <w:szCs w:val="26"/>
        </w:rPr>
        <w:t>ummer</w:t>
      </w:r>
      <w:r w:rsidR="00393009">
        <w:rPr>
          <w:sz w:val="26"/>
          <w:szCs w:val="26"/>
        </w:rPr>
        <w:t xml:space="preserve"> usage </w:t>
      </w:r>
      <w:r w:rsidR="004F5FC6">
        <w:rPr>
          <w:sz w:val="26"/>
          <w:szCs w:val="26"/>
        </w:rPr>
        <w:t xml:space="preserve">for a natural gas customer </w:t>
      </w:r>
      <w:r w:rsidR="00393009">
        <w:rPr>
          <w:sz w:val="26"/>
          <w:szCs w:val="26"/>
        </w:rPr>
        <w:t xml:space="preserve">or </w:t>
      </w:r>
      <w:r w:rsidR="000B01FA">
        <w:rPr>
          <w:sz w:val="26"/>
          <w:szCs w:val="26"/>
        </w:rPr>
        <w:t xml:space="preserve">short </w:t>
      </w:r>
      <w:r w:rsidR="00393009">
        <w:rPr>
          <w:sz w:val="26"/>
          <w:szCs w:val="26"/>
        </w:rPr>
        <w:t>partial month usage</w:t>
      </w:r>
      <w:r w:rsidR="004F5FC6">
        <w:rPr>
          <w:sz w:val="26"/>
          <w:szCs w:val="26"/>
        </w:rPr>
        <w:t xml:space="preserve"> for e</w:t>
      </w:r>
      <w:r w:rsidR="005F3ABC">
        <w:rPr>
          <w:sz w:val="26"/>
          <w:szCs w:val="26"/>
        </w:rPr>
        <w:t>i</w:t>
      </w:r>
      <w:r w:rsidR="004F5FC6">
        <w:rPr>
          <w:sz w:val="26"/>
          <w:szCs w:val="26"/>
        </w:rPr>
        <w:t xml:space="preserve">ther </w:t>
      </w:r>
      <w:r w:rsidR="00B77701">
        <w:rPr>
          <w:sz w:val="26"/>
          <w:szCs w:val="26"/>
        </w:rPr>
        <w:t>energy source</w:t>
      </w:r>
      <w:r w:rsidR="004E5712">
        <w:rPr>
          <w:sz w:val="26"/>
          <w:szCs w:val="26"/>
        </w:rPr>
        <w:t xml:space="preserve">).  </w:t>
      </w:r>
      <w:r w:rsidR="00E97659">
        <w:rPr>
          <w:sz w:val="26"/>
          <w:szCs w:val="26"/>
        </w:rPr>
        <w:t xml:space="preserve">At other times, the full tariff rate for a </w:t>
      </w:r>
      <w:r w:rsidR="00505B03">
        <w:rPr>
          <w:sz w:val="26"/>
          <w:szCs w:val="26"/>
        </w:rPr>
        <w:t xml:space="preserve">partial </w:t>
      </w:r>
      <w:r w:rsidR="00E97659">
        <w:rPr>
          <w:sz w:val="26"/>
          <w:szCs w:val="26"/>
        </w:rPr>
        <w:t xml:space="preserve">month </w:t>
      </w:r>
      <w:r w:rsidR="00C30494">
        <w:rPr>
          <w:sz w:val="26"/>
          <w:szCs w:val="26"/>
        </w:rPr>
        <w:t xml:space="preserve">as a CAP customer </w:t>
      </w:r>
      <w:r w:rsidR="00E97659">
        <w:rPr>
          <w:sz w:val="26"/>
          <w:szCs w:val="26"/>
        </w:rPr>
        <w:t xml:space="preserve">may </w:t>
      </w:r>
      <w:r w:rsidR="004F5FC6">
        <w:rPr>
          <w:sz w:val="26"/>
          <w:szCs w:val="26"/>
        </w:rPr>
        <w:t>exceed the normal CAP bill (</w:t>
      </w:r>
      <w:r w:rsidR="004F5FC6" w:rsidRPr="00B669C4">
        <w:rPr>
          <w:i/>
          <w:iCs/>
          <w:sz w:val="26"/>
          <w:szCs w:val="26"/>
        </w:rPr>
        <w:t>e.g.</w:t>
      </w:r>
      <w:r w:rsidR="004F5FC6">
        <w:rPr>
          <w:sz w:val="26"/>
          <w:szCs w:val="26"/>
        </w:rPr>
        <w:t xml:space="preserve">, </w:t>
      </w:r>
      <w:r w:rsidR="000A4DE9">
        <w:rPr>
          <w:sz w:val="26"/>
          <w:szCs w:val="26"/>
        </w:rPr>
        <w:t xml:space="preserve">long </w:t>
      </w:r>
      <w:r w:rsidR="000B01FA">
        <w:rPr>
          <w:sz w:val="26"/>
          <w:szCs w:val="26"/>
        </w:rPr>
        <w:t>partial month usage for either energy source</w:t>
      </w:r>
      <w:r w:rsidR="004F5FC6">
        <w:rPr>
          <w:sz w:val="26"/>
          <w:szCs w:val="26"/>
        </w:rPr>
        <w:t xml:space="preserve">).  </w:t>
      </w:r>
      <w:r w:rsidR="00AC0915">
        <w:rPr>
          <w:sz w:val="26"/>
          <w:szCs w:val="26"/>
        </w:rPr>
        <w:t>Some utilities forgo billing a CAP customer for the final partial month of CAP usage.</w:t>
      </w:r>
    </w:p>
    <w:p w14:paraId="34E5C5F5" w14:textId="77777777" w:rsidR="004F5FC6" w:rsidRDefault="004F5FC6" w:rsidP="00F02BE9">
      <w:pPr>
        <w:rPr>
          <w:sz w:val="26"/>
          <w:szCs w:val="26"/>
        </w:rPr>
      </w:pPr>
    </w:p>
    <w:p w14:paraId="4D6AAB98" w14:textId="5ADA4462" w:rsidR="0004379D" w:rsidRDefault="004C44A9" w:rsidP="00F02BE9">
      <w:pPr>
        <w:rPr>
          <w:sz w:val="26"/>
          <w:szCs w:val="26"/>
        </w:rPr>
      </w:pPr>
      <w:r>
        <w:rPr>
          <w:sz w:val="26"/>
          <w:szCs w:val="26"/>
        </w:rPr>
        <w:t xml:space="preserve">But it appears there is a lack of consistency </w:t>
      </w:r>
      <w:r w:rsidR="000131EE">
        <w:rPr>
          <w:sz w:val="26"/>
          <w:szCs w:val="26"/>
        </w:rPr>
        <w:t xml:space="preserve">in the way the NGDCs and EDCs are billing CAP customers for their final CAP usage.  </w:t>
      </w:r>
      <w:r w:rsidR="00B25527">
        <w:rPr>
          <w:sz w:val="26"/>
          <w:szCs w:val="26"/>
        </w:rPr>
        <w:t xml:space="preserve">The Commission </w:t>
      </w:r>
      <w:r w:rsidR="0D5FBBFE">
        <w:rPr>
          <w:sz w:val="26"/>
          <w:szCs w:val="26"/>
        </w:rPr>
        <w:t>is reviewing h</w:t>
      </w:r>
      <w:r w:rsidR="69F535D4">
        <w:rPr>
          <w:sz w:val="26"/>
          <w:szCs w:val="26"/>
        </w:rPr>
        <w:t xml:space="preserve">ow </w:t>
      </w:r>
      <w:r w:rsidR="0D5FBBFE">
        <w:rPr>
          <w:sz w:val="26"/>
          <w:szCs w:val="26"/>
        </w:rPr>
        <w:t>f</w:t>
      </w:r>
      <w:r w:rsidR="00DC5D2A">
        <w:rPr>
          <w:sz w:val="26"/>
          <w:szCs w:val="26"/>
        </w:rPr>
        <w:t xml:space="preserve">inal CAP bill </w:t>
      </w:r>
      <w:r w:rsidR="004E5712">
        <w:rPr>
          <w:sz w:val="26"/>
          <w:szCs w:val="26"/>
        </w:rPr>
        <w:t>practice</w:t>
      </w:r>
      <w:r w:rsidR="00DC5D2A">
        <w:rPr>
          <w:sz w:val="26"/>
          <w:szCs w:val="26"/>
        </w:rPr>
        <w:t>s</w:t>
      </w:r>
      <w:r w:rsidR="004E5712" w:rsidDel="00DC5D2A">
        <w:rPr>
          <w:sz w:val="26"/>
          <w:szCs w:val="26"/>
        </w:rPr>
        <w:t xml:space="preserve"> </w:t>
      </w:r>
      <w:r w:rsidR="00DC5D2A">
        <w:rPr>
          <w:sz w:val="26"/>
          <w:szCs w:val="26"/>
        </w:rPr>
        <w:t xml:space="preserve">are justified and </w:t>
      </w:r>
      <w:r w:rsidR="005A2AB2">
        <w:rPr>
          <w:sz w:val="26"/>
          <w:szCs w:val="26"/>
        </w:rPr>
        <w:t>documented</w:t>
      </w:r>
      <w:r w:rsidR="00D50358">
        <w:rPr>
          <w:sz w:val="26"/>
          <w:szCs w:val="26"/>
        </w:rPr>
        <w:t xml:space="preserve">. </w:t>
      </w:r>
      <w:r w:rsidR="004E5712">
        <w:rPr>
          <w:sz w:val="26"/>
          <w:szCs w:val="26"/>
        </w:rPr>
        <w:t xml:space="preserve"> CAP</w:t>
      </w:r>
      <w:r w:rsidR="0067471B">
        <w:rPr>
          <w:sz w:val="26"/>
          <w:szCs w:val="26"/>
        </w:rPr>
        <w:t>s are designed to provide</w:t>
      </w:r>
      <w:r w:rsidR="004E5712">
        <w:rPr>
          <w:sz w:val="26"/>
          <w:szCs w:val="26"/>
        </w:rPr>
        <w:t xml:space="preserve"> participants with </w:t>
      </w:r>
      <w:r w:rsidR="00AC0915">
        <w:rPr>
          <w:sz w:val="26"/>
          <w:szCs w:val="26"/>
        </w:rPr>
        <w:t xml:space="preserve">more </w:t>
      </w:r>
      <w:r w:rsidR="004E5712">
        <w:rPr>
          <w:sz w:val="26"/>
          <w:szCs w:val="26"/>
        </w:rPr>
        <w:t>affordable payment</w:t>
      </w:r>
      <w:r w:rsidR="0067471B">
        <w:rPr>
          <w:sz w:val="26"/>
          <w:szCs w:val="26"/>
        </w:rPr>
        <w:t xml:space="preserve"> </w:t>
      </w:r>
      <w:r w:rsidR="00AC0915">
        <w:rPr>
          <w:sz w:val="26"/>
          <w:szCs w:val="26"/>
        </w:rPr>
        <w:t xml:space="preserve">options </w:t>
      </w:r>
      <w:r w:rsidR="00D50358">
        <w:rPr>
          <w:sz w:val="26"/>
          <w:szCs w:val="26"/>
        </w:rPr>
        <w:t>while th</w:t>
      </w:r>
      <w:r w:rsidR="00CC7CE2">
        <w:rPr>
          <w:sz w:val="26"/>
          <w:szCs w:val="26"/>
        </w:rPr>
        <w:t>ey</w:t>
      </w:r>
      <w:r w:rsidR="00D50358">
        <w:rPr>
          <w:sz w:val="26"/>
          <w:szCs w:val="26"/>
        </w:rPr>
        <w:t xml:space="preserve"> are CAP customers</w:t>
      </w:r>
      <w:r w:rsidR="0067471B">
        <w:rPr>
          <w:sz w:val="26"/>
          <w:szCs w:val="26"/>
        </w:rPr>
        <w:t xml:space="preserve">.  </w:t>
      </w:r>
      <w:r w:rsidR="003F6389">
        <w:rPr>
          <w:sz w:val="26"/>
          <w:szCs w:val="26"/>
        </w:rPr>
        <w:t xml:space="preserve">The </w:t>
      </w:r>
      <w:r w:rsidR="00B26BB2">
        <w:rPr>
          <w:sz w:val="26"/>
          <w:szCs w:val="26"/>
        </w:rPr>
        <w:t xml:space="preserve">costs of the </w:t>
      </w:r>
      <w:r w:rsidR="00AD06B3">
        <w:rPr>
          <w:sz w:val="26"/>
          <w:szCs w:val="26"/>
        </w:rPr>
        <w:lastRenderedPageBreak/>
        <w:t xml:space="preserve">USECPs </w:t>
      </w:r>
      <w:r w:rsidR="00B26BB2">
        <w:rPr>
          <w:sz w:val="26"/>
          <w:szCs w:val="26"/>
        </w:rPr>
        <w:t>are recovered from the non-CAP residential customers.</w:t>
      </w:r>
      <w:r w:rsidR="00AD06B3">
        <w:rPr>
          <w:rStyle w:val="FootnoteReference"/>
          <w:sz w:val="26"/>
          <w:szCs w:val="26"/>
        </w:rPr>
        <w:footnoteReference w:id="3"/>
      </w:r>
      <w:r w:rsidR="00B26BB2">
        <w:rPr>
          <w:sz w:val="26"/>
          <w:szCs w:val="26"/>
        </w:rPr>
        <w:t xml:space="preserve">  </w:t>
      </w:r>
      <w:r w:rsidR="00AD06B3">
        <w:rPr>
          <w:sz w:val="26"/>
          <w:szCs w:val="26"/>
        </w:rPr>
        <w:t xml:space="preserve">The </w:t>
      </w:r>
      <w:r w:rsidR="00BC7585">
        <w:rPr>
          <w:sz w:val="26"/>
          <w:szCs w:val="26"/>
        </w:rPr>
        <w:t xml:space="preserve">process must be reasonable and justifiable </w:t>
      </w:r>
      <w:r w:rsidR="0004379D">
        <w:rPr>
          <w:sz w:val="26"/>
          <w:szCs w:val="26"/>
        </w:rPr>
        <w:t>from the perspective of both CAP and non-CAP customers.</w:t>
      </w:r>
    </w:p>
    <w:p w14:paraId="2C24FA14" w14:textId="40843774" w:rsidR="00194501" w:rsidRDefault="00194501" w:rsidP="00745581">
      <w:pPr>
        <w:rPr>
          <w:sz w:val="26"/>
          <w:szCs w:val="26"/>
        </w:rPr>
      </w:pPr>
    </w:p>
    <w:p w14:paraId="5B8CACCF" w14:textId="7F618E79" w:rsidR="00745581" w:rsidRDefault="00194501" w:rsidP="00F02BE9">
      <w:pPr>
        <w:rPr>
          <w:sz w:val="26"/>
          <w:szCs w:val="26"/>
        </w:rPr>
      </w:pPr>
      <w:r>
        <w:rPr>
          <w:sz w:val="26"/>
          <w:szCs w:val="26"/>
        </w:rPr>
        <w:t>Through this proceeding</w:t>
      </w:r>
      <w:r w:rsidR="00452464">
        <w:rPr>
          <w:sz w:val="26"/>
          <w:szCs w:val="26"/>
        </w:rPr>
        <w:t xml:space="preserve"> at Docket No. M-</w:t>
      </w:r>
      <w:r w:rsidR="00DB2BA3">
        <w:rPr>
          <w:sz w:val="26"/>
          <w:szCs w:val="26"/>
        </w:rPr>
        <w:t>2019-</w:t>
      </w:r>
      <w:r w:rsidR="00452464">
        <w:rPr>
          <w:sz w:val="26"/>
          <w:szCs w:val="26"/>
        </w:rPr>
        <w:t>301</w:t>
      </w:r>
      <w:r w:rsidR="00C04020">
        <w:rPr>
          <w:sz w:val="26"/>
          <w:szCs w:val="26"/>
        </w:rPr>
        <w:t>0190</w:t>
      </w:r>
      <w:r>
        <w:rPr>
          <w:sz w:val="26"/>
          <w:szCs w:val="26"/>
        </w:rPr>
        <w:t xml:space="preserve">, the Commission </w:t>
      </w:r>
      <w:r w:rsidR="003D2586">
        <w:rPr>
          <w:sz w:val="26"/>
          <w:szCs w:val="26"/>
        </w:rPr>
        <w:t xml:space="preserve">is </w:t>
      </w:r>
      <w:r>
        <w:rPr>
          <w:sz w:val="26"/>
          <w:szCs w:val="26"/>
        </w:rPr>
        <w:t>seek</w:t>
      </w:r>
      <w:r w:rsidR="003D2586">
        <w:rPr>
          <w:sz w:val="26"/>
          <w:szCs w:val="26"/>
        </w:rPr>
        <w:t>ing</w:t>
      </w:r>
      <w:r>
        <w:rPr>
          <w:sz w:val="26"/>
          <w:szCs w:val="26"/>
        </w:rPr>
        <w:t xml:space="preserve"> input from utilities and stakeholders on whether a standard policy </w:t>
      </w:r>
      <w:r w:rsidR="003D2586">
        <w:rPr>
          <w:sz w:val="26"/>
          <w:szCs w:val="26"/>
        </w:rPr>
        <w:t xml:space="preserve">or regulation </w:t>
      </w:r>
      <w:r w:rsidR="0004379D">
        <w:rPr>
          <w:sz w:val="26"/>
          <w:szCs w:val="26"/>
        </w:rPr>
        <w:t xml:space="preserve">should </w:t>
      </w:r>
      <w:r>
        <w:rPr>
          <w:sz w:val="26"/>
          <w:szCs w:val="26"/>
        </w:rPr>
        <w:t xml:space="preserve">be established for the final billing of CAP customers.  </w:t>
      </w:r>
      <w:r w:rsidR="00FD1A92">
        <w:rPr>
          <w:sz w:val="26"/>
          <w:szCs w:val="26"/>
        </w:rPr>
        <w:t>S</w:t>
      </w:r>
      <w:r w:rsidR="008670C4">
        <w:rPr>
          <w:sz w:val="26"/>
          <w:szCs w:val="26"/>
        </w:rPr>
        <w:t>ome</w:t>
      </w:r>
      <w:r w:rsidDel="00FD1A92">
        <w:rPr>
          <w:sz w:val="26"/>
          <w:szCs w:val="26"/>
        </w:rPr>
        <w:t xml:space="preserve"> </w:t>
      </w:r>
      <w:r>
        <w:rPr>
          <w:sz w:val="26"/>
          <w:szCs w:val="26"/>
        </w:rPr>
        <w:t xml:space="preserve">options </w:t>
      </w:r>
      <w:r w:rsidR="00FD1A92">
        <w:rPr>
          <w:sz w:val="26"/>
          <w:szCs w:val="26"/>
        </w:rPr>
        <w:t>to be considered include</w:t>
      </w:r>
      <w:r w:rsidR="00BD52E7">
        <w:rPr>
          <w:sz w:val="26"/>
          <w:szCs w:val="26"/>
        </w:rPr>
        <w:t xml:space="preserve"> </w:t>
      </w:r>
      <w:r>
        <w:rPr>
          <w:sz w:val="26"/>
          <w:szCs w:val="26"/>
        </w:rPr>
        <w:t xml:space="preserve">(1) the CAP bill, prorated; (2) the full-tariff </w:t>
      </w:r>
      <w:r w:rsidR="00A327CF">
        <w:rPr>
          <w:sz w:val="26"/>
          <w:szCs w:val="26"/>
        </w:rPr>
        <w:t>rate, prorated; or (3) the lessor of the CAP bill or full-tariff rate, prorated.</w:t>
      </w:r>
      <w:r w:rsidR="00F0079E">
        <w:rPr>
          <w:sz w:val="26"/>
          <w:szCs w:val="26"/>
        </w:rPr>
        <w:t xml:space="preserve">  This list is illustrative and not exclusionary.</w:t>
      </w:r>
    </w:p>
    <w:p w14:paraId="3B52CBC8" w14:textId="77777777" w:rsidR="00194501" w:rsidRPr="003C61FA" w:rsidRDefault="00194501" w:rsidP="00745581">
      <w:pPr>
        <w:rPr>
          <w:sz w:val="26"/>
          <w:szCs w:val="26"/>
        </w:rPr>
      </w:pPr>
    </w:p>
    <w:p w14:paraId="1E49C951" w14:textId="502B71F4" w:rsidR="00D7197C" w:rsidRDefault="00B669C4" w:rsidP="00D7197C">
      <w:pPr>
        <w:rPr>
          <w:sz w:val="26"/>
          <w:szCs w:val="26"/>
        </w:rPr>
      </w:pPr>
      <w:r>
        <w:rPr>
          <w:sz w:val="26"/>
          <w:szCs w:val="26"/>
        </w:rPr>
        <w:t xml:space="preserve">Accordingly, </w:t>
      </w:r>
      <w:r w:rsidR="002F6B70">
        <w:rPr>
          <w:sz w:val="26"/>
          <w:szCs w:val="26"/>
        </w:rPr>
        <w:t xml:space="preserve">each jurisdictional energy utility </w:t>
      </w:r>
      <w:r w:rsidR="007624BC">
        <w:rPr>
          <w:sz w:val="26"/>
          <w:szCs w:val="26"/>
        </w:rPr>
        <w:t xml:space="preserve">shall </w:t>
      </w:r>
      <w:r w:rsidR="00736089">
        <w:rPr>
          <w:sz w:val="26"/>
          <w:szCs w:val="26"/>
        </w:rPr>
        <w:t>file</w:t>
      </w:r>
      <w:r w:rsidR="002F6B70">
        <w:rPr>
          <w:sz w:val="26"/>
          <w:szCs w:val="26"/>
        </w:rPr>
        <w:t xml:space="preserve"> </w:t>
      </w:r>
      <w:r w:rsidR="00736089">
        <w:rPr>
          <w:sz w:val="26"/>
          <w:szCs w:val="26"/>
        </w:rPr>
        <w:t xml:space="preserve">information at this docket clarifying its CAP final billing </w:t>
      </w:r>
      <w:r w:rsidR="009E7997">
        <w:rPr>
          <w:sz w:val="26"/>
          <w:szCs w:val="26"/>
        </w:rPr>
        <w:t>practices</w:t>
      </w:r>
      <w:r w:rsidR="00736089">
        <w:rPr>
          <w:sz w:val="26"/>
          <w:szCs w:val="26"/>
        </w:rPr>
        <w:t>.</w:t>
      </w:r>
      <w:r w:rsidR="00E27FCB">
        <w:rPr>
          <w:sz w:val="26"/>
          <w:szCs w:val="26"/>
        </w:rPr>
        <w:t xml:space="preserve">  Each utility shall include</w:t>
      </w:r>
      <w:r w:rsidR="00F84889">
        <w:rPr>
          <w:sz w:val="26"/>
          <w:szCs w:val="26"/>
        </w:rPr>
        <w:t xml:space="preserve"> </w:t>
      </w:r>
      <w:r w:rsidR="007624BC">
        <w:rPr>
          <w:sz w:val="26"/>
          <w:szCs w:val="26"/>
        </w:rPr>
        <w:t xml:space="preserve">the following information </w:t>
      </w:r>
      <w:r w:rsidR="00F84889">
        <w:rPr>
          <w:sz w:val="26"/>
          <w:szCs w:val="26"/>
        </w:rPr>
        <w:t>in its submission</w:t>
      </w:r>
      <w:r w:rsidR="007624BC">
        <w:rPr>
          <w:sz w:val="26"/>
          <w:szCs w:val="26"/>
        </w:rPr>
        <w:t>:</w:t>
      </w:r>
      <w:r w:rsidR="00E27FCB">
        <w:rPr>
          <w:sz w:val="26"/>
          <w:szCs w:val="26"/>
        </w:rPr>
        <w:t xml:space="preserve"> </w:t>
      </w:r>
    </w:p>
    <w:p w14:paraId="2DBF8B43" w14:textId="77777777" w:rsidR="00CA25CE" w:rsidRPr="00D7197C" w:rsidRDefault="00CA25CE" w:rsidP="00D7197C">
      <w:pPr>
        <w:rPr>
          <w:sz w:val="26"/>
          <w:szCs w:val="26"/>
        </w:rPr>
      </w:pPr>
    </w:p>
    <w:p w14:paraId="5BB59C3E" w14:textId="14BD5409" w:rsidR="00D20B05" w:rsidRDefault="007624BC" w:rsidP="00D4012B">
      <w:pPr>
        <w:ind w:left="720"/>
        <w:rPr>
          <w:sz w:val="26"/>
          <w:szCs w:val="26"/>
        </w:rPr>
      </w:pPr>
      <w:r>
        <w:rPr>
          <w:sz w:val="26"/>
          <w:szCs w:val="26"/>
        </w:rPr>
        <w:t xml:space="preserve">1) </w:t>
      </w:r>
      <w:r w:rsidR="000103A0">
        <w:rPr>
          <w:sz w:val="26"/>
          <w:szCs w:val="26"/>
        </w:rPr>
        <w:t>I</w:t>
      </w:r>
      <w:r w:rsidR="00BE4DB9">
        <w:rPr>
          <w:sz w:val="26"/>
          <w:szCs w:val="26"/>
        </w:rPr>
        <w:t>ts billing calculation process</w:t>
      </w:r>
      <w:r w:rsidDel="00BE4DB9">
        <w:rPr>
          <w:sz w:val="26"/>
          <w:szCs w:val="26"/>
        </w:rPr>
        <w:t xml:space="preserve"> </w:t>
      </w:r>
      <w:r w:rsidR="00BE4DB9">
        <w:rPr>
          <w:sz w:val="26"/>
          <w:szCs w:val="26"/>
        </w:rPr>
        <w:t xml:space="preserve">by </w:t>
      </w:r>
      <w:r>
        <w:rPr>
          <w:sz w:val="26"/>
          <w:szCs w:val="26"/>
        </w:rPr>
        <w:t>which</w:t>
      </w:r>
      <w:r w:rsidR="00E27FCB">
        <w:rPr>
          <w:sz w:val="26"/>
          <w:szCs w:val="26"/>
        </w:rPr>
        <w:t xml:space="preserve"> a CAP customer</w:t>
      </w:r>
      <w:r>
        <w:rPr>
          <w:sz w:val="26"/>
          <w:szCs w:val="26"/>
        </w:rPr>
        <w:t xml:space="preserve"> i</w:t>
      </w:r>
      <w:r w:rsidR="00E27FCB">
        <w:rPr>
          <w:sz w:val="26"/>
          <w:szCs w:val="26"/>
        </w:rPr>
        <w:t>s final bill</w:t>
      </w:r>
      <w:r>
        <w:rPr>
          <w:sz w:val="26"/>
          <w:szCs w:val="26"/>
        </w:rPr>
        <w:t>ed</w:t>
      </w:r>
      <w:r w:rsidR="002373AA">
        <w:rPr>
          <w:sz w:val="26"/>
          <w:szCs w:val="26"/>
        </w:rPr>
        <w:t>;</w:t>
      </w:r>
      <w:r w:rsidR="00E27FCB">
        <w:rPr>
          <w:sz w:val="26"/>
          <w:szCs w:val="26"/>
        </w:rPr>
        <w:t xml:space="preserve"> </w:t>
      </w:r>
    </w:p>
    <w:p w14:paraId="377BE7C0" w14:textId="3E4DA760" w:rsidR="00D20B05" w:rsidRDefault="007624BC" w:rsidP="00D4012B">
      <w:pPr>
        <w:ind w:left="720"/>
        <w:rPr>
          <w:sz w:val="26"/>
          <w:szCs w:val="26"/>
        </w:rPr>
      </w:pPr>
      <w:r>
        <w:rPr>
          <w:sz w:val="26"/>
          <w:szCs w:val="26"/>
        </w:rPr>
        <w:t xml:space="preserve">2) </w:t>
      </w:r>
      <w:r w:rsidR="000103A0">
        <w:rPr>
          <w:sz w:val="26"/>
          <w:szCs w:val="26"/>
        </w:rPr>
        <w:t>H</w:t>
      </w:r>
      <w:r w:rsidR="00E27FCB">
        <w:rPr>
          <w:sz w:val="26"/>
          <w:szCs w:val="26"/>
        </w:rPr>
        <w:t xml:space="preserve">ow </w:t>
      </w:r>
      <w:r w:rsidR="00F84889">
        <w:rPr>
          <w:sz w:val="26"/>
          <w:szCs w:val="26"/>
        </w:rPr>
        <w:t>it bills any remaining pre</w:t>
      </w:r>
      <w:r w:rsidR="002373AA">
        <w:rPr>
          <w:sz w:val="26"/>
          <w:szCs w:val="26"/>
        </w:rPr>
        <w:t>-</w:t>
      </w:r>
      <w:r w:rsidR="00F84889">
        <w:rPr>
          <w:sz w:val="26"/>
          <w:szCs w:val="26"/>
        </w:rPr>
        <w:t>program arrears</w:t>
      </w:r>
      <w:r w:rsidR="002373AA">
        <w:rPr>
          <w:sz w:val="26"/>
          <w:szCs w:val="26"/>
        </w:rPr>
        <w:t xml:space="preserve"> (PPAs);</w:t>
      </w:r>
      <w:r w:rsidR="00F84889">
        <w:rPr>
          <w:sz w:val="26"/>
          <w:szCs w:val="26"/>
        </w:rPr>
        <w:t xml:space="preserve"> </w:t>
      </w:r>
    </w:p>
    <w:p w14:paraId="073CF0B9" w14:textId="441ADA01" w:rsidR="00D20B05" w:rsidRDefault="007624BC" w:rsidP="00D4012B">
      <w:pPr>
        <w:ind w:left="720"/>
        <w:rPr>
          <w:sz w:val="26"/>
          <w:szCs w:val="26"/>
        </w:rPr>
      </w:pPr>
      <w:r>
        <w:rPr>
          <w:sz w:val="26"/>
          <w:szCs w:val="26"/>
        </w:rPr>
        <w:t xml:space="preserve">3) </w:t>
      </w:r>
      <w:r w:rsidR="000103A0">
        <w:rPr>
          <w:sz w:val="26"/>
          <w:szCs w:val="26"/>
        </w:rPr>
        <w:t>H</w:t>
      </w:r>
      <w:r>
        <w:rPr>
          <w:sz w:val="26"/>
          <w:szCs w:val="26"/>
        </w:rPr>
        <w:t>ow it applies any budget true-up</w:t>
      </w:r>
      <w:r w:rsidR="002373AA">
        <w:rPr>
          <w:sz w:val="26"/>
          <w:szCs w:val="26"/>
        </w:rPr>
        <w:t xml:space="preserve">, PPA forgiveness, </w:t>
      </w:r>
      <w:r>
        <w:rPr>
          <w:sz w:val="26"/>
          <w:szCs w:val="26"/>
        </w:rPr>
        <w:t>or credit amounts to a final bill</w:t>
      </w:r>
      <w:r w:rsidR="002373AA">
        <w:rPr>
          <w:sz w:val="26"/>
          <w:szCs w:val="26"/>
        </w:rPr>
        <w:t xml:space="preserve">; </w:t>
      </w:r>
    </w:p>
    <w:p w14:paraId="373C9C59" w14:textId="552A20D1" w:rsidR="00D20B05" w:rsidRDefault="002373AA" w:rsidP="00D4012B">
      <w:pPr>
        <w:ind w:left="720"/>
        <w:rPr>
          <w:sz w:val="26"/>
          <w:szCs w:val="26"/>
        </w:rPr>
      </w:pPr>
      <w:r>
        <w:rPr>
          <w:sz w:val="26"/>
          <w:szCs w:val="26"/>
        </w:rPr>
        <w:t xml:space="preserve">4) </w:t>
      </w:r>
      <w:r w:rsidR="000103A0">
        <w:rPr>
          <w:sz w:val="26"/>
          <w:szCs w:val="26"/>
        </w:rPr>
        <w:t>W</w:t>
      </w:r>
      <w:r>
        <w:rPr>
          <w:sz w:val="26"/>
          <w:szCs w:val="26"/>
        </w:rPr>
        <w:t>hat impact, if any, its</w:t>
      </w:r>
      <w:r w:rsidR="003F177B">
        <w:rPr>
          <w:sz w:val="26"/>
          <w:szCs w:val="26"/>
        </w:rPr>
        <w:t xml:space="preserve"> current</w:t>
      </w:r>
      <w:r>
        <w:rPr>
          <w:sz w:val="26"/>
          <w:szCs w:val="26"/>
        </w:rPr>
        <w:t xml:space="preserve"> CAP final billing policy had on CAP costs and write-offs in 2017 and 2018</w:t>
      </w:r>
      <w:r w:rsidR="00AC10D5">
        <w:rPr>
          <w:sz w:val="26"/>
          <w:szCs w:val="26"/>
        </w:rPr>
        <w:t xml:space="preserve">; and </w:t>
      </w:r>
    </w:p>
    <w:p w14:paraId="3328EECE" w14:textId="4C39E491" w:rsidR="004801BA" w:rsidRDefault="00AC10D5" w:rsidP="00D4012B">
      <w:pPr>
        <w:ind w:left="720"/>
        <w:rPr>
          <w:sz w:val="26"/>
          <w:szCs w:val="26"/>
        </w:rPr>
      </w:pPr>
      <w:r>
        <w:rPr>
          <w:sz w:val="26"/>
          <w:szCs w:val="26"/>
        </w:rPr>
        <w:t xml:space="preserve">5) </w:t>
      </w:r>
      <w:r w:rsidR="000103A0">
        <w:rPr>
          <w:sz w:val="26"/>
          <w:szCs w:val="26"/>
        </w:rPr>
        <w:t>T</w:t>
      </w:r>
      <w:r>
        <w:rPr>
          <w:sz w:val="26"/>
          <w:szCs w:val="26"/>
        </w:rPr>
        <w:t>he</w:t>
      </w:r>
      <w:r w:rsidR="003F177B">
        <w:rPr>
          <w:sz w:val="26"/>
          <w:szCs w:val="26"/>
        </w:rPr>
        <w:t xml:space="preserve"> potential</w:t>
      </w:r>
      <w:r>
        <w:rPr>
          <w:sz w:val="26"/>
          <w:szCs w:val="26"/>
        </w:rPr>
        <w:t xml:space="preserve"> </w:t>
      </w:r>
      <w:r w:rsidR="00580717">
        <w:rPr>
          <w:sz w:val="26"/>
          <w:szCs w:val="26"/>
        </w:rPr>
        <w:t>CAP costs</w:t>
      </w:r>
      <w:r w:rsidR="00821DDF">
        <w:rPr>
          <w:sz w:val="26"/>
          <w:szCs w:val="26"/>
        </w:rPr>
        <w:t>, system-related expenses,</w:t>
      </w:r>
      <w:r w:rsidR="00580717">
        <w:rPr>
          <w:sz w:val="26"/>
          <w:szCs w:val="26"/>
        </w:rPr>
        <w:t xml:space="preserve"> write-offs</w:t>
      </w:r>
      <w:r w:rsidR="00821DDF">
        <w:rPr>
          <w:sz w:val="26"/>
          <w:szCs w:val="26"/>
        </w:rPr>
        <w:t xml:space="preserve">, </w:t>
      </w:r>
      <w:r>
        <w:rPr>
          <w:sz w:val="26"/>
          <w:szCs w:val="26"/>
        </w:rPr>
        <w:t xml:space="preserve">and </w:t>
      </w:r>
      <w:r w:rsidR="008625FF">
        <w:rPr>
          <w:sz w:val="26"/>
          <w:szCs w:val="26"/>
        </w:rPr>
        <w:t>other</w:t>
      </w:r>
      <w:r>
        <w:rPr>
          <w:sz w:val="26"/>
          <w:szCs w:val="26"/>
        </w:rPr>
        <w:t xml:space="preserve"> impact</w:t>
      </w:r>
      <w:r w:rsidR="008625FF">
        <w:rPr>
          <w:sz w:val="26"/>
          <w:szCs w:val="26"/>
        </w:rPr>
        <w:t>s</w:t>
      </w:r>
      <w:r>
        <w:rPr>
          <w:sz w:val="26"/>
          <w:szCs w:val="26"/>
        </w:rPr>
        <w:t xml:space="preserve"> of adopting each of the above-noted </w:t>
      </w:r>
      <w:r w:rsidR="00D85FDB">
        <w:rPr>
          <w:sz w:val="26"/>
          <w:szCs w:val="26"/>
        </w:rPr>
        <w:t>final bill options</w:t>
      </w:r>
      <w:r w:rsidR="00CE0A27">
        <w:rPr>
          <w:sz w:val="26"/>
          <w:szCs w:val="26"/>
        </w:rPr>
        <w:t xml:space="preserve"> as well as the same information for any alternative final bill</w:t>
      </w:r>
      <w:r w:rsidR="001A353B">
        <w:rPr>
          <w:sz w:val="26"/>
          <w:szCs w:val="26"/>
        </w:rPr>
        <w:t>ing processes the utility may propose</w:t>
      </w:r>
      <w:r w:rsidR="007624BC">
        <w:rPr>
          <w:sz w:val="26"/>
          <w:szCs w:val="26"/>
        </w:rPr>
        <w:t>.</w:t>
      </w:r>
      <w:r w:rsidR="00E27FCB">
        <w:rPr>
          <w:sz w:val="26"/>
          <w:szCs w:val="26"/>
        </w:rPr>
        <w:t xml:space="preserve"> </w:t>
      </w:r>
      <w:r w:rsidR="00736089">
        <w:rPr>
          <w:sz w:val="26"/>
          <w:szCs w:val="26"/>
        </w:rPr>
        <w:t xml:space="preserve"> </w:t>
      </w:r>
    </w:p>
    <w:p w14:paraId="67DBE670" w14:textId="77777777" w:rsidR="004801BA" w:rsidRDefault="004801BA" w:rsidP="00F02BE9">
      <w:pPr>
        <w:rPr>
          <w:sz w:val="26"/>
          <w:szCs w:val="26"/>
        </w:rPr>
      </w:pPr>
    </w:p>
    <w:p w14:paraId="3ECE6B4C" w14:textId="2F410D0F" w:rsidR="00745581" w:rsidRPr="003C61FA" w:rsidRDefault="004801BA" w:rsidP="00F02BE9">
      <w:pPr>
        <w:rPr>
          <w:sz w:val="26"/>
          <w:szCs w:val="26"/>
        </w:rPr>
      </w:pPr>
      <w:r>
        <w:rPr>
          <w:sz w:val="26"/>
          <w:szCs w:val="26"/>
        </w:rPr>
        <w:t>This</w:t>
      </w:r>
      <w:r w:rsidR="00B669C4" w:rsidDel="004801BA">
        <w:rPr>
          <w:sz w:val="26"/>
          <w:szCs w:val="26"/>
        </w:rPr>
        <w:t xml:space="preserve"> </w:t>
      </w:r>
      <w:r w:rsidR="00B669C4">
        <w:rPr>
          <w:sz w:val="26"/>
          <w:szCs w:val="26"/>
        </w:rPr>
        <w:t>information is due 30 days from the date of this Secretarial Letter.  C</w:t>
      </w:r>
      <w:r w:rsidR="00736089">
        <w:rPr>
          <w:sz w:val="26"/>
          <w:szCs w:val="26"/>
        </w:rPr>
        <w:t xml:space="preserve">omments to the </w:t>
      </w:r>
      <w:r>
        <w:rPr>
          <w:sz w:val="26"/>
          <w:szCs w:val="26"/>
        </w:rPr>
        <w:t xml:space="preserve">filings </w:t>
      </w:r>
      <w:r w:rsidR="00736089">
        <w:rPr>
          <w:sz w:val="26"/>
          <w:szCs w:val="26"/>
        </w:rPr>
        <w:t xml:space="preserve">shall be due 30 days after the </w:t>
      </w:r>
      <w:r w:rsidR="004545FF">
        <w:rPr>
          <w:sz w:val="26"/>
          <w:szCs w:val="26"/>
        </w:rPr>
        <w:t xml:space="preserve">filing </w:t>
      </w:r>
      <w:r w:rsidR="00736089">
        <w:rPr>
          <w:sz w:val="26"/>
          <w:szCs w:val="26"/>
        </w:rPr>
        <w:t>of</w:t>
      </w:r>
      <w:r w:rsidR="00736089" w:rsidDel="004545FF">
        <w:rPr>
          <w:sz w:val="26"/>
          <w:szCs w:val="26"/>
        </w:rPr>
        <w:t xml:space="preserve"> </w:t>
      </w:r>
      <w:r w:rsidR="00736089">
        <w:rPr>
          <w:sz w:val="26"/>
          <w:szCs w:val="26"/>
        </w:rPr>
        <w:t xml:space="preserve">information, followed by a 15-day reply comment period. </w:t>
      </w:r>
      <w:r w:rsidR="007624BC">
        <w:rPr>
          <w:sz w:val="26"/>
          <w:szCs w:val="26"/>
        </w:rPr>
        <w:t xml:space="preserve"> </w:t>
      </w:r>
      <w:r w:rsidR="00736089">
        <w:rPr>
          <w:sz w:val="26"/>
          <w:szCs w:val="26"/>
        </w:rPr>
        <w:t xml:space="preserve">Thereafter, staff will prepare a recommendation for Commission review.  </w:t>
      </w:r>
    </w:p>
    <w:p w14:paraId="17362C01" w14:textId="036DD761" w:rsidR="00745581" w:rsidRPr="003C61FA" w:rsidRDefault="00745581" w:rsidP="00F02BE9">
      <w:pPr>
        <w:rPr>
          <w:sz w:val="26"/>
          <w:szCs w:val="26"/>
        </w:rPr>
      </w:pPr>
    </w:p>
    <w:p w14:paraId="620436EF" w14:textId="4F985362" w:rsidR="00745581" w:rsidRPr="003C61FA" w:rsidRDefault="00745581" w:rsidP="00F02BE9">
      <w:pPr>
        <w:keepNext/>
        <w:rPr>
          <w:sz w:val="26"/>
          <w:szCs w:val="26"/>
        </w:rPr>
      </w:pPr>
      <w:r w:rsidRPr="003C61FA">
        <w:rPr>
          <w:sz w:val="26"/>
          <w:szCs w:val="26"/>
        </w:rPr>
        <w:lastRenderedPageBreak/>
        <w:t xml:space="preserve">If you have any questions, please contact Eric Tuttle, in the Commission’s Bureau of Consumer Services, </w:t>
      </w:r>
      <w:hyperlink r:id="rId11" w:history="1">
        <w:r w:rsidR="00BA0256" w:rsidRPr="0099624C">
          <w:rPr>
            <w:rStyle w:val="Hyperlink"/>
            <w:sz w:val="26"/>
            <w:szCs w:val="26"/>
          </w:rPr>
          <w:t>etuttle@pa.gov</w:t>
        </w:r>
      </w:hyperlink>
      <w:r w:rsidR="00BA0256">
        <w:rPr>
          <w:sz w:val="26"/>
          <w:szCs w:val="26"/>
        </w:rPr>
        <w:t xml:space="preserve"> </w:t>
      </w:r>
      <w:r w:rsidRPr="003C61FA">
        <w:rPr>
          <w:sz w:val="26"/>
          <w:szCs w:val="26"/>
        </w:rPr>
        <w:t xml:space="preserve">or 717-705-0621. </w:t>
      </w:r>
    </w:p>
    <w:p w14:paraId="56BC4BF6" w14:textId="077D7261" w:rsidR="00745581" w:rsidRPr="003C61FA" w:rsidRDefault="00745581" w:rsidP="00745581">
      <w:pPr>
        <w:keepNext/>
        <w:rPr>
          <w:sz w:val="26"/>
          <w:szCs w:val="26"/>
        </w:rPr>
      </w:pPr>
    </w:p>
    <w:p w14:paraId="10BAEDBE" w14:textId="7299A271" w:rsidR="00745581" w:rsidRPr="003C61FA" w:rsidRDefault="00B21FCF" w:rsidP="00745581">
      <w:pPr>
        <w:keepNext/>
        <w:tabs>
          <w:tab w:val="left" w:pos="720"/>
          <w:tab w:val="left" w:pos="5040"/>
        </w:tabs>
        <w:rPr>
          <w:sz w:val="26"/>
          <w:szCs w:val="26"/>
        </w:rPr>
      </w:pPr>
      <w:r>
        <w:rPr>
          <w:noProof/>
        </w:rPr>
        <w:drawing>
          <wp:anchor distT="0" distB="0" distL="114300" distR="114300" simplePos="0" relativeHeight="251659264" behindDoc="1" locked="0" layoutInCell="1" allowOverlap="1" wp14:anchorId="49E03C51" wp14:editId="12E381AC">
            <wp:simplePos x="0" y="0"/>
            <wp:positionH relativeFrom="column">
              <wp:posOffset>3219450</wp:posOffset>
            </wp:positionH>
            <wp:positionV relativeFrom="paragraph">
              <wp:posOffset>85725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581" w:rsidRPr="003C61FA">
        <w:rPr>
          <w:sz w:val="26"/>
          <w:szCs w:val="26"/>
        </w:rPr>
        <w:tab/>
      </w:r>
      <w:r w:rsidR="00745581" w:rsidRPr="003C61FA">
        <w:rPr>
          <w:sz w:val="26"/>
          <w:szCs w:val="26"/>
        </w:rPr>
        <w:tab/>
        <w:t>Sincerely,</w:t>
      </w:r>
    </w:p>
    <w:p w14:paraId="6E3F4F89" w14:textId="77777777" w:rsidR="00745581" w:rsidRPr="003C61FA" w:rsidRDefault="00745581" w:rsidP="00745581">
      <w:pPr>
        <w:keepNext/>
        <w:tabs>
          <w:tab w:val="left" w:pos="720"/>
          <w:tab w:val="left" w:pos="5040"/>
        </w:tabs>
        <w:rPr>
          <w:sz w:val="26"/>
          <w:szCs w:val="26"/>
        </w:rPr>
      </w:pPr>
    </w:p>
    <w:p w14:paraId="0DDB3FD8" w14:textId="77777777" w:rsidR="00745581" w:rsidRPr="003C61FA" w:rsidRDefault="00745581" w:rsidP="00745581">
      <w:pPr>
        <w:keepNext/>
        <w:rPr>
          <w:sz w:val="26"/>
          <w:szCs w:val="26"/>
        </w:rPr>
      </w:pPr>
    </w:p>
    <w:p w14:paraId="2F2D0BB9" w14:textId="77777777" w:rsidR="00745581" w:rsidRPr="003C61FA" w:rsidRDefault="00745581" w:rsidP="00745581">
      <w:pPr>
        <w:keepNext/>
        <w:rPr>
          <w:sz w:val="26"/>
          <w:szCs w:val="26"/>
        </w:rPr>
      </w:pPr>
      <w:bookmarkStart w:id="2" w:name="_GoBack"/>
      <w:bookmarkEnd w:id="2"/>
    </w:p>
    <w:p w14:paraId="6E279245" w14:textId="77777777" w:rsidR="00745581" w:rsidRPr="003C61FA" w:rsidRDefault="00745581" w:rsidP="00745581">
      <w:pPr>
        <w:pStyle w:val="Heading1"/>
        <w:rPr>
          <w:sz w:val="26"/>
          <w:szCs w:val="26"/>
        </w:rPr>
      </w:pPr>
      <w:r w:rsidRPr="003C61FA">
        <w:rPr>
          <w:sz w:val="26"/>
          <w:szCs w:val="26"/>
        </w:rPr>
        <w:tab/>
      </w:r>
      <w:r w:rsidRPr="003C61FA">
        <w:rPr>
          <w:sz w:val="26"/>
          <w:szCs w:val="26"/>
        </w:rPr>
        <w:tab/>
      </w:r>
      <w:r w:rsidRPr="003C61FA">
        <w:rPr>
          <w:sz w:val="26"/>
          <w:szCs w:val="26"/>
        </w:rPr>
        <w:tab/>
      </w:r>
      <w:r w:rsidRPr="003C61FA">
        <w:rPr>
          <w:sz w:val="26"/>
          <w:szCs w:val="26"/>
        </w:rPr>
        <w:tab/>
      </w:r>
      <w:r w:rsidRPr="003C61FA">
        <w:rPr>
          <w:sz w:val="26"/>
          <w:szCs w:val="26"/>
        </w:rPr>
        <w:tab/>
      </w:r>
      <w:r w:rsidRPr="003C61FA">
        <w:rPr>
          <w:sz w:val="26"/>
          <w:szCs w:val="26"/>
        </w:rPr>
        <w:tab/>
      </w:r>
      <w:r w:rsidRPr="003C61FA">
        <w:rPr>
          <w:sz w:val="26"/>
          <w:szCs w:val="26"/>
        </w:rPr>
        <w:tab/>
        <w:t>Rosemary Chiavetta</w:t>
      </w:r>
    </w:p>
    <w:p w14:paraId="7F2347A4" w14:textId="77777777" w:rsidR="00745581" w:rsidRDefault="00745581" w:rsidP="00745581">
      <w:pPr>
        <w:keepNext/>
        <w:tabs>
          <w:tab w:val="left" w:pos="720"/>
          <w:tab w:val="left" w:pos="5040"/>
        </w:tabs>
        <w:rPr>
          <w:sz w:val="26"/>
          <w:szCs w:val="26"/>
        </w:rPr>
      </w:pPr>
      <w:r w:rsidRPr="003C61FA">
        <w:rPr>
          <w:sz w:val="26"/>
          <w:szCs w:val="26"/>
        </w:rPr>
        <w:tab/>
      </w:r>
      <w:r w:rsidRPr="003C61FA">
        <w:rPr>
          <w:sz w:val="26"/>
          <w:szCs w:val="26"/>
        </w:rPr>
        <w:tab/>
        <w:t>Secretary</w:t>
      </w:r>
    </w:p>
    <w:p w14:paraId="0780520C" w14:textId="77777777" w:rsidR="00745581" w:rsidRPr="003C61FA" w:rsidRDefault="00745581" w:rsidP="00745581">
      <w:pPr>
        <w:keepNext/>
        <w:tabs>
          <w:tab w:val="left" w:pos="720"/>
          <w:tab w:val="left" w:pos="5040"/>
        </w:tabs>
        <w:rPr>
          <w:sz w:val="26"/>
          <w:szCs w:val="26"/>
        </w:rPr>
      </w:pPr>
    </w:p>
    <w:p w14:paraId="72D00AF7" w14:textId="6D9EC58C" w:rsidR="00DE50ED" w:rsidRDefault="00745581" w:rsidP="00745581">
      <w:pPr>
        <w:keepNext/>
        <w:rPr>
          <w:rFonts w:eastAsia="Calibri"/>
          <w:sz w:val="26"/>
          <w:szCs w:val="26"/>
        </w:rPr>
      </w:pPr>
      <w:r w:rsidRPr="003C61FA">
        <w:rPr>
          <w:rFonts w:eastAsia="Calibri"/>
          <w:sz w:val="26"/>
          <w:szCs w:val="26"/>
        </w:rPr>
        <w:t>cc:</w:t>
      </w:r>
      <w:r w:rsidRPr="003C61FA">
        <w:rPr>
          <w:rFonts w:eastAsia="Calibri"/>
          <w:sz w:val="26"/>
          <w:szCs w:val="26"/>
        </w:rPr>
        <w:tab/>
      </w:r>
      <w:r w:rsidR="00DE50ED">
        <w:rPr>
          <w:rFonts w:eastAsia="Calibri"/>
          <w:sz w:val="26"/>
          <w:szCs w:val="26"/>
        </w:rPr>
        <w:t xml:space="preserve">Lori Mohr, BCS, </w:t>
      </w:r>
      <w:hyperlink r:id="rId13" w:history="1">
        <w:r w:rsidR="00DE50ED" w:rsidRPr="00554951">
          <w:rPr>
            <w:rStyle w:val="Hyperlink"/>
            <w:rFonts w:eastAsia="Calibri"/>
            <w:sz w:val="26"/>
            <w:szCs w:val="26"/>
          </w:rPr>
          <w:t>laumohr@pa.gov</w:t>
        </w:r>
      </w:hyperlink>
      <w:r w:rsidR="00DE50ED">
        <w:rPr>
          <w:rFonts w:eastAsia="Calibri"/>
          <w:sz w:val="26"/>
          <w:szCs w:val="26"/>
        </w:rPr>
        <w:t xml:space="preserve"> </w:t>
      </w:r>
    </w:p>
    <w:p w14:paraId="60D84663" w14:textId="6D83592A" w:rsidR="00745581" w:rsidRPr="003C61FA" w:rsidRDefault="00745581" w:rsidP="00DE50ED">
      <w:pPr>
        <w:keepNext/>
        <w:ind w:firstLine="720"/>
        <w:rPr>
          <w:rStyle w:val="Hyperlink"/>
          <w:rFonts w:eastAsia="Calibri"/>
          <w:color w:val="auto"/>
          <w:sz w:val="26"/>
          <w:szCs w:val="26"/>
        </w:rPr>
      </w:pPr>
      <w:r w:rsidRPr="003C61FA">
        <w:rPr>
          <w:rFonts w:eastAsia="Calibri"/>
          <w:sz w:val="26"/>
          <w:szCs w:val="26"/>
        </w:rPr>
        <w:t xml:space="preserve">Joseph Magee, BCS, </w:t>
      </w:r>
      <w:hyperlink r:id="rId14" w:history="1">
        <w:r w:rsidR="00DE50ED" w:rsidRPr="00554951">
          <w:rPr>
            <w:rStyle w:val="Hyperlink"/>
            <w:rFonts w:eastAsia="Calibri"/>
            <w:sz w:val="26"/>
            <w:szCs w:val="26"/>
          </w:rPr>
          <w:t>jmagee@pa.gov</w:t>
        </w:r>
      </w:hyperlink>
      <w:r w:rsidR="00DE50ED">
        <w:rPr>
          <w:rFonts w:eastAsia="Calibri"/>
          <w:sz w:val="26"/>
          <w:szCs w:val="26"/>
        </w:rPr>
        <w:t xml:space="preserve"> </w:t>
      </w:r>
    </w:p>
    <w:p w14:paraId="64112E5C" w14:textId="79344184" w:rsidR="00745581" w:rsidRPr="003C61FA" w:rsidRDefault="00745581" w:rsidP="00745581">
      <w:pPr>
        <w:keepNext/>
        <w:rPr>
          <w:rStyle w:val="Hyperlink"/>
          <w:rFonts w:eastAsia="Calibri"/>
          <w:color w:val="auto"/>
          <w:sz w:val="26"/>
          <w:szCs w:val="26"/>
          <w:u w:val="none"/>
        </w:rPr>
      </w:pPr>
      <w:r w:rsidRPr="003C61FA">
        <w:rPr>
          <w:rStyle w:val="Hyperlink"/>
          <w:rFonts w:eastAsia="Calibri"/>
          <w:sz w:val="26"/>
          <w:szCs w:val="26"/>
          <w:u w:val="none"/>
        </w:rPr>
        <w:tab/>
      </w:r>
      <w:r w:rsidRPr="003C61FA">
        <w:rPr>
          <w:rStyle w:val="Hyperlink"/>
          <w:rFonts w:eastAsia="Calibri"/>
          <w:color w:val="auto"/>
          <w:sz w:val="26"/>
          <w:szCs w:val="26"/>
          <w:u w:val="none"/>
        </w:rPr>
        <w:t xml:space="preserve">Eric Tuttle, BCS, </w:t>
      </w:r>
      <w:hyperlink r:id="rId15" w:history="1">
        <w:r w:rsidR="00DE50ED" w:rsidRPr="00554951">
          <w:rPr>
            <w:rStyle w:val="Hyperlink"/>
            <w:rFonts w:eastAsia="Calibri"/>
            <w:sz w:val="26"/>
            <w:szCs w:val="26"/>
          </w:rPr>
          <w:t>etuttle@pa.gov</w:t>
        </w:r>
      </w:hyperlink>
      <w:r w:rsidR="00DE50ED">
        <w:rPr>
          <w:rStyle w:val="Hyperlink"/>
          <w:rFonts w:eastAsia="Calibri"/>
          <w:color w:val="auto"/>
          <w:sz w:val="26"/>
          <w:szCs w:val="26"/>
          <w:u w:val="none"/>
        </w:rPr>
        <w:t xml:space="preserve"> </w:t>
      </w:r>
    </w:p>
    <w:p w14:paraId="7FC17373" w14:textId="28B040CE" w:rsidR="0028376A" w:rsidRPr="00DE50ED" w:rsidRDefault="00745581" w:rsidP="00DE50ED">
      <w:pPr>
        <w:keepNext/>
        <w:rPr>
          <w:rFonts w:eastAsia="Calibri"/>
          <w:sz w:val="26"/>
          <w:szCs w:val="26"/>
        </w:rPr>
      </w:pPr>
      <w:r w:rsidRPr="003C61FA">
        <w:rPr>
          <w:rStyle w:val="Hyperlink"/>
          <w:rFonts w:eastAsia="Calibri"/>
          <w:color w:val="auto"/>
          <w:sz w:val="26"/>
          <w:szCs w:val="26"/>
          <w:u w:val="none"/>
        </w:rPr>
        <w:tab/>
        <w:t xml:space="preserve">Louise Fink Smith, Law Bureau, </w:t>
      </w:r>
      <w:hyperlink r:id="rId16" w:history="1">
        <w:r w:rsidR="00DE50ED" w:rsidRPr="00554951">
          <w:rPr>
            <w:rStyle w:val="Hyperlink"/>
            <w:rFonts w:eastAsia="Calibri"/>
            <w:sz w:val="26"/>
            <w:szCs w:val="26"/>
          </w:rPr>
          <w:t>finksmith@pa.gov</w:t>
        </w:r>
      </w:hyperlink>
      <w:r w:rsidR="00DE50ED">
        <w:rPr>
          <w:rStyle w:val="Hyperlink"/>
          <w:rFonts w:eastAsia="Calibri"/>
          <w:color w:val="auto"/>
          <w:sz w:val="26"/>
          <w:szCs w:val="26"/>
          <w:u w:val="none"/>
        </w:rPr>
        <w:t xml:space="preserve"> </w:t>
      </w:r>
    </w:p>
    <w:sectPr w:rsidR="0028376A" w:rsidRPr="00DE50ED" w:rsidSect="00A50707">
      <w:footerReference w:type="even" r:id="rId17"/>
      <w:footerReference w:type="default" r:id="rId1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88B21" w14:textId="77777777" w:rsidR="00F2445D" w:rsidRDefault="00F2445D" w:rsidP="00745581">
      <w:r>
        <w:separator/>
      </w:r>
    </w:p>
  </w:endnote>
  <w:endnote w:type="continuationSeparator" w:id="0">
    <w:p w14:paraId="7503110E" w14:textId="77777777" w:rsidR="00F2445D" w:rsidRDefault="00F2445D" w:rsidP="00745581">
      <w:r>
        <w:continuationSeparator/>
      </w:r>
    </w:p>
  </w:endnote>
  <w:endnote w:type="continuationNotice" w:id="1">
    <w:p w14:paraId="7D3CCDB3" w14:textId="77777777" w:rsidR="00F2445D" w:rsidRDefault="00F24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1438" w14:textId="77777777" w:rsidR="00745581" w:rsidRDefault="0074558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DF9093" w14:textId="77777777" w:rsidR="00745581" w:rsidRDefault="00745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E1C9" w14:textId="77777777" w:rsidR="00745581" w:rsidRDefault="0074558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38A587" w14:textId="77777777" w:rsidR="00745581" w:rsidRDefault="00745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9672" w14:textId="77777777" w:rsidR="00745581" w:rsidRDefault="00745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B45CB1" w14:textId="77777777" w:rsidR="00745581" w:rsidRDefault="007455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E826" w14:textId="77777777" w:rsidR="00745581" w:rsidRDefault="00745581">
    <w:pPr>
      <w:pStyle w:val="Footer"/>
      <w:framePr w:wrap="around" w:vAnchor="text" w:hAnchor="margin" w:xAlign="center" w:y="1"/>
      <w:rPr>
        <w:rStyle w:val="PageNumber"/>
      </w:rPr>
    </w:pPr>
  </w:p>
  <w:p w14:paraId="3EC2C8EE" w14:textId="77777777" w:rsidR="00745581" w:rsidRDefault="00745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615C8" w14:textId="77777777" w:rsidR="00F2445D" w:rsidRDefault="00F2445D" w:rsidP="00745581">
      <w:r>
        <w:separator/>
      </w:r>
    </w:p>
  </w:footnote>
  <w:footnote w:type="continuationSeparator" w:id="0">
    <w:p w14:paraId="0DA3F3C0" w14:textId="77777777" w:rsidR="00F2445D" w:rsidRDefault="00F2445D" w:rsidP="00745581">
      <w:r>
        <w:continuationSeparator/>
      </w:r>
    </w:p>
  </w:footnote>
  <w:footnote w:type="continuationNotice" w:id="1">
    <w:p w14:paraId="2F095990" w14:textId="77777777" w:rsidR="00F2445D" w:rsidRDefault="00F2445D"/>
  </w:footnote>
  <w:footnote w:id="2">
    <w:p w14:paraId="09DE385B" w14:textId="62F851F5" w:rsidR="00A44C17" w:rsidRDefault="00A44C17">
      <w:pPr>
        <w:pStyle w:val="FootnoteText"/>
      </w:pPr>
      <w:r>
        <w:rPr>
          <w:rStyle w:val="FootnoteReference"/>
        </w:rPr>
        <w:footnoteRef/>
      </w:r>
      <w:r>
        <w:t xml:space="preserve">  CAPs are one of four mandatory elements of a USECP.</w:t>
      </w:r>
    </w:p>
  </w:footnote>
  <w:footnote w:id="3">
    <w:p w14:paraId="32E198B3" w14:textId="79D3B9F9" w:rsidR="00AD06B3" w:rsidRDefault="00AD06B3">
      <w:pPr>
        <w:pStyle w:val="FootnoteText"/>
      </w:pPr>
      <w:r>
        <w:rPr>
          <w:rStyle w:val="FootnoteReference"/>
        </w:rPr>
        <w:footnoteRef/>
      </w:r>
      <w:r>
        <w:t xml:space="preserve">  Except, generally speaking, the cost of the Hardship Fund grants.  Hardship Fund administration costs are</w:t>
      </w:r>
      <w:r w:rsidR="00821F92">
        <w:t>, however,</w:t>
      </w:r>
      <w:r>
        <w:t xml:space="preserve"> recovered </w:t>
      </w:r>
      <w:r w:rsidR="00821F92">
        <w:t>as UCESP costs.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EB6E" w14:textId="77777777" w:rsidR="00745581" w:rsidRPr="00FE09CA" w:rsidRDefault="00745581">
    <w:pPr>
      <w:pStyle w:val="Header"/>
    </w:pPr>
    <w:r w:rsidRPr="00070063">
      <w:t>All Parties of Record Docket No</w:t>
    </w:r>
    <w:r>
      <w:t>s</w:t>
    </w:r>
    <w:r w:rsidRPr="00070063">
      <w:t xml:space="preserve">. </w:t>
    </w:r>
    <w:r w:rsidR="00AC3B01" w:rsidRPr="00AC3B01">
      <w:t xml:space="preserve">M-2017-2587711 </w:t>
    </w:r>
    <w:r w:rsidR="00AC3B01">
      <w:t>&amp;</w:t>
    </w:r>
    <w:r w:rsidR="00AC3B01" w:rsidRPr="00AC3B01">
      <w:t xml:space="preserve"> M 2019-3010190</w:t>
    </w:r>
  </w:p>
  <w:p w14:paraId="0AC3D16D" w14:textId="77777777" w:rsidR="00745581" w:rsidRDefault="00745581">
    <w:pPr>
      <w:pStyle w:val="Header"/>
    </w:pPr>
    <w:r>
      <w:t>Page 2</w:t>
    </w:r>
  </w:p>
  <w:p w14:paraId="1545FCD2" w14:textId="77777777" w:rsidR="00745581" w:rsidRDefault="00745581">
    <w:pPr>
      <w:pStyle w:val="Header"/>
    </w:pPr>
  </w:p>
  <w:p w14:paraId="3900BCF0" w14:textId="77777777" w:rsidR="00745581" w:rsidRDefault="007455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81"/>
    <w:rsid w:val="00007830"/>
    <w:rsid w:val="000103A0"/>
    <w:rsid w:val="000131EE"/>
    <w:rsid w:val="000205E4"/>
    <w:rsid w:val="000253F0"/>
    <w:rsid w:val="00027904"/>
    <w:rsid w:val="0003107E"/>
    <w:rsid w:val="0004379D"/>
    <w:rsid w:val="00045FF2"/>
    <w:rsid w:val="000552FA"/>
    <w:rsid w:val="00072B49"/>
    <w:rsid w:val="00076142"/>
    <w:rsid w:val="000A0326"/>
    <w:rsid w:val="000A2120"/>
    <w:rsid w:val="000A256D"/>
    <w:rsid w:val="000A4DE9"/>
    <w:rsid w:val="000B01FA"/>
    <w:rsid w:val="000B3725"/>
    <w:rsid w:val="000B3FA9"/>
    <w:rsid w:val="000B49AC"/>
    <w:rsid w:val="000B63ED"/>
    <w:rsid w:val="000C794C"/>
    <w:rsid w:val="000D7D21"/>
    <w:rsid w:val="000E10E3"/>
    <w:rsid w:val="000E5695"/>
    <w:rsid w:val="000F0A77"/>
    <w:rsid w:val="000F468E"/>
    <w:rsid w:val="0010467C"/>
    <w:rsid w:val="001068D3"/>
    <w:rsid w:val="00114A95"/>
    <w:rsid w:val="001353B8"/>
    <w:rsid w:val="00155ACF"/>
    <w:rsid w:val="00155CB5"/>
    <w:rsid w:val="00170667"/>
    <w:rsid w:val="00171EEB"/>
    <w:rsid w:val="001743AF"/>
    <w:rsid w:val="001908C8"/>
    <w:rsid w:val="00191FA5"/>
    <w:rsid w:val="00194501"/>
    <w:rsid w:val="001A353B"/>
    <w:rsid w:val="001A5E20"/>
    <w:rsid w:val="001D1F69"/>
    <w:rsid w:val="001D572B"/>
    <w:rsid w:val="001D77EE"/>
    <w:rsid w:val="001E234B"/>
    <w:rsid w:val="001F055C"/>
    <w:rsid w:val="001F17C7"/>
    <w:rsid w:val="001F6D4D"/>
    <w:rsid w:val="002006C3"/>
    <w:rsid w:val="00201189"/>
    <w:rsid w:val="00201FF6"/>
    <w:rsid w:val="00206C0D"/>
    <w:rsid w:val="00213440"/>
    <w:rsid w:val="0021374E"/>
    <w:rsid w:val="0022043A"/>
    <w:rsid w:val="0022702D"/>
    <w:rsid w:val="00230CFE"/>
    <w:rsid w:val="002373AA"/>
    <w:rsid w:val="00247E7B"/>
    <w:rsid w:val="00267500"/>
    <w:rsid w:val="00267AB2"/>
    <w:rsid w:val="002712E2"/>
    <w:rsid w:val="00273305"/>
    <w:rsid w:val="00277E20"/>
    <w:rsid w:val="002830D2"/>
    <w:rsid w:val="0028376A"/>
    <w:rsid w:val="00287D97"/>
    <w:rsid w:val="00293D81"/>
    <w:rsid w:val="00297D57"/>
    <w:rsid w:val="002A1A25"/>
    <w:rsid w:val="002A1F39"/>
    <w:rsid w:val="002A2098"/>
    <w:rsid w:val="002A241D"/>
    <w:rsid w:val="002B3A12"/>
    <w:rsid w:val="002D3A3A"/>
    <w:rsid w:val="002D3DDF"/>
    <w:rsid w:val="002E3803"/>
    <w:rsid w:val="002F416A"/>
    <w:rsid w:val="002F6B70"/>
    <w:rsid w:val="00300574"/>
    <w:rsid w:val="00304A2F"/>
    <w:rsid w:val="00305225"/>
    <w:rsid w:val="003159CF"/>
    <w:rsid w:val="003224BE"/>
    <w:rsid w:val="00327DBB"/>
    <w:rsid w:val="00327E7A"/>
    <w:rsid w:val="003414A4"/>
    <w:rsid w:val="003430D8"/>
    <w:rsid w:val="0034759E"/>
    <w:rsid w:val="00356B02"/>
    <w:rsid w:val="00362573"/>
    <w:rsid w:val="00365107"/>
    <w:rsid w:val="00367C16"/>
    <w:rsid w:val="00374ECE"/>
    <w:rsid w:val="00386867"/>
    <w:rsid w:val="00392F35"/>
    <w:rsid w:val="00393009"/>
    <w:rsid w:val="00395913"/>
    <w:rsid w:val="003A009A"/>
    <w:rsid w:val="003A29AB"/>
    <w:rsid w:val="003B0B29"/>
    <w:rsid w:val="003B5A3F"/>
    <w:rsid w:val="003C19FF"/>
    <w:rsid w:val="003D00C5"/>
    <w:rsid w:val="003D00D0"/>
    <w:rsid w:val="003D2586"/>
    <w:rsid w:val="003E129A"/>
    <w:rsid w:val="003E5342"/>
    <w:rsid w:val="003F0CEF"/>
    <w:rsid w:val="003F177B"/>
    <w:rsid w:val="003F3298"/>
    <w:rsid w:val="003F5F07"/>
    <w:rsid w:val="003F6389"/>
    <w:rsid w:val="00413C03"/>
    <w:rsid w:val="00434CBA"/>
    <w:rsid w:val="00452464"/>
    <w:rsid w:val="004545FF"/>
    <w:rsid w:val="004629A1"/>
    <w:rsid w:val="004801BA"/>
    <w:rsid w:val="00482AF8"/>
    <w:rsid w:val="004B33C2"/>
    <w:rsid w:val="004B3C35"/>
    <w:rsid w:val="004B3CF9"/>
    <w:rsid w:val="004C1727"/>
    <w:rsid w:val="004C3465"/>
    <w:rsid w:val="004C44A9"/>
    <w:rsid w:val="004C53C8"/>
    <w:rsid w:val="004D0711"/>
    <w:rsid w:val="004E1F3E"/>
    <w:rsid w:val="004E5712"/>
    <w:rsid w:val="004E5A4D"/>
    <w:rsid w:val="004F5FC6"/>
    <w:rsid w:val="00505B03"/>
    <w:rsid w:val="00507635"/>
    <w:rsid w:val="00513456"/>
    <w:rsid w:val="00514A5B"/>
    <w:rsid w:val="00534733"/>
    <w:rsid w:val="00557958"/>
    <w:rsid w:val="00560F5C"/>
    <w:rsid w:val="00570B0E"/>
    <w:rsid w:val="00574BF8"/>
    <w:rsid w:val="00580717"/>
    <w:rsid w:val="00583090"/>
    <w:rsid w:val="005841F9"/>
    <w:rsid w:val="00586F56"/>
    <w:rsid w:val="005A2AB2"/>
    <w:rsid w:val="005A523C"/>
    <w:rsid w:val="005B2875"/>
    <w:rsid w:val="005C171E"/>
    <w:rsid w:val="005C65D0"/>
    <w:rsid w:val="005D1FDC"/>
    <w:rsid w:val="005D2A7F"/>
    <w:rsid w:val="005E1620"/>
    <w:rsid w:val="005E547D"/>
    <w:rsid w:val="005F3ABC"/>
    <w:rsid w:val="005F62FC"/>
    <w:rsid w:val="006024EB"/>
    <w:rsid w:val="006026CF"/>
    <w:rsid w:val="00605819"/>
    <w:rsid w:val="00605FA3"/>
    <w:rsid w:val="00611032"/>
    <w:rsid w:val="006251E4"/>
    <w:rsid w:val="00625577"/>
    <w:rsid w:val="00625F3C"/>
    <w:rsid w:val="00636D47"/>
    <w:rsid w:val="006519E7"/>
    <w:rsid w:val="00660568"/>
    <w:rsid w:val="00660BC7"/>
    <w:rsid w:val="0066255D"/>
    <w:rsid w:val="0067471B"/>
    <w:rsid w:val="00676DF7"/>
    <w:rsid w:val="00677473"/>
    <w:rsid w:val="00681237"/>
    <w:rsid w:val="006813D8"/>
    <w:rsid w:val="00683199"/>
    <w:rsid w:val="0068449C"/>
    <w:rsid w:val="006847D9"/>
    <w:rsid w:val="00694178"/>
    <w:rsid w:val="00694DD4"/>
    <w:rsid w:val="006C5F9E"/>
    <w:rsid w:val="006C6626"/>
    <w:rsid w:val="006E0DEF"/>
    <w:rsid w:val="006E0E7D"/>
    <w:rsid w:val="006E45D0"/>
    <w:rsid w:val="006E4A4C"/>
    <w:rsid w:val="006E7D9E"/>
    <w:rsid w:val="006F34EB"/>
    <w:rsid w:val="006F3781"/>
    <w:rsid w:val="00703311"/>
    <w:rsid w:val="00710C9B"/>
    <w:rsid w:val="00710D09"/>
    <w:rsid w:val="00714B3B"/>
    <w:rsid w:val="00736089"/>
    <w:rsid w:val="007376BB"/>
    <w:rsid w:val="00741AC8"/>
    <w:rsid w:val="00745581"/>
    <w:rsid w:val="007624BC"/>
    <w:rsid w:val="00766277"/>
    <w:rsid w:val="0077208C"/>
    <w:rsid w:val="0077268B"/>
    <w:rsid w:val="007727BD"/>
    <w:rsid w:val="007828A7"/>
    <w:rsid w:val="00783E77"/>
    <w:rsid w:val="007840CB"/>
    <w:rsid w:val="007A393E"/>
    <w:rsid w:val="007C240F"/>
    <w:rsid w:val="007C4861"/>
    <w:rsid w:val="007D0C36"/>
    <w:rsid w:val="007D20A3"/>
    <w:rsid w:val="007D400A"/>
    <w:rsid w:val="007D6DDD"/>
    <w:rsid w:val="007E32CE"/>
    <w:rsid w:val="007E3809"/>
    <w:rsid w:val="007E44FC"/>
    <w:rsid w:val="007E4F1A"/>
    <w:rsid w:val="007F171D"/>
    <w:rsid w:val="007F3BD3"/>
    <w:rsid w:val="008063C3"/>
    <w:rsid w:val="0081239A"/>
    <w:rsid w:val="008127AD"/>
    <w:rsid w:val="00812AD1"/>
    <w:rsid w:val="0081528B"/>
    <w:rsid w:val="008176F8"/>
    <w:rsid w:val="00821DDF"/>
    <w:rsid w:val="00821F92"/>
    <w:rsid w:val="00822115"/>
    <w:rsid w:val="008254C4"/>
    <w:rsid w:val="008625FF"/>
    <w:rsid w:val="008670C4"/>
    <w:rsid w:val="00871F4D"/>
    <w:rsid w:val="00877CC2"/>
    <w:rsid w:val="008807BC"/>
    <w:rsid w:val="00885860"/>
    <w:rsid w:val="00885E85"/>
    <w:rsid w:val="0089063F"/>
    <w:rsid w:val="008945F0"/>
    <w:rsid w:val="008A1E7D"/>
    <w:rsid w:val="008A24FB"/>
    <w:rsid w:val="008B6CEE"/>
    <w:rsid w:val="008C25B6"/>
    <w:rsid w:val="008C32D1"/>
    <w:rsid w:val="008C55A9"/>
    <w:rsid w:val="008D1A1F"/>
    <w:rsid w:val="008D2D36"/>
    <w:rsid w:val="008E771F"/>
    <w:rsid w:val="008F6767"/>
    <w:rsid w:val="009079D6"/>
    <w:rsid w:val="00916F44"/>
    <w:rsid w:val="00917AD8"/>
    <w:rsid w:val="00930C87"/>
    <w:rsid w:val="00940968"/>
    <w:rsid w:val="00940C3F"/>
    <w:rsid w:val="00955CE0"/>
    <w:rsid w:val="009601B4"/>
    <w:rsid w:val="00960AF5"/>
    <w:rsid w:val="00966110"/>
    <w:rsid w:val="00967991"/>
    <w:rsid w:val="00970072"/>
    <w:rsid w:val="00972C28"/>
    <w:rsid w:val="009749A1"/>
    <w:rsid w:val="00981BD6"/>
    <w:rsid w:val="00992D71"/>
    <w:rsid w:val="00994420"/>
    <w:rsid w:val="009A55EB"/>
    <w:rsid w:val="009C79CD"/>
    <w:rsid w:val="009D0152"/>
    <w:rsid w:val="009D7C89"/>
    <w:rsid w:val="009E7997"/>
    <w:rsid w:val="009F2E5A"/>
    <w:rsid w:val="009F5AEB"/>
    <w:rsid w:val="00A12443"/>
    <w:rsid w:val="00A20F3E"/>
    <w:rsid w:val="00A2293F"/>
    <w:rsid w:val="00A327CF"/>
    <w:rsid w:val="00A44C17"/>
    <w:rsid w:val="00A50707"/>
    <w:rsid w:val="00A518F9"/>
    <w:rsid w:val="00A541D3"/>
    <w:rsid w:val="00A5458E"/>
    <w:rsid w:val="00A641F4"/>
    <w:rsid w:val="00A66CC0"/>
    <w:rsid w:val="00A75F72"/>
    <w:rsid w:val="00A814DA"/>
    <w:rsid w:val="00A81506"/>
    <w:rsid w:val="00A81F80"/>
    <w:rsid w:val="00A832E8"/>
    <w:rsid w:val="00A85716"/>
    <w:rsid w:val="00A857AD"/>
    <w:rsid w:val="00A8745D"/>
    <w:rsid w:val="00A90BE6"/>
    <w:rsid w:val="00A90DD0"/>
    <w:rsid w:val="00A9427B"/>
    <w:rsid w:val="00AB0D3B"/>
    <w:rsid w:val="00AC0915"/>
    <w:rsid w:val="00AC10D5"/>
    <w:rsid w:val="00AC33DA"/>
    <w:rsid w:val="00AC3B01"/>
    <w:rsid w:val="00AC5FF3"/>
    <w:rsid w:val="00AD06B3"/>
    <w:rsid w:val="00AD430C"/>
    <w:rsid w:val="00AD4DBC"/>
    <w:rsid w:val="00AE0068"/>
    <w:rsid w:val="00AE5D8E"/>
    <w:rsid w:val="00AF0D13"/>
    <w:rsid w:val="00AF3CB8"/>
    <w:rsid w:val="00AF5397"/>
    <w:rsid w:val="00AF760C"/>
    <w:rsid w:val="00B0442D"/>
    <w:rsid w:val="00B11474"/>
    <w:rsid w:val="00B21FCF"/>
    <w:rsid w:val="00B25527"/>
    <w:rsid w:val="00B26BB2"/>
    <w:rsid w:val="00B2758C"/>
    <w:rsid w:val="00B279BC"/>
    <w:rsid w:val="00B52021"/>
    <w:rsid w:val="00B6224A"/>
    <w:rsid w:val="00B669C4"/>
    <w:rsid w:val="00B70FDA"/>
    <w:rsid w:val="00B754F4"/>
    <w:rsid w:val="00B77701"/>
    <w:rsid w:val="00B8651C"/>
    <w:rsid w:val="00B93DF0"/>
    <w:rsid w:val="00B9472B"/>
    <w:rsid w:val="00BA0256"/>
    <w:rsid w:val="00BA0B85"/>
    <w:rsid w:val="00BC7585"/>
    <w:rsid w:val="00BC7A85"/>
    <w:rsid w:val="00BD3619"/>
    <w:rsid w:val="00BD52E7"/>
    <w:rsid w:val="00BE1A7C"/>
    <w:rsid w:val="00BE4DB9"/>
    <w:rsid w:val="00BE5E0F"/>
    <w:rsid w:val="00BF0426"/>
    <w:rsid w:val="00BF218A"/>
    <w:rsid w:val="00BF48A0"/>
    <w:rsid w:val="00C00368"/>
    <w:rsid w:val="00C04020"/>
    <w:rsid w:val="00C24747"/>
    <w:rsid w:val="00C30494"/>
    <w:rsid w:val="00C426E4"/>
    <w:rsid w:val="00C43AD5"/>
    <w:rsid w:val="00C526D1"/>
    <w:rsid w:val="00C70488"/>
    <w:rsid w:val="00C75C79"/>
    <w:rsid w:val="00C762BA"/>
    <w:rsid w:val="00C841AA"/>
    <w:rsid w:val="00CA25CE"/>
    <w:rsid w:val="00CB0D5C"/>
    <w:rsid w:val="00CB58EE"/>
    <w:rsid w:val="00CC04C7"/>
    <w:rsid w:val="00CC3C8B"/>
    <w:rsid w:val="00CC7CE2"/>
    <w:rsid w:val="00CD0818"/>
    <w:rsid w:val="00CD1A29"/>
    <w:rsid w:val="00CD3256"/>
    <w:rsid w:val="00CD5A33"/>
    <w:rsid w:val="00CE0A27"/>
    <w:rsid w:val="00CF0200"/>
    <w:rsid w:val="00CF3AD4"/>
    <w:rsid w:val="00CF6D9C"/>
    <w:rsid w:val="00D0344C"/>
    <w:rsid w:val="00D03C9C"/>
    <w:rsid w:val="00D149E0"/>
    <w:rsid w:val="00D20B05"/>
    <w:rsid w:val="00D376D2"/>
    <w:rsid w:val="00D4012B"/>
    <w:rsid w:val="00D50358"/>
    <w:rsid w:val="00D7197C"/>
    <w:rsid w:val="00D765F3"/>
    <w:rsid w:val="00D81288"/>
    <w:rsid w:val="00D85DF0"/>
    <w:rsid w:val="00D85FDB"/>
    <w:rsid w:val="00D91BC4"/>
    <w:rsid w:val="00DA0C7B"/>
    <w:rsid w:val="00DA2236"/>
    <w:rsid w:val="00DB2BA3"/>
    <w:rsid w:val="00DB2C22"/>
    <w:rsid w:val="00DC5D2A"/>
    <w:rsid w:val="00DC601E"/>
    <w:rsid w:val="00DD50F7"/>
    <w:rsid w:val="00DD5C6D"/>
    <w:rsid w:val="00DD6BE9"/>
    <w:rsid w:val="00DE50ED"/>
    <w:rsid w:val="00DE58A6"/>
    <w:rsid w:val="00DE7B3F"/>
    <w:rsid w:val="00DF3333"/>
    <w:rsid w:val="00DF4BD3"/>
    <w:rsid w:val="00DF72E5"/>
    <w:rsid w:val="00DF7620"/>
    <w:rsid w:val="00E04D43"/>
    <w:rsid w:val="00E1616F"/>
    <w:rsid w:val="00E20DD0"/>
    <w:rsid w:val="00E25567"/>
    <w:rsid w:val="00E26A75"/>
    <w:rsid w:val="00E27FCB"/>
    <w:rsid w:val="00E5237F"/>
    <w:rsid w:val="00E5696F"/>
    <w:rsid w:val="00E6096C"/>
    <w:rsid w:val="00E61DCC"/>
    <w:rsid w:val="00E62339"/>
    <w:rsid w:val="00E629CF"/>
    <w:rsid w:val="00E658DC"/>
    <w:rsid w:val="00E950D9"/>
    <w:rsid w:val="00E95B55"/>
    <w:rsid w:val="00E97659"/>
    <w:rsid w:val="00EA7B0A"/>
    <w:rsid w:val="00EB4E39"/>
    <w:rsid w:val="00EB70D1"/>
    <w:rsid w:val="00ED0070"/>
    <w:rsid w:val="00ED15BD"/>
    <w:rsid w:val="00ED5D6A"/>
    <w:rsid w:val="00EE46FC"/>
    <w:rsid w:val="00EF46C2"/>
    <w:rsid w:val="00F0079E"/>
    <w:rsid w:val="00F02BE9"/>
    <w:rsid w:val="00F0511C"/>
    <w:rsid w:val="00F06144"/>
    <w:rsid w:val="00F143AF"/>
    <w:rsid w:val="00F2445D"/>
    <w:rsid w:val="00F3343A"/>
    <w:rsid w:val="00F3631F"/>
    <w:rsid w:val="00F45FCC"/>
    <w:rsid w:val="00F6100E"/>
    <w:rsid w:val="00F657F5"/>
    <w:rsid w:val="00F713FD"/>
    <w:rsid w:val="00F729FA"/>
    <w:rsid w:val="00F77F66"/>
    <w:rsid w:val="00F84889"/>
    <w:rsid w:val="00F927CE"/>
    <w:rsid w:val="00FC214C"/>
    <w:rsid w:val="00FD0DDC"/>
    <w:rsid w:val="00FD160D"/>
    <w:rsid w:val="00FD1A92"/>
    <w:rsid w:val="00FE4B85"/>
    <w:rsid w:val="00FF20A6"/>
    <w:rsid w:val="00FF2AA8"/>
    <w:rsid w:val="00FF5404"/>
    <w:rsid w:val="0D5FBBFE"/>
    <w:rsid w:val="36252027"/>
    <w:rsid w:val="39FD25B0"/>
    <w:rsid w:val="3A1F0E11"/>
    <w:rsid w:val="69F535D4"/>
    <w:rsid w:val="7F47E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4:docId w14:val="4BD22DB7"/>
  <w15:chartTrackingRefBased/>
  <w15:docId w15:val="{79C5CD54-858F-4518-A9AE-C8958D19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5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4558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581"/>
    <w:rPr>
      <w:rFonts w:ascii="Times New Roman" w:eastAsia="Times New Roman" w:hAnsi="Times New Roman" w:cs="Times New Roman"/>
      <w:sz w:val="24"/>
      <w:szCs w:val="20"/>
    </w:rPr>
  </w:style>
  <w:style w:type="paragraph" w:styleId="Header">
    <w:name w:val="header"/>
    <w:basedOn w:val="Normal"/>
    <w:link w:val="HeaderChar"/>
    <w:rsid w:val="00745581"/>
    <w:pPr>
      <w:tabs>
        <w:tab w:val="center" w:pos="4320"/>
        <w:tab w:val="right" w:pos="8640"/>
      </w:tabs>
    </w:pPr>
  </w:style>
  <w:style w:type="character" w:customStyle="1" w:styleId="HeaderChar">
    <w:name w:val="Header Char"/>
    <w:basedOn w:val="DefaultParagraphFont"/>
    <w:link w:val="Header"/>
    <w:rsid w:val="00745581"/>
    <w:rPr>
      <w:rFonts w:ascii="Times New Roman" w:eastAsia="Times New Roman" w:hAnsi="Times New Roman" w:cs="Times New Roman"/>
      <w:sz w:val="20"/>
      <w:szCs w:val="20"/>
    </w:rPr>
  </w:style>
  <w:style w:type="paragraph" w:styleId="Footer">
    <w:name w:val="footer"/>
    <w:basedOn w:val="Normal"/>
    <w:link w:val="FooterChar"/>
    <w:rsid w:val="00745581"/>
    <w:pPr>
      <w:tabs>
        <w:tab w:val="center" w:pos="4320"/>
        <w:tab w:val="right" w:pos="8640"/>
      </w:tabs>
    </w:pPr>
  </w:style>
  <w:style w:type="character" w:customStyle="1" w:styleId="FooterChar">
    <w:name w:val="Footer Char"/>
    <w:basedOn w:val="DefaultParagraphFont"/>
    <w:link w:val="Footer"/>
    <w:rsid w:val="00745581"/>
    <w:rPr>
      <w:rFonts w:ascii="Times New Roman" w:eastAsia="Times New Roman" w:hAnsi="Times New Roman" w:cs="Times New Roman"/>
      <w:sz w:val="20"/>
      <w:szCs w:val="20"/>
    </w:rPr>
  </w:style>
  <w:style w:type="character" w:styleId="PageNumber">
    <w:name w:val="page number"/>
    <w:basedOn w:val="DefaultParagraphFont"/>
    <w:rsid w:val="00745581"/>
  </w:style>
  <w:style w:type="character" w:styleId="Hyperlink">
    <w:name w:val="Hyperlink"/>
    <w:uiPriority w:val="99"/>
    <w:rsid w:val="00745581"/>
    <w:rPr>
      <w:color w:val="0000FF"/>
      <w:u w:val="single"/>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uiPriority w:val="99"/>
    <w:rsid w:val="00745581"/>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uiPriority w:val="99"/>
    <w:rsid w:val="00745581"/>
    <w:rPr>
      <w:rFonts w:ascii="Times New Roman" w:eastAsia="Times New Roman" w:hAnsi="Times New Roman" w:cs="Times New Roman"/>
      <w:sz w:val="20"/>
      <w:szCs w:val="20"/>
    </w:rPr>
  </w:style>
  <w:style w:type="character" w:styleId="FootnoteReference">
    <w:name w:val="footnote reference"/>
    <w:aliases w:val="o,fr,footnote text"/>
    <w:uiPriority w:val="99"/>
    <w:rsid w:val="00745581"/>
    <w:rPr>
      <w:vertAlign w:val="superscript"/>
    </w:rPr>
  </w:style>
  <w:style w:type="character" w:styleId="CommentReference">
    <w:name w:val="annotation reference"/>
    <w:basedOn w:val="DefaultParagraphFont"/>
    <w:uiPriority w:val="99"/>
    <w:semiHidden/>
    <w:unhideWhenUsed/>
    <w:rsid w:val="0089063F"/>
    <w:rPr>
      <w:sz w:val="16"/>
      <w:szCs w:val="16"/>
    </w:rPr>
  </w:style>
  <w:style w:type="paragraph" w:styleId="CommentText">
    <w:name w:val="annotation text"/>
    <w:basedOn w:val="Normal"/>
    <w:link w:val="CommentTextChar"/>
    <w:uiPriority w:val="99"/>
    <w:semiHidden/>
    <w:unhideWhenUsed/>
    <w:rsid w:val="0089063F"/>
  </w:style>
  <w:style w:type="character" w:customStyle="1" w:styleId="CommentTextChar">
    <w:name w:val="Comment Text Char"/>
    <w:basedOn w:val="DefaultParagraphFont"/>
    <w:link w:val="CommentText"/>
    <w:uiPriority w:val="99"/>
    <w:semiHidden/>
    <w:rsid w:val="008906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063F"/>
    <w:rPr>
      <w:b/>
      <w:bCs/>
    </w:rPr>
  </w:style>
  <w:style w:type="character" w:customStyle="1" w:styleId="CommentSubjectChar">
    <w:name w:val="Comment Subject Char"/>
    <w:basedOn w:val="CommentTextChar"/>
    <w:link w:val="CommentSubject"/>
    <w:uiPriority w:val="99"/>
    <w:semiHidden/>
    <w:rsid w:val="008906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0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63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Revision">
    <w:name w:val="Revision"/>
    <w:hidden/>
    <w:uiPriority w:val="99"/>
    <w:semiHidden/>
    <w:rsid w:val="00D4012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aumohr@pa.gov"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finksmith@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tuttle@pa.gov" TargetMode="External"/><Relationship Id="rId5" Type="http://schemas.openxmlformats.org/officeDocument/2006/relationships/footnotes" Target="footnotes.xml"/><Relationship Id="rId15" Type="http://schemas.openxmlformats.org/officeDocument/2006/relationships/hyperlink" Target="mailto:etuttle@pa.gov"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mage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0FE7F-FDEC-4E68-9E17-7D077A08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Tuttle, Eric</dc:creator>
  <cp:keywords/>
  <dc:description/>
  <cp:lastModifiedBy>Wagner, Nathan R</cp:lastModifiedBy>
  <cp:revision>3</cp:revision>
  <dcterms:created xsi:type="dcterms:W3CDTF">2019-07-15T18:22:00Z</dcterms:created>
  <dcterms:modified xsi:type="dcterms:W3CDTF">2019-07-17T13:48:00Z</dcterms:modified>
</cp:coreProperties>
</file>