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235D4" w14:textId="77777777" w:rsidR="003A5CD9" w:rsidRPr="00DE1B1E" w:rsidRDefault="003A5CD9" w:rsidP="00605555">
      <w:pPr>
        <w:jc w:val="center"/>
        <w:rPr>
          <w:b/>
          <w:bCs/>
          <w:sz w:val="24"/>
          <w:szCs w:val="24"/>
        </w:rPr>
      </w:pPr>
      <w:r w:rsidRPr="00DE1B1E">
        <w:rPr>
          <w:b/>
          <w:bCs/>
          <w:sz w:val="24"/>
          <w:szCs w:val="24"/>
        </w:rPr>
        <w:t>BEFORE THE</w:t>
      </w:r>
    </w:p>
    <w:p w14:paraId="6067C208" w14:textId="77777777" w:rsidR="003A5CD9" w:rsidRPr="00B65AE7" w:rsidRDefault="003A5CD9" w:rsidP="00605555">
      <w:pPr>
        <w:jc w:val="center"/>
        <w:rPr>
          <w:b/>
          <w:bCs/>
          <w:sz w:val="24"/>
          <w:szCs w:val="24"/>
        </w:rPr>
      </w:pPr>
      <w:r w:rsidRPr="00DE1B1E">
        <w:rPr>
          <w:b/>
          <w:bCs/>
          <w:sz w:val="24"/>
          <w:szCs w:val="24"/>
        </w:rPr>
        <w:t>PENNSYLVANIA PUB</w:t>
      </w:r>
      <w:r w:rsidRPr="00B65AE7">
        <w:rPr>
          <w:b/>
          <w:bCs/>
          <w:sz w:val="24"/>
          <w:szCs w:val="24"/>
        </w:rPr>
        <w:t>LIC UTILITY COMMISSION</w:t>
      </w:r>
    </w:p>
    <w:p w14:paraId="078B99B5" w14:textId="676B05F3" w:rsidR="00377A85" w:rsidRDefault="00377A85" w:rsidP="00605555">
      <w:pPr>
        <w:rPr>
          <w:b/>
          <w:bCs/>
          <w:sz w:val="24"/>
          <w:szCs w:val="24"/>
        </w:rPr>
      </w:pPr>
    </w:p>
    <w:p w14:paraId="0FD033B1" w14:textId="415BBCCE" w:rsidR="00030489" w:rsidRDefault="00030489" w:rsidP="00605555">
      <w:pPr>
        <w:rPr>
          <w:b/>
          <w:bCs/>
          <w:sz w:val="24"/>
          <w:szCs w:val="24"/>
        </w:rPr>
      </w:pPr>
    </w:p>
    <w:p w14:paraId="77670AD1" w14:textId="77777777" w:rsidR="00030489" w:rsidRPr="00B65AE7" w:rsidRDefault="00030489" w:rsidP="00605555">
      <w:pPr>
        <w:rPr>
          <w:b/>
          <w:bCs/>
          <w:sz w:val="24"/>
          <w:szCs w:val="24"/>
        </w:rPr>
      </w:pPr>
    </w:p>
    <w:p w14:paraId="11945E58" w14:textId="4716E7EA" w:rsidR="00377A85" w:rsidRPr="00B65AE7" w:rsidRDefault="00EE114E" w:rsidP="00605555">
      <w:pPr>
        <w:rPr>
          <w:sz w:val="24"/>
        </w:rPr>
      </w:pPr>
      <w:r w:rsidRPr="00B65AE7">
        <w:rPr>
          <w:sz w:val="24"/>
        </w:rPr>
        <w:t xml:space="preserve">Robin M. Woods </w:t>
      </w:r>
      <w:r w:rsidR="001F1553" w:rsidRPr="00B65AE7">
        <w:rPr>
          <w:sz w:val="24"/>
        </w:rPr>
        <w:tab/>
      </w:r>
      <w:r w:rsidR="001F1553" w:rsidRPr="00B65AE7">
        <w:rPr>
          <w:sz w:val="24"/>
        </w:rPr>
        <w:tab/>
      </w:r>
      <w:r w:rsidR="001F1553" w:rsidRPr="00B65AE7">
        <w:rPr>
          <w:sz w:val="24"/>
        </w:rPr>
        <w:tab/>
      </w:r>
      <w:r w:rsidR="00377A85" w:rsidRPr="00B65AE7">
        <w:rPr>
          <w:sz w:val="24"/>
        </w:rPr>
        <w:tab/>
      </w:r>
      <w:r w:rsidR="00030489">
        <w:rPr>
          <w:sz w:val="24"/>
        </w:rPr>
        <w:tab/>
      </w:r>
      <w:r w:rsidR="00377A85" w:rsidRPr="00B65AE7">
        <w:rPr>
          <w:sz w:val="24"/>
        </w:rPr>
        <w:t>:</w:t>
      </w:r>
    </w:p>
    <w:p w14:paraId="03F4022E" w14:textId="54CBDCBD" w:rsidR="00377A85" w:rsidRPr="00B65AE7" w:rsidRDefault="001F1553" w:rsidP="00605555">
      <w:pPr>
        <w:rPr>
          <w:sz w:val="24"/>
        </w:rPr>
      </w:pPr>
      <w:r w:rsidRPr="00B65AE7">
        <w:rPr>
          <w:sz w:val="24"/>
        </w:rPr>
        <w:tab/>
      </w:r>
      <w:r w:rsidR="00377A85" w:rsidRPr="00B65AE7">
        <w:rPr>
          <w:sz w:val="24"/>
        </w:rPr>
        <w:tab/>
      </w:r>
      <w:r w:rsidR="00377A85" w:rsidRPr="00B65AE7">
        <w:rPr>
          <w:sz w:val="24"/>
        </w:rPr>
        <w:tab/>
      </w:r>
      <w:r w:rsidR="00377A85" w:rsidRPr="00B65AE7">
        <w:rPr>
          <w:sz w:val="24"/>
        </w:rPr>
        <w:tab/>
      </w:r>
      <w:r w:rsidR="00377A85" w:rsidRPr="00B65AE7">
        <w:rPr>
          <w:sz w:val="24"/>
        </w:rPr>
        <w:tab/>
      </w:r>
      <w:r w:rsidR="00377A85" w:rsidRPr="00B65AE7">
        <w:rPr>
          <w:sz w:val="24"/>
        </w:rPr>
        <w:tab/>
      </w:r>
      <w:r w:rsidR="00030489">
        <w:rPr>
          <w:sz w:val="24"/>
        </w:rPr>
        <w:tab/>
      </w:r>
      <w:r w:rsidR="00377A85" w:rsidRPr="00B65AE7">
        <w:rPr>
          <w:sz w:val="24"/>
        </w:rPr>
        <w:t>:</w:t>
      </w:r>
    </w:p>
    <w:p w14:paraId="430458A1" w14:textId="3F3599CE" w:rsidR="00377A85" w:rsidRPr="00B65AE7" w:rsidRDefault="00377A85" w:rsidP="00605555">
      <w:pPr>
        <w:rPr>
          <w:sz w:val="24"/>
        </w:rPr>
      </w:pPr>
      <w:r w:rsidRPr="00B65AE7">
        <w:rPr>
          <w:sz w:val="24"/>
        </w:rPr>
        <w:tab/>
      </w:r>
      <w:r w:rsidRPr="00B65AE7">
        <w:rPr>
          <w:sz w:val="24"/>
        </w:rPr>
        <w:tab/>
        <w:t>v.</w:t>
      </w:r>
      <w:r w:rsidRPr="00B65AE7">
        <w:rPr>
          <w:sz w:val="24"/>
        </w:rPr>
        <w:tab/>
      </w:r>
      <w:r w:rsidRPr="00B65AE7">
        <w:rPr>
          <w:sz w:val="24"/>
        </w:rPr>
        <w:tab/>
      </w:r>
      <w:r w:rsidRPr="00B65AE7">
        <w:rPr>
          <w:sz w:val="24"/>
        </w:rPr>
        <w:tab/>
      </w:r>
      <w:r w:rsidRPr="00B65AE7">
        <w:rPr>
          <w:sz w:val="24"/>
        </w:rPr>
        <w:tab/>
      </w:r>
      <w:r w:rsidR="00030489">
        <w:rPr>
          <w:sz w:val="24"/>
        </w:rPr>
        <w:tab/>
      </w:r>
      <w:r w:rsidRPr="00B65AE7">
        <w:rPr>
          <w:sz w:val="24"/>
        </w:rPr>
        <w:t>:</w:t>
      </w:r>
      <w:r w:rsidRPr="00B65AE7">
        <w:rPr>
          <w:sz w:val="24"/>
        </w:rPr>
        <w:tab/>
      </w:r>
      <w:r w:rsidR="00030489">
        <w:rPr>
          <w:sz w:val="24"/>
        </w:rPr>
        <w:tab/>
      </w:r>
      <w:r w:rsidRPr="00B65AE7">
        <w:rPr>
          <w:sz w:val="24"/>
        </w:rPr>
        <w:t>C-201</w:t>
      </w:r>
      <w:r w:rsidR="00EE114E" w:rsidRPr="00B65AE7">
        <w:rPr>
          <w:sz w:val="24"/>
        </w:rPr>
        <w:t>9</w:t>
      </w:r>
      <w:r w:rsidRPr="00B65AE7">
        <w:rPr>
          <w:sz w:val="24"/>
        </w:rPr>
        <w:t>-</w:t>
      </w:r>
      <w:r w:rsidR="00EE114E" w:rsidRPr="00B65AE7">
        <w:rPr>
          <w:sz w:val="24"/>
        </w:rPr>
        <w:t>3009165</w:t>
      </w:r>
    </w:p>
    <w:p w14:paraId="18C901FD" w14:textId="51F5B731" w:rsidR="00377A85" w:rsidRPr="00B65AE7" w:rsidRDefault="00377A85" w:rsidP="00605555">
      <w:pPr>
        <w:rPr>
          <w:sz w:val="24"/>
        </w:rPr>
      </w:pPr>
      <w:r w:rsidRPr="00B65AE7">
        <w:rPr>
          <w:sz w:val="24"/>
        </w:rPr>
        <w:tab/>
      </w:r>
      <w:r w:rsidRPr="00B65AE7">
        <w:rPr>
          <w:sz w:val="24"/>
        </w:rPr>
        <w:tab/>
      </w:r>
      <w:r w:rsidRPr="00B65AE7">
        <w:rPr>
          <w:sz w:val="24"/>
        </w:rPr>
        <w:tab/>
      </w:r>
      <w:r w:rsidRPr="00B65AE7">
        <w:rPr>
          <w:sz w:val="24"/>
        </w:rPr>
        <w:tab/>
      </w:r>
      <w:r w:rsidRPr="00B65AE7">
        <w:rPr>
          <w:sz w:val="24"/>
        </w:rPr>
        <w:tab/>
      </w:r>
      <w:r w:rsidRPr="00B65AE7">
        <w:rPr>
          <w:sz w:val="24"/>
        </w:rPr>
        <w:tab/>
      </w:r>
      <w:r w:rsidR="00030489">
        <w:rPr>
          <w:sz w:val="24"/>
        </w:rPr>
        <w:tab/>
      </w:r>
      <w:r w:rsidRPr="00B65AE7">
        <w:rPr>
          <w:sz w:val="24"/>
        </w:rPr>
        <w:t>:</w:t>
      </w:r>
    </w:p>
    <w:p w14:paraId="1EAB47FA" w14:textId="5A81C37E" w:rsidR="00377A85" w:rsidRPr="00B65AE7" w:rsidRDefault="00EE114E" w:rsidP="00605555">
      <w:pPr>
        <w:rPr>
          <w:sz w:val="24"/>
        </w:rPr>
      </w:pPr>
      <w:r w:rsidRPr="00B65AE7">
        <w:rPr>
          <w:sz w:val="24"/>
        </w:rPr>
        <w:t>Duquesne Light Company</w:t>
      </w:r>
      <w:r w:rsidRPr="00B65AE7">
        <w:rPr>
          <w:sz w:val="24"/>
        </w:rPr>
        <w:tab/>
      </w:r>
      <w:r w:rsidR="001F1553" w:rsidRPr="00B65AE7">
        <w:rPr>
          <w:sz w:val="24"/>
        </w:rPr>
        <w:tab/>
      </w:r>
      <w:r w:rsidR="001F1553" w:rsidRPr="00B65AE7">
        <w:rPr>
          <w:sz w:val="24"/>
        </w:rPr>
        <w:tab/>
      </w:r>
      <w:r w:rsidR="00030489">
        <w:rPr>
          <w:sz w:val="24"/>
        </w:rPr>
        <w:tab/>
      </w:r>
      <w:r w:rsidR="00377A85" w:rsidRPr="00B65AE7">
        <w:rPr>
          <w:sz w:val="24"/>
        </w:rPr>
        <w:t>:</w:t>
      </w:r>
    </w:p>
    <w:p w14:paraId="2BF511C5" w14:textId="77777777" w:rsidR="00377A85" w:rsidRPr="00B65AE7" w:rsidRDefault="00377A85" w:rsidP="00605555">
      <w:pPr>
        <w:rPr>
          <w:sz w:val="24"/>
        </w:rPr>
      </w:pPr>
      <w:r w:rsidRPr="00B65AE7">
        <w:rPr>
          <w:sz w:val="24"/>
        </w:rPr>
        <w:tab/>
      </w:r>
      <w:r w:rsidRPr="00B65AE7">
        <w:rPr>
          <w:sz w:val="24"/>
        </w:rPr>
        <w:tab/>
      </w:r>
      <w:r w:rsidRPr="00B65AE7">
        <w:rPr>
          <w:sz w:val="24"/>
        </w:rPr>
        <w:tab/>
      </w:r>
    </w:p>
    <w:p w14:paraId="627B6FFF" w14:textId="77777777" w:rsidR="00377A85" w:rsidRPr="00B65AE7" w:rsidRDefault="00377A85" w:rsidP="00582017">
      <w:pPr>
        <w:ind w:firstLine="1440"/>
        <w:jc w:val="center"/>
        <w:rPr>
          <w:b/>
          <w:sz w:val="24"/>
          <w:u w:val="single"/>
        </w:rPr>
      </w:pPr>
    </w:p>
    <w:p w14:paraId="34847336" w14:textId="77777777" w:rsidR="009F070A" w:rsidRPr="00B65AE7" w:rsidRDefault="009F070A" w:rsidP="00605555">
      <w:pPr>
        <w:ind w:firstLine="1440"/>
        <w:rPr>
          <w:b/>
          <w:sz w:val="24"/>
          <w:szCs w:val="24"/>
          <w:u w:val="single"/>
        </w:rPr>
      </w:pPr>
    </w:p>
    <w:p w14:paraId="5844B5D5" w14:textId="37B0CB0F" w:rsidR="00A43C6E" w:rsidRPr="00B65AE7" w:rsidRDefault="009F070A" w:rsidP="009754D8">
      <w:pPr>
        <w:jc w:val="center"/>
        <w:rPr>
          <w:sz w:val="24"/>
        </w:rPr>
      </w:pPr>
      <w:r w:rsidRPr="00B65AE7">
        <w:rPr>
          <w:b/>
          <w:sz w:val="24"/>
          <w:szCs w:val="24"/>
          <w:u w:val="single"/>
        </w:rPr>
        <w:t>ORDER</w:t>
      </w:r>
      <w:r w:rsidR="00F6605A" w:rsidRPr="00B65AE7">
        <w:rPr>
          <w:b/>
          <w:sz w:val="24"/>
          <w:szCs w:val="24"/>
          <w:u w:val="single"/>
        </w:rPr>
        <w:t xml:space="preserve"> </w:t>
      </w:r>
      <w:r w:rsidR="00377A85" w:rsidRPr="00B65AE7">
        <w:rPr>
          <w:b/>
          <w:sz w:val="24"/>
          <w:szCs w:val="24"/>
          <w:u w:val="single"/>
        </w:rPr>
        <w:t>D</w:t>
      </w:r>
      <w:r w:rsidR="009D1C50" w:rsidRPr="00B65AE7">
        <w:rPr>
          <w:b/>
          <w:sz w:val="24"/>
          <w:szCs w:val="24"/>
          <w:u w:val="single"/>
        </w:rPr>
        <w:t xml:space="preserve">ENYING </w:t>
      </w:r>
      <w:r w:rsidRPr="00B65AE7">
        <w:rPr>
          <w:b/>
          <w:sz w:val="24"/>
          <w:szCs w:val="24"/>
          <w:u w:val="single"/>
        </w:rPr>
        <w:t xml:space="preserve">MOTION </w:t>
      </w:r>
      <w:r w:rsidR="005A3CCE" w:rsidRPr="00B65AE7">
        <w:rPr>
          <w:b/>
          <w:sz w:val="24"/>
          <w:szCs w:val="24"/>
          <w:u w:val="single"/>
        </w:rPr>
        <w:t xml:space="preserve">FOR </w:t>
      </w:r>
      <w:r w:rsidR="001F1553" w:rsidRPr="00B65AE7">
        <w:rPr>
          <w:b/>
          <w:sz w:val="24"/>
          <w:szCs w:val="24"/>
          <w:u w:val="single"/>
        </w:rPr>
        <w:t>JUDGMENT ON THE PLEADINGS</w:t>
      </w:r>
      <w:r w:rsidR="00582017" w:rsidRPr="00B65AE7">
        <w:rPr>
          <w:b/>
          <w:sz w:val="24"/>
          <w:szCs w:val="24"/>
          <w:u w:val="single"/>
        </w:rPr>
        <w:t xml:space="preserve"> </w:t>
      </w:r>
    </w:p>
    <w:p w14:paraId="5F0096B3" w14:textId="080406BB" w:rsidR="00582017" w:rsidRDefault="00582017" w:rsidP="00030489">
      <w:pPr>
        <w:ind w:firstLine="1440"/>
        <w:rPr>
          <w:sz w:val="24"/>
        </w:rPr>
      </w:pPr>
    </w:p>
    <w:p w14:paraId="1D82DE7F" w14:textId="77777777" w:rsidR="00030489" w:rsidRPr="00B65AE7" w:rsidRDefault="00030489" w:rsidP="00030489">
      <w:pPr>
        <w:ind w:firstLine="1440"/>
        <w:rPr>
          <w:sz w:val="24"/>
        </w:rPr>
      </w:pPr>
    </w:p>
    <w:p w14:paraId="7F293F6D" w14:textId="1E6942C5" w:rsidR="00BB3D2C" w:rsidRPr="00B65AE7" w:rsidRDefault="00BB3D2C" w:rsidP="00030489">
      <w:pPr>
        <w:pStyle w:val="NormalWeb"/>
        <w:spacing w:before="0" w:beforeAutospacing="0" w:after="0" w:afterAutospacing="0" w:line="360" w:lineRule="auto"/>
        <w:ind w:firstLine="1440"/>
        <w:rPr>
          <w:bCs/>
          <w:color w:val="000000"/>
        </w:rPr>
      </w:pPr>
      <w:r w:rsidRPr="00B65AE7">
        <w:rPr>
          <w:bCs/>
          <w:color w:val="000000"/>
        </w:rPr>
        <w:t>On April 1, 2019, Robin Woods (Complainant or Ms. Woods) filed a complaint seeking a credit on her electric account of $7,400.80.  She averred that she does not need a payment plan as her bills average $85 per month.  Complaint at 3.  The Complaint was served upon Duquesne Light Company (</w:t>
      </w:r>
      <w:r w:rsidR="009754D8" w:rsidRPr="00B65AE7">
        <w:rPr>
          <w:bCs/>
          <w:color w:val="000000"/>
        </w:rPr>
        <w:t xml:space="preserve">Respondent or </w:t>
      </w:r>
      <w:r w:rsidRPr="00B65AE7">
        <w:rPr>
          <w:bCs/>
          <w:color w:val="000000"/>
        </w:rPr>
        <w:t xml:space="preserve">Duquesne Light) on April 15, 2019. </w:t>
      </w:r>
    </w:p>
    <w:p w14:paraId="0184FD93" w14:textId="15CF8AC6" w:rsidR="009754D8" w:rsidRPr="00B65AE7" w:rsidRDefault="00BB3D2C" w:rsidP="00605555">
      <w:pPr>
        <w:pStyle w:val="NormalWeb"/>
        <w:spacing w:line="360" w:lineRule="auto"/>
        <w:ind w:firstLine="1440"/>
        <w:rPr>
          <w:bCs/>
          <w:color w:val="000000"/>
        </w:rPr>
      </w:pPr>
      <w:r w:rsidRPr="00B65AE7">
        <w:rPr>
          <w:bCs/>
          <w:color w:val="000000"/>
        </w:rPr>
        <w:t xml:space="preserve">On May 29, 2019, a Notice of Hearing was issued scheduling a hearing on July  22, 2019.  A Prehearing Order was issued on </w:t>
      </w:r>
      <w:r w:rsidR="009754D8" w:rsidRPr="00B65AE7">
        <w:rPr>
          <w:bCs/>
          <w:color w:val="000000"/>
        </w:rPr>
        <w:t xml:space="preserve">June 3, 2019.  On May 3, 2019, </w:t>
      </w:r>
      <w:r w:rsidRPr="00B65AE7">
        <w:rPr>
          <w:bCs/>
          <w:color w:val="000000"/>
        </w:rPr>
        <w:t xml:space="preserve">Respondent filed an Answer and New Matter denying the material averments in the Complaint and averring that Complainant filed nine complaints with the Commission within a two-year period and is abusing the Commission’s administrative process.  </w:t>
      </w:r>
    </w:p>
    <w:p w14:paraId="6538BEF8" w14:textId="419D41DB" w:rsidR="009754D8" w:rsidRPr="00B65AE7" w:rsidRDefault="009754D8" w:rsidP="00605555">
      <w:pPr>
        <w:pStyle w:val="NormalWeb"/>
        <w:spacing w:line="360" w:lineRule="auto"/>
        <w:ind w:firstLine="1440"/>
        <w:rPr>
          <w:bCs/>
          <w:color w:val="000000"/>
        </w:rPr>
      </w:pPr>
      <w:r w:rsidRPr="00B65AE7">
        <w:rPr>
          <w:bCs/>
          <w:color w:val="000000"/>
        </w:rPr>
        <w:t xml:space="preserve">On June 17, 2019, Duquesne Light filed a Motion for Judgment on the Pleadings with a notice to plead attached.  </w:t>
      </w:r>
      <w:r w:rsidR="009308B2" w:rsidRPr="009308B2">
        <w:rPr>
          <w:bCs/>
          <w:color w:val="000000"/>
        </w:rPr>
        <w:t>Respondent claims no genuine issue of material fact exists</w:t>
      </w:r>
      <w:r w:rsidR="00C35E65">
        <w:rPr>
          <w:bCs/>
          <w:color w:val="000000"/>
        </w:rPr>
        <w:t xml:space="preserve"> because</w:t>
      </w:r>
      <w:r w:rsidR="009308B2" w:rsidRPr="009308B2">
        <w:rPr>
          <w:bCs/>
          <w:color w:val="000000"/>
        </w:rPr>
        <w:t xml:space="preserve"> the facts as averred by Complainant in addition to those averred in New Matter </w:t>
      </w:r>
      <w:r w:rsidR="009308B2">
        <w:rPr>
          <w:bCs/>
          <w:color w:val="000000"/>
        </w:rPr>
        <w:t>if</w:t>
      </w:r>
      <w:r w:rsidR="009308B2" w:rsidRPr="009308B2">
        <w:rPr>
          <w:bCs/>
          <w:color w:val="000000"/>
        </w:rPr>
        <w:t xml:space="preserve"> taken as true, </w:t>
      </w:r>
      <w:r w:rsidR="00C35E65">
        <w:rPr>
          <w:bCs/>
          <w:color w:val="000000"/>
        </w:rPr>
        <w:t xml:space="preserve">show </w:t>
      </w:r>
      <w:r w:rsidR="009308B2" w:rsidRPr="009308B2">
        <w:rPr>
          <w:bCs/>
          <w:color w:val="000000"/>
        </w:rPr>
        <w:t xml:space="preserve">it is undisputed Complainant filed nine similar complaints in </w:t>
      </w:r>
      <w:r w:rsidR="009308B2">
        <w:rPr>
          <w:bCs/>
          <w:color w:val="000000"/>
        </w:rPr>
        <w:t xml:space="preserve">the past </w:t>
      </w:r>
      <w:r w:rsidR="00C35E65">
        <w:rPr>
          <w:bCs/>
          <w:color w:val="000000"/>
        </w:rPr>
        <w:t>t</w:t>
      </w:r>
      <w:r w:rsidR="009308B2" w:rsidRPr="009308B2">
        <w:rPr>
          <w:bCs/>
          <w:color w:val="000000"/>
        </w:rPr>
        <w:t>wo years</w:t>
      </w:r>
      <w:r w:rsidR="00C35E65">
        <w:rPr>
          <w:bCs/>
          <w:color w:val="000000"/>
        </w:rPr>
        <w:t>.  Thus</w:t>
      </w:r>
      <w:r w:rsidR="009308B2" w:rsidRPr="009308B2">
        <w:rPr>
          <w:bCs/>
          <w:color w:val="000000"/>
        </w:rPr>
        <w:t>, the instant complaint should be dismissed</w:t>
      </w:r>
      <w:r w:rsidR="009308B2">
        <w:rPr>
          <w:bCs/>
          <w:color w:val="000000"/>
        </w:rPr>
        <w:t xml:space="preserve"> for abuse of process</w:t>
      </w:r>
      <w:r w:rsidR="009308B2" w:rsidRPr="009308B2">
        <w:rPr>
          <w:bCs/>
          <w:color w:val="000000"/>
        </w:rPr>
        <w:t xml:space="preserve">.    </w:t>
      </w:r>
      <w:r w:rsidRPr="00B65AE7">
        <w:rPr>
          <w:bCs/>
          <w:color w:val="000000"/>
        </w:rPr>
        <w:t>To date, Complainant has not filed a response to the Motion, which is now ripe for a decision.</w:t>
      </w:r>
    </w:p>
    <w:p w14:paraId="14899039" w14:textId="77777777" w:rsidR="00030489" w:rsidRDefault="009754D8" w:rsidP="009308B2">
      <w:pPr>
        <w:spacing w:line="360" w:lineRule="auto"/>
        <w:ind w:firstLine="1440"/>
        <w:rPr>
          <w:sz w:val="24"/>
        </w:rPr>
        <w:sectPr w:rsidR="00030489" w:rsidSect="00752691">
          <w:footerReference w:type="default" r:id="rId8"/>
          <w:footerReference w:type="first" r:id="rId9"/>
          <w:pgSz w:w="12240" w:h="15840" w:code="1"/>
          <w:pgMar w:top="1440" w:right="1440" w:bottom="1440" w:left="1440" w:header="720" w:footer="720" w:gutter="0"/>
          <w:cols w:space="720"/>
          <w:titlePg/>
          <w:docGrid w:linePitch="360"/>
        </w:sectPr>
      </w:pPr>
      <w:r w:rsidRPr="00B65AE7">
        <w:rPr>
          <w:sz w:val="24"/>
        </w:rPr>
        <w:t xml:space="preserve">A Motion for Judgment </w:t>
      </w:r>
      <w:proofErr w:type="gramStart"/>
      <w:r w:rsidRPr="00B65AE7">
        <w:rPr>
          <w:sz w:val="24"/>
        </w:rPr>
        <w:t>On</w:t>
      </w:r>
      <w:proofErr w:type="gramEnd"/>
      <w:r w:rsidRPr="00B65AE7">
        <w:rPr>
          <w:sz w:val="24"/>
        </w:rPr>
        <w:t xml:space="preserve"> the Pleadings is appropriate when the pleadings show that there is no factual dispute and the moving party is entitled to judgment as a matter of law.  </w:t>
      </w:r>
    </w:p>
    <w:p w14:paraId="4CE856CC" w14:textId="1DAD184A" w:rsidR="009754D8" w:rsidRPr="00B65AE7" w:rsidRDefault="009754D8" w:rsidP="009308B2">
      <w:pPr>
        <w:spacing w:line="360" w:lineRule="auto"/>
        <w:ind w:firstLine="1440"/>
        <w:rPr>
          <w:sz w:val="24"/>
        </w:rPr>
      </w:pPr>
    </w:p>
    <w:p w14:paraId="0856C0BB" w14:textId="77777777" w:rsidR="009754D8" w:rsidRPr="00B65AE7" w:rsidRDefault="009754D8" w:rsidP="009754D8">
      <w:pPr>
        <w:pStyle w:val="Heading4"/>
        <w:ind w:left="1440" w:right="1440"/>
        <w:rPr>
          <w:rFonts w:ascii="Times New Roman" w:hAnsi="Times New Roman"/>
          <w:color w:val="auto"/>
          <w:sz w:val="24"/>
        </w:rPr>
      </w:pPr>
      <w:r w:rsidRPr="00B65AE7">
        <w:rPr>
          <w:rFonts w:ascii="Times New Roman" w:hAnsi="Times New Roman"/>
          <w:color w:val="auto"/>
          <w:sz w:val="24"/>
          <w:szCs w:val="27"/>
        </w:rPr>
        <w:t>§ 5.102. </w:t>
      </w:r>
      <w:r w:rsidRPr="00B65AE7">
        <w:rPr>
          <w:rFonts w:ascii="Times New Roman" w:hAnsi="Times New Roman"/>
          <w:color w:val="auto"/>
          <w:sz w:val="24"/>
        </w:rPr>
        <w:t>Motions for summary judgment and judgment on the pleadings.</w:t>
      </w:r>
    </w:p>
    <w:p w14:paraId="032C79A3" w14:textId="77777777" w:rsidR="009754D8" w:rsidRPr="00B65AE7" w:rsidRDefault="009754D8" w:rsidP="009754D8">
      <w:pPr>
        <w:pStyle w:val="NormalWeb"/>
        <w:ind w:left="1440" w:right="1440"/>
      </w:pPr>
      <w:r w:rsidRPr="00B65AE7">
        <w:t> (a)  </w:t>
      </w:r>
      <w:r w:rsidRPr="00B65AE7">
        <w:rPr>
          <w:i/>
          <w:iCs/>
        </w:rPr>
        <w:t>Generally</w:t>
      </w:r>
      <w:r w:rsidRPr="00B65AE7">
        <w:t xml:space="preserve">. After the pleadings are closed, but within a time so that the hearing is not delayed, a party may move for judgment on the pleadings or summary judgment. A motion must contain a notice which states that an answer or other responsive pleading shall be filed within 20 days of service of the motion. </w:t>
      </w:r>
    </w:p>
    <w:p w14:paraId="5C43226D" w14:textId="77777777" w:rsidR="009754D8" w:rsidRPr="00B65AE7" w:rsidRDefault="009754D8" w:rsidP="009754D8">
      <w:pPr>
        <w:pStyle w:val="NormalWeb"/>
        <w:ind w:left="1440" w:right="1440"/>
      </w:pPr>
      <w:r w:rsidRPr="00B65AE7">
        <w:t> (b)  </w:t>
      </w:r>
      <w:r w:rsidRPr="00B65AE7">
        <w:rPr>
          <w:i/>
          <w:iCs/>
        </w:rPr>
        <w:t>Answers</w:t>
      </w:r>
      <w:r w:rsidRPr="00B65AE7">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 </w:t>
      </w:r>
    </w:p>
    <w:p w14:paraId="168CA2FE" w14:textId="77777777" w:rsidR="009754D8" w:rsidRPr="00B65AE7" w:rsidRDefault="009754D8" w:rsidP="009754D8">
      <w:pPr>
        <w:pStyle w:val="NormalWeb"/>
        <w:ind w:left="1440" w:right="1440"/>
      </w:pPr>
      <w:r w:rsidRPr="00B65AE7">
        <w:t> (c)  </w:t>
      </w:r>
      <w:r w:rsidRPr="00B65AE7">
        <w:rPr>
          <w:i/>
          <w:iCs/>
        </w:rPr>
        <w:t>Motion for summary judgment</w:t>
      </w:r>
      <w:r w:rsidRPr="00B65AE7">
        <w:t xml:space="preserve">. A motion for summary judgment must be based on the pleadings and depositions, answers to interrogatories, admissions and supporting affidavits. Documents not already filed with the Commission shall be filed with the motion. </w:t>
      </w:r>
    </w:p>
    <w:p w14:paraId="2C55AA44" w14:textId="77777777" w:rsidR="009754D8" w:rsidRPr="00B65AE7" w:rsidRDefault="009754D8" w:rsidP="009754D8">
      <w:pPr>
        <w:pStyle w:val="NormalWeb"/>
        <w:ind w:left="1440" w:right="1440"/>
      </w:pPr>
      <w:r w:rsidRPr="00B65AE7">
        <w:t> (d)  </w:t>
      </w:r>
      <w:r w:rsidRPr="00B65AE7">
        <w:rPr>
          <w:i/>
          <w:iCs/>
        </w:rPr>
        <w:t>Decisions on motions</w:t>
      </w:r>
      <w:r w:rsidRPr="00B65AE7">
        <w:t xml:space="preserve">. </w:t>
      </w:r>
    </w:p>
    <w:p w14:paraId="6D71AAD2" w14:textId="77777777" w:rsidR="009754D8" w:rsidRPr="00B65AE7" w:rsidRDefault="009754D8" w:rsidP="009754D8">
      <w:pPr>
        <w:pStyle w:val="NormalWeb"/>
        <w:ind w:left="1440"/>
      </w:pPr>
      <w:r w:rsidRPr="00B65AE7">
        <w:t>   (1)  </w:t>
      </w:r>
      <w:r w:rsidRPr="00B65AE7">
        <w:rPr>
          <w:i/>
          <w:iCs/>
        </w:rPr>
        <w:t>Standard for grant or denial on all counts</w:t>
      </w:r>
      <w:r w:rsidRPr="00B65AE7">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 </w:t>
      </w:r>
    </w:p>
    <w:p w14:paraId="3CB33C5D" w14:textId="77777777" w:rsidR="009754D8" w:rsidRPr="00B65AE7" w:rsidRDefault="009754D8" w:rsidP="009754D8">
      <w:pPr>
        <w:pStyle w:val="NormalWeb"/>
        <w:ind w:left="1440" w:right="1440"/>
        <w:jc w:val="center"/>
      </w:pPr>
      <w:r w:rsidRPr="00B65AE7">
        <w:t>* * *</w:t>
      </w:r>
    </w:p>
    <w:p w14:paraId="431FA236" w14:textId="77777777" w:rsidR="009754D8" w:rsidRPr="00B65AE7" w:rsidRDefault="009754D8" w:rsidP="009754D8">
      <w:pPr>
        <w:pStyle w:val="NormalWeb"/>
        <w:ind w:right="1440"/>
      </w:pPr>
      <w:r w:rsidRPr="00B65AE7">
        <w:t xml:space="preserve">52 Pa. Code § 5.102.  </w:t>
      </w:r>
    </w:p>
    <w:p w14:paraId="18108A54" w14:textId="77777777" w:rsidR="00030489" w:rsidRDefault="00B65AE7" w:rsidP="00B65AE7">
      <w:pPr>
        <w:spacing w:line="360" w:lineRule="auto"/>
        <w:ind w:firstLine="1440"/>
        <w:rPr>
          <w:sz w:val="24"/>
        </w:rPr>
        <w:sectPr w:rsidR="00030489" w:rsidSect="00752691">
          <w:footerReference w:type="first" r:id="rId10"/>
          <w:pgSz w:w="12240" w:h="15840" w:code="1"/>
          <w:pgMar w:top="1440" w:right="1440" w:bottom="1440" w:left="1440" w:header="720" w:footer="720" w:gutter="0"/>
          <w:cols w:space="720"/>
          <w:titlePg/>
          <w:docGrid w:linePitch="360"/>
        </w:sectPr>
      </w:pPr>
      <w:r w:rsidRPr="00DE1B1E">
        <w:rPr>
          <w:rFonts w:eastAsia="Calibri"/>
          <w:sz w:val="24"/>
        </w:rPr>
        <w:t>When deciding on a motion for summary judgment, a</w:t>
      </w:r>
      <w:r w:rsidRPr="00DE1B1E">
        <w:rPr>
          <w:sz w:val="24"/>
        </w:rPr>
        <w:t xml:space="preserve">ll doubts as to the existence of a genuine issue of material fact must be resolved against the moving party.  </w:t>
      </w:r>
      <w:r w:rsidRPr="00DE1B1E">
        <w:rPr>
          <w:i/>
          <w:sz w:val="24"/>
        </w:rPr>
        <w:t xml:space="preserve">Thompson Coal Co. v. Pike Coal Co., </w:t>
      </w:r>
      <w:r w:rsidRPr="00DE1B1E">
        <w:rPr>
          <w:sz w:val="24"/>
        </w:rPr>
        <w:t xml:space="preserve">488 Pa. 198, 412 A.2d 466 (1979).  However, once a motion for summary judgment is properly made and supported, it is generally accepted that the nonmoving party may not simply rest upon the mere allegations or denials of its pleading, but must set forth facts showing that there is a genuine issue for trial.  </w:t>
      </w:r>
      <w:r w:rsidRPr="00DE1B1E">
        <w:rPr>
          <w:i/>
          <w:sz w:val="24"/>
        </w:rPr>
        <w:t xml:space="preserve">Fiffick v. GAF Corporation, </w:t>
      </w:r>
      <w:r w:rsidRPr="00DE1B1E">
        <w:rPr>
          <w:sz w:val="24"/>
        </w:rPr>
        <w:t xml:space="preserve">603 A.2d 208 (Pa. </w:t>
      </w:r>
    </w:p>
    <w:p w14:paraId="061E0E0A" w14:textId="409E6835" w:rsidR="00B65AE7" w:rsidRPr="00DE1B1E" w:rsidRDefault="00B65AE7" w:rsidP="00B65AE7">
      <w:pPr>
        <w:spacing w:line="360" w:lineRule="auto"/>
        <w:ind w:firstLine="1440"/>
        <w:rPr>
          <w:bCs/>
          <w:i/>
          <w:sz w:val="24"/>
          <w:lang w:bidi="en-US"/>
        </w:rPr>
      </w:pPr>
      <w:r w:rsidRPr="00DE1B1E">
        <w:rPr>
          <w:sz w:val="24"/>
        </w:rPr>
        <w:t>Super. 1991) (Discussing the Pennsylvania Rules of Civil Procedure);</w:t>
      </w:r>
      <w:r w:rsidRPr="00DE1B1E">
        <w:rPr>
          <w:i/>
          <w:sz w:val="24"/>
        </w:rPr>
        <w:t xml:space="preserve"> </w:t>
      </w:r>
      <w:r w:rsidRPr="00DE1B1E">
        <w:rPr>
          <w:sz w:val="24"/>
        </w:rPr>
        <w:t xml:space="preserve"> </w:t>
      </w:r>
      <w:r w:rsidRPr="00DE1B1E">
        <w:rPr>
          <w:i/>
          <w:sz w:val="24"/>
        </w:rPr>
        <w:t xml:space="preserve"> </w:t>
      </w:r>
      <w:r w:rsidRPr="00DE1B1E">
        <w:rPr>
          <w:bCs/>
          <w:i/>
          <w:sz w:val="24"/>
        </w:rPr>
        <w:t xml:space="preserve">Anderson v. Liberty Lobby, Inc., Inc., </w:t>
      </w:r>
      <w:r w:rsidRPr="00DE1B1E">
        <w:rPr>
          <w:bCs/>
          <w:sz w:val="24"/>
        </w:rPr>
        <w:t>477 U.S. 242 (1986) (Discussing the Federal Rules of Civil Procedure)</w:t>
      </w:r>
      <w:r w:rsidRPr="00DE1B1E">
        <w:rPr>
          <w:bCs/>
          <w:i/>
          <w:sz w:val="24"/>
        </w:rPr>
        <w:t>.</w:t>
      </w:r>
    </w:p>
    <w:p w14:paraId="5E751F57" w14:textId="32B88F70" w:rsidR="00EE114E" w:rsidRPr="00B65AE7" w:rsidRDefault="009754D8" w:rsidP="00605555">
      <w:pPr>
        <w:pStyle w:val="NormalWeb"/>
        <w:spacing w:line="360" w:lineRule="auto"/>
        <w:ind w:firstLine="1440"/>
        <w:rPr>
          <w:bCs/>
          <w:color w:val="000000"/>
        </w:rPr>
      </w:pPr>
      <w:r w:rsidRPr="00B65AE7">
        <w:rPr>
          <w:bCs/>
          <w:color w:val="000000"/>
        </w:rPr>
        <w:t xml:space="preserve">The </w:t>
      </w:r>
      <w:r w:rsidR="00EE114E" w:rsidRPr="00B65AE7">
        <w:rPr>
          <w:bCs/>
          <w:color w:val="000000"/>
        </w:rPr>
        <w:t xml:space="preserve">Commission opined a similarly situated Complainant </w:t>
      </w:r>
      <w:r w:rsidRPr="00B65AE7">
        <w:rPr>
          <w:bCs/>
          <w:color w:val="000000"/>
        </w:rPr>
        <w:t xml:space="preserve">to Ms. Woods </w:t>
      </w:r>
      <w:r w:rsidR="00EE114E" w:rsidRPr="00B65AE7">
        <w:rPr>
          <w:bCs/>
          <w:color w:val="000000"/>
        </w:rPr>
        <w:t>was entitled to a hearing</w:t>
      </w:r>
      <w:r w:rsidR="00BB3D2C" w:rsidRPr="00B65AE7">
        <w:rPr>
          <w:bCs/>
          <w:color w:val="000000"/>
        </w:rPr>
        <w:t xml:space="preserve"> </w:t>
      </w:r>
      <w:r w:rsidRPr="00B65AE7">
        <w:rPr>
          <w:bCs/>
          <w:color w:val="000000"/>
        </w:rPr>
        <w:t xml:space="preserve">in </w:t>
      </w:r>
      <w:r w:rsidR="00BB3D2C" w:rsidRPr="00B65AE7">
        <w:rPr>
          <w:bCs/>
          <w:i/>
          <w:iCs/>
          <w:color w:val="000000"/>
        </w:rPr>
        <w:t>Mark Mazza v. PECO Energy Company</w:t>
      </w:r>
      <w:r w:rsidR="00BB3D2C" w:rsidRPr="00B65AE7">
        <w:rPr>
          <w:bCs/>
          <w:color w:val="000000"/>
        </w:rPr>
        <w:t>, Docket No. C-2011-2235775</w:t>
      </w:r>
      <w:r w:rsidR="00EE114E" w:rsidRPr="00B65AE7">
        <w:rPr>
          <w:bCs/>
          <w:color w:val="000000"/>
        </w:rPr>
        <w:t xml:space="preserve"> (Opinion and Order entered December 1, 2011).</w:t>
      </w:r>
      <w:r w:rsidRPr="00B65AE7">
        <w:rPr>
          <w:bCs/>
          <w:color w:val="000000"/>
        </w:rPr>
        <w:t xml:space="preserve">  In that case, the Commission reversed my Initial Decision, which had granted preliminary objections and dismissed a Complaint under the doctrine of </w:t>
      </w:r>
      <w:r w:rsidRPr="00B65AE7">
        <w:rPr>
          <w:bCs/>
          <w:i/>
          <w:iCs/>
          <w:color w:val="000000"/>
        </w:rPr>
        <w:t xml:space="preserve">lis pendens </w:t>
      </w:r>
      <w:r w:rsidRPr="00B65AE7">
        <w:rPr>
          <w:bCs/>
          <w:color w:val="000000"/>
        </w:rPr>
        <w:t>as Mr. Mazza had more than one complaint proceeding pending at the time he filed a complaint against an electric distribution company seeking to avoid termination of service for failure to timely pay his bills.  The Commission held:</w:t>
      </w:r>
    </w:p>
    <w:p w14:paraId="55E42F4F" w14:textId="77777777" w:rsidR="00BB3D2C" w:rsidRPr="00B65AE7" w:rsidRDefault="00BB3D2C" w:rsidP="009754D8">
      <w:pPr>
        <w:ind w:left="1440" w:right="720"/>
        <w:rPr>
          <w:sz w:val="24"/>
          <w:szCs w:val="26"/>
        </w:rPr>
      </w:pPr>
      <w:r w:rsidRPr="00B65AE7">
        <w:rPr>
          <w:sz w:val="24"/>
          <w:szCs w:val="26"/>
        </w:rPr>
        <w:t xml:space="preserve">We cannot conclude that the three prongs of the </w:t>
      </w:r>
      <w:r w:rsidRPr="00B65AE7">
        <w:rPr>
          <w:i/>
          <w:sz w:val="24"/>
          <w:szCs w:val="26"/>
        </w:rPr>
        <w:t xml:space="preserve">lis pendens </w:t>
      </w:r>
      <w:r w:rsidRPr="00B65AE7">
        <w:rPr>
          <w:sz w:val="24"/>
          <w:szCs w:val="26"/>
        </w:rPr>
        <w:t xml:space="preserve">doctrine have been met in this case because the causes of action are not identical.   In Complaints 1 and 2, the Complainant alleged that in 2009, PECO improperly terminated the Complainant’s service without notice and requested a payment arrangement.  In Complaint 3, the Complainant contested a 10-day termination notice that PECO issued on March 26, 2010, while Complaints 1 and 2 were still pending.  Complaint 4, filed April 4, 2011, contends that a shutoff notice issued by PECO was improper and insufficient.  Complaint 4 at 1-2.  While Complaint 4 does not clearly indicate the date of the alleged improper notice, the Supplement filed May 4, 2011, clarifies that Complainant was referring to a 10-day shut off notice issued by PECO on March 24, 2011.  In addition, the Supplement contests a 72-hour shut off notice issued by PECO on May 2, 2011, while Complaint 4 was pending.  </w:t>
      </w:r>
    </w:p>
    <w:p w14:paraId="2DF7BBE6" w14:textId="09AA4235" w:rsidR="00BB3D2C" w:rsidRPr="00B65AE7" w:rsidRDefault="009754D8" w:rsidP="009754D8">
      <w:pPr>
        <w:pStyle w:val="ListParagraph"/>
        <w:ind w:left="1800" w:right="720"/>
        <w:jc w:val="center"/>
        <w:rPr>
          <w:szCs w:val="26"/>
        </w:rPr>
      </w:pPr>
      <w:r w:rsidRPr="00B65AE7">
        <w:rPr>
          <w:szCs w:val="26"/>
        </w:rPr>
        <w:t>* **</w:t>
      </w:r>
    </w:p>
    <w:p w14:paraId="11F4880E" w14:textId="77777777" w:rsidR="00BB3D2C" w:rsidRPr="00B65AE7" w:rsidRDefault="00BB3D2C" w:rsidP="009754D8">
      <w:pPr>
        <w:ind w:left="1440" w:right="720"/>
        <w:rPr>
          <w:sz w:val="24"/>
          <w:szCs w:val="26"/>
        </w:rPr>
      </w:pPr>
    </w:p>
    <w:p w14:paraId="6D142D71" w14:textId="77777777" w:rsidR="00BB3D2C" w:rsidRPr="00B65AE7" w:rsidRDefault="00BB3D2C" w:rsidP="009754D8">
      <w:pPr>
        <w:ind w:left="1440" w:right="720"/>
        <w:rPr>
          <w:sz w:val="24"/>
          <w:szCs w:val="26"/>
        </w:rPr>
      </w:pPr>
      <w:r w:rsidRPr="00B65AE7">
        <w:rPr>
          <w:sz w:val="24"/>
          <w:szCs w:val="26"/>
        </w:rPr>
        <w:t>Complaint 4 is not barred by Complaints 1-3 to the extent that Complaint 4 concerns different events.  We do not believe that the ongoing litigation about the propriety of actions taken in 2009 and 2010 precludes the Complainant from challenging actions taken by PECO in 2011.  Since Complaint 4 does not concern the same events as those involved in Complaint’s 1-3, we cannot grant the Preliminary Objection.</w:t>
      </w:r>
    </w:p>
    <w:p w14:paraId="3A203645" w14:textId="77777777" w:rsidR="00BB3D2C" w:rsidRPr="00B65AE7" w:rsidRDefault="00BB3D2C" w:rsidP="009754D8">
      <w:pPr>
        <w:ind w:left="1440" w:right="720"/>
        <w:rPr>
          <w:sz w:val="24"/>
          <w:szCs w:val="26"/>
        </w:rPr>
      </w:pPr>
    </w:p>
    <w:p w14:paraId="00CED667" w14:textId="77777777" w:rsidR="00BB3D2C" w:rsidRPr="00B65AE7" w:rsidRDefault="00BB3D2C" w:rsidP="009754D8">
      <w:pPr>
        <w:ind w:left="1440" w:right="720"/>
        <w:rPr>
          <w:sz w:val="24"/>
          <w:szCs w:val="26"/>
        </w:rPr>
      </w:pPr>
      <w:r w:rsidRPr="00B65AE7">
        <w:rPr>
          <w:sz w:val="24"/>
          <w:szCs w:val="26"/>
        </w:rPr>
        <w:t xml:space="preserve">We find that this case is similar to </w:t>
      </w:r>
      <w:r w:rsidRPr="00B65AE7">
        <w:rPr>
          <w:i/>
          <w:sz w:val="24"/>
          <w:szCs w:val="26"/>
        </w:rPr>
        <w:t>Anderson v. PECO Energy Company</w:t>
      </w:r>
      <w:r w:rsidRPr="00B65AE7">
        <w:rPr>
          <w:sz w:val="24"/>
          <w:szCs w:val="26"/>
        </w:rPr>
        <w:t xml:space="preserve">, Docket No. C-2009-2136754 (Order entered May 20, 2011).  That case involved a Judgment on the Pleadings, filed by the same utility involved in the instant case, contending that the complainant’s bill dispute was barred by the doctrines of </w:t>
      </w:r>
      <w:r w:rsidRPr="00B65AE7">
        <w:rPr>
          <w:i/>
          <w:sz w:val="24"/>
          <w:szCs w:val="26"/>
        </w:rPr>
        <w:t>res judicata</w:t>
      </w:r>
      <w:r w:rsidRPr="00B65AE7">
        <w:rPr>
          <w:sz w:val="24"/>
          <w:szCs w:val="26"/>
        </w:rPr>
        <w:t xml:space="preserve"> and collateral estoppel.  The ALJ agreed, finding that the complainant had previously litigated a bill dispute with the respondent.  We reversed, in part, because the complainant contested bills in the second proceeding that were not contested in the first proceeding.  To the extent that the instant Complaint concerns a different set of facts than those involved in the prior cases, the Complaint is not barred by the prior litigation. </w:t>
      </w:r>
    </w:p>
    <w:p w14:paraId="1A03DF06" w14:textId="673BD6EC" w:rsidR="00BB3D2C" w:rsidRDefault="00BB3D2C" w:rsidP="00BB3D2C">
      <w:pPr>
        <w:spacing w:line="360" w:lineRule="auto"/>
        <w:ind w:firstLine="1440"/>
        <w:rPr>
          <w:sz w:val="24"/>
          <w:szCs w:val="26"/>
        </w:rPr>
      </w:pPr>
    </w:p>
    <w:p w14:paraId="7DB11C62" w14:textId="7EE70DED" w:rsidR="009308B2" w:rsidRPr="009308B2" w:rsidRDefault="009308B2" w:rsidP="009308B2">
      <w:pPr>
        <w:spacing w:line="360" w:lineRule="auto"/>
        <w:rPr>
          <w:i/>
          <w:iCs/>
          <w:sz w:val="24"/>
          <w:szCs w:val="26"/>
        </w:rPr>
      </w:pPr>
      <w:r>
        <w:rPr>
          <w:i/>
          <w:iCs/>
          <w:sz w:val="24"/>
          <w:szCs w:val="26"/>
        </w:rPr>
        <w:t>Id.</w:t>
      </w:r>
    </w:p>
    <w:p w14:paraId="1A24C6CF" w14:textId="61E9FCD0" w:rsidR="00B65AE7" w:rsidRPr="00B65AE7" w:rsidRDefault="00BB3D2C" w:rsidP="00B65AE7">
      <w:pPr>
        <w:spacing w:line="360" w:lineRule="auto"/>
        <w:ind w:firstLine="1440"/>
        <w:rPr>
          <w:sz w:val="24"/>
          <w:szCs w:val="26"/>
        </w:rPr>
      </w:pPr>
      <w:r w:rsidRPr="00B65AE7">
        <w:rPr>
          <w:sz w:val="24"/>
          <w:szCs w:val="26"/>
        </w:rPr>
        <w:t xml:space="preserve">The Commission has on occasion precluded a party from filing further informal and formal complaints when the party has been an abuser of the system.  </w:t>
      </w:r>
      <w:r w:rsidR="00B65AE7" w:rsidRPr="00B65AE7">
        <w:rPr>
          <w:sz w:val="24"/>
          <w:szCs w:val="26"/>
        </w:rPr>
        <w:t>I</w:t>
      </w:r>
      <w:r w:rsidRPr="00B65AE7">
        <w:rPr>
          <w:sz w:val="24"/>
          <w:szCs w:val="26"/>
        </w:rPr>
        <w:t xml:space="preserve">n </w:t>
      </w:r>
      <w:r w:rsidRPr="00B65AE7">
        <w:rPr>
          <w:i/>
          <w:sz w:val="24"/>
          <w:szCs w:val="26"/>
        </w:rPr>
        <w:t>Sheri Seidenstricker v. Metropolitan Edison Company</w:t>
      </w:r>
      <w:r w:rsidRPr="00B65AE7">
        <w:rPr>
          <w:sz w:val="24"/>
          <w:szCs w:val="26"/>
        </w:rPr>
        <w:t>, Docket No. F</w:t>
      </w:r>
      <w:r w:rsidRPr="00B65AE7">
        <w:rPr>
          <w:sz w:val="24"/>
          <w:szCs w:val="26"/>
        </w:rPr>
        <w:noBreakHyphen/>
        <w:t>2008</w:t>
      </w:r>
      <w:r w:rsidRPr="00B65AE7">
        <w:rPr>
          <w:sz w:val="24"/>
          <w:szCs w:val="26"/>
        </w:rPr>
        <w:noBreakHyphen/>
        <w:t xml:space="preserve">2019388 (Final Order entered July 28, 2009), the Commission adopted the Administrative Law Judge’s Initial Decision which, </w:t>
      </w:r>
      <w:r w:rsidRPr="00B65AE7">
        <w:rPr>
          <w:i/>
          <w:sz w:val="24"/>
          <w:szCs w:val="26"/>
        </w:rPr>
        <w:t xml:space="preserve">inter alia, </w:t>
      </w:r>
      <w:r w:rsidRPr="00B65AE7">
        <w:rPr>
          <w:sz w:val="24"/>
          <w:szCs w:val="26"/>
        </w:rPr>
        <w:t xml:space="preserve">ordered that complainant be precluded from filing further informal and formal complaints pertaining to the same account until such time as the current balance on that account was paid in full, after finding that complainant had abused the system by using its provisions to prevent termination of service over the course of many years while receiving electric utility service from respondent and accruing a large outstanding balance.  Similarly, in </w:t>
      </w:r>
      <w:r w:rsidR="00B65AE7" w:rsidRPr="00B65AE7">
        <w:rPr>
          <w:i/>
          <w:iCs/>
          <w:sz w:val="24"/>
          <w:szCs w:val="26"/>
        </w:rPr>
        <w:t xml:space="preserve">Mazza v. PECO Energy Co., </w:t>
      </w:r>
      <w:r w:rsidR="00B65AE7" w:rsidRPr="00B65AE7">
        <w:rPr>
          <w:sz w:val="24"/>
          <w:szCs w:val="26"/>
        </w:rPr>
        <w:t>Docket No. C-2012-2318472, the Commission ultimately found an abuse of process (Opinion and Order entered April 23, 2014)</w:t>
      </w:r>
      <w:r w:rsidR="00C35E65">
        <w:rPr>
          <w:sz w:val="24"/>
          <w:szCs w:val="26"/>
        </w:rPr>
        <w:t xml:space="preserve"> and precluded the filing of future complaints until the arrearage on the account was satisfied</w:t>
      </w:r>
      <w:r w:rsidR="00B65AE7" w:rsidRPr="00B65AE7">
        <w:rPr>
          <w:sz w:val="24"/>
          <w:szCs w:val="26"/>
        </w:rPr>
        <w:t xml:space="preserve">. </w:t>
      </w:r>
    </w:p>
    <w:p w14:paraId="5FA23E4B" w14:textId="77777777" w:rsidR="00B65AE7" w:rsidRPr="00B65AE7" w:rsidRDefault="00B65AE7" w:rsidP="00B65AE7">
      <w:pPr>
        <w:spacing w:line="360" w:lineRule="auto"/>
        <w:ind w:firstLine="1440"/>
        <w:rPr>
          <w:sz w:val="24"/>
          <w:szCs w:val="26"/>
        </w:rPr>
      </w:pPr>
    </w:p>
    <w:p w14:paraId="0F7D8433" w14:textId="77777777" w:rsidR="00AA6E14" w:rsidRDefault="00B65AE7" w:rsidP="00B65AE7">
      <w:pPr>
        <w:spacing w:line="360" w:lineRule="auto"/>
        <w:ind w:firstLine="1440"/>
        <w:rPr>
          <w:sz w:val="24"/>
          <w:szCs w:val="26"/>
        </w:rPr>
      </w:pPr>
      <w:r w:rsidRPr="00B65AE7">
        <w:rPr>
          <w:sz w:val="24"/>
          <w:szCs w:val="26"/>
        </w:rPr>
        <w:t xml:space="preserve">In </w:t>
      </w:r>
      <w:r w:rsidR="00BB3D2C" w:rsidRPr="00B65AE7">
        <w:rPr>
          <w:sz w:val="24"/>
          <w:szCs w:val="26"/>
        </w:rPr>
        <w:t xml:space="preserve">the instant case, </w:t>
      </w:r>
      <w:r w:rsidR="009308B2">
        <w:rPr>
          <w:sz w:val="24"/>
          <w:szCs w:val="26"/>
        </w:rPr>
        <w:t xml:space="preserve">accepting as true Complainant’s averments and the New Matter of Respondent, there is insufficient evidence before me to conclude that there has been an abuse of process and the prior complaint proceedings are identical to the instant complaint.  </w:t>
      </w:r>
      <w:r w:rsidR="00C35E65">
        <w:rPr>
          <w:sz w:val="24"/>
          <w:szCs w:val="26"/>
        </w:rPr>
        <w:t>Respondent’s</w:t>
      </w:r>
      <w:r w:rsidR="009308B2">
        <w:rPr>
          <w:sz w:val="24"/>
          <w:szCs w:val="26"/>
        </w:rPr>
        <w:t xml:space="preserve"> Exhibit B </w:t>
      </w:r>
      <w:r w:rsidR="00C35E65">
        <w:rPr>
          <w:sz w:val="24"/>
          <w:szCs w:val="26"/>
        </w:rPr>
        <w:t xml:space="preserve">attached to the Answer and New Matter </w:t>
      </w:r>
      <w:r w:rsidR="009308B2">
        <w:rPr>
          <w:sz w:val="24"/>
          <w:szCs w:val="26"/>
        </w:rPr>
        <w:t>shows a Summary of Complaints</w:t>
      </w:r>
      <w:r w:rsidR="00AA6E14">
        <w:rPr>
          <w:sz w:val="24"/>
          <w:szCs w:val="26"/>
        </w:rPr>
        <w:t>/Decisions</w:t>
      </w:r>
      <w:r w:rsidR="009308B2">
        <w:rPr>
          <w:sz w:val="24"/>
          <w:szCs w:val="26"/>
        </w:rPr>
        <w:t>, and 9 decisions are Bureau of Consumer Services decisions in response to informal complaint proceedings.  Although</w:t>
      </w:r>
      <w:r w:rsidR="00AA6E14">
        <w:rPr>
          <w:sz w:val="24"/>
          <w:szCs w:val="26"/>
        </w:rPr>
        <w:t xml:space="preserve"> one</w:t>
      </w:r>
      <w:r w:rsidR="009308B2">
        <w:rPr>
          <w:sz w:val="24"/>
          <w:szCs w:val="26"/>
        </w:rPr>
        <w:t xml:space="preserve"> formal complaint was filed at Docket No. F-2018-3003831 on August 3, 2018, this was resolved by the filing of a certificate of satisfaction.  </w:t>
      </w:r>
      <w:r w:rsidR="00C35E65">
        <w:rPr>
          <w:sz w:val="24"/>
          <w:szCs w:val="26"/>
        </w:rPr>
        <w:t xml:space="preserve"> There was only one prior formal complaint involving a disputed account balance of $7,321.98.  </w:t>
      </w:r>
      <w:r w:rsidR="009308B2">
        <w:rPr>
          <w:sz w:val="24"/>
          <w:szCs w:val="26"/>
        </w:rPr>
        <w:t xml:space="preserve"> </w:t>
      </w:r>
    </w:p>
    <w:p w14:paraId="48675E2E" w14:textId="77777777" w:rsidR="00AA6E14" w:rsidRDefault="00AA6E14" w:rsidP="00B65AE7">
      <w:pPr>
        <w:spacing w:line="360" w:lineRule="auto"/>
        <w:ind w:firstLine="1440"/>
        <w:rPr>
          <w:sz w:val="24"/>
          <w:szCs w:val="26"/>
        </w:rPr>
      </w:pPr>
    </w:p>
    <w:p w14:paraId="7E6A8904" w14:textId="1B94E652" w:rsidR="00D32CEB" w:rsidRDefault="00BB3D2C" w:rsidP="00AA6E14">
      <w:pPr>
        <w:spacing w:line="360" w:lineRule="auto"/>
        <w:ind w:firstLine="1440"/>
        <w:rPr>
          <w:rFonts w:eastAsia="Calibri"/>
          <w:sz w:val="24"/>
        </w:rPr>
      </w:pPr>
      <w:r w:rsidRPr="00B65AE7">
        <w:rPr>
          <w:sz w:val="24"/>
          <w:szCs w:val="26"/>
        </w:rPr>
        <w:t xml:space="preserve">Complainant is required to pay undisputed amounts during the pendency of the complaint process.  52 Pa. Code § 56.181.  In addition, </w:t>
      </w:r>
      <w:r w:rsidR="00B65AE7" w:rsidRPr="00B65AE7">
        <w:rPr>
          <w:sz w:val="24"/>
          <w:szCs w:val="26"/>
        </w:rPr>
        <w:t xml:space="preserve">the Commission may </w:t>
      </w:r>
      <w:r w:rsidRPr="00B65AE7">
        <w:rPr>
          <w:sz w:val="24"/>
          <w:szCs w:val="26"/>
        </w:rPr>
        <w:t>impose sanctions in a</w:t>
      </w:r>
      <w:r w:rsidR="00B65AE7" w:rsidRPr="00B65AE7">
        <w:rPr>
          <w:sz w:val="24"/>
          <w:szCs w:val="26"/>
        </w:rPr>
        <w:t xml:space="preserve"> case involving abuse of due process such as barring the filing of future complaints regarding a particular service address.  </w:t>
      </w:r>
      <w:r w:rsidR="00C35E65">
        <w:rPr>
          <w:sz w:val="24"/>
          <w:szCs w:val="26"/>
        </w:rPr>
        <w:t>However, there remains a genuine issue as to material fact regarding whether Complainant is entitled to a credit on her account and whether the filing of the instant complaint is an abuse of process.</w:t>
      </w:r>
      <w:r w:rsidR="00AA6E14">
        <w:rPr>
          <w:sz w:val="24"/>
          <w:szCs w:val="26"/>
        </w:rPr>
        <w:t xml:space="preserve">  </w:t>
      </w:r>
      <w:r w:rsidR="004337CF">
        <w:rPr>
          <w:sz w:val="24"/>
          <w:szCs w:val="24"/>
        </w:rPr>
        <w:t xml:space="preserve">Accordingly, the Motion for </w:t>
      </w:r>
      <w:r w:rsidR="00A81A29">
        <w:rPr>
          <w:sz w:val="24"/>
          <w:szCs w:val="24"/>
        </w:rPr>
        <w:t xml:space="preserve">Judgment on the Pleadings </w:t>
      </w:r>
      <w:r w:rsidR="004337CF">
        <w:rPr>
          <w:sz w:val="24"/>
          <w:szCs w:val="24"/>
        </w:rPr>
        <w:t>shall be denied</w:t>
      </w:r>
      <w:r w:rsidR="00AA6E14">
        <w:rPr>
          <w:sz w:val="24"/>
          <w:szCs w:val="24"/>
        </w:rPr>
        <w:t xml:space="preserve"> and</w:t>
      </w:r>
      <w:bookmarkStart w:id="0" w:name="5.371."/>
      <w:r w:rsidR="00AA6E14">
        <w:rPr>
          <w:sz w:val="24"/>
          <w:szCs w:val="24"/>
        </w:rPr>
        <w:t xml:space="preserve"> t</w:t>
      </w:r>
      <w:r w:rsidR="00750A44">
        <w:rPr>
          <w:sz w:val="24"/>
          <w:szCs w:val="24"/>
        </w:rPr>
        <w:t>his case shall proceed to litigation.</w:t>
      </w:r>
    </w:p>
    <w:p w14:paraId="58176001" w14:textId="77777777" w:rsidR="00D079AC" w:rsidRDefault="00D079AC" w:rsidP="00605555">
      <w:pPr>
        <w:spacing w:line="360" w:lineRule="auto"/>
        <w:rPr>
          <w:rFonts w:eastAsia="Calibri"/>
          <w:sz w:val="24"/>
        </w:rPr>
      </w:pPr>
    </w:p>
    <w:p w14:paraId="13CAE274" w14:textId="6B1B72EF" w:rsidR="008D5FA2" w:rsidRDefault="00D079AC" w:rsidP="00605555">
      <w:pPr>
        <w:spacing w:line="360" w:lineRule="auto"/>
        <w:jc w:val="center"/>
        <w:rPr>
          <w:rFonts w:eastAsia="Calibri"/>
          <w:sz w:val="24"/>
          <w:u w:val="single"/>
        </w:rPr>
      </w:pPr>
      <w:r w:rsidRPr="00614949">
        <w:rPr>
          <w:rFonts w:eastAsia="Calibri"/>
          <w:sz w:val="24"/>
          <w:u w:val="single"/>
        </w:rPr>
        <w:t>ORDER</w:t>
      </w:r>
    </w:p>
    <w:p w14:paraId="17153DBA" w14:textId="24EDC8A3" w:rsidR="00030489" w:rsidRDefault="00030489" w:rsidP="00605555">
      <w:pPr>
        <w:spacing w:line="360" w:lineRule="auto"/>
        <w:jc w:val="center"/>
        <w:rPr>
          <w:rFonts w:eastAsia="Calibri"/>
          <w:sz w:val="24"/>
          <w:u w:val="single"/>
        </w:rPr>
      </w:pPr>
    </w:p>
    <w:p w14:paraId="5136D44E" w14:textId="77777777" w:rsidR="00030489" w:rsidRPr="000F31B2" w:rsidRDefault="00030489" w:rsidP="00605555">
      <w:pPr>
        <w:spacing w:line="360" w:lineRule="auto"/>
        <w:jc w:val="center"/>
        <w:rPr>
          <w:sz w:val="24"/>
          <w:szCs w:val="24"/>
        </w:rPr>
      </w:pPr>
    </w:p>
    <w:p w14:paraId="695E38AE" w14:textId="77777777" w:rsidR="00332F76" w:rsidRPr="00332F76" w:rsidRDefault="00332F76" w:rsidP="00605555">
      <w:pPr>
        <w:rPr>
          <w:sz w:val="24"/>
          <w:szCs w:val="24"/>
        </w:rPr>
      </w:pPr>
      <w:r w:rsidRPr="00332F76">
        <w:rPr>
          <w:sz w:val="24"/>
          <w:szCs w:val="24"/>
        </w:rPr>
        <w:tab/>
      </w:r>
      <w:r w:rsidR="00D079AC">
        <w:rPr>
          <w:sz w:val="24"/>
          <w:szCs w:val="24"/>
        </w:rPr>
        <w:tab/>
      </w:r>
      <w:r w:rsidRPr="00332F76">
        <w:rPr>
          <w:sz w:val="24"/>
          <w:szCs w:val="24"/>
        </w:rPr>
        <w:t>THEREFORE,</w:t>
      </w:r>
    </w:p>
    <w:p w14:paraId="5EB1626C" w14:textId="77777777" w:rsidR="00332F76" w:rsidRDefault="00332F76" w:rsidP="00030489">
      <w:pPr>
        <w:spacing w:line="360" w:lineRule="auto"/>
        <w:rPr>
          <w:sz w:val="24"/>
          <w:szCs w:val="24"/>
        </w:rPr>
      </w:pPr>
    </w:p>
    <w:p w14:paraId="30838239" w14:textId="77777777" w:rsidR="00332F76" w:rsidRDefault="00332F76" w:rsidP="00605555">
      <w:pPr>
        <w:ind w:firstLine="1440"/>
        <w:rPr>
          <w:sz w:val="24"/>
          <w:szCs w:val="24"/>
        </w:rPr>
      </w:pPr>
      <w:r w:rsidRPr="00332F76">
        <w:rPr>
          <w:sz w:val="24"/>
          <w:szCs w:val="24"/>
        </w:rPr>
        <w:t>IT IS ORDERED:</w:t>
      </w:r>
    </w:p>
    <w:p w14:paraId="40278C57" w14:textId="77777777" w:rsidR="007324E0" w:rsidRPr="00332F76" w:rsidRDefault="007324E0" w:rsidP="00030489">
      <w:pPr>
        <w:spacing w:line="360" w:lineRule="auto"/>
        <w:ind w:firstLine="1440"/>
        <w:rPr>
          <w:sz w:val="24"/>
          <w:szCs w:val="24"/>
        </w:rPr>
      </w:pPr>
    </w:p>
    <w:p w14:paraId="4E9AE15D" w14:textId="62AF1D82" w:rsidR="00834E00" w:rsidRPr="00750A44" w:rsidRDefault="00332F76" w:rsidP="00605555">
      <w:pPr>
        <w:pStyle w:val="ListParagraph"/>
        <w:numPr>
          <w:ilvl w:val="0"/>
          <w:numId w:val="5"/>
        </w:numPr>
        <w:tabs>
          <w:tab w:val="left" w:pos="1440"/>
        </w:tabs>
        <w:autoSpaceDE/>
        <w:autoSpaceDN/>
        <w:spacing w:line="360" w:lineRule="auto"/>
        <w:ind w:left="0" w:firstLine="1440"/>
        <w:contextualSpacing w:val="0"/>
      </w:pPr>
      <w:r w:rsidRPr="00332F76">
        <w:rPr>
          <w:rFonts w:ascii="Times New Roman" w:hAnsi="Times New Roman" w:cs="Times New Roman"/>
        </w:rPr>
        <w:t xml:space="preserve">That the </w:t>
      </w:r>
      <w:r w:rsidR="00BC4DCF">
        <w:rPr>
          <w:bCs/>
          <w:color w:val="000000"/>
        </w:rPr>
        <w:t xml:space="preserve">Motion of </w:t>
      </w:r>
      <w:r w:rsidR="00C35E65">
        <w:rPr>
          <w:bCs/>
          <w:color w:val="000000"/>
        </w:rPr>
        <w:t>Duquesne Light Company</w:t>
      </w:r>
      <w:r w:rsidR="004337CF">
        <w:rPr>
          <w:bCs/>
          <w:color w:val="000000"/>
        </w:rPr>
        <w:t xml:space="preserve"> </w:t>
      </w:r>
      <w:proofErr w:type="gramStart"/>
      <w:r w:rsidR="004337CF">
        <w:rPr>
          <w:bCs/>
          <w:color w:val="000000"/>
        </w:rPr>
        <w:t>For</w:t>
      </w:r>
      <w:proofErr w:type="gramEnd"/>
      <w:r w:rsidR="004337CF">
        <w:rPr>
          <w:bCs/>
          <w:color w:val="000000"/>
        </w:rPr>
        <w:t xml:space="preserve"> </w:t>
      </w:r>
      <w:r w:rsidR="00A81A29">
        <w:rPr>
          <w:bCs/>
          <w:color w:val="000000"/>
        </w:rPr>
        <w:t>Judgment on the Pleadings</w:t>
      </w:r>
      <w:r w:rsidR="004337CF">
        <w:rPr>
          <w:bCs/>
          <w:color w:val="000000"/>
        </w:rPr>
        <w:t xml:space="preserve"> is denied. </w:t>
      </w:r>
    </w:p>
    <w:p w14:paraId="26C49310" w14:textId="77777777" w:rsidR="00750A44" w:rsidRPr="00A81A29" w:rsidRDefault="00750A44" w:rsidP="00750A44">
      <w:pPr>
        <w:pStyle w:val="ListParagraph"/>
        <w:tabs>
          <w:tab w:val="left" w:pos="1440"/>
        </w:tabs>
        <w:autoSpaceDE/>
        <w:autoSpaceDN/>
        <w:spacing w:line="360" w:lineRule="auto"/>
        <w:ind w:left="1440"/>
        <w:contextualSpacing w:val="0"/>
      </w:pPr>
    </w:p>
    <w:p w14:paraId="3A8CDE63" w14:textId="76558E9C" w:rsidR="00BF1E20" w:rsidRPr="00A81A29" w:rsidRDefault="00BF1E20" w:rsidP="00605555">
      <w:pPr>
        <w:pStyle w:val="ListParagraph"/>
        <w:numPr>
          <w:ilvl w:val="0"/>
          <w:numId w:val="5"/>
        </w:numPr>
        <w:tabs>
          <w:tab w:val="left" w:pos="1440"/>
        </w:tabs>
        <w:autoSpaceDE/>
        <w:autoSpaceDN/>
        <w:spacing w:line="360" w:lineRule="auto"/>
        <w:ind w:left="0" w:firstLine="1440"/>
        <w:contextualSpacing w:val="0"/>
      </w:pPr>
      <w:r>
        <w:rPr>
          <w:bCs/>
          <w:color w:val="000000"/>
        </w:rPr>
        <w:t>That th</w:t>
      </w:r>
      <w:r w:rsidR="00750A44">
        <w:rPr>
          <w:bCs/>
          <w:color w:val="000000"/>
        </w:rPr>
        <w:t>e</w:t>
      </w:r>
      <w:r>
        <w:rPr>
          <w:bCs/>
          <w:color w:val="000000"/>
        </w:rPr>
        <w:t xml:space="preserve"> case at C-201</w:t>
      </w:r>
      <w:r w:rsidR="00C35E65">
        <w:rPr>
          <w:bCs/>
          <w:color w:val="000000"/>
        </w:rPr>
        <w:t>9</w:t>
      </w:r>
      <w:r>
        <w:rPr>
          <w:bCs/>
          <w:color w:val="000000"/>
        </w:rPr>
        <w:t>-</w:t>
      </w:r>
      <w:r w:rsidR="00C35E65">
        <w:rPr>
          <w:bCs/>
          <w:color w:val="000000"/>
        </w:rPr>
        <w:t>3009165</w:t>
      </w:r>
      <w:r>
        <w:rPr>
          <w:bCs/>
          <w:color w:val="000000"/>
        </w:rPr>
        <w:t xml:space="preserve"> shall </w:t>
      </w:r>
      <w:r w:rsidR="00C35E65">
        <w:rPr>
          <w:bCs/>
          <w:color w:val="000000"/>
        </w:rPr>
        <w:t>proceed to hearing as scheduled on July 22, 2019</w:t>
      </w:r>
      <w:r>
        <w:rPr>
          <w:bCs/>
          <w:color w:val="000000"/>
        </w:rPr>
        <w:t xml:space="preserve">. </w:t>
      </w:r>
    </w:p>
    <w:p w14:paraId="493C3EBA" w14:textId="77777777" w:rsidR="00A81A29" w:rsidRDefault="00A81A29" w:rsidP="00BF1E20">
      <w:pPr>
        <w:pStyle w:val="ListParagraph"/>
        <w:tabs>
          <w:tab w:val="left" w:pos="1440"/>
        </w:tabs>
        <w:autoSpaceDE/>
        <w:autoSpaceDN/>
        <w:spacing w:line="360" w:lineRule="auto"/>
        <w:ind w:left="1440"/>
        <w:contextualSpacing w:val="0"/>
        <w:rPr>
          <w:bCs/>
          <w:color w:val="000000"/>
        </w:rPr>
      </w:pPr>
    </w:p>
    <w:p w14:paraId="273F3958" w14:textId="77777777" w:rsidR="00BF1E20" w:rsidRPr="00605555" w:rsidRDefault="00BF1E20" w:rsidP="00BF1E20">
      <w:pPr>
        <w:tabs>
          <w:tab w:val="left" w:pos="1440"/>
        </w:tabs>
        <w:autoSpaceDE/>
        <w:autoSpaceDN/>
        <w:spacing w:line="360" w:lineRule="auto"/>
      </w:pPr>
      <w:r>
        <w:tab/>
      </w:r>
    </w:p>
    <w:p w14:paraId="505D5A2C" w14:textId="4C146CF7" w:rsidR="00910F1A" w:rsidRPr="002750F9" w:rsidRDefault="00910F1A" w:rsidP="00605555">
      <w:pPr>
        <w:rPr>
          <w:sz w:val="24"/>
          <w:szCs w:val="24"/>
          <w:u w:val="single"/>
        </w:rPr>
      </w:pPr>
      <w:r w:rsidRPr="002750F9">
        <w:rPr>
          <w:sz w:val="24"/>
          <w:szCs w:val="24"/>
        </w:rPr>
        <w:t xml:space="preserve">Date: </w:t>
      </w:r>
      <w:r w:rsidR="00BF1E20">
        <w:rPr>
          <w:sz w:val="24"/>
          <w:szCs w:val="24"/>
          <w:u w:val="single"/>
        </w:rPr>
        <w:t xml:space="preserve">July </w:t>
      </w:r>
      <w:r w:rsidR="00C35E65">
        <w:rPr>
          <w:sz w:val="24"/>
          <w:szCs w:val="24"/>
          <w:u w:val="single"/>
        </w:rPr>
        <w:t>16</w:t>
      </w:r>
      <w:r w:rsidR="00BF1E20">
        <w:rPr>
          <w:sz w:val="24"/>
          <w:szCs w:val="24"/>
          <w:u w:val="single"/>
        </w:rPr>
        <w:t>, 201</w:t>
      </w:r>
      <w:r w:rsidR="00C35E65">
        <w:rPr>
          <w:sz w:val="24"/>
          <w:szCs w:val="24"/>
          <w:u w:val="single"/>
        </w:rPr>
        <w:t>9</w:t>
      </w:r>
      <w:r w:rsidR="00BF1E20">
        <w:rPr>
          <w:sz w:val="24"/>
          <w:szCs w:val="24"/>
          <w:u w:val="single"/>
        </w:rPr>
        <w:tab/>
      </w:r>
      <w:r w:rsidRPr="002750F9">
        <w:rPr>
          <w:sz w:val="24"/>
          <w:szCs w:val="24"/>
        </w:rPr>
        <w:tab/>
      </w:r>
      <w:r w:rsidRPr="002750F9">
        <w:rPr>
          <w:sz w:val="24"/>
          <w:szCs w:val="24"/>
        </w:rPr>
        <w:tab/>
      </w:r>
      <w:r>
        <w:rPr>
          <w:sz w:val="24"/>
          <w:szCs w:val="24"/>
        </w:rPr>
        <w:tab/>
      </w:r>
      <w:r w:rsidRPr="002750F9">
        <w:rPr>
          <w:sz w:val="24"/>
          <w:szCs w:val="24"/>
          <w:u w:val="single"/>
        </w:rPr>
        <w:tab/>
      </w:r>
      <w:r w:rsidR="00AA6E14">
        <w:rPr>
          <w:sz w:val="24"/>
          <w:szCs w:val="24"/>
          <w:u w:val="single"/>
        </w:rPr>
        <w:t>/s/</w:t>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14:paraId="2859203B" w14:textId="225420D0" w:rsidR="00910F1A" w:rsidRPr="002750F9" w:rsidRDefault="00910F1A" w:rsidP="00605555">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sidRPr="002750F9">
        <w:rPr>
          <w:sz w:val="24"/>
          <w:szCs w:val="24"/>
        </w:rPr>
        <w:t xml:space="preserve">Elizabeth </w:t>
      </w:r>
      <w:r w:rsidR="00C35E65">
        <w:rPr>
          <w:sz w:val="24"/>
          <w:szCs w:val="24"/>
        </w:rPr>
        <w:t xml:space="preserve">H. </w:t>
      </w:r>
      <w:r w:rsidRPr="002750F9">
        <w:rPr>
          <w:sz w:val="24"/>
          <w:szCs w:val="24"/>
        </w:rPr>
        <w:t>Barnes</w:t>
      </w:r>
    </w:p>
    <w:p w14:paraId="7E362D87" w14:textId="77777777" w:rsidR="00910F1A" w:rsidRPr="002750F9" w:rsidRDefault="00910F1A" w:rsidP="00605555">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sidRPr="002750F9">
        <w:rPr>
          <w:sz w:val="24"/>
          <w:szCs w:val="24"/>
        </w:rPr>
        <w:t>Administrative Law Judge</w:t>
      </w:r>
    </w:p>
    <w:p w14:paraId="7F7D99C9" w14:textId="77777777" w:rsidR="00910F1A" w:rsidRPr="002750F9" w:rsidRDefault="00910F1A" w:rsidP="00605555">
      <w:pPr>
        <w:rPr>
          <w:sz w:val="24"/>
          <w:szCs w:val="24"/>
          <w:u w:val="single"/>
        </w:rPr>
      </w:pPr>
    </w:p>
    <w:p w14:paraId="1081BD11" w14:textId="77777777" w:rsidR="00A82FA4" w:rsidRPr="00605555" w:rsidRDefault="00910F1A" w:rsidP="00605555">
      <w:pPr>
        <w:rPr>
          <w:sz w:val="24"/>
          <w:szCs w:val="24"/>
        </w:rPr>
      </w:pPr>
      <w:r w:rsidRPr="002750F9">
        <w:rPr>
          <w:sz w:val="24"/>
          <w:szCs w:val="24"/>
        </w:rPr>
        <w:tab/>
      </w:r>
      <w:r w:rsidRPr="002750F9">
        <w:rPr>
          <w:sz w:val="24"/>
          <w:szCs w:val="24"/>
        </w:rPr>
        <w:tab/>
      </w:r>
      <w:r w:rsidRPr="002750F9">
        <w:rPr>
          <w:sz w:val="24"/>
          <w:szCs w:val="24"/>
        </w:rPr>
        <w:tab/>
      </w:r>
      <w:bookmarkStart w:id="1" w:name="_GoBack"/>
      <w:bookmarkEnd w:id="0"/>
      <w:bookmarkEnd w:id="1"/>
    </w:p>
    <w:p w14:paraId="6C1665B3" w14:textId="77777777" w:rsidR="00030489" w:rsidRDefault="00030489" w:rsidP="00605555">
      <w:pPr>
        <w:autoSpaceDE/>
        <w:autoSpaceDN/>
        <w:spacing w:line="360" w:lineRule="auto"/>
        <w:rPr>
          <w:bCs/>
          <w:color w:val="000000"/>
          <w:sz w:val="24"/>
          <w:szCs w:val="24"/>
        </w:rPr>
        <w:sectPr w:rsidR="00030489" w:rsidSect="00752691">
          <w:pgSz w:w="12240" w:h="15840" w:code="1"/>
          <w:pgMar w:top="1440" w:right="1440" w:bottom="1440" w:left="1440" w:header="720" w:footer="720" w:gutter="0"/>
          <w:cols w:space="720"/>
          <w:titlePg/>
          <w:docGrid w:linePitch="360"/>
        </w:sectPr>
      </w:pPr>
    </w:p>
    <w:p w14:paraId="13C38467" w14:textId="77777777" w:rsidR="00030489" w:rsidRDefault="00030489" w:rsidP="00030489">
      <w:r>
        <w:rPr>
          <w:rFonts w:ascii="Microsoft Sans Serif" w:eastAsia="Microsoft Sans Serif" w:hAnsi="Microsoft Sans Serif" w:cs="Microsoft Sans Serif"/>
          <w:b/>
          <w:sz w:val="24"/>
          <w:u w:val="single"/>
        </w:rPr>
        <w:t>C-2019-3009165 - ROBIN WOODS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ROBIN WOODS</w:t>
      </w:r>
      <w:r>
        <w:rPr>
          <w:rFonts w:ascii="Microsoft Sans Serif" w:eastAsia="Microsoft Sans Serif" w:hAnsi="Microsoft Sans Serif" w:cs="Microsoft Sans Serif"/>
          <w:sz w:val="24"/>
        </w:rPr>
        <w:cr/>
        <w:t>557 IDLEWOOD ROAD</w:t>
      </w:r>
      <w:r>
        <w:rPr>
          <w:rFonts w:ascii="Microsoft Sans Serif" w:eastAsia="Microsoft Sans Serif" w:hAnsi="Microsoft Sans Serif" w:cs="Microsoft Sans Serif"/>
          <w:sz w:val="24"/>
        </w:rPr>
        <w:cr/>
        <w:t>PITTSBURGH PA  15235</w:t>
      </w:r>
      <w:r>
        <w:rPr>
          <w:rFonts w:ascii="Microsoft Sans Serif" w:eastAsia="Microsoft Sans Serif" w:hAnsi="Microsoft Sans Serif" w:cs="Microsoft Sans Serif"/>
          <w:sz w:val="24"/>
        </w:rPr>
        <w:cr/>
      </w:r>
      <w:r w:rsidRPr="00BE351C">
        <w:rPr>
          <w:rFonts w:ascii="Microsoft Sans Serif" w:eastAsia="Microsoft Sans Serif" w:hAnsi="Microsoft Sans Serif" w:cs="Microsoft Sans Serif"/>
          <w:b/>
          <w:sz w:val="24"/>
        </w:rPr>
        <w:t>412.607.5141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BE351C">
        <w:rPr>
          <w:rFonts w:ascii="Microsoft Sans Serif" w:eastAsia="Microsoft Sans Serif" w:hAnsi="Microsoft Sans Serif" w:cs="Microsoft Sans Serif"/>
          <w:b/>
          <w:sz w:val="24"/>
        </w:rPr>
        <w:t>412.393.6431</w:t>
      </w:r>
      <w:r>
        <w:rPr>
          <w:rFonts w:ascii="Microsoft Sans Serif" w:eastAsia="Microsoft Sans Serif" w:hAnsi="Microsoft Sans Serif" w:cs="Microsoft Sans Serif"/>
          <w:b/>
          <w:sz w:val="24"/>
        </w:rPr>
        <w:br/>
      </w:r>
      <w:r w:rsidRPr="00BE351C">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4EBB13D2" w14:textId="77777777" w:rsidR="00030489" w:rsidRDefault="00030489" w:rsidP="00030489"/>
    <w:p w14:paraId="5C3EF131" w14:textId="6A3E1E1E" w:rsidR="00937FF8" w:rsidRDefault="00937FF8" w:rsidP="00605555">
      <w:pPr>
        <w:autoSpaceDE/>
        <w:autoSpaceDN/>
        <w:spacing w:line="360" w:lineRule="auto"/>
        <w:rPr>
          <w:bCs/>
          <w:color w:val="000000"/>
          <w:sz w:val="24"/>
          <w:szCs w:val="24"/>
        </w:rPr>
      </w:pPr>
    </w:p>
    <w:sectPr w:rsidR="00937FF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EEAC8" w14:textId="77777777" w:rsidR="00B321CD" w:rsidRDefault="00B321CD">
      <w:r>
        <w:separator/>
      </w:r>
    </w:p>
  </w:endnote>
  <w:endnote w:type="continuationSeparator" w:id="0">
    <w:p w14:paraId="3EE7B25B" w14:textId="77777777" w:rsidR="00B321CD" w:rsidRDefault="00B3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9876238"/>
      <w:docPartObj>
        <w:docPartGallery w:val="Page Numbers (Bottom of Page)"/>
        <w:docPartUnique/>
      </w:docPartObj>
    </w:sdtPr>
    <w:sdtEndPr>
      <w:rPr>
        <w:noProof/>
      </w:rPr>
    </w:sdtEndPr>
    <w:sdtContent>
      <w:p w14:paraId="315BE492" w14:textId="77777777" w:rsidR="00752691" w:rsidRDefault="00752691">
        <w:pPr>
          <w:pStyle w:val="Footer"/>
          <w:jc w:val="center"/>
        </w:pPr>
        <w:r>
          <w:fldChar w:fldCharType="begin"/>
        </w:r>
        <w:r>
          <w:instrText xml:space="preserve"> PAGE   \* MERGEFORMAT </w:instrText>
        </w:r>
        <w:r>
          <w:fldChar w:fldCharType="separate"/>
        </w:r>
        <w:r w:rsidR="00655495">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321381"/>
      <w:docPartObj>
        <w:docPartGallery w:val="Page Numbers (Bottom of Page)"/>
        <w:docPartUnique/>
      </w:docPartObj>
    </w:sdtPr>
    <w:sdtEndPr>
      <w:rPr>
        <w:noProof/>
      </w:rPr>
    </w:sdtEndPr>
    <w:sdtContent>
      <w:p w14:paraId="7B21B6CB" w14:textId="184565A4" w:rsidR="00BA3167" w:rsidRDefault="00B321CD">
        <w:pPr>
          <w:pStyle w:val="Footer"/>
          <w:jc w:val="center"/>
        </w:pPr>
      </w:p>
    </w:sdtContent>
  </w:sdt>
  <w:p w14:paraId="576E9616" w14:textId="77777777" w:rsidR="00BA3167" w:rsidRDefault="00BA3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981411"/>
      <w:docPartObj>
        <w:docPartGallery w:val="Page Numbers (Bottom of Page)"/>
        <w:docPartUnique/>
      </w:docPartObj>
    </w:sdtPr>
    <w:sdtEndPr>
      <w:rPr>
        <w:noProof/>
      </w:rPr>
    </w:sdtEndPr>
    <w:sdtContent>
      <w:p w14:paraId="0AA1E35B" w14:textId="77777777" w:rsidR="00030489" w:rsidRDefault="0003048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9DC8" w14:textId="7EAEA71F" w:rsidR="00030489" w:rsidRDefault="00030489">
    <w:pPr>
      <w:pStyle w:val="Footer"/>
      <w:jc w:val="center"/>
    </w:pPr>
  </w:p>
  <w:p w14:paraId="3509C1A5" w14:textId="77777777" w:rsidR="00030489" w:rsidRDefault="00030489" w:rsidP="00030489">
    <w:pPr>
      <w:pStyle w:val="Footer"/>
      <w:tabs>
        <w:tab w:val="clear" w:pos="4320"/>
        <w:tab w:val="clear" w:pos="8640"/>
        <w:tab w:val="left" w:pos="59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3BF01" w14:textId="77777777" w:rsidR="00B321CD" w:rsidRDefault="00B321CD">
      <w:r>
        <w:separator/>
      </w:r>
    </w:p>
  </w:footnote>
  <w:footnote w:type="continuationSeparator" w:id="0">
    <w:p w14:paraId="5578946E" w14:textId="77777777" w:rsidR="00B321CD" w:rsidRDefault="00B32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82E"/>
    <w:multiLevelType w:val="hybridMultilevel"/>
    <w:tmpl w:val="9D3A4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5A374FD"/>
    <w:multiLevelType w:val="hybridMultilevel"/>
    <w:tmpl w:val="8F1482CA"/>
    <w:lvl w:ilvl="0" w:tplc="1E9C9A22">
      <w:start w:val="5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45F2B72"/>
    <w:multiLevelType w:val="hybridMultilevel"/>
    <w:tmpl w:val="37CC0416"/>
    <w:lvl w:ilvl="0" w:tplc="3FD8BDA8">
      <w:start w:val="1"/>
      <w:numFmt w:val="decimal"/>
      <w:lvlText w:val="(%1)"/>
      <w:lvlJc w:val="left"/>
      <w:pPr>
        <w:ind w:left="2160" w:hanging="720"/>
      </w:pPr>
      <w:rPr>
        <w:rFonts w:ascii="Times New Roman" w:hAnsi="Times New Roman" w:cs="Times New Roman" w:hint="default"/>
        <w:sz w:val="26"/>
        <w:szCs w:val="2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6"/>
  </w:num>
  <w:num w:numId="3">
    <w:abstractNumId w:val="2"/>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4"/>
    <w:rsid w:val="00021CA5"/>
    <w:rsid w:val="00026F22"/>
    <w:rsid w:val="00026FF2"/>
    <w:rsid w:val="00030489"/>
    <w:rsid w:val="000535FC"/>
    <w:rsid w:val="000612FD"/>
    <w:rsid w:val="000633B4"/>
    <w:rsid w:val="00067AA0"/>
    <w:rsid w:val="00071F40"/>
    <w:rsid w:val="00076A98"/>
    <w:rsid w:val="000837BA"/>
    <w:rsid w:val="00087450"/>
    <w:rsid w:val="00087F9D"/>
    <w:rsid w:val="00091890"/>
    <w:rsid w:val="00093EC4"/>
    <w:rsid w:val="00096F74"/>
    <w:rsid w:val="000A028D"/>
    <w:rsid w:val="000B37EB"/>
    <w:rsid w:val="000B40DB"/>
    <w:rsid w:val="000C40CC"/>
    <w:rsid w:val="000C48E8"/>
    <w:rsid w:val="000D39CD"/>
    <w:rsid w:val="000D42F1"/>
    <w:rsid w:val="000E64D7"/>
    <w:rsid w:val="000E672F"/>
    <w:rsid w:val="000F0E92"/>
    <w:rsid w:val="000F31B2"/>
    <w:rsid w:val="000F49D4"/>
    <w:rsid w:val="000F51D6"/>
    <w:rsid w:val="001049DD"/>
    <w:rsid w:val="00115F44"/>
    <w:rsid w:val="00120926"/>
    <w:rsid w:val="0012162E"/>
    <w:rsid w:val="00122DFB"/>
    <w:rsid w:val="00123178"/>
    <w:rsid w:val="00140D8A"/>
    <w:rsid w:val="00144797"/>
    <w:rsid w:val="00147BBA"/>
    <w:rsid w:val="00150EB1"/>
    <w:rsid w:val="00151F43"/>
    <w:rsid w:val="00160071"/>
    <w:rsid w:val="001600B8"/>
    <w:rsid w:val="00163C9A"/>
    <w:rsid w:val="0016688B"/>
    <w:rsid w:val="00166B0E"/>
    <w:rsid w:val="001765C3"/>
    <w:rsid w:val="00182AE6"/>
    <w:rsid w:val="001A0634"/>
    <w:rsid w:val="001A1297"/>
    <w:rsid w:val="001B3CA8"/>
    <w:rsid w:val="001C54E5"/>
    <w:rsid w:val="001C5B6F"/>
    <w:rsid w:val="001D26CD"/>
    <w:rsid w:val="001D4D5D"/>
    <w:rsid w:val="001E7C84"/>
    <w:rsid w:val="001F1553"/>
    <w:rsid w:val="001F6D6A"/>
    <w:rsid w:val="001F7F8A"/>
    <w:rsid w:val="002066A0"/>
    <w:rsid w:val="00221C67"/>
    <w:rsid w:val="00224B33"/>
    <w:rsid w:val="00251B56"/>
    <w:rsid w:val="00272606"/>
    <w:rsid w:val="002750F9"/>
    <w:rsid w:val="00285A4D"/>
    <w:rsid w:val="00296B98"/>
    <w:rsid w:val="002B4E6F"/>
    <w:rsid w:val="002C5BF0"/>
    <w:rsid w:val="002D0ACB"/>
    <w:rsid w:val="002D1370"/>
    <w:rsid w:val="002F2797"/>
    <w:rsid w:val="003112BF"/>
    <w:rsid w:val="00315566"/>
    <w:rsid w:val="00317BB5"/>
    <w:rsid w:val="00331E68"/>
    <w:rsid w:val="00332F76"/>
    <w:rsid w:val="003368EC"/>
    <w:rsid w:val="00337F8B"/>
    <w:rsid w:val="003551D8"/>
    <w:rsid w:val="00355692"/>
    <w:rsid w:val="00360869"/>
    <w:rsid w:val="00361125"/>
    <w:rsid w:val="00375B1F"/>
    <w:rsid w:val="00377A85"/>
    <w:rsid w:val="00377F83"/>
    <w:rsid w:val="00386164"/>
    <w:rsid w:val="0039005C"/>
    <w:rsid w:val="0039588F"/>
    <w:rsid w:val="003A3CED"/>
    <w:rsid w:val="003A5CD9"/>
    <w:rsid w:val="003A6970"/>
    <w:rsid w:val="003B637C"/>
    <w:rsid w:val="003E7E9A"/>
    <w:rsid w:val="003F2366"/>
    <w:rsid w:val="003F308E"/>
    <w:rsid w:val="003F6F58"/>
    <w:rsid w:val="00400E5C"/>
    <w:rsid w:val="0040234D"/>
    <w:rsid w:val="00407A27"/>
    <w:rsid w:val="00422E5D"/>
    <w:rsid w:val="004314F9"/>
    <w:rsid w:val="004337CF"/>
    <w:rsid w:val="00454DE8"/>
    <w:rsid w:val="004602AD"/>
    <w:rsid w:val="004606D5"/>
    <w:rsid w:val="00462A6E"/>
    <w:rsid w:val="00462D04"/>
    <w:rsid w:val="00463D5C"/>
    <w:rsid w:val="0046497E"/>
    <w:rsid w:val="00466F8B"/>
    <w:rsid w:val="00471E24"/>
    <w:rsid w:val="00473A77"/>
    <w:rsid w:val="00496408"/>
    <w:rsid w:val="00496B51"/>
    <w:rsid w:val="004A538F"/>
    <w:rsid w:val="004B306D"/>
    <w:rsid w:val="004B4835"/>
    <w:rsid w:val="004C623A"/>
    <w:rsid w:val="004D1C55"/>
    <w:rsid w:val="004E2873"/>
    <w:rsid w:val="004F63F6"/>
    <w:rsid w:val="00501D55"/>
    <w:rsid w:val="005031B5"/>
    <w:rsid w:val="00505415"/>
    <w:rsid w:val="0050701F"/>
    <w:rsid w:val="0050702B"/>
    <w:rsid w:val="00511F40"/>
    <w:rsid w:val="0051329C"/>
    <w:rsid w:val="00523F3B"/>
    <w:rsid w:val="0053339D"/>
    <w:rsid w:val="005350BE"/>
    <w:rsid w:val="005414E2"/>
    <w:rsid w:val="00546E24"/>
    <w:rsid w:val="00554116"/>
    <w:rsid w:val="00565E1F"/>
    <w:rsid w:val="00566BBE"/>
    <w:rsid w:val="00571EDD"/>
    <w:rsid w:val="00575CFB"/>
    <w:rsid w:val="00582017"/>
    <w:rsid w:val="00582BE1"/>
    <w:rsid w:val="00586AEB"/>
    <w:rsid w:val="00587E30"/>
    <w:rsid w:val="00591A62"/>
    <w:rsid w:val="00596DE7"/>
    <w:rsid w:val="005A3CCE"/>
    <w:rsid w:val="005A5A18"/>
    <w:rsid w:val="005A7648"/>
    <w:rsid w:val="005B075C"/>
    <w:rsid w:val="005B1756"/>
    <w:rsid w:val="005B53D0"/>
    <w:rsid w:val="005E371B"/>
    <w:rsid w:val="005E6867"/>
    <w:rsid w:val="005E7F5F"/>
    <w:rsid w:val="006034E2"/>
    <w:rsid w:val="00604E56"/>
    <w:rsid w:val="00605555"/>
    <w:rsid w:val="00610E87"/>
    <w:rsid w:val="00614949"/>
    <w:rsid w:val="0061793B"/>
    <w:rsid w:val="00627348"/>
    <w:rsid w:val="006327B7"/>
    <w:rsid w:val="00655495"/>
    <w:rsid w:val="00655882"/>
    <w:rsid w:val="006575D7"/>
    <w:rsid w:val="0067197F"/>
    <w:rsid w:val="006756BD"/>
    <w:rsid w:val="00676DA4"/>
    <w:rsid w:val="00683208"/>
    <w:rsid w:val="00685397"/>
    <w:rsid w:val="00687073"/>
    <w:rsid w:val="0069128C"/>
    <w:rsid w:val="00695840"/>
    <w:rsid w:val="006A1505"/>
    <w:rsid w:val="006A18BD"/>
    <w:rsid w:val="006A75B3"/>
    <w:rsid w:val="006B08C2"/>
    <w:rsid w:val="006B1E2F"/>
    <w:rsid w:val="006B3980"/>
    <w:rsid w:val="006B7876"/>
    <w:rsid w:val="006C1DB1"/>
    <w:rsid w:val="006C49F8"/>
    <w:rsid w:val="006D3E5F"/>
    <w:rsid w:val="006E0F54"/>
    <w:rsid w:val="006E16E6"/>
    <w:rsid w:val="006F3971"/>
    <w:rsid w:val="006F4D3F"/>
    <w:rsid w:val="00701ABD"/>
    <w:rsid w:val="00702F40"/>
    <w:rsid w:val="007034C0"/>
    <w:rsid w:val="00716AB7"/>
    <w:rsid w:val="00717B2C"/>
    <w:rsid w:val="00723A87"/>
    <w:rsid w:val="00726AAE"/>
    <w:rsid w:val="007324E0"/>
    <w:rsid w:val="00732E00"/>
    <w:rsid w:val="00736CC4"/>
    <w:rsid w:val="00750A44"/>
    <w:rsid w:val="00752691"/>
    <w:rsid w:val="00752D8E"/>
    <w:rsid w:val="00760D2F"/>
    <w:rsid w:val="00770378"/>
    <w:rsid w:val="00771959"/>
    <w:rsid w:val="0077461C"/>
    <w:rsid w:val="007751E5"/>
    <w:rsid w:val="00777417"/>
    <w:rsid w:val="00783231"/>
    <w:rsid w:val="00792502"/>
    <w:rsid w:val="00792A6B"/>
    <w:rsid w:val="0079430D"/>
    <w:rsid w:val="007C46A0"/>
    <w:rsid w:val="007C4C3B"/>
    <w:rsid w:val="007D361E"/>
    <w:rsid w:val="007D464D"/>
    <w:rsid w:val="007E4D80"/>
    <w:rsid w:val="007E56EB"/>
    <w:rsid w:val="007E5F82"/>
    <w:rsid w:val="007E6BA7"/>
    <w:rsid w:val="007F29A5"/>
    <w:rsid w:val="007F7976"/>
    <w:rsid w:val="008009A4"/>
    <w:rsid w:val="008011FE"/>
    <w:rsid w:val="00807CE1"/>
    <w:rsid w:val="008103F7"/>
    <w:rsid w:val="00833298"/>
    <w:rsid w:val="00833A51"/>
    <w:rsid w:val="00834E00"/>
    <w:rsid w:val="00834E99"/>
    <w:rsid w:val="00846C00"/>
    <w:rsid w:val="008675F2"/>
    <w:rsid w:val="0087075E"/>
    <w:rsid w:val="008774F2"/>
    <w:rsid w:val="00881072"/>
    <w:rsid w:val="00881F34"/>
    <w:rsid w:val="00882840"/>
    <w:rsid w:val="008854EA"/>
    <w:rsid w:val="008934DA"/>
    <w:rsid w:val="008A3382"/>
    <w:rsid w:val="008A5DF2"/>
    <w:rsid w:val="008C1D05"/>
    <w:rsid w:val="008C53E7"/>
    <w:rsid w:val="008D3EE7"/>
    <w:rsid w:val="008D5FA2"/>
    <w:rsid w:val="008D6500"/>
    <w:rsid w:val="008E4586"/>
    <w:rsid w:val="008F2FCF"/>
    <w:rsid w:val="008F53EA"/>
    <w:rsid w:val="00910AC9"/>
    <w:rsid w:val="00910F1A"/>
    <w:rsid w:val="009116C6"/>
    <w:rsid w:val="009119CA"/>
    <w:rsid w:val="009140D0"/>
    <w:rsid w:val="009152CE"/>
    <w:rsid w:val="00925D67"/>
    <w:rsid w:val="009308B2"/>
    <w:rsid w:val="0093282A"/>
    <w:rsid w:val="00933192"/>
    <w:rsid w:val="00937FF8"/>
    <w:rsid w:val="00940AC9"/>
    <w:rsid w:val="0094378D"/>
    <w:rsid w:val="00954A95"/>
    <w:rsid w:val="009603B2"/>
    <w:rsid w:val="00961DD4"/>
    <w:rsid w:val="00963B5D"/>
    <w:rsid w:val="0096408B"/>
    <w:rsid w:val="009754D8"/>
    <w:rsid w:val="00975A63"/>
    <w:rsid w:val="00981D63"/>
    <w:rsid w:val="00983AC6"/>
    <w:rsid w:val="00983E1D"/>
    <w:rsid w:val="009B05B1"/>
    <w:rsid w:val="009D0D3A"/>
    <w:rsid w:val="009D1C50"/>
    <w:rsid w:val="009D205E"/>
    <w:rsid w:val="009D60CE"/>
    <w:rsid w:val="009D61C4"/>
    <w:rsid w:val="009D67F1"/>
    <w:rsid w:val="009E6A4F"/>
    <w:rsid w:val="009F070A"/>
    <w:rsid w:val="00A01330"/>
    <w:rsid w:val="00A06256"/>
    <w:rsid w:val="00A20D54"/>
    <w:rsid w:val="00A346E8"/>
    <w:rsid w:val="00A4149A"/>
    <w:rsid w:val="00A43C6E"/>
    <w:rsid w:val="00A51AA0"/>
    <w:rsid w:val="00A66698"/>
    <w:rsid w:val="00A67CFF"/>
    <w:rsid w:val="00A67E94"/>
    <w:rsid w:val="00A81A29"/>
    <w:rsid w:val="00A82EF8"/>
    <w:rsid w:val="00A82FA4"/>
    <w:rsid w:val="00A8610F"/>
    <w:rsid w:val="00A940B6"/>
    <w:rsid w:val="00AA6014"/>
    <w:rsid w:val="00AA6E14"/>
    <w:rsid w:val="00AB2A2D"/>
    <w:rsid w:val="00AB56D4"/>
    <w:rsid w:val="00AB6E9E"/>
    <w:rsid w:val="00AD0698"/>
    <w:rsid w:val="00AE6262"/>
    <w:rsid w:val="00AF288A"/>
    <w:rsid w:val="00AF4599"/>
    <w:rsid w:val="00AF4AD9"/>
    <w:rsid w:val="00B02B2C"/>
    <w:rsid w:val="00B1173B"/>
    <w:rsid w:val="00B13BD3"/>
    <w:rsid w:val="00B17EB7"/>
    <w:rsid w:val="00B218EC"/>
    <w:rsid w:val="00B23652"/>
    <w:rsid w:val="00B31FF9"/>
    <w:rsid w:val="00B321CD"/>
    <w:rsid w:val="00B32DEE"/>
    <w:rsid w:val="00B33E3D"/>
    <w:rsid w:val="00B34B0D"/>
    <w:rsid w:val="00B43E36"/>
    <w:rsid w:val="00B5543C"/>
    <w:rsid w:val="00B5596C"/>
    <w:rsid w:val="00B61D35"/>
    <w:rsid w:val="00B6442D"/>
    <w:rsid w:val="00B65AE7"/>
    <w:rsid w:val="00B67152"/>
    <w:rsid w:val="00B67424"/>
    <w:rsid w:val="00B70DA1"/>
    <w:rsid w:val="00B86061"/>
    <w:rsid w:val="00B9204F"/>
    <w:rsid w:val="00BA3167"/>
    <w:rsid w:val="00BB3D2C"/>
    <w:rsid w:val="00BB63B5"/>
    <w:rsid w:val="00BC4DCF"/>
    <w:rsid w:val="00BC6E84"/>
    <w:rsid w:val="00BE36CD"/>
    <w:rsid w:val="00BF1E20"/>
    <w:rsid w:val="00C02B4D"/>
    <w:rsid w:val="00C07D26"/>
    <w:rsid w:val="00C1255B"/>
    <w:rsid w:val="00C170D9"/>
    <w:rsid w:val="00C250C7"/>
    <w:rsid w:val="00C35E65"/>
    <w:rsid w:val="00C52198"/>
    <w:rsid w:val="00C54039"/>
    <w:rsid w:val="00C751CE"/>
    <w:rsid w:val="00C82AA0"/>
    <w:rsid w:val="00C851DD"/>
    <w:rsid w:val="00C96058"/>
    <w:rsid w:val="00CA63AA"/>
    <w:rsid w:val="00CB2D51"/>
    <w:rsid w:val="00CB7E48"/>
    <w:rsid w:val="00CC1BE1"/>
    <w:rsid w:val="00CE08CF"/>
    <w:rsid w:val="00CF2C2D"/>
    <w:rsid w:val="00D01C2C"/>
    <w:rsid w:val="00D04C42"/>
    <w:rsid w:val="00D079AC"/>
    <w:rsid w:val="00D13544"/>
    <w:rsid w:val="00D25A4C"/>
    <w:rsid w:val="00D269E9"/>
    <w:rsid w:val="00D30140"/>
    <w:rsid w:val="00D32CEB"/>
    <w:rsid w:val="00D52DAE"/>
    <w:rsid w:val="00D55527"/>
    <w:rsid w:val="00D651E3"/>
    <w:rsid w:val="00D7197E"/>
    <w:rsid w:val="00D72D4A"/>
    <w:rsid w:val="00D80BCE"/>
    <w:rsid w:val="00D828AF"/>
    <w:rsid w:val="00D85523"/>
    <w:rsid w:val="00D90B13"/>
    <w:rsid w:val="00D91597"/>
    <w:rsid w:val="00DA1FE4"/>
    <w:rsid w:val="00DA40F1"/>
    <w:rsid w:val="00DB273F"/>
    <w:rsid w:val="00DB6679"/>
    <w:rsid w:val="00DD43A3"/>
    <w:rsid w:val="00DE1B1E"/>
    <w:rsid w:val="00DF0230"/>
    <w:rsid w:val="00DF0E50"/>
    <w:rsid w:val="00DF545D"/>
    <w:rsid w:val="00E0098E"/>
    <w:rsid w:val="00E01DD4"/>
    <w:rsid w:val="00E033E1"/>
    <w:rsid w:val="00E04142"/>
    <w:rsid w:val="00E3299D"/>
    <w:rsid w:val="00E43B70"/>
    <w:rsid w:val="00E5415B"/>
    <w:rsid w:val="00E67968"/>
    <w:rsid w:val="00E72374"/>
    <w:rsid w:val="00E96E6C"/>
    <w:rsid w:val="00E97F93"/>
    <w:rsid w:val="00EA239F"/>
    <w:rsid w:val="00EB5C92"/>
    <w:rsid w:val="00EB6950"/>
    <w:rsid w:val="00EC6453"/>
    <w:rsid w:val="00ED1A48"/>
    <w:rsid w:val="00EE114E"/>
    <w:rsid w:val="00EE6C99"/>
    <w:rsid w:val="00EF144C"/>
    <w:rsid w:val="00EF161E"/>
    <w:rsid w:val="00EF60D3"/>
    <w:rsid w:val="00F10EDB"/>
    <w:rsid w:val="00F174EE"/>
    <w:rsid w:val="00F2122C"/>
    <w:rsid w:val="00F25271"/>
    <w:rsid w:val="00F26904"/>
    <w:rsid w:val="00F278E4"/>
    <w:rsid w:val="00F3679C"/>
    <w:rsid w:val="00F44E17"/>
    <w:rsid w:val="00F44FEA"/>
    <w:rsid w:val="00F6605A"/>
    <w:rsid w:val="00F76F6A"/>
    <w:rsid w:val="00F8411C"/>
    <w:rsid w:val="00F85701"/>
    <w:rsid w:val="00F87F6A"/>
    <w:rsid w:val="00F933AD"/>
    <w:rsid w:val="00F939A6"/>
    <w:rsid w:val="00F94057"/>
    <w:rsid w:val="00F953C0"/>
    <w:rsid w:val="00F967C6"/>
    <w:rsid w:val="00F968FF"/>
    <w:rsid w:val="00FA6CB2"/>
    <w:rsid w:val="00FB50AD"/>
    <w:rsid w:val="00FC2F10"/>
    <w:rsid w:val="00FD0D93"/>
    <w:rsid w:val="00FD756D"/>
    <w:rsid w:val="00FE095A"/>
    <w:rsid w:val="00FE285B"/>
    <w:rsid w:val="00FF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0084D11"/>
  <w15:docId w15:val="{A99BD0F0-00D9-4399-AA3C-CBF70D6C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aliases w:val="o,fr"/>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6034E2"/>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 w:type="paragraph" w:styleId="NormalWeb">
    <w:name w:val="Normal (Web)"/>
    <w:basedOn w:val="Normal"/>
    <w:rsid w:val="00A43C6E"/>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526618">
      <w:bodyDiv w:val="1"/>
      <w:marLeft w:val="0"/>
      <w:marRight w:val="0"/>
      <w:marTop w:val="0"/>
      <w:marBottom w:val="0"/>
      <w:divBdr>
        <w:top w:val="none" w:sz="0" w:space="0" w:color="auto"/>
        <w:left w:val="none" w:sz="0" w:space="0" w:color="auto"/>
        <w:bottom w:val="none" w:sz="0" w:space="0" w:color="auto"/>
        <w:right w:val="none" w:sz="0" w:space="0" w:color="auto"/>
      </w:divBdr>
    </w:div>
    <w:div w:id="582569215">
      <w:bodyDiv w:val="1"/>
      <w:marLeft w:val="0"/>
      <w:marRight w:val="0"/>
      <w:marTop w:val="0"/>
      <w:marBottom w:val="0"/>
      <w:divBdr>
        <w:top w:val="none" w:sz="0" w:space="0" w:color="auto"/>
        <w:left w:val="none" w:sz="0" w:space="0" w:color="auto"/>
        <w:bottom w:val="none" w:sz="0" w:space="0" w:color="auto"/>
        <w:right w:val="none" w:sz="0" w:space="0" w:color="auto"/>
      </w:divBdr>
      <w:divsChild>
        <w:div w:id="1454179065">
          <w:marLeft w:val="0"/>
          <w:marRight w:val="0"/>
          <w:marTop w:val="0"/>
          <w:marBottom w:val="0"/>
          <w:divBdr>
            <w:top w:val="none" w:sz="0" w:space="0" w:color="auto"/>
            <w:left w:val="none" w:sz="0" w:space="0" w:color="auto"/>
            <w:bottom w:val="single" w:sz="48" w:space="23" w:color="F5F5F5"/>
            <w:right w:val="none" w:sz="0" w:space="0" w:color="auto"/>
          </w:divBdr>
          <w:divsChild>
            <w:div w:id="1179352876">
              <w:marLeft w:val="0"/>
              <w:marRight w:val="0"/>
              <w:marTop w:val="0"/>
              <w:marBottom w:val="0"/>
              <w:divBdr>
                <w:top w:val="none" w:sz="0" w:space="0" w:color="auto"/>
                <w:left w:val="none" w:sz="0" w:space="0" w:color="auto"/>
                <w:bottom w:val="none" w:sz="0" w:space="0" w:color="auto"/>
                <w:right w:val="none" w:sz="0" w:space="0" w:color="auto"/>
              </w:divBdr>
              <w:divsChild>
                <w:div w:id="1626961089">
                  <w:marLeft w:val="0"/>
                  <w:marRight w:val="0"/>
                  <w:marTop w:val="0"/>
                  <w:marBottom w:val="0"/>
                  <w:divBdr>
                    <w:top w:val="none" w:sz="0" w:space="0" w:color="auto"/>
                    <w:left w:val="none" w:sz="0" w:space="0" w:color="auto"/>
                    <w:bottom w:val="none" w:sz="0" w:space="0" w:color="auto"/>
                    <w:right w:val="none" w:sz="0" w:space="0" w:color="auto"/>
                  </w:divBdr>
                  <w:divsChild>
                    <w:div w:id="557590029">
                      <w:marLeft w:val="0"/>
                      <w:marRight w:val="0"/>
                      <w:marTop w:val="0"/>
                      <w:marBottom w:val="0"/>
                      <w:divBdr>
                        <w:top w:val="none" w:sz="0" w:space="0" w:color="auto"/>
                        <w:left w:val="none" w:sz="0" w:space="0" w:color="auto"/>
                        <w:bottom w:val="none" w:sz="0" w:space="0" w:color="auto"/>
                        <w:right w:val="none" w:sz="0" w:space="0" w:color="auto"/>
                      </w:divBdr>
                      <w:divsChild>
                        <w:div w:id="1849251463">
                          <w:marLeft w:val="0"/>
                          <w:marRight w:val="0"/>
                          <w:marTop w:val="0"/>
                          <w:marBottom w:val="0"/>
                          <w:divBdr>
                            <w:top w:val="none" w:sz="0" w:space="0" w:color="auto"/>
                            <w:left w:val="none" w:sz="0" w:space="0" w:color="auto"/>
                            <w:bottom w:val="none" w:sz="0" w:space="0" w:color="auto"/>
                            <w:right w:val="none" w:sz="0" w:space="0" w:color="auto"/>
                          </w:divBdr>
                          <w:divsChild>
                            <w:div w:id="8637918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22506">
      <w:bodyDiv w:val="1"/>
      <w:marLeft w:val="0"/>
      <w:marRight w:val="0"/>
      <w:marTop w:val="0"/>
      <w:marBottom w:val="0"/>
      <w:divBdr>
        <w:top w:val="none" w:sz="0" w:space="0" w:color="auto"/>
        <w:left w:val="none" w:sz="0" w:space="0" w:color="auto"/>
        <w:bottom w:val="none" w:sz="0" w:space="0" w:color="auto"/>
        <w:right w:val="none" w:sz="0" w:space="0" w:color="auto"/>
      </w:divBdr>
    </w:div>
    <w:div w:id="892350821">
      <w:bodyDiv w:val="1"/>
      <w:marLeft w:val="0"/>
      <w:marRight w:val="0"/>
      <w:marTop w:val="0"/>
      <w:marBottom w:val="0"/>
      <w:divBdr>
        <w:top w:val="none" w:sz="0" w:space="0" w:color="auto"/>
        <w:left w:val="none" w:sz="0" w:space="0" w:color="auto"/>
        <w:bottom w:val="none" w:sz="0" w:space="0" w:color="auto"/>
        <w:right w:val="none" w:sz="0" w:space="0" w:color="auto"/>
      </w:divBdr>
      <w:divsChild>
        <w:div w:id="526456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174592">
      <w:bodyDiv w:val="1"/>
      <w:marLeft w:val="0"/>
      <w:marRight w:val="0"/>
      <w:marTop w:val="0"/>
      <w:marBottom w:val="0"/>
      <w:divBdr>
        <w:top w:val="none" w:sz="0" w:space="0" w:color="auto"/>
        <w:left w:val="none" w:sz="0" w:space="0" w:color="auto"/>
        <w:bottom w:val="none" w:sz="0" w:space="0" w:color="auto"/>
        <w:right w:val="none" w:sz="0" w:space="0" w:color="auto"/>
      </w:divBdr>
    </w:div>
    <w:div w:id="1839270844">
      <w:bodyDiv w:val="1"/>
      <w:marLeft w:val="0"/>
      <w:marRight w:val="0"/>
      <w:marTop w:val="0"/>
      <w:marBottom w:val="0"/>
      <w:divBdr>
        <w:top w:val="none" w:sz="0" w:space="0" w:color="auto"/>
        <w:left w:val="none" w:sz="0" w:space="0" w:color="auto"/>
        <w:bottom w:val="none" w:sz="0" w:space="0" w:color="auto"/>
        <w:right w:val="none" w:sz="0" w:space="0" w:color="auto"/>
      </w:divBdr>
      <w:divsChild>
        <w:div w:id="690954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1254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0BC10-D64A-44EE-8633-2FC92F22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Williams, Bobbie Jo</cp:lastModifiedBy>
  <cp:revision>2</cp:revision>
  <cp:lastPrinted>2019-07-17T15:41:00Z</cp:lastPrinted>
  <dcterms:created xsi:type="dcterms:W3CDTF">2019-07-17T15:42:00Z</dcterms:created>
  <dcterms:modified xsi:type="dcterms:W3CDTF">2019-07-17T15:42:00Z</dcterms:modified>
</cp:coreProperties>
</file>