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14:paraId="1DC75A0C" w14:textId="77777777">
        <w:trPr>
          <w:trHeight w:val="990"/>
        </w:trPr>
        <w:tc>
          <w:tcPr>
            <w:tcW w:w="1363" w:type="dxa"/>
          </w:tcPr>
          <w:p w14:paraId="334ABB17" w14:textId="77777777" w:rsidR="00C74A51" w:rsidRDefault="00CE6B22">
            <w:pPr>
              <w:rPr>
                <w:sz w:val="24"/>
              </w:rPr>
            </w:pPr>
            <w:r>
              <w:rPr>
                <w:spacing w:val="-2"/>
              </w:rPr>
              <w:pict w14:anchorId="08FF84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.75pt" fillcolor="window">
                  <v:imagedata r:id="rId8" o:title="PUC logo"/>
                </v:shape>
              </w:pict>
            </w:r>
          </w:p>
        </w:tc>
        <w:tc>
          <w:tcPr>
            <w:tcW w:w="8087" w:type="dxa"/>
          </w:tcPr>
          <w:p w14:paraId="54F8229E" w14:textId="77777777" w:rsidR="00C74A51" w:rsidRPr="00AF02D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8"/>
                <w:szCs w:val="8"/>
              </w:rPr>
            </w:pPr>
          </w:p>
          <w:p w14:paraId="4E54E941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2A8544F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5B4B111" w14:textId="77777777" w:rsidR="00C74A51" w:rsidRPr="00AF02D1" w:rsidRDefault="00864070" w:rsidP="00A61C0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</w:t>
            </w:r>
            <w:r w:rsidR="00A61C0A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HARRISBURG, PA </w:t>
            </w:r>
            <w:r w:rsidR="00AF4A0F">
              <w:rPr>
                <w:rFonts w:ascii="Arial" w:hAnsi="Arial"/>
                <w:color w:val="000080"/>
                <w:spacing w:val="-3"/>
                <w:sz w:val="26"/>
              </w:rPr>
              <w:t>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05-3265</w:t>
            </w:r>
          </w:p>
        </w:tc>
        <w:tc>
          <w:tcPr>
            <w:tcW w:w="1440" w:type="dxa"/>
          </w:tcPr>
          <w:p w14:paraId="0FF9CF7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D99C0FA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E8D3D78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B7BE7CE" w14:textId="77777777" w:rsidR="004F32B3" w:rsidRDefault="004F32B3">
            <w:pPr>
              <w:jc w:val="right"/>
              <w:rPr>
                <w:sz w:val="16"/>
                <w:szCs w:val="16"/>
              </w:rPr>
            </w:pPr>
          </w:p>
          <w:p w14:paraId="3B78A10E" w14:textId="77777777" w:rsidR="003569E8" w:rsidRPr="00170283" w:rsidRDefault="00D069B9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P-2015-2467894</w:t>
            </w:r>
            <w:r w:rsidR="00FA244D">
              <w:rPr>
                <w:sz w:val="16"/>
                <w:szCs w:val="16"/>
              </w:rPr>
              <w:t xml:space="preserve">   </w:t>
            </w:r>
          </w:p>
        </w:tc>
      </w:tr>
    </w:tbl>
    <w:p w14:paraId="03D64E89" w14:textId="77777777" w:rsidR="00C74A51" w:rsidRDefault="00C74A51">
      <w:pPr>
        <w:rPr>
          <w:sz w:val="24"/>
        </w:rPr>
        <w:sectPr w:rsidR="00C74A51" w:rsidSect="00BF6F03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F8F9EE2" w14:textId="77777777" w:rsidR="001E1BF3" w:rsidRPr="003C56E2" w:rsidRDefault="001E1BF3" w:rsidP="00FA0E37">
      <w:pPr>
        <w:jc w:val="center"/>
        <w:rPr>
          <w:b/>
          <w:sz w:val="26"/>
          <w:szCs w:val="26"/>
        </w:rPr>
      </w:pPr>
    </w:p>
    <w:p w14:paraId="53CF1805" w14:textId="176B3116" w:rsidR="001F2EDC" w:rsidRPr="00583350" w:rsidRDefault="00CE6B22" w:rsidP="00D069B9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July 19, 2019</w:t>
      </w:r>
    </w:p>
    <w:p w14:paraId="4AD96270" w14:textId="77777777" w:rsidR="003C56E2" w:rsidRDefault="003C56E2" w:rsidP="00FA0E37">
      <w:pPr>
        <w:jc w:val="center"/>
        <w:rPr>
          <w:b/>
          <w:sz w:val="26"/>
          <w:szCs w:val="26"/>
        </w:rPr>
      </w:pPr>
    </w:p>
    <w:p w14:paraId="10A24EBD" w14:textId="77777777" w:rsidR="006D6779" w:rsidRDefault="00583350" w:rsidP="00930003">
      <w:pPr>
        <w:ind w:right="576"/>
        <w:rPr>
          <w:sz w:val="26"/>
          <w:szCs w:val="26"/>
        </w:rPr>
      </w:pPr>
      <w:r>
        <w:rPr>
          <w:sz w:val="26"/>
          <w:szCs w:val="26"/>
        </w:rPr>
        <w:t>Ward L. Smith</w:t>
      </w:r>
    </w:p>
    <w:p w14:paraId="3DB3594A" w14:textId="77777777" w:rsidR="00FA244D" w:rsidRDefault="00583350" w:rsidP="00930003">
      <w:pPr>
        <w:ind w:right="576"/>
        <w:rPr>
          <w:sz w:val="26"/>
          <w:szCs w:val="26"/>
        </w:rPr>
      </w:pPr>
      <w:r>
        <w:rPr>
          <w:sz w:val="26"/>
          <w:szCs w:val="26"/>
        </w:rPr>
        <w:t>Counsel for PECO Energy Company</w:t>
      </w:r>
    </w:p>
    <w:p w14:paraId="2475414E" w14:textId="77777777" w:rsidR="00583350" w:rsidRDefault="00583350" w:rsidP="00930003">
      <w:pPr>
        <w:ind w:right="576"/>
        <w:rPr>
          <w:sz w:val="26"/>
          <w:szCs w:val="26"/>
        </w:rPr>
      </w:pPr>
      <w:r>
        <w:rPr>
          <w:sz w:val="26"/>
          <w:szCs w:val="26"/>
        </w:rPr>
        <w:t>2301 Market Street, S23-1</w:t>
      </w:r>
    </w:p>
    <w:p w14:paraId="41570382" w14:textId="77777777" w:rsidR="00583350" w:rsidRDefault="00583350" w:rsidP="00930003">
      <w:pPr>
        <w:ind w:right="576"/>
        <w:rPr>
          <w:sz w:val="26"/>
          <w:szCs w:val="26"/>
        </w:rPr>
      </w:pPr>
      <w:r>
        <w:rPr>
          <w:sz w:val="26"/>
          <w:szCs w:val="26"/>
        </w:rPr>
        <w:t>Philadelphia, PA 19103</w:t>
      </w:r>
    </w:p>
    <w:p w14:paraId="422E7894" w14:textId="77777777" w:rsidR="001F2EDC" w:rsidRPr="003C56E2" w:rsidRDefault="001F2EDC" w:rsidP="00930003">
      <w:pPr>
        <w:ind w:right="576"/>
        <w:rPr>
          <w:sz w:val="26"/>
          <w:szCs w:val="26"/>
        </w:rPr>
      </w:pPr>
    </w:p>
    <w:p w14:paraId="0BD4A441" w14:textId="77777777" w:rsidR="00EC71DD" w:rsidRDefault="00930003" w:rsidP="00FA244D">
      <w:pPr>
        <w:ind w:left="1440" w:hanging="540"/>
        <w:rPr>
          <w:sz w:val="26"/>
          <w:szCs w:val="26"/>
        </w:rPr>
      </w:pPr>
      <w:r w:rsidRPr="003C56E2">
        <w:rPr>
          <w:sz w:val="26"/>
          <w:szCs w:val="26"/>
        </w:rPr>
        <w:t>Re:</w:t>
      </w:r>
      <w:r w:rsidR="00FA244D">
        <w:rPr>
          <w:sz w:val="26"/>
          <w:szCs w:val="26"/>
        </w:rPr>
        <w:tab/>
      </w:r>
      <w:r w:rsidR="00583350">
        <w:rPr>
          <w:sz w:val="26"/>
          <w:szCs w:val="26"/>
        </w:rPr>
        <w:t xml:space="preserve">Petition of PECO Energy Company for a Temporary Waiver of 52 Pa. Code § 56.97(a) To Allow Customers to Establish Payment Agreements Through </w:t>
      </w:r>
      <w:r w:rsidR="00283D1B">
        <w:rPr>
          <w:sz w:val="26"/>
          <w:szCs w:val="26"/>
        </w:rPr>
        <w:t>an Automated Interactive Voice Response System</w:t>
      </w:r>
    </w:p>
    <w:p w14:paraId="77AE06F6" w14:textId="77777777" w:rsidR="00930003" w:rsidRDefault="00930003" w:rsidP="00D9532A">
      <w:pPr>
        <w:ind w:left="1440"/>
        <w:rPr>
          <w:sz w:val="26"/>
          <w:szCs w:val="26"/>
        </w:rPr>
      </w:pPr>
      <w:r w:rsidRPr="003C56E2">
        <w:rPr>
          <w:sz w:val="26"/>
          <w:szCs w:val="26"/>
        </w:rPr>
        <w:t>Docket No.</w:t>
      </w:r>
      <w:r w:rsidR="00FA244D">
        <w:rPr>
          <w:sz w:val="26"/>
          <w:szCs w:val="26"/>
        </w:rPr>
        <w:t xml:space="preserve">  </w:t>
      </w:r>
      <w:r w:rsidR="00283D1B">
        <w:rPr>
          <w:sz w:val="26"/>
          <w:szCs w:val="26"/>
        </w:rPr>
        <w:t>P-2015-2467894</w:t>
      </w:r>
    </w:p>
    <w:p w14:paraId="6A4DF1CB" w14:textId="77777777" w:rsidR="001F2EDC" w:rsidRPr="003C56E2" w:rsidRDefault="001F2EDC" w:rsidP="00930003">
      <w:pPr>
        <w:rPr>
          <w:sz w:val="26"/>
          <w:szCs w:val="26"/>
        </w:rPr>
      </w:pPr>
    </w:p>
    <w:p w14:paraId="4B41DE46" w14:textId="77777777" w:rsidR="00930003" w:rsidRPr="003C56E2" w:rsidRDefault="00930003" w:rsidP="00930003">
      <w:pPr>
        <w:rPr>
          <w:sz w:val="26"/>
          <w:szCs w:val="26"/>
        </w:rPr>
      </w:pPr>
      <w:r w:rsidRPr="003C56E2">
        <w:rPr>
          <w:sz w:val="26"/>
          <w:szCs w:val="26"/>
        </w:rPr>
        <w:t xml:space="preserve">Dear </w:t>
      </w:r>
      <w:r w:rsidR="00283D1B">
        <w:rPr>
          <w:sz w:val="26"/>
          <w:szCs w:val="26"/>
        </w:rPr>
        <w:t>Mr. Ward</w:t>
      </w:r>
      <w:r w:rsidRPr="003C56E2">
        <w:rPr>
          <w:sz w:val="26"/>
          <w:szCs w:val="26"/>
        </w:rPr>
        <w:t>:</w:t>
      </w:r>
      <w:r w:rsidR="00FA244D">
        <w:rPr>
          <w:sz w:val="26"/>
          <w:szCs w:val="26"/>
        </w:rPr>
        <w:t xml:space="preserve">  </w:t>
      </w:r>
    </w:p>
    <w:p w14:paraId="38F901FD" w14:textId="77777777" w:rsidR="00930003" w:rsidRDefault="00930003" w:rsidP="00930003">
      <w:pPr>
        <w:rPr>
          <w:sz w:val="26"/>
          <w:szCs w:val="26"/>
        </w:rPr>
      </w:pPr>
    </w:p>
    <w:p w14:paraId="43CE2997" w14:textId="77777777" w:rsidR="00D069B9" w:rsidRDefault="00347A10" w:rsidP="00930003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283D1B">
        <w:rPr>
          <w:sz w:val="26"/>
          <w:szCs w:val="26"/>
        </w:rPr>
        <w:t xml:space="preserve">In 2015, PECO Energy Company </w:t>
      </w:r>
      <w:r w:rsidR="00D069B9">
        <w:rPr>
          <w:sz w:val="26"/>
          <w:szCs w:val="26"/>
        </w:rPr>
        <w:t xml:space="preserve">(PECO) </w:t>
      </w:r>
      <w:r w:rsidR="00283D1B">
        <w:rPr>
          <w:sz w:val="26"/>
          <w:szCs w:val="26"/>
        </w:rPr>
        <w:t xml:space="preserve">sought a temporary </w:t>
      </w:r>
      <w:r w:rsidR="00D069B9">
        <w:rPr>
          <w:sz w:val="26"/>
          <w:szCs w:val="26"/>
        </w:rPr>
        <w:t xml:space="preserve">partial </w:t>
      </w:r>
      <w:r w:rsidR="00983E5D">
        <w:rPr>
          <w:sz w:val="26"/>
          <w:szCs w:val="26"/>
        </w:rPr>
        <w:t>waiver of 52</w:t>
      </w:r>
      <w:r w:rsidR="00357851">
        <w:rPr>
          <w:sz w:val="26"/>
          <w:szCs w:val="26"/>
        </w:rPr>
        <w:t> </w:t>
      </w:r>
      <w:r w:rsidR="00983E5D">
        <w:rPr>
          <w:sz w:val="26"/>
          <w:szCs w:val="26"/>
        </w:rPr>
        <w:t xml:space="preserve">Pa. Code </w:t>
      </w:r>
      <w:r w:rsidR="00BC7C4B">
        <w:rPr>
          <w:sz w:val="26"/>
          <w:szCs w:val="26"/>
        </w:rPr>
        <w:t xml:space="preserve">§ 56.97(a) to allow customers to establish payment arrangements through an automated Interactive Voice Response </w:t>
      </w:r>
      <w:r w:rsidR="00D069B9">
        <w:rPr>
          <w:sz w:val="26"/>
          <w:szCs w:val="26"/>
        </w:rPr>
        <w:t xml:space="preserve">(IVR) </w:t>
      </w:r>
      <w:r w:rsidR="00BC7C4B">
        <w:rPr>
          <w:sz w:val="26"/>
          <w:szCs w:val="26"/>
        </w:rPr>
        <w:t xml:space="preserve">system.  On April 9, 2015, the Commission granted PECO’s request for a period ending May 31, 2019. </w:t>
      </w:r>
      <w:r w:rsidR="00D069B9">
        <w:rPr>
          <w:sz w:val="26"/>
          <w:szCs w:val="26"/>
        </w:rPr>
        <w:t xml:space="preserve"> </w:t>
      </w:r>
      <w:r w:rsidR="00BC7C4B">
        <w:rPr>
          <w:sz w:val="26"/>
          <w:szCs w:val="26"/>
        </w:rPr>
        <w:t xml:space="preserve">On April 1, 2019, PECO filed a </w:t>
      </w:r>
      <w:r w:rsidR="00357851">
        <w:rPr>
          <w:sz w:val="26"/>
          <w:szCs w:val="26"/>
        </w:rPr>
        <w:t>p</w:t>
      </w:r>
      <w:r w:rsidR="00BC7C4B">
        <w:rPr>
          <w:sz w:val="26"/>
          <w:szCs w:val="26"/>
        </w:rPr>
        <w:t xml:space="preserve">etition for an </w:t>
      </w:r>
      <w:r w:rsidR="00357851">
        <w:rPr>
          <w:sz w:val="26"/>
          <w:szCs w:val="26"/>
        </w:rPr>
        <w:t>e</w:t>
      </w:r>
      <w:r w:rsidR="00BC7C4B">
        <w:rPr>
          <w:sz w:val="26"/>
          <w:szCs w:val="26"/>
        </w:rPr>
        <w:t xml:space="preserve">xtension and </w:t>
      </w:r>
      <w:r w:rsidR="00357851">
        <w:rPr>
          <w:sz w:val="26"/>
          <w:szCs w:val="26"/>
        </w:rPr>
        <w:t>e</w:t>
      </w:r>
      <w:r w:rsidR="00BC7C4B">
        <w:rPr>
          <w:sz w:val="26"/>
          <w:szCs w:val="26"/>
        </w:rPr>
        <w:t xml:space="preserve">xpansion of its </w:t>
      </w:r>
      <w:r w:rsidR="00357851">
        <w:rPr>
          <w:sz w:val="26"/>
          <w:szCs w:val="26"/>
        </w:rPr>
        <w:t>t</w:t>
      </w:r>
      <w:r w:rsidR="00BC7C4B">
        <w:rPr>
          <w:sz w:val="26"/>
          <w:szCs w:val="26"/>
        </w:rPr>
        <w:t xml:space="preserve">emporary </w:t>
      </w:r>
      <w:r w:rsidR="00357851">
        <w:rPr>
          <w:sz w:val="26"/>
          <w:szCs w:val="26"/>
        </w:rPr>
        <w:t>w</w:t>
      </w:r>
      <w:r w:rsidR="00BC7C4B">
        <w:rPr>
          <w:sz w:val="26"/>
          <w:szCs w:val="26"/>
        </w:rPr>
        <w:t xml:space="preserve">aiver.  </w:t>
      </w:r>
    </w:p>
    <w:p w14:paraId="571E6829" w14:textId="77777777" w:rsidR="00D069B9" w:rsidRDefault="00D069B9" w:rsidP="00930003">
      <w:pPr>
        <w:rPr>
          <w:sz w:val="26"/>
          <w:szCs w:val="26"/>
        </w:rPr>
      </w:pPr>
    </w:p>
    <w:p w14:paraId="448ED2B9" w14:textId="77777777" w:rsidR="00D069B9" w:rsidRDefault="00D069B9" w:rsidP="00930003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BC7C4B">
        <w:rPr>
          <w:sz w:val="26"/>
          <w:szCs w:val="26"/>
        </w:rPr>
        <w:t xml:space="preserve">In a Final Rulemaking Order issued on February 28, 2019, the Commission amended 52 Pa. Code § 56.97(a) to allow utilities to use both their IVR systems and their websites to enter into payment arrangements with their customers. </w:t>
      </w:r>
      <w:r>
        <w:rPr>
          <w:sz w:val="26"/>
          <w:szCs w:val="26"/>
        </w:rPr>
        <w:t xml:space="preserve"> </w:t>
      </w:r>
      <w:r w:rsidR="00BC7C4B">
        <w:rPr>
          <w:sz w:val="26"/>
          <w:szCs w:val="26"/>
        </w:rPr>
        <w:t xml:space="preserve">The </w:t>
      </w:r>
      <w:r>
        <w:rPr>
          <w:sz w:val="26"/>
          <w:szCs w:val="26"/>
        </w:rPr>
        <w:t xml:space="preserve">revised regulation </w:t>
      </w:r>
      <w:r w:rsidR="00BC7C4B">
        <w:rPr>
          <w:sz w:val="26"/>
          <w:szCs w:val="26"/>
        </w:rPr>
        <w:t xml:space="preserve">became effective upon publication in the </w:t>
      </w:r>
      <w:r w:rsidR="00BC7C4B" w:rsidRPr="00D9532A">
        <w:rPr>
          <w:i/>
          <w:sz w:val="26"/>
          <w:szCs w:val="26"/>
        </w:rPr>
        <w:t>Pennsylvania Bulletin</w:t>
      </w:r>
      <w:r w:rsidR="00BC7C4B">
        <w:rPr>
          <w:sz w:val="26"/>
          <w:szCs w:val="26"/>
        </w:rPr>
        <w:t xml:space="preserve"> on June</w:t>
      </w:r>
      <w:r>
        <w:rPr>
          <w:sz w:val="26"/>
          <w:szCs w:val="26"/>
        </w:rPr>
        <w:t xml:space="preserve"> 1</w:t>
      </w:r>
      <w:r w:rsidR="00BC7C4B">
        <w:rPr>
          <w:sz w:val="26"/>
          <w:szCs w:val="26"/>
        </w:rPr>
        <w:t>, 2019</w:t>
      </w:r>
      <w:r>
        <w:rPr>
          <w:sz w:val="26"/>
          <w:szCs w:val="26"/>
        </w:rPr>
        <w:t>, at</w:t>
      </w:r>
      <w:r w:rsidR="00BC7C4B">
        <w:rPr>
          <w:sz w:val="26"/>
          <w:szCs w:val="26"/>
        </w:rPr>
        <w:t xml:space="preserve"> 49 Pa. B. 2815</w:t>
      </w:r>
      <w:r>
        <w:rPr>
          <w:sz w:val="26"/>
          <w:szCs w:val="26"/>
        </w:rPr>
        <w:t>,</w:t>
      </w:r>
      <w:r w:rsidR="00BC7C4B">
        <w:rPr>
          <w:sz w:val="26"/>
          <w:szCs w:val="26"/>
        </w:rPr>
        <w:t xml:space="preserve"> pursuant to </w:t>
      </w:r>
      <w:r>
        <w:rPr>
          <w:sz w:val="26"/>
          <w:szCs w:val="26"/>
        </w:rPr>
        <w:t xml:space="preserve">the </w:t>
      </w:r>
      <w:r w:rsidR="00BC7C4B">
        <w:rPr>
          <w:sz w:val="26"/>
          <w:szCs w:val="26"/>
        </w:rPr>
        <w:t>order at Docket</w:t>
      </w:r>
      <w:r>
        <w:rPr>
          <w:sz w:val="26"/>
          <w:szCs w:val="26"/>
        </w:rPr>
        <w:t xml:space="preserve"> No. </w:t>
      </w:r>
      <w:r w:rsidR="00BC7C4B">
        <w:rPr>
          <w:sz w:val="26"/>
          <w:szCs w:val="26"/>
        </w:rPr>
        <w:t xml:space="preserve">L-2015-2508421.  </w:t>
      </w:r>
    </w:p>
    <w:p w14:paraId="3636D747" w14:textId="4F1BB4E7" w:rsidR="00D069B9" w:rsidRDefault="00D069B9" w:rsidP="00930003">
      <w:pPr>
        <w:rPr>
          <w:sz w:val="26"/>
          <w:szCs w:val="26"/>
        </w:rPr>
      </w:pPr>
    </w:p>
    <w:p w14:paraId="70ED90FD" w14:textId="77777777" w:rsidR="00B33BDB" w:rsidRDefault="00D069B9" w:rsidP="00930003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BC7C4B">
        <w:rPr>
          <w:sz w:val="26"/>
          <w:szCs w:val="26"/>
        </w:rPr>
        <w:t xml:space="preserve">No </w:t>
      </w:r>
      <w:r w:rsidR="00B33BDB">
        <w:rPr>
          <w:sz w:val="26"/>
          <w:szCs w:val="26"/>
        </w:rPr>
        <w:t xml:space="preserve">gap </w:t>
      </w:r>
      <w:r>
        <w:rPr>
          <w:sz w:val="26"/>
          <w:szCs w:val="26"/>
        </w:rPr>
        <w:t xml:space="preserve">in coverage </w:t>
      </w:r>
      <w:r w:rsidR="00B33BDB">
        <w:rPr>
          <w:sz w:val="26"/>
          <w:szCs w:val="26"/>
        </w:rPr>
        <w:t>relative to the waiver existed</w:t>
      </w:r>
      <w:r>
        <w:rPr>
          <w:sz w:val="26"/>
          <w:szCs w:val="26"/>
        </w:rPr>
        <w:t>,</w:t>
      </w:r>
      <w:r w:rsidR="00B33BDB">
        <w:rPr>
          <w:sz w:val="26"/>
          <w:szCs w:val="26"/>
        </w:rPr>
        <w:t xml:space="preserve"> and PECO’s </w:t>
      </w:r>
      <w:r w:rsidR="00357851">
        <w:rPr>
          <w:sz w:val="26"/>
          <w:szCs w:val="26"/>
        </w:rPr>
        <w:t>p</w:t>
      </w:r>
      <w:r w:rsidR="00B33BDB">
        <w:rPr>
          <w:sz w:val="26"/>
          <w:szCs w:val="26"/>
        </w:rPr>
        <w:t xml:space="preserve">etition for an </w:t>
      </w:r>
      <w:r w:rsidR="00357851">
        <w:rPr>
          <w:sz w:val="26"/>
          <w:szCs w:val="26"/>
        </w:rPr>
        <w:t>e</w:t>
      </w:r>
      <w:r w:rsidR="00B33BDB">
        <w:rPr>
          <w:sz w:val="26"/>
          <w:szCs w:val="26"/>
        </w:rPr>
        <w:t>xtension was rendered moot</w:t>
      </w:r>
      <w:r>
        <w:rPr>
          <w:sz w:val="26"/>
          <w:szCs w:val="26"/>
        </w:rPr>
        <w:t xml:space="preserve"> as of July 1, 2019</w:t>
      </w:r>
      <w:r w:rsidR="00B33BDB">
        <w:rPr>
          <w:sz w:val="26"/>
          <w:szCs w:val="26"/>
        </w:rPr>
        <w:t xml:space="preserve">.  On July 2, PECO petitioned to withdraw its original petition.  There are no answers objecting to either the </w:t>
      </w:r>
      <w:r w:rsidR="00357851">
        <w:rPr>
          <w:sz w:val="26"/>
          <w:szCs w:val="26"/>
        </w:rPr>
        <w:t xml:space="preserve">April 1, 2019 </w:t>
      </w:r>
      <w:r w:rsidR="00652CFB">
        <w:rPr>
          <w:sz w:val="26"/>
          <w:szCs w:val="26"/>
        </w:rPr>
        <w:t xml:space="preserve">petition </w:t>
      </w:r>
      <w:r w:rsidR="00B33BDB">
        <w:rPr>
          <w:sz w:val="26"/>
          <w:szCs w:val="26"/>
        </w:rPr>
        <w:t xml:space="preserve">or the </w:t>
      </w:r>
      <w:r w:rsidR="00357851">
        <w:rPr>
          <w:sz w:val="26"/>
          <w:szCs w:val="26"/>
        </w:rPr>
        <w:t>July 2, 2019</w:t>
      </w:r>
      <w:r w:rsidR="00B33BDB">
        <w:rPr>
          <w:sz w:val="26"/>
          <w:szCs w:val="26"/>
        </w:rPr>
        <w:t xml:space="preserve"> petition.  Accordingly</w:t>
      </w:r>
      <w:r w:rsidR="00652CFB">
        <w:rPr>
          <w:sz w:val="26"/>
          <w:szCs w:val="26"/>
        </w:rPr>
        <w:t>,</w:t>
      </w:r>
      <w:r w:rsidR="00B33BDB">
        <w:rPr>
          <w:sz w:val="26"/>
          <w:szCs w:val="26"/>
        </w:rPr>
        <w:t xml:space="preserve"> the </w:t>
      </w:r>
      <w:r w:rsidR="00357851">
        <w:rPr>
          <w:sz w:val="26"/>
          <w:szCs w:val="26"/>
        </w:rPr>
        <w:t xml:space="preserve">April 1, 2019 </w:t>
      </w:r>
      <w:r w:rsidR="00B33BDB">
        <w:rPr>
          <w:sz w:val="26"/>
          <w:szCs w:val="26"/>
        </w:rPr>
        <w:t>petition is deemed withdrawn.  This matter shall be marked closed.</w:t>
      </w:r>
    </w:p>
    <w:p w14:paraId="64E01DB6" w14:textId="74F7D5AF" w:rsidR="00FA244D" w:rsidRPr="003C56E2" w:rsidRDefault="00CE6B22" w:rsidP="00930003">
      <w:pPr>
        <w:rPr>
          <w:sz w:val="26"/>
          <w:szCs w:val="26"/>
        </w:rPr>
      </w:pPr>
      <w:r>
        <w:rPr>
          <w:noProof/>
        </w:rPr>
        <w:pict w14:anchorId="06EAD54B">
          <v:shape id="Picture 1" o:spid="_x0000_s1027" type="#_x0000_t75" style="position:absolute;margin-left:252pt;margin-top:13.85pt;width:173.25pt;height:66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11" o:title=""/>
          </v:shape>
        </w:pict>
      </w:r>
    </w:p>
    <w:p w14:paraId="04E0CD3A" w14:textId="77777777" w:rsidR="00930003" w:rsidRPr="003C56E2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  <w:t>Sincerely,</w:t>
      </w:r>
    </w:p>
    <w:p w14:paraId="3F2DD215" w14:textId="77777777" w:rsidR="00930003" w:rsidRPr="003C56E2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5BE14951" w14:textId="77777777" w:rsidR="00930003" w:rsidRPr="003C56E2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  <w:bookmarkStart w:id="0" w:name="_GoBack"/>
      <w:bookmarkEnd w:id="0"/>
    </w:p>
    <w:p w14:paraId="6CC69286" w14:textId="77777777" w:rsidR="00930003" w:rsidRPr="003C56E2" w:rsidRDefault="00930003" w:rsidP="00930003">
      <w:pPr>
        <w:pStyle w:val="Heading1"/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335A29">
        <w:rPr>
          <w:sz w:val="26"/>
          <w:szCs w:val="26"/>
        </w:rPr>
        <w:t>Rosemary Chiavetta</w:t>
      </w:r>
    </w:p>
    <w:p w14:paraId="18F00050" w14:textId="77777777" w:rsidR="00C77F29" w:rsidRDefault="00930003" w:rsidP="00B33BDB">
      <w:pPr>
        <w:tabs>
          <w:tab w:val="left" w:pos="720"/>
          <w:tab w:val="left" w:pos="504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  <w:t>Secretary</w:t>
      </w:r>
    </w:p>
    <w:p w14:paraId="4A48CA9D" w14:textId="77777777" w:rsidR="00652CFB" w:rsidRDefault="00652CFB" w:rsidP="00B33BDB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6591C2CC" w14:textId="77777777" w:rsidR="00652CFB" w:rsidRDefault="00652CFB" w:rsidP="00B33BDB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>cc.</w:t>
      </w:r>
      <w:r>
        <w:rPr>
          <w:sz w:val="26"/>
          <w:szCs w:val="26"/>
        </w:rPr>
        <w:tab/>
        <w:t>Louise Fink Smith, Law Bureau</w:t>
      </w:r>
    </w:p>
    <w:p w14:paraId="23EAFD2E" w14:textId="77777777" w:rsidR="00652CFB" w:rsidRPr="003C56E2" w:rsidRDefault="00652CFB" w:rsidP="00B33BDB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Lori Mohr &amp; Mathew </w:t>
      </w:r>
      <w:r w:rsidRPr="00652CFB">
        <w:rPr>
          <w:sz w:val="26"/>
          <w:szCs w:val="26"/>
        </w:rPr>
        <w:t xml:space="preserve">Hrivnak, </w:t>
      </w:r>
      <w:r>
        <w:rPr>
          <w:sz w:val="26"/>
          <w:szCs w:val="26"/>
        </w:rPr>
        <w:t>BCS</w:t>
      </w:r>
    </w:p>
    <w:sectPr w:rsidR="00652CFB" w:rsidRPr="003C56E2" w:rsidSect="0084218B">
      <w:footerReference w:type="even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A6E53" w14:textId="77777777" w:rsidR="00015371" w:rsidRDefault="00015371">
      <w:r>
        <w:separator/>
      </w:r>
    </w:p>
  </w:endnote>
  <w:endnote w:type="continuationSeparator" w:id="0">
    <w:p w14:paraId="01C0DDB9" w14:textId="77777777" w:rsidR="00015371" w:rsidRDefault="0001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E3230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982008" w14:textId="77777777" w:rsidR="0075019A" w:rsidRDefault="00750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A88A7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495C6F" w14:textId="77777777" w:rsidR="0075019A" w:rsidRDefault="00750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E7BDC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B28C14" w14:textId="77777777" w:rsidR="0075019A" w:rsidRDefault="007501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6D236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</w:p>
  <w:p w14:paraId="158B39F6" w14:textId="77777777" w:rsidR="0075019A" w:rsidRDefault="0075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D0858" w14:textId="77777777" w:rsidR="00015371" w:rsidRDefault="00015371">
      <w:r>
        <w:separator/>
      </w:r>
    </w:p>
  </w:footnote>
  <w:footnote w:type="continuationSeparator" w:id="0">
    <w:p w14:paraId="639AA42F" w14:textId="77777777" w:rsidR="00015371" w:rsidRDefault="0001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A51"/>
    <w:rsid w:val="00015371"/>
    <w:rsid w:val="00034796"/>
    <w:rsid w:val="0006085A"/>
    <w:rsid w:val="00067B3B"/>
    <w:rsid w:val="00067F2B"/>
    <w:rsid w:val="00075539"/>
    <w:rsid w:val="00076B03"/>
    <w:rsid w:val="00076F23"/>
    <w:rsid w:val="00091504"/>
    <w:rsid w:val="00094150"/>
    <w:rsid w:val="000E4C77"/>
    <w:rsid w:val="001209F1"/>
    <w:rsid w:val="0012404A"/>
    <w:rsid w:val="00124DD5"/>
    <w:rsid w:val="00152F72"/>
    <w:rsid w:val="00170283"/>
    <w:rsid w:val="001743D0"/>
    <w:rsid w:val="0017653C"/>
    <w:rsid w:val="001D1AC3"/>
    <w:rsid w:val="001D5DBB"/>
    <w:rsid w:val="001E1BF3"/>
    <w:rsid w:val="001F2EDC"/>
    <w:rsid w:val="00202276"/>
    <w:rsid w:val="00206F2B"/>
    <w:rsid w:val="002229C3"/>
    <w:rsid w:val="002364E4"/>
    <w:rsid w:val="0025446A"/>
    <w:rsid w:val="00280E91"/>
    <w:rsid w:val="00283D1B"/>
    <w:rsid w:val="00284E35"/>
    <w:rsid w:val="00285461"/>
    <w:rsid w:val="00292374"/>
    <w:rsid w:val="0029471C"/>
    <w:rsid w:val="002A2000"/>
    <w:rsid w:val="002A52A0"/>
    <w:rsid w:val="002B51A2"/>
    <w:rsid w:val="002C08FE"/>
    <w:rsid w:val="002F0138"/>
    <w:rsid w:val="00303D80"/>
    <w:rsid w:val="00307FF2"/>
    <w:rsid w:val="00313F77"/>
    <w:rsid w:val="0031429F"/>
    <w:rsid w:val="0032677D"/>
    <w:rsid w:val="00335A29"/>
    <w:rsid w:val="00345522"/>
    <w:rsid w:val="00347684"/>
    <w:rsid w:val="00347A10"/>
    <w:rsid w:val="003516A6"/>
    <w:rsid w:val="00353111"/>
    <w:rsid w:val="003569E8"/>
    <w:rsid w:val="00357851"/>
    <w:rsid w:val="00366A65"/>
    <w:rsid w:val="003B26C3"/>
    <w:rsid w:val="003C102A"/>
    <w:rsid w:val="003C56E2"/>
    <w:rsid w:val="003E4B39"/>
    <w:rsid w:val="0042140E"/>
    <w:rsid w:val="004246D9"/>
    <w:rsid w:val="00455F78"/>
    <w:rsid w:val="004A1767"/>
    <w:rsid w:val="004D2698"/>
    <w:rsid w:val="004F32B3"/>
    <w:rsid w:val="004F5AAA"/>
    <w:rsid w:val="00513DCA"/>
    <w:rsid w:val="00514EA3"/>
    <w:rsid w:val="0051639C"/>
    <w:rsid w:val="00526ADA"/>
    <w:rsid w:val="00526F31"/>
    <w:rsid w:val="00583350"/>
    <w:rsid w:val="00584C01"/>
    <w:rsid w:val="005A0955"/>
    <w:rsid w:val="005A2A65"/>
    <w:rsid w:val="005B3262"/>
    <w:rsid w:val="005B58B7"/>
    <w:rsid w:val="005C03C4"/>
    <w:rsid w:val="005E25C5"/>
    <w:rsid w:val="005E3690"/>
    <w:rsid w:val="005F3D24"/>
    <w:rsid w:val="00652CFB"/>
    <w:rsid w:val="00656BCD"/>
    <w:rsid w:val="00672262"/>
    <w:rsid w:val="006755C0"/>
    <w:rsid w:val="006A1D3F"/>
    <w:rsid w:val="006C5C47"/>
    <w:rsid w:val="006D6779"/>
    <w:rsid w:val="006E1A84"/>
    <w:rsid w:val="00700501"/>
    <w:rsid w:val="00701ED5"/>
    <w:rsid w:val="00721FA8"/>
    <w:rsid w:val="0075019A"/>
    <w:rsid w:val="007617B1"/>
    <w:rsid w:val="0077210F"/>
    <w:rsid w:val="00772716"/>
    <w:rsid w:val="00773F47"/>
    <w:rsid w:val="00774744"/>
    <w:rsid w:val="00794208"/>
    <w:rsid w:val="00794E58"/>
    <w:rsid w:val="007A16AE"/>
    <w:rsid w:val="007C79B8"/>
    <w:rsid w:val="007E64B5"/>
    <w:rsid w:val="007F0775"/>
    <w:rsid w:val="007F55F1"/>
    <w:rsid w:val="0080792C"/>
    <w:rsid w:val="00807CAF"/>
    <w:rsid w:val="0084218B"/>
    <w:rsid w:val="008476A6"/>
    <w:rsid w:val="00864070"/>
    <w:rsid w:val="0089421A"/>
    <w:rsid w:val="008A2241"/>
    <w:rsid w:val="008E5EA0"/>
    <w:rsid w:val="008F78AA"/>
    <w:rsid w:val="00927022"/>
    <w:rsid w:val="00930003"/>
    <w:rsid w:val="0093258F"/>
    <w:rsid w:val="00983E5D"/>
    <w:rsid w:val="00984274"/>
    <w:rsid w:val="0099767B"/>
    <w:rsid w:val="009A1144"/>
    <w:rsid w:val="009A5A76"/>
    <w:rsid w:val="009B1956"/>
    <w:rsid w:val="009B23D8"/>
    <w:rsid w:val="009B2E39"/>
    <w:rsid w:val="009B36CB"/>
    <w:rsid w:val="009E40EC"/>
    <w:rsid w:val="009E65F6"/>
    <w:rsid w:val="009E7E5D"/>
    <w:rsid w:val="009F23F3"/>
    <w:rsid w:val="009F5F66"/>
    <w:rsid w:val="00A0792A"/>
    <w:rsid w:val="00A61C0A"/>
    <w:rsid w:val="00A66D1F"/>
    <w:rsid w:val="00A82C28"/>
    <w:rsid w:val="00A84699"/>
    <w:rsid w:val="00A90884"/>
    <w:rsid w:val="00A955FA"/>
    <w:rsid w:val="00AA0347"/>
    <w:rsid w:val="00AA6F16"/>
    <w:rsid w:val="00AB36A9"/>
    <w:rsid w:val="00AD6503"/>
    <w:rsid w:val="00AD77EE"/>
    <w:rsid w:val="00AE792C"/>
    <w:rsid w:val="00AF02D1"/>
    <w:rsid w:val="00AF16AC"/>
    <w:rsid w:val="00AF4A0F"/>
    <w:rsid w:val="00B00393"/>
    <w:rsid w:val="00B12277"/>
    <w:rsid w:val="00B31B02"/>
    <w:rsid w:val="00B33BDB"/>
    <w:rsid w:val="00B3551A"/>
    <w:rsid w:val="00B44A1E"/>
    <w:rsid w:val="00B627BD"/>
    <w:rsid w:val="00B62D45"/>
    <w:rsid w:val="00B66751"/>
    <w:rsid w:val="00B719AA"/>
    <w:rsid w:val="00B97014"/>
    <w:rsid w:val="00BC3A3C"/>
    <w:rsid w:val="00BC7ABE"/>
    <w:rsid w:val="00BC7C4B"/>
    <w:rsid w:val="00BD3A5C"/>
    <w:rsid w:val="00BD752E"/>
    <w:rsid w:val="00BE4A72"/>
    <w:rsid w:val="00BE5119"/>
    <w:rsid w:val="00BF66A8"/>
    <w:rsid w:val="00BF6D7C"/>
    <w:rsid w:val="00BF6F03"/>
    <w:rsid w:val="00C140D5"/>
    <w:rsid w:val="00C17CD5"/>
    <w:rsid w:val="00C35E20"/>
    <w:rsid w:val="00C74A51"/>
    <w:rsid w:val="00C77C13"/>
    <w:rsid w:val="00C77F29"/>
    <w:rsid w:val="00C90506"/>
    <w:rsid w:val="00C95F36"/>
    <w:rsid w:val="00C96CF9"/>
    <w:rsid w:val="00CA44B2"/>
    <w:rsid w:val="00CB5738"/>
    <w:rsid w:val="00CD42ED"/>
    <w:rsid w:val="00CE2A65"/>
    <w:rsid w:val="00CE6B22"/>
    <w:rsid w:val="00CF047C"/>
    <w:rsid w:val="00D069B9"/>
    <w:rsid w:val="00D07E15"/>
    <w:rsid w:val="00D355DB"/>
    <w:rsid w:val="00D55E96"/>
    <w:rsid w:val="00D64F9B"/>
    <w:rsid w:val="00D9532A"/>
    <w:rsid w:val="00DA4D87"/>
    <w:rsid w:val="00DC35C5"/>
    <w:rsid w:val="00DD1A19"/>
    <w:rsid w:val="00DD7880"/>
    <w:rsid w:val="00DE3C6A"/>
    <w:rsid w:val="00DE4076"/>
    <w:rsid w:val="00E236E3"/>
    <w:rsid w:val="00E26FF2"/>
    <w:rsid w:val="00E349DA"/>
    <w:rsid w:val="00E93258"/>
    <w:rsid w:val="00EC0F0A"/>
    <w:rsid w:val="00EC71DD"/>
    <w:rsid w:val="00EC7A49"/>
    <w:rsid w:val="00EC7ADB"/>
    <w:rsid w:val="00ED57C8"/>
    <w:rsid w:val="00F11A81"/>
    <w:rsid w:val="00F7094C"/>
    <w:rsid w:val="00F90527"/>
    <w:rsid w:val="00FA0E37"/>
    <w:rsid w:val="00FA244D"/>
    <w:rsid w:val="00FA2FCC"/>
    <w:rsid w:val="00FB3D01"/>
    <w:rsid w:val="00FC1D6A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8"/>
    <o:shapelayout v:ext="edit">
      <o:idmap v:ext="edit" data="1"/>
    </o:shapelayout>
  </w:shapeDefaults>
  <w:decimalSymbol w:val="."/>
  <w:listSeparator w:val=","/>
  <w14:docId w14:val="587B18D6"/>
  <w15:chartTrackingRefBased/>
  <w15:docId w15:val="{0F231C16-3A4C-4DCE-A9BE-825D0C0C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F9CF8-6E9C-46CD-801C-9D5A49BE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Wagner, Nathan R</cp:lastModifiedBy>
  <cp:revision>3</cp:revision>
  <cp:lastPrinted>2012-02-21T16:49:00Z</cp:lastPrinted>
  <dcterms:created xsi:type="dcterms:W3CDTF">2019-07-19T12:38:00Z</dcterms:created>
  <dcterms:modified xsi:type="dcterms:W3CDTF">2019-07-19T12:48:00Z</dcterms:modified>
</cp:coreProperties>
</file>