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77777777" w:rsidR="0038698E" w:rsidRPr="00B34E15" w:rsidRDefault="0038698E" w:rsidP="007C55D4">
      <w:pPr>
        <w:widowControl/>
        <w:suppressAutoHyphens/>
        <w:jc w:val="center"/>
        <w:rPr>
          <w:b/>
          <w:sz w:val="26"/>
          <w:szCs w:val="26"/>
        </w:rPr>
      </w:pPr>
      <w:r w:rsidRPr="00B34E15">
        <w:rPr>
          <w:b/>
          <w:sz w:val="26"/>
          <w:szCs w:val="26"/>
        </w:rPr>
        <w:t>Harrisburg, PA 17105-3265</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0C15766F" w:rsidR="0038698E" w:rsidRPr="00B34E15" w:rsidRDefault="0038698E" w:rsidP="007C55D4">
      <w:pPr>
        <w:widowControl/>
        <w:suppressAutoHyphens/>
        <w:jc w:val="right"/>
        <w:rPr>
          <w:sz w:val="26"/>
          <w:szCs w:val="26"/>
        </w:rPr>
      </w:pPr>
      <w:r w:rsidRPr="00B34E15">
        <w:rPr>
          <w:sz w:val="26"/>
          <w:szCs w:val="26"/>
        </w:rPr>
        <w:t xml:space="preserve">Public Meeting held </w:t>
      </w:r>
      <w:r w:rsidR="00541787">
        <w:rPr>
          <w:sz w:val="26"/>
          <w:szCs w:val="26"/>
        </w:rPr>
        <w:t>August 8</w:t>
      </w:r>
      <w:r w:rsidRPr="00B34E15">
        <w:rPr>
          <w:sz w:val="26"/>
          <w:szCs w:val="26"/>
        </w:rPr>
        <w:t>, 2019</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170E4D86" w14:textId="77777777" w:rsidR="0038698E" w:rsidRPr="00B34E15" w:rsidRDefault="0038698E" w:rsidP="007C55D4">
      <w:pPr>
        <w:widowControl/>
        <w:ind w:firstLine="720"/>
        <w:rPr>
          <w:sz w:val="26"/>
          <w:szCs w:val="26"/>
        </w:rPr>
      </w:pPr>
      <w:r w:rsidRPr="00B34E15">
        <w:rPr>
          <w:sz w:val="26"/>
          <w:szCs w:val="26"/>
        </w:rPr>
        <w:t>David W. Sweet, Vice Chairman</w:t>
      </w:r>
    </w:p>
    <w:p w14:paraId="1AC0C68E" w14:textId="77777777" w:rsidR="0038698E" w:rsidRPr="00B34E15" w:rsidRDefault="0038698E" w:rsidP="007C55D4">
      <w:pPr>
        <w:widowControl/>
        <w:ind w:firstLine="720"/>
        <w:rPr>
          <w:sz w:val="26"/>
          <w:szCs w:val="26"/>
        </w:rPr>
      </w:pPr>
      <w:r w:rsidRPr="00B34E15">
        <w:rPr>
          <w:sz w:val="26"/>
          <w:szCs w:val="26"/>
        </w:rPr>
        <w:t>Norman J. Kennard</w:t>
      </w:r>
    </w:p>
    <w:p w14:paraId="708DE3E4" w14:textId="77777777" w:rsidR="0038698E" w:rsidRPr="00B34E15" w:rsidRDefault="0038698E" w:rsidP="007C55D4">
      <w:pPr>
        <w:widowControl/>
        <w:ind w:firstLine="720"/>
        <w:rPr>
          <w:sz w:val="26"/>
          <w:szCs w:val="26"/>
        </w:rPr>
      </w:pPr>
      <w:r w:rsidRPr="00B34E15">
        <w:rPr>
          <w:sz w:val="26"/>
          <w:szCs w:val="26"/>
        </w:rPr>
        <w:t>Andrew G. Place</w:t>
      </w:r>
    </w:p>
    <w:p w14:paraId="0E6C8569" w14:textId="77777777" w:rsidR="0038698E" w:rsidRPr="00B34E15" w:rsidRDefault="0038698E" w:rsidP="007C55D4">
      <w:pPr>
        <w:widowControl/>
        <w:ind w:firstLine="720"/>
        <w:rPr>
          <w:sz w:val="26"/>
          <w:szCs w:val="26"/>
        </w:rPr>
      </w:pPr>
      <w:r w:rsidRPr="00B34E15">
        <w:rPr>
          <w:sz w:val="26"/>
          <w:szCs w:val="26"/>
        </w:rPr>
        <w:t>John F. Coleman, Jr.</w:t>
      </w:r>
    </w:p>
    <w:p w14:paraId="7446D00D" w14:textId="77777777" w:rsidR="0038698E"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38698E" w:rsidRPr="00B34E15" w14:paraId="31177B60" w14:textId="77777777" w:rsidTr="00C231D5">
        <w:tc>
          <w:tcPr>
            <w:tcW w:w="5035" w:type="dxa"/>
          </w:tcPr>
          <w:p w14:paraId="4080C07A" w14:textId="4D25159D" w:rsidR="00683A2F" w:rsidRPr="00ED2C8C" w:rsidRDefault="00E4335C" w:rsidP="00E4335C">
            <w:pPr>
              <w:widowControl/>
              <w:rPr>
                <w:sz w:val="26"/>
                <w:szCs w:val="26"/>
              </w:rPr>
            </w:pPr>
            <w:r>
              <w:rPr>
                <w:bCs/>
                <w:spacing w:val="-1"/>
                <w:sz w:val="26"/>
                <w:szCs w:val="26"/>
              </w:rPr>
              <w:t xml:space="preserve">PECO Energy Company’s Pilot Plan for an Advance Payments Program and Petition for Temporary Waiver of Portions of the Commission’s Regulations with Respect to that Plan </w:t>
            </w:r>
          </w:p>
        </w:tc>
        <w:tc>
          <w:tcPr>
            <w:tcW w:w="4315" w:type="dxa"/>
          </w:tcPr>
          <w:p w14:paraId="2A980550" w14:textId="1BC2739E" w:rsidR="0038698E" w:rsidRDefault="00E4335C" w:rsidP="007C55D4">
            <w:pPr>
              <w:widowControl/>
              <w:jc w:val="right"/>
              <w:rPr>
                <w:sz w:val="26"/>
                <w:szCs w:val="26"/>
              </w:rPr>
            </w:pPr>
            <w:r>
              <w:rPr>
                <w:sz w:val="26"/>
                <w:szCs w:val="26"/>
              </w:rPr>
              <w:t>P</w:t>
            </w:r>
            <w:r w:rsidR="007C55D4">
              <w:rPr>
                <w:sz w:val="26"/>
                <w:szCs w:val="26"/>
              </w:rPr>
              <w:t>-2016-2</w:t>
            </w:r>
            <w:r w:rsidR="00844AB1">
              <w:rPr>
                <w:sz w:val="26"/>
                <w:szCs w:val="26"/>
              </w:rPr>
              <w:t>5</w:t>
            </w:r>
            <w:r>
              <w:rPr>
                <w:sz w:val="26"/>
                <w:szCs w:val="26"/>
              </w:rPr>
              <w:t>73023</w:t>
            </w:r>
          </w:p>
          <w:p w14:paraId="0B4B177D" w14:textId="77777777" w:rsidR="00683A2F" w:rsidRPr="00683A2F" w:rsidRDefault="00683A2F" w:rsidP="00683A2F">
            <w:pPr>
              <w:rPr>
                <w:sz w:val="26"/>
                <w:szCs w:val="26"/>
              </w:rPr>
            </w:pPr>
          </w:p>
          <w:p w14:paraId="19397FFB" w14:textId="77777777" w:rsidR="00683A2F" w:rsidRDefault="00683A2F" w:rsidP="00683A2F">
            <w:pPr>
              <w:rPr>
                <w:sz w:val="26"/>
                <w:szCs w:val="26"/>
              </w:rPr>
            </w:pPr>
          </w:p>
          <w:p w14:paraId="05B2A2AD" w14:textId="40E751F7" w:rsidR="00683A2F" w:rsidRPr="00683A2F" w:rsidRDefault="00683A2F" w:rsidP="00683A2F">
            <w:pPr>
              <w:jc w:val="center"/>
              <w:rPr>
                <w:sz w:val="26"/>
                <w:szCs w:val="26"/>
              </w:rPr>
            </w:pPr>
            <w:r>
              <w:rPr>
                <w:sz w:val="26"/>
                <w:szCs w:val="26"/>
              </w:rPr>
              <w:t xml:space="preserve">                                  </w:t>
            </w:r>
          </w:p>
        </w:tc>
      </w:tr>
    </w:tbl>
    <w:p w14:paraId="33E469C3" w14:textId="77777777" w:rsidR="00344C68" w:rsidRPr="00B34E15" w:rsidRDefault="00344C68" w:rsidP="007C55D4">
      <w:pPr>
        <w:widowControl/>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3FC6D095" w14:textId="4BA30143" w:rsidR="00541787" w:rsidRDefault="000F1318" w:rsidP="000D7B91">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r w:rsidR="00541787">
        <w:rPr>
          <w:sz w:val="26"/>
        </w:rPr>
        <w:t>is the</w:t>
      </w:r>
      <w:r w:rsidR="00E4335C">
        <w:rPr>
          <w:sz w:val="26"/>
        </w:rPr>
        <w:t xml:space="preserve"> </w:t>
      </w:r>
      <w:r w:rsidRPr="00027664">
        <w:rPr>
          <w:sz w:val="26"/>
        </w:rPr>
        <w:t xml:space="preserve">Petition for </w:t>
      </w:r>
      <w:r w:rsidR="00541787">
        <w:rPr>
          <w:sz w:val="26"/>
        </w:rPr>
        <w:t>Stay</w:t>
      </w:r>
      <w:r w:rsidR="0038698E">
        <w:rPr>
          <w:sz w:val="26"/>
        </w:rPr>
        <w:t xml:space="preserve"> </w:t>
      </w:r>
      <w:r w:rsidRPr="00027664">
        <w:rPr>
          <w:sz w:val="26"/>
        </w:rPr>
        <w:t>(Petition</w:t>
      </w:r>
      <w:r w:rsidR="00541787">
        <w:rPr>
          <w:sz w:val="26"/>
        </w:rPr>
        <w:t xml:space="preserve"> for Stay</w:t>
      </w:r>
      <w:r w:rsidRPr="00027664">
        <w:rPr>
          <w:sz w:val="26"/>
        </w:rPr>
        <w:t>)</w:t>
      </w:r>
      <w:r w:rsidR="00541787">
        <w:rPr>
          <w:sz w:val="26"/>
        </w:rPr>
        <w:t xml:space="preserve"> </w:t>
      </w:r>
      <w:r w:rsidR="00E4335C">
        <w:rPr>
          <w:sz w:val="26"/>
          <w:szCs w:val="26"/>
        </w:rPr>
        <w:t>filed</w:t>
      </w:r>
      <w:r w:rsidR="00541787">
        <w:rPr>
          <w:sz w:val="26"/>
          <w:szCs w:val="26"/>
        </w:rPr>
        <w:t xml:space="preserve"> on July 3, 2019,</w:t>
      </w:r>
      <w:r w:rsidR="00E4335C">
        <w:rPr>
          <w:sz w:val="26"/>
          <w:szCs w:val="26"/>
        </w:rPr>
        <w:t xml:space="preserve"> by </w:t>
      </w:r>
      <w:r w:rsidR="00541787">
        <w:rPr>
          <w:sz w:val="26"/>
          <w:szCs w:val="26"/>
        </w:rPr>
        <w:t xml:space="preserve">the </w:t>
      </w:r>
      <w:r w:rsidR="00E4335C">
        <w:rPr>
          <w:sz w:val="26"/>
          <w:szCs w:val="26"/>
        </w:rPr>
        <w:t>C</w:t>
      </w:r>
      <w:r w:rsidR="003422C6">
        <w:rPr>
          <w:sz w:val="26"/>
          <w:szCs w:val="26"/>
        </w:rPr>
        <w:t>oalition for Affordable Utility Services and Energy Efficiency (C</w:t>
      </w:r>
      <w:r w:rsidR="00E4335C">
        <w:rPr>
          <w:sz w:val="26"/>
          <w:szCs w:val="26"/>
        </w:rPr>
        <w:t>AUSE-PA</w:t>
      </w:r>
      <w:r w:rsidR="003422C6">
        <w:rPr>
          <w:sz w:val="26"/>
          <w:szCs w:val="26"/>
        </w:rPr>
        <w:t>)</w:t>
      </w:r>
      <w:r w:rsidR="00E4335C">
        <w:rPr>
          <w:sz w:val="26"/>
          <w:szCs w:val="26"/>
        </w:rPr>
        <w:t xml:space="preserve"> and T</w:t>
      </w:r>
      <w:r w:rsidR="003422C6">
        <w:rPr>
          <w:sz w:val="26"/>
          <w:szCs w:val="26"/>
        </w:rPr>
        <w:t xml:space="preserve">enant </w:t>
      </w:r>
      <w:r w:rsidR="00E4335C">
        <w:rPr>
          <w:sz w:val="26"/>
          <w:szCs w:val="26"/>
        </w:rPr>
        <w:t>U</w:t>
      </w:r>
      <w:r w:rsidR="003422C6">
        <w:rPr>
          <w:sz w:val="26"/>
          <w:szCs w:val="26"/>
        </w:rPr>
        <w:t xml:space="preserve">nion </w:t>
      </w:r>
      <w:r w:rsidR="00E4335C">
        <w:rPr>
          <w:sz w:val="26"/>
          <w:szCs w:val="26"/>
        </w:rPr>
        <w:t>R</w:t>
      </w:r>
      <w:r w:rsidR="003422C6">
        <w:rPr>
          <w:sz w:val="26"/>
          <w:szCs w:val="26"/>
        </w:rPr>
        <w:t xml:space="preserve">epresentative </w:t>
      </w:r>
      <w:r w:rsidR="00E4335C">
        <w:rPr>
          <w:sz w:val="26"/>
          <w:szCs w:val="26"/>
        </w:rPr>
        <w:t>N</w:t>
      </w:r>
      <w:r w:rsidR="003422C6">
        <w:rPr>
          <w:sz w:val="26"/>
          <w:szCs w:val="26"/>
        </w:rPr>
        <w:t>etwork and Action Alliance of Senior Citizens of Greater Philadelphia</w:t>
      </w:r>
      <w:r w:rsidR="00F209F0">
        <w:rPr>
          <w:sz w:val="26"/>
          <w:szCs w:val="26"/>
        </w:rPr>
        <w:t xml:space="preserve"> (TURN </w:t>
      </w:r>
      <w:r w:rsidR="00E4335C" w:rsidRPr="006F0F2E">
        <w:rPr>
          <w:i/>
          <w:iCs/>
          <w:sz w:val="26"/>
          <w:szCs w:val="26"/>
        </w:rPr>
        <w:t>et al</w:t>
      </w:r>
      <w:r w:rsidR="006F0F2E">
        <w:rPr>
          <w:sz w:val="26"/>
          <w:szCs w:val="26"/>
        </w:rPr>
        <w:t>.</w:t>
      </w:r>
      <w:r w:rsidR="00F209F0">
        <w:rPr>
          <w:sz w:val="26"/>
          <w:szCs w:val="26"/>
        </w:rPr>
        <w:t>)</w:t>
      </w:r>
      <w:r w:rsidR="00E4335C">
        <w:rPr>
          <w:sz w:val="26"/>
          <w:szCs w:val="26"/>
        </w:rPr>
        <w:t xml:space="preserve"> (</w:t>
      </w:r>
      <w:r w:rsidR="00541787">
        <w:rPr>
          <w:sz w:val="26"/>
          <w:szCs w:val="26"/>
        </w:rPr>
        <w:t>collectively, CAUSE-PA</w:t>
      </w:r>
      <w:r w:rsidR="00F209F0">
        <w:rPr>
          <w:sz w:val="26"/>
          <w:szCs w:val="26"/>
        </w:rPr>
        <w:t xml:space="preserve"> and</w:t>
      </w:r>
      <w:r w:rsidR="00541787">
        <w:rPr>
          <w:sz w:val="26"/>
          <w:szCs w:val="26"/>
        </w:rPr>
        <w:t xml:space="preserve"> TURN </w:t>
      </w:r>
      <w:r w:rsidR="00F209F0" w:rsidRPr="00F209F0">
        <w:rPr>
          <w:i/>
          <w:iCs/>
          <w:sz w:val="26"/>
          <w:szCs w:val="26"/>
        </w:rPr>
        <w:t>et al</w:t>
      </w:r>
      <w:r w:rsidR="00F209F0">
        <w:rPr>
          <w:sz w:val="26"/>
          <w:szCs w:val="26"/>
        </w:rPr>
        <w:t>.</w:t>
      </w:r>
      <w:r w:rsidR="00541787">
        <w:rPr>
          <w:sz w:val="26"/>
          <w:szCs w:val="26"/>
        </w:rPr>
        <w:t>, the Joint Petitioners)</w:t>
      </w:r>
      <w:r w:rsidR="00FE0CD8">
        <w:rPr>
          <w:sz w:val="26"/>
          <w:szCs w:val="26"/>
        </w:rPr>
        <w:t>,</w:t>
      </w:r>
      <w:r w:rsidRPr="00027664">
        <w:rPr>
          <w:sz w:val="26"/>
        </w:rPr>
        <w:t xml:space="preserve"> </w:t>
      </w:r>
      <w:r w:rsidR="00AA548E">
        <w:rPr>
          <w:sz w:val="26"/>
        </w:rPr>
        <w:t xml:space="preserve">seeking </w:t>
      </w:r>
      <w:r w:rsidR="00541787">
        <w:rPr>
          <w:sz w:val="26"/>
        </w:rPr>
        <w:t>a stay of the Commission’s</w:t>
      </w:r>
      <w:r w:rsidR="000505E5">
        <w:rPr>
          <w:sz w:val="26"/>
        </w:rPr>
        <w:t xml:space="preserve"> </w:t>
      </w:r>
      <w:r w:rsidRPr="00027664">
        <w:rPr>
          <w:sz w:val="26"/>
        </w:rPr>
        <w:t xml:space="preserve">Opinion and Order entered </w:t>
      </w:r>
      <w:r w:rsidR="007C55D4">
        <w:rPr>
          <w:sz w:val="26"/>
        </w:rPr>
        <w:t>June 1</w:t>
      </w:r>
      <w:r w:rsidR="00E4335C">
        <w:rPr>
          <w:sz w:val="26"/>
        </w:rPr>
        <w:t>8</w:t>
      </w:r>
      <w:r w:rsidR="0038698E">
        <w:rPr>
          <w:sz w:val="26"/>
        </w:rPr>
        <w:t>, 2019</w:t>
      </w:r>
      <w:r w:rsidR="00541787">
        <w:rPr>
          <w:sz w:val="26"/>
        </w:rPr>
        <w:t xml:space="preserve"> (</w:t>
      </w:r>
      <w:r w:rsidR="00541787" w:rsidRPr="00541787">
        <w:rPr>
          <w:i/>
          <w:iCs/>
          <w:sz w:val="26"/>
        </w:rPr>
        <w:t>June 18 Order</w:t>
      </w:r>
      <w:r w:rsidR="00541787">
        <w:rPr>
          <w:sz w:val="26"/>
        </w:rPr>
        <w:t>)</w:t>
      </w:r>
      <w:r w:rsidRPr="00027664">
        <w:rPr>
          <w:sz w:val="26"/>
        </w:rPr>
        <w:t>, relative to the above-captioned proceeding.</w:t>
      </w:r>
      <w:r w:rsidR="00541787">
        <w:rPr>
          <w:sz w:val="26"/>
        </w:rPr>
        <w:t xml:space="preserve">  </w:t>
      </w:r>
    </w:p>
    <w:p w14:paraId="3D911035" w14:textId="4837B382" w:rsidR="00E04F65" w:rsidRDefault="00E04F65" w:rsidP="000D7B91">
      <w:pPr>
        <w:widowControl/>
        <w:tabs>
          <w:tab w:val="left" w:pos="-720"/>
        </w:tabs>
        <w:suppressAutoHyphens/>
        <w:spacing w:line="360" w:lineRule="auto"/>
        <w:ind w:firstLine="1440"/>
        <w:rPr>
          <w:sz w:val="26"/>
          <w:szCs w:val="26"/>
        </w:rPr>
      </w:pPr>
      <w:r>
        <w:rPr>
          <w:sz w:val="26"/>
          <w:szCs w:val="26"/>
        </w:rPr>
        <w:lastRenderedPageBreak/>
        <w:t xml:space="preserve">On July 3, 2019, the same date as the Petition for Stay was filed, </w:t>
      </w:r>
      <w:r w:rsidR="00541787" w:rsidRPr="00541787">
        <w:rPr>
          <w:sz w:val="26"/>
          <w:szCs w:val="26"/>
        </w:rPr>
        <w:t xml:space="preserve">the Joint Petitioners and the Office of Consumer </w:t>
      </w:r>
      <w:r>
        <w:rPr>
          <w:sz w:val="26"/>
          <w:szCs w:val="26"/>
        </w:rPr>
        <w:t xml:space="preserve">Advocate </w:t>
      </w:r>
      <w:r w:rsidR="000D4690">
        <w:rPr>
          <w:sz w:val="26"/>
          <w:szCs w:val="26"/>
        </w:rPr>
        <w:t xml:space="preserve">(OCA) </w:t>
      </w:r>
      <w:r w:rsidR="00541787" w:rsidRPr="00541787">
        <w:rPr>
          <w:sz w:val="26"/>
          <w:szCs w:val="26"/>
        </w:rPr>
        <w:t xml:space="preserve">filed separate Petitions for Reconsideration of the </w:t>
      </w:r>
      <w:r w:rsidR="00541787" w:rsidRPr="00B419D5">
        <w:rPr>
          <w:i/>
          <w:iCs/>
          <w:sz w:val="26"/>
          <w:szCs w:val="26"/>
        </w:rPr>
        <w:t>June 18 Order</w:t>
      </w:r>
      <w:r w:rsidR="00541787" w:rsidRPr="00541787">
        <w:rPr>
          <w:sz w:val="26"/>
          <w:szCs w:val="26"/>
        </w:rPr>
        <w:t xml:space="preserve">.  </w:t>
      </w:r>
    </w:p>
    <w:p w14:paraId="640EC093" w14:textId="77777777" w:rsidR="00E04F65" w:rsidRDefault="00E04F65" w:rsidP="000D7B91">
      <w:pPr>
        <w:widowControl/>
        <w:tabs>
          <w:tab w:val="left" w:pos="-720"/>
        </w:tabs>
        <w:suppressAutoHyphens/>
        <w:spacing w:line="360" w:lineRule="auto"/>
        <w:ind w:firstLine="1440"/>
        <w:rPr>
          <w:sz w:val="26"/>
          <w:szCs w:val="26"/>
        </w:rPr>
      </w:pPr>
    </w:p>
    <w:p w14:paraId="3AD1FEF2" w14:textId="60BFABE9" w:rsidR="00541787" w:rsidRPr="00541787" w:rsidRDefault="00541787" w:rsidP="000D7B91">
      <w:pPr>
        <w:widowControl/>
        <w:tabs>
          <w:tab w:val="left" w:pos="-720"/>
        </w:tabs>
        <w:suppressAutoHyphens/>
        <w:spacing w:line="360" w:lineRule="auto"/>
        <w:ind w:firstLine="1440"/>
        <w:rPr>
          <w:sz w:val="26"/>
          <w:szCs w:val="26"/>
        </w:rPr>
      </w:pPr>
      <w:r w:rsidRPr="00541787">
        <w:rPr>
          <w:sz w:val="26"/>
          <w:szCs w:val="26"/>
        </w:rPr>
        <w:t>On July 11, 2019, the Commission entered an Opinion and Order in the above-captioned proceeding (</w:t>
      </w:r>
      <w:r w:rsidRPr="00541787">
        <w:rPr>
          <w:i/>
          <w:iCs/>
          <w:sz w:val="26"/>
          <w:szCs w:val="26"/>
        </w:rPr>
        <w:t>July 11 Order</w:t>
      </w:r>
      <w:r w:rsidRPr="00541787">
        <w:rPr>
          <w:sz w:val="26"/>
          <w:szCs w:val="26"/>
        </w:rPr>
        <w:t xml:space="preserve">), </w:t>
      </w:r>
      <w:r w:rsidR="00D87B71">
        <w:rPr>
          <w:sz w:val="26"/>
          <w:szCs w:val="26"/>
        </w:rPr>
        <w:t>granting</w:t>
      </w:r>
      <w:r w:rsidRPr="00541787">
        <w:rPr>
          <w:sz w:val="26"/>
          <w:szCs w:val="26"/>
        </w:rPr>
        <w:t xml:space="preserve"> reconsideration of the </w:t>
      </w:r>
      <w:r w:rsidRPr="00541787">
        <w:rPr>
          <w:i/>
          <w:iCs/>
          <w:sz w:val="26"/>
          <w:szCs w:val="26"/>
        </w:rPr>
        <w:t>June 18 Order</w:t>
      </w:r>
      <w:r w:rsidRPr="00541787">
        <w:rPr>
          <w:sz w:val="26"/>
          <w:szCs w:val="26"/>
        </w:rPr>
        <w:t>, within the meaning of Pa. R.A.P. Rule 1701(b)(3), pending review of, and consideration on, the merits of the Petitions</w:t>
      </w:r>
      <w:r w:rsidR="004140CF">
        <w:rPr>
          <w:sz w:val="26"/>
          <w:szCs w:val="26"/>
        </w:rPr>
        <w:t xml:space="preserve"> for Reconsideration</w:t>
      </w:r>
      <w:r w:rsidRPr="00541787">
        <w:rPr>
          <w:sz w:val="26"/>
          <w:szCs w:val="26"/>
        </w:rPr>
        <w:t>.</w:t>
      </w:r>
      <w:r>
        <w:rPr>
          <w:sz w:val="26"/>
          <w:szCs w:val="26"/>
        </w:rPr>
        <w:t xml:space="preserve">  </w:t>
      </w:r>
    </w:p>
    <w:p w14:paraId="0098CA93" w14:textId="77777777" w:rsidR="00541787" w:rsidRDefault="00541787" w:rsidP="000D7B91">
      <w:pPr>
        <w:widowControl/>
        <w:tabs>
          <w:tab w:val="left" w:pos="-720"/>
        </w:tabs>
        <w:suppressAutoHyphens/>
        <w:spacing w:line="360" w:lineRule="auto"/>
        <w:ind w:firstLine="1440"/>
        <w:rPr>
          <w:sz w:val="26"/>
        </w:rPr>
      </w:pPr>
    </w:p>
    <w:p w14:paraId="761FF978" w14:textId="39B32FEF" w:rsidR="004140CF" w:rsidRDefault="00541787" w:rsidP="00D87B71">
      <w:pPr>
        <w:widowControl/>
        <w:tabs>
          <w:tab w:val="left" w:pos="-720"/>
        </w:tabs>
        <w:suppressAutoHyphens/>
        <w:spacing w:line="360" w:lineRule="auto"/>
        <w:ind w:firstLine="1440"/>
        <w:rPr>
          <w:sz w:val="26"/>
        </w:rPr>
      </w:pPr>
      <w:r>
        <w:rPr>
          <w:sz w:val="26"/>
        </w:rPr>
        <w:t>On July 15, 2019, PECO Energy Company (PECO)</w:t>
      </w:r>
      <w:r w:rsidR="00B419D5">
        <w:rPr>
          <w:sz w:val="26"/>
        </w:rPr>
        <w:t>, in relevant part,</w:t>
      </w:r>
      <w:r>
        <w:rPr>
          <w:sz w:val="26"/>
        </w:rPr>
        <w:t xml:space="preserve"> filed </w:t>
      </w:r>
      <w:r w:rsidR="00B419D5">
        <w:rPr>
          <w:sz w:val="26"/>
        </w:rPr>
        <w:t>its</w:t>
      </w:r>
      <w:r>
        <w:rPr>
          <w:sz w:val="26"/>
        </w:rPr>
        <w:t xml:space="preserve"> Answer to the Petition for Stay, stating that it does not object to the requested stay of the </w:t>
      </w:r>
      <w:r w:rsidRPr="00AC4ED6">
        <w:rPr>
          <w:i/>
          <w:iCs/>
          <w:sz w:val="26"/>
        </w:rPr>
        <w:t>June 18 Order</w:t>
      </w:r>
      <w:r>
        <w:rPr>
          <w:sz w:val="26"/>
        </w:rPr>
        <w:t xml:space="preserve"> until such time as the Commission enters an Order on Reconsideration that sets a new timeline for a future PECO compliance filing.  </w:t>
      </w:r>
    </w:p>
    <w:p w14:paraId="304D3C6D" w14:textId="646159D8" w:rsidR="00194607" w:rsidRPr="000D4690" w:rsidRDefault="00194607" w:rsidP="00194607">
      <w:pPr>
        <w:autoSpaceDE w:val="0"/>
        <w:autoSpaceDN w:val="0"/>
        <w:adjustRightInd w:val="0"/>
        <w:spacing w:before="400" w:after="200"/>
        <w:jc w:val="center"/>
        <w:rPr>
          <w:b/>
          <w:bCs/>
          <w:color w:val="000000"/>
          <w:sz w:val="26"/>
          <w:szCs w:val="26"/>
        </w:rPr>
      </w:pPr>
      <w:r w:rsidRPr="000D4690">
        <w:rPr>
          <w:b/>
          <w:bCs/>
          <w:color w:val="000000"/>
          <w:sz w:val="26"/>
          <w:szCs w:val="26"/>
        </w:rPr>
        <w:t>D</w:t>
      </w:r>
      <w:r w:rsidR="002354D3" w:rsidRPr="000D4690">
        <w:rPr>
          <w:b/>
          <w:bCs/>
          <w:color w:val="000000"/>
          <w:sz w:val="26"/>
          <w:szCs w:val="26"/>
        </w:rPr>
        <w:t>iscussion</w:t>
      </w:r>
    </w:p>
    <w:p w14:paraId="24AF8E96" w14:textId="77777777" w:rsidR="00624DD1" w:rsidRDefault="00624DD1" w:rsidP="00194607">
      <w:pPr>
        <w:autoSpaceDE w:val="0"/>
        <w:autoSpaceDN w:val="0"/>
        <w:adjustRightInd w:val="0"/>
        <w:jc w:val="both"/>
        <w:rPr>
          <w:sz w:val="26"/>
          <w:szCs w:val="26"/>
        </w:rPr>
      </w:pPr>
    </w:p>
    <w:p w14:paraId="26FEA41D" w14:textId="3B256564" w:rsidR="00194607" w:rsidRPr="00624DD1" w:rsidRDefault="00624DD1" w:rsidP="000D4690">
      <w:pPr>
        <w:autoSpaceDE w:val="0"/>
        <w:autoSpaceDN w:val="0"/>
        <w:adjustRightInd w:val="0"/>
        <w:spacing w:line="360" w:lineRule="auto"/>
        <w:jc w:val="both"/>
        <w:rPr>
          <w:b/>
          <w:bCs/>
          <w:sz w:val="26"/>
          <w:szCs w:val="26"/>
        </w:rPr>
      </w:pPr>
      <w:r w:rsidRPr="00624DD1">
        <w:rPr>
          <w:b/>
          <w:bCs/>
          <w:sz w:val="26"/>
          <w:szCs w:val="26"/>
        </w:rPr>
        <w:t>Legal Standards</w:t>
      </w:r>
    </w:p>
    <w:p w14:paraId="71179E19" w14:textId="7DFDE17C" w:rsidR="00624DD1" w:rsidRDefault="00624DD1" w:rsidP="000D4690">
      <w:pPr>
        <w:autoSpaceDE w:val="0"/>
        <w:autoSpaceDN w:val="0"/>
        <w:adjustRightInd w:val="0"/>
        <w:spacing w:line="360" w:lineRule="auto"/>
        <w:jc w:val="both"/>
        <w:rPr>
          <w:color w:val="000000"/>
          <w:sz w:val="26"/>
          <w:szCs w:val="26"/>
        </w:rPr>
      </w:pPr>
    </w:p>
    <w:p w14:paraId="74E2DB95" w14:textId="426E9952" w:rsidR="00C02500" w:rsidRPr="00C02500" w:rsidRDefault="00C02500" w:rsidP="00C02500">
      <w:pPr>
        <w:widowControl/>
        <w:spacing w:line="360" w:lineRule="auto"/>
        <w:ind w:firstLine="1440"/>
        <w:rPr>
          <w:rFonts w:eastAsiaTheme="minorHAnsi"/>
          <w:sz w:val="26"/>
          <w:szCs w:val="26"/>
        </w:rPr>
      </w:pPr>
      <w:r>
        <w:rPr>
          <w:rFonts w:eastAsiaTheme="minorHAnsi"/>
          <w:sz w:val="26"/>
          <w:szCs w:val="26"/>
        </w:rPr>
        <w:t xml:space="preserve">When considering </w:t>
      </w:r>
      <w:r w:rsidRPr="00C02500">
        <w:rPr>
          <w:rFonts w:eastAsiaTheme="minorHAnsi"/>
          <w:sz w:val="26"/>
          <w:szCs w:val="26"/>
        </w:rPr>
        <w:t>petitions to stay the effect of Commission Orders</w:t>
      </w:r>
      <w:r>
        <w:rPr>
          <w:rFonts w:eastAsiaTheme="minorHAnsi"/>
          <w:sz w:val="26"/>
          <w:szCs w:val="26"/>
        </w:rPr>
        <w:t>, t</w:t>
      </w:r>
      <w:r w:rsidRPr="00C02500">
        <w:rPr>
          <w:rFonts w:eastAsiaTheme="minorHAnsi"/>
          <w:sz w:val="26"/>
          <w:szCs w:val="26"/>
        </w:rPr>
        <w:t xml:space="preserve">he Commission has adopted the standards set forth in </w:t>
      </w:r>
      <w:r w:rsidRPr="00C02500">
        <w:rPr>
          <w:rFonts w:eastAsiaTheme="minorHAnsi"/>
          <w:i/>
          <w:sz w:val="26"/>
          <w:szCs w:val="26"/>
        </w:rPr>
        <w:t>Pennsylvania Public Utility Commission v. Process Gas Consumers Group</w:t>
      </w:r>
      <w:r w:rsidRPr="00C02500">
        <w:rPr>
          <w:rFonts w:eastAsiaTheme="minorHAnsi"/>
          <w:sz w:val="26"/>
          <w:szCs w:val="26"/>
        </w:rPr>
        <w:t>, 502 Pa. 545, 467 A.2d 805 (1983) (</w:t>
      </w:r>
      <w:r w:rsidRPr="00C02500">
        <w:rPr>
          <w:rFonts w:eastAsiaTheme="minorHAnsi"/>
          <w:i/>
          <w:sz w:val="26"/>
          <w:szCs w:val="26"/>
        </w:rPr>
        <w:t>Process Gas</w:t>
      </w:r>
      <w:r w:rsidRPr="00C02500">
        <w:rPr>
          <w:rFonts w:eastAsiaTheme="minorHAnsi"/>
          <w:sz w:val="26"/>
          <w:szCs w:val="26"/>
        </w:rPr>
        <w:t>)</w:t>
      </w:r>
      <w:r>
        <w:rPr>
          <w:rFonts w:eastAsiaTheme="minorHAnsi"/>
          <w:sz w:val="26"/>
          <w:szCs w:val="26"/>
        </w:rPr>
        <w:t>.</w:t>
      </w:r>
      <w:r w:rsidRPr="00C02500">
        <w:rPr>
          <w:rFonts w:eastAsiaTheme="minorHAnsi"/>
          <w:sz w:val="26"/>
          <w:szCs w:val="26"/>
        </w:rPr>
        <w:t xml:space="preserve"> </w:t>
      </w:r>
      <w:r>
        <w:rPr>
          <w:rFonts w:eastAsiaTheme="minorHAnsi"/>
          <w:sz w:val="26"/>
          <w:szCs w:val="26"/>
        </w:rPr>
        <w:t xml:space="preserve"> </w:t>
      </w:r>
      <w:r w:rsidRPr="00C02500">
        <w:rPr>
          <w:rFonts w:eastAsiaTheme="minorHAnsi"/>
          <w:sz w:val="26"/>
          <w:szCs w:val="26"/>
        </w:rPr>
        <w:t xml:space="preserve">To meet the standards set forth in </w:t>
      </w:r>
      <w:r w:rsidRPr="00C02500">
        <w:rPr>
          <w:rFonts w:eastAsiaTheme="minorHAnsi"/>
          <w:i/>
          <w:sz w:val="26"/>
          <w:szCs w:val="26"/>
        </w:rPr>
        <w:t>Process Gas</w:t>
      </w:r>
      <w:r w:rsidRPr="00C02500">
        <w:rPr>
          <w:rFonts w:eastAsiaTheme="minorHAnsi"/>
          <w:sz w:val="26"/>
          <w:szCs w:val="26"/>
        </w:rPr>
        <w:t>, a petitioner must:</w:t>
      </w:r>
    </w:p>
    <w:p w14:paraId="3E0EDB9D" w14:textId="77777777" w:rsidR="00C02500" w:rsidRPr="00C02500" w:rsidRDefault="00C02500" w:rsidP="00C02500">
      <w:pPr>
        <w:widowControl/>
        <w:spacing w:line="360" w:lineRule="auto"/>
        <w:ind w:left="1440" w:firstLine="1440"/>
        <w:rPr>
          <w:sz w:val="26"/>
          <w:szCs w:val="26"/>
        </w:rPr>
      </w:pPr>
    </w:p>
    <w:p w14:paraId="5B0BF2DF" w14:textId="77777777" w:rsidR="00C02500" w:rsidRPr="00C02500" w:rsidRDefault="00C02500" w:rsidP="00C02500">
      <w:pPr>
        <w:widowControl/>
        <w:numPr>
          <w:ilvl w:val="0"/>
          <w:numId w:val="7"/>
        </w:numPr>
        <w:spacing w:line="360" w:lineRule="auto"/>
        <w:ind w:left="1440"/>
        <w:rPr>
          <w:sz w:val="26"/>
          <w:szCs w:val="26"/>
        </w:rPr>
      </w:pPr>
      <w:bookmarkStart w:id="0" w:name="_Hlk2856354"/>
      <w:r w:rsidRPr="00C02500">
        <w:rPr>
          <w:sz w:val="26"/>
          <w:szCs w:val="26"/>
        </w:rPr>
        <w:t>Make a strong showing of likelihood to prevail on the merits;</w:t>
      </w:r>
    </w:p>
    <w:p w14:paraId="356CCF60" w14:textId="77777777" w:rsidR="00C02500" w:rsidRPr="00C02500" w:rsidRDefault="00C02500" w:rsidP="00C02500">
      <w:pPr>
        <w:widowControl/>
        <w:numPr>
          <w:ilvl w:val="0"/>
          <w:numId w:val="7"/>
        </w:numPr>
        <w:spacing w:line="360" w:lineRule="auto"/>
        <w:ind w:left="1440"/>
        <w:rPr>
          <w:sz w:val="26"/>
          <w:szCs w:val="26"/>
        </w:rPr>
      </w:pPr>
      <w:r w:rsidRPr="00C02500">
        <w:rPr>
          <w:sz w:val="26"/>
          <w:szCs w:val="26"/>
        </w:rPr>
        <w:t>Show that denial of relief will cause irreparable injury;</w:t>
      </w:r>
    </w:p>
    <w:p w14:paraId="37BACB34" w14:textId="77777777" w:rsidR="00C02500" w:rsidRPr="00C02500" w:rsidRDefault="00C02500" w:rsidP="00C02500">
      <w:pPr>
        <w:widowControl/>
        <w:numPr>
          <w:ilvl w:val="0"/>
          <w:numId w:val="7"/>
        </w:numPr>
        <w:spacing w:line="360" w:lineRule="auto"/>
        <w:ind w:left="1440"/>
        <w:rPr>
          <w:sz w:val="26"/>
          <w:szCs w:val="26"/>
        </w:rPr>
      </w:pPr>
      <w:r w:rsidRPr="00C02500">
        <w:rPr>
          <w:sz w:val="26"/>
          <w:szCs w:val="26"/>
        </w:rPr>
        <w:t>Show that the issuance of a stay will not substantially harm other interested parties in the proceedings; and</w:t>
      </w:r>
    </w:p>
    <w:p w14:paraId="20CDCB81" w14:textId="77777777" w:rsidR="00C02500" w:rsidRPr="00C02500" w:rsidRDefault="00C02500" w:rsidP="00C02500">
      <w:pPr>
        <w:widowControl/>
        <w:numPr>
          <w:ilvl w:val="0"/>
          <w:numId w:val="7"/>
        </w:numPr>
        <w:spacing w:line="360" w:lineRule="auto"/>
        <w:ind w:left="1440"/>
        <w:rPr>
          <w:sz w:val="26"/>
          <w:szCs w:val="26"/>
        </w:rPr>
      </w:pPr>
      <w:r w:rsidRPr="00C02500">
        <w:rPr>
          <w:sz w:val="26"/>
          <w:szCs w:val="26"/>
        </w:rPr>
        <w:t>Show that the issuance of a stay will not adversely affect the public interest.</w:t>
      </w:r>
    </w:p>
    <w:p w14:paraId="1204D714" w14:textId="77777777" w:rsidR="00C02500" w:rsidRPr="00C02500" w:rsidRDefault="00C02500" w:rsidP="00C02500">
      <w:pPr>
        <w:widowControl/>
        <w:ind w:left="1440"/>
        <w:rPr>
          <w:sz w:val="26"/>
          <w:szCs w:val="26"/>
        </w:rPr>
      </w:pPr>
    </w:p>
    <w:bookmarkEnd w:id="0"/>
    <w:p w14:paraId="5EBBCB1E" w14:textId="77777777" w:rsidR="00C02500" w:rsidRPr="00C02500" w:rsidRDefault="00C02500" w:rsidP="00C02500">
      <w:pPr>
        <w:widowControl/>
        <w:ind w:firstLine="1440"/>
        <w:rPr>
          <w:sz w:val="26"/>
          <w:szCs w:val="26"/>
        </w:rPr>
      </w:pPr>
    </w:p>
    <w:p w14:paraId="4C3497A4" w14:textId="7CEEE67A" w:rsidR="00B419D5" w:rsidRDefault="00C02500" w:rsidP="00624DD1">
      <w:pPr>
        <w:autoSpaceDE w:val="0"/>
        <w:autoSpaceDN w:val="0"/>
        <w:adjustRightInd w:val="0"/>
        <w:spacing w:line="360" w:lineRule="auto"/>
        <w:rPr>
          <w:color w:val="000000"/>
          <w:sz w:val="26"/>
          <w:szCs w:val="26"/>
        </w:rPr>
      </w:pPr>
      <w:r w:rsidRPr="00C02500">
        <w:rPr>
          <w:sz w:val="26"/>
          <w:szCs w:val="26"/>
        </w:rPr>
        <w:t xml:space="preserve">502 Pa. at 552-553, 467 A.2d at 808-809.  </w:t>
      </w:r>
      <w:r w:rsidR="00B419D5" w:rsidRPr="00624DD1">
        <w:rPr>
          <w:sz w:val="26"/>
          <w:szCs w:val="26"/>
        </w:rPr>
        <w:t>The Court held that these criteria “[require] the Court to balance the interests of all parties, and the public where applicable, and [require] the applicant to demonstrate a probability of success on the merits.”</w:t>
      </w:r>
      <w:r w:rsidR="00624DD1" w:rsidRPr="00624DD1">
        <w:rPr>
          <w:sz w:val="26"/>
          <w:szCs w:val="26"/>
        </w:rPr>
        <w:t xml:space="preserve"> </w:t>
      </w:r>
      <w:r w:rsidR="00B419D5" w:rsidRPr="00624DD1">
        <w:rPr>
          <w:sz w:val="26"/>
          <w:szCs w:val="26"/>
        </w:rPr>
        <w:t xml:space="preserve"> </w:t>
      </w:r>
      <w:r w:rsidR="00B419D5" w:rsidRPr="00624DD1">
        <w:rPr>
          <w:i/>
          <w:iCs/>
          <w:sz w:val="26"/>
          <w:szCs w:val="26"/>
        </w:rPr>
        <w:t>Id</w:t>
      </w:r>
      <w:r w:rsidR="00B419D5" w:rsidRPr="00624DD1">
        <w:rPr>
          <w:sz w:val="26"/>
          <w:szCs w:val="26"/>
        </w:rPr>
        <w:t xml:space="preserve">. at 809. </w:t>
      </w:r>
      <w:r w:rsidR="00624DD1" w:rsidRPr="00624DD1">
        <w:rPr>
          <w:sz w:val="26"/>
          <w:szCs w:val="26"/>
        </w:rPr>
        <w:t xml:space="preserve"> </w:t>
      </w:r>
      <w:r w:rsidR="00B419D5" w:rsidRPr="00624DD1">
        <w:rPr>
          <w:sz w:val="26"/>
          <w:szCs w:val="26"/>
        </w:rPr>
        <w:t>The Court also held that the applicant’s requirement to demonstrate a likelihood to prevail on the merits “should not be an inflexible rule” but, instead, “must be considered and weighed relative to the other three criteria.”</w:t>
      </w:r>
      <w:r w:rsidR="00B419D5" w:rsidRPr="00624DD1">
        <w:rPr>
          <w:i/>
          <w:iCs/>
          <w:sz w:val="26"/>
          <w:szCs w:val="26"/>
        </w:rPr>
        <w:t xml:space="preserve"> Id</w:t>
      </w:r>
      <w:r w:rsidR="00B419D5" w:rsidRPr="00624DD1">
        <w:rPr>
          <w:sz w:val="26"/>
          <w:szCs w:val="26"/>
        </w:rPr>
        <w:t>. at n.8.</w:t>
      </w:r>
    </w:p>
    <w:p w14:paraId="556CFC47" w14:textId="77777777" w:rsidR="00B419D5" w:rsidRPr="00624DD1" w:rsidRDefault="00B419D5" w:rsidP="00624DD1">
      <w:pPr>
        <w:autoSpaceDE w:val="0"/>
        <w:autoSpaceDN w:val="0"/>
        <w:adjustRightInd w:val="0"/>
        <w:spacing w:line="360" w:lineRule="auto"/>
        <w:ind w:firstLine="1440"/>
        <w:rPr>
          <w:color w:val="000000"/>
          <w:sz w:val="26"/>
          <w:szCs w:val="26"/>
        </w:rPr>
      </w:pPr>
    </w:p>
    <w:p w14:paraId="54316994" w14:textId="1E9823F9" w:rsidR="00624DD1" w:rsidRDefault="00B419D5" w:rsidP="00624DD1">
      <w:pPr>
        <w:widowControl/>
        <w:tabs>
          <w:tab w:val="left" w:pos="-720"/>
        </w:tabs>
        <w:suppressAutoHyphens/>
        <w:spacing w:line="360" w:lineRule="auto"/>
        <w:ind w:firstLine="1440"/>
        <w:rPr>
          <w:color w:val="000000"/>
          <w:sz w:val="26"/>
          <w:szCs w:val="26"/>
        </w:rPr>
      </w:pPr>
      <w:r w:rsidRPr="00624DD1">
        <w:rPr>
          <w:sz w:val="26"/>
          <w:szCs w:val="26"/>
        </w:rPr>
        <w:t xml:space="preserve">The Commission has previously concluded that, pursuant to the guidance in </w:t>
      </w:r>
      <w:r w:rsidRPr="00624DD1">
        <w:rPr>
          <w:i/>
          <w:iCs/>
          <w:sz w:val="26"/>
          <w:szCs w:val="26"/>
        </w:rPr>
        <w:t>Process Gas</w:t>
      </w:r>
      <w:r w:rsidRPr="00624DD1">
        <w:rPr>
          <w:sz w:val="26"/>
          <w:szCs w:val="26"/>
        </w:rPr>
        <w:t>, the likelihood “to prevail on the merits” is “not applicable” to a request for a stay directed to the Commission</w:t>
      </w:r>
      <w:r w:rsidRPr="00624DD1">
        <w:rPr>
          <w:color w:val="000000"/>
          <w:sz w:val="26"/>
          <w:szCs w:val="26"/>
        </w:rPr>
        <w:t xml:space="preserve"> where the Commission has </w:t>
      </w:r>
      <w:r w:rsidR="00624DD1" w:rsidRPr="00624DD1">
        <w:rPr>
          <w:color w:val="000000"/>
          <w:sz w:val="26"/>
          <w:szCs w:val="26"/>
        </w:rPr>
        <w:t xml:space="preserve">already </w:t>
      </w:r>
      <w:r w:rsidRPr="00624DD1">
        <w:rPr>
          <w:color w:val="000000"/>
          <w:sz w:val="26"/>
          <w:szCs w:val="26"/>
        </w:rPr>
        <w:t>had an opportunity to rule on the substantive facts at issue</w:t>
      </w:r>
      <w:r w:rsidR="00624DD1">
        <w:rPr>
          <w:color w:val="000000"/>
          <w:sz w:val="26"/>
          <w:szCs w:val="26"/>
        </w:rPr>
        <w:t xml:space="preserve"> and such ruling is pending </w:t>
      </w:r>
      <w:r w:rsidR="007B356E">
        <w:rPr>
          <w:color w:val="000000"/>
          <w:sz w:val="26"/>
          <w:szCs w:val="26"/>
        </w:rPr>
        <w:t>appeal (or reconsideration)</w:t>
      </w:r>
      <w:r w:rsidRPr="00624DD1">
        <w:rPr>
          <w:sz w:val="26"/>
          <w:szCs w:val="26"/>
        </w:rPr>
        <w:t xml:space="preserve">. </w:t>
      </w:r>
      <w:r w:rsidR="00624DD1">
        <w:rPr>
          <w:sz w:val="26"/>
          <w:szCs w:val="26"/>
        </w:rPr>
        <w:t xml:space="preserve"> </w:t>
      </w:r>
      <w:r w:rsidRPr="00624DD1">
        <w:rPr>
          <w:i/>
          <w:iCs/>
          <w:sz w:val="26"/>
          <w:szCs w:val="26"/>
        </w:rPr>
        <w:t>See</w:t>
      </w:r>
      <w:r w:rsidRPr="00624DD1">
        <w:rPr>
          <w:sz w:val="26"/>
          <w:szCs w:val="26"/>
        </w:rPr>
        <w:t xml:space="preserve"> </w:t>
      </w:r>
      <w:r w:rsidRPr="00624DD1">
        <w:rPr>
          <w:i/>
          <w:iCs/>
          <w:sz w:val="26"/>
          <w:szCs w:val="26"/>
        </w:rPr>
        <w:t xml:space="preserve">Pa. PUC v. </w:t>
      </w:r>
      <w:r w:rsidRPr="007B356E">
        <w:rPr>
          <w:i/>
          <w:iCs/>
          <w:sz w:val="26"/>
          <w:szCs w:val="26"/>
        </w:rPr>
        <w:t>UGI Corp</w:t>
      </w:r>
      <w:r w:rsidRPr="007B356E">
        <w:rPr>
          <w:sz w:val="26"/>
          <w:szCs w:val="26"/>
        </w:rPr>
        <w:t xml:space="preserve">., 57 Pa. P.U.C. 83, </w:t>
      </w:r>
      <w:r w:rsidR="00624DD1" w:rsidRPr="007B356E">
        <w:rPr>
          <w:sz w:val="26"/>
          <w:szCs w:val="26"/>
        </w:rPr>
        <w:t>*</w:t>
      </w:r>
      <w:r w:rsidRPr="007B356E">
        <w:rPr>
          <w:sz w:val="26"/>
          <w:szCs w:val="26"/>
        </w:rPr>
        <w:t xml:space="preserve">88-89 (1983); </w:t>
      </w:r>
      <w:r w:rsidRPr="007B356E">
        <w:rPr>
          <w:i/>
          <w:iCs/>
          <w:sz w:val="26"/>
          <w:szCs w:val="26"/>
        </w:rPr>
        <w:t xml:space="preserve">see also </w:t>
      </w:r>
      <w:r w:rsidR="007B356E">
        <w:rPr>
          <w:i/>
          <w:iCs/>
          <w:sz w:val="26"/>
          <w:szCs w:val="26"/>
        </w:rPr>
        <w:t xml:space="preserve">Implementation of Act 40 of 2017, </w:t>
      </w:r>
      <w:r w:rsidRPr="007B356E">
        <w:rPr>
          <w:i/>
          <w:iCs/>
          <w:sz w:val="26"/>
          <w:szCs w:val="26"/>
        </w:rPr>
        <w:t>Petition of Cypress Creek Renewables</w:t>
      </w:r>
      <w:r w:rsidR="007B356E">
        <w:rPr>
          <w:i/>
          <w:iCs/>
          <w:sz w:val="26"/>
          <w:szCs w:val="26"/>
        </w:rPr>
        <w:t xml:space="preserve">, LLC for a Stay or </w:t>
      </w:r>
      <w:r w:rsidR="007B356E" w:rsidRPr="007B356E">
        <w:rPr>
          <w:i/>
          <w:iCs/>
          <w:sz w:val="26"/>
          <w:szCs w:val="26"/>
        </w:rPr>
        <w:t xml:space="preserve">Supersedeas of the Commission’s Final Implementation Order Entered May 3, 2018, </w:t>
      </w:r>
      <w:r w:rsidR="007B356E" w:rsidRPr="007B356E">
        <w:rPr>
          <w:sz w:val="26"/>
          <w:szCs w:val="26"/>
        </w:rPr>
        <w:t>Docket No.</w:t>
      </w:r>
      <w:r w:rsidR="007B356E" w:rsidRPr="007B356E">
        <w:rPr>
          <w:color w:val="212121"/>
          <w:sz w:val="26"/>
          <w:szCs w:val="26"/>
        </w:rPr>
        <w:t xml:space="preserve"> M-2017-2631527</w:t>
      </w:r>
      <w:r w:rsidR="007B356E" w:rsidRPr="007B356E">
        <w:rPr>
          <w:sz w:val="26"/>
          <w:szCs w:val="26"/>
        </w:rPr>
        <w:t xml:space="preserve">, </w:t>
      </w:r>
      <w:r w:rsidR="007B356E" w:rsidRPr="007B356E">
        <w:rPr>
          <w:color w:val="000000"/>
          <w:sz w:val="26"/>
          <w:szCs w:val="26"/>
        </w:rPr>
        <w:t xml:space="preserve">2018 WL 3740734 </w:t>
      </w:r>
      <w:r w:rsidRPr="007B356E">
        <w:rPr>
          <w:sz w:val="26"/>
          <w:szCs w:val="26"/>
        </w:rPr>
        <w:t>(Opinion and Order entered August 2, 2018)</w:t>
      </w:r>
      <w:r w:rsidR="000558C7">
        <w:rPr>
          <w:sz w:val="26"/>
          <w:szCs w:val="26"/>
        </w:rPr>
        <w:t xml:space="preserve"> </w:t>
      </w:r>
      <w:r w:rsidRPr="007B356E">
        <w:rPr>
          <w:sz w:val="26"/>
          <w:szCs w:val="26"/>
        </w:rPr>
        <w:t>(</w:t>
      </w:r>
      <w:r w:rsidR="00624DD1" w:rsidRPr="007B356E">
        <w:rPr>
          <w:sz w:val="26"/>
          <w:szCs w:val="26"/>
        </w:rPr>
        <w:t>finding that “</w:t>
      </w:r>
      <w:r w:rsidR="00624DD1" w:rsidRPr="007B356E">
        <w:rPr>
          <w:color w:val="000000"/>
          <w:sz w:val="26"/>
          <w:szCs w:val="26"/>
        </w:rPr>
        <w:t>the first prong of the four-part test of whether a stay, requiring</w:t>
      </w:r>
      <w:r w:rsidR="00624DD1" w:rsidRPr="00624DD1">
        <w:rPr>
          <w:color w:val="000000"/>
          <w:sz w:val="26"/>
          <w:szCs w:val="26"/>
        </w:rPr>
        <w:t xml:space="preserve"> the petitioner to make a strong showing that he is likely to prevail on the merits, is applicable in a matter where the Commission has not had an opportunity to rule on the substantive facts at issue.”)  Thus, </w:t>
      </w:r>
      <w:r w:rsidR="00624DD1">
        <w:rPr>
          <w:rFonts w:eastAsia="Arial"/>
          <w:color w:val="000000"/>
          <w:sz w:val="26"/>
          <w:szCs w:val="26"/>
        </w:rPr>
        <w:t>“</w:t>
      </w:r>
      <w:r w:rsidR="00624DD1" w:rsidRPr="00624DD1">
        <w:rPr>
          <w:rFonts w:eastAsia="Arial"/>
          <w:color w:val="000000"/>
          <w:sz w:val="26"/>
          <w:szCs w:val="26"/>
        </w:rPr>
        <w:t>[I]n deciding whether to stay one of our orders pending appeal, this Commission should not indulge in a further review of the case.  Rather, this Commission should concentrate solely on the effect our order will have pending appeal.</w:t>
      </w:r>
      <w:r w:rsidR="00624DD1">
        <w:rPr>
          <w:rFonts w:eastAsia="Arial"/>
          <w:color w:val="000000"/>
          <w:sz w:val="26"/>
          <w:szCs w:val="26"/>
        </w:rPr>
        <w:t>”</w:t>
      </w:r>
      <w:r w:rsidR="00624DD1" w:rsidRPr="00624DD1">
        <w:rPr>
          <w:rFonts w:eastAsia="Arial"/>
          <w:color w:val="000000"/>
          <w:sz w:val="26"/>
          <w:szCs w:val="26"/>
        </w:rPr>
        <w:t xml:space="preserve">  </w:t>
      </w:r>
      <w:r w:rsidR="00624DD1" w:rsidRPr="00624DD1">
        <w:rPr>
          <w:rFonts w:eastAsia="Arial"/>
          <w:i/>
          <w:iCs/>
          <w:color w:val="000000"/>
          <w:sz w:val="26"/>
          <w:szCs w:val="26"/>
        </w:rPr>
        <w:t>See Pa. PUC v. UGI Corp</w:t>
      </w:r>
      <w:r w:rsidR="00624DD1" w:rsidRPr="00624DD1">
        <w:rPr>
          <w:rFonts w:eastAsia="Arial"/>
          <w:color w:val="000000"/>
          <w:sz w:val="26"/>
          <w:szCs w:val="26"/>
        </w:rPr>
        <w:t>., 57 Pa. P.U.C. at *89.</w:t>
      </w:r>
    </w:p>
    <w:p w14:paraId="14B3F971" w14:textId="77777777" w:rsidR="00624DD1" w:rsidRDefault="00624DD1" w:rsidP="00624DD1">
      <w:pPr>
        <w:widowControl/>
        <w:tabs>
          <w:tab w:val="left" w:pos="-720"/>
        </w:tabs>
        <w:suppressAutoHyphens/>
        <w:spacing w:line="360" w:lineRule="auto"/>
        <w:ind w:firstLine="1440"/>
        <w:rPr>
          <w:color w:val="000000"/>
          <w:sz w:val="26"/>
          <w:szCs w:val="26"/>
        </w:rPr>
      </w:pPr>
    </w:p>
    <w:p w14:paraId="7C1C78FA" w14:textId="48075B20" w:rsidR="00624DD1" w:rsidRPr="00624DD1" w:rsidRDefault="00624DD1" w:rsidP="00624DD1">
      <w:pPr>
        <w:widowControl/>
        <w:tabs>
          <w:tab w:val="left" w:pos="-720"/>
        </w:tabs>
        <w:suppressAutoHyphens/>
        <w:spacing w:line="360" w:lineRule="auto"/>
        <w:ind w:firstLine="1440"/>
        <w:rPr>
          <w:color w:val="000000"/>
          <w:sz w:val="26"/>
          <w:szCs w:val="26"/>
        </w:rPr>
      </w:pPr>
      <w:r w:rsidRPr="00624DD1">
        <w:rPr>
          <w:rFonts w:eastAsia="Arial"/>
          <w:color w:val="000000"/>
          <w:sz w:val="26"/>
          <w:szCs w:val="26"/>
        </w:rPr>
        <w:t xml:space="preserve">Under appropriate circumstance and depending upon the specific facts in each individual case, we may decide to stay an order even though all the aforementioned criteria may not be met.  </w:t>
      </w:r>
      <w:r>
        <w:rPr>
          <w:rFonts w:eastAsia="Arial"/>
          <w:i/>
          <w:iCs/>
          <w:color w:val="000000"/>
          <w:sz w:val="26"/>
          <w:szCs w:val="26"/>
        </w:rPr>
        <w:t>Id</w:t>
      </w:r>
      <w:r w:rsidRPr="00624DD1">
        <w:rPr>
          <w:rFonts w:eastAsia="Arial"/>
          <w:color w:val="000000"/>
          <w:sz w:val="26"/>
          <w:szCs w:val="26"/>
        </w:rPr>
        <w:t>.</w:t>
      </w:r>
    </w:p>
    <w:p w14:paraId="233324EE" w14:textId="77777777" w:rsidR="00624DD1" w:rsidRDefault="00624DD1" w:rsidP="00B419D5">
      <w:pPr>
        <w:widowControl/>
        <w:tabs>
          <w:tab w:val="left" w:pos="-720"/>
        </w:tabs>
        <w:suppressAutoHyphens/>
        <w:spacing w:line="360" w:lineRule="auto"/>
        <w:rPr>
          <w:b/>
          <w:sz w:val="26"/>
        </w:rPr>
      </w:pPr>
    </w:p>
    <w:p w14:paraId="2A35B792" w14:textId="61D9E5FE" w:rsidR="00F209F0" w:rsidRPr="00F209F0" w:rsidRDefault="00F209F0" w:rsidP="00E04F65">
      <w:pPr>
        <w:keepNext/>
        <w:keepLines/>
        <w:widowControl/>
        <w:tabs>
          <w:tab w:val="left" w:pos="-720"/>
        </w:tabs>
        <w:suppressAutoHyphens/>
        <w:spacing w:line="360" w:lineRule="auto"/>
        <w:rPr>
          <w:b/>
          <w:bCs/>
          <w:color w:val="000000"/>
          <w:sz w:val="26"/>
          <w:szCs w:val="26"/>
        </w:rPr>
      </w:pPr>
      <w:r w:rsidRPr="00F209F0">
        <w:rPr>
          <w:b/>
          <w:bCs/>
          <w:color w:val="000000"/>
          <w:sz w:val="26"/>
          <w:szCs w:val="26"/>
        </w:rPr>
        <w:lastRenderedPageBreak/>
        <w:t>Disposition</w:t>
      </w:r>
    </w:p>
    <w:p w14:paraId="1A0A26D8" w14:textId="77777777" w:rsidR="00F209F0" w:rsidRDefault="00F209F0" w:rsidP="00E04F65">
      <w:pPr>
        <w:keepNext/>
        <w:keepLines/>
        <w:widowControl/>
        <w:tabs>
          <w:tab w:val="left" w:pos="-720"/>
        </w:tabs>
        <w:suppressAutoHyphens/>
        <w:spacing w:line="360" w:lineRule="auto"/>
        <w:ind w:firstLine="1440"/>
        <w:rPr>
          <w:sz w:val="26"/>
          <w:szCs w:val="26"/>
        </w:rPr>
      </w:pPr>
    </w:p>
    <w:p w14:paraId="26F1F2C1" w14:textId="52BEB177" w:rsidR="00AC4ED6" w:rsidRPr="00AC4ED6" w:rsidRDefault="00AC4ED6" w:rsidP="00AC4ED6">
      <w:pPr>
        <w:widowControl/>
        <w:tabs>
          <w:tab w:val="left" w:pos="-720"/>
        </w:tabs>
        <w:suppressAutoHyphens/>
        <w:spacing w:line="360" w:lineRule="auto"/>
        <w:ind w:firstLine="1440"/>
        <w:rPr>
          <w:b/>
          <w:sz w:val="26"/>
        </w:rPr>
      </w:pPr>
      <w:r>
        <w:rPr>
          <w:sz w:val="26"/>
          <w:szCs w:val="26"/>
        </w:rPr>
        <w:t xml:space="preserve">In the </w:t>
      </w:r>
      <w:r w:rsidRPr="00F66813">
        <w:rPr>
          <w:i/>
          <w:iCs/>
          <w:sz w:val="26"/>
          <w:szCs w:val="26"/>
        </w:rPr>
        <w:t>June 18 Order</w:t>
      </w:r>
      <w:r>
        <w:rPr>
          <w:sz w:val="26"/>
          <w:szCs w:val="26"/>
        </w:rPr>
        <w:t xml:space="preserve">, PECO was permitted to file a voluntary pilot plan in compliance with the </w:t>
      </w:r>
      <w:r w:rsidRPr="00F66813">
        <w:rPr>
          <w:i/>
          <w:iCs/>
          <w:sz w:val="26"/>
          <w:szCs w:val="26"/>
        </w:rPr>
        <w:t>June 18 Order</w:t>
      </w:r>
      <w:r>
        <w:rPr>
          <w:sz w:val="26"/>
          <w:szCs w:val="26"/>
        </w:rPr>
        <w:t xml:space="preserve"> which </w:t>
      </w:r>
      <w:r w:rsidR="00793F1F">
        <w:rPr>
          <w:sz w:val="26"/>
          <w:szCs w:val="26"/>
        </w:rPr>
        <w:t>would establish</w:t>
      </w:r>
      <w:r>
        <w:rPr>
          <w:sz w:val="26"/>
          <w:szCs w:val="26"/>
        </w:rPr>
        <w:t xml:space="preserve"> a modified prepaid metering pilot program consistent with the modifications set forth in the </w:t>
      </w:r>
      <w:r w:rsidRPr="00F66813">
        <w:rPr>
          <w:i/>
          <w:iCs/>
          <w:sz w:val="26"/>
          <w:szCs w:val="26"/>
        </w:rPr>
        <w:t>June 18 Order</w:t>
      </w:r>
      <w:r>
        <w:rPr>
          <w:sz w:val="26"/>
          <w:szCs w:val="26"/>
        </w:rPr>
        <w:t xml:space="preserve">.  If the modifications </w:t>
      </w:r>
      <w:r w:rsidR="00793F1F">
        <w:rPr>
          <w:sz w:val="26"/>
          <w:szCs w:val="26"/>
        </w:rPr>
        <w:t xml:space="preserve">set forth in the </w:t>
      </w:r>
      <w:r w:rsidR="00793F1F" w:rsidRPr="00793F1F">
        <w:rPr>
          <w:i/>
          <w:iCs/>
          <w:sz w:val="26"/>
          <w:szCs w:val="26"/>
        </w:rPr>
        <w:t>June 18 Order</w:t>
      </w:r>
      <w:r w:rsidR="00793F1F">
        <w:rPr>
          <w:sz w:val="26"/>
          <w:szCs w:val="26"/>
        </w:rPr>
        <w:t xml:space="preserve"> </w:t>
      </w:r>
      <w:r>
        <w:rPr>
          <w:sz w:val="26"/>
          <w:szCs w:val="26"/>
        </w:rPr>
        <w:t xml:space="preserve">were acceptable to PECO, PECO was ordered to file its </w:t>
      </w:r>
      <w:r w:rsidR="00FB5C20">
        <w:rPr>
          <w:sz w:val="26"/>
          <w:szCs w:val="26"/>
        </w:rPr>
        <w:t xml:space="preserve">voluntary </w:t>
      </w:r>
      <w:r>
        <w:rPr>
          <w:sz w:val="26"/>
          <w:szCs w:val="26"/>
        </w:rPr>
        <w:t xml:space="preserve">compliance filing within sixty (60) days of the </w:t>
      </w:r>
      <w:r w:rsidRPr="00F66813">
        <w:rPr>
          <w:i/>
          <w:iCs/>
          <w:sz w:val="26"/>
          <w:szCs w:val="26"/>
        </w:rPr>
        <w:t>June 18 Order</w:t>
      </w:r>
      <w:r>
        <w:rPr>
          <w:sz w:val="26"/>
          <w:szCs w:val="26"/>
        </w:rPr>
        <w:t>, or by August 19, 2019.</w:t>
      </w:r>
      <w:r>
        <w:rPr>
          <w:rStyle w:val="FootnoteReference"/>
          <w:sz w:val="26"/>
          <w:szCs w:val="26"/>
        </w:rPr>
        <w:footnoteReference w:id="2"/>
      </w:r>
      <w:r>
        <w:rPr>
          <w:sz w:val="26"/>
          <w:szCs w:val="26"/>
        </w:rPr>
        <w:t xml:space="preserve">  </w:t>
      </w:r>
      <w:r w:rsidRPr="003F329C">
        <w:rPr>
          <w:i/>
          <w:iCs/>
          <w:sz w:val="26"/>
          <w:szCs w:val="26"/>
        </w:rPr>
        <w:t>June 18 Order</w:t>
      </w:r>
      <w:r>
        <w:rPr>
          <w:sz w:val="26"/>
          <w:szCs w:val="26"/>
        </w:rPr>
        <w:t xml:space="preserve"> at 87, 89, Ordering Paragraph No. 7.   However, </w:t>
      </w:r>
      <w:r w:rsidR="000D4690">
        <w:rPr>
          <w:sz w:val="26"/>
          <w:szCs w:val="26"/>
        </w:rPr>
        <w:t>should</w:t>
      </w:r>
      <w:r w:rsidRPr="0008272C">
        <w:rPr>
          <w:sz w:val="26"/>
          <w:szCs w:val="26"/>
        </w:rPr>
        <w:t xml:space="preserve"> PECO </w:t>
      </w:r>
      <w:r w:rsidR="000D4690">
        <w:rPr>
          <w:sz w:val="26"/>
          <w:szCs w:val="26"/>
        </w:rPr>
        <w:t>decide</w:t>
      </w:r>
      <w:r w:rsidRPr="0008272C">
        <w:rPr>
          <w:sz w:val="26"/>
          <w:szCs w:val="26"/>
        </w:rPr>
        <w:t xml:space="preserve"> not to file a compliance plan within</w:t>
      </w:r>
      <w:r w:rsidR="00E04F65">
        <w:rPr>
          <w:sz w:val="26"/>
          <w:szCs w:val="26"/>
        </w:rPr>
        <w:t xml:space="preserve"> this </w:t>
      </w:r>
      <w:r w:rsidR="000D4690">
        <w:rPr>
          <w:sz w:val="26"/>
          <w:szCs w:val="26"/>
        </w:rPr>
        <w:t xml:space="preserve">sixty-day </w:t>
      </w:r>
      <w:r w:rsidR="00E04F65">
        <w:rPr>
          <w:sz w:val="26"/>
          <w:szCs w:val="26"/>
        </w:rPr>
        <w:t xml:space="preserve">timeframe, we ordered that </w:t>
      </w:r>
      <w:r w:rsidRPr="0008272C">
        <w:rPr>
          <w:sz w:val="26"/>
          <w:szCs w:val="26"/>
        </w:rPr>
        <w:t>th</w:t>
      </w:r>
      <w:r>
        <w:rPr>
          <w:sz w:val="26"/>
          <w:szCs w:val="26"/>
        </w:rPr>
        <w:t>e</w:t>
      </w:r>
      <w:r w:rsidRPr="0008272C">
        <w:rPr>
          <w:sz w:val="26"/>
          <w:szCs w:val="26"/>
        </w:rPr>
        <w:t xml:space="preserve"> docket be closed by Secretarial Letter.</w:t>
      </w:r>
      <w:r w:rsidRPr="003F329C">
        <w:rPr>
          <w:i/>
          <w:iCs/>
          <w:sz w:val="26"/>
          <w:szCs w:val="26"/>
        </w:rPr>
        <w:t xml:space="preserve"> </w:t>
      </w:r>
      <w:r>
        <w:rPr>
          <w:i/>
          <w:iCs/>
          <w:sz w:val="26"/>
          <w:szCs w:val="26"/>
        </w:rPr>
        <w:t xml:space="preserve"> </w:t>
      </w:r>
      <w:r w:rsidRPr="003F329C">
        <w:rPr>
          <w:i/>
          <w:iCs/>
          <w:sz w:val="26"/>
          <w:szCs w:val="26"/>
        </w:rPr>
        <w:t>June 18 Order</w:t>
      </w:r>
      <w:r>
        <w:rPr>
          <w:sz w:val="26"/>
          <w:szCs w:val="26"/>
        </w:rPr>
        <w:t xml:space="preserve"> at 91, Ordering Paragraph No. 9.   </w:t>
      </w:r>
    </w:p>
    <w:p w14:paraId="3A9CE169" w14:textId="77777777" w:rsidR="00AC4ED6" w:rsidRDefault="00AC4ED6" w:rsidP="007C55D4">
      <w:pPr>
        <w:widowControl/>
        <w:spacing w:line="360" w:lineRule="auto"/>
        <w:ind w:firstLine="1440"/>
        <w:rPr>
          <w:sz w:val="26"/>
        </w:rPr>
      </w:pPr>
    </w:p>
    <w:p w14:paraId="495392C5" w14:textId="02BD88B4" w:rsidR="00F209F0" w:rsidRDefault="00F209F0" w:rsidP="007C55D4">
      <w:pPr>
        <w:widowControl/>
        <w:spacing w:line="360" w:lineRule="auto"/>
        <w:ind w:firstLine="1440"/>
        <w:rPr>
          <w:sz w:val="26"/>
        </w:rPr>
      </w:pPr>
      <w:r>
        <w:rPr>
          <w:sz w:val="26"/>
        </w:rPr>
        <w:t xml:space="preserve">The two Petitions for Reconsideration filed on July 3, 2019, by the OCA and the Joint Petitioners, as noted above, address numerous pilot program components that need to be addressed in PECO’s compliance filing.  The Commission </w:t>
      </w:r>
      <w:r w:rsidR="00E04F65">
        <w:rPr>
          <w:sz w:val="26"/>
        </w:rPr>
        <w:t>will not</w:t>
      </w:r>
      <w:r>
        <w:rPr>
          <w:sz w:val="26"/>
        </w:rPr>
        <w:t xml:space="preserve"> have reviewed and resolved those substantive issues in time for PECO to integrate the Commission’s forthcoming Order on Reconsideration and still make a compliance filing by August 19, 2019.   Therefore, in order to make best use of the time and resources of all Parties and the Commission in the instant case, </w:t>
      </w:r>
      <w:r w:rsidR="00793F1F">
        <w:rPr>
          <w:sz w:val="26"/>
        </w:rPr>
        <w:t xml:space="preserve">we shall </w:t>
      </w:r>
      <w:r>
        <w:rPr>
          <w:sz w:val="26"/>
        </w:rPr>
        <w:t xml:space="preserve">stay the implementation of the </w:t>
      </w:r>
      <w:r w:rsidRPr="00F209F0">
        <w:rPr>
          <w:i/>
          <w:iCs/>
          <w:sz w:val="26"/>
        </w:rPr>
        <w:t>June 18 Order</w:t>
      </w:r>
      <w:r>
        <w:rPr>
          <w:sz w:val="26"/>
        </w:rPr>
        <w:t xml:space="preserve"> until </w:t>
      </w:r>
      <w:r w:rsidR="00793F1F">
        <w:rPr>
          <w:sz w:val="26"/>
        </w:rPr>
        <w:t>such time that</w:t>
      </w:r>
      <w:r w:rsidR="00D87B71">
        <w:rPr>
          <w:sz w:val="26"/>
        </w:rPr>
        <w:t xml:space="preserve"> a</w:t>
      </w:r>
      <w:r w:rsidR="00793F1F">
        <w:rPr>
          <w:sz w:val="26"/>
        </w:rPr>
        <w:t xml:space="preserve"> final Order is entered </w:t>
      </w:r>
      <w:r w:rsidR="00D87B71">
        <w:rPr>
          <w:sz w:val="26"/>
        </w:rPr>
        <w:t xml:space="preserve">that </w:t>
      </w:r>
      <w:r>
        <w:rPr>
          <w:sz w:val="26"/>
        </w:rPr>
        <w:t>resolves the issues raised in the Petitions for Reconsideration</w:t>
      </w:r>
      <w:r w:rsidR="00FB5C20">
        <w:rPr>
          <w:sz w:val="26"/>
        </w:rPr>
        <w:t xml:space="preserve"> and </w:t>
      </w:r>
      <w:r w:rsidR="00D87B71">
        <w:rPr>
          <w:sz w:val="26"/>
        </w:rPr>
        <w:t>potentially</w:t>
      </w:r>
      <w:r>
        <w:rPr>
          <w:sz w:val="26"/>
        </w:rPr>
        <w:t xml:space="preserve"> </w:t>
      </w:r>
      <w:r w:rsidR="00D87B71">
        <w:rPr>
          <w:sz w:val="26"/>
        </w:rPr>
        <w:t>establish</w:t>
      </w:r>
      <w:r w:rsidR="00FB5C20">
        <w:rPr>
          <w:sz w:val="26"/>
        </w:rPr>
        <w:t>es</w:t>
      </w:r>
      <w:r w:rsidR="00D87B71">
        <w:rPr>
          <w:sz w:val="26"/>
        </w:rPr>
        <w:t xml:space="preserve"> a new timeline for a future PECO compliance filing.  </w:t>
      </w:r>
    </w:p>
    <w:p w14:paraId="2400C8C2" w14:textId="4D229211" w:rsidR="00F209F0" w:rsidRDefault="00F209F0" w:rsidP="007C55D4">
      <w:pPr>
        <w:widowControl/>
        <w:spacing w:line="360" w:lineRule="auto"/>
        <w:ind w:firstLine="1440"/>
        <w:rPr>
          <w:sz w:val="26"/>
        </w:rPr>
      </w:pPr>
    </w:p>
    <w:p w14:paraId="424A7CFA" w14:textId="484E6C71" w:rsidR="00F209F0" w:rsidRDefault="00F209F0" w:rsidP="007C55D4">
      <w:pPr>
        <w:widowControl/>
        <w:spacing w:line="360" w:lineRule="auto"/>
        <w:ind w:firstLine="1440"/>
        <w:rPr>
          <w:sz w:val="26"/>
        </w:rPr>
      </w:pPr>
      <w:r>
        <w:rPr>
          <w:sz w:val="26"/>
        </w:rPr>
        <w:t>We find that the issuance of the stay</w:t>
      </w:r>
      <w:r w:rsidR="00381B59">
        <w:rPr>
          <w:sz w:val="26"/>
        </w:rPr>
        <w:t>,</w:t>
      </w:r>
      <w:r>
        <w:rPr>
          <w:sz w:val="26"/>
        </w:rPr>
        <w:t xml:space="preserve"> </w:t>
      </w:r>
      <w:r w:rsidR="002354D3">
        <w:rPr>
          <w:sz w:val="26"/>
        </w:rPr>
        <w:t>until such time an Order on Reconsideration</w:t>
      </w:r>
      <w:r w:rsidR="00793F1F">
        <w:rPr>
          <w:sz w:val="26"/>
        </w:rPr>
        <w:t xml:space="preserve"> is entered in this docket</w:t>
      </w:r>
      <w:r w:rsidR="00381B59">
        <w:rPr>
          <w:sz w:val="26"/>
        </w:rPr>
        <w:t>,</w:t>
      </w:r>
      <w:r>
        <w:rPr>
          <w:sz w:val="26"/>
        </w:rPr>
        <w:t xml:space="preserve"> will avoid potential irreparable harm to PECO’s </w:t>
      </w:r>
      <w:r>
        <w:rPr>
          <w:sz w:val="26"/>
        </w:rPr>
        <w:lastRenderedPageBreak/>
        <w:t>residential customers and will not substantially harm the</w:t>
      </w:r>
      <w:r w:rsidR="00381B59">
        <w:rPr>
          <w:sz w:val="26"/>
        </w:rPr>
        <w:t xml:space="preserve"> interests of the Parties </w:t>
      </w:r>
      <w:r>
        <w:rPr>
          <w:sz w:val="26"/>
        </w:rPr>
        <w:t>in this proceeding or the publi</w:t>
      </w:r>
      <w:r w:rsidR="00381B59">
        <w:rPr>
          <w:sz w:val="26"/>
        </w:rPr>
        <w:t>c</w:t>
      </w:r>
      <w:r>
        <w:rPr>
          <w:sz w:val="26"/>
        </w:rPr>
        <w:t xml:space="preserve">.  </w:t>
      </w:r>
    </w:p>
    <w:p w14:paraId="2940E561" w14:textId="77777777" w:rsidR="00C02500" w:rsidRDefault="00C02500" w:rsidP="007C55D4">
      <w:pPr>
        <w:widowControl/>
        <w:spacing w:line="360" w:lineRule="auto"/>
        <w:ind w:firstLine="1440"/>
        <w:rPr>
          <w:sz w:val="26"/>
        </w:rPr>
      </w:pPr>
    </w:p>
    <w:p w14:paraId="5C8B2CE0" w14:textId="2D0D966E" w:rsidR="004A3947" w:rsidRPr="002354D3" w:rsidRDefault="004A3947" w:rsidP="002354D3">
      <w:pPr>
        <w:keepNext/>
        <w:keepLines/>
        <w:widowControl/>
        <w:spacing w:line="360" w:lineRule="auto"/>
        <w:jc w:val="center"/>
        <w:rPr>
          <w:b/>
          <w:bCs/>
          <w:sz w:val="26"/>
        </w:rPr>
      </w:pPr>
      <w:r w:rsidRPr="002354D3">
        <w:rPr>
          <w:b/>
          <w:bCs/>
          <w:sz w:val="26"/>
        </w:rPr>
        <w:t>Conclusion</w:t>
      </w:r>
    </w:p>
    <w:p w14:paraId="7D50C569" w14:textId="1EB249FA" w:rsidR="004A3947" w:rsidRDefault="004A3947" w:rsidP="002354D3">
      <w:pPr>
        <w:keepNext/>
        <w:keepLines/>
        <w:widowControl/>
        <w:spacing w:line="360" w:lineRule="auto"/>
        <w:rPr>
          <w:sz w:val="26"/>
        </w:rPr>
      </w:pPr>
    </w:p>
    <w:p w14:paraId="032425E3" w14:textId="52A5AC30" w:rsidR="000F1318" w:rsidRPr="00027664" w:rsidRDefault="004A3947" w:rsidP="002354D3">
      <w:pPr>
        <w:widowControl/>
        <w:spacing w:line="360" w:lineRule="auto"/>
        <w:ind w:firstLine="1440"/>
        <w:rPr>
          <w:sz w:val="26"/>
          <w:szCs w:val="26"/>
        </w:rPr>
      </w:pPr>
      <w:r>
        <w:rPr>
          <w:sz w:val="26"/>
        </w:rPr>
        <w:t xml:space="preserve">In accordance with the foregoing discussion, </w:t>
      </w:r>
      <w:r w:rsidR="002354D3">
        <w:rPr>
          <w:sz w:val="26"/>
        </w:rPr>
        <w:t>we are persuaded that a stay of the Opinion and Order entered June 18, 2019, in Docket No. P-2016-</w:t>
      </w:r>
      <w:r w:rsidR="002354D3">
        <w:rPr>
          <w:sz w:val="26"/>
          <w:szCs w:val="26"/>
        </w:rPr>
        <w:t>2573023, is warranted</w:t>
      </w:r>
      <w:r w:rsidR="00D87B71">
        <w:rPr>
          <w:sz w:val="26"/>
          <w:szCs w:val="26"/>
        </w:rPr>
        <w:t>,</w:t>
      </w:r>
      <w:r w:rsidR="002354D3" w:rsidRPr="002354D3">
        <w:rPr>
          <w:sz w:val="26"/>
        </w:rPr>
        <w:t xml:space="preserve"> </w:t>
      </w:r>
      <w:r w:rsidR="002354D3">
        <w:rPr>
          <w:sz w:val="26"/>
        </w:rPr>
        <w:t>until such time an Order on Reconsideration</w:t>
      </w:r>
      <w:r w:rsidR="00793F1F">
        <w:rPr>
          <w:sz w:val="26"/>
        </w:rPr>
        <w:t xml:space="preserve"> is entered</w:t>
      </w:r>
      <w:r w:rsidR="00D87B71">
        <w:rPr>
          <w:sz w:val="26"/>
        </w:rPr>
        <w:t xml:space="preserve"> in this docket</w:t>
      </w:r>
      <w:r w:rsidR="002354D3">
        <w:rPr>
          <w:sz w:val="26"/>
          <w:szCs w:val="26"/>
        </w:rPr>
        <w:t xml:space="preserve">; </w:t>
      </w:r>
      <w:r w:rsidR="002354D3" w:rsidRPr="002354D3">
        <w:rPr>
          <w:b/>
          <w:bCs/>
          <w:sz w:val="26"/>
          <w:szCs w:val="26"/>
        </w:rPr>
        <w:t>TH</w:t>
      </w:r>
      <w:r w:rsidR="000F1318" w:rsidRPr="002354D3">
        <w:rPr>
          <w:b/>
          <w:bCs/>
          <w:sz w:val="26"/>
        </w:rPr>
        <w:t>E</w:t>
      </w:r>
      <w:r w:rsidR="000F1318" w:rsidRPr="00027664">
        <w:rPr>
          <w:b/>
          <w:sz w:val="26"/>
        </w:rPr>
        <w:t>REFORE,</w:t>
      </w:r>
      <w:r w:rsidR="00F209F0">
        <w:rPr>
          <w:b/>
          <w:sz w:val="26"/>
        </w:rPr>
        <w:t xml:space="preserve"> </w:t>
      </w:r>
    </w:p>
    <w:p w14:paraId="1CCE34C8" w14:textId="77777777" w:rsidR="000F1318" w:rsidRPr="00027664" w:rsidRDefault="000F1318" w:rsidP="007C55D4">
      <w:pPr>
        <w:widowControl/>
        <w:spacing w:line="360" w:lineRule="auto"/>
        <w:ind w:firstLine="1440"/>
        <w:rPr>
          <w:sz w:val="26"/>
          <w:szCs w:val="26"/>
        </w:rPr>
      </w:pPr>
    </w:p>
    <w:p w14:paraId="2DCBA2CB" w14:textId="1F3796DC" w:rsidR="000F1318" w:rsidRPr="00027664" w:rsidRDefault="000F1318" w:rsidP="007C55D4">
      <w:pPr>
        <w:widowControl/>
        <w:spacing w:line="360" w:lineRule="auto"/>
        <w:ind w:firstLine="1440"/>
        <w:rPr>
          <w:b/>
          <w:sz w:val="26"/>
          <w:szCs w:val="26"/>
        </w:rPr>
      </w:pPr>
      <w:r w:rsidRPr="00027664">
        <w:rPr>
          <w:b/>
          <w:sz w:val="26"/>
          <w:szCs w:val="26"/>
        </w:rPr>
        <w:t>IT IS ORDERED:</w:t>
      </w:r>
      <w:r>
        <w:rPr>
          <w:sz w:val="26"/>
        </w:rPr>
        <w:t xml:space="preserve">  </w:t>
      </w:r>
      <w:r w:rsidRPr="00027664">
        <w:rPr>
          <w:sz w:val="26"/>
          <w:szCs w:val="26"/>
        </w:rPr>
        <w:t xml:space="preserve">That the </w:t>
      </w:r>
      <w:r w:rsidR="002354D3">
        <w:rPr>
          <w:sz w:val="26"/>
          <w:szCs w:val="26"/>
        </w:rPr>
        <w:t>Petition for Stay</w:t>
      </w:r>
      <w:r w:rsidRPr="00027664">
        <w:rPr>
          <w:sz w:val="26"/>
          <w:szCs w:val="26"/>
        </w:rPr>
        <w:t xml:space="preserve"> filed on</w:t>
      </w:r>
      <w:r w:rsidR="00641F38">
        <w:rPr>
          <w:sz w:val="26"/>
          <w:szCs w:val="26"/>
        </w:rPr>
        <w:t xml:space="preserve"> </w:t>
      </w:r>
      <w:r w:rsidR="002A41BE">
        <w:rPr>
          <w:sz w:val="26"/>
          <w:szCs w:val="26"/>
        </w:rPr>
        <w:t>Ju</w:t>
      </w:r>
      <w:r w:rsidR="00E4335C">
        <w:rPr>
          <w:sz w:val="26"/>
          <w:szCs w:val="26"/>
        </w:rPr>
        <w:t xml:space="preserve">ly </w:t>
      </w:r>
      <w:r w:rsidR="002A41BE">
        <w:rPr>
          <w:sz w:val="26"/>
          <w:szCs w:val="26"/>
        </w:rPr>
        <w:t>3</w:t>
      </w:r>
      <w:r w:rsidR="00214830">
        <w:rPr>
          <w:sz w:val="26"/>
          <w:szCs w:val="26"/>
        </w:rPr>
        <w:t>,</w:t>
      </w:r>
      <w:r w:rsidR="00373E01">
        <w:rPr>
          <w:sz w:val="26"/>
          <w:szCs w:val="26"/>
        </w:rPr>
        <w:t xml:space="preserve"> 2019</w:t>
      </w:r>
      <w:r w:rsidR="00214830">
        <w:rPr>
          <w:sz w:val="26"/>
          <w:szCs w:val="26"/>
        </w:rPr>
        <w:t xml:space="preserve"> </w:t>
      </w:r>
      <w:r w:rsidRPr="00027664">
        <w:rPr>
          <w:sz w:val="26"/>
          <w:szCs w:val="26"/>
        </w:rPr>
        <w:t>by</w:t>
      </w:r>
      <w:r w:rsidR="002354D3">
        <w:rPr>
          <w:sz w:val="26"/>
          <w:szCs w:val="26"/>
        </w:rPr>
        <w:t xml:space="preserve"> </w:t>
      </w:r>
      <w:r w:rsidR="00C17832">
        <w:rPr>
          <w:sz w:val="26"/>
          <w:szCs w:val="26"/>
        </w:rPr>
        <w:t xml:space="preserve">CAUSE-PA and TURN </w:t>
      </w:r>
      <w:r w:rsidR="00C17832" w:rsidRPr="00FE0CD8">
        <w:rPr>
          <w:i/>
          <w:iCs/>
          <w:sz w:val="26"/>
          <w:szCs w:val="26"/>
        </w:rPr>
        <w:t>et al</w:t>
      </w:r>
      <w:r w:rsidR="00FE0CD8">
        <w:rPr>
          <w:sz w:val="26"/>
          <w:szCs w:val="26"/>
        </w:rPr>
        <w:t>.</w:t>
      </w:r>
      <w:r w:rsidR="00E84C47" w:rsidRPr="00027664">
        <w:rPr>
          <w:sz w:val="26"/>
          <w:szCs w:val="26"/>
        </w:rPr>
        <w:t>,</w:t>
      </w:r>
      <w:r w:rsidR="00E84C47" w:rsidRPr="00027664">
        <w:rPr>
          <w:sz w:val="26"/>
        </w:rPr>
        <w:t xml:space="preserve"> </w:t>
      </w:r>
      <w:r w:rsidR="002354D3">
        <w:rPr>
          <w:sz w:val="26"/>
        </w:rPr>
        <w:t>is</w:t>
      </w:r>
      <w:r w:rsidRPr="00027664">
        <w:rPr>
          <w:sz w:val="26"/>
          <w:szCs w:val="26"/>
        </w:rPr>
        <w:t xml:space="preserve"> hereby granted, </w:t>
      </w:r>
      <w:r w:rsidR="002354D3">
        <w:rPr>
          <w:sz w:val="26"/>
        </w:rPr>
        <w:t xml:space="preserve">until such time an Order on Reconsideration </w:t>
      </w:r>
      <w:r w:rsidR="00793F1F">
        <w:rPr>
          <w:sz w:val="26"/>
        </w:rPr>
        <w:t xml:space="preserve">is entered </w:t>
      </w:r>
      <w:r w:rsidR="002354D3">
        <w:rPr>
          <w:sz w:val="26"/>
        </w:rPr>
        <w:t>in Docket No. P-2016-</w:t>
      </w:r>
      <w:r w:rsidR="002354D3">
        <w:rPr>
          <w:sz w:val="26"/>
          <w:szCs w:val="26"/>
        </w:rPr>
        <w:t>2573023</w:t>
      </w:r>
      <w:r w:rsidR="002354D3">
        <w:rPr>
          <w:sz w:val="26"/>
        </w:rPr>
        <w:t xml:space="preserve">.  </w:t>
      </w:r>
    </w:p>
    <w:p w14:paraId="783110D2" w14:textId="2BB9EB13" w:rsidR="000F1318" w:rsidRPr="00027664" w:rsidRDefault="000F1318" w:rsidP="007C55D4">
      <w:pPr>
        <w:widowControl/>
        <w:rPr>
          <w:sz w:val="26"/>
          <w:szCs w:val="26"/>
        </w:rPr>
      </w:pPr>
    </w:p>
    <w:p w14:paraId="0D5F48A5" w14:textId="167C0CF3" w:rsidR="000F1318" w:rsidRPr="00027664" w:rsidRDefault="00E60109" w:rsidP="007C55D4">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12DE6B2B" wp14:editId="107E2822">
            <wp:simplePos x="0" y="0"/>
            <wp:positionH relativeFrom="column">
              <wp:posOffset>3714750</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14:paraId="1B729B44" w14:textId="1961956F" w:rsidR="000F1318" w:rsidRPr="00027664" w:rsidRDefault="000F1318" w:rsidP="007C55D4">
      <w:pPr>
        <w:widowControl/>
        <w:rPr>
          <w:sz w:val="26"/>
          <w:szCs w:val="26"/>
        </w:rPr>
      </w:pPr>
    </w:p>
    <w:p w14:paraId="16BB3175" w14:textId="136DE139" w:rsidR="000F1318" w:rsidRDefault="000F1318" w:rsidP="007C55D4">
      <w:pPr>
        <w:widowControl/>
        <w:rPr>
          <w:sz w:val="26"/>
          <w:szCs w:val="26"/>
        </w:rPr>
      </w:pPr>
    </w:p>
    <w:p w14:paraId="4853AF9B" w14:textId="37285499" w:rsidR="000D7B91" w:rsidRPr="00027664" w:rsidRDefault="000D7B91" w:rsidP="007C55D4">
      <w:pPr>
        <w:widowControl/>
        <w:rPr>
          <w:sz w:val="26"/>
          <w:szCs w:val="26"/>
        </w:rPr>
      </w:pPr>
    </w:p>
    <w:p w14:paraId="2665205C" w14:textId="77777777" w:rsidR="000F1318" w:rsidRDefault="000F1318" w:rsidP="000D7B91">
      <w:pPr>
        <w:widowControl/>
        <w:rPr>
          <w:sz w:val="26"/>
          <w:szCs w:val="26"/>
        </w:rPr>
      </w:pPr>
    </w:p>
    <w:p w14:paraId="10972E82" w14:textId="77777777" w:rsidR="00600F6F" w:rsidRPr="00027664" w:rsidRDefault="00600F6F" w:rsidP="007C55D4">
      <w:pPr>
        <w:widowControl/>
        <w:ind w:firstLine="5760"/>
        <w:rPr>
          <w:sz w:val="26"/>
          <w:szCs w:val="26"/>
        </w:rPr>
      </w:pPr>
      <w:r>
        <w:rPr>
          <w:sz w:val="26"/>
          <w:szCs w:val="26"/>
        </w:rPr>
        <w:t>Rosemary Chiavetta</w:t>
      </w:r>
    </w:p>
    <w:p w14:paraId="12DFF6D7" w14:textId="77777777" w:rsidR="000F1318" w:rsidRPr="00027664" w:rsidRDefault="000F1318" w:rsidP="007C55D4">
      <w:pPr>
        <w:widowControl/>
        <w:ind w:firstLine="5760"/>
        <w:rPr>
          <w:sz w:val="26"/>
          <w:szCs w:val="26"/>
        </w:rPr>
      </w:pPr>
      <w:r w:rsidRPr="00027664">
        <w:rPr>
          <w:sz w:val="26"/>
          <w:szCs w:val="26"/>
        </w:rPr>
        <w:t>Secretary</w:t>
      </w:r>
    </w:p>
    <w:p w14:paraId="350D3FC4" w14:textId="77777777" w:rsidR="000F1318" w:rsidRPr="00027664" w:rsidRDefault="000F1318" w:rsidP="007C55D4">
      <w:pPr>
        <w:widowControl/>
        <w:rPr>
          <w:sz w:val="26"/>
          <w:szCs w:val="26"/>
        </w:rPr>
      </w:pPr>
    </w:p>
    <w:p w14:paraId="58541BBE" w14:textId="77777777" w:rsidR="000F1318" w:rsidRPr="00027664" w:rsidRDefault="000F1318" w:rsidP="007C55D4">
      <w:pPr>
        <w:widowControl/>
        <w:rPr>
          <w:sz w:val="26"/>
          <w:szCs w:val="26"/>
        </w:rPr>
      </w:pPr>
      <w:r w:rsidRPr="00027664">
        <w:rPr>
          <w:sz w:val="26"/>
          <w:szCs w:val="26"/>
        </w:rPr>
        <w:t>(SEAL)</w:t>
      </w:r>
    </w:p>
    <w:p w14:paraId="2DB92430" w14:textId="77777777" w:rsidR="000F1318" w:rsidRPr="00027664" w:rsidRDefault="000F1318" w:rsidP="007C55D4">
      <w:pPr>
        <w:widowControl/>
        <w:rPr>
          <w:sz w:val="26"/>
          <w:szCs w:val="26"/>
        </w:rPr>
      </w:pPr>
    </w:p>
    <w:p w14:paraId="5DD592A5" w14:textId="4784B8DD" w:rsidR="000D7B91" w:rsidRDefault="00F248A4" w:rsidP="007C55D4">
      <w:pPr>
        <w:widowControl/>
        <w:rPr>
          <w:sz w:val="26"/>
          <w:szCs w:val="26"/>
        </w:rPr>
      </w:pPr>
      <w:r>
        <w:rPr>
          <w:sz w:val="26"/>
          <w:szCs w:val="26"/>
        </w:rPr>
        <w:t>ORDER ADOPTED:</w:t>
      </w:r>
      <w:r w:rsidR="00776AD2">
        <w:rPr>
          <w:sz w:val="26"/>
          <w:szCs w:val="26"/>
        </w:rPr>
        <w:t xml:space="preserve">  </w:t>
      </w:r>
      <w:r w:rsidR="00F95A31">
        <w:rPr>
          <w:sz w:val="26"/>
          <w:szCs w:val="26"/>
        </w:rPr>
        <w:t>Au</w:t>
      </w:r>
      <w:r w:rsidR="00B61DEB">
        <w:rPr>
          <w:sz w:val="26"/>
          <w:szCs w:val="26"/>
        </w:rPr>
        <w:t>g</w:t>
      </w:r>
      <w:r w:rsidR="00F95A31">
        <w:rPr>
          <w:sz w:val="26"/>
          <w:szCs w:val="26"/>
        </w:rPr>
        <w:t>ust 8</w:t>
      </w:r>
      <w:r w:rsidR="000D7B91">
        <w:rPr>
          <w:sz w:val="26"/>
          <w:szCs w:val="26"/>
        </w:rPr>
        <w:t>, 2019</w:t>
      </w:r>
    </w:p>
    <w:p w14:paraId="77DBB4DA" w14:textId="77777777" w:rsidR="000D7B91" w:rsidRDefault="000D7B91" w:rsidP="007C55D4">
      <w:pPr>
        <w:widowControl/>
        <w:rPr>
          <w:sz w:val="26"/>
          <w:szCs w:val="26"/>
        </w:rPr>
      </w:pPr>
    </w:p>
    <w:p w14:paraId="20B2F391" w14:textId="0CF720E1" w:rsidR="00F272E7" w:rsidRDefault="000D7B91" w:rsidP="000D7B91">
      <w:pPr>
        <w:widowControl/>
        <w:rPr>
          <w:b/>
          <w:sz w:val="26"/>
        </w:rPr>
      </w:pPr>
      <w:r>
        <w:rPr>
          <w:sz w:val="26"/>
          <w:szCs w:val="26"/>
        </w:rPr>
        <w:t>O</w:t>
      </w:r>
      <w:r w:rsidR="000F1318" w:rsidRPr="00027664">
        <w:rPr>
          <w:sz w:val="26"/>
          <w:szCs w:val="26"/>
        </w:rPr>
        <w:t xml:space="preserve">RDER ENTERED:  </w:t>
      </w:r>
      <w:r w:rsidR="00E60109">
        <w:rPr>
          <w:sz w:val="26"/>
          <w:szCs w:val="26"/>
        </w:rPr>
        <w:t>August 8</w:t>
      </w:r>
      <w:bookmarkStart w:id="1" w:name="_GoBack"/>
      <w:bookmarkEnd w:id="1"/>
      <w:r w:rsidR="00E60109">
        <w:rPr>
          <w:sz w:val="26"/>
          <w:szCs w:val="26"/>
        </w:rPr>
        <w:t>, 2019</w:t>
      </w:r>
    </w:p>
    <w:sectPr w:rsidR="00F272E7" w:rsidSect="003742CF">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2DA0D" w14:textId="77777777" w:rsidR="007509C0" w:rsidRDefault="007509C0">
      <w:r>
        <w:separator/>
      </w:r>
    </w:p>
  </w:endnote>
  <w:endnote w:type="continuationSeparator" w:id="0">
    <w:p w14:paraId="2417ABD1" w14:textId="77777777" w:rsidR="007509C0" w:rsidRDefault="007509C0">
      <w:r>
        <w:continuationSeparator/>
      </w:r>
    </w:p>
  </w:endnote>
  <w:endnote w:type="continuationNotice" w:id="1">
    <w:p w14:paraId="6B0D8E29" w14:textId="77777777" w:rsidR="007509C0" w:rsidRDefault="0075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372A"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0F16" w14:textId="77777777"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72283">
      <w:rPr>
        <w:rStyle w:val="PageNumber"/>
        <w:noProof/>
        <w:sz w:val="26"/>
      </w:rPr>
      <w:t>2</w:t>
    </w:r>
    <w:r w:rsidRPr="00C7667D">
      <w:rPr>
        <w:rStyle w:val="PageNumber"/>
        <w:sz w:val="26"/>
      </w:rPr>
      <w:fldChar w:fldCharType="end"/>
    </w:r>
  </w:p>
  <w:p w14:paraId="74A283B3" w14:textId="77777777" w:rsidR="00817F37" w:rsidRDefault="00817F37"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5993" w14:textId="77777777" w:rsidR="007509C0" w:rsidRDefault="007509C0">
      <w:r>
        <w:separator/>
      </w:r>
    </w:p>
  </w:footnote>
  <w:footnote w:type="continuationSeparator" w:id="0">
    <w:p w14:paraId="14884A4B" w14:textId="77777777" w:rsidR="007509C0" w:rsidRDefault="007509C0">
      <w:r>
        <w:continuationSeparator/>
      </w:r>
    </w:p>
  </w:footnote>
  <w:footnote w:type="continuationNotice" w:id="1">
    <w:p w14:paraId="72D443C0" w14:textId="77777777" w:rsidR="007509C0" w:rsidRDefault="007509C0"/>
  </w:footnote>
  <w:footnote w:id="2">
    <w:p w14:paraId="2AFA9953" w14:textId="77777777" w:rsidR="00AC4ED6" w:rsidRPr="003F329C" w:rsidRDefault="00AC4ED6" w:rsidP="00AC4ED6">
      <w:pPr>
        <w:pStyle w:val="FootnoteText"/>
        <w:ind w:firstLine="720"/>
        <w:rPr>
          <w:sz w:val="26"/>
          <w:szCs w:val="26"/>
        </w:rPr>
      </w:pPr>
      <w:r w:rsidRPr="003F329C">
        <w:rPr>
          <w:rStyle w:val="FootnoteReference"/>
          <w:sz w:val="26"/>
          <w:szCs w:val="26"/>
        </w:rPr>
        <w:footnoteRef/>
      </w:r>
      <w:r w:rsidRPr="003F329C">
        <w:rPr>
          <w:sz w:val="26"/>
          <w:szCs w:val="26"/>
        </w:rPr>
        <w:t xml:space="preserve"> </w:t>
      </w:r>
      <w:r>
        <w:rPr>
          <w:sz w:val="26"/>
          <w:szCs w:val="26"/>
        </w:rPr>
        <w:tab/>
      </w:r>
      <w:r w:rsidRPr="003F329C">
        <w:rPr>
          <w:sz w:val="26"/>
          <w:szCs w:val="26"/>
        </w:rPr>
        <w:t xml:space="preserve">Since August 17, 2019, which is sixty days from the date of entry of the </w:t>
      </w:r>
      <w:r w:rsidRPr="00E04F65">
        <w:rPr>
          <w:i/>
          <w:iCs/>
          <w:sz w:val="26"/>
          <w:szCs w:val="26"/>
        </w:rPr>
        <w:t>June 18 Order</w:t>
      </w:r>
      <w:r w:rsidRPr="003F329C">
        <w:rPr>
          <w:sz w:val="26"/>
          <w:szCs w:val="26"/>
        </w:rPr>
        <w:t xml:space="preserve">, falls on a Saturday, the deadline moves to the following business day or Monday, August 19, 2019.  </w:t>
      </w:r>
      <w:r>
        <w:rPr>
          <w:sz w:val="26"/>
          <w:szCs w:val="26"/>
        </w:rPr>
        <w:t xml:space="preserve">52 Pa. Code § 1.12(a).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2A0B" w14:textId="77777777" w:rsidR="00760C5E" w:rsidRDefault="00760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54144A"/>
    <w:multiLevelType w:val="hybridMultilevel"/>
    <w:tmpl w:val="CBD07B00"/>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58C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33"/>
    <w:rsid w:val="00073870"/>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35D"/>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4690"/>
    <w:rsid w:val="000D7483"/>
    <w:rsid w:val="000D7B91"/>
    <w:rsid w:val="000E2D88"/>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4607"/>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5AAD"/>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54D3"/>
    <w:rsid w:val="00237CB3"/>
    <w:rsid w:val="00241B87"/>
    <w:rsid w:val="00247BB1"/>
    <w:rsid w:val="00252D9D"/>
    <w:rsid w:val="00252E14"/>
    <w:rsid w:val="00253F56"/>
    <w:rsid w:val="00253FD2"/>
    <w:rsid w:val="00255A6D"/>
    <w:rsid w:val="0025691E"/>
    <w:rsid w:val="00256A4C"/>
    <w:rsid w:val="00256C1B"/>
    <w:rsid w:val="00260041"/>
    <w:rsid w:val="00260547"/>
    <w:rsid w:val="00260A97"/>
    <w:rsid w:val="0026191C"/>
    <w:rsid w:val="00263EDB"/>
    <w:rsid w:val="00264ABB"/>
    <w:rsid w:val="00264FEB"/>
    <w:rsid w:val="00266827"/>
    <w:rsid w:val="00274284"/>
    <w:rsid w:val="00274861"/>
    <w:rsid w:val="00274964"/>
    <w:rsid w:val="00275124"/>
    <w:rsid w:val="002751AE"/>
    <w:rsid w:val="002753CE"/>
    <w:rsid w:val="00275807"/>
    <w:rsid w:val="00277004"/>
    <w:rsid w:val="00281D3B"/>
    <w:rsid w:val="00282D52"/>
    <w:rsid w:val="002836FA"/>
    <w:rsid w:val="002838E3"/>
    <w:rsid w:val="00285550"/>
    <w:rsid w:val="00285919"/>
    <w:rsid w:val="00285EB8"/>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1BE"/>
    <w:rsid w:val="002A4B76"/>
    <w:rsid w:val="002A53EA"/>
    <w:rsid w:val="002A5B9B"/>
    <w:rsid w:val="002A63DE"/>
    <w:rsid w:val="002A6C1F"/>
    <w:rsid w:val="002A6F9C"/>
    <w:rsid w:val="002A71F9"/>
    <w:rsid w:val="002A740E"/>
    <w:rsid w:val="002B3767"/>
    <w:rsid w:val="002B3979"/>
    <w:rsid w:val="002B4B0D"/>
    <w:rsid w:val="002B553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22C6"/>
    <w:rsid w:val="00343BD1"/>
    <w:rsid w:val="00344C68"/>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E01"/>
    <w:rsid w:val="00373F74"/>
    <w:rsid w:val="003742CF"/>
    <w:rsid w:val="00374344"/>
    <w:rsid w:val="00375080"/>
    <w:rsid w:val="0037692B"/>
    <w:rsid w:val="003806A7"/>
    <w:rsid w:val="00380889"/>
    <w:rsid w:val="0038121C"/>
    <w:rsid w:val="003813B6"/>
    <w:rsid w:val="00381B59"/>
    <w:rsid w:val="00381C7A"/>
    <w:rsid w:val="00382A4B"/>
    <w:rsid w:val="00383539"/>
    <w:rsid w:val="00384D26"/>
    <w:rsid w:val="00385595"/>
    <w:rsid w:val="0038698E"/>
    <w:rsid w:val="00390901"/>
    <w:rsid w:val="00390FB3"/>
    <w:rsid w:val="00394901"/>
    <w:rsid w:val="00396E0C"/>
    <w:rsid w:val="00397A8B"/>
    <w:rsid w:val="00397DE1"/>
    <w:rsid w:val="003A0289"/>
    <w:rsid w:val="003A05A4"/>
    <w:rsid w:val="003A1A53"/>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361A"/>
    <w:rsid w:val="003C4355"/>
    <w:rsid w:val="003C5CBD"/>
    <w:rsid w:val="003C61AD"/>
    <w:rsid w:val="003D1299"/>
    <w:rsid w:val="003D234C"/>
    <w:rsid w:val="003D4436"/>
    <w:rsid w:val="003D4638"/>
    <w:rsid w:val="003D509A"/>
    <w:rsid w:val="003D69B9"/>
    <w:rsid w:val="003D7A8D"/>
    <w:rsid w:val="003E22CB"/>
    <w:rsid w:val="003E266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40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6BF2"/>
    <w:rsid w:val="0044738E"/>
    <w:rsid w:val="00450B3B"/>
    <w:rsid w:val="00451ABA"/>
    <w:rsid w:val="00451EFC"/>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283"/>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3947"/>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1B7C"/>
    <w:rsid w:val="005321F4"/>
    <w:rsid w:val="005332F5"/>
    <w:rsid w:val="00534A1D"/>
    <w:rsid w:val="00536217"/>
    <w:rsid w:val="00536591"/>
    <w:rsid w:val="005406D3"/>
    <w:rsid w:val="00541787"/>
    <w:rsid w:val="005417B5"/>
    <w:rsid w:val="005429B4"/>
    <w:rsid w:val="00542BE8"/>
    <w:rsid w:val="00543E4D"/>
    <w:rsid w:val="00544F99"/>
    <w:rsid w:val="0054504C"/>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2D95"/>
    <w:rsid w:val="00613C23"/>
    <w:rsid w:val="0061418D"/>
    <w:rsid w:val="006158BA"/>
    <w:rsid w:val="006161D8"/>
    <w:rsid w:val="00616EA7"/>
    <w:rsid w:val="00617175"/>
    <w:rsid w:val="0061739E"/>
    <w:rsid w:val="006209DD"/>
    <w:rsid w:val="0062143F"/>
    <w:rsid w:val="00624DD1"/>
    <w:rsid w:val="00625036"/>
    <w:rsid w:val="00625C7F"/>
    <w:rsid w:val="006301EB"/>
    <w:rsid w:val="0063290C"/>
    <w:rsid w:val="00634133"/>
    <w:rsid w:val="006341F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5D64"/>
    <w:rsid w:val="0065707C"/>
    <w:rsid w:val="00657623"/>
    <w:rsid w:val="00657E57"/>
    <w:rsid w:val="00660C81"/>
    <w:rsid w:val="00660EDC"/>
    <w:rsid w:val="006617A4"/>
    <w:rsid w:val="006643E9"/>
    <w:rsid w:val="00664FE3"/>
    <w:rsid w:val="00667DA0"/>
    <w:rsid w:val="00667FE8"/>
    <w:rsid w:val="0067116A"/>
    <w:rsid w:val="00675032"/>
    <w:rsid w:val="006757DB"/>
    <w:rsid w:val="00676B83"/>
    <w:rsid w:val="00677531"/>
    <w:rsid w:val="00677F26"/>
    <w:rsid w:val="006811E0"/>
    <w:rsid w:val="006812F2"/>
    <w:rsid w:val="006815AB"/>
    <w:rsid w:val="00681F8C"/>
    <w:rsid w:val="00682EFB"/>
    <w:rsid w:val="0068309C"/>
    <w:rsid w:val="0068393B"/>
    <w:rsid w:val="00683A2F"/>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3B7E"/>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0F2E"/>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09C0"/>
    <w:rsid w:val="00752F02"/>
    <w:rsid w:val="007538C7"/>
    <w:rsid w:val="0075784D"/>
    <w:rsid w:val="00757B89"/>
    <w:rsid w:val="00757C4B"/>
    <w:rsid w:val="00760C5E"/>
    <w:rsid w:val="00760C68"/>
    <w:rsid w:val="007631E0"/>
    <w:rsid w:val="007655F8"/>
    <w:rsid w:val="00765FB5"/>
    <w:rsid w:val="0076670A"/>
    <w:rsid w:val="00766820"/>
    <w:rsid w:val="00767745"/>
    <w:rsid w:val="00772F48"/>
    <w:rsid w:val="007736BA"/>
    <w:rsid w:val="0077418C"/>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3F1F"/>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56E"/>
    <w:rsid w:val="007B3B0E"/>
    <w:rsid w:val="007B3DF4"/>
    <w:rsid w:val="007B6B1E"/>
    <w:rsid w:val="007B7CC9"/>
    <w:rsid w:val="007C2AD4"/>
    <w:rsid w:val="007C2DD4"/>
    <w:rsid w:val="007C3B06"/>
    <w:rsid w:val="007C3E46"/>
    <w:rsid w:val="007C4F78"/>
    <w:rsid w:val="007C5024"/>
    <w:rsid w:val="007C55D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4AB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2AA2"/>
    <w:rsid w:val="009B455D"/>
    <w:rsid w:val="009B4E8F"/>
    <w:rsid w:val="009B7769"/>
    <w:rsid w:val="009C2436"/>
    <w:rsid w:val="009C441C"/>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25E"/>
    <w:rsid w:val="009F6933"/>
    <w:rsid w:val="009F7D43"/>
    <w:rsid w:val="00A012D0"/>
    <w:rsid w:val="00A043FE"/>
    <w:rsid w:val="00A05803"/>
    <w:rsid w:val="00A05916"/>
    <w:rsid w:val="00A06E1B"/>
    <w:rsid w:val="00A0794D"/>
    <w:rsid w:val="00A16741"/>
    <w:rsid w:val="00A20817"/>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2AA8"/>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409E"/>
    <w:rsid w:val="00AC43E5"/>
    <w:rsid w:val="00AC4ED6"/>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107"/>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8F5"/>
    <w:rsid w:val="00B26BB7"/>
    <w:rsid w:val="00B30888"/>
    <w:rsid w:val="00B3107C"/>
    <w:rsid w:val="00B32D74"/>
    <w:rsid w:val="00B35E0E"/>
    <w:rsid w:val="00B36C27"/>
    <w:rsid w:val="00B40231"/>
    <w:rsid w:val="00B41911"/>
    <w:rsid w:val="00B419D5"/>
    <w:rsid w:val="00B46787"/>
    <w:rsid w:val="00B501B5"/>
    <w:rsid w:val="00B508E9"/>
    <w:rsid w:val="00B50A32"/>
    <w:rsid w:val="00B51417"/>
    <w:rsid w:val="00B52783"/>
    <w:rsid w:val="00B52B1B"/>
    <w:rsid w:val="00B531F1"/>
    <w:rsid w:val="00B54027"/>
    <w:rsid w:val="00B55F29"/>
    <w:rsid w:val="00B562F0"/>
    <w:rsid w:val="00B56E5D"/>
    <w:rsid w:val="00B60F8C"/>
    <w:rsid w:val="00B61DEB"/>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2383"/>
    <w:rsid w:val="00BF4C43"/>
    <w:rsid w:val="00BF778F"/>
    <w:rsid w:val="00BF7D4A"/>
    <w:rsid w:val="00C017BF"/>
    <w:rsid w:val="00C02500"/>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832"/>
    <w:rsid w:val="00C17D3D"/>
    <w:rsid w:val="00C212AB"/>
    <w:rsid w:val="00C214F0"/>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466F"/>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1AD"/>
    <w:rsid w:val="00CE02AD"/>
    <w:rsid w:val="00CE053C"/>
    <w:rsid w:val="00CE080E"/>
    <w:rsid w:val="00CE10E3"/>
    <w:rsid w:val="00CE186F"/>
    <w:rsid w:val="00CE23AA"/>
    <w:rsid w:val="00CE2B42"/>
    <w:rsid w:val="00CE319B"/>
    <w:rsid w:val="00CE40E3"/>
    <w:rsid w:val="00CE4A86"/>
    <w:rsid w:val="00CE4CAE"/>
    <w:rsid w:val="00CE55DA"/>
    <w:rsid w:val="00CE58D6"/>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6AA2"/>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B71"/>
    <w:rsid w:val="00D87CCB"/>
    <w:rsid w:val="00D9043F"/>
    <w:rsid w:val="00D91604"/>
    <w:rsid w:val="00D91C87"/>
    <w:rsid w:val="00D92E74"/>
    <w:rsid w:val="00D94CBE"/>
    <w:rsid w:val="00D9594F"/>
    <w:rsid w:val="00D95FE6"/>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2879"/>
    <w:rsid w:val="00DD461A"/>
    <w:rsid w:val="00DD58FD"/>
    <w:rsid w:val="00DD6697"/>
    <w:rsid w:val="00DD75E5"/>
    <w:rsid w:val="00DD7963"/>
    <w:rsid w:val="00DE04DD"/>
    <w:rsid w:val="00DE1E03"/>
    <w:rsid w:val="00DE252A"/>
    <w:rsid w:val="00DE49C0"/>
    <w:rsid w:val="00DE5402"/>
    <w:rsid w:val="00DE6008"/>
    <w:rsid w:val="00DE7564"/>
    <w:rsid w:val="00DE7AB3"/>
    <w:rsid w:val="00DE7F24"/>
    <w:rsid w:val="00DF0036"/>
    <w:rsid w:val="00DF013F"/>
    <w:rsid w:val="00DF0724"/>
    <w:rsid w:val="00DF0A5C"/>
    <w:rsid w:val="00DF1C9D"/>
    <w:rsid w:val="00DF4709"/>
    <w:rsid w:val="00DF5DEB"/>
    <w:rsid w:val="00DF7501"/>
    <w:rsid w:val="00DF788A"/>
    <w:rsid w:val="00E0081B"/>
    <w:rsid w:val="00E01BE5"/>
    <w:rsid w:val="00E01FDB"/>
    <w:rsid w:val="00E0271D"/>
    <w:rsid w:val="00E03674"/>
    <w:rsid w:val="00E04231"/>
    <w:rsid w:val="00E0486D"/>
    <w:rsid w:val="00E04F65"/>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1F14"/>
    <w:rsid w:val="00E42464"/>
    <w:rsid w:val="00E42CB1"/>
    <w:rsid w:val="00E4335C"/>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109"/>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47"/>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062A"/>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9F0"/>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0BC"/>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99C"/>
    <w:rsid w:val="00F9223A"/>
    <w:rsid w:val="00F93027"/>
    <w:rsid w:val="00F9451F"/>
    <w:rsid w:val="00F95A31"/>
    <w:rsid w:val="00F96208"/>
    <w:rsid w:val="00F9654A"/>
    <w:rsid w:val="00F979DB"/>
    <w:rsid w:val="00FA1E4A"/>
    <w:rsid w:val="00FA2770"/>
    <w:rsid w:val="00FA3DA8"/>
    <w:rsid w:val="00FA4180"/>
    <w:rsid w:val="00FA4F12"/>
    <w:rsid w:val="00FA5D6D"/>
    <w:rsid w:val="00FB0722"/>
    <w:rsid w:val="00FB434F"/>
    <w:rsid w:val="00FB4C38"/>
    <w:rsid w:val="00FB5C20"/>
    <w:rsid w:val="00FB65AC"/>
    <w:rsid w:val="00FB7B78"/>
    <w:rsid w:val="00FC0F44"/>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0CD8"/>
    <w:rsid w:val="00FE3446"/>
    <w:rsid w:val="00FE4072"/>
    <w:rsid w:val="00FE4AD9"/>
    <w:rsid w:val="00FF0555"/>
    <w:rsid w:val="00FF1289"/>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FootnoteTextChar">
    <w:name w:val="Footnote Text Char"/>
    <w:basedOn w:val="DefaultParagraphFont"/>
    <w:link w:val="FootnoteText"/>
    <w:rsid w:val="00AC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37220">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024F-7896-4B70-8B5D-8A4FCEF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2019-07-30T17:53:00Z</cp:lastPrinted>
  <dcterms:created xsi:type="dcterms:W3CDTF">2019-07-30T18:48:00Z</dcterms:created>
  <dcterms:modified xsi:type="dcterms:W3CDTF">2019-08-07T19:46:00Z</dcterms:modified>
</cp:coreProperties>
</file>