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CC73" w14:textId="78EB1B66" w:rsidR="00C209C3" w:rsidRPr="00570FA3" w:rsidRDefault="00252F32" w:rsidP="00A81DE8">
      <w:pPr>
        <w:widowControl/>
        <w:tabs>
          <w:tab w:val="center" w:pos="4680"/>
        </w:tabs>
        <w:suppressAutoHyphens/>
        <w:contextualSpacing/>
        <w:jc w:val="center"/>
        <w:outlineLvl w:val="0"/>
        <w:rPr>
          <w:b/>
          <w:sz w:val="26"/>
          <w:szCs w:val="26"/>
        </w:rPr>
      </w:pPr>
      <w:r>
        <w:rPr>
          <w:b/>
          <w:sz w:val="26"/>
          <w:szCs w:val="26"/>
        </w:rPr>
        <w:t xml:space="preserve"> </w:t>
      </w:r>
      <w:r w:rsidR="00C209C3" w:rsidRPr="00570FA3">
        <w:rPr>
          <w:b/>
          <w:sz w:val="26"/>
          <w:szCs w:val="26"/>
        </w:rPr>
        <w:t>PENNSYLVANIA</w:t>
      </w:r>
    </w:p>
    <w:p w14:paraId="782D1E48" w14:textId="77777777" w:rsidR="00C209C3" w:rsidRPr="00570FA3" w:rsidRDefault="00C209C3" w:rsidP="00A81DE8">
      <w:pPr>
        <w:widowControl/>
        <w:tabs>
          <w:tab w:val="center" w:pos="4680"/>
        </w:tabs>
        <w:suppressAutoHyphens/>
        <w:contextualSpacing/>
        <w:jc w:val="center"/>
        <w:rPr>
          <w:b/>
          <w:sz w:val="26"/>
          <w:szCs w:val="26"/>
        </w:rPr>
      </w:pPr>
      <w:r w:rsidRPr="00570FA3">
        <w:rPr>
          <w:b/>
          <w:sz w:val="26"/>
          <w:szCs w:val="26"/>
        </w:rPr>
        <w:t>PUBLIC UTILITY COMMISSION</w:t>
      </w:r>
    </w:p>
    <w:p w14:paraId="75EFAD6F" w14:textId="77777777" w:rsidR="00C209C3" w:rsidRPr="00570FA3" w:rsidRDefault="00C209C3" w:rsidP="00A81DE8">
      <w:pPr>
        <w:widowControl/>
        <w:tabs>
          <w:tab w:val="center" w:pos="4680"/>
        </w:tabs>
        <w:suppressAutoHyphens/>
        <w:contextualSpacing/>
        <w:jc w:val="center"/>
        <w:rPr>
          <w:b/>
          <w:sz w:val="26"/>
          <w:szCs w:val="26"/>
        </w:rPr>
      </w:pPr>
      <w:r w:rsidRPr="00570FA3">
        <w:rPr>
          <w:b/>
          <w:sz w:val="26"/>
          <w:szCs w:val="26"/>
        </w:rPr>
        <w:t>Harrisburg, PA  17105-3265</w:t>
      </w:r>
    </w:p>
    <w:p w14:paraId="06DD7024" w14:textId="77777777" w:rsidR="00C209C3" w:rsidRPr="00437389" w:rsidRDefault="00C209C3" w:rsidP="00A81DE8">
      <w:pPr>
        <w:widowControl/>
        <w:tabs>
          <w:tab w:val="left" w:pos="-720"/>
        </w:tabs>
        <w:suppressAutoHyphens/>
        <w:contextualSpacing/>
        <w:rPr>
          <w:sz w:val="26"/>
          <w:szCs w:val="26"/>
        </w:rPr>
      </w:pPr>
    </w:p>
    <w:p w14:paraId="7823CF72" w14:textId="4DB699EF" w:rsidR="00C209C3" w:rsidRPr="00570FA3" w:rsidRDefault="00C209C3" w:rsidP="00A81DE8">
      <w:pPr>
        <w:widowControl/>
        <w:tabs>
          <w:tab w:val="right" w:pos="9360"/>
        </w:tabs>
        <w:suppressAutoHyphens/>
        <w:contextualSpacing/>
        <w:jc w:val="right"/>
        <w:rPr>
          <w:sz w:val="26"/>
          <w:szCs w:val="26"/>
        </w:rPr>
      </w:pPr>
      <w:r w:rsidRPr="00570FA3">
        <w:rPr>
          <w:sz w:val="26"/>
          <w:szCs w:val="26"/>
        </w:rPr>
        <w:t xml:space="preserve">Public Meeting held </w:t>
      </w:r>
      <w:r w:rsidR="00BC782B">
        <w:rPr>
          <w:sz w:val="26"/>
          <w:szCs w:val="26"/>
        </w:rPr>
        <w:t>August 8</w:t>
      </w:r>
      <w:r w:rsidR="00120B75">
        <w:rPr>
          <w:sz w:val="26"/>
          <w:szCs w:val="26"/>
        </w:rPr>
        <w:t>, 2019</w:t>
      </w:r>
    </w:p>
    <w:p w14:paraId="10DA355D" w14:textId="77777777" w:rsidR="00C209C3" w:rsidRPr="00570FA3" w:rsidRDefault="00C209C3" w:rsidP="00A81DE8">
      <w:pPr>
        <w:widowControl/>
        <w:tabs>
          <w:tab w:val="left" w:pos="-720"/>
        </w:tabs>
        <w:suppressAutoHyphens/>
        <w:contextualSpacing/>
        <w:rPr>
          <w:sz w:val="26"/>
          <w:szCs w:val="26"/>
        </w:rPr>
      </w:pPr>
    </w:p>
    <w:p w14:paraId="6BCAFE08" w14:textId="77777777" w:rsidR="00507D59" w:rsidRPr="00507D59" w:rsidRDefault="00507D59" w:rsidP="00A81DE8">
      <w:pPr>
        <w:widowControl/>
        <w:contextualSpacing/>
        <w:rPr>
          <w:sz w:val="26"/>
          <w:szCs w:val="26"/>
        </w:rPr>
      </w:pPr>
      <w:r w:rsidRPr="00507D59">
        <w:rPr>
          <w:sz w:val="26"/>
          <w:szCs w:val="26"/>
        </w:rPr>
        <w:t>Commissioners Present:</w:t>
      </w:r>
    </w:p>
    <w:p w14:paraId="65807BF4" w14:textId="77777777" w:rsidR="00507D59" w:rsidRPr="00507D59" w:rsidRDefault="00507D59" w:rsidP="00A81DE8">
      <w:pPr>
        <w:widowControl/>
        <w:contextualSpacing/>
        <w:rPr>
          <w:sz w:val="26"/>
          <w:szCs w:val="26"/>
        </w:rPr>
      </w:pPr>
    </w:p>
    <w:p w14:paraId="0D203402" w14:textId="4EF75821" w:rsidR="00507D59" w:rsidRPr="00507D59" w:rsidRDefault="00507D59" w:rsidP="00A81DE8">
      <w:pPr>
        <w:widowControl/>
        <w:tabs>
          <w:tab w:val="left" w:pos="705"/>
        </w:tabs>
        <w:ind w:left="432"/>
        <w:contextualSpacing/>
        <w:rPr>
          <w:sz w:val="26"/>
          <w:szCs w:val="26"/>
        </w:rPr>
      </w:pPr>
      <w:r w:rsidRPr="00507D59">
        <w:rPr>
          <w:sz w:val="26"/>
          <w:szCs w:val="26"/>
        </w:rPr>
        <w:t>Gladys Brown</w:t>
      </w:r>
      <w:r w:rsidR="00891676">
        <w:rPr>
          <w:sz w:val="26"/>
          <w:szCs w:val="26"/>
        </w:rPr>
        <w:t xml:space="preserve"> </w:t>
      </w:r>
      <w:r w:rsidR="00891676" w:rsidRPr="00E47F43">
        <w:rPr>
          <w:sz w:val="26"/>
          <w:szCs w:val="26"/>
        </w:rPr>
        <w:t>Dutrieuill</w:t>
      </w:r>
      <w:r w:rsidR="00891676">
        <w:rPr>
          <w:sz w:val="26"/>
          <w:szCs w:val="26"/>
        </w:rPr>
        <w:t>e</w:t>
      </w:r>
      <w:r w:rsidRPr="00507D59">
        <w:rPr>
          <w:sz w:val="26"/>
          <w:szCs w:val="26"/>
        </w:rPr>
        <w:t>, Chairman</w:t>
      </w:r>
    </w:p>
    <w:p w14:paraId="2777E793" w14:textId="77777777" w:rsidR="00507D59" w:rsidRPr="00507D59" w:rsidRDefault="00507D59" w:rsidP="00A81DE8">
      <w:pPr>
        <w:widowControl/>
        <w:tabs>
          <w:tab w:val="left" w:pos="705"/>
        </w:tabs>
        <w:ind w:left="432"/>
        <w:contextualSpacing/>
        <w:rPr>
          <w:sz w:val="26"/>
          <w:szCs w:val="26"/>
        </w:rPr>
      </w:pPr>
      <w:r w:rsidRPr="00507D59">
        <w:rPr>
          <w:sz w:val="26"/>
          <w:szCs w:val="26"/>
        </w:rPr>
        <w:t>David W. Sweet, Vice Chairman</w:t>
      </w:r>
    </w:p>
    <w:p w14:paraId="3DFBCABE" w14:textId="77777777" w:rsidR="00507D59" w:rsidRPr="00507D59" w:rsidRDefault="00507D59" w:rsidP="00A81DE8">
      <w:pPr>
        <w:widowControl/>
        <w:tabs>
          <w:tab w:val="left" w:pos="705"/>
        </w:tabs>
        <w:ind w:left="432"/>
        <w:contextualSpacing/>
        <w:rPr>
          <w:sz w:val="26"/>
          <w:szCs w:val="26"/>
        </w:rPr>
      </w:pPr>
      <w:r w:rsidRPr="00507D59">
        <w:rPr>
          <w:sz w:val="26"/>
          <w:szCs w:val="26"/>
        </w:rPr>
        <w:t>Norman J. Kennard</w:t>
      </w:r>
    </w:p>
    <w:p w14:paraId="7F9DBAC7" w14:textId="77777777" w:rsidR="00507D59" w:rsidRPr="00507D59" w:rsidRDefault="00507D59" w:rsidP="00A81DE8">
      <w:pPr>
        <w:widowControl/>
        <w:tabs>
          <w:tab w:val="left" w:pos="705"/>
        </w:tabs>
        <w:ind w:left="432"/>
        <w:contextualSpacing/>
        <w:rPr>
          <w:sz w:val="26"/>
          <w:szCs w:val="26"/>
        </w:rPr>
      </w:pPr>
      <w:r w:rsidRPr="00507D59">
        <w:rPr>
          <w:sz w:val="26"/>
          <w:szCs w:val="26"/>
        </w:rPr>
        <w:t>Andrew G. Place</w:t>
      </w:r>
    </w:p>
    <w:p w14:paraId="611369BD" w14:textId="77777777" w:rsidR="00507D59" w:rsidRPr="00507D59" w:rsidRDefault="00507D59" w:rsidP="00A81DE8">
      <w:pPr>
        <w:widowControl/>
        <w:tabs>
          <w:tab w:val="left" w:pos="705"/>
        </w:tabs>
        <w:ind w:left="432"/>
        <w:contextualSpacing/>
        <w:rPr>
          <w:sz w:val="26"/>
          <w:szCs w:val="26"/>
        </w:rPr>
      </w:pPr>
      <w:r w:rsidRPr="00507D59">
        <w:rPr>
          <w:sz w:val="26"/>
          <w:szCs w:val="26"/>
        </w:rPr>
        <w:t>John F. Coleman, Jr.</w:t>
      </w:r>
    </w:p>
    <w:p w14:paraId="542043BC" w14:textId="223F2714" w:rsidR="00C209C3" w:rsidRPr="00570FA3" w:rsidRDefault="00C209C3" w:rsidP="00A81DE8">
      <w:pPr>
        <w:widowControl/>
        <w:tabs>
          <w:tab w:val="left" w:pos="-720"/>
        </w:tabs>
        <w:suppressAutoHyphens/>
        <w:ind w:firstLine="720"/>
        <w:contextualSpacing/>
        <w:rPr>
          <w:sz w:val="26"/>
          <w:szCs w:val="26"/>
        </w:rPr>
      </w:pPr>
    </w:p>
    <w:p w14:paraId="74D36407" w14:textId="77777777" w:rsidR="00C209C3" w:rsidRPr="00570FA3" w:rsidRDefault="00C209C3" w:rsidP="00A81DE8">
      <w:pPr>
        <w:widowControl/>
        <w:tabs>
          <w:tab w:val="left" w:pos="-720"/>
        </w:tabs>
        <w:suppressAutoHyphens/>
        <w:contextualSpacing/>
        <w:rPr>
          <w:sz w:val="26"/>
          <w:szCs w:val="26"/>
        </w:rPr>
      </w:pPr>
    </w:p>
    <w:p w14:paraId="6CB14D7C" w14:textId="77777777" w:rsidR="009374E3" w:rsidRPr="00570FA3" w:rsidRDefault="009374E3" w:rsidP="00A81DE8">
      <w:pPr>
        <w:widowControl/>
        <w:contextualSpacing/>
        <w:rPr>
          <w:sz w:val="26"/>
          <w:szCs w:val="26"/>
        </w:rPr>
      </w:pPr>
    </w:p>
    <w:p w14:paraId="68F69271" w14:textId="77777777" w:rsidR="009374E3" w:rsidRPr="00570FA3" w:rsidRDefault="009374E3" w:rsidP="00A81DE8">
      <w:pPr>
        <w:widowControl/>
        <w:contextualSpacing/>
        <w:rPr>
          <w:sz w:val="26"/>
          <w:szCs w:val="26"/>
        </w:rPr>
      </w:pPr>
    </w:p>
    <w:p w14:paraId="565CF7C1" w14:textId="77777777" w:rsidR="00EC7C15" w:rsidRPr="00570FA3" w:rsidRDefault="00EC7C15" w:rsidP="00A81DE8">
      <w:pPr>
        <w:widowControl/>
        <w:contextualSpacing/>
        <w:rPr>
          <w:sz w:val="26"/>
          <w:szCs w:val="26"/>
        </w:rPr>
      </w:pPr>
    </w:p>
    <w:p w14:paraId="479986DF" w14:textId="77777777" w:rsidR="009374E3" w:rsidRPr="00570FA3" w:rsidRDefault="00885A1E" w:rsidP="00A81DE8">
      <w:pPr>
        <w:widowControl/>
        <w:spacing w:after="200"/>
        <w:contextualSpacing/>
        <w:rPr>
          <w:sz w:val="26"/>
          <w:szCs w:val="26"/>
        </w:rPr>
      </w:pPr>
      <w:r w:rsidRPr="009D4A74">
        <w:rPr>
          <w:sz w:val="26"/>
          <w:szCs w:val="26"/>
        </w:rPr>
        <w:t>Larry Moyer</w:t>
      </w:r>
      <w:r>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t xml:space="preserve">     </w:t>
      </w:r>
      <w:r w:rsidR="00C209C3" w:rsidRPr="00570FA3">
        <w:rPr>
          <w:sz w:val="26"/>
          <w:szCs w:val="26"/>
        </w:rPr>
        <w:t>C-201</w:t>
      </w:r>
      <w:r w:rsidR="0009748F">
        <w:rPr>
          <w:sz w:val="26"/>
          <w:szCs w:val="26"/>
        </w:rPr>
        <w:t>5</w:t>
      </w:r>
      <w:r w:rsidR="00C209C3" w:rsidRPr="00570FA3">
        <w:rPr>
          <w:sz w:val="26"/>
          <w:szCs w:val="26"/>
        </w:rPr>
        <w:t>-</w:t>
      </w:r>
      <w:r>
        <w:rPr>
          <w:sz w:val="26"/>
          <w:szCs w:val="26"/>
        </w:rPr>
        <w:t>2511904</w:t>
      </w:r>
    </w:p>
    <w:p w14:paraId="67D7F818" w14:textId="77777777" w:rsidR="00EC7C15" w:rsidRPr="00570FA3" w:rsidRDefault="00EC7C15" w:rsidP="00A81DE8">
      <w:pPr>
        <w:widowControl/>
        <w:spacing w:after="200"/>
        <w:contextualSpacing/>
        <w:rPr>
          <w:sz w:val="26"/>
          <w:szCs w:val="26"/>
        </w:rPr>
      </w:pPr>
    </w:p>
    <w:p w14:paraId="63559DD0" w14:textId="77777777" w:rsidR="009374E3" w:rsidRPr="00570FA3" w:rsidRDefault="009374E3" w:rsidP="00A81DE8">
      <w:pPr>
        <w:widowControl/>
        <w:spacing w:after="200"/>
        <w:contextualSpacing/>
        <w:rPr>
          <w:sz w:val="26"/>
          <w:szCs w:val="26"/>
        </w:rPr>
      </w:pPr>
      <w:r w:rsidRPr="00570FA3">
        <w:rPr>
          <w:sz w:val="26"/>
          <w:szCs w:val="26"/>
        </w:rPr>
        <w:tab/>
      </w:r>
      <w:r w:rsidRPr="00570FA3">
        <w:rPr>
          <w:sz w:val="26"/>
          <w:szCs w:val="26"/>
        </w:rPr>
        <w:tab/>
        <w:t>v.</w:t>
      </w:r>
    </w:p>
    <w:p w14:paraId="66942062" w14:textId="77777777" w:rsidR="00EC7C15" w:rsidRPr="00570FA3" w:rsidRDefault="00EC7C15" w:rsidP="00A81DE8">
      <w:pPr>
        <w:widowControl/>
        <w:tabs>
          <w:tab w:val="left" w:pos="-720"/>
          <w:tab w:val="left" w:pos="0"/>
        </w:tabs>
        <w:suppressAutoHyphens/>
        <w:contextualSpacing/>
        <w:rPr>
          <w:sz w:val="26"/>
          <w:szCs w:val="26"/>
        </w:rPr>
      </w:pPr>
    </w:p>
    <w:p w14:paraId="5BAB380D" w14:textId="77777777" w:rsidR="009374E3" w:rsidRPr="00570FA3" w:rsidRDefault="00885A1E" w:rsidP="00A81DE8">
      <w:pPr>
        <w:widowControl/>
        <w:tabs>
          <w:tab w:val="left" w:pos="-720"/>
          <w:tab w:val="left" w:pos="0"/>
        </w:tabs>
        <w:suppressAutoHyphens/>
        <w:contextualSpacing/>
        <w:rPr>
          <w:sz w:val="26"/>
          <w:szCs w:val="26"/>
        </w:rPr>
      </w:pPr>
      <w:r w:rsidRPr="009D4A74">
        <w:rPr>
          <w:sz w:val="26"/>
          <w:szCs w:val="26"/>
        </w:rPr>
        <w:t>PPL Electric Utilities Corporation</w:t>
      </w:r>
    </w:p>
    <w:p w14:paraId="52922C81" w14:textId="77777777" w:rsidR="00DC6D3A" w:rsidRPr="00570FA3" w:rsidRDefault="00DC6D3A" w:rsidP="00A81DE8">
      <w:pPr>
        <w:widowControl/>
        <w:contextualSpacing/>
        <w:rPr>
          <w:sz w:val="26"/>
          <w:szCs w:val="26"/>
        </w:rPr>
      </w:pPr>
    </w:p>
    <w:p w14:paraId="4CC22C46" w14:textId="77777777" w:rsidR="00DC6D3A" w:rsidRPr="00570FA3" w:rsidRDefault="00DC6D3A" w:rsidP="00A81DE8">
      <w:pPr>
        <w:widowControl/>
        <w:contextualSpacing/>
        <w:rPr>
          <w:sz w:val="26"/>
          <w:szCs w:val="26"/>
        </w:rPr>
      </w:pPr>
    </w:p>
    <w:p w14:paraId="50296A59" w14:textId="77777777" w:rsidR="008517DC" w:rsidRPr="00570FA3" w:rsidRDefault="008517DC" w:rsidP="00A81DE8">
      <w:pPr>
        <w:widowControl/>
        <w:contextualSpacing/>
        <w:rPr>
          <w:sz w:val="26"/>
          <w:szCs w:val="26"/>
        </w:rPr>
      </w:pPr>
    </w:p>
    <w:p w14:paraId="5FE1A7E7" w14:textId="77777777" w:rsidR="00DC6D3A" w:rsidRPr="00570FA3" w:rsidRDefault="00DC6D3A" w:rsidP="00A81DE8">
      <w:pPr>
        <w:widowControl/>
        <w:spacing w:line="360" w:lineRule="auto"/>
        <w:contextualSpacing/>
        <w:jc w:val="center"/>
        <w:rPr>
          <w:b/>
          <w:sz w:val="26"/>
          <w:szCs w:val="26"/>
        </w:rPr>
      </w:pPr>
      <w:r w:rsidRPr="00570FA3">
        <w:rPr>
          <w:b/>
          <w:sz w:val="26"/>
          <w:szCs w:val="26"/>
        </w:rPr>
        <w:t xml:space="preserve">OPINION </w:t>
      </w:r>
      <w:smartTag w:uri="urn:schemas-microsoft-com:office:smarttags" w:element="stockticker">
        <w:r w:rsidRPr="00570FA3">
          <w:rPr>
            <w:b/>
            <w:sz w:val="26"/>
            <w:szCs w:val="26"/>
          </w:rPr>
          <w:t>AND</w:t>
        </w:r>
      </w:smartTag>
      <w:r w:rsidRPr="00570FA3">
        <w:rPr>
          <w:b/>
          <w:sz w:val="26"/>
          <w:szCs w:val="26"/>
        </w:rPr>
        <w:t xml:space="preserve"> ORDER</w:t>
      </w:r>
    </w:p>
    <w:p w14:paraId="6EF3455F" w14:textId="77777777" w:rsidR="00DC6D3A" w:rsidRPr="00570FA3" w:rsidRDefault="00DC6D3A" w:rsidP="00A81DE8">
      <w:pPr>
        <w:widowControl/>
        <w:spacing w:line="360" w:lineRule="auto"/>
        <w:contextualSpacing/>
        <w:jc w:val="center"/>
        <w:rPr>
          <w:b/>
          <w:sz w:val="26"/>
          <w:szCs w:val="26"/>
        </w:rPr>
      </w:pPr>
    </w:p>
    <w:p w14:paraId="05B94267" w14:textId="77777777" w:rsidR="00DC6D3A" w:rsidRPr="00570FA3" w:rsidRDefault="00DC6D3A" w:rsidP="00A81DE8">
      <w:pPr>
        <w:widowControl/>
        <w:spacing w:line="360" w:lineRule="auto"/>
        <w:contextualSpacing/>
        <w:rPr>
          <w:b/>
          <w:sz w:val="26"/>
          <w:szCs w:val="26"/>
        </w:rPr>
      </w:pPr>
      <w:r w:rsidRPr="00570FA3">
        <w:rPr>
          <w:b/>
          <w:sz w:val="26"/>
          <w:szCs w:val="26"/>
        </w:rPr>
        <w:t>BY THE COMMISSION:</w:t>
      </w:r>
    </w:p>
    <w:p w14:paraId="2F352AAF" w14:textId="77777777" w:rsidR="002F56EC" w:rsidRPr="00570FA3" w:rsidRDefault="002F56EC" w:rsidP="00A81DE8">
      <w:pPr>
        <w:widowControl/>
        <w:spacing w:line="360" w:lineRule="auto"/>
        <w:contextualSpacing/>
        <w:rPr>
          <w:sz w:val="26"/>
          <w:szCs w:val="26"/>
        </w:rPr>
      </w:pPr>
    </w:p>
    <w:p w14:paraId="25B33712" w14:textId="3D56E62F" w:rsidR="00885A1E" w:rsidRPr="008C465E" w:rsidRDefault="00885A1E" w:rsidP="00A81DE8">
      <w:pPr>
        <w:widowControl/>
        <w:spacing w:line="360" w:lineRule="auto"/>
        <w:ind w:firstLine="1440"/>
        <w:contextualSpacing/>
        <w:rPr>
          <w:sz w:val="26"/>
          <w:szCs w:val="26"/>
        </w:rPr>
      </w:pPr>
      <w:r w:rsidRPr="00885A1E">
        <w:rPr>
          <w:sz w:val="26"/>
          <w:szCs w:val="26"/>
        </w:rPr>
        <w:t xml:space="preserve">Before the Pennsylvania Public Utility Commission (Commission) for consideration and disposition are the Exceptions filed by Larry Moyer (Complainant) on </w:t>
      </w:r>
      <w:r>
        <w:rPr>
          <w:sz w:val="26"/>
          <w:szCs w:val="26"/>
        </w:rPr>
        <w:t>May 16, 2018</w:t>
      </w:r>
      <w:r w:rsidRPr="00885A1E">
        <w:rPr>
          <w:sz w:val="26"/>
          <w:szCs w:val="26"/>
        </w:rPr>
        <w:t xml:space="preserve">, to the Initial Decision (I.D.) of </w:t>
      </w:r>
      <w:r w:rsidR="00B77F2B" w:rsidRPr="00E562D4">
        <w:rPr>
          <w:sz w:val="26"/>
          <w:szCs w:val="26"/>
        </w:rPr>
        <w:t>Deputy Chief</w:t>
      </w:r>
      <w:r w:rsidR="00B77F2B" w:rsidRPr="00885A1E">
        <w:rPr>
          <w:sz w:val="26"/>
          <w:szCs w:val="26"/>
        </w:rPr>
        <w:t xml:space="preserve"> </w:t>
      </w:r>
      <w:r w:rsidRPr="00885A1E">
        <w:rPr>
          <w:sz w:val="26"/>
          <w:szCs w:val="26"/>
        </w:rPr>
        <w:t xml:space="preserve">Administrative Law Judge (ALJ) </w:t>
      </w:r>
      <w:r>
        <w:rPr>
          <w:sz w:val="26"/>
          <w:szCs w:val="26"/>
        </w:rPr>
        <w:t>Joel H. Cheskis</w:t>
      </w:r>
      <w:r w:rsidRPr="00885A1E">
        <w:rPr>
          <w:sz w:val="26"/>
          <w:szCs w:val="26"/>
        </w:rPr>
        <w:t xml:space="preserve">, issued on </w:t>
      </w:r>
      <w:r w:rsidR="00706BE2">
        <w:rPr>
          <w:sz w:val="26"/>
          <w:szCs w:val="26"/>
        </w:rPr>
        <w:t>May 16</w:t>
      </w:r>
      <w:r>
        <w:rPr>
          <w:sz w:val="26"/>
          <w:szCs w:val="26"/>
        </w:rPr>
        <w:t xml:space="preserve">, </w:t>
      </w:r>
      <w:r w:rsidR="009375A0">
        <w:rPr>
          <w:sz w:val="26"/>
          <w:szCs w:val="26"/>
        </w:rPr>
        <w:t>2018</w:t>
      </w:r>
      <w:r w:rsidRPr="00885A1E">
        <w:rPr>
          <w:sz w:val="26"/>
          <w:szCs w:val="26"/>
        </w:rPr>
        <w:t xml:space="preserve">, in the above-captioned proceeding.  </w:t>
      </w:r>
      <w:r w:rsidRPr="008C465E">
        <w:rPr>
          <w:sz w:val="26"/>
          <w:szCs w:val="26"/>
        </w:rPr>
        <w:t xml:space="preserve">PPL Electric Utilities Corporation (PPL) filed Replies to Exceptions on </w:t>
      </w:r>
      <w:r w:rsidR="009437C1">
        <w:rPr>
          <w:sz w:val="26"/>
          <w:szCs w:val="26"/>
        </w:rPr>
        <w:t>May 2</w:t>
      </w:r>
      <w:r w:rsidR="00706BE2">
        <w:rPr>
          <w:sz w:val="26"/>
          <w:szCs w:val="26"/>
        </w:rPr>
        <w:t>5, 2018</w:t>
      </w:r>
      <w:r w:rsidRPr="008C465E">
        <w:rPr>
          <w:sz w:val="26"/>
          <w:szCs w:val="26"/>
        </w:rPr>
        <w:t xml:space="preserve">.  For the reasons stated herein, we shall </w:t>
      </w:r>
      <w:r w:rsidR="0007547B">
        <w:rPr>
          <w:sz w:val="26"/>
          <w:szCs w:val="26"/>
        </w:rPr>
        <w:t xml:space="preserve">grant the Exceptions, in part, </w:t>
      </w:r>
      <w:r w:rsidRPr="008C465E">
        <w:rPr>
          <w:sz w:val="26"/>
          <w:szCs w:val="26"/>
        </w:rPr>
        <w:t>deny the</w:t>
      </w:r>
      <w:r w:rsidR="0007547B">
        <w:rPr>
          <w:sz w:val="26"/>
          <w:szCs w:val="26"/>
        </w:rPr>
        <w:t xml:space="preserve">m, in part, </w:t>
      </w:r>
      <w:r w:rsidRPr="008C465E">
        <w:rPr>
          <w:sz w:val="26"/>
          <w:szCs w:val="26"/>
        </w:rPr>
        <w:t xml:space="preserve"> and adopt the ALJ’s Initial Decision</w:t>
      </w:r>
      <w:r w:rsidR="0007547B">
        <w:rPr>
          <w:sz w:val="26"/>
          <w:szCs w:val="26"/>
        </w:rPr>
        <w:t xml:space="preserve"> as modified</w:t>
      </w:r>
      <w:r w:rsidRPr="008C465E">
        <w:rPr>
          <w:sz w:val="26"/>
          <w:szCs w:val="26"/>
        </w:rPr>
        <w:t>.</w:t>
      </w:r>
    </w:p>
    <w:p w14:paraId="540BD48D" w14:textId="77777777" w:rsidR="00CA3248" w:rsidRPr="00570FA3" w:rsidRDefault="00FC1FD6" w:rsidP="00A81DE8">
      <w:pPr>
        <w:keepNext/>
        <w:keepLines/>
        <w:widowControl/>
        <w:spacing w:line="360" w:lineRule="auto"/>
        <w:contextualSpacing/>
        <w:jc w:val="center"/>
        <w:rPr>
          <w:b/>
          <w:sz w:val="26"/>
          <w:szCs w:val="26"/>
        </w:rPr>
      </w:pPr>
      <w:r>
        <w:rPr>
          <w:b/>
          <w:sz w:val="26"/>
          <w:szCs w:val="26"/>
        </w:rPr>
        <w:lastRenderedPageBreak/>
        <w:t>I.</w:t>
      </w:r>
      <w:r>
        <w:rPr>
          <w:b/>
          <w:sz w:val="26"/>
          <w:szCs w:val="26"/>
        </w:rPr>
        <w:tab/>
      </w:r>
      <w:r w:rsidR="00CA3248" w:rsidRPr="00570FA3">
        <w:rPr>
          <w:b/>
          <w:sz w:val="26"/>
          <w:szCs w:val="26"/>
        </w:rPr>
        <w:t>History of the Proceeding</w:t>
      </w:r>
    </w:p>
    <w:p w14:paraId="64E5F7CB" w14:textId="77777777" w:rsidR="005D3741" w:rsidRPr="00570FA3" w:rsidRDefault="005D3741" w:rsidP="00A81DE8">
      <w:pPr>
        <w:keepNext/>
        <w:keepLines/>
        <w:widowControl/>
        <w:spacing w:line="360" w:lineRule="auto"/>
        <w:ind w:firstLine="1440"/>
        <w:contextualSpacing/>
        <w:rPr>
          <w:sz w:val="26"/>
          <w:szCs w:val="26"/>
        </w:rPr>
      </w:pPr>
    </w:p>
    <w:p w14:paraId="65600707" w14:textId="37E145E8" w:rsidR="00C24719" w:rsidRDefault="0066666F" w:rsidP="00A81DE8">
      <w:pPr>
        <w:widowControl/>
        <w:spacing w:line="360" w:lineRule="auto"/>
        <w:ind w:firstLine="1440"/>
        <w:contextualSpacing/>
        <w:rPr>
          <w:sz w:val="26"/>
          <w:szCs w:val="26"/>
        </w:rPr>
      </w:pPr>
      <w:r>
        <w:rPr>
          <w:sz w:val="26"/>
          <w:szCs w:val="26"/>
        </w:rPr>
        <w:t>On October 29, 201</w:t>
      </w:r>
      <w:r w:rsidR="00924471">
        <w:rPr>
          <w:sz w:val="26"/>
          <w:szCs w:val="26"/>
        </w:rPr>
        <w:t>5</w:t>
      </w:r>
      <w:r>
        <w:rPr>
          <w:sz w:val="26"/>
          <w:szCs w:val="26"/>
        </w:rPr>
        <w:t>, the Complainant filed a Formal Complaint (Complaint)</w:t>
      </w:r>
      <w:r w:rsidR="00C10E1E">
        <w:rPr>
          <w:rStyle w:val="FootnoteReference"/>
          <w:sz w:val="26"/>
          <w:szCs w:val="26"/>
        </w:rPr>
        <w:footnoteReference w:id="1"/>
      </w:r>
      <w:r>
        <w:rPr>
          <w:sz w:val="26"/>
          <w:szCs w:val="26"/>
        </w:rPr>
        <w:t xml:space="preserve"> against PPL wherein he alleged that PPL was threatening to terminate his utility service.</w:t>
      </w:r>
      <w:r w:rsidR="00022D36">
        <w:rPr>
          <w:rStyle w:val="FootnoteReference"/>
          <w:sz w:val="26"/>
          <w:szCs w:val="26"/>
        </w:rPr>
        <w:footnoteReference w:id="2"/>
      </w:r>
      <w:r>
        <w:rPr>
          <w:sz w:val="26"/>
          <w:szCs w:val="26"/>
        </w:rPr>
        <w:t xml:space="preserve">  </w:t>
      </w:r>
      <w:r w:rsidR="008439F3">
        <w:rPr>
          <w:sz w:val="26"/>
          <w:szCs w:val="26"/>
        </w:rPr>
        <w:t>The Complainant elaborated on this allegation by including an “Attachment #4” in which</w:t>
      </w:r>
      <w:r w:rsidR="00191366">
        <w:rPr>
          <w:sz w:val="26"/>
          <w:szCs w:val="26"/>
        </w:rPr>
        <w:t xml:space="preserve"> he</w:t>
      </w:r>
      <w:r w:rsidR="00C673F9">
        <w:rPr>
          <w:sz w:val="26"/>
          <w:szCs w:val="26"/>
        </w:rPr>
        <w:t xml:space="preserve"> alleged that PPL has failed to comply w</w:t>
      </w:r>
      <w:r w:rsidR="008439F3">
        <w:rPr>
          <w:sz w:val="26"/>
          <w:szCs w:val="26"/>
        </w:rPr>
        <w:t>ith the Commission’s virtual meter aggregation regulations</w:t>
      </w:r>
      <w:r w:rsidR="00C673F9">
        <w:rPr>
          <w:sz w:val="26"/>
          <w:szCs w:val="26"/>
        </w:rPr>
        <w:t xml:space="preserve"> on numerous occasions</w:t>
      </w:r>
      <w:r w:rsidR="008439F3">
        <w:rPr>
          <w:sz w:val="26"/>
          <w:szCs w:val="26"/>
        </w:rPr>
        <w:t xml:space="preserve">.  Additionally, the Complainant included “Attachment #5” in which he outlined his requested relief.  More specifically, the Complainant requested, </w:t>
      </w:r>
      <w:r w:rsidR="008439F3">
        <w:rPr>
          <w:i/>
          <w:sz w:val="26"/>
          <w:szCs w:val="26"/>
        </w:rPr>
        <w:t xml:space="preserve">inter alia, </w:t>
      </w:r>
      <w:r w:rsidR="008439F3">
        <w:rPr>
          <w:sz w:val="26"/>
          <w:szCs w:val="26"/>
        </w:rPr>
        <w:t>that the Commission issue a public reprimand of PPL for its misconduct and that the Commission take other actions to establish a “fresh start” between the Complainant and PPL.  Complaint at Attachment #4 and Attachment #5.</w:t>
      </w:r>
    </w:p>
    <w:p w14:paraId="7FF43E3B" w14:textId="5804668D" w:rsidR="008439F3" w:rsidRDefault="008439F3" w:rsidP="00A81DE8">
      <w:pPr>
        <w:widowControl/>
        <w:spacing w:line="360" w:lineRule="auto"/>
        <w:ind w:firstLine="1440"/>
        <w:contextualSpacing/>
        <w:rPr>
          <w:sz w:val="26"/>
          <w:szCs w:val="26"/>
        </w:rPr>
      </w:pPr>
    </w:p>
    <w:p w14:paraId="02FC4176" w14:textId="3A3C3EF8" w:rsidR="00BA16EE" w:rsidRDefault="0032718F" w:rsidP="00A81DE8">
      <w:pPr>
        <w:widowControl/>
        <w:spacing w:line="360" w:lineRule="auto"/>
        <w:ind w:firstLine="1440"/>
        <w:contextualSpacing/>
        <w:rPr>
          <w:sz w:val="26"/>
          <w:szCs w:val="26"/>
        </w:rPr>
      </w:pPr>
      <w:r>
        <w:rPr>
          <w:sz w:val="26"/>
          <w:szCs w:val="26"/>
        </w:rPr>
        <w:t xml:space="preserve">On November 24, 2015, PPL filed an Answer to the Complaint </w:t>
      </w:r>
      <w:r w:rsidR="00830B7E">
        <w:rPr>
          <w:sz w:val="26"/>
          <w:szCs w:val="26"/>
        </w:rPr>
        <w:t xml:space="preserve">(Answer) </w:t>
      </w:r>
      <w:r>
        <w:rPr>
          <w:sz w:val="26"/>
          <w:szCs w:val="26"/>
        </w:rPr>
        <w:t xml:space="preserve">and Preliminary Objections. </w:t>
      </w:r>
      <w:r w:rsidR="00830B7E">
        <w:rPr>
          <w:sz w:val="26"/>
          <w:szCs w:val="26"/>
        </w:rPr>
        <w:t xml:space="preserve"> In its Answer, PPL admitted or denied the various averments the Complainant raised in his Complaint.  </w:t>
      </w:r>
      <w:r w:rsidR="00FE1A30">
        <w:rPr>
          <w:sz w:val="26"/>
          <w:szCs w:val="26"/>
        </w:rPr>
        <w:t>In this regard</w:t>
      </w:r>
      <w:r w:rsidR="00830B7E">
        <w:rPr>
          <w:sz w:val="26"/>
          <w:szCs w:val="26"/>
        </w:rPr>
        <w:t xml:space="preserve">, PPL provided significant detail regarding two prior complaints filed by the Complainant that pertained to averments in the instant Complaint.  </w:t>
      </w:r>
      <w:r w:rsidR="00830B7E">
        <w:rPr>
          <w:i/>
          <w:sz w:val="26"/>
          <w:szCs w:val="26"/>
        </w:rPr>
        <w:t>See Jay Larry Moyer v. PPL Electric Utilities Corporation</w:t>
      </w:r>
      <w:r w:rsidR="00830B7E" w:rsidRPr="008E5B8E">
        <w:rPr>
          <w:iCs/>
          <w:sz w:val="26"/>
          <w:szCs w:val="26"/>
        </w:rPr>
        <w:t xml:space="preserve">, </w:t>
      </w:r>
      <w:r w:rsidR="00830B7E">
        <w:rPr>
          <w:sz w:val="26"/>
          <w:szCs w:val="26"/>
        </w:rPr>
        <w:t>Docket Nos. C-2011-2273646 and C-2014-2444864 (Order Entered May 19, 2016)</w:t>
      </w:r>
      <w:r w:rsidR="00244134">
        <w:rPr>
          <w:sz w:val="26"/>
          <w:szCs w:val="26"/>
        </w:rPr>
        <w:t xml:space="preserve"> (</w:t>
      </w:r>
      <w:r w:rsidR="00244134">
        <w:rPr>
          <w:i/>
          <w:sz w:val="26"/>
          <w:szCs w:val="26"/>
        </w:rPr>
        <w:t>May 2016 Order</w:t>
      </w:r>
      <w:r w:rsidR="00244134">
        <w:rPr>
          <w:sz w:val="26"/>
          <w:szCs w:val="26"/>
        </w:rPr>
        <w:t>)</w:t>
      </w:r>
      <w:r w:rsidR="00830B7E">
        <w:rPr>
          <w:sz w:val="26"/>
          <w:szCs w:val="26"/>
        </w:rPr>
        <w:t>.</w:t>
      </w:r>
      <w:r w:rsidR="00116265">
        <w:rPr>
          <w:sz w:val="26"/>
          <w:szCs w:val="26"/>
        </w:rPr>
        <w:t xml:space="preserve">  </w:t>
      </w:r>
      <w:r w:rsidR="00116265" w:rsidRPr="00116265">
        <w:rPr>
          <w:sz w:val="26"/>
          <w:szCs w:val="26"/>
        </w:rPr>
        <w:t xml:space="preserve">PPL also provided significant detail regarding virtual meter aggregation in response to what </w:t>
      </w:r>
      <w:r w:rsidR="00BA16EE">
        <w:rPr>
          <w:sz w:val="26"/>
          <w:szCs w:val="26"/>
        </w:rPr>
        <w:t>the Complainant</w:t>
      </w:r>
      <w:r w:rsidR="00116265" w:rsidRPr="00116265">
        <w:rPr>
          <w:sz w:val="26"/>
          <w:szCs w:val="26"/>
        </w:rPr>
        <w:t xml:space="preserve"> averred.</w:t>
      </w:r>
      <w:r w:rsidR="00706BE2">
        <w:rPr>
          <w:sz w:val="26"/>
          <w:szCs w:val="26"/>
        </w:rPr>
        <w:t xml:space="preserve"> </w:t>
      </w:r>
      <w:r w:rsidR="00116265" w:rsidRPr="00116265">
        <w:rPr>
          <w:sz w:val="26"/>
          <w:szCs w:val="26"/>
        </w:rPr>
        <w:t xml:space="preserve"> </w:t>
      </w:r>
      <w:r w:rsidR="00936AE7">
        <w:rPr>
          <w:sz w:val="26"/>
          <w:szCs w:val="26"/>
        </w:rPr>
        <w:t>In addition, PPL</w:t>
      </w:r>
      <w:r w:rsidR="00116265" w:rsidRPr="00116265">
        <w:rPr>
          <w:sz w:val="26"/>
          <w:szCs w:val="26"/>
        </w:rPr>
        <w:t xml:space="preserve"> </w:t>
      </w:r>
      <w:r w:rsidR="00FE73D7">
        <w:rPr>
          <w:sz w:val="26"/>
          <w:szCs w:val="26"/>
        </w:rPr>
        <w:t>responded to the Complainant’s request for relief by</w:t>
      </w:r>
      <w:r w:rsidR="00116265" w:rsidRPr="00116265">
        <w:rPr>
          <w:sz w:val="26"/>
          <w:szCs w:val="26"/>
        </w:rPr>
        <w:t xml:space="preserve"> noting the relationship of the relief requested to the two prior complaints he filed. </w:t>
      </w:r>
      <w:r w:rsidR="00BA16EE">
        <w:rPr>
          <w:sz w:val="26"/>
          <w:szCs w:val="26"/>
        </w:rPr>
        <w:t xml:space="preserve"> Accordingly, PPL requested that the Commission deny the instant Complaint</w:t>
      </w:r>
      <w:r w:rsidR="00116265" w:rsidRPr="00116265">
        <w:rPr>
          <w:sz w:val="26"/>
          <w:szCs w:val="26"/>
        </w:rPr>
        <w:t>.</w:t>
      </w:r>
      <w:r w:rsidR="00BA16EE">
        <w:rPr>
          <w:sz w:val="26"/>
          <w:szCs w:val="26"/>
        </w:rPr>
        <w:t xml:space="preserve">  Answer at 1-15.  In its Preliminary Objections, </w:t>
      </w:r>
      <w:r w:rsidR="00BA16EE">
        <w:rPr>
          <w:sz w:val="26"/>
          <w:szCs w:val="26"/>
        </w:rPr>
        <w:lastRenderedPageBreak/>
        <w:t xml:space="preserve">PPL raised three grounds for dismissal of </w:t>
      </w:r>
      <w:bookmarkStart w:id="0" w:name="_Hlk522885445"/>
      <w:r w:rsidR="00BA16EE">
        <w:rPr>
          <w:sz w:val="26"/>
          <w:szCs w:val="26"/>
        </w:rPr>
        <w:t xml:space="preserve">the Complaint </w:t>
      </w:r>
      <w:bookmarkEnd w:id="0"/>
      <w:r w:rsidR="00BA16EE">
        <w:rPr>
          <w:sz w:val="26"/>
          <w:szCs w:val="26"/>
        </w:rPr>
        <w:t xml:space="preserve">and reiterated its request that the Complaint be dismissed in its entirety.  </w:t>
      </w:r>
      <w:r w:rsidR="000A69CA">
        <w:rPr>
          <w:sz w:val="26"/>
          <w:szCs w:val="26"/>
        </w:rPr>
        <w:t xml:space="preserve">Additionally, </w:t>
      </w:r>
      <w:r w:rsidR="000A69CA" w:rsidRPr="000A69CA">
        <w:rPr>
          <w:sz w:val="26"/>
          <w:szCs w:val="26"/>
        </w:rPr>
        <w:t xml:space="preserve">PPL provided several attachments in support of </w:t>
      </w:r>
      <w:bookmarkStart w:id="1" w:name="_Hlk522885431"/>
      <w:r w:rsidR="000A69CA" w:rsidRPr="000A69CA">
        <w:rPr>
          <w:sz w:val="26"/>
          <w:szCs w:val="26"/>
        </w:rPr>
        <w:t xml:space="preserve">its </w:t>
      </w:r>
      <w:r w:rsidR="000A69CA">
        <w:rPr>
          <w:sz w:val="26"/>
          <w:szCs w:val="26"/>
        </w:rPr>
        <w:t>P</w:t>
      </w:r>
      <w:r w:rsidR="000A69CA" w:rsidRPr="000A69CA">
        <w:rPr>
          <w:sz w:val="26"/>
          <w:szCs w:val="26"/>
        </w:rPr>
        <w:t xml:space="preserve">reliminary </w:t>
      </w:r>
      <w:r w:rsidR="000A69CA">
        <w:rPr>
          <w:sz w:val="26"/>
          <w:szCs w:val="26"/>
        </w:rPr>
        <w:t>O</w:t>
      </w:r>
      <w:r w:rsidR="000A69CA" w:rsidRPr="000A69CA">
        <w:rPr>
          <w:sz w:val="26"/>
          <w:szCs w:val="26"/>
        </w:rPr>
        <w:t>bjections</w:t>
      </w:r>
      <w:bookmarkEnd w:id="1"/>
      <w:r w:rsidR="000A69CA" w:rsidRPr="000A69CA">
        <w:rPr>
          <w:sz w:val="26"/>
          <w:szCs w:val="26"/>
        </w:rPr>
        <w:t>.</w:t>
      </w:r>
      <w:r w:rsidR="00924471">
        <w:rPr>
          <w:sz w:val="26"/>
          <w:szCs w:val="26"/>
        </w:rPr>
        <w:t xml:space="preserve"> </w:t>
      </w:r>
      <w:r w:rsidR="000A69CA" w:rsidRPr="000A69CA">
        <w:rPr>
          <w:sz w:val="26"/>
          <w:szCs w:val="26"/>
        </w:rPr>
        <w:t xml:space="preserve"> </w:t>
      </w:r>
      <w:r w:rsidR="00BA16EE">
        <w:rPr>
          <w:sz w:val="26"/>
          <w:szCs w:val="26"/>
        </w:rPr>
        <w:t>Preliminary Objections at 8-16.</w:t>
      </w:r>
    </w:p>
    <w:p w14:paraId="7B4C2F78" w14:textId="34C6170A" w:rsidR="00BA16EE" w:rsidRDefault="00BA16EE" w:rsidP="00A81DE8">
      <w:pPr>
        <w:widowControl/>
        <w:spacing w:line="360" w:lineRule="auto"/>
        <w:ind w:firstLine="1440"/>
        <w:contextualSpacing/>
        <w:rPr>
          <w:sz w:val="26"/>
          <w:szCs w:val="26"/>
        </w:rPr>
      </w:pPr>
    </w:p>
    <w:p w14:paraId="2E6EABA2" w14:textId="7C8C7922" w:rsidR="00BA16EE" w:rsidRPr="00830B7E" w:rsidRDefault="000A69CA" w:rsidP="00A81DE8">
      <w:pPr>
        <w:widowControl/>
        <w:spacing w:line="360" w:lineRule="auto"/>
        <w:ind w:firstLine="1440"/>
        <w:contextualSpacing/>
        <w:rPr>
          <w:sz w:val="26"/>
          <w:szCs w:val="26"/>
        </w:rPr>
      </w:pPr>
      <w:r w:rsidRPr="000A69CA">
        <w:rPr>
          <w:sz w:val="26"/>
          <w:szCs w:val="26"/>
        </w:rPr>
        <w:t xml:space="preserve">On December 22, 2015, PPL filed a motion to stay discovery during the pendency of its </w:t>
      </w:r>
      <w:r>
        <w:rPr>
          <w:sz w:val="26"/>
          <w:szCs w:val="26"/>
        </w:rPr>
        <w:t>P</w:t>
      </w:r>
      <w:r w:rsidRPr="000A69CA">
        <w:rPr>
          <w:sz w:val="26"/>
          <w:szCs w:val="26"/>
        </w:rPr>
        <w:t xml:space="preserve">reliminary </w:t>
      </w:r>
      <w:r>
        <w:rPr>
          <w:sz w:val="26"/>
          <w:szCs w:val="26"/>
        </w:rPr>
        <w:t>O</w:t>
      </w:r>
      <w:r w:rsidRPr="000A69CA">
        <w:rPr>
          <w:sz w:val="26"/>
          <w:szCs w:val="26"/>
        </w:rPr>
        <w:t xml:space="preserve">bjections. </w:t>
      </w:r>
      <w:r w:rsidR="00924471">
        <w:rPr>
          <w:sz w:val="26"/>
          <w:szCs w:val="26"/>
        </w:rPr>
        <w:t xml:space="preserve"> </w:t>
      </w:r>
      <w:r w:rsidRPr="000A69CA">
        <w:rPr>
          <w:sz w:val="26"/>
          <w:szCs w:val="26"/>
        </w:rPr>
        <w:t>On December 23, 2015, the Complain</w:t>
      </w:r>
      <w:r w:rsidR="00924471">
        <w:rPr>
          <w:sz w:val="26"/>
          <w:szCs w:val="26"/>
        </w:rPr>
        <w:t>an</w:t>
      </w:r>
      <w:r w:rsidRPr="000A69CA">
        <w:rPr>
          <w:sz w:val="26"/>
          <w:szCs w:val="26"/>
        </w:rPr>
        <w:t>t filed a response to PPL’s motion to stay the discovery.</w:t>
      </w:r>
    </w:p>
    <w:p w14:paraId="2FFA810B" w14:textId="394C2892" w:rsidR="00036104" w:rsidRDefault="00036104" w:rsidP="00A81DE8">
      <w:pPr>
        <w:widowControl/>
        <w:spacing w:line="360" w:lineRule="auto"/>
        <w:ind w:firstLine="1440"/>
        <w:contextualSpacing/>
        <w:rPr>
          <w:sz w:val="26"/>
          <w:szCs w:val="26"/>
        </w:rPr>
      </w:pPr>
    </w:p>
    <w:p w14:paraId="39BD4833" w14:textId="13B4C04A" w:rsidR="00062665" w:rsidRDefault="00062665" w:rsidP="00A81DE8">
      <w:pPr>
        <w:widowControl/>
        <w:spacing w:line="360" w:lineRule="auto"/>
        <w:ind w:firstLine="1440"/>
        <w:contextualSpacing/>
        <w:rPr>
          <w:sz w:val="26"/>
          <w:szCs w:val="26"/>
        </w:rPr>
      </w:pPr>
      <w:r w:rsidRPr="00062665">
        <w:rPr>
          <w:sz w:val="26"/>
          <w:szCs w:val="26"/>
        </w:rPr>
        <w:t xml:space="preserve">By order dated January 13, 2016, ALJ </w:t>
      </w:r>
      <w:r>
        <w:rPr>
          <w:sz w:val="26"/>
          <w:szCs w:val="26"/>
        </w:rPr>
        <w:t xml:space="preserve">Dennis J. </w:t>
      </w:r>
      <w:r w:rsidRPr="00062665">
        <w:rPr>
          <w:sz w:val="26"/>
          <w:szCs w:val="26"/>
        </w:rPr>
        <w:t>Buckley granted PPL’s motion to stay discovery.</w:t>
      </w:r>
    </w:p>
    <w:p w14:paraId="7017FDF0" w14:textId="184193CD" w:rsidR="00244134" w:rsidRDefault="00244134" w:rsidP="00A81DE8">
      <w:pPr>
        <w:widowControl/>
        <w:spacing w:line="360" w:lineRule="auto"/>
        <w:ind w:firstLine="1440"/>
        <w:contextualSpacing/>
        <w:rPr>
          <w:sz w:val="26"/>
          <w:szCs w:val="26"/>
        </w:rPr>
      </w:pPr>
    </w:p>
    <w:p w14:paraId="26CFECCD" w14:textId="769B8FA6" w:rsidR="00062665" w:rsidRDefault="00062665" w:rsidP="00A81DE8">
      <w:pPr>
        <w:widowControl/>
        <w:spacing w:line="360" w:lineRule="auto"/>
        <w:ind w:firstLine="1440"/>
        <w:contextualSpacing/>
        <w:rPr>
          <w:sz w:val="26"/>
          <w:szCs w:val="26"/>
        </w:rPr>
      </w:pPr>
      <w:r>
        <w:rPr>
          <w:sz w:val="26"/>
          <w:szCs w:val="26"/>
        </w:rPr>
        <w:t xml:space="preserve">On May 19, 2016, we entered our </w:t>
      </w:r>
      <w:r>
        <w:rPr>
          <w:i/>
          <w:sz w:val="26"/>
          <w:szCs w:val="26"/>
        </w:rPr>
        <w:t xml:space="preserve">May 2016 Order </w:t>
      </w:r>
      <w:r>
        <w:rPr>
          <w:sz w:val="26"/>
          <w:szCs w:val="26"/>
        </w:rPr>
        <w:t>disposing of the Complainant</w:t>
      </w:r>
      <w:r w:rsidR="00111AC7">
        <w:rPr>
          <w:sz w:val="26"/>
          <w:szCs w:val="26"/>
        </w:rPr>
        <w:t>’</w:t>
      </w:r>
      <w:r>
        <w:rPr>
          <w:sz w:val="26"/>
          <w:szCs w:val="26"/>
        </w:rPr>
        <w:t>s two prior complaints.</w:t>
      </w:r>
    </w:p>
    <w:p w14:paraId="166FE550" w14:textId="5DBCF6D1" w:rsidR="00062665" w:rsidRDefault="00062665" w:rsidP="00A81DE8">
      <w:pPr>
        <w:widowControl/>
        <w:spacing w:line="360" w:lineRule="auto"/>
        <w:ind w:firstLine="1440"/>
        <w:contextualSpacing/>
        <w:rPr>
          <w:sz w:val="26"/>
          <w:szCs w:val="26"/>
        </w:rPr>
      </w:pPr>
    </w:p>
    <w:p w14:paraId="340BC958" w14:textId="2DDA6E02" w:rsidR="00062665" w:rsidRDefault="00062665" w:rsidP="00A81DE8">
      <w:pPr>
        <w:widowControl/>
        <w:spacing w:line="360" w:lineRule="auto"/>
        <w:ind w:firstLine="1440"/>
        <w:contextualSpacing/>
        <w:rPr>
          <w:sz w:val="26"/>
          <w:szCs w:val="26"/>
        </w:rPr>
      </w:pPr>
      <w:r w:rsidRPr="00062665">
        <w:rPr>
          <w:sz w:val="26"/>
          <w:szCs w:val="26"/>
        </w:rPr>
        <w:t xml:space="preserve">On February 1, 2017, </w:t>
      </w:r>
      <w:r>
        <w:rPr>
          <w:sz w:val="26"/>
          <w:szCs w:val="26"/>
        </w:rPr>
        <w:t>the Complainant</w:t>
      </w:r>
      <w:r w:rsidRPr="00062665">
        <w:rPr>
          <w:sz w:val="26"/>
          <w:szCs w:val="26"/>
        </w:rPr>
        <w:t xml:space="preserve"> filed with the Pennsylvania Commonwealth Court an application for relief in the form of a motion to request further proceedings.</w:t>
      </w:r>
      <w:r>
        <w:rPr>
          <w:sz w:val="26"/>
          <w:szCs w:val="26"/>
        </w:rPr>
        <w:t xml:space="preserve"> </w:t>
      </w:r>
      <w:r w:rsidRPr="00062665">
        <w:rPr>
          <w:sz w:val="26"/>
          <w:szCs w:val="26"/>
        </w:rPr>
        <w:t xml:space="preserve"> In that motion, </w:t>
      </w:r>
      <w:r>
        <w:rPr>
          <w:sz w:val="26"/>
          <w:szCs w:val="26"/>
        </w:rPr>
        <w:t>the Complainant</w:t>
      </w:r>
      <w:r w:rsidRPr="00062665">
        <w:rPr>
          <w:sz w:val="26"/>
          <w:szCs w:val="26"/>
        </w:rPr>
        <w:t xml:space="preserve"> raised concerns regarding the scope of the Commission’s authority and the ramifications of the Commission’s actions with regard to PPL’s approval of </w:t>
      </w:r>
      <w:r>
        <w:rPr>
          <w:sz w:val="26"/>
          <w:szCs w:val="26"/>
        </w:rPr>
        <w:t>the Complainant’s</w:t>
      </w:r>
      <w:r w:rsidRPr="00062665">
        <w:rPr>
          <w:sz w:val="26"/>
          <w:szCs w:val="26"/>
        </w:rPr>
        <w:t xml:space="preserve"> photovoltaic renewable energy system. </w:t>
      </w:r>
      <w:r>
        <w:rPr>
          <w:sz w:val="26"/>
          <w:szCs w:val="26"/>
        </w:rPr>
        <w:t xml:space="preserve"> The Complainant</w:t>
      </w:r>
      <w:r w:rsidRPr="00062665">
        <w:rPr>
          <w:sz w:val="26"/>
          <w:szCs w:val="26"/>
        </w:rPr>
        <w:t xml:space="preserve"> raised six issues with the Commonwealth Court and requested that the Commonwealth Court order the Commission to hold further hearings where he can present issues not previously adjudicated.</w:t>
      </w:r>
    </w:p>
    <w:p w14:paraId="046A6815" w14:textId="77777777" w:rsidR="00062665" w:rsidRPr="00062665" w:rsidRDefault="00062665" w:rsidP="00A81DE8">
      <w:pPr>
        <w:widowControl/>
        <w:spacing w:line="360" w:lineRule="auto"/>
        <w:ind w:firstLine="1440"/>
        <w:contextualSpacing/>
        <w:rPr>
          <w:sz w:val="26"/>
          <w:szCs w:val="26"/>
        </w:rPr>
      </w:pPr>
    </w:p>
    <w:p w14:paraId="43380CEF" w14:textId="3519DDE6" w:rsidR="00062665" w:rsidRDefault="00062665" w:rsidP="00A81DE8">
      <w:pPr>
        <w:widowControl/>
        <w:spacing w:line="360" w:lineRule="auto"/>
        <w:ind w:firstLine="1440"/>
        <w:contextualSpacing/>
        <w:rPr>
          <w:sz w:val="26"/>
          <w:szCs w:val="26"/>
        </w:rPr>
      </w:pPr>
      <w:r w:rsidRPr="00062665">
        <w:rPr>
          <w:sz w:val="26"/>
          <w:szCs w:val="26"/>
        </w:rPr>
        <w:t xml:space="preserve">On February 10, 2017, PPL filed a motion to stay the instant proceeding pending the disposition of </w:t>
      </w:r>
      <w:r>
        <w:rPr>
          <w:sz w:val="26"/>
          <w:szCs w:val="26"/>
        </w:rPr>
        <w:t>the Complainant’s</w:t>
      </w:r>
      <w:r w:rsidRPr="00062665">
        <w:rPr>
          <w:sz w:val="26"/>
          <w:szCs w:val="26"/>
        </w:rPr>
        <w:t xml:space="preserve"> appeal to the Commonwealth Court.</w:t>
      </w:r>
    </w:p>
    <w:p w14:paraId="65C4585A" w14:textId="77777777" w:rsidR="00062665" w:rsidRPr="00062665" w:rsidRDefault="00062665" w:rsidP="00A81DE8">
      <w:pPr>
        <w:widowControl/>
        <w:spacing w:line="360" w:lineRule="auto"/>
        <w:ind w:firstLine="1440"/>
        <w:contextualSpacing/>
        <w:rPr>
          <w:sz w:val="26"/>
          <w:szCs w:val="26"/>
        </w:rPr>
      </w:pPr>
    </w:p>
    <w:p w14:paraId="35559814" w14:textId="4F6DB36C" w:rsidR="00062665" w:rsidRPr="00062665" w:rsidRDefault="00062665" w:rsidP="00A81DE8">
      <w:pPr>
        <w:widowControl/>
        <w:spacing w:line="360" w:lineRule="auto"/>
        <w:ind w:firstLine="1440"/>
        <w:contextualSpacing/>
        <w:rPr>
          <w:sz w:val="26"/>
          <w:szCs w:val="26"/>
        </w:rPr>
      </w:pPr>
      <w:r w:rsidRPr="00062665">
        <w:rPr>
          <w:sz w:val="26"/>
          <w:szCs w:val="26"/>
        </w:rPr>
        <w:t xml:space="preserve">On March 13, 2017, the Commonwealth Court, </w:t>
      </w:r>
      <w:r>
        <w:rPr>
          <w:i/>
          <w:sz w:val="26"/>
          <w:szCs w:val="26"/>
        </w:rPr>
        <w:t>inter alia</w:t>
      </w:r>
      <w:r w:rsidRPr="00062665">
        <w:rPr>
          <w:sz w:val="26"/>
          <w:szCs w:val="26"/>
        </w:rPr>
        <w:t xml:space="preserve">, denied </w:t>
      </w:r>
      <w:r>
        <w:rPr>
          <w:sz w:val="26"/>
          <w:szCs w:val="26"/>
        </w:rPr>
        <w:t>the Complainant</w:t>
      </w:r>
      <w:r w:rsidRPr="00062665">
        <w:rPr>
          <w:sz w:val="26"/>
          <w:szCs w:val="26"/>
        </w:rPr>
        <w:t>’s appeal.</w:t>
      </w:r>
    </w:p>
    <w:p w14:paraId="0131664B" w14:textId="434725D1" w:rsidR="0048243E" w:rsidRDefault="0048243E" w:rsidP="00A81DE8">
      <w:pPr>
        <w:widowControl/>
        <w:spacing w:line="360" w:lineRule="auto"/>
        <w:ind w:firstLine="1440"/>
        <w:contextualSpacing/>
        <w:rPr>
          <w:sz w:val="26"/>
          <w:szCs w:val="26"/>
        </w:rPr>
      </w:pPr>
    </w:p>
    <w:p w14:paraId="42B81412" w14:textId="3C629A78" w:rsidR="0048243E" w:rsidRPr="0048243E" w:rsidRDefault="0048243E" w:rsidP="00A81DE8">
      <w:pPr>
        <w:widowControl/>
        <w:spacing w:line="360" w:lineRule="auto"/>
        <w:ind w:firstLine="1440"/>
        <w:contextualSpacing/>
        <w:rPr>
          <w:sz w:val="26"/>
          <w:szCs w:val="26"/>
        </w:rPr>
      </w:pPr>
      <w:r w:rsidRPr="0048243E">
        <w:rPr>
          <w:sz w:val="26"/>
          <w:szCs w:val="26"/>
        </w:rPr>
        <w:lastRenderedPageBreak/>
        <w:t>On May 22, 2017, PPL filed a Motion for Summary Judgment (Motion). In its Motion, which was accompanied by a notice to plead, PPL raised four arguments</w:t>
      </w:r>
      <w:r w:rsidR="00FD24BD">
        <w:rPr>
          <w:sz w:val="26"/>
          <w:szCs w:val="26"/>
        </w:rPr>
        <w:t xml:space="preserve"> for </w:t>
      </w:r>
      <w:r w:rsidRPr="0048243E">
        <w:rPr>
          <w:sz w:val="26"/>
          <w:szCs w:val="26"/>
        </w:rPr>
        <w:t xml:space="preserve">why the Complaint should be dismissed. </w:t>
      </w:r>
      <w:r w:rsidR="0007547B">
        <w:rPr>
          <w:sz w:val="26"/>
          <w:szCs w:val="26"/>
        </w:rPr>
        <w:t xml:space="preserve"> </w:t>
      </w:r>
      <w:r w:rsidRPr="0048243E">
        <w:rPr>
          <w:sz w:val="26"/>
          <w:szCs w:val="26"/>
        </w:rPr>
        <w:t xml:space="preserve">First, PPL argued that the virtual meter aggregation program and billing process allegations are barred by the doctrines of </w:t>
      </w:r>
      <w:r w:rsidRPr="0048243E">
        <w:rPr>
          <w:i/>
          <w:iCs/>
          <w:sz w:val="26"/>
          <w:szCs w:val="26"/>
        </w:rPr>
        <w:t>res judicata</w:t>
      </w:r>
      <w:r w:rsidRPr="0048243E">
        <w:rPr>
          <w:sz w:val="26"/>
          <w:szCs w:val="26"/>
        </w:rPr>
        <w:t xml:space="preserve"> and </w:t>
      </w:r>
      <w:r w:rsidRPr="0048243E">
        <w:rPr>
          <w:i/>
          <w:iCs/>
          <w:sz w:val="26"/>
          <w:szCs w:val="26"/>
        </w:rPr>
        <w:t>collateral estoppel</w:t>
      </w:r>
      <w:r w:rsidRPr="0048243E">
        <w:rPr>
          <w:sz w:val="26"/>
          <w:szCs w:val="26"/>
        </w:rPr>
        <w:t xml:space="preserve">.  PPL next argued that the Complainant’s allegations in his Complaint regarding the amount to be credited to his account are moot.  </w:t>
      </w:r>
      <w:r w:rsidR="006E40CE">
        <w:rPr>
          <w:sz w:val="26"/>
          <w:szCs w:val="26"/>
        </w:rPr>
        <w:t>Additionally, PPL submitted</w:t>
      </w:r>
      <w:r w:rsidRPr="0048243E">
        <w:rPr>
          <w:sz w:val="26"/>
          <w:szCs w:val="26"/>
        </w:rPr>
        <w:t xml:space="preserve"> that the Complainant’s allegations regarding </w:t>
      </w:r>
      <w:r w:rsidRPr="0048243E">
        <w:rPr>
          <w:i/>
          <w:iCs/>
          <w:sz w:val="26"/>
          <w:szCs w:val="26"/>
        </w:rPr>
        <w:t>ex parte</w:t>
      </w:r>
      <w:r w:rsidRPr="0048243E">
        <w:rPr>
          <w:sz w:val="26"/>
          <w:szCs w:val="26"/>
        </w:rPr>
        <w:t xml:space="preserve"> communications and improper termination notices failed to state a claim upon which relief may be granted. </w:t>
      </w:r>
      <w:r w:rsidR="006E40CE">
        <w:rPr>
          <w:sz w:val="26"/>
          <w:szCs w:val="26"/>
        </w:rPr>
        <w:t xml:space="preserve"> </w:t>
      </w:r>
      <w:r w:rsidRPr="0048243E">
        <w:rPr>
          <w:sz w:val="26"/>
          <w:szCs w:val="26"/>
        </w:rPr>
        <w:t>PPL concluded its motion by requesting that the motion be granted and that the Compla</w:t>
      </w:r>
      <w:r w:rsidR="004B0D1D">
        <w:rPr>
          <w:sz w:val="26"/>
          <w:szCs w:val="26"/>
        </w:rPr>
        <w:t>i</w:t>
      </w:r>
      <w:r w:rsidRPr="0048243E">
        <w:rPr>
          <w:sz w:val="26"/>
          <w:szCs w:val="26"/>
        </w:rPr>
        <w:t>nt be dismissed in its entirety, with prejudice.</w:t>
      </w:r>
    </w:p>
    <w:p w14:paraId="2AE6D0C1" w14:textId="77777777" w:rsidR="0048243E" w:rsidRPr="0048243E" w:rsidRDefault="0048243E" w:rsidP="00A81DE8">
      <w:pPr>
        <w:widowControl/>
        <w:spacing w:line="360" w:lineRule="auto"/>
        <w:ind w:firstLine="1440"/>
        <w:contextualSpacing/>
        <w:rPr>
          <w:sz w:val="26"/>
          <w:szCs w:val="26"/>
        </w:rPr>
      </w:pPr>
    </w:p>
    <w:p w14:paraId="73E34A43" w14:textId="156FE5C0" w:rsidR="0048243E" w:rsidRPr="0048243E" w:rsidRDefault="0048243E" w:rsidP="00A81DE8">
      <w:pPr>
        <w:widowControl/>
        <w:spacing w:line="360" w:lineRule="auto"/>
        <w:ind w:firstLine="1440"/>
        <w:contextualSpacing/>
        <w:rPr>
          <w:sz w:val="26"/>
          <w:szCs w:val="26"/>
        </w:rPr>
      </w:pPr>
      <w:r w:rsidRPr="0048243E">
        <w:rPr>
          <w:sz w:val="26"/>
          <w:szCs w:val="26"/>
        </w:rPr>
        <w:t>On July</w:t>
      </w:r>
      <w:r w:rsidR="00467F05">
        <w:rPr>
          <w:sz w:val="26"/>
          <w:szCs w:val="26"/>
        </w:rPr>
        <w:t xml:space="preserve"> </w:t>
      </w:r>
      <w:r w:rsidR="006B1DB7">
        <w:rPr>
          <w:sz w:val="26"/>
          <w:szCs w:val="26"/>
        </w:rPr>
        <w:t>31</w:t>
      </w:r>
      <w:r w:rsidRPr="0048243E">
        <w:rPr>
          <w:sz w:val="26"/>
          <w:szCs w:val="26"/>
        </w:rPr>
        <w:t xml:space="preserve">, 2017, the Complainant filed a document with six attachments wherein he raised “three new violations in PPL’s treatment of my two PPL accounts which are part of virtual meter aggregation.” </w:t>
      </w:r>
      <w:r w:rsidR="0007547B">
        <w:rPr>
          <w:sz w:val="26"/>
          <w:szCs w:val="26"/>
        </w:rPr>
        <w:t xml:space="preserve"> </w:t>
      </w:r>
      <w:r w:rsidRPr="0048243E">
        <w:rPr>
          <w:sz w:val="26"/>
          <w:szCs w:val="26"/>
        </w:rPr>
        <w:t xml:space="preserve">The Complainant explained that these recent incidents are continuing evidence of the ongoing disarray of PPL’s methodology for virtual meter aggregation which involves manual procedures PPL applies only to virtual meter aggregation. </w:t>
      </w:r>
      <w:r w:rsidR="0053100B">
        <w:rPr>
          <w:sz w:val="26"/>
          <w:szCs w:val="26"/>
        </w:rPr>
        <w:t xml:space="preserve"> </w:t>
      </w:r>
      <w:r w:rsidRPr="0048243E">
        <w:rPr>
          <w:sz w:val="26"/>
          <w:szCs w:val="26"/>
        </w:rPr>
        <w:t>The attachments the Complainant provided include reporting data, monthly bills, a termination notice and two pieces of correspondence.</w:t>
      </w:r>
      <w:r w:rsidR="0053100B">
        <w:rPr>
          <w:sz w:val="26"/>
          <w:szCs w:val="26"/>
        </w:rPr>
        <w:t xml:space="preserve"> </w:t>
      </w:r>
      <w:r w:rsidRPr="0048243E">
        <w:rPr>
          <w:sz w:val="26"/>
          <w:szCs w:val="26"/>
        </w:rPr>
        <w:t xml:space="preserve"> It is unclear whether this filing was in response to PPL’s motion.</w:t>
      </w:r>
      <w:r w:rsidR="0053100B">
        <w:rPr>
          <w:sz w:val="26"/>
          <w:szCs w:val="26"/>
        </w:rPr>
        <w:t xml:space="preserve"> </w:t>
      </w:r>
      <w:r w:rsidRPr="0048243E">
        <w:rPr>
          <w:sz w:val="26"/>
          <w:szCs w:val="26"/>
        </w:rPr>
        <w:t xml:space="preserve"> However, given that the Complainant is </w:t>
      </w:r>
      <w:r w:rsidRPr="0048243E">
        <w:rPr>
          <w:i/>
          <w:iCs/>
          <w:sz w:val="26"/>
          <w:szCs w:val="26"/>
        </w:rPr>
        <w:t>pro se</w:t>
      </w:r>
      <w:r w:rsidRPr="0048243E">
        <w:rPr>
          <w:sz w:val="26"/>
          <w:szCs w:val="26"/>
        </w:rPr>
        <w:t>, and that the Commission’s regulations allow for the liberal construction of its rules to “secure the just, speedy and inexpensive determination of every action or proceeding,” 52 Pa.</w:t>
      </w:r>
      <w:r w:rsidR="00A56565">
        <w:rPr>
          <w:sz w:val="26"/>
          <w:szCs w:val="26"/>
        </w:rPr>
        <w:t xml:space="preserve"> </w:t>
      </w:r>
      <w:r w:rsidRPr="0048243E">
        <w:rPr>
          <w:sz w:val="26"/>
          <w:szCs w:val="26"/>
        </w:rPr>
        <w:t xml:space="preserve">Code § 1.2(a), the Complainant’s July </w:t>
      </w:r>
      <w:r w:rsidR="006B1DB7">
        <w:rPr>
          <w:sz w:val="26"/>
          <w:szCs w:val="26"/>
        </w:rPr>
        <w:t>31</w:t>
      </w:r>
      <w:r w:rsidRPr="0048243E">
        <w:rPr>
          <w:sz w:val="26"/>
          <w:szCs w:val="26"/>
        </w:rPr>
        <w:t xml:space="preserve">, 2017 filing was treated as his answer to PPL’s </w:t>
      </w:r>
      <w:r w:rsidR="00B77662">
        <w:rPr>
          <w:sz w:val="26"/>
          <w:szCs w:val="26"/>
        </w:rPr>
        <w:t>M</w:t>
      </w:r>
      <w:r w:rsidRPr="0048243E">
        <w:rPr>
          <w:sz w:val="26"/>
          <w:szCs w:val="26"/>
        </w:rPr>
        <w:t>otion.</w:t>
      </w:r>
    </w:p>
    <w:p w14:paraId="1B829FC4" w14:textId="77777777" w:rsidR="0048243E" w:rsidRDefault="0048243E" w:rsidP="00A81DE8">
      <w:pPr>
        <w:widowControl/>
        <w:spacing w:line="360" w:lineRule="auto"/>
        <w:ind w:firstLine="1440"/>
        <w:contextualSpacing/>
        <w:rPr>
          <w:sz w:val="26"/>
          <w:szCs w:val="26"/>
        </w:rPr>
      </w:pPr>
    </w:p>
    <w:p w14:paraId="45A563E4" w14:textId="7E3DA193" w:rsidR="00062665" w:rsidRDefault="00062665" w:rsidP="00A81DE8">
      <w:pPr>
        <w:widowControl/>
        <w:spacing w:line="360" w:lineRule="auto"/>
        <w:ind w:firstLine="1440"/>
        <w:contextualSpacing/>
        <w:rPr>
          <w:sz w:val="26"/>
          <w:szCs w:val="26"/>
        </w:rPr>
      </w:pPr>
      <w:r w:rsidRPr="00062665">
        <w:rPr>
          <w:sz w:val="26"/>
          <w:szCs w:val="26"/>
        </w:rPr>
        <w:t xml:space="preserve">On November 7, 2017, </w:t>
      </w:r>
      <w:r>
        <w:rPr>
          <w:sz w:val="26"/>
          <w:szCs w:val="26"/>
        </w:rPr>
        <w:t>the Complainant</w:t>
      </w:r>
      <w:r w:rsidRPr="00062665">
        <w:rPr>
          <w:sz w:val="26"/>
          <w:szCs w:val="26"/>
        </w:rPr>
        <w:t xml:space="preserve"> filed a second appeal to the Commonwealth Court alleging moribund inaction by the Commission with regard to his </w:t>
      </w:r>
      <w:r>
        <w:rPr>
          <w:sz w:val="26"/>
          <w:szCs w:val="26"/>
        </w:rPr>
        <w:t>C</w:t>
      </w:r>
      <w:r w:rsidRPr="00062665">
        <w:rPr>
          <w:sz w:val="26"/>
          <w:szCs w:val="26"/>
        </w:rPr>
        <w:t xml:space="preserve">omplaint. </w:t>
      </w:r>
      <w:r w:rsidR="009E38DC">
        <w:rPr>
          <w:sz w:val="26"/>
          <w:szCs w:val="26"/>
        </w:rPr>
        <w:t xml:space="preserve"> Subsequently, </w:t>
      </w:r>
      <w:r w:rsidR="00820C0A">
        <w:rPr>
          <w:sz w:val="26"/>
          <w:szCs w:val="26"/>
        </w:rPr>
        <w:t>we</w:t>
      </w:r>
      <w:r w:rsidR="009E38DC">
        <w:rPr>
          <w:sz w:val="26"/>
          <w:szCs w:val="26"/>
        </w:rPr>
        <w:t xml:space="preserve"> filed a Motion to Quash.</w:t>
      </w:r>
    </w:p>
    <w:p w14:paraId="7140A840" w14:textId="7B4FD8E1" w:rsidR="00062665" w:rsidRDefault="00062665" w:rsidP="00A81DE8">
      <w:pPr>
        <w:widowControl/>
        <w:spacing w:line="360" w:lineRule="auto"/>
        <w:ind w:firstLine="1440"/>
        <w:contextualSpacing/>
        <w:rPr>
          <w:sz w:val="26"/>
          <w:szCs w:val="26"/>
        </w:rPr>
      </w:pPr>
    </w:p>
    <w:p w14:paraId="4C21ECC6" w14:textId="340C2FB6" w:rsidR="00062665" w:rsidRDefault="00062665" w:rsidP="00A81DE8">
      <w:pPr>
        <w:widowControl/>
        <w:spacing w:line="360" w:lineRule="auto"/>
        <w:ind w:firstLine="1440"/>
        <w:contextualSpacing/>
        <w:rPr>
          <w:sz w:val="26"/>
          <w:szCs w:val="26"/>
        </w:rPr>
      </w:pPr>
      <w:r w:rsidRPr="00062665">
        <w:rPr>
          <w:sz w:val="26"/>
          <w:szCs w:val="26"/>
        </w:rPr>
        <w:lastRenderedPageBreak/>
        <w:t xml:space="preserve">On November 9, 2017, </w:t>
      </w:r>
      <w:r w:rsidR="00820C0A">
        <w:rPr>
          <w:sz w:val="26"/>
          <w:szCs w:val="26"/>
        </w:rPr>
        <w:t>we</w:t>
      </w:r>
      <w:r>
        <w:rPr>
          <w:sz w:val="26"/>
          <w:szCs w:val="26"/>
        </w:rPr>
        <w:t xml:space="preserve"> issued </w:t>
      </w:r>
      <w:r w:rsidRPr="00062665">
        <w:rPr>
          <w:sz w:val="26"/>
          <w:szCs w:val="26"/>
        </w:rPr>
        <w:t xml:space="preserve">a judge change notice indicating that the ALJ in this case had been changed from ALJ Buckley to </w:t>
      </w:r>
      <w:r>
        <w:rPr>
          <w:sz w:val="26"/>
          <w:szCs w:val="26"/>
        </w:rPr>
        <w:t>ALJ Cheskis.</w:t>
      </w:r>
    </w:p>
    <w:p w14:paraId="47895761" w14:textId="7AEA0E09" w:rsidR="0048243E" w:rsidRDefault="0048243E" w:rsidP="00A81DE8">
      <w:pPr>
        <w:widowControl/>
        <w:spacing w:line="360" w:lineRule="auto"/>
        <w:ind w:firstLine="1440"/>
        <w:contextualSpacing/>
        <w:rPr>
          <w:sz w:val="26"/>
          <w:szCs w:val="26"/>
        </w:rPr>
      </w:pPr>
    </w:p>
    <w:p w14:paraId="7F7CF2E0" w14:textId="54A2508A" w:rsidR="0048243E" w:rsidRPr="0048243E" w:rsidRDefault="0048243E" w:rsidP="00A81DE8">
      <w:pPr>
        <w:widowControl/>
        <w:spacing w:line="360" w:lineRule="auto"/>
        <w:ind w:firstLine="1440"/>
        <w:contextualSpacing/>
        <w:rPr>
          <w:sz w:val="26"/>
          <w:szCs w:val="26"/>
        </w:rPr>
      </w:pPr>
      <w:r w:rsidRPr="0048243E">
        <w:rPr>
          <w:sz w:val="26"/>
          <w:szCs w:val="26"/>
        </w:rPr>
        <w:t xml:space="preserve">On November 20, 2017, an order was issued granting, in part, and denying, in part, PPL’s Motion.  The Complainant’s averments regarding inappropriate </w:t>
      </w:r>
      <w:r w:rsidRPr="0048243E">
        <w:rPr>
          <w:i/>
          <w:iCs/>
          <w:sz w:val="26"/>
          <w:szCs w:val="26"/>
        </w:rPr>
        <w:t>ex parte</w:t>
      </w:r>
      <w:r w:rsidRPr="0048243E">
        <w:rPr>
          <w:sz w:val="26"/>
          <w:szCs w:val="26"/>
        </w:rPr>
        <w:t xml:space="preserve"> activities by the Commission or PPL were stricken from the Complaint. </w:t>
      </w:r>
      <w:r w:rsidR="003E24A3">
        <w:rPr>
          <w:sz w:val="26"/>
          <w:szCs w:val="26"/>
        </w:rPr>
        <w:t xml:space="preserve"> </w:t>
      </w:r>
      <w:r w:rsidRPr="0048243E">
        <w:rPr>
          <w:sz w:val="26"/>
          <w:szCs w:val="26"/>
        </w:rPr>
        <w:t xml:space="preserve">All other issues raised in the Complaint were permitted to </w:t>
      </w:r>
      <w:r w:rsidR="006B1DB7">
        <w:rPr>
          <w:sz w:val="26"/>
          <w:szCs w:val="26"/>
        </w:rPr>
        <w:t xml:space="preserve">proceed to </w:t>
      </w:r>
      <w:r w:rsidRPr="0048243E">
        <w:rPr>
          <w:sz w:val="26"/>
          <w:szCs w:val="26"/>
        </w:rPr>
        <w:t xml:space="preserve"> a hearing.</w:t>
      </w:r>
    </w:p>
    <w:p w14:paraId="2DC0652E" w14:textId="46689175" w:rsidR="00062665" w:rsidRDefault="00062665" w:rsidP="00A81DE8">
      <w:pPr>
        <w:widowControl/>
        <w:spacing w:line="360" w:lineRule="auto"/>
        <w:ind w:firstLine="1440"/>
        <w:contextualSpacing/>
        <w:rPr>
          <w:sz w:val="26"/>
          <w:szCs w:val="26"/>
        </w:rPr>
      </w:pPr>
    </w:p>
    <w:p w14:paraId="79CB0A2B" w14:textId="23DDC111" w:rsidR="009E38DC" w:rsidRDefault="009E38DC" w:rsidP="00A81DE8">
      <w:pPr>
        <w:widowControl/>
        <w:spacing w:line="360" w:lineRule="auto"/>
        <w:ind w:firstLine="1440"/>
        <w:contextualSpacing/>
        <w:rPr>
          <w:sz w:val="26"/>
          <w:szCs w:val="26"/>
        </w:rPr>
      </w:pPr>
      <w:r w:rsidRPr="009E38DC">
        <w:rPr>
          <w:sz w:val="26"/>
          <w:szCs w:val="26"/>
        </w:rPr>
        <w:t xml:space="preserve">On January 8, 2018, </w:t>
      </w:r>
      <w:r>
        <w:rPr>
          <w:sz w:val="26"/>
          <w:szCs w:val="26"/>
        </w:rPr>
        <w:t>a hearing was held</w:t>
      </w:r>
      <w:r w:rsidRPr="009E38DC">
        <w:rPr>
          <w:sz w:val="26"/>
          <w:szCs w:val="26"/>
        </w:rPr>
        <w:t xml:space="preserve">. </w:t>
      </w:r>
      <w:r>
        <w:rPr>
          <w:sz w:val="26"/>
          <w:szCs w:val="26"/>
        </w:rPr>
        <w:t xml:space="preserve"> The Complainant </w:t>
      </w:r>
      <w:r w:rsidRPr="009E38DC">
        <w:rPr>
          <w:sz w:val="26"/>
          <w:szCs w:val="26"/>
        </w:rPr>
        <w:t xml:space="preserve">appeared </w:t>
      </w:r>
      <w:r w:rsidRPr="009E38DC">
        <w:rPr>
          <w:i/>
          <w:sz w:val="26"/>
          <w:szCs w:val="26"/>
        </w:rPr>
        <w:t>pro se</w:t>
      </w:r>
      <w:r w:rsidRPr="009E38DC">
        <w:rPr>
          <w:sz w:val="26"/>
          <w:szCs w:val="26"/>
        </w:rPr>
        <w:t xml:space="preserve"> and presented two exhibits that were admitted into the record. </w:t>
      </w:r>
      <w:r>
        <w:rPr>
          <w:sz w:val="26"/>
          <w:szCs w:val="26"/>
        </w:rPr>
        <w:t xml:space="preserve"> PPL was represented by counsel,</w:t>
      </w:r>
      <w:r w:rsidRPr="009E38DC">
        <w:rPr>
          <w:sz w:val="26"/>
          <w:szCs w:val="26"/>
        </w:rPr>
        <w:t xml:space="preserve"> presented </w:t>
      </w:r>
      <w:r>
        <w:rPr>
          <w:sz w:val="26"/>
          <w:szCs w:val="26"/>
        </w:rPr>
        <w:t xml:space="preserve">the testimony of </w:t>
      </w:r>
      <w:r w:rsidRPr="009E38DC">
        <w:rPr>
          <w:sz w:val="26"/>
          <w:szCs w:val="26"/>
        </w:rPr>
        <w:t>two witnesses</w:t>
      </w:r>
      <w:r>
        <w:rPr>
          <w:sz w:val="26"/>
          <w:szCs w:val="26"/>
        </w:rPr>
        <w:t>, and proffered</w:t>
      </w:r>
      <w:r w:rsidRPr="009E38DC">
        <w:rPr>
          <w:sz w:val="26"/>
          <w:szCs w:val="26"/>
        </w:rPr>
        <w:t xml:space="preserve"> eight exhibits that were admitted into the record.</w:t>
      </w:r>
    </w:p>
    <w:p w14:paraId="50CF5766" w14:textId="77777777" w:rsidR="009E38DC" w:rsidRDefault="009E38DC" w:rsidP="00A81DE8">
      <w:pPr>
        <w:widowControl/>
        <w:spacing w:line="360" w:lineRule="auto"/>
        <w:ind w:firstLine="1440"/>
        <w:contextualSpacing/>
        <w:rPr>
          <w:sz w:val="26"/>
          <w:szCs w:val="26"/>
        </w:rPr>
      </w:pPr>
    </w:p>
    <w:p w14:paraId="34A10381" w14:textId="0A0B76D1" w:rsidR="00062665" w:rsidRDefault="009E38DC" w:rsidP="00A81DE8">
      <w:pPr>
        <w:widowControl/>
        <w:spacing w:line="360" w:lineRule="auto"/>
        <w:ind w:firstLine="1440"/>
        <w:contextualSpacing/>
        <w:rPr>
          <w:sz w:val="26"/>
          <w:szCs w:val="26"/>
        </w:rPr>
      </w:pPr>
      <w:r>
        <w:rPr>
          <w:sz w:val="26"/>
          <w:szCs w:val="26"/>
        </w:rPr>
        <w:t>O</w:t>
      </w:r>
      <w:r w:rsidRPr="009E38DC">
        <w:rPr>
          <w:sz w:val="26"/>
          <w:szCs w:val="26"/>
        </w:rPr>
        <w:t xml:space="preserve">n January 17, 2018, the Commonwealth Court issued an order granting the Commission’s motion to quash </w:t>
      </w:r>
      <w:r w:rsidR="00706BE2">
        <w:rPr>
          <w:sz w:val="26"/>
          <w:szCs w:val="26"/>
        </w:rPr>
        <w:t>the Complainant’s</w:t>
      </w:r>
      <w:r w:rsidRPr="009E38DC">
        <w:rPr>
          <w:sz w:val="26"/>
          <w:szCs w:val="26"/>
        </w:rPr>
        <w:t xml:space="preserve"> appeal filed on November 7, 2017.</w:t>
      </w:r>
    </w:p>
    <w:p w14:paraId="46A4E0A4" w14:textId="31B4DD80" w:rsidR="00062665" w:rsidRDefault="00062665" w:rsidP="00A81DE8">
      <w:pPr>
        <w:widowControl/>
        <w:spacing w:line="360" w:lineRule="auto"/>
        <w:ind w:firstLine="1440"/>
        <w:contextualSpacing/>
        <w:rPr>
          <w:sz w:val="26"/>
          <w:szCs w:val="26"/>
        </w:rPr>
      </w:pPr>
    </w:p>
    <w:p w14:paraId="02A24787" w14:textId="4AE71589" w:rsidR="009E38DC" w:rsidRDefault="000B63BA" w:rsidP="00A81DE8">
      <w:pPr>
        <w:widowControl/>
        <w:spacing w:line="360" w:lineRule="auto"/>
        <w:ind w:firstLine="1440"/>
        <w:contextualSpacing/>
        <w:rPr>
          <w:sz w:val="26"/>
          <w:szCs w:val="26"/>
        </w:rPr>
      </w:pPr>
      <w:r>
        <w:rPr>
          <w:sz w:val="26"/>
          <w:szCs w:val="26"/>
        </w:rPr>
        <w:t>On April 25, 2018, we issued the Initial Decision of ALJ Cheskis in which he dismissed the Complaint.</w:t>
      </w:r>
    </w:p>
    <w:p w14:paraId="7C2A135B" w14:textId="75358C0E" w:rsidR="000B63BA" w:rsidRDefault="000B63BA" w:rsidP="00A81DE8">
      <w:pPr>
        <w:widowControl/>
        <w:spacing w:line="360" w:lineRule="auto"/>
        <w:ind w:firstLine="1440"/>
        <w:contextualSpacing/>
        <w:rPr>
          <w:sz w:val="26"/>
          <w:szCs w:val="26"/>
        </w:rPr>
      </w:pPr>
    </w:p>
    <w:p w14:paraId="224AFAFC" w14:textId="5ECB3DA4" w:rsidR="000B63BA" w:rsidRDefault="006F55E4" w:rsidP="00A81DE8">
      <w:pPr>
        <w:widowControl/>
        <w:spacing w:line="360" w:lineRule="auto"/>
        <w:ind w:firstLine="1440"/>
        <w:contextualSpacing/>
        <w:rPr>
          <w:sz w:val="26"/>
          <w:szCs w:val="26"/>
        </w:rPr>
      </w:pPr>
      <w:r>
        <w:rPr>
          <w:sz w:val="26"/>
          <w:szCs w:val="26"/>
        </w:rPr>
        <w:t>As previously noted, the Complainant filed Exceptions on May 16, 2018 and PPL Filed Reply Exceptions on May 25, 2018.</w:t>
      </w:r>
    </w:p>
    <w:p w14:paraId="32347582" w14:textId="77777777" w:rsidR="009E38DC" w:rsidRPr="00570FA3" w:rsidRDefault="009E38DC" w:rsidP="00A81DE8">
      <w:pPr>
        <w:widowControl/>
        <w:spacing w:line="360" w:lineRule="auto"/>
        <w:ind w:firstLine="1440"/>
        <w:contextualSpacing/>
        <w:rPr>
          <w:sz w:val="26"/>
          <w:szCs w:val="26"/>
        </w:rPr>
      </w:pPr>
    </w:p>
    <w:p w14:paraId="3835533F" w14:textId="77777777" w:rsidR="00161FDF" w:rsidRPr="00570FA3" w:rsidRDefault="00FC1FD6" w:rsidP="00A81DE8">
      <w:pPr>
        <w:keepNext/>
        <w:keepLines/>
        <w:widowControl/>
        <w:spacing w:line="360" w:lineRule="auto"/>
        <w:contextualSpacing/>
        <w:jc w:val="center"/>
        <w:rPr>
          <w:b/>
          <w:sz w:val="26"/>
          <w:szCs w:val="26"/>
        </w:rPr>
      </w:pPr>
      <w:r>
        <w:rPr>
          <w:b/>
          <w:sz w:val="26"/>
          <w:szCs w:val="26"/>
        </w:rPr>
        <w:t>II.</w:t>
      </w:r>
      <w:r>
        <w:rPr>
          <w:b/>
          <w:sz w:val="26"/>
          <w:szCs w:val="26"/>
        </w:rPr>
        <w:tab/>
      </w:r>
      <w:r w:rsidR="00161FDF" w:rsidRPr="00570FA3">
        <w:rPr>
          <w:b/>
          <w:sz w:val="26"/>
          <w:szCs w:val="26"/>
        </w:rPr>
        <w:t>Discussion</w:t>
      </w:r>
    </w:p>
    <w:p w14:paraId="70C75FF7" w14:textId="77777777" w:rsidR="00161FDF" w:rsidRPr="00570FA3" w:rsidRDefault="00161FDF" w:rsidP="00A81DE8">
      <w:pPr>
        <w:keepNext/>
        <w:keepLines/>
        <w:widowControl/>
        <w:spacing w:line="360" w:lineRule="auto"/>
        <w:contextualSpacing/>
        <w:jc w:val="center"/>
        <w:rPr>
          <w:b/>
          <w:sz w:val="26"/>
          <w:szCs w:val="26"/>
        </w:rPr>
      </w:pPr>
    </w:p>
    <w:p w14:paraId="2BB97CE5" w14:textId="77777777" w:rsidR="00161FDF" w:rsidRPr="00570FA3" w:rsidRDefault="00FC1FD6" w:rsidP="00A81DE8">
      <w:pPr>
        <w:keepNext/>
        <w:keepLines/>
        <w:widowControl/>
        <w:spacing w:line="360" w:lineRule="auto"/>
        <w:ind w:firstLine="720"/>
        <w:contextualSpacing/>
        <w:rPr>
          <w:sz w:val="26"/>
          <w:szCs w:val="26"/>
        </w:rPr>
      </w:pPr>
      <w:r>
        <w:rPr>
          <w:b/>
          <w:sz w:val="26"/>
          <w:szCs w:val="26"/>
        </w:rPr>
        <w:t>A.</w:t>
      </w:r>
      <w:r>
        <w:rPr>
          <w:b/>
          <w:sz w:val="26"/>
          <w:szCs w:val="26"/>
        </w:rPr>
        <w:tab/>
      </w:r>
      <w:r w:rsidR="00161FDF" w:rsidRPr="00570FA3">
        <w:rPr>
          <w:b/>
          <w:sz w:val="26"/>
          <w:szCs w:val="26"/>
        </w:rPr>
        <w:t>Legal Standards</w:t>
      </w:r>
    </w:p>
    <w:p w14:paraId="05F921E8" w14:textId="77777777" w:rsidR="00161FDF" w:rsidRPr="00570FA3" w:rsidRDefault="00161FDF" w:rsidP="00A81DE8">
      <w:pPr>
        <w:keepNext/>
        <w:keepLines/>
        <w:widowControl/>
        <w:spacing w:line="360" w:lineRule="auto"/>
        <w:ind w:firstLine="1440"/>
        <w:contextualSpacing/>
        <w:rPr>
          <w:sz w:val="26"/>
          <w:szCs w:val="26"/>
        </w:rPr>
      </w:pPr>
    </w:p>
    <w:p w14:paraId="4196640C" w14:textId="77777777" w:rsidR="006E5E2D" w:rsidRPr="006E5E2D" w:rsidRDefault="006E5E2D" w:rsidP="00A81DE8">
      <w:pPr>
        <w:widowControl/>
        <w:spacing w:line="360" w:lineRule="auto"/>
        <w:ind w:firstLine="1440"/>
        <w:contextualSpacing/>
        <w:rPr>
          <w:sz w:val="26"/>
          <w:szCs w:val="26"/>
        </w:rPr>
      </w:pPr>
      <w:r w:rsidRPr="006E5E2D">
        <w:rPr>
          <w:sz w:val="26"/>
          <w:szCs w:val="26"/>
        </w:rPr>
        <w:t xml:space="preserve">As the proponent of a rule or order, the Complainant in this proceeding bears the burden of proof pursuant to Section 332(a) of the Pennsylvania Public Utility Code (Code).  66 Pa. C.S. § 332(a).  To establish a sufficient case and satisfy the burden </w:t>
      </w:r>
      <w:r w:rsidRPr="006E5E2D">
        <w:rPr>
          <w:sz w:val="26"/>
          <w:szCs w:val="26"/>
        </w:rPr>
        <w:lastRenderedPageBreak/>
        <w:t xml:space="preserve">of proof, the Complainant must show that PPL is responsible or accountable for the problem described in the Complaint.  </w:t>
      </w:r>
      <w:r w:rsidRPr="006E5E2D">
        <w:rPr>
          <w:i/>
          <w:sz w:val="26"/>
          <w:szCs w:val="26"/>
        </w:rPr>
        <w:t>Patterson v. The Bell Telephone Company of Pennsylvania</w:t>
      </w:r>
      <w:r w:rsidRPr="006E5E2D">
        <w:rPr>
          <w:sz w:val="26"/>
          <w:szCs w:val="26"/>
        </w:rPr>
        <w:t xml:space="preserve">, 72 Pa. P.U.C. 196 (1990).  Such a showing must be by a preponderance of the evidence.  </w:t>
      </w:r>
      <w:r w:rsidRPr="006E5E2D">
        <w:rPr>
          <w:i/>
          <w:iCs/>
          <w:sz w:val="26"/>
          <w:szCs w:val="26"/>
        </w:rPr>
        <w:t>Samuel J. Lansberry, Inc. v. Pa. PUC</w:t>
      </w:r>
      <w:r w:rsidRPr="006E5E2D">
        <w:rPr>
          <w:sz w:val="26"/>
          <w:szCs w:val="26"/>
        </w:rPr>
        <w:t xml:space="preserve">, 578 A.2d 600 (Pa. Cmwlth. 1990), </w:t>
      </w:r>
      <w:r w:rsidRPr="006E5E2D">
        <w:rPr>
          <w:i/>
          <w:sz w:val="26"/>
          <w:szCs w:val="26"/>
        </w:rPr>
        <w:t>alloc. denied</w:t>
      </w:r>
      <w:r w:rsidRPr="008E5B8E">
        <w:rPr>
          <w:iCs/>
          <w:sz w:val="26"/>
          <w:szCs w:val="26"/>
        </w:rPr>
        <w:t xml:space="preserve">, </w:t>
      </w:r>
      <w:r w:rsidRPr="006E5E2D">
        <w:rPr>
          <w:sz w:val="26"/>
          <w:szCs w:val="26"/>
        </w:rPr>
        <w:t xml:space="preserve">529 Pa. 654, 602 A.2d 863 (1992).  That is, the Complainant’s evidence must be more convincing, by even the smallest amount, than that presented by PPL.  </w:t>
      </w:r>
      <w:r w:rsidRPr="006E5E2D">
        <w:rPr>
          <w:i/>
          <w:sz w:val="26"/>
          <w:szCs w:val="26"/>
        </w:rPr>
        <w:t>Se-Ling Hosiery, Inc. v. Margulies</w:t>
      </w:r>
      <w:r w:rsidRPr="006E5E2D">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E5E2D">
        <w:rPr>
          <w:i/>
          <w:sz w:val="26"/>
          <w:szCs w:val="26"/>
        </w:rPr>
        <w:t>Norfolk &amp; Western Ry. Co. v. Pa. PUC</w:t>
      </w:r>
      <w:r w:rsidRPr="008E5B8E">
        <w:rPr>
          <w:iCs/>
          <w:sz w:val="26"/>
          <w:szCs w:val="26"/>
        </w:rPr>
        <w:t>,</w:t>
      </w:r>
      <w:r w:rsidRPr="006E5E2D">
        <w:rPr>
          <w:i/>
          <w:sz w:val="26"/>
          <w:szCs w:val="26"/>
        </w:rPr>
        <w:t xml:space="preserve"> </w:t>
      </w:r>
      <w:r w:rsidRPr="006E5E2D">
        <w:rPr>
          <w:sz w:val="26"/>
          <w:szCs w:val="26"/>
        </w:rPr>
        <w:t>489 Pa. 109, 413 A.2d 1037 (1980).</w:t>
      </w:r>
    </w:p>
    <w:p w14:paraId="418904FD" w14:textId="77777777" w:rsidR="006E5E2D" w:rsidRPr="006E5E2D" w:rsidRDefault="006E5E2D" w:rsidP="00A81DE8">
      <w:pPr>
        <w:widowControl/>
        <w:spacing w:line="360" w:lineRule="auto"/>
        <w:contextualSpacing/>
        <w:rPr>
          <w:sz w:val="26"/>
          <w:szCs w:val="26"/>
        </w:rPr>
      </w:pPr>
    </w:p>
    <w:p w14:paraId="40913594" w14:textId="77777777" w:rsidR="006E5E2D" w:rsidRPr="006E5E2D" w:rsidRDefault="006E5E2D" w:rsidP="00A81DE8">
      <w:pPr>
        <w:widowControl/>
        <w:spacing w:line="360" w:lineRule="auto"/>
        <w:ind w:firstLine="1440"/>
        <w:contextualSpacing/>
        <w:rPr>
          <w:i/>
          <w:sz w:val="26"/>
          <w:szCs w:val="26"/>
        </w:rPr>
      </w:pPr>
      <w:r w:rsidRPr="006E5E2D">
        <w:rPr>
          <w:sz w:val="26"/>
          <w:szCs w:val="26"/>
        </w:rPr>
        <w:t xml:space="preserve">Upon the presentation by the Complainant of evidence sufficient to initially satisfy the burden of proof, the burden of going forward with the evidence to rebut the evidence of the Complainant shifts to PPL.  If the evidence presented by PPL is of co-equal value or “weight,” the burden of proof has not been satisfied.  The Complainant now has to provide some additional evidence to rebut that of PPL. </w:t>
      </w:r>
      <w:r w:rsidRPr="006E5E2D">
        <w:rPr>
          <w:iCs/>
          <w:sz w:val="26"/>
          <w:szCs w:val="26"/>
        </w:rPr>
        <w:t xml:space="preserve"> </w:t>
      </w:r>
      <w:r w:rsidRPr="006E5E2D">
        <w:rPr>
          <w:i/>
          <w:iCs/>
          <w:sz w:val="26"/>
          <w:szCs w:val="26"/>
        </w:rPr>
        <w:t>Burleson v. Pa. PUC</w:t>
      </w:r>
      <w:r w:rsidRPr="008E5B8E">
        <w:rPr>
          <w:sz w:val="26"/>
          <w:szCs w:val="26"/>
        </w:rPr>
        <w:t>,</w:t>
      </w:r>
      <w:r w:rsidRPr="006E5E2D">
        <w:rPr>
          <w:iCs/>
          <w:sz w:val="26"/>
          <w:szCs w:val="26"/>
        </w:rPr>
        <w:t xml:space="preserve"> 443 A.2d 1373 (Pa. Cmwlth. 1982), </w:t>
      </w:r>
      <w:r w:rsidRPr="006E5E2D">
        <w:rPr>
          <w:i/>
          <w:iCs/>
          <w:sz w:val="26"/>
          <w:szCs w:val="26"/>
        </w:rPr>
        <w:t>aff’d</w:t>
      </w:r>
      <w:r w:rsidRPr="008E5B8E">
        <w:rPr>
          <w:sz w:val="26"/>
          <w:szCs w:val="26"/>
        </w:rPr>
        <w:t xml:space="preserve">, </w:t>
      </w:r>
      <w:r w:rsidRPr="006E5E2D">
        <w:rPr>
          <w:iCs/>
          <w:sz w:val="26"/>
          <w:szCs w:val="26"/>
        </w:rPr>
        <w:t>501 Pa. 433, 461 A.2d 1234 (1983).</w:t>
      </w:r>
    </w:p>
    <w:p w14:paraId="1DC1362D" w14:textId="77777777" w:rsidR="006E5E2D" w:rsidRPr="006E5E2D" w:rsidRDefault="006E5E2D" w:rsidP="00A81DE8">
      <w:pPr>
        <w:widowControl/>
        <w:spacing w:line="360" w:lineRule="auto"/>
        <w:ind w:firstLine="1440"/>
        <w:contextualSpacing/>
        <w:rPr>
          <w:sz w:val="26"/>
          <w:szCs w:val="26"/>
        </w:rPr>
      </w:pPr>
    </w:p>
    <w:p w14:paraId="184813CC" w14:textId="77777777" w:rsidR="006E5E2D" w:rsidRPr="006E5E2D" w:rsidRDefault="006E5E2D" w:rsidP="00A81DE8">
      <w:pPr>
        <w:widowControl/>
        <w:spacing w:line="360" w:lineRule="auto"/>
        <w:ind w:firstLine="1440"/>
        <w:contextualSpacing/>
        <w:rPr>
          <w:sz w:val="26"/>
          <w:szCs w:val="26"/>
        </w:rPr>
      </w:pPr>
      <w:r w:rsidRPr="006E5E2D">
        <w:rPr>
          <w:sz w:val="26"/>
          <w:szCs w:val="26"/>
        </w:rPr>
        <w:t xml:space="preserve">While the burden of going forward with the evidence may </w:t>
      </w:r>
      <w:r w:rsidRPr="006E5E2D">
        <w:rPr>
          <w:bCs/>
          <w:sz w:val="26"/>
          <w:szCs w:val="26"/>
        </w:rPr>
        <w:t>shift</w:t>
      </w:r>
      <w:r w:rsidRPr="006E5E2D">
        <w:rPr>
          <w:sz w:val="26"/>
          <w:szCs w:val="26"/>
        </w:rPr>
        <w:t xml:space="preserve"> back and forth during a proceeding, the </w:t>
      </w:r>
      <w:r w:rsidRPr="006E5E2D">
        <w:rPr>
          <w:bCs/>
          <w:sz w:val="26"/>
          <w:szCs w:val="26"/>
        </w:rPr>
        <w:t>burden of proof</w:t>
      </w:r>
      <w:r w:rsidRPr="006E5E2D">
        <w:rPr>
          <w:b/>
          <w:sz w:val="26"/>
          <w:szCs w:val="26"/>
        </w:rPr>
        <w:t xml:space="preserve"> </w:t>
      </w:r>
      <w:r w:rsidRPr="006E5E2D">
        <w:rPr>
          <w:sz w:val="26"/>
          <w:szCs w:val="26"/>
        </w:rPr>
        <w:t>never</w:t>
      </w:r>
      <w:r w:rsidRPr="006E5E2D">
        <w:rPr>
          <w:b/>
          <w:sz w:val="26"/>
          <w:szCs w:val="26"/>
        </w:rPr>
        <w:t xml:space="preserve"> </w:t>
      </w:r>
      <w:r w:rsidRPr="006E5E2D">
        <w:rPr>
          <w:bCs/>
          <w:sz w:val="26"/>
          <w:szCs w:val="26"/>
        </w:rPr>
        <w:t>shifts.  The burden of proof</w:t>
      </w:r>
      <w:r w:rsidRPr="006E5E2D">
        <w:rPr>
          <w:sz w:val="26"/>
          <w:szCs w:val="26"/>
        </w:rPr>
        <w:t xml:space="preserve"> always remains on the party seeking affirmative relief from the Commission.  </w:t>
      </w:r>
      <w:r w:rsidRPr="006E5E2D">
        <w:rPr>
          <w:i/>
          <w:sz w:val="26"/>
          <w:szCs w:val="26"/>
        </w:rPr>
        <w:t>Milkie v. Pa. PUC</w:t>
      </w:r>
      <w:r w:rsidRPr="008E5B8E">
        <w:rPr>
          <w:iCs/>
          <w:sz w:val="26"/>
          <w:szCs w:val="26"/>
        </w:rPr>
        <w:t>,</w:t>
      </w:r>
      <w:r w:rsidRPr="006E5E2D">
        <w:rPr>
          <w:i/>
          <w:sz w:val="26"/>
          <w:szCs w:val="26"/>
        </w:rPr>
        <w:t xml:space="preserve"> </w:t>
      </w:r>
      <w:r w:rsidRPr="006E5E2D">
        <w:rPr>
          <w:sz w:val="26"/>
          <w:szCs w:val="26"/>
        </w:rPr>
        <w:t>768 A.2d 1217 (Pa</w:t>
      </w:r>
      <w:r w:rsidRPr="00396691">
        <w:rPr>
          <w:sz w:val="26"/>
          <w:szCs w:val="26"/>
        </w:rPr>
        <w:t>. Cmwlth. 2001</w:t>
      </w:r>
      <w:r w:rsidRPr="006E5E2D">
        <w:rPr>
          <w:sz w:val="26"/>
          <w:szCs w:val="26"/>
        </w:rPr>
        <w:t>).</w:t>
      </w:r>
    </w:p>
    <w:p w14:paraId="202C3C79" w14:textId="77777777" w:rsidR="003726C6" w:rsidRDefault="003726C6" w:rsidP="00A81DE8">
      <w:pPr>
        <w:widowControl/>
        <w:spacing w:line="360" w:lineRule="auto"/>
        <w:contextualSpacing/>
        <w:rPr>
          <w:sz w:val="26"/>
          <w:szCs w:val="26"/>
        </w:rPr>
      </w:pPr>
    </w:p>
    <w:p w14:paraId="5C18ACBF" w14:textId="77777777" w:rsidR="00942ED8" w:rsidRPr="00131C9F" w:rsidRDefault="00942ED8" w:rsidP="00A81DE8">
      <w:pPr>
        <w:widowControl/>
        <w:spacing w:line="360" w:lineRule="auto"/>
        <w:ind w:firstLine="1440"/>
        <w:contextualSpacing/>
        <w:rPr>
          <w:sz w:val="26"/>
          <w:szCs w:val="26"/>
        </w:rPr>
      </w:pPr>
      <w:r w:rsidRPr="00131C9F">
        <w:rPr>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 w:val="26"/>
          <w:szCs w:val="26"/>
        </w:rPr>
        <w:t>See</w:t>
      </w:r>
      <w:r w:rsidRPr="00131C9F">
        <w:rPr>
          <w:sz w:val="26"/>
          <w:szCs w:val="26"/>
        </w:rPr>
        <w:t xml:space="preserve"> 66 Pa. C.S. § 1501.  In particular, Section 1501 of the Code, 66 Pa. C.S. § 1501, provides, in pertinent part, as follows:</w:t>
      </w:r>
    </w:p>
    <w:p w14:paraId="39A7FD78" w14:textId="77777777" w:rsidR="00942ED8" w:rsidRPr="00D74AB9" w:rsidRDefault="00942ED8" w:rsidP="00A81DE8">
      <w:pPr>
        <w:widowControl/>
        <w:spacing w:line="360" w:lineRule="auto"/>
        <w:ind w:firstLine="1440"/>
        <w:contextualSpacing/>
        <w:rPr>
          <w:sz w:val="26"/>
          <w:szCs w:val="26"/>
        </w:rPr>
      </w:pPr>
    </w:p>
    <w:p w14:paraId="7CB3B583" w14:textId="77777777" w:rsidR="00942ED8" w:rsidRPr="00600CEC" w:rsidRDefault="00942ED8" w:rsidP="00A81DE8">
      <w:pPr>
        <w:widowControl/>
        <w:spacing w:after="120"/>
        <w:ind w:left="1440" w:right="1440"/>
        <w:contextualSpacing/>
        <w:rPr>
          <w:b/>
          <w:bCs/>
          <w:sz w:val="26"/>
          <w:szCs w:val="26"/>
        </w:rPr>
      </w:pPr>
      <w:r w:rsidRPr="00600CEC">
        <w:rPr>
          <w:b/>
          <w:bCs/>
          <w:sz w:val="26"/>
          <w:szCs w:val="26"/>
        </w:rPr>
        <w:t>§1501.  Character of service and facilities</w:t>
      </w:r>
    </w:p>
    <w:p w14:paraId="15476964" w14:textId="77777777" w:rsidR="00942ED8" w:rsidRDefault="00942ED8" w:rsidP="00A81DE8">
      <w:pPr>
        <w:widowControl/>
        <w:ind w:left="1440" w:right="1440"/>
        <w:contextualSpacing/>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w:t>
      </w:r>
      <w:r>
        <w:rPr>
          <w:sz w:val="26"/>
          <w:szCs w:val="26"/>
        </w:rPr>
        <w:t xml:space="preserve"> </w:t>
      </w:r>
    </w:p>
    <w:p w14:paraId="6FA2CC1C" w14:textId="77777777" w:rsidR="00942ED8" w:rsidRDefault="00942ED8" w:rsidP="00A81DE8">
      <w:pPr>
        <w:widowControl/>
        <w:ind w:left="1440" w:right="1440"/>
        <w:contextualSpacing/>
        <w:rPr>
          <w:sz w:val="26"/>
          <w:szCs w:val="26"/>
        </w:rPr>
      </w:pPr>
      <w:r w:rsidRPr="00D74AB9">
        <w:rPr>
          <w:sz w:val="26"/>
          <w:szCs w:val="26"/>
        </w:rPr>
        <w:t>or delay.  Such service and facilities shall be in conformity with the regulations and orders of the commission.</w:t>
      </w:r>
    </w:p>
    <w:p w14:paraId="537D4382" w14:textId="77777777" w:rsidR="00942ED8" w:rsidRDefault="00942ED8" w:rsidP="00A81DE8">
      <w:pPr>
        <w:widowControl/>
        <w:ind w:left="1440" w:right="1440"/>
        <w:contextualSpacing/>
        <w:rPr>
          <w:sz w:val="26"/>
          <w:szCs w:val="26"/>
        </w:rPr>
      </w:pPr>
    </w:p>
    <w:p w14:paraId="0793BD74" w14:textId="77777777" w:rsidR="00E226CD" w:rsidRPr="00D74AB9" w:rsidRDefault="00E226CD" w:rsidP="00A81DE8">
      <w:pPr>
        <w:widowControl/>
        <w:ind w:left="1440" w:right="1440"/>
        <w:contextualSpacing/>
        <w:rPr>
          <w:sz w:val="26"/>
          <w:szCs w:val="26"/>
        </w:rPr>
      </w:pPr>
    </w:p>
    <w:p w14:paraId="49D7BBD8" w14:textId="77777777" w:rsidR="00942ED8" w:rsidRPr="00D74AB9" w:rsidRDefault="00942ED8" w:rsidP="00A81DE8">
      <w:pPr>
        <w:widowControl/>
        <w:spacing w:line="360" w:lineRule="auto"/>
        <w:ind w:right="1440"/>
        <w:contextualSpacing/>
        <w:rPr>
          <w:sz w:val="26"/>
          <w:szCs w:val="26"/>
        </w:rPr>
      </w:pPr>
      <w:r w:rsidRPr="00D74AB9">
        <w:rPr>
          <w:sz w:val="26"/>
          <w:szCs w:val="26"/>
        </w:rPr>
        <w:t>66 Pa. C.S. § 1501</w:t>
      </w:r>
      <w:r>
        <w:rPr>
          <w:sz w:val="26"/>
          <w:szCs w:val="26"/>
        </w:rPr>
        <w:t>.</w:t>
      </w:r>
    </w:p>
    <w:p w14:paraId="744E29DA" w14:textId="77777777" w:rsidR="00942ED8" w:rsidRDefault="00942ED8" w:rsidP="00A81DE8">
      <w:pPr>
        <w:widowControl/>
        <w:spacing w:line="360" w:lineRule="auto"/>
        <w:ind w:firstLine="1440"/>
        <w:contextualSpacing/>
        <w:rPr>
          <w:color w:val="212121"/>
          <w:sz w:val="26"/>
          <w:szCs w:val="26"/>
        </w:rPr>
      </w:pPr>
    </w:p>
    <w:p w14:paraId="75A88EF9" w14:textId="77777777" w:rsidR="00942ED8" w:rsidRDefault="00942ED8" w:rsidP="00A81DE8">
      <w:pPr>
        <w:widowControl/>
        <w:spacing w:line="360" w:lineRule="auto"/>
        <w:ind w:firstLine="1440"/>
        <w:contextualSpacing/>
        <w:rPr>
          <w:color w:val="212121"/>
          <w:sz w:val="26"/>
          <w:szCs w:val="26"/>
        </w:rPr>
      </w:pPr>
      <w:r>
        <w:rPr>
          <w:color w:val="212121"/>
          <w:sz w:val="26"/>
          <w:szCs w:val="26"/>
        </w:rPr>
        <w:t>The term “service” is defined broadly under Section 102 of the Code, in relevant part, as follows:</w:t>
      </w:r>
    </w:p>
    <w:p w14:paraId="5E81CD2F" w14:textId="77777777" w:rsidR="00942ED8" w:rsidRDefault="00942ED8" w:rsidP="00A81DE8">
      <w:pPr>
        <w:widowControl/>
        <w:spacing w:line="360" w:lineRule="auto"/>
        <w:contextualSpacing/>
        <w:rPr>
          <w:rFonts w:ascii="Arial" w:hAnsi="Arial" w:cs="Arial"/>
          <w:b/>
          <w:bCs/>
          <w:color w:val="212121"/>
          <w:sz w:val="21"/>
          <w:szCs w:val="21"/>
        </w:rPr>
      </w:pPr>
    </w:p>
    <w:p w14:paraId="34A95F1D" w14:textId="77777777" w:rsidR="00942ED8" w:rsidRDefault="00942ED8" w:rsidP="00A81DE8">
      <w:pPr>
        <w:widowControl/>
        <w:ind w:left="1440" w:right="1440"/>
        <w:contextualSpacing/>
        <w:rPr>
          <w:color w:val="212121"/>
          <w:sz w:val="26"/>
          <w:szCs w:val="26"/>
        </w:rPr>
      </w:pPr>
      <w:r w:rsidRPr="00CC3239">
        <w:rPr>
          <w:b/>
          <w:bCs/>
          <w:color w:val="212121"/>
          <w:sz w:val="26"/>
          <w:szCs w:val="26"/>
        </w:rPr>
        <w:t xml:space="preserve">“Service.” </w:t>
      </w:r>
      <w:r w:rsidRPr="00CC3239">
        <w:rPr>
          <w:color w:val="212121"/>
          <w:sz w:val="26"/>
          <w:szCs w:val="26"/>
        </w:rPr>
        <w:t>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as well as the interchange of facilities between two or more of them</w:t>
      </w:r>
      <w:r>
        <w:rPr>
          <w:color w:val="212121"/>
          <w:sz w:val="26"/>
          <w:szCs w:val="26"/>
        </w:rPr>
        <w:t xml:space="preserve"> . . . </w:t>
      </w:r>
    </w:p>
    <w:p w14:paraId="60B2A99C" w14:textId="77777777" w:rsidR="00942ED8" w:rsidRDefault="00942ED8" w:rsidP="00A81DE8">
      <w:pPr>
        <w:widowControl/>
        <w:ind w:left="1440" w:right="1440"/>
        <w:contextualSpacing/>
        <w:rPr>
          <w:color w:val="212121"/>
          <w:sz w:val="26"/>
          <w:szCs w:val="26"/>
        </w:rPr>
      </w:pPr>
    </w:p>
    <w:p w14:paraId="4121A9DA" w14:textId="77777777" w:rsidR="00942ED8" w:rsidRDefault="00942ED8" w:rsidP="00A81DE8">
      <w:pPr>
        <w:widowControl/>
        <w:ind w:left="1440" w:right="1440"/>
        <w:contextualSpacing/>
        <w:rPr>
          <w:color w:val="212121"/>
          <w:sz w:val="26"/>
          <w:szCs w:val="26"/>
        </w:rPr>
      </w:pPr>
    </w:p>
    <w:p w14:paraId="437DE46A" w14:textId="0134809F" w:rsidR="00942ED8" w:rsidRPr="00CC3239" w:rsidRDefault="00942ED8" w:rsidP="00A81DE8">
      <w:pPr>
        <w:widowControl/>
        <w:spacing w:line="360" w:lineRule="auto"/>
        <w:contextualSpacing/>
        <w:rPr>
          <w:sz w:val="26"/>
          <w:szCs w:val="26"/>
        </w:rPr>
      </w:pPr>
      <w:r w:rsidRPr="00CC3239">
        <w:rPr>
          <w:color w:val="212121"/>
          <w:sz w:val="26"/>
          <w:szCs w:val="26"/>
        </w:rPr>
        <w:t>66 Pa. C.S.</w:t>
      </w:r>
      <w:r w:rsidR="0007547B">
        <w:rPr>
          <w:color w:val="212121"/>
          <w:sz w:val="26"/>
          <w:szCs w:val="26"/>
        </w:rPr>
        <w:t xml:space="preserve"> </w:t>
      </w:r>
      <w:r w:rsidRPr="00CC3239">
        <w:rPr>
          <w:sz w:val="26"/>
          <w:szCs w:val="26"/>
        </w:rPr>
        <w:t>§ 102.</w:t>
      </w:r>
    </w:p>
    <w:p w14:paraId="4FB096A4" w14:textId="77777777" w:rsidR="00942ED8" w:rsidRDefault="00942ED8" w:rsidP="00A81DE8">
      <w:pPr>
        <w:widowControl/>
        <w:spacing w:line="360" w:lineRule="auto"/>
        <w:ind w:firstLine="1440"/>
        <w:contextualSpacing/>
        <w:rPr>
          <w:color w:val="212121"/>
          <w:sz w:val="26"/>
          <w:szCs w:val="26"/>
        </w:rPr>
      </w:pPr>
    </w:p>
    <w:p w14:paraId="60895691" w14:textId="77777777" w:rsidR="001941A8" w:rsidRPr="00570FA3" w:rsidRDefault="001941A8" w:rsidP="00A81DE8">
      <w:pPr>
        <w:widowControl/>
        <w:spacing w:line="360" w:lineRule="auto"/>
        <w:contextualSpacing/>
        <w:rPr>
          <w:rStyle w:val="Hyperlink"/>
          <w:color w:val="auto"/>
          <w:sz w:val="26"/>
          <w:szCs w:val="26"/>
          <w:u w:val="none"/>
        </w:rPr>
      </w:pPr>
    </w:p>
    <w:p w14:paraId="0FCAE660" w14:textId="77777777" w:rsidR="00E51E04" w:rsidRPr="00570FA3" w:rsidRDefault="00FC1FD6" w:rsidP="00A81DE8">
      <w:pPr>
        <w:keepNext/>
        <w:keepLines/>
        <w:widowControl/>
        <w:spacing w:line="360" w:lineRule="auto"/>
        <w:ind w:firstLine="720"/>
        <w:contextualSpacing/>
        <w:rPr>
          <w:b/>
          <w:sz w:val="26"/>
          <w:szCs w:val="26"/>
        </w:rPr>
      </w:pPr>
      <w:r>
        <w:rPr>
          <w:b/>
          <w:sz w:val="26"/>
          <w:szCs w:val="26"/>
        </w:rPr>
        <w:t>B.</w:t>
      </w:r>
      <w:r>
        <w:rPr>
          <w:b/>
          <w:sz w:val="26"/>
          <w:szCs w:val="26"/>
        </w:rPr>
        <w:tab/>
      </w:r>
      <w:r w:rsidR="00E51E04" w:rsidRPr="00570FA3">
        <w:rPr>
          <w:b/>
          <w:sz w:val="26"/>
          <w:szCs w:val="26"/>
        </w:rPr>
        <w:t>ALJ’s Initial Decision</w:t>
      </w:r>
    </w:p>
    <w:p w14:paraId="75F4A15A" w14:textId="77777777" w:rsidR="00E51E04" w:rsidRPr="00570FA3" w:rsidRDefault="00E51E04" w:rsidP="00A81DE8">
      <w:pPr>
        <w:keepNext/>
        <w:keepLines/>
        <w:widowControl/>
        <w:spacing w:line="360" w:lineRule="auto"/>
        <w:ind w:firstLine="1440"/>
        <w:contextualSpacing/>
        <w:rPr>
          <w:b/>
          <w:sz w:val="26"/>
          <w:szCs w:val="26"/>
        </w:rPr>
      </w:pPr>
    </w:p>
    <w:p w14:paraId="44DEE78A" w14:textId="6769CE75" w:rsidR="00725378" w:rsidRDefault="00725378" w:rsidP="00A81DE8">
      <w:pPr>
        <w:widowControl/>
        <w:spacing w:line="360" w:lineRule="auto"/>
        <w:ind w:firstLine="1440"/>
        <w:contextualSpacing/>
        <w:rPr>
          <w:sz w:val="26"/>
          <w:szCs w:val="26"/>
        </w:rPr>
      </w:pPr>
      <w:r w:rsidRPr="006E5E2D">
        <w:rPr>
          <w:sz w:val="26"/>
          <w:szCs w:val="26"/>
        </w:rPr>
        <w:t xml:space="preserve">ALJ </w:t>
      </w:r>
      <w:r>
        <w:rPr>
          <w:sz w:val="26"/>
          <w:szCs w:val="26"/>
        </w:rPr>
        <w:t>Cheskis</w:t>
      </w:r>
      <w:r w:rsidRPr="006E5E2D">
        <w:rPr>
          <w:sz w:val="26"/>
          <w:szCs w:val="26"/>
        </w:rPr>
        <w:t xml:space="preserve"> made </w:t>
      </w:r>
      <w:r>
        <w:rPr>
          <w:sz w:val="26"/>
          <w:szCs w:val="26"/>
        </w:rPr>
        <w:t>forty-eight</w:t>
      </w:r>
      <w:r w:rsidRPr="006E5E2D">
        <w:rPr>
          <w:sz w:val="26"/>
          <w:szCs w:val="26"/>
        </w:rPr>
        <w:t xml:space="preserve"> Findings of Fact and reached </w:t>
      </w:r>
      <w:r>
        <w:rPr>
          <w:sz w:val="26"/>
          <w:szCs w:val="26"/>
        </w:rPr>
        <w:t>six</w:t>
      </w:r>
      <w:r w:rsidRPr="006E5E2D">
        <w:rPr>
          <w:sz w:val="26"/>
          <w:szCs w:val="26"/>
        </w:rPr>
        <w:t xml:space="preserve">teen Conclusions of Law.  I.D. at </w:t>
      </w:r>
      <w:r>
        <w:rPr>
          <w:sz w:val="26"/>
          <w:szCs w:val="26"/>
        </w:rPr>
        <w:t>5-11</w:t>
      </w:r>
      <w:r w:rsidRPr="006E5E2D">
        <w:rPr>
          <w:sz w:val="26"/>
          <w:szCs w:val="26"/>
        </w:rPr>
        <w:t xml:space="preserve">, </w:t>
      </w:r>
      <w:r>
        <w:rPr>
          <w:sz w:val="26"/>
          <w:szCs w:val="26"/>
        </w:rPr>
        <w:t>23-25</w:t>
      </w:r>
      <w:r w:rsidRPr="006E5E2D">
        <w:rPr>
          <w:sz w:val="26"/>
          <w:szCs w:val="26"/>
        </w:rPr>
        <w:t xml:space="preserve">.  The Findings of Fact and Conclusions of Law are incorporated herein by reference and are adopted without comment unless they are </w:t>
      </w:r>
      <w:r w:rsidRPr="006E5E2D">
        <w:rPr>
          <w:sz w:val="26"/>
          <w:szCs w:val="26"/>
        </w:rPr>
        <w:lastRenderedPageBreak/>
        <w:t>either expressly or by necessary implication rejected or modified by this Opinion and Order.</w:t>
      </w:r>
    </w:p>
    <w:p w14:paraId="56D9DF32" w14:textId="64995705" w:rsidR="008C3FE2" w:rsidRDefault="008C3FE2" w:rsidP="00A81DE8">
      <w:pPr>
        <w:widowControl/>
        <w:spacing w:line="360" w:lineRule="auto"/>
        <w:ind w:firstLine="1440"/>
        <w:contextualSpacing/>
        <w:rPr>
          <w:sz w:val="26"/>
          <w:szCs w:val="26"/>
        </w:rPr>
      </w:pPr>
    </w:p>
    <w:p w14:paraId="3567B145" w14:textId="63280532" w:rsidR="00E57936" w:rsidRPr="00E57936" w:rsidRDefault="00E57936" w:rsidP="00A81DE8">
      <w:pPr>
        <w:widowControl/>
        <w:spacing w:after="200" w:line="360" w:lineRule="auto"/>
        <w:ind w:firstLine="1440"/>
        <w:contextualSpacing/>
        <w:rPr>
          <w:rFonts w:eastAsia="Calibri"/>
          <w:sz w:val="26"/>
          <w:szCs w:val="26"/>
        </w:rPr>
      </w:pPr>
      <w:r w:rsidRPr="00E57936">
        <w:rPr>
          <w:rFonts w:eastAsia="Calibri"/>
          <w:sz w:val="26"/>
          <w:szCs w:val="26"/>
        </w:rPr>
        <w:t xml:space="preserve">The ALJ began by summarizing the position of the Complainant.  The ALJ noted that at the hearing, the Complainant </w:t>
      </w:r>
      <w:r w:rsidR="00F4257A">
        <w:rPr>
          <w:rFonts w:eastAsia="Calibri"/>
          <w:sz w:val="26"/>
          <w:szCs w:val="26"/>
        </w:rPr>
        <w:t xml:space="preserve">did not </w:t>
      </w:r>
      <w:r w:rsidR="003646D6">
        <w:rPr>
          <w:rFonts w:eastAsia="Calibri"/>
          <w:sz w:val="26"/>
          <w:szCs w:val="26"/>
        </w:rPr>
        <w:t>present any oral testimony,</w:t>
      </w:r>
      <w:r w:rsidRPr="00E57936">
        <w:rPr>
          <w:rFonts w:eastAsia="Calibri"/>
          <w:sz w:val="26"/>
          <w:szCs w:val="26"/>
        </w:rPr>
        <w:t xml:space="preserve"> but instead proffered his Complaint and the associated attachments for admission into the record.</w:t>
      </w:r>
      <w:r w:rsidR="00041101">
        <w:rPr>
          <w:rFonts w:eastAsia="Calibri"/>
          <w:sz w:val="26"/>
          <w:szCs w:val="26"/>
        </w:rPr>
        <w:t xml:space="preserve">  The </w:t>
      </w:r>
      <w:r w:rsidR="005E51DC">
        <w:rPr>
          <w:rFonts w:eastAsia="Calibri"/>
          <w:sz w:val="26"/>
          <w:szCs w:val="26"/>
        </w:rPr>
        <w:t>Complaint and the associated attachments were marked as Moyer Exhibit 1</w:t>
      </w:r>
      <w:r w:rsidR="000B0CE8">
        <w:rPr>
          <w:rFonts w:eastAsia="Calibri"/>
          <w:sz w:val="26"/>
          <w:szCs w:val="26"/>
        </w:rPr>
        <w:t>.</w:t>
      </w:r>
      <w:r w:rsidR="00ED2D07">
        <w:rPr>
          <w:rStyle w:val="FootnoteReference"/>
          <w:rFonts w:eastAsia="Calibri"/>
          <w:sz w:val="26"/>
          <w:szCs w:val="26"/>
        </w:rPr>
        <w:footnoteReference w:id="3"/>
      </w:r>
      <w:r w:rsidR="00041101">
        <w:rPr>
          <w:rFonts w:eastAsia="Calibri"/>
          <w:sz w:val="26"/>
          <w:szCs w:val="26"/>
        </w:rPr>
        <w:t xml:space="preserve"> </w:t>
      </w:r>
      <w:r w:rsidRPr="00E57936">
        <w:rPr>
          <w:rFonts w:eastAsia="Calibri"/>
          <w:sz w:val="26"/>
          <w:szCs w:val="26"/>
        </w:rPr>
        <w:t xml:space="preserve">  Additionally, the Complainant proffered a document dated January 8, 2018 entitled “statement to be entered into the record” (</w:t>
      </w:r>
      <w:r w:rsidRPr="00E57936">
        <w:rPr>
          <w:rFonts w:eastAsia="Calibri"/>
          <w:i/>
          <w:sz w:val="26"/>
          <w:szCs w:val="26"/>
        </w:rPr>
        <w:t>January 2018 Statement</w:t>
      </w:r>
      <w:r w:rsidRPr="00E57936">
        <w:rPr>
          <w:rFonts w:eastAsia="Calibri"/>
          <w:sz w:val="26"/>
          <w:szCs w:val="26"/>
        </w:rPr>
        <w:t>).  I.D. at 13-14.</w:t>
      </w:r>
    </w:p>
    <w:p w14:paraId="660863FA" w14:textId="77777777" w:rsidR="00E57936" w:rsidRPr="00E57936" w:rsidRDefault="00E57936" w:rsidP="00A81DE8">
      <w:pPr>
        <w:widowControl/>
        <w:spacing w:after="200" w:line="360" w:lineRule="auto"/>
        <w:ind w:firstLine="1440"/>
        <w:contextualSpacing/>
        <w:rPr>
          <w:rFonts w:eastAsia="Calibri"/>
          <w:sz w:val="26"/>
          <w:szCs w:val="26"/>
        </w:rPr>
      </w:pPr>
    </w:p>
    <w:p w14:paraId="6AF06BB3" w14:textId="61224707" w:rsidR="00E57936" w:rsidRPr="00E57936" w:rsidRDefault="00E57936" w:rsidP="00A81DE8">
      <w:pPr>
        <w:widowControl/>
        <w:spacing w:after="200" w:line="360" w:lineRule="auto"/>
        <w:ind w:firstLine="1440"/>
        <w:contextualSpacing/>
        <w:rPr>
          <w:rFonts w:eastAsia="Calibri"/>
          <w:sz w:val="26"/>
          <w:szCs w:val="26"/>
        </w:rPr>
      </w:pPr>
      <w:r w:rsidRPr="00E57936">
        <w:rPr>
          <w:rFonts w:eastAsia="Calibri"/>
          <w:sz w:val="26"/>
          <w:szCs w:val="26"/>
        </w:rPr>
        <w:t xml:space="preserve">With regard to the Complaint, the ALJ noted the explanation of the Complainant that he owns and operates a photovoltaic solar facility at his Service Address under </w:t>
      </w:r>
      <w:r w:rsidR="006259C6">
        <w:rPr>
          <w:rFonts w:eastAsia="Calibri"/>
          <w:sz w:val="26"/>
          <w:szCs w:val="26"/>
        </w:rPr>
        <w:t xml:space="preserve">PPL’s </w:t>
      </w:r>
      <w:r w:rsidRPr="00E57936">
        <w:rPr>
          <w:rFonts w:eastAsia="Calibri"/>
          <w:sz w:val="26"/>
          <w:szCs w:val="26"/>
        </w:rPr>
        <w:t xml:space="preserve">virtual meter aggregation </w:t>
      </w:r>
      <w:r w:rsidR="006259C6">
        <w:rPr>
          <w:rFonts w:eastAsia="Calibri"/>
          <w:sz w:val="26"/>
          <w:szCs w:val="26"/>
        </w:rPr>
        <w:t xml:space="preserve">program </w:t>
      </w:r>
      <w:r w:rsidRPr="00E57936">
        <w:rPr>
          <w:rFonts w:eastAsia="Calibri"/>
          <w:sz w:val="26"/>
          <w:szCs w:val="26"/>
        </w:rPr>
        <w:t xml:space="preserve">wherein there are two accounts at the Service Address with two meters and two account numbers for which he receives two separate bills.  The Complainant stated that the instant Complaint is related to issues that were raised in the two previous </w:t>
      </w:r>
      <w:r w:rsidR="00155EC1">
        <w:rPr>
          <w:rFonts w:eastAsia="Calibri"/>
          <w:sz w:val="26"/>
          <w:szCs w:val="26"/>
        </w:rPr>
        <w:t xml:space="preserve">formal </w:t>
      </w:r>
      <w:r w:rsidRPr="00E57936">
        <w:rPr>
          <w:rFonts w:eastAsia="Calibri"/>
          <w:sz w:val="26"/>
          <w:szCs w:val="26"/>
        </w:rPr>
        <w:t>complaints</w:t>
      </w:r>
      <w:r w:rsidR="00155EC1">
        <w:rPr>
          <w:rFonts w:eastAsia="Calibri"/>
          <w:sz w:val="26"/>
          <w:szCs w:val="26"/>
        </w:rPr>
        <w:t xml:space="preserve"> he filed with the Commission</w:t>
      </w:r>
      <w:r w:rsidRPr="00E57936">
        <w:rPr>
          <w:rFonts w:eastAsia="Calibri"/>
          <w:sz w:val="26"/>
          <w:szCs w:val="26"/>
        </w:rPr>
        <w:t xml:space="preserve">, which were later addressed and disposed of </w:t>
      </w:r>
      <w:r w:rsidR="006B1DB7">
        <w:rPr>
          <w:rFonts w:eastAsia="Calibri"/>
          <w:sz w:val="26"/>
          <w:szCs w:val="26"/>
        </w:rPr>
        <w:t>by</w:t>
      </w:r>
      <w:r w:rsidRPr="00E57936">
        <w:rPr>
          <w:rFonts w:eastAsia="Calibri"/>
          <w:sz w:val="26"/>
          <w:szCs w:val="26"/>
        </w:rPr>
        <w:t xml:space="preserve"> the </w:t>
      </w:r>
      <w:r w:rsidRPr="00E57936">
        <w:rPr>
          <w:rFonts w:eastAsia="Calibri"/>
          <w:i/>
          <w:sz w:val="26"/>
          <w:szCs w:val="26"/>
        </w:rPr>
        <w:t>May 2016 Order,</w:t>
      </w:r>
      <w:r w:rsidRPr="00E57936">
        <w:rPr>
          <w:rFonts w:eastAsia="Calibri"/>
          <w:sz w:val="26"/>
          <w:szCs w:val="26"/>
        </w:rPr>
        <w:t xml:space="preserve"> but which the Complainant believes failed to resolve these issues.</w:t>
      </w:r>
      <w:r w:rsidRPr="00E57936">
        <w:rPr>
          <w:rFonts w:eastAsia="Calibri"/>
          <w:sz w:val="26"/>
          <w:szCs w:val="26"/>
          <w:vertAlign w:val="superscript"/>
        </w:rPr>
        <w:footnoteReference w:id="4"/>
      </w:r>
      <w:r w:rsidRPr="00E57936">
        <w:rPr>
          <w:rFonts w:eastAsia="Calibri"/>
          <w:sz w:val="26"/>
          <w:szCs w:val="26"/>
        </w:rPr>
        <w:t xml:space="preserve">  The Complainant alleged that he had further evidence of PPL’s misconduct, including PPL’s acknowledgment that his bills do not show the actual meter readings</w:t>
      </w:r>
      <w:r w:rsidR="00740768">
        <w:rPr>
          <w:rFonts w:eastAsia="Calibri"/>
          <w:sz w:val="26"/>
          <w:szCs w:val="26"/>
        </w:rPr>
        <w:t xml:space="preserve"> and</w:t>
      </w:r>
      <w:r w:rsidRPr="00E57936">
        <w:rPr>
          <w:rFonts w:eastAsia="Calibri"/>
          <w:sz w:val="26"/>
          <w:szCs w:val="26"/>
        </w:rPr>
        <w:t xml:space="preserve"> that the billing system cannot currently transfer and aggregate data among separate meters.  The Complainant further alleged that there is no indication that the bills are aggregated.  I.D. at 14</w:t>
      </w:r>
      <w:r w:rsidR="00066653">
        <w:rPr>
          <w:rFonts w:eastAsia="Calibri"/>
          <w:sz w:val="26"/>
          <w:szCs w:val="26"/>
        </w:rPr>
        <w:t xml:space="preserve"> (citing Moyer Exhibit 1)</w:t>
      </w:r>
      <w:r w:rsidRPr="00E57936">
        <w:rPr>
          <w:rFonts w:eastAsia="Calibri"/>
          <w:sz w:val="26"/>
          <w:szCs w:val="26"/>
        </w:rPr>
        <w:t>.</w:t>
      </w:r>
    </w:p>
    <w:p w14:paraId="246091DD" w14:textId="77777777" w:rsidR="00E57936" w:rsidRPr="00E57936" w:rsidRDefault="00E57936" w:rsidP="00A81DE8">
      <w:pPr>
        <w:widowControl/>
        <w:spacing w:after="200" w:line="360" w:lineRule="auto"/>
        <w:ind w:firstLine="1440"/>
        <w:contextualSpacing/>
        <w:rPr>
          <w:rFonts w:eastAsia="Calibri"/>
          <w:sz w:val="26"/>
          <w:szCs w:val="26"/>
        </w:rPr>
      </w:pPr>
    </w:p>
    <w:p w14:paraId="27C88B0D" w14:textId="5103A658" w:rsidR="00E57936" w:rsidRPr="00E57936" w:rsidRDefault="00E57936" w:rsidP="00A81DE8">
      <w:pPr>
        <w:widowControl/>
        <w:spacing w:after="200" w:line="360" w:lineRule="auto"/>
        <w:ind w:firstLine="1440"/>
        <w:contextualSpacing/>
        <w:rPr>
          <w:rFonts w:eastAsia="Calibri"/>
          <w:sz w:val="26"/>
          <w:szCs w:val="26"/>
        </w:rPr>
      </w:pPr>
      <w:r w:rsidRPr="00E57936">
        <w:rPr>
          <w:rFonts w:eastAsia="Calibri"/>
          <w:sz w:val="26"/>
          <w:szCs w:val="26"/>
        </w:rPr>
        <w:lastRenderedPageBreak/>
        <w:t>The ALJ also noted the Complainant’s assertion that PPL incorrectly sent him two termination notices on October 5, 2015 and October 15, 2015 and called him on October 22, 2015 regarding an impending termination.  The Complainant asserted that such notices were unjustified and unwarranted because his bills remained in dispute at the time the instant Complaint was filed.  Additionally, the Complainant argued that the stated amount due of $788.32 that appeared in the termination notices did not match any of his recent bills and could not be verified by the data that was available on the bills.  Further, the Complainant argued that he did not receive the $738.98 credit that ALJ Cynthia Williams Fordham directed PPL to issue</w:t>
      </w:r>
      <w:r w:rsidR="00091A1C">
        <w:rPr>
          <w:rFonts w:eastAsia="Calibri"/>
          <w:sz w:val="26"/>
          <w:szCs w:val="26"/>
        </w:rPr>
        <w:t xml:space="preserve"> in</w:t>
      </w:r>
      <w:r w:rsidRPr="00E57936">
        <w:rPr>
          <w:rFonts w:eastAsia="Calibri"/>
          <w:sz w:val="26"/>
          <w:szCs w:val="26"/>
        </w:rPr>
        <w:t xml:space="preserve"> the Initial Decision on Remand addressing his two previous complaints.</w:t>
      </w:r>
      <w:r w:rsidR="00927136">
        <w:rPr>
          <w:rStyle w:val="FootnoteReference"/>
          <w:rFonts w:eastAsia="Calibri"/>
          <w:sz w:val="26"/>
          <w:szCs w:val="26"/>
        </w:rPr>
        <w:footnoteReference w:id="5"/>
      </w:r>
      <w:r w:rsidRPr="00E57936">
        <w:rPr>
          <w:rFonts w:eastAsia="Calibri"/>
          <w:sz w:val="26"/>
          <w:szCs w:val="26"/>
        </w:rPr>
        <w:t xml:space="preserve">  I.D. at 14-15</w:t>
      </w:r>
    </w:p>
    <w:p w14:paraId="538B3B4D" w14:textId="77777777" w:rsidR="00E57936" w:rsidRPr="00E57936" w:rsidRDefault="00E57936" w:rsidP="00A81DE8">
      <w:pPr>
        <w:widowControl/>
        <w:spacing w:after="200" w:line="360" w:lineRule="auto"/>
        <w:ind w:firstLine="1440"/>
        <w:contextualSpacing/>
        <w:rPr>
          <w:rFonts w:eastAsia="Calibri"/>
          <w:sz w:val="26"/>
          <w:szCs w:val="26"/>
        </w:rPr>
      </w:pPr>
    </w:p>
    <w:p w14:paraId="1F6EE10D" w14:textId="09F8EEBD" w:rsidR="00E57936" w:rsidRPr="00E57936" w:rsidRDefault="00E57936" w:rsidP="00A81DE8">
      <w:pPr>
        <w:widowControl/>
        <w:spacing w:after="200" w:line="360" w:lineRule="auto"/>
        <w:ind w:firstLine="1440"/>
        <w:contextualSpacing/>
        <w:rPr>
          <w:rFonts w:eastAsia="Calibri"/>
          <w:sz w:val="26"/>
          <w:szCs w:val="26"/>
        </w:rPr>
      </w:pPr>
      <w:r w:rsidRPr="00E57936">
        <w:rPr>
          <w:rFonts w:eastAsia="Calibri"/>
          <w:sz w:val="26"/>
          <w:szCs w:val="26"/>
        </w:rPr>
        <w:t>The ALJ stated</w:t>
      </w:r>
      <w:r w:rsidR="00066880">
        <w:rPr>
          <w:rFonts w:eastAsia="Calibri"/>
          <w:sz w:val="26"/>
          <w:szCs w:val="26"/>
        </w:rPr>
        <w:t xml:space="preserve"> </w:t>
      </w:r>
      <w:r w:rsidR="00764F46">
        <w:rPr>
          <w:rFonts w:eastAsia="Calibri"/>
          <w:sz w:val="26"/>
          <w:szCs w:val="26"/>
        </w:rPr>
        <w:t>that the Complainant attached a list of six items to his Complaint</w:t>
      </w:r>
      <w:r w:rsidR="00191693">
        <w:rPr>
          <w:rFonts w:eastAsia="Calibri"/>
          <w:sz w:val="26"/>
          <w:szCs w:val="26"/>
        </w:rPr>
        <w:t xml:space="preserve">, which outlined his requested relief.  Additionally, the Complainant attached </w:t>
      </w:r>
      <w:r w:rsidRPr="00E57936">
        <w:rPr>
          <w:rFonts w:eastAsia="Calibri"/>
          <w:sz w:val="26"/>
          <w:szCs w:val="26"/>
        </w:rPr>
        <w:t xml:space="preserve">a copy of the October 5, 2015 and October 15, 2015 termination notices.  Specifically, the Complainant requested, </w:t>
      </w:r>
      <w:r w:rsidRPr="00E57936">
        <w:rPr>
          <w:rFonts w:eastAsia="Calibri"/>
          <w:i/>
          <w:sz w:val="26"/>
          <w:szCs w:val="26"/>
        </w:rPr>
        <w:t>inter alia</w:t>
      </w:r>
      <w:r w:rsidRPr="008E5B8E">
        <w:rPr>
          <w:rFonts w:eastAsia="Calibri"/>
          <w:iCs/>
          <w:sz w:val="26"/>
          <w:szCs w:val="26"/>
        </w:rPr>
        <w:t xml:space="preserve">, </w:t>
      </w:r>
      <w:r w:rsidRPr="00E57936">
        <w:rPr>
          <w:rFonts w:eastAsia="Calibri"/>
          <w:sz w:val="26"/>
          <w:szCs w:val="26"/>
        </w:rPr>
        <w:t xml:space="preserve">that the Commission issue a public reprimand against PPL for its misconduct and that the Commission </w:t>
      </w:r>
      <w:r w:rsidR="002B0C02">
        <w:rPr>
          <w:rFonts w:eastAsia="Calibri"/>
          <w:sz w:val="26"/>
          <w:szCs w:val="26"/>
        </w:rPr>
        <w:t>mandate</w:t>
      </w:r>
      <w:r w:rsidRPr="00E57936">
        <w:rPr>
          <w:rFonts w:eastAsia="Calibri"/>
          <w:sz w:val="26"/>
          <w:szCs w:val="26"/>
        </w:rPr>
        <w:t xml:space="preserve"> that beginning on June 1, 2016, any bills issued to him should show a combination of readings and billings as contemplated in 52 Pa. Code § 75.12.  I.D. at 15.</w:t>
      </w:r>
    </w:p>
    <w:p w14:paraId="7BBC6EA9" w14:textId="77777777" w:rsidR="00E57936" w:rsidRPr="00E57936" w:rsidRDefault="00E57936" w:rsidP="00A81DE8">
      <w:pPr>
        <w:widowControl/>
        <w:spacing w:after="200" w:line="360" w:lineRule="auto"/>
        <w:ind w:firstLine="1440"/>
        <w:contextualSpacing/>
        <w:rPr>
          <w:rFonts w:eastAsia="Calibri"/>
          <w:sz w:val="26"/>
          <w:szCs w:val="26"/>
        </w:rPr>
      </w:pPr>
    </w:p>
    <w:p w14:paraId="06EE396B" w14:textId="14B48BFE" w:rsidR="00E57936" w:rsidRPr="00E57936" w:rsidRDefault="00E57936" w:rsidP="00A81DE8">
      <w:pPr>
        <w:widowControl/>
        <w:spacing w:after="200" w:line="360" w:lineRule="auto"/>
        <w:ind w:firstLine="1440"/>
        <w:contextualSpacing/>
        <w:rPr>
          <w:rFonts w:eastAsia="Calibri"/>
          <w:sz w:val="26"/>
          <w:szCs w:val="26"/>
        </w:rPr>
      </w:pPr>
      <w:r w:rsidRPr="00E57936">
        <w:rPr>
          <w:rFonts w:eastAsia="Calibri"/>
          <w:sz w:val="26"/>
          <w:szCs w:val="26"/>
        </w:rPr>
        <w:t xml:space="preserve">With regard to the Complainant’s </w:t>
      </w:r>
      <w:r w:rsidRPr="00E57936">
        <w:rPr>
          <w:rFonts w:eastAsia="Calibri"/>
          <w:i/>
          <w:sz w:val="26"/>
          <w:szCs w:val="26"/>
        </w:rPr>
        <w:t xml:space="preserve">January 2018 Statement, </w:t>
      </w:r>
      <w:r w:rsidRPr="00E57936">
        <w:rPr>
          <w:rFonts w:eastAsia="Calibri"/>
          <w:sz w:val="26"/>
          <w:szCs w:val="26"/>
        </w:rPr>
        <w:t>the ALJ explained that it contained a recitation of the Complainant’s procedural concerns</w:t>
      </w:r>
      <w:r w:rsidR="006708D0">
        <w:rPr>
          <w:rFonts w:eastAsia="Calibri"/>
          <w:sz w:val="26"/>
          <w:szCs w:val="26"/>
        </w:rPr>
        <w:t xml:space="preserve"> regarding</w:t>
      </w:r>
      <w:r w:rsidRPr="00E57936">
        <w:rPr>
          <w:rFonts w:eastAsia="Calibri"/>
          <w:sz w:val="26"/>
          <w:szCs w:val="26"/>
        </w:rPr>
        <w:t xml:space="preserve"> </w:t>
      </w:r>
      <w:r w:rsidR="00D94EF0">
        <w:rPr>
          <w:rFonts w:eastAsia="Calibri"/>
          <w:sz w:val="26"/>
          <w:szCs w:val="26"/>
        </w:rPr>
        <w:t>the</w:t>
      </w:r>
      <w:r w:rsidRPr="00E57936">
        <w:rPr>
          <w:rFonts w:eastAsia="Calibri"/>
          <w:sz w:val="26"/>
          <w:szCs w:val="26"/>
        </w:rPr>
        <w:t xml:space="preserve"> various </w:t>
      </w:r>
      <w:r w:rsidR="00D94EF0">
        <w:rPr>
          <w:rFonts w:eastAsia="Calibri"/>
          <w:sz w:val="26"/>
          <w:szCs w:val="26"/>
        </w:rPr>
        <w:t xml:space="preserve">formal </w:t>
      </w:r>
      <w:r w:rsidRPr="00E57936">
        <w:rPr>
          <w:rFonts w:eastAsia="Calibri"/>
          <w:sz w:val="26"/>
          <w:szCs w:val="26"/>
        </w:rPr>
        <w:t xml:space="preserve">complaints </w:t>
      </w:r>
      <w:r w:rsidR="00D94EF0">
        <w:rPr>
          <w:rFonts w:eastAsia="Calibri"/>
          <w:sz w:val="26"/>
          <w:szCs w:val="26"/>
        </w:rPr>
        <w:t xml:space="preserve">he has </w:t>
      </w:r>
      <w:r w:rsidRPr="00E57936">
        <w:rPr>
          <w:rFonts w:eastAsia="Calibri"/>
          <w:sz w:val="26"/>
          <w:szCs w:val="26"/>
        </w:rPr>
        <w:t xml:space="preserve">filed with the Commission.  The Complainant alleged, </w:t>
      </w:r>
      <w:r w:rsidR="00066653">
        <w:rPr>
          <w:rFonts w:eastAsia="Calibri"/>
          <w:i/>
          <w:sz w:val="26"/>
          <w:szCs w:val="26"/>
        </w:rPr>
        <w:t>inter alia</w:t>
      </w:r>
      <w:r w:rsidRPr="00E57936">
        <w:rPr>
          <w:rFonts w:eastAsia="Calibri"/>
          <w:sz w:val="26"/>
          <w:szCs w:val="26"/>
        </w:rPr>
        <w:t xml:space="preserve">, that PPL’s virtual meter aggregation program has been subject to little or no oversight and that the Commission </w:t>
      </w:r>
      <w:r w:rsidR="00066653">
        <w:rPr>
          <w:rFonts w:eastAsia="Calibri"/>
          <w:sz w:val="26"/>
          <w:szCs w:val="26"/>
        </w:rPr>
        <w:t>has not expressed any</w:t>
      </w:r>
      <w:r w:rsidRPr="00E57936">
        <w:rPr>
          <w:rFonts w:eastAsia="Calibri"/>
          <w:sz w:val="26"/>
          <w:szCs w:val="26"/>
        </w:rPr>
        <w:t xml:space="preserve"> displeasure </w:t>
      </w:r>
      <w:r w:rsidR="00066653">
        <w:rPr>
          <w:rFonts w:eastAsia="Calibri"/>
          <w:sz w:val="26"/>
          <w:szCs w:val="26"/>
        </w:rPr>
        <w:t>regarding</w:t>
      </w:r>
      <w:r w:rsidRPr="00E57936">
        <w:rPr>
          <w:rFonts w:eastAsia="Calibri"/>
          <w:sz w:val="26"/>
          <w:szCs w:val="26"/>
        </w:rPr>
        <w:t xml:space="preserve"> PPL’s misconduct.  The Complainant also asserted that the </w:t>
      </w:r>
      <w:r w:rsidRPr="00E57936">
        <w:rPr>
          <w:rFonts w:eastAsia="Calibri"/>
          <w:sz w:val="26"/>
          <w:szCs w:val="26"/>
        </w:rPr>
        <w:lastRenderedPageBreak/>
        <w:t>Commission consistently deferred to PPL and neglected its duty to monitor PPL’s billing practices for virtual meter aggregation.  I.D. at 15-16.</w:t>
      </w:r>
      <w:r w:rsidR="007E03B3">
        <w:rPr>
          <w:rStyle w:val="FootnoteReference"/>
          <w:rFonts w:eastAsia="Calibri"/>
          <w:sz w:val="26"/>
          <w:szCs w:val="26"/>
        </w:rPr>
        <w:footnoteReference w:id="6"/>
      </w:r>
    </w:p>
    <w:p w14:paraId="69AC3B2C" w14:textId="3CDA0D1E" w:rsidR="00E57936" w:rsidRDefault="00E57936" w:rsidP="00A81DE8">
      <w:pPr>
        <w:widowControl/>
        <w:spacing w:line="360" w:lineRule="auto"/>
        <w:ind w:firstLine="1440"/>
        <w:contextualSpacing/>
        <w:rPr>
          <w:sz w:val="26"/>
          <w:szCs w:val="26"/>
        </w:rPr>
      </w:pPr>
    </w:p>
    <w:p w14:paraId="1436072D" w14:textId="6F2562E5" w:rsidR="0008518F" w:rsidRDefault="0008518F" w:rsidP="00A81DE8">
      <w:pPr>
        <w:widowControl/>
        <w:spacing w:line="360" w:lineRule="auto"/>
        <w:ind w:firstLine="1440"/>
        <w:contextualSpacing/>
        <w:rPr>
          <w:rFonts w:eastAsia="Calibri"/>
          <w:sz w:val="26"/>
          <w:szCs w:val="26"/>
        </w:rPr>
      </w:pPr>
      <w:r w:rsidRPr="0008518F">
        <w:rPr>
          <w:rFonts w:eastAsia="Calibri"/>
          <w:sz w:val="26"/>
          <w:szCs w:val="26"/>
        </w:rPr>
        <w:t xml:space="preserve">The ALJ next summarized the position of PPL.  The ALJ highlighted the testimony of PPL’s witness Ms. Oehler as to the portion of PPL’s tariff regarding net metering </w:t>
      </w:r>
      <w:r w:rsidR="006708D0">
        <w:rPr>
          <w:rFonts w:eastAsia="Calibri"/>
          <w:sz w:val="26"/>
          <w:szCs w:val="26"/>
        </w:rPr>
        <w:t xml:space="preserve">provisions </w:t>
      </w:r>
      <w:r w:rsidRPr="0008518F">
        <w:rPr>
          <w:rFonts w:eastAsia="Calibri"/>
          <w:sz w:val="26"/>
          <w:szCs w:val="26"/>
        </w:rPr>
        <w:t xml:space="preserve">for renewable customer-generators.  Ms. Oehler noted that net metering rules permit customer generators to use the electricity produced from alternative energy systems to offset all or part of their electric usage.  Ms. Oehler also </w:t>
      </w:r>
      <w:r w:rsidR="00D028FE">
        <w:rPr>
          <w:rFonts w:eastAsia="Calibri"/>
          <w:sz w:val="26"/>
          <w:szCs w:val="26"/>
        </w:rPr>
        <w:t>averred</w:t>
      </w:r>
      <w:r w:rsidRPr="0008518F">
        <w:rPr>
          <w:rFonts w:eastAsia="Calibri"/>
          <w:sz w:val="26"/>
          <w:szCs w:val="26"/>
        </w:rPr>
        <w:t xml:space="preserve"> that because the Complainant’s solar array is not physically connected to his home, the Complainant participates in virtual meter aggregation.  Ms. Oehler explained that virtual meter aggregation involves at least two separate meters, two separate accounts, and two separate bills.  Additionally, Ms. Oehler provided specific details regarding the Complainant’s two accounts, noting that PPL issued the Complainant a credit of $739.98, </w:t>
      </w:r>
      <w:r w:rsidR="00534FE6">
        <w:rPr>
          <w:rFonts w:eastAsia="Calibri"/>
          <w:sz w:val="26"/>
          <w:szCs w:val="26"/>
        </w:rPr>
        <w:t xml:space="preserve">plus interest, </w:t>
      </w:r>
      <w:r w:rsidRPr="0008518F">
        <w:rPr>
          <w:rFonts w:eastAsia="Calibri"/>
          <w:sz w:val="26"/>
          <w:szCs w:val="26"/>
        </w:rPr>
        <w:t xml:space="preserve">as directed in our </w:t>
      </w:r>
      <w:r w:rsidRPr="0008518F">
        <w:rPr>
          <w:rFonts w:eastAsia="Calibri"/>
          <w:i/>
          <w:sz w:val="26"/>
          <w:szCs w:val="26"/>
        </w:rPr>
        <w:t>May 2016 Order,</w:t>
      </w:r>
      <w:r w:rsidRPr="0008518F">
        <w:rPr>
          <w:rFonts w:eastAsia="Calibri"/>
          <w:sz w:val="26"/>
          <w:szCs w:val="26"/>
        </w:rPr>
        <w:t xml:space="preserve"> and that PPL removed various large payment charges from the Complainant’s account.  I.D. at 16-17 </w:t>
      </w:r>
      <w:r w:rsidR="0007547B">
        <w:rPr>
          <w:rFonts w:eastAsia="Calibri"/>
          <w:sz w:val="26"/>
          <w:szCs w:val="26"/>
        </w:rPr>
        <w:t>(</w:t>
      </w:r>
      <w:r w:rsidRPr="0008518F">
        <w:rPr>
          <w:rFonts w:eastAsia="Calibri"/>
          <w:sz w:val="26"/>
          <w:szCs w:val="26"/>
        </w:rPr>
        <w:t>citing Tr. at 20, 22, 23</w:t>
      </w:r>
      <w:r w:rsidR="00534FE6">
        <w:rPr>
          <w:rFonts w:eastAsia="Calibri"/>
          <w:sz w:val="26"/>
          <w:szCs w:val="26"/>
        </w:rPr>
        <w:noBreakHyphen/>
      </w:r>
      <w:r w:rsidRPr="0008518F">
        <w:rPr>
          <w:rFonts w:eastAsia="Calibri"/>
          <w:sz w:val="26"/>
          <w:szCs w:val="26"/>
        </w:rPr>
        <w:t>24, 25, 27-31</w:t>
      </w:r>
      <w:r w:rsidR="0053100B">
        <w:rPr>
          <w:rFonts w:eastAsia="Calibri"/>
          <w:sz w:val="26"/>
          <w:szCs w:val="26"/>
        </w:rPr>
        <w:t>,</w:t>
      </w:r>
      <w:r w:rsidRPr="0008518F">
        <w:rPr>
          <w:rFonts w:eastAsia="Calibri"/>
          <w:sz w:val="26"/>
          <w:szCs w:val="26"/>
        </w:rPr>
        <w:t xml:space="preserve"> and PPL Exh. Nos. 1, 6, and 11</w:t>
      </w:r>
      <w:r w:rsidR="0007547B">
        <w:rPr>
          <w:rFonts w:eastAsia="Calibri"/>
          <w:sz w:val="26"/>
          <w:szCs w:val="26"/>
        </w:rPr>
        <w:t>)</w:t>
      </w:r>
      <w:r w:rsidRPr="0008518F">
        <w:rPr>
          <w:rFonts w:eastAsia="Calibri"/>
          <w:sz w:val="26"/>
          <w:szCs w:val="26"/>
        </w:rPr>
        <w:t>.</w:t>
      </w:r>
    </w:p>
    <w:p w14:paraId="0CDC9715" w14:textId="059CB23C" w:rsidR="0008518F" w:rsidRDefault="0008518F" w:rsidP="00A81DE8">
      <w:pPr>
        <w:widowControl/>
        <w:spacing w:line="360" w:lineRule="auto"/>
        <w:ind w:firstLine="1440"/>
        <w:contextualSpacing/>
        <w:rPr>
          <w:sz w:val="26"/>
          <w:szCs w:val="26"/>
        </w:rPr>
      </w:pPr>
    </w:p>
    <w:p w14:paraId="127B7565" w14:textId="084FE960" w:rsidR="00E30A29" w:rsidRPr="00E30A29" w:rsidRDefault="00E30A29" w:rsidP="00A81DE8">
      <w:pPr>
        <w:widowControl/>
        <w:spacing w:line="360" w:lineRule="auto"/>
        <w:ind w:firstLine="1440"/>
        <w:contextualSpacing/>
        <w:rPr>
          <w:sz w:val="26"/>
          <w:szCs w:val="26"/>
        </w:rPr>
      </w:pPr>
      <w:r w:rsidRPr="00E30A29">
        <w:rPr>
          <w:sz w:val="26"/>
          <w:szCs w:val="26"/>
        </w:rPr>
        <w:t>The ALJ also summarized the testimony of PPL’s witness Ms. Nalesnik, who testified that PPL issued termination notices to the Complainant because he had not paid the undisputed portion of his bills.  Ms. Nalesnik noted that under PPL’s tariff, service can be terminated for the nonpayment of an undisputed delinquent account balance.  Ms. Nalesnik explained that although the Complainant had an open complaint at the Commission, he was still obligated to pay his current bill with PPL after the dispute was filed.  However, Ms. Nalesnik clarified that the Complainant’s accounts have never been terminated because, as a courtesy, PPL de</w:t>
      </w:r>
      <w:r w:rsidR="00534FE6">
        <w:rPr>
          <w:sz w:val="26"/>
          <w:szCs w:val="26"/>
        </w:rPr>
        <w:t>cid</w:t>
      </w:r>
      <w:r w:rsidRPr="00E30A29">
        <w:rPr>
          <w:sz w:val="26"/>
          <w:szCs w:val="26"/>
        </w:rPr>
        <w:t xml:space="preserve">ed that it would not shut off his service </w:t>
      </w:r>
      <w:r w:rsidRPr="00E30A29">
        <w:rPr>
          <w:sz w:val="26"/>
          <w:szCs w:val="26"/>
        </w:rPr>
        <w:lastRenderedPageBreak/>
        <w:t>while his complaints were pending</w:t>
      </w:r>
      <w:r w:rsidR="00852333">
        <w:rPr>
          <w:sz w:val="26"/>
          <w:szCs w:val="26"/>
        </w:rPr>
        <w:t xml:space="preserve">.  As such, PPL </w:t>
      </w:r>
      <w:r w:rsidRPr="00E30A29">
        <w:rPr>
          <w:sz w:val="26"/>
          <w:szCs w:val="26"/>
        </w:rPr>
        <w:t>placed a litigation hold on his account</w:t>
      </w:r>
      <w:r w:rsidR="00852333">
        <w:rPr>
          <w:sz w:val="26"/>
          <w:szCs w:val="26"/>
        </w:rPr>
        <w:t xml:space="preserve"> to prevent his service from being terminated</w:t>
      </w:r>
      <w:r w:rsidRPr="00E30A29">
        <w:rPr>
          <w:sz w:val="26"/>
          <w:szCs w:val="26"/>
        </w:rPr>
        <w:t xml:space="preserve">.  Ms. Nalesnik </w:t>
      </w:r>
      <w:r w:rsidR="00534FE6">
        <w:rPr>
          <w:sz w:val="26"/>
          <w:szCs w:val="26"/>
        </w:rPr>
        <w:t>assert</w:t>
      </w:r>
      <w:r w:rsidR="008D6C27">
        <w:rPr>
          <w:sz w:val="26"/>
          <w:szCs w:val="26"/>
        </w:rPr>
        <w:t>ed</w:t>
      </w:r>
      <w:r w:rsidRPr="00E30A29">
        <w:rPr>
          <w:sz w:val="26"/>
          <w:szCs w:val="26"/>
        </w:rPr>
        <w:t xml:space="preserve"> that when the litigation hold automatically expired after eighteen months, the termination notices were issued.  However, PPL placed new litigation holds on the Complainant’s account </w:t>
      </w:r>
      <w:r w:rsidR="008D6365">
        <w:rPr>
          <w:sz w:val="26"/>
          <w:szCs w:val="26"/>
        </w:rPr>
        <w:t>when</w:t>
      </w:r>
      <w:r w:rsidRPr="00E30A29">
        <w:rPr>
          <w:sz w:val="26"/>
          <w:szCs w:val="26"/>
        </w:rPr>
        <w:t xml:space="preserve"> he called the Company</w:t>
      </w:r>
      <w:r w:rsidR="008D6365">
        <w:rPr>
          <w:sz w:val="26"/>
          <w:szCs w:val="26"/>
        </w:rPr>
        <w:t xml:space="preserve"> regarding his termination notices</w:t>
      </w:r>
      <w:r w:rsidRPr="00E30A29">
        <w:rPr>
          <w:sz w:val="26"/>
          <w:szCs w:val="26"/>
        </w:rPr>
        <w:t xml:space="preserve">.  I.D. at 17 </w:t>
      </w:r>
      <w:r w:rsidR="0007547B">
        <w:rPr>
          <w:sz w:val="26"/>
          <w:szCs w:val="26"/>
        </w:rPr>
        <w:t>(</w:t>
      </w:r>
      <w:r w:rsidRPr="00E30A29">
        <w:rPr>
          <w:sz w:val="26"/>
          <w:szCs w:val="26"/>
        </w:rPr>
        <w:t>citing Tr. at 38-47 and PPL Exh</w:t>
      </w:r>
      <w:r w:rsidR="00E27A01">
        <w:rPr>
          <w:sz w:val="26"/>
          <w:szCs w:val="26"/>
        </w:rPr>
        <w:t>.</w:t>
      </w:r>
      <w:r w:rsidRPr="00E30A29">
        <w:rPr>
          <w:sz w:val="26"/>
          <w:szCs w:val="26"/>
        </w:rPr>
        <w:t xml:space="preserve"> Nos. 1, 2, and 12</w:t>
      </w:r>
      <w:r w:rsidR="0007547B">
        <w:rPr>
          <w:sz w:val="26"/>
          <w:szCs w:val="26"/>
        </w:rPr>
        <w:t>)</w:t>
      </w:r>
      <w:r w:rsidRPr="00E30A29">
        <w:rPr>
          <w:sz w:val="26"/>
          <w:szCs w:val="26"/>
        </w:rPr>
        <w:t>.</w:t>
      </w:r>
    </w:p>
    <w:p w14:paraId="255353CC" w14:textId="77777777" w:rsidR="00E30A29" w:rsidRPr="00E30A29" w:rsidRDefault="00E30A29" w:rsidP="00A81DE8">
      <w:pPr>
        <w:widowControl/>
        <w:spacing w:line="360" w:lineRule="auto"/>
        <w:ind w:firstLine="1440"/>
        <w:contextualSpacing/>
        <w:rPr>
          <w:sz w:val="26"/>
          <w:szCs w:val="26"/>
        </w:rPr>
      </w:pPr>
    </w:p>
    <w:p w14:paraId="08C28F9E" w14:textId="53B2C41E" w:rsidR="00E30A29" w:rsidRPr="00E30A29" w:rsidRDefault="00E30A29" w:rsidP="00A81DE8">
      <w:pPr>
        <w:widowControl/>
        <w:spacing w:line="360" w:lineRule="auto"/>
        <w:ind w:firstLine="1440"/>
        <w:contextualSpacing/>
        <w:rPr>
          <w:sz w:val="26"/>
          <w:szCs w:val="26"/>
        </w:rPr>
      </w:pPr>
      <w:r w:rsidRPr="00E30A29">
        <w:rPr>
          <w:sz w:val="26"/>
          <w:szCs w:val="26"/>
        </w:rPr>
        <w:t>The ALJ also noted Ms. Nalesnik’s testimony regarding the billing and crediting of the Complainant’s accounts.  Ms. Nalesnik explained that because the Complainant is a virtual meter aggregation customer, the excess generation measured at his host meter (</w:t>
      </w:r>
      <w:r w:rsidRPr="00E30A29">
        <w:rPr>
          <w:i/>
          <w:sz w:val="26"/>
          <w:szCs w:val="26"/>
        </w:rPr>
        <w:t>i.e.</w:t>
      </w:r>
      <w:r w:rsidR="0007547B">
        <w:rPr>
          <w:i/>
          <w:sz w:val="26"/>
          <w:szCs w:val="26"/>
        </w:rPr>
        <w:t>,</w:t>
      </w:r>
      <w:r w:rsidRPr="00E30A29">
        <w:rPr>
          <w:sz w:val="26"/>
          <w:szCs w:val="26"/>
        </w:rPr>
        <w:t xml:space="preserve"> at his </w:t>
      </w:r>
      <w:r w:rsidR="0029288D">
        <w:rPr>
          <w:sz w:val="26"/>
          <w:szCs w:val="26"/>
        </w:rPr>
        <w:t xml:space="preserve">photovoltaic </w:t>
      </w:r>
      <w:r w:rsidR="0029288D" w:rsidRPr="00E30A29">
        <w:rPr>
          <w:sz w:val="26"/>
          <w:szCs w:val="26"/>
        </w:rPr>
        <w:t>solar</w:t>
      </w:r>
      <w:r w:rsidR="0029288D">
        <w:rPr>
          <w:sz w:val="26"/>
          <w:szCs w:val="26"/>
        </w:rPr>
        <w:t xml:space="preserve"> facility</w:t>
      </w:r>
      <w:r w:rsidRPr="00E30A29">
        <w:rPr>
          <w:sz w:val="26"/>
          <w:szCs w:val="26"/>
        </w:rPr>
        <w:t>) is aggregated with the usage measured at his satellite meter (</w:t>
      </w:r>
      <w:r w:rsidRPr="00E30A29">
        <w:rPr>
          <w:i/>
          <w:sz w:val="26"/>
          <w:szCs w:val="26"/>
        </w:rPr>
        <w:t>i.e.</w:t>
      </w:r>
      <w:r w:rsidR="0007547B">
        <w:rPr>
          <w:i/>
          <w:sz w:val="26"/>
          <w:szCs w:val="26"/>
        </w:rPr>
        <w:t>,</w:t>
      </w:r>
      <w:r w:rsidRPr="00E30A29">
        <w:rPr>
          <w:sz w:val="26"/>
          <w:szCs w:val="26"/>
        </w:rPr>
        <w:t xml:space="preserve"> at his Service Address).  PPL utilizes a manual process that includes creating a spreadsheet for each virtual meter aggregation customer to track the excess generation at the host site on a monthly basis and to allocate that excess generation to the satellite site.  The formulas in the spreadsheet automatically calculate the credit due to the customer’s account for each billing period.  I.D. at 18, citing Tr. at 51-52</w:t>
      </w:r>
      <w:r w:rsidR="00987F31">
        <w:rPr>
          <w:sz w:val="26"/>
          <w:szCs w:val="26"/>
        </w:rPr>
        <w:t>.</w:t>
      </w:r>
    </w:p>
    <w:p w14:paraId="2B0C5BB5" w14:textId="77777777" w:rsidR="00E30A29" w:rsidRPr="00E30A29" w:rsidRDefault="00E30A29" w:rsidP="00A81DE8">
      <w:pPr>
        <w:widowControl/>
        <w:spacing w:line="360" w:lineRule="auto"/>
        <w:ind w:firstLine="1440"/>
        <w:contextualSpacing/>
        <w:rPr>
          <w:sz w:val="26"/>
          <w:szCs w:val="26"/>
        </w:rPr>
      </w:pPr>
    </w:p>
    <w:p w14:paraId="1426EC89" w14:textId="7CB8B6DA" w:rsidR="00E30A29" w:rsidRPr="00E30A29" w:rsidRDefault="00E30A29" w:rsidP="00A81DE8">
      <w:pPr>
        <w:widowControl/>
        <w:spacing w:line="360" w:lineRule="auto"/>
        <w:ind w:firstLine="1440"/>
        <w:contextualSpacing/>
        <w:rPr>
          <w:sz w:val="26"/>
          <w:szCs w:val="26"/>
        </w:rPr>
      </w:pPr>
      <w:r w:rsidRPr="00E30A29">
        <w:rPr>
          <w:sz w:val="26"/>
          <w:szCs w:val="26"/>
        </w:rPr>
        <w:t xml:space="preserve">Additionally, the ALJ noted Ms. Nalesnik’s testimony regarding the internal manual PPL uses </w:t>
      </w:r>
      <w:r w:rsidR="00EC54DF">
        <w:rPr>
          <w:sz w:val="26"/>
          <w:szCs w:val="26"/>
        </w:rPr>
        <w:t>to perform</w:t>
      </w:r>
      <w:r w:rsidRPr="00E30A29">
        <w:rPr>
          <w:sz w:val="26"/>
          <w:szCs w:val="26"/>
        </w:rPr>
        <w:t xml:space="preserve"> virtual meter aggregation billing and the one</w:t>
      </w:r>
      <w:r w:rsidR="00D7032C">
        <w:rPr>
          <w:sz w:val="26"/>
          <w:szCs w:val="26"/>
        </w:rPr>
        <w:noBreakHyphen/>
      </w:r>
      <w:r w:rsidRPr="00E30A29">
        <w:rPr>
          <w:sz w:val="26"/>
          <w:szCs w:val="26"/>
        </w:rPr>
        <w:t xml:space="preserve">page spreadsheet PPL created for this proceeding that shows the crediting history for the Complainant’s accounts.  Ms. Nalesnik asserted that the Complainant’s accounts were prepared consistent with PPL’s established billing process in which virtual meter </w:t>
      </w:r>
      <w:r w:rsidR="00557271">
        <w:rPr>
          <w:sz w:val="26"/>
          <w:szCs w:val="26"/>
        </w:rPr>
        <w:t xml:space="preserve">aggregation </w:t>
      </w:r>
      <w:r w:rsidRPr="00E30A29">
        <w:rPr>
          <w:sz w:val="26"/>
          <w:szCs w:val="26"/>
        </w:rPr>
        <w:t xml:space="preserve">customers receive a separate bill for each account and PPL manually aggregates actual generation produced from the host account during the billing cycle with the usage of the satellite account on a one-to-one kilowatt hour basis.  Ms. Nalesnik explained that any net excess generation is credited at a dollar amount equal to the full retail rate.  Further, Ms. Nalesnik averred that PPL credited the Complainant consistent </w:t>
      </w:r>
      <w:r w:rsidRPr="00E30A29">
        <w:rPr>
          <w:sz w:val="26"/>
          <w:szCs w:val="26"/>
        </w:rPr>
        <w:lastRenderedPageBreak/>
        <w:t xml:space="preserve">with PPL’s manual billing process for the time period relevant to this Complaint and that PPL depicted this on the spreadsheet.  I.D. at 18-19 </w:t>
      </w:r>
      <w:r w:rsidR="0007547B">
        <w:rPr>
          <w:sz w:val="26"/>
          <w:szCs w:val="26"/>
        </w:rPr>
        <w:t>(</w:t>
      </w:r>
      <w:r w:rsidRPr="00E30A29">
        <w:rPr>
          <w:sz w:val="26"/>
          <w:szCs w:val="26"/>
        </w:rPr>
        <w:t>citing PPL Exh. No. 5, Tr. at 54-56</w:t>
      </w:r>
      <w:r w:rsidR="0007547B">
        <w:rPr>
          <w:sz w:val="26"/>
          <w:szCs w:val="26"/>
        </w:rPr>
        <w:t>)</w:t>
      </w:r>
      <w:r w:rsidRPr="00E30A29">
        <w:rPr>
          <w:sz w:val="26"/>
          <w:szCs w:val="26"/>
        </w:rPr>
        <w:t>.</w:t>
      </w:r>
    </w:p>
    <w:p w14:paraId="17E774A8" w14:textId="77777777" w:rsidR="00F16ABC" w:rsidRDefault="00F16ABC" w:rsidP="00A81DE8">
      <w:pPr>
        <w:widowControl/>
        <w:spacing w:line="360" w:lineRule="auto"/>
        <w:ind w:firstLine="1440"/>
        <w:contextualSpacing/>
        <w:rPr>
          <w:sz w:val="26"/>
          <w:szCs w:val="26"/>
        </w:rPr>
      </w:pPr>
    </w:p>
    <w:p w14:paraId="5D83E766" w14:textId="76D7A4DE" w:rsidR="00F16ABC" w:rsidRPr="00F16ABC" w:rsidRDefault="00F16ABC" w:rsidP="00A81DE8">
      <w:pPr>
        <w:widowControl/>
        <w:spacing w:line="360" w:lineRule="auto"/>
        <w:ind w:firstLine="1440"/>
        <w:contextualSpacing/>
        <w:rPr>
          <w:sz w:val="26"/>
          <w:szCs w:val="26"/>
        </w:rPr>
      </w:pPr>
      <w:r>
        <w:rPr>
          <w:sz w:val="26"/>
          <w:szCs w:val="26"/>
        </w:rPr>
        <w:t>Based on the above, the</w:t>
      </w:r>
      <w:r w:rsidRPr="00F16ABC">
        <w:rPr>
          <w:sz w:val="26"/>
          <w:szCs w:val="26"/>
        </w:rPr>
        <w:t xml:space="preserve"> ALJ found that, in general, PPL presented substantial evidence to indicate that it has at all times acted consistent with the Code and with the Commission regulations in providing service to the Complainant.  Additionally, the ALJ concluded that the Complainant failed to meet his burden of proving that PP</w:t>
      </w:r>
      <w:r w:rsidR="00CB7057">
        <w:rPr>
          <w:sz w:val="26"/>
          <w:szCs w:val="26"/>
        </w:rPr>
        <w:t>L violated</w:t>
      </w:r>
      <w:r w:rsidRPr="00F16ABC">
        <w:rPr>
          <w:sz w:val="26"/>
          <w:szCs w:val="26"/>
        </w:rPr>
        <w:t xml:space="preserve"> its Commission-approved tariff, a Commission order or regulation, or the Code.  The ALJ pointed out that beyond general information regarding his accounts, the only evidence proffered by the Complainant</w:t>
      </w:r>
      <w:r w:rsidR="00147287">
        <w:rPr>
          <w:sz w:val="26"/>
          <w:szCs w:val="26"/>
        </w:rPr>
        <w:t xml:space="preserve"> to support his allegation</w:t>
      </w:r>
      <w:r w:rsidRPr="00F16ABC">
        <w:rPr>
          <w:sz w:val="26"/>
          <w:szCs w:val="26"/>
        </w:rPr>
        <w:t xml:space="preserve"> that PPL’s procedure for his virtual meter aggregation billing is unreasonable and that he was incorrectly billed was his assertion that there was no information on either of his bills to indicate that the two meters are aggregated.  The ALJ emphasized</w:t>
      </w:r>
      <w:r w:rsidR="00515A87">
        <w:rPr>
          <w:sz w:val="26"/>
          <w:szCs w:val="26"/>
        </w:rPr>
        <w:t xml:space="preserve"> that</w:t>
      </w:r>
      <w:r w:rsidRPr="00F16ABC">
        <w:rPr>
          <w:sz w:val="26"/>
          <w:szCs w:val="26"/>
        </w:rPr>
        <w:t xml:space="preserve"> bald assertions, personal opinions or perceptions do not constitute evidence. I.D. at 17, 19-20, 23</w:t>
      </w:r>
      <w:r>
        <w:rPr>
          <w:sz w:val="26"/>
          <w:szCs w:val="26"/>
        </w:rPr>
        <w:t>.</w:t>
      </w:r>
    </w:p>
    <w:p w14:paraId="28511A1C" w14:textId="77777777" w:rsidR="00F16ABC" w:rsidRPr="00F16ABC" w:rsidRDefault="00F16ABC" w:rsidP="00A81DE8">
      <w:pPr>
        <w:widowControl/>
        <w:spacing w:line="360" w:lineRule="auto"/>
        <w:ind w:firstLine="1440"/>
        <w:contextualSpacing/>
        <w:rPr>
          <w:sz w:val="26"/>
          <w:szCs w:val="26"/>
        </w:rPr>
      </w:pPr>
    </w:p>
    <w:p w14:paraId="4A6366C8" w14:textId="1A58BEED" w:rsidR="00F16ABC" w:rsidRPr="00F16ABC" w:rsidRDefault="00F16ABC" w:rsidP="00A81DE8">
      <w:pPr>
        <w:widowControl/>
        <w:spacing w:line="360" w:lineRule="auto"/>
        <w:ind w:firstLine="1440"/>
        <w:contextualSpacing/>
        <w:rPr>
          <w:sz w:val="26"/>
          <w:szCs w:val="26"/>
        </w:rPr>
      </w:pPr>
      <w:r w:rsidRPr="00F16ABC">
        <w:rPr>
          <w:sz w:val="26"/>
          <w:szCs w:val="26"/>
        </w:rPr>
        <w:t xml:space="preserve">Conversely, the ALJ concluded that PPL supplied substantial and detailed evidence for the record to demonstrate how the Complainant’s bills are aggregated.  The ALJ pointed to PPL’s description of its manual billing process, including </w:t>
      </w:r>
      <w:r w:rsidR="00557271">
        <w:rPr>
          <w:sz w:val="26"/>
          <w:szCs w:val="26"/>
        </w:rPr>
        <w:t xml:space="preserve">the calculations made for virtual </w:t>
      </w:r>
      <w:r w:rsidR="003350C5">
        <w:rPr>
          <w:sz w:val="26"/>
          <w:szCs w:val="26"/>
        </w:rPr>
        <w:t>meter</w:t>
      </w:r>
      <w:r w:rsidR="00557271">
        <w:rPr>
          <w:sz w:val="26"/>
          <w:szCs w:val="26"/>
        </w:rPr>
        <w:t xml:space="preserve"> </w:t>
      </w:r>
      <w:r w:rsidR="00E8399C">
        <w:rPr>
          <w:sz w:val="26"/>
          <w:szCs w:val="26"/>
        </w:rPr>
        <w:t>aggregation</w:t>
      </w:r>
      <w:r w:rsidRPr="00F16ABC">
        <w:rPr>
          <w:sz w:val="26"/>
          <w:szCs w:val="26"/>
        </w:rPr>
        <w:t xml:space="preserve"> and where on the Complainant’s account the results of those calculations </w:t>
      </w:r>
      <w:r w:rsidR="00557271">
        <w:rPr>
          <w:sz w:val="26"/>
          <w:szCs w:val="26"/>
        </w:rPr>
        <w:t>appear</w:t>
      </w:r>
      <w:r w:rsidRPr="00F16ABC">
        <w:rPr>
          <w:sz w:val="26"/>
          <w:szCs w:val="26"/>
        </w:rPr>
        <w:t xml:space="preserve">.  The ALJ also emphasized that the Commission previously addressed issues regarding PPL’s virtual meter aggregation process in the </w:t>
      </w:r>
      <w:r w:rsidRPr="00F16ABC">
        <w:rPr>
          <w:i/>
          <w:sz w:val="26"/>
          <w:szCs w:val="26"/>
        </w:rPr>
        <w:t xml:space="preserve">May 2016 Order </w:t>
      </w:r>
      <w:r w:rsidRPr="00F16ABC">
        <w:rPr>
          <w:sz w:val="26"/>
          <w:szCs w:val="26"/>
        </w:rPr>
        <w:t>in response to the Complainant’s prior complaints.  The ALJ found that the Complainant failed to present</w:t>
      </w:r>
      <w:r w:rsidR="00557271">
        <w:rPr>
          <w:sz w:val="26"/>
          <w:szCs w:val="26"/>
        </w:rPr>
        <w:t xml:space="preserve"> any evidence</w:t>
      </w:r>
      <w:r w:rsidRPr="00F16ABC">
        <w:rPr>
          <w:sz w:val="26"/>
          <w:szCs w:val="26"/>
        </w:rPr>
        <w:t xml:space="preserve"> in the instant proceeding that warrants disturbing these findings.  I.D. at 20.</w:t>
      </w:r>
    </w:p>
    <w:p w14:paraId="626AF2DA" w14:textId="77777777" w:rsidR="00F16ABC" w:rsidRPr="00F16ABC" w:rsidRDefault="00F16ABC" w:rsidP="00A81DE8">
      <w:pPr>
        <w:widowControl/>
        <w:spacing w:line="360" w:lineRule="auto"/>
        <w:ind w:firstLine="1440"/>
        <w:contextualSpacing/>
        <w:rPr>
          <w:sz w:val="26"/>
          <w:szCs w:val="26"/>
        </w:rPr>
      </w:pPr>
    </w:p>
    <w:p w14:paraId="3BF37A20" w14:textId="21EB4213" w:rsidR="00F16ABC" w:rsidRPr="00F16ABC" w:rsidRDefault="00F16ABC" w:rsidP="00A81DE8">
      <w:pPr>
        <w:widowControl/>
        <w:spacing w:line="360" w:lineRule="auto"/>
        <w:ind w:firstLine="1440"/>
        <w:contextualSpacing/>
        <w:rPr>
          <w:sz w:val="26"/>
          <w:szCs w:val="26"/>
        </w:rPr>
      </w:pPr>
      <w:r w:rsidRPr="00F16ABC">
        <w:rPr>
          <w:sz w:val="26"/>
          <w:szCs w:val="26"/>
        </w:rPr>
        <w:t>Additionally, the ALJ rejected the Complainant’s averment that he was improperly sent termination not</w:t>
      </w:r>
      <w:r w:rsidR="00695B2C">
        <w:rPr>
          <w:sz w:val="26"/>
          <w:szCs w:val="26"/>
        </w:rPr>
        <w:t>ices</w:t>
      </w:r>
      <w:r w:rsidRPr="00F16ABC">
        <w:rPr>
          <w:sz w:val="26"/>
          <w:szCs w:val="26"/>
        </w:rPr>
        <w:t xml:space="preserve"> by PPL.  Citing to Chapter 56 of </w:t>
      </w:r>
      <w:r w:rsidR="00BF3608">
        <w:rPr>
          <w:sz w:val="26"/>
          <w:szCs w:val="26"/>
        </w:rPr>
        <w:t>our</w:t>
      </w:r>
      <w:r w:rsidRPr="00F16ABC">
        <w:rPr>
          <w:sz w:val="26"/>
          <w:szCs w:val="26"/>
        </w:rPr>
        <w:t xml:space="preserve"> </w:t>
      </w:r>
      <w:r w:rsidR="0007547B">
        <w:rPr>
          <w:sz w:val="26"/>
          <w:szCs w:val="26"/>
        </w:rPr>
        <w:t>R</w:t>
      </w:r>
      <w:r w:rsidRPr="00F16ABC">
        <w:rPr>
          <w:sz w:val="26"/>
          <w:szCs w:val="26"/>
        </w:rPr>
        <w:t>egulations at 52</w:t>
      </w:r>
      <w:r w:rsidR="00165D01">
        <w:rPr>
          <w:sz w:val="26"/>
          <w:szCs w:val="26"/>
        </w:rPr>
        <w:t> </w:t>
      </w:r>
      <w:r w:rsidRPr="00F16ABC">
        <w:rPr>
          <w:sz w:val="26"/>
          <w:szCs w:val="26"/>
        </w:rPr>
        <w:t>Pa</w:t>
      </w:r>
      <w:r w:rsidR="0007547B">
        <w:rPr>
          <w:sz w:val="26"/>
          <w:szCs w:val="26"/>
        </w:rPr>
        <w:t>.</w:t>
      </w:r>
      <w:r w:rsidRPr="00F16ABC">
        <w:rPr>
          <w:sz w:val="26"/>
          <w:szCs w:val="26"/>
        </w:rPr>
        <w:t xml:space="preserve"> Code </w:t>
      </w:r>
      <w:r w:rsidR="0007547B">
        <w:rPr>
          <w:sz w:val="26"/>
          <w:szCs w:val="26"/>
        </w:rPr>
        <w:t>Chp.</w:t>
      </w:r>
      <w:r w:rsidRPr="00F16ABC">
        <w:rPr>
          <w:sz w:val="26"/>
          <w:szCs w:val="26"/>
        </w:rPr>
        <w:t xml:space="preserve"> 56, which governs termination of residential utility service, the ALJ found that the evidence presented by the Complainant regarding the termination notices </w:t>
      </w:r>
      <w:r w:rsidRPr="00F16ABC">
        <w:rPr>
          <w:sz w:val="26"/>
          <w:szCs w:val="26"/>
        </w:rPr>
        <w:lastRenderedPageBreak/>
        <w:t>he received is outweighed by the evidence presented by PPL that it sent the termination notices in compliance with the Commission’s termination notice regulations.</w:t>
      </w:r>
      <w:bookmarkStart w:id="2" w:name="_Hlk531858805"/>
      <w:r w:rsidRPr="00F16ABC">
        <w:rPr>
          <w:sz w:val="26"/>
          <w:szCs w:val="26"/>
        </w:rPr>
        <w:t xml:space="preserve">  The ALJ noted the testimony of PPL’s witness Ms. Nalesnik that the Complainant is still obligated to pay his current bills after the instant Complaint was filed, that the termination notices were sent because he was not paying the undisputed charges, and that PPL has never terminated service to either of the Complainant’s accounts because a litigation hold was put in place when the Complaint was filed.  The ALJ pointed out that </w:t>
      </w:r>
      <w:bookmarkEnd w:id="2"/>
      <w:r w:rsidRPr="00F16ABC">
        <w:rPr>
          <w:sz w:val="26"/>
          <w:szCs w:val="26"/>
        </w:rPr>
        <w:t xml:space="preserve">litigation holds expire after </w:t>
      </w:r>
      <w:r w:rsidR="0075783A">
        <w:rPr>
          <w:sz w:val="26"/>
          <w:szCs w:val="26"/>
        </w:rPr>
        <w:t xml:space="preserve">eighteen </w:t>
      </w:r>
      <w:r w:rsidRPr="00F16ABC">
        <w:rPr>
          <w:sz w:val="26"/>
          <w:szCs w:val="26"/>
        </w:rPr>
        <w:t xml:space="preserve">months and that PPL took immediate action to place an additional litigation hold on </w:t>
      </w:r>
      <w:r w:rsidR="000C20E8">
        <w:rPr>
          <w:sz w:val="26"/>
          <w:szCs w:val="26"/>
        </w:rPr>
        <w:t>the Complainant</w:t>
      </w:r>
      <w:r w:rsidRPr="00F16ABC">
        <w:rPr>
          <w:sz w:val="26"/>
          <w:szCs w:val="26"/>
        </w:rPr>
        <w:t>’s account.  As such, the ALJ concluded that PPL’s actions were not unreasonable.  I.D. at 21-22</w:t>
      </w:r>
      <w:r w:rsidR="00065C52">
        <w:rPr>
          <w:sz w:val="26"/>
          <w:szCs w:val="26"/>
        </w:rPr>
        <w:t>.</w:t>
      </w:r>
    </w:p>
    <w:p w14:paraId="06A0EACE" w14:textId="77777777" w:rsidR="00F16ABC" w:rsidRPr="00F16ABC" w:rsidRDefault="00F16ABC" w:rsidP="00A81DE8">
      <w:pPr>
        <w:widowControl/>
        <w:spacing w:line="360" w:lineRule="auto"/>
        <w:ind w:firstLine="1440"/>
        <w:contextualSpacing/>
        <w:rPr>
          <w:sz w:val="26"/>
          <w:szCs w:val="26"/>
        </w:rPr>
      </w:pPr>
    </w:p>
    <w:p w14:paraId="665C97C2" w14:textId="7170F7D6" w:rsidR="00F16ABC" w:rsidRPr="00F16ABC" w:rsidRDefault="00F16ABC" w:rsidP="00A81DE8">
      <w:pPr>
        <w:widowControl/>
        <w:spacing w:line="360" w:lineRule="auto"/>
        <w:ind w:firstLine="1440"/>
        <w:contextualSpacing/>
        <w:rPr>
          <w:sz w:val="26"/>
          <w:szCs w:val="26"/>
        </w:rPr>
      </w:pPr>
      <w:r w:rsidRPr="00F16ABC">
        <w:rPr>
          <w:sz w:val="26"/>
          <w:szCs w:val="26"/>
        </w:rPr>
        <w:t xml:space="preserve">Finally, the ALJ found that the Complainant’s averment in his Complaint that he had not </w:t>
      </w:r>
      <w:r w:rsidR="00C055F3">
        <w:rPr>
          <w:sz w:val="26"/>
          <w:szCs w:val="26"/>
        </w:rPr>
        <w:t>been issued the credit</w:t>
      </w:r>
      <w:r w:rsidRPr="00F16ABC">
        <w:rPr>
          <w:sz w:val="26"/>
          <w:szCs w:val="26"/>
        </w:rPr>
        <w:t xml:space="preserve"> that the Commission directed PPL to credit him in the </w:t>
      </w:r>
      <w:r w:rsidRPr="00F16ABC">
        <w:rPr>
          <w:i/>
          <w:sz w:val="26"/>
          <w:szCs w:val="26"/>
        </w:rPr>
        <w:t xml:space="preserve">May 2016 </w:t>
      </w:r>
      <w:r w:rsidRPr="00C23127">
        <w:rPr>
          <w:i/>
          <w:sz w:val="26"/>
          <w:szCs w:val="26"/>
        </w:rPr>
        <w:t>Order</w:t>
      </w:r>
      <w:r w:rsidR="000C20E8">
        <w:rPr>
          <w:sz w:val="26"/>
          <w:szCs w:val="26"/>
        </w:rPr>
        <w:t xml:space="preserve"> was</w:t>
      </w:r>
      <w:r w:rsidRPr="00C23127">
        <w:rPr>
          <w:sz w:val="26"/>
          <w:szCs w:val="26"/>
        </w:rPr>
        <w:t xml:space="preserve"> without merit becaus</w:t>
      </w:r>
      <w:r w:rsidRPr="00F16ABC">
        <w:rPr>
          <w:sz w:val="26"/>
          <w:szCs w:val="26"/>
        </w:rPr>
        <w:t>e PPL subsequently issued this credit to the Complainant.  I.D. at 22.</w:t>
      </w:r>
    </w:p>
    <w:p w14:paraId="6308BD77" w14:textId="77777777" w:rsidR="00725378" w:rsidRPr="004F4E4A" w:rsidRDefault="00725378" w:rsidP="00A81DE8">
      <w:pPr>
        <w:widowControl/>
        <w:spacing w:line="360" w:lineRule="auto"/>
        <w:ind w:firstLine="1440"/>
        <w:contextualSpacing/>
        <w:rPr>
          <w:sz w:val="26"/>
          <w:szCs w:val="26"/>
        </w:rPr>
      </w:pPr>
    </w:p>
    <w:p w14:paraId="61595991" w14:textId="77777777" w:rsidR="00E51E04" w:rsidRPr="00570FA3" w:rsidRDefault="00FC1FD6" w:rsidP="00A81DE8">
      <w:pPr>
        <w:keepNext/>
        <w:keepLines/>
        <w:widowControl/>
        <w:spacing w:line="360" w:lineRule="auto"/>
        <w:ind w:firstLine="720"/>
        <w:contextualSpacing/>
        <w:rPr>
          <w:b/>
          <w:sz w:val="26"/>
          <w:szCs w:val="26"/>
        </w:rPr>
      </w:pPr>
      <w:r>
        <w:rPr>
          <w:b/>
          <w:sz w:val="26"/>
          <w:szCs w:val="26"/>
        </w:rPr>
        <w:t>C.</w:t>
      </w:r>
      <w:r>
        <w:rPr>
          <w:b/>
          <w:sz w:val="26"/>
          <w:szCs w:val="26"/>
        </w:rPr>
        <w:tab/>
      </w:r>
      <w:r w:rsidR="00E51E04" w:rsidRPr="00570FA3">
        <w:rPr>
          <w:b/>
          <w:sz w:val="26"/>
          <w:szCs w:val="26"/>
        </w:rPr>
        <w:t>Exceptions and Reply Exceptions</w:t>
      </w:r>
    </w:p>
    <w:p w14:paraId="3BCDF9A0" w14:textId="77777777" w:rsidR="00E51E04" w:rsidRPr="00570FA3" w:rsidRDefault="00E51E04" w:rsidP="00A81DE8">
      <w:pPr>
        <w:keepNext/>
        <w:keepLines/>
        <w:widowControl/>
        <w:spacing w:line="360" w:lineRule="auto"/>
        <w:ind w:firstLine="1440"/>
        <w:contextualSpacing/>
        <w:rPr>
          <w:sz w:val="26"/>
          <w:szCs w:val="26"/>
        </w:rPr>
      </w:pPr>
    </w:p>
    <w:p w14:paraId="67EE42D1" w14:textId="77777777" w:rsidR="00611FD1" w:rsidRPr="00570FA3" w:rsidRDefault="00611FD1" w:rsidP="00A81DE8">
      <w:pPr>
        <w:widowControl/>
        <w:spacing w:line="360" w:lineRule="auto"/>
        <w:ind w:firstLine="1440"/>
        <w:contextualSpacing/>
        <w:rPr>
          <w:sz w:val="26"/>
          <w:szCs w:val="26"/>
        </w:rPr>
      </w:pPr>
      <w:r w:rsidRPr="00570FA3">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  </w:t>
      </w:r>
      <w:r w:rsidR="0068534B" w:rsidRPr="00570FA3">
        <w:rPr>
          <w:rStyle w:val="Emphasis"/>
          <w:sz w:val="26"/>
          <w:szCs w:val="26"/>
        </w:rPr>
        <w:t>Consolidated Rail Corp. v.</w:t>
      </w:r>
      <w:r w:rsidRPr="00570FA3">
        <w:rPr>
          <w:rStyle w:val="Emphasis"/>
          <w:sz w:val="26"/>
          <w:szCs w:val="26"/>
        </w:rPr>
        <w:t xml:space="preserve"> Pa. PUC</w:t>
      </w:r>
      <w:r w:rsidRPr="008E5B8E">
        <w:rPr>
          <w:rStyle w:val="Emphasis"/>
          <w:i w:val="0"/>
          <w:iCs w:val="0"/>
          <w:sz w:val="26"/>
          <w:szCs w:val="26"/>
        </w:rPr>
        <w:t>,</w:t>
      </w:r>
      <w:r w:rsidRPr="00570FA3">
        <w:rPr>
          <w:rStyle w:val="Emphasis"/>
          <w:sz w:val="26"/>
          <w:szCs w:val="26"/>
        </w:rPr>
        <w:t xml:space="preserve"> </w:t>
      </w:r>
      <w:r w:rsidRPr="00570FA3">
        <w:rPr>
          <w:sz w:val="26"/>
          <w:szCs w:val="26"/>
        </w:rPr>
        <w:t xml:space="preserve">625 A.2d 741 (Pa. Cmwlth. 1993); </w:t>
      </w:r>
      <w:r w:rsidRPr="00570FA3">
        <w:rPr>
          <w:i/>
          <w:sz w:val="26"/>
          <w:szCs w:val="26"/>
        </w:rPr>
        <w:t xml:space="preserve">also </w:t>
      </w:r>
      <w:r w:rsidRPr="00570FA3">
        <w:rPr>
          <w:rStyle w:val="Emphasis"/>
          <w:sz w:val="26"/>
          <w:szCs w:val="26"/>
        </w:rPr>
        <w:t>see, generally, University of Pennsylvania v. Pa. PUC</w:t>
      </w:r>
      <w:r w:rsidRPr="00570FA3">
        <w:rPr>
          <w:sz w:val="26"/>
          <w:szCs w:val="26"/>
        </w:rPr>
        <w:t>, 485 A.2d 1217 (Pa. Cmwlth. 1984).</w:t>
      </w:r>
    </w:p>
    <w:p w14:paraId="3A864802" w14:textId="77777777" w:rsidR="00611FD1" w:rsidRDefault="00611FD1" w:rsidP="00A81DE8">
      <w:pPr>
        <w:widowControl/>
        <w:spacing w:line="360" w:lineRule="auto"/>
        <w:ind w:firstLine="1440"/>
        <w:contextualSpacing/>
        <w:rPr>
          <w:sz w:val="26"/>
          <w:szCs w:val="26"/>
        </w:rPr>
      </w:pPr>
    </w:p>
    <w:p w14:paraId="4C8546C6" w14:textId="7B921122" w:rsidR="00447C6C" w:rsidRPr="00447C6C" w:rsidRDefault="000B39D1" w:rsidP="00A81DE8">
      <w:pPr>
        <w:keepNext/>
        <w:keepLines/>
        <w:widowControl/>
        <w:ind w:left="2160" w:hanging="720"/>
        <w:contextualSpacing/>
        <w:rPr>
          <w:b/>
          <w:sz w:val="26"/>
          <w:szCs w:val="26"/>
        </w:rPr>
      </w:pPr>
      <w:bookmarkStart w:id="3" w:name="_Hlk522278472"/>
      <w:r>
        <w:rPr>
          <w:b/>
          <w:sz w:val="26"/>
          <w:szCs w:val="26"/>
        </w:rPr>
        <w:lastRenderedPageBreak/>
        <w:t>1.</w:t>
      </w:r>
      <w:r>
        <w:rPr>
          <w:b/>
          <w:sz w:val="26"/>
          <w:szCs w:val="26"/>
        </w:rPr>
        <w:tab/>
      </w:r>
      <w:r w:rsidR="00757194">
        <w:rPr>
          <w:b/>
          <w:sz w:val="26"/>
          <w:szCs w:val="26"/>
        </w:rPr>
        <w:t>Whether the ALJ accurately defined virtual meter aggregation (Exc. at 2)</w:t>
      </w:r>
    </w:p>
    <w:bookmarkEnd w:id="3"/>
    <w:p w14:paraId="2FF8EFCC" w14:textId="77777777" w:rsidR="0061170F" w:rsidRDefault="0061170F" w:rsidP="00A81DE8">
      <w:pPr>
        <w:keepNext/>
        <w:keepLines/>
        <w:widowControl/>
        <w:spacing w:line="360" w:lineRule="auto"/>
        <w:ind w:firstLine="1440"/>
        <w:contextualSpacing/>
        <w:rPr>
          <w:sz w:val="26"/>
          <w:szCs w:val="26"/>
        </w:rPr>
      </w:pPr>
    </w:p>
    <w:p w14:paraId="2FD23949" w14:textId="59528ACC" w:rsidR="00757194" w:rsidRPr="00757194" w:rsidRDefault="00757194" w:rsidP="00A81DE8">
      <w:pPr>
        <w:keepNext/>
        <w:keepLines/>
        <w:widowControl/>
        <w:spacing w:after="200" w:line="360" w:lineRule="auto"/>
        <w:ind w:left="2880" w:hanging="720"/>
        <w:contextualSpacing/>
        <w:rPr>
          <w:rFonts w:eastAsia="Calibri"/>
          <w:b/>
          <w:bCs/>
          <w:sz w:val="26"/>
          <w:szCs w:val="26"/>
        </w:rPr>
      </w:pPr>
      <w:bookmarkStart w:id="4" w:name="_Hlk11745462"/>
      <w:bookmarkStart w:id="5" w:name="_Hlk11745940"/>
      <w:r w:rsidRPr="00757194">
        <w:rPr>
          <w:rFonts w:eastAsia="Calibri"/>
          <w:b/>
          <w:bCs/>
          <w:sz w:val="26"/>
          <w:szCs w:val="26"/>
        </w:rPr>
        <w:t>a.</w:t>
      </w:r>
      <w:r w:rsidRPr="00757194">
        <w:rPr>
          <w:rFonts w:eastAsia="Calibri"/>
          <w:b/>
          <w:bCs/>
          <w:sz w:val="26"/>
          <w:szCs w:val="26"/>
        </w:rPr>
        <w:tab/>
      </w:r>
      <w:r>
        <w:rPr>
          <w:rFonts w:eastAsia="Calibri"/>
          <w:b/>
          <w:bCs/>
          <w:sz w:val="26"/>
          <w:szCs w:val="26"/>
        </w:rPr>
        <w:t>Exceptions and Reply Exceptions</w:t>
      </w:r>
    </w:p>
    <w:bookmarkEnd w:id="4"/>
    <w:p w14:paraId="3EA8A315" w14:textId="77777777" w:rsidR="00757194" w:rsidRDefault="00757194" w:rsidP="00A81DE8">
      <w:pPr>
        <w:keepNext/>
        <w:keepLines/>
        <w:widowControl/>
        <w:spacing w:after="200" w:line="360" w:lineRule="auto"/>
        <w:ind w:firstLine="1440"/>
        <w:contextualSpacing/>
        <w:rPr>
          <w:rFonts w:eastAsia="Calibri"/>
          <w:sz w:val="26"/>
          <w:szCs w:val="26"/>
          <w:highlight w:val="yellow"/>
        </w:rPr>
      </w:pPr>
    </w:p>
    <w:bookmarkEnd w:id="5"/>
    <w:p w14:paraId="057A03E1" w14:textId="0B478713" w:rsidR="00EE2C9A" w:rsidRPr="00EE2C9A" w:rsidRDefault="00EE2C9A" w:rsidP="00A81DE8">
      <w:pPr>
        <w:widowControl/>
        <w:spacing w:after="200" w:line="360" w:lineRule="auto"/>
        <w:ind w:firstLine="1440"/>
        <w:contextualSpacing/>
        <w:rPr>
          <w:rFonts w:eastAsia="Calibri"/>
          <w:sz w:val="26"/>
          <w:szCs w:val="26"/>
        </w:rPr>
      </w:pPr>
      <w:r w:rsidRPr="00757194">
        <w:rPr>
          <w:rFonts w:eastAsia="Calibri"/>
          <w:sz w:val="26"/>
          <w:szCs w:val="26"/>
        </w:rPr>
        <w:t>In his Exceptions, the Complainant</w:t>
      </w:r>
      <w:r w:rsidRPr="00EE2C9A">
        <w:rPr>
          <w:rFonts w:eastAsia="Calibri"/>
          <w:sz w:val="26"/>
          <w:szCs w:val="26"/>
        </w:rPr>
        <w:t xml:space="preserve"> objects to Finding of Fact No. 16,</w:t>
      </w:r>
      <w:r w:rsidRPr="00EE2C9A">
        <w:rPr>
          <w:rFonts w:eastAsia="Calibri"/>
          <w:sz w:val="26"/>
          <w:szCs w:val="26"/>
          <w:vertAlign w:val="superscript"/>
        </w:rPr>
        <w:footnoteReference w:id="7"/>
      </w:r>
      <w:r w:rsidRPr="00EE2C9A">
        <w:rPr>
          <w:rFonts w:eastAsia="Calibri"/>
          <w:sz w:val="26"/>
          <w:szCs w:val="26"/>
        </w:rPr>
        <w:t xml:space="preserve"> which states that “[m]eter aggregation is the process by which the eligible renewable customer generator is able to aggregate the properties that he or she owns and operates within two miles of each other for the purposes of net metering.”  According to the Complainant, the definition of meter aggregation in </w:t>
      </w:r>
      <w:r w:rsidR="00BF3608">
        <w:rPr>
          <w:rFonts w:eastAsia="Calibri"/>
          <w:sz w:val="26"/>
          <w:szCs w:val="26"/>
        </w:rPr>
        <w:t>our Regulations at 52 Pa. Code § 75.12</w:t>
      </w:r>
      <w:r w:rsidRPr="00EE2C9A">
        <w:rPr>
          <w:rFonts w:eastAsia="Calibri"/>
          <w:sz w:val="26"/>
          <w:szCs w:val="26"/>
        </w:rPr>
        <w:t xml:space="preserve"> makes no reference to a two-mile limitation but instead sets forth a broad definition that is generally applicable to all renewable energy systems regardless of whether they relate to virtual meter aggregation or physical meter aggregation.  In contrast</w:t>
      </w:r>
      <w:r w:rsidR="00123085">
        <w:rPr>
          <w:rFonts w:eastAsia="Calibri"/>
          <w:sz w:val="26"/>
          <w:szCs w:val="26"/>
        </w:rPr>
        <w:t>, the</w:t>
      </w:r>
      <w:r w:rsidRPr="00EE2C9A">
        <w:rPr>
          <w:rFonts w:eastAsia="Calibri"/>
          <w:sz w:val="26"/>
          <w:szCs w:val="26"/>
        </w:rPr>
        <w:t xml:space="preserve"> Complainant argues that the two-mile limitation only applies to virtual meter aggregation as set forth in 52 Pa. Code §§ 75.12 and 75.14(e).  In the Complainant’s view, the ALJ erroneously relied on PPL’s description of meter aggregation and its reference to a two-mile limit in its Net Metering Rider when making this finding of fact.  The Complainant submits that the language of a tariff should not be permitted to override the language of </w:t>
      </w:r>
      <w:r w:rsidR="00BF3608">
        <w:rPr>
          <w:rFonts w:eastAsia="Calibri"/>
          <w:sz w:val="26"/>
          <w:szCs w:val="26"/>
        </w:rPr>
        <w:t>our Regulations</w:t>
      </w:r>
      <w:r w:rsidRPr="00EE2C9A">
        <w:rPr>
          <w:rFonts w:eastAsia="Calibri"/>
          <w:sz w:val="26"/>
          <w:szCs w:val="26"/>
        </w:rPr>
        <w:t>.  Exc. at 2.</w:t>
      </w:r>
    </w:p>
    <w:p w14:paraId="7C144517" w14:textId="3A906DAE" w:rsidR="00B40A04" w:rsidRDefault="00B40A04" w:rsidP="00A81DE8">
      <w:pPr>
        <w:widowControl/>
        <w:spacing w:after="200" w:line="360" w:lineRule="auto"/>
        <w:ind w:firstLine="1440"/>
        <w:contextualSpacing/>
        <w:rPr>
          <w:rFonts w:eastAsia="Calibri"/>
          <w:sz w:val="26"/>
          <w:szCs w:val="26"/>
        </w:rPr>
      </w:pPr>
    </w:p>
    <w:p w14:paraId="347A191D" w14:textId="2ADA37C9" w:rsidR="00757194" w:rsidRPr="000A32B4" w:rsidRDefault="00757194" w:rsidP="00A81DE8">
      <w:pPr>
        <w:widowControl/>
        <w:spacing w:line="360" w:lineRule="auto"/>
        <w:ind w:firstLine="1440"/>
        <w:contextualSpacing/>
        <w:rPr>
          <w:rFonts w:eastAsia="Calibri"/>
          <w:sz w:val="26"/>
          <w:szCs w:val="26"/>
        </w:rPr>
      </w:pPr>
      <w:r w:rsidRPr="00757194">
        <w:rPr>
          <w:rFonts w:eastAsia="Calibri"/>
          <w:sz w:val="26"/>
          <w:szCs w:val="26"/>
        </w:rPr>
        <w:t>In its Replies to Exceptions</w:t>
      </w:r>
      <w:r w:rsidRPr="000A32B4">
        <w:rPr>
          <w:rFonts w:eastAsia="Calibri"/>
          <w:sz w:val="26"/>
          <w:szCs w:val="26"/>
        </w:rPr>
        <w:t>, PPL rebuts that in making Finding of Fact No.</w:t>
      </w:r>
      <w:r>
        <w:rPr>
          <w:rFonts w:eastAsia="Calibri"/>
          <w:sz w:val="26"/>
          <w:szCs w:val="26"/>
        </w:rPr>
        <w:t> </w:t>
      </w:r>
      <w:r w:rsidRPr="000A32B4">
        <w:rPr>
          <w:rFonts w:eastAsia="Calibri"/>
          <w:sz w:val="26"/>
          <w:szCs w:val="26"/>
        </w:rPr>
        <w:t>16, the ALJ accurately defined virtual meter aggregation as "the process by which the eligible renewable customer generator is able to aggregate the properties that he or she owns and operates within two miles of each other for the purposes of net metering.”  R.</w:t>
      </w:r>
      <w:r>
        <w:rPr>
          <w:rFonts w:eastAsia="Calibri"/>
          <w:sz w:val="26"/>
          <w:szCs w:val="26"/>
        </w:rPr>
        <w:t> </w:t>
      </w:r>
      <w:r w:rsidRPr="000A32B4">
        <w:rPr>
          <w:rFonts w:eastAsia="Calibri"/>
          <w:sz w:val="26"/>
          <w:szCs w:val="26"/>
        </w:rPr>
        <w:t xml:space="preserve">Exc. at 5 (citing I.D. at 7).  PPL asserts that the net metering provisions of its Commission-approved tariff explicitly state that </w:t>
      </w:r>
      <w:r w:rsidR="008E5B8E">
        <w:rPr>
          <w:rFonts w:eastAsia="Calibri"/>
          <w:sz w:val="26"/>
          <w:szCs w:val="26"/>
        </w:rPr>
        <w:t>“</w:t>
      </w:r>
      <w:r w:rsidRPr="000A32B4">
        <w:rPr>
          <w:rFonts w:eastAsia="Calibri"/>
          <w:sz w:val="26"/>
          <w:szCs w:val="26"/>
        </w:rPr>
        <w:t xml:space="preserve">[m]eter aggregation shall be limited to meters located on properties within two (2) miles of the boundaries of the </w:t>
      </w:r>
      <w:r w:rsidRPr="000A32B4">
        <w:rPr>
          <w:rFonts w:eastAsia="Calibri"/>
          <w:sz w:val="26"/>
          <w:szCs w:val="26"/>
        </w:rPr>
        <w:lastRenderedPageBreak/>
        <w:t>customer</w:t>
      </w:r>
      <w:r>
        <w:rPr>
          <w:rFonts w:eastAsia="Calibri"/>
          <w:sz w:val="26"/>
          <w:szCs w:val="26"/>
        </w:rPr>
        <w:noBreakHyphen/>
      </w:r>
      <w:r w:rsidRPr="000A32B4">
        <w:rPr>
          <w:rFonts w:eastAsia="Calibri"/>
          <w:sz w:val="26"/>
          <w:szCs w:val="26"/>
        </w:rPr>
        <w:t>generator</w:t>
      </w:r>
      <w:r w:rsidR="008E5B8E">
        <w:rPr>
          <w:rFonts w:eastAsia="Calibri"/>
          <w:sz w:val="26"/>
          <w:szCs w:val="26"/>
        </w:rPr>
        <w:t>’</w:t>
      </w:r>
      <w:r w:rsidRPr="000A32B4">
        <w:rPr>
          <w:rFonts w:eastAsia="Calibri"/>
          <w:sz w:val="26"/>
          <w:szCs w:val="26"/>
        </w:rPr>
        <w:t>s property</w:t>
      </w:r>
      <w:r>
        <w:rPr>
          <w:rFonts w:eastAsia="Calibri"/>
          <w:sz w:val="26"/>
          <w:szCs w:val="26"/>
        </w:rPr>
        <w:t>.</w:t>
      </w:r>
      <w:r w:rsidR="008E5B8E">
        <w:rPr>
          <w:rFonts w:eastAsia="Calibri"/>
          <w:sz w:val="26"/>
          <w:szCs w:val="26"/>
        </w:rPr>
        <w:t>”</w:t>
      </w:r>
      <w:r w:rsidRPr="000A32B4">
        <w:rPr>
          <w:rFonts w:eastAsia="Calibri"/>
          <w:sz w:val="26"/>
          <w:szCs w:val="26"/>
        </w:rPr>
        <w:t xml:space="preserve">  R. Exc. at 5-6 (citing PPL Exh. 6</w:t>
      </w:r>
      <w:r w:rsidR="00BE424A">
        <w:rPr>
          <w:rStyle w:val="FootnoteReference"/>
          <w:rFonts w:eastAsia="Calibri"/>
          <w:sz w:val="26"/>
          <w:szCs w:val="26"/>
        </w:rPr>
        <w:footnoteReference w:id="8"/>
      </w:r>
      <w:r w:rsidRPr="000A32B4">
        <w:rPr>
          <w:rFonts w:eastAsia="Calibri"/>
          <w:sz w:val="26"/>
          <w:szCs w:val="26"/>
        </w:rPr>
        <w:t>).  Therefore, PPL reasons that because it is undisputed that the Complainant is a virtual meter aggregation customer</w:t>
      </w:r>
      <w:r>
        <w:rPr>
          <w:rFonts w:eastAsia="Calibri"/>
          <w:sz w:val="26"/>
          <w:szCs w:val="26"/>
        </w:rPr>
        <w:noBreakHyphen/>
      </w:r>
      <w:r w:rsidRPr="000A32B4">
        <w:rPr>
          <w:rFonts w:eastAsia="Calibri"/>
          <w:sz w:val="26"/>
          <w:szCs w:val="26"/>
        </w:rPr>
        <w:t>generator and that the two-mile limitation applies to his accounts, the Complainant’s issue with Finding of Fact No. 16 is irrelevant.  R. Exc. at 6.</w:t>
      </w:r>
    </w:p>
    <w:p w14:paraId="6F49595D" w14:textId="77777777" w:rsidR="00757194" w:rsidRDefault="00757194" w:rsidP="00A81DE8">
      <w:pPr>
        <w:widowControl/>
        <w:spacing w:after="200" w:line="360" w:lineRule="auto"/>
        <w:ind w:firstLine="1440"/>
        <w:contextualSpacing/>
        <w:rPr>
          <w:rFonts w:eastAsia="Calibri"/>
          <w:sz w:val="26"/>
          <w:szCs w:val="26"/>
        </w:rPr>
      </w:pPr>
    </w:p>
    <w:p w14:paraId="683C0E3F" w14:textId="0681BF31" w:rsidR="00757194" w:rsidRPr="00757194" w:rsidRDefault="00757194" w:rsidP="00A81DE8">
      <w:pPr>
        <w:widowControl/>
        <w:spacing w:after="200" w:line="360" w:lineRule="auto"/>
        <w:ind w:left="2880" w:hanging="720"/>
        <w:contextualSpacing/>
        <w:rPr>
          <w:rFonts w:eastAsia="Calibri"/>
          <w:b/>
          <w:bCs/>
          <w:sz w:val="26"/>
          <w:szCs w:val="26"/>
        </w:rPr>
      </w:pPr>
      <w:bookmarkStart w:id="6" w:name="_Hlk11745752"/>
      <w:r w:rsidRPr="00757194">
        <w:rPr>
          <w:rFonts w:eastAsia="Calibri"/>
          <w:b/>
          <w:bCs/>
          <w:sz w:val="26"/>
          <w:szCs w:val="26"/>
        </w:rPr>
        <w:t>b.</w:t>
      </w:r>
      <w:r w:rsidRPr="00757194">
        <w:rPr>
          <w:rFonts w:eastAsia="Calibri"/>
          <w:b/>
          <w:bCs/>
          <w:sz w:val="26"/>
          <w:szCs w:val="26"/>
        </w:rPr>
        <w:tab/>
        <w:t>Disposition</w:t>
      </w:r>
    </w:p>
    <w:p w14:paraId="62B75A5A" w14:textId="771B6B49" w:rsidR="00757194" w:rsidRDefault="00757194" w:rsidP="00A81DE8">
      <w:pPr>
        <w:widowControl/>
        <w:spacing w:after="200" w:line="360" w:lineRule="auto"/>
        <w:ind w:firstLine="1440"/>
        <w:contextualSpacing/>
        <w:rPr>
          <w:rFonts w:eastAsia="Calibri"/>
          <w:sz w:val="26"/>
          <w:szCs w:val="26"/>
        </w:rPr>
      </w:pPr>
    </w:p>
    <w:p w14:paraId="4E364AEC" w14:textId="77777777" w:rsidR="00F051A0" w:rsidRDefault="00BF3608" w:rsidP="00A81DE8">
      <w:pPr>
        <w:widowControl/>
        <w:spacing w:after="200" w:line="360" w:lineRule="auto"/>
        <w:ind w:firstLine="1440"/>
        <w:contextualSpacing/>
        <w:rPr>
          <w:rFonts w:eastAsia="Calibri"/>
          <w:sz w:val="26"/>
          <w:szCs w:val="26"/>
        </w:rPr>
      </w:pPr>
      <w:r w:rsidRPr="00EA0F63">
        <w:rPr>
          <w:rFonts w:eastAsia="Calibri"/>
          <w:sz w:val="26"/>
          <w:szCs w:val="26"/>
        </w:rPr>
        <w:t>As noted above, in Finding of Fact No. 16, the ALJ generally referred to the term “meter aggregation.”</w:t>
      </w:r>
      <w:r>
        <w:rPr>
          <w:rFonts w:eastAsia="Calibri"/>
          <w:sz w:val="26"/>
          <w:szCs w:val="26"/>
        </w:rPr>
        <w:t xml:space="preserve">  This term is defined in our Regulations, as </w:t>
      </w:r>
      <w:r w:rsidR="00F051A0">
        <w:rPr>
          <w:rFonts w:eastAsia="Calibri"/>
          <w:sz w:val="26"/>
          <w:szCs w:val="26"/>
        </w:rPr>
        <w:t>follows:</w:t>
      </w:r>
    </w:p>
    <w:p w14:paraId="566F1572" w14:textId="77777777" w:rsidR="00F051A0" w:rsidRDefault="00F051A0" w:rsidP="00A81DE8">
      <w:pPr>
        <w:widowControl/>
        <w:spacing w:after="200" w:line="360" w:lineRule="auto"/>
        <w:ind w:firstLine="1440"/>
        <w:contextualSpacing/>
        <w:rPr>
          <w:rFonts w:eastAsia="Calibri"/>
          <w:sz w:val="26"/>
          <w:szCs w:val="26"/>
        </w:rPr>
      </w:pPr>
    </w:p>
    <w:p w14:paraId="71EFB9B1" w14:textId="32E7C407" w:rsidR="00BF3608" w:rsidRDefault="00F051A0" w:rsidP="00A81DE8">
      <w:pPr>
        <w:widowControl/>
        <w:spacing w:after="200"/>
        <w:ind w:left="1440" w:right="1440"/>
        <w:contextualSpacing/>
        <w:rPr>
          <w:rFonts w:eastAsia="Calibri"/>
          <w:sz w:val="26"/>
          <w:szCs w:val="26"/>
        </w:rPr>
      </w:pPr>
      <w:r>
        <w:rPr>
          <w:rFonts w:eastAsia="Calibri"/>
          <w:sz w:val="26"/>
          <w:szCs w:val="26"/>
        </w:rPr>
        <w:t>[t]</w:t>
      </w:r>
      <w:r w:rsidRPr="00F051A0">
        <w:rPr>
          <w:rFonts w:eastAsia="Calibri"/>
          <w:sz w:val="26"/>
          <w:szCs w:val="26"/>
        </w:rPr>
        <w:t xml:space="preserve">he combination of readings from and billing for all meters regardless of rate class on properties owned or leased and operated by a customer-generator for properties located within the service territory of a single EDC. </w:t>
      </w:r>
      <w:r w:rsidR="00EF67D5">
        <w:rPr>
          <w:rFonts w:eastAsia="Calibri"/>
          <w:sz w:val="26"/>
          <w:szCs w:val="26"/>
        </w:rPr>
        <w:t xml:space="preserve"> </w:t>
      </w:r>
      <w:r w:rsidRPr="00F051A0">
        <w:rPr>
          <w:rFonts w:eastAsia="Calibri"/>
          <w:sz w:val="26"/>
          <w:szCs w:val="26"/>
        </w:rPr>
        <w:t>Meter aggregation may be completed through physical or virtual meter aggregation.</w:t>
      </w:r>
    </w:p>
    <w:p w14:paraId="4AA67E38" w14:textId="00F9810F" w:rsidR="00BF3608" w:rsidRDefault="00BF3608" w:rsidP="00B94D03">
      <w:pPr>
        <w:widowControl/>
        <w:ind w:firstLine="1440"/>
        <w:contextualSpacing/>
        <w:rPr>
          <w:rFonts w:eastAsia="Calibri"/>
          <w:sz w:val="26"/>
          <w:szCs w:val="26"/>
        </w:rPr>
      </w:pPr>
    </w:p>
    <w:p w14:paraId="7ED8C788" w14:textId="77777777" w:rsidR="00B94D03" w:rsidRDefault="00B94D03" w:rsidP="004F0B06">
      <w:pPr>
        <w:widowControl/>
        <w:ind w:firstLine="1440"/>
        <w:contextualSpacing/>
        <w:rPr>
          <w:rFonts w:eastAsia="Calibri"/>
          <w:sz w:val="26"/>
          <w:szCs w:val="26"/>
        </w:rPr>
      </w:pPr>
    </w:p>
    <w:p w14:paraId="4323081A" w14:textId="2B50D464" w:rsidR="00A83724" w:rsidRDefault="00F051A0" w:rsidP="00A81DE8">
      <w:pPr>
        <w:widowControl/>
        <w:spacing w:after="200" w:line="360" w:lineRule="auto"/>
        <w:contextualSpacing/>
        <w:rPr>
          <w:rFonts w:eastAsia="Calibri"/>
          <w:sz w:val="26"/>
          <w:szCs w:val="26"/>
        </w:rPr>
      </w:pPr>
      <w:r>
        <w:rPr>
          <w:rFonts w:eastAsia="Calibri"/>
          <w:sz w:val="26"/>
          <w:szCs w:val="26"/>
        </w:rPr>
        <w:t>52 Pa</w:t>
      </w:r>
      <w:r w:rsidR="0007547B">
        <w:rPr>
          <w:rFonts w:eastAsia="Calibri"/>
          <w:sz w:val="26"/>
          <w:szCs w:val="26"/>
        </w:rPr>
        <w:t>.</w:t>
      </w:r>
      <w:r>
        <w:rPr>
          <w:rFonts w:eastAsia="Calibri"/>
          <w:sz w:val="26"/>
          <w:szCs w:val="26"/>
        </w:rPr>
        <w:t xml:space="preserve"> Code § 75.12.  </w:t>
      </w:r>
      <w:r w:rsidR="00A83724">
        <w:rPr>
          <w:rFonts w:eastAsia="Calibri"/>
          <w:sz w:val="26"/>
          <w:szCs w:val="26"/>
        </w:rPr>
        <w:t>In addition, regarding metering provisions, PPL’s tariff states:</w:t>
      </w:r>
    </w:p>
    <w:p w14:paraId="76BFBAE6" w14:textId="65CF2565" w:rsidR="00A83724" w:rsidRDefault="00A83724" w:rsidP="00A81DE8">
      <w:pPr>
        <w:widowControl/>
        <w:spacing w:after="200" w:line="360" w:lineRule="auto"/>
        <w:contextualSpacing/>
        <w:rPr>
          <w:rFonts w:eastAsia="Calibri"/>
          <w:sz w:val="26"/>
          <w:szCs w:val="26"/>
        </w:rPr>
      </w:pPr>
    </w:p>
    <w:p w14:paraId="56DA6E47" w14:textId="1211D63A" w:rsidR="00A83724" w:rsidRDefault="00A83724" w:rsidP="004F0B06">
      <w:pPr>
        <w:pStyle w:val="BodyText"/>
        <w:ind w:left="1440" w:right="1530" w:hanging="1440"/>
      </w:pPr>
      <w:r>
        <w:tab/>
      </w:r>
      <w:r w:rsidR="00B94D03">
        <w:t xml:space="preserve">3. </w:t>
      </w:r>
      <w:r>
        <w:t>Meter aggregation on properties owned, or leased and operated, by a customer-generator shall be allowed for purposes of net metering.  Meter aggregation shall be limited to meters located on properties within two</w:t>
      </w:r>
      <w:r w:rsidR="00B94D03">
        <w:t xml:space="preserve"> (2) miles of the boundaries of the customer-generator’s property.  Meter aggregation shall only be available for properties located within the Company’s service territory. …</w:t>
      </w:r>
    </w:p>
    <w:p w14:paraId="7B1D15EE" w14:textId="109AEB52" w:rsidR="00B94D03" w:rsidRDefault="00B94D03" w:rsidP="00B94D03">
      <w:pPr>
        <w:widowControl/>
        <w:contextualSpacing/>
        <w:rPr>
          <w:rFonts w:eastAsia="Calibri"/>
          <w:sz w:val="26"/>
          <w:szCs w:val="26"/>
        </w:rPr>
      </w:pPr>
    </w:p>
    <w:p w14:paraId="22425F57" w14:textId="77777777" w:rsidR="008E5B8E" w:rsidRDefault="008E5B8E" w:rsidP="00B94D03">
      <w:pPr>
        <w:widowControl/>
        <w:contextualSpacing/>
        <w:rPr>
          <w:rFonts w:eastAsia="Calibri"/>
          <w:sz w:val="26"/>
          <w:szCs w:val="26"/>
        </w:rPr>
      </w:pPr>
    </w:p>
    <w:p w14:paraId="3DBE63EB" w14:textId="4CF9619E" w:rsidR="00B94D03" w:rsidRPr="0089644D" w:rsidRDefault="00B94D03" w:rsidP="004F0B06">
      <w:pPr>
        <w:widowControl/>
        <w:spacing w:line="360" w:lineRule="auto"/>
        <w:contextualSpacing/>
        <w:rPr>
          <w:rFonts w:eastAsia="Calibri"/>
          <w:sz w:val="26"/>
          <w:szCs w:val="26"/>
        </w:rPr>
      </w:pPr>
      <w:r>
        <w:rPr>
          <w:rFonts w:eastAsia="Calibri"/>
          <w:sz w:val="26"/>
          <w:szCs w:val="26"/>
        </w:rPr>
        <w:t xml:space="preserve">Supplement No. 125 to PPL’s Tariff Electric Pa. P.U.C. No. 201, effective January 1, 2013 at 19L.3.  We note that public utility tariffs have the force and effect of law and are </w:t>
      </w:r>
      <w:r>
        <w:rPr>
          <w:rFonts w:eastAsia="Calibri"/>
          <w:sz w:val="26"/>
          <w:szCs w:val="26"/>
        </w:rPr>
        <w:lastRenderedPageBreak/>
        <w:t xml:space="preserve">binding on the public utility and its customers.  </w:t>
      </w:r>
      <w:r w:rsidRPr="004F0B06">
        <w:rPr>
          <w:rFonts w:eastAsia="Calibri"/>
          <w:i/>
          <w:iCs/>
          <w:sz w:val="26"/>
          <w:szCs w:val="26"/>
        </w:rPr>
        <w:t xml:space="preserve">Pennsylvania Electric Co. v. Pa. Pub. Util. Comm’n </w:t>
      </w:r>
      <w:r w:rsidRPr="008E5B8E">
        <w:rPr>
          <w:rFonts w:eastAsia="Calibri"/>
          <w:sz w:val="26"/>
          <w:szCs w:val="26"/>
        </w:rPr>
        <w:t>(Pa. Cmwlth. 1995)</w:t>
      </w:r>
      <w:r>
        <w:rPr>
          <w:rFonts w:eastAsia="Calibri"/>
          <w:i/>
          <w:iCs/>
          <w:sz w:val="26"/>
          <w:szCs w:val="26"/>
        </w:rPr>
        <w:t>.</w:t>
      </w:r>
      <w:r w:rsidR="001E5B55">
        <w:rPr>
          <w:rFonts w:eastAsia="Calibri"/>
          <w:sz w:val="26"/>
          <w:szCs w:val="26"/>
        </w:rPr>
        <w:t xml:space="preserve">  </w:t>
      </w:r>
    </w:p>
    <w:p w14:paraId="29F6BEBC" w14:textId="77777777" w:rsidR="001E5B55" w:rsidRDefault="001E5B55" w:rsidP="00B94D03">
      <w:pPr>
        <w:widowControl/>
        <w:spacing w:after="200" w:line="360" w:lineRule="auto"/>
        <w:ind w:firstLine="1440"/>
        <w:contextualSpacing/>
        <w:rPr>
          <w:rFonts w:eastAsia="Calibri"/>
          <w:sz w:val="26"/>
          <w:szCs w:val="26"/>
        </w:rPr>
      </w:pPr>
    </w:p>
    <w:p w14:paraId="5A79A28E" w14:textId="53F74CE9" w:rsidR="00EA0F63" w:rsidRPr="00EA0F63" w:rsidRDefault="001E5B55" w:rsidP="004F0B06">
      <w:pPr>
        <w:widowControl/>
        <w:spacing w:after="200" w:line="360" w:lineRule="auto"/>
        <w:ind w:firstLine="1440"/>
        <w:contextualSpacing/>
        <w:rPr>
          <w:rFonts w:eastAsia="Calibri"/>
          <w:sz w:val="26"/>
          <w:szCs w:val="26"/>
        </w:rPr>
      </w:pPr>
      <w:r>
        <w:rPr>
          <w:rFonts w:eastAsia="Calibri"/>
          <w:sz w:val="26"/>
          <w:szCs w:val="26"/>
        </w:rPr>
        <w:t>W</w:t>
      </w:r>
      <w:r w:rsidR="00EA0F63" w:rsidRPr="00EA0F63">
        <w:rPr>
          <w:rFonts w:eastAsia="Calibri"/>
          <w:sz w:val="26"/>
          <w:szCs w:val="26"/>
        </w:rPr>
        <w:t>e are not persuaded by the Complainant’s assertion that the ALJ erred in his description of meter aggregation.  The record indicates that</w:t>
      </w:r>
      <w:r w:rsidR="008E6A8D">
        <w:rPr>
          <w:rFonts w:eastAsia="Calibri"/>
          <w:sz w:val="26"/>
          <w:szCs w:val="26"/>
        </w:rPr>
        <w:t xml:space="preserve"> in making Finding of Fact No. 16, </w:t>
      </w:r>
      <w:r w:rsidR="00EA0F63" w:rsidRPr="00EA0F63">
        <w:rPr>
          <w:rFonts w:eastAsia="Calibri"/>
          <w:sz w:val="26"/>
          <w:szCs w:val="26"/>
        </w:rPr>
        <w:t xml:space="preserve">the ALJ was quoting the testimony of </w:t>
      </w:r>
      <w:r w:rsidR="00EF67D5">
        <w:rPr>
          <w:rFonts w:eastAsia="Calibri"/>
          <w:sz w:val="26"/>
          <w:szCs w:val="26"/>
        </w:rPr>
        <w:t>PPL</w:t>
      </w:r>
      <w:r w:rsidR="00EA0F63" w:rsidRPr="00EA0F63">
        <w:rPr>
          <w:rFonts w:eastAsia="Calibri"/>
          <w:sz w:val="26"/>
          <w:szCs w:val="26"/>
        </w:rPr>
        <w:t>’s witness Ms.</w:t>
      </w:r>
      <w:r w:rsidR="00E32143">
        <w:rPr>
          <w:rFonts w:eastAsia="Calibri"/>
          <w:sz w:val="26"/>
          <w:szCs w:val="26"/>
        </w:rPr>
        <w:t> </w:t>
      </w:r>
      <w:r w:rsidR="00EA0F63" w:rsidRPr="00EA0F63">
        <w:rPr>
          <w:rFonts w:eastAsia="Calibri"/>
          <w:sz w:val="26"/>
          <w:szCs w:val="26"/>
        </w:rPr>
        <w:t>O</w:t>
      </w:r>
      <w:r w:rsidR="006969C6">
        <w:rPr>
          <w:rFonts w:eastAsia="Calibri"/>
          <w:sz w:val="26"/>
          <w:szCs w:val="26"/>
        </w:rPr>
        <w:t>e</w:t>
      </w:r>
      <w:r w:rsidR="00EA0F63" w:rsidRPr="00EA0F63">
        <w:rPr>
          <w:rFonts w:eastAsia="Calibri"/>
          <w:sz w:val="26"/>
          <w:szCs w:val="26"/>
        </w:rPr>
        <w:t>hler in which she described meter aggregation.  Tr. at 23</w:t>
      </w:r>
      <w:r w:rsidR="00957B9C">
        <w:rPr>
          <w:rFonts w:eastAsia="Calibri"/>
          <w:sz w:val="26"/>
          <w:szCs w:val="26"/>
        </w:rPr>
        <w:t>-</w:t>
      </w:r>
      <w:r w:rsidR="00EA0F63" w:rsidRPr="00EA0F63">
        <w:rPr>
          <w:rFonts w:eastAsia="Calibri"/>
          <w:sz w:val="26"/>
          <w:szCs w:val="26"/>
        </w:rPr>
        <w:t xml:space="preserve">24.  Although  the Complainant correctly notes that the above </w:t>
      </w:r>
      <w:r w:rsidR="00F051A0">
        <w:rPr>
          <w:rFonts w:eastAsia="Calibri"/>
          <w:sz w:val="26"/>
          <w:szCs w:val="26"/>
        </w:rPr>
        <w:t>definition of meter aggregation</w:t>
      </w:r>
      <w:r w:rsidR="00EA0F63" w:rsidRPr="00EA0F63">
        <w:rPr>
          <w:rFonts w:eastAsia="Calibri"/>
          <w:sz w:val="26"/>
          <w:szCs w:val="26"/>
        </w:rPr>
        <w:t xml:space="preserve"> is a broad definition, which encompasses all renewable systems whether they are physical or virtual, the record supports PPL’s position that it is not disputed that the Complainant participates in virtual meter aggregation.  Namely, the record indicates that the Complainant’s solar panels are located approximately 600 yards from his Service Address and are not physically connected to his home.  Tr. at 24.  Because the Complainant participates in PPL’s net metering program, he is subject to the net metering provisions of PPL’s tariff.  As PPL notes in its Reply Exceptions, these tariff provisions include the requirement that meter aggregation be limited to meters located within two miles of the customer-generator’s property.  Therefore, we concur with PPL that because it is also not disputed that the two-mile limitation applies to the Complainant’s accounts, the Complainant’s concern with Finding of Fact No. 16 is inconsequential.  Accordingly, this Exception is denied.</w:t>
      </w:r>
    </w:p>
    <w:p w14:paraId="73B5677E" w14:textId="37B965A0" w:rsidR="00757194" w:rsidRDefault="00757194" w:rsidP="00A81DE8">
      <w:pPr>
        <w:widowControl/>
        <w:spacing w:after="200" w:line="360" w:lineRule="auto"/>
        <w:ind w:firstLine="1440"/>
        <w:contextualSpacing/>
        <w:rPr>
          <w:rFonts w:eastAsia="Calibri"/>
          <w:sz w:val="26"/>
          <w:szCs w:val="26"/>
        </w:rPr>
      </w:pPr>
    </w:p>
    <w:bookmarkEnd w:id="6"/>
    <w:p w14:paraId="6C1E2381" w14:textId="12396FB4" w:rsidR="00757194" w:rsidRPr="00447C6C" w:rsidRDefault="00757194" w:rsidP="00A81DE8">
      <w:pPr>
        <w:keepNext/>
        <w:keepLines/>
        <w:widowControl/>
        <w:ind w:left="2160" w:hanging="720"/>
        <w:contextualSpacing/>
        <w:rPr>
          <w:b/>
          <w:sz w:val="26"/>
          <w:szCs w:val="26"/>
        </w:rPr>
      </w:pPr>
      <w:r>
        <w:rPr>
          <w:b/>
          <w:sz w:val="26"/>
          <w:szCs w:val="26"/>
        </w:rPr>
        <w:t>2.</w:t>
      </w:r>
      <w:r>
        <w:rPr>
          <w:b/>
          <w:sz w:val="26"/>
          <w:szCs w:val="26"/>
        </w:rPr>
        <w:tab/>
        <w:t xml:space="preserve">Whether PPL properly credited the Complainant as directed in the </w:t>
      </w:r>
      <w:r>
        <w:rPr>
          <w:b/>
          <w:i/>
          <w:iCs/>
          <w:sz w:val="26"/>
          <w:szCs w:val="26"/>
        </w:rPr>
        <w:t>May 2016 Order</w:t>
      </w:r>
      <w:r>
        <w:rPr>
          <w:b/>
          <w:sz w:val="26"/>
          <w:szCs w:val="26"/>
        </w:rPr>
        <w:t xml:space="preserve"> (Exc. at 2-3)</w:t>
      </w:r>
    </w:p>
    <w:p w14:paraId="00C0FA01" w14:textId="77777777" w:rsidR="00757194" w:rsidRDefault="00757194" w:rsidP="00A81DE8">
      <w:pPr>
        <w:keepNext/>
        <w:keepLines/>
        <w:widowControl/>
        <w:spacing w:after="200" w:line="360" w:lineRule="auto"/>
        <w:ind w:firstLine="1440"/>
        <w:contextualSpacing/>
        <w:rPr>
          <w:rFonts w:eastAsia="Calibri"/>
          <w:sz w:val="26"/>
          <w:szCs w:val="26"/>
        </w:rPr>
      </w:pPr>
    </w:p>
    <w:p w14:paraId="7DEF1140" w14:textId="609B2C32" w:rsidR="00757194" w:rsidRPr="00757194" w:rsidRDefault="00757194" w:rsidP="00A81DE8">
      <w:pPr>
        <w:keepNext/>
        <w:keepLines/>
        <w:widowControl/>
        <w:spacing w:after="200" w:line="360" w:lineRule="auto"/>
        <w:ind w:left="2880" w:hanging="720"/>
        <w:contextualSpacing/>
        <w:rPr>
          <w:rFonts w:eastAsia="Calibri"/>
          <w:b/>
          <w:bCs/>
          <w:sz w:val="26"/>
          <w:szCs w:val="26"/>
        </w:rPr>
      </w:pPr>
      <w:r w:rsidRPr="00757194">
        <w:rPr>
          <w:rFonts w:eastAsia="Calibri"/>
          <w:b/>
          <w:bCs/>
          <w:sz w:val="26"/>
          <w:szCs w:val="26"/>
        </w:rPr>
        <w:t>a.</w:t>
      </w:r>
      <w:r w:rsidRPr="00757194">
        <w:rPr>
          <w:rFonts w:eastAsia="Calibri"/>
          <w:b/>
          <w:bCs/>
          <w:sz w:val="26"/>
          <w:szCs w:val="26"/>
        </w:rPr>
        <w:tab/>
      </w:r>
      <w:r>
        <w:rPr>
          <w:rFonts w:eastAsia="Calibri"/>
          <w:b/>
          <w:bCs/>
          <w:sz w:val="26"/>
          <w:szCs w:val="26"/>
        </w:rPr>
        <w:t>Exceptions and Reply Exceptions</w:t>
      </w:r>
    </w:p>
    <w:p w14:paraId="7C3921D4" w14:textId="36D3B5B5" w:rsidR="00757194" w:rsidRDefault="00757194" w:rsidP="00A81DE8">
      <w:pPr>
        <w:keepNext/>
        <w:keepLines/>
        <w:widowControl/>
        <w:spacing w:after="200" w:line="360" w:lineRule="auto"/>
        <w:ind w:firstLine="1440"/>
        <w:contextualSpacing/>
        <w:rPr>
          <w:rFonts w:eastAsia="Calibri"/>
          <w:sz w:val="26"/>
          <w:szCs w:val="26"/>
        </w:rPr>
      </w:pPr>
    </w:p>
    <w:p w14:paraId="3224638B" w14:textId="20E4735A" w:rsidR="00EE2C9A" w:rsidRPr="00EE2C9A" w:rsidRDefault="00EE2C9A" w:rsidP="00A81DE8">
      <w:pPr>
        <w:widowControl/>
        <w:spacing w:after="200" w:line="360" w:lineRule="auto"/>
        <w:ind w:firstLine="1440"/>
        <w:contextualSpacing/>
        <w:rPr>
          <w:rFonts w:eastAsia="Calibri"/>
          <w:sz w:val="26"/>
          <w:szCs w:val="26"/>
        </w:rPr>
      </w:pPr>
      <w:r w:rsidRPr="00757194">
        <w:rPr>
          <w:rFonts w:eastAsia="Calibri"/>
          <w:sz w:val="26"/>
          <w:szCs w:val="26"/>
        </w:rPr>
        <w:t>The Complainant</w:t>
      </w:r>
      <w:r w:rsidRPr="00EE2C9A">
        <w:rPr>
          <w:rFonts w:eastAsia="Calibri"/>
          <w:sz w:val="26"/>
          <w:szCs w:val="26"/>
        </w:rPr>
        <w:t xml:space="preserve"> finds fault with Finding of Fact Nos. 21 and 22.</w:t>
      </w:r>
      <w:r w:rsidRPr="00EE2C9A">
        <w:rPr>
          <w:rFonts w:eastAsia="Calibri"/>
          <w:sz w:val="26"/>
          <w:szCs w:val="26"/>
          <w:vertAlign w:val="superscript"/>
        </w:rPr>
        <w:footnoteReference w:id="9"/>
      </w:r>
      <w:r w:rsidRPr="00EE2C9A">
        <w:rPr>
          <w:rFonts w:eastAsia="Calibri"/>
          <w:sz w:val="26"/>
          <w:szCs w:val="26"/>
        </w:rPr>
        <w:t xml:space="preserve">  According to the Complainant, each of these findings of fact contain misinformation.  Namely, the Complainant notes that while Finding of Fact No. 21 states that a credit of </w:t>
      </w:r>
      <w:r w:rsidRPr="00EE2C9A">
        <w:rPr>
          <w:rFonts w:eastAsia="Calibri"/>
          <w:sz w:val="26"/>
          <w:szCs w:val="26"/>
        </w:rPr>
        <w:lastRenderedPageBreak/>
        <w:t xml:space="preserve">$738.61 was posted to his account, </w:t>
      </w:r>
      <w:r w:rsidR="00E32143">
        <w:rPr>
          <w:rFonts w:eastAsia="Calibri"/>
          <w:sz w:val="26"/>
          <w:szCs w:val="26"/>
        </w:rPr>
        <w:t xml:space="preserve">this is contradicted by </w:t>
      </w:r>
      <w:r w:rsidRPr="00EE2C9A">
        <w:rPr>
          <w:rFonts w:eastAsia="Calibri"/>
          <w:sz w:val="26"/>
          <w:szCs w:val="26"/>
        </w:rPr>
        <w:t>Finding of Fact No. 22</w:t>
      </w:r>
      <w:r w:rsidR="00E32143">
        <w:rPr>
          <w:rFonts w:eastAsia="Calibri"/>
          <w:sz w:val="26"/>
          <w:szCs w:val="26"/>
        </w:rPr>
        <w:t>, which</w:t>
      </w:r>
      <w:r w:rsidRPr="00EE2C9A">
        <w:rPr>
          <w:rFonts w:eastAsia="Calibri"/>
          <w:sz w:val="26"/>
          <w:szCs w:val="26"/>
        </w:rPr>
        <w:t xml:space="preserve"> states that a credit of $783.61 was posted to his account.  The Complainant asserts that, although the bill he received dated June 10, 2016 shows a substantially reduced balance, neither of these amounts appears as an item of credit or of excess credit.  Exc. at 2-3</w:t>
      </w:r>
    </w:p>
    <w:p w14:paraId="4DBAF612" w14:textId="71F0B5B4" w:rsidR="00EE2C9A" w:rsidRDefault="00EE2C9A" w:rsidP="00A81DE8">
      <w:pPr>
        <w:widowControl/>
        <w:spacing w:after="200" w:line="360" w:lineRule="auto"/>
        <w:ind w:firstLine="1440"/>
        <w:contextualSpacing/>
        <w:rPr>
          <w:rFonts w:eastAsia="Calibri"/>
          <w:sz w:val="26"/>
          <w:szCs w:val="26"/>
        </w:rPr>
      </w:pPr>
    </w:p>
    <w:p w14:paraId="02D89775" w14:textId="04DE0B0E" w:rsidR="00EA0F63" w:rsidRPr="000A32B4" w:rsidRDefault="00EA0F63" w:rsidP="00A81DE8">
      <w:pPr>
        <w:widowControl/>
        <w:spacing w:line="360" w:lineRule="auto"/>
        <w:ind w:firstLine="1440"/>
        <w:contextualSpacing/>
        <w:rPr>
          <w:sz w:val="26"/>
          <w:szCs w:val="26"/>
        </w:rPr>
      </w:pPr>
      <w:r w:rsidRPr="00EA0F63">
        <w:rPr>
          <w:sz w:val="26"/>
          <w:szCs w:val="26"/>
        </w:rPr>
        <w:t>PPL retorts that although Finding of Fact No. 21 states that a credit of $738.61 was posted to the Complainant’s account</w:t>
      </w:r>
      <w:r w:rsidRPr="000A32B4">
        <w:rPr>
          <w:sz w:val="26"/>
          <w:szCs w:val="26"/>
        </w:rPr>
        <w:t xml:space="preserve">, this is simply a typographical error.  PPL stresses that the record supports the ALJ’s Finding of Fact No. 22 that the Complainant was issued a credit of $783.61 on May 24, 2016 in compliance with the </w:t>
      </w:r>
      <w:r w:rsidRPr="000A32B4">
        <w:rPr>
          <w:i/>
          <w:sz w:val="26"/>
          <w:szCs w:val="26"/>
        </w:rPr>
        <w:t>May 2016 Order.</w:t>
      </w:r>
      <w:r w:rsidRPr="000A32B4">
        <w:rPr>
          <w:sz w:val="26"/>
          <w:szCs w:val="26"/>
        </w:rPr>
        <w:t xml:space="preserve">  R. Exc. at 6-7 (citing PPL Exh. 11).</w:t>
      </w:r>
    </w:p>
    <w:p w14:paraId="58076994" w14:textId="2F6A2989" w:rsidR="00757194" w:rsidRDefault="00757194" w:rsidP="00A81DE8">
      <w:pPr>
        <w:widowControl/>
        <w:spacing w:after="200" w:line="360" w:lineRule="auto"/>
        <w:ind w:firstLine="1440"/>
        <w:contextualSpacing/>
        <w:rPr>
          <w:rFonts w:eastAsia="Calibri"/>
          <w:sz w:val="26"/>
          <w:szCs w:val="26"/>
        </w:rPr>
      </w:pPr>
    </w:p>
    <w:p w14:paraId="472F15AA" w14:textId="77777777" w:rsidR="00757194" w:rsidRPr="00757194" w:rsidRDefault="00757194" w:rsidP="00A81DE8">
      <w:pPr>
        <w:keepNext/>
        <w:keepLines/>
        <w:widowControl/>
        <w:spacing w:after="200" w:line="360" w:lineRule="auto"/>
        <w:ind w:left="2880" w:hanging="720"/>
        <w:contextualSpacing/>
        <w:rPr>
          <w:rFonts w:eastAsia="Calibri"/>
          <w:b/>
          <w:bCs/>
          <w:sz w:val="26"/>
          <w:szCs w:val="26"/>
        </w:rPr>
      </w:pPr>
      <w:bookmarkStart w:id="7" w:name="_Hlk11745975"/>
      <w:r w:rsidRPr="00757194">
        <w:rPr>
          <w:rFonts w:eastAsia="Calibri"/>
          <w:b/>
          <w:bCs/>
          <w:sz w:val="26"/>
          <w:szCs w:val="26"/>
        </w:rPr>
        <w:t>b.</w:t>
      </w:r>
      <w:r w:rsidRPr="00757194">
        <w:rPr>
          <w:rFonts w:eastAsia="Calibri"/>
          <w:b/>
          <w:bCs/>
          <w:sz w:val="26"/>
          <w:szCs w:val="26"/>
        </w:rPr>
        <w:tab/>
        <w:t>Disposition</w:t>
      </w:r>
    </w:p>
    <w:p w14:paraId="745EF259" w14:textId="77777777" w:rsidR="00757194" w:rsidRDefault="00757194" w:rsidP="00A81DE8">
      <w:pPr>
        <w:keepNext/>
        <w:keepLines/>
        <w:widowControl/>
        <w:spacing w:after="200" w:line="360" w:lineRule="auto"/>
        <w:ind w:firstLine="1440"/>
        <w:contextualSpacing/>
        <w:rPr>
          <w:rFonts w:eastAsia="Calibri"/>
          <w:sz w:val="26"/>
          <w:szCs w:val="26"/>
        </w:rPr>
      </w:pPr>
    </w:p>
    <w:p w14:paraId="191D4B58" w14:textId="157E05F2" w:rsidR="00EA0F63" w:rsidRPr="00EA0F63" w:rsidRDefault="00EA0F63" w:rsidP="00A81DE8">
      <w:pPr>
        <w:widowControl/>
        <w:spacing w:after="200" w:line="360" w:lineRule="auto"/>
        <w:ind w:firstLine="1440"/>
        <w:contextualSpacing/>
        <w:rPr>
          <w:rFonts w:eastAsia="Calibri"/>
          <w:sz w:val="26"/>
          <w:szCs w:val="26"/>
        </w:rPr>
      </w:pPr>
      <w:r w:rsidRPr="00EA0F63">
        <w:rPr>
          <w:rFonts w:eastAsia="Calibri"/>
          <w:sz w:val="26"/>
          <w:szCs w:val="26"/>
        </w:rPr>
        <w:t>As noted above, the Complainan</w:t>
      </w:r>
      <w:r w:rsidR="00327B64">
        <w:rPr>
          <w:rFonts w:eastAsia="Calibri"/>
          <w:sz w:val="26"/>
          <w:szCs w:val="26"/>
        </w:rPr>
        <w:t>t</w:t>
      </w:r>
      <w:r w:rsidR="003E0050">
        <w:rPr>
          <w:rFonts w:eastAsia="Calibri"/>
          <w:sz w:val="26"/>
          <w:szCs w:val="26"/>
        </w:rPr>
        <w:t>, in his</w:t>
      </w:r>
      <w:r w:rsidRPr="00EA0F63">
        <w:rPr>
          <w:rFonts w:eastAsia="Calibri"/>
          <w:sz w:val="26"/>
          <w:szCs w:val="26"/>
        </w:rPr>
        <w:t xml:space="preserve"> Exceptions</w:t>
      </w:r>
      <w:r w:rsidR="003E0050">
        <w:rPr>
          <w:rFonts w:eastAsia="Calibri"/>
          <w:sz w:val="26"/>
          <w:szCs w:val="26"/>
        </w:rPr>
        <w:t>,</w:t>
      </w:r>
      <w:r w:rsidRPr="00EA0F63">
        <w:rPr>
          <w:rFonts w:eastAsia="Calibri"/>
          <w:sz w:val="26"/>
          <w:szCs w:val="26"/>
        </w:rPr>
        <w:t xml:space="preserve"> challenge</w:t>
      </w:r>
      <w:r w:rsidR="003E0050">
        <w:rPr>
          <w:rFonts w:eastAsia="Calibri"/>
          <w:sz w:val="26"/>
          <w:szCs w:val="26"/>
        </w:rPr>
        <w:t>s</w:t>
      </w:r>
      <w:r w:rsidRPr="00EA0F63">
        <w:rPr>
          <w:rFonts w:eastAsia="Calibri"/>
          <w:sz w:val="26"/>
          <w:szCs w:val="26"/>
        </w:rPr>
        <w:t xml:space="preserve"> the credit amount that is stated in the ALJ’s Finding of Fact No. 21 and notes that it contradicts the amount that is stated in Finding of Fact </w:t>
      </w:r>
      <w:r w:rsidR="00565F85">
        <w:rPr>
          <w:rFonts w:eastAsia="Calibri"/>
          <w:sz w:val="26"/>
          <w:szCs w:val="26"/>
        </w:rPr>
        <w:t xml:space="preserve">No. </w:t>
      </w:r>
      <w:r w:rsidRPr="00EA0F63">
        <w:rPr>
          <w:rFonts w:eastAsia="Calibri"/>
          <w:sz w:val="26"/>
          <w:szCs w:val="26"/>
        </w:rPr>
        <w:t>22.  After reviewing the record, we agree with the Complainant.  It appears, based on the record, that the ALJ’s Initial Decision contain</w:t>
      </w:r>
      <w:r w:rsidR="00962D99">
        <w:rPr>
          <w:rFonts w:eastAsia="Calibri"/>
          <w:sz w:val="26"/>
          <w:szCs w:val="26"/>
        </w:rPr>
        <w:t>s</w:t>
      </w:r>
      <w:r w:rsidRPr="00EA0F63">
        <w:rPr>
          <w:rFonts w:eastAsia="Calibri"/>
          <w:sz w:val="26"/>
          <w:szCs w:val="26"/>
        </w:rPr>
        <w:t xml:space="preserve"> a typographical error.  Namely, PPL Exhibit No. 11 states, in pertinent part, as follows:</w:t>
      </w:r>
    </w:p>
    <w:p w14:paraId="13E030AF" w14:textId="77777777" w:rsidR="00EA0F63" w:rsidRPr="00EA0F63" w:rsidRDefault="00EA0F63" w:rsidP="00A81DE8">
      <w:pPr>
        <w:widowControl/>
        <w:spacing w:after="200" w:line="360" w:lineRule="auto"/>
        <w:contextualSpacing/>
        <w:rPr>
          <w:rFonts w:eastAsia="Calibri"/>
          <w:sz w:val="26"/>
          <w:szCs w:val="26"/>
        </w:rPr>
      </w:pPr>
    </w:p>
    <w:p w14:paraId="1AB86884" w14:textId="77777777" w:rsidR="00EA0F63" w:rsidRPr="00EA0F63" w:rsidRDefault="00EA0F63" w:rsidP="00A81DE8">
      <w:pPr>
        <w:widowControl/>
        <w:spacing w:after="200"/>
        <w:ind w:left="1440" w:right="1440"/>
        <w:contextualSpacing/>
        <w:rPr>
          <w:rFonts w:eastAsia="Calibri"/>
          <w:sz w:val="26"/>
          <w:szCs w:val="26"/>
        </w:rPr>
      </w:pPr>
      <w:r w:rsidRPr="00EA0F63">
        <w:rPr>
          <w:rFonts w:eastAsia="Calibri"/>
          <w:sz w:val="26"/>
          <w:szCs w:val="26"/>
        </w:rPr>
        <w:t>Please be advised that on May 24, 2016, PPL Electric posted a credit of $783.61 to Jay Larry Moyer’s residential account, which includes the amount agreed to on the record ($739.98) plus interest accrued through the entry date of the Opinion and Order.  This credited amount has been applied to Mr. Moyer’s residential account and will be reflected on Mr. Moyer’s next monthly residential bill to be issued on or about June 11, 2016.</w:t>
      </w:r>
    </w:p>
    <w:p w14:paraId="2F8E599C" w14:textId="6081070C" w:rsidR="00EA0F63" w:rsidRDefault="00EA0F63" w:rsidP="001E5B55">
      <w:pPr>
        <w:widowControl/>
        <w:contextualSpacing/>
        <w:rPr>
          <w:rFonts w:eastAsia="Calibri"/>
          <w:sz w:val="26"/>
          <w:szCs w:val="26"/>
        </w:rPr>
      </w:pPr>
    </w:p>
    <w:p w14:paraId="50F846C7" w14:textId="77777777" w:rsidR="001E5B55" w:rsidRPr="00EA0F63" w:rsidRDefault="001E5B55" w:rsidP="004F0B06">
      <w:pPr>
        <w:widowControl/>
        <w:contextualSpacing/>
        <w:rPr>
          <w:rFonts w:eastAsia="Calibri"/>
          <w:sz w:val="26"/>
          <w:szCs w:val="26"/>
        </w:rPr>
      </w:pPr>
    </w:p>
    <w:p w14:paraId="03107E5B" w14:textId="678752EC" w:rsidR="00EA0F63" w:rsidRPr="00EA0F63" w:rsidRDefault="00EA0F63" w:rsidP="00A81DE8">
      <w:pPr>
        <w:widowControl/>
        <w:spacing w:after="200" w:line="360" w:lineRule="auto"/>
        <w:contextualSpacing/>
        <w:rPr>
          <w:rFonts w:eastAsia="Calibri"/>
          <w:sz w:val="26"/>
          <w:szCs w:val="26"/>
        </w:rPr>
      </w:pPr>
      <w:r w:rsidRPr="00EA0F63">
        <w:rPr>
          <w:rFonts w:eastAsia="Calibri"/>
          <w:sz w:val="26"/>
          <w:szCs w:val="26"/>
        </w:rPr>
        <w:t xml:space="preserve">Further, the record indicates that on the Account Activity Statement for the Complainant’s residential account, the above $783.61 credit amount was applied on May </w:t>
      </w:r>
      <w:r w:rsidRPr="00EA0F63">
        <w:rPr>
          <w:rFonts w:eastAsia="Calibri"/>
          <w:sz w:val="26"/>
          <w:szCs w:val="26"/>
        </w:rPr>
        <w:lastRenderedPageBreak/>
        <w:t xml:space="preserve">24, 2016, as depicted in Finding of Fact No. 22.  I.D. at 8 </w:t>
      </w:r>
      <w:r w:rsidR="00732884">
        <w:rPr>
          <w:rFonts w:eastAsia="Calibri"/>
          <w:sz w:val="26"/>
          <w:szCs w:val="26"/>
        </w:rPr>
        <w:t>(</w:t>
      </w:r>
      <w:r w:rsidRPr="00EA0F63">
        <w:rPr>
          <w:rFonts w:eastAsia="Calibri"/>
          <w:sz w:val="26"/>
          <w:szCs w:val="26"/>
        </w:rPr>
        <w:t>PPL Exh. No. 1</w:t>
      </w:r>
      <w:r w:rsidR="00F20B46">
        <w:rPr>
          <w:rFonts w:eastAsia="Calibri"/>
          <w:sz w:val="26"/>
          <w:szCs w:val="26"/>
        </w:rPr>
        <w:t>,</w:t>
      </w:r>
      <w:r w:rsidRPr="00EA0F63">
        <w:rPr>
          <w:rFonts w:eastAsia="Calibri"/>
          <w:sz w:val="26"/>
          <w:szCs w:val="26"/>
        </w:rPr>
        <w:t xml:space="preserve"> PPL Exh. 10</w:t>
      </w:r>
      <w:r w:rsidR="00F20B46">
        <w:rPr>
          <w:rFonts w:eastAsia="Calibri"/>
          <w:sz w:val="26"/>
          <w:szCs w:val="26"/>
        </w:rPr>
        <w:t xml:space="preserve">, </w:t>
      </w:r>
      <w:r w:rsidRPr="00EA0F63">
        <w:rPr>
          <w:rFonts w:eastAsia="Calibri"/>
          <w:sz w:val="26"/>
          <w:szCs w:val="26"/>
        </w:rPr>
        <w:t>Tr. at 30</w:t>
      </w:r>
      <w:r w:rsidR="00732884">
        <w:rPr>
          <w:rFonts w:eastAsia="Calibri"/>
          <w:sz w:val="26"/>
          <w:szCs w:val="26"/>
        </w:rPr>
        <w:t>)</w:t>
      </w:r>
      <w:r w:rsidRPr="00EA0F63">
        <w:rPr>
          <w:rFonts w:eastAsia="Calibri"/>
          <w:sz w:val="26"/>
          <w:szCs w:val="26"/>
        </w:rPr>
        <w:t>.  Therefore, we shall modify Finding of Fact No. 21 on page eight of the ALJ’s Initial Decision to read as follows:</w:t>
      </w:r>
    </w:p>
    <w:p w14:paraId="2ACC23E1" w14:textId="77777777" w:rsidR="00EA0F63" w:rsidRPr="00EA0F63" w:rsidRDefault="00EA0F63" w:rsidP="00A81DE8">
      <w:pPr>
        <w:widowControl/>
        <w:spacing w:after="200" w:line="360" w:lineRule="auto"/>
        <w:contextualSpacing/>
        <w:rPr>
          <w:rFonts w:eastAsia="Calibri"/>
          <w:sz w:val="26"/>
          <w:szCs w:val="26"/>
        </w:rPr>
      </w:pPr>
    </w:p>
    <w:p w14:paraId="748938C4" w14:textId="3DCFBA7B" w:rsidR="00EA0F63" w:rsidRPr="00EA0F63" w:rsidRDefault="00EA0F63" w:rsidP="00A81DE8">
      <w:pPr>
        <w:widowControl/>
        <w:spacing w:after="200"/>
        <w:ind w:left="1440" w:right="1440"/>
        <w:contextualSpacing/>
        <w:rPr>
          <w:rFonts w:eastAsia="Calibri"/>
          <w:sz w:val="26"/>
          <w:szCs w:val="26"/>
        </w:rPr>
      </w:pPr>
      <w:r w:rsidRPr="00EA0F63">
        <w:rPr>
          <w:rFonts w:eastAsia="Calibri"/>
          <w:sz w:val="26"/>
          <w:szCs w:val="26"/>
        </w:rPr>
        <w:t>PPL Exhibit Number 11 is a letter dated May 25, 2016 from counsel for PPL to the Commission’s Secretary explaining that a credit of $783.61 was posted to Mr. Moyer’s account on May 24, 2016.  PPL Exh. No. 11</w:t>
      </w:r>
      <w:r w:rsidR="0097601C">
        <w:rPr>
          <w:rFonts w:eastAsia="Calibri"/>
          <w:sz w:val="26"/>
          <w:szCs w:val="26"/>
        </w:rPr>
        <w:t>,</w:t>
      </w:r>
      <w:r w:rsidRPr="00EA0F63">
        <w:rPr>
          <w:rFonts w:eastAsia="Calibri"/>
          <w:sz w:val="26"/>
          <w:szCs w:val="26"/>
        </w:rPr>
        <w:t xml:space="preserve"> Tr. 28-29.</w:t>
      </w:r>
    </w:p>
    <w:p w14:paraId="4F53B9BA" w14:textId="77777777" w:rsidR="00EA0F63" w:rsidRPr="00EA0F63" w:rsidRDefault="00EA0F63" w:rsidP="004F0B06">
      <w:pPr>
        <w:widowControl/>
        <w:contextualSpacing/>
        <w:rPr>
          <w:rFonts w:eastAsia="Calibri"/>
          <w:sz w:val="26"/>
          <w:szCs w:val="26"/>
        </w:rPr>
      </w:pPr>
    </w:p>
    <w:p w14:paraId="66E35294" w14:textId="77777777" w:rsidR="001E5B55" w:rsidRDefault="001E5B55" w:rsidP="00A81DE8">
      <w:pPr>
        <w:widowControl/>
        <w:spacing w:after="200" w:line="360" w:lineRule="auto"/>
        <w:contextualSpacing/>
        <w:rPr>
          <w:rFonts w:eastAsia="Calibri"/>
          <w:sz w:val="26"/>
          <w:szCs w:val="26"/>
        </w:rPr>
      </w:pPr>
    </w:p>
    <w:p w14:paraId="5A08FE98" w14:textId="6DF83A59" w:rsidR="00EA0F63" w:rsidRPr="00EA0F63" w:rsidRDefault="00EA0F63" w:rsidP="00A81DE8">
      <w:pPr>
        <w:widowControl/>
        <w:spacing w:after="200" w:line="360" w:lineRule="auto"/>
        <w:contextualSpacing/>
        <w:rPr>
          <w:rFonts w:eastAsia="Calibri"/>
          <w:sz w:val="26"/>
          <w:szCs w:val="26"/>
        </w:rPr>
      </w:pPr>
      <w:r w:rsidRPr="00EA0F63">
        <w:rPr>
          <w:rFonts w:eastAsia="Calibri"/>
          <w:sz w:val="26"/>
          <w:szCs w:val="26"/>
        </w:rPr>
        <w:t xml:space="preserve">Notwithstanding our modification of this Finding of Fact, we agree with PPL in its Replies to Exceptions that the record accurately reflects PPL’s compliance with our directive in our </w:t>
      </w:r>
      <w:r w:rsidRPr="00EA0F63">
        <w:rPr>
          <w:rFonts w:eastAsia="Calibri"/>
          <w:i/>
          <w:iCs/>
          <w:sz w:val="26"/>
          <w:szCs w:val="26"/>
        </w:rPr>
        <w:t>May 2016 Order</w:t>
      </w:r>
      <w:r w:rsidRPr="00EA0F63">
        <w:rPr>
          <w:rFonts w:eastAsia="Calibri"/>
          <w:sz w:val="26"/>
          <w:szCs w:val="26"/>
        </w:rPr>
        <w:t xml:space="preserve"> that the Complainant be issued a credit and that the proper credit amount was applied to his residential account.  Therefore, this Exception is granted, in part, and denied, in part.</w:t>
      </w:r>
    </w:p>
    <w:p w14:paraId="5DDE2548" w14:textId="77777777" w:rsidR="00757194" w:rsidRDefault="00757194" w:rsidP="00A81DE8">
      <w:pPr>
        <w:widowControl/>
        <w:spacing w:after="200" w:line="360" w:lineRule="auto"/>
        <w:ind w:firstLine="1440"/>
        <w:contextualSpacing/>
        <w:rPr>
          <w:rFonts w:eastAsia="Calibri"/>
          <w:sz w:val="26"/>
          <w:szCs w:val="26"/>
        </w:rPr>
      </w:pPr>
    </w:p>
    <w:bookmarkEnd w:id="7"/>
    <w:p w14:paraId="16C82D49" w14:textId="78A3BD87" w:rsidR="00757194" w:rsidRPr="00EA0F63" w:rsidRDefault="00EA0F63" w:rsidP="00A81DE8">
      <w:pPr>
        <w:keepNext/>
        <w:keepLines/>
        <w:widowControl/>
        <w:spacing w:after="200" w:line="360" w:lineRule="auto"/>
        <w:ind w:firstLine="1440"/>
        <w:contextualSpacing/>
        <w:rPr>
          <w:rFonts w:eastAsia="Calibri"/>
          <w:b/>
          <w:bCs/>
          <w:sz w:val="26"/>
          <w:szCs w:val="26"/>
        </w:rPr>
      </w:pPr>
      <w:r w:rsidRPr="00EA0F63">
        <w:rPr>
          <w:rFonts w:eastAsia="Calibri"/>
          <w:b/>
          <w:bCs/>
          <w:sz w:val="26"/>
          <w:szCs w:val="26"/>
        </w:rPr>
        <w:t>3.</w:t>
      </w:r>
      <w:r w:rsidRPr="00EA0F63">
        <w:rPr>
          <w:rFonts w:eastAsia="Calibri"/>
          <w:b/>
          <w:bCs/>
          <w:sz w:val="26"/>
          <w:szCs w:val="26"/>
        </w:rPr>
        <w:tab/>
        <w:t>Additional Exceptions to Findings of Fact (Exc. at 3)</w:t>
      </w:r>
    </w:p>
    <w:p w14:paraId="1C66F947" w14:textId="3CAAC9CC" w:rsidR="00757194" w:rsidRDefault="00757194" w:rsidP="00A81DE8">
      <w:pPr>
        <w:keepNext/>
        <w:keepLines/>
        <w:widowControl/>
        <w:spacing w:after="200" w:line="360" w:lineRule="auto"/>
        <w:ind w:firstLine="1440"/>
        <w:contextualSpacing/>
        <w:rPr>
          <w:rFonts w:eastAsia="Calibri"/>
          <w:sz w:val="26"/>
          <w:szCs w:val="26"/>
        </w:rPr>
      </w:pPr>
    </w:p>
    <w:p w14:paraId="263EE88C" w14:textId="77777777" w:rsidR="00EA0F63" w:rsidRPr="00757194" w:rsidRDefault="00EA0F63" w:rsidP="00A81DE8">
      <w:pPr>
        <w:keepNext/>
        <w:keepLines/>
        <w:widowControl/>
        <w:spacing w:after="200" w:line="360" w:lineRule="auto"/>
        <w:ind w:left="2880" w:hanging="720"/>
        <w:contextualSpacing/>
        <w:rPr>
          <w:rFonts w:eastAsia="Calibri"/>
          <w:b/>
          <w:bCs/>
          <w:sz w:val="26"/>
          <w:szCs w:val="26"/>
        </w:rPr>
      </w:pPr>
      <w:r w:rsidRPr="00757194">
        <w:rPr>
          <w:rFonts w:eastAsia="Calibri"/>
          <w:b/>
          <w:bCs/>
          <w:sz w:val="26"/>
          <w:szCs w:val="26"/>
        </w:rPr>
        <w:t>a.</w:t>
      </w:r>
      <w:r w:rsidRPr="00757194">
        <w:rPr>
          <w:rFonts w:eastAsia="Calibri"/>
          <w:b/>
          <w:bCs/>
          <w:sz w:val="26"/>
          <w:szCs w:val="26"/>
        </w:rPr>
        <w:tab/>
      </w:r>
      <w:r>
        <w:rPr>
          <w:rFonts w:eastAsia="Calibri"/>
          <w:b/>
          <w:bCs/>
          <w:sz w:val="26"/>
          <w:szCs w:val="26"/>
        </w:rPr>
        <w:t xml:space="preserve">Exceptions and Reply Exceptions </w:t>
      </w:r>
    </w:p>
    <w:p w14:paraId="566C197A" w14:textId="77777777" w:rsidR="00EA0F63" w:rsidRDefault="00EA0F63" w:rsidP="00A81DE8">
      <w:pPr>
        <w:keepNext/>
        <w:keepLines/>
        <w:widowControl/>
        <w:spacing w:after="200" w:line="360" w:lineRule="auto"/>
        <w:ind w:firstLine="1440"/>
        <w:contextualSpacing/>
        <w:rPr>
          <w:rFonts w:eastAsia="Calibri"/>
          <w:sz w:val="26"/>
          <w:szCs w:val="26"/>
          <w:highlight w:val="yellow"/>
        </w:rPr>
      </w:pPr>
    </w:p>
    <w:p w14:paraId="1D729639" w14:textId="109C354C" w:rsidR="00EE2C9A" w:rsidRDefault="00EA0F63" w:rsidP="00A81DE8">
      <w:pPr>
        <w:widowControl/>
        <w:spacing w:after="200" w:line="360" w:lineRule="auto"/>
        <w:ind w:firstLine="1440"/>
        <w:contextualSpacing/>
        <w:rPr>
          <w:rFonts w:eastAsia="Calibri"/>
          <w:sz w:val="26"/>
          <w:szCs w:val="26"/>
        </w:rPr>
      </w:pPr>
      <w:r>
        <w:rPr>
          <w:rFonts w:eastAsia="Calibri"/>
          <w:sz w:val="26"/>
          <w:szCs w:val="26"/>
        </w:rPr>
        <w:t>The</w:t>
      </w:r>
      <w:r w:rsidR="00EE2C9A" w:rsidRPr="00EA0F63">
        <w:rPr>
          <w:rFonts w:eastAsia="Calibri"/>
          <w:sz w:val="26"/>
          <w:szCs w:val="26"/>
        </w:rPr>
        <w:t xml:space="preserve"> Co</w:t>
      </w:r>
      <w:r w:rsidR="00EE2C9A" w:rsidRPr="00EE2C9A">
        <w:rPr>
          <w:rFonts w:eastAsia="Calibri"/>
          <w:sz w:val="26"/>
          <w:szCs w:val="26"/>
        </w:rPr>
        <w:t>mplainant takes issue with Finding of Fact Nos. 36-38 and 43.  These findings of fact state as follows:</w:t>
      </w:r>
    </w:p>
    <w:p w14:paraId="6E5281F4" w14:textId="6E5050B1" w:rsidR="00EE2C9A" w:rsidRDefault="00EE2C9A" w:rsidP="00A81DE8">
      <w:pPr>
        <w:widowControl/>
        <w:spacing w:after="200" w:line="360" w:lineRule="auto"/>
        <w:ind w:firstLine="1440"/>
        <w:contextualSpacing/>
        <w:rPr>
          <w:rFonts w:eastAsia="Calibri"/>
          <w:sz w:val="26"/>
          <w:szCs w:val="26"/>
        </w:rPr>
      </w:pPr>
    </w:p>
    <w:p w14:paraId="7B4CB125" w14:textId="77777777" w:rsidR="00EE2C9A" w:rsidRPr="00EE2C9A" w:rsidRDefault="00EE2C9A" w:rsidP="00A81DE8">
      <w:pPr>
        <w:widowControl/>
        <w:spacing w:after="200"/>
        <w:ind w:left="2160" w:right="1440" w:hanging="720"/>
        <w:contextualSpacing/>
        <w:rPr>
          <w:rFonts w:eastAsia="Calibri"/>
          <w:sz w:val="26"/>
          <w:szCs w:val="26"/>
        </w:rPr>
      </w:pPr>
      <w:r w:rsidRPr="00EE2C9A">
        <w:rPr>
          <w:rFonts w:eastAsia="Calibri"/>
          <w:sz w:val="26"/>
          <w:szCs w:val="26"/>
        </w:rPr>
        <w:t>36.</w:t>
      </w:r>
      <w:r w:rsidRPr="00EE2C9A">
        <w:rPr>
          <w:rFonts w:eastAsia="Calibri"/>
          <w:sz w:val="26"/>
          <w:szCs w:val="26"/>
        </w:rPr>
        <w:tab/>
        <w:t>A net metering customer usually will have a single bidirectional meter that would run backwards to reflect the amount of electricity generated in excess of the customer’s usage when the electricity generated offsets the customer’s own usage</w:t>
      </w:r>
    </w:p>
    <w:p w14:paraId="4834CB15" w14:textId="77777777" w:rsidR="00EE2C9A" w:rsidRPr="00EE2C9A" w:rsidRDefault="00EE2C9A" w:rsidP="00A81DE8">
      <w:pPr>
        <w:widowControl/>
        <w:spacing w:after="200"/>
        <w:ind w:left="2160" w:right="1440" w:hanging="720"/>
        <w:contextualSpacing/>
        <w:rPr>
          <w:rFonts w:eastAsia="Calibri"/>
          <w:sz w:val="26"/>
          <w:szCs w:val="26"/>
        </w:rPr>
      </w:pPr>
    </w:p>
    <w:p w14:paraId="2C5FBB2C" w14:textId="77777777" w:rsidR="00EE2C9A" w:rsidRPr="00EE2C9A" w:rsidRDefault="00EE2C9A" w:rsidP="00A81DE8">
      <w:pPr>
        <w:widowControl/>
        <w:spacing w:after="200"/>
        <w:ind w:left="2160" w:right="1440" w:hanging="720"/>
        <w:contextualSpacing/>
        <w:rPr>
          <w:rFonts w:eastAsia="Calibri"/>
          <w:sz w:val="26"/>
          <w:szCs w:val="26"/>
        </w:rPr>
      </w:pPr>
      <w:r w:rsidRPr="00EE2C9A">
        <w:rPr>
          <w:rFonts w:eastAsia="Calibri"/>
          <w:sz w:val="26"/>
          <w:szCs w:val="26"/>
        </w:rPr>
        <w:t>37.</w:t>
      </w:r>
      <w:r w:rsidRPr="00EE2C9A">
        <w:rPr>
          <w:rFonts w:eastAsia="Calibri"/>
          <w:sz w:val="26"/>
          <w:szCs w:val="26"/>
        </w:rPr>
        <w:tab/>
        <w:t>If the customer has excess generation carrying into the next billing series the excess is banked to offset future usage.</w:t>
      </w:r>
    </w:p>
    <w:p w14:paraId="6F9C58F4" w14:textId="77777777" w:rsidR="00EE2C9A" w:rsidRPr="00EE2C9A" w:rsidRDefault="00EE2C9A" w:rsidP="00A81DE8">
      <w:pPr>
        <w:widowControl/>
        <w:spacing w:after="200"/>
        <w:ind w:left="2160" w:right="1440" w:hanging="720"/>
        <w:contextualSpacing/>
        <w:rPr>
          <w:rFonts w:eastAsia="Calibri"/>
          <w:sz w:val="26"/>
          <w:szCs w:val="26"/>
        </w:rPr>
      </w:pPr>
    </w:p>
    <w:p w14:paraId="5C0D7DE7" w14:textId="79CBC352" w:rsidR="00EE2C9A" w:rsidRPr="00EE2C9A" w:rsidRDefault="00EE2C9A" w:rsidP="00A81DE8">
      <w:pPr>
        <w:widowControl/>
        <w:spacing w:after="200"/>
        <w:ind w:left="2160" w:right="1440" w:hanging="720"/>
        <w:contextualSpacing/>
        <w:rPr>
          <w:rFonts w:eastAsia="Calibri"/>
          <w:sz w:val="26"/>
          <w:szCs w:val="26"/>
        </w:rPr>
      </w:pPr>
      <w:r w:rsidRPr="00EE2C9A">
        <w:rPr>
          <w:rFonts w:eastAsia="Calibri"/>
          <w:sz w:val="26"/>
          <w:szCs w:val="26"/>
        </w:rPr>
        <w:lastRenderedPageBreak/>
        <w:t>38.</w:t>
      </w:r>
      <w:r w:rsidRPr="00EE2C9A">
        <w:rPr>
          <w:rFonts w:eastAsia="Calibri"/>
          <w:sz w:val="26"/>
          <w:szCs w:val="26"/>
        </w:rPr>
        <w:tab/>
        <w:t>With virtual metering</w:t>
      </w:r>
      <w:r w:rsidR="00252F82">
        <w:rPr>
          <w:rFonts w:eastAsia="Calibri"/>
          <w:sz w:val="26"/>
          <w:szCs w:val="26"/>
        </w:rPr>
        <w:t xml:space="preserve"> </w:t>
      </w:r>
      <w:r w:rsidRPr="00EE2C9A">
        <w:rPr>
          <w:rFonts w:eastAsia="Calibri"/>
          <w:sz w:val="26"/>
          <w:szCs w:val="26"/>
        </w:rPr>
        <w:t>aggregation customers, the goal remains giving the customer credit for the energy they have produced but two meters are considered instead of one.</w:t>
      </w:r>
    </w:p>
    <w:p w14:paraId="0CA3EB1A" w14:textId="77777777" w:rsidR="00EE2C9A" w:rsidRPr="00EE2C9A" w:rsidRDefault="00EE2C9A" w:rsidP="00A81DE8">
      <w:pPr>
        <w:widowControl/>
        <w:spacing w:after="200"/>
        <w:ind w:left="2160" w:right="1440" w:hanging="720"/>
        <w:contextualSpacing/>
        <w:rPr>
          <w:rFonts w:eastAsia="Calibri"/>
          <w:sz w:val="26"/>
          <w:szCs w:val="26"/>
        </w:rPr>
      </w:pPr>
    </w:p>
    <w:p w14:paraId="077EF24E" w14:textId="3EF0AEB9" w:rsidR="00EE2C9A" w:rsidRPr="00EE2C9A" w:rsidRDefault="00EE2C9A" w:rsidP="00A81DE8">
      <w:pPr>
        <w:widowControl/>
        <w:spacing w:after="200"/>
        <w:ind w:left="2160" w:right="1440" w:hanging="720"/>
        <w:contextualSpacing/>
        <w:jc w:val="center"/>
        <w:rPr>
          <w:rFonts w:eastAsia="Calibri"/>
          <w:sz w:val="26"/>
          <w:szCs w:val="26"/>
        </w:rPr>
      </w:pPr>
      <w:r w:rsidRPr="00EE2C9A">
        <w:rPr>
          <w:rFonts w:eastAsia="Calibri"/>
          <w:sz w:val="26"/>
          <w:szCs w:val="26"/>
        </w:rPr>
        <w:t>*</w:t>
      </w:r>
      <w:r w:rsidRPr="00EE2C9A">
        <w:rPr>
          <w:rFonts w:eastAsia="Calibri"/>
          <w:sz w:val="26"/>
          <w:szCs w:val="26"/>
        </w:rPr>
        <w:tab/>
        <w:t>*</w:t>
      </w:r>
      <w:r w:rsidRPr="00EE2C9A">
        <w:rPr>
          <w:rFonts w:eastAsia="Calibri"/>
          <w:sz w:val="26"/>
          <w:szCs w:val="26"/>
        </w:rPr>
        <w:tab/>
        <w:t>*</w:t>
      </w:r>
    </w:p>
    <w:p w14:paraId="2C22541B" w14:textId="77777777" w:rsidR="00EE2C9A" w:rsidRPr="00EE2C9A" w:rsidRDefault="00EE2C9A" w:rsidP="00A81DE8">
      <w:pPr>
        <w:widowControl/>
        <w:spacing w:after="200"/>
        <w:ind w:left="2160" w:right="1440" w:hanging="720"/>
        <w:contextualSpacing/>
        <w:rPr>
          <w:rFonts w:eastAsia="Calibri"/>
          <w:sz w:val="26"/>
          <w:szCs w:val="26"/>
        </w:rPr>
      </w:pPr>
    </w:p>
    <w:p w14:paraId="3C016B5F" w14:textId="77777777" w:rsidR="00EE2C9A" w:rsidRPr="00EE2C9A" w:rsidRDefault="00EE2C9A" w:rsidP="00A81DE8">
      <w:pPr>
        <w:widowControl/>
        <w:spacing w:after="200"/>
        <w:ind w:left="2160" w:right="1440" w:hanging="720"/>
        <w:contextualSpacing/>
        <w:rPr>
          <w:rFonts w:eastAsia="Calibri"/>
          <w:sz w:val="26"/>
          <w:szCs w:val="26"/>
        </w:rPr>
      </w:pPr>
      <w:r w:rsidRPr="00EE2C9A">
        <w:rPr>
          <w:rFonts w:eastAsia="Calibri"/>
          <w:sz w:val="26"/>
          <w:szCs w:val="26"/>
        </w:rPr>
        <w:t>43.</w:t>
      </w:r>
      <w:r w:rsidRPr="00EE2C9A">
        <w:rPr>
          <w:rFonts w:eastAsia="Calibri"/>
          <w:sz w:val="26"/>
          <w:szCs w:val="26"/>
        </w:rPr>
        <w:tab/>
        <w:t>Customers such as Mr. Moyer remain responsible for paying customer charges and possibly a demand charge because a non-residential meter is being used.</w:t>
      </w:r>
    </w:p>
    <w:p w14:paraId="1D80F401" w14:textId="77777777" w:rsidR="00EE2C9A" w:rsidRPr="00EE2C9A" w:rsidRDefault="00EE2C9A" w:rsidP="001E5B55">
      <w:pPr>
        <w:widowControl/>
        <w:ind w:firstLine="1440"/>
        <w:contextualSpacing/>
        <w:rPr>
          <w:rFonts w:eastAsia="Calibri"/>
          <w:sz w:val="26"/>
          <w:szCs w:val="26"/>
        </w:rPr>
      </w:pPr>
    </w:p>
    <w:p w14:paraId="18779013" w14:textId="77777777" w:rsidR="001E5B55" w:rsidRDefault="001E5B55" w:rsidP="004F0B06">
      <w:pPr>
        <w:widowControl/>
        <w:contextualSpacing/>
        <w:rPr>
          <w:rFonts w:eastAsia="Calibri"/>
          <w:sz w:val="26"/>
          <w:szCs w:val="26"/>
        </w:rPr>
      </w:pPr>
    </w:p>
    <w:p w14:paraId="771D91B1" w14:textId="250052DC" w:rsidR="00EE2C9A" w:rsidRPr="00EE2C9A" w:rsidRDefault="00EE2C9A" w:rsidP="004F0B06">
      <w:pPr>
        <w:pStyle w:val="BodyText"/>
        <w:spacing w:after="200" w:line="360" w:lineRule="auto"/>
      </w:pPr>
      <w:r w:rsidRPr="00EE2C9A">
        <w:t>I.D. at 9, 10 (citations omitted)</w:t>
      </w:r>
      <w:r>
        <w:t>.</w:t>
      </w:r>
    </w:p>
    <w:p w14:paraId="1A349B9A" w14:textId="3FC5850C" w:rsidR="00EE2C9A" w:rsidRDefault="00EE2C9A" w:rsidP="00A81DE8">
      <w:pPr>
        <w:widowControl/>
        <w:spacing w:after="200" w:line="360" w:lineRule="auto"/>
        <w:ind w:firstLine="1440"/>
        <w:contextualSpacing/>
        <w:rPr>
          <w:rFonts w:eastAsia="Calibri"/>
          <w:sz w:val="26"/>
          <w:szCs w:val="26"/>
        </w:rPr>
      </w:pPr>
    </w:p>
    <w:p w14:paraId="3C382066" w14:textId="3FE7123E" w:rsidR="00EE2C9A" w:rsidRPr="00EE2C9A" w:rsidRDefault="00A95014" w:rsidP="00A81DE8">
      <w:pPr>
        <w:widowControl/>
        <w:spacing w:after="200" w:line="360" w:lineRule="auto"/>
        <w:ind w:firstLine="1440"/>
        <w:contextualSpacing/>
        <w:rPr>
          <w:rFonts w:eastAsia="Calibri"/>
          <w:sz w:val="26"/>
          <w:szCs w:val="26"/>
        </w:rPr>
      </w:pPr>
      <w:r>
        <w:rPr>
          <w:rFonts w:eastAsia="Calibri"/>
          <w:sz w:val="26"/>
          <w:szCs w:val="26"/>
        </w:rPr>
        <w:t xml:space="preserve">The Complainant </w:t>
      </w:r>
      <w:r w:rsidR="00F33502">
        <w:rPr>
          <w:rFonts w:eastAsia="Calibri"/>
          <w:sz w:val="26"/>
          <w:szCs w:val="26"/>
        </w:rPr>
        <w:t>contends</w:t>
      </w:r>
      <w:r>
        <w:rPr>
          <w:rFonts w:eastAsia="Calibri"/>
          <w:sz w:val="26"/>
          <w:szCs w:val="26"/>
        </w:rPr>
        <w:t xml:space="preserve"> that the above</w:t>
      </w:r>
      <w:r w:rsidR="00EE2C9A" w:rsidRPr="00EE2C9A">
        <w:rPr>
          <w:rFonts w:eastAsia="Calibri"/>
          <w:sz w:val="26"/>
          <w:szCs w:val="26"/>
        </w:rPr>
        <w:t xml:space="preserve"> Findings of Fact are confusing, misleading, and/or do not correspond to established and demonstrated facts.  More specifically, the Complainant alleges the following, as paraphrased below:</w:t>
      </w:r>
    </w:p>
    <w:p w14:paraId="178DF853" w14:textId="2CB8B2EC" w:rsidR="00EE2C9A" w:rsidRDefault="00EE2C9A" w:rsidP="004F0B06">
      <w:pPr>
        <w:widowControl/>
        <w:spacing w:line="360" w:lineRule="auto"/>
        <w:ind w:firstLine="1440"/>
        <w:contextualSpacing/>
        <w:rPr>
          <w:rFonts w:eastAsia="Calibri"/>
          <w:sz w:val="26"/>
          <w:szCs w:val="26"/>
        </w:rPr>
      </w:pPr>
    </w:p>
    <w:p w14:paraId="5CA4E32D" w14:textId="69C0424A" w:rsidR="00EE2C9A" w:rsidRPr="00EE2C9A" w:rsidRDefault="00EE2C9A" w:rsidP="00A81DE8">
      <w:pPr>
        <w:widowControl/>
        <w:spacing w:after="200"/>
        <w:ind w:left="720" w:hanging="360"/>
        <w:contextualSpacing/>
        <w:rPr>
          <w:rFonts w:eastAsia="Calibri"/>
          <w:sz w:val="26"/>
          <w:szCs w:val="26"/>
        </w:rPr>
      </w:pPr>
      <w:r w:rsidRPr="00EE2C9A">
        <w:rPr>
          <w:rFonts w:eastAsia="Calibri"/>
          <w:sz w:val="26"/>
          <w:szCs w:val="26"/>
        </w:rPr>
        <w:t>1.</w:t>
      </w:r>
      <w:r w:rsidRPr="00EE2C9A">
        <w:rPr>
          <w:rFonts w:eastAsia="Calibri"/>
          <w:sz w:val="26"/>
          <w:szCs w:val="26"/>
        </w:rPr>
        <w:tab/>
        <w:t xml:space="preserve">The Complainant contends that in making Finding of Fact No. 36, the ALJ erroneously </w:t>
      </w:r>
      <w:r w:rsidR="00344675">
        <w:rPr>
          <w:rFonts w:eastAsia="Calibri"/>
          <w:sz w:val="26"/>
          <w:szCs w:val="26"/>
        </w:rPr>
        <w:t>stated that</w:t>
      </w:r>
      <w:r w:rsidRPr="00EE2C9A">
        <w:rPr>
          <w:rFonts w:eastAsia="Calibri"/>
          <w:sz w:val="26"/>
          <w:szCs w:val="26"/>
        </w:rPr>
        <w:t xml:space="preserve"> all net metering customers </w:t>
      </w:r>
      <w:r w:rsidR="00841EA6">
        <w:rPr>
          <w:rFonts w:eastAsia="Calibri"/>
          <w:sz w:val="26"/>
          <w:szCs w:val="26"/>
        </w:rPr>
        <w:t>have a</w:t>
      </w:r>
      <w:r w:rsidRPr="00EE2C9A">
        <w:rPr>
          <w:rFonts w:eastAsia="Calibri"/>
          <w:sz w:val="26"/>
          <w:szCs w:val="26"/>
        </w:rPr>
        <w:t xml:space="preserve"> single bidirectional meter.  The Complainant </w:t>
      </w:r>
      <w:r w:rsidR="004B42AC">
        <w:rPr>
          <w:rFonts w:eastAsia="Calibri"/>
          <w:sz w:val="26"/>
          <w:szCs w:val="26"/>
        </w:rPr>
        <w:t xml:space="preserve">argues that only those customers who participate in physical meter aggregation </w:t>
      </w:r>
      <w:r w:rsidR="008B158D">
        <w:rPr>
          <w:rFonts w:eastAsia="Calibri"/>
          <w:sz w:val="26"/>
          <w:szCs w:val="26"/>
        </w:rPr>
        <w:t>have such a meter</w:t>
      </w:r>
      <w:r w:rsidR="004B42AC">
        <w:rPr>
          <w:rFonts w:eastAsia="Calibri"/>
          <w:sz w:val="26"/>
          <w:szCs w:val="26"/>
        </w:rPr>
        <w:t>.</w:t>
      </w:r>
      <w:r w:rsidRPr="00EE2C9A">
        <w:rPr>
          <w:rFonts w:eastAsia="Calibri"/>
          <w:sz w:val="26"/>
          <w:szCs w:val="26"/>
        </w:rPr>
        <w:t xml:space="preserve">  In contrast, the Complainant insists that customers who participate in virtual </w:t>
      </w:r>
      <w:r w:rsidR="00E8399C">
        <w:rPr>
          <w:rFonts w:eastAsia="Calibri"/>
          <w:sz w:val="26"/>
          <w:szCs w:val="26"/>
        </w:rPr>
        <w:t>meter aggregation</w:t>
      </w:r>
      <w:r w:rsidRPr="00EE2C9A">
        <w:rPr>
          <w:rFonts w:eastAsia="Calibri"/>
          <w:sz w:val="26"/>
          <w:szCs w:val="26"/>
        </w:rPr>
        <w:t xml:space="preserve"> have no “single” meter capable of completing the aggregation process because virtual metering involves the use of multiple meters, one of which </w:t>
      </w:r>
      <w:r w:rsidRPr="00EE2C9A">
        <w:rPr>
          <w:rFonts w:eastAsia="Calibri"/>
          <w:i/>
          <w:sz w:val="26"/>
          <w:szCs w:val="26"/>
        </w:rPr>
        <w:t xml:space="preserve">may </w:t>
      </w:r>
      <w:r w:rsidRPr="00EE2C9A">
        <w:rPr>
          <w:rFonts w:eastAsia="Calibri"/>
          <w:sz w:val="26"/>
          <w:szCs w:val="26"/>
        </w:rPr>
        <w:t>be a bi-directional meter.</w:t>
      </w:r>
    </w:p>
    <w:p w14:paraId="3CAC23B8" w14:textId="77777777" w:rsidR="00EE2C9A" w:rsidRPr="00EE2C9A" w:rsidRDefault="00EE2C9A" w:rsidP="00A81DE8">
      <w:pPr>
        <w:widowControl/>
        <w:spacing w:after="200"/>
        <w:ind w:left="720" w:hanging="360"/>
        <w:contextualSpacing/>
        <w:rPr>
          <w:rFonts w:eastAsia="Calibri"/>
          <w:sz w:val="26"/>
          <w:szCs w:val="26"/>
        </w:rPr>
      </w:pPr>
    </w:p>
    <w:p w14:paraId="32E312AD" w14:textId="77777777" w:rsidR="00EE2C9A" w:rsidRPr="00EE2C9A" w:rsidRDefault="00EE2C9A" w:rsidP="00A81DE8">
      <w:pPr>
        <w:widowControl/>
        <w:spacing w:after="200"/>
        <w:ind w:left="720" w:hanging="360"/>
        <w:contextualSpacing/>
        <w:rPr>
          <w:rFonts w:eastAsia="Calibri"/>
          <w:sz w:val="26"/>
          <w:szCs w:val="26"/>
        </w:rPr>
      </w:pPr>
      <w:r w:rsidRPr="00EE2C9A">
        <w:rPr>
          <w:rFonts w:eastAsia="Calibri"/>
          <w:sz w:val="26"/>
          <w:szCs w:val="26"/>
        </w:rPr>
        <w:t>2.</w:t>
      </w:r>
      <w:r w:rsidRPr="00EE2C9A">
        <w:rPr>
          <w:rFonts w:eastAsia="Calibri"/>
          <w:sz w:val="26"/>
          <w:szCs w:val="26"/>
        </w:rPr>
        <w:tab/>
        <w:t>The Complainant avers that the ALJ’s Finding of Fact No. 37 is misleading because PPL carries all generation into the next billing series, and not just “excess generation,” because of the one-month lag between when the credit for the electric generation produced by his solar facility is earned and when it is applied.</w:t>
      </w:r>
    </w:p>
    <w:p w14:paraId="4C503F9A" w14:textId="77777777" w:rsidR="00EE2C9A" w:rsidRPr="00EE2C9A" w:rsidRDefault="00EE2C9A" w:rsidP="00A81DE8">
      <w:pPr>
        <w:widowControl/>
        <w:spacing w:after="200"/>
        <w:ind w:left="720" w:hanging="360"/>
        <w:contextualSpacing/>
        <w:rPr>
          <w:rFonts w:eastAsia="Calibri"/>
          <w:sz w:val="26"/>
          <w:szCs w:val="26"/>
        </w:rPr>
      </w:pPr>
    </w:p>
    <w:p w14:paraId="3DA4DF19" w14:textId="2EF27973" w:rsidR="00EE2C9A" w:rsidRPr="00EE2C9A" w:rsidRDefault="00EE2C9A" w:rsidP="00A81DE8">
      <w:pPr>
        <w:widowControl/>
        <w:spacing w:after="200"/>
        <w:ind w:left="720" w:hanging="360"/>
        <w:contextualSpacing/>
        <w:rPr>
          <w:rFonts w:eastAsia="Calibri"/>
          <w:sz w:val="26"/>
          <w:szCs w:val="26"/>
        </w:rPr>
      </w:pPr>
      <w:r w:rsidRPr="00EE2C9A">
        <w:rPr>
          <w:rFonts w:eastAsia="Calibri"/>
          <w:sz w:val="26"/>
          <w:szCs w:val="26"/>
        </w:rPr>
        <w:t>3.</w:t>
      </w:r>
      <w:r w:rsidRPr="00EE2C9A">
        <w:rPr>
          <w:rFonts w:eastAsia="Calibri"/>
          <w:sz w:val="26"/>
          <w:szCs w:val="26"/>
        </w:rPr>
        <w:tab/>
        <w:t xml:space="preserve">The Complainant claims that in making Finding of Fact No. 38, the ALJ failed to acknowledge that virtual </w:t>
      </w:r>
      <w:r w:rsidR="00E8399C">
        <w:rPr>
          <w:rFonts w:eastAsia="Calibri"/>
          <w:sz w:val="26"/>
          <w:szCs w:val="26"/>
        </w:rPr>
        <w:t>meter aggregation</w:t>
      </w:r>
      <w:r w:rsidRPr="00EE2C9A">
        <w:rPr>
          <w:rFonts w:eastAsia="Calibri"/>
          <w:sz w:val="26"/>
          <w:szCs w:val="26"/>
        </w:rPr>
        <w:t xml:space="preserve"> may involve more than two meters.</w:t>
      </w:r>
    </w:p>
    <w:p w14:paraId="790F87FD" w14:textId="77777777" w:rsidR="00EE2C9A" w:rsidRPr="00EE2C9A" w:rsidRDefault="00EE2C9A" w:rsidP="00A81DE8">
      <w:pPr>
        <w:widowControl/>
        <w:spacing w:after="200"/>
        <w:ind w:left="720" w:hanging="360"/>
        <w:contextualSpacing/>
        <w:rPr>
          <w:rFonts w:eastAsia="Calibri"/>
          <w:sz w:val="26"/>
          <w:szCs w:val="26"/>
        </w:rPr>
      </w:pPr>
    </w:p>
    <w:p w14:paraId="63E0E0CE" w14:textId="3675FDA5" w:rsidR="00EE2C9A" w:rsidRPr="00EE2C9A" w:rsidRDefault="00EE2C9A" w:rsidP="008E5B8E">
      <w:pPr>
        <w:keepNext/>
        <w:keepLines/>
        <w:widowControl/>
        <w:spacing w:after="200"/>
        <w:ind w:left="720" w:hanging="360"/>
        <w:contextualSpacing/>
        <w:rPr>
          <w:rFonts w:eastAsia="Calibri"/>
          <w:sz w:val="26"/>
          <w:szCs w:val="26"/>
        </w:rPr>
      </w:pPr>
      <w:r w:rsidRPr="00EE2C9A">
        <w:rPr>
          <w:rFonts w:eastAsia="Calibri"/>
          <w:sz w:val="26"/>
          <w:szCs w:val="26"/>
        </w:rPr>
        <w:lastRenderedPageBreak/>
        <w:t>4.</w:t>
      </w:r>
      <w:r w:rsidRPr="00EE2C9A">
        <w:rPr>
          <w:rFonts w:eastAsia="Calibri"/>
          <w:sz w:val="26"/>
          <w:szCs w:val="26"/>
        </w:rPr>
        <w:tab/>
        <w:t>The Complainant argues that in making Finding of Fact No. 43, the ALJ inaccurately stated that his meter is a non-residential meter.  Rather, the Complainant asserts that the meter at his service address is not any different from the meters that are installed for homeowners with rooftop solar systems.</w:t>
      </w:r>
    </w:p>
    <w:p w14:paraId="451D2E41" w14:textId="77777777" w:rsidR="00EE2C9A" w:rsidRPr="00EE2C9A" w:rsidRDefault="00EE2C9A" w:rsidP="008E5B8E">
      <w:pPr>
        <w:keepNext/>
        <w:keepLines/>
        <w:widowControl/>
        <w:spacing w:after="200" w:line="360" w:lineRule="auto"/>
        <w:contextualSpacing/>
        <w:rPr>
          <w:rFonts w:eastAsia="Calibri"/>
          <w:sz w:val="26"/>
          <w:szCs w:val="26"/>
        </w:rPr>
      </w:pPr>
    </w:p>
    <w:p w14:paraId="0B845147" w14:textId="77777777" w:rsidR="00EE2C9A" w:rsidRPr="00EE2C9A" w:rsidRDefault="00EE2C9A" w:rsidP="008E5B8E">
      <w:pPr>
        <w:keepNext/>
        <w:keepLines/>
        <w:widowControl/>
        <w:spacing w:after="200" w:line="360" w:lineRule="auto"/>
        <w:contextualSpacing/>
        <w:rPr>
          <w:rFonts w:eastAsia="Calibri"/>
          <w:sz w:val="26"/>
          <w:szCs w:val="26"/>
        </w:rPr>
      </w:pPr>
      <w:r w:rsidRPr="00EE2C9A">
        <w:rPr>
          <w:rFonts w:eastAsia="Calibri"/>
          <w:sz w:val="26"/>
          <w:szCs w:val="26"/>
        </w:rPr>
        <w:t>Exc. at 3.</w:t>
      </w:r>
    </w:p>
    <w:p w14:paraId="7399DEF4" w14:textId="710B2B3A" w:rsidR="00725378" w:rsidRDefault="00725378" w:rsidP="00A81DE8">
      <w:pPr>
        <w:widowControl/>
        <w:spacing w:after="200" w:line="360" w:lineRule="auto"/>
        <w:ind w:firstLine="1440"/>
        <w:contextualSpacing/>
        <w:rPr>
          <w:rFonts w:eastAsia="Calibri"/>
          <w:sz w:val="26"/>
          <w:szCs w:val="26"/>
        </w:rPr>
      </w:pPr>
    </w:p>
    <w:p w14:paraId="23145E43" w14:textId="4A8290C1" w:rsidR="00725378" w:rsidRPr="00447C6C" w:rsidRDefault="00725378" w:rsidP="00A81DE8">
      <w:pPr>
        <w:keepNext/>
        <w:keepLines/>
        <w:widowControl/>
        <w:spacing w:line="360" w:lineRule="auto"/>
        <w:ind w:firstLine="1440"/>
        <w:contextualSpacing/>
        <w:rPr>
          <w:b/>
          <w:sz w:val="26"/>
          <w:szCs w:val="26"/>
        </w:rPr>
      </w:pPr>
      <w:r>
        <w:rPr>
          <w:b/>
          <w:sz w:val="26"/>
          <w:szCs w:val="26"/>
        </w:rPr>
        <w:t>2.</w:t>
      </w:r>
      <w:r>
        <w:rPr>
          <w:b/>
          <w:sz w:val="26"/>
          <w:szCs w:val="26"/>
        </w:rPr>
        <w:tab/>
        <w:t>PPL’s Replies to Exceptions</w:t>
      </w:r>
    </w:p>
    <w:p w14:paraId="5486422F" w14:textId="0DF80745" w:rsidR="00725378" w:rsidRDefault="00725378" w:rsidP="00A81DE8">
      <w:pPr>
        <w:keepNext/>
        <w:keepLines/>
        <w:widowControl/>
        <w:spacing w:after="200" w:line="360" w:lineRule="auto"/>
        <w:ind w:firstLine="1440"/>
        <w:contextualSpacing/>
        <w:rPr>
          <w:rFonts w:eastAsia="Calibri"/>
          <w:sz w:val="26"/>
          <w:szCs w:val="26"/>
        </w:rPr>
      </w:pPr>
    </w:p>
    <w:p w14:paraId="09069006" w14:textId="640A1643" w:rsidR="000A32B4" w:rsidRPr="000A32B4" w:rsidRDefault="00EA0F63" w:rsidP="00A81DE8">
      <w:pPr>
        <w:widowControl/>
        <w:spacing w:line="360" w:lineRule="auto"/>
        <w:ind w:firstLine="1440"/>
        <w:contextualSpacing/>
        <w:rPr>
          <w:sz w:val="26"/>
          <w:szCs w:val="26"/>
        </w:rPr>
      </w:pPr>
      <w:r>
        <w:rPr>
          <w:sz w:val="26"/>
          <w:szCs w:val="26"/>
        </w:rPr>
        <w:t>P</w:t>
      </w:r>
      <w:r w:rsidR="000A32B4" w:rsidRPr="000A32B4">
        <w:rPr>
          <w:sz w:val="26"/>
          <w:szCs w:val="26"/>
        </w:rPr>
        <w:t xml:space="preserve">PL takes the position that the Complainant's objections to Finding of Fact Nos. 36-38 and 43 are without merit.  First, PPL claims that the Complainant erroneously interprets Finding of Fact Nos. 36 and 38 to mean that all net metering customers have one meter and that all virtual meter aggregation customers have two meters.  Rather, PPL contends that the ALJ was merely describing the number of meters that </w:t>
      </w:r>
      <w:r w:rsidR="00CB1826">
        <w:rPr>
          <w:sz w:val="26"/>
          <w:szCs w:val="26"/>
        </w:rPr>
        <w:t>are</w:t>
      </w:r>
      <w:r w:rsidR="000A32B4" w:rsidRPr="000A32B4">
        <w:rPr>
          <w:sz w:val="26"/>
          <w:szCs w:val="26"/>
        </w:rPr>
        <w:t xml:space="preserve"> generally used for net metering and virtual meter aggregation, as evidenced by the ALJ’s use of the word “usually” in Finding of Fact No. 36, </w:t>
      </w:r>
      <w:r w:rsidR="000A32B4" w:rsidRPr="000A32B4">
        <w:rPr>
          <w:i/>
          <w:sz w:val="26"/>
          <w:szCs w:val="26"/>
        </w:rPr>
        <w:t>supra.</w:t>
      </w:r>
      <w:r w:rsidR="000A32B4" w:rsidRPr="000A32B4">
        <w:rPr>
          <w:sz w:val="26"/>
          <w:szCs w:val="26"/>
        </w:rPr>
        <w:t xml:space="preserve">  R. Exc. at 7.</w:t>
      </w:r>
    </w:p>
    <w:p w14:paraId="5BCFE7B5" w14:textId="77777777" w:rsidR="000A32B4" w:rsidRPr="000A32B4" w:rsidRDefault="000A32B4" w:rsidP="00A81DE8">
      <w:pPr>
        <w:widowControl/>
        <w:spacing w:line="360" w:lineRule="auto"/>
        <w:ind w:firstLine="1440"/>
        <w:contextualSpacing/>
        <w:rPr>
          <w:sz w:val="26"/>
          <w:szCs w:val="26"/>
        </w:rPr>
      </w:pPr>
    </w:p>
    <w:p w14:paraId="51F8E711" w14:textId="2A53E635" w:rsidR="000A32B4" w:rsidRPr="000A32B4" w:rsidRDefault="000A32B4" w:rsidP="00A81DE8">
      <w:pPr>
        <w:widowControl/>
        <w:spacing w:line="360" w:lineRule="auto"/>
        <w:ind w:firstLine="1440"/>
        <w:contextualSpacing/>
        <w:rPr>
          <w:sz w:val="26"/>
          <w:szCs w:val="26"/>
        </w:rPr>
      </w:pPr>
      <w:r w:rsidRPr="000A32B4">
        <w:rPr>
          <w:sz w:val="26"/>
          <w:szCs w:val="26"/>
        </w:rPr>
        <w:t>Next, PPL submits that in taking issue with Finding of Fact No. 37, the Complainant fails to recognize that in making this finding, the ALJ was describing a traditional net metering customer.  PPL explains that if a customer chooses traditional net metering, a single bidirectional meter is used and the electricity from the customer generator’s generating facilities is netted against the customer generator’s usage.  In contra</w:t>
      </w:r>
      <w:r w:rsidR="00513DFC">
        <w:rPr>
          <w:sz w:val="26"/>
          <w:szCs w:val="26"/>
        </w:rPr>
        <w:t>st</w:t>
      </w:r>
      <w:r w:rsidRPr="000A32B4">
        <w:rPr>
          <w:sz w:val="26"/>
          <w:szCs w:val="26"/>
        </w:rPr>
        <w:t xml:space="preserve">, PPL states that because the Complainant is a virtual </w:t>
      </w:r>
      <w:r w:rsidR="00E8399C">
        <w:rPr>
          <w:sz w:val="26"/>
          <w:szCs w:val="26"/>
        </w:rPr>
        <w:t>meter aggregation</w:t>
      </w:r>
      <w:r w:rsidRPr="000A32B4">
        <w:rPr>
          <w:sz w:val="26"/>
          <w:szCs w:val="26"/>
        </w:rPr>
        <w:t xml:space="preserve"> customer, PPL first calculates the excess generation produced by the Complainant's solar array and then nets this excess generation against the usage at his residential account on a one-to-one kilowatt hour basis at the full retail rate.  PPL notes that the application of this excess generation occurs on a one-month delay because of the manual billing process the Company uses for virtual meter aggregation and that any remaining excess generation is banked and applied to future billing cycles.  Therefore, PPL submits that contrary to the Complainant’s assertion, the Company never carries </w:t>
      </w:r>
      <w:r w:rsidR="00032F3B">
        <w:rPr>
          <w:sz w:val="26"/>
          <w:szCs w:val="26"/>
        </w:rPr>
        <w:t>one-hundred percent</w:t>
      </w:r>
      <w:r w:rsidRPr="000A32B4">
        <w:rPr>
          <w:sz w:val="26"/>
          <w:szCs w:val="26"/>
        </w:rPr>
        <w:t xml:space="preserve"> of generation </w:t>
      </w:r>
      <w:r w:rsidRPr="000A32B4">
        <w:rPr>
          <w:sz w:val="26"/>
          <w:szCs w:val="26"/>
        </w:rPr>
        <w:lastRenderedPageBreak/>
        <w:t xml:space="preserve">into the next billing series because it always calculates and applies the excess generation produced by the </w:t>
      </w:r>
      <w:r w:rsidR="002F2089">
        <w:rPr>
          <w:sz w:val="26"/>
          <w:szCs w:val="26"/>
        </w:rPr>
        <w:t>photovoltaic solar facility</w:t>
      </w:r>
      <w:r w:rsidRPr="000A32B4">
        <w:rPr>
          <w:sz w:val="26"/>
          <w:szCs w:val="26"/>
        </w:rPr>
        <w:t>.  Further</w:t>
      </w:r>
      <w:r w:rsidR="002F2089">
        <w:rPr>
          <w:sz w:val="26"/>
          <w:szCs w:val="26"/>
        </w:rPr>
        <w:t>,</w:t>
      </w:r>
      <w:r w:rsidRPr="000A32B4">
        <w:rPr>
          <w:sz w:val="26"/>
          <w:szCs w:val="26"/>
        </w:rPr>
        <w:t xml:space="preserve"> PPL emphasizes that in the </w:t>
      </w:r>
      <w:r w:rsidRPr="000A32B4">
        <w:rPr>
          <w:i/>
          <w:sz w:val="26"/>
          <w:szCs w:val="26"/>
        </w:rPr>
        <w:t xml:space="preserve">May 2016 Order, </w:t>
      </w:r>
      <w:r w:rsidRPr="000A32B4">
        <w:rPr>
          <w:sz w:val="26"/>
          <w:szCs w:val="26"/>
        </w:rPr>
        <w:t>the Commission found this manual billing process to be reasonable.  R. Exc. at 7-8.</w:t>
      </w:r>
    </w:p>
    <w:p w14:paraId="54C5489F" w14:textId="77777777" w:rsidR="000A32B4" w:rsidRPr="000A32B4" w:rsidRDefault="000A32B4" w:rsidP="00A81DE8">
      <w:pPr>
        <w:widowControl/>
        <w:spacing w:line="360" w:lineRule="auto"/>
        <w:ind w:firstLine="1440"/>
        <w:contextualSpacing/>
        <w:rPr>
          <w:sz w:val="26"/>
          <w:szCs w:val="26"/>
        </w:rPr>
      </w:pPr>
    </w:p>
    <w:p w14:paraId="2F7FE69C" w14:textId="70BE5C9F" w:rsidR="000A32B4" w:rsidRPr="000A32B4" w:rsidRDefault="000A32B4" w:rsidP="00A81DE8">
      <w:pPr>
        <w:widowControl/>
        <w:spacing w:line="360" w:lineRule="auto"/>
        <w:ind w:firstLine="1440"/>
        <w:contextualSpacing/>
        <w:rPr>
          <w:sz w:val="26"/>
          <w:szCs w:val="26"/>
        </w:rPr>
      </w:pPr>
      <w:r w:rsidRPr="000A32B4">
        <w:rPr>
          <w:sz w:val="26"/>
          <w:szCs w:val="26"/>
        </w:rPr>
        <w:t xml:space="preserve">As to the Complainant’s assertion that the ALJ erred in finding that he has a non-residential meter, PPL points out that in the </w:t>
      </w:r>
      <w:r w:rsidRPr="000A32B4">
        <w:rPr>
          <w:i/>
          <w:sz w:val="26"/>
          <w:szCs w:val="26"/>
        </w:rPr>
        <w:t xml:space="preserve">May 2016 Order, </w:t>
      </w:r>
      <w:r w:rsidRPr="000A32B4">
        <w:rPr>
          <w:sz w:val="26"/>
          <w:szCs w:val="26"/>
        </w:rPr>
        <w:t xml:space="preserve">the Commission addressed this issue and ruled that the Complainant's </w:t>
      </w:r>
      <w:r w:rsidR="002B15C9">
        <w:rPr>
          <w:sz w:val="26"/>
          <w:szCs w:val="26"/>
        </w:rPr>
        <w:t>host</w:t>
      </w:r>
      <w:r w:rsidRPr="000A32B4">
        <w:rPr>
          <w:sz w:val="26"/>
          <w:szCs w:val="26"/>
        </w:rPr>
        <w:t xml:space="preserve"> account is properly classified as</w:t>
      </w:r>
      <w:r w:rsidR="002B15C9">
        <w:rPr>
          <w:sz w:val="26"/>
          <w:szCs w:val="26"/>
        </w:rPr>
        <w:t xml:space="preserve"> a non-residential account under PPL’s</w:t>
      </w:r>
      <w:r w:rsidRPr="000A32B4">
        <w:rPr>
          <w:sz w:val="26"/>
          <w:szCs w:val="26"/>
        </w:rPr>
        <w:t xml:space="preserve"> Rate Schedule GS-1 because, among other things, it did not meet the qualifications to be considered a "dwelling" to fall under Rate Schedule RS.  Therefore, PPL submits that Finding of Fact No. 43 accurately describes the Complainant's metered account as a non-residential account to which demand charges may apply. </w:t>
      </w:r>
      <w:r w:rsidR="00EB616D">
        <w:rPr>
          <w:sz w:val="26"/>
          <w:szCs w:val="26"/>
        </w:rPr>
        <w:t xml:space="preserve"> </w:t>
      </w:r>
      <w:r w:rsidRPr="000A32B4">
        <w:rPr>
          <w:sz w:val="26"/>
          <w:szCs w:val="26"/>
        </w:rPr>
        <w:t>R. Exc. at 8-9.</w:t>
      </w:r>
    </w:p>
    <w:p w14:paraId="595C30D3" w14:textId="77777777" w:rsidR="000A32B4" w:rsidRDefault="000A32B4" w:rsidP="00A81DE8">
      <w:pPr>
        <w:widowControl/>
        <w:spacing w:line="360" w:lineRule="auto"/>
        <w:ind w:firstLine="1440"/>
        <w:contextualSpacing/>
        <w:rPr>
          <w:sz w:val="26"/>
          <w:szCs w:val="26"/>
        </w:rPr>
      </w:pPr>
    </w:p>
    <w:p w14:paraId="3687B966" w14:textId="77777777" w:rsidR="00EA0F63" w:rsidRPr="00757194" w:rsidRDefault="00EA0F63" w:rsidP="00A81DE8">
      <w:pPr>
        <w:keepNext/>
        <w:keepLines/>
        <w:widowControl/>
        <w:spacing w:after="200" w:line="360" w:lineRule="auto"/>
        <w:ind w:left="2880" w:hanging="720"/>
        <w:contextualSpacing/>
        <w:rPr>
          <w:rFonts w:eastAsia="Calibri"/>
          <w:b/>
          <w:bCs/>
          <w:sz w:val="26"/>
          <w:szCs w:val="26"/>
        </w:rPr>
      </w:pPr>
      <w:r w:rsidRPr="00757194">
        <w:rPr>
          <w:rFonts w:eastAsia="Calibri"/>
          <w:b/>
          <w:bCs/>
          <w:sz w:val="26"/>
          <w:szCs w:val="26"/>
        </w:rPr>
        <w:t>b.</w:t>
      </w:r>
      <w:r w:rsidRPr="00757194">
        <w:rPr>
          <w:rFonts w:eastAsia="Calibri"/>
          <w:b/>
          <w:bCs/>
          <w:sz w:val="26"/>
          <w:szCs w:val="26"/>
        </w:rPr>
        <w:tab/>
        <w:t>Disposition</w:t>
      </w:r>
    </w:p>
    <w:p w14:paraId="0FE03FB2" w14:textId="77777777" w:rsidR="00EA0F63" w:rsidRDefault="00EA0F63" w:rsidP="00A81DE8">
      <w:pPr>
        <w:keepNext/>
        <w:keepLines/>
        <w:widowControl/>
        <w:spacing w:after="200" w:line="360" w:lineRule="auto"/>
        <w:ind w:firstLine="1440"/>
        <w:contextualSpacing/>
        <w:rPr>
          <w:rFonts w:eastAsia="Calibri"/>
          <w:sz w:val="26"/>
          <w:szCs w:val="26"/>
        </w:rPr>
      </w:pPr>
    </w:p>
    <w:p w14:paraId="35344EB5" w14:textId="0485FB9B" w:rsidR="00AD51B8" w:rsidRPr="00AD51B8" w:rsidRDefault="00AD51B8" w:rsidP="00A81DE8">
      <w:pPr>
        <w:widowControl/>
        <w:spacing w:after="200" w:line="360" w:lineRule="auto"/>
        <w:ind w:firstLine="1440"/>
        <w:contextualSpacing/>
        <w:rPr>
          <w:rFonts w:eastAsia="Calibri"/>
          <w:sz w:val="26"/>
          <w:szCs w:val="26"/>
        </w:rPr>
      </w:pPr>
      <w:r w:rsidRPr="00AD51B8">
        <w:rPr>
          <w:rFonts w:eastAsia="Calibri"/>
          <w:sz w:val="26"/>
          <w:szCs w:val="26"/>
        </w:rPr>
        <w:t xml:space="preserve">On consideration of the Exceptions and </w:t>
      </w:r>
      <w:r w:rsidR="00DD0F33">
        <w:rPr>
          <w:rFonts w:eastAsia="Calibri"/>
          <w:sz w:val="26"/>
          <w:szCs w:val="26"/>
        </w:rPr>
        <w:t xml:space="preserve">the </w:t>
      </w:r>
      <w:r w:rsidRPr="00AD51B8">
        <w:rPr>
          <w:rFonts w:eastAsia="Calibri"/>
          <w:sz w:val="26"/>
          <w:szCs w:val="26"/>
        </w:rPr>
        <w:t xml:space="preserve">record developed in this proceeding, we are of the opinion that the Complainant has not presented any arguments in his Exceptions that would cause us to </w:t>
      </w:r>
      <w:r w:rsidR="00DD0F33">
        <w:rPr>
          <w:rFonts w:eastAsia="Calibri"/>
          <w:sz w:val="26"/>
          <w:szCs w:val="26"/>
        </w:rPr>
        <w:t>reverse</w:t>
      </w:r>
      <w:r w:rsidRPr="00AD51B8">
        <w:rPr>
          <w:rFonts w:eastAsia="Calibri"/>
          <w:sz w:val="26"/>
          <w:szCs w:val="26"/>
        </w:rPr>
        <w:t xml:space="preserve"> the above Findings of Fact the ALJ made in his Initial Decision.  Further, we find nothing in the Complainant’s Exceptions that would cause us to modify the overarching finding of the ALJ that the Complainant failed to meet his burden of proving that PPL violated the Code, a Commission order or regulation, or a Commission-approved tariff with regard to the service provided to him.  Therefore, we shall deny these Exceptions, consistent with the following discussion.</w:t>
      </w:r>
    </w:p>
    <w:p w14:paraId="32BC3F69" w14:textId="77777777" w:rsidR="00AD51B8" w:rsidRPr="00AD51B8" w:rsidRDefault="00AD51B8" w:rsidP="00A81DE8">
      <w:pPr>
        <w:widowControl/>
        <w:spacing w:after="200" w:line="360" w:lineRule="auto"/>
        <w:contextualSpacing/>
        <w:rPr>
          <w:rFonts w:eastAsia="Calibri"/>
          <w:sz w:val="26"/>
          <w:szCs w:val="26"/>
        </w:rPr>
      </w:pPr>
    </w:p>
    <w:p w14:paraId="2973464A" w14:textId="01A9BDAD" w:rsidR="00AD51B8" w:rsidRDefault="00AD51B8" w:rsidP="00A81DE8">
      <w:pPr>
        <w:widowControl/>
        <w:spacing w:after="200" w:line="360" w:lineRule="auto"/>
        <w:ind w:firstLine="1440"/>
        <w:contextualSpacing/>
        <w:rPr>
          <w:rFonts w:eastAsia="Calibri"/>
          <w:sz w:val="26"/>
          <w:szCs w:val="26"/>
        </w:rPr>
      </w:pPr>
      <w:r w:rsidRPr="00AD51B8">
        <w:rPr>
          <w:rFonts w:eastAsia="Calibri"/>
          <w:sz w:val="26"/>
          <w:szCs w:val="26"/>
        </w:rPr>
        <w:t xml:space="preserve">As to the Complainant’s objection to Finding of Fact Nos. 36 and 38, we note that although </w:t>
      </w:r>
      <w:r w:rsidR="00B86C8C">
        <w:rPr>
          <w:rFonts w:eastAsia="Calibri"/>
          <w:sz w:val="26"/>
          <w:szCs w:val="26"/>
        </w:rPr>
        <w:t>t</w:t>
      </w:r>
      <w:r w:rsidRPr="00AD51B8">
        <w:rPr>
          <w:rFonts w:eastAsia="Calibri"/>
          <w:sz w:val="26"/>
          <w:szCs w:val="26"/>
        </w:rPr>
        <w:t>he</w:t>
      </w:r>
      <w:r w:rsidR="00B86C8C">
        <w:rPr>
          <w:rFonts w:eastAsia="Calibri"/>
          <w:sz w:val="26"/>
          <w:szCs w:val="26"/>
        </w:rPr>
        <w:t xml:space="preserve"> Complainant</w:t>
      </w:r>
      <w:r w:rsidRPr="00AD51B8">
        <w:rPr>
          <w:rFonts w:eastAsia="Calibri"/>
          <w:sz w:val="26"/>
          <w:szCs w:val="26"/>
        </w:rPr>
        <w:t xml:space="preserve"> is technically correct in his assertions regarding virtual </w:t>
      </w:r>
      <w:r w:rsidR="00E8399C">
        <w:rPr>
          <w:rFonts w:eastAsia="Calibri"/>
          <w:sz w:val="26"/>
          <w:szCs w:val="26"/>
        </w:rPr>
        <w:t>meter aggregation</w:t>
      </w:r>
      <w:r w:rsidRPr="00AD51B8">
        <w:rPr>
          <w:rFonts w:eastAsia="Calibri"/>
          <w:sz w:val="26"/>
          <w:szCs w:val="26"/>
        </w:rPr>
        <w:t xml:space="preserve"> and physical net metering, we</w:t>
      </w:r>
      <w:r w:rsidR="0016247C">
        <w:rPr>
          <w:rFonts w:eastAsia="Calibri"/>
          <w:sz w:val="26"/>
          <w:szCs w:val="26"/>
        </w:rPr>
        <w:t xml:space="preserve"> find</w:t>
      </w:r>
      <w:r w:rsidRPr="00AD51B8">
        <w:rPr>
          <w:rFonts w:eastAsia="Calibri"/>
          <w:sz w:val="26"/>
          <w:szCs w:val="26"/>
        </w:rPr>
        <w:t xml:space="preserve"> </w:t>
      </w:r>
      <w:r w:rsidR="0016247C">
        <w:rPr>
          <w:rFonts w:eastAsia="Calibri"/>
          <w:sz w:val="26"/>
          <w:szCs w:val="26"/>
        </w:rPr>
        <w:t>the ALJ’s descriptions in these Findings of Fact</w:t>
      </w:r>
      <w:r w:rsidR="00976A01">
        <w:rPr>
          <w:rFonts w:eastAsia="Calibri"/>
          <w:sz w:val="26"/>
          <w:szCs w:val="26"/>
        </w:rPr>
        <w:t xml:space="preserve"> to</w:t>
      </w:r>
      <w:r w:rsidRPr="00AD51B8">
        <w:rPr>
          <w:rFonts w:eastAsia="Calibri"/>
          <w:sz w:val="26"/>
          <w:szCs w:val="26"/>
        </w:rPr>
        <w:t xml:space="preserve"> be inconsequential.  Rather, we concur with the position of PPL </w:t>
      </w:r>
      <w:r w:rsidRPr="00AD51B8">
        <w:rPr>
          <w:rFonts w:eastAsia="Calibri"/>
          <w:sz w:val="26"/>
          <w:szCs w:val="26"/>
        </w:rPr>
        <w:lastRenderedPageBreak/>
        <w:t xml:space="preserve">that because it is not disputed that the Complainant has two meters, the ALJ was simply describing the number of meters that are usually involved in </w:t>
      </w:r>
      <w:r w:rsidR="00317022">
        <w:rPr>
          <w:rFonts w:eastAsia="Calibri"/>
          <w:sz w:val="26"/>
          <w:szCs w:val="26"/>
        </w:rPr>
        <w:t>physical meter aggregation and virtual meter</w:t>
      </w:r>
      <w:r w:rsidRPr="00AD51B8">
        <w:rPr>
          <w:rFonts w:eastAsia="Calibri"/>
          <w:sz w:val="26"/>
          <w:szCs w:val="26"/>
        </w:rPr>
        <w:t xml:space="preserve"> aggregation.</w:t>
      </w:r>
    </w:p>
    <w:p w14:paraId="5D6ED620" w14:textId="77777777" w:rsidR="00AD51B8" w:rsidRDefault="00AD51B8" w:rsidP="00A81DE8">
      <w:pPr>
        <w:widowControl/>
        <w:spacing w:after="200" w:line="360" w:lineRule="auto"/>
        <w:ind w:firstLine="1440"/>
        <w:contextualSpacing/>
        <w:rPr>
          <w:rFonts w:eastAsia="Calibri"/>
          <w:sz w:val="26"/>
          <w:szCs w:val="26"/>
        </w:rPr>
      </w:pPr>
    </w:p>
    <w:p w14:paraId="7AD967D2" w14:textId="2B974745" w:rsidR="00AD51B8" w:rsidRPr="00AD51B8" w:rsidRDefault="00AD51B8" w:rsidP="00A81DE8">
      <w:pPr>
        <w:widowControl/>
        <w:spacing w:after="200" w:line="360" w:lineRule="auto"/>
        <w:ind w:firstLine="1440"/>
        <w:contextualSpacing/>
        <w:rPr>
          <w:rFonts w:eastAsia="Calibri"/>
          <w:sz w:val="26"/>
          <w:szCs w:val="26"/>
        </w:rPr>
      </w:pPr>
      <w:r w:rsidRPr="00AD51B8">
        <w:rPr>
          <w:rFonts w:eastAsia="Calibri"/>
          <w:sz w:val="26"/>
          <w:szCs w:val="26"/>
        </w:rPr>
        <w:t xml:space="preserve">Similarly, with regard to the Complainant’s objection to </w:t>
      </w:r>
      <w:r w:rsidR="00CA6420">
        <w:rPr>
          <w:rFonts w:eastAsia="Calibri"/>
          <w:sz w:val="26"/>
          <w:szCs w:val="26"/>
        </w:rPr>
        <w:t xml:space="preserve">Finding </w:t>
      </w:r>
      <w:r w:rsidRPr="00AD51B8">
        <w:rPr>
          <w:rFonts w:eastAsia="Calibri"/>
          <w:sz w:val="26"/>
          <w:szCs w:val="26"/>
        </w:rPr>
        <w:t xml:space="preserve">of Fact No. 37, the record supports PPL’s argument that the ALJ was describing a traditional net metering customer.  Specifically, in making this Finding of Fact, the ALJ cited to the testimony of PPL’s Witness Ms. Nalesnik in which she stated that a net metering customer typically has one single bidirectional meter that runs backwards to reflect the amount of electricity generated in excess </w:t>
      </w:r>
      <w:r w:rsidR="00EB159A">
        <w:rPr>
          <w:rFonts w:eastAsia="Calibri"/>
          <w:sz w:val="26"/>
          <w:szCs w:val="26"/>
        </w:rPr>
        <w:t xml:space="preserve">of </w:t>
      </w:r>
      <w:r w:rsidRPr="00AD51B8">
        <w:rPr>
          <w:rFonts w:eastAsia="Calibri"/>
          <w:sz w:val="26"/>
          <w:szCs w:val="26"/>
        </w:rPr>
        <w:t xml:space="preserve">the net metering system if the customer produces excess generation.  Ms. Nalesnik testified that if the customer has excess generation carrying into the next billing series, PPL will bank that excess generation in the form of kilowatt hours into the next bill period to offset future usage.  Tr. at 48.  Immediately after explaining this process, Ms. Nalesnik testified that the billing process for virtual meter aggregation customers is slightly different in that the application of excess generation occurs on a one-month delay because of PPL’s manual billing process.  </w:t>
      </w:r>
      <w:r w:rsidRPr="00AD51B8">
        <w:rPr>
          <w:rFonts w:eastAsia="Calibri"/>
          <w:i/>
          <w:iCs/>
          <w:sz w:val="26"/>
          <w:szCs w:val="26"/>
        </w:rPr>
        <w:t xml:space="preserve">Id. </w:t>
      </w:r>
      <w:r w:rsidRPr="00AD51B8">
        <w:rPr>
          <w:rFonts w:eastAsia="Calibri"/>
          <w:sz w:val="26"/>
          <w:szCs w:val="26"/>
        </w:rPr>
        <w:t xml:space="preserve">at 49-51.  The ALJ noted this in Finding of Fact Nos. 38-40.  I.D. at 9.  Therefore, when reading Finding of Fact Nos. 36 through 40, in concert, it is clear that the ALJ has not erred in making Finding of Fact Nos. 36, 37, or 38.  Accordingly, we concur with PPL that the record supports its assertion that it does not carry one-hundred percent of generation into the next billing series.  Further, </w:t>
      </w:r>
      <w:r w:rsidR="002A5AA5">
        <w:rPr>
          <w:rFonts w:eastAsia="Calibri"/>
          <w:sz w:val="26"/>
          <w:szCs w:val="26"/>
        </w:rPr>
        <w:t>as the ALJ and PPL both emphasized</w:t>
      </w:r>
      <w:r w:rsidRPr="00AD51B8">
        <w:rPr>
          <w:rFonts w:eastAsia="Calibri"/>
          <w:sz w:val="26"/>
          <w:szCs w:val="26"/>
        </w:rPr>
        <w:t xml:space="preserve">, we found this manual billing process to be reasonable in our </w:t>
      </w:r>
      <w:r w:rsidRPr="00AD51B8">
        <w:rPr>
          <w:rFonts w:eastAsia="Calibri"/>
          <w:i/>
          <w:iCs/>
          <w:sz w:val="26"/>
          <w:szCs w:val="26"/>
        </w:rPr>
        <w:t xml:space="preserve">May 2016 Order </w:t>
      </w:r>
      <w:r w:rsidRPr="00AD51B8">
        <w:rPr>
          <w:rFonts w:eastAsia="Calibri"/>
          <w:sz w:val="26"/>
          <w:szCs w:val="26"/>
        </w:rPr>
        <w:t xml:space="preserve">in addressing a similar issue raised by the Complainant.  </w:t>
      </w:r>
      <w:r w:rsidRPr="00AD51B8">
        <w:rPr>
          <w:rFonts w:eastAsia="Calibri"/>
          <w:i/>
          <w:iCs/>
          <w:sz w:val="26"/>
          <w:szCs w:val="26"/>
        </w:rPr>
        <w:t xml:space="preserve">See May 2016 Order </w:t>
      </w:r>
      <w:r w:rsidRPr="00AD51B8">
        <w:rPr>
          <w:rFonts w:eastAsia="Calibri"/>
          <w:sz w:val="26"/>
          <w:szCs w:val="26"/>
        </w:rPr>
        <w:t xml:space="preserve">at 22-24.  We note that there have been no changes to PPL’s manual billing process between the entry of our </w:t>
      </w:r>
      <w:r w:rsidRPr="00AD51B8">
        <w:rPr>
          <w:rFonts w:eastAsia="Calibri"/>
          <w:i/>
          <w:iCs/>
          <w:sz w:val="26"/>
          <w:szCs w:val="26"/>
        </w:rPr>
        <w:t xml:space="preserve">May 2016 Order </w:t>
      </w:r>
      <w:r w:rsidRPr="00AD51B8">
        <w:rPr>
          <w:rFonts w:eastAsia="Calibri"/>
          <w:sz w:val="26"/>
          <w:szCs w:val="26"/>
        </w:rPr>
        <w:t>and the close of the record in the instant case.</w:t>
      </w:r>
    </w:p>
    <w:p w14:paraId="6FA8E49B" w14:textId="77777777" w:rsidR="00AD51B8" w:rsidRDefault="00AD51B8" w:rsidP="00A81DE8">
      <w:pPr>
        <w:widowControl/>
        <w:spacing w:after="200" w:line="360" w:lineRule="auto"/>
        <w:ind w:firstLine="1440"/>
        <w:contextualSpacing/>
        <w:rPr>
          <w:rFonts w:eastAsia="Calibri"/>
          <w:sz w:val="26"/>
          <w:szCs w:val="26"/>
        </w:rPr>
      </w:pPr>
    </w:p>
    <w:p w14:paraId="3C0790DA" w14:textId="0446B4F1" w:rsidR="005156A0" w:rsidRPr="005156A0" w:rsidRDefault="005156A0" w:rsidP="00A81DE8">
      <w:pPr>
        <w:widowControl/>
        <w:spacing w:after="200" w:line="360" w:lineRule="auto"/>
        <w:ind w:firstLine="1440"/>
        <w:contextualSpacing/>
        <w:rPr>
          <w:rFonts w:eastAsia="Calibri"/>
          <w:sz w:val="26"/>
          <w:szCs w:val="26"/>
        </w:rPr>
      </w:pPr>
      <w:r w:rsidRPr="005156A0">
        <w:rPr>
          <w:rFonts w:eastAsia="Calibri"/>
          <w:sz w:val="26"/>
          <w:szCs w:val="26"/>
        </w:rPr>
        <w:t xml:space="preserve">Finally, we find that, as PPL points out, the Complainant’s objection to Finding of Fact No. 43 mirrors an issue that we addressed and disposed of in our </w:t>
      </w:r>
      <w:r w:rsidRPr="005156A0">
        <w:rPr>
          <w:rFonts w:eastAsia="Calibri"/>
          <w:i/>
          <w:iCs/>
          <w:sz w:val="26"/>
          <w:szCs w:val="26"/>
        </w:rPr>
        <w:t xml:space="preserve">May 2016 Order.  </w:t>
      </w:r>
      <w:r w:rsidRPr="005156A0">
        <w:rPr>
          <w:rFonts w:eastAsia="Calibri"/>
          <w:sz w:val="26"/>
          <w:szCs w:val="26"/>
        </w:rPr>
        <w:t xml:space="preserve">More specifically, in that proceeding, the Complainant opined that his solar </w:t>
      </w:r>
      <w:r w:rsidRPr="005156A0">
        <w:rPr>
          <w:rFonts w:eastAsia="Calibri"/>
          <w:sz w:val="26"/>
          <w:szCs w:val="26"/>
        </w:rPr>
        <w:lastRenderedPageBreak/>
        <w:t>facility should be treated strictly as a residential facility subject to service under PPL’s Rate Schedule RS.  As such, the Compl</w:t>
      </w:r>
      <w:r w:rsidR="0007547B">
        <w:rPr>
          <w:rFonts w:eastAsia="Calibri"/>
          <w:sz w:val="26"/>
          <w:szCs w:val="26"/>
        </w:rPr>
        <w:t>ai</w:t>
      </w:r>
      <w:r w:rsidRPr="005156A0">
        <w:rPr>
          <w:rFonts w:eastAsia="Calibri"/>
          <w:sz w:val="26"/>
          <w:szCs w:val="26"/>
        </w:rPr>
        <w:t>nant excepted to the finding of ALJ Cynthia Williams Fordham that his solar facility should be considered a commercial account, subject to PPL’s Rate Schedule GS-1.  In addressing</w:t>
      </w:r>
      <w:r w:rsidR="00DD0F33">
        <w:rPr>
          <w:rFonts w:eastAsia="Calibri"/>
          <w:sz w:val="26"/>
          <w:szCs w:val="26"/>
        </w:rPr>
        <w:t xml:space="preserve"> </w:t>
      </w:r>
      <w:r w:rsidR="00732884">
        <w:rPr>
          <w:rFonts w:eastAsia="Calibri"/>
          <w:sz w:val="26"/>
          <w:szCs w:val="26"/>
        </w:rPr>
        <w:t xml:space="preserve">this </w:t>
      </w:r>
      <w:r w:rsidR="00DD0F33">
        <w:rPr>
          <w:rFonts w:eastAsia="Calibri"/>
          <w:sz w:val="26"/>
          <w:szCs w:val="26"/>
        </w:rPr>
        <w:t>Exception</w:t>
      </w:r>
      <w:r w:rsidRPr="005156A0">
        <w:rPr>
          <w:rFonts w:eastAsia="Calibri"/>
          <w:sz w:val="26"/>
          <w:szCs w:val="26"/>
        </w:rPr>
        <w:t xml:space="preserve"> in our </w:t>
      </w:r>
      <w:r w:rsidRPr="00DD0F33">
        <w:rPr>
          <w:rFonts w:eastAsia="Calibri"/>
          <w:i/>
          <w:iCs/>
          <w:sz w:val="26"/>
          <w:szCs w:val="26"/>
        </w:rPr>
        <w:t>May 2016 Order</w:t>
      </w:r>
      <w:r w:rsidRPr="005156A0">
        <w:rPr>
          <w:rFonts w:eastAsia="Calibri"/>
          <w:sz w:val="26"/>
          <w:szCs w:val="26"/>
        </w:rPr>
        <w:t xml:space="preserve">, we found that although the Complainant does not utilize his solar facility for any commercial activity, </w:t>
      </w:r>
      <w:r w:rsidRPr="005156A0">
        <w:rPr>
          <w:sz w:val="26"/>
          <w:szCs w:val="26"/>
        </w:rPr>
        <w:t>the current terms of PPL’s Commission-approved tariff</w:t>
      </w:r>
      <w:r w:rsidRPr="005156A0">
        <w:rPr>
          <w:sz w:val="26"/>
          <w:szCs w:val="26"/>
          <w:vertAlign w:val="superscript"/>
        </w:rPr>
        <w:footnoteReference w:id="10"/>
      </w:r>
      <w:r w:rsidRPr="005156A0">
        <w:rPr>
          <w:sz w:val="26"/>
          <w:szCs w:val="26"/>
        </w:rPr>
        <w:t xml:space="preserve"> did permit the Complainant’s solar facility to be billed under PPL’s Rate Schedule RS (</w:t>
      </w:r>
      <w:r w:rsidRPr="00A81DE8">
        <w:rPr>
          <w:i/>
          <w:iCs/>
          <w:sz w:val="26"/>
          <w:szCs w:val="26"/>
        </w:rPr>
        <w:t>i.e.</w:t>
      </w:r>
      <w:r w:rsidR="0007547B">
        <w:rPr>
          <w:sz w:val="26"/>
          <w:szCs w:val="26"/>
        </w:rPr>
        <w:t>,</w:t>
      </w:r>
      <w:r w:rsidRPr="005156A0">
        <w:rPr>
          <w:sz w:val="26"/>
          <w:szCs w:val="26"/>
        </w:rPr>
        <w:t xml:space="preserve"> as a residential account), nor did the construct of the Complainant’s virtual </w:t>
      </w:r>
      <w:r w:rsidR="00E8399C">
        <w:rPr>
          <w:sz w:val="26"/>
          <w:szCs w:val="26"/>
        </w:rPr>
        <w:t>meter aggregation</w:t>
      </w:r>
      <w:r w:rsidRPr="005156A0">
        <w:rPr>
          <w:sz w:val="26"/>
          <w:szCs w:val="26"/>
        </w:rPr>
        <w:t xml:space="preserve"> impose the same burdens on or uses of PPL’s infrastructure as do physical meter aggregation customers.</w:t>
      </w:r>
      <w:r w:rsidRPr="005156A0">
        <w:rPr>
          <w:rFonts w:eastAsia="Calibri"/>
          <w:sz w:val="26"/>
          <w:szCs w:val="26"/>
        </w:rPr>
        <w:t xml:space="preserve">  Rather, we found that the Complainant’s solar facility was simply an array of solar panels located several hundred yards away from his Service Address and was served on a separate meter.  As such, we found that his solar facility did not qualify as a “dwelling” under the terms of PPL’s tariff</w:t>
      </w:r>
      <w:r w:rsidRPr="005156A0">
        <w:rPr>
          <w:rFonts w:eastAsia="Calibri"/>
          <w:sz w:val="26"/>
          <w:szCs w:val="26"/>
          <w:vertAlign w:val="superscript"/>
        </w:rPr>
        <w:footnoteReference w:id="11"/>
      </w:r>
      <w:r w:rsidRPr="005156A0">
        <w:rPr>
          <w:rFonts w:eastAsia="Calibri"/>
          <w:sz w:val="26"/>
          <w:szCs w:val="26"/>
        </w:rPr>
        <w:t xml:space="preserve"> and must be billed under PPL’s Rate Schedule GS-1.  </w:t>
      </w:r>
      <w:r w:rsidRPr="005156A0">
        <w:rPr>
          <w:rFonts w:eastAsia="Calibri"/>
          <w:i/>
          <w:iCs/>
          <w:sz w:val="26"/>
          <w:szCs w:val="26"/>
        </w:rPr>
        <w:t xml:space="preserve">May 2016 Order </w:t>
      </w:r>
      <w:r w:rsidRPr="005156A0">
        <w:rPr>
          <w:rFonts w:eastAsia="Calibri"/>
          <w:sz w:val="26"/>
          <w:szCs w:val="26"/>
        </w:rPr>
        <w:t>at 32-37.</w:t>
      </w:r>
    </w:p>
    <w:p w14:paraId="094CC574" w14:textId="77777777" w:rsidR="005156A0" w:rsidRPr="005156A0" w:rsidRDefault="005156A0" w:rsidP="00A81DE8">
      <w:pPr>
        <w:widowControl/>
        <w:spacing w:after="200" w:line="360" w:lineRule="auto"/>
        <w:ind w:firstLine="1440"/>
        <w:contextualSpacing/>
        <w:rPr>
          <w:rFonts w:eastAsia="Calibri"/>
          <w:sz w:val="26"/>
          <w:szCs w:val="26"/>
        </w:rPr>
      </w:pPr>
    </w:p>
    <w:p w14:paraId="613FA6D7" w14:textId="46C5B0C1" w:rsidR="005156A0" w:rsidRPr="005156A0" w:rsidRDefault="005156A0" w:rsidP="00A81DE8">
      <w:pPr>
        <w:widowControl/>
        <w:spacing w:after="200" w:line="360" w:lineRule="auto"/>
        <w:ind w:firstLine="1440"/>
        <w:contextualSpacing/>
        <w:rPr>
          <w:rFonts w:eastAsia="Calibri"/>
          <w:sz w:val="26"/>
          <w:szCs w:val="26"/>
        </w:rPr>
      </w:pPr>
      <w:r w:rsidRPr="005156A0">
        <w:rPr>
          <w:rFonts w:eastAsia="Calibri"/>
          <w:sz w:val="26"/>
          <w:szCs w:val="26"/>
        </w:rPr>
        <w:t xml:space="preserve">As is true regarding PPL’s manual billing process, discussed, </w:t>
      </w:r>
      <w:r w:rsidRPr="005156A0">
        <w:rPr>
          <w:rFonts w:eastAsia="Calibri"/>
          <w:i/>
          <w:iCs/>
          <w:sz w:val="26"/>
          <w:szCs w:val="26"/>
        </w:rPr>
        <w:t xml:space="preserve">supra, </w:t>
      </w:r>
      <w:r w:rsidRPr="005156A0">
        <w:rPr>
          <w:rFonts w:eastAsia="Calibri"/>
          <w:sz w:val="26"/>
          <w:szCs w:val="26"/>
        </w:rPr>
        <w:t xml:space="preserve">there has been no change as to the characteristics of the Complainant’s host account since the issuance of our </w:t>
      </w:r>
      <w:r w:rsidRPr="005156A0">
        <w:rPr>
          <w:rFonts w:eastAsia="Calibri"/>
          <w:i/>
          <w:iCs/>
          <w:sz w:val="26"/>
          <w:szCs w:val="26"/>
        </w:rPr>
        <w:t>May 2016 Order</w:t>
      </w:r>
      <w:r w:rsidRPr="005156A0">
        <w:rPr>
          <w:rFonts w:eastAsia="Calibri"/>
          <w:sz w:val="26"/>
          <w:szCs w:val="26"/>
        </w:rPr>
        <w:t xml:space="preserve">.  Further, there has been no change to the terms of this section of PPL’s Commission-approved tariff.  Therefore, we find no basis upon which to grant the Complainant’s Exception to Finding of Fact No. 43.  </w:t>
      </w:r>
      <w:r w:rsidR="009D09D8">
        <w:rPr>
          <w:rFonts w:eastAsia="Calibri"/>
          <w:sz w:val="26"/>
          <w:szCs w:val="26"/>
        </w:rPr>
        <w:t>Accordingly, we adopt the finding of the ALJ that given the non-residential nature of the meter of the Complainant’s solar facility, the Complainant’s host account is subject to demand charges.</w:t>
      </w:r>
    </w:p>
    <w:p w14:paraId="61F06CAE" w14:textId="77777777" w:rsidR="005156A0" w:rsidRPr="005156A0" w:rsidRDefault="005156A0" w:rsidP="00A81DE8">
      <w:pPr>
        <w:widowControl/>
        <w:spacing w:after="200" w:line="360" w:lineRule="auto"/>
        <w:ind w:firstLine="1440"/>
        <w:contextualSpacing/>
        <w:rPr>
          <w:rFonts w:eastAsia="Calibri"/>
          <w:sz w:val="26"/>
          <w:szCs w:val="26"/>
        </w:rPr>
      </w:pPr>
    </w:p>
    <w:p w14:paraId="5F864299" w14:textId="4646E0F2" w:rsidR="005156A0" w:rsidRPr="005156A0" w:rsidRDefault="00DD0F33" w:rsidP="00A81DE8">
      <w:pPr>
        <w:widowControl/>
        <w:spacing w:after="200" w:line="360" w:lineRule="auto"/>
        <w:ind w:firstLine="1440"/>
        <w:contextualSpacing/>
        <w:rPr>
          <w:rFonts w:eastAsia="Calibri"/>
          <w:sz w:val="26"/>
          <w:szCs w:val="26"/>
        </w:rPr>
      </w:pPr>
      <w:r>
        <w:rPr>
          <w:rFonts w:eastAsia="Calibri"/>
          <w:sz w:val="26"/>
          <w:szCs w:val="26"/>
        </w:rPr>
        <w:lastRenderedPageBreak/>
        <w:t>In light of the above</w:t>
      </w:r>
      <w:r w:rsidR="005156A0" w:rsidRPr="005156A0">
        <w:rPr>
          <w:rFonts w:eastAsia="Calibri"/>
          <w:sz w:val="26"/>
          <w:szCs w:val="26"/>
        </w:rPr>
        <w:t>, the Complainant’s Exceptions to Finding of Fact Nos. 36-38 and 43 are denied.</w:t>
      </w:r>
      <w:r w:rsidR="005156A0" w:rsidRPr="005156A0">
        <w:rPr>
          <w:rFonts w:eastAsia="Calibri"/>
          <w:sz w:val="26"/>
          <w:szCs w:val="26"/>
          <w:vertAlign w:val="superscript"/>
        </w:rPr>
        <w:footnoteReference w:id="12"/>
      </w:r>
    </w:p>
    <w:p w14:paraId="58D61ABB" w14:textId="4D2FE007" w:rsidR="00725378" w:rsidRPr="000B39D1" w:rsidRDefault="00725378" w:rsidP="00A81DE8">
      <w:pPr>
        <w:widowControl/>
        <w:spacing w:line="360" w:lineRule="auto"/>
        <w:ind w:firstLine="1440"/>
        <w:contextualSpacing/>
        <w:rPr>
          <w:sz w:val="26"/>
          <w:szCs w:val="26"/>
        </w:rPr>
      </w:pPr>
    </w:p>
    <w:p w14:paraId="3D0E4BB4" w14:textId="6E5E6675" w:rsidR="00E51E04" w:rsidRPr="00570FA3" w:rsidRDefault="00725378" w:rsidP="00A81DE8">
      <w:pPr>
        <w:keepNext/>
        <w:keepLines/>
        <w:widowControl/>
        <w:spacing w:line="360" w:lineRule="auto"/>
        <w:contextualSpacing/>
        <w:jc w:val="center"/>
        <w:rPr>
          <w:b/>
          <w:sz w:val="26"/>
          <w:szCs w:val="26"/>
        </w:rPr>
      </w:pPr>
      <w:r>
        <w:rPr>
          <w:b/>
          <w:sz w:val="26"/>
          <w:szCs w:val="26"/>
        </w:rPr>
        <w:t>III.</w:t>
      </w:r>
      <w:r>
        <w:rPr>
          <w:b/>
          <w:sz w:val="26"/>
          <w:szCs w:val="26"/>
        </w:rPr>
        <w:tab/>
      </w:r>
      <w:r w:rsidR="00E51E04" w:rsidRPr="00570FA3">
        <w:rPr>
          <w:b/>
          <w:sz w:val="26"/>
          <w:szCs w:val="26"/>
        </w:rPr>
        <w:t>Conclusion</w:t>
      </w:r>
    </w:p>
    <w:p w14:paraId="687AFEF9" w14:textId="77777777" w:rsidR="00E51E04" w:rsidRPr="00570FA3" w:rsidRDefault="00E51E04" w:rsidP="00A81DE8">
      <w:pPr>
        <w:keepNext/>
        <w:keepLines/>
        <w:widowControl/>
        <w:spacing w:line="360" w:lineRule="auto"/>
        <w:ind w:firstLine="1440"/>
        <w:contextualSpacing/>
        <w:rPr>
          <w:sz w:val="26"/>
          <w:szCs w:val="26"/>
        </w:rPr>
      </w:pPr>
    </w:p>
    <w:p w14:paraId="47401E4C" w14:textId="6621625B" w:rsidR="007A0147" w:rsidRPr="00C32CCD" w:rsidRDefault="00725378" w:rsidP="00A81DE8">
      <w:pPr>
        <w:widowControl/>
        <w:spacing w:line="360" w:lineRule="auto"/>
        <w:ind w:firstLine="1440"/>
        <w:contextualSpacing/>
        <w:rPr>
          <w:sz w:val="26"/>
          <w:szCs w:val="26"/>
        </w:rPr>
      </w:pPr>
      <w:r w:rsidRPr="00CD6898">
        <w:rPr>
          <w:sz w:val="26"/>
          <w:szCs w:val="26"/>
        </w:rPr>
        <w:t xml:space="preserve">Based upon the foregoing discussion, we shall </w:t>
      </w:r>
      <w:r w:rsidR="00F935F8">
        <w:rPr>
          <w:sz w:val="26"/>
          <w:szCs w:val="26"/>
        </w:rPr>
        <w:t>grant the</w:t>
      </w:r>
      <w:r w:rsidRPr="00CD6898">
        <w:rPr>
          <w:sz w:val="26"/>
          <w:szCs w:val="26"/>
        </w:rPr>
        <w:t xml:space="preserve"> Complainant’s Exceptions</w:t>
      </w:r>
      <w:r w:rsidR="00F935F8">
        <w:rPr>
          <w:sz w:val="26"/>
          <w:szCs w:val="26"/>
        </w:rPr>
        <w:t>, in part, deny them, in part,</w:t>
      </w:r>
      <w:r w:rsidR="000A12DF">
        <w:rPr>
          <w:sz w:val="26"/>
          <w:szCs w:val="26"/>
        </w:rPr>
        <w:t xml:space="preserve"> </w:t>
      </w:r>
      <w:r w:rsidRPr="00CD6898">
        <w:rPr>
          <w:sz w:val="26"/>
          <w:szCs w:val="26"/>
        </w:rPr>
        <w:t xml:space="preserve">and adopt the Initial Decision, </w:t>
      </w:r>
      <w:r w:rsidR="00F935F8">
        <w:rPr>
          <w:sz w:val="26"/>
          <w:szCs w:val="26"/>
        </w:rPr>
        <w:t xml:space="preserve">as modified, </w:t>
      </w:r>
      <w:r w:rsidRPr="00CD6898">
        <w:rPr>
          <w:sz w:val="26"/>
          <w:szCs w:val="26"/>
        </w:rPr>
        <w:t xml:space="preserve">consistent with this Opinion and Order; </w:t>
      </w:r>
      <w:r w:rsidRPr="00CD6898">
        <w:rPr>
          <w:b/>
          <w:sz w:val="26"/>
          <w:szCs w:val="26"/>
        </w:rPr>
        <w:t>THEREFORE,</w:t>
      </w:r>
    </w:p>
    <w:p w14:paraId="20B4E70F" w14:textId="77777777" w:rsidR="00725378" w:rsidRDefault="00725378" w:rsidP="00A81DE8">
      <w:pPr>
        <w:widowControl/>
        <w:spacing w:line="360" w:lineRule="auto"/>
        <w:ind w:firstLine="1440"/>
        <w:contextualSpacing/>
        <w:rPr>
          <w:b/>
          <w:sz w:val="26"/>
          <w:szCs w:val="26"/>
        </w:rPr>
      </w:pPr>
    </w:p>
    <w:p w14:paraId="01D72AA5" w14:textId="5B81E181" w:rsidR="00E51E04" w:rsidRPr="007E0A2D" w:rsidRDefault="00E51E04" w:rsidP="00A81DE8">
      <w:pPr>
        <w:widowControl/>
        <w:spacing w:line="360" w:lineRule="auto"/>
        <w:ind w:firstLine="1440"/>
        <w:contextualSpacing/>
        <w:rPr>
          <w:b/>
          <w:sz w:val="26"/>
          <w:szCs w:val="26"/>
        </w:rPr>
      </w:pPr>
      <w:r w:rsidRPr="007E0A2D">
        <w:rPr>
          <w:b/>
          <w:sz w:val="26"/>
          <w:szCs w:val="26"/>
        </w:rPr>
        <w:t>IT IS ORDERED:</w:t>
      </w:r>
    </w:p>
    <w:p w14:paraId="368BB809" w14:textId="77777777" w:rsidR="007E0A2D" w:rsidRPr="007E0A2D" w:rsidRDefault="007E0A2D" w:rsidP="00A81DE8">
      <w:pPr>
        <w:widowControl/>
        <w:spacing w:line="360" w:lineRule="auto"/>
        <w:ind w:firstLine="1440"/>
        <w:contextualSpacing/>
        <w:rPr>
          <w:sz w:val="26"/>
          <w:szCs w:val="26"/>
        </w:rPr>
      </w:pPr>
    </w:p>
    <w:p w14:paraId="7DC7394F" w14:textId="29B11595" w:rsidR="00725378" w:rsidRPr="00725378" w:rsidRDefault="00725378" w:rsidP="00A81DE8">
      <w:pPr>
        <w:widowControl/>
        <w:spacing w:line="360" w:lineRule="auto"/>
        <w:ind w:firstLine="1440"/>
        <w:contextualSpacing/>
        <w:rPr>
          <w:sz w:val="26"/>
          <w:szCs w:val="26"/>
        </w:rPr>
      </w:pPr>
      <w:r w:rsidRPr="00725378">
        <w:rPr>
          <w:sz w:val="26"/>
          <w:szCs w:val="26"/>
        </w:rPr>
        <w:t>1.</w:t>
      </w:r>
      <w:r w:rsidRPr="00725378">
        <w:rPr>
          <w:sz w:val="26"/>
          <w:szCs w:val="26"/>
        </w:rPr>
        <w:tab/>
        <w:t xml:space="preserve">That the Exceptions of Larry Moyer that were filed on </w:t>
      </w:r>
      <w:r>
        <w:rPr>
          <w:sz w:val="26"/>
          <w:szCs w:val="26"/>
        </w:rPr>
        <w:t>May 16, 201</w:t>
      </w:r>
      <w:r w:rsidR="000A12DF">
        <w:rPr>
          <w:sz w:val="26"/>
          <w:szCs w:val="26"/>
        </w:rPr>
        <w:t>8</w:t>
      </w:r>
      <w:r w:rsidRPr="00725378">
        <w:rPr>
          <w:sz w:val="26"/>
          <w:szCs w:val="26"/>
        </w:rPr>
        <w:t xml:space="preserve">, to the Initial Decision of Administrative Law Judge </w:t>
      </w:r>
      <w:r>
        <w:rPr>
          <w:sz w:val="26"/>
          <w:szCs w:val="26"/>
        </w:rPr>
        <w:t>Joel H. Cheskis</w:t>
      </w:r>
      <w:r w:rsidRPr="00725378">
        <w:rPr>
          <w:sz w:val="26"/>
          <w:szCs w:val="26"/>
        </w:rPr>
        <w:t xml:space="preserve"> are </w:t>
      </w:r>
      <w:r w:rsidR="00A96F49">
        <w:rPr>
          <w:sz w:val="26"/>
          <w:szCs w:val="26"/>
        </w:rPr>
        <w:t xml:space="preserve">granted, in part, and </w:t>
      </w:r>
      <w:r w:rsidRPr="00725378">
        <w:rPr>
          <w:sz w:val="26"/>
          <w:szCs w:val="26"/>
        </w:rPr>
        <w:t>denied</w:t>
      </w:r>
      <w:r w:rsidR="00A96F49">
        <w:rPr>
          <w:sz w:val="26"/>
          <w:szCs w:val="26"/>
        </w:rPr>
        <w:t>, in part</w:t>
      </w:r>
      <w:r w:rsidRPr="00725378">
        <w:rPr>
          <w:sz w:val="26"/>
          <w:szCs w:val="26"/>
        </w:rPr>
        <w:t xml:space="preserve"> consistent with this Opinion and Order.</w:t>
      </w:r>
    </w:p>
    <w:p w14:paraId="5EEE85D5" w14:textId="77777777" w:rsidR="00725378" w:rsidRPr="00725378" w:rsidRDefault="00725378" w:rsidP="00A81DE8">
      <w:pPr>
        <w:widowControl/>
        <w:spacing w:line="360" w:lineRule="auto"/>
        <w:ind w:firstLine="1440"/>
        <w:contextualSpacing/>
        <w:rPr>
          <w:sz w:val="26"/>
          <w:szCs w:val="26"/>
        </w:rPr>
      </w:pPr>
    </w:p>
    <w:p w14:paraId="7F911936" w14:textId="21D8EF9F" w:rsidR="00725378" w:rsidRDefault="00725378" w:rsidP="00A81DE8">
      <w:pPr>
        <w:widowControl/>
        <w:spacing w:line="360" w:lineRule="auto"/>
        <w:ind w:firstLine="1440"/>
        <w:contextualSpacing/>
        <w:rPr>
          <w:sz w:val="26"/>
          <w:szCs w:val="26"/>
        </w:rPr>
      </w:pPr>
      <w:r w:rsidRPr="00725378">
        <w:rPr>
          <w:sz w:val="26"/>
          <w:szCs w:val="26"/>
        </w:rPr>
        <w:t>2.</w:t>
      </w:r>
      <w:r w:rsidRPr="00725378">
        <w:rPr>
          <w:sz w:val="26"/>
          <w:szCs w:val="26"/>
        </w:rPr>
        <w:tab/>
        <w:t xml:space="preserve">That the Initial Decision of </w:t>
      </w:r>
      <w:r w:rsidR="00B77F2B" w:rsidRPr="00E562D4">
        <w:rPr>
          <w:sz w:val="26"/>
          <w:szCs w:val="26"/>
        </w:rPr>
        <w:t>Deputy Chief</w:t>
      </w:r>
      <w:r w:rsidR="00B77F2B" w:rsidRPr="00725378">
        <w:rPr>
          <w:sz w:val="26"/>
          <w:szCs w:val="26"/>
        </w:rPr>
        <w:t xml:space="preserve"> </w:t>
      </w:r>
      <w:r w:rsidRPr="00725378">
        <w:rPr>
          <w:sz w:val="26"/>
          <w:szCs w:val="26"/>
        </w:rPr>
        <w:t xml:space="preserve">Administrative Law Judge </w:t>
      </w:r>
      <w:r w:rsidR="0035124A">
        <w:rPr>
          <w:sz w:val="26"/>
          <w:szCs w:val="26"/>
        </w:rPr>
        <w:t>Joel H. Cheskis</w:t>
      </w:r>
      <w:r w:rsidR="00FC5454">
        <w:rPr>
          <w:sz w:val="26"/>
          <w:szCs w:val="26"/>
        </w:rPr>
        <w:t>,</w:t>
      </w:r>
      <w:r w:rsidRPr="00725378">
        <w:rPr>
          <w:sz w:val="26"/>
          <w:szCs w:val="26"/>
        </w:rPr>
        <w:t xml:space="preserve"> issued on </w:t>
      </w:r>
      <w:r w:rsidR="0035124A">
        <w:rPr>
          <w:sz w:val="26"/>
          <w:szCs w:val="26"/>
        </w:rPr>
        <w:t>April 25, 2018</w:t>
      </w:r>
      <w:r w:rsidRPr="00725378">
        <w:rPr>
          <w:sz w:val="26"/>
          <w:szCs w:val="26"/>
        </w:rPr>
        <w:t xml:space="preserve">, is adopted, </w:t>
      </w:r>
      <w:r w:rsidR="00A96F49">
        <w:rPr>
          <w:sz w:val="26"/>
          <w:szCs w:val="26"/>
        </w:rPr>
        <w:t xml:space="preserve">as modified, </w:t>
      </w:r>
      <w:r w:rsidRPr="00725378">
        <w:rPr>
          <w:sz w:val="26"/>
          <w:szCs w:val="26"/>
        </w:rPr>
        <w:t>consistent with this Opinion and Order.</w:t>
      </w:r>
    </w:p>
    <w:p w14:paraId="7F31390C" w14:textId="1E668A41" w:rsidR="00A96F49" w:rsidRDefault="00A96F49" w:rsidP="00A81DE8">
      <w:pPr>
        <w:widowControl/>
        <w:spacing w:line="360" w:lineRule="auto"/>
        <w:ind w:firstLine="1440"/>
        <w:contextualSpacing/>
        <w:rPr>
          <w:sz w:val="26"/>
          <w:szCs w:val="26"/>
        </w:rPr>
      </w:pPr>
    </w:p>
    <w:p w14:paraId="5ED2B40E" w14:textId="2F52D96F" w:rsidR="00A96F49" w:rsidRPr="00725378" w:rsidRDefault="00A96F49" w:rsidP="00A81DE8">
      <w:pPr>
        <w:widowControl/>
        <w:spacing w:line="360" w:lineRule="auto"/>
        <w:ind w:firstLine="1440"/>
        <w:contextualSpacing/>
        <w:rPr>
          <w:sz w:val="26"/>
          <w:szCs w:val="26"/>
        </w:rPr>
      </w:pPr>
      <w:r>
        <w:rPr>
          <w:sz w:val="26"/>
          <w:szCs w:val="26"/>
        </w:rPr>
        <w:t>3.</w:t>
      </w:r>
      <w:r>
        <w:rPr>
          <w:sz w:val="26"/>
          <w:szCs w:val="26"/>
        </w:rPr>
        <w:tab/>
        <w:t>That the ALJ’s Finding of Fact No. 21 is modified, consistent with this Opinion and Order.</w:t>
      </w:r>
    </w:p>
    <w:p w14:paraId="51B4809E" w14:textId="7C812ED7" w:rsidR="007E0A2D" w:rsidRDefault="007E0A2D" w:rsidP="00A81DE8">
      <w:pPr>
        <w:widowControl/>
        <w:spacing w:line="360" w:lineRule="auto"/>
        <w:ind w:firstLine="1440"/>
        <w:contextualSpacing/>
        <w:rPr>
          <w:sz w:val="26"/>
          <w:szCs w:val="26"/>
        </w:rPr>
      </w:pPr>
    </w:p>
    <w:p w14:paraId="02EEE29F" w14:textId="0D0E19F8" w:rsidR="00725378" w:rsidRPr="007E0A2D" w:rsidRDefault="00A96F49" w:rsidP="00A81DE8">
      <w:pPr>
        <w:widowControl/>
        <w:spacing w:line="360" w:lineRule="auto"/>
        <w:ind w:firstLine="1440"/>
        <w:contextualSpacing/>
        <w:rPr>
          <w:sz w:val="26"/>
          <w:szCs w:val="26"/>
        </w:rPr>
      </w:pPr>
      <w:r>
        <w:rPr>
          <w:sz w:val="26"/>
          <w:szCs w:val="26"/>
        </w:rPr>
        <w:lastRenderedPageBreak/>
        <w:t>4</w:t>
      </w:r>
      <w:r w:rsidR="00725378">
        <w:rPr>
          <w:sz w:val="26"/>
          <w:szCs w:val="26"/>
        </w:rPr>
        <w:t>.</w:t>
      </w:r>
      <w:r w:rsidR="00725378">
        <w:rPr>
          <w:sz w:val="26"/>
          <w:szCs w:val="26"/>
        </w:rPr>
        <w:tab/>
      </w:r>
      <w:r w:rsidR="00725378" w:rsidRPr="00C015EF">
        <w:rPr>
          <w:sz w:val="26"/>
          <w:szCs w:val="26"/>
        </w:rPr>
        <w:t>That the Complaint of Larry Moyer against PPL Electric Utilities Corporation at Docket No. C-</w:t>
      </w:r>
      <w:r w:rsidR="00725378">
        <w:rPr>
          <w:sz w:val="26"/>
          <w:szCs w:val="26"/>
        </w:rPr>
        <w:t>2015-2511904</w:t>
      </w:r>
      <w:r w:rsidR="00725378" w:rsidRPr="00C015EF">
        <w:rPr>
          <w:sz w:val="26"/>
          <w:szCs w:val="26"/>
        </w:rPr>
        <w:t xml:space="preserve"> is dismissed, consistent with this Opinion and Order.</w:t>
      </w:r>
    </w:p>
    <w:p w14:paraId="0F58045B" w14:textId="77777777" w:rsidR="001E5B55" w:rsidRDefault="001E5B55" w:rsidP="00A81DE8">
      <w:pPr>
        <w:keepNext/>
        <w:keepLines/>
        <w:widowControl/>
        <w:spacing w:line="360" w:lineRule="auto"/>
        <w:ind w:firstLine="1440"/>
        <w:contextualSpacing/>
        <w:rPr>
          <w:sz w:val="26"/>
          <w:szCs w:val="26"/>
        </w:rPr>
      </w:pPr>
    </w:p>
    <w:p w14:paraId="4CDCBDFD" w14:textId="623E693C" w:rsidR="007E0A2D" w:rsidRPr="007E0A2D" w:rsidRDefault="001C0779" w:rsidP="00A81DE8">
      <w:pPr>
        <w:keepNext/>
        <w:keepLines/>
        <w:widowControl/>
        <w:spacing w:line="360" w:lineRule="auto"/>
        <w:ind w:firstLine="1440"/>
        <w:contextualSpacing/>
        <w:rPr>
          <w:sz w:val="26"/>
          <w:szCs w:val="26"/>
        </w:rPr>
      </w:pPr>
      <w:r>
        <w:rPr>
          <w:sz w:val="26"/>
          <w:szCs w:val="26"/>
        </w:rPr>
        <w:t>5</w:t>
      </w:r>
      <w:r w:rsidR="007E0A2D" w:rsidRPr="007E0A2D">
        <w:rPr>
          <w:sz w:val="26"/>
          <w:szCs w:val="26"/>
        </w:rPr>
        <w:t>.</w:t>
      </w:r>
      <w:r w:rsidR="007E0A2D" w:rsidRPr="007E0A2D">
        <w:rPr>
          <w:sz w:val="26"/>
          <w:szCs w:val="26"/>
        </w:rPr>
        <w:tab/>
        <w:t>That this case be marked closed.</w:t>
      </w:r>
    </w:p>
    <w:p w14:paraId="4B715E5D" w14:textId="201C44E0" w:rsidR="00590309" w:rsidRPr="007E0A2D" w:rsidRDefault="00590309" w:rsidP="00A81DE8">
      <w:pPr>
        <w:keepNext/>
        <w:keepLines/>
        <w:widowControl/>
        <w:spacing w:line="360" w:lineRule="auto"/>
        <w:ind w:firstLine="1440"/>
        <w:contextualSpacing/>
        <w:rPr>
          <w:sz w:val="26"/>
          <w:szCs w:val="26"/>
        </w:rPr>
      </w:pPr>
    </w:p>
    <w:p w14:paraId="573DEC40" w14:textId="778AF6D3" w:rsidR="00E51E04" w:rsidRPr="00570FA3" w:rsidRDefault="00D4567A" w:rsidP="00A81DE8">
      <w:pPr>
        <w:keepNext/>
        <w:keepLines/>
        <w:widowControl/>
        <w:tabs>
          <w:tab w:val="left" w:pos="-720"/>
        </w:tabs>
        <w:suppressAutoHyphens/>
        <w:contextualSpacing/>
        <w:rPr>
          <w:sz w:val="26"/>
          <w:szCs w:val="26"/>
        </w:rPr>
      </w:pPr>
      <w:r>
        <w:rPr>
          <w:noProof/>
        </w:rPr>
        <w:drawing>
          <wp:anchor distT="0" distB="0" distL="114300" distR="114300" simplePos="0" relativeHeight="251659264" behindDoc="1" locked="0" layoutInCell="1" allowOverlap="1" wp14:anchorId="31F0F615" wp14:editId="5587EEFB">
            <wp:simplePos x="0" y="0"/>
            <wp:positionH relativeFrom="column">
              <wp:posOffset>3228975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t>BY THE COMMISSION,</w:t>
      </w:r>
    </w:p>
    <w:p w14:paraId="7D9D449D" w14:textId="031FCC43" w:rsidR="00E51E04" w:rsidRPr="00570FA3" w:rsidRDefault="00E51E04" w:rsidP="00A81DE8">
      <w:pPr>
        <w:keepNext/>
        <w:keepLines/>
        <w:widowControl/>
        <w:tabs>
          <w:tab w:val="left" w:pos="-720"/>
        </w:tabs>
        <w:suppressAutoHyphens/>
        <w:contextualSpacing/>
        <w:rPr>
          <w:sz w:val="26"/>
          <w:szCs w:val="26"/>
        </w:rPr>
      </w:pPr>
    </w:p>
    <w:p w14:paraId="155E346C" w14:textId="77777777" w:rsidR="00E51E04" w:rsidRPr="00570FA3" w:rsidRDefault="00E51E04" w:rsidP="00A81DE8">
      <w:pPr>
        <w:keepNext/>
        <w:keepLines/>
        <w:widowControl/>
        <w:tabs>
          <w:tab w:val="left" w:pos="-720"/>
        </w:tabs>
        <w:suppressAutoHyphens/>
        <w:contextualSpacing/>
        <w:rPr>
          <w:sz w:val="26"/>
          <w:szCs w:val="26"/>
        </w:rPr>
      </w:pPr>
    </w:p>
    <w:p w14:paraId="5A0DD099" w14:textId="77777777" w:rsidR="00E51E04" w:rsidRPr="00570FA3" w:rsidRDefault="00E51E04" w:rsidP="00A81DE8">
      <w:pPr>
        <w:keepNext/>
        <w:keepLines/>
        <w:widowControl/>
        <w:tabs>
          <w:tab w:val="left" w:pos="-720"/>
        </w:tabs>
        <w:suppressAutoHyphens/>
        <w:contextualSpacing/>
        <w:rPr>
          <w:sz w:val="26"/>
          <w:szCs w:val="26"/>
        </w:rPr>
      </w:pPr>
    </w:p>
    <w:p w14:paraId="5F0874B7" w14:textId="77777777" w:rsidR="00E51E04" w:rsidRPr="00570FA3" w:rsidRDefault="00E51E04" w:rsidP="00A81DE8">
      <w:pPr>
        <w:keepNext/>
        <w:keepLines/>
        <w:widowControl/>
        <w:tabs>
          <w:tab w:val="left" w:pos="-720"/>
        </w:tabs>
        <w:suppressAutoHyphens/>
        <w:contextualSpacing/>
        <w:rPr>
          <w:sz w:val="26"/>
          <w:szCs w:val="26"/>
        </w:rPr>
      </w:pPr>
    </w:p>
    <w:p w14:paraId="62728957" w14:textId="77777777" w:rsidR="00E51E04" w:rsidRPr="00570FA3" w:rsidRDefault="00E51E04" w:rsidP="00A81DE8">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Rosemary Chiavetta</w:t>
      </w:r>
    </w:p>
    <w:p w14:paraId="5F0BA7EB" w14:textId="77777777" w:rsidR="00E51E04" w:rsidRPr="00570FA3" w:rsidRDefault="00E51E04" w:rsidP="00A81DE8">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Secretary</w:t>
      </w:r>
    </w:p>
    <w:p w14:paraId="5D35CFFD" w14:textId="77777777" w:rsidR="00E51E04" w:rsidRPr="00570FA3" w:rsidRDefault="00E51E04" w:rsidP="00A81DE8">
      <w:pPr>
        <w:keepNext/>
        <w:keepLines/>
        <w:widowControl/>
        <w:tabs>
          <w:tab w:val="left" w:pos="-720"/>
        </w:tabs>
        <w:suppressAutoHyphens/>
        <w:contextualSpacing/>
        <w:rPr>
          <w:sz w:val="26"/>
          <w:szCs w:val="26"/>
        </w:rPr>
      </w:pPr>
    </w:p>
    <w:p w14:paraId="74791325" w14:textId="77777777" w:rsidR="00E51E04" w:rsidRPr="00570FA3" w:rsidRDefault="00E51E04" w:rsidP="00A81DE8">
      <w:pPr>
        <w:keepNext/>
        <w:keepLines/>
        <w:widowControl/>
        <w:tabs>
          <w:tab w:val="left" w:pos="-720"/>
        </w:tabs>
        <w:suppressAutoHyphens/>
        <w:contextualSpacing/>
        <w:rPr>
          <w:sz w:val="26"/>
          <w:szCs w:val="26"/>
        </w:rPr>
      </w:pPr>
    </w:p>
    <w:p w14:paraId="63E06468" w14:textId="77777777" w:rsidR="00E51E04" w:rsidRPr="00570FA3" w:rsidRDefault="00E51E04" w:rsidP="00A81DE8">
      <w:pPr>
        <w:keepNext/>
        <w:keepLines/>
        <w:widowControl/>
        <w:tabs>
          <w:tab w:val="left" w:pos="-720"/>
        </w:tabs>
        <w:suppressAutoHyphens/>
        <w:contextualSpacing/>
        <w:rPr>
          <w:sz w:val="26"/>
          <w:szCs w:val="26"/>
        </w:rPr>
      </w:pPr>
      <w:r w:rsidRPr="00570FA3">
        <w:rPr>
          <w:sz w:val="26"/>
          <w:szCs w:val="26"/>
        </w:rPr>
        <w:t>(SEAL)</w:t>
      </w:r>
    </w:p>
    <w:p w14:paraId="3278CE43" w14:textId="77777777" w:rsidR="00E51E04" w:rsidRPr="00570FA3" w:rsidRDefault="00E51E04" w:rsidP="00A81DE8">
      <w:pPr>
        <w:keepNext/>
        <w:keepLines/>
        <w:widowControl/>
        <w:tabs>
          <w:tab w:val="left" w:pos="-720"/>
        </w:tabs>
        <w:suppressAutoHyphens/>
        <w:contextualSpacing/>
        <w:rPr>
          <w:sz w:val="26"/>
          <w:szCs w:val="26"/>
        </w:rPr>
      </w:pPr>
    </w:p>
    <w:p w14:paraId="5F8DAA11" w14:textId="0934563C" w:rsidR="00E51E04" w:rsidRPr="00570FA3" w:rsidRDefault="00E51E04" w:rsidP="00A81DE8">
      <w:pPr>
        <w:keepNext/>
        <w:keepLines/>
        <w:widowControl/>
        <w:tabs>
          <w:tab w:val="left" w:pos="-720"/>
        </w:tabs>
        <w:suppressAutoHyphens/>
        <w:contextualSpacing/>
        <w:rPr>
          <w:sz w:val="26"/>
          <w:szCs w:val="26"/>
        </w:rPr>
      </w:pPr>
      <w:r w:rsidRPr="00570FA3">
        <w:rPr>
          <w:sz w:val="26"/>
          <w:szCs w:val="26"/>
        </w:rPr>
        <w:t xml:space="preserve">ORDER ADOPTED:  </w:t>
      </w:r>
      <w:r w:rsidR="001C1611">
        <w:rPr>
          <w:sz w:val="26"/>
          <w:szCs w:val="26"/>
        </w:rPr>
        <w:t>August 8</w:t>
      </w:r>
      <w:r w:rsidR="00120B75">
        <w:rPr>
          <w:sz w:val="26"/>
          <w:szCs w:val="26"/>
        </w:rPr>
        <w:t>, 2019</w:t>
      </w:r>
      <w:r w:rsidRPr="00570FA3">
        <w:rPr>
          <w:sz w:val="26"/>
          <w:szCs w:val="26"/>
        </w:rPr>
        <w:t xml:space="preserve"> </w:t>
      </w:r>
    </w:p>
    <w:p w14:paraId="58C24430" w14:textId="77777777" w:rsidR="00E51E04" w:rsidRPr="00570FA3" w:rsidRDefault="00E51E04" w:rsidP="00A81DE8">
      <w:pPr>
        <w:keepNext/>
        <w:keepLines/>
        <w:widowControl/>
        <w:tabs>
          <w:tab w:val="left" w:pos="-720"/>
        </w:tabs>
        <w:suppressAutoHyphens/>
        <w:contextualSpacing/>
        <w:rPr>
          <w:sz w:val="26"/>
          <w:szCs w:val="26"/>
        </w:rPr>
      </w:pPr>
    </w:p>
    <w:p w14:paraId="3FE0E359" w14:textId="20A4C545" w:rsidR="00D4567A" w:rsidRPr="00570FA3" w:rsidRDefault="00E51E04" w:rsidP="00A81DE8">
      <w:pPr>
        <w:keepNext/>
        <w:keepLines/>
        <w:widowControl/>
        <w:tabs>
          <w:tab w:val="left" w:pos="-720"/>
        </w:tabs>
        <w:suppressAutoHyphens/>
        <w:contextualSpacing/>
        <w:rPr>
          <w:sz w:val="26"/>
          <w:szCs w:val="26"/>
        </w:rPr>
      </w:pPr>
      <w:r w:rsidRPr="00570FA3">
        <w:rPr>
          <w:sz w:val="26"/>
          <w:szCs w:val="26"/>
        </w:rPr>
        <w:t xml:space="preserve">ORDER ENTERED:  </w:t>
      </w:r>
      <w:r w:rsidR="00D4567A">
        <w:rPr>
          <w:sz w:val="26"/>
          <w:szCs w:val="26"/>
        </w:rPr>
        <w:t>August 8</w:t>
      </w:r>
      <w:bookmarkStart w:id="8" w:name="_GoBack"/>
      <w:bookmarkEnd w:id="8"/>
      <w:r w:rsidR="00D4567A">
        <w:rPr>
          <w:sz w:val="26"/>
          <w:szCs w:val="26"/>
        </w:rPr>
        <w:t>, 2019</w:t>
      </w:r>
    </w:p>
    <w:sectPr w:rsidR="00D4567A" w:rsidRPr="00570FA3" w:rsidSect="007F3C9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5419" w14:textId="77777777" w:rsidR="00A54607" w:rsidRDefault="00A54607" w:rsidP="008F0859">
      <w:r>
        <w:separator/>
      </w:r>
    </w:p>
  </w:endnote>
  <w:endnote w:type="continuationSeparator" w:id="0">
    <w:p w14:paraId="3142B7EB" w14:textId="77777777" w:rsidR="00A54607" w:rsidRDefault="00A54607" w:rsidP="008F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859929"/>
      <w:docPartObj>
        <w:docPartGallery w:val="Page Numbers (Bottom of Page)"/>
        <w:docPartUnique/>
      </w:docPartObj>
    </w:sdtPr>
    <w:sdtEndPr>
      <w:rPr>
        <w:noProof/>
        <w:sz w:val="26"/>
        <w:szCs w:val="26"/>
      </w:rPr>
    </w:sdtEndPr>
    <w:sdtContent>
      <w:p w14:paraId="67DD259A" w14:textId="6B2AD9A5" w:rsidR="00192BEA" w:rsidRPr="008E5B8E" w:rsidRDefault="00192BEA" w:rsidP="008E5B8E">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E06F74">
          <w:rPr>
            <w:noProof/>
            <w:sz w:val="26"/>
            <w:szCs w:val="26"/>
          </w:rPr>
          <w:t>15</w:t>
        </w:r>
        <w:r w:rsidRPr="008A14E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E4CC" w14:textId="77777777" w:rsidR="00A54607" w:rsidRDefault="00A54607" w:rsidP="008F0859">
      <w:r>
        <w:separator/>
      </w:r>
    </w:p>
  </w:footnote>
  <w:footnote w:type="continuationSeparator" w:id="0">
    <w:p w14:paraId="6D425D14" w14:textId="77777777" w:rsidR="00A54607" w:rsidRDefault="00A54607" w:rsidP="008F0859">
      <w:r>
        <w:continuationSeparator/>
      </w:r>
    </w:p>
  </w:footnote>
  <w:footnote w:id="1">
    <w:p w14:paraId="79DE2690" w14:textId="0FA1B223" w:rsidR="00C10E1E" w:rsidRPr="00C10E1E" w:rsidRDefault="00C10E1E" w:rsidP="006B1DB7">
      <w:pPr>
        <w:pStyle w:val="FootnoteText"/>
        <w:spacing w:after="120"/>
        <w:rPr>
          <w:sz w:val="26"/>
          <w:szCs w:val="26"/>
        </w:rPr>
      </w:pPr>
      <w:r w:rsidRPr="00C10E1E">
        <w:rPr>
          <w:sz w:val="26"/>
          <w:szCs w:val="26"/>
        </w:rPr>
        <w:tab/>
      </w:r>
      <w:r w:rsidRPr="00C10E1E">
        <w:rPr>
          <w:rStyle w:val="FootnoteReference"/>
          <w:sz w:val="26"/>
          <w:szCs w:val="26"/>
        </w:rPr>
        <w:footnoteRef/>
      </w:r>
      <w:r w:rsidRPr="00C10E1E">
        <w:rPr>
          <w:sz w:val="26"/>
          <w:szCs w:val="26"/>
        </w:rPr>
        <w:tab/>
        <w:t>The Complaint is a</w:t>
      </w:r>
      <w:r w:rsidR="000A62C8">
        <w:rPr>
          <w:sz w:val="26"/>
          <w:szCs w:val="26"/>
        </w:rPr>
        <w:t>n</w:t>
      </w:r>
      <w:r w:rsidRPr="00C10E1E">
        <w:rPr>
          <w:sz w:val="26"/>
          <w:szCs w:val="26"/>
        </w:rPr>
        <w:t xml:space="preserve"> appeal of an informal </w:t>
      </w:r>
      <w:r>
        <w:rPr>
          <w:sz w:val="26"/>
          <w:szCs w:val="26"/>
        </w:rPr>
        <w:t>c</w:t>
      </w:r>
      <w:r w:rsidRPr="00C10E1E">
        <w:rPr>
          <w:sz w:val="26"/>
          <w:szCs w:val="26"/>
        </w:rPr>
        <w:t>omplaint with the Bureau of Consumer Services (BCS) at BCS Case No. 2778513.</w:t>
      </w:r>
    </w:p>
  </w:footnote>
  <w:footnote w:id="2">
    <w:p w14:paraId="5843B39D" w14:textId="6397E1CE" w:rsidR="00022D36" w:rsidRPr="00022D36" w:rsidRDefault="00022D36">
      <w:pPr>
        <w:pStyle w:val="FootnoteText"/>
        <w:rPr>
          <w:sz w:val="26"/>
          <w:szCs w:val="26"/>
        </w:rPr>
      </w:pPr>
      <w:r w:rsidRPr="00022D36">
        <w:rPr>
          <w:sz w:val="26"/>
          <w:szCs w:val="26"/>
        </w:rPr>
        <w:tab/>
      </w:r>
      <w:r w:rsidRPr="00022D36">
        <w:rPr>
          <w:rStyle w:val="FootnoteReference"/>
          <w:sz w:val="26"/>
          <w:szCs w:val="26"/>
        </w:rPr>
        <w:footnoteRef/>
      </w:r>
      <w:r w:rsidRPr="00022D36">
        <w:rPr>
          <w:sz w:val="26"/>
          <w:szCs w:val="26"/>
        </w:rPr>
        <w:tab/>
        <w:t xml:space="preserve">The Complainant also alleged </w:t>
      </w:r>
      <w:r w:rsidRPr="00FD24BD">
        <w:rPr>
          <w:i/>
          <w:iCs/>
          <w:sz w:val="26"/>
          <w:szCs w:val="26"/>
        </w:rPr>
        <w:t>ex parte</w:t>
      </w:r>
      <w:r w:rsidRPr="00022D36">
        <w:rPr>
          <w:sz w:val="26"/>
          <w:szCs w:val="26"/>
        </w:rPr>
        <w:t xml:space="preserve"> violations regarding a termination letter he received from PPL and the issuance of the Initial Decision on Remand regarding one of his prior complaints</w:t>
      </w:r>
      <w:r w:rsidR="00FD24BD">
        <w:rPr>
          <w:sz w:val="26"/>
          <w:szCs w:val="26"/>
        </w:rPr>
        <w:t xml:space="preserve"> with the </w:t>
      </w:r>
      <w:r w:rsidR="002C684F">
        <w:rPr>
          <w:sz w:val="26"/>
          <w:szCs w:val="26"/>
        </w:rPr>
        <w:t>Commission</w:t>
      </w:r>
      <w:r w:rsidRPr="00022D36">
        <w:rPr>
          <w:sz w:val="26"/>
          <w:szCs w:val="26"/>
        </w:rPr>
        <w:t>.  However, as noted below, this allegation was stricken from his Complaint.</w:t>
      </w:r>
    </w:p>
  </w:footnote>
  <w:footnote w:id="3">
    <w:p w14:paraId="6CDB5DF7" w14:textId="103FB7A9" w:rsidR="00ED2D07" w:rsidRPr="00D51817" w:rsidRDefault="00ED2D07" w:rsidP="00F37FD4">
      <w:pPr>
        <w:pStyle w:val="FootnoteText"/>
        <w:keepNext/>
        <w:keepLines/>
        <w:widowControl/>
        <w:spacing w:after="120"/>
        <w:rPr>
          <w:sz w:val="26"/>
          <w:szCs w:val="26"/>
        </w:rPr>
      </w:pPr>
      <w:r w:rsidRPr="00D51817">
        <w:rPr>
          <w:sz w:val="26"/>
          <w:szCs w:val="26"/>
        </w:rPr>
        <w:tab/>
      </w:r>
      <w:r w:rsidRPr="00D51817">
        <w:rPr>
          <w:rStyle w:val="FootnoteReference"/>
          <w:sz w:val="26"/>
          <w:szCs w:val="26"/>
        </w:rPr>
        <w:footnoteRef/>
      </w:r>
      <w:r w:rsidRPr="00D51817">
        <w:rPr>
          <w:sz w:val="26"/>
          <w:szCs w:val="26"/>
        </w:rPr>
        <w:tab/>
        <w:t xml:space="preserve">Although formal complaints are typically not considered part of the formal record, in this case, the Complainant requested that his Complaint be admitted into the record and PPL did not object.  Tr. </w:t>
      </w:r>
      <w:r w:rsidR="0007547B">
        <w:rPr>
          <w:sz w:val="26"/>
          <w:szCs w:val="26"/>
        </w:rPr>
        <w:t xml:space="preserve">at </w:t>
      </w:r>
      <w:r w:rsidRPr="00D51817">
        <w:rPr>
          <w:sz w:val="26"/>
          <w:szCs w:val="26"/>
        </w:rPr>
        <w:t>11-12. Therefore, the Complaint is formally part of the record of this proceeding.</w:t>
      </w:r>
    </w:p>
  </w:footnote>
  <w:footnote w:id="4">
    <w:p w14:paraId="7C1D6043" w14:textId="77777777" w:rsidR="00E57936" w:rsidRPr="00CD6DCD" w:rsidRDefault="00E57936" w:rsidP="004F0B06">
      <w:pPr>
        <w:pStyle w:val="FootnoteText"/>
        <w:keepLines/>
        <w:spacing w:after="120"/>
        <w:rPr>
          <w:sz w:val="26"/>
          <w:szCs w:val="26"/>
        </w:rPr>
      </w:pPr>
      <w:r w:rsidRPr="00CD6DCD">
        <w:rPr>
          <w:sz w:val="26"/>
          <w:szCs w:val="26"/>
        </w:rPr>
        <w:tab/>
      </w:r>
      <w:r w:rsidRPr="00CD6DCD">
        <w:rPr>
          <w:rStyle w:val="FootnoteReference"/>
          <w:sz w:val="26"/>
          <w:szCs w:val="26"/>
        </w:rPr>
        <w:footnoteRef/>
      </w:r>
      <w:r w:rsidRPr="00CD6DCD">
        <w:rPr>
          <w:sz w:val="26"/>
          <w:szCs w:val="26"/>
        </w:rPr>
        <w:tab/>
        <w:t xml:space="preserve">As previously noted, the instant Complaint was filed before we issued our </w:t>
      </w:r>
      <w:r w:rsidRPr="00CD6DCD">
        <w:rPr>
          <w:i/>
          <w:sz w:val="26"/>
          <w:szCs w:val="26"/>
        </w:rPr>
        <w:t xml:space="preserve">May 2016 Order </w:t>
      </w:r>
      <w:r w:rsidRPr="00CD6DCD">
        <w:rPr>
          <w:sz w:val="26"/>
          <w:szCs w:val="26"/>
        </w:rPr>
        <w:t>disposing of the Complainant’s two previous complaints.</w:t>
      </w:r>
    </w:p>
  </w:footnote>
  <w:footnote w:id="5">
    <w:p w14:paraId="5866A73C" w14:textId="055583BE" w:rsidR="00927136" w:rsidRPr="00CD6DCD" w:rsidRDefault="00927136" w:rsidP="00495DFE">
      <w:pPr>
        <w:pStyle w:val="FootnoteText"/>
        <w:keepNext/>
        <w:keepLines/>
        <w:widowControl/>
        <w:contextualSpacing/>
        <w:rPr>
          <w:sz w:val="26"/>
          <w:szCs w:val="26"/>
        </w:rPr>
      </w:pPr>
      <w:r w:rsidRPr="00CD6DCD">
        <w:rPr>
          <w:sz w:val="26"/>
          <w:szCs w:val="26"/>
        </w:rPr>
        <w:tab/>
      </w:r>
      <w:r w:rsidRPr="00CD6DCD">
        <w:rPr>
          <w:rStyle w:val="FootnoteReference"/>
          <w:sz w:val="26"/>
          <w:szCs w:val="26"/>
        </w:rPr>
        <w:footnoteRef/>
      </w:r>
      <w:r w:rsidRPr="00CD6DCD">
        <w:rPr>
          <w:sz w:val="26"/>
          <w:szCs w:val="26"/>
        </w:rPr>
        <w:tab/>
        <w:t xml:space="preserve">In our </w:t>
      </w:r>
      <w:r w:rsidRPr="00CD6DCD">
        <w:rPr>
          <w:i/>
          <w:sz w:val="26"/>
          <w:szCs w:val="26"/>
        </w:rPr>
        <w:t xml:space="preserve">May 2016 Order, </w:t>
      </w:r>
      <w:r w:rsidRPr="00CD6DCD">
        <w:rPr>
          <w:sz w:val="26"/>
          <w:szCs w:val="26"/>
        </w:rPr>
        <w:t xml:space="preserve">we upheld this directive, adjusted for interest accrued through the entry date of the </w:t>
      </w:r>
      <w:r w:rsidRPr="00CD6DCD">
        <w:rPr>
          <w:i/>
          <w:sz w:val="26"/>
          <w:szCs w:val="26"/>
        </w:rPr>
        <w:t xml:space="preserve">May 2016 Order.  See May 2016 Order </w:t>
      </w:r>
      <w:r w:rsidRPr="00CD6DCD">
        <w:rPr>
          <w:sz w:val="26"/>
          <w:szCs w:val="26"/>
        </w:rPr>
        <w:t>at O.P. 6.</w:t>
      </w:r>
    </w:p>
  </w:footnote>
  <w:footnote w:id="6">
    <w:p w14:paraId="6D6B5015" w14:textId="1DAA3CD1" w:rsidR="007E03B3" w:rsidRPr="007E03B3" w:rsidRDefault="007E03B3" w:rsidP="002623F8">
      <w:pPr>
        <w:pStyle w:val="FootnoteText"/>
        <w:keepNext/>
        <w:keepLines/>
        <w:widowControl/>
        <w:contextualSpacing/>
        <w:rPr>
          <w:sz w:val="26"/>
          <w:szCs w:val="26"/>
        </w:rPr>
      </w:pPr>
      <w:r w:rsidRPr="007E03B3">
        <w:rPr>
          <w:sz w:val="26"/>
          <w:szCs w:val="26"/>
        </w:rPr>
        <w:tab/>
      </w:r>
      <w:r w:rsidRPr="007E03B3">
        <w:rPr>
          <w:rStyle w:val="FootnoteReference"/>
          <w:sz w:val="26"/>
          <w:szCs w:val="26"/>
        </w:rPr>
        <w:footnoteRef/>
      </w:r>
      <w:r w:rsidRPr="007E03B3">
        <w:rPr>
          <w:sz w:val="26"/>
          <w:szCs w:val="26"/>
        </w:rPr>
        <w:tab/>
      </w:r>
      <w:r>
        <w:rPr>
          <w:sz w:val="26"/>
          <w:szCs w:val="26"/>
        </w:rPr>
        <w:t xml:space="preserve">The ALJ also noted that the Complaint contained allegations regarding </w:t>
      </w:r>
      <w:r>
        <w:rPr>
          <w:i/>
          <w:iCs/>
          <w:sz w:val="26"/>
          <w:szCs w:val="26"/>
        </w:rPr>
        <w:t xml:space="preserve">ex parte </w:t>
      </w:r>
      <w:r>
        <w:rPr>
          <w:sz w:val="26"/>
          <w:szCs w:val="26"/>
        </w:rPr>
        <w:t>violations between the Commission and PPL.  However, the ALJ explained that the Complainant’s averments were stricken from the Complaint because PPL was found on a preliminary basis to be entitled to judgment as a matter of law on that issue.  I.D. at 14.</w:t>
      </w:r>
    </w:p>
  </w:footnote>
  <w:footnote w:id="7">
    <w:p w14:paraId="34F3855D" w14:textId="77777777" w:rsidR="00EE2C9A" w:rsidRPr="00BE424A" w:rsidRDefault="00EE2C9A" w:rsidP="00EE2C9A">
      <w:pPr>
        <w:pStyle w:val="FootnoteText"/>
        <w:keepNext/>
        <w:keepLines/>
        <w:rPr>
          <w:sz w:val="26"/>
          <w:szCs w:val="26"/>
        </w:rPr>
      </w:pPr>
      <w:r>
        <w:rPr>
          <w:sz w:val="26"/>
          <w:szCs w:val="26"/>
        </w:rPr>
        <w:tab/>
      </w:r>
      <w:r w:rsidRPr="00BE424A">
        <w:rPr>
          <w:rStyle w:val="FootnoteReference"/>
          <w:sz w:val="26"/>
          <w:szCs w:val="26"/>
        </w:rPr>
        <w:footnoteRef/>
      </w:r>
      <w:r w:rsidRPr="00BE424A">
        <w:rPr>
          <w:sz w:val="26"/>
          <w:szCs w:val="26"/>
        </w:rPr>
        <w:tab/>
        <w:t>I.D. at 7.</w:t>
      </w:r>
    </w:p>
  </w:footnote>
  <w:footnote w:id="8">
    <w:p w14:paraId="28513691" w14:textId="6DA24CB9" w:rsidR="00BE424A" w:rsidRPr="00BE424A" w:rsidRDefault="00BE424A">
      <w:pPr>
        <w:pStyle w:val="FootnoteText"/>
        <w:rPr>
          <w:sz w:val="26"/>
          <w:szCs w:val="26"/>
        </w:rPr>
      </w:pPr>
      <w:r w:rsidRPr="00BE424A">
        <w:rPr>
          <w:sz w:val="26"/>
          <w:szCs w:val="26"/>
        </w:rPr>
        <w:tab/>
      </w:r>
      <w:r w:rsidRPr="00BE424A">
        <w:rPr>
          <w:rStyle w:val="FootnoteReference"/>
          <w:sz w:val="26"/>
          <w:szCs w:val="26"/>
        </w:rPr>
        <w:footnoteRef/>
      </w:r>
      <w:r w:rsidRPr="00BE424A">
        <w:rPr>
          <w:sz w:val="26"/>
          <w:szCs w:val="26"/>
        </w:rPr>
        <w:t xml:space="preserve"> </w:t>
      </w:r>
      <w:r w:rsidRPr="00BE424A">
        <w:rPr>
          <w:sz w:val="26"/>
          <w:szCs w:val="26"/>
        </w:rPr>
        <w:tab/>
      </w:r>
      <w:r w:rsidRPr="00BE424A">
        <w:rPr>
          <w:i/>
          <w:sz w:val="26"/>
          <w:szCs w:val="26"/>
        </w:rPr>
        <w:t>See</w:t>
      </w:r>
      <w:r w:rsidRPr="00BE424A">
        <w:rPr>
          <w:sz w:val="26"/>
          <w:szCs w:val="26"/>
        </w:rPr>
        <w:t xml:space="preserve"> Supplement No. </w:t>
      </w:r>
      <w:r>
        <w:rPr>
          <w:sz w:val="26"/>
          <w:szCs w:val="26"/>
        </w:rPr>
        <w:t>125</w:t>
      </w:r>
      <w:r w:rsidRPr="00BE424A">
        <w:rPr>
          <w:sz w:val="26"/>
          <w:szCs w:val="26"/>
        </w:rPr>
        <w:t xml:space="preserve"> to PPL’s Tariff Electric Pa. P.U.C. No. 201, effective January 1, 201</w:t>
      </w:r>
      <w:r>
        <w:rPr>
          <w:sz w:val="26"/>
          <w:szCs w:val="26"/>
        </w:rPr>
        <w:t>3</w:t>
      </w:r>
      <w:r w:rsidRPr="00BE424A">
        <w:rPr>
          <w:sz w:val="26"/>
          <w:szCs w:val="26"/>
        </w:rPr>
        <w:t>, at 19L.</w:t>
      </w:r>
      <w:r>
        <w:rPr>
          <w:sz w:val="26"/>
          <w:szCs w:val="26"/>
        </w:rPr>
        <w:t>3</w:t>
      </w:r>
      <w:r w:rsidRPr="00BE424A">
        <w:rPr>
          <w:sz w:val="26"/>
          <w:szCs w:val="26"/>
        </w:rPr>
        <w:t>.</w:t>
      </w:r>
    </w:p>
  </w:footnote>
  <w:footnote w:id="9">
    <w:p w14:paraId="390B9227" w14:textId="77777777" w:rsidR="00EE2C9A" w:rsidRDefault="00EE2C9A" w:rsidP="00EE2C9A">
      <w:pPr>
        <w:pStyle w:val="FootnoteText"/>
        <w:keepNext/>
        <w:keepLines/>
        <w:rPr>
          <w:sz w:val="26"/>
          <w:szCs w:val="26"/>
        </w:rPr>
      </w:pPr>
      <w:r>
        <w:rPr>
          <w:sz w:val="26"/>
          <w:szCs w:val="26"/>
        </w:rPr>
        <w:tab/>
      </w:r>
      <w:r>
        <w:rPr>
          <w:rStyle w:val="FootnoteReference"/>
          <w:sz w:val="26"/>
          <w:szCs w:val="26"/>
        </w:rPr>
        <w:footnoteRef/>
      </w:r>
      <w:r>
        <w:rPr>
          <w:sz w:val="26"/>
          <w:szCs w:val="26"/>
        </w:rPr>
        <w:tab/>
        <w:t>I.D. at 8.</w:t>
      </w:r>
    </w:p>
  </w:footnote>
  <w:footnote w:id="10">
    <w:p w14:paraId="3CB5DD4B" w14:textId="283070A4" w:rsidR="005156A0" w:rsidRPr="0004775E" w:rsidRDefault="005156A0" w:rsidP="004F0B06">
      <w:pPr>
        <w:pStyle w:val="FootnoteText"/>
        <w:spacing w:after="120"/>
        <w:rPr>
          <w:i/>
          <w:iCs/>
          <w:sz w:val="26"/>
          <w:szCs w:val="26"/>
        </w:rPr>
      </w:pPr>
      <w:r w:rsidRPr="0004775E">
        <w:rPr>
          <w:sz w:val="26"/>
          <w:szCs w:val="26"/>
        </w:rPr>
        <w:tab/>
      </w:r>
      <w:r w:rsidRPr="0004775E">
        <w:rPr>
          <w:rStyle w:val="FootnoteReference"/>
          <w:sz w:val="26"/>
          <w:szCs w:val="26"/>
        </w:rPr>
        <w:footnoteRef/>
      </w:r>
      <w:r w:rsidRPr="0004775E">
        <w:rPr>
          <w:sz w:val="26"/>
          <w:szCs w:val="26"/>
        </w:rPr>
        <w:tab/>
      </w:r>
      <w:r w:rsidRPr="0004775E">
        <w:rPr>
          <w:i/>
          <w:sz w:val="26"/>
          <w:szCs w:val="26"/>
        </w:rPr>
        <w:t>See</w:t>
      </w:r>
      <w:r w:rsidRPr="0004775E">
        <w:rPr>
          <w:sz w:val="26"/>
          <w:szCs w:val="26"/>
        </w:rPr>
        <w:t xml:space="preserve"> Supplement No. 194 to PPL’s Tariff Electric Pa. P.U.C. No. 201, effective January 1, 2016, at 20B.</w:t>
      </w:r>
    </w:p>
  </w:footnote>
  <w:footnote w:id="11">
    <w:p w14:paraId="27F76DCC" w14:textId="77777777" w:rsidR="005156A0" w:rsidRPr="003452E3" w:rsidRDefault="005156A0" w:rsidP="004F0B06">
      <w:pPr>
        <w:pStyle w:val="FootnoteText"/>
        <w:spacing w:after="120"/>
        <w:rPr>
          <w:i/>
          <w:iCs/>
          <w:sz w:val="26"/>
          <w:szCs w:val="26"/>
        </w:rPr>
      </w:pPr>
      <w:r>
        <w:tab/>
      </w:r>
      <w:r w:rsidRPr="003452E3">
        <w:rPr>
          <w:rStyle w:val="FootnoteReference"/>
          <w:sz w:val="26"/>
          <w:szCs w:val="26"/>
        </w:rPr>
        <w:footnoteRef/>
      </w:r>
      <w:r w:rsidRPr="003452E3">
        <w:rPr>
          <w:sz w:val="26"/>
          <w:szCs w:val="26"/>
        </w:rPr>
        <w:tab/>
        <w:t xml:space="preserve">PPL’s tariff defines a dwelling as “a living space consisting of at least permanent provisions for shelter, dining, sleeping, and cooking, with provisions for permanent electric, water, and sanitation services.”  </w:t>
      </w:r>
      <w:r w:rsidRPr="003452E3">
        <w:rPr>
          <w:i/>
          <w:iCs/>
          <w:sz w:val="26"/>
          <w:szCs w:val="26"/>
        </w:rPr>
        <w:t>See Id.</w:t>
      </w:r>
    </w:p>
  </w:footnote>
  <w:footnote w:id="12">
    <w:p w14:paraId="5A3C05FF" w14:textId="655E1D6A" w:rsidR="005156A0" w:rsidRPr="00662F4D" w:rsidRDefault="005156A0" w:rsidP="005156A0">
      <w:pPr>
        <w:pStyle w:val="FootnoteText"/>
        <w:rPr>
          <w:sz w:val="26"/>
          <w:szCs w:val="26"/>
        </w:rPr>
      </w:pPr>
      <w:r w:rsidRPr="00662F4D">
        <w:rPr>
          <w:sz w:val="26"/>
          <w:szCs w:val="26"/>
        </w:rPr>
        <w:tab/>
      </w:r>
      <w:r w:rsidRPr="00662F4D">
        <w:rPr>
          <w:rStyle w:val="FootnoteReference"/>
          <w:sz w:val="26"/>
          <w:szCs w:val="26"/>
        </w:rPr>
        <w:footnoteRef/>
      </w:r>
      <w:r w:rsidRPr="00662F4D">
        <w:rPr>
          <w:sz w:val="26"/>
          <w:szCs w:val="26"/>
        </w:rPr>
        <w:tab/>
        <w:t xml:space="preserve">We note that in addition to the Exceptions discussed above, the Complainant also takes issue with the ALJ declining to rule on his allegation that the Commission and PPL engaged in </w:t>
      </w:r>
      <w:r w:rsidRPr="00662F4D">
        <w:rPr>
          <w:i/>
          <w:iCs/>
          <w:sz w:val="26"/>
          <w:szCs w:val="26"/>
        </w:rPr>
        <w:t>ex parte</w:t>
      </w:r>
      <w:r w:rsidRPr="00662F4D">
        <w:rPr>
          <w:sz w:val="26"/>
          <w:szCs w:val="26"/>
        </w:rPr>
        <w:t xml:space="preserve"> communications regarding the Initial Decision on Remand that was part of the proceeding that was disposed of in the </w:t>
      </w:r>
      <w:r w:rsidRPr="00662F4D">
        <w:rPr>
          <w:i/>
          <w:iCs/>
          <w:sz w:val="26"/>
          <w:szCs w:val="26"/>
        </w:rPr>
        <w:t xml:space="preserve">May 2016 Order.  </w:t>
      </w:r>
      <w:r w:rsidRPr="00662F4D">
        <w:rPr>
          <w:sz w:val="26"/>
          <w:szCs w:val="26"/>
        </w:rPr>
        <w:t>However, as previously noted, this allegation was stricken from the Complaint</w:t>
      </w:r>
      <w:r w:rsidR="0007547B">
        <w:rPr>
          <w:sz w:val="26"/>
          <w:szCs w:val="26"/>
        </w:rPr>
        <w:t xml:space="preserve"> pursuant to the ALJ’s Order issued on November 20, 2017</w:t>
      </w:r>
      <w:r w:rsidRPr="00662F4D">
        <w:rPr>
          <w:sz w:val="26"/>
          <w:szCs w:val="26"/>
        </w:rPr>
        <w:t xml:space="preserve">.  </w:t>
      </w:r>
      <w:r w:rsidR="001636B4">
        <w:rPr>
          <w:sz w:val="26"/>
          <w:szCs w:val="26"/>
        </w:rPr>
        <w:t xml:space="preserve">The ALJ properly did not address the Complainant’s allegations of </w:t>
      </w:r>
      <w:r w:rsidR="001636B4" w:rsidRPr="00A81DE8">
        <w:rPr>
          <w:i/>
          <w:iCs/>
          <w:sz w:val="26"/>
          <w:szCs w:val="26"/>
        </w:rPr>
        <w:t>ex parte</w:t>
      </w:r>
      <w:r w:rsidR="001636B4">
        <w:rPr>
          <w:sz w:val="26"/>
          <w:szCs w:val="26"/>
        </w:rPr>
        <w:t xml:space="preserve"> communications in the Initial Decision because the issue had already been adjudicated.  Accordingly, we shall deny this additional Exception.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C98"/>
    <w:multiLevelType w:val="hybridMultilevel"/>
    <w:tmpl w:val="6ABAE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AF104D"/>
    <w:multiLevelType w:val="hybridMultilevel"/>
    <w:tmpl w:val="0D40C962"/>
    <w:lvl w:ilvl="0" w:tplc="0409000F">
      <w:start w:val="1"/>
      <w:numFmt w:val="decimal"/>
      <w:lvlText w:val="%1."/>
      <w:lvlJc w:val="left"/>
      <w:pPr>
        <w:ind w:left="2074" w:hanging="360"/>
      </w:pPr>
      <w:rPr>
        <w:rFonts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6002902"/>
    <w:multiLevelType w:val="hybridMultilevel"/>
    <w:tmpl w:val="D0E2E7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B2EB3"/>
    <w:multiLevelType w:val="hybridMultilevel"/>
    <w:tmpl w:val="6BF886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5" w15:restartNumberingAfterBreak="0">
    <w:nsid w:val="7C6167DB"/>
    <w:multiLevelType w:val="hybridMultilevel"/>
    <w:tmpl w:val="18829FE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3A"/>
    <w:rsid w:val="00000707"/>
    <w:rsid w:val="00000B64"/>
    <w:rsid w:val="00000BB5"/>
    <w:rsid w:val="000019DA"/>
    <w:rsid w:val="0000288E"/>
    <w:rsid w:val="00003162"/>
    <w:rsid w:val="000044B5"/>
    <w:rsid w:val="000058F0"/>
    <w:rsid w:val="00006B47"/>
    <w:rsid w:val="00010ACE"/>
    <w:rsid w:val="00011281"/>
    <w:rsid w:val="00014506"/>
    <w:rsid w:val="00014615"/>
    <w:rsid w:val="00016BF3"/>
    <w:rsid w:val="00017CDF"/>
    <w:rsid w:val="00017D3D"/>
    <w:rsid w:val="00022D36"/>
    <w:rsid w:val="0002380B"/>
    <w:rsid w:val="00025159"/>
    <w:rsid w:val="00027182"/>
    <w:rsid w:val="000277FA"/>
    <w:rsid w:val="0003112D"/>
    <w:rsid w:val="00031B1B"/>
    <w:rsid w:val="000320E9"/>
    <w:rsid w:val="00032F3B"/>
    <w:rsid w:val="0003386B"/>
    <w:rsid w:val="00034198"/>
    <w:rsid w:val="000344B9"/>
    <w:rsid w:val="00036104"/>
    <w:rsid w:val="00036525"/>
    <w:rsid w:val="0003686A"/>
    <w:rsid w:val="00037117"/>
    <w:rsid w:val="00037ABD"/>
    <w:rsid w:val="00041101"/>
    <w:rsid w:val="000426DC"/>
    <w:rsid w:val="000430CE"/>
    <w:rsid w:val="0004331C"/>
    <w:rsid w:val="00043776"/>
    <w:rsid w:val="000464BC"/>
    <w:rsid w:val="0004696A"/>
    <w:rsid w:val="00047232"/>
    <w:rsid w:val="00047FC7"/>
    <w:rsid w:val="000511AB"/>
    <w:rsid w:val="00052E9B"/>
    <w:rsid w:val="00053AAD"/>
    <w:rsid w:val="00054C20"/>
    <w:rsid w:val="000551C2"/>
    <w:rsid w:val="0005539F"/>
    <w:rsid w:val="000563DE"/>
    <w:rsid w:val="00060405"/>
    <w:rsid w:val="00060818"/>
    <w:rsid w:val="0006202F"/>
    <w:rsid w:val="00062665"/>
    <w:rsid w:val="00062703"/>
    <w:rsid w:val="00062A99"/>
    <w:rsid w:val="000631FC"/>
    <w:rsid w:val="00064C91"/>
    <w:rsid w:val="000654B3"/>
    <w:rsid w:val="00065769"/>
    <w:rsid w:val="00065C52"/>
    <w:rsid w:val="00066653"/>
    <w:rsid w:val="00066880"/>
    <w:rsid w:val="00067935"/>
    <w:rsid w:val="00070D79"/>
    <w:rsid w:val="00071A7B"/>
    <w:rsid w:val="000720E5"/>
    <w:rsid w:val="0007219F"/>
    <w:rsid w:val="00073B40"/>
    <w:rsid w:val="00074497"/>
    <w:rsid w:val="0007547B"/>
    <w:rsid w:val="00077ED4"/>
    <w:rsid w:val="00080661"/>
    <w:rsid w:val="000813B1"/>
    <w:rsid w:val="0008407A"/>
    <w:rsid w:val="000845F1"/>
    <w:rsid w:val="0008518F"/>
    <w:rsid w:val="0008535E"/>
    <w:rsid w:val="00085378"/>
    <w:rsid w:val="00085E71"/>
    <w:rsid w:val="000865D1"/>
    <w:rsid w:val="00087D6C"/>
    <w:rsid w:val="00087DB6"/>
    <w:rsid w:val="00091A1C"/>
    <w:rsid w:val="00092295"/>
    <w:rsid w:val="0009474A"/>
    <w:rsid w:val="00094D39"/>
    <w:rsid w:val="00094DF5"/>
    <w:rsid w:val="00095DBA"/>
    <w:rsid w:val="00096714"/>
    <w:rsid w:val="00096A29"/>
    <w:rsid w:val="00096FB8"/>
    <w:rsid w:val="0009748F"/>
    <w:rsid w:val="00097A2D"/>
    <w:rsid w:val="000A089B"/>
    <w:rsid w:val="000A12DF"/>
    <w:rsid w:val="000A2B96"/>
    <w:rsid w:val="000A2F14"/>
    <w:rsid w:val="000A32B4"/>
    <w:rsid w:val="000A3A3F"/>
    <w:rsid w:val="000A5A25"/>
    <w:rsid w:val="000A601C"/>
    <w:rsid w:val="000A62C8"/>
    <w:rsid w:val="000A68E3"/>
    <w:rsid w:val="000A69CA"/>
    <w:rsid w:val="000A7F6E"/>
    <w:rsid w:val="000B02AA"/>
    <w:rsid w:val="000B0A87"/>
    <w:rsid w:val="000B0CE8"/>
    <w:rsid w:val="000B0DE6"/>
    <w:rsid w:val="000B120E"/>
    <w:rsid w:val="000B2332"/>
    <w:rsid w:val="000B2D08"/>
    <w:rsid w:val="000B2F7C"/>
    <w:rsid w:val="000B38E0"/>
    <w:rsid w:val="000B39D1"/>
    <w:rsid w:val="000B3EBF"/>
    <w:rsid w:val="000B3FAD"/>
    <w:rsid w:val="000B53AE"/>
    <w:rsid w:val="000B5709"/>
    <w:rsid w:val="000B62BF"/>
    <w:rsid w:val="000B63BA"/>
    <w:rsid w:val="000B6854"/>
    <w:rsid w:val="000B6D83"/>
    <w:rsid w:val="000C015B"/>
    <w:rsid w:val="000C0861"/>
    <w:rsid w:val="000C167D"/>
    <w:rsid w:val="000C20E8"/>
    <w:rsid w:val="000C2C43"/>
    <w:rsid w:val="000C31E6"/>
    <w:rsid w:val="000C40D4"/>
    <w:rsid w:val="000C4B30"/>
    <w:rsid w:val="000C5025"/>
    <w:rsid w:val="000C52E0"/>
    <w:rsid w:val="000C5A58"/>
    <w:rsid w:val="000C7656"/>
    <w:rsid w:val="000C79AB"/>
    <w:rsid w:val="000D02C7"/>
    <w:rsid w:val="000D09EA"/>
    <w:rsid w:val="000D0C9E"/>
    <w:rsid w:val="000D14F6"/>
    <w:rsid w:val="000D16D4"/>
    <w:rsid w:val="000D1828"/>
    <w:rsid w:val="000D3958"/>
    <w:rsid w:val="000D40B2"/>
    <w:rsid w:val="000D4664"/>
    <w:rsid w:val="000D58FF"/>
    <w:rsid w:val="000D63F0"/>
    <w:rsid w:val="000E1353"/>
    <w:rsid w:val="000E2966"/>
    <w:rsid w:val="000E47A2"/>
    <w:rsid w:val="000E4B8B"/>
    <w:rsid w:val="000F0E31"/>
    <w:rsid w:val="000F1E0C"/>
    <w:rsid w:val="000F1E84"/>
    <w:rsid w:val="000F22A7"/>
    <w:rsid w:val="000F284F"/>
    <w:rsid w:val="000F345A"/>
    <w:rsid w:val="000F3B20"/>
    <w:rsid w:val="000F4415"/>
    <w:rsid w:val="000F5618"/>
    <w:rsid w:val="000F6502"/>
    <w:rsid w:val="000F655F"/>
    <w:rsid w:val="00102081"/>
    <w:rsid w:val="001025FA"/>
    <w:rsid w:val="001027A0"/>
    <w:rsid w:val="001027C4"/>
    <w:rsid w:val="00102DE3"/>
    <w:rsid w:val="001032A8"/>
    <w:rsid w:val="00104959"/>
    <w:rsid w:val="00104CEE"/>
    <w:rsid w:val="00104D36"/>
    <w:rsid w:val="00105DBA"/>
    <w:rsid w:val="00105EF1"/>
    <w:rsid w:val="0010746B"/>
    <w:rsid w:val="001101ED"/>
    <w:rsid w:val="00111459"/>
    <w:rsid w:val="00111AC7"/>
    <w:rsid w:val="00112906"/>
    <w:rsid w:val="00114E70"/>
    <w:rsid w:val="00116265"/>
    <w:rsid w:val="001178CF"/>
    <w:rsid w:val="00120128"/>
    <w:rsid w:val="00120B75"/>
    <w:rsid w:val="0012235E"/>
    <w:rsid w:val="00123085"/>
    <w:rsid w:val="00124048"/>
    <w:rsid w:val="00124D7A"/>
    <w:rsid w:val="0012535E"/>
    <w:rsid w:val="00125943"/>
    <w:rsid w:val="00125D85"/>
    <w:rsid w:val="001306B0"/>
    <w:rsid w:val="001346D8"/>
    <w:rsid w:val="001355A5"/>
    <w:rsid w:val="00135AAB"/>
    <w:rsid w:val="0013692F"/>
    <w:rsid w:val="00136B31"/>
    <w:rsid w:val="0013712D"/>
    <w:rsid w:val="0013760D"/>
    <w:rsid w:val="00137BFB"/>
    <w:rsid w:val="00137DE8"/>
    <w:rsid w:val="00141312"/>
    <w:rsid w:val="0014317E"/>
    <w:rsid w:val="00145DB9"/>
    <w:rsid w:val="0014631F"/>
    <w:rsid w:val="00147287"/>
    <w:rsid w:val="00147B59"/>
    <w:rsid w:val="00150589"/>
    <w:rsid w:val="001515F5"/>
    <w:rsid w:val="00151D78"/>
    <w:rsid w:val="0015451C"/>
    <w:rsid w:val="00155805"/>
    <w:rsid w:val="00155EC1"/>
    <w:rsid w:val="0015667A"/>
    <w:rsid w:val="00156A05"/>
    <w:rsid w:val="00156ACC"/>
    <w:rsid w:val="00157B62"/>
    <w:rsid w:val="00161668"/>
    <w:rsid w:val="00161AAE"/>
    <w:rsid w:val="00161FDF"/>
    <w:rsid w:val="0016247C"/>
    <w:rsid w:val="001632E4"/>
    <w:rsid w:val="0016332E"/>
    <w:rsid w:val="001636B4"/>
    <w:rsid w:val="00163EA3"/>
    <w:rsid w:val="00163F9F"/>
    <w:rsid w:val="00164251"/>
    <w:rsid w:val="00164C5B"/>
    <w:rsid w:val="00164F12"/>
    <w:rsid w:val="00165BF3"/>
    <w:rsid w:val="00165D01"/>
    <w:rsid w:val="001669C8"/>
    <w:rsid w:val="0016741A"/>
    <w:rsid w:val="00167B6C"/>
    <w:rsid w:val="00171B00"/>
    <w:rsid w:val="001724B4"/>
    <w:rsid w:val="001736C6"/>
    <w:rsid w:val="0017564C"/>
    <w:rsid w:val="00175D52"/>
    <w:rsid w:val="00176A49"/>
    <w:rsid w:val="00180027"/>
    <w:rsid w:val="00181A9D"/>
    <w:rsid w:val="0018218E"/>
    <w:rsid w:val="0018475B"/>
    <w:rsid w:val="00184B0E"/>
    <w:rsid w:val="00185DBC"/>
    <w:rsid w:val="00190323"/>
    <w:rsid w:val="0019051F"/>
    <w:rsid w:val="00191209"/>
    <w:rsid w:val="00191366"/>
    <w:rsid w:val="00191693"/>
    <w:rsid w:val="00192BEA"/>
    <w:rsid w:val="00192D0D"/>
    <w:rsid w:val="001933AB"/>
    <w:rsid w:val="001941A8"/>
    <w:rsid w:val="00197221"/>
    <w:rsid w:val="001A25FA"/>
    <w:rsid w:val="001A3996"/>
    <w:rsid w:val="001A4E77"/>
    <w:rsid w:val="001A52EB"/>
    <w:rsid w:val="001A6439"/>
    <w:rsid w:val="001A6DBF"/>
    <w:rsid w:val="001A71B1"/>
    <w:rsid w:val="001A7415"/>
    <w:rsid w:val="001B0839"/>
    <w:rsid w:val="001B1944"/>
    <w:rsid w:val="001B1E17"/>
    <w:rsid w:val="001B3499"/>
    <w:rsid w:val="001B34AC"/>
    <w:rsid w:val="001B522D"/>
    <w:rsid w:val="001B6711"/>
    <w:rsid w:val="001B689D"/>
    <w:rsid w:val="001B78A6"/>
    <w:rsid w:val="001C0779"/>
    <w:rsid w:val="001C1611"/>
    <w:rsid w:val="001C1E42"/>
    <w:rsid w:val="001C52FF"/>
    <w:rsid w:val="001C5829"/>
    <w:rsid w:val="001C6BF4"/>
    <w:rsid w:val="001C7D88"/>
    <w:rsid w:val="001D008D"/>
    <w:rsid w:val="001D2610"/>
    <w:rsid w:val="001D2C0D"/>
    <w:rsid w:val="001D337A"/>
    <w:rsid w:val="001D3B46"/>
    <w:rsid w:val="001D527F"/>
    <w:rsid w:val="001D5ADF"/>
    <w:rsid w:val="001D6867"/>
    <w:rsid w:val="001E02A3"/>
    <w:rsid w:val="001E057B"/>
    <w:rsid w:val="001E0FF5"/>
    <w:rsid w:val="001E385D"/>
    <w:rsid w:val="001E44E9"/>
    <w:rsid w:val="001E4697"/>
    <w:rsid w:val="001E5B55"/>
    <w:rsid w:val="001E61FF"/>
    <w:rsid w:val="001E655A"/>
    <w:rsid w:val="001E79E0"/>
    <w:rsid w:val="001E7FE1"/>
    <w:rsid w:val="001F195C"/>
    <w:rsid w:val="001F1C87"/>
    <w:rsid w:val="001F2A83"/>
    <w:rsid w:val="001F551D"/>
    <w:rsid w:val="001F6E05"/>
    <w:rsid w:val="001F7301"/>
    <w:rsid w:val="00200703"/>
    <w:rsid w:val="00200B57"/>
    <w:rsid w:val="00200E59"/>
    <w:rsid w:val="002014F9"/>
    <w:rsid w:val="002016DE"/>
    <w:rsid w:val="0020251D"/>
    <w:rsid w:val="002030AC"/>
    <w:rsid w:val="002039A0"/>
    <w:rsid w:val="00203C3C"/>
    <w:rsid w:val="0020435F"/>
    <w:rsid w:val="002054B6"/>
    <w:rsid w:val="00205C31"/>
    <w:rsid w:val="00205F92"/>
    <w:rsid w:val="002065EF"/>
    <w:rsid w:val="00206A8F"/>
    <w:rsid w:val="002077CF"/>
    <w:rsid w:val="00211252"/>
    <w:rsid w:val="00211A5F"/>
    <w:rsid w:val="00213947"/>
    <w:rsid w:val="00213C4A"/>
    <w:rsid w:val="00214C8F"/>
    <w:rsid w:val="0021532B"/>
    <w:rsid w:val="00215B80"/>
    <w:rsid w:val="00220615"/>
    <w:rsid w:val="00220749"/>
    <w:rsid w:val="0022385E"/>
    <w:rsid w:val="002241EF"/>
    <w:rsid w:val="002246DB"/>
    <w:rsid w:val="0022531C"/>
    <w:rsid w:val="0022541C"/>
    <w:rsid w:val="002262E1"/>
    <w:rsid w:val="00230261"/>
    <w:rsid w:val="00230B17"/>
    <w:rsid w:val="002325E8"/>
    <w:rsid w:val="00233160"/>
    <w:rsid w:val="0023352F"/>
    <w:rsid w:val="002350B8"/>
    <w:rsid w:val="002352CC"/>
    <w:rsid w:val="0023656C"/>
    <w:rsid w:val="002375DE"/>
    <w:rsid w:val="00237B8C"/>
    <w:rsid w:val="00237C42"/>
    <w:rsid w:val="002409BC"/>
    <w:rsid w:val="00240AC0"/>
    <w:rsid w:val="0024165A"/>
    <w:rsid w:val="0024231F"/>
    <w:rsid w:val="0024301D"/>
    <w:rsid w:val="00243B45"/>
    <w:rsid w:val="00244134"/>
    <w:rsid w:val="0024469D"/>
    <w:rsid w:val="002520EA"/>
    <w:rsid w:val="0025213F"/>
    <w:rsid w:val="00252F32"/>
    <w:rsid w:val="00252F82"/>
    <w:rsid w:val="00253356"/>
    <w:rsid w:val="0025335C"/>
    <w:rsid w:val="00254D5B"/>
    <w:rsid w:val="00254F09"/>
    <w:rsid w:val="00257DD4"/>
    <w:rsid w:val="00260AE5"/>
    <w:rsid w:val="002615B3"/>
    <w:rsid w:val="00261B76"/>
    <w:rsid w:val="00261FE9"/>
    <w:rsid w:val="002623F8"/>
    <w:rsid w:val="00263AE4"/>
    <w:rsid w:val="002646F9"/>
    <w:rsid w:val="00264DD1"/>
    <w:rsid w:val="00264FBD"/>
    <w:rsid w:val="002654CB"/>
    <w:rsid w:val="00265E4C"/>
    <w:rsid w:val="00267D50"/>
    <w:rsid w:val="0027046D"/>
    <w:rsid w:val="00270C5E"/>
    <w:rsid w:val="002722CE"/>
    <w:rsid w:val="00273C33"/>
    <w:rsid w:val="002745CF"/>
    <w:rsid w:val="002746BB"/>
    <w:rsid w:val="00274F87"/>
    <w:rsid w:val="002753BB"/>
    <w:rsid w:val="00276083"/>
    <w:rsid w:val="00277014"/>
    <w:rsid w:val="0027716E"/>
    <w:rsid w:val="00281ABC"/>
    <w:rsid w:val="002824AC"/>
    <w:rsid w:val="002830AB"/>
    <w:rsid w:val="00283918"/>
    <w:rsid w:val="00285E8B"/>
    <w:rsid w:val="002879DB"/>
    <w:rsid w:val="00290E23"/>
    <w:rsid w:val="002914EE"/>
    <w:rsid w:val="00291738"/>
    <w:rsid w:val="002917D0"/>
    <w:rsid w:val="0029288D"/>
    <w:rsid w:val="00292C02"/>
    <w:rsid w:val="002935E4"/>
    <w:rsid w:val="002939AD"/>
    <w:rsid w:val="00294464"/>
    <w:rsid w:val="0029466A"/>
    <w:rsid w:val="0029518A"/>
    <w:rsid w:val="00295573"/>
    <w:rsid w:val="002957CA"/>
    <w:rsid w:val="00296244"/>
    <w:rsid w:val="00297A3A"/>
    <w:rsid w:val="002A0802"/>
    <w:rsid w:val="002A0E28"/>
    <w:rsid w:val="002A1F08"/>
    <w:rsid w:val="002A3531"/>
    <w:rsid w:val="002A3DC8"/>
    <w:rsid w:val="002A4126"/>
    <w:rsid w:val="002A43B5"/>
    <w:rsid w:val="002A45B5"/>
    <w:rsid w:val="002A49E9"/>
    <w:rsid w:val="002A586F"/>
    <w:rsid w:val="002A5AA5"/>
    <w:rsid w:val="002A5D2F"/>
    <w:rsid w:val="002A60BA"/>
    <w:rsid w:val="002A6C5E"/>
    <w:rsid w:val="002A7AB7"/>
    <w:rsid w:val="002A7E47"/>
    <w:rsid w:val="002B004E"/>
    <w:rsid w:val="002B0C02"/>
    <w:rsid w:val="002B13C5"/>
    <w:rsid w:val="002B15C9"/>
    <w:rsid w:val="002B2D0F"/>
    <w:rsid w:val="002B4167"/>
    <w:rsid w:val="002B5459"/>
    <w:rsid w:val="002B556B"/>
    <w:rsid w:val="002C05C2"/>
    <w:rsid w:val="002C231A"/>
    <w:rsid w:val="002C4A1B"/>
    <w:rsid w:val="002C4DA8"/>
    <w:rsid w:val="002C6516"/>
    <w:rsid w:val="002C684F"/>
    <w:rsid w:val="002C7DFC"/>
    <w:rsid w:val="002C7EF4"/>
    <w:rsid w:val="002D014D"/>
    <w:rsid w:val="002D096C"/>
    <w:rsid w:val="002D1897"/>
    <w:rsid w:val="002D22F7"/>
    <w:rsid w:val="002D28B5"/>
    <w:rsid w:val="002D3B83"/>
    <w:rsid w:val="002D496B"/>
    <w:rsid w:val="002D623E"/>
    <w:rsid w:val="002D6E7E"/>
    <w:rsid w:val="002E0C58"/>
    <w:rsid w:val="002E3867"/>
    <w:rsid w:val="002E57DF"/>
    <w:rsid w:val="002E5974"/>
    <w:rsid w:val="002E685F"/>
    <w:rsid w:val="002F17C4"/>
    <w:rsid w:val="002F2089"/>
    <w:rsid w:val="002F21AB"/>
    <w:rsid w:val="002F2326"/>
    <w:rsid w:val="002F252D"/>
    <w:rsid w:val="002F50DB"/>
    <w:rsid w:val="002F56EC"/>
    <w:rsid w:val="002F5E0B"/>
    <w:rsid w:val="002F5FE4"/>
    <w:rsid w:val="002F643C"/>
    <w:rsid w:val="002F68CE"/>
    <w:rsid w:val="002F772E"/>
    <w:rsid w:val="00303061"/>
    <w:rsid w:val="00303E7F"/>
    <w:rsid w:val="003047E2"/>
    <w:rsid w:val="00305E34"/>
    <w:rsid w:val="00306741"/>
    <w:rsid w:val="00306E90"/>
    <w:rsid w:val="00307453"/>
    <w:rsid w:val="00307E49"/>
    <w:rsid w:val="003104BE"/>
    <w:rsid w:val="00311C4E"/>
    <w:rsid w:val="0031338D"/>
    <w:rsid w:val="00315448"/>
    <w:rsid w:val="00315E86"/>
    <w:rsid w:val="00315F63"/>
    <w:rsid w:val="003164A6"/>
    <w:rsid w:val="00316F36"/>
    <w:rsid w:val="00317022"/>
    <w:rsid w:val="0032215F"/>
    <w:rsid w:val="00322332"/>
    <w:rsid w:val="00324270"/>
    <w:rsid w:val="00324E71"/>
    <w:rsid w:val="0032524F"/>
    <w:rsid w:val="0032546E"/>
    <w:rsid w:val="00326600"/>
    <w:rsid w:val="00326697"/>
    <w:rsid w:val="0032718F"/>
    <w:rsid w:val="0032758B"/>
    <w:rsid w:val="00327B64"/>
    <w:rsid w:val="00327E3D"/>
    <w:rsid w:val="00330E86"/>
    <w:rsid w:val="00331404"/>
    <w:rsid w:val="00332867"/>
    <w:rsid w:val="00334A87"/>
    <w:rsid w:val="003350C5"/>
    <w:rsid w:val="003357B6"/>
    <w:rsid w:val="003368D7"/>
    <w:rsid w:val="0034014B"/>
    <w:rsid w:val="00340456"/>
    <w:rsid w:val="003409C9"/>
    <w:rsid w:val="00341246"/>
    <w:rsid w:val="0034132D"/>
    <w:rsid w:val="00341CA5"/>
    <w:rsid w:val="0034386B"/>
    <w:rsid w:val="00344675"/>
    <w:rsid w:val="003453D5"/>
    <w:rsid w:val="00345501"/>
    <w:rsid w:val="00345FA9"/>
    <w:rsid w:val="0034606D"/>
    <w:rsid w:val="003467C2"/>
    <w:rsid w:val="003508DB"/>
    <w:rsid w:val="0035124A"/>
    <w:rsid w:val="00352036"/>
    <w:rsid w:val="00354895"/>
    <w:rsid w:val="00355288"/>
    <w:rsid w:val="003554BF"/>
    <w:rsid w:val="00357228"/>
    <w:rsid w:val="00357D07"/>
    <w:rsid w:val="00360AA3"/>
    <w:rsid w:val="00361678"/>
    <w:rsid w:val="003622DE"/>
    <w:rsid w:val="00362DDE"/>
    <w:rsid w:val="003638F0"/>
    <w:rsid w:val="00363B30"/>
    <w:rsid w:val="003646D6"/>
    <w:rsid w:val="0036483C"/>
    <w:rsid w:val="00364DFC"/>
    <w:rsid w:val="00366F9E"/>
    <w:rsid w:val="003672FE"/>
    <w:rsid w:val="0036748F"/>
    <w:rsid w:val="00371D56"/>
    <w:rsid w:val="00372628"/>
    <w:rsid w:val="003726C6"/>
    <w:rsid w:val="00372A56"/>
    <w:rsid w:val="00372D60"/>
    <w:rsid w:val="00373B79"/>
    <w:rsid w:val="00373B87"/>
    <w:rsid w:val="003746E6"/>
    <w:rsid w:val="0037633A"/>
    <w:rsid w:val="00382DCF"/>
    <w:rsid w:val="00383DD1"/>
    <w:rsid w:val="00385C8C"/>
    <w:rsid w:val="00385D17"/>
    <w:rsid w:val="0039022B"/>
    <w:rsid w:val="00390865"/>
    <w:rsid w:val="003921F8"/>
    <w:rsid w:val="00392320"/>
    <w:rsid w:val="00392360"/>
    <w:rsid w:val="00392636"/>
    <w:rsid w:val="0039281A"/>
    <w:rsid w:val="00392D47"/>
    <w:rsid w:val="00394122"/>
    <w:rsid w:val="0039525E"/>
    <w:rsid w:val="00395557"/>
    <w:rsid w:val="00395B37"/>
    <w:rsid w:val="00396067"/>
    <w:rsid w:val="00396691"/>
    <w:rsid w:val="003976A9"/>
    <w:rsid w:val="003A0829"/>
    <w:rsid w:val="003A2C1D"/>
    <w:rsid w:val="003A53C3"/>
    <w:rsid w:val="003B0BD8"/>
    <w:rsid w:val="003B18B6"/>
    <w:rsid w:val="003B4C90"/>
    <w:rsid w:val="003B51B8"/>
    <w:rsid w:val="003B55B7"/>
    <w:rsid w:val="003B5E0A"/>
    <w:rsid w:val="003B7484"/>
    <w:rsid w:val="003B7C33"/>
    <w:rsid w:val="003C08AB"/>
    <w:rsid w:val="003C19B2"/>
    <w:rsid w:val="003C1A79"/>
    <w:rsid w:val="003C5726"/>
    <w:rsid w:val="003C68EA"/>
    <w:rsid w:val="003C6AE5"/>
    <w:rsid w:val="003C74D0"/>
    <w:rsid w:val="003D0612"/>
    <w:rsid w:val="003D0CDC"/>
    <w:rsid w:val="003D0DA3"/>
    <w:rsid w:val="003D15EF"/>
    <w:rsid w:val="003D1A51"/>
    <w:rsid w:val="003D2850"/>
    <w:rsid w:val="003D2FED"/>
    <w:rsid w:val="003D361D"/>
    <w:rsid w:val="003D6DAD"/>
    <w:rsid w:val="003D746A"/>
    <w:rsid w:val="003E0050"/>
    <w:rsid w:val="003E09C5"/>
    <w:rsid w:val="003E1B7B"/>
    <w:rsid w:val="003E24A3"/>
    <w:rsid w:val="003E2584"/>
    <w:rsid w:val="003E551A"/>
    <w:rsid w:val="003E5AB7"/>
    <w:rsid w:val="003E620B"/>
    <w:rsid w:val="003E69B7"/>
    <w:rsid w:val="003E7441"/>
    <w:rsid w:val="003E7827"/>
    <w:rsid w:val="003E7ED3"/>
    <w:rsid w:val="003F05D7"/>
    <w:rsid w:val="003F0FE5"/>
    <w:rsid w:val="003F215C"/>
    <w:rsid w:val="003F3D4A"/>
    <w:rsid w:val="003F4FB3"/>
    <w:rsid w:val="003F65E4"/>
    <w:rsid w:val="003F69BC"/>
    <w:rsid w:val="003F77D4"/>
    <w:rsid w:val="003F78A3"/>
    <w:rsid w:val="00402BE3"/>
    <w:rsid w:val="00402CAB"/>
    <w:rsid w:val="004048B0"/>
    <w:rsid w:val="0040643D"/>
    <w:rsid w:val="004068FB"/>
    <w:rsid w:val="00407126"/>
    <w:rsid w:val="00407948"/>
    <w:rsid w:val="00407CB2"/>
    <w:rsid w:val="00412707"/>
    <w:rsid w:val="00412D3F"/>
    <w:rsid w:val="00412EE5"/>
    <w:rsid w:val="00412FAB"/>
    <w:rsid w:val="00413183"/>
    <w:rsid w:val="00413FFF"/>
    <w:rsid w:val="00414721"/>
    <w:rsid w:val="00414CCF"/>
    <w:rsid w:val="0041541C"/>
    <w:rsid w:val="0041656A"/>
    <w:rsid w:val="00417DA3"/>
    <w:rsid w:val="004226EA"/>
    <w:rsid w:val="00422CBC"/>
    <w:rsid w:val="00422E23"/>
    <w:rsid w:val="00423245"/>
    <w:rsid w:val="00425717"/>
    <w:rsid w:val="00425819"/>
    <w:rsid w:val="00425FB2"/>
    <w:rsid w:val="00427C26"/>
    <w:rsid w:val="00431D6C"/>
    <w:rsid w:val="00431F95"/>
    <w:rsid w:val="00432ACF"/>
    <w:rsid w:val="004331AB"/>
    <w:rsid w:val="00435961"/>
    <w:rsid w:val="00435E78"/>
    <w:rsid w:val="00436780"/>
    <w:rsid w:val="004367F4"/>
    <w:rsid w:val="00437389"/>
    <w:rsid w:val="00442861"/>
    <w:rsid w:val="00442D34"/>
    <w:rsid w:val="004452A1"/>
    <w:rsid w:val="00447C6C"/>
    <w:rsid w:val="00452485"/>
    <w:rsid w:val="00452EAF"/>
    <w:rsid w:val="00452F0B"/>
    <w:rsid w:val="004539E8"/>
    <w:rsid w:val="004557F7"/>
    <w:rsid w:val="00457CE1"/>
    <w:rsid w:val="004609B3"/>
    <w:rsid w:val="00460B26"/>
    <w:rsid w:val="004611AF"/>
    <w:rsid w:val="00462330"/>
    <w:rsid w:val="004628F9"/>
    <w:rsid w:val="004661C9"/>
    <w:rsid w:val="0046704C"/>
    <w:rsid w:val="00467C5B"/>
    <w:rsid w:val="00467F05"/>
    <w:rsid w:val="00470C1B"/>
    <w:rsid w:val="00470FBD"/>
    <w:rsid w:val="004717C7"/>
    <w:rsid w:val="00471E40"/>
    <w:rsid w:val="00474624"/>
    <w:rsid w:val="00474BC7"/>
    <w:rsid w:val="004760DC"/>
    <w:rsid w:val="00476A50"/>
    <w:rsid w:val="00477615"/>
    <w:rsid w:val="00477ACE"/>
    <w:rsid w:val="0048243E"/>
    <w:rsid w:val="00484B9E"/>
    <w:rsid w:val="0048520E"/>
    <w:rsid w:val="00490554"/>
    <w:rsid w:val="004908C4"/>
    <w:rsid w:val="00490C26"/>
    <w:rsid w:val="00493576"/>
    <w:rsid w:val="00493674"/>
    <w:rsid w:val="0049579D"/>
    <w:rsid w:val="00495DFE"/>
    <w:rsid w:val="00496110"/>
    <w:rsid w:val="00496FA9"/>
    <w:rsid w:val="004A0C0B"/>
    <w:rsid w:val="004A14C4"/>
    <w:rsid w:val="004A2555"/>
    <w:rsid w:val="004A2B10"/>
    <w:rsid w:val="004A563B"/>
    <w:rsid w:val="004A64A5"/>
    <w:rsid w:val="004A7D7D"/>
    <w:rsid w:val="004B0554"/>
    <w:rsid w:val="004B0D1D"/>
    <w:rsid w:val="004B1680"/>
    <w:rsid w:val="004B1904"/>
    <w:rsid w:val="004B2563"/>
    <w:rsid w:val="004B2D7F"/>
    <w:rsid w:val="004B2E3A"/>
    <w:rsid w:val="004B3E04"/>
    <w:rsid w:val="004B42AC"/>
    <w:rsid w:val="004B4DB7"/>
    <w:rsid w:val="004B7459"/>
    <w:rsid w:val="004C3CF0"/>
    <w:rsid w:val="004C5DCB"/>
    <w:rsid w:val="004C6D47"/>
    <w:rsid w:val="004C74AD"/>
    <w:rsid w:val="004C799E"/>
    <w:rsid w:val="004C7BB7"/>
    <w:rsid w:val="004D091E"/>
    <w:rsid w:val="004D0A7B"/>
    <w:rsid w:val="004D22F4"/>
    <w:rsid w:val="004D29C1"/>
    <w:rsid w:val="004D2BBB"/>
    <w:rsid w:val="004D3EEF"/>
    <w:rsid w:val="004D5A35"/>
    <w:rsid w:val="004D6A00"/>
    <w:rsid w:val="004E1E01"/>
    <w:rsid w:val="004E281A"/>
    <w:rsid w:val="004E3C80"/>
    <w:rsid w:val="004E4AB4"/>
    <w:rsid w:val="004E6702"/>
    <w:rsid w:val="004E7DF5"/>
    <w:rsid w:val="004F0B06"/>
    <w:rsid w:val="004F1A4F"/>
    <w:rsid w:val="004F1C71"/>
    <w:rsid w:val="004F47C3"/>
    <w:rsid w:val="004F4C8F"/>
    <w:rsid w:val="004F4E4A"/>
    <w:rsid w:val="004F7695"/>
    <w:rsid w:val="004F7AD4"/>
    <w:rsid w:val="004F7CA9"/>
    <w:rsid w:val="0050005A"/>
    <w:rsid w:val="00500A00"/>
    <w:rsid w:val="00500CE1"/>
    <w:rsid w:val="00500FCC"/>
    <w:rsid w:val="005017C8"/>
    <w:rsid w:val="00502470"/>
    <w:rsid w:val="00503235"/>
    <w:rsid w:val="00505A7A"/>
    <w:rsid w:val="00505E1C"/>
    <w:rsid w:val="005062BF"/>
    <w:rsid w:val="005069F9"/>
    <w:rsid w:val="00507B58"/>
    <w:rsid w:val="00507D59"/>
    <w:rsid w:val="00510B6D"/>
    <w:rsid w:val="00510C30"/>
    <w:rsid w:val="005110C4"/>
    <w:rsid w:val="00511FD8"/>
    <w:rsid w:val="00513173"/>
    <w:rsid w:val="00513B7B"/>
    <w:rsid w:val="00513D16"/>
    <w:rsid w:val="00513DFC"/>
    <w:rsid w:val="005155DB"/>
    <w:rsid w:val="005156A0"/>
    <w:rsid w:val="00515A87"/>
    <w:rsid w:val="00516124"/>
    <w:rsid w:val="00520C0C"/>
    <w:rsid w:val="00520F8E"/>
    <w:rsid w:val="0052118B"/>
    <w:rsid w:val="00523B4C"/>
    <w:rsid w:val="00525D46"/>
    <w:rsid w:val="0052746C"/>
    <w:rsid w:val="005276AF"/>
    <w:rsid w:val="005279A5"/>
    <w:rsid w:val="00530D58"/>
    <w:rsid w:val="0053100B"/>
    <w:rsid w:val="0053143D"/>
    <w:rsid w:val="0053190E"/>
    <w:rsid w:val="00533613"/>
    <w:rsid w:val="00534FE6"/>
    <w:rsid w:val="0053554E"/>
    <w:rsid w:val="005360EC"/>
    <w:rsid w:val="00536D81"/>
    <w:rsid w:val="00541159"/>
    <w:rsid w:val="00542096"/>
    <w:rsid w:val="00542451"/>
    <w:rsid w:val="00542EE8"/>
    <w:rsid w:val="00543606"/>
    <w:rsid w:val="0054426F"/>
    <w:rsid w:val="005445DD"/>
    <w:rsid w:val="00545865"/>
    <w:rsid w:val="00545B25"/>
    <w:rsid w:val="00546336"/>
    <w:rsid w:val="005465BC"/>
    <w:rsid w:val="00546864"/>
    <w:rsid w:val="00547A05"/>
    <w:rsid w:val="00547A26"/>
    <w:rsid w:val="0055021C"/>
    <w:rsid w:val="0055035F"/>
    <w:rsid w:val="005519C9"/>
    <w:rsid w:val="00551B9D"/>
    <w:rsid w:val="00551C32"/>
    <w:rsid w:val="00551E9F"/>
    <w:rsid w:val="00552C51"/>
    <w:rsid w:val="00553233"/>
    <w:rsid w:val="00553EAD"/>
    <w:rsid w:val="005546F8"/>
    <w:rsid w:val="00554C0A"/>
    <w:rsid w:val="00555E88"/>
    <w:rsid w:val="005560C7"/>
    <w:rsid w:val="00556170"/>
    <w:rsid w:val="00556C3C"/>
    <w:rsid w:val="00556F2F"/>
    <w:rsid w:val="00557271"/>
    <w:rsid w:val="00560727"/>
    <w:rsid w:val="00563ACD"/>
    <w:rsid w:val="00565F85"/>
    <w:rsid w:val="0056631A"/>
    <w:rsid w:val="0056674A"/>
    <w:rsid w:val="00567E7E"/>
    <w:rsid w:val="00570FA3"/>
    <w:rsid w:val="005710A3"/>
    <w:rsid w:val="00571FBC"/>
    <w:rsid w:val="0057372A"/>
    <w:rsid w:val="00573F9B"/>
    <w:rsid w:val="00580D05"/>
    <w:rsid w:val="00580E82"/>
    <w:rsid w:val="00581E74"/>
    <w:rsid w:val="00583031"/>
    <w:rsid w:val="005831B0"/>
    <w:rsid w:val="00584B8F"/>
    <w:rsid w:val="005855B3"/>
    <w:rsid w:val="005856F4"/>
    <w:rsid w:val="005866ED"/>
    <w:rsid w:val="00586D60"/>
    <w:rsid w:val="00586EA1"/>
    <w:rsid w:val="005877E9"/>
    <w:rsid w:val="005878A6"/>
    <w:rsid w:val="00587B52"/>
    <w:rsid w:val="00590309"/>
    <w:rsid w:val="00590596"/>
    <w:rsid w:val="0059095B"/>
    <w:rsid w:val="005911FD"/>
    <w:rsid w:val="00592228"/>
    <w:rsid w:val="00593D55"/>
    <w:rsid w:val="00594485"/>
    <w:rsid w:val="00595185"/>
    <w:rsid w:val="0059530F"/>
    <w:rsid w:val="0059594B"/>
    <w:rsid w:val="005A0CF8"/>
    <w:rsid w:val="005A1D0F"/>
    <w:rsid w:val="005A2D63"/>
    <w:rsid w:val="005A366A"/>
    <w:rsid w:val="005A7C8F"/>
    <w:rsid w:val="005B00BE"/>
    <w:rsid w:val="005B05E0"/>
    <w:rsid w:val="005B1363"/>
    <w:rsid w:val="005B1C7F"/>
    <w:rsid w:val="005B245B"/>
    <w:rsid w:val="005B2A56"/>
    <w:rsid w:val="005B4735"/>
    <w:rsid w:val="005B47E7"/>
    <w:rsid w:val="005B6348"/>
    <w:rsid w:val="005C2A1E"/>
    <w:rsid w:val="005C2FA8"/>
    <w:rsid w:val="005C6BC3"/>
    <w:rsid w:val="005C6CE2"/>
    <w:rsid w:val="005C75EA"/>
    <w:rsid w:val="005D05A9"/>
    <w:rsid w:val="005D322A"/>
    <w:rsid w:val="005D3741"/>
    <w:rsid w:val="005D425B"/>
    <w:rsid w:val="005D46E7"/>
    <w:rsid w:val="005D4B33"/>
    <w:rsid w:val="005D6ABE"/>
    <w:rsid w:val="005D6ED6"/>
    <w:rsid w:val="005D6FE2"/>
    <w:rsid w:val="005D74D5"/>
    <w:rsid w:val="005E00AF"/>
    <w:rsid w:val="005E100D"/>
    <w:rsid w:val="005E10FE"/>
    <w:rsid w:val="005E1892"/>
    <w:rsid w:val="005E1953"/>
    <w:rsid w:val="005E2009"/>
    <w:rsid w:val="005E2969"/>
    <w:rsid w:val="005E3C7A"/>
    <w:rsid w:val="005E4040"/>
    <w:rsid w:val="005E429E"/>
    <w:rsid w:val="005E480C"/>
    <w:rsid w:val="005E4FBE"/>
    <w:rsid w:val="005E51DC"/>
    <w:rsid w:val="005E5F8F"/>
    <w:rsid w:val="005E5FE1"/>
    <w:rsid w:val="005E6234"/>
    <w:rsid w:val="005E716D"/>
    <w:rsid w:val="005F2A3B"/>
    <w:rsid w:val="005F5472"/>
    <w:rsid w:val="005F586C"/>
    <w:rsid w:val="005F7F8B"/>
    <w:rsid w:val="00600CEC"/>
    <w:rsid w:val="00602D7A"/>
    <w:rsid w:val="006036BF"/>
    <w:rsid w:val="006044A8"/>
    <w:rsid w:val="00604B78"/>
    <w:rsid w:val="00605349"/>
    <w:rsid w:val="00606FFD"/>
    <w:rsid w:val="00607485"/>
    <w:rsid w:val="0061170F"/>
    <w:rsid w:val="00611E1F"/>
    <w:rsid w:val="00611FD1"/>
    <w:rsid w:val="00613B32"/>
    <w:rsid w:val="00613BC8"/>
    <w:rsid w:val="00615CAC"/>
    <w:rsid w:val="006164C3"/>
    <w:rsid w:val="00616F68"/>
    <w:rsid w:val="006170F1"/>
    <w:rsid w:val="006206BA"/>
    <w:rsid w:val="006213D7"/>
    <w:rsid w:val="00622397"/>
    <w:rsid w:val="00622982"/>
    <w:rsid w:val="00622A45"/>
    <w:rsid w:val="00624B57"/>
    <w:rsid w:val="00624E95"/>
    <w:rsid w:val="006259C6"/>
    <w:rsid w:val="0062707F"/>
    <w:rsid w:val="006320BF"/>
    <w:rsid w:val="00632FBD"/>
    <w:rsid w:val="0063385D"/>
    <w:rsid w:val="006347A0"/>
    <w:rsid w:val="006356F6"/>
    <w:rsid w:val="006365FD"/>
    <w:rsid w:val="00636B17"/>
    <w:rsid w:val="00637387"/>
    <w:rsid w:val="006400D6"/>
    <w:rsid w:val="0064045C"/>
    <w:rsid w:val="00641040"/>
    <w:rsid w:val="00641F92"/>
    <w:rsid w:val="006439F0"/>
    <w:rsid w:val="00645654"/>
    <w:rsid w:val="00645EFC"/>
    <w:rsid w:val="006462EA"/>
    <w:rsid w:val="00646939"/>
    <w:rsid w:val="00646FEE"/>
    <w:rsid w:val="00647B6C"/>
    <w:rsid w:val="006503FD"/>
    <w:rsid w:val="006515DC"/>
    <w:rsid w:val="006519F1"/>
    <w:rsid w:val="00652783"/>
    <w:rsid w:val="006544B5"/>
    <w:rsid w:val="00662B8F"/>
    <w:rsid w:val="0066315B"/>
    <w:rsid w:val="0066576E"/>
    <w:rsid w:val="0066666F"/>
    <w:rsid w:val="006708D0"/>
    <w:rsid w:val="0067164B"/>
    <w:rsid w:val="006722A6"/>
    <w:rsid w:val="006729EF"/>
    <w:rsid w:val="00673B03"/>
    <w:rsid w:val="00674203"/>
    <w:rsid w:val="00674989"/>
    <w:rsid w:val="00674B9A"/>
    <w:rsid w:val="00674C27"/>
    <w:rsid w:val="006763C1"/>
    <w:rsid w:val="00677C26"/>
    <w:rsid w:val="00681DA8"/>
    <w:rsid w:val="006851B5"/>
    <w:rsid w:val="0068534B"/>
    <w:rsid w:val="00685730"/>
    <w:rsid w:val="00686D6F"/>
    <w:rsid w:val="00690CD3"/>
    <w:rsid w:val="006923A1"/>
    <w:rsid w:val="006929D5"/>
    <w:rsid w:val="00692BEE"/>
    <w:rsid w:val="0069334F"/>
    <w:rsid w:val="00693792"/>
    <w:rsid w:val="00695B2C"/>
    <w:rsid w:val="006969C6"/>
    <w:rsid w:val="00696C9D"/>
    <w:rsid w:val="00696D2F"/>
    <w:rsid w:val="00696F2A"/>
    <w:rsid w:val="006A01EA"/>
    <w:rsid w:val="006A3951"/>
    <w:rsid w:val="006A3D5B"/>
    <w:rsid w:val="006A6B38"/>
    <w:rsid w:val="006A77F1"/>
    <w:rsid w:val="006B1DB7"/>
    <w:rsid w:val="006B259E"/>
    <w:rsid w:val="006B29A4"/>
    <w:rsid w:val="006B3114"/>
    <w:rsid w:val="006B3138"/>
    <w:rsid w:val="006B4C62"/>
    <w:rsid w:val="006B51BE"/>
    <w:rsid w:val="006B5380"/>
    <w:rsid w:val="006B63A4"/>
    <w:rsid w:val="006C010A"/>
    <w:rsid w:val="006C0E40"/>
    <w:rsid w:val="006C22B1"/>
    <w:rsid w:val="006C3C8B"/>
    <w:rsid w:val="006C44BE"/>
    <w:rsid w:val="006D0085"/>
    <w:rsid w:val="006D2DCA"/>
    <w:rsid w:val="006D41F9"/>
    <w:rsid w:val="006D4B47"/>
    <w:rsid w:val="006D596C"/>
    <w:rsid w:val="006D6684"/>
    <w:rsid w:val="006D7691"/>
    <w:rsid w:val="006E02B7"/>
    <w:rsid w:val="006E08DD"/>
    <w:rsid w:val="006E3108"/>
    <w:rsid w:val="006E3A2E"/>
    <w:rsid w:val="006E3AB3"/>
    <w:rsid w:val="006E3E45"/>
    <w:rsid w:val="006E40CE"/>
    <w:rsid w:val="006E4B3D"/>
    <w:rsid w:val="006E4D9D"/>
    <w:rsid w:val="006E503C"/>
    <w:rsid w:val="006E56A0"/>
    <w:rsid w:val="006E5E2D"/>
    <w:rsid w:val="006E5FCF"/>
    <w:rsid w:val="006F1039"/>
    <w:rsid w:val="006F114F"/>
    <w:rsid w:val="006F2224"/>
    <w:rsid w:val="006F2CD9"/>
    <w:rsid w:val="006F3707"/>
    <w:rsid w:val="006F3A7C"/>
    <w:rsid w:val="006F44D9"/>
    <w:rsid w:val="006F5060"/>
    <w:rsid w:val="006F55E4"/>
    <w:rsid w:val="006F701D"/>
    <w:rsid w:val="006F7AA3"/>
    <w:rsid w:val="007004BD"/>
    <w:rsid w:val="007007C1"/>
    <w:rsid w:val="0070187F"/>
    <w:rsid w:val="007019AE"/>
    <w:rsid w:val="00701FB4"/>
    <w:rsid w:val="00702783"/>
    <w:rsid w:val="00702988"/>
    <w:rsid w:val="00703139"/>
    <w:rsid w:val="0070428C"/>
    <w:rsid w:val="00706BE2"/>
    <w:rsid w:val="00707C17"/>
    <w:rsid w:val="00707FD1"/>
    <w:rsid w:val="00710B8F"/>
    <w:rsid w:val="00711D28"/>
    <w:rsid w:val="00712B88"/>
    <w:rsid w:val="00712FAD"/>
    <w:rsid w:val="0071399E"/>
    <w:rsid w:val="007146C8"/>
    <w:rsid w:val="00714A2D"/>
    <w:rsid w:val="007170C1"/>
    <w:rsid w:val="00717563"/>
    <w:rsid w:val="00717586"/>
    <w:rsid w:val="00717646"/>
    <w:rsid w:val="00717D48"/>
    <w:rsid w:val="00720833"/>
    <w:rsid w:val="00720B0E"/>
    <w:rsid w:val="00720B11"/>
    <w:rsid w:val="007222D8"/>
    <w:rsid w:val="00723140"/>
    <w:rsid w:val="00723475"/>
    <w:rsid w:val="00725378"/>
    <w:rsid w:val="00725F78"/>
    <w:rsid w:val="00726565"/>
    <w:rsid w:val="007267CA"/>
    <w:rsid w:val="007275F7"/>
    <w:rsid w:val="00730887"/>
    <w:rsid w:val="00730C90"/>
    <w:rsid w:val="00732884"/>
    <w:rsid w:val="00733284"/>
    <w:rsid w:val="00734953"/>
    <w:rsid w:val="00734CA6"/>
    <w:rsid w:val="00735B53"/>
    <w:rsid w:val="007376FB"/>
    <w:rsid w:val="00737818"/>
    <w:rsid w:val="007400B9"/>
    <w:rsid w:val="00740768"/>
    <w:rsid w:val="0074184D"/>
    <w:rsid w:val="00743E72"/>
    <w:rsid w:val="00745187"/>
    <w:rsid w:val="0074635F"/>
    <w:rsid w:val="00746980"/>
    <w:rsid w:val="00750C10"/>
    <w:rsid w:val="007515D4"/>
    <w:rsid w:val="007516B4"/>
    <w:rsid w:val="00752769"/>
    <w:rsid w:val="00752DB4"/>
    <w:rsid w:val="00753124"/>
    <w:rsid w:val="0075323C"/>
    <w:rsid w:val="007532C9"/>
    <w:rsid w:val="007534F4"/>
    <w:rsid w:val="00755391"/>
    <w:rsid w:val="00755C27"/>
    <w:rsid w:val="00757194"/>
    <w:rsid w:val="0075783A"/>
    <w:rsid w:val="00760856"/>
    <w:rsid w:val="0076087B"/>
    <w:rsid w:val="007614DF"/>
    <w:rsid w:val="00761B3E"/>
    <w:rsid w:val="0076210E"/>
    <w:rsid w:val="00764F46"/>
    <w:rsid w:val="00766DE9"/>
    <w:rsid w:val="00767C2F"/>
    <w:rsid w:val="00770B1C"/>
    <w:rsid w:val="0077217A"/>
    <w:rsid w:val="007727B1"/>
    <w:rsid w:val="007747F6"/>
    <w:rsid w:val="00774B65"/>
    <w:rsid w:val="00775CE8"/>
    <w:rsid w:val="0077683C"/>
    <w:rsid w:val="00777389"/>
    <w:rsid w:val="007804D6"/>
    <w:rsid w:val="00780799"/>
    <w:rsid w:val="00781BAC"/>
    <w:rsid w:val="00783DA5"/>
    <w:rsid w:val="00785DE8"/>
    <w:rsid w:val="007868E1"/>
    <w:rsid w:val="00787329"/>
    <w:rsid w:val="00790185"/>
    <w:rsid w:val="00790433"/>
    <w:rsid w:val="00791566"/>
    <w:rsid w:val="00791EA1"/>
    <w:rsid w:val="0079293C"/>
    <w:rsid w:val="0079419C"/>
    <w:rsid w:val="007951B2"/>
    <w:rsid w:val="0079664F"/>
    <w:rsid w:val="007972D1"/>
    <w:rsid w:val="00797B43"/>
    <w:rsid w:val="007A0147"/>
    <w:rsid w:val="007A2354"/>
    <w:rsid w:val="007A3336"/>
    <w:rsid w:val="007A4041"/>
    <w:rsid w:val="007A4351"/>
    <w:rsid w:val="007A6A33"/>
    <w:rsid w:val="007A6DF3"/>
    <w:rsid w:val="007A7DAA"/>
    <w:rsid w:val="007B3194"/>
    <w:rsid w:val="007B342C"/>
    <w:rsid w:val="007B39BE"/>
    <w:rsid w:val="007B3F8C"/>
    <w:rsid w:val="007B5F9C"/>
    <w:rsid w:val="007B69F8"/>
    <w:rsid w:val="007B6DC4"/>
    <w:rsid w:val="007B7205"/>
    <w:rsid w:val="007C0E60"/>
    <w:rsid w:val="007C1AEB"/>
    <w:rsid w:val="007C3B9C"/>
    <w:rsid w:val="007C44BE"/>
    <w:rsid w:val="007C520A"/>
    <w:rsid w:val="007C6337"/>
    <w:rsid w:val="007D009A"/>
    <w:rsid w:val="007D19E3"/>
    <w:rsid w:val="007D1CE1"/>
    <w:rsid w:val="007D2063"/>
    <w:rsid w:val="007D22EC"/>
    <w:rsid w:val="007D2C88"/>
    <w:rsid w:val="007D34D5"/>
    <w:rsid w:val="007D36FD"/>
    <w:rsid w:val="007D4154"/>
    <w:rsid w:val="007D4E7D"/>
    <w:rsid w:val="007E03B3"/>
    <w:rsid w:val="007E0715"/>
    <w:rsid w:val="007E0A2D"/>
    <w:rsid w:val="007E26DB"/>
    <w:rsid w:val="007E2B74"/>
    <w:rsid w:val="007E2CAD"/>
    <w:rsid w:val="007E2D70"/>
    <w:rsid w:val="007E3299"/>
    <w:rsid w:val="007E397B"/>
    <w:rsid w:val="007E455B"/>
    <w:rsid w:val="007E4DC5"/>
    <w:rsid w:val="007E50C1"/>
    <w:rsid w:val="007E5D8A"/>
    <w:rsid w:val="007E715A"/>
    <w:rsid w:val="007E716A"/>
    <w:rsid w:val="007E79AE"/>
    <w:rsid w:val="007F0008"/>
    <w:rsid w:val="007F3BE6"/>
    <w:rsid w:val="007F3C90"/>
    <w:rsid w:val="007F418C"/>
    <w:rsid w:val="007F4742"/>
    <w:rsid w:val="007F5017"/>
    <w:rsid w:val="007F59CA"/>
    <w:rsid w:val="007F5AF2"/>
    <w:rsid w:val="007F5DDF"/>
    <w:rsid w:val="007F706A"/>
    <w:rsid w:val="007F76C2"/>
    <w:rsid w:val="0080504A"/>
    <w:rsid w:val="00806234"/>
    <w:rsid w:val="00806AF6"/>
    <w:rsid w:val="008116E6"/>
    <w:rsid w:val="0081231B"/>
    <w:rsid w:val="008124B7"/>
    <w:rsid w:val="00812CD5"/>
    <w:rsid w:val="008134E9"/>
    <w:rsid w:val="00813855"/>
    <w:rsid w:val="008143FC"/>
    <w:rsid w:val="0081624F"/>
    <w:rsid w:val="00816679"/>
    <w:rsid w:val="00816940"/>
    <w:rsid w:val="00817068"/>
    <w:rsid w:val="008200A6"/>
    <w:rsid w:val="008203BC"/>
    <w:rsid w:val="00820C0A"/>
    <w:rsid w:val="00821117"/>
    <w:rsid w:val="00821342"/>
    <w:rsid w:val="0082151E"/>
    <w:rsid w:val="00821F77"/>
    <w:rsid w:val="00822048"/>
    <w:rsid w:val="0082207C"/>
    <w:rsid w:val="0082217B"/>
    <w:rsid w:val="00830617"/>
    <w:rsid w:val="00830B7E"/>
    <w:rsid w:val="00832B63"/>
    <w:rsid w:val="00834C8E"/>
    <w:rsid w:val="00834F32"/>
    <w:rsid w:val="00834F3B"/>
    <w:rsid w:val="00835794"/>
    <w:rsid w:val="00835A4F"/>
    <w:rsid w:val="00836D9F"/>
    <w:rsid w:val="0084031A"/>
    <w:rsid w:val="00841192"/>
    <w:rsid w:val="00841EA6"/>
    <w:rsid w:val="008439F3"/>
    <w:rsid w:val="0084430C"/>
    <w:rsid w:val="0084444E"/>
    <w:rsid w:val="008445A4"/>
    <w:rsid w:val="00844CD8"/>
    <w:rsid w:val="00845A59"/>
    <w:rsid w:val="00846612"/>
    <w:rsid w:val="008469D2"/>
    <w:rsid w:val="00847FF3"/>
    <w:rsid w:val="008503BE"/>
    <w:rsid w:val="00850C44"/>
    <w:rsid w:val="008517DC"/>
    <w:rsid w:val="00852333"/>
    <w:rsid w:val="00852CF4"/>
    <w:rsid w:val="00853297"/>
    <w:rsid w:val="00853ADF"/>
    <w:rsid w:val="00855062"/>
    <w:rsid w:val="00855423"/>
    <w:rsid w:val="008578E6"/>
    <w:rsid w:val="00857915"/>
    <w:rsid w:val="00857F21"/>
    <w:rsid w:val="00860804"/>
    <w:rsid w:val="00861415"/>
    <w:rsid w:val="00861995"/>
    <w:rsid w:val="0086212E"/>
    <w:rsid w:val="00862C71"/>
    <w:rsid w:val="0086339E"/>
    <w:rsid w:val="0086600F"/>
    <w:rsid w:val="00866998"/>
    <w:rsid w:val="00866B15"/>
    <w:rsid w:val="0086711B"/>
    <w:rsid w:val="00867304"/>
    <w:rsid w:val="00867BE8"/>
    <w:rsid w:val="00871139"/>
    <w:rsid w:val="00871EF7"/>
    <w:rsid w:val="00872470"/>
    <w:rsid w:val="00873845"/>
    <w:rsid w:val="0087503B"/>
    <w:rsid w:val="008764B5"/>
    <w:rsid w:val="00876E73"/>
    <w:rsid w:val="00877475"/>
    <w:rsid w:val="00880AC7"/>
    <w:rsid w:val="00881BAC"/>
    <w:rsid w:val="0088244E"/>
    <w:rsid w:val="008827CA"/>
    <w:rsid w:val="0088290A"/>
    <w:rsid w:val="00882D57"/>
    <w:rsid w:val="0088317F"/>
    <w:rsid w:val="00884E3C"/>
    <w:rsid w:val="00885273"/>
    <w:rsid w:val="00885A1E"/>
    <w:rsid w:val="00885E6D"/>
    <w:rsid w:val="00886596"/>
    <w:rsid w:val="00886BCF"/>
    <w:rsid w:val="00886D20"/>
    <w:rsid w:val="008872E9"/>
    <w:rsid w:val="00887544"/>
    <w:rsid w:val="00887553"/>
    <w:rsid w:val="00890ED0"/>
    <w:rsid w:val="00891676"/>
    <w:rsid w:val="0089194A"/>
    <w:rsid w:val="00891CFC"/>
    <w:rsid w:val="00892EDF"/>
    <w:rsid w:val="00893672"/>
    <w:rsid w:val="00894284"/>
    <w:rsid w:val="00894A87"/>
    <w:rsid w:val="0089644D"/>
    <w:rsid w:val="00897074"/>
    <w:rsid w:val="00897CD6"/>
    <w:rsid w:val="008A1018"/>
    <w:rsid w:val="008A14E6"/>
    <w:rsid w:val="008A24CC"/>
    <w:rsid w:val="008A3786"/>
    <w:rsid w:val="008A393C"/>
    <w:rsid w:val="008A3FE1"/>
    <w:rsid w:val="008A4238"/>
    <w:rsid w:val="008A49AE"/>
    <w:rsid w:val="008A49D1"/>
    <w:rsid w:val="008A4B50"/>
    <w:rsid w:val="008A5A37"/>
    <w:rsid w:val="008A668B"/>
    <w:rsid w:val="008A6DE0"/>
    <w:rsid w:val="008A75B8"/>
    <w:rsid w:val="008A75EE"/>
    <w:rsid w:val="008B03DB"/>
    <w:rsid w:val="008B158D"/>
    <w:rsid w:val="008B25F5"/>
    <w:rsid w:val="008B2B76"/>
    <w:rsid w:val="008B3ECA"/>
    <w:rsid w:val="008B584F"/>
    <w:rsid w:val="008B5E16"/>
    <w:rsid w:val="008B6713"/>
    <w:rsid w:val="008B6C50"/>
    <w:rsid w:val="008B72F5"/>
    <w:rsid w:val="008B743E"/>
    <w:rsid w:val="008B7E39"/>
    <w:rsid w:val="008C1110"/>
    <w:rsid w:val="008C126A"/>
    <w:rsid w:val="008C1E63"/>
    <w:rsid w:val="008C2139"/>
    <w:rsid w:val="008C2518"/>
    <w:rsid w:val="008C27A0"/>
    <w:rsid w:val="008C2F72"/>
    <w:rsid w:val="008C3160"/>
    <w:rsid w:val="008C38F5"/>
    <w:rsid w:val="008C3FE2"/>
    <w:rsid w:val="008C439A"/>
    <w:rsid w:val="008C465E"/>
    <w:rsid w:val="008C4A53"/>
    <w:rsid w:val="008C634F"/>
    <w:rsid w:val="008C6884"/>
    <w:rsid w:val="008C7608"/>
    <w:rsid w:val="008D0841"/>
    <w:rsid w:val="008D14A2"/>
    <w:rsid w:val="008D1F68"/>
    <w:rsid w:val="008D2B47"/>
    <w:rsid w:val="008D2D52"/>
    <w:rsid w:val="008D4279"/>
    <w:rsid w:val="008D4AB2"/>
    <w:rsid w:val="008D4ABE"/>
    <w:rsid w:val="008D4B5A"/>
    <w:rsid w:val="008D4F19"/>
    <w:rsid w:val="008D6365"/>
    <w:rsid w:val="008D64F3"/>
    <w:rsid w:val="008D65F1"/>
    <w:rsid w:val="008D6C27"/>
    <w:rsid w:val="008D6D55"/>
    <w:rsid w:val="008D7EED"/>
    <w:rsid w:val="008E08FF"/>
    <w:rsid w:val="008E142D"/>
    <w:rsid w:val="008E37EB"/>
    <w:rsid w:val="008E3D7E"/>
    <w:rsid w:val="008E421A"/>
    <w:rsid w:val="008E5909"/>
    <w:rsid w:val="008E5B8E"/>
    <w:rsid w:val="008E6A8D"/>
    <w:rsid w:val="008E7ADF"/>
    <w:rsid w:val="008F0859"/>
    <w:rsid w:val="008F2192"/>
    <w:rsid w:val="008F23D6"/>
    <w:rsid w:val="008F2796"/>
    <w:rsid w:val="008F2D76"/>
    <w:rsid w:val="008F3162"/>
    <w:rsid w:val="008F37F9"/>
    <w:rsid w:val="008F385C"/>
    <w:rsid w:val="008F3B6D"/>
    <w:rsid w:val="008F7179"/>
    <w:rsid w:val="008F7A94"/>
    <w:rsid w:val="009002B0"/>
    <w:rsid w:val="009005C2"/>
    <w:rsid w:val="00900DEF"/>
    <w:rsid w:val="0090181D"/>
    <w:rsid w:val="00901DBE"/>
    <w:rsid w:val="00902F61"/>
    <w:rsid w:val="00903540"/>
    <w:rsid w:val="00904278"/>
    <w:rsid w:val="00904A19"/>
    <w:rsid w:val="00905477"/>
    <w:rsid w:val="00906385"/>
    <w:rsid w:val="00906EA8"/>
    <w:rsid w:val="00907F85"/>
    <w:rsid w:val="00910536"/>
    <w:rsid w:val="00910BCF"/>
    <w:rsid w:val="00910E8D"/>
    <w:rsid w:val="00910FB9"/>
    <w:rsid w:val="00911FBE"/>
    <w:rsid w:val="0091293D"/>
    <w:rsid w:val="0091402A"/>
    <w:rsid w:val="00915549"/>
    <w:rsid w:val="009207DC"/>
    <w:rsid w:val="00921578"/>
    <w:rsid w:val="00921921"/>
    <w:rsid w:val="0092225A"/>
    <w:rsid w:val="009226F9"/>
    <w:rsid w:val="00922745"/>
    <w:rsid w:val="00923181"/>
    <w:rsid w:val="00924471"/>
    <w:rsid w:val="009248CD"/>
    <w:rsid w:val="00924CA7"/>
    <w:rsid w:val="00925185"/>
    <w:rsid w:val="00927136"/>
    <w:rsid w:val="00927353"/>
    <w:rsid w:val="0092754E"/>
    <w:rsid w:val="00927ADE"/>
    <w:rsid w:val="00930BB9"/>
    <w:rsid w:val="009310CB"/>
    <w:rsid w:val="0093117F"/>
    <w:rsid w:val="0093135A"/>
    <w:rsid w:val="009313B5"/>
    <w:rsid w:val="00931CD0"/>
    <w:rsid w:val="0093244E"/>
    <w:rsid w:val="0093340F"/>
    <w:rsid w:val="0093524F"/>
    <w:rsid w:val="00936AE7"/>
    <w:rsid w:val="009374E3"/>
    <w:rsid w:val="009375A0"/>
    <w:rsid w:val="00937758"/>
    <w:rsid w:val="00942CEE"/>
    <w:rsid w:val="00942ED8"/>
    <w:rsid w:val="00943593"/>
    <w:rsid w:val="009437C1"/>
    <w:rsid w:val="009439A7"/>
    <w:rsid w:val="009445D0"/>
    <w:rsid w:val="00946659"/>
    <w:rsid w:val="00950C3F"/>
    <w:rsid w:val="009513FC"/>
    <w:rsid w:val="0095232C"/>
    <w:rsid w:val="00952F80"/>
    <w:rsid w:val="00953B7E"/>
    <w:rsid w:val="00953C5D"/>
    <w:rsid w:val="00953EFD"/>
    <w:rsid w:val="00954867"/>
    <w:rsid w:val="00955AD4"/>
    <w:rsid w:val="00957B9C"/>
    <w:rsid w:val="009623FF"/>
    <w:rsid w:val="00962D99"/>
    <w:rsid w:val="00963289"/>
    <w:rsid w:val="00963A1C"/>
    <w:rsid w:val="00964086"/>
    <w:rsid w:val="00964804"/>
    <w:rsid w:val="00965282"/>
    <w:rsid w:val="0096538E"/>
    <w:rsid w:val="00966FBC"/>
    <w:rsid w:val="00970812"/>
    <w:rsid w:val="009709BD"/>
    <w:rsid w:val="00971C66"/>
    <w:rsid w:val="00973D19"/>
    <w:rsid w:val="00974681"/>
    <w:rsid w:val="00975FEF"/>
    <w:rsid w:val="0097601C"/>
    <w:rsid w:val="00976A01"/>
    <w:rsid w:val="00977847"/>
    <w:rsid w:val="00980F9E"/>
    <w:rsid w:val="0098189B"/>
    <w:rsid w:val="0098210A"/>
    <w:rsid w:val="00982512"/>
    <w:rsid w:val="00982529"/>
    <w:rsid w:val="0098436E"/>
    <w:rsid w:val="009848A6"/>
    <w:rsid w:val="00984E66"/>
    <w:rsid w:val="00985D1F"/>
    <w:rsid w:val="0098744F"/>
    <w:rsid w:val="009878C6"/>
    <w:rsid w:val="009878EC"/>
    <w:rsid w:val="00987E2C"/>
    <w:rsid w:val="00987F31"/>
    <w:rsid w:val="0099031A"/>
    <w:rsid w:val="009916BB"/>
    <w:rsid w:val="009922D1"/>
    <w:rsid w:val="0099234A"/>
    <w:rsid w:val="00992F34"/>
    <w:rsid w:val="009A0A5B"/>
    <w:rsid w:val="009A3419"/>
    <w:rsid w:val="009A5EE7"/>
    <w:rsid w:val="009A612B"/>
    <w:rsid w:val="009A6132"/>
    <w:rsid w:val="009A6B95"/>
    <w:rsid w:val="009A70B5"/>
    <w:rsid w:val="009A7A71"/>
    <w:rsid w:val="009A7E10"/>
    <w:rsid w:val="009B0699"/>
    <w:rsid w:val="009B13C0"/>
    <w:rsid w:val="009B3C14"/>
    <w:rsid w:val="009B3EEB"/>
    <w:rsid w:val="009B4011"/>
    <w:rsid w:val="009B41BD"/>
    <w:rsid w:val="009B45C4"/>
    <w:rsid w:val="009B524C"/>
    <w:rsid w:val="009B58E7"/>
    <w:rsid w:val="009B7542"/>
    <w:rsid w:val="009C0AED"/>
    <w:rsid w:val="009C1A4B"/>
    <w:rsid w:val="009C1A64"/>
    <w:rsid w:val="009C482D"/>
    <w:rsid w:val="009C4AF7"/>
    <w:rsid w:val="009C52F9"/>
    <w:rsid w:val="009C55AA"/>
    <w:rsid w:val="009C561C"/>
    <w:rsid w:val="009C56F6"/>
    <w:rsid w:val="009C77EC"/>
    <w:rsid w:val="009D09D8"/>
    <w:rsid w:val="009D13C1"/>
    <w:rsid w:val="009D13D2"/>
    <w:rsid w:val="009D24E3"/>
    <w:rsid w:val="009D3DA9"/>
    <w:rsid w:val="009D3DFD"/>
    <w:rsid w:val="009D5102"/>
    <w:rsid w:val="009D5403"/>
    <w:rsid w:val="009D6045"/>
    <w:rsid w:val="009D6860"/>
    <w:rsid w:val="009E04B7"/>
    <w:rsid w:val="009E1D30"/>
    <w:rsid w:val="009E27D1"/>
    <w:rsid w:val="009E38DC"/>
    <w:rsid w:val="009E4FBA"/>
    <w:rsid w:val="009E5224"/>
    <w:rsid w:val="009E69EB"/>
    <w:rsid w:val="009E6B98"/>
    <w:rsid w:val="009E72B6"/>
    <w:rsid w:val="009E7DA2"/>
    <w:rsid w:val="009F0D24"/>
    <w:rsid w:val="009F0E3C"/>
    <w:rsid w:val="009F1198"/>
    <w:rsid w:val="009F2357"/>
    <w:rsid w:val="009F4335"/>
    <w:rsid w:val="009F4A72"/>
    <w:rsid w:val="009F4F98"/>
    <w:rsid w:val="009F5148"/>
    <w:rsid w:val="009F5C33"/>
    <w:rsid w:val="009F6D35"/>
    <w:rsid w:val="009F76AE"/>
    <w:rsid w:val="00A03ADF"/>
    <w:rsid w:val="00A04ECC"/>
    <w:rsid w:val="00A0707A"/>
    <w:rsid w:val="00A0739E"/>
    <w:rsid w:val="00A074D5"/>
    <w:rsid w:val="00A101EE"/>
    <w:rsid w:val="00A11145"/>
    <w:rsid w:val="00A111DC"/>
    <w:rsid w:val="00A12C52"/>
    <w:rsid w:val="00A12D39"/>
    <w:rsid w:val="00A13575"/>
    <w:rsid w:val="00A13A59"/>
    <w:rsid w:val="00A20519"/>
    <w:rsid w:val="00A21278"/>
    <w:rsid w:val="00A2148C"/>
    <w:rsid w:val="00A22DA8"/>
    <w:rsid w:val="00A23882"/>
    <w:rsid w:val="00A2509E"/>
    <w:rsid w:val="00A26C38"/>
    <w:rsid w:val="00A277FF"/>
    <w:rsid w:val="00A311EC"/>
    <w:rsid w:val="00A31EF0"/>
    <w:rsid w:val="00A3260D"/>
    <w:rsid w:val="00A32B92"/>
    <w:rsid w:val="00A33184"/>
    <w:rsid w:val="00A33854"/>
    <w:rsid w:val="00A33A4D"/>
    <w:rsid w:val="00A33E47"/>
    <w:rsid w:val="00A33F13"/>
    <w:rsid w:val="00A3413A"/>
    <w:rsid w:val="00A345C4"/>
    <w:rsid w:val="00A35221"/>
    <w:rsid w:val="00A35B98"/>
    <w:rsid w:val="00A37BBD"/>
    <w:rsid w:val="00A40C7C"/>
    <w:rsid w:val="00A43226"/>
    <w:rsid w:val="00A434F1"/>
    <w:rsid w:val="00A435EA"/>
    <w:rsid w:val="00A43E68"/>
    <w:rsid w:val="00A45114"/>
    <w:rsid w:val="00A451CF"/>
    <w:rsid w:val="00A45655"/>
    <w:rsid w:val="00A460D3"/>
    <w:rsid w:val="00A47479"/>
    <w:rsid w:val="00A502D4"/>
    <w:rsid w:val="00A5033B"/>
    <w:rsid w:val="00A50C3A"/>
    <w:rsid w:val="00A518DE"/>
    <w:rsid w:val="00A5251E"/>
    <w:rsid w:val="00A52F55"/>
    <w:rsid w:val="00A54607"/>
    <w:rsid w:val="00A56565"/>
    <w:rsid w:val="00A565BF"/>
    <w:rsid w:val="00A61047"/>
    <w:rsid w:val="00A61B6F"/>
    <w:rsid w:val="00A6234A"/>
    <w:rsid w:val="00A62398"/>
    <w:rsid w:val="00A636F6"/>
    <w:rsid w:val="00A6730A"/>
    <w:rsid w:val="00A6785D"/>
    <w:rsid w:val="00A67978"/>
    <w:rsid w:val="00A67A77"/>
    <w:rsid w:val="00A70066"/>
    <w:rsid w:val="00A7064F"/>
    <w:rsid w:val="00A718D4"/>
    <w:rsid w:val="00A72A86"/>
    <w:rsid w:val="00A72FF2"/>
    <w:rsid w:val="00A748D7"/>
    <w:rsid w:val="00A74E31"/>
    <w:rsid w:val="00A75559"/>
    <w:rsid w:val="00A75915"/>
    <w:rsid w:val="00A80C8B"/>
    <w:rsid w:val="00A81915"/>
    <w:rsid w:val="00A81DE8"/>
    <w:rsid w:val="00A829D7"/>
    <w:rsid w:val="00A83724"/>
    <w:rsid w:val="00A85EB0"/>
    <w:rsid w:val="00A86489"/>
    <w:rsid w:val="00A878F4"/>
    <w:rsid w:val="00A913F8"/>
    <w:rsid w:val="00A91410"/>
    <w:rsid w:val="00A91533"/>
    <w:rsid w:val="00A91D2E"/>
    <w:rsid w:val="00A92C6A"/>
    <w:rsid w:val="00A937EF"/>
    <w:rsid w:val="00A95014"/>
    <w:rsid w:val="00A96F49"/>
    <w:rsid w:val="00A97044"/>
    <w:rsid w:val="00A97086"/>
    <w:rsid w:val="00A9709B"/>
    <w:rsid w:val="00A9745F"/>
    <w:rsid w:val="00A97C74"/>
    <w:rsid w:val="00AA05B8"/>
    <w:rsid w:val="00AA063F"/>
    <w:rsid w:val="00AA0EDD"/>
    <w:rsid w:val="00AA1B27"/>
    <w:rsid w:val="00AA20E6"/>
    <w:rsid w:val="00AA25BF"/>
    <w:rsid w:val="00AA2BFA"/>
    <w:rsid w:val="00AA3248"/>
    <w:rsid w:val="00AA36D6"/>
    <w:rsid w:val="00AA388E"/>
    <w:rsid w:val="00AA50C7"/>
    <w:rsid w:val="00AA589D"/>
    <w:rsid w:val="00AA5AEB"/>
    <w:rsid w:val="00AA6BE1"/>
    <w:rsid w:val="00AA6F92"/>
    <w:rsid w:val="00AA75B3"/>
    <w:rsid w:val="00AA78F4"/>
    <w:rsid w:val="00AA795B"/>
    <w:rsid w:val="00AA7B02"/>
    <w:rsid w:val="00AA7CBB"/>
    <w:rsid w:val="00AA7CF7"/>
    <w:rsid w:val="00AB113A"/>
    <w:rsid w:val="00AB2299"/>
    <w:rsid w:val="00AB2568"/>
    <w:rsid w:val="00AB288F"/>
    <w:rsid w:val="00AB5864"/>
    <w:rsid w:val="00AB62AB"/>
    <w:rsid w:val="00AB6867"/>
    <w:rsid w:val="00AB6FFD"/>
    <w:rsid w:val="00AB7614"/>
    <w:rsid w:val="00AC0FBE"/>
    <w:rsid w:val="00AC1648"/>
    <w:rsid w:val="00AC1923"/>
    <w:rsid w:val="00AC30CC"/>
    <w:rsid w:val="00AC3228"/>
    <w:rsid w:val="00AC61C1"/>
    <w:rsid w:val="00AC65E5"/>
    <w:rsid w:val="00AD0796"/>
    <w:rsid w:val="00AD1BCA"/>
    <w:rsid w:val="00AD2EB0"/>
    <w:rsid w:val="00AD35B6"/>
    <w:rsid w:val="00AD3C1F"/>
    <w:rsid w:val="00AD47C5"/>
    <w:rsid w:val="00AD497E"/>
    <w:rsid w:val="00AD4EF8"/>
    <w:rsid w:val="00AD51B8"/>
    <w:rsid w:val="00AD5537"/>
    <w:rsid w:val="00AD5CD9"/>
    <w:rsid w:val="00AD6AB5"/>
    <w:rsid w:val="00AE163D"/>
    <w:rsid w:val="00AE27A9"/>
    <w:rsid w:val="00AE6370"/>
    <w:rsid w:val="00AE6698"/>
    <w:rsid w:val="00AE680E"/>
    <w:rsid w:val="00AE732F"/>
    <w:rsid w:val="00AF47D2"/>
    <w:rsid w:val="00AF5561"/>
    <w:rsid w:val="00AF5ABE"/>
    <w:rsid w:val="00AF5CB5"/>
    <w:rsid w:val="00AF5E76"/>
    <w:rsid w:val="00AF62A9"/>
    <w:rsid w:val="00AF7489"/>
    <w:rsid w:val="00AF7A48"/>
    <w:rsid w:val="00B01189"/>
    <w:rsid w:val="00B04427"/>
    <w:rsid w:val="00B0459C"/>
    <w:rsid w:val="00B051C4"/>
    <w:rsid w:val="00B05264"/>
    <w:rsid w:val="00B0613E"/>
    <w:rsid w:val="00B067D0"/>
    <w:rsid w:val="00B078A5"/>
    <w:rsid w:val="00B103F2"/>
    <w:rsid w:val="00B1063D"/>
    <w:rsid w:val="00B10C8B"/>
    <w:rsid w:val="00B112B7"/>
    <w:rsid w:val="00B1396C"/>
    <w:rsid w:val="00B13C5F"/>
    <w:rsid w:val="00B13D26"/>
    <w:rsid w:val="00B14286"/>
    <w:rsid w:val="00B150EA"/>
    <w:rsid w:val="00B15239"/>
    <w:rsid w:val="00B152D9"/>
    <w:rsid w:val="00B178D9"/>
    <w:rsid w:val="00B23894"/>
    <w:rsid w:val="00B25AAE"/>
    <w:rsid w:val="00B25D51"/>
    <w:rsid w:val="00B268E1"/>
    <w:rsid w:val="00B2703E"/>
    <w:rsid w:val="00B27F3E"/>
    <w:rsid w:val="00B30DFB"/>
    <w:rsid w:val="00B3122C"/>
    <w:rsid w:val="00B31A14"/>
    <w:rsid w:val="00B32412"/>
    <w:rsid w:val="00B3381B"/>
    <w:rsid w:val="00B33F92"/>
    <w:rsid w:val="00B35DB3"/>
    <w:rsid w:val="00B3602F"/>
    <w:rsid w:val="00B36057"/>
    <w:rsid w:val="00B36B4B"/>
    <w:rsid w:val="00B37010"/>
    <w:rsid w:val="00B379E5"/>
    <w:rsid w:val="00B40A04"/>
    <w:rsid w:val="00B415AA"/>
    <w:rsid w:val="00B419B6"/>
    <w:rsid w:val="00B4415E"/>
    <w:rsid w:val="00B445DD"/>
    <w:rsid w:val="00B46C69"/>
    <w:rsid w:val="00B518BF"/>
    <w:rsid w:val="00B541D7"/>
    <w:rsid w:val="00B5490F"/>
    <w:rsid w:val="00B6294A"/>
    <w:rsid w:val="00B62C4D"/>
    <w:rsid w:val="00B65ED7"/>
    <w:rsid w:val="00B66640"/>
    <w:rsid w:val="00B671F7"/>
    <w:rsid w:val="00B67F59"/>
    <w:rsid w:val="00B7156A"/>
    <w:rsid w:val="00B71B0B"/>
    <w:rsid w:val="00B725AC"/>
    <w:rsid w:val="00B7379E"/>
    <w:rsid w:val="00B73BE2"/>
    <w:rsid w:val="00B752DC"/>
    <w:rsid w:val="00B755E8"/>
    <w:rsid w:val="00B7665A"/>
    <w:rsid w:val="00B772B6"/>
    <w:rsid w:val="00B77662"/>
    <w:rsid w:val="00B77F2B"/>
    <w:rsid w:val="00B81A11"/>
    <w:rsid w:val="00B81B3F"/>
    <w:rsid w:val="00B8207C"/>
    <w:rsid w:val="00B82E20"/>
    <w:rsid w:val="00B82F41"/>
    <w:rsid w:val="00B83379"/>
    <w:rsid w:val="00B833F2"/>
    <w:rsid w:val="00B83C30"/>
    <w:rsid w:val="00B86C8C"/>
    <w:rsid w:val="00B8726F"/>
    <w:rsid w:val="00B91418"/>
    <w:rsid w:val="00B944A2"/>
    <w:rsid w:val="00B94D03"/>
    <w:rsid w:val="00B94DDC"/>
    <w:rsid w:val="00B97413"/>
    <w:rsid w:val="00BA16EE"/>
    <w:rsid w:val="00BA1A3D"/>
    <w:rsid w:val="00BA27D8"/>
    <w:rsid w:val="00BA2A9E"/>
    <w:rsid w:val="00BA3446"/>
    <w:rsid w:val="00BA4221"/>
    <w:rsid w:val="00BA71BA"/>
    <w:rsid w:val="00BB026F"/>
    <w:rsid w:val="00BB1979"/>
    <w:rsid w:val="00BB300E"/>
    <w:rsid w:val="00BB3654"/>
    <w:rsid w:val="00BB40DF"/>
    <w:rsid w:val="00BB531C"/>
    <w:rsid w:val="00BB6F83"/>
    <w:rsid w:val="00BC0A8D"/>
    <w:rsid w:val="00BC19EB"/>
    <w:rsid w:val="00BC2424"/>
    <w:rsid w:val="00BC2F8C"/>
    <w:rsid w:val="00BC478B"/>
    <w:rsid w:val="00BC6301"/>
    <w:rsid w:val="00BC6AE8"/>
    <w:rsid w:val="00BC76F8"/>
    <w:rsid w:val="00BC782B"/>
    <w:rsid w:val="00BC7D71"/>
    <w:rsid w:val="00BD0447"/>
    <w:rsid w:val="00BD102C"/>
    <w:rsid w:val="00BD3693"/>
    <w:rsid w:val="00BD39D0"/>
    <w:rsid w:val="00BD5BBB"/>
    <w:rsid w:val="00BE0609"/>
    <w:rsid w:val="00BE07F0"/>
    <w:rsid w:val="00BE0828"/>
    <w:rsid w:val="00BE0AFF"/>
    <w:rsid w:val="00BE1974"/>
    <w:rsid w:val="00BE2B30"/>
    <w:rsid w:val="00BE313F"/>
    <w:rsid w:val="00BE33EB"/>
    <w:rsid w:val="00BE424A"/>
    <w:rsid w:val="00BE5703"/>
    <w:rsid w:val="00BE6EE2"/>
    <w:rsid w:val="00BE6FD6"/>
    <w:rsid w:val="00BE70C8"/>
    <w:rsid w:val="00BE730A"/>
    <w:rsid w:val="00BE7CAC"/>
    <w:rsid w:val="00BF3608"/>
    <w:rsid w:val="00BF613F"/>
    <w:rsid w:val="00BF64CD"/>
    <w:rsid w:val="00BF6523"/>
    <w:rsid w:val="00BF65E0"/>
    <w:rsid w:val="00C00A7D"/>
    <w:rsid w:val="00C0218D"/>
    <w:rsid w:val="00C02460"/>
    <w:rsid w:val="00C055F3"/>
    <w:rsid w:val="00C060F1"/>
    <w:rsid w:val="00C068B0"/>
    <w:rsid w:val="00C06D27"/>
    <w:rsid w:val="00C10691"/>
    <w:rsid w:val="00C10E1E"/>
    <w:rsid w:val="00C10E63"/>
    <w:rsid w:val="00C11708"/>
    <w:rsid w:val="00C1196F"/>
    <w:rsid w:val="00C12DC2"/>
    <w:rsid w:val="00C13000"/>
    <w:rsid w:val="00C13339"/>
    <w:rsid w:val="00C14213"/>
    <w:rsid w:val="00C14760"/>
    <w:rsid w:val="00C14EFA"/>
    <w:rsid w:val="00C20719"/>
    <w:rsid w:val="00C209C3"/>
    <w:rsid w:val="00C22098"/>
    <w:rsid w:val="00C22159"/>
    <w:rsid w:val="00C222E9"/>
    <w:rsid w:val="00C23127"/>
    <w:rsid w:val="00C24719"/>
    <w:rsid w:val="00C254A5"/>
    <w:rsid w:val="00C25B68"/>
    <w:rsid w:val="00C26044"/>
    <w:rsid w:val="00C26105"/>
    <w:rsid w:val="00C263CA"/>
    <w:rsid w:val="00C26FFF"/>
    <w:rsid w:val="00C2760F"/>
    <w:rsid w:val="00C3008B"/>
    <w:rsid w:val="00C30273"/>
    <w:rsid w:val="00C321DC"/>
    <w:rsid w:val="00C32CCD"/>
    <w:rsid w:val="00C33CE1"/>
    <w:rsid w:val="00C3488E"/>
    <w:rsid w:val="00C34D8A"/>
    <w:rsid w:val="00C3525B"/>
    <w:rsid w:val="00C369F3"/>
    <w:rsid w:val="00C37A7B"/>
    <w:rsid w:val="00C400AC"/>
    <w:rsid w:val="00C41B47"/>
    <w:rsid w:val="00C41B4D"/>
    <w:rsid w:val="00C42A27"/>
    <w:rsid w:val="00C4696D"/>
    <w:rsid w:val="00C46B62"/>
    <w:rsid w:val="00C47077"/>
    <w:rsid w:val="00C47F4A"/>
    <w:rsid w:val="00C50D23"/>
    <w:rsid w:val="00C521E6"/>
    <w:rsid w:val="00C53ADC"/>
    <w:rsid w:val="00C5401C"/>
    <w:rsid w:val="00C560DC"/>
    <w:rsid w:val="00C57395"/>
    <w:rsid w:val="00C60EDF"/>
    <w:rsid w:val="00C612EB"/>
    <w:rsid w:val="00C61B6D"/>
    <w:rsid w:val="00C621C1"/>
    <w:rsid w:val="00C6395C"/>
    <w:rsid w:val="00C643EC"/>
    <w:rsid w:val="00C6445E"/>
    <w:rsid w:val="00C66474"/>
    <w:rsid w:val="00C673F9"/>
    <w:rsid w:val="00C7023A"/>
    <w:rsid w:val="00C72608"/>
    <w:rsid w:val="00C7354B"/>
    <w:rsid w:val="00C73AAE"/>
    <w:rsid w:val="00C73B4A"/>
    <w:rsid w:val="00C741A4"/>
    <w:rsid w:val="00C74378"/>
    <w:rsid w:val="00C751A5"/>
    <w:rsid w:val="00C76A3B"/>
    <w:rsid w:val="00C76DA0"/>
    <w:rsid w:val="00C77033"/>
    <w:rsid w:val="00C83B40"/>
    <w:rsid w:val="00C84297"/>
    <w:rsid w:val="00C8518C"/>
    <w:rsid w:val="00C852C5"/>
    <w:rsid w:val="00C85670"/>
    <w:rsid w:val="00C85BB9"/>
    <w:rsid w:val="00C86B5D"/>
    <w:rsid w:val="00C87ECB"/>
    <w:rsid w:val="00C90A26"/>
    <w:rsid w:val="00C91312"/>
    <w:rsid w:val="00C91F8F"/>
    <w:rsid w:val="00C92D78"/>
    <w:rsid w:val="00C92F50"/>
    <w:rsid w:val="00C956FF"/>
    <w:rsid w:val="00C95D24"/>
    <w:rsid w:val="00C95EB7"/>
    <w:rsid w:val="00C966C9"/>
    <w:rsid w:val="00C96E60"/>
    <w:rsid w:val="00C9770D"/>
    <w:rsid w:val="00C97E6F"/>
    <w:rsid w:val="00CA079A"/>
    <w:rsid w:val="00CA1B1B"/>
    <w:rsid w:val="00CA3248"/>
    <w:rsid w:val="00CA33EF"/>
    <w:rsid w:val="00CA374D"/>
    <w:rsid w:val="00CA3947"/>
    <w:rsid w:val="00CA3EEE"/>
    <w:rsid w:val="00CA62AE"/>
    <w:rsid w:val="00CA6420"/>
    <w:rsid w:val="00CA647F"/>
    <w:rsid w:val="00CA7221"/>
    <w:rsid w:val="00CB1826"/>
    <w:rsid w:val="00CB4C39"/>
    <w:rsid w:val="00CB4D5B"/>
    <w:rsid w:val="00CB62EE"/>
    <w:rsid w:val="00CB65E1"/>
    <w:rsid w:val="00CB7057"/>
    <w:rsid w:val="00CB7B18"/>
    <w:rsid w:val="00CC3EF3"/>
    <w:rsid w:val="00CC49E6"/>
    <w:rsid w:val="00CC5EE1"/>
    <w:rsid w:val="00CD0C19"/>
    <w:rsid w:val="00CD0F9C"/>
    <w:rsid w:val="00CD1E7E"/>
    <w:rsid w:val="00CD2956"/>
    <w:rsid w:val="00CD2AE5"/>
    <w:rsid w:val="00CD3763"/>
    <w:rsid w:val="00CD6DCD"/>
    <w:rsid w:val="00CD7582"/>
    <w:rsid w:val="00CE0827"/>
    <w:rsid w:val="00CE2305"/>
    <w:rsid w:val="00CE6174"/>
    <w:rsid w:val="00CE7264"/>
    <w:rsid w:val="00CF0CC9"/>
    <w:rsid w:val="00CF296D"/>
    <w:rsid w:val="00CF2ABE"/>
    <w:rsid w:val="00CF34F6"/>
    <w:rsid w:val="00CF4EF2"/>
    <w:rsid w:val="00CF53E9"/>
    <w:rsid w:val="00CF62EF"/>
    <w:rsid w:val="00CF716F"/>
    <w:rsid w:val="00CF7730"/>
    <w:rsid w:val="00D00901"/>
    <w:rsid w:val="00D011A3"/>
    <w:rsid w:val="00D0124B"/>
    <w:rsid w:val="00D012CC"/>
    <w:rsid w:val="00D01681"/>
    <w:rsid w:val="00D01BC4"/>
    <w:rsid w:val="00D028FE"/>
    <w:rsid w:val="00D04DDF"/>
    <w:rsid w:val="00D05636"/>
    <w:rsid w:val="00D07D53"/>
    <w:rsid w:val="00D11A47"/>
    <w:rsid w:val="00D138CF"/>
    <w:rsid w:val="00D139BB"/>
    <w:rsid w:val="00D13FF2"/>
    <w:rsid w:val="00D15C46"/>
    <w:rsid w:val="00D16219"/>
    <w:rsid w:val="00D16CED"/>
    <w:rsid w:val="00D1780D"/>
    <w:rsid w:val="00D17A0B"/>
    <w:rsid w:val="00D207B2"/>
    <w:rsid w:val="00D20DCB"/>
    <w:rsid w:val="00D2390F"/>
    <w:rsid w:val="00D249FB"/>
    <w:rsid w:val="00D27FA7"/>
    <w:rsid w:val="00D35B63"/>
    <w:rsid w:val="00D37F1C"/>
    <w:rsid w:val="00D4029B"/>
    <w:rsid w:val="00D41653"/>
    <w:rsid w:val="00D41794"/>
    <w:rsid w:val="00D422F0"/>
    <w:rsid w:val="00D428E3"/>
    <w:rsid w:val="00D4314D"/>
    <w:rsid w:val="00D44A6E"/>
    <w:rsid w:val="00D4567A"/>
    <w:rsid w:val="00D45C58"/>
    <w:rsid w:val="00D461DE"/>
    <w:rsid w:val="00D46AC6"/>
    <w:rsid w:val="00D4742D"/>
    <w:rsid w:val="00D5024D"/>
    <w:rsid w:val="00D51085"/>
    <w:rsid w:val="00D51817"/>
    <w:rsid w:val="00D521D6"/>
    <w:rsid w:val="00D52E08"/>
    <w:rsid w:val="00D53685"/>
    <w:rsid w:val="00D538BB"/>
    <w:rsid w:val="00D5421B"/>
    <w:rsid w:val="00D547B4"/>
    <w:rsid w:val="00D60E40"/>
    <w:rsid w:val="00D62485"/>
    <w:rsid w:val="00D625B7"/>
    <w:rsid w:val="00D62EC2"/>
    <w:rsid w:val="00D6343C"/>
    <w:rsid w:val="00D63512"/>
    <w:rsid w:val="00D63F5C"/>
    <w:rsid w:val="00D7032C"/>
    <w:rsid w:val="00D703AB"/>
    <w:rsid w:val="00D70919"/>
    <w:rsid w:val="00D70F58"/>
    <w:rsid w:val="00D73365"/>
    <w:rsid w:val="00D7374A"/>
    <w:rsid w:val="00D74430"/>
    <w:rsid w:val="00D75388"/>
    <w:rsid w:val="00D75896"/>
    <w:rsid w:val="00D75E47"/>
    <w:rsid w:val="00D800EF"/>
    <w:rsid w:val="00D81D3F"/>
    <w:rsid w:val="00D81E39"/>
    <w:rsid w:val="00D82042"/>
    <w:rsid w:val="00D827EC"/>
    <w:rsid w:val="00D82FDD"/>
    <w:rsid w:val="00D831C5"/>
    <w:rsid w:val="00D85043"/>
    <w:rsid w:val="00D860FC"/>
    <w:rsid w:val="00D864BF"/>
    <w:rsid w:val="00D8653D"/>
    <w:rsid w:val="00D86D82"/>
    <w:rsid w:val="00D9150A"/>
    <w:rsid w:val="00D91F4E"/>
    <w:rsid w:val="00D9321A"/>
    <w:rsid w:val="00D93EB3"/>
    <w:rsid w:val="00D940EB"/>
    <w:rsid w:val="00D941E2"/>
    <w:rsid w:val="00D94EF0"/>
    <w:rsid w:val="00D95A23"/>
    <w:rsid w:val="00D96076"/>
    <w:rsid w:val="00DA0539"/>
    <w:rsid w:val="00DA14AF"/>
    <w:rsid w:val="00DA2B43"/>
    <w:rsid w:val="00DA3D11"/>
    <w:rsid w:val="00DA44F9"/>
    <w:rsid w:val="00DA4D71"/>
    <w:rsid w:val="00DA5D97"/>
    <w:rsid w:val="00DA6924"/>
    <w:rsid w:val="00DA7CCB"/>
    <w:rsid w:val="00DB0263"/>
    <w:rsid w:val="00DB063A"/>
    <w:rsid w:val="00DB1CF1"/>
    <w:rsid w:val="00DB1EDF"/>
    <w:rsid w:val="00DB1F75"/>
    <w:rsid w:val="00DB208B"/>
    <w:rsid w:val="00DB239A"/>
    <w:rsid w:val="00DB2BC8"/>
    <w:rsid w:val="00DB4963"/>
    <w:rsid w:val="00DB4BEE"/>
    <w:rsid w:val="00DB5585"/>
    <w:rsid w:val="00DB5661"/>
    <w:rsid w:val="00DB5B51"/>
    <w:rsid w:val="00DB62B2"/>
    <w:rsid w:val="00DC011F"/>
    <w:rsid w:val="00DC02CA"/>
    <w:rsid w:val="00DC1D6E"/>
    <w:rsid w:val="00DC28C2"/>
    <w:rsid w:val="00DC4AE4"/>
    <w:rsid w:val="00DC4E94"/>
    <w:rsid w:val="00DC5404"/>
    <w:rsid w:val="00DC5EFD"/>
    <w:rsid w:val="00DC6D3A"/>
    <w:rsid w:val="00DD0F33"/>
    <w:rsid w:val="00DD1687"/>
    <w:rsid w:val="00DD1E32"/>
    <w:rsid w:val="00DD2957"/>
    <w:rsid w:val="00DD2977"/>
    <w:rsid w:val="00DD31BB"/>
    <w:rsid w:val="00DD4703"/>
    <w:rsid w:val="00DD4E0D"/>
    <w:rsid w:val="00DD4E9A"/>
    <w:rsid w:val="00DD62F4"/>
    <w:rsid w:val="00DD6362"/>
    <w:rsid w:val="00DD650D"/>
    <w:rsid w:val="00DE169E"/>
    <w:rsid w:val="00DE191D"/>
    <w:rsid w:val="00DE2CEF"/>
    <w:rsid w:val="00DE37FA"/>
    <w:rsid w:val="00DE415B"/>
    <w:rsid w:val="00DE4F63"/>
    <w:rsid w:val="00DF011C"/>
    <w:rsid w:val="00DF0CCF"/>
    <w:rsid w:val="00DF143F"/>
    <w:rsid w:val="00DF24AB"/>
    <w:rsid w:val="00DF30FF"/>
    <w:rsid w:val="00DF430D"/>
    <w:rsid w:val="00DF72D7"/>
    <w:rsid w:val="00DF7E8F"/>
    <w:rsid w:val="00E018A9"/>
    <w:rsid w:val="00E01CE6"/>
    <w:rsid w:val="00E02376"/>
    <w:rsid w:val="00E049DC"/>
    <w:rsid w:val="00E04AB9"/>
    <w:rsid w:val="00E052F9"/>
    <w:rsid w:val="00E05D7C"/>
    <w:rsid w:val="00E06B61"/>
    <w:rsid w:val="00E06D2A"/>
    <w:rsid w:val="00E06F74"/>
    <w:rsid w:val="00E0769E"/>
    <w:rsid w:val="00E07CF3"/>
    <w:rsid w:val="00E1017C"/>
    <w:rsid w:val="00E15111"/>
    <w:rsid w:val="00E165D0"/>
    <w:rsid w:val="00E202CE"/>
    <w:rsid w:val="00E21B95"/>
    <w:rsid w:val="00E226CD"/>
    <w:rsid w:val="00E2480E"/>
    <w:rsid w:val="00E24E2C"/>
    <w:rsid w:val="00E25D41"/>
    <w:rsid w:val="00E2730D"/>
    <w:rsid w:val="00E274C6"/>
    <w:rsid w:val="00E27A01"/>
    <w:rsid w:val="00E27EC8"/>
    <w:rsid w:val="00E30A29"/>
    <w:rsid w:val="00E32143"/>
    <w:rsid w:val="00E3235B"/>
    <w:rsid w:val="00E32C18"/>
    <w:rsid w:val="00E332AB"/>
    <w:rsid w:val="00E33A86"/>
    <w:rsid w:val="00E33B06"/>
    <w:rsid w:val="00E34510"/>
    <w:rsid w:val="00E34DE8"/>
    <w:rsid w:val="00E364DB"/>
    <w:rsid w:val="00E37F45"/>
    <w:rsid w:val="00E418D1"/>
    <w:rsid w:val="00E428D1"/>
    <w:rsid w:val="00E43576"/>
    <w:rsid w:val="00E43C22"/>
    <w:rsid w:val="00E452B4"/>
    <w:rsid w:val="00E465DA"/>
    <w:rsid w:val="00E466B5"/>
    <w:rsid w:val="00E470EC"/>
    <w:rsid w:val="00E478F4"/>
    <w:rsid w:val="00E5024F"/>
    <w:rsid w:val="00E51E04"/>
    <w:rsid w:val="00E51FA3"/>
    <w:rsid w:val="00E52724"/>
    <w:rsid w:val="00E52AB9"/>
    <w:rsid w:val="00E52BF4"/>
    <w:rsid w:val="00E54C85"/>
    <w:rsid w:val="00E5683F"/>
    <w:rsid w:val="00E56B4E"/>
    <w:rsid w:val="00E57936"/>
    <w:rsid w:val="00E60074"/>
    <w:rsid w:val="00E60D20"/>
    <w:rsid w:val="00E60D2F"/>
    <w:rsid w:val="00E61C21"/>
    <w:rsid w:val="00E62BD9"/>
    <w:rsid w:val="00E63538"/>
    <w:rsid w:val="00E637C3"/>
    <w:rsid w:val="00E6390C"/>
    <w:rsid w:val="00E63DB7"/>
    <w:rsid w:val="00E64468"/>
    <w:rsid w:val="00E6452A"/>
    <w:rsid w:val="00E655F2"/>
    <w:rsid w:val="00E70BAF"/>
    <w:rsid w:val="00E70D6B"/>
    <w:rsid w:val="00E717DB"/>
    <w:rsid w:val="00E71BF5"/>
    <w:rsid w:val="00E732D6"/>
    <w:rsid w:val="00E73316"/>
    <w:rsid w:val="00E7505F"/>
    <w:rsid w:val="00E765FB"/>
    <w:rsid w:val="00E77FDF"/>
    <w:rsid w:val="00E815D7"/>
    <w:rsid w:val="00E81D33"/>
    <w:rsid w:val="00E830EF"/>
    <w:rsid w:val="00E8399C"/>
    <w:rsid w:val="00E8441A"/>
    <w:rsid w:val="00E84A9F"/>
    <w:rsid w:val="00E85287"/>
    <w:rsid w:val="00E858DC"/>
    <w:rsid w:val="00E85C15"/>
    <w:rsid w:val="00E85F42"/>
    <w:rsid w:val="00E864E4"/>
    <w:rsid w:val="00E900D9"/>
    <w:rsid w:val="00E911C3"/>
    <w:rsid w:val="00E911EC"/>
    <w:rsid w:val="00E927A4"/>
    <w:rsid w:val="00E9390B"/>
    <w:rsid w:val="00E941C6"/>
    <w:rsid w:val="00E94CB2"/>
    <w:rsid w:val="00E9684C"/>
    <w:rsid w:val="00E97041"/>
    <w:rsid w:val="00EA0538"/>
    <w:rsid w:val="00EA0594"/>
    <w:rsid w:val="00EA060E"/>
    <w:rsid w:val="00EA0F63"/>
    <w:rsid w:val="00EA175F"/>
    <w:rsid w:val="00EA23DF"/>
    <w:rsid w:val="00EA2D5D"/>
    <w:rsid w:val="00EA3EA3"/>
    <w:rsid w:val="00EA4D69"/>
    <w:rsid w:val="00EA7BE8"/>
    <w:rsid w:val="00EB0688"/>
    <w:rsid w:val="00EB107E"/>
    <w:rsid w:val="00EB159A"/>
    <w:rsid w:val="00EB1991"/>
    <w:rsid w:val="00EB1E01"/>
    <w:rsid w:val="00EB33FB"/>
    <w:rsid w:val="00EB3642"/>
    <w:rsid w:val="00EB3C11"/>
    <w:rsid w:val="00EB42DF"/>
    <w:rsid w:val="00EB5742"/>
    <w:rsid w:val="00EB616D"/>
    <w:rsid w:val="00EB63B4"/>
    <w:rsid w:val="00EB73ED"/>
    <w:rsid w:val="00EB7882"/>
    <w:rsid w:val="00EB7929"/>
    <w:rsid w:val="00EC06B5"/>
    <w:rsid w:val="00EC105D"/>
    <w:rsid w:val="00EC1227"/>
    <w:rsid w:val="00EC2C8F"/>
    <w:rsid w:val="00EC4250"/>
    <w:rsid w:val="00EC4A2F"/>
    <w:rsid w:val="00EC54DF"/>
    <w:rsid w:val="00EC59AB"/>
    <w:rsid w:val="00EC68FF"/>
    <w:rsid w:val="00EC7537"/>
    <w:rsid w:val="00EC7C15"/>
    <w:rsid w:val="00ED2CE6"/>
    <w:rsid w:val="00ED2D07"/>
    <w:rsid w:val="00ED338B"/>
    <w:rsid w:val="00ED45DA"/>
    <w:rsid w:val="00ED4B92"/>
    <w:rsid w:val="00ED4C75"/>
    <w:rsid w:val="00ED57CD"/>
    <w:rsid w:val="00ED6C83"/>
    <w:rsid w:val="00ED7525"/>
    <w:rsid w:val="00EE0223"/>
    <w:rsid w:val="00EE14CC"/>
    <w:rsid w:val="00EE16CD"/>
    <w:rsid w:val="00EE16D6"/>
    <w:rsid w:val="00EE2731"/>
    <w:rsid w:val="00EE2C9A"/>
    <w:rsid w:val="00EE374D"/>
    <w:rsid w:val="00EE5D50"/>
    <w:rsid w:val="00EE7E81"/>
    <w:rsid w:val="00EF16B8"/>
    <w:rsid w:val="00EF28B9"/>
    <w:rsid w:val="00EF40F6"/>
    <w:rsid w:val="00EF4EC0"/>
    <w:rsid w:val="00EF67D5"/>
    <w:rsid w:val="00EF6D3E"/>
    <w:rsid w:val="00EF73D4"/>
    <w:rsid w:val="00F00706"/>
    <w:rsid w:val="00F00C83"/>
    <w:rsid w:val="00F04803"/>
    <w:rsid w:val="00F04E4F"/>
    <w:rsid w:val="00F051A0"/>
    <w:rsid w:val="00F05925"/>
    <w:rsid w:val="00F05A10"/>
    <w:rsid w:val="00F06927"/>
    <w:rsid w:val="00F06EEC"/>
    <w:rsid w:val="00F1021A"/>
    <w:rsid w:val="00F10C59"/>
    <w:rsid w:val="00F12241"/>
    <w:rsid w:val="00F140AC"/>
    <w:rsid w:val="00F1440F"/>
    <w:rsid w:val="00F148B4"/>
    <w:rsid w:val="00F165A8"/>
    <w:rsid w:val="00F16ABC"/>
    <w:rsid w:val="00F20098"/>
    <w:rsid w:val="00F20B46"/>
    <w:rsid w:val="00F20C65"/>
    <w:rsid w:val="00F21C96"/>
    <w:rsid w:val="00F22391"/>
    <w:rsid w:val="00F23EA4"/>
    <w:rsid w:val="00F24B90"/>
    <w:rsid w:val="00F2667F"/>
    <w:rsid w:val="00F26AAD"/>
    <w:rsid w:val="00F26E15"/>
    <w:rsid w:val="00F26FAA"/>
    <w:rsid w:val="00F274E8"/>
    <w:rsid w:val="00F27E7A"/>
    <w:rsid w:val="00F30CEB"/>
    <w:rsid w:val="00F319CE"/>
    <w:rsid w:val="00F32882"/>
    <w:rsid w:val="00F33502"/>
    <w:rsid w:val="00F34D92"/>
    <w:rsid w:val="00F352F2"/>
    <w:rsid w:val="00F356DD"/>
    <w:rsid w:val="00F37112"/>
    <w:rsid w:val="00F377E6"/>
    <w:rsid w:val="00F37FD4"/>
    <w:rsid w:val="00F40218"/>
    <w:rsid w:val="00F40F73"/>
    <w:rsid w:val="00F41D2E"/>
    <w:rsid w:val="00F4257A"/>
    <w:rsid w:val="00F44A73"/>
    <w:rsid w:val="00F4614B"/>
    <w:rsid w:val="00F511D4"/>
    <w:rsid w:val="00F52069"/>
    <w:rsid w:val="00F53129"/>
    <w:rsid w:val="00F54209"/>
    <w:rsid w:val="00F543BD"/>
    <w:rsid w:val="00F55519"/>
    <w:rsid w:val="00F574A9"/>
    <w:rsid w:val="00F57DCF"/>
    <w:rsid w:val="00F6086A"/>
    <w:rsid w:val="00F623C3"/>
    <w:rsid w:val="00F62B35"/>
    <w:rsid w:val="00F65053"/>
    <w:rsid w:val="00F66D85"/>
    <w:rsid w:val="00F67B26"/>
    <w:rsid w:val="00F67BFC"/>
    <w:rsid w:val="00F67D4D"/>
    <w:rsid w:val="00F73F58"/>
    <w:rsid w:val="00F74284"/>
    <w:rsid w:val="00F74304"/>
    <w:rsid w:val="00F74E42"/>
    <w:rsid w:val="00F752F3"/>
    <w:rsid w:val="00F7552C"/>
    <w:rsid w:val="00F760D4"/>
    <w:rsid w:val="00F804BA"/>
    <w:rsid w:val="00F8270F"/>
    <w:rsid w:val="00F84A4B"/>
    <w:rsid w:val="00F86237"/>
    <w:rsid w:val="00F86B4B"/>
    <w:rsid w:val="00F8761E"/>
    <w:rsid w:val="00F87F76"/>
    <w:rsid w:val="00F9037A"/>
    <w:rsid w:val="00F90CBE"/>
    <w:rsid w:val="00F91FD2"/>
    <w:rsid w:val="00F922E0"/>
    <w:rsid w:val="00F935F8"/>
    <w:rsid w:val="00F9497A"/>
    <w:rsid w:val="00F972A0"/>
    <w:rsid w:val="00F972B9"/>
    <w:rsid w:val="00F97F57"/>
    <w:rsid w:val="00FA084E"/>
    <w:rsid w:val="00FA1548"/>
    <w:rsid w:val="00FA1ECB"/>
    <w:rsid w:val="00FA2377"/>
    <w:rsid w:val="00FA324A"/>
    <w:rsid w:val="00FA329E"/>
    <w:rsid w:val="00FA3D28"/>
    <w:rsid w:val="00FA3E66"/>
    <w:rsid w:val="00FA41AF"/>
    <w:rsid w:val="00FA58C0"/>
    <w:rsid w:val="00FA5EEB"/>
    <w:rsid w:val="00FA6752"/>
    <w:rsid w:val="00FA680B"/>
    <w:rsid w:val="00FB0957"/>
    <w:rsid w:val="00FB1230"/>
    <w:rsid w:val="00FB129E"/>
    <w:rsid w:val="00FB16B2"/>
    <w:rsid w:val="00FB46A0"/>
    <w:rsid w:val="00FB46EA"/>
    <w:rsid w:val="00FB4A96"/>
    <w:rsid w:val="00FC1FD6"/>
    <w:rsid w:val="00FC26DE"/>
    <w:rsid w:val="00FC41F3"/>
    <w:rsid w:val="00FC5454"/>
    <w:rsid w:val="00FC5B6B"/>
    <w:rsid w:val="00FC6651"/>
    <w:rsid w:val="00FD1C51"/>
    <w:rsid w:val="00FD24BD"/>
    <w:rsid w:val="00FD3B14"/>
    <w:rsid w:val="00FD49DE"/>
    <w:rsid w:val="00FD54C2"/>
    <w:rsid w:val="00FD7879"/>
    <w:rsid w:val="00FE1149"/>
    <w:rsid w:val="00FE1A30"/>
    <w:rsid w:val="00FE2C8B"/>
    <w:rsid w:val="00FE2E60"/>
    <w:rsid w:val="00FE3047"/>
    <w:rsid w:val="00FE3A60"/>
    <w:rsid w:val="00FE53BF"/>
    <w:rsid w:val="00FE73D7"/>
    <w:rsid w:val="00FE76C4"/>
    <w:rsid w:val="00FF0B29"/>
    <w:rsid w:val="00FF14DE"/>
    <w:rsid w:val="00FF1D18"/>
    <w:rsid w:val="00FF1E2D"/>
    <w:rsid w:val="00FF209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A0BF74"/>
  <w15:docId w15:val="{08D34423-1947-4104-BDE8-1498C451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3A"/>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rsid w:val="00E51E04"/>
    <w:rPr>
      <w:color w:val="0000FF"/>
      <w:u w:val="single"/>
    </w:rPr>
  </w:style>
  <w:style w:type="character" w:styleId="Emphasis">
    <w:name w:val="Emphasis"/>
    <w:basedOn w:val="DefaultParagraphFont"/>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semiHidden/>
    <w:unhideWhenUsed/>
    <w:qFormat/>
    <w:rsid w:val="00CF716F"/>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F716F"/>
    <w:rPr>
      <w:rFonts w:ascii="Times New Roman" w:eastAsia="Times New Roman" w:hAnsi="Times New Roman" w:cs="Times New Roman"/>
      <w:sz w:val="20"/>
      <w:szCs w:val="20"/>
    </w:rPr>
  </w:style>
  <w:style w:type="character" w:styleId="FootnoteReference">
    <w:name w:val="footnote reference"/>
    <w:aliases w:val="footnote text,o,fr"/>
    <w:basedOn w:val="DefaultParagraphFont"/>
    <w:uiPriority w:val="99"/>
    <w:unhideWhenUsed/>
    <w:rsid w:val="00CF716F"/>
    <w:rPr>
      <w:vertAlign w:val="superscript"/>
    </w:rPr>
  </w:style>
  <w:style w:type="paragraph" w:customStyle="1" w:styleId="ParaTab1">
    <w:name w:val="ParaTab 1"/>
    <w:rsid w:val="0029557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74B9A"/>
    <w:rPr>
      <w:sz w:val="16"/>
      <w:szCs w:val="16"/>
    </w:rPr>
  </w:style>
  <w:style w:type="paragraph" w:styleId="CommentText">
    <w:name w:val="annotation text"/>
    <w:basedOn w:val="Normal"/>
    <w:link w:val="CommentTextChar"/>
    <w:uiPriority w:val="99"/>
    <w:semiHidden/>
    <w:unhideWhenUsed/>
    <w:rsid w:val="00674B9A"/>
  </w:style>
  <w:style w:type="character" w:customStyle="1" w:styleId="CommentTextChar">
    <w:name w:val="Comment Text Char"/>
    <w:basedOn w:val="DefaultParagraphFont"/>
    <w:link w:val="CommentText"/>
    <w:uiPriority w:val="99"/>
    <w:semiHidden/>
    <w:rsid w:val="00674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B9A"/>
    <w:rPr>
      <w:b/>
      <w:bCs/>
    </w:rPr>
  </w:style>
  <w:style w:type="character" w:customStyle="1" w:styleId="CommentSubjectChar">
    <w:name w:val="Comment Subject Char"/>
    <w:basedOn w:val="CommentTextChar"/>
    <w:link w:val="CommentSubject"/>
    <w:uiPriority w:val="99"/>
    <w:semiHidden/>
    <w:rsid w:val="00674B9A"/>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B94D03"/>
    <w:pPr>
      <w:widowControl/>
      <w:contextualSpacing/>
    </w:pPr>
    <w:rPr>
      <w:rFonts w:eastAsia="Calibri"/>
      <w:sz w:val="26"/>
      <w:szCs w:val="26"/>
    </w:rPr>
  </w:style>
  <w:style w:type="character" w:customStyle="1" w:styleId="BodyTextChar">
    <w:name w:val="Body Text Char"/>
    <w:basedOn w:val="DefaultParagraphFont"/>
    <w:link w:val="BodyText"/>
    <w:uiPriority w:val="99"/>
    <w:rsid w:val="00B94D03"/>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4089">
      <w:bodyDiv w:val="1"/>
      <w:marLeft w:val="0"/>
      <w:marRight w:val="0"/>
      <w:marTop w:val="0"/>
      <w:marBottom w:val="0"/>
      <w:divBdr>
        <w:top w:val="none" w:sz="0" w:space="0" w:color="auto"/>
        <w:left w:val="none" w:sz="0" w:space="0" w:color="auto"/>
        <w:bottom w:val="none" w:sz="0" w:space="0" w:color="auto"/>
        <w:right w:val="none" w:sz="0" w:space="0" w:color="auto"/>
      </w:divBdr>
    </w:div>
    <w:div w:id="361714526">
      <w:bodyDiv w:val="1"/>
      <w:marLeft w:val="0"/>
      <w:marRight w:val="0"/>
      <w:marTop w:val="0"/>
      <w:marBottom w:val="0"/>
      <w:divBdr>
        <w:top w:val="none" w:sz="0" w:space="0" w:color="auto"/>
        <w:left w:val="none" w:sz="0" w:space="0" w:color="auto"/>
        <w:bottom w:val="none" w:sz="0" w:space="0" w:color="auto"/>
        <w:right w:val="none" w:sz="0" w:space="0" w:color="auto"/>
      </w:divBdr>
    </w:div>
    <w:div w:id="396365024">
      <w:bodyDiv w:val="1"/>
      <w:marLeft w:val="0"/>
      <w:marRight w:val="0"/>
      <w:marTop w:val="0"/>
      <w:marBottom w:val="0"/>
      <w:divBdr>
        <w:top w:val="none" w:sz="0" w:space="0" w:color="auto"/>
        <w:left w:val="none" w:sz="0" w:space="0" w:color="auto"/>
        <w:bottom w:val="none" w:sz="0" w:space="0" w:color="auto"/>
        <w:right w:val="none" w:sz="0" w:space="0" w:color="auto"/>
      </w:divBdr>
    </w:div>
    <w:div w:id="557976051">
      <w:bodyDiv w:val="1"/>
      <w:marLeft w:val="0"/>
      <w:marRight w:val="0"/>
      <w:marTop w:val="0"/>
      <w:marBottom w:val="0"/>
      <w:divBdr>
        <w:top w:val="none" w:sz="0" w:space="0" w:color="auto"/>
        <w:left w:val="none" w:sz="0" w:space="0" w:color="auto"/>
        <w:bottom w:val="none" w:sz="0" w:space="0" w:color="auto"/>
        <w:right w:val="none" w:sz="0" w:space="0" w:color="auto"/>
      </w:divBdr>
    </w:div>
    <w:div w:id="742874425">
      <w:bodyDiv w:val="1"/>
      <w:marLeft w:val="0"/>
      <w:marRight w:val="0"/>
      <w:marTop w:val="0"/>
      <w:marBottom w:val="0"/>
      <w:divBdr>
        <w:top w:val="none" w:sz="0" w:space="0" w:color="auto"/>
        <w:left w:val="none" w:sz="0" w:space="0" w:color="auto"/>
        <w:bottom w:val="none" w:sz="0" w:space="0" w:color="auto"/>
        <w:right w:val="none" w:sz="0" w:space="0" w:color="auto"/>
      </w:divBdr>
    </w:div>
    <w:div w:id="791479833">
      <w:bodyDiv w:val="1"/>
      <w:marLeft w:val="0"/>
      <w:marRight w:val="0"/>
      <w:marTop w:val="0"/>
      <w:marBottom w:val="0"/>
      <w:divBdr>
        <w:top w:val="none" w:sz="0" w:space="0" w:color="auto"/>
        <w:left w:val="none" w:sz="0" w:space="0" w:color="auto"/>
        <w:bottom w:val="none" w:sz="0" w:space="0" w:color="auto"/>
        <w:right w:val="none" w:sz="0" w:space="0" w:color="auto"/>
      </w:divBdr>
    </w:div>
    <w:div w:id="912668039">
      <w:bodyDiv w:val="1"/>
      <w:marLeft w:val="0"/>
      <w:marRight w:val="0"/>
      <w:marTop w:val="0"/>
      <w:marBottom w:val="0"/>
      <w:divBdr>
        <w:top w:val="none" w:sz="0" w:space="0" w:color="auto"/>
        <w:left w:val="none" w:sz="0" w:space="0" w:color="auto"/>
        <w:bottom w:val="none" w:sz="0" w:space="0" w:color="auto"/>
        <w:right w:val="none" w:sz="0" w:space="0" w:color="auto"/>
      </w:divBdr>
    </w:div>
    <w:div w:id="936906214">
      <w:bodyDiv w:val="1"/>
      <w:marLeft w:val="0"/>
      <w:marRight w:val="0"/>
      <w:marTop w:val="0"/>
      <w:marBottom w:val="0"/>
      <w:divBdr>
        <w:top w:val="none" w:sz="0" w:space="0" w:color="auto"/>
        <w:left w:val="none" w:sz="0" w:space="0" w:color="auto"/>
        <w:bottom w:val="none" w:sz="0" w:space="0" w:color="auto"/>
        <w:right w:val="none" w:sz="0" w:space="0" w:color="auto"/>
      </w:divBdr>
      <w:divsChild>
        <w:div w:id="203542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07315">
      <w:bodyDiv w:val="1"/>
      <w:marLeft w:val="0"/>
      <w:marRight w:val="0"/>
      <w:marTop w:val="0"/>
      <w:marBottom w:val="0"/>
      <w:divBdr>
        <w:top w:val="none" w:sz="0" w:space="0" w:color="auto"/>
        <w:left w:val="none" w:sz="0" w:space="0" w:color="auto"/>
        <w:bottom w:val="none" w:sz="0" w:space="0" w:color="auto"/>
        <w:right w:val="none" w:sz="0" w:space="0" w:color="auto"/>
      </w:divBdr>
    </w:div>
    <w:div w:id="1045376112">
      <w:bodyDiv w:val="1"/>
      <w:marLeft w:val="0"/>
      <w:marRight w:val="0"/>
      <w:marTop w:val="0"/>
      <w:marBottom w:val="0"/>
      <w:divBdr>
        <w:top w:val="none" w:sz="0" w:space="0" w:color="auto"/>
        <w:left w:val="none" w:sz="0" w:space="0" w:color="auto"/>
        <w:bottom w:val="none" w:sz="0" w:space="0" w:color="auto"/>
        <w:right w:val="none" w:sz="0" w:space="0" w:color="auto"/>
      </w:divBdr>
    </w:div>
    <w:div w:id="1107582193">
      <w:bodyDiv w:val="1"/>
      <w:marLeft w:val="0"/>
      <w:marRight w:val="0"/>
      <w:marTop w:val="0"/>
      <w:marBottom w:val="0"/>
      <w:divBdr>
        <w:top w:val="none" w:sz="0" w:space="0" w:color="auto"/>
        <w:left w:val="none" w:sz="0" w:space="0" w:color="auto"/>
        <w:bottom w:val="none" w:sz="0" w:space="0" w:color="auto"/>
        <w:right w:val="none" w:sz="0" w:space="0" w:color="auto"/>
      </w:divBdr>
    </w:div>
    <w:div w:id="1144353039">
      <w:bodyDiv w:val="1"/>
      <w:marLeft w:val="0"/>
      <w:marRight w:val="0"/>
      <w:marTop w:val="0"/>
      <w:marBottom w:val="0"/>
      <w:divBdr>
        <w:top w:val="none" w:sz="0" w:space="0" w:color="auto"/>
        <w:left w:val="none" w:sz="0" w:space="0" w:color="auto"/>
        <w:bottom w:val="none" w:sz="0" w:space="0" w:color="auto"/>
        <w:right w:val="none" w:sz="0" w:space="0" w:color="auto"/>
      </w:divBdr>
    </w:div>
    <w:div w:id="1170213271">
      <w:bodyDiv w:val="1"/>
      <w:marLeft w:val="0"/>
      <w:marRight w:val="0"/>
      <w:marTop w:val="0"/>
      <w:marBottom w:val="0"/>
      <w:divBdr>
        <w:top w:val="none" w:sz="0" w:space="0" w:color="auto"/>
        <w:left w:val="none" w:sz="0" w:space="0" w:color="auto"/>
        <w:bottom w:val="none" w:sz="0" w:space="0" w:color="auto"/>
        <w:right w:val="none" w:sz="0" w:space="0" w:color="auto"/>
      </w:divBdr>
    </w:div>
    <w:div w:id="1193883583">
      <w:bodyDiv w:val="1"/>
      <w:marLeft w:val="0"/>
      <w:marRight w:val="0"/>
      <w:marTop w:val="0"/>
      <w:marBottom w:val="0"/>
      <w:divBdr>
        <w:top w:val="none" w:sz="0" w:space="0" w:color="auto"/>
        <w:left w:val="none" w:sz="0" w:space="0" w:color="auto"/>
        <w:bottom w:val="none" w:sz="0" w:space="0" w:color="auto"/>
        <w:right w:val="none" w:sz="0" w:space="0" w:color="auto"/>
      </w:divBdr>
    </w:div>
    <w:div w:id="1201433741">
      <w:bodyDiv w:val="1"/>
      <w:marLeft w:val="0"/>
      <w:marRight w:val="0"/>
      <w:marTop w:val="0"/>
      <w:marBottom w:val="0"/>
      <w:divBdr>
        <w:top w:val="none" w:sz="0" w:space="0" w:color="auto"/>
        <w:left w:val="none" w:sz="0" w:space="0" w:color="auto"/>
        <w:bottom w:val="none" w:sz="0" w:space="0" w:color="auto"/>
        <w:right w:val="none" w:sz="0" w:space="0" w:color="auto"/>
      </w:divBdr>
    </w:div>
    <w:div w:id="1208179977">
      <w:bodyDiv w:val="1"/>
      <w:marLeft w:val="0"/>
      <w:marRight w:val="0"/>
      <w:marTop w:val="0"/>
      <w:marBottom w:val="0"/>
      <w:divBdr>
        <w:top w:val="none" w:sz="0" w:space="0" w:color="auto"/>
        <w:left w:val="none" w:sz="0" w:space="0" w:color="auto"/>
        <w:bottom w:val="none" w:sz="0" w:space="0" w:color="auto"/>
        <w:right w:val="none" w:sz="0" w:space="0" w:color="auto"/>
      </w:divBdr>
    </w:div>
    <w:div w:id="1292128137">
      <w:bodyDiv w:val="1"/>
      <w:marLeft w:val="0"/>
      <w:marRight w:val="0"/>
      <w:marTop w:val="0"/>
      <w:marBottom w:val="0"/>
      <w:divBdr>
        <w:top w:val="none" w:sz="0" w:space="0" w:color="auto"/>
        <w:left w:val="none" w:sz="0" w:space="0" w:color="auto"/>
        <w:bottom w:val="none" w:sz="0" w:space="0" w:color="auto"/>
        <w:right w:val="none" w:sz="0" w:space="0" w:color="auto"/>
      </w:divBdr>
    </w:div>
    <w:div w:id="1534489700">
      <w:bodyDiv w:val="1"/>
      <w:marLeft w:val="0"/>
      <w:marRight w:val="0"/>
      <w:marTop w:val="0"/>
      <w:marBottom w:val="0"/>
      <w:divBdr>
        <w:top w:val="none" w:sz="0" w:space="0" w:color="auto"/>
        <w:left w:val="none" w:sz="0" w:space="0" w:color="auto"/>
        <w:bottom w:val="none" w:sz="0" w:space="0" w:color="auto"/>
        <w:right w:val="none" w:sz="0" w:space="0" w:color="auto"/>
      </w:divBdr>
    </w:div>
    <w:div w:id="1545364097">
      <w:bodyDiv w:val="1"/>
      <w:marLeft w:val="0"/>
      <w:marRight w:val="0"/>
      <w:marTop w:val="0"/>
      <w:marBottom w:val="0"/>
      <w:divBdr>
        <w:top w:val="none" w:sz="0" w:space="0" w:color="auto"/>
        <w:left w:val="none" w:sz="0" w:space="0" w:color="auto"/>
        <w:bottom w:val="none" w:sz="0" w:space="0" w:color="auto"/>
        <w:right w:val="none" w:sz="0" w:space="0" w:color="auto"/>
      </w:divBdr>
      <w:divsChild>
        <w:div w:id="187460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9134">
      <w:bodyDiv w:val="1"/>
      <w:marLeft w:val="0"/>
      <w:marRight w:val="0"/>
      <w:marTop w:val="0"/>
      <w:marBottom w:val="0"/>
      <w:divBdr>
        <w:top w:val="none" w:sz="0" w:space="0" w:color="auto"/>
        <w:left w:val="none" w:sz="0" w:space="0" w:color="auto"/>
        <w:bottom w:val="none" w:sz="0" w:space="0" w:color="auto"/>
        <w:right w:val="none" w:sz="0" w:space="0" w:color="auto"/>
      </w:divBdr>
    </w:div>
    <w:div w:id="1722512917">
      <w:bodyDiv w:val="1"/>
      <w:marLeft w:val="0"/>
      <w:marRight w:val="0"/>
      <w:marTop w:val="0"/>
      <w:marBottom w:val="0"/>
      <w:divBdr>
        <w:top w:val="none" w:sz="0" w:space="0" w:color="auto"/>
        <w:left w:val="none" w:sz="0" w:space="0" w:color="auto"/>
        <w:bottom w:val="none" w:sz="0" w:space="0" w:color="auto"/>
        <w:right w:val="none" w:sz="0" w:space="0" w:color="auto"/>
      </w:divBdr>
    </w:div>
    <w:div w:id="1859469656">
      <w:bodyDiv w:val="1"/>
      <w:marLeft w:val="0"/>
      <w:marRight w:val="0"/>
      <w:marTop w:val="0"/>
      <w:marBottom w:val="0"/>
      <w:divBdr>
        <w:top w:val="none" w:sz="0" w:space="0" w:color="auto"/>
        <w:left w:val="none" w:sz="0" w:space="0" w:color="auto"/>
        <w:bottom w:val="none" w:sz="0" w:space="0" w:color="auto"/>
        <w:right w:val="none" w:sz="0" w:space="0" w:color="auto"/>
      </w:divBdr>
    </w:div>
    <w:div w:id="1905724706">
      <w:bodyDiv w:val="1"/>
      <w:marLeft w:val="0"/>
      <w:marRight w:val="0"/>
      <w:marTop w:val="0"/>
      <w:marBottom w:val="0"/>
      <w:divBdr>
        <w:top w:val="none" w:sz="0" w:space="0" w:color="auto"/>
        <w:left w:val="none" w:sz="0" w:space="0" w:color="auto"/>
        <w:bottom w:val="none" w:sz="0" w:space="0" w:color="auto"/>
        <w:right w:val="none" w:sz="0" w:space="0" w:color="auto"/>
      </w:divBdr>
    </w:div>
    <w:div w:id="2003972755">
      <w:bodyDiv w:val="1"/>
      <w:marLeft w:val="0"/>
      <w:marRight w:val="0"/>
      <w:marTop w:val="0"/>
      <w:marBottom w:val="0"/>
      <w:divBdr>
        <w:top w:val="none" w:sz="0" w:space="0" w:color="auto"/>
        <w:left w:val="none" w:sz="0" w:space="0" w:color="auto"/>
        <w:bottom w:val="none" w:sz="0" w:space="0" w:color="auto"/>
        <w:right w:val="none" w:sz="0" w:space="0" w:color="auto"/>
      </w:divBdr>
    </w:div>
    <w:div w:id="2015377003">
      <w:bodyDiv w:val="1"/>
      <w:marLeft w:val="0"/>
      <w:marRight w:val="0"/>
      <w:marTop w:val="0"/>
      <w:marBottom w:val="0"/>
      <w:divBdr>
        <w:top w:val="none" w:sz="0" w:space="0" w:color="auto"/>
        <w:left w:val="none" w:sz="0" w:space="0" w:color="auto"/>
        <w:bottom w:val="none" w:sz="0" w:space="0" w:color="auto"/>
        <w:right w:val="none" w:sz="0" w:space="0" w:color="auto"/>
      </w:divBdr>
    </w:div>
    <w:div w:id="2081443045">
      <w:bodyDiv w:val="1"/>
      <w:marLeft w:val="0"/>
      <w:marRight w:val="0"/>
      <w:marTop w:val="0"/>
      <w:marBottom w:val="0"/>
      <w:divBdr>
        <w:top w:val="none" w:sz="0" w:space="0" w:color="auto"/>
        <w:left w:val="none" w:sz="0" w:space="0" w:color="auto"/>
        <w:bottom w:val="none" w:sz="0" w:space="0" w:color="auto"/>
        <w:right w:val="none" w:sz="0" w:space="0" w:color="auto"/>
      </w:divBdr>
    </w:div>
    <w:div w:id="2090884050">
      <w:bodyDiv w:val="1"/>
      <w:marLeft w:val="0"/>
      <w:marRight w:val="0"/>
      <w:marTop w:val="0"/>
      <w:marBottom w:val="0"/>
      <w:divBdr>
        <w:top w:val="none" w:sz="0" w:space="0" w:color="auto"/>
        <w:left w:val="none" w:sz="0" w:space="0" w:color="auto"/>
        <w:bottom w:val="none" w:sz="0" w:space="0" w:color="auto"/>
        <w:right w:val="none" w:sz="0" w:space="0" w:color="auto"/>
      </w:divBdr>
    </w:div>
    <w:div w:id="2101485676">
      <w:bodyDiv w:val="1"/>
      <w:marLeft w:val="0"/>
      <w:marRight w:val="0"/>
      <w:marTop w:val="0"/>
      <w:marBottom w:val="0"/>
      <w:divBdr>
        <w:top w:val="none" w:sz="0" w:space="0" w:color="auto"/>
        <w:left w:val="none" w:sz="0" w:space="0" w:color="auto"/>
        <w:bottom w:val="none" w:sz="0" w:space="0" w:color="auto"/>
        <w:right w:val="none" w:sz="0" w:space="0" w:color="auto"/>
      </w:divBdr>
    </w:div>
    <w:div w:id="2126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ABBC-6394-49FC-8E1D-E3B0F21F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6191</Words>
  <Characters>35293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Wagner, Nathan R</cp:lastModifiedBy>
  <cp:revision>4</cp:revision>
  <cp:lastPrinted>2019-08-05T18:04:00Z</cp:lastPrinted>
  <dcterms:created xsi:type="dcterms:W3CDTF">2019-08-05T18:04:00Z</dcterms:created>
  <dcterms:modified xsi:type="dcterms:W3CDTF">2019-08-07T20:03:00Z</dcterms:modified>
</cp:coreProperties>
</file>