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ayout w:type="fixed"/>
        <w:tblLook w:val="0000" w:firstRow="0" w:lastRow="0" w:firstColumn="0" w:lastColumn="0" w:noHBand="0" w:noVBand="0"/>
      </w:tblPr>
      <w:tblGrid>
        <w:gridCol w:w="2448"/>
        <w:gridCol w:w="1890"/>
        <w:gridCol w:w="810"/>
        <w:gridCol w:w="1530"/>
        <w:gridCol w:w="2790"/>
      </w:tblGrid>
      <w:tr w:rsidR="00F55D81" w:rsidRPr="00620D6E" w14:paraId="19DDAB2F" w14:textId="77777777" w:rsidTr="0036594B">
        <w:tc>
          <w:tcPr>
            <w:tcW w:w="2448" w:type="dxa"/>
          </w:tcPr>
          <w:p w14:paraId="07379B37" w14:textId="77777777" w:rsidR="00F55D81" w:rsidRPr="00620D6E" w:rsidRDefault="00F55D81" w:rsidP="00D51FFA">
            <w:pPr>
              <w:pStyle w:val="Header"/>
              <w:tabs>
                <w:tab w:val="clear" w:pos="4320"/>
                <w:tab w:val="clear" w:pos="8640"/>
              </w:tabs>
              <w:rPr>
                <w:color w:val="auto"/>
                <w:sz w:val="26"/>
                <w:szCs w:val="26"/>
              </w:rPr>
            </w:pPr>
          </w:p>
        </w:tc>
        <w:tc>
          <w:tcPr>
            <w:tcW w:w="4230" w:type="dxa"/>
            <w:gridSpan w:val="3"/>
          </w:tcPr>
          <w:p w14:paraId="7B4A2E65" w14:textId="77777777" w:rsidR="00F55D81" w:rsidRPr="00620D6E" w:rsidRDefault="00F55D81" w:rsidP="00D51FFA">
            <w:pPr>
              <w:jc w:val="center"/>
              <w:rPr>
                <w:b/>
                <w:color w:val="auto"/>
                <w:sz w:val="26"/>
                <w:szCs w:val="26"/>
              </w:rPr>
            </w:pPr>
            <w:r w:rsidRPr="00620D6E">
              <w:rPr>
                <w:b/>
                <w:color w:val="auto"/>
                <w:sz w:val="26"/>
                <w:szCs w:val="26"/>
              </w:rPr>
              <w:t>PENNSYLVANIA</w:t>
            </w:r>
          </w:p>
          <w:p w14:paraId="67E2D957" w14:textId="77777777" w:rsidR="00F55D81" w:rsidRPr="00620D6E" w:rsidRDefault="00F55D81" w:rsidP="00D51FFA">
            <w:pPr>
              <w:jc w:val="center"/>
              <w:rPr>
                <w:b/>
                <w:color w:val="auto"/>
                <w:sz w:val="26"/>
                <w:szCs w:val="26"/>
              </w:rPr>
            </w:pPr>
            <w:r w:rsidRPr="00620D6E">
              <w:rPr>
                <w:b/>
                <w:color w:val="auto"/>
                <w:sz w:val="26"/>
                <w:szCs w:val="26"/>
              </w:rPr>
              <w:t>PUBLIC UTILITY COMMISSION</w:t>
            </w:r>
          </w:p>
          <w:p w14:paraId="04B8DA2B" w14:textId="77777777" w:rsidR="00F55D81" w:rsidRPr="00620D6E" w:rsidRDefault="00F55D81" w:rsidP="0008232E">
            <w:pPr>
              <w:jc w:val="center"/>
              <w:rPr>
                <w:color w:val="auto"/>
                <w:sz w:val="26"/>
                <w:szCs w:val="26"/>
              </w:rPr>
            </w:pPr>
            <w:r w:rsidRPr="00620D6E">
              <w:rPr>
                <w:b/>
                <w:color w:val="auto"/>
                <w:sz w:val="26"/>
                <w:szCs w:val="26"/>
              </w:rPr>
              <w:t>H</w:t>
            </w:r>
            <w:r w:rsidR="0008232E">
              <w:rPr>
                <w:b/>
                <w:color w:val="auto"/>
                <w:sz w:val="26"/>
                <w:szCs w:val="26"/>
              </w:rPr>
              <w:t>ARRISBURG</w:t>
            </w:r>
            <w:r w:rsidRPr="00620D6E">
              <w:rPr>
                <w:b/>
                <w:color w:val="auto"/>
                <w:sz w:val="26"/>
                <w:szCs w:val="26"/>
              </w:rPr>
              <w:t>, PA  171</w:t>
            </w:r>
            <w:r w:rsidR="0008232E">
              <w:rPr>
                <w:b/>
                <w:color w:val="auto"/>
                <w:sz w:val="26"/>
                <w:szCs w:val="26"/>
              </w:rPr>
              <w:t>2</w:t>
            </w:r>
            <w:r w:rsidRPr="00620D6E">
              <w:rPr>
                <w:b/>
                <w:color w:val="auto"/>
                <w:sz w:val="26"/>
                <w:szCs w:val="26"/>
              </w:rPr>
              <w:t>0</w:t>
            </w:r>
          </w:p>
        </w:tc>
        <w:tc>
          <w:tcPr>
            <w:tcW w:w="2790" w:type="dxa"/>
          </w:tcPr>
          <w:p w14:paraId="429644E4" w14:textId="77777777" w:rsidR="00F55D81" w:rsidRPr="00620D6E" w:rsidRDefault="00F55D81" w:rsidP="00D51FFA">
            <w:pPr>
              <w:jc w:val="center"/>
              <w:rPr>
                <w:color w:val="auto"/>
                <w:sz w:val="26"/>
                <w:szCs w:val="26"/>
              </w:rPr>
            </w:pPr>
          </w:p>
        </w:tc>
      </w:tr>
      <w:tr w:rsidR="00F55D81" w:rsidRPr="00620D6E" w14:paraId="3D6D70E2" w14:textId="77777777" w:rsidTr="0036594B">
        <w:tc>
          <w:tcPr>
            <w:tcW w:w="2448" w:type="dxa"/>
          </w:tcPr>
          <w:p w14:paraId="67FCE112" w14:textId="77777777" w:rsidR="00F55D81" w:rsidRPr="00620D6E" w:rsidRDefault="00F55D81" w:rsidP="00D51FFA">
            <w:pPr>
              <w:rPr>
                <w:color w:val="auto"/>
                <w:sz w:val="26"/>
                <w:szCs w:val="26"/>
              </w:rPr>
            </w:pPr>
          </w:p>
        </w:tc>
        <w:tc>
          <w:tcPr>
            <w:tcW w:w="4230" w:type="dxa"/>
            <w:gridSpan w:val="3"/>
          </w:tcPr>
          <w:p w14:paraId="6B5355D0" w14:textId="77777777" w:rsidR="00F55D81" w:rsidRPr="00620D6E" w:rsidRDefault="00F55D81" w:rsidP="00D51FFA">
            <w:pPr>
              <w:rPr>
                <w:color w:val="auto"/>
                <w:sz w:val="26"/>
                <w:szCs w:val="26"/>
              </w:rPr>
            </w:pPr>
          </w:p>
        </w:tc>
        <w:tc>
          <w:tcPr>
            <w:tcW w:w="2790" w:type="dxa"/>
          </w:tcPr>
          <w:p w14:paraId="77100A70" w14:textId="77777777" w:rsidR="00F55D81" w:rsidRPr="00620D6E" w:rsidRDefault="00F55D81" w:rsidP="00D51FFA">
            <w:pPr>
              <w:rPr>
                <w:color w:val="auto"/>
                <w:sz w:val="26"/>
                <w:szCs w:val="26"/>
              </w:rPr>
            </w:pPr>
          </w:p>
        </w:tc>
      </w:tr>
      <w:tr w:rsidR="00F55D81" w:rsidRPr="00620D6E" w14:paraId="10B9EC91" w14:textId="77777777" w:rsidTr="0036594B">
        <w:tc>
          <w:tcPr>
            <w:tcW w:w="2448" w:type="dxa"/>
          </w:tcPr>
          <w:p w14:paraId="2A90743B" w14:textId="77777777" w:rsidR="00F55D81" w:rsidRPr="00620D6E" w:rsidRDefault="00F55D81" w:rsidP="00D51FFA">
            <w:pPr>
              <w:rPr>
                <w:color w:val="auto"/>
                <w:sz w:val="26"/>
                <w:szCs w:val="26"/>
              </w:rPr>
            </w:pPr>
          </w:p>
        </w:tc>
        <w:tc>
          <w:tcPr>
            <w:tcW w:w="4230" w:type="dxa"/>
            <w:gridSpan w:val="3"/>
          </w:tcPr>
          <w:p w14:paraId="02C7C504" w14:textId="77777777" w:rsidR="00F55D81" w:rsidRPr="00620D6E" w:rsidRDefault="00F55D81" w:rsidP="00D51FFA">
            <w:pPr>
              <w:rPr>
                <w:color w:val="auto"/>
                <w:sz w:val="26"/>
                <w:szCs w:val="26"/>
              </w:rPr>
            </w:pPr>
          </w:p>
        </w:tc>
        <w:tc>
          <w:tcPr>
            <w:tcW w:w="2790" w:type="dxa"/>
          </w:tcPr>
          <w:p w14:paraId="44DDEC2A" w14:textId="77777777" w:rsidR="00F55D81" w:rsidRPr="00620D6E" w:rsidRDefault="00F55D81" w:rsidP="00D51FFA">
            <w:pPr>
              <w:rPr>
                <w:color w:val="auto"/>
                <w:sz w:val="26"/>
                <w:szCs w:val="26"/>
              </w:rPr>
            </w:pPr>
          </w:p>
        </w:tc>
      </w:tr>
      <w:tr w:rsidR="00F55D81" w:rsidRPr="00620D6E" w14:paraId="4C52148B" w14:textId="77777777" w:rsidTr="0036594B">
        <w:tc>
          <w:tcPr>
            <w:tcW w:w="4338" w:type="dxa"/>
            <w:gridSpan w:val="2"/>
          </w:tcPr>
          <w:p w14:paraId="47B530F8" w14:textId="77777777" w:rsidR="00F55D81" w:rsidRPr="00620D6E" w:rsidRDefault="00F55D81" w:rsidP="00D51FFA">
            <w:pPr>
              <w:rPr>
                <w:color w:val="auto"/>
                <w:sz w:val="26"/>
                <w:szCs w:val="26"/>
              </w:rPr>
            </w:pPr>
          </w:p>
        </w:tc>
        <w:tc>
          <w:tcPr>
            <w:tcW w:w="5130" w:type="dxa"/>
            <w:gridSpan w:val="3"/>
          </w:tcPr>
          <w:p w14:paraId="0D248013" w14:textId="7E4584F9" w:rsidR="00F55D81" w:rsidRPr="00620D6E" w:rsidRDefault="00D90355" w:rsidP="000A0EAD">
            <w:pPr>
              <w:rPr>
                <w:color w:val="auto"/>
                <w:sz w:val="26"/>
                <w:szCs w:val="26"/>
              </w:rPr>
            </w:pPr>
            <w:r>
              <w:rPr>
                <w:color w:val="auto"/>
                <w:sz w:val="26"/>
                <w:szCs w:val="26"/>
              </w:rPr>
              <w:t xml:space="preserve">             </w:t>
            </w:r>
            <w:r w:rsidR="00F55D81" w:rsidRPr="00620D6E">
              <w:rPr>
                <w:color w:val="auto"/>
                <w:sz w:val="26"/>
                <w:szCs w:val="26"/>
              </w:rPr>
              <w:t xml:space="preserve">Public Meeting held </w:t>
            </w:r>
            <w:r>
              <w:rPr>
                <w:color w:val="auto"/>
                <w:sz w:val="26"/>
                <w:szCs w:val="26"/>
              </w:rPr>
              <w:t>A</w:t>
            </w:r>
            <w:r w:rsidR="0036594B">
              <w:rPr>
                <w:color w:val="auto"/>
                <w:sz w:val="26"/>
                <w:szCs w:val="26"/>
              </w:rPr>
              <w:t>ugust 8</w:t>
            </w:r>
            <w:r>
              <w:rPr>
                <w:color w:val="auto"/>
                <w:sz w:val="26"/>
                <w:szCs w:val="26"/>
              </w:rPr>
              <w:t>, 201</w:t>
            </w:r>
            <w:r w:rsidR="0036594B">
              <w:rPr>
                <w:color w:val="auto"/>
                <w:sz w:val="26"/>
                <w:szCs w:val="26"/>
              </w:rPr>
              <w:t>9</w:t>
            </w:r>
          </w:p>
        </w:tc>
      </w:tr>
      <w:tr w:rsidR="00F55D81" w:rsidRPr="00620D6E" w14:paraId="14E46799" w14:textId="77777777" w:rsidTr="0036594B">
        <w:tc>
          <w:tcPr>
            <w:tcW w:w="5148" w:type="dxa"/>
            <w:gridSpan w:val="3"/>
          </w:tcPr>
          <w:p w14:paraId="03EB08D1" w14:textId="77777777" w:rsidR="00F55D81" w:rsidRPr="00620D6E" w:rsidRDefault="00F55D81" w:rsidP="00D51FFA">
            <w:pPr>
              <w:rPr>
                <w:color w:val="auto"/>
                <w:sz w:val="26"/>
                <w:szCs w:val="26"/>
              </w:rPr>
            </w:pPr>
          </w:p>
        </w:tc>
        <w:tc>
          <w:tcPr>
            <w:tcW w:w="4320" w:type="dxa"/>
            <w:gridSpan w:val="2"/>
          </w:tcPr>
          <w:p w14:paraId="6ABDF81D" w14:textId="77777777" w:rsidR="00F55D81" w:rsidRPr="00620D6E" w:rsidRDefault="00F55D81" w:rsidP="00D51FFA">
            <w:pPr>
              <w:rPr>
                <w:color w:val="auto"/>
                <w:sz w:val="26"/>
                <w:szCs w:val="26"/>
              </w:rPr>
            </w:pPr>
          </w:p>
        </w:tc>
      </w:tr>
      <w:tr w:rsidR="00F55D81" w:rsidRPr="00620D6E" w14:paraId="6C1FDE8D" w14:textId="77777777" w:rsidTr="0036594B">
        <w:tc>
          <w:tcPr>
            <w:tcW w:w="5148" w:type="dxa"/>
            <w:gridSpan w:val="3"/>
          </w:tcPr>
          <w:p w14:paraId="1967241D" w14:textId="77777777" w:rsidR="00F55D81" w:rsidRPr="00620D6E" w:rsidRDefault="00F55D81" w:rsidP="00D51FFA">
            <w:pPr>
              <w:rPr>
                <w:color w:val="auto"/>
                <w:sz w:val="26"/>
                <w:szCs w:val="26"/>
              </w:rPr>
            </w:pPr>
            <w:r w:rsidRPr="00620D6E">
              <w:rPr>
                <w:color w:val="auto"/>
                <w:sz w:val="26"/>
                <w:szCs w:val="26"/>
              </w:rPr>
              <w:t>Commissioners Present:</w:t>
            </w:r>
          </w:p>
        </w:tc>
        <w:tc>
          <w:tcPr>
            <w:tcW w:w="4320" w:type="dxa"/>
            <w:gridSpan w:val="2"/>
          </w:tcPr>
          <w:p w14:paraId="24E1239C" w14:textId="77777777" w:rsidR="00F55D81" w:rsidRPr="00620D6E" w:rsidRDefault="00F55D81" w:rsidP="00D51FFA">
            <w:pPr>
              <w:rPr>
                <w:color w:val="auto"/>
                <w:sz w:val="26"/>
                <w:szCs w:val="26"/>
              </w:rPr>
            </w:pPr>
          </w:p>
        </w:tc>
      </w:tr>
      <w:tr w:rsidR="00F55D81" w:rsidRPr="00620D6E" w14:paraId="580BE7BA" w14:textId="77777777" w:rsidTr="0036594B">
        <w:tc>
          <w:tcPr>
            <w:tcW w:w="5148" w:type="dxa"/>
            <w:gridSpan w:val="3"/>
          </w:tcPr>
          <w:p w14:paraId="1DA9C0FC" w14:textId="77777777" w:rsidR="00F55D81" w:rsidRPr="0036594B" w:rsidRDefault="00F55D81" w:rsidP="00D51FFA">
            <w:pPr>
              <w:rPr>
                <w:color w:val="auto"/>
                <w:sz w:val="26"/>
                <w:szCs w:val="26"/>
              </w:rPr>
            </w:pPr>
          </w:p>
        </w:tc>
        <w:tc>
          <w:tcPr>
            <w:tcW w:w="4320" w:type="dxa"/>
            <w:gridSpan w:val="2"/>
          </w:tcPr>
          <w:p w14:paraId="145D3D78" w14:textId="77777777" w:rsidR="00F55D81" w:rsidRPr="00620D6E" w:rsidRDefault="00F55D81" w:rsidP="00D51FFA">
            <w:pPr>
              <w:rPr>
                <w:color w:val="auto"/>
                <w:sz w:val="26"/>
                <w:szCs w:val="26"/>
              </w:rPr>
            </w:pPr>
          </w:p>
        </w:tc>
      </w:tr>
      <w:tr w:rsidR="0036594B" w:rsidRPr="0093454D" w14:paraId="4C90F028" w14:textId="77777777" w:rsidTr="0036594B">
        <w:tc>
          <w:tcPr>
            <w:tcW w:w="9468" w:type="dxa"/>
            <w:gridSpan w:val="5"/>
          </w:tcPr>
          <w:tbl>
            <w:tblPr>
              <w:tblW w:w="9558" w:type="dxa"/>
              <w:tblLayout w:type="fixed"/>
              <w:tblLook w:val="0000" w:firstRow="0" w:lastRow="0" w:firstColumn="0" w:lastColumn="0" w:noHBand="0" w:noVBand="0"/>
            </w:tblPr>
            <w:tblGrid>
              <w:gridCol w:w="9558"/>
            </w:tblGrid>
            <w:tr w:rsidR="0036594B" w:rsidRPr="0036594B" w14:paraId="59BC04B8" w14:textId="77777777" w:rsidTr="00753BB0">
              <w:tc>
                <w:tcPr>
                  <w:tcW w:w="9558" w:type="dxa"/>
                </w:tcPr>
                <w:p w14:paraId="339E44A4" w14:textId="77777777" w:rsidR="0036594B" w:rsidRPr="0036594B" w:rsidRDefault="0036594B" w:rsidP="0036594B">
                  <w:pPr>
                    <w:pStyle w:val="NoSpacing"/>
                    <w:ind w:firstLine="990"/>
                    <w:rPr>
                      <w:rFonts w:ascii="Times New Roman" w:hAnsi="Times New Roman"/>
                      <w:sz w:val="26"/>
                      <w:szCs w:val="26"/>
                    </w:rPr>
                  </w:pPr>
                  <w:r w:rsidRPr="0036594B">
                    <w:rPr>
                      <w:rFonts w:ascii="Times New Roman" w:hAnsi="Times New Roman"/>
                      <w:sz w:val="26"/>
                      <w:szCs w:val="26"/>
                    </w:rPr>
                    <w:t>Gladys Brown Dutrieuille, Chairman</w:t>
                  </w:r>
                </w:p>
              </w:tc>
            </w:tr>
            <w:tr w:rsidR="0036594B" w:rsidRPr="0036594B" w14:paraId="149B6DBB" w14:textId="77777777" w:rsidTr="00753BB0">
              <w:tc>
                <w:tcPr>
                  <w:tcW w:w="9558" w:type="dxa"/>
                </w:tcPr>
                <w:p w14:paraId="1D0DE914" w14:textId="77777777" w:rsidR="0036594B" w:rsidRPr="0036594B" w:rsidRDefault="0036594B" w:rsidP="0036594B">
                  <w:pPr>
                    <w:ind w:firstLine="990"/>
                    <w:rPr>
                      <w:color w:val="auto"/>
                      <w:sz w:val="26"/>
                      <w:szCs w:val="26"/>
                    </w:rPr>
                  </w:pPr>
                  <w:r w:rsidRPr="0036594B">
                    <w:rPr>
                      <w:color w:val="auto"/>
                      <w:sz w:val="26"/>
                      <w:szCs w:val="26"/>
                    </w:rPr>
                    <w:t>David W. Sweet, Vice Chairman</w:t>
                  </w:r>
                </w:p>
                <w:p w14:paraId="39B35CC3" w14:textId="77777777" w:rsidR="0036594B" w:rsidRPr="0036594B" w:rsidRDefault="0036594B" w:rsidP="0036594B">
                  <w:pPr>
                    <w:ind w:firstLine="990"/>
                    <w:rPr>
                      <w:color w:val="auto"/>
                      <w:sz w:val="26"/>
                      <w:szCs w:val="26"/>
                    </w:rPr>
                  </w:pPr>
                  <w:r w:rsidRPr="0036594B">
                    <w:rPr>
                      <w:color w:val="auto"/>
                      <w:sz w:val="26"/>
                      <w:szCs w:val="26"/>
                    </w:rPr>
                    <w:t>Norman J. Kennard</w:t>
                  </w:r>
                </w:p>
                <w:p w14:paraId="30FA7D08" w14:textId="77777777" w:rsidR="0036594B" w:rsidRPr="0036594B" w:rsidRDefault="0036594B" w:rsidP="0036594B">
                  <w:pPr>
                    <w:ind w:firstLine="990"/>
                    <w:rPr>
                      <w:color w:val="auto"/>
                      <w:sz w:val="26"/>
                      <w:szCs w:val="26"/>
                    </w:rPr>
                  </w:pPr>
                  <w:r w:rsidRPr="0036594B">
                    <w:rPr>
                      <w:color w:val="auto"/>
                      <w:sz w:val="26"/>
                      <w:szCs w:val="26"/>
                    </w:rPr>
                    <w:t>Andrew G. Place</w:t>
                  </w:r>
                </w:p>
              </w:tc>
            </w:tr>
            <w:tr w:rsidR="0036594B" w:rsidRPr="0036594B" w14:paraId="50BB3AA2" w14:textId="77777777" w:rsidTr="00753BB0">
              <w:tc>
                <w:tcPr>
                  <w:tcW w:w="9558" w:type="dxa"/>
                </w:tcPr>
                <w:p w14:paraId="46E4C08A" w14:textId="4794477F" w:rsidR="0036594B" w:rsidRPr="0036594B" w:rsidRDefault="0036594B" w:rsidP="00C940A9">
                  <w:pPr>
                    <w:ind w:firstLine="990"/>
                    <w:rPr>
                      <w:sz w:val="26"/>
                      <w:szCs w:val="26"/>
                    </w:rPr>
                  </w:pPr>
                  <w:r w:rsidRPr="0036594B">
                    <w:rPr>
                      <w:color w:val="auto"/>
                      <w:sz w:val="26"/>
                      <w:szCs w:val="26"/>
                    </w:rPr>
                    <w:t>John F. Coleman, Jr.</w:t>
                  </w:r>
                </w:p>
              </w:tc>
            </w:tr>
          </w:tbl>
          <w:p w14:paraId="5BC5C12E" w14:textId="3EA74F69" w:rsidR="0036594B" w:rsidRPr="0036594B" w:rsidRDefault="0036594B" w:rsidP="0036594B">
            <w:pPr>
              <w:pStyle w:val="NoSpacing"/>
              <w:ind w:firstLine="990"/>
              <w:rPr>
                <w:rFonts w:ascii="Times New Roman" w:hAnsi="Times New Roman"/>
                <w:sz w:val="26"/>
                <w:szCs w:val="26"/>
              </w:rPr>
            </w:pPr>
          </w:p>
        </w:tc>
      </w:tr>
      <w:tr w:rsidR="0036594B" w:rsidRPr="0093454D" w14:paraId="6A7EC783" w14:textId="77777777" w:rsidTr="0036594B">
        <w:tc>
          <w:tcPr>
            <w:tcW w:w="9468" w:type="dxa"/>
            <w:gridSpan w:val="5"/>
          </w:tcPr>
          <w:p w14:paraId="6F59FE54" w14:textId="39C54426" w:rsidR="0036594B" w:rsidRPr="0093454D" w:rsidRDefault="0036594B" w:rsidP="0036594B">
            <w:pPr>
              <w:ind w:firstLine="990"/>
              <w:rPr>
                <w:color w:val="auto"/>
                <w:sz w:val="26"/>
                <w:szCs w:val="26"/>
              </w:rPr>
            </w:pPr>
          </w:p>
        </w:tc>
      </w:tr>
      <w:tr w:rsidR="00F10CA4" w:rsidRPr="0093454D" w14:paraId="2D5DBA75" w14:textId="77777777" w:rsidTr="0036594B">
        <w:tc>
          <w:tcPr>
            <w:tcW w:w="9468" w:type="dxa"/>
            <w:gridSpan w:val="5"/>
          </w:tcPr>
          <w:p w14:paraId="7F885CD1" w14:textId="77777777" w:rsidR="00F10CA4" w:rsidRPr="0093454D" w:rsidRDefault="00F10CA4" w:rsidP="00D51FFA">
            <w:pPr>
              <w:pStyle w:val="p5"/>
              <w:ind w:left="0"/>
              <w:rPr>
                <w:sz w:val="26"/>
                <w:szCs w:val="26"/>
              </w:rPr>
            </w:pPr>
          </w:p>
        </w:tc>
      </w:tr>
      <w:tr w:rsidR="00F10CA4" w:rsidRPr="0093454D" w14:paraId="0FD0F5B5" w14:textId="77777777" w:rsidTr="0036594B">
        <w:tc>
          <w:tcPr>
            <w:tcW w:w="5148" w:type="dxa"/>
            <w:gridSpan w:val="3"/>
          </w:tcPr>
          <w:p w14:paraId="7FC6F025" w14:textId="6EC9D3C7" w:rsidR="00F10CA4" w:rsidRPr="0093454D" w:rsidRDefault="0036594B" w:rsidP="0093454D">
            <w:pPr>
              <w:rPr>
                <w:color w:val="FF0000"/>
                <w:sz w:val="26"/>
                <w:szCs w:val="26"/>
              </w:rPr>
            </w:pPr>
            <w:r>
              <w:rPr>
                <w:color w:val="auto"/>
                <w:sz w:val="26"/>
                <w:szCs w:val="26"/>
              </w:rPr>
              <w:t>Compliance Report of Columbia Gas of Pennsylvania</w:t>
            </w:r>
            <w:r w:rsidR="00730BA4">
              <w:rPr>
                <w:color w:val="auto"/>
                <w:sz w:val="26"/>
                <w:szCs w:val="26"/>
              </w:rPr>
              <w:t>, Inc.</w:t>
            </w:r>
          </w:p>
        </w:tc>
        <w:tc>
          <w:tcPr>
            <w:tcW w:w="4320" w:type="dxa"/>
            <w:gridSpan w:val="2"/>
            <w:vAlign w:val="center"/>
          </w:tcPr>
          <w:p w14:paraId="0DF7ACE3" w14:textId="77777777" w:rsidR="00F10CA4" w:rsidRPr="0093454D" w:rsidRDefault="00F10CA4" w:rsidP="00D51FFA">
            <w:pPr>
              <w:ind w:firstLine="1332"/>
              <w:rPr>
                <w:color w:val="auto"/>
                <w:sz w:val="26"/>
                <w:szCs w:val="26"/>
              </w:rPr>
            </w:pPr>
            <w:r w:rsidRPr="0093454D">
              <w:rPr>
                <w:color w:val="auto"/>
                <w:sz w:val="26"/>
                <w:szCs w:val="26"/>
              </w:rPr>
              <w:t>Docket Number:</w:t>
            </w:r>
          </w:p>
          <w:p w14:paraId="71B0343D" w14:textId="69B9EEC0" w:rsidR="00F10CA4" w:rsidRPr="0093454D" w:rsidRDefault="00B3164E" w:rsidP="00206927">
            <w:pPr>
              <w:ind w:firstLine="1332"/>
              <w:rPr>
                <w:color w:val="auto"/>
                <w:sz w:val="26"/>
                <w:szCs w:val="26"/>
              </w:rPr>
            </w:pPr>
            <w:r>
              <w:rPr>
                <w:color w:val="auto"/>
                <w:sz w:val="26"/>
                <w:szCs w:val="26"/>
              </w:rPr>
              <w:t>R</w:t>
            </w:r>
            <w:r w:rsidR="00F10CA4" w:rsidRPr="0093454D">
              <w:rPr>
                <w:color w:val="auto"/>
                <w:sz w:val="26"/>
                <w:szCs w:val="26"/>
              </w:rPr>
              <w:t>-</w:t>
            </w:r>
            <w:r w:rsidR="0093454D" w:rsidRPr="0093454D">
              <w:rPr>
                <w:color w:val="auto"/>
                <w:sz w:val="26"/>
                <w:szCs w:val="26"/>
              </w:rPr>
              <w:t>20</w:t>
            </w:r>
            <w:r w:rsidR="0036594B">
              <w:rPr>
                <w:color w:val="auto"/>
                <w:sz w:val="26"/>
                <w:szCs w:val="26"/>
              </w:rPr>
              <w:t>18-2647577</w:t>
            </w:r>
          </w:p>
        </w:tc>
      </w:tr>
      <w:tr w:rsidR="00F10CA4" w:rsidRPr="0093454D" w14:paraId="5BC4DEB5" w14:textId="77777777" w:rsidTr="0036594B">
        <w:tc>
          <w:tcPr>
            <w:tcW w:w="5148" w:type="dxa"/>
            <w:gridSpan w:val="3"/>
          </w:tcPr>
          <w:p w14:paraId="5E6EE9CF" w14:textId="77777777" w:rsidR="00F10CA4" w:rsidRPr="0093454D" w:rsidRDefault="00F10CA4" w:rsidP="00D51FFA">
            <w:pPr>
              <w:rPr>
                <w:color w:val="auto"/>
                <w:sz w:val="26"/>
                <w:szCs w:val="26"/>
              </w:rPr>
            </w:pPr>
          </w:p>
        </w:tc>
        <w:tc>
          <w:tcPr>
            <w:tcW w:w="4320" w:type="dxa"/>
            <w:gridSpan w:val="2"/>
            <w:vAlign w:val="center"/>
          </w:tcPr>
          <w:p w14:paraId="600C87DC" w14:textId="77777777" w:rsidR="00F10CA4" w:rsidRPr="0093454D" w:rsidRDefault="00F10CA4" w:rsidP="00D51FFA">
            <w:pPr>
              <w:jc w:val="center"/>
              <w:rPr>
                <w:color w:val="auto"/>
                <w:sz w:val="26"/>
                <w:szCs w:val="26"/>
              </w:rPr>
            </w:pPr>
          </w:p>
        </w:tc>
      </w:tr>
      <w:tr w:rsidR="00F10CA4" w:rsidRPr="0093454D" w14:paraId="5BF708AE" w14:textId="77777777" w:rsidTr="0036594B">
        <w:tc>
          <w:tcPr>
            <w:tcW w:w="5148" w:type="dxa"/>
            <w:gridSpan w:val="3"/>
          </w:tcPr>
          <w:p w14:paraId="2AA0B327" w14:textId="77777777" w:rsidR="00F10CA4" w:rsidRPr="0093454D" w:rsidRDefault="00F10CA4" w:rsidP="00D51FFA">
            <w:pPr>
              <w:rPr>
                <w:color w:val="auto"/>
                <w:sz w:val="26"/>
                <w:szCs w:val="26"/>
              </w:rPr>
            </w:pPr>
          </w:p>
        </w:tc>
        <w:tc>
          <w:tcPr>
            <w:tcW w:w="4320" w:type="dxa"/>
            <w:gridSpan w:val="2"/>
            <w:vAlign w:val="center"/>
          </w:tcPr>
          <w:p w14:paraId="72059A22" w14:textId="77777777" w:rsidR="00F10CA4" w:rsidRPr="0093454D" w:rsidRDefault="00F10CA4" w:rsidP="00D51FFA">
            <w:pPr>
              <w:jc w:val="center"/>
              <w:rPr>
                <w:color w:val="auto"/>
                <w:sz w:val="26"/>
                <w:szCs w:val="26"/>
              </w:rPr>
            </w:pPr>
          </w:p>
        </w:tc>
      </w:tr>
    </w:tbl>
    <w:p w14:paraId="2F14DEA4" w14:textId="77777777" w:rsidR="00F55D81" w:rsidRPr="0093454D" w:rsidRDefault="00F55D81" w:rsidP="00F55D81">
      <w:pPr>
        <w:jc w:val="center"/>
        <w:rPr>
          <w:color w:val="auto"/>
          <w:sz w:val="26"/>
          <w:szCs w:val="26"/>
        </w:rPr>
      </w:pPr>
      <w:r w:rsidRPr="0093454D">
        <w:rPr>
          <w:b/>
          <w:color w:val="auto"/>
          <w:sz w:val="26"/>
          <w:szCs w:val="26"/>
        </w:rPr>
        <w:t>ORDER</w:t>
      </w:r>
    </w:p>
    <w:p w14:paraId="4EAE14D7" w14:textId="77777777" w:rsidR="00F55D81" w:rsidRPr="0093454D" w:rsidRDefault="00F55D81" w:rsidP="00F55D81">
      <w:pPr>
        <w:rPr>
          <w:b/>
          <w:color w:val="auto"/>
          <w:sz w:val="26"/>
          <w:szCs w:val="26"/>
        </w:rPr>
      </w:pPr>
    </w:p>
    <w:p w14:paraId="07625F17" w14:textId="77777777" w:rsidR="00F55D81" w:rsidRPr="0026362D" w:rsidRDefault="00F55D81" w:rsidP="00F55D81">
      <w:pPr>
        <w:rPr>
          <w:b/>
          <w:color w:val="000000" w:themeColor="text1"/>
          <w:sz w:val="26"/>
          <w:szCs w:val="26"/>
        </w:rPr>
      </w:pPr>
      <w:r w:rsidRPr="0093454D">
        <w:rPr>
          <w:b/>
          <w:color w:val="auto"/>
          <w:sz w:val="26"/>
          <w:szCs w:val="26"/>
        </w:rPr>
        <w:t xml:space="preserve">BY THE </w:t>
      </w:r>
      <w:r w:rsidRPr="0026362D">
        <w:rPr>
          <w:b/>
          <w:color w:val="000000" w:themeColor="text1"/>
          <w:sz w:val="26"/>
          <w:szCs w:val="26"/>
        </w:rPr>
        <w:t>COMMISSION:</w:t>
      </w:r>
    </w:p>
    <w:p w14:paraId="63E6A6CE" w14:textId="77777777" w:rsidR="00F55D81" w:rsidRPr="0026362D" w:rsidRDefault="00F55D81" w:rsidP="00F55D81">
      <w:pPr>
        <w:rPr>
          <w:b/>
          <w:color w:val="000000" w:themeColor="text1"/>
          <w:sz w:val="26"/>
          <w:szCs w:val="26"/>
        </w:rPr>
      </w:pPr>
    </w:p>
    <w:p w14:paraId="229A288B" w14:textId="7CA7890B" w:rsidR="00F55D81" w:rsidRPr="0026362D" w:rsidRDefault="00544CE8" w:rsidP="00544CE8">
      <w:pPr>
        <w:tabs>
          <w:tab w:val="left" w:pos="-720"/>
        </w:tabs>
        <w:suppressAutoHyphens/>
        <w:spacing w:line="360" w:lineRule="auto"/>
        <w:rPr>
          <w:color w:val="000000" w:themeColor="text1"/>
          <w:kern w:val="1"/>
          <w:sz w:val="26"/>
          <w:szCs w:val="26"/>
        </w:rPr>
      </w:pPr>
      <w:r w:rsidRPr="0026362D">
        <w:rPr>
          <w:color w:val="000000" w:themeColor="text1"/>
          <w:kern w:val="1"/>
          <w:sz w:val="26"/>
          <w:szCs w:val="26"/>
        </w:rPr>
        <w:tab/>
      </w:r>
      <w:r w:rsidR="00417EC4" w:rsidRPr="0026362D">
        <w:rPr>
          <w:color w:val="000000" w:themeColor="text1"/>
          <w:kern w:val="1"/>
          <w:sz w:val="26"/>
          <w:szCs w:val="26"/>
        </w:rPr>
        <w:t>Before the Pennsylvania Public Utility Commission (Commission) is the Compliance Report submitted o</w:t>
      </w:r>
      <w:r w:rsidR="00F55D81" w:rsidRPr="0026362D">
        <w:rPr>
          <w:color w:val="000000" w:themeColor="text1"/>
          <w:kern w:val="1"/>
          <w:sz w:val="26"/>
          <w:szCs w:val="26"/>
        </w:rPr>
        <w:t>n</w:t>
      </w:r>
      <w:r w:rsidR="003F4D55" w:rsidRPr="0026362D">
        <w:rPr>
          <w:color w:val="000000" w:themeColor="text1"/>
          <w:kern w:val="1"/>
          <w:sz w:val="26"/>
          <w:szCs w:val="26"/>
        </w:rPr>
        <w:t xml:space="preserve"> </w:t>
      </w:r>
      <w:r w:rsidR="0036594B" w:rsidRPr="0026362D">
        <w:rPr>
          <w:color w:val="000000" w:themeColor="text1"/>
          <w:kern w:val="1"/>
          <w:sz w:val="26"/>
          <w:szCs w:val="26"/>
        </w:rPr>
        <w:t>March 18, 2019</w:t>
      </w:r>
      <w:r w:rsidR="00D40B66" w:rsidRPr="0026362D">
        <w:rPr>
          <w:color w:val="000000" w:themeColor="text1"/>
          <w:kern w:val="1"/>
          <w:sz w:val="26"/>
          <w:szCs w:val="26"/>
        </w:rPr>
        <w:t>,</w:t>
      </w:r>
      <w:r w:rsidR="0065319D" w:rsidRPr="0026362D">
        <w:rPr>
          <w:color w:val="000000" w:themeColor="text1"/>
          <w:kern w:val="1"/>
          <w:sz w:val="26"/>
          <w:szCs w:val="26"/>
        </w:rPr>
        <w:t xml:space="preserve"> </w:t>
      </w:r>
      <w:r w:rsidR="00417EC4" w:rsidRPr="0026362D">
        <w:rPr>
          <w:color w:val="000000" w:themeColor="text1"/>
          <w:kern w:val="1"/>
          <w:sz w:val="26"/>
          <w:szCs w:val="26"/>
        </w:rPr>
        <w:t>by</w:t>
      </w:r>
      <w:r w:rsidR="00D40B66" w:rsidRPr="0026362D">
        <w:rPr>
          <w:color w:val="000000" w:themeColor="text1"/>
          <w:kern w:val="1"/>
          <w:sz w:val="26"/>
          <w:szCs w:val="26"/>
        </w:rPr>
        <w:t xml:space="preserve"> </w:t>
      </w:r>
      <w:r w:rsidR="0036594B" w:rsidRPr="0026362D">
        <w:rPr>
          <w:color w:val="000000" w:themeColor="text1"/>
          <w:kern w:val="1"/>
          <w:sz w:val="26"/>
          <w:szCs w:val="26"/>
        </w:rPr>
        <w:t>Columbia Gas of Pennsylvania, Inc.</w:t>
      </w:r>
      <w:r w:rsidR="00212DAC" w:rsidRPr="0026362D">
        <w:rPr>
          <w:color w:val="000000" w:themeColor="text1"/>
          <w:kern w:val="1"/>
          <w:sz w:val="26"/>
          <w:szCs w:val="26"/>
        </w:rPr>
        <w:t xml:space="preserve"> (</w:t>
      </w:r>
      <w:r w:rsidR="0036594B" w:rsidRPr="0026362D">
        <w:rPr>
          <w:color w:val="000000" w:themeColor="text1"/>
          <w:kern w:val="1"/>
          <w:sz w:val="26"/>
          <w:szCs w:val="26"/>
        </w:rPr>
        <w:t>Columbia</w:t>
      </w:r>
      <w:r w:rsidR="003F4D55" w:rsidRPr="0026362D">
        <w:rPr>
          <w:color w:val="000000" w:themeColor="text1"/>
          <w:kern w:val="1"/>
          <w:sz w:val="26"/>
          <w:szCs w:val="26"/>
        </w:rPr>
        <w:t>)</w:t>
      </w:r>
      <w:r w:rsidR="003438E3" w:rsidRPr="0026362D">
        <w:rPr>
          <w:color w:val="000000" w:themeColor="text1"/>
          <w:kern w:val="1"/>
          <w:sz w:val="26"/>
          <w:szCs w:val="26"/>
        </w:rPr>
        <w:t xml:space="preserve">, </w:t>
      </w:r>
      <w:r w:rsidR="00F62DB7" w:rsidRPr="0026362D">
        <w:rPr>
          <w:color w:val="000000" w:themeColor="text1"/>
          <w:kern w:val="1"/>
          <w:sz w:val="26"/>
          <w:szCs w:val="26"/>
        </w:rPr>
        <w:t xml:space="preserve">pursuant </w:t>
      </w:r>
      <w:r w:rsidR="00417EC4" w:rsidRPr="0026362D">
        <w:rPr>
          <w:color w:val="000000" w:themeColor="text1"/>
          <w:kern w:val="1"/>
          <w:sz w:val="26"/>
          <w:szCs w:val="26"/>
        </w:rPr>
        <w:t xml:space="preserve">to </w:t>
      </w:r>
      <w:r w:rsidR="0036594B" w:rsidRPr="0026362D">
        <w:rPr>
          <w:color w:val="000000" w:themeColor="text1"/>
          <w:kern w:val="1"/>
          <w:sz w:val="26"/>
          <w:szCs w:val="26"/>
        </w:rPr>
        <w:t xml:space="preserve">the </w:t>
      </w:r>
      <w:r w:rsidR="00117C82" w:rsidRPr="0026362D">
        <w:rPr>
          <w:color w:val="000000" w:themeColor="text1"/>
          <w:kern w:val="1"/>
          <w:sz w:val="26"/>
          <w:szCs w:val="26"/>
        </w:rPr>
        <w:t xml:space="preserve">Commission’s Opinion and Order </w:t>
      </w:r>
      <w:r w:rsidR="00D544A6" w:rsidRPr="0026362D">
        <w:rPr>
          <w:color w:val="000000" w:themeColor="text1"/>
          <w:kern w:val="1"/>
          <w:sz w:val="26"/>
          <w:szCs w:val="26"/>
        </w:rPr>
        <w:t xml:space="preserve">dated December 6, 2018 (December 6 Order) </w:t>
      </w:r>
      <w:r w:rsidR="00117C82" w:rsidRPr="0026362D">
        <w:rPr>
          <w:color w:val="000000" w:themeColor="text1"/>
          <w:kern w:val="1"/>
          <w:sz w:val="26"/>
          <w:szCs w:val="26"/>
        </w:rPr>
        <w:t xml:space="preserve">at Docket No. </w:t>
      </w:r>
      <w:r w:rsidR="00071C7B" w:rsidRPr="0026362D">
        <w:rPr>
          <w:color w:val="000000" w:themeColor="text1"/>
          <w:sz w:val="26"/>
          <w:szCs w:val="26"/>
        </w:rPr>
        <w:t xml:space="preserve">R-2018-2647577. </w:t>
      </w:r>
      <w:r w:rsidR="00117C82" w:rsidRPr="0026362D">
        <w:rPr>
          <w:color w:val="000000" w:themeColor="text1"/>
          <w:kern w:val="1"/>
          <w:sz w:val="26"/>
          <w:szCs w:val="26"/>
        </w:rPr>
        <w:t xml:space="preserve"> </w:t>
      </w:r>
      <w:r w:rsidR="00417EC4" w:rsidRPr="0026362D">
        <w:rPr>
          <w:color w:val="000000" w:themeColor="text1"/>
          <w:kern w:val="1"/>
          <w:sz w:val="26"/>
          <w:szCs w:val="26"/>
        </w:rPr>
        <w:t>For the reasons expressed in this Order, we will reject Columbia’s Compliance Plan.</w:t>
      </w:r>
    </w:p>
    <w:p w14:paraId="0F123211" w14:textId="2A9353F1" w:rsidR="00F55D81" w:rsidRPr="0026362D" w:rsidRDefault="00F55D81" w:rsidP="00F55D81">
      <w:pPr>
        <w:tabs>
          <w:tab w:val="left" w:pos="-720"/>
        </w:tabs>
        <w:suppressAutoHyphens/>
        <w:spacing w:line="360" w:lineRule="auto"/>
        <w:rPr>
          <w:color w:val="000000" w:themeColor="text1"/>
          <w:spacing w:val="-3"/>
          <w:kern w:val="1"/>
          <w:sz w:val="26"/>
          <w:szCs w:val="26"/>
        </w:rPr>
      </w:pPr>
    </w:p>
    <w:p w14:paraId="7108115A" w14:textId="504A2EC8" w:rsidR="00237CB1" w:rsidRPr="0026362D" w:rsidRDefault="00237CB1" w:rsidP="00F55D81">
      <w:pPr>
        <w:tabs>
          <w:tab w:val="left" w:pos="-720"/>
        </w:tabs>
        <w:suppressAutoHyphens/>
        <w:spacing w:line="360" w:lineRule="auto"/>
        <w:rPr>
          <w:b/>
          <w:bCs/>
          <w:color w:val="000000" w:themeColor="text1"/>
          <w:spacing w:val="-3"/>
          <w:kern w:val="1"/>
          <w:sz w:val="26"/>
          <w:szCs w:val="26"/>
        </w:rPr>
      </w:pPr>
      <w:r w:rsidRPr="0026362D">
        <w:rPr>
          <w:b/>
          <w:bCs/>
          <w:color w:val="000000" w:themeColor="text1"/>
          <w:spacing w:val="-3"/>
          <w:kern w:val="1"/>
          <w:sz w:val="26"/>
          <w:szCs w:val="26"/>
        </w:rPr>
        <w:t>Background</w:t>
      </w:r>
    </w:p>
    <w:p w14:paraId="5C475938" w14:textId="55F56523" w:rsidR="00007B1A" w:rsidRDefault="008E18B7" w:rsidP="00007B1A">
      <w:pPr>
        <w:tabs>
          <w:tab w:val="left" w:pos="-720"/>
        </w:tabs>
        <w:suppressAutoHyphens/>
        <w:spacing w:line="360" w:lineRule="auto"/>
        <w:ind w:firstLine="720"/>
        <w:rPr>
          <w:color w:val="000000" w:themeColor="text1"/>
          <w:sz w:val="26"/>
          <w:szCs w:val="26"/>
        </w:rPr>
      </w:pPr>
      <w:r w:rsidRPr="0026362D">
        <w:rPr>
          <w:color w:val="000000" w:themeColor="text1"/>
          <w:sz w:val="26"/>
          <w:szCs w:val="26"/>
        </w:rPr>
        <w:t>The relevant background for this proceeding is as follows:  o</w:t>
      </w:r>
      <w:r w:rsidR="00007B1A" w:rsidRPr="0026362D">
        <w:rPr>
          <w:color w:val="000000" w:themeColor="text1"/>
          <w:sz w:val="26"/>
          <w:szCs w:val="26"/>
        </w:rPr>
        <w:t>n March 16, 2018, Columbia Gas of Pennsylvania, Inc. filed Supplement No. 267 to its Tariff Gas – Pa. P.U.C. No. 9 (Supplement No. 267) with the Commission to become effective on May</w:t>
      </w:r>
      <w:r w:rsidR="00C940A9">
        <w:rPr>
          <w:color w:val="000000" w:themeColor="text1"/>
          <w:sz w:val="26"/>
          <w:szCs w:val="26"/>
        </w:rPr>
        <w:t> </w:t>
      </w:r>
      <w:r w:rsidR="00007B1A" w:rsidRPr="0026362D">
        <w:rPr>
          <w:color w:val="000000" w:themeColor="text1"/>
          <w:sz w:val="26"/>
          <w:szCs w:val="26"/>
        </w:rPr>
        <w:t xml:space="preserve">15, 2018.  In Supplement No. 267, the Company proposed to increase rates to produce approximately $46.9 million in additional annual operating revenues, or an </w:t>
      </w:r>
      <w:r w:rsidR="00007B1A" w:rsidRPr="0026362D">
        <w:rPr>
          <w:color w:val="000000" w:themeColor="text1"/>
          <w:sz w:val="26"/>
          <w:szCs w:val="26"/>
        </w:rPr>
        <w:lastRenderedPageBreak/>
        <w:t xml:space="preserve">8.16% increase in annual operating revenues based upon a </w:t>
      </w:r>
      <w:r w:rsidR="00007B1A" w:rsidRPr="0026362D">
        <w:rPr>
          <w:i/>
          <w:color w:val="000000" w:themeColor="text1"/>
          <w:sz w:val="26"/>
        </w:rPr>
        <w:t>pro forma</w:t>
      </w:r>
      <w:r w:rsidR="00007B1A" w:rsidRPr="0026362D">
        <w:rPr>
          <w:color w:val="000000" w:themeColor="text1"/>
          <w:sz w:val="26"/>
          <w:szCs w:val="26"/>
        </w:rPr>
        <w:t xml:space="preserve"> fully projected future test year (FPFTY) ending December 31, 2019.  </w:t>
      </w:r>
    </w:p>
    <w:p w14:paraId="641EC53C" w14:textId="77777777" w:rsidR="008570E0" w:rsidRPr="0026362D" w:rsidRDefault="008570E0" w:rsidP="00007B1A">
      <w:pPr>
        <w:tabs>
          <w:tab w:val="left" w:pos="-720"/>
        </w:tabs>
        <w:suppressAutoHyphens/>
        <w:spacing w:line="360" w:lineRule="auto"/>
        <w:ind w:firstLine="720"/>
        <w:rPr>
          <w:color w:val="000000" w:themeColor="text1"/>
          <w:sz w:val="26"/>
          <w:szCs w:val="26"/>
        </w:rPr>
      </w:pPr>
    </w:p>
    <w:p w14:paraId="26AE3FA7" w14:textId="77777777" w:rsidR="008E18B7" w:rsidRPr="0026362D" w:rsidRDefault="00007B1A" w:rsidP="00007B1A">
      <w:pPr>
        <w:tabs>
          <w:tab w:val="left" w:pos="-720"/>
        </w:tabs>
        <w:suppressAutoHyphens/>
        <w:spacing w:line="360" w:lineRule="auto"/>
        <w:ind w:firstLine="720"/>
        <w:rPr>
          <w:color w:val="000000" w:themeColor="text1"/>
          <w:sz w:val="26"/>
          <w:szCs w:val="26"/>
        </w:rPr>
      </w:pPr>
      <w:r w:rsidRPr="0026362D">
        <w:rPr>
          <w:color w:val="000000" w:themeColor="text1"/>
          <w:sz w:val="26"/>
          <w:szCs w:val="26"/>
        </w:rPr>
        <w:t xml:space="preserve">On August 31, 2018, the Joint Petitioners filed a Joint Petition for Partial Settlement (Partial Settlement) in which it requested that the Commission approve the terms and conditions of the Partial Settlement in its entirety without modification.  </w:t>
      </w:r>
    </w:p>
    <w:p w14:paraId="1A83AEC4" w14:textId="77777777" w:rsidR="008E18B7" w:rsidRPr="0026362D" w:rsidRDefault="008E18B7" w:rsidP="00007B1A">
      <w:pPr>
        <w:tabs>
          <w:tab w:val="left" w:pos="-720"/>
        </w:tabs>
        <w:suppressAutoHyphens/>
        <w:spacing w:line="360" w:lineRule="auto"/>
        <w:ind w:firstLine="720"/>
        <w:rPr>
          <w:color w:val="000000" w:themeColor="text1"/>
          <w:sz w:val="26"/>
          <w:szCs w:val="26"/>
        </w:rPr>
      </w:pPr>
    </w:p>
    <w:p w14:paraId="10A78C02" w14:textId="50ECEF38" w:rsidR="00007B1A" w:rsidRPr="0026362D" w:rsidRDefault="00007B1A" w:rsidP="00007B1A">
      <w:pPr>
        <w:tabs>
          <w:tab w:val="left" w:pos="-720"/>
        </w:tabs>
        <w:suppressAutoHyphens/>
        <w:spacing w:line="360" w:lineRule="auto"/>
        <w:ind w:firstLine="720"/>
        <w:rPr>
          <w:color w:val="000000" w:themeColor="text1"/>
          <w:sz w:val="26"/>
          <w:szCs w:val="26"/>
        </w:rPr>
      </w:pPr>
      <w:r w:rsidRPr="0026362D">
        <w:rPr>
          <w:color w:val="000000" w:themeColor="text1"/>
          <w:sz w:val="26"/>
          <w:szCs w:val="26"/>
        </w:rPr>
        <w:t xml:space="preserve">On September 28, 2018, </w:t>
      </w:r>
      <w:r w:rsidR="008E18B7" w:rsidRPr="0026362D">
        <w:rPr>
          <w:color w:val="000000" w:themeColor="text1"/>
          <w:sz w:val="26"/>
          <w:szCs w:val="26"/>
        </w:rPr>
        <w:t xml:space="preserve">Administrative Law Judge (ALJ) Jeffrey A. Watson </w:t>
      </w:r>
      <w:r w:rsidRPr="0026362D">
        <w:rPr>
          <w:color w:val="000000" w:themeColor="text1"/>
          <w:sz w:val="26"/>
          <w:szCs w:val="26"/>
        </w:rPr>
        <w:t xml:space="preserve">issued his Recommended Decision in which he: (1) recommended that the terms and conditions of the Partial Settlement be adopted, without modification; (2) found, as matter of law, that Columbia’s billing practice of including on its bills, a separate line item charge for non-commodity services offered by third parties, is not subject to the Commission jurisdiction under Section 1502 of the Code (prohibiting discrimination in provision of service); and (3) found, as matter of fact, that Columbia’s billing practice was not discriminatory against </w:t>
      </w:r>
      <w:r w:rsidR="008E18B7" w:rsidRPr="0026362D">
        <w:rPr>
          <w:color w:val="000000" w:themeColor="text1"/>
          <w:sz w:val="26"/>
          <w:szCs w:val="26"/>
        </w:rPr>
        <w:t>Shipley Choice, LLC, Dominion Retail, Inc., and Interstate Gas Supply, Inc. (hereinafter collectively referred to as the NGS Parties)</w:t>
      </w:r>
      <w:r w:rsidRPr="0026362D">
        <w:rPr>
          <w:color w:val="000000" w:themeColor="text1"/>
          <w:sz w:val="26"/>
          <w:szCs w:val="26"/>
        </w:rPr>
        <w:t>.</w:t>
      </w:r>
    </w:p>
    <w:p w14:paraId="13064C1C" w14:textId="73A28ED5" w:rsidR="008E18B7" w:rsidRPr="0026362D" w:rsidRDefault="008E18B7" w:rsidP="00007B1A">
      <w:pPr>
        <w:tabs>
          <w:tab w:val="left" w:pos="-720"/>
        </w:tabs>
        <w:suppressAutoHyphens/>
        <w:spacing w:line="360" w:lineRule="auto"/>
        <w:ind w:firstLine="720"/>
        <w:rPr>
          <w:color w:val="000000" w:themeColor="text1"/>
          <w:sz w:val="26"/>
          <w:szCs w:val="26"/>
        </w:rPr>
      </w:pPr>
    </w:p>
    <w:p w14:paraId="3E4E7837" w14:textId="3C456EA6" w:rsidR="008E18B7" w:rsidRPr="0026362D" w:rsidRDefault="008E18B7" w:rsidP="00007B1A">
      <w:pPr>
        <w:tabs>
          <w:tab w:val="left" w:pos="-720"/>
        </w:tabs>
        <w:suppressAutoHyphens/>
        <w:spacing w:line="360" w:lineRule="auto"/>
        <w:ind w:firstLine="720"/>
        <w:rPr>
          <w:rFonts w:eastAsia="Calibri"/>
          <w:color w:val="000000" w:themeColor="text1"/>
          <w:sz w:val="26"/>
          <w:szCs w:val="26"/>
        </w:rPr>
      </w:pPr>
      <w:r w:rsidRPr="0026362D">
        <w:rPr>
          <w:color w:val="000000" w:themeColor="text1"/>
          <w:sz w:val="26"/>
          <w:szCs w:val="26"/>
        </w:rPr>
        <w:t xml:space="preserve">Joint Exceptions to the Recommended Decision were filed on </w:t>
      </w:r>
      <w:r w:rsidRPr="0026362D">
        <w:rPr>
          <w:rFonts w:eastAsia="Calibri"/>
          <w:color w:val="000000" w:themeColor="text1"/>
          <w:sz w:val="26"/>
          <w:szCs w:val="26"/>
        </w:rPr>
        <w:t xml:space="preserve">October 15, 2018, by </w:t>
      </w:r>
      <w:r w:rsidRPr="0026362D">
        <w:rPr>
          <w:color w:val="000000" w:themeColor="text1"/>
          <w:sz w:val="26"/>
          <w:szCs w:val="26"/>
        </w:rPr>
        <w:t>the NGS Parties</w:t>
      </w:r>
      <w:r w:rsidR="00776A17" w:rsidRPr="0026362D">
        <w:rPr>
          <w:color w:val="000000" w:themeColor="text1"/>
          <w:sz w:val="26"/>
          <w:szCs w:val="26"/>
        </w:rPr>
        <w:t xml:space="preserve"> on the issue of whether (1) the Recommended Decision erroneously concluded that the prohibitions on discrimination and anti-competitive practices of the Code do not apply because the non-commodity services are not public utility services; and (2) the Recommended Decision erred in finding that the NGS Parties did not carry their burden of proof</w:t>
      </w:r>
      <w:r w:rsidRPr="0026362D">
        <w:rPr>
          <w:color w:val="000000" w:themeColor="text1"/>
          <w:sz w:val="26"/>
          <w:szCs w:val="26"/>
        </w:rPr>
        <w:t xml:space="preserve">.  </w:t>
      </w:r>
      <w:r w:rsidRPr="0026362D">
        <w:rPr>
          <w:rFonts w:eastAsia="Calibri"/>
          <w:color w:val="000000" w:themeColor="text1"/>
          <w:sz w:val="26"/>
          <w:szCs w:val="26"/>
        </w:rPr>
        <w:t>Replies to Exceptions were filed by Columbia and the Office of Consumer Advocate (OCA) on October 25, 2018.</w:t>
      </w:r>
    </w:p>
    <w:p w14:paraId="4EB2A5A7" w14:textId="3689DF38" w:rsidR="00776A17" w:rsidRPr="0026362D" w:rsidRDefault="00776A17" w:rsidP="00007B1A">
      <w:pPr>
        <w:tabs>
          <w:tab w:val="left" w:pos="-720"/>
        </w:tabs>
        <w:suppressAutoHyphens/>
        <w:spacing w:line="360" w:lineRule="auto"/>
        <w:ind w:firstLine="720"/>
        <w:rPr>
          <w:rFonts w:eastAsia="Calibri"/>
          <w:color w:val="000000" w:themeColor="text1"/>
          <w:sz w:val="26"/>
          <w:szCs w:val="26"/>
        </w:rPr>
      </w:pPr>
    </w:p>
    <w:p w14:paraId="12951756" w14:textId="77777777" w:rsidR="00776A17" w:rsidRPr="0026362D" w:rsidRDefault="00776A17" w:rsidP="00007B1A">
      <w:pPr>
        <w:tabs>
          <w:tab w:val="left" w:pos="-720"/>
        </w:tabs>
        <w:suppressAutoHyphens/>
        <w:spacing w:line="360" w:lineRule="auto"/>
        <w:ind w:firstLine="720"/>
        <w:rPr>
          <w:rFonts w:eastAsia="Calibri"/>
          <w:color w:val="000000" w:themeColor="text1"/>
          <w:sz w:val="26"/>
          <w:szCs w:val="26"/>
        </w:rPr>
      </w:pPr>
      <w:r w:rsidRPr="0026362D">
        <w:rPr>
          <w:rFonts w:eastAsia="Calibri"/>
          <w:color w:val="000000" w:themeColor="text1"/>
          <w:sz w:val="26"/>
          <w:szCs w:val="26"/>
        </w:rPr>
        <w:t>The Commission found, in the December 6 Order, the following:</w:t>
      </w:r>
    </w:p>
    <w:p w14:paraId="6245423B" w14:textId="2671C77A" w:rsidR="00776A17" w:rsidRPr="0026362D" w:rsidRDefault="00776A17" w:rsidP="00776A17">
      <w:pPr>
        <w:tabs>
          <w:tab w:val="left" w:pos="-720"/>
        </w:tabs>
        <w:suppressAutoHyphens/>
        <w:ind w:left="720" w:right="720"/>
        <w:rPr>
          <w:color w:val="000000" w:themeColor="text1"/>
          <w:sz w:val="26"/>
          <w:szCs w:val="26"/>
        </w:rPr>
      </w:pPr>
      <w:r w:rsidRPr="0026362D">
        <w:rPr>
          <w:rFonts w:eastAsia="Calibri"/>
          <w:color w:val="000000" w:themeColor="text1"/>
          <w:sz w:val="26"/>
          <w:szCs w:val="26"/>
        </w:rPr>
        <w:t xml:space="preserve">[T]hat </w:t>
      </w:r>
      <w:r w:rsidRPr="0026362D">
        <w:rPr>
          <w:rFonts w:eastAsiaTheme="minorHAnsi"/>
          <w:color w:val="000000" w:themeColor="text1"/>
          <w:sz w:val="26"/>
          <w:szCs w:val="26"/>
          <w:lang w:val="en"/>
        </w:rPr>
        <w:t xml:space="preserve">Columbia’s billing practice, as presently implemented, is discriminatory, unreasonable and not justified in the given circumstances.  Therefore, we conclude that Columbia’s billing practice, as implemented, violates the prohibition on discrimination in provision of service under both </w:t>
      </w:r>
      <w:r w:rsidRPr="0026362D">
        <w:rPr>
          <w:rFonts w:eastAsiaTheme="minorHAnsi"/>
          <w:color w:val="000000" w:themeColor="text1"/>
          <w:sz w:val="26"/>
          <w:szCs w:val="26"/>
          <w:lang w:val="en"/>
        </w:rPr>
        <w:lastRenderedPageBreak/>
        <w:t>Sections 1502 and 220</w:t>
      </w:r>
      <w:r w:rsidR="00B44380">
        <w:rPr>
          <w:rFonts w:eastAsiaTheme="minorHAnsi"/>
          <w:color w:val="000000" w:themeColor="text1"/>
          <w:sz w:val="26"/>
          <w:szCs w:val="26"/>
          <w:lang w:val="en"/>
        </w:rPr>
        <w:t>4</w:t>
      </w:r>
      <w:r w:rsidRPr="0026362D">
        <w:rPr>
          <w:rFonts w:eastAsiaTheme="minorHAnsi"/>
          <w:color w:val="000000" w:themeColor="text1"/>
          <w:sz w:val="26"/>
          <w:szCs w:val="26"/>
          <w:lang w:val="en"/>
        </w:rPr>
        <w:t xml:space="preserve"> of the Code.  </w:t>
      </w:r>
      <w:r w:rsidRPr="0026362D">
        <w:rPr>
          <w:color w:val="000000" w:themeColor="text1"/>
          <w:sz w:val="26"/>
          <w:szCs w:val="26"/>
        </w:rPr>
        <w:t>Notwithstanding this determination, we agree with the OCA’s Reply Exception that it would not be a reasonable solution in these circumstances for the Commission to compel Columbia to provide the NGS Parties “on bill” billing service for non-commodity goods and services offered by the NGS Parties.  Columbia must comply with Section 1502 of the Code and provide its “on bill” billing policy in a way that is nondiscriminatory.  In other words, Columbia must either provide such a service to all entities that provide such non-basic services or must discontinue the “on bill” billing policy.  Columbia may not continue to provide this ability to only the two entities referenced in this case.  Should Columbia provide the service to all entities providing non-basic services, we recognize the potential need for reasonable limitations, such as a requirement that the entities be able to provide information to Columbia in a manner that conforms to Columbia’s billing practices, spacing and technologies.  As such, we shall require Columbia to report to this Commission’s Bureau of Technical Utility Services, within 60 days of the entry day of this Opinion and Order, its methodology for coming into compliance with Section 1502 of the Code.  We reiterate the requirements of 52 Pa. Code § 56.83(3) which directs that a customer’s service may not be terminated for nonpayment of such nonbasic charges.</w:t>
      </w:r>
    </w:p>
    <w:p w14:paraId="757038AB" w14:textId="6D3AEA16" w:rsidR="00776A17" w:rsidRPr="0026362D" w:rsidRDefault="00776A17" w:rsidP="00776A17">
      <w:pPr>
        <w:tabs>
          <w:tab w:val="left" w:pos="-720"/>
        </w:tabs>
        <w:suppressAutoHyphens/>
        <w:ind w:left="720" w:right="720"/>
        <w:rPr>
          <w:rFonts w:eastAsia="Calibri"/>
          <w:color w:val="000000" w:themeColor="text1"/>
          <w:sz w:val="26"/>
          <w:szCs w:val="26"/>
        </w:rPr>
      </w:pPr>
    </w:p>
    <w:p w14:paraId="0833327A" w14:textId="7B3F89C1" w:rsidR="00776A17" w:rsidRPr="0026362D" w:rsidRDefault="00776A17" w:rsidP="00776A17">
      <w:pPr>
        <w:tabs>
          <w:tab w:val="left" w:pos="-720"/>
        </w:tabs>
        <w:suppressAutoHyphens/>
        <w:spacing w:line="360" w:lineRule="auto"/>
        <w:rPr>
          <w:rFonts w:eastAsia="Calibri"/>
          <w:color w:val="000000" w:themeColor="text1"/>
          <w:sz w:val="26"/>
          <w:szCs w:val="26"/>
        </w:rPr>
      </w:pPr>
      <w:r w:rsidRPr="0026362D">
        <w:rPr>
          <w:rFonts w:eastAsia="Calibri"/>
          <w:color w:val="000000" w:themeColor="text1"/>
          <w:sz w:val="26"/>
          <w:szCs w:val="26"/>
        </w:rPr>
        <w:t>December 6 Order at 50.</w:t>
      </w:r>
    </w:p>
    <w:p w14:paraId="4F949C8F" w14:textId="13470613" w:rsidR="00776A17" w:rsidRPr="0026362D" w:rsidRDefault="00776A17" w:rsidP="00776A17">
      <w:pPr>
        <w:tabs>
          <w:tab w:val="left" w:pos="-720"/>
        </w:tabs>
        <w:suppressAutoHyphens/>
        <w:spacing w:line="360" w:lineRule="auto"/>
        <w:rPr>
          <w:rFonts w:eastAsia="Calibri"/>
          <w:color w:val="000000" w:themeColor="text1"/>
          <w:sz w:val="26"/>
          <w:szCs w:val="26"/>
        </w:rPr>
      </w:pPr>
    </w:p>
    <w:p w14:paraId="26C0BE80" w14:textId="306779E0" w:rsidR="00776A17" w:rsidRPr="0026362D" w:rsidRDefault="00776A17" w:rsidP="00776A17">
      <w:pPr>
        <w:tabs>
          <w:tab w:val="left" w:pos="-720"/>
        </w:tabs>
        <w:suppressAutoHyphens/>
        <w:spacing w:line="360" w:lineRule="auto"/>
        <w:ind w:firstLine="720"/>
        <w:rPr>
          <w:rFonts w:eastAsiaTheme="minorHAnsi"/>
          <w:color w:val="000000" w:themeColor="text1"/>
          <w:sz w:val="26"/>
          <w:szCs w:val="26"/>
        </w:rPr>
      </w:pPr>
      <w:r w:rsidRPr="0026362D">
        <w:rPr>
          <w:rFonts w:eastAsia="Calibri"/>
          <w:color w:val="000000" w:themeColor="text1"/>
          <w:sz w:val="26"/>
          <w:szCs w:val="26"/>
        </w:rPr>
        <w:t xml:space="preserve">The Commission directed that </w:t>
      </w:r>
      <w:r w:rsidR="00F96212" w:rsidRPr="0026362D">
        <w:rPr>
          <w:rFonts w:eastAsiaTheme="minorHAnsi"/>
          <w:color w:val="000000" w:themeColor="text1"/>
          <w:sz w:val="26"/>
          <w:szCs w:val="26"/>
        </w:rPr>
        <w:t>Columbia shall submit to this Commission’s Bureau of Technical Utility Services, within 60 days of the entry date of this Opinion and Order, a report detailing its compliance with Sections 1502 and 2203(4) of the Public Utility Code, 66 Pa. C.S. §§ 1502, 2203(4).</w:t>
      </w:r>
    </w:p>
    <w:p w14:paraId="0CBB543B" w14:textId="099B0459" w:rsidR="00F96212" w:rsidRPr="0026362D" w:rsidRDefault="00F96212" w:rsidP="00776A17">
      <w:pPr>
        <w:tabs>
          <w:tab w:val="left" w:pos="-720"/>
        </w:tabs>
        <w:suppressAutoHyphens/>
        <w:spacing w:line="360" w:lineRule="auto"/>
        <w:ind w:firstLine="720"/>
        <w:rPr>
          <w:rFonts w:eastAsiaTheme="minorHAnsi"/>
          <w:color w:val="000000" w:themeColor="text1"/>
          <w:sz w:val="26"/>
          <w:szCs w:val="26"/>
        </w:rPr>
      </w:pPr>
    </w:p>
    <w:p w14:paraId="1B02848E" w14:textId="27875B79" w:rsidR="00F96212" w:rsidRPr="0026362D" w:rsidRDefault="00F96212" w:rsidP="00776A17">
      <w:pPr>
        <w:tabs>
          <w:tab w:val="left" w:pos="-720"/>
        </w:tabs>
        <w:suppressAutoHyphens/>
        <w:spacing w:line="360" w:lineRule="auto"/>
        <w:ind w:firstLine="720"/>
        <w:rPr>
          <w:rFonts w:eastAsiaTheme="minorHAnsi"/>
          <w:color w:val="000000" w:themeColor="text1"/>
          <w:sz w:val="26"/>
          <w:szCs w:val="26"/>
        </w:rPr>
      </w:pPr>
      <w:r w:rsidRPr="0026362D">
        <w:rPr>
          <w:rFonts w:eastAsiaTheme="minorHAnsi"/>
          <w:color w:val="000000" w:themeColor="text1"/>
          <w:sz w:val="26"/>
          <w:szCs w:val="26"/>
        </w:rPr>
        <w:t>On March 18, 2019, Columbia submitted its report detailing its methodology for coming into compliance with Sections 1502 and 2203(4) of the Public Utility Code, 66</w:t>
      </w:r>
      <w:r w:rsidR="00C940A9">
        <w:rPr>
          <w:rFonts w:eastAsiaTheme="minorHAnsi"/>
          <w:color w:val="000000" w:themeColor="text1"/>
          <w:sz w:val="26"/>
          <w:szCs w:val="26"/>
        </w:rPr>
        <w:t> </w:t>
      </w:r>
      <w:r w:rsidRPr="0026362D">
        <w:rPr>
          <w:rFonts w:eastAsiaTheme="minorHAnsi"/>
          <w:color w:val="000000" w:themeColor="text1"/>
          <w:sz w:val="26"/>
          <w:szCs w:val="26"/>
        </w:rPr>
        <w:t xml:space="preserve">Pa. C.S. §§ 1502, 2203(4) (Compliance Report).  </w:t>
      </w:r>
    </w:p>
    <w:p w14:paraId="6592B669" w14:textId="486CC4C4" w:rsidR="00F96212" w:rsidRPr="0026362D" w:rsidRDefault="00F96212" w:rsidP="00776A17">
      <w:pPr>
        <w:tabs>
          <w:tab w:val="left" w:pos="-720"/>
        </w:tabs>
        <w:suppressAutoHyphens/>
        <w:spacing w:line="360" w:lineRule="auto"/>
        <w:ind w:firstLine="720"/>
        <w:rPr>
          <w:rFonts w:eastAsiaTheme="minorHAnsi"/>
          <w:color w:val="000000" w:themeColor="text1"/>
          <w:sz w:val="26"/>
          <w:szCs w:val="26"/>
        </w:rPr>
      </w:pPr>
    </w:p>
    <w:p w14:paraId="0FC57F41" w14:textId="3357C813" w:rsidR="00F96212" w:rsidRPr="0026362D" w:rsidRDefault="00F96212" w:rsidP="00776A17">
      <w:pPr>
        <w:tabs>
          <w:tab w:val="left" w:pos="-720"/>
        </w:tabs>
        <w:suppressAutoHyphens/>
        <w:spacing w:line="360" w:lineRule="auto"/>
        <w:ind w:firstLine="720"/>
        <w:rPr>
          <w:rFonts w:eastAsia="Calibri"/>
          <w:color w:val="000000" w:themeColor="text1"/>
          <w:sz w:val="26"/>
          <w:szCs w:val="26"/>
        </w:rPr>
      </w:pPr>
      <w:r w:rsidRPr="0026362D">
        <w:rPr>
          <w:rFonts w:eastAsiaTheme="minorHAnsi"/>
          <w:color w:val="000000" w:themeColor="text1"/>
          <w:sz w:val="26"/>
          <w:szCs w:val="26"/>
        </w:rPr>
        <w:lastRenderedPageBreak/>
        <w:t>On March 22, 2019, the NGS Parties filed Exceptions to Columbia’s Compliance Report.  On March 25, 2019, Columbia filed a response to the Exceptions of the NGS Parties.</w:t>
      </w:r>
      <w:r w:rsidR="002B47BC" w:rsidRPr="0026362D">
        <w:rPr>
          <w:rStyle w:val="FootnoteReference"/>
          <w:rFonts w:eastAsiaTheme="minorHAnsi"/>
          <w:color w:val="000000" w:themeColor="text1"/>
          <w:sz w:val="26"/>
          <w:szCs w:val="26"/>
        </w:rPr>
        <w:footnoteReference w:id="1"/>
      </w:r>
    </w:p>
    <w:p w14:paraId="037A6EA2" w14:textId="77777777" w:rsidR="008570E0" w:rsidRDefault="008570E0" w:rsidP="00F55D81">
      <w:pPr>
        <w:tabs>
          <w:tab w:val="left" w:pos="-720"/>
        </w:tabs>
        <w:suppressAutoHyphens/>
        <w:spacing w:line="360" w:lineRule="auto"/>
        <w:rPr>
          <w:b/>
          <w:bCs/>
          <w:color w:val="000000" w:themeColor="text1"/>
          <w:spacing w:val="-3"/>
          <w:kern w:val="1"/>
          <w:sz w:val="26"/>
          <w:szCs w:val="26"/>
        </w:rPr>
      </w:pPr>
    </w:p>
    <w:p w14:paraId="5B6633F7" w14:textId="0B81893C" w:rsidR="00071C7B" w:rsidRPr="0026362D" w:rsidRDefault="002B47BC" w:rsidP="00F55D81">
      <w:pPr>
        <w:tabs>
          <w:tab w:val="left" w:pos="-720"/>
        </w:tabs>
        <w:suppressAutoHyphens/>
        <w:spacing w:line="360" w:lineRule="auto"/>
        <w:rPr>
          <w:b/>
          <w:bCs/>
          <w:color w:val="000000" w:themeColor="text1"/>
          <w:spacing w:val="-3"/>
          <w:kern w:val="1"/>
          <w:sz w:val="26"/>
          <w:szCs w:val="26"/>
        </w:rPr>
      </w:pPr>
      <w:r w:rsidRPr="0026362D">
        <w:rPr>
          <w:b/>
          <w:bCs/>
          <w:color w:val="000000" w:themeColor="text1"/>
          <w:spacing w:val="-3"/>
          <w:kern w:val="1"/>
          <w:sz w:val="26"/>
          <w:szCs w:val="26"/>
        </w:rPr>
        <w:t>Columbia’s Compliance Report</w:t>
      </w:r>
    </w:p>
    <w:p w14:paraId="741EBA6A" w14:textId="0AF2FA4C" w:rsidR="00074611" w:rsidRPr="0026362D" w:rsidRDefault="00074611" w:rsidP="001C48AA">
      <w:pPr>
        <w:autoSpaceDE w:val="0"/>
        <w:autoSpaceDN w:val="0"/>
        <w:adjustRightInd w:val="0"/>
        <w:spacing w:line="360" w:lineRule="auto"/>
        <w:rPr>
          <w:color w:val="000000" w:themeColor="text1"/>
          <w:sz w:val="26"/>
          <w:szCs w:val="26"/>
        </w:rPr>
      </w:pPr>
      <w:r w:rsidRPr="0026362D">
        <w:rPr>
          <w:color w:val="000000" w:themeColor="text1"/>
          <w:spacing w:val="-3"/>
          <w:kern w:val="1"/>
          <w:sz w:val="26"/>
          <w:szCs w:val="26"/>
        </w:rPr>
        <w:tab/>
        <w:t xml:space="preserve">In its </w:t>
      </w:r>
      <w:r w:rsidR="0060526A" w:rsidRPr="0026362D">
        <w:rPr>
          <w:color w:val="000000" w:themeColor="text1"/>
          <w:spacing w:val="-3"/>
          <w:kern w:val="1"/>
          <w:sz w:val="26"/>
          <w:szCs w:val="26"/>
        </w:rPr>
        <w:t>March 18, 2019</w:t>
      </w:r>
      <w:r w:rsidR="008570E0">
        <w:rPr>
          <w:color w:val="000000" w:themeColor="text1"/>
          <w:spacing w:val="-3"/>
          <w:kern w:val="1"/>
          <w:sz w:val="26"/>
          <w:szCs w:val="26"/>
        </w:rPr>
        <w:t>,</w:t>
      </w:r>
      <w:r w:rsidR="0060526A" w:rsidRPr="0026362D">
        <w:rPr>
          <w:color w:val="000000" w:themeColor="text1"/>
          <w:spacing w:val="-3"/>
          <w:kern w:val="1"/>
          <w:sz w:val="26"/>
          <w:szCs w:val="26"/>
        </w:rPr>
        <w:t xml:space="preserve"> </w:t>
      </w:r>
      <w:r w:rsidRPr="0026362D">
        <w:rPr>
          <w:color w:val="000000" w:themeColor="text1"/>
          <w:spacing w:val="-3"/>
          <w:kern w:val="1"/>
          <w:sz w:val="26"/>
          <w:szCs w:val="26"/>
        </w:rPr>
        <w:t>Compliance Report</w:t>
      </w:r>
      <w:r w:rsidR="00D544A6" w:rsidRPr="0026362D">
        <w:rPr>
          <w:color w:val="000000" w:themeColor="text1"/>
          <w:spacing w:val="-3"/>
          <w:kern w:val="1"/>
          <w:sz w:val="26"/>
          <w:szCs w:val="26"/>
        </w:rPr>
        <w:t xml:space="preserve">, </w:t>
      </w:r>
      <w:r w:rsidRPr="0026362D">
        <w:rPr>
          <w:color w:val="000000" w:themeColor="text1"/>
          <w:spacing w:val="-3"/>
          <w:kern w:val="1"/>
          <w:sz w:val="26"/>
          <w:szCs w:val="26"/>
        </w:rPr>
        <w:t xml:space="preserve">Columbia </w:t>
      </w:r>
      <w:r w:rsidR="00D72913" w:rsidRPr="0026362D">
        <w:rPr>
          <w:color w:val="000000" w:themeColor="text1"/>
          <w:spacing w:val="-3"/>
          <w:kern w:val="1"/>
          <w:sz w:val="26"/>
          <w:szCs w:val="26"/>
        </w:rPr>
        <w:t xml:space="preserve">stated that it proposes to comply with the Commission’s directive and Sections 1502 and 2203(4) of the Public Utility Code by discontinuing its “on bill” billing practice.  </w:t>
      </w:r>
      <w:r w:rsidR="001C48AA" w:rsidRPr="0026362D">
        <w:rPr>
          <w:color w:val="000000" w:themeColor="text1"/>
          <w:sz w:val="26"/>
          <w:szCs w:val="26"/>
        </w:rPr>
        <w:t xml:space="preserve">Columbia states that it will be providing notice to </w:t>
      </w:r>
      <w:r w:rsidR="00BA6CF5" w:rsidRPr="0026362D">
        <w:rPr>
          <w:color w:val="000000" w:themeColor="text1"/>
          <w:sz w:val="26"/>
          <w:szCs w:val="26"/>
        </w:rPr>
        <w:t>Columbia Service Partners, Inc. (</w:t>
      </w:r>
      <w:r w:rsidR="001C48AA" w:rsidRPr="0026362D">
        <w:rPr>
          <w:color w:val="000000" w:themeColor="text1"/>
          <w:sz w:val="26"/>
          <w:szCs w:val="26"/>
        </w:rPr>
        <w:t>CSP</w:t>
      </w:r>
      <w:r w:rsidR="00BA6CF5" w:rsidRPr="0026362D">
        <w:rPr>
          <w:color w:val="000000" w:themeColor="text1"/>
          <w:sz w:val="26"/>
          <w:szCs w:val="26"/>
        </w:rPr>
        <w:t>)</w:t>
      </w:r>
      <w:r w:rsidR="001C48AA" w:rsidRPr="0026362D">
        <w:rPr>
          <w:color w:val="000000" w:themeColor="text1"/>
          <w:sz w:val="26"/>
          <w:szCs w:val="26"/>
        </w:rPr>
        <w:t xml:space="preserve"> that Columbia will not renew its contract with CSP and that Columbia will no longer provide CSP with access to its bills for "on bill" billing services </w:t>
      </w:r>
      <w:r w:rsidR="00D544A6" w:rsidRPr="0026362D">
        <w:rPr>
          <w:color w:val="000000" w:themeColor="text1"/>
          <w:sz w:val="26"/>
          <w:szCs w:val="26"/>
        </w:rPr>
        <w:t>after</w:t>
      </w:r>
      <w:r w:rsidR="001C48AA" w:rsidRPr="0026362D">
        <w:rPr>
          <w:color w:val="000000" w:themeColor="text1"/>
          <w:sz w:val="26"/>
          <w:szCs w:val="26"/>
        </w:rPr>
        <w:t xml:space="preserve"> the end of its current contract term </w:t>
      </w:r>
      <w:r w:rsidR="00D544A6" w:rsidRPr="0026362D">
        <w:rPr>
          <w:color w:val="000000" w:themeColor="text1"/>
          <w:sz w:val="26"/>
          <w:szCs w:val="26"/>
        </w:rPr>
        <w:t>ending</w:t>
      </w:r>
      <w:r w:rsidR="001C48AA" w:rsidRPr="0026362D">
        <w:rPr>
          <w:color w:val="000000" w:themeColor="text1"/>
          <w:sz w:val="26"/>
          <w:szCs w:val="26"/>
        </w:rPr>
        <w:t xml:space="preserve"> September 2019.  Columbia also states that it will no longer provide </w:t>
      </w:r>
      <w:r w:rsidR="006E1A5A" w:rsidRPr="0026362D">
        <w:rPr>
          <w:color w:val="000000" w:themeColor="text1"/>
          <w:spacing w:val="-3"/>
          <w:kern w:val="1"/>
          <w:sz w:val="26"/>
          <w:szCs w:val="26"/>
        </w:rPr>
        <w:t>Nicor Energy Services Company</w:t>
      </w:r>
      <w:r w:rsidR="006E1A5A" w:rsidRPr="0026362D">
        <w:rPr>
          <w:color w:val="000000" w:themeColor="text1"/>
          <w:sz w:val="26"/>
          <w:szCs w:val="26"/>
        </w:rPr>
        <w:t xml:space="preserve"> (</w:t>
      </w:r>
      <w:r w:rsidR="001C48AA" w:rsidRPr="0026362D">
        <w:rPr>
          <w:color w:val="000000" w:themeColor="text1"/>
          <w:sz w:val="26"/>
          <w:szCs w:val="26"/>
        </w:rPr>
        <w:t>Nicor</w:t>
      </w:r>
      <w:r w:rsidR="006E1A5A" w:rsidRPr="0026362D">
        <w:rPr>
          <w:color w:val="000000" w:themeColor="text1"/>
          <w:sz w:val="26"/>
          <w:szCs w:val="26"/>
        </w:rPr>
        <w:t>)</w:t>
      </w:r>
      <w:r w:rsidR="001C48AA" w:rsidRPr="0026362D">
        <w:rPr>
          <w:color w:val="000000" w:themeColor="text1"/>
          <w:sz w:val="26"/>
          <w:szCs w:val="26"/>
        </w:rPr>
        <w:t xml:space="preserve"> with access to its bills </w:t>
      </w:r>
      <w:r w:rsidR="00D544A6" w:rsidRPr="0026362D">
        <w:rPr>
          <w:color w:val="000000" w:themeColor="text1"/>
          <w:sz w:val="26"/>
          <w:szCs w:val="26"/>
        </w:rPr>
        <w:t>after</w:t>
      </w:r>
      <w:r w:rsidR="001C48AA" w:rsidRPr="0026362D">
        <w:rPr>
          <w:color w:val="000000" w:themeColor="text1"/>
          <w:sz w:val="26"/>
          <w:szCs w:val="26"/>
        </w:rPr>
        <w:t xml:space="preserve"> the end of its current contract term with Nicor, which expires in January 2023, or sooner if contractually feasible. </w:t>
      </w:r>
      <w:r w:rsidR="00BA6CF5" w:rsidRPr="0026362D">
        <w:rPr>
          <w:color w:val="000000" w:themeColor="text1"/>
          <w:sz w:val="26"/>
          <w:szCs w:val="26"/>
        </w:rPr>
        <w:t xml:space="preserve"> Report at 1-2.</w:t>
      </w:r>
    </w:p>
    <w:p w14:paraId="4D784A6C" w14:textId="37D5BF69" w:rsidR="00542B6C" w:rsidRPr="0026362D" w:rsidRDefault="00542B6C" w:rsidP="001C48AA">
      <w:pPr>
        <w:autoSpaceDE w:val="0"/>
        <w:autoSpaceDN w:val="0"/>
        <w:adjustRightInd w:val="0"/>
        <w:spacing w:line="360" w:lineRule="auto"/>
        <w:rPr>
          <w:color w:val="000000" w:themeColor="text1"/>
          <w:sz w:val="26"/>
          <w:szCs w:val="26"/>
        </w:rPr>
      </w:pPr>
    </w:p>
    <w:p w14:paraId="1E1CE9DA" w14:textId="4B567708" w:rsidR="00BA6CF5" w:rsidRPr="0026362D" w:rsidRDefault="00BA6CF5" w:rsidP="001C48AA">
      <w:pPr>
        <w:autoSpaceDE w:val="0"/>
        <w:autoSpaceDN w:val="0"/>
        <w:adjustRightInd w:val="0"/>
        <w:spacing w:line="360" w:lineRule="auto"/>
        <w:rPr>
          <w:b/>
          <w:bCs/>
          <w:color w:val="000000" w:themeColor="text1"/>
          <w:sz w:val="26"/>
          <w:szCs w:val="26"/>
        </w:rPr>
      </w:pPr>
      <w:r w:rsidRPr="0026362D">
        <w:rPr>
          <w:b/>
          <w:bCs/>
          <w:color w:val="000000" w:themeColor="text1"/>
          <w:sz w:val="26"/>
          <w:szCs w:val="26"/>
        </w:rPr>
        <w:t xml:space="preserve">NGS Parties’ </w:t>
      </w:r>
      <w:r w:rsidR="00AF23FF" w:rsidRPr="0026362D">
        <w:rPr>
          <w:b/>
          <w:bCs/>
          <w:color w:val="000000" w:themeColor="text1"/>
          <w:sz w:val="26"/>
          <w:szCs w:val="26"/>
        </w:rPr>
        <w:t>Exceptions</w:t>
      </w:r>
    </w:p>
    <w:p w14:paraId="4F55F655" w14:textId="05F948E4" w:rsidR="001153A0" w:rsidRPr="0026362D" w:rsidRDefault="00946D7E" w:rsidP="0026362D">
      <w:pPr>
        <w:autoSpaceDE w:val="0"/>
        <w:autoSpaceDN w:val="0"/>
        <w:adjustRightInd w:val="0"/>
        <w:spacing w:line="360" w:lineRule="auto"/>
        <w:ind w:firstLine="720"/>
        <w:rPr>
          <w:color w:val="000000" w:themeColor="text1"/>
          <w:spacing w:val="-3"/>
          <w:kern w:val="1"/>
          <w:sz w:val="26"/>
          <w:szCs w:val="26"/>
        </w:rPr>
      </w:pPr>
      <w:r w:rsidRPr="0026362D">
        <w:rPr>
          <w:color w:val="000000" w:themeColor="text1"/>
          <w:spacing w:val="-3"/>
          <w:kern w:val="1"/>
          <w:sz w:val="26"/>
          <w:szCs w:val="26"/>
        </w:rPr>
        <w:t>T</w:t>
      </w:r>
      <w:r w:rsidR="001C48AA" w:rsidRPr="0026362D">
        <w:rPr>
          <w:color w:val="000000" w:themeColor="text1"/>
          <w:spacing w:val="-3"/>
          <w:kern w:val="1"/>
          <w:sz w:val="26"/>
          <w:szCs w:val="26"/>
        </w:rPr>
        <w:t>he NGS Parties</w:t>
      </w:r>
      <w:r w:rsidR="00E047FC" w:rsidRPr="0026362D">
        <w:rPr>
          <w:color w:val="000000" w:themeColor="text1"/>
          <w:spacing w:val="-3"/>
          <w:kern w:val="1"/>
          <w:sz w:val="26"/>
          <w:szCs w:val="26"/>
        </w:rPr>
        <w:t xml:space="preserve"> state</w:t>
      </w:r>
      <w:r w:rsidR="001C48AA" w:rsidRPr="0026362D">
        <w:rPr>
          <w:color w:val="000000" w:themeColor="text1"/>
          <w:spacing w:val="-3"/>
          <w:kern w:val="1"/>
          <w:sz w:val="26"/>
          <w:szCs w:val="26"/>
        </w:rPr>
        <w:t xml:space="preserve"> that Columbia Gas’s Compliance Report</w:t>
      </w:r>
      <w:r w:rsidR="00F62DB7" w:rsidRPr="0026362D">
        <w:rPr>
          <w:color w:val="000000" w:themeColor="text1"/>
          <w:spacing w:val="-3"/>
          <w:kern w:val="1"/>
          <w:sz w:val="26"/>
          <w:szCs w:val="26"/>
        </w:rPr>
        <w:t xml:space="preserve"> does not comply with the Commission’s </w:t>
      </w:r>
      <w:r w:rsidR="00542B6C" w:rsidRPr="0026362D">
        <w:rPr>
          <w:color w:val="000000" w:themeColor="text1"/>
          <w:spacing w:val="-3"/>
          <w:kern w:val="1"/>
          <w:sz w:val="26"/>
          <w:szCs w:val="26"/>
        </w:rPr>
        <w:t xml:space="preserve">December 6 </w:t>
      </w:r>
      <w:r w:rsidR="00F62DB7" w:rsidRPr="0026362D">
        <w:rPr>
          <w:color w:val="000000" w:themeColor="text1"/>
          <w:spacing w:val="-3"/>
          <w:kern w:val="1"/>
          <w:sz w:val="26"/>
          <w:szCs w:val="26"/>
        </w:rPr>
        <w:t>Order</w:t>
      </w:r>
      <w:r w:rsidR="00BA6CF5" w:rsidRPr="0026362D">
        <w:rPr>
          <w:color w:val="000000" w:themeColor="text1"/>
          <w:spacing w:val="-3"/>
          <w:kern w:val="1"/>
          <w:sz w:val="26"/>
          <w:szCs w:val="26"/>
        </w:rPr>
        <w:t xml:space="preserve">.  </w:t>
      </w:r>
      <w:r w:rsidR="006B6A38">
        <w:rPr>
          <w:color w:val="000000" w:themeColor="text1"/>
          <w:spacing w:val="-3"/>
          <w:kern w:val="1"/>
          <w:sz w:val="26"/>
          <w:szCs w:val="26"/>
        </w:rPr>
        <w:t>T</w:t>
      </w:r>
      <w:r w:rsidR="00BA6CF5" w:rsidRPr="0026362D">
        <w:rPr>
          <w:color w:val="000000" w:themeColor="text1"/>
          <w:spacing w:val="-3"/>
          <w:kern w:val="1"/>
          <w:sz w:val="26"/>
          <w:szCs w:val="26"/>
        </w:rPr>
        <w:t>he NGS Parties assert that the</w:t>
      </w:r>
      <w:r w:rsidR="00F62DB7" w:rsidRPr="0026362D">
        <w:rPr>
          <w:color w:val="000000" w:themeColor="text1"/>
          <w:spacing w:val="-3"/>
          <w:kern w:val="1"/>
          <w:sz w:val="26"/>
          <w:szCs w:val="26"/>
        </w:rPr>
        <w:t xml:space="preserve"> </w:t>
      </w:r>
      <w:r w:rsidR="00542B6C" w:rsidRPr="0026362D">
        <w:rPr>
          <w:color w:val="000000" w:themeColor="text1"/>
          <w:spacing w:val="-3"/>
          <w:kern w:val="1"/>
          <w:sz w:val="26"/>
          <w:szCs w:val="26"/>
        </w:rPr>
        <w:t xml:space="preserve">December 6 </w:t>
      </w:r>
      <w:r w:rsidR="00F62DB7" w:rsidRPr="0026362D">
        <w:rPr>
          <w:color w:val="000000" w:themeColor="text1"/>
          <w:spacing w:val="-3"/>
          <w:kern w:val="1"/>
          <w:sz w:val="26"/>
          <w:szCs w:val="26"/>
        </w:rPr>
        <w:t>Order require</w:t>
      </w:r>
      <w:r w:rsidR="00D9609E" w:rsidRPr="0026362D">
        <w:rPr>
          <w:color w:val="000000" w:themeColor="text1"/>
          <w:spacing w:val="-3"/>
          <w:kern w:val="1"/>
          <w:sz w:val="26"/>
          <w:szCs w:val="26"/>
        </w:rPr>
        <w:t xml:space="preserve">d Columbia </w:t>
      </w:r>
      <w:r w:rsidR="00BA6CF5" w:rsidRPr="0026362D">
        <w:rPr>
          <w:color w:val="000000" w:themeColor="text1"/>
          <w:spacing w:val="-3"/>
          <w:kern w:val="1"/>
          <w:sz w:val="26"/>
          <w:szCs w:val="26"/>
        </w:rPr>
        <w:t>to</w:t>
      </w:r>
      <w:r w:rsidR="00D9609E" w:rsidRPr="0026362D">
        <w:rPr>
          <w:color w:val="000000" w:themeColor="text1"/>
          <w:spacing w:val="-3"/>
          <w:kern w:val="1"/>
          <w:sz w:val="26"/>
          <w:szCs w:val="26"/>
        </w:rPr>
        <w:t xml:space="preserve"> either provide </w:t>
      </w:r>
      <w:r w:rsidR="0085369F" w:rsidRPr="0026362D">
        <w:rPr>
          <w:color w:val="000000" w:themeColor="text1"/>
          <w:spacing w:val="-3"/>
          <w:kern w:val="1"/>
          <w:sz w:val="26"/>
          <w:szCs w:val="26"/>
        </w:rPr>
        <w:t>“</w:t>
      </w:r>
      <w:r w:rsidR="00D9609E" w:rsidRPr="0026362D">
        <w:rPr>
          <w:color w:val="000000" w:themeColor="text1"/>
          <w:spacing w:val="-3"/>
          <w:kern w:val="1"/>
          <w:sz w:val="26"/>
          <w:szCs w:val="26"/>
        </w:rPr>
        <w:t>on bill</w:t>
      </w:r>
      <w:r w:rsidR="0085369F" w:rsidRPr="0026362D">
        <w:rPr>
          <w:color w:val="000000" w:themeColor="text1"/>
          <w:spacing w:val="-3"/>
          <w:kern w:val="1"/>
          <w:sz w:val="26"/>
          <w:szCs w:val="26"/>
        </w:rPr>
        <w:t>”</w:t>
      </w:r>
      <w:r w:rsidR="00D9609E" w:rsidRPr="0026362D">
        <w:rPr>
          <w:color w:val="000000" w:themeColor="text1"/>
          <w:spacing w:val="-3"/>
          <w:kern w:val="1"/>
          <w:sz w:val="26"/>
          <w:szCs w:val="26"/>
        </w:rPr>
        <w:t xml:space="preserve"> service for all qualified entities or cease offering the service. </w:t>
      </w:r>
      <w:r w:rsidR="00BA6CF5" w:rsidRPr="0026362D">
        <w:rPr>
          <w:color w:val="000000" w:themeColor="text1"/>
          <w:spacing w:val="-3"/>
          <w:kern w:val="1"/>
          <w:sz w:val="26"/>
          <w:szCs w:val="26"/>
        </w:rPr>
        <w:t xml:space="preserve"> </w:t>
      </w:r>
      <w:r w:rsidR="00542B6C" w:rsidRPr="0026362D">
        <w:rPr>
          <w:color w:val="000000" w:themeColor="text1"/>
          <w:spacing w:val="-3"/>
          <w:kern w:val="1"/>
          <w:sz w:val="26"/>
          <w:szCs w:val="26"/>
        </w:rPr>
        <w:t xml:space="preserve">The NGS Parties </w:t>
      </w:r>
      <w:r w:rsidR="003E0D4E" w:rsidRPr="0026362D">
        <w:rPr>
          <w:color w:val="000000" w:themeColor="text1"/>
          <w:spacing w:val="-3"/>
          <w:kern w:val="1"/>
          <w:sz w:val="26"/>
          <w:szCs w:val="26"/>
        </w:rPr>
        <w:t>submit that the December 6 Order did not contain a third option that would allow Columbia to continue to provide discriminatory service for more than three years after the December 6 Order was issued</w:t>
      </w:r>
      <w:r w:rsidR="00542B6C" w:rsidRPr="0026362D">
        <w:rPr>
          <w:color w:val="000000" w:themeColor="text1"/>
          <w:spacing w:val="-3"/>
          <w:kern w:val="1"/>
          <w:sz w:val="26"/>
          <w:szCs w:val="26"/>
        </w:rPr>
        <w:t>.</w:t>
      </w:r>
      <w:r w:rsidR="003E0D4E" w:rsidRPr="0026362D">
        <w:rPr>
          <w:color w:val="000000" w:themeColor="text1"/>
          <w:spacing w:val="-3"/>
          <w:kern w:val="1"/>
          <w:sz w:val="26"/>
          <w:szCs w:val="26"/>
        </w:rPr>
        <w:t xml:space="preserve">  Exceptions at 2.</w:t>
      </w:r>
      <w:r w:rsidR="00F62DB7" w:rsidRPr="0026362D">
        <w:rPr>
          <w:color w:val="000000" w:themeColor="text1"/>
          <w:spacing w:val="-3"/>
          <w:kern w:val="1"/>
          <w:sz w:val="26"/>
          <w:szCs w:val="26"/>
        </w:rPr>
        <w:t xml:space="preserve"> </w:t>
      </w:r>
      <w:r w:rsidR="00542B6C" w:rsidRPr="0026362D">
        <w:rPr>
          <w:color w:val="000000" w:themeColor="text1"/>
          <w:spacing w:val="-3"/>
          <w:kern w:val="1"/>
          <w:sz w:val="26"/>
          <w:szCs w:val="26"/>
        </w:rPr>
        <w:t xml:space="preserve"> </w:t>
      </w:r>
    </w:p>
    <w:p w14:paraId="08AD0578" w14:textId="70B793EC" w:rsidR="00996C36" w:rsidRPr="0026362D" w:rsidRDefault="00996C36" w:rsidP="001153A0">
      <w:pPr>
        <w:autoSpaceDE w:val="0"/>
        <w:autoSpaceDN w:val="0"/>
        <w:adjustRightInd w:val="0"/>
        <w:spacing w:line="360" w:lineRule="auto"/>
        <w:rPr>
          <w:color w:val="000000" w:themeColor="text1"/>
          <w:spacing w:val="-3"/>
          <w:kern w:val="1"/>
          <w:sz w:val="26"/>
          <w:szCs w:val="26"/>
        </w:rPr>
      </w:pPr>
    </w:p>
    <w:p w14:paraId="5DC7021B" w14:textId="535E7C44" w:rsidR="00996C36" w:rsidRPr="0026362D" w:rsidRDefault="00996C36" w:rsidP="00575D8F">
      <w:pPr>
        <w:autoSpaceDE w:val="0"/>
        <w:autoSpaceDN w:val="0"/>
        <w:adjustRightInd w:val="0"/>
        <w:spacing w:line="360" w:lineRule="auto"/>
        <w:ind w:firstLine="720"/>
        <w:rPr>
          <w:color w:val="000000" w:themeColor="text1"/>
          <w:spacing w:val="-3"/>
          <w:kern w:val="1"/>
          <w:sz w:val="26"/>
          <w:szCs w:val="26"/>
        </w:rPr>
      </w:pPr>
      <w:r w:rsidRPr="0026362D">
        <w:rPr>
          <w:color w:val="000000" w:themeColor="text1"/>
          <w:spacing w:val="-3"/>
          <w:kern w:val="1"/>
          <w:sz w:val="26"/>
          <w:szCs w:val="26"/>
        </w:rPr>
        <w:lastRenderedPageBreak/>
        <w:t xml:space="preserve">The NGS Parties state that Columbia’s continued performance under the two contracts is equivalent to Columbia’s attempt to “contract around the law” as the contracts became illegal once the Commission concluded that the two billing contracts were discriminatory.  Exceptions </w:t>
      </w:r>
      <w:r w:rsidR="00AF23FF" w:rsidRPr="0026362D">
        <w:rPr>
          <w:color w:val="000000" w:themeColor="text1"/>
          <w:spacing w:val="-3"/>
          <w:kern w:val="1"/>
          <w:sz w:val="26"/>
          <w:szCs w:val="26"/>
        </w:rPr>
        <w:t>¶¶</w:t>
      </w:r>
      <w:r w:rsidRPr="0026362D">
        <w:rPr>
          <w:color w:val="000000" w:themeColor="text1"/>
          <w:spacing w:val="-3"/>
          <w:kern w:val="1"/>
          <w:sz w:val="26"/>
          <w:szCs w:val="26"/>
        </w:rPr>
        <w:t>2-</w:t>
      </w:r>
      <w:r w:rsidR="00AF23FF" w:rsidRPr="0026362D">
        <w:rPr>
          <w:color w:val="000000" w:themeColor="text1"/>
          <w:spacing w:val="-3"/>
          <w:kern w:val="1"/>
          <w:sz w:val="26"/>
          <w:szCs w:val="26"/>
        </w:rPr>
        <w:t>4</w:t>
      </w:r>
      <w:r w:rsidRPr="0026362D">
        <w:rPr>
          <w:color w:val="000000" w:themeColor="text1"/>
          <w:spacing w:val="-3"/>
          <w:kern w:val="1"/>
          <w:sz w:val="26"/>
          <w:szCs w:val="26"/>
        </w:rPr>
        <w:t xml:space="preserve">.  </w:t>
      </w:r>
      <w:r w:rsidR="00AF23FF" w:rsidRPr="0026362D">
        <w:rPr>
          <w:color w:val="000000" w:themeColor="text1"/>
          <w:spacing w:val="-3"/>
          <w:kern w:val="1"/>
          <w:sz w:val="26"/>
          <w:szCs w:val="26"/>
        </w:rPr>
        <w:t>T</w:t>
      </w:r>
      <w:r w:rsidRPr="0026362D">
        <w:rPr>
          <w:color w:val="000000" w:themeColor="text1"/>
          <w:spacing w:val="-3"/>
          <w:kern w:val="1"/>
          <w:sz w:val="26"/>
          <w:szCs w:val="26"/>
        </w:rPr>
        <w:t>he NGS Parties recommend the Commission use its authority under Section 508 of the Public Utility Code, 66 Pa. Code §</w:t>
      </w:r>
      <w:r w:rsidR="00AF23FF" w:rsidRPr="0026362D">
        <w:rPr>
          <w:color w:val="000000" w:themeColor="text1"/>
          <w:spacing w:val="-3"/>
          <w:kern w:val="1"/>
          <w:sz w:val="26"/>
          <w:szCs w:val="26"/>
        </w:rPr>
        <w:t> </w:t>
      </w:r>
      <w:r w:rsidRPr="0026362D">
        <w:rPr>
          <w:color w:val="000000" w:themeColor="text1"/>
          <w:spacing w:val="-3"/>
          <w:kern w:val="1"/>
          <w:sz w:val="26"/>
          <w:szCs w:val="26"/>
        </w:rPr>
        <w:t xml:space="preserve">508 to terminate the </w:t>
      </w:r>
      <w:r w:rsidR="00AF23FF" w:rsidRPr="0026362D">
        <w:rPr>
          <w:color w:val="000000" w:themeColor="text1"/>
          <w:spacing w:val="-3"/>
          <w:kern w:val="1"/>
          <w:sz w:val="26"/>
          <w:szCs w:val="26"/>
        </w:rPr>
        <w:t xml:space="preserve">contracts with </w:t>
      </w:r>
      <w:r w:rsidRPr="0026362D">
        <w:rPr>
          <w:color w:val="000000" w:themeColor="text1"/>
          <w:spacing w:val="-3"/>
          <w:kern w:val="1"/>
          <w:sz w:val="26"/>
          <w:szCs w:val="26"/>
        </w:rPr>
        <w:t xml:space="preserve">CSP and Nicor if Columbia does not immediately come into compliance with 66 Pa. C.S. §§ 1502 and 2203(4).  </w:t>
      </w:r>
      <w:r w:rsidR="00AF23FF" w:rsidRPr="0026362D">
        <w:rPr>
          <w:color w:val="000000" w:themeColor="text1"/>
          <w:spacing w:val="-3"/>
          <w:kern w:val="1"/>
          <w:sz w:val="26"/>
          <w:szCs w:val="26"/>
        </w:rPr>
        <w:t xml:space="preserve">Exceptions ¶5.  The NGS Parties submit that Columbia’s Report is contrary to the Commission’s December 6 Order and fails completely to state any basis to conclude that there is or will be any timely compliance with that Order.  The NGS Parties request that Columbia’s Report be </w:t>
      </w:r>
      <w:r w:rsidR="00461780" w:rsidRPr="0026362D">
        <w:rPr>
          <w:color w:val="000000" w:themeColor="text1"/>
          <w:spacing w:val="-3"/>
          <w:kern w:val="1"/>
          <w:sz w:val="26"/>
          <w:szCs w:val="26"/>
        </w:rPr>
        <w:t>rejected,</w:t>
      </w:r>
      <w:r w:rsidR="00AF23FF" w:rsidRPr="0026362D">
        <w:rPr>
          <w:color w:val="000000" w:themeColor="text1"/>
          <w:spacing w:val="-3"/>
          <w:kern w:val="1"/>
          <w:sz w:val="26"/>
          <w:szCs w:val="26"/>
        </w:rPr>
        <w:t xml:space="preserve"> </w:t>
      </w:r>
      <w:r w:rsidR="006A0F9A">
        <w:rPr>
          <w:color w:val="000000" w:themeColor="text1"/>
          <w:spacing w:val="-3"/>
          <w:kern w:val="1"/>
          <w:sz w:val="26"/>
          <w:szCs w:val="26"/>
        </w:rPr>
        <w:t>and</w:t>
      </w:r>
      <w:r w:rsidR="00AF23FF" w:rsidRPr="0026362D">
        <w:rPr>
          <w:color w:val="000000" w:themeColor="text1"/>
          <w:spacing w:val="-3"/>
          <w:kern w:val="1"/>
          <w:sz w:val="26"/>
          <w:szCs w:val="26"/>
        </w:rPr>
        <w:t xml:space="preserve"> that Columbia be require</w:t>
      </w:r>
      <w:r w:rsidR="006A0F9A">
        <w:rPr>
          <w:color w:val="000000" w:themeColor="text1"/>
          <w:spacing w:val="-3"/>
          <w:kern w:val="1"/>
          <w:sz w:val="26"/>
          <w:szCs w:val="26"/>
        </w:rPr>
        <w:t>d to</w:t>
      </w:r>
      <w:r w:rsidR="00AF23FF" w:rsidRPr="0026362D">
        <w:rPr>
          <w:color w:val="000000" w:themeColor="text1"/>
          <w:spacing w:val="-3"/>
          <w:kern w:val="1"/>
          <w:sz w:val="26"/>
          <w:szCs w:val="26"/>
        </w:rPr>
        <w:t xml:space="preserve"> immediately submit a report that will bring it into compliance with the December 6 Order.  Exceptions ¶7.</w:t>
      </w:r>
    </w:p>
    <w:p w14:paraId="4DB2C1F0" w14:textId="6AC524E6" w:rsidR="00996C36" w:rsidRPr="0026362D" w:rsidRDefault="00996C36" w:rsidP="001153A0">
      <w:pPr>
        <w:autoSpaceDE w:val="0"/>
        <w:autoSpaceDN w:val="0"/>
        <w:adjustRightInd w:val="0"/>
        <w:spacing w:line="360" w:lineRule="auto"/>
        <w:rPr>
          <w:color w:val="000000" w:themeColor="text1"/>
          <w:spacing w:val="-3"/>
          <w:kern w:val="1"/>
          <w:sz w:val="26"/>
          <w:szCs w:val="26"/>
        </w:rPr>
      </w:pPr>
    </w:p>
    <w:p w14:paraId="28256E3D" w14:textId="58D4C667" w:rsidR="00AF23FF" w:rsidRPr="0026362D" w:rsidRDefault="00AF23FF" w:rsidP="001153A0">
      <w:pPr>
        <w:autoSpaceDE w:val="0"/>
        <w:autoSpaceDN w:val="0"/>
        <w:adjustRightInd w:val="0"/>
        <w:spacing w:line="360" w:lineRule="auto"/>
        <w:rPr>
          <w:b/>
          <w:bCs/>
          <w:color w:val="000000" w:themeColor="text1"/>
          <w:spacing w:val="-3"/>
          <w:kern w:val="1"/>
          <w:sz w:val="26"/>
          <w:szCs w:val="26"/>
        </w:rPr>
      </w:pPr>
      <w:r w:rsidRPr="0026362D">
        <w:rPr>
          <w:b/>
          <w:bCs/>
          <w:color w:val="000000" w:themeColor="text1"/>
          <w:spacing w:val="-3"/>
          <w:kern w:val="1"/>
          <w:sz w:val="26"/>
          <w:szCs w:val="26"/>
        </w:rPr>
        <w:t>Columbia’s Reply to Exceptions</w:t>
      </w:r>
    </w:p>
    <w:p w14:paraId="1CDBA234" w14:textId="65EB61EA" w:rsidR="00EC1B9D" w:rsidRPr="0026362D" w:rsidRDefault="003E0D4E" w:rsidP="001153A0">
      <w:pPr>
        <w:autoSpaceDE w:val="0"/>
        <w:autoSpaceDN w:val="0"/>
        <w:adjustRightInd w:val="0"/>
        <w:spacing w:line="360" w:lineRule="auto"/>
        <w:ind w:firstLine="720"/>
        <w:rPr>
          <w:color w:val="000000" w:themeColor="text1"/>
          <w:spacing w:val="-3"/>
          <w:kern w:val="1"/>
          <w:sz w:val="26"/>
          <w:szCs w:val="26"/>
        </w:rPr>
      </w:pPr>
      <w:r w:rsidRPr="0026362D">
        <w:rPr>
          <w:color w:val="000000" w:themeColor="text1"/>
          <w:spacing w:val="-3"/>
          <w:kern w:val="1"/>
          <w:sz w:val="26"/>
          <w:szCs w:val="26"/>
        </w:rPr>
        <w:t xml:space="preserve">In response, </w:t>
      </w:r>
      <w:r w:rsidR="001153A0" w:rsidRPr="0026362D">
        <w:rPr>
          <w:color w:val="000000" w:themeColor="text1"/>
          <w:spacing w:val="-3"/>
          <w:kern w:val="1"/>
          <w:sz w:val="26"/>
          <w:szCs w:val="26"/>
        </w:rPr>
        <w:t>Columbia states the NGS Parties mischaracterize</w:t>
      </w:r>
      <w:r w:rsidRPr="0026362D">
        <w:rPr>
          <w:color w:val="000000" w:themeColor="text1"/>
          <w:spacing w:val="-3"/>
          <w:kern w:val="1"/>
          <w:sz w:val="26"/>
          <w:szCs w:val="26"/>
        </w:rPr>
        <w:t>d</w:t>
      </w:r>
      <w:r w:rsidR="001153A0" w:rsidRPr="0026362D">
        <w:rPr>
          <w:color w:val="000000" w:themeColor="text1"/>
          <w:spacing w:val="-3"/>
          <w:kern w:val="1"/>
          <w:sz w:val="26"/>
          <w:szCs w:val="26"/>
        </w:rPr>
        <w:t xml:space="preserve"> the December 6 Order and over-simplified the issues involved in Columbia’s compliance with the December</w:t>
      </w:r>
      <w:r w:rsidR="00C940A9">
        <w:rPr>
          <w:color w:val="000000" w:themeColor="text1"/>
          <w:spacing w:val="-3"/>
          <w:kern w:val="1"/>
          <w:sz w:val="26"/>
          <w:szCs w:val="26"/>
        </w:rPr>
        <w:t> </w:t>
      </w:r>
      <w:r w:rsidR="001153A0" w:rsidRPr="0026362D">
        <w:rPr>
          <w:color w:val="000000" w:themeColor="text1"/>
          <w:spacing w:val="-3"/>
          <w:kern w:val="1"/>
          <w:sz w:val="26"/>
          <w:szCs w:val="26"/>
        </w:rPr>
        <w:t xml:space="preserve">6 Order.  Columbia </w:t>
      </w:r>
      <w:r w:rsidRPr="0026362D">
        <w:rPr>
          <w:color w:val="000000" w:themeColor="text1"/>
          <w:spacing w:val="-3"/>
          <w:kern w:val="1"/>
          <w:sz w:val="26"/>
          <w:szCs w:val="26"/>
        </w:rPr>
        <w:t xml:space="preserve">submits that </w:t>
      </w:r>
      <w:r w:rsidR="001153A0" w:rsidRPr="0026362D">
        <w:rPr>
          <w:color w:val="000000" w:themeColor="text1"/>
          <w:spacing w:val="-3"/>
          <w:kern w:val="1"/>
          <w:sz w:val="26"/>
          <w:szCs w:val="26"/>
        </w:rPr>
        <w:t xml:space="preserve">the December 6 Order directed </w:t>
      </w:r>
      <w:r w:rsidR="00E563A7" w:rsidRPr="0026362D">
        <w:rPr>
          <w:color w:val="000000" w:themeColor="text1"/>
          <w:spacing w:val="-3"/>
          <w:kern w:val="1"/>
          <w:sz w:val="26"/>
          <w:szCs w:val="26"/>
        </w:rPr>
        <w:t>it</w:t>
      </w:r>
      <w:r w:rsidR="001153A0" w:rsidRPr="0026362D">
        <w:rPr>
          <w:color w:val="000000" w:themeColor="text1"/>
          <w:spacing w:val="-3"/>
          <w:kern w:val="1"/>
          <w:sz w:val="26"/>
          <w:szCs w:val="26"/>
        </w:rPr>
        <w:t xml:space="preserve"> to report its methodology for coming into compliance with Section 1502 of the Code.  Columbia avers </w:t>
      </w:r>
      <w:r w:rsidR="00E563A7" w:rsidRPr="0026362D">
        <w:rPr>
          <w:color w:val="000000" w:themeColor="text1"/>
          <w:spacing w:val="-3"/>
          <w:kern w:val="1"/>
          <w:sz w:val="26"/>
          <w:szCs w:val="26"/>
        </w:rPr>
        <w:t xml:space="preserve">that </w:t>
      </w:r>
      <w:r w:rsidR="001153A0" w:rsidRPr="0026362D">
        <w:rPr>
          <w:color w:val="000000" w:themeColor="text1"/>
          <w:spacing w:val="-3"/>
          <w:kern w:val="1"/>
          <w:sz w:val="26"/>
          <w:szCs w:val="26"/>
        </w:rPr>
        <w:t xml:space="preserve">the December 6 Order did not direct Columbia to have completed compliance by the time Columbia filed its report, but instead directed Columbia to report how it would comply.  </w:t>
      </w:r>
      <w:r w:rsidR="00E563A7" w:rsidRPr="0026362D">
        <w:rPr>
          <w:color w:val="000000" w:themeColor="text1"/>
          <w:spacing w:val="-3"/>
          <w:kern w:val="1"/>
          <w:sz w:val="26"/>
          <w:szCs w:val="26"/>
        </w:rPr>
        <w:t xml:space="preserve">Reply </w:t>
      </w:r>
      <w:r w:rsidR="00597B68" w:rsidRPr="0026362D">
        <w:rPr>
          <w:color w:val="000000" w:themeColor="text1"/>
          <w:spacing w:val="-3"/>
          <w:kern w:val="1"/>
          <w:sz w:val="26"/>
          <w:szCs w:val="26"/>
        </w:rPr>
        <w:t xml:space="preserve">at 2.  Columbia states that contrary to the NGS Parties characterization of the December 6 Order, it did not direct Columbia to discontinue the </w:t>
      </w:r>
      <w:r w:rsidR="002137AD" w:rsidRPr="0026362D">
        <w:rPr>
          <w:color w:val="000000" w:themeColor="text1"/>
          <w:spacing w:val="-3"/>
          <w:kern w:val="1"/>
          <w:sz w:val="26"/>
          <w:szCs w:val="26"/>
        </w:rPr>
        <w:t>“</w:t>
      </w:r>
      <w:r w:rsidR="00597B68" w:rsidRPr="0026362D">
        <w:rPr>
          <w:color w:val="000000" w:themeColor="text1"/>
          <w:spacing w:val="-3"/>
          <w:kern w:val="1"/>
          <w:sz w:val="26"/>
          <w:szCs w:val="26"/>
        </w:rPr>
        <w:t>on bill</w:t>
      </w:r>
      <w:r w:rsidR="002137AD" w:rsidRPr="0026362D">
        <w:rPr>
          <w:color w:val="000000" w:themeColor="text1"/>
          <w:spacing w:val="-3"/>
          <w:kern w:val="1"/>
          <w:sz w:val="26"/>
          <w:szCs w:val="26"/>
        </w:rPr>
        <w:t>”</w:t>
      </w:r>
      <w:r w:rsidR="00597B68" w:rsidRPr="0026362D">
        <w:rPr>
          <w:color w:val="000000" w:themeColor="text1"/>
          <w:spacing w:val="-3"/>
          <w:kern w:val="1"/>
          <w:sz w:val="26"/>
          <w:szCs w:val="26"/>
        </w:rPr>
        <w:t xml:space="preserve"> billing practice immediately or by a specific date.  </w:t>
      </w:r>
      <w:r w:rsidR="00E563A7" w:rsidRPr="0026362D">
        <w:rPr>
          <w:color w:val="000000" w:themeColor="text1"/>
          <w:spacing w:val="-3"/>
          <w:kern w:val="1"/>
          <w:sz w:val="26"/>
          <w:szCs w:val="26"/>
        </w:rPr>
        <w:t xml:space="preserve">Reply </w:t>
      </w:r>
      <w:r w:rsidR="00597B68" w:rsidRPr="0026362D">
        <w:rPr>
          <w:color w:val="000000" w:themeColor="text1"/>
          <w:spacing w:val="-3"/>
          <w:kern w:val="1"/>
          <w:sz w:val="26"/>
          <w:szCs w:val="26"/>
        </w:rPr>
        <w:t>at 3.</w:t>
      </w:r>
    </w:p>
    <w:p w14:paraId="2B272A7C" w14:textId="77777777" w:rsidR="00EC1B9D" w:rsidRPr="0026362D" w:rsidRDefault="00EC1B9D" w:rsidP="001153A0">
      <w:pPr>
        <w:autoSpaceDE w:val="0"/>
        <w:autoSpaceDN w:val="0"/>
        <w:adjustRightInd w:val="0"/>
        <w:spacing w:line="360" w:lineRule="auto"/>
        <w:ind w:firstLine="720"/>
        <w:rPr>
          <w:color w:val="000000" w:themeColor="text1"/>
          <w:spacing w:val="-3"/>
          <w:kern w:val="1"/>
          <w:sz w:val="26"/>
          <w:szCs w:val="26"/>
        </w:rPr>
      </w:pPr>
    </w:p>
    <w:p w14:paraId="0E5C58F3" w14:textId="7A987DB9" w:rsidR="00F07940" w:rsidRPr="0026362D" w:rsidRDefault="00C73BC7" w:rsidP="001153A0">
      <w:pPr>
        <w:autoSpaceDE w:val="0"/>
        <w:autoSpaceDN w:val="0"/>
        <w:adjustRightInd w:val="0"/>
        <w:spacing w:line="360" w:lineRule="auto"/>
        <w:ind w:firstLine="720"/>
        <w:rPr>
          <w:color w:val="000000" w:themeColor="text1"/>
          <w:spacing w:val="-3"/>
          <w:kern w:val="1"/>
          <w:sz w:val="26"/>
          <w:szCs w:val="26"/>
        </w:rPr>
      </w:pPr>
      <w:r w:rsidRPr="0026362D">
        <w:rPr>
          <w:color w:val="000000" w:themeColor="text1"/>
          <w:spacing w:val="-3"/>
          <w:kern w:val="1"/>
          <w:sz w:val="26"/>
          <w:szCs w:val="26"/>
        </w:rPr>
        <w:t xml:space="preserve">Columbia </w:t>
      </w:r>
      <w:r w:rsidR="00E563A7" w:rsidRPr="0026362D">
        <w:rPr>
          <w:color w:val="000000" w:themeColor="text1"/>
          <w:spacing w:val="-3"/>
          <w:kern w:val="1"/>
          <w:sz w:val="26"/>
          <w:szCs w:val="26"/>
        </w:rPr>
        <w:t xml:space="preserve">asserts </w:t>
      </w:r>
      <w:r w:rsidR="002137AD" w:rsidRPr="0026362D">
        <w:rPr>
          <w:color w:val="000000" w:themeColor="text1"/>
          <w:spacing w:val="-3"/>
          <w:kern w:val="1"/>
          <w:sz w:val="26"/>
          <w:szCs w:val="26"/>
        </w:rPr>
        <w:t xml:space="preserve">that </w:t>
      </w:r>
      <w:r w:rsidRPr="0026362D">
        <w:rPr>
          <w:color w:val="000000" w:themeColor="text1"/>
          <w:spacing w:val="-3"/>
          <w:kern w:val="1"/>
          <w:sz w:val="26"/>
          <w:szCs w:val="26"/>
        </w:rPr>
        <w:t>discontinuing its “on bill” billing practice</w:t>
      </w:r>
      <w:r w:rsidR="00597B68" w:rsidRPr="0026362D">
        <w:rPr>
          <w:color w:val="000000" w:themeColor="text1"/>
          <w:spacing w:val="-3"/>
          <w:kern w:val="1"/>
          <w:sz w:val="26"/>
          <w:szCs w:val="26"/>
        </w:rPr>
        <w:t xml:space="preserve"> and ending its contracts with </w:t>
      </w:r>
      <w:r w:rsidRPr="0026362D">
        <w:rPr>
          <w:color w:val="000000" w:themeColor="text1"/>
          <w:spacing w:val="-3"/>
          <w:kern w:val="1"/>
          <w:sz w:val="26"/>
          <w:szCs w:val="26"/>
        </w:rPr>
        <w:t xml:space="preserve">CSP and Nicor for “on bill” billing services </w:t>
      </w:r>
      <w:r w:rsidR="00597B68" w:rsidRPr="0026362D">
        <w:rPr>
          <w:color w:val="000000" w:themeColor="text1"/>
          <w:spacing w:val="-3"/>
          <w:kern w:val="1"/>
          <w:sz w:val="26"/>
          <w:szCs w:val="26"/>
        </w:rPr>
        <w:t>at the conclusion of the current contract terms</w:t>
      </w:r>
      <w:r w:rsidR="002137AD" w:rsidRPr="0026362D">
        <w:rPr>
          <w:color w:val="000000" w:themeColor="text1"/>
          <w:spacing w:val="-3"/>
          <w:kern w:val="1"/>
          <w:sz w:val="26"/>
          <w:szCs w:val="26"/>
        </w:rPr>
        <w:t xml:space="preserve"> does comply with the December 6 Order</w:t>
      </w:r>
      <w:r w:rsidR="00597B68" w:rsidRPr="0026362D">
        <w:rPr>
          <w:color w:val="000000" w:themeColor="text1"/>
          <w:spacing w:val="-3"/>
          <w:kern w:val="1"/>
          <w:sz w:val="26"/>
          <w:szCs w:val="26"/>
        </w:rPr>
        <w:t xml:space="preserve">.  </w:t>
      </w:r>
      <w:r w:rsidRPr="0026362D">
        <w:rPr>
          <w:color w:val="000000" w:themeColor="text1"/>
          <w:spacing w:val="-3"/>
          <w:kern w:val="1"/>
          <w:sz w:val="26"/>
          <w:szCs w:val="26"/>
        </w:rPr>
        <w:t xml:space="preserve">Columbia states it is contractually obligated to provide “on bill” billing for a set period of time to these two entities and must address how it will deal with these obligations in its methodology for coming into </w:t>
      </w:r>
      <w:r w:rsidRPr="0026362D">
        <w:rPr>
          <w:color w:val="000000" w:themeColor="text1"/>
          <w:spacing w:val="-3"/>
          <w:kern w:val="1"/>
          <w:sz w:val="26"/>
          <w:szCs w:val="26"/>
        </w:rPr>
        <w:lastRenderedPageBreak/>
        <w:t xml:space="preserve">compliance with the December 6 Order and avers it has done so.  Columbia submits that this approach is </w:t>
      </w:r>
      <w:r w:rsidR="00EC1B9D" w:rsidRPr="0026362D">
        <w:rPr>
          <w:color w:val="000000" w:themeColor="text1"/>
          <w:spacing w:val="-3"/>
          <w:kern w:val="1"/>
          <w:sz w:val="26"/>
          <w:szCs w:val="26"/>
        </w:rPr>
        <w:t xml:space="preserve">mindful that a breach of contract could result in legal costs and monetary damages, which is not in the best interest of Columbia or its customers. </w:t>
      </w:r>
      <w:r w:rsidR="00E563A7" w:rsidRPr="0026362D">
        <w:rPr>
          <w:color w:val="000000" w:themeColor="text1"/>
          <w:spacing w:val="-3"/>
          <w:kern w:val="1"/>
          <w:sz w:val="26"/>
          <w:szCs w:val="26"/>
        </w:rPr>
        <w:t xml:space="preserve"> Reply at 3.  </w:t>
      </w:r>
    </w:p>
    <w:p w14:paraId="63C42E30" w14:textId="782CD5A7" w:rsidR="00EC1B9D" w:rsidRPr="0026362D" w:rsidRDefault="00EC1B9D" w:rsidP="00EC1B9D">
      <w:pPr>
        <w:autoSpaceDE w:val="0"/>
        <w:autoSpaceDN w:val="0"/>
        <w:adjustRightInd w:val="0"/>
        <w:spacing w:line="360" w:lineRule="auto"/>
        <w:rPr>
          <w:b/>
          <w:bCs/>
          <w:color w:val="000000" w:themeColor="text1"/>
          <w:spacing w:val="-3"/>
          <w:kern w:val="1"/>
          <w:sz w:val="26"/>
          <w:szCs w:val="26"/>
        </w:rPr>
      </w:pPr>
    </w:p>
    <w:p w14:paraId="19CE927D" w14:textId="4924234C" w:rsidR="00E1036B" w:rsidRPr="0026362D" w:rsidRDefault="00E1036B" w:rsidP="00EC1B9D">
      <w:pPr>
        <w:autoSpaceDE w:val="0"/>
        <w:autoSpaceDN w:val="0"/>
        <w:adjustRightInd w:val="0"/>
        <w:spacing w:line="360" w:lineRule="auto"/>
        <w:rPr>
          <w:color w:val="000000" w:themeColor="text1"/>
          <w:spacing w:val="-3"/>
          <w:kern w:val="1"/>
          <w:sz w:val="26"/>
          <w:szCs w:val="26"/>
        </w:rPr>
      </w:pPr>
      <w:r w:rsidRPr="0026362D">
        <w:rPr>
          <w:b/>
          <w:bCs/>
          <w:color w:val="000000" w:themeColor="text1"/>
          <w:spacing w:val="-3"/>
          <w:kern w:val="1"/>
          <w:sz w:val="26"/>
          <w:szCs w:val="26"/>
        </w:rPr>
        <w:tab/>
      </w:r>
      <w:r w:rsidRPr="0026362D">
        <w:rPr>
          <w:color w:val="000000" w:themeColor="text1"/>
          <w:spacing w:val="-3"/>
          <w:kern w:val="1"/>
          <w:sz w:val="26"/>
          <w:szCs w:val="26"/>
        </w:rPr>
        <w:t xml:space="preserve">Columbia states </w:t>
      </w:r>
      <w:r w:rsidR="00397047" w:rsidRPr="0026362D">
        <w:rPr>
          <w:color w:val="000000" w:themeColor="text1"/>
          <w:spacing w:val="-3"/>
          <w:kern w:val="1"/>
          <w:sz w:val="26"/>
          <w:szCs w:val="26"/>
        </w:rPr>
        <w:t xml:space="preserve">that </w:t>
      </w:r>
      <w:r w:rsidRPr="0026362D">
        <w:rPr>
          <w:color w:val="000000" w:themeColor="text1"/>
          <w:spacing w:val="-3"/>
          <w:kern w:val="1"/>
          <w:sz w:val="26"/>
          <w:szCs w:val="26"/>
        </w:rPr>
        <w:t xml:space="preserve">the contracts with CSP and Nicor were legally valid when they were initially executed by Columbia and </w:t>
      </w:r>
      <w:r w:rsidR="00397047" w:rsidRPr="0026362D">
        <w:rPr>
          <w:color w:val="000000" w:themeColor="text1"/>
          <w:spacing w:val="-3"/>
          <w:kern w:val="1"/>
          <w:sz w:val="26"/>
          <w:szCs w:val="26"/>
        </w:rPr>
        <w:t xml:space="preserve">that </w:t>
      </w:r>
      <w:r w:rsidR="00E563A7" w:rsidRPr="0026362D">
        <w:rPr>
          <w:color w:val="000000" w:themeColor="text1"/>
          <w:spacing w:val="-3"/>
          <w:kern w:val="1"/>
          <w:sz w:val="26"/>
          <w:szCs w:val="26"/>
        </w:rPr>
        <w:t>it</w:t>
      </w:r>
      <w:r w:rsidRPr="0026362D">
        <w:rPr>
          <w:color w:val="000000" w:themeColor="text1"/>
          <w:spacing w:val="-3"/>
          <w:kern w:val="1"/>
          <w:sz w:val="26"/>
          <w:szCs w:val="26"/>
        </w:rPr>
        <w:t xml:space="preserve"> obtained</w:t>
      </w:r>
      <w:r w:rsidR="00397047" w:rsidRPr="0026362D">
        <w:rPr>
          <w:color w:val="000000" w:themeColor="text1"/>
          <w:spacing w:val="-3"/>
          <w:kern w:val="1"/>
          <w:sz w:val="26"/>
          <w:szCs w:val="26"/>
        </w:rPr>
        <w:t xml:space="preserve"> </w:t>
      </w:r>
      <w:r w:rsidRPr="0026362D">
        <w:rPr>
          <w:color w:val="000000" w:themeColor="text1"/>
          <w:spacing w:val="-3"/>
          <w:kern w:val="1"/>
          <w:sz w:val="26"/>
          <w:szCs w:val="26"/>
        </w:rPr>
        <w:t>affiliated interest agreement</w:t>
      </w:r>
      <w:r w:rsidR="00E563A7" w:rsidRPr="0026362D">
        <w:rPr>
          <w:color w:val="000000" w:themeColor="text1"/>
          <w:spacing w:val="-3"/>
          <w:kern w:val="1"/>
          <w:sz w:val="26"/>
          <w:szCs w:val="26"/>
        </w:rPr>
        <w:t xml:space="preserve"> approval</w:t>
      </w:r>
      <w:r w:rsidR="00397047" w:rsidRPr="0026362D">
        <w:rPr>
          <w:color w:val="000000" w:themeColor="text1"/>
          <w:spacing w:val="-3"/>
          <w:kern w:val="1"/>
          <w:sz w:val="26"/>
          <w:szCs w:val="26"/>
        </w:rPr>
        <w:t xml:space="preserve"> </w:t>
      </w:r>
      <w:r w:rsidRPr="0026362D">
        <w:rPr>
          <w:color w:val="000000" w:themeColor="text1"/>
          <w:spacing w:val="-3"/>
          <w:kern w:val="1"/>
          <w:sz w:val="26"/>
          <w:szCs w:val="26"/>
        </w:rPr>
        <w:t>from the Commission for these contracts</w:t>
      </w:r>
      <w:r w:rsidR="00E563A7" w:rsidRPr="0026362D">
        <w:rPr>
          <w:color w:val="000000" w:themeColor="text1"/>
          <w:spacing w:val="-3"/>
          <w:kern w:val="1"/>
          <w:sz w:val="26"/>
          <w:szCs w:val="26"/>
        </w:rPr>
        <w:t xml:space="preserve"> on July 18, 1996</w:t>
      </w:r>
      <w:r w:rsidR="00C940A9">
        <w:rPr>
          <w:color w:val="000000" w:themeColor="text1"/>
          <w:spacing w:val="-3"/>
          <w:kern w:val="1"/>
          <w:sz w:val="26"/>
          <w:szCs w:val="26"/>
        </w:rPr>
        <w:t>,</w:t>
      </w:r>
      <w:r w:rsidR="00E563A7" w:rsidRPr="0026362D">
        <w:rPr>
          <w:color w:val="000000" w:themeColor="text1"/>
          <w:spacing w:val="-3"/>
          <w:kern w:val="1"/>
          <w:sz w:val="26"/>
          <w:szCs w:val="26"/>
        </w:rPr>
        <w:t xml:space="preserve"> and February 19, 2004</w:t>
      </w:r>
      <w:r w:rsidR="00C940A9">
        <w:rPr>
          <w:color w:val="000000" w:themeColor="text1"/>
          <w:spacing w:val="-3"/>
          <w:kern w:val="1"/>
          <w:sz w:val="26"/>
          <w:szCs w:val="26"/>
        </w:rPr>
        <w:t>,</w:t>
      </w:r>
      <w:r w:rsidR="00E563A7" w:rsidRPr="0026362D">
        <w:rPr>
          <w:color w:val="000000" w:themeColor="text1"/>
          <w:spacing w:val="-3"/>
          <w:kern w:val="1"/>
          <w:sz w:val="26"/>
          <w:szCs w:val="26"/>
        </w:rPr>
        <w:t xml:space="preserve"> at Docket No. G-00960483</w:t>
      </w:r>
      <w:r w:rsidRPr="0026362D">
        <w:rPr>
          <w:color w:val="000000" w:themeColor="text1"/>
          <w:spacing w:val="-3"/>
          <w:kern w:val="1"/>
          <w:sz w:val="26"/>
          <w:szCs w:val="26"/>
        </w:rPr>
        <w:t xml:space="preserve">.  </w:t>
      </w:r>
      <w:r w:rsidR="00E40678" w:rsidRPr="0026362D">
        <w:rPr>
          <w:color w:val="000000" w:themeColor="text1"/>
          <w:spacing w:val="-3"/>
          <w:kern w:val="1"/>
          <w:sz w:val="26"/>
          <w:szCs w:val="26"/>
        </w:rPr>
        <w:t xml:space="preserve">Columbia also states </w:t>
      </w:r>
      <w:r w:rsidR="00E563A7" w:rsidRPr="0026362D">
        <w:rPr>
          <w:color w:val="000000" w:themeColor="text1"/>
          <w:spacing w:val="-3"/>
          <w:kern w:val="1"/>
          <w:sz w:val="26"/>
          <w:szCs w:val="26"/>
        </w:rPr>
        <w:t xml:space="preserve">that </w:t>
      </w:r>
      <w:r w:rsidR="00E40678" w:rsidRPr="0026362D">
        <w:rPr>
          <w:color w:val="000000" w:themeColor="text1"/>
          <w:spacing w:val="-3"/>
          <w:kern w:val="1"/>
          <w:sz w:val="26"/>
          <w:szCs w:val="26"/>
        </w:rPr>
        <w:t xml:space="preserve">the December 6 Order did not find the CSP and Nicor contracts to be unlawful </w:t>
      </w:r>
      <w:r w:rsidR="00397047" w:rsidRPr="0026362D">
        <w:rPr>
          <w:color w:val="000000" w:themeColor="text1"/>
          <w:spacing w:val="-3"/>
          <w:kern w:val="1"/>
          <w:sz w:val="26"/>
          <w:szCs w:val="26"/>
        </w:rPr>
        <w:t>nor did it</w:t>
      </w:r>
      <w:r w:rsidR="00E40678" w:rsidRPr="0026362D">
        <w:rPr>
          <w:color w:val="000000" w:themeColor="text1"/>
          <w:spacing w:val="-3"/>
          <w:kern w:val="1"/>
          <w:sz w:val="26"/>
          <w:szCs w:val="26"/>
        </w:rPr>
        <w:t xml:space="preserve"> cancel the contracts </w:t>
      </w:r>
      <w:r w:rsidR="00397047" w:rsidRPr="0026362D">
        <w:rPr>
          <w:color w:val="000000" w:themeColor="text1"/>
          <w:spacing w:val="-3"/>
          <w:kern w:val="1"/>
          <w:sz w:val="26"/>
          <w:szCs w:val="26"/>
        </w:rPr>
        <w:t xml:space="preserve">as not being </w:t>
      </w:r>
      <w:r w:rsidR="00E40678" w:rsidRPr="0026362D">
        <w:rPr>
          <w:color w:val="000000" w:themeColor="text1"/>
          <w:spacing w:val="-3"/>
          <w:kern w:val="1"/>
          <w:sz w:val="26"/>
          <w:szCs w:val="26"/>
        </w:rPr>
        <w:t>in the public interest</w:t>
      </w:r>
      <w:r w:rsidR="00397047" w:rsidRPr="0026362D">
        <w:rPr>
          <w:color w:val="000000" w:themeColor="text1"/>
          <w:spacing w:val="-3"/>
          <w:kern w:val="1"/>
          <w:sz w:val="26"/>
          <w:szCs w:val="26"/>
        </w:rPr>
        <w:t>, pursuant to Section 508 of the Public Utility Code</w:t>
      </w:r>
      <w:r w:rsidR="00E40678" w:rsidRPr="0026362D">
        <w:rPr>
          <w:color w:val="000000" w:themeColor="text1"/>
          <w:spacing w:val="-3"/>
          <w:kern w:val="1"/>
          <w:sz w:val="26"/>
          <w:szCs w:val="26"/>
        </w:rPr>
        <w:t>.</w:t>
      </w:r>
      <w:r w:rsidR="00E563A7" w:rsidRPr="0026362D">
        <w:rPr>
          <w:color w:val="000000" w:themeColor="text1"/>
          <w:spacing w:val="-3"/>
          <w:kern w:val="1"/>
          <w:sz w:val="26"/>
          <w:szCs w:val="26"/>
        </w:rPr>
        <w:t xml:space="preserve">  </w:t>
      </w:r>
      <w:r w:rsidR="00146A69" w:rsidRPr="0026362D">
        <w:rPr>
          <w:color w:val="000000" w:themeColor="text1"/>
          <w:spacing w:val="-3"/>
          <w:kern w:val="1"/>
          <w:sz w:val="26"/>
          <w:szCs w:val="26"/>
        </w:rPr>
        <w:t xml:space="preserve">Columbia states that in order to avoid legal repercussions and associated costs that could result from any possible breach of either or </w:t>
      </w:r>
      <w:r w:rsidR="006D456F" w:rsidRPr="0026362D">
        <w:rPr>
          <w:color w:val="000000" w:themeColor="text1"/>
          <w:spacing w:val="-3"/>
          <w:kern w:val="1"/>
          <w:sz w:val="26"/>
          <w:szCs w:val="26"/>
        </w:rPr>
        <w:t>both contracts</w:t>
      </w:r>
      <w:r w:rsidR="00146A69" w:rsidRPr="0026362D">
        <w:rPr>
          <w:color w:val="000000" w:themeColor="text1"/>
          <w:spacing w:val="-3"/>
          <w:kern w:val="1"/>
          <w:sz w:val="26"/>
          <w:szCs w:val="26"/>
        </w:rPr>
        <w:t xml:space="preserve">, it provided a methodology to end the </w:t>
      </w:r>
      <w:r w:rsidR="008570E0">
        <w:rPr>
          <w:color w:val="000000" w:themeColor="text1"/>
          <w:spacing w:val="-3"/>
          <w:kern w:val="1"/>
          <w:sz w:val="26"/>
          <w:szCs w:val="26"/>
        </w:rPr>
        <w:t>“</w:t>
      </w:r>
      <w:r w:rsidR="00146A69" w:rsidRPr="0026362D">
        <w:rPr>
          <w:color w:val="000000" w:themeColor="text1"/>
          <w:spacing w:val="-3"/>
          <w:kern w:val="1"/>
          <w:sz w:val="26"/>
          <w:szCs w:val="26"/>
        </w:rPr>
        <w:t>on</w:t>
      </w:r>
      <w:r w:rsidR="00146A69" w:rsidRPr="0026362D">
        <w:rPr>
          <w:color w:val="000000" w:themeColor="text1"/>
          <w:spacing w:val="-3"/>
          <w:kern w:val="1"/>
          <w:sz w:val="26"/>
          <w:szCs w:val="26"/>
        </w:rPr>
        <w:noBreakHyphen/>
        <w:t>bill</w:t>
      </w:r>
      <w:r w:rsidR="008570E0">
        <w:rPr>
          <w:color w:val="000000" w:themeColor="text1"/>
          <w:spacing w:val="-3"/>
          <w:kern w:val="1"/>
          <w:sz w:val="26"/>
          <w:szCs w:val="26"/>
        </w:rPr>
        <w:t>”</w:t>
      </w:r>
      <w:r w:rsidR="00146A69" w:rsidRPr="0026362D">
        <w:rPr>
          <w:color w:val="000000" w:themeColor="text1"/>
          <w:spacing w:val="-3"/>
          <w:kern w:val="1"/>
          <w:sz w:val="26"/>
          <w:szCs w:val="26"/>
        </w:rPr>
        <w:t xml:space="preserve"> billing practice at the natural conclusion of the contracts.  </w:t>
      </w:r>
      <w:r w:rsidR="00BF6E06" w:rsidRPr="0026362D">
        <w:rPr>
          <w:color w:val="000000" w:themeColor="text1"/>
          <w:spacing w:val="-3"/>
          <w:kern w:val="1"/>
          <w:sz w:val="26"/>
          <w:szCs w:val="26"/>
        </w:rPr>
        <w:t>Reply at 4-5.</w:t>
      </w:r>
    </w:p>
    <w:p w14:paraId="635C74D8" w14:textId="6CFB7C13" w:rsidR="001D45D2" w:rsidRPr="0026362D" w:rsidRDefault="001D45D2" w:rsidP="00EC1B9D">
      <w:pPr>
        <w:autoSpaceDE w:val="0"/>
        <w:autoSpaceDN w:val="0"/>
        <w:adjustRightInd w:val="0"/>
        <w:spacing w:line="360" w:lineRule="auto"/>
        <w:rPr>
          <w:color w:val="000000" w:themeColor="text1"/>
          <w:spacing w:val="-3"/>
          <w:kern w:val="1"/>
          <w:sz w:val="26"/>
          <w:szCs w:val="26"/>
        </w:rPr>
      </w:pPr>
    </w:p>
    <w:p w14:paraId="502311D2" w14:textId="20DBC65C" w:rsidR="00EC1B9D" w:rsidRPr="0026362D" w:rsidRDefault="00BF6E06" w:rsidP="00EC1B9D">
      <w:pPr>
        <w:autoSpaceDE w:val="0"/>
        <w:autoSpaceDN w:val="0"/>
        <w:adjustRightInd w:val="0"/>
        <w:spacing w:line="360" w:lineRule="auto"/>
        <w:rPr>
          <w:color w:val="000000" w:themeColor="text1"/>
          <w:sz w:val="26"/>
          <w:szCs w:val="26"/>
        </w:rPr>
      </w:pPr>
      <w:r w:rsidRPr="0026362D">
        <w:rPr>
          <w:b/>
          <w:bCs/>
          <w:color w:val="000000" w:themeColor="text1"/>
          <w:sz w:val="26"/>
          <w:szCs w:val="26"/>
        </w:rPr>
        <w:t>Disposition</w:t>
      </w:r>
    </w:p>
    <w:p w14:paraId="4FAA01E3" w14:textId="6FF9C01E" w:rsidR="009915A0" w:rsidRPr="0026362D" w:rsidRDefault="00224270" w:rsidP="00EC1B9D">
      <w:pPr>
        <w:autoSpaceDE w:val="0"/>
        <w:autoSpaceDN w:val="0"/>
        <w:adjustRightInd w:val="0"/>
        <w:spacing w:line="360" w:lineRule="auto"/>
        <w:rPr>
          <w:color w:val="000000" w:themeColor="text1"/>
          <w:sz w:val="26"/>
          <w:szCs w:val="26"/>
        </w:rPr>
      </w:pPr>
      <w:r w:rsidRPr="0026362D">
        <w:rPr>
          <w:color w:val="000000" w:themeColor="text1"/>
          <w:sz w:val="26"/>
          <w:szCs w:val="26"/>
        </w:rPr>
        <w:tab/>
      </w:r>
      <w:r w:rsidR="00BF6E06" w:rsidRPr="0026362D">
        <w:rPr>
          <w:color w:val="000000" w:themeColor="text1"/>
          <w:sz w:val="26"/>
          <w:szCs w:val="26"/>
        </w:rPr>
        <w:t xml:space="preserve">We find that </w:t>
      </w:r>
      <w:r w:rsidRPr="0026362D">
        <w:rPr>
          <w:color w:val="000000" w:themeColor="text1"/>
          <w:sz w:val="26"/>
          <w:szCs w:val="26"/>
        </w:rPr>
        <w:t>Columbia</w:t>
      </w:r>
      <w:r w:rsidR="00961D85" w:rsidRPr="0026362D">
        <w:rPr>
          <w:color w:val="000000" w:themeColor="text1"/>
          <w:sz w:val="26"/>
          <w:szCs w:val="26"/>
        </w:rPr>
        <w:t>’s proposal</w:t>
      </w:r>
      <w:r w:rsidRPr="0026362D">
        <w:rPr>
          <w:color w:val="000000" w:themeColor="text1"/>
          <w:sz w:val="26"/>
          <w:szCs w:val="26"/>
        </w:rPr>
        <w:t xml:space="preserve"> to end its “on bill” billing practice by allowing the two existing “on bill” contracts</w:t>
      </w:r>
      <w:r w:rsidR="00237CB1" w:rsidRPr="0026362D">
        <w:rPr>
          <w:color w:val="000000" w:themeColor="text1"/>
          <w:sz w:val="26"/>
          <w:szCs w:val="26"/>
        </w:rPr>
        <w:t xml:space="preserve"> with CSP and Nicor</w:t>
      </w:r>
      <w:r w:rsidRPr="0026362D">
        <w:rPr>
          <w:color w:val="000000" w:themeColor="text1"/>
          <w:sz w:val="26"/>
          <w:szCs w:val="26"/>
        </w:rPr>
        <w:t xml:space="preserve"> to expire at their contractual end dates or sooner if contractually feasible </w:t>
      </w:r>
      <w:r w:rsidR="00961D85" w:rsidRPr="0026362D">
        <w:rPr>
          <w:color w:val="000000" w:themeColor="text1"/>
          <w:sz w:val="26"/>
          <w:szCs w:val="26"/>
        </w:rPr>
        <w:t xml:space="preserve">is </w:t>
      </w:r>
      <w:r w:rsidR="00BF6E06" w:rsidRPr="0026362D">
        <w:rPr>
          <w:color w:val="000000" w:themeColor="text1"/>
          <w:sz w:val="26"/>
          <w:szCs w:val="26"/>
        </w:rPr>
        <w:t>contrary to our direction in the December 6 Order</w:t>
      </w:r>
      <w:r w:rsidR="00FF7F48" w:rsidRPr="0026362D">
        <w:rPr>
          <w:color w:val="000000" w:themeColor="text1"/>
          <w:sz w:val="26"/>
          <w:szCs w:val="26"/>
        </w:rPr>
        <w:t xml:space="preserve"> and is </w:t>
      </w:r>
      <w:r w:rsidR="00BF6E06" w:rsidRPr="0026362D">
        <w:rPr>
          <w:color w:val="000000" w:themeColor="text1"/>
          <w:sz w:val="26"/>
          <w:szCs w:val="26"/>
        </w:rPr>
        <w:t xml:space="preserve">therefore, </w:t>
      </w:r>
      <w:r w:rsidR="00FF7F48" w:rsidRPr="0026362D">
        <w:rPr>
          <w:color w:val="000000" w:themeColor="text1"/>
          <w:sz w:val="26"/>
          <w:szCs w:val="26"/>
        </w:rPr>
        <w:t>rejected.</w:t>
      </w:r>
      <w:r w:rsidR="00996C36" w:rsidRPr="0026362D">
        <w:rPr>
          <w:color w:val="000000" w:themeColor="text1"/>
          <w:sz w:val="26"/>
          <w:szCs w:val="26"/>
        </w:rPr>
        <w:t xml:space="preserve"> </w:t>
      </w:r>
      <w:r w:rsidR="009915A0" w:rsidRPr="0026362D">
        <w:rPr>
          <w:color w:val="000000" w:themeColor="text1"/>
          <w:sz w:val="26"/>
          <w:szCs w:val="26"/>
        </w:rPr>
        <w:t xml:space="preserve"> In the December 6 Order we determined the following regarding Columbia’s services:</w:t>
      </w:r>
    </w:p>
    <w:p w14:paraId="3292C3A7" w14:textId="77777777" w:rsidR="009915A0" w:rsidRPr="0026362D" w:rsidRDefault="009915A0" w:rsidP="0026362D">
      <w:pPr>
        <w:ind w:left="720" w:right="720"/>
        <w:rPr>
          <w:color w:val="000000" w:themeColor="text1"/>
          <w:sz w:val="26"/>
          <w:szCs w:val="26"/>
        </w:rPr>
      </w:pPr>
      <w:r w:rsidRPr="0026362D">
        <w:rPr>
          <w:color w:val="000000" w:themeColor="text1"/>
          <w:sz w:val="26"/>
          <w:szCs w:val="26"/>
        </w:rPr>
        <w:t xml:space="preserve">We disagree with the ALJ’s reasoning and conclusion regarding the claim of discrimination in provision of service. </w:t>
      </w:r>
    </w:p>
    <w:p w14:paraId="4368A633" w14:textId="77777777" w:rsidR="009915A0" w:rsidRPr="0026362D" w:rsidRDefault="009915A0" w:rsidP="0026362D">
      <w:pPr>
        <w:ind w:firstLine="1440"/>
        <w:rPr>
          <w:color w:val="000000" w:themeColor="text1"/>
          <w:sz w:val="26"/>
          <w:szCs w:val="26"/>
        </w:rPr>
      </w:pPr>
    </w:p>
    <w:p w14:paraId="20BCC5C6" w14:textId="77777777" w:rsidR="009915A0" w:rsidRPr="0026362D" w:rsidRDefault="009915A0" w:rsidP="0026362D">
      <w:pPr>
        <w:ind w:firstLine="1440"/>
        <w:rPr>
          <w:color w:val="000000" w:themeColor="text1"/>
          <w:sz w:val="26"/>
          <w:szCs w:val="26"/>
          <w:u w:val="single"/>
        </w:rPr>
      </w:pPr>
      <w:r w:rsidRPr="0026362D">
        <w:rPr>
          <w:color w:val="000000" w:themeColor="text1"/>
          <w:sz w:val="26"/>
          <w:szCs w:val="26"/>
        </w:rPr>
        <w:t>Section 1502 provides:</w:t>
      </w:r>
    </w:p>
    <w:p w14:paraId="04FC0F34" w14:textId="77777777" w:rsidR="009915A0" w:rsidRPr="0026362D" w:rsidRDefault="009915A0" w:rsidP="0026362D">
      <w:pPr>
        <w:ind w:firstLine="1440"/>
        <w:rPr>
          <w:color w:val="000000" w:themeColor="text1"/>
          <w:sz w:val="26"/>
          <w:szCs w:val="26"/>
          <w:u w:val="single"/>
        </w:rPr>
      </w:pPr>
    </w:p>
    <w:p w14:paraId="54E0024D" w14:textId="5E204744" w:rsidR="009915A0" w:rsidRPr="0026362D" w:rsidRDefault="009915A0" w:rsidP="009915A0">
      <w:pPr>
        <w:ind w:left="1440" w:right="1440"/>
        <w:rPr>
          <w:color w:val="000000" w:themeColor="text1"/>
          <w:sz w:val="26"/>
          <w:szCs w:val="26"/>
        </w:rPr>
      </w:pPr>
      <w:r w:rsidRPr="0026362D">
        <w:rPr>
          <w:color w:val="000000" w:themeColor="text1"/>
          <w:sz w:val="26"/>
          <w:szCs w:val="26"/>
          <w:u w:val="single"/>
        </w:rPr>
        <w:t>No</w:t>
      </w:r>
      <w:r w:rsidRPr="0026362D">
        <w:rPr>
          <w:color w:val="000000" w:themeColor="text1"/>
          <w:sz w:val="26"/>
          <w:szCs w:val="26"/>
        </w:rPr>
        <w:t xml:space="preserve"> public utility shall, </w:t>
      </w:r>
      <w:r w:rsidRPr="0026362D">
        <w:rPr>
          <w:i/>
          <w:color w:val="000000" w:themeColor="text1"/>
          <w:sz w:val="26"/>
          <w:szCs w:val="26"/>
        </w:rPr>
        <w:t>as to service</w:t>
      </w:r>
      <w:r w:rsidRPr="0026362D">
        <w:rPr>
          <w:color w:val="000000" w:themeColor="text1"/>
          <w:sz w:val="26"/>
          <w:szCs w:val="26"/>
        </w:rPr>
        <w:t xml:space="preserve">, make or </w:t>
      </w:r>
      <w:r w:rsidRPr="0026362D">
        <w:rPr>
          <w:i/>
          <w:color w:val="000000" w:themeColor="text1"/>
          <w:sz w:val="26"/>
          <w:szCs w:val="26"/>
        </w:rPr>
        <w:t xml:space="preserve">grant any unreasonable preference or advantage to any person, corporation, </w:t>
      </w:r>
      <w:r w:rsidRPr="0026362D">
        <w:rPr>
          <w:color w:val="000000" w:themeColor="text1"/>
          <w:sz w:val="26"/>
          <w:szCs w:val="26"/>
        </w:rPr>
        <w:t>or municipal corporation,</w:t>
      </w:r>
      <w:r w:rsidRPr="0026362D">
        <w:rPr>
          <w:i/>
          <w:color w:val="000000" w:themeColor="text1"/>
          <w:sz w:val="26"/>
          <w:szCs w:val="26"/>
        </w:rPr>
        <w:t xml:space="preserve"> or subject any person, corporation </w:t>
      </w:r>
      <w:r w:rsidRPr="0026362D">
        <w:rPr>
          <w:color w:val="000000" w:themeColor="text1"/>
          <w:sz w:val="26"/>
          <w:szCs w:val="26"/>
        </w:rPr>
        <w:t>or municipal corporation</w:t>
      </w:r>
      <w:r w:rsidRPr="0026362D">
        <w:rPr>
          <w:i/>
          <w:color w:val="000000" w:themeColor="text1"/>
          <w:sz w:val="26"/>
          <w:szCs w:val="26"/>
        </w:rPr>
        <w:t xml:space="preserve"> to any unreasonable</w:t>
      </w:r>
      <w:r w:rsidR="006A0F9A">
        <w:rPr>
          <w:i/>
          <w:color w:val="000000" w:themeColor="text1"/>
          <w:sz w:val="26"/>
          <w:szCs w:val="26"/>
        </w:rPr>
        <w:t xml:space="preserve"> prejudice </w:t>
      </w:r>
      <w:r w:rsidR="005C74AF">
        <w:rPr>
          <w:i/>
          <w:color w:val="000000" w:themeColor="text1"/>
          <w:sz w:val="26"/>
          <w:szCs w:val="26"/>
        </w:rPr>
        <w:t xml:space="preserve">or </w:t>
      </w:r>
      <w:r w:rsidR="005C74AF" w:rsidRPr="0026362D">
        <w:rPr>
          <w:i/>
          <w:color w:val="000000" w:themeColor="text1"/>
          <w:sz w:val="26"/>
          <w:szCs w:val="26"/>
        </w:rPr>
        <w:t>disadvantage</w:t>
      </w:r>
      <w:r w:rsidRPr="0026362D">
        <w:rPr>
          <w:i/>
          <w:color w:val="000000" w:themeColor="text1"/>
          <w:sz w:val="26"/>
          <w:szCs w:val="26"/>
        </w:rPr>
        <w:t xml:space="preserve">.  </w:t>
      </w:r>
      <w:r w:rsidRPr="0026362D">
        <w:rPr>
          <w:color w:val="000000" w:themeColor="text1"/>
          <w:sz w:val="26"/>
          <w:szCs w:val="26"/>
        </w:rPr>
        <w:t xml:space="preserve">No public utility shall </w:t>
      </w:r>
      <w:r w:rsidRPr="0026362D">
        <w:rPr>
          <w:i/>
          <w:color w:val="000000" w:themeColor="text1"/>
          <w:sz w:val="26"/>
          <w:szCs w:val="26"/>
        </w:rPr>
        <w:t>establish or maintain any unreasonable difference as to service</w:t>
      </w:r>
      <w:r w:rsidRPr="0026362D">
        <w:rPr>
          <w:color w:val="000000" w:themeColor="text1"/>
          <w:sz w:val="26"/>
          <w:szCs w:val="26"/>
        </w:rPr>
        <w:t xml:space="preserve">, either as between </w:t>
      </w:r>
    </w:p>
    <w:p w14:paraId="30C51798" w14:textId="77777777" w:rsidR="009915A0" w:rsidRPr="0026362D" w:rsidRDefault="009915A0" w:rsidP="009915A0">
      <w:pPr>
        <w:keepNext/>
        <w:keepLines/>
        <w:ind w:left="1440" w:right="1440"/>
        <w:rPr>
          <w:color w:val="000000" w:themeColor="text1"/>
          <w:sz w:val="26"/>
          <w:szCs w:val="26"/>
        </w:rPr>
      </w:pPr>
      <w:r w:rsidRPr="0026362D">
        <w:rPr>
          <w:color w:val="000000" w:themeColor="text1"/>
          <w:sz w:val="26"/>
          <w:szCs w:val="26"/>
        </w:rPr>
        <w:lastRenderedPageBreak/>
        <w:t xml:space="preserve">localities or as between classes of service, but this section does not prohibit the establishment of reasonable classifications of service. </w:t>
      </w:r>
    </w:p>
    <w:p w14:paraId="1426F0F9" w14:textId="77777777" w:rsidR="009915A0" w:rsidRPr="0026362D" w:rsidRDefault="009915A0" w:rsidP="009915A0">
      <w:pPr>
        <w:keepNext/>
        <w:keepLines/>
        <w:ind w:firstLine="1440"/>
        <w:rPr>
          <w:color w:val="000000" w:themeColor="text1"/>
          <w:sz w:val="26"/>
          <w:szCs w:val="26"/>
        </w:rPr>
      </w:pPr>
    </w:p>
    <w:p w14:paraId="34F73043" w14:textId="77777777" w:rsidR="009915A0" w:rsidRPr="0026362D" w:rsidRDefault="009915A0" w:rsidP="009915A0">
      <w:pPr>
        <w:keepNext/>
        <w:keepLines/>
        <w:ind w:firstLine="1440"/>
        <w:rPr>
          <w:color w:val="000000" w:themeColor="text1"/>
          <w:sz w:val="26"/>
          <w:szCs w:val="26"/>
        </w:rPr>
      </w:pPr>
    </w:p>
    <w:p w14:paraId="0A034FD6" w14:textId="77777777" w:rsidR="009915A0" w:rsidRPr="0026362D" w:rsidRDefault="003A41C7" w:rsidP="0026362D">
      <w:pPr>
        <w:ind w:left="720" w:right="720"/>
        <w:rPr>
          <w:rFonts w:eastAsiaTheme="minorHAnsi"/>
          <w:color w:val="000000" w:themeColor="text1"/>
          <w:sz w:val="26"/>
          <w:szCs w:val="26"/>
          <w:lang w:val="en"/>
        </w:rPr>
      </w:pPr>
      <w:hyperlink r:id="rId8">
        <w:r w:rsidR="009915A0" w:rsidRPr="0026362D">
          <w:rPr>
            <w:color w:val="000000" w:themeColor="text1"/>
            <w:sz w:val="26"/>
            <w:szCs w:val="26"/>
          </w:rPr>
          <w:t xml:space="preserve">66 Pa.C.S. </w:t>
        </w:r>
      </w:hyperlink>
      <w:hyperlink r:id="rId9">
        <w:r w:rsidR="009915A0" w:rsidRPr="0026362D">
          <w:rPr>
            <w:color w:val="000000" w:themeColor="text1"/>
            <w:sz w:val="26"/>
            <w:szCs w:val="26"/>
          </w:rPr>
          <w:t xml:space="preserve">§ </w:t>
        </w:r>
      </w:hyperlink>
      <w:hyperlink r:id="rId10">
        <w:r w:rsidR="009915A0" w:rsidRPr="0026362D">
          <w:rPr>
            <w:color w:val="000000" w:themeColor="text1"/>
            <w:sz w:val="26"/>
            <w:szCs w:val="26"/>
          </w:rPr>
          <w:t>1502 (emphasis added).</w:t>
        </w:r>
      </w:hyperlink>
      <w:r w:rsidR="009915A0" w:rsidRPr="0026362D">
        <w:rPr>
          <w:color w:val="000000" w:themeColor="text1"/>
          <w:sz w:val="26"/>
          <w:szCs w:val="26"/>
        </w:rPr>
        <w:t xml:space="preserve">  The language of Section 1502 establishes a broad prohibition on discrimination in the provision of service by prohibiting the unreasonable preference of one party over </w:t>
      </w:r>
      <w:r w:rsidR="009915A0" w:rsidRPr="0026362D">
        <w:rPr>
          <w:i/>
          <w:color w:val="000000" w:themeColor="text1"/>
          <w:sz w:val="26"/>
          <w:szCs w:val="26"/>
        </w:rPr>
        <w:t>any</w:t>
      </w:r>
      <w:r w:rsidR="009915A0" w:rsidRPr="0026362D">
        <w:rPr>
          <w:color w:val="000000" w:themeColor="text1"/>
          <w:sz w:val="26"/>
          <w:szCs w:val="26"/>
        </w:rPr>
        <w:t xml:space="preserve"> other party.  For example, Section 1502 does not require that the discrimination be against the same type of provider, </w:t>
      </w:r>
      <w:r w:rsidR="009915A0" w:rsidRPr="0026362D">
        <w:rPr>
          <w:i/>
          <w:color w:val="000000" w:themeColor="text1"/>
          <w:sz w:val="26"/>
          <w:szCs w:val="26"/>
        </w:rPr>
        <w:t>i.e.,</w:t>
      </w:r>
      <w:r w:rsidR="009915A0" w:rsidRPr="0026362D">
        <w:rPr>
          <w:color w:val="000000" w:themeColor="text1"/>
          <w:sz w:val="26"/>
          <w:szCs w:val="26"/>
        </w:rPr>
        <w:t xml:space="preserve"> favoring one NGS over another NGS.  Rather, discrimination will be found if any unreasonable preference or difference in the treatment of one party versus another is shown in the provision of service.</w:t>
      </w:r>
    </w:p>
    <w:p w14:paraId="3C1A81E2" w14:textId="77777777" w:rsidR="009915A0" w:rsidRPr="0026362D" w:rsidRDefault="009915A0" w:rsidP="0026362D">
      <w:pPr>
        <w:ind w:firstLine="1440"/>
        <w:rPr>
          <w:rFonts w:eastAsiaTheme="minorHAnsi"/>
          <w:color w:val="000000" w:themeColor="text1"/>
          <w:sz w:val="26"/>
          <w:szCs w:val="26"/>
          <w:lang w:val="en"/>
        </w:rPr>
      </w:pPr>
    </w:p>
    <w:p w14:paraId="5FF59D55" w14:textId="77777777" w:rsidR="009915A0" w:rsidRPr="0026362D" w:rsidRDefault="009915A0" w:rsidP="0026362D">
      <w:pPr>
        <w:ind w:firstLine="1440"/>
        <w:rPr>
          <w:color w:val="000000" w:themeColor="text1"/>
          <w:sz w:val="26"/>
          <w:szCs w:val="26"/>
        </w:rPr>
      </w:pPr>
      <w:r w:rsidRPr="0026362D">
        <w:rPr>
          <w:color w:val="000000" w:themeColor="text1"/>
          <w:sz w:val="26"/>
          <w:szCs w:val="26"/>
        </w:rPr>
        <w:t xml:space="preserve">Section 2203(4) provides: </w:t>
      </w:r>
    </w:p>
    <w:p w14:paraId="6CA1A4BC" w14:textId="77777777" w:rsidR="009915A0" w:rsidRPr="0026362D" w:rsidRDefault="009915A0" w:rsidP="009915A0">
      <w:pPr>
        <w:ind w:left="1440" w:right="1440"/>
        <w:rPr>
          <w:color w:val="000000" w:themeColor="text1"/>
          <w:sz w:val="26"/>
          <w:szCs w:val="26"/>
        </w:rPr>
      </w:pPr>
    </w:p>
    <w:p w14:paraId="1039BEDB" w14:textId="77777777" w:rsidR="009915A0" w:rsidRPr="0026362D" w:rsidRDefault="009915A0" w:rsidP="009915A0">
      <w:pPr>
        <w:ind w:left="1440" w:right="1440"/>
        <w:rPr>
          <w:color w:val="000000" w:themeColor="text1"/>
          <w:sz w:val="26"/>
          <w:szCs w:val="26"/>
        </w:rPr>
      </w:pPr>
      <w:r w:rsidRPr="0026362D">
        <w:rPr>
          <w:color w:val="000000" w:themeColor="text1"/>
          <w:sz w:val="26"/>
          <w:szCs w:val="26"/>
        </w:rPr>
        <w:t xml:space="preserve">Consistent with the provisions of section 2204, the Commission shall require that a natural gas distribution company that owns or operates jurisdictional distribution facilities </w:t>
      </w:r>
      <w:r w:rsidRPr="0026362D">
        <w:rPr>
          <w:i/>
          <w:color w:val="000000" w:themeColor="text1"/>
          <w:sz w:val="26"/>
          <w:szCs w:val="26"/>
        </w:rPr>
        <w:t>shall provide distribution service to all retail gas customers in its service territory and to all natural gas suppliers,</w:t>
      </w:r>
      <w:r w:rsidRPr="0026362D">
        <w:rPr>
          <w:color w:val="000000" w:themeColor="text1"/>
          <w:sz w:val="26"/>
          <w:szCs w:val="26"/>
        </w:rPr>
        <w:t xml:space="preserve"> affiliated or nonaffiliated, </w:t>
      </w:r>
      <w:r w:rsidRPr="0026362D">
        <w:rPr>
          <w:i/>
          <w:color w:val="000000" w:themeColor="text1"/>
          <w:sz w:val="26"/>
          <w:szCs w:val="26"/>
        </w:rPr>
        <w:t>on</w:t>
      </w:r>
      <w:r w:rsidRPr="0026362D">
        <w:rPr>
          <w:color w:val="000000" w:themeColor="text1"/>
          <w:sz w:val="26"/>
          <w:szCs w:val="26"/>
        </w:rPr>
        <w:t xml:space="preserve"> </w:t>
      </w:r>
      <w:r w:rsidRPr="0026362D">
        <w:rPr>
          <w:i/>
          <w:color w:val="000000" w:themeColor="text1"/>
          <w:sz w:val="26"/>
          <w:szCs w:val="26"/>
        </w:rPr>
        <w:t>nondiscriminatory rates, terms of access and other conditions</w:t>
      </w:r>
      <w:r w:rsidRPr="0026362D">
        <w:rPr>
          <w:color w:val="000000" w:themeColor="text1"/>
          <w:sz w:val="26"/>
          <w:szCs w:val="26"/>
        </w:rPr>
        <w:t>.</w:t>
      </w:r>
    </w:p>
    <w:p w14:paraId="125B8318" w14:textId="77777777" w:rsidR="009915A0" w:rsidRPr="0026362D" w:rsidRDefault="009915A0" w:rsidP="009915A0">
      <w:pPr>
        <w:ind w:firstLine="1440"/>
        <w:rPr>
          <w:color w:val="000000" w:themeColor="text1"/>
          <w:sz w:val="26"/>
          <w:szCs w:val="26"/>
        </w:rPr>
      </w:pPr>
    </w:p>
    <w:p w14:paraId="5BC0F7A6" w14:textId="77777777" w:rsidR="009915A0" w:rsidRPr="0026362D" w:rsidRDefault="009915A0" w:rsidP="009915A0">
      <w:pPr>
        <w:ind w:firstLine="1440"/>
        <w:rPr>
          <w:color w:val="000000" w:themeColor="text1"/>
          <w:sz w:val="26"/>
          <w:szCs w:val="26"/>
        </w:rPr>
      </w:pPr>
    </w:p>
    <w:p w14:paraId="14E98388" w14:textId="37454C04" w:rsidR="009915A0" w:rsidRPr="0026362D" w:rsidRDefault="009915A0" w:rsidP="0026362D">
      <w:pPr>
        <w:ind w:left="720" w:right="720"/>
        <w:rPr>
          <w:rFonts w:eastAsiaTheme="minorHAnsi"/>
          <w:color w:val="000000" w:themeColor="text1"/>
          <w:sz w:val="26"/>
          <w:szCs w:val="26"/>
          <w:lang w:val="en"/>
        </w:rPr>
      </w:pPr>
      <w:r w:rsidRPr="0026362D">
        <w:rPr>
          <w:color w:val="000000" w:themeColor="text1"/>
          <w:sz w:val="26"/>
          <w:szCs w:val="26"/>
        </w:rPr>
        <w:t>66 Pa. C.S. § 2203(4) (emphasis added).  Section 2203(4) prohibits a natural gas distribution company from discriminating with respect to natural gas distribution service.</w:t>
      </w:r>
      <w:r w:rsidRPr="0026362D">
        <w:rPr>
          <w:rFonts w:eastAsiaTheme="minorHAnsi"/>
          <w:color w:val="000000" w:themeColor="text1"/>
          <w:sz w:val="26"/>
          <w:szCs w:val="26"/>
          <w:lang w:val="en"/>
        </w:rPr>
        <w:t xml:space="preserve">  The language of Section 2204’s prohibition on discrimination includes the NGDC’s “terms of access and conditions, and other” circumstances related to provision of that service to customers and NGSs.  Therefore, Section 220</w:t>
      </w:r>
      <w:r w:rsidR="00B44380">
        <w:rPr>
          <w:rFonts w:eastAsiaTheme="minorHAnsi"/>
          <w:color w:val="000000" w:themeColor="text1"/>
          <w:sz w:val="26"/>
          <w:szCs w:val="26"/>
          <w:lang w:val="en"/>
        </w:rPr>
        <w:t>4</w:t>
      </w:r>
      <w:r w:rsidRPr="0026362D">
        <w:rPr>
          <w:rFonts w:eastAsiaTheme="minorHAnsi"/>
          <w:color w:val="000000" w:themeColor="text1"/>
          <w:sz w:val="26"/>
          <w:szCs w:val="26"/>
          <w:lang w:val="en"/>
        </w:rPr>
        <w:t>, like Section 1502, broadly prohibits discrimination in the provision of service.</w:t>
      </w:r>
    </w:p>
    <w:p w14:paraId="776B06C3" w14:textId="416700C2" w:rsidR="009915A0" w:rsidRPr="0026362D" w:rsidRDefault="009915A0" w:rsidP="009915A0">
      <w:pPr>
        <w:autoSpaceDE w:val="0"/>
        <w:autoSpaceDN w:val="0"/>
        <w:adjustRightInd w:val="0"/>
        <w:ind w:left="720" w:right="720"/>
        <w:rPr>
          <w:color w:val="000000" w:themeColor="text1"/>
          <w:sz w:val="26"/>
          <w:szCs w:val="26"/>
        </w:rPr>
      </w:pPr>
    </w:p>
    <w:p w14:paraId="2794F469" w14:textId="7944E9D7" w:rsidR="009915A0" w:rsidRPr="0026362D" w:rsidRDefault="009915A0" w:rsidP="009915A0">
      <w:pPr>
        <w:autoSpaceDE w:val="0"/>
        <w:autoSpaceDN w:val="0"/>
        <w:adjustRightInd w:val="0"/>
        <w:spacing w:line="360" w:lineRule="auto"/>
        <w:rPr>
          <w:color w:val="000000" w:themeColor="text1"/>
          <w:sz w:val="26"/>
          <w:szCs w:val="26"/>
        </w:rPr>
      </w:pPr>
      <w:r w:rsidRPr="0026362D">
        <w:rPr>
          <w:color w:val="000000" w:themeColor="text1"/>
          <w:sz w:val="26"/>
          <w:szCs w:val="26"/>
        </w:rPr>
        <w:t>December 6 Order at 46-47.</w:t>
      </w:r>
    </w:p>
    <w:p w14:paraId="3EB26C5A" w14:textId="5687D694" w:rsidR="009915A0" w:rsidRPr="0026362D" w:rsidRDefault="009915A0" w:rsidP="00EC1B9D">
      <w:pPr>
        <w:autoSpaceDE w:val="0"/>
        <w:autoSpaceDN w:val="0"/>
        <w:adjustRightInd w:val="0"/>
        <w:spacing w:line="360" w:lineRule="auto"/>
        <w:rPr>
          <w:color w:val="000000" w:themeColor="text1"/>
          <w:sz w:val="26"/>
          <w:szCs w:val="26"/>
        </w:rPr>
      </w:pPr>
    </w:p>
    <w:p w14:paraId="343FDA23" w14:textId="40D5A3EC" w:rsidR="009915A0" w:rsidRPr="0026362D" w:rsidRDefault="009915A0" w:rsidP="009915A0">
      <w:pPr>
        <w:autoSpaceDE w:val="0"/>
        <w:autoSpaceDN w:val="0"/>
        <w:adjustRightInd w:val="0"/>
        <w:spacing w:line="360" w:lineRule="auto"/>
        <w:ind w:firstLine="720"/>
        <w:rPr>
          <w:color w:val="000000" w:themeColor="text1"/>
          <w:sz w:val="26"/>
          <w:szCs w:val="26"/>
        </w:rPr>
      </w:pPr>
      <w:r w:rsidRPr="0026362D">
        <w:rPr>
          <w:color w:val="000000" w:themeColor="text1"/>
          <w:sz w:val="26"/>
          <w:szCs w:val="26"/>
        </w:rPr>
        <w:t>We went on to find the following regarding Columbia’s billing practice:</w:t>
      </w:r>
    </w:p>
    <w:p w14:paraId="5EFE5D90" w14:textId="5EEE50D1" w:rsidR="009915A0" w:rsidRPr="0026362D" w:rsidRDefault="009915A0" w:rsidP="0026362D">
      <w:pPr>
        <w:autoSpaceDE w:val="0"/>
        <w:autoSpaceDN w:val="0"/>
        <w:adjustRightInd w:val="0"/>
        <w:ind w:left="720" w:right="720"/>
        <w:rPr>
          <w:color w:val="000000" w:themeColor="text1"/>
          <w:sz w:val="26"/>
          <w:szCs w:val="26"/>
        </w:rPr>
      </w:pPr>
      <w:r w:rsidRPr="0026362D">
        <w:rPr>
          <w:rFonts w:eastAsiaTheme="minorHAnsi"/>
          <w:color w:val="000000" w:themeColor="text1"/>
          <w:sz w:val="26"/>
          <w:szCs w:val="26"/>
          <w:lang w:val="en"/>
        </w:rPr>
        <w:t xml:space="preserve">We find that Columbia’s billing practice, as presently implemented, is </w:t>
      </w:r>
      <w:bookmarkStart w:id="0" w:name="_Hlk15549195"/>
      <w:r w:rsidRPr="0026362D">
        <w:rPr>
          <w:rFonts w:eastAsiaTheme="minorHAnsi"/>
          <w:color w:val="000000" w:themeColor="text1"/>
          <w:sz w:val="26"/>
          <w:szCs w:val="26"/>
          <w:lang w:val="en"/>
        </w:rPr>
        <w:t xml:space="preserve">discriminatory, unreasonable and not justified </w:t>
      </w:r>
      <w:bookmarkEnd w:id="0"/>
      <w:r w:rsidRPr="0026362D">
        <w:rPr>
          <w:rFonts w:eastAsiaTheme="minorHAnsi"/>
          <w:color w:val="000000" w:themeColor="text1"/>
          <w:sz w:val="26"/>
          <w:szCs w:val="26"/>
          <w:lang w:val="en"/>
        </w:rPr>
        <w:t>in the given circumstances.  Therefore, we conclude that Columbia’s billing practice, as implemented, violates the prohibition on discrimination in provision of service under both Sections 1502 and 220</w:t>
      </w:r>
      <w:r w:rsidR="00B44380">
        <w:rPr>
          <w:rFonts w:eastAsiaTheme="minorHAnsi"/>
          <w:color w:val="000000" w:themeColor="text1"/>
          <w:sz w:val="26"/>
          <w:szCs w:val="26"/>
          <w:lang w:val="en"/>
        </w:rPr>
        <w:t>4</w:t>
      </w:r>
      <w:r w:rsidRPr="0026362D">
        <w:rPr>
          <w:rFonts w:eastAsiaTheme="minorHAnsi"/>
          <w:color w:val="000000" w:themeColor="text1"/>
          <w:sz w:val="26"/>
          <w:szCs w:val="26"/>
          <w:lang w:val="en"/>
        </w:rPr>
        <w:t xml:space="preserve"> of the Code.  </w:t>
      </w:r>
      <w:r w:rsidRPr="0026362D">
        <w:rPr>
          <w:color w:val="000000" w:themeColor="text1"/>
          <w:sz w:val="26"/>
          <w:szCs w:val="26"/>
        </w:rPr>
        <w:t xml:space="preserve">Notwithstanding this determination, </w:t>
      </w:r>
      <w:r w:rsidRPr="0026362D">
        <w:rPr>
          <w:color w:val="000000" w:themeColor="text1"/>
          <w:sz w:val="26"/>
          <w:szCs w:val="26"/>
        </w:rPr>
        <w:lastRenderedPageBreak/>
        <w:t>we agree with the OCA’s Reply Exception that it would not be a reasonable solution in these circumstances for the Commission to compel Columbia to provide the NGS Parties “on bill” billing service for non-commodity goods and services offered by the NGS Parties.  Columbia must comply with Section 1502 of the Code and provide its “on bill” billing policy in a way that is nondiscriminatory.  In other words, Columbia must either provide such a service to all entities that provide such non-basic services or must discontinue the “on bill” billing policy.  Columbia may not continue to provide this ability to only the two entities referenced in this case.  Should Columbia provide the service to all entities providing non-basic services, we recognize the potential need for reasonable limitations, such as a requirement that the entities be able to provide information to Columbia in a manner that conforms to Columbia’s billing practices, spacing and technologies.  As such, we shall require Columbia to report to this Commission’s Bureau of Technical Utility Services, within 60 days of the entry day of this Opinion and Order, its methodology for coming into compliance with Section 1502 of the Code.  We reiterate the requirements of 52 Pa. Code § 56.83(3) which directs that a customer’s service may not be terminated for nonpayment of such nonbasic charges.</w:t>
      </w:r>
    </w:p>
    <w:p w14:paraId="5979001C" w14:textId="32858EB3" w:rsidR="009915A0" w:rsidRPr="0026362D" w:rsidRDefault="009915A0" w:rsidP="009915A0">
      <w:pPr>
        <w:autoSpaceDE w:val="0"/>
        <w:autoSpaceDN w:val="0"/>
        <w:adjustRightInd w:val="0"/>
        <w:spacing w:line="360" w:lineRule="auto"/>
        <w:ind w:firstLine="720"/>
        <w:rPr>
          <w:color w:val="000000" w:themeColor="text1"/>
          <w:sz w:val="26"/>
          <w:szCs w:val="26"/>
        </w:rPr>
      </w:pPr>
    </w:p>
    <w:p w14:paraId="48C029EA" w14:textId="60936DD2" w:rsidR="009915A0" w:rsidRPr="0026362D" w:rsidRDefault="009915A0" w:rsidP="0026362D">
      <w:pPr>
        <w:autoSpaceDE w:val="0"/>
        <w:autoSpaceDN w:val="0"/>
        <w:adjustRightInd w:val="0"/>
        <w:spacing w:line="360" w:lineRule="auto"/>
        <w:rPr>
          <w:color w:val="000000" w:themeColor="text1"/>
          <w:sz w:val="26"/>
          <w:szCs w:val="26"/>
        </w:rPr>
      </w:pPr>
      <w:r w:rsidRPr="0026362D">
        <w:rPr>
          <w:color w:val="000000" w:themeColor="text1"/>
          <w:sz w:val="26"/>
          <w:szCs w:val="26"/>
        </w:rPr>
        <w:t>December 6 Order at 50-51.</w:t>
      </w:r>
    </w:p>
    <w:p w14:paraId="0FCAC0F3" w14:textId="77777777" w:rsidR="009915A0" w:rsidRPr="0026362D" w:rsidRDefault="009915A0" w:rsidP="0026362D">
      <w:pPr>
        <w:autoSpaceDE w:val="0"/>
        <w:autoSpaceDN w:val="0"/>
        <w:adjustRightInd w:val="0"/>
        <w:spacing w:line="360" w:lineRule="auto"/>
        <w:ind w:firstLine="720"/>
        <w:rPr>
          <w:color w:val="000000" w:themeColor="text1"/>
          <w:sz w:val="26"/>
          <w:szCs w:val="26"/>
        </w:rPr>
      </w:pPr>
    </w:p>
    <w:p w14:paraId="2678CA0B" w14:textId="0A6B00AA" w:rsidR="00992354" w:rsidRPr="0026362D" w:rsidRDefault="00996C36" w:rsidP="00E42B6E">
      <w:pPr>
        <w:autoSpaceDE w:val="0"/>
        <w:autoSpaceDN w:val="0"/>
        <w:adjustRightInd w:val="0"/>
        <w:spacing w:line="360" w:lineRule="auto"/>
        <w:ind w:firstLine="720"/>
        <w:rPr>
          <w:color w:val="000000" w:themeColor="text1"/>
          <w:spacing w:val="-3"/>
          <w:kern w:val="1"/>
          <w:sz w:val="26"/>
          <w:szCs w:val="26"/>
        </w:rPr>
      </w:pPr>
      <w:r w:rsidRPr="0026362D">
        <w:rPr>
          <w:color w:val="000000" w:themeColor="text1"/>
          <w:sz w:val="26"/>
          <w:szCs w:val="26"/>
        </w:rPr>
        <w:t xml:space="preserve">We reiterate that </w:t>
      </w:r>
      <w:r w:rsidR="00BF6E06" w:rsidRPr="0026362D">
        <w:rPr>
          <w:color w:val="000000" w:themeColor="text1"/>
          <w:sz w:val="26"/>
          <w:szCs w:val="26"/>
        </w:rPr>
        <w:t xml:space="preserve">in </w:t>
      </w:r>
      <w:r w:rsidRPr="0026362D">
        <w:rPr>
          <w:color w:val="000000" w:themeColor="text1"/>
          <w:sz w:val="26"/>
          <w:szCs w:val="26"/>
        </w:rPr>
        <w:t>the December 6 Order</w:t>
      </w:r>
      <w:r w:rsidR="008570E0">
        <w:rPr>
          <w:color w:val="000000" w:themeColor="text1"/>
          <w:sz w:val="26"/>
          <w:szCs w:val="26"/>
        </w:rPr>
        <w:t>,</w:t>
      </w:r>
      <w:r w:rsidRPr="0026362D">
        <w:rPr>
          <w:color w:val="000000" w:themeColor="text1"/>
          <w:sz w:val="26"/>
          <w:szCs w:val="26"/>
        </w:rPr>
        <w:t xml:space="preserve"> </w:t>
      </w:r>
      <w:r w:rsidR="00BF6E06" w:rsidRPr="0026362D">
        <w:rPr>
          <w:color w:val="000000" w:themeColor="text1"/>
          <w:sz w:val="26"/>
          <w:szCs w:val="26"/>
        </w:rPr>
        <w:t xml:space="preserve">we directed </w:t>
      </w:r>
      <w:r w:rsidRPr="0026362D">
        <w:rPr>
          <w:color w:val="000000" w:themeColor="text1"/>
          <w:spacing w:val="-3"/>
          <w:kern w:val="1"/>
          <w:sz w:val="26"/>
          <w:szCs w:val="26"/>
        </w:rPr>
        <w:t xml:space="preserve">Columbia </w:t>
      </w:r>
      <w:r w:rsidR="00BF6E06" w:rsidRPr="0026362D">
        <w:rPr>
          <w:color w:val="000000" w:themeColor="text1"/>
          <w:spacing w:val="-3"/>
          <w:kern w:val="1"/>
          <w:sz w:val="26"/>
          <w:szCs w:val="26"/>
        </w:rPr>
        <w:t>to</w:t>
      </w:r>
      <w:r w:rsidRPr="0026362D">
        <w:rPr>
          <w:color w:val="000000" w:themeColor="text1"/>
          <w:spacing w:val="-3"/>
          <w:kern w:val="1"/>
          <w:sz w:val="26"/>
          <w:szCs w:val="26"/>
        </w:rPr>
        <w:t xml:space="preserve"> either provide access to the “on bill” billing service to all entities that provide such non-basic services or discontinue the “on bill” billing policy.</w:t>
      </w:r>
      <w:r w:rsidR="00FF7F48" w:rsidRPr="0026362D">
        <w:rPr>
          <w:color w:val="000000" w:themeColor="text1"/>
          <w:spacing w:val="-3"/>
          <w:kern w:val="1"/>
          <w:sz w:val="26"/>
          <w:szCs w:val="26"/>
        </w:rPr>
        <w:t xml:space="preserve">  </w:t>
      </w:r>
      <w:r w:rsidRPr="0026362D">
        <w:rPr>
          <w:color w:val="000000" w:themeColor="text1"/>
          <w:spacing w:val="-3"/>
          <w:kern w:val="1"/>
          <w:sz w:val="26"/>
          <w:szCs w:val="26"/>
        </w:rPr>
        <w:t xml:space="preserve">The December 6 Order </w:t>
      </w:r>
      <w:r w:rsidR="00FF7F48" w:rsidRPr="0026362D">
        <w:rPr>
          <w:color w:val="000000" w:themeColor="text1"/>
          <w:spacing w:val="-3"/>
          <w:kern w:val="1"/>
          <w:sz w:val="26"/>
          <w:szCs w:val="26"/>
        </w:rPr>
        <w:t xml:space="preserve">is clear in its directive that </w:t>
      </w:r>
      <w:r w:rsidRPr="0026362D">
        <w:rPr>
          <w:color w:val="000000" w:themeColor="text1"/>
          <w:spacing w:val="-3"/>
          <w:kern w:val="1"/>
          <w:sz w:val="26"/>
          <w:szCs w:val="26"/>
        </w:rPr>
        <w:t xml:space="preserve">Columbia </w:t>
      </w:r>
      <w:r w:rsidRPr="0026362D">
        <w:rPr>
          <w:i/>
          <w:iCs/>
          <w:color w:val="000000" w:themeColor="text1"/>
          <w:spacing w:val="-3"/>
          <w:kern w:val="1"/>
          <w:sz w:val="26"/>
          <w:szCs w:val="26"/>
        </w:rPr>
        <w:t>may not</w:t>
      </w:r>
      <w:r w:rsidRPr="0026362D">
        <w:rPr>
          <w:color w:val="000000" w:themeColor="text1"/>
          <w:spacing w:val="-3"/>
          <w:kern w:val="1"/>
          <w:sz w:val="26"/>
          <w:szCs w:val="26"/>
        </w:rPr>
        <w:t xml:space="preserve"> </w:t>
      </w:r>
      <w:r w:rsidRPr="0026362D">
        <w:rPr>
          <w:i/>
          <w:iCs/>
          <w:color w:val="000000" w:themeColor="text1"/>
          <w:spacing w:val="-3"/>
          <w:kern w:val="1"/>
          <w:sz w:val="26"/>
          <w:szCs w:val="26"/>
        </w:rPr>
        <w:t>continue</w:t>
      </w:r>
      <w:r w:rsidRPr="0026362D">
        <w:rPr>
          <w:color w:val="000000" w:themeColor="text1"/>
          <w:spacing w:val="-3"/>
          <w:kern w:val="1"/>
          <w:sz w:val="26"/>
          <w:szCs w:val="26"/>
        </w:rPr>
        <w:t xml:space="preserve"> to provide this “on bill” </w:t>
      </w:r>
      <w:r w:rsidR="00FF7F48" w:rsidRPr="0026362D">
        <w:rPr>
          <w:color w:val="000000" w:themeColor="text1"/>
          <w:spacing w:val="-3"/>
          <w:kern w:val="1"/>
          <w:sz w:val="26"/>
          <w:szCs w:val="26"/>
        </w:rPr>
        <w:t xml:space="preserve">billing service </w:t>
      </w:r>
      <w:r w:rsidRPr="0026362D">
        <w:rPr>
          <w:color w:val="000000" w:themeColor="text1"/>
          <w:spacing w:val="-3"/>
          <w:kern w:val="1"/>
          <w:sz w:val="26"/>
          <w:szCs w:val="26"/>
        </w:rPr>
        <w:t xml:space="preserve">to only </w:t>
      </w:r>
      <w:r w:rsidR="00E42B6E" w:rsidRPr="0026362D">
        <w:rPr>
          <w:color w:val="000000" w:themeColor="text1"/>
          <w:spacing w:val="-3"/>
          <w:kern w:val="1"/>
          <w:sz w:val="26"/>
          <w:szCs w:val="26"/>
        </w:rPr>
        <w:t>CSP</w:t>
      </w:r>
      <w:r w:rsidRPr="0026362D">
        <w:rPr>
          <w:color w:val="000000" w:themeColor="text1"/>
          <w:spacing w:val="-3"/>
          <w:kern w:val="1"/>
          <w:sz w:val="26"/>
          <w:szCs w:val="26"/>
        </w:rPr>
        <w:t xml:space="preserve"> and Nicor</w:t>
      </w:r>
      <w:r w:rsidRPr="0026362D">
        <w:rPr>
          <w:color w:val="000000" w:themeColor="text1"/>
          <w:sz w:val="26"/>
          <w:szCs w:val="26"/>
        </w:rPr>
        <w:t>.</w:t>
      </w:r>
      <w:r w:rsidR="00FF7F48" w:rsidRPr="0026362D">
        <w:rPr>
          <w:color w:val="000000" w:themeColor="text1"/>
          <w:sz w:val="26"/>
          <w:szCs w:val="26"/>
        </w:rPr>
        <w:t xml:space="preserve">  Therefore, Columbia’s proposal to continue this </w:t>
      </w:r>
      <w:r w:rsidR="006E1A5A" w:rsidRPr="0026362D">
        <w:rPr>
          <w:rFonts w:eastAsiaTheme="minorHAnsi"/>
          <w:color w:val="000000" w:themeColor="text1"/>
          <w:sz w:val="26"/>
          <w:szCs w:val="26"/>
          <w:lang w:val="en"/>
        </w:rPr>
        <w:t>discriminatory, unreasonable and unjustified</w:t>
      </w:r>
      <w:r w:rsidR="00FF7F48" w:rsidRPr="0026362D">
        <w:rPr>
          <w:color w:val="000000" w:themeColor="text1"/>
          <w:sz w:val="26"/>
          <w:szCs w:val="26"/>
        </w:rPr>
        <w:t xml:space="preserve"> “on bill” billing practice until the conclusion of the current contract terms is in direct conflict with the </w:t>
      </w:r>
      <w:r w:rsidR="006E1A5A" w:rsidRPr="0026362D">
        <w:rPr>
          <w:color w:val="000000" w:themeColor="text1"/>
          <w:sz w:val="26"/>
          <w:szCs w:val="26"/>
        </w:rPr>
        <w:t xml:space="preserve">Commission’s direction in the </w:t>
      </w:r>
      <w:r w:rsidR="00FF7F48" w:rsidRPr="0026362D">
        <w:rPr>
          <w:color w:val="000000" w:themeColor="text1"/>
          <w:sz w:val="26"/>
          <w:szCs w:val="26"/>
        </w:rPr>
        <w:t>December 6 Order</w:t>
      </w:r>
      <w:r w:rsidR="00FF7F48" w:rsidRPr="0026362D">
        <w:rPr>
          <w:color w:val="000000" w:themeColor="text1"/>
          <w:spacing w:val="-3"/>
          <w:kern w:val="1"/>
          <w:sz w:val="26"/>
          <w:szCs w:val="26"/>
        </w:rPr>
        <w:t xml:space="preserve">.  </w:t>
      </w:r>
    </w:p>
    <w:p w14:paraId="2C2541B8" w14:textId="2C570989" w:rsidR="006E1A5A" w:rsidRPr="0026362D" w:rsidRDefault="006E1A5A" w:rsidP="00E42B6E">
      <w:pPr>
        <w:autoSpaceDE w:val="0"/>
        <w:autoSpaceDN w:val="0"/>
        <w:adjustRightInd w:val="0"/>
        <w:spacing w:line="360" w:lineRule="auto"/>
        <w:ind w:firstLine="720"/>
        <w:rPr>
          <w:color w:val="000000" w:themeColor="text1"/>
          <w:spacing w:val="-3"/>
          <w:kern w:val="1"/>
          <w:sz w:val="26"/>
          <w:szCs w:val="26"/>
        </w:rPr>
      </w:pPr>
    </w:p>
    <w:p w14:paraId="5C6FC905" w14:textId="51E9CE58" w:rsidR="00D609FB" w:rsidRPr="0026362D" w:rsidRDefault="006E1A5A" w:rsidP="00E42B6E">
      <w:pPr>
        <w:autoSpaceDE w:val="0"/>
        <w:autoSpaceDN w:val="0"/>
        <w:adjustRightInd w:val="0"/>
        <w:spacing w:line="360" w:lineRule="auto"/>
        <w:ind w:firstLine="720"/>
        <w:rPr>
          <w:color w:val="000000" w:themeColor="text1"/>
          <w:spacing w:val="-3"/>
          <w:kern w:val="1"/>
          <w:sz w:val="26"/>
          <w:szCs w:val="26"/>
        </w:rPr>
      </w:pPr>
      <w:r w:rsidRPr="0026362D">
        <w:rPr>
          <w:color w:val="000000" w:themeColor="text1"/>
          <w:spacing w:val="-3"/>
          <w:kern w:val="1"/>
          <w:sz w:val="26"/>
          <w:szCs w:val="26"/>
        </w:rPr>
        <w:t xml:space="preserve">We further find that Columbia’s argument that </w:t>
      </w:r>
      <w:r w:rsidR="008570E0">
        <w:rPr>
          <w:color w:val="000000" w:themeColor="text1"/>
          <w:spacing w:val="-3"/>
          <w:kern w:val="1"/>
          <w:sz w:val="26"/>
          <w:szCs w:val="26"/>
        </w:rPr>
        <w:t xml:space="preserve">as </w:t>
      </w:r>
      <w:r w:rsidRPr="0026362D">
        <w:rPr>
          <w:color w:val="000000" w:themeColor="text1"/>
          <w:spacing w:val="-3"/>
          <w:kern w:val="1"/>
          <w:sz w:val="26"/>
          <w:szCs w:val="26"/>
        </w:rPr>
        <w:t xml:space="preserve">the Commission previously approved the contracts under Section 2102 of the Code, 66 Pa. C.S. § 2102 (relating to approval of contracts with affiliated interest), the contracts remain valid is </w:t>
      </w:r>
      <w:r w:rsidR="00D609FB" w:rsidRPr="0026362D">
        <w:rPr>
          <w:color w:val="000000" w:themeColor="text1"/>
          <w:spacing w:val="-3"/>
          <w:kern w:val="1"/>
          <w:sz w:val="26"/>
          <w:szCs w:val="26"/>
        </w:rPr>
        <w:t xml:space="preserve">unpersuasive for several reasons.  </w:t>
      </w:r>
      <w:r w:rsidR="003629DA" w:rsidRPr="0026362D">
        <w:rPr>
          <w:color w:val="000000" w:themeColor="text1"/>
          <w:spacing w:val="-3"/>
          <w:kern w:val="1"/>
          <w:sz w:val="26"/>
          <w:szCs w:val="26"/>
        </w:rPr>
        <w:t>W</w:t>
      </w:r>
      <w:r w:rsidR="00D609FB" w:rsidRPr="0026362D">
        <w:rPr>
          <w:color w:val="000000" w:themeColor="text1"/>
          <w:spacing w:val="-3"/>
          <w:kern w:val="1"/>
          <w:sz w:val="26"/>
          <w:szCs w:val="26"/>
        </w:rPr>
        <w:t xml:space="preserve">e note that Section 2103 of the Code, 66 Pa. C.S. § 2103 (relating to continuing supervision and jurisdiction over contracts) gives the Commission “continuing </w:t>
      </w:r>
      <w:r w:rsidR="00D609FB" w:rsidRPr="0026362D">
        <w:rPr>
          <w:color w:val="000000" w:themeColor="text1"/>
          <w:spacing w:val="-3"/>
          <w:kern w:val="1"/>
          <w:sz w:val="26"/>
          <w:szCs w:val="26"/>
        </w:rPr>
        <w:lastRenderedPageBreak/>
        <w:t xml:space="preserve">supervisory control over the terms and conditions of” such contracts “as necessary to protect and promote the public interest.”  Section 2103 also states that prior approval of such contracts does “not preclude disallowance or disapproval of payments made pursuant thereto, if upon actual experience under such contract or arrangement it appears that the payments provided for or made were or are unreasonable.”  </w:t>
      </w:r>
      <w:r w:rsidR="003629DA" w:rsidRPr="0026362D">
        <w:rPr>
          <w:color w:val="000000" w:themeColor="text1"/>
          <w:spacing w:val="-3"/>
          <w:kern w:val="1"/>
          <w:sz w:val="26"/>
          <w:szCs w:val="26"/>
        </w:rPr>
        <w:t xml:space="preserve">We further note that </w:t>
      </w:r>
      <w:r w:rsidR="00D609FB" w:rsidRPr="0026362D">
        <w:rPr>
          <w:color w:val="000000" w:themeColor="text1"/>
          <w:spacing w:val="-3"/>
          <w:kern w:val="1"/>
          <w:sz w:val="26"/>
          <w:szCs w:val="26"/>
        </w:rPr>
        <w:t>Section</w:t>
      </w:r>
      <w:r w:rsidR="00C940A9">
        <w:rPr>
          <w:color w:val="000000" w:themeColor="text1"/>
          <w:spacing w:val="-3"/>
          <w:kern w:val="1"/>
          <w:sz w:val="26"/>
          <w:szCs w:val="26"/>
        </w:rPr>
        <w:t> </w:t>
      </w:r>
      <w:r w:rsidR="00D609FB" w:rsidRPr="0026362D">
        <w:rPr>
          <w:color w:val="000000" w:themeColor="text1"/>
          <w:spacing w:val="-3"/>
          <w:kern w:val="1"/>
          <w:sz w:val="26"/>
          <w:szCs w:val="26"/>
        </w:rPr>
        <w:t>2105 of the Code</w:t>
      </w:r>
      <w:r w:rsidR="003629DA" w:rsidRPr="0026362D">
        <w:rPr>
          <w:color w:val="000000" w:themeColor="text1"/>
          <w:spacing w:val="-3"/>
          <w:kern w:val="1"/>
          <w:sz w:val="26"/>
          <w:szCs w:val="26"/>
        </w:rPr>
        <w:t xml:space="preserve">, 66 Pa. C.S. § 2105 (relating to contracts in violation of part void), specifically states that “[e]very contract with an affiliated interest, made effective or modified in violation of any provision of this part, or </w:t>
      </w:r>
      <w:r w:rsidR="006A0F9A">
        <w:rPr>
          <w:color w:val="000000" w:themeColor="text1"/>
          <w:spacing w:val="-3"/>
          <w:kern w:val="1"/>
          <w:sz w:val="26"/>
          <w:szCs w:val="26"/>
        </w:rPr>
        <w:t xml:space="preserve">of </w:t>
      </w:r>
      <w:r w:rsidR="003629DA" w:rsidRPr="0026362D">
        <w:rPr>
          <w:color w:val="000000" w:themeColor="text1"/>
          <w:spacing w:val="-3"/>
          <w:kern w:val="1"/>
          <w:sz w:val="26"/>
          <w:szCs w:val="26"/>
        </w:rPr>
        <w:t xml:space="preserve">any regulation or order of </w:t>
      </w:r>
      <w:r w:rsidR="006A0F9A">
        <w:rPr>
          <w:color w:val="000000" w:themeColor="text1"/>
          <w:spacing w:val="-3"/>
          <w:kern w:val="1"/>
          <w:sz w:val="26"/>
          <w:szCs w:val="26"/>
        </w:rPr>
        <w:t xml:space="preserve">the Commission made </w:t>
      </w:r>
      <w:r w:rsidR="003629DA" w:rsidRPr="0026362D">
        <w:rPr>
          <w:color w:val="000000" w:themeColor="text1"/>
          <w:spacing w:val="-3"/>
          <w:kern w:val="1"/>
          <w:sz w:val="26"/>
          <w:szCs w:val="26"/>
        </w:rPr>
        <w:t>under this part, shall be void….”</w:t>
      </w:r>
      <w:r w:rsidR="00D609FB" w:rsidRPr="0026362D">
        <w:rPr>
          <w:color w:val="000000" w:themeColor="text1"/>
          <w:spacing w:val="-3"/>
          <w:kern w:val="1"/>
          <w:sz w:val="26"/>
          <w:szCs w:val="26"/>
        </w:rPr>
        <w:t xml:space="preserve"> </w:t>
      </w:r>
      <w:r w:rsidR="003629DA" w:rsidRPr="0026362D">
        <w:rPr>
          <w:color w:val="000000" w:themeColor="text1"/>
          <w:spacing w:val="-3"/>
          <w:kern w:val="1"/>
          <w:sz w:val="26"/>
          <w:szCs w:val="26"/>
        </w:rPr>
        <w:t xml:space="preserve"> Accordingly, the Commission maintains jurisdiction over previously approved contracts with affiliates and may void said contracts if the Commission finds that they no longer protect and promote the public interest.</w:t>
      </w:r>
    </w:p>
    <w:p w14:paraId="75961230" w14:textId="1944B4D3" w:rsidR="003629DA" w:rsidRPr="0026362D" w:rsidRDefault="003629DA" w:rsidP="00E42B6E">
      <w:pPr>
        <w:autoSpaceDE w:val="0"/>
        <w:autoSpaceDN w:val="0"/>
        <w:adjustRightInd w:val="0"/>
        <w:spacing w:line="360" w:lineRule="auto"/>
        <w:ind w:firstLine="720"/>
        <w:rPr>
          <w:color w:val="000000" w:themeColor="text1"/>
          <w:spacing w:val="-3"/>
          <w:kern w:val="1"/>
          <w:sz w:val="26"/>
          <w:szCs w:val="26"/>
        </w:rPr>
      </w:pPr>
    </w:p>
    <w:p w14:paraId="336B1A4E" w14:textId="3AF8DE46" w:rsidR="00A267A5" w:rsidRPr="0026362D" w:rsidRDefault="003629DA" w:rsidP="00E42B6E">
      <w:pPr>
        <w:autoSpaceDE w:val="0"/>
        <w:autoSpaceDN w:val="0"/>
        <w:adjustRightInd w:val="0"/>
        <w:spacing w:line="360" w:lineRule="auto"/>
        <w:ind w:firstLine="720"/>
        <w:rPr>
          <w:rFonts w:eastAsiaTheme="minorHAnsi"/>
          <w:color w:val="000000" w:themeColor="text1"/>
          <w:sz w:val="26"/>
          <w:szCs w:val="26"/>
          <w:lang w:val="en"/>
        </w:rPr>
      </w:pPr>
      <w:r w:rsidRPr="0026362D">
        <w:rPr>
          <w:color w:val="000000" w:themeColor="text1"/>
          <w:spacing w:val="-3"/>
          <w:kern w:val="1"/>
          <w:sz w:val="26"/>
          <w:szCs w:val="26"/>
        </w:rPr>
        <w:t xml:space="preserve">A question remains whether a Commission approval of contracts with a utility affiliate remains in effect after the contracting parties are no longer affiliates of a utility.  </w:t>
      </w:r>
      <w:r w:rsidR="00BA47B9" w:rsidRPr="0026362D">
        <w:rPr>
          <w:color w:val="000000" w:themeColor="text1"/>
          <w:spacing w:val="-3"/>
          <w:kern w:val="1"/>
          <w:sz w:val="26"/>
          <w:szCs w:val="26"/>
        </w:rPr>
        <w:t xml:space="preserve">We find, however, that we need not answer this question.  In either case, the Commission has found “that Columbia’s </w:t>
      </w:r>
      <w:r w:rsidR="00BA47B9" w:rsidRPr="0026362D">
        <w:rPr>
          <w:rFonts w:eastAsiaTheme="minorHAnsi"/>
          <w:color w:val="000000" w:themeColor="text1"/>
          <w:sz w:val="26"/>
          <w:szCs w:val="26"/>
          <w:lang w:val="en"/>
        </w:rPr>
        <w:t xml:space="preserve">billing practice, as presently implemented, is discriminatory, unreasonable and not justified in the given circumstances.”  December 6 Order at 50.  Accordingly, it is Columbia’s practice that is in violation of the Code.  Columbia’s plan to continue this </w:t>
      </w:r>
      <w:bookmarkStart w:id="1" w:name="_Hlk15553961"/>
      <w:r w:rsidR="00BA47B9" w:rsidRPr="0026362D">
        <w:rPr>
          <w:rFonts w:eastAsiaTheme="minorHAnsi"/>
          <w:color w:val="000000" w:themeColor="text1"/>
          <w:sz w:val="26"/>
          <w:szCs w:val="26"/>
          <w:lang w:val="en"/>
        </w:rPr>
        <w:t xml:space="preserve">discriminatory, unreasonable and unjustified </w:t>
      </w:r>
      <w:bookmarkEnd w:id="1"/>
      <w:r w:rsidR="00BA47B9" w:rsidRPr="0026362D">
        <w:rPr>
          <w:rFonts w:eastAsiaTheme="minorHAnsi"/>
          <w:color w:val="000000" w:themeColor="text1"/>
          <w:sz w:val="26"/>
          <w:szCs w:val="26"/>
          <w:lang w:val="en"/>
        </w:rPr>
        <w:t xml:space="preserve">practice until January </w:t>
      </w:r>
      <w:r w:rsidR="00730BA4" w:rsidRPr="0026362D">
        <w:rPr>
          <w:rFonts w:eastAsiaTheme="minorHAnsi"/>
          <w:color w:val="000000" w:themeColor="text1"/>
          <w:sz w:val="26"/>
          <w:szCs w:val="26"/>
          <w:lang w:val="en"/>
        </w:rPr>
        <w:t>2023 is</w:t>
      </w:r>
      <w:r w:rsidR="00BA47B9" w:rsidRPr="0026362D">
        <w:rPr>
          <w:rFonts w:eastAsiaTheme="minorHAnsi"/>
          <w:color w:val="000000" w:themeColor="text1"/>
          <w:sz w:val="26"/>
          <w:szCs w:val="26"/>
          <w:lang w:val="en"/>
        </w:rPr>
        <w:t xml:space="preserve"> unacceptable.  </w:t>
      </w:r>
    </w:p>
    <w:p w14:paraId="6E785F61" w14:textId="77777777" w:rsidR="00A267A5" w:rsidRPr="0026362D" w:rsidRDefault="00A267A5" w:rsidP="00E42B6E">
      <w:pPr>
        <w:autoSpaceDE w:val="0"/>
        <w:autoSpaceDN w:val="0"/>
        <w:adjustRightInd w:val="0"/>
        <w:spacing w:line="360" w:lineRule="auto"/>
        <w:ind w:firstLine="720"/>
        <w:rPr>
          <w:rFonts w:eastAsiaTheme="minorHAnsi"/>
          <w:color w:val="000000" w:themeColor="text1"/>
          <w:sz w:val="26"/>
          <w:szCs w:val="26"/>
          <w:lang w:val="en"/>
        </w:rPr>
      </w:pPr>
    </w:p>
    <w:p w14:paraId="480503D9" w14:textId="724946BA" w:rsidR="006B229F" w:rsidRPr="0026362D" w:rsidRDefault="00A267A5" w:rsidP="00E42B6E">
      <w:pPr>
        <w:autoSpaceDE w:val="0"/>
        <w:autoSpaceDN w:val="0"/>
        <w:adjustRightInd w:val="0"/>
        <w:spacing w:line="360" w:lineRule="auto"/>
        <w:ind w:firstLine="720"/>
        <w:rPr>
          <w:color w:val="000000" w:themeColor="text1"/>
          <w:sz w:val="26"/>
          <w:szCs w:val="26"/>
        </w:rPr>
      </w:pPr>
      <w:r w:rsidRPr="0026362D">
        <w:rPr>
          <w:rFonts w:eastAsiaTheme="minorHAnsi"/>
          <w:color w:val="000000" w:themeColor="text1"/>
          <w:sz w:val="26"/>
          <w:szCs w:val="26"/>
          <w:lang w:val="en"/>
        </w:rPr>
        <w:t xml:space="preserve">Typically, </w:t>
      </w:r>
      <w:r w:rsidRPr="0026362D">
        <w:rPr>
          <w:color w:val="000000" w:themeColor="text1"/>
          <w:sz w:val="26"/>
          <w:szCs w:val="26"/>
        </w:rPr>
        <w:t xml:space="preserve">a public utility seeking a general rate increase has the burden of proof to establish the justness and reasonableness of every element of the rate increase request.  66 Pa.C.S. § 315(a); </w:t>
      </w:r>
      <w:r w:rsidRPr="0026362D">
        <w:rPr>
          <w:i/>
          <w:color w:val="000000" w:themeColor="text1"/>
          <w:sz w:val="26"/>
          <w:szCs w:val="26"/>
        </w:rPr>
        <w:t>Pa. Pub. Util. Comm’n v. Aqua Pennsylvania, Inc.</w:t>
      </w:r>
      <w:r w:rsidRPr="0026362D">
        <w:rPr>
          <w:color w:val="000000" w:themeColor="text1"/>
          <w:sz w:val="26"/>
          <w:szCs w:val="26"/>
        </w:rPr>
        <w:t>, Docket No.</w:t>
      </w:r>
      <w:r w:rsidR="00C940A9">
        <w:rPr>
          <w:color w:val="000000" w:themeColor="text1"/>
          <w:sz w:val="26"/>
          <w:szCs w:val="26"/>
        </w:rPr>
        <w:t> </w:t>
      </w:r>
      <w:r w:rsidRPr="0026362D">
        <w:rPr>
          <w:color w:val="000000" w:themeColor="text1"/>
          <w:sz w:val="26"/>
          <w:szCs w:val="26"/>
        </w:rPr>
        <w:t>R</w:t>
      </w:r>
      <w:r w:rsidR="006B229F" w:rsidRPr="0026362D">
        <w:rPr>
          <w:color w:val="000000" w:themeColor="text1"/>
          <w:sz w:val="26"/>
          <w:szCs w:val="26"/>
        </w:rPr>
        <w:noBreakHyphen/>
      </w:r>
      <w:r w:rsidRPr="0026362D">
        <w:rPr>
          <w:color w:val="000000" w:themeColor="text1"/>
          <w:sz w:val="26"/>
          <w:szCs w:val="26"/>
        </w:rPr>
        <w:t xml:space="preserve">00038805, 236 PUR 4th 218, 2004 Pa. PUC LEXIS 39 (Order entered August 5, 2004).  </w:t>
      </w:r>
      <w:r w:rsidR="006B229F" w:rsidRPr="0026362D">
        <w:rPr>
          <w:color w:val="000000" w:themeColor="text1"/>
          <w:sz w:val="26"/>
          <w:szCs w:val="26"/>
        </w:rPr>
        <w:t xml:space="preserve">The burden of proof is the “preponderance of the evidence” standard.  </w:t>
      </w:r>
      <w:r w:rsidR="006B229F" w:rsidRPr="0026362D">
        <w:rPr>
          <w:i/>
          <w:color w:val="000000" w:themeColor="text1"/>
          <w:sz w:val="26"/>
          <w:szCs w:val="26"/>
        </w:rPr>
        <w:t>Suber v. Pennsylvania Com’n on Crime and Deliquency</w:t>
      </w:r>
      <w:r w:rsidR="006B229F" w:rsidRPr="0026362D">
        <w:rPr>
          <w:color w:val="000000" w:themeColor="text1"/>
          <w:sz w:val="26"/>
          <w:szCs w:val="26"/>
        </w:rPr>
        <w:t>, 885 A. 2d 678, 682 (Pa. Cmwlth. 2005) (</w:t>
      </w:r>
      <w:r w:rsidR="006B229F" w:rsidRPr="0026362D">
        <w:rPr>
          <w:i/>
          <w:color w:val="000000" w:themeColor="text1"/>
          <w:sz w:val="26"/>
          <w:szCs w:val="26"/>
        </w:rPr>
        <w:t>Suber</w:t>
      </w:r>
      <w:r w:rsidR="006B229F" w:rsidRPr="0026362D">
        <w:rPr>
          <w:color w:val="000000" w:themeColor="text1"/>
          <w:sz w:val="26"/>
          <w:szCs w:val="26"/>
        </w:rPr>
        <w:t xml:space="preserve">); </w:t>
      </w:r>
      <w:r w:rsidR="006B229F" w:rsidRPr="0026362D">
        <w:rPr>
          <w:i/>
          <w:iCs/>
          <w:color w:val="000000" w:themeColor="text1"/>
          <w:sz w:val="26"/>
          <w:szCs w:val="26"/>
        </w:rPr>
        <w:t>Samuel J. Lansberry, Inc. v. Pa. PUC</w:t>
      </w:r>
      <w:r w:rsidR="006B229F" w:rsidRPr="0026362D">
        <w:rPr>
          <w:color w:val="000000" w:themeColor="text1"/>
          <w:sz w:val="26"/>
          <w:szCs w:val="26"/>
        </w:rPr>
        <w:t xml:space="preserve">, 578 A.2d 600 (Pa. Cmwlth. 1990), </w:t>
      </w:r>
      <w:r w:rsidR="006B229F" w:rsidRPr="0026362D">
        <w:rPr>
          <w:i/>
          <w:color w:val="000000" w:themeColor="text1"/>
          <w:sz w:val="26"/>
          <w:szCs w:val="26"/>
        </w:rPr>
        <w:t xml:space="preserve">alloc. </w:t>
      </w:r>
      <w:r w:rsidR="006B229F" w:rsidRPr="0026362D">
        <w:rPr>
          <w:i/>
          <w:color w:val="000000" w:themeColor="text1"/>
          <w:sz w:val="26"/>
          <w:szCs w:val="26"/>
        </w:rPr>
        <w:lastRenderedPageBreak/>
        <w:t>denied,</w:t>
      </w:r>
      <w:r w:rsidR="006B229F" w:rsidRPr="0026362D">
        <w:rPr>
          <w:color w:val="000000" w:themeColor="text1"/>
          <w:sz w:val="26"/>
          <w:szCs w:val="26"/>
        </w:rPr>
        <w:t xml:space="preserve"> 529 Pa. 654, 602 A.2d 863 (1992) (</w:t>
      </w:r>
      <w:r w:rsidR="006B229F" w:rsidRPr="0026362D">
        <w:rPr>
          <w:i/>
          <w:color w:val="000000" w:themeColor="text1"/>
          <w:sz w:val="26"/>
          <w:szCs w:val="26"/>
        </w:rPr>
        <w:t>Lansberry</w:t>
      </w:r>
      <w:r w:rsidR="006B229F" w:rsidRPr="0026362D">
        <w:rPr>
          <w:color w:val="000000" w:themeColor="text1"/>
          <w:sz w:val="26"/>
          <w:szCs w:val="26"/>
        </w:rPr>
        <w:t xml:space="preserve">); </w:t>
      </w:r>
      <w:r w:rsidR="006B229F" w:rsidRPr="0026362D">
        <w:rPr>
          <w:i/>
          <w:color w:val="000000" w:themeColor="text1"/>
          <w:sz w:val="26"/>
          <w:szCs w:val="26"/>
        </w:rPr>
        <w:t>see also</w:t>
      </w:r>
      <w:r w:rsidR="006B229F" w:rsidRPr="0026362D">
        <w:rPr>
          <w:rFonts w:ascii="Arial" w:hAnsi="Arial" w:cs="Arial"/>
          <w:i/>
          <w:color w:val="000000" w:themeColor="text1"/>
          <w:sz w:val="21"/>
          <w:szCs w:val="21"/>
        </w:rPr>
        <w:t xml:space="preserve"> </w:t>
      </w:r>
      <w:r w:rsidR="006B229F" w:rsidRPr="0026362D">
        <w:rPr>
          <w:i/>
          <w:iCs/>
          <w:color w:val="000000" w:themeColor="text1"/>
          <w:sz w:val="26"/>
          <w:szCs w:val="26"/>
        </w:rPr>
        <w:t>North American Coal Corp. v. Air Pollution Commission,</w:t>
      </w:r>
      <w:r w:rsidR="006B229F" w:rsidRPr="0026362D">
        <w:rPr>
          <w:color w:val="000000" w:themeColor="text1"/>
          <w:sz w:val="26"/>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006B229F" w:rsidRPr="0026362D">
        <w:rPr>
          <w:i/>
          <w:color w:val="000000" w:themeColor="text1"/>
          <w:sz w:val="26"/>
          <w:szCs w:val="26"/>
        </w:rPr>
        <w:t xml:space="preserve">See </w:t>
      </w:r>
      <w:r w:rsidR="006B229F" w:rsidRPr="0026362D">
        <w:rPr>
          <w:i/>
          <w:iCs/>
          <w:color w:val="000000" w:themeColor="text1"/>
          <w:sz w:val="26"/>
          <w:szCs w:val="26"/>
        </w:rPr>
        <w:t>Se-Ling Hosiery, Inc. v. Margulies,</w:t>
      </w:r>
      <w:r w:rsidR="006B229F" w:rsidRPr="0026362D">
        <w:rPr>
          <w:color w:val="000000" w:themeColor="text1"/>
          <w:sz w:val="26"/>
          <w:szCs w:val="26"/>
        </w:rPr>
        <w:t xml:space="preserve"> 364 Pa. 45, 48-49, 70 A.2d 854, 855 (1950).  </w:t>
      </w:r>
    </w:p>
    <w:p w14:paraId="2BC6E83B" w14:textId="08C7FBD3" w:rsidR="006B229F" w:rsidRPr="0026362D" w:rsidRDefault="006B229F" w:rsidP="00E42B6E">
      <w:pPr>
        <w:autoSpaceDE w:val="0"/>
        <w:autoSpaceDN w:val="0"/>
        <w:adjustRightInd w:val="0"/>
        <w:spacing w:line="360" w:lineRule="auto"/>
        <w:ind w:firstLine="720"/>
        <w:rPr>
          <w:color w:val="000000" w:themeColor="text1"/>
          <w:sz w:val="26"/>
          <w:szCs w:val="26"/>
        </w:rPr>
      </w:pPr>
    </w:p>
    <w:p w14:paraId="7B147FB3" w14:textId="7E017542" w:rsidR="006B229F" w:rsidRPr="0026362D" w:rsidRDefault="006B229F" w:rsidP="00E42B6E">
      <w:pPr>
        <w:autoSpaceDE w:val="0"/>
        <w:autoSpaceDN w:val="0"/>
        <w:adjustRightInd w:val="0"/>
        <w:spacing w:line="360" w:lineRule="auto"/>
        <w:ind w:firstLine="720"/>
        <w:rPr>
          <w:color w:val="000000" w:themeColor="text1"/>
          <w:sz w:val="26"/>
          <w:szCs w:val="26"/>
        </w:rPr>
      </w:pPr>
      <w:r w:rsidRPr="0026362D">
        <w:rPr>
          <w:rFonts w:eastAsia="Calibri"/>
          <w:color w:val="000000" w:themeColor="text1"/>
          <w:sz w:val="26"/>
          <w:szCs w:val="26"/>
        </w:rPr>
        <w:t xml:space="preserve">Adjudications by the Commission must be supported by substantial evidence in the record.  2 Pa. C.S. § 704; </w:t>
      </w:r>
      <w:r w:rsidRPr="0026362D">
        <w:rPr>
          <w:rFonts w:eastAsia="Calibri"/>
          <w:i/>
          <w:color w:val="000000" w:themeColor="text1"/>
          <w:sz w:val="26"/>
          <w:szCs w:val="26"/>
        </w:rPr>
        <w:t>Lansberry</w:t>
      </w:r>
      <w:r w:rsidRPr="0026362D">
        <w:rPr>
          <w:rFonts w:eastAsia="Calibri"/>
          <w:color w:val="000000" w:themeColor="text1"/>
          <w:sz w:val="26"/>
          <w:szCs w:val="26"/>
        </w:rPr>
        <w:t xml:space="preserve">, 578 A.2d at 602.  Substantial evidence is such relevant evidence that a reasonable mind might accept as adequate to support a conclusion.  </w:t>
      </w:r>
      <w:r w:rsidRPr="0026362D">
        <w:rPr>
          <w:rFonts w:eastAsia="Calibri"/>
          <w:i/>
          <w:color w:val="000000" w:themeColor="text1"/>
          <w:sz w:val="26"/>
          <w:szCs w:val="26"/>
        </w:rPr>
        <w:t>Consolidated Edison Company of New York v. National Labor Relations Board</w:t>
      </w:r>
      <w:r w:rsidRPr="0026362D">
        <w:rPr>
          <w:rFonts w:eastAsia="Calibri"/>
          <w:color w:val="000000" w:themeColor="text1"/>
          <w:sz w:val="26"/>
          <w:szCs w:val="26"/>
        </w:rPr>
        <w:t xml:space="preserve">, 305 U.S. 197, 229, 59 S.Ct. 206, 217.  More is required than a mere trace of evidence or a suspicion of the existence of a fact sought to be established.  </w:t>
      </w:r>
      <w:r w:rsidRPr="0026362D">
        <w:rPr>
          <w:rFonts w:eastAsia="Calibri"/>
          <w:i/>
          <w:color w:val="000000" w:themeColor="text1"/>
          <w:sz w:val="26"/>
          <w:szCs w:val="26"/>
        </w:rPr>
        <w:t xml:space="preserve">Norfolk &amp; Western Ry. Co. v. Pa. PUC, </w:t>
      </w:r>
      <w:r w:rsidRPr="0026362D">
        <w:rPr>
          <w:rFonts w:eastAsia="Calibri"/>
          <w:color w:val="000000" w:themeColor="text1"/>
          <w:sz w:val="26"/>
          <w:szCs w:val="26"/>
        </w:rPr>
        <w:t>489 Pa. 109, 413 A.2d 1037 (1980) (</w:t>
      </w:r>
      <w:r w:rsidRPr="0026362D">
        <w:rPr>
          <w:rFonts w:eastAsia="Calibri"/>
          <w:i/>
          <w:color w:val="000000" w:themeColor="text1"/>
          <w:sz w:val="26"/>
          <w:szCs w:val="26"/>
        </w:rPr>
        <w:t>Norfolk</w:t>
      </w:r>
      <w:r w:rsidRPr="0026362D">
        <w:rPr>
          <w:rFonts w:eastAsia="Calibri"/>
          <w:color w:val="000000" w:themeColor="text1"/>
          <w:sz w:val="26"/>
          <w:szCs w:val="26"/>
        </w:rPr>
        <w:t xml:space="preserve">); </w:t>
      </w:r>
      <w:r w:rsidRPr="0026362D">
        <w:rPr>
          <w:rFonts w:eastAsia="Calibri"/>
          <w:i/>
          <w:color w:val="000000" w:themeColor="text1"/>
          <w:sz w:val="26"/>
          <w:szCs w:val="26"/>
        </w:rPr>
        <w:t>Erie Resistor Corp. v. Unemployment Comp. Bd. of Review</w:t>
      </w:r>
      <w:r w:rsidRPr="0026362D">
        <w:rPr>
          <w:rFonts w:eastAsia="Calibri"/>
          <w:color w:val="000000" w:themeColor="text1"/>
          <w:sz w:val="26"/>
          <w:szCs w:val="26"/>
        </w:rPr>
        <w:t xml:space="preserve">, 166 A.2d 96 (Pa. Super. 1961); </w:t>
      </w:r>
      <w:r w:rsidRPr="0026362D">
        <w:rPr>
          <w:rFonts w:eastAsia="Calibri"/>
          <w:i/>
          <w:color w:val="000000" w:themeColor="text1"/>
          <w:sz w:val="26"/>
          <w:szCs w:val="26"/>
        </w:rPr>
        <w:t>Murphy v. Comm. Dept. of Public Welfare, White Haven Center</w:t>
      </w:r>
      <w:r w:rsidRPr="0026362D">
        <w:rPr>
          <w:rFonts w:eastAsia="Calibri"/>
          <w:color w:val="000000" w:themeColor="text1"/>
          <w:sz w:val="26"/>
          <w:szCs w:val="26"/>
        </w:rPr>
        <w:t>, 480 A.2d 382 (Pa. Cmwlth. 1984).</w:t>
      </w:r>
    </w:p>
    <w:p w14:paraId="32C1D8E6" w14:textId="77777777" w:rsidR="006B229F" w:rsidRPr="0026362D" w:rsidRDefault="006B229F" w:rsidP="00E42B6E">
      <w:pPr>
        <w:autoSpaceDE w:val="0"/>
        <w:autoSpaceDN w:val="0"/>
        <w:adjustRightInd w:val="0"/>
        <w:spacing w:line="360" w:lineRule="auto"/>
        <w:ind w:firstLine="720"/>
        <w:rPr>
          <w:color w:val="000000" w:themeColor="text1"/>
          <w:sz w:val="26"/>
          <w:szCs w:val="26"/>
        </w:rPr>
      </w:pPr>
    </w:p>
    <w:p w14:paraId="2151CDBB" w14:textId="17A614F4" w:rsidR="00CD645E" w:rsidRPr="0026362D" w:rsidRDefault="00146A69" w:rsidP="00461780">
      <w:pPr>
        <w:autoSpaceDE w:val="0"/>
        <w:autoSpaceDN w:val="0"/>
        <w:adjustRightInd w:val="0"/>
        <w:spacing w:line="360" w:lineRule="auto"/>
        <w:ind w:firstLine="720"/>
        <w:rPr>
          <w:color w:val="000000" w:themeColor="text1"/>
          <w:spacing w:val="-3"/>
          <w:kern w:val="1"/>
          <w:sz w:val="26"/>
          <w:szCs w:val="26"/>
        </w:rPr>
      </w:pPr>
      <w:r w:rsidRPr="0026362D">
        <w:rPr>
          <w:rFonts w:eastAsiaTheme="minorHAnsi"/>
          <w:color w:val="000000" w:themeColor="text1"/>
          <w:sz w:val="26"/>
          <w:szCs w:val="26"/>
          <w:lang w:val="en"/>
        </w:rPr>
        <w:t xml:space="preserve">The only reason Columbia gave for continuing its discriminatory practice was to “avoid legal repercussions and associated costs that could result from any possible breach of either or both of these contracts….”  Reply at 5.  </w:t>
      </w:r>
      <w:r w:rsidR="006B229F" w:rsidRPr="0026362D">
        <w:rPr>
          <w:rFonts w:eastAsiaTheme="minorHAnsi"/>
          <w:color w:val="000000" w:themeColor="text1"/>
          <w:sz w:val="26"/>
          <w:szCs w:val="26"/>
          <w:lang w:val="en"/>
        </w:rPr>
        <w:t xml:space="preserve">Columbia does not quantify any of the “legal repercussions” or associated costs that could occur nor show how those repercussions or costs would harm its ratepayers or even impact the ratepayers.  </w:t>
      </w:r>
      <w:r w:rsidRPr="0026362D">
        <w:rPr>
          <w:rFonts w:eastAsiaTheme="minorHAnsi"/>
          <w:color w:val="000000" w:themeColor="text1"/>
          <w:sz w:val="26"/>
          <w:szCs w:val="26"/>
          <w:lang w:val="en"/>
        </w:rPr>
        <w:t xml:space="preserve">We find </w:t>
      </w:r>
      <w:r w:rsidR="00A267A5" w:rsidRPr="0026362D">
        <w:rPr>
          <w:rFonts w:eastAsiaTheme="minorHAnsi"/>
          <w:color w:val="000000" w:themeColor="text1"/>
          <w:sz w:val="26"/>
          <w:szCs w:val="26"/>
          <w:lang w:val="en"/>
        </w:rPr>
        <w:t xml:space="preserve">the reasons given by Columbia </w:t>
      </w:r>
      <w:r w:rsidRPr="0026362D">
        <w:rPr>
          <w:rFonts w:eastAsiaTheme="minorHAnsi"/>
          <w:color w:val="000000" w:themeColor="text1"/>
          <w:sz w:val="26"/>
          <w:szCs w:val="26"/>
          <w:lang w:val="en"/>
        </w:rPr>
        <w:t>to be vag</w:t>
      </w:r>
      <w:r w:rsidR="00A267A5" w:rsidRPr="0026362D">
        <w:rPr>
          <w:rFonts w:eastAsiaTheme="minorHAnsi"/>
          <w:color w:val="000000" w:themeColor="text1"/>
          <w:sz w:val="26"/>
          <w:szCs w:val="26"/>
          <w:lang w:val="en"/>
        </w:rPr>
        <w:t>u</w:t>
      </w:r>
      <w:r w:rsidRPr="0026362D">
        <w:rPr>
          <w:rFonts w:eastAsiaTheme="minorHAnsi"/>
          <w:color w:val="000000" w:themeColor="text1"/>
          <w:sz w:val="26"/>
          <w:szCs w:val="26"/>
          <w:lang w:val="en"/>
        </w:rPr>
        <w:t xml:space="preserve">e, speculative and </w:t>
      </w:r>
      <w:r w:rsidR="006B229F" w:rsidRPr="0026362D">
        <w:rPr>
          <w:rFonts w:eastAsiaTheme="minorHAnsi"/>
          <w:color w:val="000000" w:themeColor="text1"/>
          <w:sz w:val="26"/>
          <w:szCs w:val="26"/>
          <w:lang w:val="en"/>
        </w:rPr>
        <w:t xml:space="preserve">amount to not more than a mere trace of evidence or a suspicion of a fact and, accordingly, </w:t>
      </w:r>
      <w:r w:rsidRPr="0026362D">
        <w:rPr>
          <w:rFonts w:eastAsiaTheme="minorHAnsi"/>
          <w:color w:val="000000" w:themeColor="text1"/>
          <w:sz w:val="26"/>
          <w:szCs w:val="26"/>
          <w:lang w:val="en"/>
        </w:rPr>
        <w:t>insufficient to meet its burden</w:t>
      </w:r>
      <w:r w:rsidR="00A267A5" w:rsidRPr="0026362D">
        <w:rPr>
          <w:rFonts w:eastAsiaTheme="minorHAnsi"/>
          <w:color w:val="000000" w:themeColor="text1"/>
          <w:sz w:val="26"/>
          <w:szCs w:val="26"/>
          <w:lang w:val="en"/>
        </w:rPr>
        <w:t xml:space="preserve"> to show that </w:t>
      </w:r>
      <w:r w:rsidR="006B229F" w:rsidRPr="0026362D">
        <w:rPr>
          <w:rFonts w:eastAsiaTheme="minorHAnsi"/>
          <w:color w:val="000000" w:themeColor="text1"/>
          <w:sz w:val="26"/>
          <w:szCs w:val="26"/>
          <w:lang w:val="en"/>
        </w:rPr>
        <w:t xml:space="preserve">continuing </w:t>
      </w:r>
      <w:r w:rsidR="00A267A5" w:rsidRPr="0026362D">
        <w:rPr>
          <w:rFonts w:eastAsiaTheme="minorHAnsi"/>
          <w:color w:val="000000" w:themeColor="text1"/>
          <w:sz w:val="26"/>
          <w:szCs w:val="26"/>
          <w:lang w:val="en"/>
        </w:rPr>
        <w:t xml:space="preserve">its </w:t>
      </w:r>
      <w:r w:rsidR="006B229F" w:rsidRPr="0026362D">
        <w:rPr>
          <w:rFonts w:eastAsiaTheme="minorHAnsi"/>
          <w:color w:val="000000" w:themeColor="text1"/>
          <w:sz w:val="26"/>
          <w:szCs w:val="26"/>
          <w:lang w:val="en"/>
        </w:rPr>
        <w:t xml:space="preserve">“on bill” billing </w:t>
      </w:r>
      <w:r w:rsidR="00A267A5" w:rsidRPr="0026362D">
        <w:rPr>
          <w:rFonts w:eastAsiaTheme="minorHAnsi"/>
          <w:color w:val="000000" w:themeColor="text1"/>
          <w:sz w:val="26"/>
          <w:szCs w:val="26"/>
          <w:lang w:val="en"/>
        </w:rPr>
        <w:t>practice is now just and reasonable</w:t>
      </w:r>
      <w:r w:rsidRPr="0026362D">
        <w:rPr>
          <w:rFonts w:eastAsiaTheme="minorHAnsi"/>
          <w:color w:val="000000" w:themeColor="text1"/>
          <w:sz w:val="26"/>
          <w:szCs w:val="26"/>
          <w:lang w:val="en"/>
        </w:rPr>
        <w:t xml:space="preserve">.  </w:t>
      </w:r>
      <w:r w:rsidR="006B229F" w:rsidRPr="0026362D">
        <w:rPr>
          <w:rFonts w:eastAsiaTheme="minorHAnsi"/>
          <w:color w:val="000000" w:themeColor="text1"/>
          <w:sz w:val="26"/>
          <w:szCs w:val="26"/>
          <w:lang w:val="en"/>
        </w:rPr>
        <w:t>Accordingly, we find that Columbia’s plan to continue its current “on bill” billing practice until January 2023 to be discriminatory, unreasonable and unjustified</w:t>
      </w:r>
      <w:r w:rsidR="00CD645E" w:rsidRPr="0026362D">
        <w:rPr>
          <w:rFonts w:eastAsiaTheme="minorHAnsi"/>
          <w:color w:val="000000" w:themeColor="text1"/>
          <w:sz w:val="26"/>
          <w:szCs w:val="26"/>
          <w:lang w:val="en"/>
        </w:rPr>
        <w:t xml:space="preserve">.  </w:t>
      </w:r>
      <w:r w:rsidR="00992354" w:rsidRPr="0026362D">
        <w:rPr>
          <w:color w:val="000000" w:themeColor="text1"/>
          <w:spacing w:val="-3"/>
          <w:kern w:val="1"/>
          <w:sz w:val="26"/>
          <w:szCs w:val="26"/>
        </w:rPr>
        <w:t xml:space="preserve">Since we find </w:t>
      </w:r>
      <w:r w:rsidR="006B229F" w:rsidRPr="0026362D">
        <w:rPr>
          <w:color w:val="000000" w:themeColor="text1"/>
          <w:spacing w:val="-3"/>
          <w:kern w:val="1"/>
          <w:sz w:val="26"/>
          <w:szCs w:val="26"/>
        </w:rPr>
        <w:t xml:space="preserve">that </w:t>
      </w:r>
      <w:r w:rsidR="00992354" w:rsidRPr="0026362D">
        <w:rPr>
          <w:color w:val="000000" w:themeColor="text1"/>
          <w:spacing w:val="-3"/>
          <w:kern w:val="1"/>
          <w:sz w:val="26"/>
          <w:szCs w:val="26"/>
        </w:rPr>
        <w:t xml:space="preserve">the “on bill” billing service, as currently implemented, to </w:t>
      </w:r>
      <w:r w:rsidR="002137AD" w:rsidRPr="0026362D">
        <w:rPr>
          <w:color w:val="000000" w:themeColor="text1"/>
          <w:spacing w:val="-3"/>
          <w:kern w:val="1"/>
          <w:sz w:val="26"/>
          <w:szCs w:val="26"/>
        </w:rPr>
        <w:t>b</w:t>
      </w:r>
      <w:r w:rsidR="00992354" w:rsidRPr="0026362D">
        <w:rPr>
          <w:color w:val="000000" w:themeColor="text1"/>
          <w:spacing w:val="-3"/>
          <w:kern w:val="1"/>
          <w:sz w:val="26"/>
          <w:szCs w:val="26"/>
        </w:rPr>
        <w:t xml:space="preserve">e </w:t>
      </w:r>
      <w:r w:rsidR="00CD645E" w:rsidRPr="0026362D">
        <w:rPr>
          <w:rFonts w:eastAsiaTheme="minorHAnsi"/>
          <w:color w:val="000000" w:themeColor="text1"/>
          <w:sz w:val="26"/>
          <w:szCs w:val="26"/>
          <w:lang w:val="en"/>
        </w:rPr>
        <w:t xml:space="preserve">discriminatory, </w:t>
      </w:r>
      <w:r w:rsidR="00CD645E" w:rsidRPr="0026362D">
        <w:rPr>
          <w:rFonts w:eastAsiaTheme="minorHAnsi"/>
          <w:color w:val="000000" w:themeColor="text1"/>
          <w:sz w:val="26"/>
          <w:szCs w:val="26"/>
          <w:lang w:val="en"/>
        </w:rPr>
        <w:lastRenderedPageBreak/>
        <w:t>unreasonable and unjustified</w:t>
      </w:r>
      <w:r w:rsidR="00992354" w:rsidRPr="0026362D">
        <w:rPr>
          <w:color w:val="000000" w:themeColor="text1"/>
          <w:spacing w:val="-3"/>
          <w:kern w:val="1"/>
          <w:sz w:val="26"/>
          <w:szCs w:val="26"/>
        </w:rPr>
        <w:t xml:space="preserve">, Columbia shall </w:t>
      </w:r>
      <w:r w:rsidR="00CD645E" w:rsidRPr="0026362D">
        <w:rPr>
          <w:color w:val="000000" w:themeColor="text1"/>
          <w:spacing w:val="-3"/>
          <w:kern w:val="1"/>
          <w:sz w:val="26"/>
          <w:szCs w:val="26"/>
        </w:rPr>
        <w:t>end this practice in accordance with this Order</w:t>
      </w:r>
      <w:r w:rsidR="00992354" w:rsidRPr="0026362D">
        <w:rPr>
          <w:color w:val="000000" w:themeColor="text1"/>
          <w:spacing w:val="-3"/>
          <w:kern w:val="1"/>
          <w:sz w:val="26"/>
          <w:szCs w:val="26"/>
        </w:rPr>
        <w:t xml:space="preserve">.  </w:t>
      </w:r>
    </w:p>
    <w:p w14:paraId="04D6D8FC" w14:textId="77777777" w:rsidR="00CD645E" w:rsidRPr="0026362D" w:rsidRDefault="00CD645E" w:rsidP="00EC1B9D">
      <w:pPr>
        <w:autoSpaceDE w:val="0"/>
        <w:autoSpaceDN w:val="0"/>
        <w:adjustRightInd w:val="0"/>
        <w:spacing w:line="360" w:lineRule="auto"/>
        <w:rPr>
          <w:color w:val="000000" w:themeColor="text1"/>
          <w:spacing w:val="-3"/>
          <w:kern w:val="1"/>
          <w:sz w:val="26"/>
          <w:szCs w:val="26"/>
        </w:rPr>
      </w:pPr>
    </w:p>
    <w:p w14:paraId="20238BEA" w14:textId="5B014C59" w:rsidR="00996C36" w:rsidRPr="0026362D" w:rsidRDefault="00CD645E" w:rsidP="0026362D">
      <w:pPr>
        <w:autoSpaceDE w:val="0"/>
        <w:autoSpaceDN w:val="0"/>
        <w:adjustRightInd w:val="0"/>
        <w:spacing w:line="360" w:lineRule="auto"/>
        <w:ind w:firstLine="720"/>
        <w:rPr>
          <w:color w:val="000000" w:themeColor="text1"/>
          <w:sz w:val="26"/>
          <w:szCs w:val="26"/>
        </w:rPr>
      </w:pPr>
      <w:r w:rsidRPr="0026362D">
        <w:rPr>
          <w:color w:val="000000" w:themeColor="text1"/>
          <w:spacing w:val="-3"/>
          <w:kern w:val="1"/>
          <w:sz w:val="26"/>
          <w:szCs w:val="26"/>
        </w:rPr>
        <w:t>We recognize that there may be some administrative functions that Columbia, CSP and Nicor must perform to notify customers of the change in billing for these services and to begin billing for the services through other means.  We also recognize that the CSP contract ends September 2019.  As such, i</w:t>
      </w:r>
      <w:r w:rsidR="00992354" w:rsidRPr="0026362D">
        <w:rPr>
          <w:color w:val="000000" w:themeColor="text1"/>
          <w:spacing w:val="-3"/>
          <w:kern w:val="1"/>
          <w:sz w:val="26"/>
          <w:szCs w:val="26"/>
        </w:rPr>
        <w:t>n order to minimize potential customer confusion regarding the removal of the information from the bills</w:t>
      </w:r>
      <w:r w:rsidRPr="0026362D">
        <w:rPr>
          <w:color w:val="000000" w:themeColor="text1"/>
          <w:spacing w:val="-3"/>
          <w:kern w:val="1"/>
          <w:sz w:val="26"/>
          <w:szCs w:val="26"/>
        </w:rPr>
        <w:t xml:space="preserve"> and where to remit subsequent payments</w:t>
      </w:r>
      <w:r w:rsidR="00992354" w:rsidRPr="0026362D">
        <w:rPr>
          <w:color w:val="000000" w:themeColor="text1"/>
          <w:spacing w:val="-3"/>
          <w:kern w:val="1"/>
          <w:sz w:val="26"/>
          <w:szCs w:val="26"/>
        </w:rPr>
        <w:t xml:space="preserve">, we </w:t>
      </w:r>
      <w:r w:rsidRPr="0026362D">
        <w:rPr>
          <w:color w:val="000000" w:themeColor="text1"/>
          <w:spacing w:val="-3"/>
          <w:kern w:val="1"/>
          <w:sz w:val="26"/>
          <w:szCs w:val="26"/>
        </w:rPr>
        <w:t xml:space="preserve">direct </w:t>
      </w:r>
      <w:r w:rsidR="00992354" w:rsidRPr="0026362D">
        <w:rPr>
          <w:color w:val="000000" w:themeColor="text1"/>
          <w:spacing w:val="-3"/>
          <w:kern w:val="1"/>
          <w:sz w:val="26"/>
          <w:szCs w:val="26"/>
        </w:rPr>
        <w:t xml:space="preserve">Columbia </w:t>
      </w:r>
      <w:r w:rsidRPr="0026362D">
        <w:rPr>
          <w:color w:val="000000" w:themeColor="text1"/>
          <w:spacing w:val="-3"/>
          <w:kern w:val="1"/>
          <w:sz w:val="26"/>
          <w:szCs w:val="26"/>
        </w:rPr>
        <w:t xml:space="preserve">to end its “on bill” billing practice for CSP and Nicor within </w:t>
      </w:r>
      <w:r w:rsidR="00992354" w:rsidRPr="0026362D">
        <w:rPr>
          <w:color w:val="000000" w:themeColor="text1"/>
          <w:spacing w:val="-3"/>
          <w:kern w:val="1"/>
          <w:sz w:val="26"/>
          <w:szCs w:val="26"/>
        </w:rPr>
        <w:t xml:space="preserve">two </w:t>
      </w:r>
      <w:r w:rsidR="002137AD" w:rsidRPr="0026362D">
        <w:rPr>
          <w:color w:val="000000" w:themeColor="text1"/>
          <w:spacing w:val="-3"/>
          <w:kern w:val="1"/>
          <w:sz w:val="26"/>
          <w:szCs w:val="26"/>
        </w:rPr>
        <w:t xml:space="preserve">customer </w:t>
      </w:r>
      <w:r w:rsidR="00992354" w:rsidRPr="0026362D">
        <w:rPr>
          <w:color w:val="000000" w:themeColor="text1"/>
          <w:spacing w:val="-3"/>
          <w:kern w:val="1"/>
          <w:sz w:val="26"/>
          <w:szCs w:val="26"/>
        </w:rPr>
        <w:t xml:space="preserve">bill cycles </w:t>
      </w:r>
      <w:r w:rsidRPr="0026362D">
        <w:rPr>
          <w:color w:val="000000" w:themeColor="text1"/>
          <w:spacing w:val="-3"/>
          <w:kern w:val="1"/>
          <w:sz w:val="26"/>
          <w:szCs w:val="26"/>
        </w:rPr>
        <w:t>or the end of the contracts, whichever comes first</w:t>
      </w:r>
      <w:r w:rsidR="00992354" w:rsidRPr="0026362D">
        <w:rPr>
          <w:color w:val="000000" w:themeColor="text1"/>
          <w:spacing w:val="-3"/>
          <w:kern w:val="1"/>
          <w:sz w:val="26"/>
          <w:szCs w:val="26"/>
        </w:rPr>
        <w:t>.</w:t>
      </w:r>
    </w:p>
    <w:p w14:paraId="71523650" w14:textId="79FA8EAC" w:rsidR="00996C36" w:rsidRPr="0026362D" w:rsidRDefault="00996C36" w:rsidP="00996C36">
      <w:pPr>
        <w:autoSpaceDE w:val="0"/>
        <w:autoSpaceDN w:val="0"/>
        <w:adjustRightInd w:val="0"/>
        <w:spacing w:line="360" w:lineRule="auto"/>
        <w:rPr>
          <w:color w:val="000000" w:themeColor="text1"/>
          <w:spacing w:val="-3"/>
          <w:kern w:val="1"/>
          <w:sz w:val="26"/>
          <w:szCs w:val="26"/>
        </w:rPr>
      </w:pPr>
    </w:p>
    <w:p w14:paraId="21CA4B0F" w14:textId="26B2A9C6" w:rsidR="00CD645E" w:rsidRPr="0026362D" w:rsidRDefault="00CD645E" w:rsidP="00996C36">
      <w:pPr>
        <w:autoSpaceDE w:val="0"/>
        <w:autoSpaceDN w:val="0"/>
        <w:adjustRightInd w:val="0"/>
        <w:spacing w:line="360" w:lineRule="auto"/>
        <w:rPr>
          <w:b/>
          <w:bCs/>
          <w:color w:val="000000" w:themeColor="text1"/>
          <w:spacing w:val="-3"/>
          <w:kern w:val="1"/>
          <w:sz w:val="26"/>
          <w:szCs w:val="26"/>
        </w:rPr>
      </w:pPr>
      <w:r w:rsidRPr="0026362D">
        <w:rPr>
          <w:b/>
          <w:bCs/>
          <w:color w:val="000000" w:themeColor="text1"/>
          <w:spacing w:val="-3"/>
          <w:kern w:val="1"/>
          <w:sz w:val="26"/>
          <w:szCs w:val="26"/>
        </w:rPr>
        <w:t>Conclusion</w:t>
      </w:r>
    </w:p>
    <w:p w14:paraId="4E781D18" w14:textId="18D7B0BB" w:rsidR="00F55D81" w:rsidRPr="0026362D" w:rsidRDefault="00F832D6" w:rsidP="0026362D">
      <w:pPr>
        <w:autoSpaceDE w:val="0"/>
        <w:autoSpaceDN w:val="0"/>
        <w:adjustRightInd w:val="0"/>
        <w:spacing w:line="360" w:lineRule="auto"/>
        <w:ind w:firstLine="720"/>
        <w:rPr>
          <w:b/>
          <w:color w:val="000000" w:themeColor="text1"/>
          <w:spacing w:val="-3"/>
          <w:kern w:val="1"/>
          <w:sz w:val="26"/>
          <w:szCs w:val="26"/>
        </w:rPr>
      </w:pPr>
      <w:r w:rsidRPr="0026362D">
        <w:rPr>
          <w:color w:val="000000" w:themeColor="text1"/>
          <w:sz w:val="26"/>
          <w:szCs w:val="26"/>
        </w:rPr>
        <w:t xml:space="preserve">Upon review of </w:t>
      </w:r>
      <w:r w:rsidR="00CD645E" w:rsidRPr="0026362D">
        <w:rPr>
          <w:color w:val="000000" w:themeColor="text1"/>
          <w:sz w:val="26"/>
          <w:szCs w:val="26"/>
        </w:rPr>
        <w:t>the</w:t>
      </w:r>
      <w:r w:rsidR="00B1257E" w:rsidRPr="0026362D">
        <w:rPr>
          <w:color w:val="000000" w:themeColor="text1"/>
          <w:sz w:val="26"/>
          <w:szCs w:val="26"/>
        </w:rPr>
        <w:t xml:space="preserve"> </w:t>
      </w:r>
      <w:r w:rsidR="0060526A" w:rsidRPr="0026362D">
        <w:rPr>
          <w:color w:val="000000" w:themeColor="text1"/>
          <w:sz w:val="26"/>
          <w:szCs w:val="26"/>
        </w:rPr>
        <w:t>C</w:t>
      </w:r>
      <w:r w:rsidR="00B1257E" w:rsidRPr="0026362D">
        <w:rPr>
          <w:color w:val="000000" w:themeColor="text1"/>
          <w:sz w:val="26"/>
          <w:szCs w:val="26"/>
        </w:rPr>
        <w:t xml:space="preserve">ompliance </w:t>
      </w:r>
      <w:r w:rsidR="0060526A" w:rsidRPr="0026362D">
        <w:rPr>
          <w:color w:val="000000" w:themeColor="text1"/>
          <w:sz w:val="26"/>
          <w:szCs w:val="26"/>
        </w:rPr>
        <w:t>R</w:t>
      </w:r>
      <w:r w:rsidR="00B1257E" w:rsidRPr="0026362D">
        <w:rPr>
          <w:color w:val="000000" w:themeColor="text1"/>
          <w:sz w:val="26"/>
          <w:szCs w:val="26"/>
        </w:rPr>
        <w:t>eport</w:t>
      </w:r>
      <w:r w:rsidR="00CD645E" w:rsidRPr="0026362D">
        <w:rPr>
          <w:color w:val="000000" w:themeColor="text1"/>
          <w:sz w:val="26"/>
          <w:szCs w:val="26"/>
        </w:rPr>
        <w:t xml:space="preserve"> submitted by Columbia</w:t>
      </w:r>
      <w:r w:rsidR="007619A7" w:rsidRPr="0026362D">
        <w:rPr>
          <w:color w:val="000000" w:themeColor="text1"/>
          <w:sz w:val="26"/>
          <w:szCs w:val="26"/>
        </w:rPr>
        <w:t>, the NGS Parties’ Exceptions and Columbia’s Reply Exceptions</w:t>
      </w:r>
      <w:r w:rsidR="00B1257E" w:rsidRPr="0026362D">
        <w:rPr>
          <w:color w:val="000000" w:themeColor="text1"/>
          <w:sz w:val="26"/>
          <w:szCs w:val="26"/>
        </w:rPr>
        <w:t>, we agree with the NGS Parties</w:t>
      </w:r>
      <w:r w:rsidR="00397482" w:rsidRPr="0026362D">
        <w:rPr>
          <w:color w:val="000000" w:themeColor="text1"/>
          <w:sz w:val="26"/>
          <w:szCs w:val="26"/>
        </w:rPr>
        <w:t xml:space="preserve"> </w:t>
      </w:r>
      <w:r w:rsidR="00961D85" w:rsidRPr="0026362D">
        <w:rPr>
          <w:color w:val="000000" w:themeColor="text1"/>
          <w:sz w:val="26"/>
          <w:szCs w:val="26"/>
        </w:rPr>
        <w:t xml:space="preserve">that </w:t>
      </w:r>
      <w:r w:rsidR="007619A7" w:rsidRPr="0026362D">
        <w:rPr>
          <w:color w:val="000000" w:themeColor="text1"/>
          <w:sz w:val="26"/>
          <w:szCs w:val="26"/>
        </w:rPr>
        <w:t xml:space="preserve">the plan presented in </w:t>
      </w:r>
      <w:r w:rsidR="00961D85" w:rsidRPr="0026362D">
        <w:rPr>
          <w:color w:val="000000" w:themeColor="text1"/>
          <w:sz w:val="26"/>
          <w:szCs w:val="26"/>
        </w:rPr>
        <w:t xml:space="preserve">Columbia’s Compliance </w:t>
      </w:r>
      <w:r w:rsidR="007619A7" w:rsidRPr="0026362D">
        <w:rPr>
          <w:color w:val="000000" w:themeColor="text1"/>
          <w:sz w:val="26"/>
          <w:szCs w:val="26"/>
        </w:rPr>
        <w:t xml:space="preserve">Report </w:t>
      </w:r>
      <w:r w:rsidR="00961D85" w:rsidRPr="0026362D">
        <w:rPr>
          <w:color w:val="000000" w:themeColor="text1"/>
          <w:sz w:val="26"/>
          <w:szCs w:val="26"/>
        </w:rPr>
        <w:t xml:space="preserve">does </w:t>
      </w:r>
      <w:r w:rsidR="004202A9" w:rsidRPr="0026362D">
        <w:rPr>
          <w:color w:val="000000" w:themeColor="text1"/>
          <w:sz w:val="26"/>
          <w:szCs w:val="26"/>
        </w:rPr>
        <w:t xml:space="preserve">not </w:t>
      </w:r>
      <w:r w:rsidR="0013588A" w:rsidRPr="0026362D">
        <w:rPr>
          <w:color w:val="000000" w:themeColor="text1"/>
          <w:sz w:val="26"/>
          <w:szCs w:val="26"/>
        </w:rPr>
        <w:t xml:space="preserve">bring </w:t>
      </w:r>
      <w:r w:rsidR="007619A7" w:rsidRPr="0026362D">
        <w:rPr>
          <w:color w:val="000000" w:themeColor="text1"/>
          <w:sz w:val="26"/>
          <w:szCs w:val="26"/>
        </w:rPr>
        <w:t>Columbia’s “on bill” billing practice</w:t>
      </w:r>
      <w:r w:rsidR="0013588A" w:rsidRPr="0026362D">
        <w:rPr>
          <w:color w:val="000000" w:themeColor="text1"/>
          <w:sz w:val="26"/>
          <w:szCs w:val="26"/>
        </w:rPr>
        <w:t xml:space="preserve"> into compliance with </w:t>
      </w:r>
      <w:r w:rsidR="007619A7" w:rsidRPr="0026362D">
        <w:rPr>
          <w:color w:val="000000" w:themeColor="text1"/>
          <w:sz w:val="26"/>
          <w:szCs w:val="26"/>
        </w:rPr>
        <w:t xml:space="preserve">the Commission’s December 6 Order or </w:t>
      </w:r>
      <w:r w:rsidR="0013588A" w:rsidRPr="0026362D">
        <w:rPr>
          <w:color w:val="000000" w:themeColor="text1"/>
          <w:sz w:val="26"/>
          <w:szCs w:val="26"/>
        </w:rPr>
        <w:t>Sections</w:t>
      </w:r>
      <w:r w:rsidR="00C940A9">
        <w:rPr>
          <w:color w:val="000000" w:themeColor="text1"/>
          <w:sz w:val="26"/>
          <w:szCs w:val="26"/>
        </w:rPr>
        <w:t> </w:t>
      </w:r>
      <w:r w:rsidR="0013588A" w:rsidRPr="0026362D">
        <w:rPr>
          <w:color w:val="000000" w:themeColor="text1"/>
          <w:sz w:val="26"/>
          <w:szCs w:val="26"/>
        </w:rPr>
        <w:t>1502 and</w:t>
      </w:r>
      <w:r w:rsidR="0013588A" w:rsidRPr="0026362D">
        <w:rPr>
          <w:color w:val="000000" w:themeColor="text1"/>
          <w:spacing w:val="-3"/>
          <w:kern w:val="1"/>
          <w:sz w:val="26"/>
          <w:szCs w:val="26"/>
        </w:rPr>
        <w:t xml:space="preserve"> 2203(4) of the Public Utility Code</w:t>
      </w:r>
      <w:r w:rsidR="0013588A" w:rsidRPr="0026362D">
        <w:rPr>
          <w:color w:val="000000" w:themeColor="text1"/>
          <w:sz w:val="26"/>
          <w:szCs w:val="26"/>
        </w:rPr>
        <w:t xml:space="preserve"> in a timely manner</w:t>
      </w:r>
      <w:r w:rsidR="00B1257E" w:rsidRPr="0026362D">
        <w:rPr>
          <w:color w:val="000000" w:themeColor="text1"/>
          <w:sz w:val="26"/>
          <w:szCs w:val="26"/>
        </w:rPr>
        <w:t>.</w:t>
      </w:r>
      <w:r w:rsidR="00E5630C" w:rsidRPr="0026362D">
        <w:rPr>
          <w:color w:val="000000" w:themeColor="text1"/>
          <w:sz w:val="26"/>
          <w:szCs w:val="26"/>
        </w:rPr>
        <w:t xml:space="preserve">  </w:t>
      </w:r>
      <w:r w:rsidR="00397482" w:rsidRPr="0026362D">
        <w:rPr>
          <w:color w:val="000000" w:themeColor="text1"/>
          <w:sz w:val="26"/>
          <w:szCs w:val="26"/>
        </w:rPr>
        <w:t xml:space="preserve">Accordingly, we </w:t>
      </w:r>
      <w:r w:rsidR="0013588A" w:rsidRPr="0026362D">
        <w:rPr>
          <w:color w:val="000000" w:themeColor="text1"/>
          <w:sz w:val="26"/>
          <w:szCs w:val="26"/>
        </w:rPr>
        <w:t xml:space="preserve">reject </w:t>
      </w:r>
      <w:r w:rsidR="00397482" w:rsidRPr="0026362D">
        <w:rPr>
          <w:color w:val="000000" w:themeColor="text1"/>
          <w:sz w:val="26"/>
          <w:szCs w:val="26"/>
        </w:rPr>
        <w:t xml:space="preserve">Columbia’s </w:t>
      </w:r>
      <w:r w:rsidR="007619A7" w:rsidRPr="0026362D">
        <w:rPr>
          <w:color w:val="000000" w:themeColor="text1"/>
          <w:sz w:val="26"/>
          <w:szCs w:val="26"/>
        </w:rPr>
        <w:t>proposal</w:t>
      </w:r>
      <w:r w:rsidR="0013588A" w:rsidRPr="0026362D">
        <w:rPr>
          <w:color w:val="000000" w:themeColor="text1"/>
          <w:sz w:val="26"/>
          <w:szCs w:val="26"/>
        </w:rPr>
        <w:t xml:space="preserve"> to allow the existing two contracts with CSP and Nicor to continue until their contract completion dates</w:t>
      </w:r>
      <w:r w:rsidR="007619A7" w:rsidRPr="0026362D">
        <w:rPr>
          <w:color w:val="000000" w:themeColor="text1"/>
          <w:sz w:val="26"/>
          <w:szCs w:val="26"/>
        </w:rPr>
        <w:t xml:space="preserve">.  We further direct Columbia to </w:t>
      </w:r>
      <w:r w:rsidR="007619A7" w:rsidRPr="0026362D">
        <w:rPr>
          <w:color w:val="000000" w:themeColor="text1"/>
          <w:spacing w:val="-3"/>
          <w:kern w:val="1"/>
          <w:sz w:val="26"/>
          <w:szCs w:val="26"/>
        </w:rPr>
        <w:t>end its “on bill” billing practice for CSP and Nicor within two customer bill cycles or the end of the contracts, whichever comes first</w:t>
      </w:r>
      <w:r w:rsidR="00484EA3" w:rsidRPr="0026362D">
        <w:rPr>
          <w:color w:val="000000" w:themeColor="text1"/>
          <w:sz w:val="26"/>
          <w:szCs w:val="26"/>
        </w:rPr>
        <w:t xml:space="preserve">; </w:t>
      </w:r>
      <w:r w:rsidR="00484EA3" w:rsidRPr="00380A13">
        <w:rPr>
          <w:b/>
          <w:bCs/>
          <w:color w:val="000000" w:themeColor="text1"/>
          <w:sz w:val="26"/>
          <w:szCs w:val="26"/>
        </w:rPr>
        <w:t>THEREFORE</w:t>
      </w:r>
      <w:r w:rsidR="00C209A2" w:rsidRPr="0026362D">
        <w:rPr>
          <w:b/>
          <w:color w:val="000000" w:themeColor="text1"/>
          <w:spacing w:val="-3"/>
          <w:kern w:val="1"/>
          <w:sz w:val="26"/>
          <w:szCs w:val="26"/>
        </w:rPr>
        <w:t>,</w:t>
      </w:r>
    </w:p>
    <w:p w14:paraId="2261C669" w14:textId="77777777" w:rsidR="00224270" w:rsidRPr="0026362D" w:rsidRDefault="00224270" w:rsidP="00F55D81">
      <w:pPr>
        <w:keepNext/>
        <w:keepLines/>
        <w:tabs>
          <w:tab w:val="left" w:pos="0"/>
        </w:tabs>
        <w:suppressAutoHyphens/>
        <w:spacing w:line="360" w:lineRule="auto"/>
        <w:ind w:firstLine="1440"/>
        <w:jc w:val="both"/>
        <w:rPr>
          <w:b/>
          <w:color w:val="000000" w:themeColor="text1"/>
          <w:spacing w:val="-3"/>
          <w:kern w:val="1"/>
          <w:sz w:val="26"/>
          <w:szCs w:val="26"/>
        </w:rPr>
      </w:pPr>
    </w:p>
    <w:p w14:paraId="779583A7" w14:textId="1B6F92DC" w:rsidR="00F55D81" w:rsidRPr="0026362D" w:rsidRDefault="00F55D81" w:rsidP="00224270">
      <w:pPr>
        <w:keepNext/>
        <w:keepLines/>
        <w:tabs>
          <w:tab w:val="left" w:pos="0"/>
        </w:tabs>
        <w:suppressAutoHyphens/>
        <w:spacing w:line="360" w:lineRule="auto"/>
        <w:ind w:firstLine="720"/>
        <w:jc w:val="both"/>
        <w:rPr>
          <w:b/>
          <w:color w:val="000000" w:themeColor="text1"/>
          <w:spacing w:val="-3"/>
          <w:kern w:val="1"/>
          <w:sz w:val="26"/>
          <w:szCs w:val="26"/>
        </w:rPr>
      </w:pPr>
      <w:r w:rsidRPr="0026362D">
        <w:rPr>
          <w:b/>
          <w:color w:val="000000" w:themeColor="text1"/>
          <w:spacing w:val="-3"/>
          <w:kern w:val="1"/>
          <w:sz w:val="26"/>
          <w:szCs w:val="26"/>
        </w:rPr>
        <w:t>IT IS ORDERED:</w:t>
      </w:r>
    </w:p>
    <w:p w14:paraId="3DE8A24B" w14:textId="77777777" w:rsidR="00F55D81" w:rsidRPr="0026362D" w:rsidRDefault="00F55D81" w:rsidP="00F55D81">
      <w:pPr>
        <w:tabs>
          <w:tab w:val="left" w:pos="0"/>
        </w:tabs>
        <w:suppressAutoHyphens/>
        <w:spacing w:line="360" w:lineRule="auto"/>
        <w:jc w:val="both"/>
        <w:rPr>
          <w:color w:val="000000" w:themeColor="text1"/>
          <w:spacing w:val="-3"/>
          <w:kern w:val="1"/>
          <w:sz w:val="26"/>
          <w:szCs w:val="26"/>
        </w:rPr>
      </w:pPr>
    </w:p>
    <w:p w14:paraId="20A6DE35" w14:textId="16C3EDAD" w:rsidR="00F55D81" w:rsidRPr="0026362D" w:rsidRDefault="00F55D81" w:rsidP="006860B0">
      <w:pPr>
        <w:numPr>
          <w:ilvl w:val="0"/>
          <w:numId w:val="6"/>
        </w:numPr>
        <w:tabs>
          <w:tab w:val="left" w:pos="1080"/>
        </w:tabs>
        <w:suppressAutoHyphens/>
        <w:spacing w:line="360" w:lineRule="auto"/>
        <w:ind w:left="0" w:firstLine="720"/>
        <w:rPr>
          <w:color w:val="000000" w:themeColor="text1"/>
          <w:spacing w:val="-3"/>
          <w:kern w:val="1"/>
          <w:sz w:val="26"/>
          <w:szCs w:val="26"/>
        </w:rPr>
      </w:pPr>
      <w:r w:rsidRPr="0026362D">
        <w:rPr>
          <w:color w:val="000000" w:themeColor="text1"/>
          <w:spacing w:val="-3"/>
          <w:kern w:val="1"/>
          <w:sz w:val="26"/>
          <w:szCs w:val="26"/>
        </w:rPr>
        <w:t xml:space="preserve">That the </w:t>
      </w:r>
      <w:r w:rsidR="00623099" w:rsidRPr="0026362D">
        <w:rPr>
          <w:color w:val="000000" w:themeColor="text1"/>
          <w:spacing w:val="-3"/>
          <w:kern w:val="1"/>
          <w:sz w:val="26"/>
          <w:szCs w:val="26"/>
        </w:rPr>
        <w:t xml:space="preserve">Compliance Report of Columbia Gas of Pennsylvania, Inc. is hereby </w:t>
      </w:r>
      <w:r w:rsidR="0013588A" w:rsidRPr="0026362D">
        <w:rPr>
          <w:color w:val="000000" w:themeColor="text1"/>
          <w:spacing w:val="-3"/>
          <w:kern w:val="1"/>
          <w:sz w:val="26"/>
          <w:szCs w:val="26"/>
        </w:rPr>
        <w:t>rejected</w:t>
      </w:r>
      <w:r w:rsidR="00415FAF" w:rsidRPr="0026362D">
        <w:rPr>
          <w:color w:val="000000" w:themeColor="text1"/>
          <w:spacing w:val="-3"/>
          <w:kern w:val="1"/>
          <w:sz w:val="26"/>
          <w:szCs w:val="26"/>
        </w:rPr>
        <w:t xml:space="preserve"> consistent with this Order.  </w:t>
      </w:r>
    </w:p>
    <w:p w14:paraId="56525FED" w14:textId="3C2C9C69" w:rsidR="00DE2AC3" w:rsidRDefault="00DE2AC3">
      <w:pPr>
        <w:rPr>
          <w:color w:val="000000" w:themeColor="text1"/>
          <w:spacing w:val="-3"/>
          <w:kern w:val="1"/>
          <w:sz w:val="26"/>
          <w:szCs w:val="26"/>
        </w:rPr>
      </w:pPr>
      <w:r>
        <w:rPr>
          <w:color w:val="000000" w:themeColor="text1"/>
          <w:spacing w:val="-3"/>
          <w:kern w:val="1"/>
          <w:sz w:val="26"/>
          <w:szCs w:val="26"/>
        </w:rPr>
        <w:br w:type="page"/>
      </w:r>
    </w:p>
    <w:p w14:paraId="2205D11D" w14:textId="1F84761F" w:rsidR="00D96EC5" w:rsidRPr="0026362D" w:rsidRDefault="00623099" w:rsidP="00D96EC5">
      <w:pPr>
        <w:numPr>
          <w:ilvl w:val="0"/>
          <w:numId w:val="6"/>
        </w:numPr>
        <w:tabs>
          <w:tab w:val="left" w:pos="1080"/>
        </w:tabs>
        <w:suppressAutoHyphens/>
        <w:spacing w:line="360" w:lineRule="auto"/>
        <w:ind w:left="0" w:firstLine="720"/>
        <w:rPr>
          <w:color w:val="000000" w:themeColor="text1"/>
          <w:spacing w:val="-3"/>
          <w:kern w:val="1"/>
          <w:sz w:val="26"/>
          <w:szCs w:val="26"/>
        </w:rPr>
      </w:pPr>
      <w:r w:rsidRPr="00435B9C">
        <w:rPr>
          <w:color w:val="auto"/>
          <w:spacing w:val="-3"/>
          <w:kern w:val="1"/>
          <w:sz w:val="26"/>
          <w:szCs w:val="26"/>
        </w:rPr>
        <w:lastRenderedPageBreak/>
        <w:t>That</w:t>
      </w:r>
      <w:r w:rsidR="0013588A" w:rsidRPr="00435B9C">
        <w:rPr>
          <w:color w:val="auto"/>
          <w:spacing w:val="-3"/>
          <w:kern w:val="1"/>
          <w:sz w:val="26"/>
          <w:szCs w:val="26"/>
        </w:rPr>
        <w:t xml:space="preserve"> </w:t>
      </w:r>
      <w:r w:rsidRPr="00435B9C">
        <w:rPr>
          <w:color w:val="auto"/>
          <w:spacing w:val="-3"/>
          <w:kern w:val="1"/>
          <w:sz w:val="26"/>
          <w:szCs w:val="26"/>
        </w:rPr>
        <w:t>Columbia Gas of Pennsylvania, Inc.</w:t>
      </w:r>
      <w:r w:rsidR="00435B9C" w:rsidRPr="00435B9C">
        <w:rPr>
          <w:color w:val="auto"/>
          <w:spacing w:val="-3"/>
          <w:kern w:val="1"/>
          <w:sz w:val="26"/>
          <w:szCs w:val="26"/>
        </w:rPr>
        <w:t>’s</w:t>
      </w:r>
      <w:r w:rsidRPr="00435B9C">
        <w:rPr>
          <w:color w:val="auto"/>
          <w:spacing w:val="-3"/>
          <w:kern w:val="1"/>
          <w:sz w:val="26"/>
          <w:szCs w:val="26"/>
        </w:rPr>
        <w:t xml:space="preserve"> </w:t>
      </w:r>
      <w:r w:rsidR="00435B9C" w:rsidRPr="00435B9C">
        <w:rPr>
          <w:color w:val="auto"/>
          <w:sz w:val="26"/>
          <w:szCs w:val="26"/>
        </w:rPr>
        <w:t>billing practices shall comply with Sections 1502 and 2203(4) of the Public Utility Code, 66 Pa. C.S. §§ 1502, 2203(4), as specified in this Order,</w:t>
      </w:r>
      <w:r w:rsidR="007619A7" w:rsidRPr="00435B9C">
        <w:rPr>
          <w:color w:val="auto"/>
          <w:spacing w:val="-3"/>
          <w:kern w:val="1"/>
          <w:sz w:val="26"/>
          <w:szCs w:val="26"/>
        </w:rPr>
        <w:t xml:space="preserve"> within two customer bill cycles or the end of the contracts with Columbia Service Partners</w:t>
      </w:r>
      <w:r w:rsidR="007619A7" w:rsidRPr="0026362D">
        <w:rPr>
          <w:color w:val="000000" w:themeColor="text1"/>
          <w:spacing w:val="-3"/>
          <w:kern w:val="1"/>
          <w:sz w:val="26"/>
          <w:szCs w:val="26"/>
        </w:rPr>
        <w:t>, Inc. and Nicor Energy Services Company, whichever comes first</w:t>
      </w:r>
      <w:r w:rsidRPr="0026362D">
        <w:rPr>
          <w:color w:val="000000" w:themeColor="text1"/>
          <w:spacing w:val="-3"/>
          <w:kern w:val="1"/>
          <w:sz w:val="26"/>
          <w:szCs w:val="26"/>
        </w:rPr>
        <w:t xml:space="preserve">. </w:t>
      </w:r>
    </w:p>
    <w:p w14:paraId="094F63D0" w14:textId="77777777" w:rsidR="00D96EC5" w:rsidRPr="0026362D" w:rsidRDefault="00D96EC5" w:rsidP="00D96EC5">
      <w:pPr>
        <w:pStyle w:val="ListParagraph"/>
        <w:rPr>
          <w:color w:val="000000" w:themeColor="text1"/>
          <w:spacing w:val="-3"/>
          <w:kern w:val="1"/>
          <w:sz w:val="26"/>
          <w:szCs w:val="26"/>
        </w:rPr>
      </w:pPr>
    </w:p>
    <w:p w14:paraId="3DC6A908" w14:textId="31DB16B8" w:rsidR="00D96EC5" w:rsidRPr="0026362D" w:rsidRDefault="00D96EC5" w:rsidP="00D96EC5">
      <w:pPr>
        <w:numPr>
          <w:ilvl w:val="0"/>
          <w:numId w:val="6"/>
        </w:numPr>
        <w:tabs>
          <w:tab w:val="left" w:pos="1080"/>
        </w:tabs>
        <w:suppressAutoHyphens/>
        <w:spacing w:line="360" w:lineRule="auto"/>
        <w:ind w:left="0" w:firstLine="720"/>
        <w:rPr>
          <w:color w:val="000000" w:themeColor="text1"/>
          <w:spacing w:val="-3"/>
          <w:kern w:val="1"/>
          <w:sz w:val="26"/>
          <w:szCs w:val="26"/>
        </w:rPr>
      </w:pPr>
      <w:r w:rsidRPr="0026362D">
        <w:rPr>
          <w:color w:val="000000" w:themeColor="text1"/>
          <w:sz w:val="26"/>
          <w:szCs w:val="26"/>
        </w:rPr>
        <w:t>That a copy of this Order shall be served upon the Office of Small Business Advocate, Office of Consumer Advocate, the Commission’s Bureau of Investigation and Enforcement</w:t>
      </w:r>
      <w:r w:rsidR="00E5630C" w:rsidRPr="0026362D">
        <w:rPr>
          <w:color w:val="000000" w:themeColor="text1"/>
          <w:sz w:val="26"/>
          <w:szCs w:val="26"/>
        </w:rPr>
        <w:t xml:space="preserve">, </w:t>
      </w:r>
      <w:r w:rsidR="008B676F" w:rsidRPr="0026362D">
        <w:rPr>
          <w:color w:val="000000" w:themeColor="text1"/>
          <w:sz w:val="26"/>
          <w:szCs w:val="26"/>
        </w:rPr>
        <w:t xml:space="preserve">the Natural Gas Supplier Parties, </w:t>
      </w:r>
      <w:r w:rsidR="007619A7" w:rsidRPr="0026362D">
        <w:rPr>
          <w:color w:val="000000" w:themeColor="text1"/>
          <w:sz w:val="26"/>
          <w:szCs w:val="26"/>
        </w:rPr>
        <w:t>all parties to the proceeding at Docket No.</w:t>
      </w:r>
      <w:r w:rsidR="001C5B44">
        <w:rPr>
          <w:color w:val="000000" w:themeColor="text1"/>
          <w:sz w:val="26"/>
          <w:szCs w:val="26"/>
        </w:rPr>
        <w:t> </w:t>
      </w:r>
      <w:r w:rsidR="007619A7" w:rsidRPr="0026362D">
        <w:rPr>
          <w:color w:val="000000" w:themeColor="text1"/>
          <w:sz w:val="26"/>
          <w:szCs w:val="26"/>
        </w:rPr>
        <w:t>R</w:t>
      </w:r>
      <w:r w:rsidR="007619A7" w:rsidRPr="0026362D">
        <w:rPr>
          <w:color w:val="000000" w:themeColor="text1"/>
          <w:sz w:val="26"/>
          <w:szCs w:val="26"/>
        </w:rPr>
        <w:noBreakHyphen/>
        <w:t>2018</w:t>
      </w:r>
      <w:r w:rsidR="007619A7" w:rsidRPr="0026362D">
        <w:rPr>
          <w:color w:val="000000" w:themeColor="text1"/>
          <w:sz w:val="26"/>
          <w:szCs w:val="26"/>
        </w:rPr>
        <w:noBreakHyphen/>
        <w:t xml:space="preserve">2647577, </w:t>
      </w:r>
      <w:r w:rsidR="00E5630C" w:rsidRPr="0026362D">
        <w:rPr>
          <w:color w:val="000000" w:themeColor="text1"/>
          <w:sz w:val="26"/>
          <w:szCs w:val="26"/>
        </w:rPr>
        <w:t>Columbia Service Partners</w:t>
      </w:r>
      <w:r w:rsidR="007619A7" w:rsidRPr="0026362D">
        <w:rPr>
          <w:color w:val="000000" w:themeColor="text1"/>
          <w:sz w:val="26"/>
          <w:szCs w:val="26"/>
        </w:rPr>
        <w:t>, Inc.</w:t>
      </w:r>
      <w:r w:rsidR="00E5630C" w:rsidRPr="0026362D">
        <w:rPr>
          <w:color w:val="000000" w:themeColor="text1"/>
          <w:sz w:val="26"/>
          <w:szCs w:val="26"/>
        </w:rPr>
        <w:t xml:space="preserve"> and Nicor Energy Services Company</w:t>
      </w:r>
      <w:r w:rsidRPr="0026362D">
        <w:rPr>
          <w:color w:val="000000" w:themeColor="text1"/>
          <w:sz w:val="26"/>
          <w:szCs w:val="26"/>
        </w:rPr>
        <w:t>.</w:t>
      </w:r>
    </w:p>
    <w:p w14:paraId="7A53E66D" w14:textId="77777777" w:rsidR="00A10591" w:rsidRPr="0026362D" w:rsidRDefault="00A10591" w:rsidP="00484EA3">
      <w:pPr>
        <w:pStyle w:val="ListParagraph"/>
        <w:rPr>
          <w:color w:val="000000" w:themeColor="text1"/>
          <w:spacing w:val="-3"/>
          <w:kern w:val="1"/>
          <w:sz w:val="26"/>
          <w:szCs w:val="26"/>
        </w:rPr>
      </w:pPr>
    </w:p>
    <w:p w14:paraId="78FED8B2" w14:textId="4D3F1796" w:rsidR="00F55D81" w:rsidRDefault="00F55D81" w:rsidP="00461780">
      <w:pPr>
        <w:pStyle w:val="ListParagraph"/>
        <w:numPr>
          <w:ilvl w:val="0"/>
          <w:numId w:val="6"/>
        </w:numPr>
        <w:tabs>
          <w:tab w:val="left" w:pos="1080"/>
        </w:tabs>
        <w:suppressAutoHyphens/>
        <w:spacing w:line="360" w:lineRule="auto"/>
        <w:ind w:left="0" w:firstLine="720"/>
        <w:rPr>
          <w:color w:val="000000" w:themeColor="text1"/>
          <w:spacing w:val="-3"/>
          <w:sz w:val="26"/>
          <w:szCs w:val="26"/>
        </w:rPr>
      </w:pPr>
      <w:r w:rsidRPr="00380A13">
        <w:rPr>
          <w:color w:val="000000" w:themeColor="text1"/>
          <w:spacing w:val="-3"/>
          <w:sz w:val="26"/>
          <w:szCs w:val="26"/>
        </w:rPr>
        <w:t xml:space="preserve">That </w:t>
      </w:r>
      <w:r w:rsidR="006D5DCD">
        <w:rPr>
          <w:color w:val="000000" w:themeColor="text1"/>
          <w:spacing w:val="-3"/>
          <w:sz w:val="26"/>
          <w:szCs w:val="26"/>
        </w:rPr>
        <w:t xml:space="preserve">Columbia Gas of Pennsylvania, Inc. shall file notification with the Commission </w:t>
      </w:r>
      <w:r w:rsidR="00435B9C">
        <w:rPr>
          <w:color w:val="000000" w:themeColor="text1"/>
          <w:spacing w:val="-3"/>
          <w:sz w:val="26"/>
          <w:szCs w:val="26"/>
        </w:rPr>
        <w:t>no later than 10 days following</w:t>
      </w:r>
      <w:r w:rsidR="00A10591" w:rsidRPr="00380A13">
        <w:rPr>
          <w:color w:val="000000" w:themeColor="text1"/>
          <w:spacing w:val="-3"/>
          <w:sz w:val="26"/>
          <w:szCs w:val="26"/>
        </w:rPr>
        <w:t xml:space="preserve"> completion of Ordering Paragraph </w:t>
      </w:r>
      <w:r w:rsidR="000A67AF" w:rsidRPr="00380A13">
        <w:rPr>
          <w:color w:val="000000" w:themeColor="text1"/>
          <w:spacing w:val="-3"/>
          <w:sz w:val="26"/>
          <w:szCs w:val="26"/>
        </w:rPr>
        <w:t>2</w:t>
      </w:r>
      <w:r w:rsidR="00435B9C">
        <w:rPr>
          <w:color w:val="000000" w:themeColor="text1"/>
          <w:spacing w:val="-3"/>
          <w:sz w:val="26"/>
          <w:szCs w:val="26"/>
        </w:rPr>
        <w:t xml:space="preserve">, or no later than November 30, 2019, whichever comes first, </w:t>
      </w:r>
      <w:r w:rsidR="006D5DCD">
        <w:rPr>
          <w:color w:val="000000" w:themeColor="text1"/>
          <w:spacing w:val="-3"/>
          <w:sz w:val="26"/>
          <w:szCs w:val="26"/>
        </w:rPr>
        <w:t>and thereupon</w:t>
      </w:r>
      <w:r w:rsidR="00A10591" w:rsidRPr="00380A13">
        <w:rPr>
          <w:color w:val="000000" w:themeColor="text1"/>
          <w:spacing w:val="-3"/>
          <w:sz w:val="26"/>
          <w:szCs w:val="26"/>
        </w:rPr>
        <w:t xml:space="preserve">, </w:t>
      </w:r>
      <w:r w:rsidRPr="00380A13">
        <w:rPr>
          <w:color w:val="000000" w:themeColor="text1"/>
          <w:spacing w:val="-3"/>
          <w:sz w:val="26"/>
          <w:szCs w:val="26"/>
        </w:rPr>
        <w:t xml:space="preserve">this proceeding, at Docket No. </w:t>
      </w:r>
      <w:r w:rsidR="00B3164E" w:rsidRPr="00380A13">
        <w:rPr>
          <w:color w:val="000000" w:themeColor="text1"/>
          <w:sz w:val="26"/>
          <w:szCs w:val="26"/>
        </w:rPr>
        <w:t>R</w:t>
      </w:r>
      <w:r w:rsidR="007619A7" w:rsidRPr="00380A13">
        <w:rPr>
          <w:color w:val="000000" w:themeColor="text1"/>
          <w:sz w:val="26"/>
          <w:szCs w:val="26"/>
        </w:rPr>
        <w:noBreakHyphen/>
      </w:r>
      <w:r w:rsidR="00623099" w:rsidRPr="00380A13">
        <w:rPr>
          <w:color w:val="000000" w:themeColor="text1"/>
          <w:sz w:val="26"/>
          <w:szCs w:val="26"/>
        </w:rPr>
        <w:t>2018-2647577</w:t>
      </w:r>
      <w:r w:rsidR="00415FAF" w:rsidRPr="00380A13">
        <w:rPr>
          <w:color w:val="000000" w:themeColor="text1"/>
          <w:spacing w:val="-3"/>
          <w:sz w:val="26"/>
          <w:szCs w:val="26"/>
        </w:rPr>
        <w:t>,</w:t>
      </w:r>
      <w:r w:rsidRPr="00380A13">
        <w:rPr>
          <w:color w:val="000000" w:themeColor="text1"/>
          <w:spacing w:val="-3"/>
          <w:sz w:val="26"/>
          <w:szCs w:val="26"/>
        </w:rPr>
        <w:t xml:space="preserve"> be closed.</w:t>
      </w:r>
    </w:p>
    <w:p w14:paraId="6056B734" w14:textId="09F1B90D" w:rsidR="00380A13" w:rsidRPr="00380A13" w:rsidRDefault="00380A13" w:rsidP="00380A13">
      <w:pPr>
        <w:tabs>
          <w:tab w:val="left" w:pos="1080"/>
        </w:tabs>
        <w:suppressAutoHyphens/>
        <w:spacing w:line="360" w:lineRule="auto"/>
        <w:rPr>
          <w:color w:val="000000" w:themeColor="text1"/>
          <w:spacing w:val="-3"/>
          <w:sz w:val="26"/>
          <w:szCs w:val="26"/>
        </w:rPr>
      </w:pPr>
    </w:p>
    <w:p w14:paraId="63CC2DEE" w14:textId="4B9B0680" w:rsidR="00F55D81" w:rsidRPr="0026362D" w:rsidRDefault="00F55D81" w:rsidP="00F55D81">
      <w:pPr>
        <w:tabs>
          <w:tab w:val="left" w:pos="0"/>
        </w:tabs>
        <w:suppressAutoHyphens/>
        <w:spacing w:line="360" w:lineRule="auto"/>
        <w:jc w:val="both"/>
        <w:rPr>
          <w:color w:val="000000" w:themeColor="text1"/>
          <w:spacing w:val="-3"/>
          <w:kern w:val="1"/>
          <w:sz w:val="26"/>
          <w:szCs w:val="26"/>
        </w:rPr>
      </w:pPr>
    </w:p>
    <w:p w14:paraId="2B0AFAAC" w14:textId="1954ED09" w:rsidR="00F55D81" w:rsidRPr="0026362D" w:rsidRDefault="00F369EE" w:rsidP="00F55D81">
      <w:pPr>
        <w:tabs>
          <w:tab w:val="left" w:pos="4320"/>
        </w:tabs>
        <w:rPr>
          <w:b/>
          <w:color w:val="000000" w:themeColor="text1"/>
          <w:sz w:val="26"/>
          <w:szCs w:val="26"/>
        </w:rPr>
      </w:pPr>
      <w:r>
        <w:rPr>
          <w:noProof/>
        </w:rPr>
        <w:drawing>
          <wp:anchor distT="0" distB="0" distL="114300" distR="114300" simplePos="0" relativeHeight="251659264" behindDoc="1" locked="0" layoutInCell="1" allowOverlap="1" wp14:anchorId="7B42C2F7" wp14:editId="026F835C">
            <wp:simplePos x="0" y="0"/>
            <wp:positionH relativeFrom="column">
              <wp:posOffset>2790825</wp:posOffset>
            </wp:positionH>
            <wp:positionV relativeFrom="paragraph">
              <wp:posOffset>116205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D81" w:rsidRPr="0026362D">
        <w:rPr>
          <w:color w:val="000000" w:themeColor="text1"/>
          <w:sz w:val="26"/>
          <w:szCs w:val="26"/>
        </w:rPr>
        <w:tab/>
      </w:r>
      <w:r w:rsidR="00F55D81" w:rsidRPr="0026362D">
        <w:rPr>
          <w:b/>
          <w:color w:val="000000" w:themeColor="text1"/>
          <w:sz w:val="26"/>
          <w:szCs w:val="26"/>
        </w:rPr>
        <w:t>BY THE COMMISSION,</w:t>
      </w:r>
    </w:p>
    <w:p w14:paraId="5F3F71F2" w14:textId="10E252C7" w:rsidR="00F55D81" w:rsidRPr="0026362D" w:rsidRDefault="00F55D81" w:rsidP="00F55D81">
      <w:pPr>
        <w:tabs>
          <w:tab w:val="left" w:pos="4320"/>
        </w:tabs>
        <w:rPr>
          <w:b/>
          <w:color w:val="000000" w:themeColor="text1"/>
          <w:sz w:val="26"/>
          <w:szCs w:val="26"/>
        </w:rPr>
      </w:pPr>
    </w:p>
    <w:p w14:paraId="20034C79" w14:textId="177D78C6" w:rsidR="00F55D81" w:rsidRPr="0026362D" w:rsidRDefault="00F55D81" w:rsidP="00F55D81">
      <w:pPr>
        <w:tabs>
          <w:tab w:val="left" w:pos="4320"/>
        </w:tabs>
        <w:rPr>
          <w:b/>
          <w:color w:val="000000" w:themeColor="text1"/>
          <w:sz w:val="26"/>
          <w:szCs w:val="26"/>
        </w:rPr>
      </w:pPr>
    </w:p>
    <w:p w14:paraId="39998597" w14:textId="77777777" w:rsidR="00F55D81" w:rsidRPr="0026362D" w:rsidRDefault="00F55D81" w:rsidP="00F55D81">
      <w:pPr>
        <w:tabs>
          <w:tab w:val="left" w:pos="4320"/>
        </w:tabs>
        <w:rPr>
          <w:b/>
          <w:color w:val="000000" w:themeColor="text1"/>
          <w:sz w:val="26"/>
          <w:szCs w:val="26"/>
        </w:rPr>
      </w:pPr>
    </w:p>
    <w:p w14:paraId="51A6BE35" w14:textId="77777777" w:rsidR="00F55D81" w:rsidRPr="0026362D" w:rsidRDefault="00F55D81" w:rsidP="00F55D81">
      <w:pPr>
        <w:tabs>
          <w:tab w:val="left" w:pos="4320"/>
        </w:tabs>
        <w:rPr>
          <w:color w:val="000000" w:themeColor="text1"/>
          <w:sz w:val="26"/>
          <w:szCs w:val="26"/>
        </w:rPr>
      </w:pPr>
      <w:r w:rsidRPr="0026362D">
        <w:rPr>
          <w:color w:val="000000" w:themeColor="text1"/>
          <w:sz w:val="26"/>
          <w:szCs w:val="26"/>
        </w:rPr>
        <w:tab/>
        <w:t>Rosemary Chiavetta</w:t>
      </w:r>
    </w:p>
    <w:p w14:paraId="04DBD49E" w14:textId="77777777" w:rsidR="00F55D81" w:rsidRPr="0026362D" w:rsidRDefault="00F55D81" w:rsidP="00F55D81">
      <w:pPr>
        <w:tabs>
          <w:tab w:val="left" w:pos="4320"/>
        </w:tabs>
        <w:rPr>
          <w:color w:val="000000" w:themeColor="text1"/>
          <w:sz w:val="26"/>
          <w:szCs w:val="26"/>
        </w:rPr>
      </w:pPr>
      <w:r w:rsidRPr="0026362D">
        <w:rPr>
          <w:color w:val="000000" w:themeColor="text1"/>
          <w:sz w:val="26"/>
          <w:szCs w:val="26"/>
        </w:rPr>
        <w:tab/>
        <w:t>Secretary</w:t>
      </w:r>
    </w:p>
    <w:p w14:paraId="00787151" w14:textId="77777777" w:rsidR="00F55D81" w:rsidRPr="0026362D" w:rsidRDefault="00F55D81" w:rsidP="00F55D81">
      <w:pPr>
        <w:tabs>
          <w:tab w:val="left" w:pos="4320"/>
        </w:tabs>
        <w:rPr>
          <w:color w:val="000000" w:themeColor="text1"/>
          <w:sz w:val="26"/>
          <w:szCs w:val="26"/>
        </w:rPr>
      </w:pPr>
    </w:p>
    <w:p w14:paraId="279FE195" w14:textId="77777777" w:rsidR="00F55D81" w:rsidRPr="0026362D" w:rsidRDefault="00F55D81" w:rsidP="00F55D81">
      <w:pPr>
        <w:tabs>
          <w:tab w:val="left" w:pos="4320"/>
        </w:tabs>
        <w:rPr>
          <w:color w:val="000000" w:themeColor="text1"/>
          <w:sz w:val="26"/>
          <w:szCs w:val="26"/>
        </w:rPr>
      </w:pPr>
      <w:r w:rsidRPr="0026362D">
        <w:rPr>
          <w:color w:val="000000" w:themeColor="text1"/>
          <w:sz w:val="26"/>
          <w:szCs w:val="26"/>
        </w:rPr>
        <w:t>(SEAL)</w:t>
      </w:r>
    </w:p>
    <w:p w14:paraId="3B9DCA9A" w14:textId="77777777" w:rsidR="00F55D81" w:rsidRPr="0026362D" w:rsidRDefault="00F55D81" w:rsidP="00F55D81">
      <w:pPr>
        <w:tabs>
          <w:tab w:val="left" w:pos="4320"/>
        </w:tabs>
        <w:rPr>
          <w:color w:val="000000" w:themeColor="text1"/>
          <w:sz w:val="26"/>
          <w:szCs w:val="26"/>
        </w:rPr>
      </w:pPr>
    </w:p>
    <w:p w14:paraId="2F724123" w14:textId="77777777" w:rsidR="00F55D81" w:rsidRPr="0026362D" w:rsidRDefault="00F55D81" w:rsidP="00F55D81">
      <w:pPr>
        <w:tabs>
          <w:tab w:val="left" w:pos="4320"/>
        </w:tabs>
        <w:rPr>
          <w:color w:val="000000" w:themeColor="text1"/>
          <w:sz w:val="26"/>
          <w:szCs w:val="26"/>
        </w:rPr>
      </w:pPr>
    </w:p>
    <w:p w14:paraId="4D39ACF0" w14:textId="391BA40C" w:rsidR="00F55D81" w:rsidRPr="0026362D" w:rsidRDefault="00F55D81" w:rsidP="00F55D81">
      <w:pPr>
        <w:tabs>
          <w:tab w:val="left" w:pos="4320"/>
        </w:tabs>
        <w:rPr>
          <w:color w:val="000000" w:themeColor="text1"/>
          <w:sz w:val="26"/>
          <w:szCs w:val="26"/>
        </w:rPr>
      </w:pPr>
      <w:r w:rsidRPr="0026362D">
        <w:rPr>
          <w:color w:val="000000" w:themeColor="text1"/>
          <w:sz w:val="26"/>
          <w:szCs w:val="26"/>
        </w:rPr>
        <w:t xml:space="preserve">ORDER ADOPTED:  </w:t>
      </w:r>
      <w:r w:rsidR="0093454D" w:rsidRPr="0026362D">
        <w:rPr>
          <w:color w:val="000000" w:themeColor="text1"/>
          <w:sz w:val="26"/>
          <w:szCs w:val="26"/>
        </w:rPr>
        <w:t>A</w:t>
      </w:r>
      <w:r w:rsidR="00623099" w:rsidRPr="0026362D">
        <w:rPr>
          <w:color w:val="000000" w:themeColor="text1"/>
          <w:sz w:val="26"/>
          <w:szCs w:val="26"/>
        </w:rPr>
        <w:t>ugust 8, 2019</w:t>
      </w:r>
    </w:p>
    <w:p w14:paraId="38AC4922" w14:textId="77777777" w:rsidR="00F55D81" w:rsidRPr="0026362D" w:rsidRDefault="00F55D81" w:rsidP="00F55D81">
      <w:pPr>
        <w:tabs>
          <w:tab w:val="left" w:pos="4320"/>
        </w:tabs>
        <w:rPr>
          <w:color w:val="000000" w:themeColor="text1"/>
          <w:sz w:val="26"/>
          <w:szCs w:val="26"/>
        </w:rPr>
      </w:pPr>
    </w:p>
    <w:p w14:paraId="447E5DF1" w14:textId="4FB0DB86" w:rsidR="00F55D81" w:rsidRPr="0026362D" w:rsidRDefault="00F55D81" w:rsidP="00F55D81">
      <w:pPr>
        <w:tabs>
          <w:tab w:val="left" w:pos="4320"/>
        </w:tabs>
        <w:rPr>
          <w:color w:val="000000" w:themeColor="text1"/>
          <w:sz w:val="26"/>
          <w:szCs w:val="26"/>
        </w:rPr>
      </w:pPr>
      <w:r w:rsidRPr="0026362D">
        <w:rPr>
          <w:color w:val="000000" w:themeColor="text1"/>
          <w:sz w:val="26"/>
          <w:szCs w:val="26"/>
        </w:rPr>
        <w:t xml:space="preserve">ORDER ENTERED: </w:t>
      </w:r>
      <w:r w:rsidR="00F369EE">
        <w:rPr>
          <w:color w:val="000000" w:themeColor="text1"/>
          <w:sz w:val="26"/>
          <w:szCs w:val="26"/>
        </w:rPr>
        <w:t xml:space="preserve"> August 8, 2019</w:t>
      </w:r>
      <w:bookmarkStart w:id="2" w:name="_GoBack"/>
      <w:bookmarkEnd w:id="2"/>
    </w:p>
    <w:p w14:paraId="32FCEA32" w14:textId="77777777" w:rsidR="00A544A4" w:rsidRPr="0026362D" w:rsidRDefault="00A544A4" w:rsidP="00F55D81">
      <w:pPr>
        <w:rPr>
          <w:color w:val="000000" w:themeColor="text1"/>
        </w:rPr>
      </w:pPr>
    </w:p>
    <w:sectPr w:rsidR="00A544A4" w:rsidRPr="0026362D" w:rsidSect="00943BB4">
      <w:footerReference w:type="even" r:id="rId12"/>
      <w:footerReference w:type="default" r:id="rId13"/>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011D9" w14:textId="77777777" w:rsidR="003A41C7" w:rsidRDefault="003A41C7">
      <w:r>
        <w:separator/>
      </w:r>
    </w:p>
  </w:endnote>
  <w:endnote w:type="continuationSeparator" w:id="0">
    <w:p w14:paraId="060FBBE3" w14:textId="77777777" w:rsidR="003A41C7" w:rsidRDefault="003A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D6B98" w14:textId="77777777" w:rsidR="00415FAF" w:rsidRDefault="00415FAF"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6566CE" w14:textId="77777777" w:rsidR="00415FAF" w:rsidRDefault="00415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0C680" w14:textId="77777777" w:rsidR="00415FAF" w:rsidRDefault="00415FAF"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5471">
      <w:rPr>
        <w:rStyle w:val="PageNumber"/>
        <w:noProof/>
      </w:rPr>
      <w:t>2</w:t>
    </w:r>
    <w:r>
      <w:rPr>
        <w:rStyle w:val="PageNumber"/>
      </w:rPr>
      <w:fldChar w:fldCharType="end"/>
    </w:r>
  </w:p>
  <w:p w14:paraId="401BDF90" w14:textId="77777777" w:rsidR="00415FAF" w:rsidRDefault="00415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278A6" w14:textId="77777777" w:rsidR="003A41C7" w:rsidRDefault="003A41C7">
      <w:r>
        <w:separator/>
      </w:r>
    </w:p>
  </w:footnote>
  <w:footnote w:type="continuationSeparator" w:id="0">
    <w:p w14:paraId="6E9FADC7" w14:textId="77777777" w:rsidR="003A41C7" w:rsidRDefault="003A41C7">
      <w:r>
        <w:continuationSeparator/>
      </w:r>
    </w:p>
  </w:footnote>
  <w:footnote w:id="1">
    <w:p w14:paraId="49A341F1" w14:textId="379EB102" w:rsidR="002B47BC" w:rsidRPr="0026362D" w:rsidRDefault="002B47BC">
      <w:pPr>
        <w:pStyle w:val="FootnoteText"/>
        <w:rPr>
          <w:sz w:val="22"/>
          <w:szCs w:val="22"/>
        </w:rPr>
      </w:pPr>
      <w:r w:rsidRPr="00DE2AC3">
        <w:rPr>
          <w:rStyle w:val="FootnoteReference"/>
          <w:color w:val="auto"/>
          <w:sz w:val="22"/>
          <w:szCs w:val="22"/>
        </w:rPr>
        <w:footnoteRef/>
      </w:r>
      <w:r w:rsidRPr="00DE2AC3">
        <w:rPr>
          <w:color w:val="auto"/>
          <w:sz w:val="22"/>
          <w:szCs w:val="22"/>
        </w:rPr>
        <w:t xml:space="preserve"> On May 20, 2019, Columbia Service Partners, Inc. filed a Petition to Amend Orders, under and in accordance with Section 703(g) of the Pennsylvania Public Utility Code, 66 Pa. C.S. § 703(g), and 52 Pa. Code §§ 5.41 and 5.572(d) seeking amendments to two orders entered by the Pennsylvania Public Utility Commission in Columbia Gas of Pennsylvania, Inc.’s 2018 rate case proceeding at Docket No. R-2018-2647577.  Answers to this Petition were filed by the NGS Parties, CAUSE</w:t>
      </w:r>
      <w:r w:rsidRPr="00DE2AC3">
        <w:rPr>
          <w:color w:val="auto"/>
          <w:sz w:val="22"/>
          <w:szCs w:val="22"/>
        </w:rPr>
        <w:noBreakHyphen/>
        <w:t>PA, OCA, and Columbia.  The Commission will address this Petition in a separate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15:restartNumberingAfterBreak="0">
    <w:nsid w:val="06DB220E"/>
    <w:multiLevelType w:val="hybridMultilevel"/>
    <w:tmpl w:val="65CEE79C"/>
    <w:lvl w:ilvl="0" w:tplc="FA264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220D4C"/>
    <w:multiLevelType w:val="hybridMultilevel"/>
    <w:tmpl w:val="CCA69AF0"/>
    <w:lvl w:ilvl="0" w:tplc="002C00B0">
      <w:start w:val="1"/>
      <w:numFmt w:val="decimal"/>
      <w:lvlText w:val="%1."/>
      <w:lvlJc w:val="left"/>
      <w:pPr>
        <w:ind w:left="135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4" w15:restartNumberingAfterBreak="0">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5" w15:restartNumberingAfterBreak="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6" w15:restartNumberingAfterBreak="0">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7" w15:restartNumberingAfterBreak="0">
    <w:nsid w:val="71DC64ED"/>
    <w:multiLevelType w:val="hybridMultilevel"/>
    <w:tmpl w:val="5C94F0DE"/>
    <w:lvl w:ilvl="0" w:tplc="87DEF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6"/>
  </w:num>
  <w:num w:numId="4">
    <w:abstractNumId w:val="0"/>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B065FE"/>
    <w:rsid w:val="00007B1A"/>
    <w:rsid w:val="000120B5"/>
    <w:rsid w:val="0001308E"/>
    <w:rsid w:val="00016AF8"/>
    <w:rsid w:val="00036F05"/>
    <w:rsid w:val="00043790"/>
    <w:rsid w:val="00051ED2"/>
    <w:rsid w:val="000535E4"/>
    <w:rsid w:val="000545E5"/>
    <w:rsid w:val="0005588B"/>
    <w:rsid w:val="00056AE6"/>
    <w:rsid w:val="00056D0B"/>
    <w:rsid w:val="00060D1D"/>
    <w:rsid w:val="000647B7"/>
    <w:rsid w:val="00071C7B"/>
    <w:rsid w:val="00074611"/>
    <w:rsid w:val="0008232E"/>
    <w:rsid w:val="000968C9"/>
    <w:rsid w:val="000A0EAD"/>
    <w:rsid w:val="000A246D"/>
    <w:rsid w:val="000A6198"/>
    <w:rsid w:val="000A67AF"/>
    <w:rsid w:val="000B572D"/>
    <w:rsid w:val="000B5C99"/>
    <w:rsid w:val="000C40CE"/>
    <w:rsid w:val="000C5A64"/>
    <w:rsid w:val="000D67E4"/>
    <w:rsid w:val="000F48D9"/>
    <w:rsid w:val="001006C9"/>
    <w:rsid w:val="00102D1E"/>
    <w:rsid w:val="001114AD"/>
    <w:rsid w:val="001153A0"/>
    <w:rsid w:val="001177AE"/>
    <w:rsid w:val="00117C82"/>
    <w:rsid w:val="00117DBF"/>
    <w:rsid w:val="0012153B"/>
    <w:rsid w:val="0013441D"/>
    <w:rsid w:val="0013588A"/>
    <w:rsid w:val="00145521"/>
    <w:rsid w:val="00146A69"/>
    <w:rsid w:val="00154F17"/>
    <w:rsid w:val="00172E30"/>
    <w:rsid w:val="0019021F"/>
    <w:rsid w:val="001A63D3"/>
    <w:rsid w:val="001B3AF0"/>
    <w:rsid w:val="001C48AA"/>
    <w:rsid w:val="001C5B44"/>
    <w:rsid w:val="001C5BB3"/>
    <w:rsid w:val="001D45D2"/>
    <w:rsid w:val="001D7178"/>
    <w:rsid w:val="001E14B6"/>
    <w:rsid w:val="001F03C7"/>
    <w:rsid w:val="001F0696"/>
    <w:rsid w:val="0020470D"/>
    <w:rsid w:val="0020567E"/>
    <w:rsid w:val="00206927"/>
    <w:rsid w:val="0021203A"/>
    <w:rsid w:val="00212A91"/>
    <w:rsid w:val="00212DAC"/>
    <w:rsid w:val="002137AD"/>
    <w:rsid w:val="00224270"/>
    <w:rsid w:val="002359B6"/>
    <w:rsid w:val="0023677B"/>
    <w:rsid w:val="00237CB1"/>
    <w:rsid w:val="00257AB7"/>
    <w:rsid w:val="00263578"/>
    <w:rsid w:val="0026362D"/>
    <w:rsid w:val="00276B57"/>
    <w:rsid w:val="002857F7"/>
    <w:rsid w:val="002B2A14"/>
    <w:rsid w:val="002B47BC"/>
    <w:rsid w:val="002B6496"/>
    <w:rsid w:val="002C3BC4"/>
    <w:rsid w:val="002C66D0"/>
    <w:rsid w:val="002C71F1"/>
    <w:rsid w:val="002C7616"/>
    <w:rsid w:val="002D353A"/>
    <w:rsid w:val="002D5888"/>
    <w:rsid w:val="002D7F58"/>
    <w:rsid w:val="002E0720"/>
    <w:rsid w:val="002E07BF"/>
    <w:rsid w:val="002F2D6F"/>
    <w:rsid w:val="002F645D"/>
    <w:rsid w:val="002F70F8"/>
    <w:rsid w:val="00302317"/>
    <w:rsid w:val="003039C7"/>
    <w:rsid w:val="00303B97"/>
    <w:rsid w:val="003054D5"/>
    <w:rsid w:val="00307524"/>
    <w:rsid w:val="003166CE"/>
    <w:rsid w:val="00326630"/>
    <w:rsid w:val="003438E3"/>
    <w:rsid w:val="003441D9"/>
    <w:rsid w:val="003530BE"/>
    <w:rsid w:val="00355656"/>
    <w:rsid w:val="00360C8F"/>
    <w:rsid w:val="003629DA"/>
    <w:rsid w:val="0036392C"/>
    <w:rsid w:val="0036594B"/>
    <w:rsid w:val="00366D04"/>
    <w:rsid w:val="00372086"/>
    <w:rsid w:val="00373CB2"/>
    <w:rsid w:val="00376AAE"/>
    <w:rsid w:val="00380A13"/>
    <w:rsid w:val="00381CCB"/>
    <w:rsid w:val="00383930"/>
    <w:rsid w:val="00387CDE"/>
    <w:rsid w:val="003926B3"/>
    <w:rsid w:val="00392A69"/>
    <w:rsid w:val="00394A9B"/>
    <w:rsid w:val="00397047"/>
    <w:rsid w:val="00397482"/>
    <w:rsid w:val="003A2533"/>
    <w:rsid w:val="003A41C7"/>
    <w:rsid w:val="003A692F"/>
    <w:rsid w:val="003C5AA7"/>
    <w:rsid w:val="003D3D63"/>
    <w:rsid w:val="003D7417"/>
    <w:rsid w:val="003E0151"/>
    <w:rsid w:val="003E0D4E"/>
    <w:rsid w:val="003E1D8D"/>
    <w:rsid w:val="003F4C22"/>
    <w:rsid w:val="003F4D55"/>
    <w:rsid w:val="003F6ACC"/>
    <w:rsid w:val="003F7B5E"/>
    <w:rsid w:val="00411EC4"/>
    <w:rsid w:val="004128A8"/>
    <w:rsid w:val="00415FAF"/>
    <w:rsid w:val="00415FDB"/>
    <w:rsid w:val="00417EC4"/>
    <w:rsid w:val="004202A9"/>
    <w:rsid w:val="0042113A"/>
    <w:rsid w:val="00421492"/>
    <w:rsid w:val="004335F0"/>
    <w:rsid w:val="00433D23"/>
    <w:rsid w:val="00435B9C"/>
    <w:rsid w:val="0044319F"/>
    <w:rsid w:val="00444109"/>
    <w:rsid w:val="004610B9"/>
    <w:rsid w:val="00461780"/>
    <w:rsid w:val="00464A09"/>
    <w:rsid w:val="00484EA3"/>
    <w:rsid w:val="004858D7"/>
    <w:rsid w:val="004903A1"/>
    <w:rsid w:val="00497E52"/>
    <w:rsid w:val="004B0B7A"/>
    <w:rsid w:val="004B2A66"/>
    <w:rsid w:val="004B5A00"/>
    <w:rsid w:val="004D5A0C"/>
    <w:rsid w:val="004D6D76"/>
    <w:rsid w:val="004E2E63"/>
    <w:rsid w:val="004F4242"/>
    <w:rsid w:val="00512E37"/>
    <w:rsid w:val="00527DB7"/>
    <w:rsid w:val="00534B84"/>
    <w:rsid w:val="0054264D"/>
    <w:rsid w:val="00542B6C"/>
    <w:rsid w:val="00544CE8"/>
    <w:rsid w:val="005462E9"/>
    <w:rsid w:val="0055073A"/>
    <w:rsid w:val="00551C19"/>
    <w:rsid w:val="005531FE"/>
    <w:rsid w:val="00560CF3"/>
    <w:rsid w:val="0057326C"/>
    <w:rsid w:val="00575938"/>
    <w:rsid w:val="00575D8F"/>
    <w:rsid w:val="005855E9"/>
    <w:rsid w:val="00590909"/>
    <w:rsid w:val="005958B2"/>
    <w:rsid w:val="00597B68"/>
    <w:rsid w:val="005A39F9"/>
    <w:rsid w:val="005A5471"/>
    <w:rsid w:val="005B621E"/>
    <w:rsid w:val="005B6890"/>
    <w:rsid w:val="005B68C8"/>
    <w:rsid w:val="005C74AF"/>
    <w:rsid w:val="005D79AD"/>
    <w:rsid w:val="005E554A"/>
    <w:rsid w:val="005F74C2"/>
    <w:rsid w:val="005F7F34"/>
    <w:rsid w:val="00603470"/>
    <w:rsid w:val="0060526A"/>
    <w:rsid w:val="00614374"/>
    <w:rsid w:val="00620D6E"/>
    <w:rsid w:val="00623099"/>
    <w:rsid w:val="00632E42"/>
    <w:rsid w:val="00634598"/>
    <w:rsid w:val="006456EC"/>
    <w:rsid w:val="0065319D"/>
    <w:rsid w:val="0065367A"/>
    <w:rsid w:val="006546C1"/>
    <w:rsid w:val="006602B5"/>
    <w:rsid w:val="006860B0"/>
    <w:rsid w:val="00692267"/>
    <w:rsid w:val="00697832"/>
    <w:rsid w:val="006A0F9A"/>
    <w:rsid w:val="006A2BC5"/>
    <w:rsid w:val="006A433E"/>
    <w:rsid w:val="006B229F"/>
    <w:rsid w:val="006B2A7C"/>
    <w:rsid w:val="006B6A38"/>
    <w:rsid w:val="006C6E7F"/>
    <w:rsid w:val="006D456F"/>
    <w:rsid w:val="006D5DCD"/>
    <w:rsid w:val="006E1A5A"/>
    <w:rsid w:val="006F045D"/>
    <w:rsid w:val="006F3032"/>
    <w:rsid w:val="007007DD"/>
    <w:rsid w:val="007020B3"/>
    <w:rsid w:val="00705BFC"/>
    <w:rsid w:val="00722054"/>
    <w:rsid w:val="00730BA4"/>
    <w:rsid w:val="007349CE"/>
    <w:rsid w:val="007421CE"/>
    <w:rsid w:val="00750759"/>
    <w:rsid w:val="00750D04"/>
    <w:rsid w:val="00750DF4"/>
    <w:rsid w:val="007618A9"/>
    <w:rsid w:val="007619A7"/>
    <w:rsid w:val="00771231"/>
    <w:rsid w:val="00771437"/>
    <w:rsid w:val="00776A17"/>
    <w:rsid w:val="007906EC"/>
    <w:rsid w:val="0079110F"/>
    <w:rsid w:val="007A5B5F"/>
    <w:rsid w:val="007B09E2"/>
    <w:rsid w:val="007E41A4"/>
    <w:rsid w:val="007E430E"/>
    <w:rsid w:val="007F12BF"/>
    <w:rsid w:val="007F4449"/>
    <w:rsid w:val="00800447"/>
    <w:rsid w:val="00802348"/>
    <w:rsid w:val="00806657"/>
    <w:rsid w:val="00806CD0"/>
    <w:rsid w:val="0081293F"/>
    <w:rsid w:val="00812DEC"/>
    <w:rsid w:val="0081379F"/>
    <w:rsid w:val="00816A58"/>
    <w:rsid w:val="008252DA"/>
    <w:rsid w:val="00826581"/>
    <w:rsid w:val="00831C84"/>
    <w:rsid w:val="00837637"/>
    <w:rsid w:val="00843204"/>
    <w:rsid w:val="008440C1"/>
    <w:rsid w:val="00844F48"/>
    <w:rsid w:val="00845420"/>
    <w:rsid w:val="008504E3"/>
    <w:rsid w:val="0085369F"/>
    <w:rsid w:val="008570E0"/>
    <w:rsid w:val="00861628"/>
    <w:rsid w:val="00875122"/>
    <w:rsid w:val="00875306"/>
    <w:rsid w:val="0088438E"/>
    <w:rsid w:val="008964D9"/>
    <w:rsid w:val="008B676F"/>
    <w:rsid w:val="008C66C4"/>
    <w:rsid w:val="008D027B"/>
    <w:rsid w:val="008D0D95"/>
    <w:rsid w:val="008E18B7"/>
    <w:rsid w:val="008E3EC1"/>
    <w:rsid w:val="008E511F"/>
    <w:rsid w:val="008F0A9D"/>
    <w:rsid w:val="00902597"/>
    <w:rsid w:val="00904C92"/>
    <w:rsid w:val="0093454D"/>
    <w:rsid w:val="00941E2A"/>
    <w:rsid w:val="00943BB4"/>
    <w:rsid w:val="00946D7E"/>
    <w:rsid w:val="00950B0E"/>
    <w:rsid w:val="00954309"/>
    <w:rsid w:val="0095742D"/>
    <w:rsid w:val="00957931"/>
    <w:rsid w:val="00961D85"/>
    <w:rsid w:val="009642D0"/>
    <w:rsid w:val="009741AA"/>
    <w:rsid w:val="0098289B"/>
    <w:rsid w:val="00985668"/>
    <w:rsid w:val="00985B49"/>
    <w:rsid w:val="00990FC0"/>
    <w:rsid w:val="009915A0"/>
    <w:rsid w:val="00992354"/>
    <w:rsid w:val="0099376D"/>
    <w:rsid w:val="00993EDD"/>
    <w:rsid w:val="00994094"/>
    <w:rsid w:val="009961B2"/>
    <w:rsid w:val="00996C36"/>
    <w:rsid w:val="009B1C5C"/>
    <w:rsid w:val="009B1DD0"/>
    <w:rsid w:val="009C3C7C"/>
    <w:rsid w:val="009C70CC"/>
    <w:rsid w:val="009D279E"/>
    <w:rsid w:val="009D4583"/>
    <w:rsid w:val="009E73C2"/>
    <w:rsid w:val="009F0612"/>
    <w:rsid w:val="009F178C"/>
    <w:rsid w:val="00A04453"/>
    <w:rsid w:val="00A10591"/>
    <w:rsid w:val="00A2326B"/>
    <w:rsid w:val="00A267A5"/>
    <w:rsid w:val="00A36F9C"/>
    <w:rsid w:val="00A404E7"/>
    <w:rsid w:val="00A42AC2"/>
    <w:rsid w:val="00A44B09"/>
    <w:rsid w:val="00A46DBD"/>
    <w:rsid w:val="00A53F87"/>
    <w:rsid w:val="00A544A4"/>
    <w:rsid w:val="00A61125"/>
    <w:rsid w:val="00A65F45"/>
    <w:rsid w:val="00A805AC"/>
    <w:rsid w:val="00A96F3F"/>
    <w:rsid w:val="00AA2828"/>
    <w:rsid w:val="00AA6902"/>
    <w:rsid w:val="00AB14A4"/>
    <w:rsid w:val="00AB3D44"/>
    <w:rsid w:val="00AB63C2"/>
    <w:rsid w:val="00AB7A76"/>
    <w:rsid w:val="00AC2642"/>
    <w:rsid w:val="00AC5217"/>
    <w:rsid w:val="00AD55C0"/>
    <w:rsid w:val="00AE7454"/>
    <w:rsid w:val="00AF0CD1"/>
    <w:rsid w:val="00AF23FF"/>
    <w:rsid w:val="00AF41F4"/>
    <w:rsid w:val="00AF439D"/>
    <w:rsid w:val="00AF7B81"/>
    <w:rsid w:val="00B01676"/>
    <w:rsid w:val="00B065FE"/>
    <w:rsid w:val="00B1257E"/>
    <w:rsid w:val="00B12B9C"/>
    <w:rsid w:val="00B12CD4"/>
    <w:rsid w:val="00B2568B"/>
    <w:rsid w:val="00B30DD3"/>
    <w:rsid w:val="00B3164E"/>
    <w:rsid w:val="00B44380"/>
    <w:rsid w:val="00B51901"/>
    <w:rsid w:val="00B5655A"/>
    <w:rsid w:val="00B622AA"/>
    <w:rsid w:val="00B62F03"/>
    <w:rsid w:val="00B66E79"/>
    <w:rsid w:val="00B71965"/>
    <w:rsid w:val="00B9774C"/>
    <w:rsid w:val="00B97957"/>
    <w:rsid w:val="00BA47B9"/>
    <w:rsid w:val="00BA6CF5"/>
    <w:rsid w:val="00BA7E22"/>
    <w:rsid w:val="00BB0A03"/>
    <w:rsid w:val="00BB7C50"/>
    <w:rsid w:val="00BD2334"/>
    <w:rsid w:val="00BF31D9"/>
    <w:rsid w:val="00BF6E06"/>
    <w:rsid w:val="00C05EBB"/>
    <w:rsid w:val="00C10A53"/>
    <w:rsid w:val="00C14F1D"/>
    <w:rsid w:val="00C209A2"/>
    <w:rsid w:val="00C2257A"/>
    <w:rsid w:val="00C31471"/>
    <w:rsid w:val="00C3687C"/>
    <w:rsid w:val="00C370D0"/>
    <w:rsid w:val="00C40973"/>
    <w:rsid w:val="00C43678"/>
    <w:rsid w:val="00C52010"/>
    <w:rsid w:val="00C6258D"/>
    <w:rsid w:val="00C659B9"/>
    <w:rsid w:val="00C72542"/>
    <w:rsid w:val="00C73BC7"/>
    <w:rsid w:val="00C76E99"/>
    <w:rsid w:val="00C83F8B"/>
    <w:rsid w:val="00C940A9"/>
    <w:rsid w:val="00C94888"/>
    <w:rsid w:val="00CA54FD"/>
    <w:rsid w:val="00CB4930"/>
    <w:rsid w:val="00CC2819"/>
    <w:rsid w:val="00CC68E5"/>
    <w:rsid w:val="00CD03C5"/>
    <w:rsid w:val="00CD0D95"/>
    <w:rsid w:val="00CD645E"/>
    <w:rsid w:val="00CF5945"/>
    <w:rsid w:val="00D03128"/>
    <w:rsid w:val="00D10480"/>
    <w:rsid w:val="00D15866"/>
    <w:rsid w:val="00D164FF"/>
    <w:rsid w:val="00D24952"/>
    <w:rsid w:val="00D3301F"/>
    <w:rsid w:val="00D361B4"/>
    <w:rsid w:val="00D37628"/>
    <w:rsid w:val="00D37970"/>
    <w:rsid w:val="00D405F0"/>
    <w:rsid w:val="00D40B66"/>
    <w:rsid w:val="00D42C3C"/>
    <w:rsid w:val="00D457D5"/>
    <w:rsid w:val="00D5178F"/>
    <w:rsid w:val="00D51FFA"/>
    <w:rsid w:val="00D529F5"/>
    <w:rsid w:val="00D535F1"/>
    <w:rsid w:val="00D544A6"/>
    <w:rsid w:val="00D561AF"/>
    <w:rsid w:val="00D5737B"/>
    <w:rsid w:val="00D609FB"/>
    <w:rsid w:val="00D6313D"/>
    <w:rsid w:val="00D65120"/>
    <w:rsid w:val="00D72913"/>
    <w:rsid w:val="00D75923"/>
    <w:rsid w:val="00D86260"/>
    <w:rsid w:val="00D90355"/>
    <w:rsid w:val="00D92165"/>
    <w:rsid w:val="00D9609E"/>
    <w:rsid w:val="00D96EC5"/>
    <w:rsid w:val="00D97C96"/>
    <w:rsid w:val="00DA1052"/>
    <w:rsid w:val="00DA7FCA"/>
    <w:rsid w:val="00DB0EAA"/>
    <w:rsid w:val="00DB52A6"/>
    <w:rsid w:val="00DB6E46"/>
    <w:rsid w:val="00DB6E66"/>
    <w:rsid w:val="00DC06D7"/>
    <w:rsid w:val="00DC1349"/>
    <w:rsid w:val="00DD271D"/>
    <w:rsid w:val="00DE2AC3"/>
    <w:rsid w:val="00DF6115"/>
    <w:rsid w:val="00DF6614"/>
    <w:rsid w:val="00E0353C"/>
    <w:rsid w:val="00E047FC"/>
    <w:rsid w:val="00E10026"/>
    <w:rsid w:val="00E1036B"/>
    <w:rsid w:val="00E12E87"/>
    <w:rsid w:val="00E14464"/>
    <w:rsid w:val="00E17C2E"/>
    <w:rsid w:val="00E17D5D"/>
    <w:rsid w:val="00E31020"/>
    <w:rsid w:val="00E40678"/>
    <w:rsid w:val="00E42B6E"/>
    <w:rsid w:val="00E5630C"/>
    <w:rsid w:val="00E563A7"/>
    <w:rsid w:val="00E5698F"/>
    <w:rsid w:val="00E75706"/>
    <w:rsid w:val="00E872EA"/>
    <w:rsid w:val="00E914D9"/>
    <w:rsid w:val="00E93202"/>
    <w:rsid w:val="00E968AE"/>
    <w:rsid w:val="00EA28E8"/>
    <w:rsid w:val="00EA3719"/>
    <w:rsid w:val="00EA5FCA"/>
    <w:rsid w:val="00EB45A4"/>
    <w:rsid w:val="00EB6FE4"/>
    <w:rsid w:val="00EC1B9D"/>
    <w:rsid w:val="00EC2413"/>
    <w:rsid w:val="00EC5066"/>
    <w:rsid w:val="00ED3634"/>
    <w:rsid w:val="00ED3F2E"/>
    <w:rsid w:val="00ED59C4"/>
    <w:rsid w:val="00EE0B1B"/>
    <w:rsid w:val="00EE5C07"/>
    <w:rsid w:val="00EE5F30"/>
    <w:rsid w:val="00EF1ECA"/>
    <w:rsid w:val="00EF42A9"/>
    <w:rsid w:val="00EF4784"/>
    <w:rsid w:val="00F07940"/>
    <w:rsid w:val="00F104CB"/>
    <w:rsid w:val="00F10CA4"/>
    <w:rsid w:val="00F249F6"/>
    <w:rsid w:val="00F25C2D"/>
    <w:rsid w:val="00F26582"/>
    <w:rsid w:val="00F35F78"/>
    <w:rsid w:val="00F369EE"/>
    <w:rsid w:val="00F379BB"/>
    <w:rsid w:val="00F40276"/>
    <w:rsid w:val="00F42D9E"/>
    <w:rsid w:val="00F450E1"/>
    <w:rsid w:val="00F510F4"/>
    <w:rsid w:val="00F536C3"/>
    <w:rsid w:val="00F55D81"/>
    <w:rsid w:val="00F62DB7"/>
    <w:rsid w:val="00F66F07"/>
    <w:rsid w:val="00F74843"/>
    <w:rsid w:val="00F75D85"/>
    <w:rsid w:val="00F832D6"/>
    <w:rsid w:val="00F9514D"/>
    <w:rsid w:val="00F96212"/>
    <w:rsid w:val="00FA2C2F"/>
    <w:rsid w:val="00FB0E83"/>
    <w:rsid w:val="00FB743C"/>
    <w:rsid w:val="00FC1746"/>
    <w:rsid w:val="00FC1B12"/>
    <w:rsid w:val="00FC51BD"/>
    <w:rsid w:val="00FF3772"/>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5AC8C"/>
  <w15:chartTrackingRefBased/>
  <w15:docId w15:val="{E2F916AA-7393-44EB-AF61-5205EFC9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440" w:right="720"/>
    </w:pPr>
    <w:rPr>
      <w:sz w:val="26"/>
    </w:rPr>
  </w:style>
  <w:style w:type="paragraph" w:styleId="BodyTextIndent">
    <w:name w:val="Body Text Indent"/>
    <w:basedOn w:val="Normal"/>
    <w:pPr>
      <w:suppressAutoHyphens/>
      <w:spacing w:line="360" w:lineRule="auto"/>
      <w:ind w:left="900" w:hanging="1080"/>
      <w:jc w:val="both"/>
    </w:pPr>
    <w:rPr>
      <w:spacing w:val="-3"/>
      <w:kern w:val="1"/>
      <w:sz w:val="26"/>
    </w:rPr>
  </w:style>
  <w:style w:type="paragraph" w:styleId="BodyTextIndent2">
    <w:name w:val="Body Text Indent 2"/>
    <w:basedOn w:val="Normal"/>
    <w:pPr>
      <w:ind w:right="720" w:firstLine="180"/>
    </w:pPr>
    <w:rPr>
      <w:sz w:val="26"/>
    </w:rPr>
  </w:style>
  <w:style w:type="paragraph" w:styleId="BodyTextIndent3">
    <w:name w:val="Body Text Indent 3"/>
    <w:basedOn w:val="Normal"/>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NoSpacing">
    <w:name w:val="No Spacing"/>
    <w:uiPriority w:val="1"/>
    <w:qFormat/>
    <w:rsid w:val="00F10CA4"/>
    <w:rPr>
      <w:rFonts w:ascii="Courier New" w:hAnsi="Courier New"/>
      <w:sz w:val="24"/>
    </w:rPr>
  </w:style>
  <w:style w:type="paragraph" w:styleId="ListParagraph">
    <w:name w:val="List Paragraph"/>
    <w:basedOn w:val="Normal"/>
    <w:uiPriority w:val="34"/>
    <w:qFormat/>
    <w:rsid w:val="00623099"/>
    <w:pPr>
      <w:ind w:left="720"/>
      <w:contextualSpacing/>
    </w:pPr>
  </w:style>
  <w:style w:type="paragraph" w:styleId="FootnoteText">
    <w:name w:val="footnote text"/>
    <w:basedOn w:val="Normal"/>
    <w:link w:val="FootnoteTextChar"/>
    <w:rsid w:val="00D544A6"/>
    <w:rPr>
      <w:sz w:val="20"/>
    </w:rPr>
  </w:style>
  <w:style w:type="character" w:customStyle="1" w:styleId="FootnoteTextChar">
    <w:name w:val="Footnote Text Char"/>
    <w:basedOn w:val="DefaultParagraphFont"/>
    <w:link w:val="FootnoteText"/>
    <w:rsid w:val="00D544A6"/>
    <w:rPr>
      <w:color w:val="0000FF"/>
    </w:rPr>
  </w:style>
  <w:style w:type="character" w:styleId="FootnoteReference">
    <w:name w:val="footnote reference"/>
    <w:basedOn w:val="DefaultParagraphFont"/>
    <w:rsid w:val="00D544A6"/>
    <w:rPr>
      <w:vertAlign w:val="superscript"/>
    </w:rPr>
  </w:style>
  <w:style w:type="character" w:styleId="CommentReference">
    <w:name w:val="annotation reference"/>
    <w:basedOn w:val="DefaultParagraphFont"/>
    <w:rsid w:val="006D5DCD"/>
    <w:rPr>
      <w:sz w:val="16"/>
      <w:szCs w:val="16"/>
    </w:rPr>
  </w:style>
  <w:style w:type="paragraph" w:styleId="CommentText">
    <w:name w:val="annotation text"/>
    <w:basedOn w:val="Normal"/>
    <w:link w:val="CommentTextChar"/>
    <w:rsid w:val="006D5DCD"/>
    <w:rPr>
      <w:sz w:val="20"/>
    </w:rPr>
  </w:style>
  <w:style w:type="character" w:customStyle="1" w:styleId="CommentTextChar">
    <w:name w:val="Comment Text Char"/>
    <w:basedOn w:val="DefaultParagraphFont"/>
    <w:link w:val="CommentText"/>
    <w:rsid w:val="006D5DCD"/>
    <w:rPr>
      <w:color w:val="0000FF"/>
    </w:rPr>
  </w:style>
  <w:style w:type="paragraph" w:styleId="CommentSubject">
    <w:name w:val="annotation subject"/>
    <w:basedOn w:val="CommentText"/>
    <w:next w:val="CommentText"/>
    <w:link w:val="CommentSubjectChar"/>
    <w:rsid w:val="006D5DCD"/>
    <w:rPr>
      <w:b/>
      <w:bCs/>
    </w:rPr>
  </w:style>
  <w:style w:type="character" w:customStyle="1" w:styleId="CommentSubjectChar">
    <w:name w:val="Comment Subject Char"/>
    <w:basedOn w:val="CommentTextChar"/>
    <w:link w:val="CommentSubject"/>
    <w:rsid w:val="006D5DCD"/>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386196">
      <w:bodyDiv w:val="1"/>
      <w:marLeft w:val="0"/>
      <w:marRight w:val="0"/>
      <w:marTop w:val="0"/>
      <w:marBottom w:val="0"/>
      <w:divBdr>
        <w:top w:val="none" w:sz="0" w:space="0" w:color="auto"/>
        <w:left w:val="none" w:sz="0" w:space="0" w:color="auto"/>
        <w:bottom w:val="none" w:sz="0" w:space="0" w:color="auto"/>
        <w:right w:val="none" w:sz="0" w:space="0" w:color="auto"/>
      </w:divBdr>
    </w:div>
    <w:div w:id="1333680191">
      <w:bodyDiv w:val="1"/>
      <w:marLeft w:val="0"/>
      <w:marRight w:val="0"/>
      <w:marTop w:val="0"/>
      <w:marBottom w:val="0"/>
      <w:divBdr>
        <w:top w:val="none" w:sz="0" w:space="0" w:color="auto"/>
        <w:left w:val="none" w:sz="0" w:space="0" w:color="auto"/>
        <w:bottom w:val="none" w:sz="0" w:space="0" w:color="auto"/>
        <w:right w:val="none" w:sz="0" w:space="0" w:color="auto"/>
      </w:divBdr>
    </w:div>
    <w:div w:id="148951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Link/Document/FullText?findType=L&amp;pubNum=1000262&amp;cite=PA66S1502&amp;originatingDoc=Ib4e38679851c11dbab489133ffb377e0&amp;refType=LQ&amp;originationContext=document&amp;vr=3.0&amp;rs=cblt1.0&amp;transitionType=DocumentItem&amp;contextData=(sc.Defau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estlaw.com/Link/Document/FullText?findType=L&amp;pubNum=1000262&amp;cite=PA66S1502&amp;originatingDoc=Ib4e38679851c11dbab489133ffb377e0&amp;refType=LQ&amp;originationContext=document&amp;vr=3.0&amp;rs=cblt1.0&amp;transitionType=DocumentItem&amp;contextData=(sc.Default)" TargetMode="External"/><Relationship Id="rId4" Type="http://schemas.openxmlformats.org/officeDocument/2006/relationships/settings" Target="settings.xml"/><Relationship Id="rId9" Type="http://schemas.openxmlformats.org/officeDocument/2006/relationships/hyperlink" Target="http://www.westlaw.com/Link/Document/FullText?findType=L&amp;pubNum=1000262&amp;cite=PA66S1502&amp;originatingDoc=Ib4e38679851c11dbab489133ffb377e0&amp;refType=LQ&amp;originationContext=document&amp;vr=3.0&amp;rs=cblt1.0&amp;transitionType=DocumentItem&amp;contextData=(sc.Defau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7151-9809-42BF-AF4E-7E2498590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3473</Words>
  <Characters>19800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Wagner, Nathan R</cp:lastModifiedBy>
  <cp:revision>15</cp:revision>
  <cp:lastPrinted>2019-08-01T19:10:00Z</cp:lastPrinted>
  <dcterms:created xsi:type="dcterms:W3CDTF">2019-08-01T18:29:00Z</dcterms:created>
  <dcterms:modified xsi:type="dcterms:W3CDTF">2019-08-08T11:43:00Z</dcterms:modified>
</cp:coreProperties>
</file>