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19E7B" w14:textId="77777777" w:rsidR="008038A1" w:rsidRPr="008038A1" w:rsidRDefault="008038A1" w:rsidP="00E166AA">
      <w:pPr>
        <w:jc w:val="center"/>
        <w:rPr>
          <w:b/>
        </w:rPr>
      </w:pPr>
      <w:r w:rsidRPr="008038A1">
        <w:rPr>
          <w:b/>
        </w:rPr>
        <w:t>BEFORE THE</w:t>
      </w:r>
    </w:p>
    <w:p w14:paraId="5A59A2AF" w14:textId="77777777" w:rsidR="008038A1" w:rsidRPr="008038A1" w:rsidRDefault="008038A1" w:rsidP="00E166AA">
      <w:pPr>
        <w:jc w:val="center"/>
      </w:pPr>
      <w:r w:rsidRPr="008038A1">
        <w:rPr>
          <w:b/>
        </w:rPr>
        <w:t>PENNSYLVANIA</w:t>
      </w:r>
      <w:r w:rsidR="004256D5">
        <w:rPr>
          <w:b/>
        </w:rPr>
        <w:t xml:space="preserve"> PUBLIC UTILITY COMMI</w:t>
      </w:r>
      <w:r w:rsidRPr="008038A1">
        <w:rPr>
          <w:b/>
        </w:rPr>
        <w:t>SSION</w:t>
      </w:r>
    </w:p>
    <w:p w14:paraId="3BC2FC49" w14:textId="77777777" w:rsidR="008038A1" w:rsidRPr="008038A1" w:rsidRDefault="008038A1" w:rsidP="00E166AA"/>
    <w:p w14:paraId="42556379" w14:textId="77777777" w:rsidR="000E0F26" w:rsidRPr="004F5AC1" w:rsidRDefault="000E0F26" w:rsidP="00E166AA">
      <w:pPr>
        <w:tabs>
          <w:tab w:val="center" w:pos="4680"/>
        </w:tabs>
        <w:jc w:val="both"/>
      </w:pPr>
    </w:p>
    <w:p w14:paraId="60D5E276" w14:textId="77777777" w:rsidR="000E0F26" w:rsidRPr="004F5AC1" w:rsidRDefault="000E0F26" w:rsidP="00E166AA">
      <w:pPr>
        <w:jc w:val="both"/>
      </w:pPr>
    </w:p>
    <w:p w14:paraId="085DA9FA" w14:textId="151B603E" w:rsidR="000E0F26" w:rsidRPr="00E166AA" w:rsidRDefault="008B00CE" w:rsidP="00E166AA">
      <w:pPr>
        <w:jc w:val="both"/>
        <w:rPr>
          <w:bCs/>
        </w:rPr>
      </w:pPr>
      <w:r>
        <w:t>Joanna Hostovich</w:t>
      </w:r>
      <w:r w:rsidR="000E0F26">
        <w:tab/>
      </w:r>
      <w:r w:rsidR="000E0F26">
        <w:tab/>
      </w:r>
      <w:r w:rsidR="000E0F26" w:rsidRPr="004F5AC1">
        <w:tab/>
      </w:r>
      <w:r w:rsidR="000E0F26" w:rsidRPr="004F5AC1">
        <w:tab/>
      </w:r>
      <w:r w:rsidR="000E0F26" w:rsidRPr="004F5AC1">
        <w:tab/>
      </w:r>
      <w:r w:rsidR="000E0F26" w:rsidRPr="00E166AA">
        <w:rPr>
          <w:bCs/>
        </w:rPr>
        <w:t>:</w:t>
      </w:r>
    </w:p>
    <w:p w14:paraId="0C4E9EE2" w14:textId="77777777" w:rsidR="000E0F26" w:rsidRPr="00E166AA" w:rsidRDefault="000E0F26" w:rsidP="00E166AA">
      <w:pPr>
        <w:ind w:firstLine="720"/>
        <w:jc w:val="both"/>
        <w:rPr>
          <w:bCs/>
        </w:rPr>
      </w:pPr>
      <w:r w:rsidRPr="00E166AA">
        <w:rPr>
          <w:bCs/>
        </w:rPr>
        <w:tab/>
      </w:r>
      <w:r w:rsidRPr="00E166AA">
        <w:rPr>
          <w:bCs/>
        </w:rPr>
        <w:tab/>
      </w:r>
      <w:r w:rsidRPr="00E166AA">
        <w:rPr>
          <w:bCs/>
        </w:rPr>
        <w:tab/>
      </w:r>
      <w:r w:rsidRPr="00E166AA">
        <w:rPr>
          <w:bCs/>
        </w:rPr>
        <w:tab/>
      </w:r>
      <w:r w:rsidRPr="00E166AA">
        <w:rPr>
          <w:bCs/>
        </w:rPr>
        <w:tab/>
      </w:r>
      <w:r w:rsidRPr="00E166AA">
        <w:rPr>
          <w:bCs/>
        </w:rPr>
        <w:tab/>
        <w:t>:</w:t>
      </w:r>
    </w:p>
    <w:p w14:paraId="3F320D62" w14:textId="6FA57292" w:rsidR="000E0F26" w:rsidRPr="00E166AA" w:rsidRDefault="000E0F26" w:rsidP="00E166AA">
      <w:pPr>
        <w:ind w:firstLine="720"/>
        <w:jc w:val="both"/>
        <w:rPr>
          <w:bCs/>
        </w:rPr>
      </w:pPr>
      <w:r w:rsidRPr="00E166AA">
        <w:rPr>
          <w:bCs/>
        </w:rPr>
        <w:t>v.</w:t>
      </w:r>
      <w:r w:rsidRPr="00E166AA">
        <w:rPr>
          <w:bCs/>
        </w:rPr>
        <w:tab/>
      </w:r>
      <w:r w:rsidRPr="00E166AA">
        <w:rPr>
          <w:bCs/>
        </w:rPr>
        <w:tab/>
      </w:r>
      <w:r w:rsidRPr="00E166AA">
        <w:rPr>
          <w:bCs/>
        </w:rPr>
        <w:tab/>
      </w:r>
      <w:r w:rsidRPr="00E166AA">
        <w:rPr>
          <w:bCs/>
        </w:rPr>
        <w:tab/>
      </w:r>
      <w:r w:rsidRPr="00E166AA">
        <w:rPr>
          <w:bCs/>
        </w:rPr>
        <w:tab/>
      </w:r>
      <w:r w:rsidRPr="00E166AA">
        <w:rPr>
          <w:bCs/>
        </w:rPr>
        <w:tab/>
        <w:t>:</w:t>
      </w:r>
      <w:r w:rsidRPr="00E166AA">
        <w:rPr>
          <w:bCs/>
        </w:rPr>
        <w:tab/>
      </w:r>
      <w:r w:rsidRPr="00E166AA">
        <w:rPr>
          <w:bCs/>
        </w:rPr>
        <w:tab/>
      </w:r>
      <w:r w:rsidR="003572B7" w:rsidRPr="00E166AA">
        <w:rPr>
          <w:bCs/>
        </w:rPr>
        <w:t>F-</w:t>
      </w:r>
      <w:r w:rsidR="008B00CE" w:rsidRPr="00E166AA">
        <w:rPr>
          <w:bCs/>
        </w:rPr>
        <w:t>2019-3010932</w:t>
      </w:r>
    </w:p>
    <w:p w14:paraId="7E3834CD" w14:textId="77777777" w:rsidR="000E0F26" w:rsidRPr="00E166AA" w:rsidRDefault="000E0F26" w:rsidP="00E166AA">
      <w:pPr>
        <w:ind w:left="720" w:firstLine="4320"/>
        <w:jc w:val="both"/>
        <w:rPr>
          <w:bCs/>
        </w:rPr>
      </w:pPr>
      <w:r w:rsidRPr="00E166AA">
        <w:rPr>
          <w:bCs/>
        </w:rPr>
        <w:t>:</w:t>
      </w:r>
    </w:p>
    <w:p w14:paraId="4D4E9242" w14:textId="77777777" w:rsidR="000E0F26" w:rsidRPr="00E166AA" w:rsidRDefault="000E0F26" w:rsidP="00E166AA">
      <w:pPr>
        <w:jc w:val="both"/>
        <w:rPr>
          <w:bCs/>
        </w:rPr>
      </w:pPr>
      <w:r w:rsidRPr="00E166AA">
        <w:rPr>
          <w:bCs/>
        </w:rPr>
        <w:t>Duquesne Light Company</w:t>
      </w:r>
      <w:r w:rsidR="003572B7" w:rsidRPr="00E166AA">
        <w:rPr>
          <w:bCs/>
        </w:rPr>
        <w:tab/>
      </w:r>
      <w:r w:rsidR="000A5FBB" w:rsidRPr="00E166AA">
        <w:rPr>
          <w:bCs/>
        </w:rPr>
        <w:t xml:space="preserve"> </w:t>
      </w:r>
      <w:r w:rsidRPr="00E166AA">
        <w:rPr>
          <w:bCs/>
        </w:rPr>
        <w:tab/>
      </w:r>
      <w:r w:rsidRPr="00E166AA">
        <w:rPr>
          <w:bCs/>
        </w:rPr>
        <w:tab/>
      </w:r>
      <w:r w:rsidRPr="00E166AA">
        <w:rPr>
          <w:bCs/>
        </w:rPr>
        <w:tab/>
        <w:t>:</w:t>
      </w:r>
    </w:p>
    <w:p w14:paraId="5A4DDC7F" w14:textId="77777777" w:rsidR="000E0F26" w:rsidRDefault="000E0F26" w:rsidP="00E166AA">
      <w:pPr>
        <w:jc w:val="both"/>
      </w:pPr>
    </w:p>
    <w:p w14:paraId="7810CAE7" w14:textId="77777777" w:rsidR="000A5FBB" w:rsidRDefault="000A5FBB" w:rsidP="00E166AA">
      <w:pPr>
        <w:jc w:val="both"/>
      </w:pPr>
    </w:p>
    <w:p w14:paraId="3744E6CC" w14:textId="77777777" w:rsidR="000E0F26" w:rsidRPr="004F5AC1" w:rsidRDefault="000E0F26" w:rsidP="00E166AA">
      <w:pPr>
        <w:jc w:val="both"/>
      </w:pPr>
    </w:p>
    <w:p w14:paraId="6956E2B8" w14:textId="77777777" w:rsidR="000E0F26" w:rsidRDefault="003572B7" w:rsidP="00E166AA">
      <w:pPr>
        <w:pStyle w:val="Heading1"/>
        <w:jc w:val="center"/>
        <w:rPr>
          <w:b/>
          <w:szCs w:val="24"/>
          <w:u w:val="single"/>
        </w:rPr>
      </w:pPr>
      <w:r>
        <w:rPr>
          <w:b/>
          <w:szCs w:val="24"/>
          <w:u w:val="single"/>
        </w:rPr>
        <w:t>FIRST</w:t>
      </w:r>
      <w:r w:rsidR="000E0F26">
        <w:rPr>
          <w:b/>
          <w:szCs w:val="24"/>
          <w:u w:val="single"/>
        </w:rPr>
        <w:t xml:space="preserve"> INTERIM</w:t>
      </w:r>
      <w:r w:rsidR="000E0F26" w:rsidRPr="004F5AC1">
        <w:rPr>
          <w:b/>
          <w:szCs w:val="24"/>
          <w:u w:val="single"/>
        </w:rPr>
        <w:t xml:space="preserve"> </w:t>
      </w:r>
      <w:r w:rsidR="000E0F26">
        <w:rPr>
          <w:b/>
          <w:szCs w:val="24"/>
          <w:u w:val="single"/>
        </w:rPr>
        <w:t>ORDER</w:t>
      </w:r>
    </w:p>
    <w:p w14:paraId="4544990A" w14:textId="77777777" w:rsidR="000E0F26" w:rsidRDefault="000E0F26" w:rsidP="00E166AA">
      <w:pPr>
        <w:jc w:val="center"/>
      </w:pPr>
      <w:r>
        <w:t xml:space="preserve">To </w:t>
      </w:r>
      <w:r w:rsidR="003572B7">
        <w:t>Res</w:t>
      </w:r>
      <w:r w:rsidR="00AF4A76">
        <w:t xml:space="preserve">chedule </w:t>
      </w:r>
      <w:r w:rsidR="003572B7">
        <w:t>Initial</w:t>
      </w:r>
      <w:r>
        <w:t xml:space="preserve"> Hearing</w:t>
      </w:r>
    </w:p>
    <w:p w14:paraId="73AFF98F" w14:textId="77777777" w:rsidR="000E0F26" w:rsidRPr="00C26A28" w:rsidRDefault="000E0F26" w:rsidP="00E166AA">
      <w:pPr>
        <w:pStyle w:val="Heading1"/>
        <w:jc w:val="center"/>
        <w:rPr>
          <w:szCs w:val="24"/>
        </w:rPr>
      </w:pPr>
    </w:p>
    <w:p w14:paraId="4105D67D" w14:textId="77777777" w:rsidR="000E0F26" w:rsidRPr="00AD4F10" w:rsidRDefault="000E0F26" w:rsidP="00E166AA">
      <w:pPr>
        <w:jc w:val="center"/>
      </w:pPr>
    </w:p>
    <w:p w14:paraId="180256D9" w14:textId="77777777" w:rsidR="000E0F26" w:rsidRPr="00183666" w:rsidRDefault="000E0F26" w:rsidP="00E166AA">
      <w:pPr>
        <w:jc w:val="center"/>
      </w:pPr>
      <w:r w:rsidRPr="00183666">
        <w:t>Before</w:t>
      </w:r>
    </w:p>
    <w:p w14:paraId="2CCA89B7" w14:textId="77777777" w:rsidR="000E0F26" w:rsidRPr="00183666" w:rsidRDefault="000E0F26" w:rsidP="00E166AA">
      <w:pPr>
        <w:jc w:val="center"/>
      </w:pPr>
      <w:r w:rsidRPr="005C5AB6">
        <w:t>Katrina L. Dunderdale</w:t>
      </w:r>
    </w:p>
    <w:p w14:paraId="711204DF" w14:textId="77777777" w:rsidR="000E0F26" w:rsidRPr="00183666" w:rsidRDefault="000E0F26" w:rsidP="00E166AA">
      <w:pPr>
        <w:jc w:val="center"/>
      </w:pPr>
      <w:r w:rsidRPr="00183666">
        <w:t>Administrative Law Judge</w:t>
      </w:r>
    </w:p>
    <w:p w14:paraId="5B51E595" w14:textId="77777777" w:rsidR="00304E24" w:rsidRDefault="00304E24" w:rsidP="00E166AA">
      <w:pPr>
        <w:jc w:val="center"/>
        <w:rPr>
          <w:u w:val="single"/>
        </w:rPr>
      </w:pPr>
    </w:p>
    <w:p w14:paraId="6FE167A8" w14:textId="77777777" w:rsidR="000E0F26" w:rsidRPr="004F5AC1" w:rsidRDefault="000E0F26" w:rsidP="00E166AA">
      <w:pPr>
        <w:widowControl w:val="0"/>
        <w:autoSpaceDE w:val="0"/>
        <w:autoSpaceDN w:val="0"/>
        <w:adjustRightInd w:val="0"/>
        <w:jc w:val="center"/>
        <w:rPr>
          <w:color w:val="000000"/>
          <w:w w:val="106"/>
          <w:u w:val="single"/>
        </w:rPr>
      </w:pPr>
      <w:r w:rsidRPr="004F5AC1">
        <w:rPr>
          <w:color w:val="000000"/>
          <w:w w:val="106"/>
          <w:u w:val="single"/>
        </w:rPr>
        <w:t>HISTORY OF THE PROCEEDING</w:t>
      </w:r>
    </w:p>
    <w:p w14:paraId="355292C4" w14:textId="77777777" w:rsidR="000E0F26" w:rsidRDefault="000E0F26" w:rsidP="000E0F26">
      <w:pPr>
        <w:widowControl w:val="0"/>
        <w:autoSpaceDE w:val="0"/>
        <w:autoSpaceDN w:val="0"/>
        <w:adjustRightInd w:val="0"/>
        <w:spacing w:line="360" w:lineRule="auto"/>
        <w:ind w:firstLine="720"/>
        <w:rPr>
          <w:color w:val="000000"/>
          <w:w w:val="107"/>
        </w:rPr>
      </w:pPr>
    </w:p>
    <w:p w14:paraId="3BD5310F" w14:textId="76C18B6D" w:rsidR="000E0F26" w:rsidRPr="004F5AC1" w:rsidRDefault="000E0F26" w:rsidP="000E0F26">
      <w:pPr>
        <w:widowControl w:val="0"/>
        <w:autoSpaceDE w:val="0"/>
        <w:autoSpaceDN w:val="0"/>
        <w:adjustRightInd w:val="0"/>
        <w:spacing w:line="360" w:lineRule="auto"/>
        <w:ind w:firstLine="1440"/>
        <w:rPr>
          <w:color w:val="000000"/>
          <w:w w:val="107"/>
        </w:rPr>
      </w:pPr>
      <w:r w:rsidRPr="004F5AC1">
        <w:rPr>
          <w:color w:val="000000"/>
          <w:w w:val="107"/>
        </w:rPr>
        <w:t xml:space="preserve">On </w:t>
      </w:r>
      <w:r w:rsidR="008B00CE">
        <w:rPr>
          <w:color w:val="000000"/>
          <w:w w:val="107"/>
        </w:rPr>
        <w:t>June 13, 2019</w:t>
      </w:r>
      <w:r>
        <w:rPr>
          <w:color w:val="000000"/>
          <w:w w:val="107"/>
        </w:rPr>
        <w:t xml:space="preserve">, </w:t>
      </w:r>
      <w:r w:rsidR="008B00CE">
        <w:rPr>
          <w:color w:val="000000"/>
          <w:w w:val="107"/>
        </w:rPr>
        <w:t>Joanna Hostovich</w:t>
      </w:r>
      <w:r w:rsidRPr="004F5AC1">
        <w:rPr>
          <w:color w:val="000000"/>
          <w:w w:val="107"/>
        </w:rPr>
        <w:t xml:space="preserve"> (Complainant or </w:t>
      </w:r>
      <w:r w:rsidR="003572B7">
        <w:rPr>
          <w:color w:val="000000"/>
          <w:w w:val="107"/>
        </w:rPr>
        <w:t xml:space="preserve">Ms. </w:t>
      </w:r>
      <w:r w:rsidR="008B00CE">
        <w:rPr>
          <w:color w:val="000000"/>
          <w:w w:val="107"/>
        </w:rPr>
        <w:t>Hostovich</w:t>
      </w:r>
      <w:r w:rsidRPr="004F5AC1">
        <w:rPr>
          <w:color w:val="000000"/>
          <w:w w:val="108"/>
        </w:rPr>
        <w:t xml:space="preserve">) filed a </w:t>
      </w:r>
      <w:r>
        <w:rPr>
          <w:color w:val="000000"/>
          <w:w w:val="108"/>
        </w:rPr>
        <w:t>f</w:t>
      </w:r>
      <w:r w:rsidRPr="004F5AC1">
        <w:rPr>
          <w:color w:val="000000"/>
          <w:w w:val="108"/>
        </w:rPr>
        <w:t xml:space="preserve">ormal </w:t>
      </w:r>
      <w:r>
        <w:rPr>
          <w:color w:val="000000"/>
          <w:w w:val="108"/>
        </w:rPr>
        <w:t>c</w:t>
      </w:r>
      <w:r w:rsidRPr="004F5AC1">
        <w:rPr>
          <w:color w:val="000000"/>
          <w:w w:val="108"/>
        </w:rPr>
        <w:t xml:space="preserve">omplaint </w:t>
      </w:r>
      <w:r>
        <w:rPr>
          <w:color w:val="000000"/>
          <w:w w:val="108"/>
        </w:rPr>
        <w:t xml:space="preserve">with the Pennsylvania Public Utility Commission (Commission) </w:t>
      </w:r>
      <w:r w:rsidRPr="004F5AC1">
        <w:rPr>
          <w:color w:val="000000"/>
          <w:w w:val="108"/>
        </w:rPr>
        <w:t xml:space="preserve">against </w:t>
      </w:r>
      <w:r>
        <w:rPr>
          <w:color w:val="000000"/>
          <w:w w:val="108"/>
        </w:rPr>
        <w:t xml:space="preserve">Duquesne Light Company (Respondent </w:t>
      </w:r>
      <w:r w:rsidRPr="004F5AC1">
        <w:rPr>
          <w:color w:val="000000"/>
          <w:w w:val="108"/>
        </w:rPr>
        <w:t xml:space="preserve">or </w:t>
      </w:r>
      <w:r w:rsidR="003572B7">
        <w:rPr>
          <w:color w:val="000000"/>
          <w:w w:val="108"/>
        </w:rPr>
        <w:t>Duquesne Light</w:t>
      </w:r>
      <w:r w:rsidRPr="004F5AC1">
        <w:rPr>
          <w:color w:val="000000"/>
          <w:w w:val="107"/>
        </w:rPr>
        <w:t xml:space="preserve">) </w:t>
      </w:r>
      <w:r>
        <w:rPr>
          <w:color w:val="000000"/>
          <w:w w:val="107"/>
        </w:rPr>
        <w:t xml:space="preserve">alleging Respondent </w:t>
      </w:r>
      <w:r w:rsidR="003572B7">
        <w:rPr>
          <w:color w:val="000000"/>
          <w:w w:val="107"/>
        </w:rPr>
        <w:t>threaten</w:t>
      </w:r>
      <w:r w:rsidR="008B00CE">
        <w:rPr>
          <w:color w:val="000000"/>
          <w:w w:val="107"/>
        </w:rPr>
        <w:t>ed</w:t>
      </w:r>
      <w:r w:rsidR="003572B7">
        <w:rPr>
          <w:color w:val="000000"/>
          <w:w w:val="107"/>
        </w:rPr>
        <w:t xml:space="preserve"> to shut off her electric service</w:t>
      </w:r>
      <w:r w:rsidR="008B00CE">
        <w:rPr>
          <w:color w:val="000000"/>
          <w:w w:val="107"/>
        </w:rPr>
        <w:t xml:space="preserve"> while an appeal was pending</w:t>
      </w:r>
      <w:r>
        <w:rPr>
          <w:color w:val="000000"/>
          <w:w w:val="107"/>
        </w:rPr>
        <w:t xml:space="preserve">.  Complainant </w:t>
      </w:r>
      <w:r w:rsidR="008B00CE">
        <w:rPr>
          <w:color w:val="000000"/>
          <w:w w:val="107"/>
        </w:rPr>
        <w:t xml:space="preserve">averred she did as Respondent requested but Respondent still threatened to terminate service saying Ms. Hostovich had not replied as requested.  </w:t>
      </w:r>
      <w:r w:rsidR="003572B7">
        <w:rPr>
          <w:color w:val="000000"/>
          <w:w w:val="107"/>
        </w:rPr>
        <w:t xml:space="preserve">  </w:t>
      </w:r>
      <w:r>
        <w:rPr>
          <w:color w:val="000000"/>
          <w:w w:val="107"/>
        </w:rPr>
        <w:t xml:space="preserve">  </w:t>
      </w:r>
    </w:p>
    <w:p w14:paraId="7CC7EDB4" w14:textId="77777777" w:rsidR="000E0F26" w:rsidRDefault="000E0F26" w:rsidP="000E0F26">
      <w:pPr>
        <w:widowControl w:val="0"/>
        <w:autoSpaceDE w:val="0"/>
        <w:autoSpaceDN w:val="0"/>
        <w:adjustRightInd w:val="0"/>
        <w:spacing w:line="360" w:lineRule="auto"/>
        <w:rPr>
          <w:color w:val="000000"/>
          <w:w w:val="107"/>
        </w:rPr>
      </w:pPr>
    </w:p>
    <w:p w14:paraId="1CF709C1" w14:textId="4BB80C84" w:rsidR="000E0F26" w:rsidRDefault="000E0F26" w:rsidP="000E0F26">
      <w:pPr>
        <w:widowControl w:val="0"/>
        <w:autoSpaceDE w:val="0"/>
        <w:autoSpaceDN w:val="0"/>
        <w:adjustRightInd w:val="0"/>
        <w:spacing w:line="360" w:lineRule="auto"/>
        <w:rPr>
          <w:color w:val="000000"/>
          <w:w w:val="107"/>
        </w:rPr>
      </w:pPr>
      <w:r>
        <w:rPr>
          <w:color w:val="000000"/>
          <w:w w:val="107"/>
        </w:rPr>
        <w:tab/>
      </w:r>
      <w:r>
        <w:rPr>
          <w:color w:val="000000"/>
          <w:w w:val="107"/>
        </w:rPr>
        <w:tab/>
        <w:t xml:space="preserve">On </w:t>
      </w:r>
      <w:r w:rsidR="003572B7">
        <w:rPr>
          <w:color w:val="000000"/>
          <w:w w:val="107"/>
        </w:rPr>
        <w:t xml:space="preserve">July </w:t>
      </w:r>
      <w:r w:rsidR="008B00CE">
        <w:rPr>
          <w:color w:val="000000"/>
          <w:w w:val="107"/>
        </w:rPr>
        <w:t>8, 2019</w:t>
      </w:r>
      <w:r>
        <w:rPr>
          <w:color w:val="000000"/>
          <w:w w:val="107"/>
        </w:rPr>
        <w:t xml:space="preserve">, </w:t>
      </w:r>
      <w:r w:rsidR="003572B7">
        <w:rPr>
          <w:color w:val="000000"/>
          <w:w w:val="107"/>
        </w:rPr>
        <w:t>Duquesne Light</w:t>
      </w:r>
      <w:r>
        <w:rPr>
          <w:color w:val="000000"/>
          <w:w w:val="107"/>
        </w:rPr>
        <w:t xml:space="preserve"> filed </w:t>
      </w:r>
      <w:r w:rsidR="003572B7">
        <w:rPr>
          <w:color w:val="000000"/>
          <w:w w:val="107"/>
        </w:rPr>
        <w:t xml:space="preserve">its Answer and denied all material allegations.  Duquesne Light averred it correctly sent Complainant a termination notice for non-payment on </w:t>
      </w:r>
      <w:r w:rsidR="008B00CE">
        <w:rPr>
          <w:color w:val="000000"/>
          <w:w w:val="107"/>
        </w:rPr>
        <w:t>June 4, 2019.  Respondent asserted it did not seek termination of service until after the date Complainant could appeal t</w:t>
      </w:r>
      <w:bookmarkStart w:id="0" w:name="_GoBack"/>
      <w:bookmarkEnd w:id="0"/>
      <w:r w:rsidR="008B00CE">
        <w:rPr>
          <w:color w:val="000000"/>
          <w:w w:val="107"/>
        </w:rPr>
        <w:t xml:space="preserve">he dismissal of her informal complaint by the Bureau of Consumer Services on May 8, 2019 at BCS Docket No. 3641550.  Duquesne Light </w:t>
      </w:r>
      <w:r w:rsidR="003572B7">
        <w:rPr>
          <w:color w:val="000000"/>
          <w:w w:val="107"/>
        </w:rPr>
        <w:t xml:space="preserve">asserted Complainant </w:t>
      </w:r>
      <w:r w:rsidR="008B00CE">
        <w:rPr>
          <w:color w:val="000000"/>
          <w:w w:val="107"/>
        </w:rPr>
        <w:t xml:space="preserve">failed to complete a Smart Comfort visit and contended Complainant </w:t>
      </w:r>
      <w:r w:rsidR="003572B7">
        <w:rPr>
          <w:color w:val="000000"/>
          <w:w w:val="107"/>
        </w:rPr>
        <w:t>owed it $2</w:t>
      </w:r>
      <w:r w:rsidR="008B00CE">
        <w:rPr>
          <w:color w:val="000000"/>
          <w:w w:val="107"/>
        </w:rPr>
        <w:t>,945.34 as of June 18, 2019</w:t>
      </w:r>
      <w:r w:rsidR="003572B7">
        <w:rPr>
          <w:color w:val="000000"/>
          <w:w w:val="107"/>
        </w:rPr>
        <w:t xml:space="preserve">.  </w:t>
      </w:r>
      <w:r>
        <w:rPr>
          <w:color w:val="000000"/>
          <w:w w:val="107"/>
        </w:rPr>
        <w:t xml:space="preserve">  </w:t>
      </w:r>
    </w:p>
    <w:p w14:paraId="4C3DF23A" w14:textId="77777777" w:rsidR="000E0F26" w:rsidRDefault="000E0F26" w:rsidP="000E0F26">
      <w:pPr>
        <w:widowControl w:val="0"/>
        <w:autoSpaceDE w:val="0"/>
        <w:autoSpaceDN w:val="0"/>
        <w:adjustRightInd w:val="0"/>
        <w:spacing w:line="360" w:lineRule="auto"/>
        <w:rPr>
          <w:color w:val="000000"/>
          <w:w w:val="107"/>
        </w:rPr>
      </w:pPr>
    </w:p>
    <w:p w14:paraId="7F826EFD" w14:textId="7069DCA0" w:rsidR="00EB3D40" w:rsidRDefault="00EB3D40" w:rsidP="00EB3D40">
      <w:pPr>
        <w:spacing w:line="360" w:lineRule="auto"/>
        <w:ind w:firstLine="1440"/>
      </w:pPr>
      <w:r w:rsidRPr="00286C99">
        <w:lastRenderedPageBreak/>
        <w:t xml:space="preserve">On </w:t>
      </w:r>
      <w:r w:rsidR="00AE5E9B">
        <w:t>July 11, 2019</w:t>
      </w:r>
      <w:r w:rsidRPr="00286C99">
        <w:t>, the Commission issued a</w:t>
      </w:r>
      <w:r>
        <w:t xml:space="preserve"> Call-In Telephonic</w:t>
      </w:r>
      <w:r w:rsidRPr="00286C99">
        <w:t xml:space="preserve"> Hearing Notice scheduling </w:t>
      </w:r>
      <w:r>
        <w:t>this matter to be heard at an</w:t>
      </w:r>
      <w:r w:rsidRPr="00286C99">
        <w:t xml:space="preserve"> initial telephonic hearing on </w:t>
      </w:r>
      <w:r w:rsidR="00AE5E9B">
        <w:t>Wednesday, August 14, 2019</w:t>
      </w:r>
      <w:r>
        <w:t xml:space="preserve"> from</w:t>
      </w:r>
      <w:r w:rsidRPr="00286C99">
        <w:t xml:space="preserve"> the Commission’s offices in Pittsburgh, Pennsylvania.  </w:t>
      </w:r>
      <w:r>
        <w:t xml:space="preserve">On </w:t>
      </w:r>
      <w:r w:rsidR="00AE5E9B">
        <w:t>July 23, 2019</w:t>
      </w:r>
      <w:r>
        <w:t>, the presiding officer issued the Prehearing Order which outlined various procedural matters, including how to request a continuance.</w:t>
      </w:r>
    </w:p>
    <w:p w14:paraId="49E8CA88" w14:textId="77777777" w:rsidR="000E0F26" w:rsidRDefault="000E0F26" w:rsidP="000E0F26">
      <w:pPr>
        <w:widowControl w:val="0"/>
        <w:autoSpaceDE w:val="0"/>
        <w:autoSpaceDN w:val="0"/>
        <w:adjustRightInd w:val="0"/>
        <w:spacing w:line="360" w:lineRule="auto"/>
        <w:ind w:firstLine="1440"/>
        <w:rPr>
          <w:color w:val="000000"/>
          <w:w w:val="107"/>
        </w:rPr>
      </w:pPr>
      <w:r>
        <w:rPr>
          <w:color w:val="000000"/>
          <w:w w:val="107"/>
        </w:rPr>
        <w:t xml:space="preserve"> </w:t>
      </w:r>
    </w:p>
    <w:p w14:paraId="5F08D7BF" w14:textId="3BCC3603" w:rsidR="00AE5E9B" w:rsidRDefault="007A37B5" w:rsidP="00E228CF">
      <w:pPr>
        <w:spacing w:line="360" w:lineRule="auto"/>
        <w:ind w:firstLine="1440"/>
      </w:pPr>
      <w:r>
        <w:t xml:space="preserve">On </w:t>
      </w:r>
      <w:r w:rsidR="00AE5E9B">
        <w:t>August 9, 2019</w:t>
      </w:r>
      <w:r>
        <w:t xml:space="preserve">, </w:t>
      </w:r>
      <w:r w:rsidR="003745AE">
        <w:t xml:space="preserve">the presiding officer received a hand-written letter </w:t>
      </w:r>
      <w:r w:rsidR="00AE5E9B">
        <w:t xml:space="preserve">via facsimile </w:t>
      </w:r>
      <w:r w:rsidR="003745AE">
        <w:t xml:space="preserve">from Ms. </w:t>
      </w:r>
      <w:r w:rsidR="00AE5E9B">
        <w:t>Hostovich</w:t>
      </w:r>
      <w:r w:rsidR="003745AE">
        <w:t xml:space="preserve"> which requested a continuance</w:t>
      </w:r>
      <w:r w:rsidR="00AE5E9B">
        <w:t>.  Complainant indicated she was waiting on phone records which would confirm her statements submitted to the Commission.  Complainant did not provide a copy of the continuance request to Duquesne Light.</w:t>
      </w:r>
    </w:p>
    <w:p w14:paraId="2ED985F8" w14:textId="77777777" w:rsidR="00AE5E9B" w:rsidRDefault="00AE5E9B" w:rsidP="00E228CF">
      <w:pPr>
        <w:spacing w:line="360" w:lineRule="auto"/>
        <w:ind w:firstLine="1440"/>
      </w:pPr>
    </w:p>
    <w:p w14:paraId="02AEAF88" w14:textId="6ABE030A" w:rsidR="003268F9" w:rsidRDefault="00AF4A76" w:rsidP="00E228CF">
      <w:pPr>
        <w:spacing w:line="360" w:lineRule="auto"/>
        <w:ind w:firstLine="1440"/>
      </w:pPr>
      <w:r>
        <w:t xml:space="preserve">On </w:t>
      </w:r>
      <w:r w:rsidR="00AE5E9B">
        <w:t>August 9, 2019</w:t>
      </w:r>
      <w:r>
        <w:t xml:space="preserve">, </w:t>
      </w:r>
      <w:r w:rsidR="003745AE">
        <w:t>the presiding office</w:t>
      </w:r>
      <w:r w:rsidR="00AE5E9B">
        <w:t>r</w:t>
      </w:r>
      <w:r w:rsidR="003745AE">
        <w:t xml:space="preserve"> </w:t>
      </w:r>
      <w:r w:rsidR="00AE5E9B">
        <w:t>sent</w:t>
      </w:r>
      <w:r w:rsidR="003745AE">
        <w:t xml:space="preserve"> a copy of </w:t>
      </w:r>
      <w:r w:rsidR="003572B7">
        <w:t xml:space="preserve">Ms. </w:t>
      </w:r>
      <w:r w:rsidR="00AE5E9B">
        <w:t xml:space="preserve">Hostovich’s </w:t>
      </w:r>
      <w:r w:rsidR="003745AE">
        <w:t>con</w:t>
      </w:r>
      <w:r>
        <w:t xml:space="preserve">tinuance request to </w:t>
      </w:r>
      <w:r w:rsidR="003745AE">
        <w:t>counsel for D</w:t>
      </w:r>
      <w:r>
        <w:t>uquesne Light</w:t>
      </w:r>
      <w:r w:rsidR="003745AE">
        <w:t>.  Counsel indicated</w:t>
      </w:r>
      <w:r w:rsidR="003D4B79">
        <w:t xml:space="preserve"> it had </w:t>
      </w:r>
      <w:r w:rsidR="00AE5E9B">
        <w:t>been unsuccessful in speaking with Complainant.  Duquesne Light objected</w:t>
      </w:r>
      <w:r w:rsidR="003D4B79">
        <w:t xml:space="preserve"> to the continuance</w:t>
      </w:r>
      <w:r w:rsidR="00AE5E9B">
        <w:t xml:space="preserve"> but provided three possible dates if the presiding officer granted the continuance request</w:t>
      </w:r>
      <w:r w:rsidR="003D4B79">
        <w:t>.</w:t>
      </w:r>
    </w:p>
    <w:p w14:paraId="0290AC02" w14:textId="77777777" w:rsidR="003D4B79" w:rsidRDefault="003D4B79" w:rsidP="00E228CF">
      <w:pPr>
        <w:spacing w:line="360" w:lineRule="auto"/>
        <w:ind w:firstLine="1440"/>
      </w:pPr>
    </w:p>
    <w:p w14:paraId="29DB9553" w14:textId="77777777" w:rsidR="00AE5E9B" w:rsidRDefault="00AE5E9B" w:rsidP="003D4B79">
      <w:pPr>
        <w:spacing w:line="360" w:lineRule="auto"/>
        <w:ind w:firstLine="1440"/>
      </w:pPr>
      <w:r>
        <w:t xml:space="preserve">Part of the allegations in this proceeding are whether Complainant complied with requirements in the Smart Comfort program, which would enable her to continue her participation in Duquesne Light’s customer assistance program.  Complainant alleged she made the calls required by Duquesne Light but Duquesne Light still threatened to terminate service.  The continuance request indicates Complainant was waiting on telephone records which would show she had made the telephone calls she said she would make.  Accordingly, it appears from the continuance request that the calls Complainant made or did not make to Duquesne Light are important to the presentation of Complainant’s allegations.  </w:t>
      </w:r>
    </w:p>
    <w:p w14:paraId="54CD5B8E" w14:textId="77777777" w:rsidR="00AE5E9B" w:rsidRDefault="00AE5E9B" w:rsidP="003D4B79">
      <w:pPr>
        <w:spacing w:line="360" w:lineRule="auto"/>
        <w:ind w:firstLine="1440"/>
      </w:pPr>
    </w:p>
    <w:p w14:paraId="1C336CB4" w14:textId="77777777" w:rsidR="009A59AC" w:rsidRDefault="005A04AC" w:rsidP="003D4B79">
      <w:pPr>
        <w:spacing w:line="360" w:lineRule="auto"/>
        <w:ind w:firstLine="1440"/>
      </w:pPr>
      <w:r>
        <w:t>A</w:t>
      </w:r>
      <w:r w:rsidR="00E228CF">
        <w:t xml:space="preserve"> review of </w:t>
      </w:r>
      <w:r w:rsidR="003572B7">
        <w:t xml:space="preserve">Ms. </w:t>
      </w:r>
      <w:r w:rsidR="00AE5E9B">
        <w:t>Hostovich</w:t>
      </w:r>
      <w:r w:rsidR="00AF4A76">
        <w:t>’s</w:t>
      </w:r>
      <w:r w:rsidR="00E228CF">
        <w:t xml:space="preserve"> request leads to the conclusion a s</w:t>
      </w:r>
      <w:r w:rsidR="003D4B79">
        <w:t xml:space="preserve">ufficient cause exists under the circumstances.  </w:t>
      </w:r>
      <w:r w:rsidR="00AE5E9B">
        <w:t>Complainant</w:t>
      </w:r>
      <w:r w:rsidR="003D4B79">
        <w:t xml:space="preserve"> notes </w:t>
      </w:r>
      <w:r w:rsidR="00AE5E9B">
        <w:t>she is awaiting telephone records and expected to have those records at least one week before the hearing.  In f</w:t>
      </w:r>
      <w:r w:rsidR="003D4B79">
        <w:t>act</w:t>
      </w:r>
      <w:r w:rsidR="00AE5E9B">
        <w:t>, Complainant asserts</w:t>
      </w:r>
      <w:r w:rsidR="003D4B79">
        <w:t xml:space="preserve"> she is waiting to receive </w:t>
      </w:r>
      <w:r w:rsidR="00AE5E9B">
        <w:t xml:space="preserve">those documents and would like a continuance so she might </w:t>
      </w:r>
      <w:r w:rsidR="009A59AC">
        <w:t xml:space="preserve">provide them to Duquesne Light one week prior to the hearing and then </w:t>
      </w:r>
      <w:r w:rsidR="00AE5E9B">
        <w:t xml:space="preserve">present them </w:t>
      </w:r>
      <w:r w:rsidR="009A59AC">
        <w:t>as evidence at the initial hearing</w:t>
      </w:r>
      <w:r w:rsidR="003D4B79">
        <w:t xml:space="preserve">.  </w:t>
      </w:r>
    </w:p>
    <w:p w14:paraId="032373AB" w14:textId="232E7A14" w:rsidR="002D33CF" w:rsidRDefault="005A04AC" w:rsidP="003D4B79">
      <w:pPr>
        <w:spacing w:line="360" w:lineRule="auto"/>
        <w:ind w:firstLine="1440"/>
      </w:pPr>
      <w:r>
        <w:lastRenderedPageBreak/>
        <w:t>T</w:t>
      </w:r>
      <w:r w:rsidR="00E228CF">
        <w:t xml:space="preserve">he facts lead to the conclusion </w:t>
      </w:r>
      <w:r w:rsidR="00AF4A76">
        <w:t>there is</w:t>
      </w:r>
      <w:r w:rsidR="00E228CF">
        <w:t xml:space="preserve"> a need for a </w:t>
      </w:r>
      <w:r w:rsidR="00AF4A76">
        <w:t xml:space="preserve">short </w:t>
      </w:r>
      <w:r w:rsidR="00E228CF">
        <w:t xml:space="preserve">continuance, and </w:t>
      </w:r>
      <w:r>
        <w:t>the request</w:t>
      </w:r>
      <w:r w:rsidR="00E228CF">
        <w:t xml:space="preserve"> shows sufficient cause exists, under the circumstances.  </w:t>
      </w:r>
      <w:r w:rsidR="009200E3">
        <w:t>Pursuant to 52 Pa.Code §</w:t>
      </w:r>
      <w:r w:rsidR="00CB15E9">
        <w:t xml:space="preserve"> </w:t>
      </w:r>
      <w:r w:rsidR="009200E3">
        <w:t xml:space="preserve">1.15, extensions of time may be granted by the presiding officer for good cause shown upon a motion filed by a party.  Complainant’s request for a continuance is reasonable and the request will be granted.  </w:t>
      </w:r>
    </w:p>
    <w:p w14:paraId="02190E4F" w14:textId="77777777" w:rsidR="003D4B79" w:rsidRDefault="003D4B79" w:rsidP="003D4B79">
      <w:pPr>
        <w:spacing w:line="360" w:lineRule="auto"/>
        <w:ind w:firstLine="1440"/>
      </w:pPr>
    </w:p>
    <w:p w14:paraId="1646987A" w14:textId="77777777" w:rsidR="00E228CF" w:rsidRPr="008D3233" w:rsidRDefault="002D33CF" w:rsidP="00E228CF">
      <w:pPr>
        <w:spacing w:line="360" w:lineRule="auto"/>
        <w:rPr>
          <w:bCs/>
        </w:rPr>
      </w:pPr>
      <w:r>
        <w:rPr>
          <w:b/>
        </w:rPr>
        <w:tab/>
      </w:r>
      <w:r>
        <w:rPr>
          <w:b/>
        </w:rPr>
        <w:tab/>
      </w:r>
      <w:r w:rsidR="00E228CF" w:rsidRPr="008D3233">
        <w:rPr>
          <w:bCs/>
        </w:rPr>
        <w:t xml:space="preserve">THEREFORE, </w:t>
      </w:r>
    </w:p>
    <w:p w14:paraId="2D543E51" w14:textId="77777777" w:rsidR="00E228CF" w:rsidRPr="008D3233" w:rsidRDefault="00E228CF" w:rsidP="00E228CF">
      <w:pPr>
        <w:spacing w:line="360" w:lineRule="auto"/>
        <w:rPr>
          <w:bCs/>
        </w:rPr>
      </w:pPr>
    </w:p>
    <w:p w14:paraId="13E76CA4" w14:textId="77777777" w:rsidR="00E228CF" w:rsidRPr="008D3233" w:rsidRDefault="00E228CF" w:rsidP="00E228CF">
      <w:pPr>
        <w:spacing w:line="360" w:lineRule="auto"/>
        <w:ind w:firstLine="1440"/>
        <w:rPr>
          <w:bCs/>
        </w:rPr>
      </w:pPr>
      <w:r w:rsidRPr="008D3233">
        <w:rPr>
          <w:bCs/>
        </w:rPr>
        <w:t xml:space="preserve">IT IS ORDERED: </w:t>
      </w:r>
    </w:p>
    <w:p w14:paraId="303F806F" w14:textId="77777777" w:rsidR="00E228CF" w:rsidRPr="006F7437" w:rsidRDefault="00E228CF" w:rsidP="00E228CF">
      <w:pPr>
        <w:spacing w:line="360" w:lineRule="auto"/>
      </w:pPr>
    </w:p>
    <w:p w14:paraId="0F2EE64A" w14:textId="7B1573CC" w:rsidR="00E228CF" w:rsidRDefault="00E228CF" w:rsidP="00E228CF">
      <w:pPr>
        <w:spacing w:line="360" w:lineRule="auto"/>
      </w:pPr>
      <w:r w:rsidRPr="006F7437">
        <w:tab/>
      </w:r>
      <w:r w:rsidRPr="006F7437">
        <w:tab/>
      </w:r>
      <w:r>
        <w:t xml:space="preserve">That the </w:t>
      </w:r>
      <w:r w:rsidR="00AF4A76">
        <w:t>request</w:t>
      </w:r>
      <w:r>
        <w:t xml:space="preserve"> for a continuance </w:t>
      </w:r>
      <w:r w:rsidR="00AF4A76">
        <w:t xml:space="preserve">requested by </w:t>
      </w:r>
      <w:r w:rsidR="009200E3">
        <w:t>Joanna Hostovich</w:t>
      </w:r>
      <w:r w:rsidR="003D4B79">
        <w:t xml:space="preserve"> is</w:t>
      </w:r>
      <w:r>
        <w:t xml:space="preserve"> granted.  The parties will receive a new Hearing Notice from the Commission which sets forth </w:t>
      </w:r>
      <w:r w:rsidR="009200E3">
        <w:t>Monday, August 26, 2019 at 10:00 a.m. as the new</w:t>
      </w:r>
      <w:r>
        <w:t xml:space="preserve"> date </w:t>
      </w:r>
      <w:r w:rsidR="00AF4A76">
        <w:t xml:space="preserve">and time </w:t>
      </w:r>
      <w:r>
        <w:t xml:space="preserve">for </w:t>
      </w:r>
      <w:r w:rsidR="003D4B79">
        <w:t xml:space="preserve">a </w:t>
      </w:r>
      <w:r w:rsidR="009200E3">
        <w:t xml:space="preserve">Call-In </w:t>
      </w:r>
      <w:r w:rsidR="003D4B79">
        <w:t>Telephonic</w:t>
      </w:r>
      <w:r>
        <w:t xml:space="preserve"> </w:t>
      </w:r>
      <w:r w:rsidR="003D4B79">
        <w:t>Initial</w:t>
      </w:r>
      <w:r>
        <w:t xml:space="preserve"> Hearing.</w:t>
      </w:r>
    </w:p>
    <w:p w14:paraId="15454EB2" w14:textId="77777777" w:rsidR="00E228CF" w:rsidRDefault="00E228CF" w:rsidP="00E228CF">
      <w:pPr>
        <w:spacing w:line="360" w:lineRule="auto"/>
      </w:pPr>
    </w:p>
    <w:p w14:paraId="1EE8C3C7" w14:textId="77777777" w:rsidR="00E228CF" w:rsidRDefault="00E228CF" w:rsidP="00E228CF">
      <w:pPr>
        <w:spacing w:line="360" w:lineRule="auto"/>
      </w:pPr>
    </w:p>
    <w:p w14:paraId="140D1BB8" w14:textId="4DF53B8F" w:rsidR="00E166AA" w:rsidRPr="00AA7F23" w:rsidRDefault="00E166AA" w:rsidP="00E166AA">
      <w:pPr>
        <w:widowControl w:val="0"/>
        <w:tabs>
          <w:tab w:val="left" w:pos="0"/>
        </w:tabs>
        <w:autoSpaceDE w:val="0"/>
        <w:autoSpaceDN w:val="0"/>
        <w:adjustRightInd w:val="0"/>
        <w:jc w:val="both"/>
        <w:rPr>
          <w:u w:val="single"/>
        </w:rPr>
      </w:pPr>
      <w:r w:rsidRPr="00AA7F23">
        <w:t xml:space="preserve">Date:  </w:t>
      </w:r>
      <w:r>
        <w:rPr>
          <w:u w:val="single"/>
        </w:rPr>
        <w:t>August 12, 2019</w:t>
      </w:r>
      <w:r w:rsidRPr="00AA7F23">
        <w:tab/>
      </w:r>
      <w:r w:rsidRPr="00AA7F23">
        <w:tab/>
      </w:r>
      <w:r w:rsidRPr="00AA7F23">
        <w:tab/>
      </w:r>
      <w:r w:rsidRPr="00AA7F23">
        <w:tab/>
      </w:r>
      <w:r>
        <w:tab/>
      </w:r>
      <w:r w:rsidRPr="00AA7F23">
        <w:rPr>
          <w:u w:val="single"/>
        </w:rPr>
        <w:tab/>
      </w:r>
      <w:r w:rsidRPr="00AA7F23">
        <w:rPr>
          <w:u w:val="single"/>
        </w:rPr>
        <w:tab/>
        <w:t>/s/</w:t>
      </w:r>
      <w:r w:rsidRPr="00AA7F23">
        <w:rPr>
          <w:u w:val="single"/>
        </w:rPr>
        <w:tab/>
      </w:r>
      <w:r w:rsidRPr="00AA7F23">
        <w:rPr>
          <w:u w:val="single"/>
        </w:rPr>
        <w:tab/>
      </w:r>
      <w:r w:rsidRPr="00AA7F23">
        <w:rPr>
          <w:u w:val="single"/>
        </w:rPr>
        <w:tab/>
      </w:r>
    </w:p>
    <w:p w14:paraId="55ED2C06" w14:textId="77777777" w:rsidR="00E166AA" w:rsidRPr="00AA7F23" w:rsidRDefault="00E166AA" w:rsidP="00E166AA">
      <w:pPr>
        <w:widowControl w:val="0"/>
        <w:tabs>
          <w:tab w:val="left" w:pos="0"/>
        </w:tabs>
        <w:autoSpaceDE w:val="0"/>
        <w:autoSpaceDN w:val="0"/>
        <w:adjustRightInd w:val="0"/>
        <w:jc w:val="both"/>
      </w:pPr>
      <w:r w:rsidRPr="00AA7F23">
        <w:tab/>
      </w:r>
      <w:r w:rsidRPr="00AA7F23">
        <w:tab/>
      </w:r>
      <w:r w:rsidRPr="00AA7F23">
        <w:tab/>
      </w:r>
      <w:r w:rsidRPr="00AA7F23">
        <w:tab/>
      </w:r>
      <w:r w:rsidRPr="00AA7F23">
        <w:tab/>
      </w:r>
      <w:r w:rsidRPr="00AA7F23">
        <w:tab/>
      </w:r>
      <w:r w:rsidRPr="00AA7F23">
        <w:tab/>
      </w:r>
      <w:r>
        <w:tab/>
      </w:r>
      <w:r w:rsidRPr="00AA7F23">
        <w:t>Katrina L. Dunderdale</w:t>
      </w:r>
    </w:p>
    <w:p w14:paraId="06BEB547" w14:textId="77777777" w:rsidR="00E166AA" w:rsidRPr="00AA7F23" w:rsidRDefault="00E166AA" w:rsidP="00E166AA">
      <w:pPr>
        <w:widowControl w:val="0"/>
        <w:tabs>
          <w:tab w:val="left" w:pos="0"/>
        </w:tabs>
        <w:autoSpaceDE w:val="0"/>
        <w:autoSpaceDN w:val="0"/>
        <w:adjustRightInd w:val="0"/>
        <w:jc w:val="both"/>
      </w:pPr>
      <w:r w:rsidRPr="00AA7F23">
        <w:tab/>
      </w:r>
      <w:r w:rsidRPr="00AA7F23">
        <w:tab/>
      </w:r>
      <w:r w:rsidRPr="00AA7F23">
        <w:tab/>
      </w:r>
      <w:r w:rsidRPr="00AA7F23">
        <w:tab/>
      </w:r>
      <w:r w:rsidRPr="00AA7F23">
        <w:tab/>
      </w:r>
      <w:r w:rsidRPr="00AA7F23">
        <w:tab/>
      </w:r>
      <w:r w:rsidRPr="00AA7F23">
        <w:tab/>
      </w:r>
      <w:r>
        <w:tab/>
      </w:r>
      <w:r w:rsidRPr="00AA7F23">
        <w:t>Administrative Law Judge</w:t>
      </w:r>
    </w:p>
    <w:p w14:paraId="3AE13DB6" w14:textId="77777777" w:rsidR="008D3233" w:rsidRDefault="008D3233" w:rsidP="00E166AA">
      <w:pPr>
        <w:spacing w:line="360" w:lineRule="auto"/>
        <w:ind w:firstLine="1440"/>
        <w:sectPr w:rsidR="008D3233" w:rsidSect="00031BA6">
          <w:footerReference w:type="default" r:id="rId6"/>
          <w:pgSz w:w="12240" w:h="15840" w:code="1"/>
          <w:pgMar w:top="1440" w:right="1440" w:bottom="1440" w:left="1440" w:header="1440" w:footer="720" w:gutter="0"/>
          <w:cols w:space="720"/>
          <w:titlePg/>
          <w:docGrid w:linePitch="360"/>
        </w:sectPr>
      </w:pPr>
    </w:p>
    <w:p w14:paraId="6E094848" w14:textId="77777777" w:rsidR="008D3233" w:rsidRPr="008D3233" w:rsidRDefault="008D3233" w:rsidP="008D3233">
      <w:pPr>
        <w:spacing w:after="160" w:line="259" w:lineRule="auto"/>
        <w:rPr>
          <w:rFonts w:ascii="Microsoft Sans Serif" w:eastAsia="Microsoft Sans Serif" w:hAnsi="Microsoft Sans Serif" w:cs="Microsoft Sans Serif"/>
          <w:b/>
          <w:bCs/>
          <w:szCs w:val="22"/>
        </w:rPr>
      </w:pPr>
      <w:r w:rsidRPr="008D3233">
        <w:rPr>
          <w:rFonts w:ascii="Microsoft Sans Serif" w:eastAsia="Microsoft Sans Serif" w:hAnsi="Microsoft Sans Serif" w:cs="Microsoft Sans Serif"/>
          <w:b/>
          <w:szCs w:val="22"/>
          <w:u w:val="single"/>
        </w:rPr>
        <w:lastRenderedPageBreak/>
        <w:t>F-2019-3010932 - JOANNA HOSTOVICH v. DUQUESNE LIGHT COMPANY</w:t>
      </w:r>
      <w:r w:rsidRPr="008D3233">
        <w:rPr>
          <w:rFonts w:ascii="Microsoft Sans Serif" w:eastAsia="Microsoft Sans Serif" w:hAnsi="Microsoft Sans Serif" w:cs="Microsoft Sans Serif"/>
          <w:b/>
          <w:szCs w:val="22"/>
          <w:u w:val="single"/>
        </w:rPr>
        <w:cr/>
      </w:r>
      <w:r w:rsidRPr="008D3233">
        <w:rPr>
          <w:rFonts w:ascii="Microsoft Sans Serif" w:eastAsia="Microsoft Sans Serif" w:hAnsi="Microsoft Sans Serif" w:cs="Microsoft Sans Serif"/>
          <w:b/>
          <w:szCs w:val="22"/>
          <w:u w:val="single"/>
        </w:rPr>
        <w:cr/>
      </w:r>
      <w:bookmarkStart w:id="1" w:name="_Hlk16500414"/>
      <w:r w:rsidRPr="008D3233">
        <w:rPr>
          <w:rFonts w:ascii="Microsoft Sans Serif" w:eastAsia="Microsoft Sans Serif" w:hAnsi="Microsoft Sans Serif" w:cs="Microsoft Sans Serif"/>
          <w:szCs w:val="22"/>
        </w:rPr>
        <w:t>JOANNA HOSTOVICH</w:t>
      </w:r>
      <w:r w:rsidRPr="008D3233">
        <w:rPr>
          <w:rFonts w:ascii="Microsoft Sans Serif" w:eastAsia="Microsoft Sans Serif" w:hAnsi="Microsoft Sans Serif" w:cs="Microsoft Sans Serif"/>
          <w:szCs w:val="22"/>
        </w:rPr>
        <w:cr/>
        <w:t>413 E 11TH ST</w:t>
      </w:r>
      <w:r w:rsidRPr="008D3233">
        <w:rPr>
          <w:rFonts w:ascii="Microsoft Sans Serif" w:eastAsia="Microsoft Sans Serif" w:hAnsi="Microsoft Sans Serif" w:cs="Microsoft Sans Serif"/>
          <w:szCs w:val="22"/>
        </w:rPr>
        <w:cr/>
        <w:t>HOMESTEAD PA  15120</w:t>
      </w:r>
      <w:r w:rsidRPr="008D3233">
        <w:rPr>
          <w:rFonts w:ascii="Microsoft Sans Serif" w:eastAsia="Microsoft Sans Serif" w:hAnsi="Microsoft Sans Serif" w:cs="Microsoft Sans Serif"/>
          <w:szCs w:val="22"/>
        </w:rPr>
        <w:cr/>
      </w:r>
      <w:bookmarkEnd w:id="1"/>
      <w:r w:rsidRPr="008D3233">
        <w:rPr>
          <w:rFonts w:ascii="Microsoft Sans Serif" w:eastAsia="Microsoft Sans Serif" w:hAnsi="Microsoft Sans Serif" w:cs="Microsoft Sans Serif"/>
          <w:b/>
          <w:bCs/>
          <w:szCs w:val="22"/>
        </w:rPr>
        <w:t>412.425.5024</w:t>
      </w:r>
      <w:r w:rsidRPr="008D3233">
        <w:rPr>
          <w:rFonts w:ascii="Microsoft Sans Serif" w:eastAsia="Microsoft Sans Serif" w:hAnsi="Microsoft Sans Serif" w:cs="Microsoft Sans Serif"/>
          <w:b/>
          <w:bCs/>
          <w:szCs w:val="22"/>
        </w:rPr>
        <w:cr/>
      </w:r>
      <w:r w:rsidRPr="008D3233">
        <w:rPr>
          <w:rFonts w:ascii="Microsoft Sans Serif" w:eastAsia="Microsoft Sans Serif" w:hAnsi="Microsoft Sans Serif" w:cs="Microsoft Sans Serif"/>
          <w:szCs w:val="22"/>
        </w:rPr>
        <w:cr/>
        <w:t>EMILY M FARAH COUNSEL</w:t>
      </w:r>
      <w:r w:rsidRPr="008D3233">
        <w:rPr>
          <w:rFonts w:ascii="Microsoft Sans Serif" w:eastAsia="Microsoft Sans Serif" w:hAnsi="Microsoft Sans Serif" w:cs="Microsoft Sans Serif"/>
          <w:szCs w:val="22"/>
        </w:rPr>
        <w:cr/>
        <w:t>DUQUESNE LIGHT COMPANY</w:t>
      </w:r>
      <w:r w:rsidRPr="008D3233">
        <w:rPr>
          <w:rFonts w:ascii="Microsoft Sans Serif" w:eastAsia="Microsoft Sans Serif" w:hAnsi="Microsoft Sans Serif" w:cs="Microsoft Sans Serif"/>
          <w:szCs w:val="22"/>
        </w:rPr>
        <w:cr/>
        <w:t>411 SEVENTH AVENUE</w:t>
      </w:r>
      <w:r w:rsidRPr="008D3233">
        <w:rPr>
          <w:rFonts w:ascii="Microsoft Sans Serif" w:eastAsia="Microsoft Sans Serif" w:hAnsi="Microsoft Sans Serif" w:cs="Microsoft Sans Serif"/>
          <w:szCs w:val="22"/>
        </w:rPr>
        <w:cr/>
        <w:t>PITTSBURGH PA  15219</w:t>
      </w:r>
      <w:r w:rsidRPr="008D3233">
        <w:rPr>
          <w:rFonts w:ascii="Microsoft Sans Serif" w:eastAsia="Microsoft Sans Serif" w:hAnsi="Microsoft Sans Serif" w:cs="Microsoft Sans Serif"/>
          <w:szCs w:val="22"/>
        </w:rPr>
        <w:cr/>
      </w:r>
      <w:r w:rsidRPr="008D3233">
        <w:rPr>
          <w:rFonts w:ascii="Microsoft Sans Serif" w:eastAsia="Microsoft Sans Serif" w:hAnsi="Microsoft Sans Serif" w:cs="Microsoft Sans Serif"/>
          <w:b/>
          <w:bCs/>
          <w:szCs w:val="22"/>
        </w:rPr>
        <w:t>412.393.6431</w:t>
      </w:r>
      <w:r w:rsidRPr="008D3233">
        <w:rPr>
          <w:rFonts w:ascii="Microsoft Sans Serif" w:eastAsia="Microsoft Sans Serif" w:hAnsi="Microsoft Sans Serif" w:cs="Microsoft Sans Serif"/>
          <w:b/>
          <w:bCs/>
          <w:szCs w:val="22"/>
        </w:rPr>
        <w:br/>
      </w:r>
      <w:r w:rsidRPr="008D3233">
        <w:rPr>
          <w:rFonts w:ascii="Microsoft Sans Serif" w:eastAsia="Microsoft Sans Serif" w:hAnsi="Microsoft Sans Serif" w:cs="Microsoft Sans Serif"/>
          <w:b/>
          <w:bCs/>
          <w:i/>
          <w:iCs/>
          <w:szCs w:val="22"/>
          <w:u w:val="single"/>
        </w:rPr>
        <w:t>ACCEPTS E-SERVICE</w:t>
      </w:r>
    </w:p>
    <w:p w14:paraId="6A729B3E" w14:textId="20DC34C5" w:rsidR="00304E24" w:rsidRPr="00A23DD3" w:rsidRDefault="00304E24" w:rsidP="008D3233">
      <w:pPr>
        <w:spacing w:line="360" w:lineRule="auto"/>
      </w:pPr>
    </w:p>
    <w:sectPr w:rsidR="00304E24" w:rsidRPr="00A23DD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80CCDA" w14:textId="77777777" w:rsidR="00992479" w:rsidRDefault="00992479" w:rsidP="00A00277">
      <w:r>
        <w:separator/>
      </w:r>
    </w:p>
  </w:endnote>
  <w:endnote w:type="continuationSeparator" w:id="0">
    <w:p w14:paraId="617232F9" w14:textId="77777777" w:rsidR="00992479" w:rsidRDefault="00992479" w:rsidP="00A00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5229909"/>
      <w:docPartObj>
        <w:docPartGallery w:val="Page Numbers (Bottom of Page)"/>
        <w:docPartUnique/>
      </w:docPartObj>
    </w:sdtPr>
    <w:sdtEndPr>
      <w:rPr>
        <w:noProof/>
      </w:rPr>
    </w:sdtEndPr>
    <w:sdtContent>
      <w:p w14:paraId="185B6C55" w14:textId="77777777" w:rsidR="00A00277" w:rsidRDefault="00A00277">
        <w:pPr>
          <w:pStyle w:val="Footer"/>
          <w:jc w:val="center"/>
        </w:pPr>
        <w:r w:rsidRPr="00E166AA">
          <w:rPr>
            <w:sz w:val="20"/>
            <w:szCs w:val="20"/>
          </w:rPr>
          <w:fldChar w:fldCharType="begin"/>
        </w:r>
        <w:r w:rsidRPr="00E166AA">
          <w:rPr>
            <w:sz w:val="20"/>
            <w:szCs w:val="20"/>
          </w:rPr>
          <w:instrText xml:space="preserve"> PAGE   \* MERGEFORMAT </w:instrText>
        </w:r>
        <w:r w:rsidRPr="00E166AA">
          <w:rPr>
            <w:sz w:val="20"/>
            <w:szCs w:val="20"/>
          </w:rPr>
          <w:fldChar w:fldCharType="separate"/>
        </w:r>
        <w:r w:rsidR="003D4B79" w:rsidRPr="00E166AA">
          <w:rPr>
            <w:noProof/>
            <w:sz w:val="20"/>
            <w:szCs w:val="20"/>
          </w:rPr>
          <w:t>2</w:t>
        </w:r>
        <w:r w:rsidRPr="00E166AA">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0591D" w14:textId="1BE0559C" w:rsidR="008D3233" w:rsidRDefault="008D323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64000D" w14:textId="77777777" w:rsidR="00992479" w:rsidRDefault="00992479" w:rsidP="00A00277">
      <w:r>
        <w:separator/>
      </w:r>
    </w:p>
  </w:footnote>
  <w:footnote w:type="continuationSeparator" w:id="0">
    <w:p w14:paraId="358D6832" w14:textId="77777777" w:rsidR="00992479" w:rsidRDefault="00992479" w:rsidP="00A002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eventsink" w:val="29232656"/>
  </w:docVars>
  <w:rsids>
    <w:rsidRoot w:val="001A517C"/>
    <w:rsid w:val="0001444C"/>
    <w:rsid w:val="00022664"/>
    <w:rsid w:val="00024AA5"/>
    <w:rsid w:val="00031BA6"/>
    <w:rsid w:val="000404B5"/>
    <w:rsid w:val="00040EAD"/>
    <w:rsid w:val="00042860"/>
    <w:rsid w:val="0005471E"/>
    <w:rsid w:val="00087CC5"/>
    <w:rsid w:val="000A5FBB"/>
    <w:rsid w:val="000B3FB4"/>
    <w:rsid w:val="000C1A6B"/>
    <w:rsid w:val="000C269C"/>
    <w:rsid w:val="000C71B2"/>
    <w:rsid w:val="000E0F26"/>
    <w:rsid w:val="000E6C36"/>
    <w:rsid w:val="000F0D26"/>
    <w:rsid w:val="000F6A59"/>
    <w:rsid w:val="0011200F"/>
    <w:rsid w:val="001163B8"/>
    <w:rsid w:val="001336B2"/>
    <w:rsid w:val="001534FA"/>
    <w:rsid w:val="00185280"/>
    <w:rsid w:val="00192F81"/>
    <w:rsid w:val="00197FE7"/>
    <w:rsid w:val="001A517C"/>
    <w:rsid w:val="001B37F9"/>
    <w:rsid w:val="001B389A"/>
    <w:rsid w:val="001E6948"/>
    <w:rsid w:val="001F2AC4"/>
    <w:rsid w:val="001F5E84"/>
    <w:rsid w:val="00202271"/>
    <w:rsid w:val="002107F3"/>
    <w:rsid w:val="00212F85"/>
    <w:rsid w:val="0021472B"/>
    <w:rsid w:val="00216054"/>
    <w:rsid w:val="0022623F"/>
    <w:rsid w:val="002270C7"/>
    <w:rsid w:val="00234986"/>
    <w:rsid w:val="0024258E"/>
    <w:rsid w:val="00254386"/>
    <w:rsid w:val="00254AC4"/>
    <w:rsid w:val="002569D2"/>
    <w:rsid w:val="00286E18"/>
    <w:rsid w:val="002A08AE"/>
    <w:rsid w:val="002A3713"/>
    <w:rsid w:val="002B080D"/>
    <w:rsid w:val="002B43C8"/>
    <w:rsid w:val="002C0A83"/>
    <w:rsid w:val="002C5195"/>
    <w:rsid w:val="002C6736"/>
    <w:rsid w:val="002D33CF"/>
    <w:rsid w:val="002F03CD"/>
    <w:rsid w:val="00304E24"/>
    <w:rsid w:val="003105EB"/>
    <w:rsid w:val="0031093F"/>
    <w:rsid w:val="0032184B"/>
    <w:rsid w:val="00323CE9"/>
    <w:rsid w:val="003268F9"/>
    <w:rsid w:val="003572B7"/>
    <w:rsid w:val="0036041B"/>
    <w:rsid w:val="0036055F"/>
    <w:rsid w:val="003745AE"/>
    <w:rsid w:val="00375FC7"/>
    <w:rsid w:val="00386EC2"/>
    <w:rsid w:val="003914A1"/>
    <w:rsid w:val="003A4D8C"/>
    <w:rsid w:val="003A51FD"/>
    <w:rsid w:val="003A7731"/>
    <w:rsid w:val="003B5554"/>
    <w:rsid w:val="003C49C9"/>
    <w:rsid w:val="003D38F7"/>
    <w:rsid w:val="003D4B79"/>
    <w:rsid w:val="003F347A"/>
    <w:rsid w:val="003F42D7"/>
    <w:rsid w:val="003F69C5"/>
    <w:rsid w:val="00417A48"/>
    <w:rsid w:val="004256D5"/>
    <w:rsid w:val="00427446"/>
    <w:rsid w:val="00435A1B"/>
    <w:rsid w:val="00441E8C"/>
    <w:rsid w:val="004526D1"/>
    <w:rsid w:val="00466EEB"/>
    <w:rsid w:val="00493D7D"/>
    <w:rsid w:val="004A0D2F"/>
    <w:rsid w:val="004B0701"/>
    <w:rsid w:val="004B1125"/>
    <w:rsid w:val="004B58A0"/>
    <w:rsid w:val="004C1ADF"/>
    <w:rsid w:val="004C6ACC"/>
    <w:rsid w:val="004C704F"/>
    <w:rsid w:val="004D1AF6"/>
    <w:rsid w:val="004D26B3"/>
    <w:rsid w:val="004D3CF4"/>
    <w:rsid w:val="004D5571"/>
    <w:rsid w:val="004D6A84"/>
    <w:rsid w:val="004E2DEE"/>
    <w:rsid w:val="004E38F8"/>
    <w:rsid w:val="004E56E5"/>
    <w:rsid w:val="004E5B9B"/>
    <w:rsid w:val="004F52CA"/>
    <w:rsid w:val="00501290"/>
    <w:rsid w:val="00503B65"/>
    <w:rsid w:val="005055FD"/>
    <w:rsid w:val="00510BCD"/>
    <w:rsid w:val="00513A0D"/>
    <w:rsid w:val="00526125"/>
    <w:rsid w:val="0052693F"/>
    <w:rsid w:val="005319D7"/>
    <w:rsid w:val="00546F57"/>
    <w:rsid w:val="00565303"/>
    <w:rsid w:val="005724EC"/>
    <w:rsid w:val="005756F9"/>
    <w:rsid w:val="00575B38"/>
    <w:rsid w:val="005773BD"/>
    <w:rsid w:val="00590615"/>
    <w:rsid w:val="00595C07"/>
    <w:rsid w:val="005A04AC"/>
    <w:rsid w:val="005C06E5"/>
    <w:rsid w:val="005C2D74"/>
    <w:rsid w:val="005C5138"/>
    <w:rsid w:val="005D141F"/>
    <w:rsid w:val="005E4F30"/>
    <w:rsid w:val="005E6C7E"/>
    <w:rsid w:val="0060255E"/>
    <w:rsid w:val="00622936"/>
    <w:rsid w:val="006252C4"/>
    <w:rsid w:val="00636172"/>
    <w:rsid w:val="006462F1"/>
    <w:rsid w:val="00651B14"/>
    <w:rsid w:val="0065509C"/>
    <w:rsid w:val="00655C3E"/>
    <w:rsid w:val="00661B4E"/>
    <w:rsid w:val="0067028C"/>
    <w:rsid w:val="0067080A"/>
    <w:rsid w:val="00670B1B"/>
    <w:rsid w:val="006734EC"/>
    <w:rsid w:val="00676400"/>
    <w:rsid w:val="0068098C"/>
    <w:rsid w:val="00687BAF"/>
    <w:rsid w:val="006A7C3F"/>
    <w:rsid w:val="006B690F"/>
    <w:rsid w:val="006C245B"/>
    <w:rsid w:val="006C7836"/>
    <w:rsid w:val="006E7CD0"/>
    <w:rsid w:val="006F08AE"/>
    <w:rsid w:val="006F1FCD"/>
    <w:rsid w:val="007000FB"/>
    <w:rsid w:val="00700919"/>
    <w:rsid w:val="00735001"/>
    <w:rsid w:val="007467CD"/>
    <w:rsid w:val="00747A6F"/>
    <w:rsid w:val="00752308"/>
    <w:rsid w:val="00754DE1"/>
    <w:rsid w:val="007616B7"/>
    <w:rsid w:val="00781BAD"/>
    <w:rsid w:val="00796F08"/>
    <w:rsid w:val="007A37B5"/>
    <w:rsid w:val="007A4181"/>
    <w:rsid w:val="007B430A"/>
    <w:rsid w:val="007D1AE2"/>
    <w:rsid w:val="007D2137"/>
    <w:rsid w:val="007D67D1"/>
    <w:rsid w:val="007E2A88"/>
    <w:rsid w:val="007F7FD8"/>
    <w:rsid w:val="008038A1"/>
    <w:rsid w:val="008046A7"/>
    <w:rsid w:val="008102ED"/>
    <w:rsid w:val="0082072C"/>
    <w:rsid w:val="008211B6"/>
    <w:rsid w:val="008215F2"/>
    <w:rsid w:val="008263E7"/>
    <w:rsid w:val="008363BD"/>
    <w:rsid w:val="008409AA"/>
    <w:rsid w:val="008433EA"/>
    <w:rsid w:val="00853982"/>
    <w:rsid w:val="00875888"/>
    <w:rsid w:val="00877335"/>
    <w:rsid w:val="00880ECB"/>
    <w:rsid w:val="00881A7C"/>
    <w:rsid w:val="0089104A"/>
    <w:rsid w:val="00895B38"/>
    <w:rsid w:val="008A53F1"/>
    <w:rsid w:val="008B00CE"/>
    <w:rsid w:val="008C6CD3"/>
    <w:rsid w:val="008C7AAE"/>
    <w:rsid w:val="008D25CC"/>
    <w:rsid w:val="008D3233"/>
    <w:rsid w:val="009044B7"/>
    <w:rsid w:val="00907FC9"/>
    <w:rsid w:val="0091415F"/>
    <w:rsid w:val="009200E3"/>
    <w:rsid w:val="00921DA9"/>
    <w:rsid w:val="0094137F"/>
    <w:rsid w:val="00941BFF"/>
    <w:rsid w:val="00942B3C"/>
    <w:rsid w:val="00951BC4"/>
    <w:rsid w:val="00980566"/>
    <w:rsid w:val="00986732"/>
    <w:rsid w:val="00986ECD"/>
    <w:rsid w:val="009903E3"/>
    <w:rsid w:val="0099176B"/>
    <w:rsid w:val="00992479"/>
    <w:rsid w:val="0099459B"/>
    <w:rsid w:val="009A3D45"/>
    <w:rsid w:val="009A59AC"/>
    <w:rsid w:val="009D0345"/>
    <w:rsid w:val="009F4617"/>
    <w:rsid w:val="00A00277"/>
    <w:rsid w:val="00A24C4F"/>
    <w:rsid w:val="00A312B8"/>
    <w:rsid w:val="00A32C82"/>
    <w:rsid w:val="00A32E1F"/>
    <w:rsid w:val="00A442C3"/>
    <w:rsid w:val="00A656B0"/>
    <w:rsid w:val="00AA1CCA"/>
    <w:rsid w:val="00AA69A1"/>
    <w:rsid w:val="00AB6FFD"/>
    <w:rsid w:val="00AE3450"/>
    <w:rsid w:val="00AE5E9B"/>
    <w:rsid w:val="00AF4A76"/>
    <w:rsid w:val="00B150FA"/>
    <w:rsid w:val="00B16DBD"/>
    <w:rsid w:val="00B21B7C"/>
    <w:rsid w:val="00B50794"/>
    <w:rsid w:val="00B81D8F"/>
    <w:rsid w:val="00B83C4A"/>
    <w:rsid w:val="00BA3333"/>
    <w:rsid w:val="00BA36B3"/>
    <w:rsid w:val="00BC346D"/>
    <w:rsid w:val="00BC3D16"/>
    <w:rsid w:val="00BF0827"/>
    <w:rsid w:val="00BF3093"/>
    <w:rsid w:val="00C11AAF"/>
    <w:rsid w:val="00C124E6"/>
    <w:rsid w:val="00C13F83"/>
    <w:rsid w:val="00C25374"/>
    <w:rsid w:val="00C43BC6"/>
    <w:rsid w:val="00C4789A"/>
    <w:rsid w:val="00C93740"/>
    <w:rsid w:val="00CB15E9"/>
    <w:rsid w:val="00CB7B6B"/>
    <w:rsid w:val="00CD1FD4"/>
    <w:rsid w:val="00CD309F"/>
    <w:rsid w:val="00CE116F"/>
    <w:rsid w:val="00CE2FD5"/>
    <w:rsid w:val="00CF35E9"/>
    <w:rsid w:val="00CF4E08"/>
    <w:rsid w:val="00CF7D41"/>
    <w:rsid w:val="00D1088E"/>
    <w:rsid w:val="00D167BB"/>
    <w:rsid w:val="00D30076"/>
    <w:rsid w:val="00D3255C"/>
    <w:rsid w:val="00D356CF"/>
    <w:rsid w:val="00D4206A"/>
    <w:rsid w:val="00D42356"/>
    <w:rsid w:val="00D42C2A"/>
    <w:rsid w:val="00D432F9"/>
    <w:rsid w:val="00D807D1"/>
    <w:rsid w:val="00DA06FC"/>
    <w:rsid w:val="00DB4D41"/>
    <w:rsid w:val="00DB639C"/>
    <w:rsid w:val="00DD375D"/>
    <w:rsid w:val="00DE5630"/>
    <w:rsid w:val="00DF0EC6"/>
    <w:rsid w:val="00DF42BD"/>
    <w:rsid w:val="00DF6DBF"/>
    <w:rsid w:val="00E06582"/>
    <w:rsid w:val="00E125AF"/>
    <w:rsid w:val="00E1342A"/>
    <w:rsid w:val="00E166AA"/>
    <w:rsid w:val="00E228CF"/>
    <w:rsid w:val="00E36C6E"/>
    <w:rsid w:val="00E43A15"/>
    <w:rsid w:val="00E52101"/>
    <w:rsid w:val="00E53C53"/>
    <w:rsid w:val="00E56ADF"/>
    <w:rsid w:val="00E6714F"/>
    <w:rsid w:val="00E73276"/>
    <w:rsid w:val="00E76ACE"/>
    <w:rsid w:val="00E861DA"/>
    <w:rsid w:val="00E904E5"/>
    <w:rsid w:val="00EB2FB3"/>
    <w:rsid w:val="00EB3A84"/>
    <w:rsid w:val="00EB3D40"/>
    <w:rsid w:val="00EB4B99"/>
    <w:rsid w:val="00ED55A2"/>
    <w:rsid w:val="00EF4F0C"/>
    <w:rsid w:val="00EF6C7B"/>
    <w:rsid w:val="00F0033E"/>
    <w:rsid w:val="00F02A7A"/>
    <w:rsid w:val="00F039B2"/>
    <w:rsid w:val="00F35C78"/>
    <w:rsid w:val="00F37163"/>
    <w:rsid w:val="00F464A6"/>
    <w:rsid w:val="00F73E58"/>
    <w:rsid w:val="00F75473"/>
    <w:rsid w:val="00F76FAE"/>
    <w:rsid w:val="00F778AF"/>
    <w:rsid w:val="00F85EDF"/>
    <w:rsid w:val="00FB1797"/>
    <w:rsid w:val="00FC6AA7"/>
    <w:rsid w:val="00FE3202"/>
    <w:rsid w:val="00FE3976"/>
    <w:rsid w:val="00FF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FE5DCA"/>
  <w15:docId w15:val="{1D0D66FA-E1B3-4832-AE92-0984C5CFF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8A1"/>
    <w:rPr>
      <w:sz w:val="24"/>
      <w:szCs w:val="24"/>
    </w:rPr>
  </w:style>
  <w:style w:type="paragraph" w:styleId="Heading1">
    <w:name w:val="heading 1"/>
    <w:basedOn w:val="Normal"/>
    <w:next w:val="Normal"/>
    <w:link w:val="Heading1Char"/>
    <w:qFormat/>
    <w:rsid w:val="000E0F26"/>
    <w:pPr>
      <w:keepNext/>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65303"/>
    <w:rPr>
      <w:rFonts w:ascii="Tahoma" w:hAnsi="Tahoma" w:cs="Tahoma"/>
      <w:sz w:val="16"/>
      <w:szCs w:val="16"/>
    </w:rPr>
  </w:style>
  <w:style w:type="paragraph" w:styleId="Header">
    <w:name w:val="header"/>
    <w:basedOn w:val="Normal"/>
    <w:link w:val="HeaderChar"/>
    <w:rsid w:val="00A00277"/>
    <w:pPr>
      <w:tabs>
        <w:tab w:val="center" w:pos="4680"/>
        <w:tab w:val="right" w:pos="9360"/>
      </w:tabs>
    </w:pPr>
  </w:style>
  <w:style w:type="character" w:customStyle="1" w:styleId="HeaderChar">
    <w:name w:val="Header Char"/>
    <w:basedOn w:val="DefaultParagraphFont"/>
    <w:link w:val="Header"/>
    <w:rsid w:val="00A00277"/>
    <w:rPr>
      <w:sz w:val="24"/>
      <w:szCs w:val="24"/>
    </w:rPr>
  </w:style>
  <w:style w:type="paragraph" w:styleId="Footer">
    <w:name w:val="footer"/>
    <w:basedOn w:val="Normal"/>
    <w:link w:val="FooterChar"/>
    <w:uiPriority w:val="99"/>
    <w:rsid w:val="00A00277"/>
    <w:pPr>
      <w:tabs>
        <w:tab w:val="center" w:pos="4680"/>
        <w:tab w:val="right" w:pos="9360"/>
      </w:tabs>
    </w:pPr>
  </w:style>
  <w:style w:type="character" w:customStyle="1" w:styleId="FooterChar">
    <w:name w:val="Footer Char"/>
    <w:basedOn w:val="DefaultParagraphFont"/>
    <w:link w:val="Footer"/>
    <w:uiPriority w:val="99"/>
    <w:rsid w:val="00A00277"/>
    <w:rPr>
      <w:sz w:val="24"/>
      <w:szCs w:val="24"/>
    </w:rPr>
  </w:style>
  <w:style w:type="character" w:customStyle="1" w:styleId="Heading1Char">
    <w:name w:val="Heading 1 Char"/>
    <w:basedOn w:val="DefaultParagraphFont"/>
    <w:link w:val="Heading1"/>
    <w:rsid w:val="000E0F26"/>
    <w:rPr>
      <w:sz w:val="24"/>
    </w:rPr>
  </w:style>
  <w:style w:type="character" w:styleId="FootnoteReference">
    <w:name w:val="footnote reference"/>
    <w:basedOn w:val="DefaultParagraphFont"/>
    <w:rsid w:val="000E0F26"/>
  </w:style>
  <w:style w:type="paragraph" w:styleId="FootnoteText">
    <w:name w:val="footnote text"/>
    <w:basedOn w:val="Normal"/>
    <w:link w:val="FootnoteTextChar"/>
    <w:rsid w:val="000E0F26"/>
    <w:rPr>
      <w:sz w:val="20"/>
      <w:szCs w:val="20"/>
    </w:rPr>
  </w:style>
  <w:style w:type="character" w:customStyle="1" w:styleId="FootnoteTextChar">
    <w:name w:val="Footnote Text Char"/>
    <w:basedOn w:val="DefaultParagraphFont"/>
    <w:link w:val="FootnoteText"/>
    <w:rsid w:val="000E0F26"/>
  </w:style>
  <w:style w:type="paragraph" w:styleId="ListParagraph">
    <w:name w:val="List Paragraph"/>
    <w:basedOn w:val="Normal"/>
    <w:uiPriority w:val="34"/>
    <w:qFormat/>
    <w:rsid w:val="003268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681</Words>
  <Characters>3886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johcorbett</dc:creator>
  <cp:lastModifiedBy>Pallas, Dan</cp:lastModifiedBy>
  <cp:revision>3</cp:revision>
  <cp:lastPrinted>2016-08-11T17:13:00Z</cp:lastPrinted>
  <dcterms:created xsi:type="dcterms:W3CDTF">2019-08-12T14:59:00Z</dcterms:created>
  <dcterms:modified xsi:type="dcterms:W3CDTF">2019-08-12T15:07:00Z</dcterms:modified>
</cp:coreProperties>
</file>