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40A38E18" w:rsidR="009B3997" w:rsidRPr="007E52B7" w:rsidRDefault="00EF09BF"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National Railroad Passenger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6D7B1438"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2019-3010</w:t>
      </w:r>
      <w:r w:rsidR="00EF09BF">
        <w:rPr>
          <w:rFonts w:ascii="Times New Roman" w:hAnsi="Times New Roman" w:cs="Times New Roman"/>
          <w:spacing w:val="-3"/>
          <w:sz w:val="24"/>
          <w:szCs w:val="24"/>
        </w:rPr>
        <w:t>398</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160F8F2E" w:rsidR="000722C9" w:rsidRPr="007E52B7" w:rsidRDefault="00EF09BF"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50ED5B6B" w14:textId="77777777" w:rsidR="001B08A2" w:rsidRDefault="008B0BAC" w:rsidP="00F75442">
      <w:pPr>
        <w:pStyle w:val="Style"/>
        <w:jc w:val="center"/>
        <w:rPr>
          <w:b/>
          <w:bCs/>
          <w:color w:val="000000"/>
          <w:u w:val="single"/>
        </w:rPr>
      </w:pPr>
      <w:r w:rsidRPr="001B08A2">
        <w:rPr>
          <w:b/>
          <w:bCs/>
          <w:color w:val="000000"/>
          <w:u w:val="single"/>
        </w:rPr>
        <w:t>GRANTING</w:t>
      </w:r>
      <w:r w:rsidR="001B08A2" w:rsidRPr="001B08A2">
        <w:rPr>
          <w:b/>
          <w:bCs/>
          <w:color w:val="000000"/>
          <w:u w:val="single"/>
        </w:rPr>
        <w:t xml:space="preserve"> IN PART AND </w:t>
      </w:r>
      <w:r w:rsidR="00C0252B" w:rsidRPr="001B08A2">
        <w:rPr>
          <w:b/>
          <w:bCs/>
          <w:color w:val="000000"/>
          <w:u w:val="single"/>
        </w:rPr>
        <w:t>DENYING</w:t>
      </w:r>
      <w:r w:rsidR="00C0252B">
        <w:rPr>
          <w:b/>
          <w:bCs/>
          <w:color w:val="000000"/>
          <w:u w:val="single"/>
        </w:rPr>
        <w:t xml:space="preserve"> </w:t>
      </w:r>
      <w:r w:rsidR="001B08A2">
        <w:rPr>
          <w:b/>
          <w:bCs/>
          <w:color w:val="000000"/>
          <w:u w:val="single"/>
        </w:rPr>
        <w:t>IN PART</w:t>
      </w:r>
    </w:p>
    <w:p w14:paraId="10EA268F" w14:textId="79AF38AF" w:rsidR="003B10DF" w:rsidRDefault="008B0BAC" w:rsidP="0064355B">
      <w:pPr>
        <w:pStyle w:val="Style"/>
        <w:jc w:val="center"/>
        <w:rPr>
          <w:b/>
          <w:bCs/>
          <w:color w:val="000000"/>
          <w:u w:val="single"/>
        </w:rPr>
      </w:pPr>
      <w:r>
        <w:rPr>
          <w:b/>
          <w:bCs/>
          <w:color w:val="000000"/>
          <w:u w:val="single"/>
        </w:rPr>
        <w:t>MOTION TO COMPEL</w:t>
      </w:r>
    </w:p>
    <w:p w14:paraId="521E87CF" w14:textId="784D0250" w:rsidR="0064355B" w:rsidRDefault="0064355B" w:rsidP="0064355B">
      <w:pPr>
        <w:pStyle w:val="Style"/>
        <w:jc w:val="center"/>
        <w:rPr>
          <w:b/>
          <w:bCs/>
          <w:color w:val="000000"/>
          <w:u w:val="single"/>
        </w:rPr>
      </w:pPr>
    </w:p>
    <w:p w14:paraId="3D5EA967" w14:textId="77777777" w:rsidR="0064355B" w:rsidRDefault="0064355B" w:rsidP="0064355B">
      <w:pPr>
        <w:pStyle w:val="Style"/>
        <w:jc w:val="center"/>
        <w:rPr>
          <w:bCs/>
          <w:color w:val="000000"/>
        </w:rPr>
      </w:pPr>
    </w:p>
    <w:p w14:paraId="5015A5A9" w14:textId="38AE4718" w:rsidR="00515F2A" w:rsidRDefault="000A7697" w:rsidP="001565B1">
      <w:pPr>
        <w:pStyle w:val="Style"/>
        <w:spacing w:line="360" w:lineRule="auto"/>
        <w:ind w:firstLine="1440"/>
        <w:rPr>
          <w:bCs/>
          <w:color w:val="000000"/>
        </w:rPr>
      </w:pPr>
      <w:r>
        <w:rPr>
          <w:bCs/>
          <w:color w:val="000000"/>
        </w:rPr>
        <w:t>O</w:t>
      </w:r>
      <w:r w:rsidR="00EF09BF">
        <w:rPr>
          <w:bCs/>
          <w:color w:val="000000"/>
        </w:rPr>
        <w:t xml:space="preserve">n </w:t>
      </w:r>
      <w:r w:rsidR="00F45EE9">
        <w:rPr>
          <w:bCs/>
          <w:color w:val="000000"/>
        </w:rPr>
        <w:t xml:space="preserve">May 30, 2019, the National Railroad Passenger Corporation (Amtrak) filed with the Pennsylvania Public Utility Commission (Commission) a formal complaint against PPL Electric Utility Corporation (PPL or the company), docket number C-2019-3010398.  In its complaint, Amtrak </w:t>
      </w:r>
      <w:r w:rsidR="00515F2A">
        <w:rPr>
          <w:bCs/>
          <w:color w:val="000000"/>
        </w:rPr>
        <w:t xml:space="preserve">provided an extensive statement of facts and six legal arguments.  Amtrak </w:t>
      </w:r>
      <w:r w:rsidR="00F45EE9">
        <w:rPr>
          <w:bCs/>
          <w:color w:val="000000"/>
        </w:rPr>
        <w:t xml:space="preserve">averred that </w:t>
      </w:r>
      <w:r w:rsidR="00515F2A">
        <w:rPr>
          <w:bCs/>
          <w:color w:val="000000"/>
        </w:rPr>
        <w:t>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197D34F4" w14:textId="77777777" w:rsidR="00515F2A" w:rsidRDefault="00515F2A" w:rsidP="001565B1">
      <w:pPr>
        <w:pStyle w:val="Style"/>
        <w:spacing w:line="360" w:lineRule="auto"/>
        <w:ind w:firstLine="1440"/>
        <w:rPr>
          <w:bCs/>
          <w:color w:val="000000"/>
        </w:rPr>
      </w:pPr>
    </w:p>
    <w:p w14:paraId="0BDA596B" w14:textId="0A11DE6B" w:rsidR="007C183D" w:rsidRDefault="00515F2A" w:rsidP="001565B1">
      <w:pPr>
        <w:pStyle w:val="Style"/>
        <w:spacing w:line="360" w:lineRule="auto"/>
        <w:ind w:firstLine="1440"/>
        <w:rPr>
          <w:bCs/>
          <w:color w:val="000000"/>
        </w:rPr>
      </w:pPr>
      <w:r>
        <w:rPr>
          <w:bCs/>
          <w:color w:val="000000"/>
        </w:rPr>
        <w:t xml:space="preserve">In response to Amtrak’s complaint, PPL filed </w:t>
      </w:r>
      <w:r w:rsidR="003C2821">
        <w:rPr>
          <w:bCs/>
          <w:color w:val="000000"/>
        </w:rPr>
        <w:t>an answer and new matter</w:t>
      </w:r>
      <w:r w:rsidR="007C183D">
        <w:rPr>
          <w:bCs/>
          <w:color w:val="000000"/>
        </w:rPr>
        <w:t xml:space="preserve"> on June 27, 2019</w:t>
      </w:r>
      <w:r w:rsidR="003C2821">
        <w:rPr>
          <w:bCs/>
          <w:color w:val="000000"/>
        </w:rPr>
        <w:t xml:space="preserve">.  In its answer, PPL admitted or denied the various averments Amtrak made in its complaint.  </w:t>
      </w:r>
      <w:proofErr w:type="gramStart"/>
      <w:r w:rsidR="003C2821">
        <w:rPr>
          <w:bCs/>
          <w:color w:val="000000"/>
        </w:rPr>
        <w:t>In particular, PPL</w:t>
      </w:r>
      <w:proofErr w:type="gramEnd"/>
      <w:r w:rsidR="003C2821">
        <w:rPr>
          <w:bCs/>
          <w:color w:val="000000"/>
        </w:rPr>
        <w:t xml:space="preserve"> admitted that it provides information that permits electric generation suppliers (EGSs) to serve retail customers and receive necessary transmission services pursuant to its Commission-approved tariff.  PPL denied many of Amtrak’s other averments regarding how it receives its electric </w:t>
      </w:r>
      <w:r w:rsidR="001F0787">
        <w:rPr>
          <w:bCs/>
          <w:color w:val="000000"/>
        </w:rPr>
        <w:t xml:space="preserve">service </w:t>
      </w:r>
      <w:r w:rsidR="003C2821">
        <w:rPr>
          <w:bCs/>
          <w:color w:val="000000"/>
        </w:rPr>
        <w:t xml:space="preserve">from Constellation New Energy, Inc. </w:t>
      </w:r>
      <w:r w:rsidR="003C2821">
        <w:rPr>
          <w:bCs/>
          <w:color w:val="000000"/>
        </w:rPr>
        <w:lastRenderedPageBreak/>
        <w:t xml:space="preserve">(CNE), an EGS, noting that it lacks </w:t>
      </w:r>
      <w:proofErr w:type="gramStart"/>
      <w:r w:rsidR="003C2821">
        <w:rPr>
          <w:bCs/>
          <w:color w:val="000000"/>
        </w:rPr>
        <w:t>sufficient</w:t>
      </w:r>
      <w:proofErr w:type="gramEnd"/>
      <w:r w:rsidR="003C2821">
        <w:rPr>
          <w:bCs/>
          <w:color w:val="000000"/>
        </w:rPr>
        <w:t xml:space="preserve"> information to admit or deny the averments.  In its new matter, which was accompanied by a notice to plead, PPL averred that Amtrak did not pay PPL for retail transmission service </w:t>
      </w:r>
      <w:r w:rsidR="00A512EB">
        <w:rPr>
          <w:bCs/>
          <w:color w:val="000000"/>
        </w:rPr>
        <w:t xml:space="preserve">during the period relevant to the </w:t>
      </w:r>
      <w:proofErr w:type="gramStart"/>
      <w:r w:rsidR="00A512EB">
        <w:rPr>
          <w:bCs/>
          <w:color w:val="000000"/>
        </w:rPr>
        <w:t>complaint</w:t>
      </w:r>
      <w:proofErr w:type="gramEnd"/>
      <w:r w:rsidR="00A512EB">
        <w:rPr>
          <w:bCs/>
          <w:color w:val="000000"/>
        </w:rPr>
        <w:t xml:space="preserve"> but that Amtrak received retail transmission service from</w:t>
      </w:r>
      <w:r w:rsidR="007C183D">
        <w:rPr>
          <w:bCs/>
          <w:color w:val="000000"/>
        </w:rPr>
        <w:t>, and paid,</w:t>
      </w:r>
      <w:r w:rsidR="00A512EB">
        <w:rPr>
          <w:bCs/>
          <w:color w:val="000000"/>
        </w:rPr>
        <w:t xml:space="preserve"> CNE.  </w:t>
      </w:r>
      <w:r w:rsidR="007C183D">
        <w:rPr>
          <w:bCs/>
          <w:color w:val="000000"/>
        </w:rPr>
        <w:t xml:space="preserve">PPL also argued that Amtrak’s request for relief </w:t>
      </w:r>
      <w:r w:rsidR="003424AB">
        <w:rPr>
          <w:bCs/>
          <w:color w:val="000000"/>
        </w:rPr>
        <w:t xml:space="preserve">in the form </w:t>
      </w:r>
      <w:r w:rsidR="007C183D">
        <w:rPr>
          <w:bCs/>
          <w:color w:val="000000"/>
        </w:rPr>
        <w:t>of a refund is really a claim for damages which the Commission does not have authority to award.  PPL concluded that Amtrak’s complaint should be denied.</w:t>
      </w:r>
    </w:p>
    <w:p w14:paraId="20978084" w14:textId="77777777" w:rsidR="007C183D" w:rsidRDefault="007C183D" w:rsidP="001565B1">
      <w:pPr>
        <w:pStyle w:val="Style"/>
        <w:spacing w:line="360" w:lineRule="auto"/>
        <w:ind w:firstLine="1440"/>
        <w:rPr>
          <w:bCs/>
          <w:color w:val="000000"/>
        </w:rPr>
      </w:pPr>
    </w:p>
    <w:p w14:paraId="7037AB9F" w14:textId="3125A63C" w:rsidR="000C1E22" w:rsidRDefault="007C183D" w:rsidP="001565B1">
      <w:pPr>
        <w:pStyle w:val="Style"/>
        <w:spacing w:line="360" w:lineRule="auto"/>
        <w:ind w:firstLine="1440"/>
        <w:rPr>
          <w:bCs/>
          <w:color w:val="000000"/>
        </w:rPr>
      </w:pPr>
      <w:proofErr w:type="gramStart"/>
      <w:r>
        <w:rPr>
          <w:bCs/>
          <w:color w:val="000000"/>
        </w:rPr>
        <w:t>Also</w:t>
      </w:r>
      <w:proofErr w:type="gramEnd"/>
      <w:r>
        <w:rPr>
          <w:bCs/>
          <w:color w:val="000000"/>
        </w:rPr>
        <w:t xml:space="preserve"> on June 27, 2019, PPL filed</w:t>
      </w:r>
      <w:r w:rsidR="000C1E22">
        <w:rPr>
          <w:bCs/>
          <w:color w:val="000000"/>
        </w:rPr>
        <w:t xml:space="preserve"> five</w:t>
      </w:r>
      <w:r>
        <w:rPr>
          <w:bCs/>
          <w:color w:val="000000"/>
        </w:rPr>
        <w:t xml:space="preserve"> preliminary objections in response to Amtrak’s complaint.  </w:t>
      </w:r>
      <w:r w:rsidR="00D0596D">
        <w:rPr>
          <w:bCs/>
          <w:color w:val="000000"/>
        </w:rPr>
        <w:t xml:space="preserve">On July 8, 2019, Amtrak filed an answer to PPL’s preliminary objections.  </w:t>
      </w:r>
    </w:p>
    <w:p w14:paraId="58446B5C" w14:textId="53D793B8" w:rsidR="000C1E22" w:rsidRDefault="000C1E22" w:rsidP="001565B1">
      <w:pPr>
        <w:pStyle w:val="Style"/>
        <w:spacing w:line="360" w:lineRule="auto"/>
        <w:ind w:firstLine="1440"/>
        <w:rPr>
          <w:bCs/>
          <w:color w:val="000000"/>
        </w:rPr>
      </w:pPr>
    </w:p>
    <w:p w14:paraId="10ECB5D4" w14:textId="515EDF3B" w:rsidR="00D0596D" w:rsidRDefault="00D0596D" w:rsidP="001565B1">
      <w:pPr>
        <w:pStyle w:val="Style"/>
        <w:spacing w:line="360" w:lineRule="auto"/>
        <w:ind w:firstLine="1440"/>
        <w:rPr>
          <w:bCs/>
          <w:color w:val="000000"/>
        </w:rPr>
      </w:pPr>
      <w:r>
        <w:rPr>
          <w:bCs/>
          <w:color w:val="000000"/>
        </w:rPr>
        <w:t xml:space="preserve">On July 15, 2019, a hearing notice was issued </w:t>
      </w:r>
      <w:r w:rsidR="00DA23AA">
        <w:rPr>
          <w:bCs/>
          <w:color w:val="000000"/>
        </w:rPr>
        <w:t xml:space="preserve">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w:t>
      </w:r>
      <w:r w:rsidR="0064355B">
        <w:rPr>
          <w:bCs/>
          <w:color w:val="000000"/>
        </w:rPr>
        <w:t>A</w:t>
      </w:r>
      <w:r w:rsidR="00DA23AA">
        <w:rPr>
          <w:bCs/>
          <w:color w:val="000000"/>
        </w:rPr>
        <w:t xml:space="preserve"> prehearing conference order was issued on </w:t>
      </w:r>
      <w:r w:rsidR="003B10DF">
        <w:rPr>
          <w:bCs/>
          <w:color w:val="000000"/>
        </w:rPr>
        <w:t xml:space="preserve">July 19, 2019 setting forth various rules that will govern the </w:t>
      </w:r>
      <w:r w:rsidR="003424AB">
        <w:rPr>
          <w:bCs/>
          <w:color w:val="000000"/>
        </w:rPr>
        <w:t>pre</w:t>
      </w:r>
      <w:r w:rsidR="003B10DF">
        <w:rPr>
          <w:bCs/>
          <w:color w:val="000000"/>
        </w:rPr>
        <w:t>hearing</w:t>
      </w:r>
      <w:r w:rsidR="003424AB">
        <w:rPr>
          <w:bCs/>
          <w:color w:val="000000"/>
        </w:rPr>
        <w:t xml:space="preserve"> conference</w:t>
      </w:r>
      <w:r w:rsidR="003B10DF">
        <w:rPr>
          <w:bCs/>
          <w:color w:val="000000"/>
        </w:rPr>
        <w:t>.</w:t>
      </w:r>
    </w:p>
    <w:p w14:paraId="007F90A4" w14:textId="38DC9AA7" w:rsidR="00D7200B" w:rsidRDefault="00D7200B" w:rsidP="001565B1">
      <w:pPr>
        <w:pStyle w:val="Style"/>
        <w:spacing w:line="360" w:lineRule="auto"/>
        <w:ind w:firstLine="1440"/>
        <w:rPr>
          <w:bCs/>
          <w:color w:val="000000"/>
        </w:rPr>
      </w:pPr>
    </w:p>
    <w:p w14:paraId="0225BF8E" w14:textId="5990B93A" w:rsidR="00D7200B" w:rsidRDefault="00D7200B" w:rsidP="001565B1">
      <w:pPr>
        <w:pStyle w:val="Style"/>
        <w:spacing w:line="360" w:lineRule="auto"/>
        <w:ind w:firstLine="1440"/>
        <w:rPr>
          <w:bCs/>
          <w:color w:val="000000"/>
        </w:rPr>
      </w:pPr>
      <w:r>
        <w:rPr>
          <w:bCs/>
          <w:color w:val="000000"/>
        </w:rPr>
        <w:t xml:space="preserve">On August 7, 2019, PPL filed a motion to compel answers to interrogatories and requests for production of documents regarding its Set I interrogatories 5, 6 and 7.  In its motion, </w:t>
      </w:r>
      <w:r w:rsidR="00F55DB4">
        <w:rPr>
          <w:bCs/>
          <w:color w:val="000000"/>
        </w:rPr>
        <w:t xml:space="preserve">and as discussed further below, </w:t>
      </w:r>
      <w:r>
        <w:rPr>
          <w:bCs/>
          <w:color w:val="000000"/>
        </w:rPr>
        <w:t>PPL argued that Amtrak</w:t>
      </w:r>
      <w:r w:rsidR="00F55DB4">
        <w:rPr>
          <w:bCs/>
          <w:color w:val="000000"/>
        </w:rPr>
        <w:t xml:space="preserve"> should be directed to provide full and complete responses to these interrogatories.</w:t>
      </w:r>
    </w:p>
    <w:p w14:paraId="201EDD22" w14:textId="5B162CE1" w:rsidR="00F55DB4" w:rsidRDefault="00F55DB4" w:rsidP="001565B1">
      <w:pPr>
        <w:pStyle w:val="Style"/>
        <w:spacing w:line="360" w:lineRule="auto"/>
        <w:ind w:firstLine="1440"/>
        <w:rPr>
          <w:bCs/>
          <w:color w:val="000000"/>
        </w:rPr>
      </w:pPr>
    </w:p>
    <w:p w14:paraId="7CC4912C" w14:textId="0DEB209E" w:rsidR="00F55DB4" w:rsidRDefault="00F55DB4" w:rsidP="001565B1">
      <w:pPr>
        <w:pStyle w:val="Style"/>
        <w:spacing w:line="360" w:lineRule="auto"/>
        <w:ind w:firstLine="1440"/>
        <w:rPr>
          <w:bCs/>
          <w:color w:val="000000"/>
        </w:rPr>
      </w:pPr>
      <w:r>
        <w:rPr>
          <w:bCs/>
          <w:color w:val="000000"/>
        </w:rPr>
        <w:t xml:space="preserve">Amtrak filed an answer to PPL’s motion to compel </w:t>
      </w:r>
      <w:r w:rsidR="004F2E0C">
        <w:rPr>
          <w:bCs/>
          <w:color w:val="000000"/>
        </w:rPr>
        <w:t>on August 12, 2019 arguing that PPL’s request for generation-related correspondence is not relevant to this proceeding, not calculated to lead to the discovery of admissible evidence and is burdensome for Amtrak to produce.  Amtrak also argued, among other things, that PPL’s interrogatories are overly broad and far reaching.</w:t>
      </w:r>
    </w:p>
    <w:p w14:paraId="699503FC" w14:textId="14C6D7C1" w:rsidR="000C1E22" w:rsidRDefault="000C1E22" w:rsidP="001565B1">
      <w:pPr>
        <w:pStyle w:val="Style"/>
        <w:spacing w:line="360" w:lineRule="auto"/>
        <w:ind w:firstLine="1440"/>
        <w:rPr>
          <w:bCs/>
          <w:color w:val="000000"/>
        </w:rPr>
      </w:pPr>
    </w:p>
    <w:p w14:paraId="1FBC47C3" w14:textId="1519D37E" w:rsidR="000C1E22" w:rsidRDefault="000C1E22" w:rsidP="000C1E22">
      <w:pPr>
        <w:pStyle w:val="Style"/>
        <w:spacing w:line="360" w:lineRule="auto"/>
        <w:ind w:firstLine="1440"/>
        <w:rPr>
          <w:bCs/>
          <w:color w:val="000000"/>
        </w:rPr>
      </w:pPr>
      <w:r>
        <w:rPr>
          <w:bCs/>
          <w:color w:val="000000"/>
        </w:rPr>
        <w:t>PPL’s preliminary objections were denied via order dated August 14, 2019.</w:t>
      </w:r>
    </w:p>
    <w:p w14:paraId="2F7C5ED2" w14:textId="58C885A7" w:rsidR="000C1E22" w:rsidRDefault="000C1E22" w:rsidP="000C1E22">
      <w:pPr>
        <w:pStyle w:val="Style"/>
        <w:spacing w:line="360" w:lineRule="auto"/>
        <w:ind w:firstLine="1440"/>
        <w:rPr>
          <w:bCs/>
          <w:color w:val="000000"/>
        </w:rPr>
      </w:pPr>
    </w:p>
    <w:p w14:paraId="1DAABBE7" w14:textId="433C7D2A" w:rsidR="006A1A43" w:rsidRPr="003B10DF" w:rsidRDefault="000C1E22" w:rsidP="00352396">
      <w:pPr>
        <w:pStyle w:val="Style"/>
        <w:spacing w:line="360" w:lineRule="auto"/>
        <w:ind w:firstLine="1440"/>
        <w:rPr>
          <w:bCs/>
          <w:color w:val="000000"/>
        </w:rPr>
      </w:pPr>
      <w:r>
        <w:rPr>
          <w:bCs/>
          <w:color w:val="000000"/>
        </w:rPr>
        <w:t xml:space="preserve">PPL’s motion to compel is </w:t>
      </w:r>
      <w:r w:rsidR="006A1A43" w:rsidRPr="003B10DF">
        <w:rPr>
          <w:bCs/>
          <w:color w:val="000000"/>
        </w:rPr>
        <w:t xml:space="preserve">ready for disposition.  For the reasons discussed below, </w:t>
      </w:r>
      <w:r w:rsidR="00E44831" w:rsidRPr="003B10DF">
        <w:rPr>
          <w:bCs/>
          <w:color w:val="000000"/>
        </w:rPr>
        <w:t xml:space="preserve">the </w:t>
      </w:r>
      <w:r w:rsidR="0042596E" w:rsidRPr="003B10DF">
        <w:rPr>
          <w:bCs/>
          <w:color w:val="000000"/>
        </w:rPr>
        <w:t>p</w:t>
      </w:r>
      <w:r w:rsidR="006A1A43" w:rsidRPr="003B10DF">
        <w:rPr>
          <w:bCs/>
          <w:color w:val="000000"/>
        </w:rPr>
        <w:t xml:space="preserve">reliminary </w:t>
      </w:r>
      <w:r w:rsidR="00E44831" w:rsidRPr="003B10DF">
        <w:rPr>
          <w:bCs/>
          <w:color w:val="000000"/>
        </w:rPr>
        <w:t>o</w:t>
      </w:r>
      <w:r w:rsidR="006A1A43" w:rsidRPr="003B10DF">
        <w:rPr>
          <w:bCs/>
          <w:color w:val="000000"/>
        </w:rPr>
        <w:t>bjection</w:t>
      </w:r>
      <w:r w:rsidR="003B10DF">
        <w:rPr>
          <w:bCs/>
          <w:color w:val="000000"/>
        </w:rPr>
        <w:t>s</w:t>
      </w:r>
      <w:r w:rsidR="00E44831" w:rsidRPr="003B10DF">
        <w:rPr>
          <w:bCs/>
          <w:color w:val="000000"/>
        </w:rPr>
        <w:t xml:space="preserve"> </w:t>
      </w:r>
      <w:r w:rsidR="006A1A43" w:rsidRPr="003B10DF">
        <w:rPr>
          <w:bCs/>
          <w:color w:val="000000"/>
        </w:rPr>
        <w:t>will be</w:t>
      </w:r>
      <w:r>
        <w:rPr>
          <w:bCs/>
          <w:color w:val="000000"/>
        </w:rPr>
        <w:t xml:space="preserve"> </w:t>
      </w:r>
      <w:r w:rsidR="001B08A2">
        <w:rPr>
          <w:bCs/>
          <w:color w:val="000000"/>
        </w:rPr>
        <w:t>granted in part and denied in part</w:t>
      </w:r>
      <w:r w:rsidR="006A1A43" w:rsidRPr="003B10DF">
        <w:rPr>
          <w:bCs/>
          <w:color w:val="000000"/>
        </w:rPr>
        <w:t>.</w:t>
      </w:r>
    </w:p>
    <w:p w14:paraId="4C46F97C" w14:textId="77777777" w:rsidR="003B10DF" w:rsidRPr="00352396" w:rsidRDefault="003B10DF" w:rsidP="00352396">
      <w:pPr>
        <w:pStyle w:val="Style"/>
        <w:spacing w:line="360" w:lineRule="auto"/>
        <w:rPr>
          <w:bCs/>
          <w:color w:val="000000"/>
        </w:rPr>
      </w:pPr>
    </w:p>
    <w:p w14:paraId="576F24D8" w14:textId="77777777" w:rsidR="00352396" w:rsidRPr="00352396" w:rsidRDefault="00352396" w:rsidP="00352396">
      <w:pPr>
        <w:tabs>
          <w:tab w:val="left" w:pos="-720"/>
          <w:tab w:val="left" w:pos="2070"/>
        </w:tabs>
        <w:suppressAutoHyphens/>
        <w:spacing w:after="0" w:line="360" w:lineRule="auto"/>
        <w:ind w:firstLine="1440"/>
        <w:rPr>
          <w:rFonts w:ascii="Times New Roman" w:hAnsi="Times New Roman" w:cs="Times New Roman"/>
          <w:sz w:val="24"/>
          <w:szCs w:val="24"/>
        </w:rPr>
      </w:pPr>
      <w:r w:rsidRPr="00352396">
        <w:rPr>
          <w:rFonts w:ascii="Times New Roman" w:hAnsi="Times New Roman" w:cs="Times New Roman"/>
          <w:sz w:val="24"/>
          <w:szCs w:val="24"/>
        </w:rPr>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352396">
        <w:rPr>
          <w:rFonts w:ascii="Times New Roman" w:hAnsi="Times New Roman" w:cs="Times New Roman"/>
          <w:sz w:val="24"/>
          <w:szCs w:val="24"/>
        </w:rPr>
        <w:t>Pa.Code</w:t>
      </w:r>
      <w:proofErr w:type="spellEnd"/>
      <w:proofErr w:type="gramEnd"/>
      <w:r w:rsidRPr="00352396">
        <w:rPr>
          <w:rFonts w:ascii="Times New Roman" w:hAnsi="Times New Roman" w:cs="Times New Roman"/>
          <w:sz w:val="24"/>
          <w:szCs w:val="24"/>
        </w:rPr>
        <w:t xml:space="preserve"> § 5.321(c).  It is not grounds for objection that the information sought will be inadmissible at hearing if the information sought appears to be reasonably calculated to lead to the discovery of admissible evidence.  </w:t>
      </w:r>
      <w:r w:rsidRPr="00352396">
        <w:rPr>
          <w:rFonts w:ascii="Times New Roman" w:hAnsi="Times New Roman" w:cs="Times New Roman"/>
          <w:sz w:val="24"/>
          <w:szCs w:val="24"/>
          <w:u w:val="single"/>
        </w:rPr>
        <w:t>Id.</w:t>
      </w:r>
      <w:r w:rsidRPr="00352396">
        <w:rPr>
          <w:rFonts w:ascii="Times New Roman" w:hAnsi="Times New Roman" w:cs="Times New Roman"/>
          <w:sz w:val="24"/>
          <w:szCs w:val="24"/>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352396">
        <w:rPr>
          <w:rFonts w:ascii="Times New Roman" w:hAnsi="Times New Roman" w:cs="Times New Roman"/>
          <w:sz w:val="24"/>
          <w:szCs w:val="24"/>
        </w:rPr>
        <w:t>Pa.Code</w:t>
      </w:r>
      <w:proofErr w:type="spellEnd"/>
      <w:proofErr w:type="gramEnd"/>
      <w:r w:rsidRPr="00352396">
        <w:rPr>
          <w:rFonts w:ascii="Times New Roman" w:hAnsi="Times New Roman" w:cs="Times New Roman"/>
          <w:sz w:val="24"/>
          <w:szCs w:val="24"/>
        </w:rPr>
        <w:t xml:space="preserve"> § 5.361(a); </w:t>
      </w:r>
      <w:r w:rsidRPr="00352396">
        <w:rPr>
          <w:rFonts w:ascii="Times New Roman" w:hAnsi="Times New Roman" w:cs="Times New Roman"/>
          <w:i/>
          <w:sz w:val="24"/>
          <w:szCs w:val="24"/>
        </w:rPr>
        <w:t>see also</w:t>
      </w:r>
      <w:r w:rsidRPr="00352396">
        <w:rPr>
          <w:rFonts w:ascii="Times New Roman" w:hAnsi="Times New Roman" w:cs="Times New Roman"/>
          <w:sz w:val="24"/>
          <w:szCs w:val="24"/>
        </w:rPr>
        <w:t xml:space="preserve">, </w:t>
      </w:r>
      <w:r w:rsidRPr="00352396">
        <w:rPr>
          <w:rFonts w:ascii="Times New Roman" w:hAnsi="Times New Roman" w:cs="Times New Roman"/>
          <w:sz w:val="24"/>
          <w:szCs w:val="24"/>
          <w:u w:val="single"/>
        </w:rPr>
        <w:t xml:space="preserve">City of Pittsburgh v. </w:t>
      </w:r>
      <w:proofErr w:type="spellStart"/>
      <w:r w:rsidRPr="00352396">
        <w:rPr>
          <w:rFonts w:ascii="Times New Roman" w:hAnsi="Times New Roman" w:cs="Times New Roman"/>
          <w:sz w:val="24"/>
          <w:szCs w:val="24"/>
          <w:u w:val="single"/>
        </w:rPr>
        <w:t>Pa.P.U.C</w:t>
      </w:r>
      <w:proofErr w:type="spellEnd"/>
      <w:r w:rsidRPr="00352396">
        <w:rPr>
          <w:rFonts w:ascii="Times New Roman" w:hAnsi="Times New Roman" w:cs="Times New Roman"/>
          <w:sz w:val="24"/>
          <w:szCs w:val="24"/>
          <w:u w:val="single"/>
        </w:rPr>
        <w:t>.</w:t>
      </w:r>
      <w:r w:rsidRPr="00352396">
        <w:rPr>
          <w:rFonts w:ascii="Times New Roman" w:hAnsi="Times New Roman" w:cs="Times New Roman"/>
          <w:sz w:val="24"/>
          <w:szCs w:val="24"/>
        </w:rPr>
        <w:t>, 526 A.2d 1243 (</w:t>
      </w:r>
      <w:proofErr w:type="spellStart"/>
      <w:r w:rsidRPr="00352396">
        <w:rPr>
          <w:rFonts w:ascii="Times New Roman" w:hAnsi="Times New Roman" w:cs="Times New Roman"/>
          <w:sz w:val="24"/>
          <w:szCs w:val="24"/>
        </w:rPr>
        <w:t>Pa.Cmwlth</w:t>
      </w:r>
      <w:proofErr w:type="spellEnd"/>
      <w:r w:rsidRPr="00352396">
        <w:rPr>
          <w:rFonts w:ascii="Times New Roman" w:hAnsi="Times New Roman" w:cs="Times New Roman"/>
          <w:sz w:val="24"/>
          <w:szCs w:val="24"/>
        </w:rPr>
        <w:t xml:space="preserve"> 1987), </w:t>
      </w:r>
      <w:proofErr w:type="spellStart"/>
      <w:r w:rsidRPr="00352396">
        <w:rPr>
          <w:rFonts w:ascii="Times New Roman" w:hAnsi="Times New Roman" w:cs="Times New Roman"/>
          <w:i/>
          <w:sz w:val="24"/>
          <w:szCs w:val="24"/>
        </w:rPr>
        <w:t>alloc</w:t>
      </w:r>
      <w:proofErr w:type="spellEnd"/>
      <w:r w:rsidRPr="00352396">
        <w:rPr>
          <w:rFonts w:ascii="Times New Roman" w:hAnsi="Times New Roman" w:cs="Times New Roman"/>
          <w:i/>
          <w:sz w:val="24"/>
          <w:szCs w:val="24"/>
        </w:rPr>
        <w:t>. denied</w:t>
      </w:r>
      <w:r w:rsidRPr="00352396">
        <w:rPr>
          <w:rFonts w:ascii="Times New Roman" w:hAnsi="Times New Roman" w:cs="Times New Roman"/>
          <w:sz w:val="24"/>
          <w:szCs w:val="24"/>
        </w:rPr>
        <w:t>, 538 A.2d 880 (Pa. 1988).</w:t>
      </w:r>
    </w:p>
    <w:p w14:paraId="5DE54856" w14:textId="77777777" w:rsidR="00352396" w:rsidRPr="00352396" w:rsidRDefault="00352396" w:rsidP="00352396">
      <w:pPr>
        <w:tabs>
          <w:tab w:val="left" w:pos="-720"/>
          <w:tab w:val="left" w:pos="2070"/>
        </w:tabs>
        <w:suppressAutoHyphens/>
        <w:spacing w:after="0" w:line="360" w:lineRule="auto"/>
        <w:ind w:firstLine="1440"/>
        <w:rPr>
          <w:rFonts w:ascii="Times New Roman" w:hAnsi="Times New Roman" w:cs="Times New Roman"/>
          <w:sz w:val="24"/>
          <w:szCs w:val="24"/>
        </w:rPr>
      </w:pPr>
    </w:p>
    <w:p w14:paraId="4014EB3A" w14:textId="4502AE13" w:rsidR="00352396" w:rsidRPr="00352396" w:rsidRDefault="00FF0B3E" w:rsidP="00352396">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w:t>
      </w:r>
      <w:r w:rsidR="00352396" w:rsidRPr="00352396">
        <w:rPr>
          <w:rFonts w:ascii="Times New Roman" w:hAnsi="Times New Roman" w:cs="Times New Roman"/>
          <w:sz w:val="24"/>
          <w:szCs w:val="24"/>
        </w:rPr>
        <w:t xml:space="preserve">nformation is relevant if it tends to establish a material fact, tends to make a fact at issue </w:t>
      </w:r>
      <w:proofErr w:type="gramStart"/>
      <w:r w:rsidR="00352396" w:rsidRPr="00352396">
        <w:rPr>
          <w:rFonts w:ascii="Times New Roman" w:hAnsi="Times New Roman" w:cs="Times New Roman"/>
          <w:sz w:val="24"/>
          <w:szCs w:val="24"/>
        </w:rPr>
        <w:t>more or less probable</w:t>
      </w:r>
      <w:proofErr w:type="gramEnd"/>
      <w:r w:rsidR="00352396" w:rsidRPr="00352396">
        <w:rPr>
          <w:rFonts w:ascii="Times New Roman" w:hAnsi="Times New Roman" w:cs="Times New Roman"/>
          <w:sz w:val="24"/>
          <w:szCs w:val="24"/>
        </w:rPr>
        <w:t xml:space="preserve"> or supports a reasonable inference or presumption regarding a material fact.  </w:t>
      </w:r>
      <w:r w:rsidR="00352396" w:rsidRPr="00352396">
        <w:rPr>
          <w:rFonts w:ascii="Times New Roman" w:hAnsi="Times New Roman" w:cs="Times New Roman"/>
          <w:i/>
          <w:sz w:val="24"/>
          <w:szCs w:val="24"/>
        </w:rPr>
        <w:t>See</w:t>
      </w:r>
      <w:r w:rsidR="00352396" w:rsidRPr="00352396">
        <w:rPr>
          <w:rFonts w:ascii="Times New Roman" w:hAnsi="Times New Roman" w:cs="Times New Roman"/>
          <w:sz w:val="24"/>
          <w:szCs w:val="24"/>
        </w:rPr>
        <w:t xml:space="preserve">, </w:t>
      </w:r>
      <w:r w:rsidR="00352396" w:rsidRPr="00352396">
        <w:rPr>
          <w:rFonts w:ascii="Times New Roman" w:hAnsi="Times New Roman" w:cs="Times New Roman"/>
          <w:sz w:val="24"/>
          <w:szCs w:val="24"/>
          <w:u w:val="single"/>
        </w:rPr>
        <w:t>Petition of the Borough of Cornwall for a Declaratory Order that the Provision of Water Service to Isolated Customers Adjoining its Boundaries Does Not Constitute Provision of Public Utility Service Under § 102</w:t>
      </w:r>
      <w:r w:rsidR="00352396" w:rsidRPr="00352396">
        <w:rPr>
          <w:rFonts w:ascii="Times New Roman" w:hAnsi="Times New Roman" w:cs="Times New Roman"/>
          <w:sz w:val="24"/>
          <w:szCs w:val="24"/>
        </w:rPr>
        <w:t xml:space="preserve">, Docket Number P-2015-2476211 (Order dated September 11, 2015) at 9-10, </w:t>
      </w:r>
      <w:r w:rsidR="00352396" w:rsidRPr="00352396">
        <w:rPr>
          <w:rFonts w:ascii="Times New Roman" w:hAnsi="Times New Roman" w:cs="Times New Roman"/>
          <w:i/>
          <w:sz w:val="24"/>
          <w:szCs w:val="24"/>
        </w:rPr>
        <w:t>citing</w:t>
      </w:r>
      <w:r w:rsidR="00352396" w:rsidRPr="00352396">
        <w:rPr>
          <w:rFonts w:ascii="Times New Roman" w:hAnsi="Times New Roman" w:cs="Times New Roman"/>
          <w:sz w:val="24"/>
          <w:szCs w:val="24"/>
        </w:rPr>
        <w:t xml:space="preserve">, </w:t>
      </w:r>
      <w:r w:rsidR="00352396" w:rsidRPr="00352396">
        <w:rPr>
          <w:rFonts w:ascii="Times New Roman" w:hAnsi="Times New Roman" w:cs="Times New Roman"/>
          <w:sz w:val="24"/>
          <w:szCs w:val="24"/>
          <w:u w:val="single"/>
        </w:rPr>
        <w:t>Smith v. Morrison</w:t>
      </w:r>
      <w:r w:rsidR="00352396" w:rsidRPr="00352396">
        <w:rPr>
          <w:rFonts w:ascii="Times New Roman" w:hAnsi="Times New Roman" w:cs="Times New Roman"/>
          <w:sz w:val="24"/>
          <w:szCs w:val="24"/>
        </w:rPr>
        <w:t>, 47 A.3d 1311 (</w:t>
      </w:r>
      <w:proofErr w:type="spellStart"/>
      <w:r w:rsidR="00352396" w:rsidRPr="00352396">
        <w:rPr>
          <w:rFonts w:ascii="Times New Roman" w:hAnsi="Times New Roman" w:cs="Times New Roman"/>
          <w:sz w:val="24"/>
          <w:szCs w:val="24"/>
        </w:rPr>
        <w:t>Pa.Super</w:t>
      </w:r>
      <w:proofErr w:type="spellEnd"/>
      <w:r w:rsidR="00352396" w:rsidRPr="00352396">
        <w:rPr>
          <w:rFonts w:ascii="Times New Roman" w:hAnsi="Times New Roman" w:cs="Times New Roman"/>
          <w:sz w:val="24"/>
          <w:szCs w:val="24"/>
        </w:rPr>
        <w:t xml:space="preserve"> 2012), </w:t>
      </w:r>
      <w:proofErr w:type="spellStart"/>
      <w:r w:rsidR="00352396" w:rsidRPr="00352396">
        <w:rPr>
          <w:rFonts w:ascii="Times New Roman" w:hAnsi="Times New Roman" w:cs="Times New Roman"/>
          <w:i/>
          <w:sz w:val="24"/>
          <w:szCs w:val="24"/>
        </w:rPr>
        <w:t>alloc</w:t>
      </w:r>
      <w:proofErr w:type="spellEnd"/>
      <w:r w:rsidR="00352396" w:rsidRPr="00352396">
        <w:rPr>
          <w:rFonts w:ascii="Times New Roman" w:hAnsi="Times New Roman" w:cs="Times New Roman"/>
          <w:i/>
          <w:sz w:val="24"/>
          <w:szCs w:val="24"/>
        </w:rPr>
        <w:t>. denied</w:t>
      </w:r>
      <w:r w:rsidR="00352396" w:rsidRPr="00352396">
        <w:rPr>
          <w:rFonts w:ascii="Times New Roman" w:hAnsi="Times New Roman" w:cs="Times New Roman"/>
          <w:sz w:val="24"/>
          <w:szCs w:val="24"/>
        </w:rPr>
        <w:t xml:space="preserve">, 57 A.3d 71 (Pa. 2012).  Relevancy in discovery is broader than the standard used for admission of evidence at a hearing.  </w:t>
      </w:r>
      <w:r w:rsidR="00352396" w:rsidRPr="00352396">
        <w:rPr>
          <w:rFonts w:ascii="Times New Roman" w:hAnsi="Times New Roman" w:cs="Times New Roman"/>
          <w:sz w:val="24"/>
          <w:szCs w:val="24"/>
          <w:u w:val="single"/>
        </w:rPr>
        <w:t>Id.</w:t>
      </w:r>
      <w:r w:rsidR="00352396" w:rsidRPr="00352396">
        <w:rPr>
          <w:rFonts w:ascii="Times New Roman" w:hAnsi="Times New Roman" w:cs="Times New Roman"/>
          <w:sz w:val="24"/>
          <w:szCs w:val="24"/>
        </w:rPr>
        <w:t xml:space="preserve"> at 10, </w:t>
      </w:r>
      <w:r w:rsidR="00352396" w:rsidRPr="00352396">
        <w:rPr>
          <w:rFonts w:ascii="Times New Roman" w:hAnsi="Times New Roman" w:cs="Times New Roman"/>
          <w:i/>
          <w:sz w:val="24"/>
          <w:szCs w:val="24"/>
        </w:rPr>
        <w:t>citing</w:t>
      </w:r>
      <w:r w:rsidR="00352396" w:rsidRPr="00352396">
        <w:rPr>
          <w:rFonts w:ascii="Times New Roman" w:hAnsi="Times New Roman" w:cs="Times New Roman"/>
          <w:sz w:val="24"/>
          <w:szCs w:val="24"/>
        </w:rPr>
        <w:t xml:space="preserve">, </w:t>
      </w:r>
      <w:r w:rsidR="00352396" w:rsidRPr="00352396">
        <w:rPr>
          <w:rFonts w:ascii="Times New Roman" w:hAnsi="Times New Roman" w:cs="Times New Roman"/>
          <w:sz w:val="24"/>
          <w:szCs w:val="24"/>
          <w:u w:val="single"/>
        </w:rPr>
        <w:t>Com. v. TAP Pharmaceutical Products, Inc.</w:t>
      </w:r>
      <w:r w:rsidR="00352396" w:rsidRPr="00352396">
        <w:rPr>
          <w:rFonts w:ascii="Times New Roman" w:hAnsi="Times New Roman" w:cs="Times New Roman"/>
          <w:sz w:val="24"/>
          <w:szCs w:val="24"/>
        </w:rPr>
        <w:t>, 904 A.2d 986 (</w:t>
      </w:r>
      <w:proofErr w:type="spellStart"/>
      <w:proofErr w:type="gramStart"/>
      <w:r w:rsidR="00352396" w:rsidRPr="00352396">
        <w:rPr>
          <w:rFonts w:ascii="Times New Roman" w:hAnsi="Times New Roman" w:cs="Times New Roman"/>
          <w:sz w:val="24"/>
          <w:szCs w:val="24"/>
        </w:rPr>
        <w:t>Pa.Cmwlth</w:t>
      </w:r>
      <w:proofErr w:type="spellEnd"/>
      <w:proofErr w:type="gramEnd"/>
      <w:r w:rsidR="00352396" w:rsidRPr="00352396">
        <w:rPr>
          <w:rFonts w:ascii="Times New Roman" w:hAnsi="Times New Roman" w:cs="Times New Roman"/>
          <w:sz w:val="24"/>
          <w:szCs w:val="24"/>
        </w:rPr>
        <w:t xml:space="preserve"> 2006).  The party objecting to discovery has the burden to establish that the requested information is not relevant or discoverable with any doubts regarding relevancy being resolved in favor of discovery.  </w:t>
      </w:r>
      <w:r w:rsidR="00352396" w:rsidRPr="00352396">
        <w:rPr>
          <w:rFonts w:ascii="Times New Roman" w:hAnsi="Times New Roman" w:cs="Times New Roman"/>
          <w:sz w:val="24"/>
          <w:szCs w:val="24"/>
          <w:u w:val="single"/>
        </w:rPr>
        <w:t>Id.</w:t>
      </w:r>
    </w:p>
    <w:p w14:paraId="2A0A84C3" w14:textId="1AD4CF92" w:rsidR="003B10DF" w:rsidRDefault="003B10DF" w:rsidP="00352396">
      <w:pPr>
        <w:pStyle w:val="Style"/>
        <w:spacing w:line="360" w:lineRule="auto"/>
        <w:rPr>
          <w:rFonts w:eastAsiaTheme="minorEastAsia"/>
        </w:rPr>
      </w:pPr>
    </w:p>
    <w:p w14:paraId="659A7E60" w14:textId="7D06B460" w:rsidR="00352396" w:rsidRDefault="003B10DF" w:rsidP="003B10DF">
      <w:pPr>
        <w:pStyle w:val="Style"/>
        <w:spacing w:line="360" w:lineRule="auto"/>
        <w:rPr>
          <w:rFonts w:eastAsiaTheme="minorEastAsia"/>
        </w:rPr>
      </w:pPr>
      <w:r>
        <w:rPr>
          <w:rFonts w:eastAsiaTheme="minorEastAsia"/>
        </w:rPr>
        <w:tab/>
      </w:r>
      <w:r>
        <w:rPr>
          <w:rFonts w:eastAsiaTheme="minorEastAsia"/>
        </w:rPr>
        <w:tab/>
      </w:r>
      <w:r w:rsidR="004C4737">
        <w:rPr>
          <w:rFonts w:eastAsiaTheme="minorEastAsia"/>
        </w:rPr>
        <w:t xml:space="preserve">In this case, </w:t>
      </w:r>
      <w:r w:rsidR="00352396">
        <w:rPr>
          <w:rFonts w:eastAsiaTheme="minorEastAsia"/>
        </w:rPr>
        <w:t xml:space="preserve">PPL has moved that Amtrak should be compelled to provide full and complete responses to questions 5, 6 and 7 of its set I interrogatories.  These interrogatories </w:t>
      </w:r>
      <w:r w:rsidR="00FF0B3E">
        <w:rPr>
          <w:rFonts w:eastAsiaTheme="minorEastAsia"/>
        </w:rPr>
        <w:t>state</w:t>
      </w:r>
      <w:r w:rsidR="00352396">
        <w:rPr>
          <w:rFonts w:eastAsiaTheme="minorEastAsia"/>
        </w:rPr>
        <w:t>:</w:t>
      </w:r>
    </w:p>
    <w:p w14:paraId="4897E5EA" w14:textId="77777777" w:rsidR="005B2358" w:rsidRDefault="005B2358" w:rsidP="005B2358">
      <w:pPr>
        <w:keepNext/>
        <w:spacing w:after="0" w:line="240" w:lineRule="auto"/>
        <w:ind w:left="1440" w:right="1440"/>
        <w:outlineLvl w:val="0"/>
        <w:rPr>
          <w:rFonts w:ascii="Times New Roman" w:eastAsia="Times New Roman" w:hAnsi="Times New Roman" w:cs="Times New Roman"/>
          <w:b/>
          <w:bCs/>
          <w:kern w:val="32"/>
          <w:sz w:val="24"/>
          <w:szCs w:val="24"/>
        </w:rPr>
      </w:pPr>
    </w:p>
    <w:p w14:paraId="56465A21" w14:textId="4A2A01E7" w:rsidR="00D33221" w:rsidRPr="005B2358" w:rsidRDefault="00D33221" w:rsidP="005B2358">
      <w:pPr>
        <w:keepNext/>
        <w:spacing w:after="0" w:line="240" w:lineRule="auto"/>
        <w:ind w:left="1440" w:right="1440"/>
        <w:outlineLvl w:val="0"/>
        <w:rPr>
          <w:rFonts w:ascii="Times New Roman" w:eastAsia="Times New Roman" w:hAnsi="Times New Roman" w:cs="Times New Roman"/>
          <w:b/>
          <w:bCs/>
          <w:kern w:val="32"/>
          <w:sz w:val="24"/>
          <w:szCs w:val="24"/>
        </w:rPr>
      </w:pPr>
      <w:r w:rsidRPr="005B2358">
        <w:rPr>
          <w:rFonts w:ascii="Times New Roman" w:eastAsia="Times New Roman" w:hAnsi="Times New Roman" w:cs="Times New Roman"/>
          <w:b/>
          <w:bCs/>
          <w:kern w:val="32"/>
          <w:sz w:val="24"/>
          <w:szCs w:val="24"/>
        </w:rPr>
        <w:t>PPL to Amtrak-I-5:</w:t>
      </w:r>
    </w:p>
    <w:p w14:paraId="18D88C29" w14:textId="77777777" w:rsidR="005B2358" w:rsidRDefault="005B2358" w:rsidP="005B2358">
      <w:pPr>
        <w:keepNext/>
        <w:spacing w:after="0" w:line="240" w:lineRule="auto"/>
        <w:ind w:left="1440" w:right="1440"/>
        <w:outlineLvl w:val="0"/>
        <w:rPr>
          <w:rFonts w:ascii="Times New Roman" w:eastAsia="Times New Roman" w:hAnsi="Times New Roman" w:cs="Times New Roman"/>
          <w:bCs/>
          <w:iCs/>
          <w:sz w:val="24"/>
          <w:szCs w:val="24"/>
        </w:rPr>
      </w:pPr>
    </w:p>
    <w:p w14:paraId="63FC7C07" w14:textId="065C2A89" w:rsidR="00D33221" w:rsidRPr="005B2358" w:rsidRDefault="00D33221" w:rsidP="005B2358">
      <w:pPr>
        <w:keepNext/>
        <w:spacing w:after="0" w:line="240" w:lineRule="auto"/>
        <w:ind w:left="1440" w:right="1440"/>
        <w:outlineLvl w:val="0"/>
        <w:rPr>
          <w:rFonts w:ascii="Times New Roman" w:eastAsia="Times New Roman" w:hAnsi="Times New Roman" w:cs="Times New Roman"/>
          <w:bCs/>
          <w:iCs/>
          <w:sz w:val="24"/>
          <w:szCs w:val="24"/>
        </w:rPr>
      </w:pPr>
      <w:r w:rsidRPr="005B2358">
        <w:rPr>
          <w:rFonts w:ascii="Times New Roman" w:eastAsia="Times New Roman" w:hAnsi="Times New Roman" w:cs="Times New Roman"/>
          <w:bCs/>
          <w:iCs/>
          <w:sz w:val="24"/>
          <w:szCs w:val="24"/>
        </w:rPr>
        <w:t>Please provide copies of all correspondence for the past five years between Amtrak and CNE, or CNE’s predecessors, related to Amtrak’s generation and/or transmission service in the PJM Zone.</w:t>
      </w:r>
    </w:p>
    <w:p w14:paraId="1203B695" w14:textId="77777777" w:rsidR="005B2358" w:rsidRDefault="005B2358" w:rsidP="005B2358">
      <w:pPr>
        <w:keepNext/>
        <w:spacing w:after="0" w:line="240" w:lineRule="auto"/>
        <w:ind w:left="1440" w:right="1440"/>
        <w:outlineLvl w:val="0"/>
        <w:rPr>
          <w:rFonts w:ascii="Times New Roman" w:eastAsia="Times New Roman" w:hAnsi="Times New Roman" w:cs="Times New Roman"/>
          <w:b/>
          <w:bCs/>
          <w:kern w:val="32"/>
          <w:sz w:val="24"/>
          <w:szCs w:val="24"/>
        </w:rPr>
      </w:pPr>
    </w:p>
    <w:p w14:paraId="682F02CA" w14:textId="4685B1D3" w:rsidR="00D33221" w:rsidRPr="005B2358" w:rsidRDefault="00D33221" w:rsidP="005B2358">
      <w:pPr>
        <w:keepNext/>
        <w:spacing w:after="0" w:line="240" w:lineRule="auto"/>
        <w:ind w:left="1440" w:right="1440"/>
        <w:outlineLvl w:val="0"/>
        <w:rPr>
          <w:rFonts w:ascii="Times New Roman" w:eastAsia="Times New Roman" w:hAnsi="Times New Roman" w:cs="Times New Roman"/>
          <w:b/>
          <w:bCs/>
          <w:kern w:val="32"/>
          <w:sz w:val="24"/>
          <w:szCs w:val="24"/>
        </w:rPr>
      </w:pPr>
      <w:r w:rsidRPr="005B2358">
        <w:rPr>
          <w:rFonts w:ascii="Times New Roman" w:eastAsia="Times New Roman" w:hAnsi="Times New Roman" w:cs="Times New Roman"/>
          <w:b/>
          <w:bCs/>
          <w:kern w:val="32"/>
          <w:sz w:val="24"/>
          <w:szCs w:val="24"/>
        </w:rPr>
        <w:t>PPL to Amtrak-I-6:</w:t>
      </w:r>
    </w:p>
    <w:p w14:paraId="59DE528F" w14:textId="77777777" w:rsidR="005B2358" w:rsidRDefault="005B2358" w:rsidP="005B2358">
      <w:pPr>
        <w:numPr>
          <w:ilvl w:val="1"/>
          <w:numId w:val="17"/>
        </w:numPr>
        <w:spacing w:after="0" w:line="240" w:lineRule="auto"/>
        <w:ind w:right="1440" w:firstLine="0"/>
        <w:jc w:val="both"/>
        <w:outlineLvl w:val="1"/>
        <w:rPr>
          <w:rFonts w:ascii="Times New Roman" w:eastAsia="Times New Roman" w:hAnsi="Times New Roman" w:cs="Times New Roman"/>
          <w:bCs/>
          <w:iCs/>
          <w:sz w:val="24"/>
          <w:szCs w:val="24"/>
        </w:rPr>
      </w:pPr>
    </w:p>
    <w:p w14:paraId="6E8AEEF3" w14:textId="33803E2F" w:rsidR="00D33221" w:rsidRPr="005B2358" w:rsidRDefault="00D33221" w:rsidP="005B2358">
      <w:pPr>
        <w:numPr>
          <w:ilvl w:val="1"/>
          <w:numId w:val="17"/>
        </w:numPr>
        <w:spacing w:after="0" w:line="240" w:lineRule="auto"/>
        <w:ind w:right="1440" w:firstLine="0"/>
        <w:jc w:val="both"/>
        <w:outlineLvl w:val="1"/>
        <w:rPr>
          <w:rFonts w:ascii="Times New Roman" w:eastAsia="Times New Roman" w:hAnsi="Times New Roman" w:cs="Times New Roman"/>
          <w:bCs/>
          <w:iCs/>
          <w:sz w:val="24"/>
          <w:szCs w:val="24"/>
        </w:rPr>
      </w:pPr>
      <w:r w:rsidRPr="005B2358">
        <w:rPr>
          <w:rFonts w:ascii="Times New Roman" w:eastAsia="Times New Roman" w:hAnsi="Times New Roman" w:cs="Times New Roman"/>
          <w:bCs/>
          <w:iCs/>
          <w:sz w:val="24"/>
          <w:szCs w:val="24"/>
        </w:rPr>
        <w:t>Please provide all correspondence for the past five years between Amtrak and Safe Harbor related to Amtrak’s generation and/or transmission service in the PJM Zone.</w:t>
      </w:r>
    </w:p>
    <w:p w14:paraId="7196D222" w14:textId="77777777" w:rsidR="005B2358" w:rsidRDefault="005B2358" w:rsidP="005B2358">
      <w:pPr>
        <w:keepNext/>
        <w:spacing w:after="0" w:line="240" w:lineRule="auto"/>
        <w:ind w:left="1440" w:right="1440"/>
        <w:jc w:val="both"/>
        <w:outlineLvl w:val="0"/>
        <w:rPr>
          <w:rFonts w:ascii="Times New Roman" w:eastAsia="Times New Roman" w:hAnsi="Times New Roman" w:cs="Times New Roman"/>
          <w:b/>
          <w:bCs/>
          <w:kern w:val="32"/>
          <w:sz w:val="24"/>
          <w:szCs w:val="24"/>
        </w:rPr>
      </w:pPr>
    </w:p>
    <w:p w14:paraId="62FDCBDF" w14:textId="41122EB6" w:rsidR="00D33221" w:rsidRPr="005B2358" w:rsidRDefault="00D33221" w:rsidP="005B2358">
      <w:pPr>
        <w:keepNext/>
        <w:spacing w:after="0" w:line="240" w:lineRule="auto"/>
        <w:ind w:left="1440" w:right="1440"/>
        <w:jc w:val="both"/>
        <w:outlineLvl w:val="0"/>
        <w:rPr>
          <w:rFonts w:ascii="Times New Roman" w:eastAsia="Times New Roman" w:hAnsi="Times New Roman" w:cs="Times New Roman"/>
          <w:b/>
          <w:bCs/>
          <w:kern w:val="32"/>
          <w:sz w:val="24"/>
          <w:szCs w:val="24"/>
        </w:rPr>
      </w:pPr>
      <w:r w:rsidRPr="005B2358">
        <w:rPr>
          <w:rFonts w:ascii="Times New Roman" w:eastAsia="Times New Roman" w:hAnsi="Times New Roman" w:cs="Times New Roman"/>
          <w:b/>
          <w:bCs/>
          <w:kern w:val="32"/>
          <w:sz w:val="24"/>
          <w:szCs w:val="24"/>
        </w:rPr>
        <w:t>PPL to Amtrak-I-7:</w:t>
      </w:r>
    </w:p>
    <w:p w14:paraId="53FC52E3" w14:textId="77777777" w:rsidR="005B2358" w:rsidRDefault="005B2358" w:rsidP="005B2358">
      <w:pPr>
        <w:numPr>
          <w:ilvl w:val="1"/>
          <w:numId w:val="17"/>
        </w:numPr>
        <w:spacing w:after="0" w:line="240" w:lineRule="auto"/>
        <w:ind w:right="1440" w:firstLine="0"/>
        <w:jc w:val="both"/>
        <w:outlineLvl w:val="1"/>
        <w:rPr>
          <w:rFonts w:ascii="Times New Roman" w:eastAsia="Times New Roman" w:hAnsi="Times New Roman" w:cs="Times New Roman"/>
          <w:bCs/>
          <w:iCs/>
          <w:sz w:val="24"/>
          <w:szCs w:val="24"/>
        </w:rPr>
      </w:pPr>
    </w:p>
    <w:p w14:paraId="3D8323EC" w14:textId="42085046" w:rsidR="00D33221" w:rsidRPr="005B2358" w:rsidRDefault="00D33221" w:rsidP="005B2358">
      <w:pPr>
        <w:numPr>
          <w:ilvl w:val="1"/>
          <w:numId w:val="17"/>
        </w:numPr>
        <w:spacing w:after="0" w:line="240" w:lineRule="auto"/>
        <w:ind w:right="1440" w:firstLine="0"/>
        <w:jc w:val="both"/>
        <w:outlineLvl w:val="1"/>
        <w:rPr>
          <w:rFonts w:ascii="Times New Roman" w:eastAsia="Times New Roman" w:hAnsi="Times New Roman" w:cs="Times New Roman"/>
          <w:bCs/>
          <w:iCs/>
          <w:sz w:val="24"/>
          <w:szCs w:val="24"/>
        </w:rPr>
      </w:pPr>
      <w:r w:rsidRPr="005B2358">
        <w:rPr>
          <w:rFonts w:ascii="Times New Roman" w:eastAsia="Times New Roman" w:hAnsi="Times New Roman" w:cs="Times New Roman"/>
          <w:bCs/>
          <w:iCs/>
          <w:sz w:val="24"/>
          <w:szCs w:val="24"/>
        </w:rPr>
        <w:t xml:space="preserve">Please provide all correspondence for the past five years between Amtrak and PJM related to Amtrak’s generation and/or transmission service in the PJM Zone.  </w:t>
      </w:r>
    </w:p>
    <w:p w14:paraId="79007992" w14:textId="2244D5DE" w:rsidR="00352396" w:rsidRDefault="00352396" w:rsidP="003B10DF">
      <w:pPr>
        <w:pStyle w:val="Style"/>
        <w:spacing w:line="360" w:lineRule="auto"/>
        <w:rPr>
          <w:rFonts w:eastAsiaTheme="minorEastAsia"/>
        </w:rPr>
      </w:pPr>
    </w:p>
    <w:p w14:paraId="7A7C8B0E" w14:textId="3A80FBB9" w:rsidR="00FF0B3E" w:rsidRDefault="00FF0B3E" w:rsidP="00FF0B3E">
      <w:pPr>
        <w:pStyle w:val="Style"/>
        <w:spacing w:line="360" w:lineRule="auto"/>
        <w:rPr>
          <w:rFonts w:eastAsiaTheme="minorEastAsia"/>
        </w:rPr>
      </w:pPr>
      <w:r>
        <w:rPr>
          <w:rFonts w:eastAsiaTheme="minorEastAsia"/>
        </w:rPr>
        <w:t>Given the similarity of these interrogatories, they will be addressed together.</w:t>
      </w:r>
    </w:p>
    <w:p w14:paraId="7F30F1F5" w14:textId="77777777" w:rsidR="00FF0B3E" w:rsidRDefault="00FF0B3E" w:rsidP="005B2358">
      <w:pPr>
        <w:pStyle w:val="Style"/>
        <w:spacing w:line="360" w:lineRule="auto"/>
        <w:ind w:firstLine="1440"/>
        <w:rPr>
          <w:rFonts w:eastAsiaTheme="minorEastAsia"/>
        </w:rPr>
      </w:pPr>
    </w:p>
    <w:p w14:paraId="120F1D95" w14:textId="4E14EAFE" w:rsidR="00352396" w:rsidRDefault="005B2358" w:rsidP="005B2358">
      <w:pPr>
        <w:pStyle w:val="Style"/>
        <w:spacing w:line="360" w:lineRule="auto"/>
        <w:ind w:firstLine="1440"/>
        <w:rPr>
          <w:rFonts w:eastAsiaTheme="minorEastAsia"/>
        </w:rPr>
      </w:pPr>
      <w:r>
        <w:rPr>
          <w:rFonts w:eastAsiaTheme="minorEastAsia"/>
        </w:rPr>
        <w:t xml:space="preserve">In its objection, Amtrak </w:t>
      </w:r>
      <w:r w:rsidR="000A18C3">
        <w:rPr>
          <w:rFonts w:eastAsiaTheme="minorEastAsia"/>
        </w:rPr>
        <w:t xml:space="preserve">objected to PPL’s interrogatories because they are overly broad, beyond the scope of the complaint and not relevant to this proceeding or likely to lead to the discovery of admissible evidence.  Amtrak also objected to the interrogatories on the basis that the requests are an unreasonable burden that requires Amtrak to incur unreasonable expense and constitute an unreasonable investigation.  With regard to I-5, Amtrak added that it may at different times have contracts with CNE </w:t>
      </w:r>
      <w:r w:rsidR="001F0787">
        <w:rPr>
          <w:rFonts w:eastAsiaTheme="minorEastAsia"/>
        </w:rPr>
        <w:t xml:space="preserve">throughout </w:t>
      </w:r>
      <w:r w:rsidR="000A18C3">
        <w:rPr>
          <w:rFonts w:eastAsiaTheme="minorEastAsia"/>
        </w:rPr>
        <w:t>the northeastern United States involving many issues and to provide every correspondence between Amtrak and CNE or its predecessors is overly broad, noting that it would require a vast number of employees and contractors to conduct research.  Amtrak</w:t>
      </w:r>
      <w:r w:rsidR="00FF0B3E">
        <w:rPr>
          <w:rFonts w:eastAsiaTheme="minorEastAsia"/>
        </w:rPr>
        <w:t xml:space="preserve"> also</w:t>
      </w:r>
      <w:r w:rsidR="000A18C3">
        <w:rPr>
          <w:rFonts w:eastAsiaTheme="minorEastAsia"/>
        </w:rPr>
        <w:t xml:space="preserve"> noted that it only has a document retention policy of three years.  </w:t>
      </w:r>
      <w:proofErr w:type="gramStart"/>
      <w:r w:rsidR="000A18C3">
        <w:rPr>
          <w:rFonts w:eastAsiaTheme="minorEastAsia"/>
        </w:rPr>
        <w:t>With regard to</w:t>
      </w:r>
      <w:proofErr w:type="gramEnd"/>
      <w:r w:rsidR="000A18C3">
        <w:rPr>
          <w:rFonts w:eastAsiaTheme="minorEastAsia"/>
        </w:rPr>
        <w:t xml:space="preserve"> I-6, Amtrak objected to the request to the extent any communications between Amtrak and Safe Harbor are part of ongoing negotiations or subject to settlement privilege.  Amtrak added that it will not answer I-5 until the request is narrowed but will provide a response to I-7, notwithstanding its objection.</w:t>
      </w:r>
    </w:p>
    <w:p w14:paraId="011FDA4C" w14:textId="3E064138" w:rsidR="005B2358" w:rsidRDefault="005B2358" w:rsidP="005B2358">
      <w:pPr>
        <w:pStyle w:val="Style"/>
        <w:spacing w:line="360" w:lineRule="auto"/>
        <w:ind w:firstLine="1440"/>
        <w:rPr>
          <w:rFonts w:eastAsiaTheme="minorEastAsia"/>
        </w:rPr>
      </w:pPr>
    </w:p>
    <w:p w14:paraId="32E2897B" w14:textId="6BCFC22C" w:rsidR="001B08A2" w:rsidRDefault="005B2358" w:rsidP="005B2358">
      <w:pPr>
        <w:pStyle w:val="Style"/>
        <w:spacing w:line="360" w:lineRule="auto"/>
        <w:ind w:firstLine="1440"/>
        <w:rPr>
          <w:rFonts w:eastAsiaTheme="minorEastAsia"/>
        </w:rPr>
      </w:pPr>
      <w:r>
        <w:rPr>
          <w:rFonts w:eastAsiaTheme="minorEastAsia"/>
        </w:rPr>
        <w:t xml:space="preserve">In its motion to compel, PPL argued </w:t>
      </w:r>
      <w:r w:rsidR="001B08A2">
        <w:rPr>
          <w:rFonts w:eastAsiaTheme="minorEastAsia"/>
        </w:rPr>
        <w:t xml:space="preserve">that Amtrak’s argument that interrogatories 5, 6 and 7 are overly broad, unduly burdensome and beyond the scope of the complaint should be rejected.  PPL noted that it has </w:t>
      </w:r>
      <w:r w:rsidR="00FF0B3E">
        <w:rPr>
          <w:rFonts w:eastAsiaTheme="minorEastAsia"/>
        </w:rPr>
        <w:t xml:space="preserve">subsequently </w:t>
      </w:r>
      <w:r w:rsidR="001B08A2">
        <w:rPr>
          <w:rFonts w:eastAsiaTheme="minorEastAsia"/>
        </w:rPr>
        <w:t>limited its requests to correspondence related to generation and/or transmission service in the PPL zone</w:t>
      </w:r>
      <w:r w:rsidR="00FF0B3E">
        <w:rPr>
          <w:rFonts w:eastAsiaTheme="minorEastAsia"/>
        </w:rPr>
        <w:t xml:space="preserve">.  PPL argued </w:t>
      </w:r>
      <w:r w:rsidR="001B08A2">
        <w:rPr>
          <w:rFonts w:eastAsiaTheme="minorEastAsia"/>
        </w:rPr>
        <w:t>that the questions are relevant to Amtrak’s complaint because Amtrak alleges that it has been improperly charged for transmission service provided by CNE and that CNE meets its obligation as a load serving entity by purchasing network integration transmission service from PJM.  PPL argued that the information sought in interrogatories 5, 6 and 7 are relevant to Amtrak’s allegations regarding transmission charges for service provided by CNE within the PPL zone.  PPL argued that Amtrak argued that it takes power from Safe Harbor to meet its load demands and therefore question 6 is relevant as well.  PPL also argued that requiring Amtrak to produce the requested information does not rise to the level of undue burden and also provided extensive argument, as discussed below, why Amtrak’s attempt to invoke a “settlement privilege” as a means to avoid answering interrogatories 6 and 7 is equally without merit.</w:t>
      </w:r>
    </w:p>
    <w:p w14:paraId="03A6A590" w14:textId="77777777" w:rsidR="001B08A2" w:rsidRDefault="001B08A2" w:rsidP="005B2358">
      <w:pPr>
        <w:pStyle w:val="Style"/>
        <w:spacing w:line="360" w:lineRule="auto"/>
        <w:ind w:firstLine="1440"/>
        <w:rPr>
          <w:rFonts w:eastAsiaTheme="minorEastAsia"/>
        </w:rPr>
      </w:pPr>
    </w:p>
    <w:p w14:paraId="6C4A2389" w14:textId="6C3BE853" w:rsidR="005B2358" w:rsidRDefault="005B2358" w:rsidP="005B2358">
      <w:pPr>
        <w:pStyle w:val="Style"/>
        <w:spacing w:line="360" w:lineRule="auto"/>
        <w:ind w:firstLine="1440"/>
        <w:rPr>
          <w:rFonts w:eastAsiaTheme="minorEastAsia"/>
        </w:rPr>
      </w:pPr>
      <w:r>
        <w:rPr>
          <w:rFonts w:eastAsiaTheme="minorEastAsia"/>
        </w:rPr>
        <w:t xml:space="preserve">In its answer to PPL’s motion to compel, Amtrak argued </w:t>
      </w:r>
      <w:r w:rsidR="001E7F4F">
        <w:rPr>
          <w:rFonts w:eastAsiaTheme="minorEastAsia"/>
        </w:rPr>
        <w:t xml:space="preserve">that PPL has failed to adequately narrow interrogatories 5-7 and the questions are still overly broad and not relevant.  Amtrak added that the requests are not limited to the transmission issues that are the subject of this proceeding and are voluminous.  Amtrak noted that this case is about calculations and charges for transmission service, not generation service, and that PPL has failed to articulate any independent reasons generation information is relevant to the complaint.  </w:t>
      </w:r>
      <w:r w:rsidR="00094D9C">
        <w:rPr>
          <w:rFonts w:eastAsiaTheme="minorEastAsia"/>
        </w:rPr>
        <w:t>Amtrak also responded to PPL’s arguments regarding “settlement privilege” by arguing that PPL has misapplied Pennsylvania Rule of Evidence 408 because that is a rule of admissibility, not discovery, and because PPL has failed to mention Safe Harbor and PJM’s involvement in underlying factual issues and the proceedings involving other pending disputes between Amtrak and PPL.  Amtrak then articulated those underlying facts present in proceedings before the Federal Energy Regulatory Commission (FERC) and Federal District Court.  Finally, Amtrak argued that PPL’s motion to compel should be denied because PPL is conducting a fishing expedition, abusing the discovery process and wasting administrative and judicial resources.</w:t>
      </w:r>
    </w:p>
    <w:p w14:paraId="48F47513" w14:textId="653C4559" w:rsidR="00BA35FA" w:rsidRDefault="00BA35FA" w:rsidP="005B2358">
      <w:pPr>
        <w:pStyle w:val="Style"/>
        <w:spacing w:line="360" w:lineRule="auto"/>
        <w:ind w:firstLine="1440"/>
        <w:rPr>
          <w:rFonts w:eastAsiaTheme="minorEastAsia"/>
        </w:rPr>
      </w:pPr>
    </w:p>
    <w:p w14:paraId="5121A61D" w14:textId="77777777" w:rsidR="008E7267" w:rsidRDefault="00BA35FA" w:rsidP="005B2358">
      <w:pPr>
        <w:pStyle w:val="Style"/>
        <w:spacing w:line="360" w:lineRule="auto"/>
        <w:ind w:firstLine="1440"/>
        <w:rPr>
          <w:rFonts w:eastAsiaTheme="minorEastAsia"/>
        </w:rPr>
      </w:pPr>
      <w:r>
        <w:rPr>
          <w:rFonts w:eastAsiaTheme="minorEastAsia"/>
        </w:rPr>
        <w:t xml:space="preserve">PPL’s motion will be </w:t>
      </w:r>
      <w:r w:rsidR="001B08A2">
        <w:rPr>
          <w:rFonts w:eastAsiaTheme="minorEastAsia"/>
        </w:rPr>
        <w:t>granted in part and denied in part.</w:t>
      </w:r>
    </w:p>
    <w:p w14:paraId="62C2946A" w14:textId="77777777" w:rsidR="008E7267" w:rsidRDefault="008E7267" w:rsidP="005B2358">
      <w:pPr>
        <w:pStyle w:val="Style"/>
        <w:spacing w:line="360" w:lineRule="auto"/>
        <w:ind w:firstLine="1440"/>
        <w:rPr>
          <w:rFonts w:eastAsiaTheme="minorEastAsia"/>
        </w:rPr>
      </w:pPr>
    </w:p>
    <w:p w14:paraId="238433B2" w14:textId="7F5C389B" w:rsidR="00541B24" w:rsidRDefault="008E7267" w:rsidP="005B2358">
      <w:pPr>
        <w:pStyle w:val="Style"/>
        <w:spacing w:line="360" w:lineRule="auto"/>
        <w:ind w:firstLine="1440"/>
        <w:rPr>
          <w:rFonts w:eastAsiaTheme="minorEastAsia"/>
        </w:rPr>
      </w:pPr>
      <w:r>
        <w:rPr>
          <w:rFonts w:eastAsiaTheme="minorEastAsia"/>
        </w:rPr>
        <w:t xml:space="preserve">As a preliminary matter, in its complaint, Amtrak seeks a refund from PPL for all PPL-related transmission charges paid by Amtrak from the date that is four years prior to the date on which this complaint is filed, plus interest and applicable taxes.  Similarly, Section 1312 of the Public Utility Code allows for a refund of any unjust or unreasonable rate within four years prior to the date of the filing of the complaint.  PPL’s interrogatories 5-7 seek </w:t>
      </w:r>
      <w:r w:rsidR="00541B24">
        <w:rPr>
          <w:rFonts w:eastAsiaTheme="minorEastAsia"/>
        </w:rPr>
        <w:t>correspondence for the past five years.  Amtrak’s objection states that “due to Amtrak’s document retention policy, correspondence older than three years may not, in many cases, be available to Amtrak.</w:t>
      </w:r>
      <w:r w:rsidR="001F0787">
        <w:rPr>
          <w:rFonts w:eastAsiaTheme="minorEastAsia"/>
        </w:rPr>
        <w:t>”</w:t>
      </w:r>
      <w:r w:rsidR="00541B24">
        <w:rPr>
          <w:rFonts w:eastAsiaTheme="minorEastAsia"/>
        </w:rPr>
        <w:t xml:space="preserve">  As a result, </w:t>
      </w:r>
      <w:proofErr w:type="gramStart"/>
      <w:r w:rsidR="00541B24">
        <w:rPr>
          <w:rFonts w:eastAsiaTheme="minorEastAsia"/>
        </w:rPr>
        <w:t>with regard to</w:t>
      </w:r>
      <w:proofErr w:type="gramEnd"/>
      <w:r w:rsidR="00541B24">
        <w:rPr>
          <w:rFonts w:eastAsiaTheme="minorEastAsia"/>
        </w:rPr>
        <w:t xml:space="preserve"> the scope of PPL’s interrogatories, </w:t>
      </w:r>
      <w:r w:rsidR="001F0787">
        <w:rPr>
          <w:rFonts w:eastAsiaTheme="minorEastAsia"/>
        </w:rPr>
        <w:t xml:space="preserve">the relevant response period will begin with </w:t>
      </w:r>
      <w:r w:rsidR="00541B24">
        <w:rPr>
          <w:rFonts w:eastAsiaTheme="minorEastAsia"/>
        </w:rPr>
        <w:t xml:space="preserve">the four-year period ending May 30, 2019 </w:t>
      </w:r>
      <w:r w:rsidR="001F0787">
        <w:rPr>
          <w:rFonts w:eastAsiaTheme="minorEastAsia"/>
        </w:rPr>
        <w:t xml:space="preserve">– the date </w:t>
      </w:r>
      <w:r w:rsidR="00541B24">
        <w:rPr>
          <w:rFonts w:eastAsiaTheme="minorEastAsia"/>
        </w:rPr>
        <w:t xml:space="preserve">when Amtrak filed the complaint.  PPL’s request for five years’ worth of information is too long; Amtrak’s limit of three years due to its record retention policy is too short.  A four-year scope is appropriate </w:t>
      </w:r>
      <w:proofErr w:type="gramStart"/>
      <w:r w:rsidR="00541B24">
        <w:rPr>
          <w:rFonts w:eastAsiaTheme="minorEastAsia"/>
        </w:rPr>
        <w:t>in light of</w:t>
      </w:r>
      <w:proofErr w:type="gramEnd"/>
      <w:r w:rsidR="00541B24">
        <w:rPr>
          <w:rFonts w:eastAsiaTheme="minorEastAsia"/>
        </w:rPr>
        <w:t xml:space="preserve"> the request in Amtrak’s complaint and Section 1312 of the Public Utility Code.</w:t>
      </w:r>
      <w:r w:rsidR="00426566">
        <w:rPr>
          <w:rFonts w:eastAsiaTheme="minorEastAsia"/>
        </w:rPr>
        <w:t xml:space="preserve">  PPL’s motion to compel will be denied </w:t>
      </w:r>
      <w:proofErr w:type="gramStart"/>
      <w:r w:rsidR="00426566">
        <w:rPr>
          <w:rFonts w:eastAsiaTheme="minorEastAsia"/>
        </w:rPr>
        <w:t>with regard to</w:t>
      </w:r>
      <w:proofErr w:type="gramEnd"/>
      <w:r w:rsidR="00426566">
        <w:rPr>
          <w:rFonts w:eastAsiaTheme="minorEastAsia"/>
        </w:rPr>
        <w:t xml:space="preserve"> its request for information </w:t>
      </w:r>
      <w:r w:rsidR="001F0787">
        <w:rPr>
          <w:rFonts w:eastAsiaTheme="minorEastAsia"/>
        </w:rPr>
        <w:t>prior to May 30, 2015</w:t>
      </w:r>
      <w:r w:rsidR="00426566">
        <w:rPr>
          <w:rFonts w:eastAsiaTheme="minorEastAsia"/>
        </w:rPr>
        <w:t>.</w:t>
      </w:r>
    </w:p>
    <w:p w14:paraId="5D7FDA4E" w14:textId="77777777" w:rsidR="00541B24" w:rsidRDefault="00541B24" w:rsidP="005B2358">
      <w:pPr>
        <w:pStyle w:val="Style"/>
        <w:spacing w:line="360" w:lineRule="auto"/>
        <w:ind w:firstLine="1440"/>
        <w:rPr>
          <w:rFonts w:eastAsiaTheme="minorEastAsia"/>
        </w:rPr>
      </w:pPr>
    </w:p>
    <w:p w14:paraId="6308F506" w14:textId="5EEE3259" w:rsidR="00426566" w:rsidRDefault="00541B24" w:rsidP="005B2358">
      <w:pPr>
        <w:pStyle w:val="Style"/>
        <w:spacing w:line="360" w:lineRule="auto"/>
        <w:ind w:firstLine="1440"/>
        <w:rPr>
          <w:rFonts w:eastAsiaTheme="minorEastAsia"/>
        </w:rPr>
      </w:pPr>
      <w:proofErr w:type="gramStart"/>
      <w:r>
        <w:rPr>
          <w:rFonts w:eastAsiaTheme="minorEastAsia"/>
        </w:rPr>
        <w:t>With regard to</w:t>
      </w:r>
      <w:proofErr w:type="gramEnd"/>
      <w:r w:rsidR="004551EC">
        <w:rPr>
          <w:rFonts w:eastAsiaTheme="minorEastAsia"/>
        </w:rPr>
        <w:t xml:space="preserve"> PPL’s request for correspondence related to “generation and/or transmission service,”</w:t>
      </w:r>
      <w:r w:rsidR="001B08A2">
        <w:rPr>
          <w:rFonts w:eastAsiaTheme="minorEastAsia"/>
        </w:rPr>
        <w:t xml:space="preserve"> </w:t>
      </w:r>
      <w:r w:rsidR="004551EC">
        <w:rPr>
          <w:rFonts w:eastAsiaTheme="minorEastAsia"/>
        </w:rPr>
        <w:t>PPL interrogatories 5-7 will be limited to just transmission service</w:t>
      </w:r>
      <w:r w:rsidR="00426566">
        <w:rPr>
          <w:rFonts w:eastAsiaTheme="minorEastAsia"/>
        </w:rPr>
        <w:t xml:space="preserve"> and Amtrak will not be required to provide responses regarding generation service</w:t>
      </w:r>
      <w:r w:rsidR="004551EC">
        <w:rPr>
          <w:rFonts w:eastAsiaTheme="minorEastAsia"/>
        </w:rPr>
        <w:t xml:space="preserve">.  </w:t>
      </w:r>
      <w:r w:rsidR="00426566">
        <w:rPr>
          <w:rFonts w:eastAsiaTheme="minorEastAsia"/>
        </w:rPr>
        <w:t xml:space="preserve">As discussed in the August 14, 2019 order denying the preliminary objections, Amtrak receives generation service from CNE, not PPL.  By failing to join CNE as a party to this proceeding in its complaint, Amtrak is likely limiting the issues it can pursue and the relief it can obtain.  In doing so, the scope of discovery is likewise limited.  In this instance, such limitation means that issues related to generation service are beyond the scope of this proceeding and PPL’s motion to compel, therefore, will be denied </w:t>
      </w:r>
      <w:proofErr w:type="gramStart"/>
      <w:r w:rsidR="00426566">
        <w:rPr>
          <w:rFonts w:eastAsiaTheme="minorEastAsia"/>
        </w:rPr>
        <w:t>to exclude</w:t>
      </w:r>
      <w:proofErr w:type="gramEnd"/>
      <w:r w:rsidR="00426566">
        <w:rPr>
          <w:rFonts w:eastAsiaTheme="minorEastAsia"/>
        </w:rPr>
        <w:t xml:space="preserve"> the request for information pertaining to generation services.</w:t>
      </w:r>
    </w:p>
    <w:p w14:paraId="38A8E9E8" w14:textId="432239FB" w:rsidR="00B04BC7" w:rsidRDefault="00B04BC7" w:rsidP="005B2358">
      <w:pPr>
        <w:pStyle w:val="Style"/>
        <w:spacing w:line="360" w:lineRule="auto"/>
        <w:ind w:firstLine="1440"/>
        <w:rPr>
          <w:rFonts w:eastAsiaTheme="minorEastAsia"/>
        </w:rPr>
      </w:pPr>
    </w:p>
    <w:p w14:paraId="303ABFFC" w14:textId="53355079" w:rsidR="009A3D8E" w:rsidRDefault="00B04BC7" w:rsidP="005B2358">
      <w:pPr>
        <w:pStyle w:val="Style"/>
        <w:spacing w:line="360" w:lineRule="auto"/>
        <w:ind w:firstLine="1440"/>
      </w:pPr>
      <w:proofErr w:type="gramStart"/>
      <w:r>
        <w:rPr>
          <w:rFonts w:eastAsiaTheme="minorEastAsia"/>
        </w:rPr>
        <w:t>With regard to</w:t>
      </w:r>
      <w:proofErr w:type="gramEnd"/>
      <w:r>
        <w:rPr>
          <w:rFonts w:eastAsiaTheme="minorEastAsia"/>
        </w:rPr>
        <w:t xml:space="preserve"> Amtrak’s argument that certain answers to interrogatories 5-7 are protected by the “settlement privilege,” </w:t>
      </w:r>
      <w:r w:rsidR="001F1FD6">
        <w:rPr>
          <w:rFonts w:eastAsiaTheme="minorEastAsia"/>
        </w:rPr>
        <w:t xml:space="preserve">Amtrak will not be required to disclose information discussed </w:t>
      </w:r>
      <w:r w:rsidR="003C1554">
        <w:rPr>
          <w:rFonts w:eastAsiaTheme="minorEastAsia"/>
        </w:rPr>
        <w:t xml:space="preserve">or shared </w:t>
      </w:r>
      <w:r w:rsidR="001F1FD6">
        <w:rPr>
          <w:rFonts w:eastAsiaTheme="minorEastAsia"/>
        </w:rPr>
        <w:t xml:space="preserve">during </w:t>
      </w:r>
      <w:r w:rsidR="001F0787">
        <w:rPr>
          <w:rFonts w:eastAsiaTheme="minorEastAsia"/>
        </w:rPr>
        <w:t xml:space="preserve">any </w:t>
      </w:r>
      <w:r w:rsidR="001F1FD6">
        <w:rPr>
          <w:rFonts w:eastAsiaTheme="minorEastAsia"/>
        </w:rPr>
        <w:t>settlement</w:t>
      </w:r>
      <w:r w:rsidR="001F0787">
        <w:rPr>
          <w:rFonts w:eastAsiaTheme="minorEastAsia"/>
        </w:rPr>
        <w:t xml:space="preserve"> discussions</w:t>
      </w:r>
      <w:r w:rsidR="001F1FD6">
        <w:rPr>
          <w:rFonts w:eastAsiaTheme="minorEastAsia"/>
        </w:rPr>
        <w:t xml:space="preserve">.  </w:t>
      </w:r>
      <w:r w:rsidR="00051AF0" w:rsidRPr="00844737">
        <w:t xml:space="preserve">Commission policy promotes settlements.  52 Pa. Code § 5.231.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52 Pa. Code § 69.401.  </w:t>
      </w:r>
      <w:r w:rsidR="00051AF0">
        <w:t>In order to promote the free flow of discussions that often lead to settlements, however, parties engaged in settlement discussions must feel comfortable to speak freely and in a manner where statements made in an effort to settle a matter will not be used against that party outside the confines of settlement discussions.</w:t>
      </w:r>
      <w:r w:rsidR="00893B19">
        <w:t xml:space="preserve">  While PPL is correct that the Commission’s discovery regulations provide that evidence does not have to be admissible in order to be discoverable, the scope of discovery is limited to matters that are not privileged.  </w:t>
      </w:r>
      <w:r w:rsidR="009A3D8E">
        <w:rPr>
          <w:i/>
          <w:iCs/>
        </w:rPr>
        <w:t>See</w:t>
      </w:r>
      <w:r w:rsidR="009A3D8E">
        <w:t xml:space="preserve">, 52 </w:t>
      </w:r>
      <w:proofErr w:type="spellStart"/>
      <w:proofErr w:type="gramStart"/>
      <w:r w:rsidR="009A3D8E">
        <w:t>Pa.Code</w:t>
      </w:r>
      <w:proofErr w:type="spellEnd"/>
      <w:proofErr w:type="gramEnd"/>
      <w:r w:rsidR="009A3D8E">
        <w:t xml:space="preserve"> § 5.361(a).  </w:t>
      </w:r>
      <w:r w:rsidR="003C1554">
        <w:t>Statements made or information exchanged in settlement discussions are privileged.</w:t>
      </w:r>
    </w:p>
    <w:p w14:paraId="3B40A68C" w14:textId="77777777" w:rsidR="009A3D8E" w:rsidRDefault="009A3D8E" w:rsidP="005B2358">
      <w:pPr>
        <w:pStyle w:val="Style"/>
        <w:spacing w:line="360" w:lineRule="auto"/>
        <w:ind w:firstLine="1440"/>
      </w:pPr>
    </w:p>
    <w:p w14:paraId="13171DB7" w14:textId="72BE17B6" w:rsidR="00B04BC7" w:rsidRPr="009A3D8E" w:rsidRDefault="009A3D8E" w:rsidP="005B2358">
      <w:pPr>
        <w:pStyle w:val="Style"/>
        <w:spacing w:line="360" w:lineRule="auto"/>
        <w:ind w:firstLine="1440"/>
        <w:rPr>
          <w:rFonts w:eastAsiaTheme="minorEastAsia"/>
        </w:rPr>
      </w:pPr>
      <w:r>
        <w:t xml:space="preserve">Furthermore, I disagree with PPL’s argument that the settlement privilege is designed to protect parties from having statements in the course of settlement negotiations used against them in the same proceeding but does not apply to third-party requests for information.  Such an approach would potentially undermine all settlement discussions if parties knew that any statement said </w:t>
      </w:r>
      <w:proofErr w:type="gramStart"/>
      <w:r>
        <w:t>in an effort to</w:t>
      </w:r>
      <w:proofErr w:type="gramEnd"/>
      <w:r>
        <w:t xml:space="preserve"> settle one proceeding could be freely used against that party in another proceeding.</w:t>
      </w:r>
      <w:r w:rsidR="003C1554">
        <w:t xml:space="preserve">  This argument </w:t>
      </w:r>
      <w:r w:rsidR="001F0787">
        <w:t xml:space="preserve">is without merit and is </w:t>
      </w:r>
      <w:r w:rsidR="003C1554">
        <w:t>rejected.</w:t>
      </w:r>
    </w:p>
    <w:p w14:paraId="6E2762C7" w14:textId="77777777" w:rsidR="00426566" w:rsidRDefault="00426566" w:rsidP="00426566">
      <w:pPr>
        <w:pStyle w:val="Style"/>
        <w:spacing w:line="360" w:lineRule="auto"/>
        <w:ind w:firstLine="1440"/>
        <w:rPr>
          <w:rFonts w:eastAsiaTheme="minorEastAsia"/>
        </w:rPr>
      </w:pPr>
    </w:p>
    <w:p w14:paraId="735AA30D" w14:textId="74B06689" w:rsidR="00227594" w:rsidRDefault="003C1554" w:rsidP="00426566">
      <w:pPr>
        <w:pStyle w:val="Style"/>
        <w:spacing w:line="360" w:lineRule="auto"/>
        <w:ind w:firstLine="1440"/>
        <w:rPr>
          <w:rFonts w:eastAsiaTheme="minorEastAsia"/>
        </w:rPr>
      </w:pPr>
      <w:r>
        <w:rPr>
          <w:rFonts w:eastAsiaTheme="minorEastAsia"/>
        </w:rPr>
        <w:t xml:space="preserve">Finally, </w:t>
      </w:r>
      <w:proofErr w:type="gramStart"/>
      <w:r>
        <w:rPr>
          <w:rFonts w:eastAsiaTheme="minorEastAsia"/>
        </w:rPr>
        <w:t>with regard to</w:t>
      </w:r>
      <w:proofErr w:type="gramEnd"/>
      <w:r>
        <w:rPr>
          <w:rFonts w:eastAsiaTheme="minorEastAsia"/>
        </w:rPr>
        <w:t xml:space="preserve"> Amtrak’s objection that responding to interrogatories 5-7 is an unreasonable burden on Amtrak, requires Amtrak to incur unreasonable expenses</w:t>
      </w:r>
      <w:r w:rsidR="001F0787">
        <w:rPr>
          <w:rFonts w:eastAsiaTheme="minorEastAsia"/>
        </w:rPr>
        <w:t xml:space="preserve">, </w:t>
      </w:r>
      <w:r>
        <w:rPr>
          <w:rFonts w:eastAsiaTheme="minorEastAsia"/>
        </w:rPr>
        <w:t>constitutes an unreasonable investigation</w:t>
      </w:r>
      <w:r w:rsidR="00212761">
        <w:rPr>
          <w:rFonts w:eastAsiaTheme="minorEastAsia"/>
        </w:rPr>
        <w:t xml:space="preserve"> and </w:t>
      </w:r>
      <w:r w:rsidR="001F0787">
        <w:rPr>
          <w:rFonts w:eastAsiaTheme="minorEastAsia"/>
        </w:rPr>
        <w:t xml:space="preserve">is </w:t>
      </w:r>
      <w:r w:rsidR="00212761">
        <w:rPr>
          <w:rFonts w:eastAsiaTheme="minorEastAsia"/>
        </w:rPr>
        <w:t>a “fishing expedition</w:t>
      </w:r>
      <w:r>
        <w:rPr>
          <w:rFonts w:eastAsiaTheme="minorEastAsia"/>
        </w:rPr>
        <w:t>,</w:t>
      </w:r>
      <w:r w:rsidR="00212761">
        <w:rPr>
          <w:rFonts w:eastAsiaTheme="minorEastAsia"/>
        </w:rPr>
        <w:t>”</w:t>
      </w:r>
      <w:r>
        <w:rPr>
          <w:rFonts w:eastAsiaTheme="minorEastAsia"/>
        </w:rPr>
        <w:t xml:space="preserve"> </w:t>
      </w:r>
      <w:r w:rsidR="00916EA2">
        <w:rPr>
          <w:rFonts w:eastAsiaTheme="minorEastAsia"/>
        </w:rPr>
        <w:t xml:space="preserve">PPL’s motion </w:t>
      </w:r>
      <w:r>
        <w:rPr>
          <w:rFonts w:eastAsiaTheme="minorEastAsia"/>
        </w:rPr>
        <w:t>will be granted in part and denied in part.</w:t>
      </w:r>
      <w:r w:rsidR="00227594">
        <w:rPr>
          <w:rFonts w:eastAsiaTheme="minorEastAsia"/>
        </w:rPr>
        <w:t xml:space="preserve">  Amtrak </w:t>
      </w:r>
      <w:proofErr w:type="gramStart"/>
      <w:r w:rsidR="00227594">
        <w:rPr>
          <w:rFonts w:eastAsiaTheme="minorEastAsia"/>
        </w:rPr>
        <w:t>has to</w:t>
      </w:r>
      <w:proofErr w:type="gramEnd"/>
      <w:r w:rsidR="00227594">
        <w:rPr>
          <w:rFonts w:eastAsiaTheme="minorEastAsia"/>
        </w:rPr>
        <w:t xml:space="preserve"> expect as part of filing its complaint that it will be subject to discovery and required to take actions to pursue its complaint that will be burdensome, cause expense and require an investigation.  As noted above, PPL has the right to issue discovery </w:t>
      </w:r>
      <w:proofErr w:type="gramStart"/>
      <w:r w:rsidR="00227594">
        <w:rPr>
          <w:rFonts w:eastAsiaTheme="minorEastAsia"/>
        </w:rPr>
        <w:t>in an attempt to</w:t>
      </w:r>
      <w:proofErr w:type="gramEnd"/>
      <w:r w:rsidR="00227594">
        <w:rPr>
          <w:rFonts w:eastAsiaTheme="minorEastAsia"/>
        </w:rPr>
        <w:t xml:space="preserve"> prepare its defense of the complaint.  Amtrak is not required, however, to incur unreasonable burden, unreasonable expense or make an unreasonable investigation.  </w:t>
      </w:r>
      <w:r w:rsidR="001F0787">
        <w:rPr>
          <w:rFonts w:eastAsiaTheme="minorEastAsia"/>
        </w:rPr>
        <w:t>Nor is PPL allowed to conduct a fishing expedition.</w:t>
      </w:r>
    </w:p>
    <w:p w14:paraId="4014145A" w14:textId="77777777" w:rsidR="00227594" w:rsidRDefault="00227594" w:rsidP="00426566">
      <w:pPr>
        <w:pStyle w:val="Style"/>
        <w:spacing w:line="360" w:lineRule="auto"/>
        <w:ind w:firstLine="1440"/>
        <w:rPr>
          <w:rFonts w:eastAsiaTheme="minorEastAsia"/>
        </w:rPr>
      </w:pPr>
    </w:p>
    <w:p w14:paraId="4A3D0CCE" w14:textId="256BE15E" w:rsidR="00FC113F" w:rsidRDefault="00227594" w:rsidP="00426566">
      <w:pPr>
        <w:pStyle w:val="Style"/>
        <w:spacing w:line="360" w:lineRule="auto"/>
        <w:ind w:firstLine="1440"/>
        <w:rPr>
          <w:rFonts w:eastAsiaTheme="minorEastAsia"/>
        </w:rPr>
      </w:pPr>
      <w:r>
        <w:rPr>
          <w:rFonts w:eastAsiaTheme="minorEastAsia"/>
        </w:rPr>
        <w:t xml:space="preserve">Amtrak has argued that electric generation supply is a constant need for Amtrak to manage throughout its network and that it communicates regularly with its suppliers about demand, usage and other issues.  Amtrak noted that a search of its electronic communications identified over 7,000 records that have been sent to or received from the entities identified in interrogatories 5-7 and that </w:t>
      </w:r>
      <w:r w:rsidR="00FC113F">
        <w:rPr>
          <w:rFonts w:eastAsiaTheme="minorEastAsia"/>
        </w:rPr>
        <w:t>responding to these requests will involve reviewing thousands of documents for responsiveness, redacting and producing.  Such efforts will be unduly burdensome and require an unreasonable expense and investigation.  However, PPL has agreed to limit interrogatories 5-7 to services provided in the PPL zone and this order further limits the responses to those pertaining to transmission service and not generation service</w:t>
      </w:r>
      <w:r w:rsidR="001F0787">
        <w:rPr>
          <w:rFonts w:eastAsiaTheme="minorEastAsia"/>
        </w:rPr>
        <w:t xml:space="preserve"> over the past four years</w:t>
      </w:r>
      <w:r w:rsidR="00FC113F">
        <w:rPr>
          <w:rFonts w:eastAsiaTheme="minorEastAsia"/>
        </w:rPr>
        <w:t xml:space="preserve">.  The parties are directed to work together to establish additional parameters within which Amtrak’s responses will be within the scope of discovery but not unduly burdensome or require an unreasonable expense or investigation and to inform the presiding officer if additional parameters are not established.  </w:t>
      </w:r>
      <w:r w:rsidR="00916EA2">
        <w:rPr>
          <w:rFonts w:eastAsiaTheme="minorEastAsia"/>
        </w:rPr>
        <w:t xml:space="preserve">Therefore, </w:t>
      </w:r>
      <w:r w:rsidR="00FC113F">
        <w:rPr>
          <w:rFonts w:eastAsiaTheme="minorEastAsia"/>
        </w:rPr>
        <w:t>PPL’s motion to compel regarding this issue will be granted in part and denied in part.</w:t>
      </w:r>
    </w:p>
    <w:p w14:paraId="457995A9" w14:textId="77777777" w:rsidR="00FC113F" w:rsidRDefault="00FC113F" w:rsidP="00426566">
      <w:pPr>
        <w:pStyle w:val="Style"/>
        <w:spacing w:line="360" w:lineRule="auto"/>
        <w:ind w:firstLine="1440"/>
        <w:rPr>
          <w:rFonts w:eastAsiaTheme="minorEastAsia"/>
        </w:rPr>
      </w:pPr>
    </w:p>
    <w:p w14:paraId="780563CD" w14:textId="6F6F90A6" w:rsidR="00426566" w:rsidRPr="009D3346" w:rsidRDefault="00482ACC" w:rsidP="00426566">
      <w:pPr>
        <w:pStyle w:val="Style"/>
        <w:spacing w:line="360" w:lineRule="auto"/>
        <w:ind w:firstLine="1440"/>
        <w:rPr>
          <w:rFonts w:eastAsiaTheme="minorEastAsia"/>
        </w:rPr>
      </w:pPr>
      <w:r>
        <w:rPr>
          <w:rFonts w:eastAsiaTheme="minorEastAsia"/>
        </w:rPr>
        <w:t xml:space="preserve">In conclusion, the motion to compel filed by PPL seeking to dismiss the objections filed by Amtrak regarding, and compelling answers to, interrogatories 5-7 is granted in part and denied in part.  </w:t>
      </w:r>
      <w:r w:rsidR="009D3346">
        <w:rPr>
          <w:rFonts w:eastAsiaTheme="minorEastAsia"/>
        </w:rPr>
        <w:t xml:space="preserve">Amtrak will only be required to provide responses to these interrogatories </w:t>
      </w:r>
      <w:r w:rsidR="001F0787">
        <w:rPr>
          <w:rFonts w:eastAsiaTheme="minorEastAsia"/>
        </w:rPr>
        <w:t xml:space="preserve">beginning with </w:t>
      </w:r>
      <w:r w:rsidR="009D3346">
        <w:rPr>
          <w:rFonts w:eastAsiaTheme="minorEastAsia"/>
        </w:rPr>
        <w:t xml:space="preserve">the four-year period ending May 30, 2019, the date the complaint was filed, and only </w:t>
      </w:r>
      <w:proofErr w:type="gramStart"/>
      <w:r w:rsidR="009D3346">
        <w:rPr>
          <w:rFonts w:eastAsiaTheme="minorEastAsia"/>
        </w:rPr>
        <w:t>with regard to</w:t>
      </w:r>
      <w:proofErr w:type="gramEnd"/>
      <w:r w:rsidR="009D3346">
        <w:rPr>
          <w:rFonts w:eastAsiaTheme="minorEastAsia"/>
        </w:rPr>
        <w:t xml:space="preserve"> transmission service and not generation service.  Amtrak will not be required to disclose information discussed or shared during any settlement discussions, nor any responses that are unduly burdensome or will create an unreasonable expense or investigation.  Amtrak will be required, however, to provide answers that are otherwise responsive to PPL’s requests in interrogatories 5-7.</w:t>
      </w:r>
    </w:p>
    <w:p w14:paraId="3136B08D" w14:textId="77777777" w:rsidR="00352396" w:rsidRPr="009D3346" w:rsidRDefault="00352396" w:rsidP="003B10DF">
      <w:pPr>
        <w:pStyle w:val="Style"/>
        <w:spacing w:line="360" w:lineRule="auto"/>
        <w:rPr>
          <w:rFonts w:eastAsiaTheme="minorEastAsia"/>
        </w:rPr>
      </w:pPr>
    </w:p>
    <w:p w14:paraId="481C61B9" w14:textId="77777777" w:rsidR="00425019" w:rsidRPr="009D3346" w:rsidRDefault="00425019" w:rsidP="00425019">
      <w:pPr>
        <w:spacing w:after="0" w:line="360" w:lineRule="auto"/>
        <w:jc w:val="center"/>
        <w:rPr>
          <w:rFonts w:ascii="Times New Roman" w:hAnsi="Times New Roman" w:cs="Times New Roman"/>
          <w:sz w:val="24"/>
          <w:szCs w:val="24"/>
          <w:u w:val="single"/>
        </w:rPr>
      </w:pPr>
      <w:r w:rsidRPr="009D3346">
        <w:rPr>
          <w:rFonts w:ascii="Times New Roman" w:hAnsi="Times New Roman" w:cs="Times New Roman"/>
          <w:sz w:val="24"/>
          <w:szCs w:val="24"/>
          <w:u w:val="single"/>
        </w:rPr>
        <w:t>ORDER</w:t>
      </w:r>
    </w:p>
    <w:p w14:paraId="03DDD991" w14:textId="21E6FB39" w:rsidR="00425019" w:rsidRDefault="00425019" w:rsidP="00425019">
      <w:pPr>
        <w:spacing w:after="0" w:line="360" w:lineRule="auto"/>
        <w:rPr>
          <w:rFonts w:ascii="Times New Roman" w:hAnsi="Times New Roman" w:cs="Times New Roman"/>
          <w:sz w:val="24"/>
          <w:szCs w:val="24"/>
        </w:rPr>
      </w:pPr>
    </w:p>
    <w:p w14:paraId="35408A8E" w14:textId="77777777" w:rsidR="00BC794A" w:rsidRPr="009D3346" w:rsidRDefault="00BC794A" w:rsidP="00425019">
      <w:pPr>
        <w:spacing w:after="0" w:line="360" w:lineRule="auto"/>
        <w:rPr>
          <w:rFonts w:ascii="Times New Roman" w:hAnsi="Times New Roman" w:cs="Times New Roman"/>
          <w:sz w:val="24"/>
          <w:szCs w:val="24"/>
        </w:rPr>
      </w:pPr>
    </w:p>
    <w:p w14:paraId="70F03D9B" w14:textId="77777777" w:rsidR="00425019" w:rsidRPr="009D3346" w:rsidRDefault="00425019" w:rsidP="00425019">
      <w:pPr>
        <w:spacing w:after="0" w:line="360" w:lineRule="auto"/>
        <w:ind w:firstLine="1440"/>
        <w:rPr>
          <w:rFonts w:ascii="Times New Roman" w:hAnsi="Times New Roman" w:cs="Times New Roman"/>
          <w:bCs/>
          <w:sz w:val="24"/>
          <w:szCs w:val="24"/>
        </w:rPr>
      </w:pPr>
      <w:r w:rsidRPr="009D3346">
        <w:rPr>
          <w:rFonts w:ascii="Times New Roman" w:hAnsi="Times New Roman" w:cs="Times New Roman"/>
          <w:bCs/>
          <w:sz w:val="24"/>
          <w:szCs w:val="24"/>
        </w:rPr>
        <w:t>THEREFORE,</w:t>
      </w:r>
    </w:p>
    <w:p w14:paraId="4B784A69" w14:textId="77777777" w:rsidR="00425019" w:rsidRPr="009D3346" w:rsidRDefault="00425019" w:rsidP="00425019">
      <w:pPr>
        <w:spacing w:after="0" w:line="360" w:lineRule="auto"/>
        <w:ind w:firstLine="1440"/>
        <w:rPr>
          <w:rFonts w:ascii="Times New Roman" w:hAnsi="Times New Roman" w:cs="Times New Roman"/>
          <w:sz w:val="24"/>
          <w:szCs w:val="24"/>
        </w:rPr>
      </w:pPr>
    </w:p>
    <w:p w14:paraId="60CB7596" w14:textId="77777777" w:rsidR="00425019" w:rsidRPr="009D3346" w:rsidRDefault="00425019" w:rsidP="00425019">
      <w:pPr>
        <w:spacing w:after="0" w:line="360" w:lineRule="auto"/>
        <w:ind w:left="720" w:firstLine="720"/>
        <w:rPr>
          <w:rFonts w:ascii="Times New Roman" w:hAnsi="Times New Roman" w:cs="Times New Roman"/>
          <w:sz w:val="24"/>
          <w:szCs w:val="24"/>
        </w:rPr>
      </w:pPr>
      <w:r w:rsidRPr="009D3346">
        <w:rPr>
          <w:rFonts w:ascii="Times New Roman" w:hAnsi="Times New Roman" w:cs="Times New Roman"/>
          <w:sz w:val="24"/>
          <w:szCs w:val="24"/>
        </w:rPr>
        <w:t>IT IS ORDERED:</w:t>
      </w:r>
    </w:p>
    <w:p w14:paraId="786AD45B" w14:textId="77777777" w:rsidR="00425019" w:rsidRPr="009D3346" w:rsidRDefault="00425019" w:rsidP="00425019">
      <w:pPr>
        <w:pStyle w:val="BodyText2"/>
        <w:spacing w:after="0" w:line="360" w:lineRule="auto"/>
        <w:ind w:firstLine="1440"/>
        <w:rPr>
          <w:b/>
          <w:color w:val="000000"/>
        </w:rPr>
      </w:pPr>
    </w:p>
    <w:p w14:paraId="3561913C" w14:textId="0745AF70" w:rsidR="00425019" w:rsidRPr="009D3346" w:rsidRDefault="00425019" w:rsidP="00425019">
      <w:pPr>
        <w:pStyle w:val="ListNumber"/>
        <w:tabs>
          <w:tab w:val="clear" w:pos="360"/>
          <w:tab w:val="num" w:pos="720"/>
        </w:tabs>
        <w:spacing w:after="0" w:line="360" w:lineRule="auto"/>
        <w:ind w:firstLine="1440"/>
        <w:jc w:val="left"/>
      </w:pPr>
      <w:r w:rsidRPr="009D3346">
        <w:t xml:space="preserve">That the motion of </w:t>
      </w:r>
      <w:r w:rsidR="009D3346">
        <w:t xml:space="preserve">PPL Electric Utilities Corporation to dismiss the objections </w:t>
      </w:r>
      <w:r w:rsidRPr="009D3346">
        <w:t xml:space="preserve">and compel answers to discovery to </w:t>
      </w:r>
      <w:r w:rsidR="009D3346">
        <w:t xml:space="preserve">National Railroad Passenger Corporation </w:t>
      </w:r>
      <w:r w:rsidRPr="009D3346">
        <w:t xml:space="preserve">filed at the above captioned docket on </w:t>
      </w:r>
      <w:r w:rsidR="009D3346">
        <w:t>August 7</w:t>
      </w:r>
      <w:r w:rsidRPr="009D3346">
        <w:t>, 2019 is hereby granted in part and denied in part</w:t>
      </w:r>
      <w:r w:rsidR="009D3346">
        <w:t xml:space="preserve"> consistent with the above discussion</w:t>
      </w:r>
      <w:r w:rsidRPr="009D3346">
        <w:t>.</w:t>
      </w:r>
    </w:p>
    <w:p w14:paraId="67773399" w14:textId="17680F8A" w:rsidR="004C1116" w:rsidRPr="009D3346" w:rsidRDefault="004C1116"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1E3ADDD6" w:rsidR="00BD5884" w:rsidRPr="00BC794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EF09BF">
        <w:rPr>
          <w:rFonts w:ascii="Times New Roman" w:eastAsia="Times New Roman" w:hAnsi="Times New Roman" w:cs="Times New Roman"/>
          <w:spacing w:val="-3"/>
          <w:sz w:val="24"/>
          <w:szCs w:val="24"/>
          <w:u w:val="single"/>
        </w:rPr>
        <w:t xml:space="preserve">August </w:t>
      </w:r>
      <w:r w:rsidR="009D3346">
        <w:rPr>
          <w:rFonts w:ascii="Times New Roman" w:eastAsia="Times New Roman" w:hAnsi="Times New Roman" w:cs="Times New Roman"/>
          <w:spacing w:val="-3"/>
          <w:sz w:val="24"/>
          <w:szCs w:val="24"/>
          <w:u w:val="single"/>
        </w:rPr>
        <w:t>22</w:t>
      </w:r>
      <w:r w:rsidR="005B2BBD">
        <w:rPr>
          <w:rFonts w:ascii="Times New Roman" w:eastAsia="Times New Roman" w:hAnsi="Times New Roman" w:cs="Times New Roman"/>
          <w:spacing w:val="-3"/>
          <w:sz w:val="24"/>
          <w:szCs w:val="24"/>
          <w:u w:val="single"/>
        </w:rPr>
        <w:t>, 2019</w:t>
      </w:r>
      <w:r w:rsidRPr="00A44E7C">
        <w:rPr>
          <w:rFonts w:ascii="Times New Roman" w:eastAsia="Times New Roman" w:hAnsi="Times New Roman" w:cs="Times New Roman"/>
          <w:spacing w:val="-3"/>
          <w:sz w:val="24"/>
          <w:szCs w:val="24"/>
        </w:rPr>
        <w:tab/>
      </w:r>
      <w:r w:rsidR="00BC794A">
        <w:rPr>
          <w:rFonts w:ascii="Times New Roman" w:eastAsia="Times New Roman" w:hAnsi="Times New Roman" w:cs="Times New Roman"/>
          <w:spacing w:val="-3"/>
          <w:sz w:val="24"/>
          <w:szCs w:val="24"/>
          <w:u w:val="single"/>
        </w:rPr>
        <w:tab/>
      </w:r>
      <w:r w:rsidR="00BC794A">
        <w:rPr>
          <w:rFonts w:ascii="Times New Roman" w:eastAsia="Times New Roman" w:hAnsi="Times New Roman" w:cs="Times New Roman"/>
          <w:spacing w:val="-3"/>
          <w:sz w:val="24"/>
          <w:szCs w:val="24"/>
          <w:u w:val="single"/>
        </w:rPr>
        <w:tab/>
        <w:t>/s/</w:t>
      </w:r>
      <w:r w:rsidR="00BC794A">
        <w:rPr>
          <w:rFonts w:ascii="Times New Roman" w:eastAsia="Times New Roman" w:hAnsi="Times New Roman" w:cs="Times New Roman"/>
          <w:spacing w:val="-3"/>
          <w:sz w:val="24"/>
          <w:szCs w:val="24"/>
          <w:u w:val="single"/>
        </w:rPr>
        <w:tab/>
      </w:r>
      <w:r w:rsidR="00BC794A">
        <w:rPr>
          <w:rFonts w:ascii="Times New Roman" w:eastAsia="Times New Roman" w:hAnsi="Times New Roman" w:cs="Times New Roman"/>
          <w:spacing w:val="-3"/>
          <w:sz w:val="24"/>
          <w:szCs w:val="24"/>
          <w:u w:val="single"/>
        </w:rPr>
        <w:tab/>
      </w:r>
      <w:r w:rsidR="00BC794A">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32F92AC2" w14:textId="77777777" w:rsidR="00BC794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C794A" w:rsidSect="00BC794A">
          <w:footerReference w:type="default" r:id="rId8"/>
          <w:footerReference w:type="first" r:id="rId9"/>
          <w:pgSz w:w="12240" w:h="15840"/>
          <w:pgMar w:top="1296" w:right="1440" w:bottom="1296"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r w:rsidR="00BC794A">
        <w:rPr>
          <w:rFonts w:ascii="Times New Roman" w:eastAsia="Times New Roman" w:hAnsi="Times New Roman" w:cs="Times New Roman"/>
          <w:spacing w:val="-3"/>
          <w:sz w:val="24"/>
          <w:szCs w:val="24"/>
        </w:rPr>
        <w:t xml:space="preserve"> </w:t>
      </w:r>
    </w:p>
    <w:p w14:paraId="5BF393EA" w14:textId="77777777" w:rsidR="00BC794A" w:rsidRDefault="00BC794A" w:rsidP="00BC794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C-2019-3010398 - NATIONAL RAILROAD PASSENGER CORPORATION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A WEISHAAR JR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1200 G STREET NW SUITE 800</w:t>
      </w:r>
      <w:r>
        <w:rPr>
          <w:rFonts w:ascii="Microsoft Sans Serif" w:eastAsia="Microsoft Sans Serif" w:hAnsi="Microsoft Sans Serif" w:cs="Microsoft Sans Serif"/>
          <w:sz w:val="24"/>
        </w:rPr>
        <w:cr/>
        <w:t>WASHINGTON DC  2000-6705</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202.898.5700</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National Railroad Passenger Corporation</w:t>
      </w:r>
    </w:p>
    <w:p w14:paraId="2A7E603C" w14:textId="77777777" w:rsidR="00BC794A" w:rsidRDefault="00BC794A" w:rsidP="00BC794A">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t>PAMELA C POLACEK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717.237.5368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4D3EAAAC" w14:textId="77777777" w:rsidR="00BC794A" w:rsidRDefault="00BC794A" w:rsidP="00BC794A">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National Railroad Passenger Corporation</w:t>
      </w:r>
    </w:p>
    <w:p w14:paraId="78267042" w14:textId="77777777" w:rsidR="00BC794A" w:rsidRDefault="00BC794A" w:rsidP="00BC794A">
      <w:pPr>
        <w:spacing w:after="0" w:line="240" w:lineRule="auto"/>
        <w:rPr>
          <w:rFonts w:ascii="Microsoft Sans Serif" w:eastAsia="Microsoft Sans Serif" w:hAnsi="Microsoft Sans Serif" w:cs="Microsoft Sans Serif"/>
          <w:b/>
          <w:bCs/>
          <w:i/>
          <w:iCs/>
          <w:sz w:val="24"/>
          <w:u w:val="single"/>
        </w:rPr>
      </w:pPr>
    </w:p>
    <w:p w14:paraId="75AD83C4" w14:textId="77777777" w:rsidR="00BC794A" w:rsidRPr="003F4483" w:rsidRDefault="00BC794A" w:rsidP="00BC794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DAVID B MACGREGOR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 xml:space="preserve">FOUR PENN </w:t>
      </w:r>
      <w:proofErr w:type="gramStart"/>
      <w:r>
        <w:rPr>
          <w:rFonts w:ascii="Microsoft Sans Serif" w:eastAsia="Microsoft Sans Serif" w:hAnsi="Microsoft Sans Serif" w:cs="Microsoft Sans Serif"/>
          <w:sz w:val="24"/>
        </w:rPr>
        <w:t>CENTER</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215.587.1197</w:t>
      </w:r>
      <w:r>
        <w:rPr>
          <w:rFonts w:ascii="Microsoft Sans Serif" w:eastAsia="Microsoft Sans Serif" w:hAnsi="Microsoft Sans Serif" w:cs="Microsoft Sans Serif"/>
          <w:sz w:val="24"/>
        </w:rPr>
        <w:cr/>
      </w:r>
      <w:bookmarkStart w:id="0" w:name="_Hlk16760607"/>
      <w:r>
        <w:rPr>
          <w:rFonts w:ascii="Microsoft Sans Serif" w:eastAsia="Microsoft Sans Serif" w:hAnsi="Microsoft Sans Serif" w:cs="Microsoft Sans Serif"/>
          <w:i/>
          <w:iCs/>
          <w:sz w:val="24"/>
        </w:rPr>
        <w:t>Represents PPL Electric Utilities Corporation</w:t>
      </w:r>
      <w:bookmarkEnd w:id="0"/>
    </w:p>
    <w:p w14:paraId="1CA4F6B5" w14:textId="77777777" w:rsidR="00BC794A" w:rsidRDefault="00BC794A" w:rsidP="00BC794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w:t>
      </w:r>
      <w:r w:rsidRPr="00F71542">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610.774.5696</w:t>
      </w:r>
    </w:p>
    <w:p w14:paraId="7F994502" w14:textId="77777777" w:rsidR="00BC794A" w:rsidRPr="003F4483" w:rsidRDefault="00BC794A" w:rsidP="00BC794A">
      <w:pPr>
        <w:spacing w:after="0" w:line="240" w:lineRule="auto"/>
        <w:rPr>
          <w:rFonts w:ascii="Microsoft Sans Serif" w:eastAsia="Microsoft Sans Serif" w:hAnsi="Microsoft Sans Serif" w:cs="Microsoft Sans Serif"/>
          <w:i/>
          <w:iCs/>
          <w:sz w:val="24"/>
        </w:rPr>
      </w:pP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p w14:paraId="35F953F7" w14:textId="77777777" w:rsidR="00BC794A" w:rsidRDefault="00BC794A" w:rsidP="00BC794A">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17 N 2</w:t>
      </w:r>
      <w:r w:rsidRPr="00F71542">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bookmarkStart w:id="1" w:name="_GoBack"/>
      <w:bookmarkEnd w:id="1"/>
      <w:r w:rsidRPr="00F71542">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3916F67C" w14:textId="77777777" w:rsidR="00BC794A" w:rsidRPr="003F4483" w:rsidRDefault="00BC794A" w:rsidP="00BC794A">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PPL Electric Utilities Corporation</w:t>
      </w:r>
    </w:p>
    <w:p w14:paraId="4C301790" w14:textId="29D0311F"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6B1A" w14:textId="77777777" w:rsidR="001237C6" w:rsidRDefault="001237C6" w:rsidP="00CE5CC7">
      <w:pPr>
        <w:spacing w:after="0" w:line="240" w:lineRule="auto"/>
      </w:pPr>
      <w:r>
        <w:separator/>
      </w:r>
    </w:p>
  </w:endnote>
  <w:endnote w:type="continuationSeparator" w:id="0">
    <w:p w14:paraId="6DA58A97" w14:textId="77777777" w:rsidR="001237C6" w:rsidRDefault="001237C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85B2" w14:textId="73F2B61C" w:rsidR="00BC794A" w:rsidRPr="00932A73" w:rsidRDefault="00BC794A"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005E" w14:textId="77777777" w:rsidR="001237C6" w:rsidRDefault="001237C6" w:rsidP="00CE5CC7">
      <w:pPr>
        <w:spacing w:after="0" w:line="240" w:lineRule="auto"/>
      </w:pPr>
      <w:r>
        <w:separator/>
      </w:r>
    </w:p>
  </w:footnote>
  <w:footnote w:type="continuationSeparator" w:id="0">
    <w:p w14:paraId="119B2B26" w14:textId="77777777" w:rsidR="001237C6" w:rsidRDefault="001237C6"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030E8A"/>
    <w:multiLevelType w:val="multilevel"/>
    <w:tmpl w:val="EA7C578A"/>
    <w:name w:val="General Numbering (1)222222"/>
    <w:lvl w:ilvl="0">
      <w:start w:val="1"/>
      <w:numFmt w:val="decimal"/>
      <w:lvlText w:val="PPL to Complainant-I-%1"/>
      <w:lvlJc w:val="left"/>
      <w:pPr>
        <w:tabs>
          <w:tab w:val="num" w:pos="720"/>
        </w:tabs>
        <w:ind w:left="720" w:hanging="720"/>
      </w:pPr>
      <w:rPr>
        <w:rFonts w:ascii="Times New Roman" w:hAnsi="Times New Roman" w:cs="Times New Roman" w:hint="default"/>
        <w:b w:val="0"/>
        <w:caps w:val="0"/>
        <w:color w:val="010000"/>
        <w:sz w:val="24"/>
        <w:u w:val="none"/>
      </w:rPr>
    </w:lvl>
    <w:lvl w:ilvl="1">
      <w:start w:val="1"/>
      <w:numFmt w:val="none"/>
      <w:lvlText w:val=""/>
      <w:lvlJc w:val="left"/>
      <w:pPr>
        <w:tabs>
          <w:tab w:val="num" w:pos="1440"/>
        </w:tabs>
        <w:ind w:left="1440" w:hanging="720"/>
      </w:pPr>
      <w:rPr>
        <w:rFonts w:ascii="Times New Roman" w:hAnsi="Times New Roman" w:cs="Times New Roman" w:hint="default"/>
        <w:b w:val="0"/>
        <w:caps w:val="0"/>
        <w:color w:val="01000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caps w:val="0"/>
        <w:color w:val="010000"/>
        <w:sz w:val="24"/>
        <w:u w:val="none"/>
      </w:rPr>
    </w:lvl>
    <w:lvl w:ilvl="3">
      <w:start w:val="1"/>
      <w:numFmt w:val="decimal"/>
      <w:lvlText w:val="(%4)"/>
      <w:lvlJc w:val="left"/>
      <w:pPr>
        <w:tabs>
          <w:tab w:val="num" w:pos="2880"/>
        </w:tabs>
        <w:ind w:left="2880" w:hanging="720"/>
      </w:pPr>
      <w:rPr>
        <w:rFonts w:ascii="Times New Roman" w:hAnsi="Times New Roman" w:cs="Times New Roman" w:hint="default"/>
        <w:b w:val="0"/>
        <w:caps w:val="0"/>
        <w:color w:val="010000"/>
        <w:sz w:val="24"/>
        <w:u w:val="none"/>
      </w:rPr>
    </w:lvl>
    <w:lvl w:ilvl="4">
      <w:start w:val="1"/>
      <w:numFmt w:val="lowerLetter"/>
      <w:lvlText w:val="%5."/>
      <w:lvlJc w:val="left"/>
      <w:pPr>
        <w:tabs>
          <w:tab w:val="num" w:pos="3600"/>
        </w:tabs>
        <w:ind w:left="3600" w:hanging="720"/>
      </w:pPr>
      <w:rPr>
        <w:rFonts w:ascii="Times New Roman" w:hAnsi="Times New Roman" w:cs="Times New Roman" w:hint="default"/>
        <w:b w:val="0"/>
        <w:caps w:val="0"/>
        <w:color w:val="010000"/>
        <w:sz w:val="24"/>
        <w:u w:val="none"/>
      </w:rPr>
    </w:lvl>
    <w:lvl w:ilvl="5">
      <w:start w:val="1"/>
      <w:numFmt w:val="lowerRoman"/>
      <w:lvlText w:val="%6."/>
      <w:lvlJc w:val="left"/>
      <w:pPr>
        <w:tabs>
          <w:tab w:val="num" w:pos="4320"/>
        </w:tabs>
        <w:ind w:left="4320" w:hanging="720"/>
      </w:pPr>
      <w:rPr>
        <w:rFonts w:ascii="Times New Roman" w:hAnsi="Times New Roman" w:cs="Times New Roman" w:hint="default"/>
        <w:b w:val="0"/>
        <w:caps w:val="0"/>
        <w:color w:val="010000"/>
        <w:sz w:val="24"/>
        <w:u w:val="none"/>
      </w:rPr>
    </w:lvl>
    <w:lvl w:ilvl="6">
      <w:start w:val="1"/>
      <w:numFmt w:val="decimal"/>
      <w:lvlText w:val="%7)"/>
      <w:lvlJc w:val="left"/>
      <w:pPr>
        <w:tabs>
          <w:tab w:val="num" w:pos="5040"/>
        </w:tabs>
        <w:ind w:left="5040" w:hanging="720"/>
      </w:pPr>
      <w:rPr>
        <w:rFonts w:ascii="Times New Roman" w:hAnsi="Times New Roman" w:cs="Times New Roman" w:hint="default"/>
        <w:b w:val="0"/>
        <w:caps w:val="0"/>
        <w:color w:val="010000"/>
        <w:sz w:val="24"/>
        <w:u w:val="none"/>
      </w:rPr>
    </w:lvl>
    <w:lvl w:ilvl="7">
      <w:start w:val="1"/>
      <w:numFmt w:val="lowerLetter"/>
      <w:lvlText w:val="%8)"/>
      <w:lvlJc w:val="left"/>
      <w:pPr>
        <w:tabs>
          <w:tab w:val="num" w:pos="5760"/>
        </w:tabs>
        <w:ind w:left="5760" w:hanging="720"/>
      </w:pPr>
      <w:rPr>
        <w:rFonts w:ascii="Times New Roman" w:hAnsi="Times New Roman" w:cs="Times New Roman" w:hint="default"/>
        <w:b w:val="0"/>
        <w:caps w:val="0"/>
        <w:color w:val="010000"/>
        <w:sz w:val="24"/>
        <w:u w:val="none"/>
      </w:rPr>
    </w:lvl>
    <w:lvl w:ilvl="8">
      <w:start w:val="1"/>
      <w:numFmt w:val="lowerRoman"/>
      <w:lvlText w:val="%9)"/>
      <w:lvlJc w:val="left"/>
      <w:pPr>
        <w:tabs>
          <w:tab w:val="num" w:pos="6480"/>
        </w:tabs>
        <w:ind w:left="6480" w:hanging="720"/>
      </w:pPr>
      <w:rPr>
        <w:rFonts w:ascii="Times New Roman" w:hAnsi="Times New Roman" w:cs="Times New Roman" w:hint="default"/>
        <w:b w:val="0"/>
        <w:caps w:val="0"/>
        <w:color w:val="010000"/>
        <w:sz w:val="24"/>
        <w:u w:val="none"/>
      </w:r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CC620C"/>
    <w:multiLevelType w:val="hybridMultilevel"/>
    <w:tmpl w:val="BB10CAD8"/>
    <w:lvl w:ilvl="0" w:tplc="A9AA8C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3"/>
  </w:num>
  <w:num w:numId="9">
    <w:abstractNumId w:val="6"/>
  </w:num>
  <w:num w:numId="10">
    <w:abstractNumId w:val="9"/>
  </w:num>
  <w:num w:numId="11">
    <w:abstractNumId w:val="1"/>
  </w:num>
  <w:num w:numId="12">
    <w:abstractNumId w:val="3"/>
  </w:num>
  <w:num w:numId="13">
    <w:abstractNumId w:val="7"/>
  </w:num>
  <w:num w:numId="14">
    <w:abstractNumId w:val="11"/>
  </w:num>
  <w:num w:numId="15">
    <w:abstractNumId w:val="2"/>
  </w:num>
  <w:num w:numId="16">
    <w:abstractNumId w:val="10"/>
  </w:num>
  <w:num w:numId="17">
    <w:abstractNumId w:val="8"/>
  </w:num>
  <w:num w:numId="18">
    <w:abstractNumId w:val="16"/>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449E"/>
    <w:rsid w:val="00015520"/>
    <w:rsid w:val="0001590C"/>
    <w:rsid w:val="00015FF2"/>
    <w:rsid w:val="0001669E"/>
    <w:rsid w:val="000176FE"/>
    <w:rsid w:val="0002089A"/>
    <w:rsid w:val="00023AAE"/>
    <w:rsid w:val="00023BCF"/>
    <w:rsid w:val="000251EC"/>
    <w:rsid w:val="00026F1C"/>
    <w:rsid w:val="00026FA5"/>
    <w:rsid w:val="0002728D"/>
    <w:rsid w:val="00027FD1"/>
    <w:rsid w:val="00031E4F"/>
    <w:rsid w:val="000363FC"/>
    <w:rsid w:val="000368D3"/>
    <w:rsid w:val="00036A54"/>
    <w:rsid w:val="000373AF"/>
    <w:rsid w:val="00037988"/>
    <w:rsid w:val="000405E0"/>
    <w:rsid w:val="00042E4D"/>
    <w:rsid w:val="00044BA5"/>
    <w:rsid w:val="00045CAF"/>
    <w:rsid w:val="00050838"/>
    <w:rsid w:val="00051AF0"/>
    <w:rsid w:val="000520BE"/>
    <w:rsid w:val="000541D8"/>
    <w:rsid w:val="00057F37"/>
    <w:rsid w:val="00057FE2"/>
    <w:rsid w:val="00060098"/>
    <w:rsid w:val="000627C6"/>
    <w:rsid w:val="00063319"/>
    <w:rsid w:val="00064527"/>
    <w:rsid w:val="0006470E"/>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7A9F"/>
    <w:rsid w:val="00087AB2"/>
    <w:rsid w:val="000908F0"/>
    <w:rsid w:val="00092CB1"/>
    <w:rsid w:val="00094D9C"/>
    <w:rsid w:val="00095BD9"/>
    <w:rsid w:val="00096974"/>
    <w:rsid w:val="000971BF"/>
    <w:rsid w:val="000A0BF6"/>
    <w:rsid w:val="000A158D"/>
    <w:rsid w:val="000A18C3"/>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1E22"/>
    <w:rsid w:val="000C24A6"/>
    <w:rsid w:val="000C429D"/>
    <w:rsid w:val="000C4F78"/>
    <w:rsid w:val="000C7035"/>
    <w:rsid w:val="000C7B96"/>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477E"/>
    <w:rsid w:val="000F50D8"/>
    <w:rsid w:val="000F55A4"/>
    <w:rsid w:val="000F72BF"/>
    <w:rsid w:val="000F7547"/>
    <w:rsid w:val="00100404"/>
    <w:rsid w:val="00101043"/>
    <w:rsid w:val="00102838"/>
    <w:rsid w:val="0010690D"/>
    <w:rsid w:val="00106B06"/>
    <w:rsid w:val="00106BD6"/>
    <w:rsid w:val="00107408"/>
    <w:rsid w:val="001118A2"/>
    <w:rsid w:val="0011578E"/>
    <w:rsid w:val="00115E94"/>
    <w:rsid w:val="00121754"/>
    <w:rsid w:val="0012333B"/>
    <w:rsid w:val="001237C6"/>
    <w:rsid w:val="00123B4D"/>
    <w:rsid w:val="00125E0E"/>
    <w:rsid w:val="00126C09"/>
    <w:rsid w:val="00126ED0"/>
    <w:rsid w:val="0013266B"/>
    <w:rsid w:val="0013338D"/>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34FA"/>
    <w:rsid w:val="001664D5"/>
    <w:rsid w:val="00170875"/>
    <w:rsid w:val="001733CF"/>
    <w:rsid w:val="001742E1"/>
    <w:rsid w:val="00174C59"/>
    <w:rsid w:val="00175318"/>
    <w:rsid w:val="00176282"/>
    <w:rsid w:val="00176B6E"/>
    <w:rsid w:val="00177DB0"/>
    <w:rsid w:val="0018222E"/>
    <w:rsid w:val="00182DE8"/>
    <w:rsid w:val="00183941"/>
    <w:rsid w:val="001841F0"/>
    <w:rsid w:val="00187551"/>
    <w:rsid w:val="0018764C"/>
    <w:rsid w:val="001910F7"/>
    <w:rsid w:val="00191567"/>
    <w:rsid w:val="001A3D98"/>
    <w:rsid w:val="001A6FDF"/>
    <w:rsid w:val="001A727B"/>
    <w:rsid w:val="001A7BA3"/>
    <w:rsid w:val="001A7ECB"/>
    <w:rsid w:val="001B042A"/>
    <w:rsid w:val="001B08A2"/>
    <w:rsid w:val="001B3CB0"/>
    <w:rsid w:val="001B4273"/>
    <w:rsid w:val="001B4591"/>
    <w:rsid w:val="001B4BBC"/>
    <w:rsid w:val="001B5704"/>
    <w:rsid w:val="001B5A2D"/>
    <w:rsid w:val="001C0E72"/>
    <w:rsid w:val="001C1617"/>
    <w:rsid w:val="001C3E22"/>
    <w:rsid w:val="001C4837"/>
    <w:rsid w:val="001C7217"/>
    <w:rsid w:val="001C7AFE"/>
    <w:rsid w:val="001D0B92"/>
    <w:rsid w:val="001D135D"/>
    <w:rsid w:val="001D2A67"/>
    <w:rsid w:val="001D331C"/>
    <w:rsid w:val="001D4441"/>
    <w:rsid w:val="001D5D29"/>
    <w:rsid w:val="001D6796"/>
    <w:rsid w:val="001D7453"/>
    <w:rsid w:val="001E60EF"/>
    <w:rsid w:val="001E7F4F"/>
    <w:rsid w:val="001F00A2"/>
    <w:rsid w:val="001F0787"/>
    <w:rsid w:val="001F0D35"/>
    <w:rsid w:val="001F1682"/>
    <w:rsid w:val="001F1B85"/>
    <w:rsid w:val="001F1FD6"/>
    <w:rsid w:val="001F6A34"/>
    <w:rsid w:val="001F6B8C"/>
    <w:rsid w:val="001F752F"/>
    <w:rsid w:val="0020080D"/>
    <w:rsid w:val="00201533"/>
    <w:rsid w:val="00202CBF"/>
    <w:rsid w:val="00202F76"/>
    <w:rsid w:val="00203A25"/>
    <w:rsid w:val="0020436B"/>
    <w:rsid w:val="00205A3F"/>
    <w:rsid w:val="00207BF2"/>
    <w:rsid w:val="00211938"/>
    <w:rsid w:val="00212761"/>
    <w:rsid w:val="002134C4"/>
    <w:rsid w:val="0021464B"/>
    <w:rsid w:val="002155E5"/>
    <w:rsid w:val="00215CEC"/>
    <w:rsid w:val="002174FE"/>
    <w:rsid w:val="00217D46"/>
    <w:rsid w:val="00220F28"/>
    <w:rsid w:val="002210E3"/>
    <w:rsid w:val="00221E55"/>
    <w:rsid w:val="00222235"/>
    <w:rsid w:val="00222BF9"/>
    <w:rsid w:val="00222EB4"/>
    <w:rsid w:val="00224E73"/>
    <w:rsid w:val="00226F0D"/>
    <w:rsid w:val="00227594"/>
    <w:rsid w:val="00230803"/>
    <w:rsid w:val="002328A0"/>
    <w:rsid w:val="002338E4"/>
    <w:rsid w:val="00236196"/>
    <w:rsid w:val="002369D3"/>
    <w:rsid w:val="00237B23"/>
    <w:rsid w:val="00237FB5"/>
    <w:rsid w:val="002436DC"/>
    <w:rsid w:val="00243987"/>
    <w:rsid w:val="00244684"/>
    <w:rsid w:val="00247963"/>
    <w:rsid w:val="00247BF4"/>
    <w:rsid w:val="00251315"/>
    <w:rsid w:val="00251970"/>
    <w:rsid w:val="00251E94"/>
    <w:rsid w:val="00252DF9"/>
    <w:rsid w:val="002530D0"/>
    <w:rsid w:val="00253E7A"/>
    <w:rsid w:val="00253E9E"/>
    <w:rsid w:val="00255B70"/>
    <w:rsid w:val="00255F09"/>
    <w:rsid w:val="00257289"/>
    <w:rsid w:val="00260C4F"/>
    <w:rsid w:val="00261FBC"/>
    <w:rsid w:val="00266E8E"/>
    <w:rsid w:val="00267279"/>
    <w:rsid w:val="002711EB"/>
    <w:rsid w:val="00271299"/>
    <w:rsid w:val="00274ACE"/>
    <w:rsid w:val="00275560"/>
    <w:rsid w:val="00275D5F"/>
    <w:rsid w:val="00282124"/>
    <w:rsid w:val="002837FC"/>
    <w:rsid w:val="00284B72"/>
    <w:rsid w:val="00286E73"/>
    <w:rsid w:val="002902FF"/>
    <w:rsid w:val="0029085D"/>
    <w:rsid w:val="002968DA"/>
    <w:rsid w:val="00296A92"/>
    <w:rsid w:val="00297BEB"/>
    <w:rsid w:val="002A0838"/>
    <w:rsid w:val="002A15EF"/>
    <w:rsid w:val="002A1AE1"/>
    <w:rsid w:val="002A526C"/>
    <w:rsid w:val="002A54D6"/>
    <w:rsid w:val="002A5579"/>
    <w:rsid w:val="002A68AC"/>
    <w:rsid w:val="002B23B6"/>
    <w:rsid w:val="002B24CB"/>
    <w:rsid w:val="002B3394"/>
    <w:rsid w:val="002B508E"/>
    <w:rsid w:val="002B7BCA"/>
    <w:rsid w:val="002C01B2"/>
    <w:rsid w:val="002C0B85"/>
    <w:rsid w:val="002C2CAC"/>
    <w:rsid w:val="002C4326"/>
    <w:rsid w:val="002C7C4A"/>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27E8D"/>
    <w:rsid w:val="00331D0E"/>
    <w:rsid w:val="00331F52"/>
    <w:rsid w:val="00334348"/>
    <w:rsid w:val="00334ABF"/>
    <w:rsid w:val="00335B60"/>
    <w:rsid w:val="00336C75"/>
    <w:rsid w:val="00341BB6"/>
    <w:rsid w:val="003424AB"/>
    <w:rsid w:val="00342D4C"/>
    <w:rsid w:val="00346F2E"/>
    <w:rsid w:val="003471D2"/>
    <w:rsid w:val="00350CEE"/>
    <w:rsid w:val="003519EE"/>
    <w:rsid w:val="00352396"/>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4C45"/>
    <w:rsid w:val="003851E6"/>
    <w:rsid w:val="003912F3"/>
    <w:rsid w:val="003918F1"/>
    <w:rsid w:val="00392A0D"/>
    <w:rsid w:val="0039324C"/>
    <w:rsid w:val="003947D2"/>
    <w:rsid w:val="00394984"/>
    <w:rsid w:val="0039591E"/>
    <w:rsid w:val="0039741D"/>
    <w:rsid w:val="003A10B4"/>
    <w:rsid w:val="003A1328"/>
    <w:rsid w:val="003A30C3"/>
    <w:rsid w:val="003A395A"/>
    <w:rsid w:val="003A5964"/>
    <w:rsid w:val="003B09EF"/>
    <w:rsid w:val="003B10DF"/>
    <w:rsid w:val="003B19EC"/>
    <w:rsid w:val="003B1A04"/>
    <w:rsid w:val="003B269D"/>
    <w:rsid w:val="003B30D2"/>
    <w:rsid w:val="003B3150"/>
    <w:rsid w:val="003B443A"/>
    <w:rsid w:val="003B608E"/>
    <w:rsid w:val="003C09D0"/>
    <w:rsid w:val="003C0BCC"/>
    <w:rsid w:val="003C103D"/>
    <w:rsid w:val="003C1554"/>
    <w:rsid w:val="003C2330"/>
    <w:rsid w:val="003C2821"/>
    <w:rsid w:val="003C2F62"/>
    <w:rsid w:val="003C4155"/>
    <w:rsid w:val="003C61FF"/>
    <w:rsid w:val="003C7B7B"/>
    <w:rsid w:val="003D2DE1"/>
    <w:rsid w:val="003D658A"/>
    <w:rsid w:val="003D7311"/>
    <w:rsid w:val="003E7B60"/>
    <w:rsid w:val="003F08D5"/>
    <w:rsid w:val="003F0973"/>
    <w:rsid w:val="003F1A9E"/>
    <w:rsid w:val="003F2B4C"/>
    <w:rsid w:val="003F2C07"/>
    <w:rsid w:val="003F37DF"/>
    <w:rsid w:val="003F4AD8"/>
    <w:rsid w:val="003F552D"/>
    <w:rsid w:val="00401EDD"/>
    <w:rsid w:val="0040505B"/>
    <w:rsid w:val="00406C3F"/>
    <w:rsid w:val="004104EA"/>
    <w:rsid w:val="00410793"/>
    <w:rsid w:val="004118FD"/>
    <w:rsid w:val="00412A4B"/>
    <w:rsid w:val="00413398"/>
    <w:rsid w:val="004157B8"/>
    <w:rsid w:val="00415A33"/>
    <w:rsid w:val="00417304"/>
    <w:rsid w:val="00420D62"/>
    <w:rsid w:val="004212E1"/>
    <w:rsid w:val="0042401A"/>
    <w:rsid w:val="00425019"/>
    <w:rsid w:val="004255B4"/>
    <w:rsid w:val="0042596E"/>
    <w:rsid w:val="00425B3D"/>
    <w:rsid w:val="00426566"/>
    <w:rsid w:val="00426BB6"/>
    <w:rsid w:val="00431D1C"/>
    <w:rsid w:val="0043241D"/>
    <w:rsid w:val="00432677"/>
    <w:rsid w:val="004329F3"/>
    <w:rsid w:val="0043475C"/>
    <w:rsid w:val="00434B85"/>
    <w:rsid w:val="00435218"/>
    <w:rsid w:val="004358AF"/>
    <w:rsid w:val="00437B56"/>
    <w:rsid w:val="00441490"/>
    <w:rsid w:val="004419C8"/>
    <w:rsid w:val="004454AC"/>
    <w:rsid w:val="00450EBA"/>
    <w:rsid w:val="00454069"/>
    <w:rsid w:val="004551EC"/>
    <w:rsid w:val="00462EF3"/>
    <w:rsid w:val="0046548B"/>
    <w:rsid w:val="0046640B"/>
    <w:rsid w:val="0047074B"/>
    <w:rsid w:val="004707D5"/>
    <w:rsid w:val="004717AF"/>
    <w:rsid w:val="00472770"/>
    <w:rsid w:val="00473C95"/>
    <w:rsid w:val="00473D2E"/>
    <w:rsid w:val="00474D77"/>
    <w:rsid w:val="004767A3"/>
    <w:rsid w:val="0047792B"/>
    <w:rsid w:val="0048064E"/>
    <w:rsid w:val="00480826"/>
    <w:rsid w:val="00480B88"/>
    <w:rsid w:val="00482ACC"/>
    <w:rsid w:val="00484601"/>
    <w:rsid w:val="00485726"/>
    <w:rsid w:val="00485980"/>
    <w:rsid w:val="004869D7"/>
    <w:rsid w:val="00486C2F"/>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4737"/>
    <w:rsid w:val="004C535A"/>
    <w:rsid w:val="004C584C"/>
    <w:rsid w:val="004C5EEE"/>
    <w:rsid w:val="004C6F0F"/>
    <w:rsid w:val="004D252B"/>
    <w:rsid w:val="004D3179"/>
    <w:rsid w:val="004D39C2"/>
    <w:rsid w:val="004D3A5D"/>
    <w:rsid w:val="004D4452"/>
    <w:rsid w:val="004D4D94"/>
    <w:rsid w:val="004D52B0"/>
    <w:rsid w:val="004E12E8"/>
    <w:rsid w:val="004E2CD1"/>
    <w:rsid w:val="004E30DB"/>
    <w:rsid w:val="004E42DA"/>
    <w:rsid w:val="004E4CAE"/>
    <w:rsid w:val="004E5077"/>
    <w:rsid w:val="004E68CA"/>
    <w:rsid w:val="004F0409"/>
    <w:rsid w:val="004F24E7"/>
    <w:rsid w:val="004F2E0C"/>
    <w:rsid w:val="004F3090"/>
    <w:rsid w:val="004F3C38"/>
    <w:rsid w:val="004F47CC"/>
    <w:rsid w:val="004F4C98"/>
    <w:rsid w:val="004F59A7"/>
    <w:rsid w:val="004F5ACD"/>
    <w:rsid w:val="0050016A"/>
    <w:rsid w:val="005051B0"/>
    <w:rsid w:val="0050570A"/>
    <w:rsid w:val="0051166D"/>
    <w:rsid w:val="00511BAD"/>
    <w:rsid w:val="005136FE"/>
    <w:rsid w:val="00515F2A"/>
    <w:rsid w:val="00520602"/>
    <w:rsid w:val="0052097B"/>
    <w:rsid w:val="00524329"/>
    <w:rsid w:val="005258C6"/>
    <w:rsid w:val="00525FFE"/>
    <w:rsid w:val="00526FA7"/>
    <w:rsid w:val="00530125"/>
    <w:rsid w:val="00532C1C"/>
    <w:rsid w:val="0053404D"/>
    <w:rsid w:val="00537491"/>
    <w:rsid w:val="00537C12"/>
    <w:rsid w:val="00541B24"/>
    <w:rsid w:val="005425AD"/>
    <w:rsid w:val="005436B6"/>
    <w:rsid w:val="00546024"/>
    <w:rsid w:val="00546DAA"/>
    <w:rsid w:val="005513B6"/>
    <w:rsid w:val="00553AE1"/>
    <w:rsid w:val="0055556B"/>
    <w:rsid w:val="00560D44"/>
    <w:rsid w:val="005617E8"/>
    <w:rsid w:val="00563A2E"/>
    <w:rsid w:val="00564209"/>
    <w:rsid w:val="005661E6"/>
    <w:rsid w:val="00566A1B"/>
    <w:rsid w:val="00573643"/>
    <w:rsid w:val="00574154"/>
    <w:rsid w:val="005749CB"/>
    <w:rsid w:val="00575843"/>
    <w:rsid w:val="00575C96"/>
    <w:rsid w:val="00577A8C"/>
    <w:rsid w:val="005815E6"/>
    <w:rsid w:val="005817C2"/>
    <w:rsid w:val="00583E33"/>
    <w:rsid w:val="0058613B"/>
    <w:rsid w:val="00586A65"/>
    <w:rsid w:val="005879C4"/>
    <w:rsid w:val="00587F44"/>
    <w:rsid w:val="00593A08"/>
    <w:rsid w:val="0059533E"/>
    <w:rsid w:val="00596471"/>
    <w:rsid w:val="00597C1A"/>
    <w:rsid w:val="00597CEB"/>
    <w:rsid w:val="00597EF7"/>
    <w:rsid w:val="005A23CF"/>
    <w:rsid w:val="005A3CAE"/>
    <w:rsid w:val="005A656F"/>
    <w:rsid w:val="005A7B61"/>
    <w:rsid w:val="005B0E9A"/>
    <w:rsid w:val="005B2358"/>
    <w:rsid w:val="005B2A18"/>
    <w:rsid w:val="005B2BBD"/>
    <w:rsid w:val="005B4665"/>
    <w:rsid w:val="005B50DA"/>
    <w:rsid w:val="005B5A10"/>
    <w:rsid w:val="005B5F67"/>
    <w:rsid w:val="005B654A"/>
    <w:rsid w:val="005B68C9"/>
    <w:rsid w:val="005B68CA"/>
    <w:rsid w:val="005B7C0A"/>
    <w:rsid w:val="005C301D"/>
    <w:rsid w:val="005C6483"/>
    <w:rsid w:val="005C7F71"/>
    <w:rsid w:val="005D1412"/>
    <w:rsid w:val="005D24B1"/>
    <w:rsid w:val="005D43D9"/>
    <w:rsid w:val="005D5009"/>
    <w:rsid w:val="005D7AB6"/>
    <w:rsid w:val="005D7B32"/>
    <w:rsid w:val="005E0264"/>
    <w:rsid w:val="005E36E1"/>
    <w:rsid w:val="005E3CE6"/>
    <w:rsid w:val="005E6DDE"/>
    <w:rsid w:val="005E7111"/>
    <w:rsid w:val="005E7EAB"/>
    <w:rsid w:val="005F07FB"/>
    <w:rsid w:val="005F0BA7"/>
    <w:rsid w:val="005F1197"/>
    <w:rsid w:val="005F1D5C"/>
    <w:rsid w:val="005F1E70"/>
    <w:rsid w:val="005F2719"/>
    <w:rsid w:val="005F40DE"/>
    <w:rsid w:val="005F4187"/>
    <w:rsid w:val="005F437F"/>
    <w:rsid w:val="005F49B7"/>
    <w:rsid w:val="005F4C90"/>
    <w:rsid w:val="005F635D"/>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4355B"/>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0C88"/>
    <w:rsid w:val="006710AA"/>
    <w:rsid w:val="006714D8"/>
    <w:rsid w:val="00673927"/>
    <w:rsid w:val="006744FF"/>
    <w:rsid w:val="0068076A"/>
    <w:rsid w:val="00680C2A"/>
    <w:rsid w:val="006812CB"/>
    <w:rsid w:val="00681ABE"/>
    <w:rsid w:val="00682C34"/>
    <w:rsid w:val="00683914"/>
    <w:rsid w:val="006854AA"/>
    <w:rsid w:val="00692187"/>
    <w:rsid w:val="0069743C"/>
    <w:rsid w:val="006A0024"/>
    <w:rsid w:val="006A0A96"/>
    <w:rsid w:val="006A1A43"/>
    <w:rsid w:val="006A34AA"/>
    <w:rsid w:val="006A3BDA"/>
    <w:rsid w:val="006A5AAF"/>
    <w:rsid w:val="006A5ED5"/>
    <w:rsid w:val="006B2BD0"/>
    <w:rsid w:val="006B4AD2"/>
    <w:rsid w:val="006B6034"/>
    <w:rsid w:val="006B7016"/>
    <w:rsid w:val="006C0825"/>
    <w:rsid w:val="006C264A"/>
    <w:rsid w:val="006C2F2B"/>
    <w:rsid w:val="006C3A04"/>
    <w:rsid w:val="006D1F2D"/>
    <w:rsid w:val="006D2B0F"/>
    <w:rsid w:val="006D48A7"/>
    <w:rsid w:val="006D5CBD"/>
    <w:rsid w:val="006D5EA1"/>
    <w:rsid w:val="006E05AE"/>
    <w:rsid w:val="006E0689"/>
    <w:rsid w:val="006E0AEB"/>
    <w:rsid w:val="006E2533"/>
    <w:rsid w:val="006E28B6"/>
    <w:rsid w:val="006E2AF0"/>
    <w:rsid w:val="006E3537"/>
    <w:rsid w:val="006E3813"/>
    <w:rsid w:val="006E3C88"/>
    <w:rsid w:val="006E3DB0"/>
    <w:rsid w:val="006E65E3"/>
    <w:rsid w:val="006E675A"/>
    <w:rsid w:val="006F07CB"/>
    <w:rsid w:val="006F1272"/>
    <w:rsid w:val="006F2393"/>
    <w:rsid w:val="006F3077"/>
    <w:rsid w:val="006F353D"/>
    <w:rsid w:val="006F5A5C"/>
    <w:rsid w:val="006F6A17"/>
    <w:rsid w:val="0070290F"/>
    <w:rsid w:val="00705120"/>
    <w:rsid w:val="0070519C"/>
    <w:rsid w:val="00705263"/>
    <w:rsid w:val="0070563A"/>
    <w:rsid w:val="00705B90"/>
    <w:rsid w:val="007072CE"/>
    <w:rsid w:val="0071021E"/>
    <w:rsid w:val="00710942"/>
    <w:rsid w:val="00715BEF"/>
    <w:rsid w:val="00717822"/>
    <w:rsid w:val="0072028A"/>
    <w:rsid w:val="0072477D"/>
    <w:rsid w:val="007257B0"/>
    <w:rsid w:val="00725FAB"/>
    <w:rsid w:val="007272ED"/>
    <w:rsid w:val="0072795D"/>
    <w:rsid w:val="00727CB0"/>
    <w:rsid w:val="007339E0"/>
    <w:rsid w:val="007413E7"/>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4988"/>
    <w:rsid w:val="00765169"/>
    <w:rsid w:val="007659AD"/>
    <w:rsid w:val="007661F1"/>
    <w:rsid w:val="0077152B"/>
    <w:rsid w:val="0077202F"/>
    <w:rsid w:val="00782062"/>
    <w:rsid w:val="0078267D"/>
    <w:rsid w:val="00782DAD"/>
    <w:rsid w:val="007831BB"/>
    <w:rsid w:val="00791410"/>
    <w:rsid w:val="007925D8"/>
    <w:rsid w:val="00793371"/>
    <w:rsid w:val="00793B29"/>
    <w:rsid w:val="007940A6"/>
    <w:rsid w:val="00794E50"/>
    <w:rsid w:val="007955F5"/>
    <w:rsid w:val="00796D3F"/>
    <w:rsid w:val="007A1FB4"/>
    <w:rsid w:val="007A260F"/>
    <w:rsid w:val="007B0DF2"/>
    <w:rsid w:val="007B243D"/>
    <w:rsid w:val="007B3CA6"/>
    <w:rsid w:val="007B48A5"/>
    <w:rsid w:val="007B5040"/>
    <w:rsid w:val="007B6303"/>
    <w:rsid w:val="007C152D"/>
    <w:rsid w:val="007C15DE"/>
    <w:rsid w:val="007C183D"/>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1738"/>
    <w:rsid w:val="007F22C7"/>
    <w:rsid w:val="007F27AB"/>
    <w:rsid w:val="007F3FEB"/>
    <w:rsid w:val="007F48D2"/>
    <w:rsid w:val="007F58CC"/>
    <w:rsid w:val="007F6F0C"/>
    <w:rsid w:val="0080025E"/>
    <w:rsid w:val="008044EE"/>
    <w:rsid w:val="008045FC"/>
    <w:rsid w:val="00804625"/>
    <w:rsid w:val="00805E2D"/>
    <w:rsid w:val="008066CB"/>
    <w:rsid w:val="0081077A"/>
    <w:rsid w:val="00811457"/>
    <w:rsid w:val="00811988"/>
    <w:rsid w:val="0081233E"/>
    <w:rsid w:val="00814A93"/>
    <w:rsid w:val="0081521B"/>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5662"/>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93B19"/>
    <w:rsid w:val="0089458A"/>
    <w:rsid w:val="00894DB3"/>
    <w:rsid w:val="008A1FFF"/>
    <w:rsid w:val="008A2439"/>
    <w:rsid w:val="008A245C"/>
    <w:rsid w:val="008A2997"/>
    <w:rsid w:val="008A3974"/>
    <w:rsid w:val="008A423E"/>
    <w:rsid w:val="008A57DE"/>
    <w:rsid w:val="008A6058"/>
    <w:rsid w:val="008A753D"/>
    <w:rsid w:val="008A75A3"/>
    <w:rsid w:val="008B0BAC"/>
    <w:rsid w:val="008B52C4"/>
    <w:rsid w:val="008B5FD8"/>
    <w:rsid w:val="008B7056"/>
    <w:rsid w:val="008C4EF9"/>
    <w:rsid w:val="008C60D9"/>
    <w:rsid w:val="008C7E98"/>
    <w:rsid w:val="008D06F0"/>
    <w:rsid w:val="008D10AD"/>
    <w:rsid w:val="008D1121"/>
    <w:rsid w:val="008D1C65"/>
    <w:rsid w:val="008D3834"/>
    <w:rsid w:val="008D48C2"/>
    <w:rsid w:val="008D56BE"/>
    <w:rsid w:val="008D7B47"/>
    <w:rsid w:val="008E1C43"/>
    <w:rsid w:val="008E250A"/>
    <w:rsid w:val="008E2FC7"/>
    <w:rsid w:val="008E36AC"/>
    <w:rsid w:val="008E7267"/>
    <w:rsid w:val="008E776E"/>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6EA2"/>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065"/>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6C6"/>
    <w:rsid w:val="00980441"/>
    <w:rsid w:val="009804EA"/>
    <w:rsid w:val="0098272A"/>
    <w:rsid w:val="00983581"/>
    <w:rsid w:val="00984F78"/>
    <w:rsid w:val="00985301"/>
    <w:rsid w:val="0099295F"/>
    <w:rsid w:val="00993907"/>
    <w:rsid w:val="00993C57"/>
    <w:rsid w:val="00994D80"/>
    <w:rsid w:val="00996475"/>
    <w:rsid w:val="0099724B"/>
    <w:rsid w:val="009A100A"/>
    <w:rsid w:val="009A1044"/>
    <w:rsid w:val="009A3D8E"/>
    <w:rsid w:val="009A4E45"/>
    <w:rsid w:val="009A54E8"/>
    <w:rsid w:val="009B3997"/>
    <w:rsid w:val="009B474B"/>
    <w:rsid w:val="009B4F8C"/>
    <w:rsid w:val="009B5F37"/>
    <w:rsid w:val="009B64B7"/>
    <w:rsid w:val="009C243C"/>
    <w:rsid w:val="009C2EFA"/>
    <w:rsid w:val="009C6CF2"/>
    <w:rsid w:val="009C7531"/>
    <w:rsid w:val="009C7A47"/>
    <w:rsid w:val="009D1BEE"/>
    <w:rsid w:val="009D3346"/>
    <w:rsid w:val="009D3F87"/>
    <w:rsid w:val="009D512E"/>
    <w:rsid w:val="009E151B"/>
    <w:rsid w:val="009E319C"/>
    <w:rsid w:val="009E3A3D"/>
    <w:rsid w:val="009E477E"/>
    <w:rsid w:val="009E68DC"/>
    <w:rsid w:val="009F093D"/>
    <w:rsid w:val="009F16B1"/>
    <w:rsid w:val="009F420E"/>
    <w:rsid w:val="009F6142"/>
    <w:rsid w:val="009F6494"/>
    <w:rsid w:val="00A0261A"/>
    <w:rsid w:val="00A028CD"/>
    <w:rsid w:val="00A02AC7"/>
    <w:rsid w:val="00A02DE0"/>
    <w:rsid w:val="00A0324F"/>
    <w:rsid w:val="00A03364"/>
    <w:rsid w:val="00A038E5"/>
    <w:rsid w:val="00A0403B"/>
    <w:rsid w:val="00A059E2"/>
    <w:rsid w:val="00A06935"/>
    <w:rsid w:val="00A076BD"/>
    <w:rsid w:val="00A10720"/>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12EB"/>
    <w:rsid w:val="00A52563"/>
    <w:rsid w:val="00A52784"/>
    <w:rsid w:val="00A52B7B"/>
    <w:rsid w:val="00A53B09"/>
    <w:rsid w:val="00A56FA4"/>
    <w:rsid w:val="00A61FB5"/>
    <w:rsid w:val="00A627EE"/>
    <w:rsid w:val="00A63662"/>
    <w:rsid w:val="00A64CC0"/>
    <w:rsid w:val="00A70BD8"/>
    <w:rsid w:val="00A71339"/>
    <w:rsid w:val="00A7212A"/>
    <w:rsid w:val="00A72B7C"/>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3B4"/>
    <w:rsid w:val="00AB0700"/>
    <w:rsid w:val="00AB0BDF"/>
    <w:rsid w:val="00AB3392"/>
    <w:rsid w:val="00AB4B00"/>
    <w:rsid w:val="00AB4FF3"/>
    <w:rsid w:val="00AB5FD0"/>
    <w:rsid w:val="00AC4315"/>
    <w:rsid w:val="00AC6910"/>
    <w:rsid w:val="00AC6BB3"/>
    <w:rsid w:val="00AD09A2"/>
    <w:rsid w:val="00AD1252"/>
    <w:rsid w:val="00AD1C3D"/>
    <w:rsid w:val="00AD4209"/>
    <w:rsid w:val="00AD567B"/>
    <w:rsid w:val="00AD6127"/>
    <w:rsid w:val="00AE297F"/>
    <w:rsid w:val="00AE3174"/>
    <w:rsid w:val="00AF08B5"/>
    <w:rsid w:val="00AF3145"/>
    <w:rsid w:val="00AF3AA3"/>
    <w:rsid w:val="00B01B66"/>
    <w:rsid w:val="00B0218E"/>
    <w:rsid w:val="00B02A05"/>
    <w:rsid w:val="00B04BC7"/>
    <w:rsid w:val="00B06649"/>
    <w:rsid w:val="00B06B5C"/>
    <w:rsid w:val="00B10487"/>
    <w:rsid w:val="00B10B49"/>
    <w:rsid w:val="00B1293F"/>
    <w:rsid w:val="00B15D98"/>
    <w:rsid w:val="00B22884"/>
    <w:rsid w:val="00B23D35"/>
    <w:rsid w:val="00B32585"/>
    <w:rsid w:val="00B32882"/>
    <w:rsid w:val="00B35BBF"/>
    <w:rsid w:val="00B35D5E"/>
    <w:rsid w:val="00B36A23"/>
    <w:rsid w:val="00B40527"/>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72014"/>
    <w:rsid w:val="00B72302"/>
    <w:rsid w:val="00B7649D"/>
    <w:rsid w:val="00B77077"/>
    <w:rsid w:val="00B7718B"/>
    <w:rsid w:val="00B832C1"/>
    <w:rsid w:val="00B85A46"/>
    <w:rsid w:val="00B87762"/>
    <w:rsid w:val="00B906A4"/>
    <w:rsid w:val="00B912C7"/>
    <w:rsid w:val="00B91D78"/>
    <w:rsid w:val="00B932DC"/>
    <w:rsid w:val="00B93300"/>
    <w:rsid w:val="00B94B42"/>
    <w:rsid w:val="00B97282"/>
    <w:rsid w:val="00B972DD"/>
    <w:rsid w:val="00BA0F13"/>
    <w:rsid w:val="00BA1758"/>
    <w:rsid w:val="00BA194D"/>
    <w:rsid w:val="00BA2214"/>
    <w:rsid w:val="00BA2548"/>
    <w:rsid w:val="00BA35FA"/>
    <w:rsid w:val="00BA3BA4"/>
    <w:rsid w:val="00BA4006"/>
    <w:rsid w:val="00BA5E60"/>
    <w:rsid w:val="00BA604D"/>
    <w:rsid w:val="00BA69AA"/>
    <w:rsid w:val="00BB0262"/>
    <w:rsid w:val="00BB0C65"/>
    <w:rsid w:val="00BB43DC"/>
    <w:rsid w:val="00BB6D07"/>
    <w:rsid w:val="00BB7765"/>
    <w:rsid w:val="00BC0815"/>
    <w:rsid w:val="00BC0A46"/>
    <w:rsid w:val="00BC194B"/>
    <w:rsid w:val="00BC1B80"/>
    <w:rsid w:val="00BC25EF"/>
    <w:rsid w:val="00BC398C"/>
    <w:rsid w:val="00BC464B"/>
    <w:rsid w:val="00BC7056"/>
    <w:rsid w:val="00BC794A"/>
    <w:rsid w:val="00BD0AD6"/>
    <w:rsid w:val="00BD229E"/>
    <w:rsid w:val="00BD5884"/>
    <w:rsid w:val="00BE0590"/>
    <w:rsid w:val="00BE24A5"/>
    <w:rsid w:val="00BE2F25"/>
    <w:rsid w:val="00BE312A"/>
    <w:rsid w:val="00BE3994"/>
    <w:rsid w:val="00BE5071"/>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545A"/>
    <w:rsid w:val="00C054F3"/>
    <w:rsid w:val="00C10B4A"/>
    <w:rsid w:val="00C11108"/>
    <w:rsid w:val="00C128D7"/>
    <w:rsid w:val="00C13D01"/>
    <w:rsid w:val="00C14504"/>
    <w:rsid w:val="00C147A1"/>
    <w:rsid w:val="00C17107"/>
    <w:rsid w:val="00C20483"/>
    <w:rsid w:val="00C21345"/>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465FC"/>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4F02"/>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596D"/>
    <w:rsid w:val="00D077FF"/>
    <w:rsid w:val="00D07B25"/>
    <w:rsid w:val="00D07F9C"/>
    <w:rsid w:val="00D12AF9"/>
    <w:rsid w:val="00D13E0F"/>
    <w:rsid w:val="00D15116"/>
    <w:rsid w:val="00D1525D"/>
    <w:rsid w:val="00D16ADD"/>
    <w:rsid w:val="00D16CBD"/>
    <w:rsid w:val="00D1788F"/>
    <w:rsid w:val="00D200E1"/>
    <w:rsid w:val="00D208F3"/>
    <w:rsid w:val="00D26E70"/>
    <w:rsid w:val="00D27721"/>
    <w:rsid w:val="00D308C4"/>
    <w:rsid w:val="00D30AAA"/>
    <w:rsid w:val="00D31454"/>
    <w:rsid w:val="00D33221"/>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72AE"/>
    <w:rsid w:val="00D67AFA"/>
    <w:rsid w:val="00D7200B"/>
    <w:rsid w:val="00D735EF"/>
    <w:rsid w:val="00D7416D"/>
    <w:rsid w:val="00D77E67"/>
    <w:rsid w:val="00D80482"/>
    <w:rsid w:val="00D80F0D"/>
    <w:rsid w:val="00D8325F"/>
    <w:rsid w:val="00D83782"/>
    <w:rsid w:val="00D83C20"/>
    <w:rsid w:val="00D84CB4"/>
    <w:rsid w:val="00D86725"/>
    <w:rsid w:val="00D87EA3"/>
    <w:rsid w:val="00D9321F"/>
    <w:rsid w:val="00DA0589"/>
    <w:rsid w:val="00DA0B77"/>
    <w:rsid w:val="00DA2120"/>
    <w:rsid w:val="00DA23AA"/>
    <w:rsid w:val="00DA2779"/>
    <w:rsid w:val="00DA5AD9"/>
    <w:rsid w:val="00DA5D77"/>
    <w:rsid w:val="00DA5E72"/>
    <w:rsid w:val="00DA71C7"/>
    <w:rsid w:val="00DA7482"/>
    <w:rsid w:val="00DA757A"/>
    <w:rsid w:val="00DA7784"/>
    <w:rsid w:val="00DB038D"/>
    <w:rsid w:val="00DB1FB1"/>
    <w:rsid w:val="00DB3568"/>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09C"/>
    <w:rsid w:val="00E14277"/>
    <w:rsid w:val="00E16A7F"/>
    <w:rsid w:val="00E16B9A"/>
    <w:rsid w:val="00E231C6"/>
    <w:rsid w:val="00E23564"/>
    <w:rsid w:val="00E245A2"/>
    <w:rsid w:val="00E2634F"/>
    <w:rsid w:val="00E26A1D"/>
    <w:rsid w:val="00E27880"/>
    <w:rsid w:val="00E33259"/>
    <w:rsid w:val="00E34D89"/>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44"/>
    <w:rsid w:val="00E52951"/>
    <w:rsid w:val="00E536BA"/>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066E"/>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E6DD7"/>
    <w:rsid w:val="00EF09BF"/>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5C6A"/>
    <w:rsid w:val="00F45EE9"/>
    <w:rsid w:val="00F47C19"/>
    <w:rsid w:val="00F50CAD"/>
    <w:rsid w:val="00F542ED"/>
    <w:rsid w:val="00F5559E"/>
    <w:rsid w:val="00F55896"/>
    <w:rsid w:val="00F55DB4"/>
    <w:rsid w:val="00F56839"/>
    <w:rsid w:val="00F57511"/>
    <w:rsid w:val="00F579C1"/>
    <w:rsid w:val="00F57E00"/>
    <w:rsid w:val="00F608B9"/>
    <w:rsid w:val="00F6222C"/>
    <w:rsid w:val="00F64354"/>
    <w:rsid w:val="00F65691"/>
    <w:rsid w:val="00F70295"/>
    <w:rsid w:val="00F709D7"/>
    <w:rsid w:val="00F70A0A"/>
    <w:rsid w:val="00F7137A"/>
    <w:rsid w:val="00F71692"/>
    <w:rsid w:val="00F737C0"/>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113F"/>
    <w:rsid w:val="00FC3356"/>
    <w:rsid w:val="00FC4F95"/>
    <w:rsid w:val="00FC6815"/>
    <w:rsid w:val="00FD0470"/>
    <w:rsid w:val="00FD3CBF"/>
    <w:rsid w:val="00FD7BD2"/>
    <w:rsid w:val="00FD7D16"/>
    <w:rsid w:val="00FE1CE0"/>
    <w:rsid w:val="00FE4F2B"/>
    <w:rsid w:val="00FE7167"/>
    <w:rsid w:val="00FE74D6"/>
    <w:rsid w:val="00FF0B3E"/>
    <w:rsid w:val="00FF4D5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2">
    <w:name w:val="Body Text 2"/>
    <w:basedOn w:val="Normal"/>
    <w:link w:val="BodyText2Char"/>
    <w:rsid w:val="00425019"/>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25019"/>
    <w:rPr>
      <w:rFonts w:ascii="Times New Roman" w:eastAsia="Times New Roman" w:hAnsi="Times New Roman" w:cs="Times New Roman"/>
      <w:sz w:val="20"/>
      <w:szCs w:val="20"/>
    </w:rPr>
  </w:style>
  <w:style w:type="paragraph" w:styleId="ListNumber">
    <w:name w:val="List Number"/>
    <w:basedOn w:val="Normal"/>
    <w:qFormat/>
    <w:rsid w:val="00425019"/>
    <w:pPr>
      <w:numPr>
        <w:numId w:val="19"/>
      </w:numPr>
      <w:tabs>
        <w:tab w:val="clear" w:pos="1440"/>
        <w:tab w:val="num" w:pos="360"/>
      </w:tabs>
      <w:spacing w:after="240" w:line="240" w:lineRule="auto"/>
      <w:ind w:left="0" w:firstLine="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2AB1-94EA-4774-B2B0-00B6BEE0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2019-08-21T15:01:00Z</cp:lastPrinted>
  <dcterms:created xsi:type="dcterms:W3CDTF">2019-08-22T14:55:00Z</dcterms:created>
  <dcterms:modified xsi:type="dcterms:W3CDTF">2019-08-22T14:55:00Z</dcterms:modified>
</cp:coreProperties>
</file>