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5F2389AE" w:rsidR="000927A1" w:rsidRPr="000927A1" w:rsidRDefault="006777D6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 xml:space="preserve">Melena </w:t>
      </w:r>
      <w:proofErr w:type="spellStart"/>
      <w:r>
        <w:rPr>
          <w:rFonts w:ascii="Times New Roman" w:hAnsi="Times New Roman" w:cs="CG Times (W1)"/>
        </w:rPr>
        <w:t>Bearfield</w:t>
      </w:r>
      <w:proofErr w:type="spellEnd"/>
      <w:r w:rsidR="00437C27">
        <w:rPr>
          <w:rFonts w:ascii="Times New Roman" w:hAnsi="Times New Roman" w:cs="CG Times (W1)"/>
        </w:rPr>
        <w:tab/>
      </w:r>
      <w:r w:rsidR="00432F69">
        <w:rPr>
          <w:rFonts w:ascii="Times New Roman" w:hAnsi="Times New Roman" w:cs="CG Times (W1)"/>
        </w:rPr>
        <w:t xml:space="preserve"> </w:t>
      </w:r>
      <w:r w:rsidR="00432F69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4797FD5F" w14:textId="77777777" w:rsidR="000927A1" w:rsidRPr="000927A1" w:rsidRDefault="000927A1" w:rsidP="000927A1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14:paraId="2CE000DA" w14:textId="1CC02451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3009023</w:t>
      </w:r>
    </w:p>
    <w:p w14:paraId="288D6EC8" w14:textId="77777777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14:paraId="54DFC25A" w14:textId="004B7B7C" w:rsidR="000927A1" w:rsidRPr="000927A1" w:rsidRDefault="006777D6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West Penn Power Company</w:t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272FCC6A" w14:textId="77777777" w:rsidR="000927A1" w:rsidRDefault="000927A1" w:rsidP="00CB5288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</w:p>
    <w:p w14:paraId="6FC1D08D" w14:textId="77777777" w:rsidR="00CB5288" w:rsidRDefault="00CB5288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77777777" w:rsidR="001B19F3" w:rsidRDefault="00B3786F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FIRST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38066272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1B19F3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930BAE" w:rsidRPr="001B19F3">
        <w:rPr>
          <w:rFonts w:ascii="Times New Roman" w:hAnsi="Times New Roman" w:cs="CG Times (W1)"/>
          <w:b/>
          <w:bCs/>
          <w:u w:val="single"/>
        </w:rPr>
        <w:t>RESPONDENT</w:t>
      </w:r>
      <w:r w:rsidRPr="001B19F3">
        <w:rPr>
          <w:rFonts w:ascii="Times New Roman" w:hAnsi="Times New Roman" w:cs="CG Times (W1)"/>
          <w:b/>
          <w:bCs/>
          <w:u w:val="single"/>
        </w:rPr>
        <w:t>’S</w:t>
      </w:r>
      <w:r w:rsidR="001B19F3" w:rsidRPr="001B19F3">
        <w:rPr>
          <w:rFonts w:ascii="Times New Roman" w:hAnsi="Times New Roman" w:cs="CG Times (W1)"/>
          <w:b/>
          <w:bCs/>
          <w:u w:val="single"/>
        </w:rPr>
        <w:t xml:space="preserve"> </w:t>
      </w:r>
      <w:r w:rsidR="001B19F3">
        <w:rPr>
          <w:rFonts w:ascii="Times New Roman" w:hAnsi="Times New Roman" w:cs="CG Times (W1)"/>
          <w:b/>
          <w:bCs/>
          <w:u w:val="single"/>
        </w:rPr>
        <w:t>MOTION</w:t>
      </w:r>
      <w:r w:rsidR="005B6E7D" w:rsidRPr="00690E07">
        <w:rPr>
          <w:rFonts w:ascii="Times New Roman" w:hAnsi="Times New Roman" w:cs="CG Times (W1)"/>
          <w:b/>
          <w:bCs/>
          <w:u w:val="single"/>
        </w:rPr>
        <w:t xml:space="preserve">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1679F3A3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Cs/>
        </w:rPr>
      </w:pPr>
    </w:p>
    <w:p w14:paraId="5F84776D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Cs/>
        </w:rPr>
      </w:pPr>
    </w:p>
    <w:p w14:paraId="77E667D0" w14:textId="19EDBE80" w:rsidR="00B3786F" w:rsidRDefault="005B6E7D" w:rsidP="005B6E7D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BC0828">
        <w:rPr>
          <w:rFonts w:ascii="Times New Roman" w:hAnsi="Times New Roman" w:cs="CG Times (W1)"/>
        </w:rPr>
        <w:t>J</w:t>
      </w:r>
      <w:r w:rsidR="006777D6">
        <w:rPr>
          <w:rFonts w:ascii="Times New Roman" w:hAnsi="Times New Roman" w:cs="CG Times (W1)"/>
        </w:rPr>
        <w:t>uly 18, 2019</w:t>
      </w:r>
      <w:r>
        <w:rPr>
          <w:rFonts w:ascii="Times New Roman" w:hAnsi="Times New Roman" w:cs="CG Times (W1)"/>
        </w:rPr>
        <w:t xml:space="preserve">, 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>n initial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telephonic </w:t>
      </w:r>
      <w:r w:rsidR="008437B7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F81235">
        <w:rPr>
          <w:rFonts w:ascii="Times New Roman" w:hAnsi="Times New Roman" w:cs="Times New Roman"/>
          <w:spacing w:val="-3"/>
        </w:rPr>
        <w:t xml:space="preserve">Friday, </w:t>
      </w:r>
      <w:r w:rsidR="006777D6">
        <w:rPr>
          <w:rFonts w:ascii="Times New Roman" w:hAnsi="Times New Roman" w:cs="Times New Roman"/>
          <w:spacing w:val="-3"/>
        </w:rPr>
        <w:t>September 6, 2019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 xml:space="preserve">On </w:t>
      </w:r>
      <w:r w:rsidR="00930BAE">
        <w:rPr>
          <w:rFonts w:ascii="Times New Roman" w:hAnsi="Times New Roman" w:cs="Times New Roman"/>
          <w:spacing w:val="-3"/>
        </w:rPr>
        <w:t>August 19, 2019, Attorney Margaret A. Morris filed her Entr</w:t>
      </w:r>
      <w:r w:rsidR="00F81235">
        <w:rPr>
          <w:rFonts w:ascii="Times New Roman" w:hAnsi="Times New Roman" w:cs="Times New Roman"/>
          <w:spacing w:val="-3"/>
        </w:rPr>
        <w:t>y</w:t>
      </w:r>
      <w:r w:rsidR="00930BAE">
        <w:rPr>
          <w:rFonts w:ascii="Times New Roman" w:hAnsi="Times New Roman" w:cs="Times New Roman"/>
          <w:spacing w:val="-3"/>
        </w:rPr>
        <w:t xml:space="preserve"> of Appearance and Motion for Continuance </w:t>
      </w:r>
      <w:r w:rsidR="00F81235">
        <w:rPr>
          <w:rFonts w:ascii="Times New Roman" w:hAnsi="Times New Roman" w:cs="Times New Roman"/>
          <w:spacing w:val="-3"/>
        </w:rPr>
        <w:t xml:space="preserve">of West Penn Power Company </w:t>
      </w:r>
      <w:r w:rsidR="00930BAE">
        <w:rPr>
          <w:rFonts w:ascii="Times New Roman" w:hAnsi="Times New Roman" w:cs="Times New Roman"/>
          <w:spacing w:val="-3"/>
        </w:rPr>
        <w:t xml:space="preserve">(Motion).  In the Motion, Attorney Morris represented she was retained by Respondent West Penn Power Company (West Penn) on August 19, 2019; however, she was unavailable for the hearing due to previously scheduled out-of-state travel.  Consequently, </w:t>
      </w:r>
      <w:r w:rsidR="009275E3">
        <w:rPr>
          <w:rFonts w:ascii="Times New Roman" w:hAnsi="Times New Roman" w:cs="Times New Roman"/>
          <w:spacing w:val="-3"/>
        </w:rPr>
        <w:t>West Penn</w:t>
      </w:r>
      <w:r w:rsidR="00930BAE">
        <w:rPr>
          <w:rFonts w:ascii="Times New Roman" w:hAnsi="Times New Roman" w:cs="Times New Roman"/>
          <w:spacing w:val="-3"/>
        </w:rPr>
        <w:t xml:space="preserve"> was requesting a continuance.  By electronic mail on August 23, 2019, Attorney Morris represented that Complainant Melena </w:t>
      </w:r>
      <w:proofErr w:type="spellStart"/>
      <w:r w:rsidR="00930BAE">
        <w:rPr>
          <w:rFonts w:ascii="Times New Roman" w:hAnsi="Times New Roman" w:cs="Times New Roman"/>
          <w:spacing w:val="-3"/>
        </w:rPr>
        <w:t>Bearfield</w:t>
      </w:r>
      <w:proofErr w:type="spellEnd"/>
      <w:r w:rsidR="00930BAE">
        <w:rPr>
          <w:rFonts w:ascii="Times New Roman" w:hAnsi="Times New Roman" w:cs="Times New Roman"/>
          <w:spacing w:val="-3"/>
        </w:rPr>
        <w:t xml:space="preserve"> did not object to </w:t>
      </w:r>
      <w:r w:rsidR="009275E3">
        <w:rPr>
          <w:rFonts w:ascii="Times New Roman" w:hAnsi="Times New Roman" w:cs="Times New Roman"/>
          <w:spacing w:val="-3"/>
        </w:rPr>
        <w:t>the</w:t>
      </w:r>
      <w:r w:rsidR="00930BAE">
        <w:rPr>
          <w:rFonts w:ascii="Times New Roman" w:hAnsi="Times New Roman" w:cs="Times New Roman"/>
          <w:spacing w:val="-3"/>
        </w:rPr>
        <w:t xml:space="preserve"> hearing continuance</w:t>
      </w:r>
      <w:r w:rsidR="009275E3">
        <w:rPr>
          <w:rFonts w:ascii="Times New Roman" w:hAnsi="Times New Roman" w:cs="Times New Roman"/>
          <w:spacing w:val="-3"/>
        </w:rPr>
        <w:t xml:space="preserve"> request</w:t>
      </w:r>
      <w:r w:rsidR="00930BAE">
        <w:rPr>
          <w:rFonts w:ascii="Times New Roman" w:hAnsi="Times New Roman" w:cs="Times New Roman"/>
          <w:spacing w:val="-3"/>
        </w:rPr>
        <w:t xml:space="preserve">. </w:t>
      </w:r>
    </w:p>
    <w:p w14:paraId="5D2980E2" w14:textId="77777777" w:rsidR="00B3786F" w:rsidRDefault="00B3786F" w:rsidP="005B6E7D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1C4254B7" w14:textId="1DC645E8" w:rsidR="00FB5225" w:rsidRDefault="00B3786F" w:rsidP="00FB5225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930BAE">
        <w:rPr>
          <w:rFonts w:ascii="Times New Roman" w:hAnsi="Times New Roman" w:cs="Times New Roman"/>
          <w:spacing w:val="-3"/>
        </w:rPr>
        <w:t>West Penn’s motion</w:t>
      </w:r>
      <w:r w:rsidR="00432F69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for </w:t>
      </w:r>
      <w:r w:rsidR="00432F69">
        <w:rPr>
          <w:rFonts w:ascii="Times New Roman" w:hAnsi="Times New Roman" w:cs="Times New Roman"/>
          <w:spacing w:val="-3"/>
        </w:rPr>
        <w:t xml:space="preserve">continuance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F81235">
        <w:rPr>
          <w:rFonts w:ascii="Times New Roman" w:hAnsi="Times New Roman" w:cs="Times New Roman"/>
          <w:spacing w:val="-3"/>
        </w:rPr>
        <w:t>Friday, September 6</w:t>
      </w:r>
      <w:r>
        <w:rPr>
          <w:rFonts w:ascii="Times New Roman" w:hAnsi="Times New Roman" w:cs="Times New Roman"/>
          <w:spacing w:val="-3"/>
        </w:rPr>
        <w:t>, 201</w:t>
      </w:r>
      <w:r w:rsidR="00F81235">
        <w:rPr>
          <w:rFonts w:ascii="Times New Roman" w:hAnsi="Times New Roman" w:cs="Times New Roman"/>
          <w:spacing w:val="-3"/>
        </w:rPr>
        <w:t>9</w:t>
      </w:r>
      <w:r w:rsidR="00FB5225">
        <w:rPr>
          <w:rFonts w:ascii="Times New Roman" w:hAnsi="Times New Roman" w:cs="Times New Roman"/>
          <w:spacing w:val="-3"/>
        </w:rPr>
        <w:t>, will be granted in the ordering paragraphs below.</w:t>
      </w:r>
    </w:p>
    <w:p w14:paraId="37B8B890" w14:textId="77777777" w:rsidR="005E09DB" w:rsidRPr="005E09DB" w:rsidRDefault="00FB5225" w:rsidP="00FB5225">
      <w:pPr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434FA2F8" w14:textId="77777777" w:rsidR="00F81235" w:rsidRDefault="005E09DB" w:rsidP="005E09D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 xml:space="preserve">arties are encouraged to talk with each other to resolve this matter or some portion thereof.  It is the Commission’s policy to encourage settlements.  52 </w:t>
      </w:r>
      <w:proofErr w:type="gramStart"/>
      <w:r w:rsidRPr="005E09DB">
        <w:rPr>
          <w:rFonts w:ascii="Times New Roman" w:hAnsi="Times New Roman" w:cs="Times New Roman"/>
          <w:spacing w:val="-3"/>
        </w:rPr>
        <w:t>Pa.Code</w:t>
      </w:r>
      <w:proofErr w:type="gramEnd"/>
      <w:r w:rsidRPr="005E09DB">
        <w:rPr>
          <w:rFonts w:ascii="Times New Roman" w:hAnsi="Times New Roman" w:cs="Times New Roman"/>
          <w:spacing w:val="-3"/>
        </w:rPr>
        <w:t xml:space="preserve">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6A27946B" w14:textId="77777777" w:rsidR="00F81235" w:rsidRDefault="00F81235" w:rsidP="005E09D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4C28A4DC" w14:textId="77777777" w:rsidR="007C79FA" w:rsidRDefault="007C79FA" w:rsidP="005E09DB">
      <w:pPr>
        <w:autoSpaceDE/>
        <w:autoSpaceDN/>
        <w:spacing w:before="100" w:beforeAutospacing="1" w:after="100" w:afterAutospacing="1"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6FF74556" w14:textId="77777777" w:rsidR="007C79FA" w:rsidRDefault="007C79FA" w:rsidP="005E09DB">
      <w:pPr>
        <w:autoSpaceDE/>
        <w:autoSpaceDN/>
        <w:spacing w:before="100" w:beforeAutospacing="1" w:after="100" w:afterAutospacing="1"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7947E92B" w14:textId="4E496011" w:rsidR="005E09DB" w:rsidRPr="005E09DB" w:rsidRDefault="005E09DB" w:rsidP="005E09DB">
      <w:pPr>
        <w:autoSpaceDE/>
        <w:autoSpaceDN/>
        <w:spacing w:before="100" w:beforeAutospacing="1" w:after="100" w:afterAutospacing="1"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lastRenderedPageBreak/>
        <w:t>THEREFORE,</w:t>
      </w:r>
    </w:p>
    <w:p w14:paraId="56C8FF25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2522C005" w:rsidR="005E09DB" w:rsidRPr="005E09DB" w:rsidRDefault="005E09DB" w:rsidP="005E09DB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F81235">
        <w:rPr>
          <w:rFonts w:ascii="Times New Roman" w:hAnsi="Times New Roman" w:cs="Times New Roman"/>
          <w:spacing w:val="-3"/>
        </w:rPr>
        <w:t xml:space="preserve">West Penn Power Company’s Motion for Continuance of the </w:t>
      </w:r>
      <w:r w:rsidR="009275E3">
        <w:rPr>
          <w:rFonts w:ascii="Times New Roman" w:hAnsi="Times New Roman" w:cs="Times New Roman"/>
          <w:spacing w:val="-3"/>
        </w:rPr>
        <w:t xml:space="preserve">Initial </w:t>
      </w:r>
      <w:r w:rsidR="00F81235">
        <w:rPr>
          <w:rFonts w:ascii="Times New Roman" w:hAnsi="Times New Roman" w:cs="Times New Roman"/>
          <w:spacing w:val="-3"/>
        </w:rPr>
        <w:t>Telephonic 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81235">
        <w:rPr>
          <w:rFonts w:ascii="Times New Roman" w:hAnsi="Times New Roman" w:cs="Times New Roman"/>
          <w:spacing w:val="-3"/>
        </w:rPr>
        <w:t>scheduled in this matter for Friday, September 6, 2019 in the matter</w:t>
      </w:r>
      <w:r w:rsidRPr="005E09DB">
        <w:rPr>
          <w:rFonts w:ascii="Times New Roman" w:hAnsi="Times New Roman" w:cs="Times New Roman"/>
          <w:spacing w:val="-3"/>
        </w:rPr>
        <w:t xml:space="preserve"> of </w:t>
      </w:r>
      <w:r w:rsidR="00F81235">
        <w:rPr>
          <w:rFonts w:ascii="Times New Roman" w:hAnsi="Times New Roman" w:cs="Times New Roman"/>
          <w:spacing w:val="-3"/>
        </w:rPr>
        <w:t xml:space="preserve">Melena </w:t>
      </w:r>
      <w:proofErr w:type="spellStart"/>
      <w:r w:rsidR="00F81235">
        <w:rPr>
          <w:rFonts w:ascii="Times New Roman" w:hAnsi="Times New Roman" w:cs="Times New Roman"/>
          <w:spacing w:val="-3"/>
        </w:rPr>
        <w:t>Bearfield</w:t>
      </w:r>
      <w:proofErr w:type="spellEnd"/>
      <w:r w:rsidR="00F81235">
        <w:rPr>
          <w:rFonts w:ascii="Times New Roman" w:hAnsi="Times New Roman" w:cs="Times New Roman"/>
          <w:spacing w:val="-3"/>
        </w:rPr>
        <w:t xml:space="preserve"> v. West Penn Power Company at </w:t>
      </w:r>
      <w:r w:rsidRPr="005E09DB">
        <w:rPr>
          <w:rFonts w:ascii="Times New Roman" w:hAnsi="Times New Roman" w:cs="Times New Roman"/>
          <w:spacing w:val="-3"/>
        </w:rPr>
        <w:t xml:space="preserve">Docket No. </w:t>
      </w:r>
      <w:r w:rsidR="00F81235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3009023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31EBEFB0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</w:rPr>
      </w:pPr>
    </w:p>
    <w:p w14:paraId="43570D60" w14:textId="3E2DC113" w:rsidR="005E09DB" w:rsidRPr="005E09DB" w:rsidRDefault="005E09DB" w:rsidP="005E09DB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the </w:t>
      </w:r>
      <w:r w:rsidRPr="005E09DB">
        <w:rPr>
          <w:rFonts w:ascii="Times New Roman" w:hAnsi="Times New Roman" w:cs="Times New Roman"/>
          <w:spacing w:val="-3"/>
        </w:rPr>
        <w:t xml:space="preserve">next </w:t>
      </w:r>
      <w:r w:rsidR="0066736C">
        <w:rPr>
          <w:rFonts w:ascii="Times New Roman" w:hAnsi="Times New Roman" w:cs="Times New Roman"/>
          <w:spacing w:val="-3"/>
        </w:rPr>
        <w:t xml:space="preserve">available </w:t>
      </w:r>
      <w:r w:rsidR="004C2D2F">
        <w:rPr>
          <w:rFonts w:ascii="Times New Roman" w:hAnsi="Times New Roman" w:cs="Times New Roman"/>
          <w:spacing w:val="-3"/>
        </w:rPr>
        <w:t xml:space="preserve">hearing date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7C79FA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7DA8FEED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0"/>
        </w:rPr>
      </w:pPr>
    </w:p>
    <w:p w14:paraId="5748CF3E" w14:textId="77777777" w:rsidR="005E09DB" w:rsidRPr="005E09DB" w:rsidRDefault="005E09DB" w:rsidP="005E09DB">
      <w:pPr>
        <w:autoSpaceDE/>
        <w:autoSpaceDN/>
        <w:ind w:left="720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14:paraId="1F437530" w14:textId="77777777"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79F6DCBB">
            <wp:simplePos x="0" y="0"/>
            <wp:positionH relativeFrom="column">
              <wp:posOffset>2831465</wp:posOffset>
            </wp:positionH>
            <wp:positionV relativeFrom="paragraph">
              <wp:posOffset>7523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368FB" w14:textId="3581A238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F81235" w:rsidRPr="00F81235">
        <w:rPr>
          <w:rFonts w:ascii="Times New Roman" w:hAnsi="Times New Roman" w:cs="Times New Roman"/>
          <w:spacing w:val="-3"/>
          <w:u w:val="single"/>
        </w:rPr>
        <w:t>August 23</w:t>
      </w:r>
      <w:r w:rsidRPr="00F81235">
        <w:rPr>
          <w:rFonts w:ascii="Times New Roman" w:hAnsi="Times New Roman" w:cs="Times New Roman"/>
          <w:spacing w:val="-3"/>
          <w:u w:val="single"/>
        </w:rPr>
        <w:t>,</w:t>
      </w:r>
      <w:r w:rsidRPr="005E09DB">
        <w:rPr>
          <w:rFonts w:ascii="Times New Roman" w:hAnsi="Times New Roman" w:cs="Times New Roman"/>
          <w:spacing w:val="-3"/>
          <w:u w:val="single"/>
        </w:rPr>
        <w:t xml:space="preserve"> 201</w:t>
      </w:r>
      <w:r w:rsidR="00F81235">
        <w:rPr>
          <w:rFonts w:ascii="Times New Roman" w:hAnsi="Times New Roman" w:cs="Times New Roman"/>
          <w:spacing w:val="-3"/>
          <w:u w:val="single"/>
        </w:rPr>
        <w:t>9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0D0A493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EA6C15A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E5490C2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D422E01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BB9CC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443B45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46ADA9B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13417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04830A4" w14:textId="77777777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DB6E97" w:rsidSect="002E251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5DF1010" w14:textId="77777777" w:rsidR="00095D2C" w:rsidRPr="00095D2C" w:rsidRDefault="00095D2C" w:rsidP="00095D2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095D2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C-2019-3009023 - MELENA BEARFIELD v. WEST PENN POWER COMPANY</w:t>
      </w:r>
      <w:r w:rsidRPr="00095D2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978296E" w14:textId="77777777" w:rsidR="00095D2C" w:rsidRPr="00095D2C" w:rsidRDefault="00095D2C" w:rsidP="00095D2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095D2C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8/23/19</w:t>
      </w:r>
    </w:p>
    <w:p w14:paraId="61DA1EED" w14:textId="77777777" w:rsidR="00095D2C" w:rsidRPr="00095D2C" w:rsidRDefault="00095D2C" w:rsidP="00095D2C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095D2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95D2C">
        <w:rPr>
          <w:rFonts w:ascii="Microsoft Sans Serif" w:eastAsia="Microsoft Sans Serif" w:hAnsi="Microsoft Sans Serif" w:cs="Microsoft Sans Serif"/>
          <w:szCs w:val="22"/>
        </w:rPr>
        <w:t>MELENA BEARFIELD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  <w:t>242 SCHAWL RD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  <w:t>EMPLETON PA  16259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</w:r>
      <w:r w:rsidRPr="00095D2C">
        <w:rPr>
          <w:rFonts w:ascii="Microsoft Sans Serif" w:eastAsia="Microsoft Sans Serif" w:hAnsi="Microsoft Sans Serif" w:cs="Microsoft Sans Serif"/>
          <w:b/>
          <w:szCs w:val="22"/>
        </w:rPr>
        <w:t>724.868.2207</w:t>
      </w:r>
      <w:r w:rsidRPr="00095D2C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095D2C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  <w:r w:rsidRPr="00095D2C">
        <w:rPr>
          <w:rFonts w:ascii="Microsoft Sans Serif" w:eastAsia="Microsoft Sans Serif" w:hAnsi="Microsoft Sans Serif" w:cs="Microsoft Sans Serif"/>
          <w:szCs w:val="22"/>
        </w:rPr>
        <w:t xml:space="preserve"> </w:t>
      </w:r>
    </w:p>
    <w:p w14:paraId="07E14C42" w14:textId="77777777" w:rsidR="00095D2C" w:rsidRPr="00095D2C" w:rsidRDefault="00095D2C" w:rsidP="00095D2C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  <w:r w:rsidRPr="00095D2C">
        <w:rPr>
          <w:rFonts w:ascii="Microsoft Sans Serif" w:eastAsia="Microsoft Sans Serif" w:hAnsi="Microsoft Sans Serif" w:cs="Microsoft Sans Serif"/>
          <w:szCs w:val="22"/>
        </w:rPr>
        <w:cr/>
      </w:r>
      <w:bookmarkStart w:id="0" w:name="_GoBack"/>
      <w:bookmarkEnd w:id="0"/>
      <w:r w:rsidRPr="00095D2C">
        <w:rPr>
          <w:rFonts w:ascii="Microsoft Sans Serif" w:eastAsia="Microsoft Sans Serif" w:hAnsi="Microsoft Sans Serif" w:cs="Microsoft Sans Serif"/>
          <w:szCs w:val="22"/>
        </w:rPr>
        <w:t>MARGARET A MORRIS ESQUIRE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  <w:t>REGER RIZZO &amp; DARNALL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  <w:t>2929 ARCH STREET 13TH FLOOR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</w:r>
      <w:r w:rsidRPr="00095D2C">
        <w:rPr>
          <w:rFonts w:ascii="Microsoft Sans Serif" w:eastAsia="Microsoft Sans Serif" w:hAnsi="Microsoft Sans Serif" w:cs="Microsoft Sans Serif"/>
          <w:b/>
          <w:szCs w:val="22"/>
        </w:rPr>
        <w:t>215.495.6524</w:t>
      </w:r>
      <w:r w:rsidRPr="00095D2C">
        <w:rPr>
          <w:rFonts w:ascii="Microsoft Sans Serif" w:eastAsia="Microsoft Sans Serif" w:hAnsi="Microsoft Sans Serif" w:cs="Microsoft Sans Serif"/>
          <w:szCs w:val="22"/>
        </w:rPr>
        <w:cr/>
      </w:r>
      <w:r w:rsidRPr="00095D2C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5AA54934" w14:textId="11F62876" w:rsidR="001B19F3" w:rsidRDefault="001B19F3" w:rsidP="001B19F3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</w:rPr>
      </w:pPr>
    </w:p>
    <w:p w14:paraId="2B7ADECE" w14:textId="77777777" w:rsidR="001B19F3" w:rsidRPr="001B19F3" w:rsidRDefault="001B19F3" w:rsidP="001B19F3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2E251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72A4" w14:textId="77777777" w:rsidR="002C32C0" w:rsidRDefault="002C32C0">
      <w:pPr>
        <w:spacing w:line="20" w:lineRule="exact"/>
        <w:rPr>
          <w:sz w:val="23"/>
          <w:szCs w:val="23"/>
        </w:rPr>
      </w:pPr>
    </w:p>
  </w:endnote>
  <w:endnote w:type="continuationSeparator" w:id="0">
    <w:p w14:paraId="6BFD7F93" w14:textId="77777777" w:rsidR="002C32C0" w:rsidRDefault="002C32C0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5B996F4B" w14:textId="77777777" w:rsidR="002C32C0" w:rsidRDefault="002C32C0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495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F7389" w14:textId="77777777" w:rsidR="002E251E" w:rsidRDefault="002E2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A9C9" w14:textId="77777777" w:rsidR="002C32C0" w:rsidRDefault="002C32C0" w:rsidP="00A63E16">
      <w:pPr>
        <w:pStyle w:val="Footer"/>
      </w:pPr>
      <w:r>
        <w:t>________________________</w:t>
      </w:r>
    </w:p>
    <w:p w14:paraId="514E4FB2" w14:textId="77777777" w:rsidR="002C32C0" w:rsidRPr="006106AE" w:rsidRDefault="002C32C0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70CF7D45" w14:textId="77777777" w:rsidR="002C32C0" w:rsidRDefault="002C3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5D2C"/>
    <w:rsid w:val="0009627A"/>
    <w:rsid w:val="000964D8"/>
    <w:rsid w:val="000C0AAC"/>
    <w:rsid w:val="000D025D"/>
    <w:rsid w:val="000D0B2D"/>
    <w:rsid w:val="000D1F18"/>
    <w:rsid w:val="000E1B8E"/>
    <w:rsid w:val="001002F7"/>
    <w:rsid w:val="00105FB2"/>
    <w:rsid w:val="00126673"/>
    <w:rsid w:val="001305DA"/>
    <w:rsid w:val="00147CDD"/>
    <w:rsid w:val="00177E9C"/>
    <w:rsid w:val="00190F44"/>
    <w:rsid w:val="00193CC9"/>
    <w:rsid w:val="00194FD1"/>
    <w:rsid w:val="001A39E1"/>
    <w:rsid w:val="001A55B0"/>
    <w:rsid w:val="001B01D1"/>
    <w:rsid w:val="001B19F3"/>
    <w:rsid w:val="001B3D82"/>
    <w:rsid w:val="001B47BF"/>
    <w:rsid w:val="001C0BC2"/>
    <w:rsid w:val="001C0E09"/>
    <w:rsid w:val="001D264A"/>
    <w:rsid w:val="001D3192"/>
    <w:rsid w:val="00211C14"/>
    <w:rsid w:val="00230C52"/>
    <w:rsid w:val="002534C4"/>
    <w:rsid w:val="0025403C"/>
    <w:rsid w:val="002568A8"/>
    <w:rsid w:val="002600D3"/>
    <w:rsid w:val="002616F7"/>
    <w:rsid w:val="00267DCC"/>
    <w:rsid w:val="00290381"/>
    <w:rsid w:val="00291E2C"/>
    <w:rsid w:val="002A0128"/>
    <w:rsid w:val="002A45FE"/>
    <w:rsid w:val="002A6C97"/>
    <w:rsid w:val="002C32C0"/>
    <w:rsid w:val="002C3D8B"/>
    <w:rsid w:val="002D0F34"/>
    <w:rsid w:val="002D5E3F"/>
    <w:rsid w:val="002E251E"/>
    <w:rsid w:val="002E5F3D"/>
    <w:rsid w:val="00306C54"/>
    <w:rsid w:val="003407EC"/>
    <w:rsid w:val="00357144"/>
    <w:rsid w:val="00373996"/>
    <w:rsid w:val="003803E0"/>
    <w:rsid w:val="00382B42"/>
    <w:rsid w:val="00390001"/>
    <w:rsid w:val="003A4383"/>
    <w:rsid w:val="003B5891"/>
    <w:rsid w:val="003B60F1"/>
    <w:rsid w:val="003C23FD"/>
    <w:rsid w:val="003C6C3C"/>
    <w:rsid w:val="003E2B3D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3227A"/>
    <w:rsid w:val="00536F9C"/>
    <w:rsid w:val="00553090"/>
    <w:rsid w:val="0056032E"/>
    <w:rsid w:val="00590E8D"/>
    <w:rsid w:val="005A624E"/>
    <w:rsid w:val="005A6828"/>
    <w:rsid w:val="005B5F35"/>
    <w:rsid w:val="005B6E7D"/>
    <w:rsid w:val="005C5056"/>
    <w:rsid w:val="005D380F"/>
    <w:rsid w:val="005D4AB6"/>
    <w:rsid w:val="005E09DB"/>
    <w:rsid w:val="005E2BDB"/>
    <w:rsid w:val="005E5A16"/>
    <w:rsid w:val="005F26AE"/>
    <w:rsid w:val="005F4B59"/>
    <w:rsid w:val="006106AE"/>
    <w:rsid w:val="006144FE"/>
    <w:rsid w:val="00623F60"/>
    <w:rsid w:val="006477E9"/>
    <w:rsid w:val="00653545"/>
    <w:rsid w:val="0065795F"/>
    <w:rsid w:val="00662A34"/>
    <w:rsid w:val="0066736C"/>
    <w:rsid w:val="00674D28"/>
    <w:rsid w:val="006777D6"/>
    <w:rsid w:val="00690E07"/>
    <w:rsid w:val="00693B2E"/>
    <w:rsid w:val="006A4A39"/>
    <w:rsid w:val="006B138E"/>
    <w:rsid w:val="006B689A"/>
    <w:rsid w:val="006B7EA4"/>
    <w:rsid w:val="006C00D5"/>
    <w:rsid w:val="006C5F6A"/>
    <w:rsid w:val="006D0E6B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7C79FA"/>
    <w:rsid w:val="007E647C"/>
    <w:rsid w:val="00813940"/>
    <w:rsid w:val="00816992"/>
    <w:rsid w:val="00820B44"/>
    <w:rsid w:val="00820D49"/>
    <w:rsid w:val="00823E24"/>
    <w:rsid w:val="00827095"/>
    <w:rsid w:val="00840DBB"/>
    <w:rsid w:val="008437B7"/>
    <w:rsid w:val="00844A42"/>
    <w:rsid w:val="008508D6"/>
    <w:rsid w:val="008654DA"/>
    <w:rsid w:val="008945F2"/>
    <w:rsid w:val="008968DE"/>
    <w:rsid w:val="008B1D90"/>
    <w:rsid w:val="008C34C0"/>
    <w:rsid w:val="008D17BB"/>
    <w:rsid w:val="008F0585"/>
    <w:rsid w:val="008F14AE"/>
    <w:rsid w:val="00901100"/>
    <w:rsid w:val="00905B17"/>
    <w:rsid w:val="00915C59"/>
    <w:rsid w:val="009226AE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A3561"/>
    <w:rsid w:val="00AA4904"/>
    <w:rsid w:val="00AA6A77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C11ECF"/>
    <w:rsid w:val="00C1200C"/>
    <w:rsid w:val="00C30044"/>
    <w:rsid w:val="00C358AF"/>
    <w:rsid w:val="00C561F0"/>
    <w:rsid w:val="00C73CEA"/>
    <w:rsid w:val="00C7789E"/>
    <w:rsid w:val="00C814E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5F92"/>
    <w:rsid w:val="00DB4AFF"/>
    <w:rsid w:val="00DB4D11"/>
    <w:rsid w:val="00DB6E97"/>
    <w:rsid w:val="00DC289E"/>
    <w:rsid w:val="00DC79C4"/>
    <w:rsid w:val="00DD2824"/>
    <w:rsid w:val="00DE14DD"/>
    <w:rsid w:val="00DE4F54"/>
    <w:rsid w:val="00E06712"/>
    <w:rsid w:val="00E14654"/>
    <w:rsid w:val="00E24253"/>
    <w:rsid w:val="00E54DA4"/>
    <w:rsid w:val="00E8085E"/>
    <w:rsid w:val="00E86ECE"/>
    <w:rsid w:val="00E97A9C"/>
    <w:rsid w:val="00E97E82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52DB1"/>
    <w:rsid w:val="00F53CE7"/>
    <w:rsid w:val="00F5410C"/>
    <w:rsid w:val="00F559CF"/>
    <w:rsid w:val="00F65D00"/>
    <w:rsid w:val="00F74511"/>
    <w:rsid w:val="00F81235"/>
    <w:rsid w:val="00F90F96"/>
    <w:rsid w:val="00FA36A5"/>
    <w:rsid w:val="00FB5225"/>
    <w:rsid w:val="00FC6B9B"/>
    <w:rsid w:val="00FE5805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8058-A7DF-444B-BB81-504BB384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3</cp:revision>
  <cp:lastPrinted>2019-08-23T18:36:00Z</cp:lastPrinted>
  <dcterms:created xsi:type="dcterms:W3CDTF">2019-08-23T18:48:00Z</dcterms:created>
  <dcterms:modified xsi:type="dcterms:W3CDTF">2019-08-23T18:51:00Z</dcterms:modified>
</cp:coreProperties>
</file>