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B20BE" w14:textId="77777777" w:rsidR="00F514FB" w:rsidRPr="00002B4F" w:rsidRDefault="00F514FB" w:rsidP="00ED2B4C">
      <w:pPr>
        <w:pStyle w:val="Title"/>
      </w:pPr>
      <w:r w:rsidRPr="00002B4F">
        <w:t>PENNSYLVANIA</w:t>
      </w:r>
    </w:p>
    <w:p w14:paraId="16A3EBF9" w14:textId="77777777" w:rsidR="00F514FB" w:rsidRPr="00002B4F" w:rsidRDefault="00F514FB" w:rsidP="005960B1">
      <w:pPr>
        <w:widowControl/>
        <w:tabs>
          <w:tab w:val="center" w:pos="4680"/>
        </w:tabs>
        <w:suppressAutoHyphens/>
        <w:jc w:val="center"/>
        <w:rPr>
          <w:sz w:val="26"/>
          <w:szCs w:val="26"/>
        </w:rPr>
      </w:pPr>
      <w:r w:rsidRPr="00002B4F">
        <w:rPr>
          <w:b/>
          <w:sz w:val="26"/>
          <w:szCs w:val="26"/>
        </w:rPr>
        <w:t>PUBLIC UTILITY COMMISSION</w:t>
      </w:r>
    </w:p>
    <w:p w14:paraId="29A065DB" w14:textId="77777777" w:rsidR="00F514FB" w:rsidRPr="00002B4F" w:rsidRDefault="00F514FB" w:rsidP="005960B1">
      <w:pPr>
        <w:widowControl/>
        <w:tabs>
          <w:tab w:val="center" w:pos="4680"/>
        </w:tabs>
        <w:suppressAutoHyphens/>
        <w:jc w:val="center"/>
        <w:rPr>
          <w:sz w:val="26"/>
          <w:szCs w:val="26"/>
        </w:rPr>
      </w:pPr>
      <w:r w:rsidRPr="00002B4F">
        <w:rPr>
          <w:b/>
          <w:sz w:val="26"/>
          <w:szCs w:val="26"/>
        </w:rPr>
        <w:t>Harrisburg, PA 17105-3265</w:t>
      </w:r>
    </w:p>
    <w:p w14:paraId="09705775" w14:textId="77777777" w:rsidR="00F514FB" w:rsidRPr="00002B4F" w:rsidRDefault="00F514FB" w:rsidP="005960B1">
      <w:pPr>
        <w:widowControl/>
        <w:tabs>
          <w:tab w:val="left" w:pos="-720"/>
        </w:tabs>
        <w:suppressAutoHyphens/>
        <w:rPr>
          <w:sz w:val="26"/>
          <w:szCs w:val="26"/>
        </w:rPr>
      </w:pPr>
    </w:p>
    <w:p w14:paraId="35D7CF43" w14:textId="77777777" w:rsidR="00F514FB" w:rsidRPr="00002B4F" w:rsidRDefault="00F514FB" w:rsidP="005960B1">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4364"/>
      </w:tblGrid>
      <w:tr w:rsidR="00F514FB" w:rsidRPr="00002B4F" w14:paraId="70836402" w14:textId="77777777" w:rsidTr="00DE25AC">
        <w:tc>
          <w:tcPr>
            <w:tcW w:w="5058" w:type="dxa"/>
          </w:tcPr>
          <w:p w14:paraId="33371A2D" w14:textId="77777777" w:rsidR="00F514FB" w:rsidRPr="00002B4F" w:rsidRDefault="00F514FB" w:rsidP="005960B1">
            <w:pPr>
              <w:widowControl/>
              <w:rPr>
                <w:sz w:val="26"/>
                <w:szCs w:val="26"/>
              </w:rPr>
            </w:pPr>
          </w:p>
        </w:tc>
        <w:tc>
          <w:tcPr>
            <w:tcW w:w="4428" w:type="dxa"/>
          </w:tcPr>
          <w:p w14:paraId="63F40C35" w14:textId="74297E81" w:rsidR="00F514FB" w:rsidRPr="00002B4F" w:rsidRDefault="001A5C5F" w:rsidP="005960B1">
            <w:pPr>
              <w:widowControl/>
              <w:ind w:left="-108"/>
              <w:jc w:val="right"/>
              <w:rPr>
                <w:sz w:val="26"/>
                <w:szCs w:val="26"/>
              </w:rPr>
            </w:pPr>
            <w:r w:rsidRPr="00002B4F">
              <w:rPr>
                <w:sz w:val="26"/>
                <w:szCs w:val="26"/>
              </w:rPr>
              <w:t xml:space="preserve"> Public Meeting held </w:t>
            </w:r>
            <w:r w:rsidR="00897664">
              <w:rPr>
                <w:sz w:val="26"/>
                <w:szCs w:val="26"/>
              </w:rPr>
              <w:t xml:space="preserve">August </w:t>
            </w:r>
            <w:r w:rsidR="00F85104">
              <w:rPr>
                <w:sz w:val="26"/>
                <w:szCs w:val="26"/>
              </w:rPr>
              <w:t>29</w:t>
            </w:r>
            <w:r w:rsidR="00897664">
              <w:rPr>
                <w:sz w:val="26"/>
                <w:szCs w:val="26"/>
              </w:rPr>
              <w:t>, 2019</w:t>
            </w:r>
          </w:p>
          <w:p w14:paraId="2485419F" w14:textId="77777777" w:rsidR="00F514FB" w:rsidRPr="00002B4F" w:rsidRDefault="00F514FB" w:rsidP="005960B1">
            <w:pPr>
              <w:widowControl/>
              <w:jc w:val="right"/>
              <w:rPr>
                <w:sz w:val="26"/>
                <w:szCs w:val="26"/>
              </w:rPr>
            </w:pPr>
          </w:p>
          <w:p w14:paraId="2733279C" w14:textId="77777777" w:rsidR="00F514FB" w:rsidRPr="00002B4F" w:rsidRDefault="00F514FB" w:rsidP="005960B1">
            <w:pPr>
              <w:widowControl/>
              <w:jc w:val="right"/>
              <w:rPr>
                <w:sz w:val="26"/>
                <w:szCs w:val="26"/>
              </w:rPr>
            </w:pPr>
          </w:p>
        </w:tc>
      </w:tr>
      <w:tr w:rsidR="00F514FB" w:rsidRPr="00002B4F" w14:paraId="6B54CA3C" w14:textId="77777777" w:rsidTr="00E871F2">
        <w:tc>
          <w:tcPr>
            <w:tcW w:w="5058" w:type="dxa"/>
          </w:tcPr>
          <w:p w14:paraId="7BA0A6D8" w14:textId="77777777" w:rsidR="00F514FB" w:rsidRPr="00002B4F" w:rsidRDefault="00F514FB" w:rsidP="005960B1">
            <w:pPr>
              <w:widowControl/>
              <w:rPr>
                <w:sz w:val="26"/>
                <w:szCs w:val="26"/>
              </w:rPr>
            </w:pPr>
            <w:r w:rsidRPr="00002B4F">
              <w:rPr>
                <w:sz w:val="26"/>
                <w:szCs w:val="26"/>
              </w:rPr>
              <w:t>Commissioners Present:</w:t>
            </w:r>
          </w:p>
          <w:p w14:paraId="5D2DB210" w14:textId="77777777" w:rsidR="00F514FB" w:rsidRPr="00002B4F" w:rsidRDefault="00F514FB" w:rsidP="005960B1">
            <w:pPr>
              <w:widowControl/>
              <w:rPr>
                <w:sz w:val="26"/>
                <w:szCs w:val="26"/>
              </w:rPr>
            </w:pPr>
          </w:p>
          <w:p w14:paraId="35630B04" w14:textId="77777777" w:rsidR="00897664" w:rsidRPr="00507D59" w:rsidRDefault="00897664" w:rsidP="00897664">
            <w:pPr>
              <w:widowControl/>
              <w:tabs>
                <w:tab w:val="left" w:pos="705"/>
              </w:tabs>
              <w:ind w:left="432"/>
              <w:contextualSpacing/>
              <w:rPr>
                <w:sz w:val="26"/>
                <w:szCs w:val="26"/>
              </w:rPr>
            </w:pPr>
            <w:r w:rsidRPr="00507D59">
              <w:rPr>
                <w:sz w:val="26"/>
                <w:szCs w:val="26"/>
              </w:rPr>
              <w:t>Gladys Brown</w:t>
            </w:r>
            <w:r>
              <w:rPr>
                <w:sz w:val="26"/>
                <w:szCs w:val="26"/>
              </w:rPr>
              <w:t xml:space="preserve"> </w:t>
            </w:r>
            <w:r w:rsidRPr="00E47F43">
              <w:rPr>
                <w:sz w:val="26"/>
                <w:szCs w:val="26"/>
              </w:rPr>
              <w:t>Dutrieuill</w:t>
            </w:r>
            <w:r>
              <w:rPr>
                <w:sz w:val="26"/>
                <w:szCs w:val="26"/>
              </w:rPr>
              <w:t>e</w:t>
            </w:r>
            <w:r w:rsidRPr="00507D59">
              <w:rPr>
                <w:sz w:val="26"/>
                <w:szCs w:val="26"/>
              </w:rPr>
              <w:t>, Chairman</w:t>
            </w:r>
          </w:p>
          <w:p w14:paraId="33AA5F56" w14:textId="77777777" w:rsidR="00897664" w:rsidRPr="00507D59" w:rsidRDefault="00897664" w:rsidP="00897664">
            <w:pPr>
              <w:widowControl/>
              <w:tabs>
                <w:tab w:val="left" w:pos="705"/>
              </w:tabs>
              <w:ind w:left="432"/>
              <w:contextualSpacing/>
              <w:rPr>
                <w:sz w:val="26"/>
                <w:szCs w:val="26"/>
              </w:rPr>
            </w:pPr>
            <w:r w:rsidRPr="00507D59">
              <w:rPr>
                <w:sz w:val="26"/>
                <w:szCs w:val="26"/>
              </w:rPr>
              <w:t>David W. Sweet, Vice Chairman</w:t>
            </w:r>
          </w:p>
          <w:p w14:paraId="2A1839A4" w14:textId="77777777" w:rsidR="00897664" w:rsidRPr="00507D59" w:rsidRDefault="00897664" w:rsidP="00897664">
            <w:pPr>
              <w:widowControl/>
              <w:tabs>
                <w:tab w:val="left" w:pos="705"/>
              </w:tabs>
              <w:ind w:left="432"/>
              <w:contextualSpacing/>
              <w:rPr>
                <w:sz w:val="26"/>
                <w:szCs w:val="26"/>
              </w:rPr>
            </w:pPr>
            <w:r w:rsidRPr="00507D59">
              <w:rPr>
                <w:sz w:val="26"/>
                <w:szCs w:val="26"/>
              </w:rPr>
              <w:t>Norman J. Kennard</w:t>
            </w:r>
          </w:p>
          <w:p w14:paraId="7E68026B" w14:textId="77777777" w:rsidR="00897664" w:rsidRPr="00507D59" w:rsidRDefault="00897664" w:rsidP="00897664">
            <w:pPr>
              <w:widowControl/>
              <w:tabs>
                <w:tab w:val="left" w:pos="705"/>
              </w:tabs>
              <w:ind w:left="432"/>
              <w:contextualSpacing/>
              <w:rPr>
                <w:sz w:val="26"/>
                <w:szCs w:val="26"/>
              </w:rPr>
            </w:pPr>
            <w:r w:rsidRPr="00507D59">
              <w:rPr>
                <w:sz w:val="26"/>
                <w:szCs w:val="26"/>
              </w:rPr>
              <w:t>Andrew G. Place</w:t>
            </w:r>
          </w:p>
          <w:p w14:paraId="7731CBC3" w14:textId="77777777" w:rsidR="00897664" w:rsidRPr="00507D59" w:rsidRDefault="00897664" w:rsidP="00897664">
            <w:pPr>
              <w:widowControl/>
              <w:tabs>
                <w:tab w:val="left" w:pos="705"/>
              </w:tabs>
              <w:ind w:left="432"/>
              <w:contextualSpacing/>
              <w:rPr>
                <w:sz w:val="26"/>
                <w:szCs w:val="26"/>
              </w:rPr>
            </w:pPr>
            <w:r w:rsidRPr="00507D59">
              <w:rPr>
                <w:sz w:val="26"/>
                <w:szCs w:val="26"/>
              </w:rPr>
              <w:t>John F. Coleman, Jr.</w:t>
            </w:r>
          </w:p>
          <w:p w14:paraId="7B735CF5" w14:textId="77777777" w:rsidR="00F514FB" w:rsidRPr="00002B4F" w:rsidRDefault="00F514FB" w:rsidP="005960B1">
            <w:pPr>
              <w:widowControl/>
              <w:rPr>
                <w:sz w:val="26"/>
                <w:szCs w:val="26"/>
              </w:rPr>
            </w:pPr>
          </w:p>
          <w:p w14:paraId="13C21E57" w14:textId="77777777" w:rsidR="00F514FB" w:rsidRPr="00002B4F" w:rsidRDefault="00F514FB" w:rsidP="005960B1">
            <w:pPr>
              <w:widowControl/>
              <w:rPr>
                <w:sz w:val="26"/>
                <w:szCs w:val="26"/>
              </w:rPr>
            </w:pPr>
          </w:p>
        </w:tc>
        <w:tc>
          <w:tcPr>
            <w:tcW w:w="4428" w:type="dxa"/>
          </w:tcPr>
          <w:p w14:paraId="1912A27C" w14:textId="77777777" w:rsidR="00F514FB" w:rsidRPr="00002B4F" w:rsidRDefault="00F514FB" w:rsidP="005960B1">
            <w:pPr>
              <w:widowControl/>
              <w:jc w:val="right"/>
              <w:rPr>
                <w:sz w:val="26"/>
                <w:szCs w:val="26"/>
              </w:rPr>
            </w:pPr>
          </w:p>
          <w:p w14:paraId="7AF02F55" w14:textId="77777777" w:rsidR="00F514FB" w:rsidRPr="00002B4F" w:rsidRDefault="00F514FB" w:rsidP="005960B1">
            <w:pPr>
              <w:widowControl/>
              <w:jc w:val="right"/>
              <w:rPr>
                <w:sz w:val="26"/>
                <w:szCs w:val="26"/>
              </w:rPr>
            </w:pPr>
          </w:p>
        </w:tc>
      </w:tr>
      <w:tr w:rsidR="00F514FB" w:rsidRPr="00002B4F" w14:paraId="51FBBE27" w14:textId="77777777" w:rsidTr="00DE25AC">
        <w:tc>
          <w:tcPr>
            <w:tcW w:w="5058" w:type="dxa"/>
          </w:tcPr>
          <w:p w14:paraId="2EDF5177" w14:textId="6648EB70" w:rsidR="00F514FB" w:rsidRPr="00002B4F" w:rsidRDefault="00897664" w:rsidP="005960B1">
            <w:pPr>
              <w:widowControl/>
              <w:rPr>
                <w:sz w:val="26"/>
                <w:szCs w:val="26"/>
              </w:rPr>
            </w:pPr>
            <w:bookmarkStart w:id="0" w:name="_Hlk13732600"/>
            <w:r>
              <w:rPr>
                <w:sz w:val="26"/>
                <w:szCs w:val="26"/>
              </w:rPr>
              <w:t>Salwa Mohamed and Ahmed Abdulrahman</w:t>
            </w:r>
          </w:p>
          <w:bookmarkEnd w:id="0"/>
          <w:p w14:paraId="48450AD6" w14:textId="77777777" w:rsidR="00F514FB" w:rsidRPr="00002B4F" w:rsidRDefault="00F514FB" w:rsidP="005960B1">
            <w:pPr>
              <w:widowControl/>
              <w:rPr>
                <w:sz w:val="26"/>
                <w:szCs w:val="26"/>
              </w:rPr>
            </w:pPr>
          </w:p>
        </w:tc>
        <w:tc>
          <w:tcPr>
            <w:tcW w:w="4428" w:type="dxa"/>
          </w:tcPr>
          <w:p w14:paraId="1BBD8DF5" w14:textId="17171E8D" w:rsidR="00F514FB" w:rsidRPr="00002B4F" w:rsidRDefault="00897664" w:rsidP="00E8428F">
            <w:pPr>
              <w:widowControl/>
              <w:jc w:val="right"/>
              <w:rPr>
                <w:sz w:val="26"/>
                <w:szCs w:val="26"/>
              </w:rPr>
            </w:pPr>
            <w:r>
              <w:rPr>
                <w:sz w:val="26"/>
                <w:szCs w:val="26"/>
              </w:rPr>
              <w:t>F-2018-3001318</w:t>
            </w:r>
          </w:p>
        </w:tc>
      </w:tr>
      <w:tr w:rsidR="00F514FB" w:rsidRPr="00002B4F" w14:paraId="3A16C27B" w14:textId="77777777" w:rsidTr="00DE25AC">
        <w:tc>
          <w:tcPr>
            <w:tcW w:w="5058" w:type="dxa"/>
          </w:tcPr>
          <w:p w14:paraId="41BAC951" w14:textId="77777777" w:rsidR="00F514FB" w:rsidRPr="00002B4F" w:rsidRDefault="00F514FB" w:rsidP="005960B1">
            <w:pPr>
              <w:widowControl/>
              <w:ind w:firstLine="1440"/>
              <w:rPr>
                <w:sz w:val="26"/>
                <w:szCs w:val="26"/>
              </w:rPr>
            </w:pPr>
            <w:r w:rsidRPr="00002B4F">
              <w:rPr>
                <w:sz w:val="26"/>
                <w:szCs w:val="26"/>
              </w:rPr>
              <w:t>v.</w:t>
            </w:r>
          </w:p>
          <w:p w14:paraId="35C9F886" w14:textId="77777777" w:rsidR="00F514FB" w:rsidRPr="00002B4F" w:rsidRDefault="00F514FB" w:rsidP="005960B1">
            <w:pPr>
              <w:widowControl/>
              <w:ind w:firstLine="1440"/>
              <w:rPr>
                <w:sz w:val="26"/>
                <w:szCs w:val="26"/>
              </w:rPr>
            </w:pPr>
          </w:p>
        </w:tc>
        <w:tc>
          <w:tcPr>
            <w:tcW w:w="4428" w:type="dxa"/>
          </w:tcPr>
          <w:p w14:paraId="20500D31" w14:textId="77777777" w:rsidR="00F514FB" w:rsidRPr="00002B4F" w:rsidRDefault="00F514FB" w:rsidP="005960B1">
            <w:pPr>
              <w:widowControl/>
              <w:rPr>
                <w:sz w:val="26"/>
                <w:szCs w:val="26"/>
              </w:rPr>
            </w:pPr>
          </w:p>
        </w:tc>
      </w:tr>
      <w:tr w:rsidR="00F514FB" w:rsidRPr="00002B4F" w14:paraId="0D540420" w14:textId="77777777" w:rsidTr="00E871F2">
        <w:tc>
          <w:tcPr>
            <w:tcW w:w="5058" w:type="dxa"/>
          </w:tcPr>
          <w:p w14:paraId="162FAC92" w14:textId="00521B50" w:rsidR="00F514FB" w:rsidRPr="00002B4F" w:rsidRDefault="00897664" w:rsidP="005960B1">
            <w:pPr>
              <w:widowControl/>
              <w:rPr>
                <w:sz w:val="26"/>
                <w:szCs w:val="26"/>
              </w:rPr>
            </w:pPr>
            <w:r>
              <w:rPr>
                <w:sz w:val="26"/>
                <w:szCs w:val="26"/>
              </w:rPr>
              <w:t>PECO Energy Company</w:t>
            </w:r>
          </w:p>
        </w:tc>
        <w:tc>
          <w:tcPr>
            <w:tcW w:w="4428" w:type="dxa"/>
          </w:tcPr>
          <w:p w14:paraId="3DFC263F" w14:textId="77777777" w:rsidR="00F514FB" w:rsidRPr="00002B4F" w:rsidRDefault="00F514FB" w:rsidP="005960B1">
            <w:pPr>
              <w:widowControl/>
              <w:rPr>
                <w:sz w:val="26"/>
                <w:szCs w:val="26"/>
              </w:rPr>
            </w:pPr>
          </w:p>
        </w:tc>
      </w:tr>
    </w:tbl>
    <w:p w14:paraId="6B2EECCE" w14:textId="77777777" w:rsidR="00F514FB" w:rsidRPr="00002B4F" w:rsidRDefault="00F514FB" w:rsidP="005960B1">
      <w:pPr>
        <w:widowControl/>
        <w:rPr>
          <w:sz w:val="26"/>
          <w:szCs w:val="26"/>
        </w:rPr>
      </w:pPr>
    </w:p>
    <w:p w14:paraId="023F88FC" w14:textId="77777777" w:rsidR="00F514FB" w:rsidRPr="00002B4F" w:rsidRDefault="00F514FB" w:rsidP="005960B1">
      <w:pPr>
        <w:widowControl/>
        <w:rPr>
          <w:sz w:val="26"/>
          <w:szCs w:val="26"/>
        </w:rPr>
      </w:pPr>
    </w:p>
    <w:p w14:paraId="5A76DF9F" w14:textId="77777777" w:rsidR="00F514FB" w:rsidRPr="00002B4F" w:rsidRDefault="00F514FB" w:rsidP="005960B1">
      <w:pPr>
        <w:widowControl/>
        <w:jc w:val="center"/>
        <w:rPr>
          <w:b/>
          <w:sz w:val="26"/>
          <w:szCs w:val="26"/>
        </w:rPr>
      </w:pPr>
      <w:r w:rsidRPr="00002B4F">
        <w:rPr>
          <w:b/>
          <w:sz w:val="26"/>
          <w:szCs w:val="26"/>
        </w:rPr>
        <w:t>OPINION AND ORDER</w:t>
      </w:r>
    </w:p>
    <w:p w14:paraId="1D6DB9D2" w14:textId="77777777" w:rsidR="00F514FB" w:rsidRPr="00002B4F" w:rsidRDefault="00F514FB" w:rsidP="005960B1">
      <w:pPr>
        <w:widowControl/>
        <w:jc w:val="center"/>
        <w:rPr>
          <w:b/>
          <w:sz w:val="26"/>
          <w:szCs w:val="26"/>
        </w:rPr>
      </w:pPr>
    </w:p>
    <w:p w14:paraId="157E7CB7" w14:textId="77777777" w:rsidR="00F514FB" w:rsidRPr="00002B4F" w:rsidRDefault="00F514FB" w:rsidP="005960B1">
      <w:pPr>
        <w:widowControl/>
        <w:jc w:val="center"/>
        <w:rPr>
          <w:b/>
          <w:sz w:val="26"/>
          <w:szCs w:val="26"/>
        </w:rPr>
      </w:pPr>
    </w:p>
    <w:p w14:paraId="308340A3" w14:textId="77777777" w:rsidR="00F514FB" w:rsidRPr="00002B4F" w:rsidRDefault="00F514FB" w:rsidP="005960B1">
      <w:pPr>
        <w:widowControl/>
        <w:rPr>
          <w:b/>
          <w:sz w:val="26"/>
          <w:szCs w:val="26"/>
        </w:rPr>
      </w:pPr>
      <w:r w:rsidRPr="00002B4F">
        <w:rPr>
          <w:b/>
          <w:sz w:val="26"/>
          <w:szCs w:val="26"/>
        </w:rPr>
        <w:t>BY THE COMMISSION:</w:t>
      </w:r>
    </w:p>
    <w:p w14:paraId="365383FC" w14:textId="77777777" w:rsidR="00F514FB" w:rsidRPr="00002B4F" w:rsidRDefault="00F514FB" w:rsidP="005960B1">
      <w:pPr>
        <w:widowControl/>
        <w:rPr>
          <w:sz w:val="26"/>
          <w:szCs w:val="26"/>
        </w:rPr>
      </w:pPr>
    </w:p>
    <w:p w14:paraId="3CFB1B10" w14:textId="77777777" w:rsidR="00F514FB" w:rsidRPr="00002B4F" w:rsidRDefault="00F514FB" w:rsidP="005960B1">
      <w:pPr>
        <w:widowControl/>
        <w:rPr>
          <w:sz w:val="26"/>
          <w:szCs w:val="26"/>
        </w:rPr>
      </w:pPr>
    </w:p>
    <w:p w14:paraId="0849F75A" w14:textId="39F268C8" w:rsidR="00CA43A5" w:rsidRDefault="00BE0027" w:rsidP="00BE0027">
      <w:pPr>
        <w:widowControl/>
        <w:spacing w:line="360" w:lineRule="auto"/>
        <w:rPr>
          <w:sz w:val="26"/>
          <w:szCs w:val="26"/>
        </w:rPr>
      </w:pPr>
      <w:r>
        <w:rPr>
          <w:sz w:val="26"/>
          <w:szCs w:val="26"/>
        </w:rPr>
        <w:tab/>
      </w:r>
      <w:r>
        <w:rPr>
          <w:sz w:val="26"/>
          <w:szCs w:val="26"/>
        </w:rPr>
        <w:tab/>
      </w:r>
      <w:r w:rsidR="00CA43A5" w:rsidRPr="00002B4F">
        <w:rPr>
          <w:sz w:val="26"/>
          <w:szCs w:val="26"/>
        </w:rPr>
        <w:t xml:space="preserve">Before the Pennsylvania Public Utility Commission (Commission) for consideration and disposition </w:t>
      </w:r>
      <w:r w:rsidR="00671E4C" w:rsidRPr="00002B4F">
        <w:rPr>
          <w:color w:val="000000"/>
          <w:sz w:val="26"/>
        </w:rPr>
        <w:t>are the Exceptions</w:t>
      </w:r>
      <w:r w:rsidR="00FF0BBF" w:rsidRPr="00002B4F">
        <w:rPr>
          <w:color w:val="000000"/>
          <w:sz w:val="26"/>
        </w:rPr>
        <w:t xml:space="preserve"> of </w:t>
      </w:r>
      <w:r>
        <w:rPr>
          <w:sz w:val="26"/>
          <w:szCs w:val="26"/>
        </w:rPr>
        <w:t>Salwa Mohamed and Ahmed Abdulrahman</w:t>
      </w:r>
      <w:r w:rsidRPr="00002B4F">
        <w:rPr>
          <w:color w:val="000000"/>
          <w:sz w:val="26"/>
        </w:rPr>
        <w:t xml:space="preserve"> </w:t>
      </w:r>
      <w:r w:rsidR="00FF0BBF" w:rsidRPr="00002B4F">
        <w:rPr>
          <w:color w:val="000000"/>
          <w:sz w:val="26"/>
        </w:rPr>
        <w:t>(Complainant</w:t>
      </w:r>
      <w:r>
        <w:rPr>
          <w:color w:val="000000"/>
          <w:sz w:val="26"/>
        </w:rPr>
        <w:t>s</w:t>
      </w:r>
      <w:r w:rsidR="00FF0BBF" w:rsidRPr="00002B4F">
        <w:rPr>
          <w:color w:val="000000"/>
          <w:sz w:val="26"/>
        </w:rPr>
        <w:t>)</w:t>
      </w:r>
      <w:r w:rsidR="006E407E">
        <w:rPr>
          <w:rStyle w:val="FootnoteReference"/>
          <w:color w:val="000000"/>
          <w:sz w:val="26"/>
        </w:rPr>
        <w:footnoteReference w:id="1"/>
      </w:r>
      <w:r w:rsidR="00FF0BBF" w:rsidRPr="00002B4F">
        <w:rPr>
          <w:color w:val="000000"/>
          <w:sz w:val="26"/>
        </w:rPr>
        <w:t xml:space="preserve"> filed on </w:t>
      </w:r>
      <w:r>
        <w:rPr>
          <w:color w:val="000000"/>
          <w:sz w:val="26"/>
        </w:rPr>
        <w:t>November 19, 2018</w:t>
      </w:r>
      <w:r w:rsidR="00671E4C" w:rsidRPr="00002B4F">
        <w:rPr>
          <w:color w:val="000000"/>
          <w:sz w:val="26"/>
        </w:rPr>
        <w:t xml:space="preserve">, to the Initial Decision (I.D.) of Administrative </w:t>
      </w:r>
      <w:r w:rsidR="00FF0BBF" w:rsidRPr="00002B4F">
        <w:rPr>
          <w:color w:val="000000"/>
          <w:sz w:val="26"/>
        </w:rPr>
        <w:t xml:space="preserve">Law Judge (ALJ) </w:t>
      </w:r>
      <w:r>
        <w:rPr>
          <w:color w:val="000000"/>
          <w:sz w:val="26"/>
        </w:rPr>
        <w:t>Eranda Vero</w:t>
      </w:r>
      <w:r w:rsidR="00671E4C" w:rsidRPr="00002B4F">
        <w:rPr>
          <w:color w:val="000000"/>
          <w:sz w:val="26"/>
        </w:rPr>
        <w:t xml:space="preserve">, </w:t>
      </w:r>
      <w:r w:rsidR="00FF0BBF" w:rsidRPr="00002B4F">
        <w:rPr>
          <w:color w:val="000000"/>
          <w:sz w:val="26"/>
        </w:rPr>
        <w:t xml:space="preserve">issued on </w:t>
      </w:r>
      <w:r>
        <w:rPr>
          <w:color w:val="000000"/>
          <w:sz w:val="26"/>
        </w:rPr>
        <w:t>October 30, 2018</w:t>
      </w:r>
      <w:r w:rsidR="00671E4C" w:rsidRPr="00002B4F">
        <w:rPr>
          <w:color w:val="000000"/>
          <w:sz w:val="26"/>
        </w:rPr>
        <w:t>, in</w:t>
      </w:r>
      <w:r w:rsidR="00E4367E">
        <w:rPr>
          <w:color w:val="000000"/>
          <w:sz w:val="26"/>
        </w:rPr>
        <w:t xml:space="preserve"> the </w:t>
      </w:r>
      <w:r w:rsidR="00E4367E">
        <w:rPr>
          <w:color w:val="000000"/>
          <w:sz w:val="26"/>
        </w:rPr>
        <w:lastRenderedPageBreak/>
        <w:t>above-captioned proceeding</w:t>
      </w:r>
      <w:r w:rsidR="00671E4C" w:rsidRPr="00002B4F">
        <w:rPr>
          <w:color w:val="000000"/>
          <w:sz w:val="26"/>
        </w:rPr>
        <w:t xml:space="preserve">.  </w:t>
      </w:r>
      <w:r>
        <w:rPr>
          <w:sz w:val="26"/>
          <w:szCs w:val="26"/>
        </w:rPr>
        <w:t xml:space="preserve">PECO </w:t>
      </w:r>
      <w:r w:rsidR="00DC50E6">
        <w:rPr>
          <w:color w:val="000000"/>
          <w:sz w:val="26"/>
        </w:rPr>
        <w:t>file</w:t>
      </w:r>
      <w:r w:rsidR="005F52F4">
        <w:rPr>
          <w:color w:val="000000"/>
          <w:sz w:val="26"/>
        </w:rPr>
        <w:t>d</w:t>
      </w:r>
      <w:r w:rsidR="00DC50E6">
        <w:rPr>
          <w:color w:val="000000"/>
          <w:sz w:val="26"/>
        </w:rPr>
        <w:t xml:space="preserve"> </w:t>
      </w:r>
      <w:r w:rsidR="00671E4C" w:rsidRPr="00002B4F">
        <w:rPr>
          <w:color w:val="000000"/>
          <w:sz w:val="26"/>
        </w:rPr>
        <w:t>Replies to Exceptions</w:t>
      </w:r>
      <w:r w:rsidR="005F52F4">
        <w:rPr>
          <w:color w:val="000000"/>
          <w:sz w:val="26"/>
        </w:rPr>
        <w:t xml:space="preserve"> on </w:t>
      </w:r>
      <w:r>
        <w:rPr>
          <w:color w:val="000000"/>
          <w:sz w:val="26"/>
        </w:rPr>
        <w:t xml:space="preserve">November </w:t>
      </w:r>
      <w:r w:rsidR="00B876D8">
        <w:rPr>
          <w:color w:val="000000"/>
          <w:sz w:val="26"/>
        </w:rPr>
        <w:t>29</w:t>
      </w:r>
      <w:r>
        <w:rPr>
          <w:color w:val="000000"/>
          <w:sz w:val="26"/>
        </w:rPr>
        <w:t>, 2018</w:t>
      </w:r>
      <w:r w:rsidR="00671E4C" w:rsidRPr="00002B4F">
        <w:rPr>
          <w:color w:val="000000"/>
          <w:sz w:val="26"/>
        </w:rPr>
        <w:t xml:space="preserve">.  </w:t>
      </w:r>
      <w:r w:rsidR="00CA43A5" w:rsidRPr="00002B4F">
        <w:rPr>
          <w:sz w:val="26"/>
          <w:szCs w:val="26"/>
        </w:rPr>
        <w:t>For the reason</w:t>
      </w:r>
      <w:r w:rsidR="00FF0BBF" w:rsidRPr="00002B4F">
        <w:rPr>
          <w:sz w:val="26"/>
          <w:szCs w:val="26"/>
        </w:rPr>
        <w:t xml:space="preserve">s stated below, we </w:t>
      </w:r>
      <w:r w:rsidR="00E4367E">
        <w:rPr>
          <w:sz w:val="26"/>
          <w:szCs w:val="26"/>
        </w:rPr>
        <w:t xml:space="preserve">will </w:t>
      </w:r>
      <w:r>
        <w:rPr>
          <w:sz w:val="26"/>
          <w:szCs w:val="26"/>
        </w:rPr>
        <w:t>deny</w:t>
      </w:r>
      <w:r w:rsidR="000A4E45">
        <w:rPr>
          <w:sz w:val="26"/>
          <w:szCs w:val="26"/>
        </w:rPr>
        <w:t xml:space="preserve"> </w:t>
      </w:r>
      <w:r w:rsidR="00FF0BBF" w:rsidRPr="00002B4F">
        <w:rPr>
          <w:sz w:val="26"/>
          <w:szCs w:val="26"/>
        </w:rPr>
        <w:t>the Exceptions</w:t>
      </w:r>
      <w:r w:rsidR="00B876D8">
        <w:rPr>
          <w:sz w:val="26"/>
          <w:szCs w:val="26"/>
        </w:rPr>
        <w:t xml:space="preserve"> and adopt</w:t>
      </w:r>
      <w:r w:rsidR="000A4E45">
        <w:rPr>
          <w:sz w:val="26"/>
          <w:szCs w:val="26"/>
        </w:rPr>
        <w:t xml:space="preserve"> </w:t>
      </w:r>
      <w:r w:rsidR="00FF7F14">
        <w:rPr>
          <w:sz w:val="26"/>
          <w:szCs w:val="26"/>
        </w:rPr>
        <w:t>the Initial Decision</w:t>
      </w:r>
      <w:r w:rsidR="00165526">
        <w:rPr>
          <w:sz w:val="26"/>
          <w:szCs w:val="26"/>
        </w:rPr>
        <w:t>.</w:t>
      </w:r>
    </w:p>
    <w:p w14:paraId="37542EEE" w14:textId="77777777" w:rsidR="004E2116" w:rsidRDefault="004E2116" w:rsidP="00BE0027">
      <w:pPr>
        <w:widowControl/>
        <w:spacing w:line="360" w:lineRule="auto"/>
        <w:rPr>
          <w:sz w:val="26"/>
          <w:szCs w:val="26"/>
        </w:rPr>
      </w:pPr>
    </w:p>
    <w:p w14:paraId="41018DCD" w14:textId="6DA4A48E" w:rsidR="00CA43A5" w:rsidRPr="00002B4F" w:rsidRDefault="00816212" w:rsidP="005960B1">
      <w:pPr>
        <w:widowControl/>
        <w:spacing w:line="360" w:lineRule="auto"/>
        <w:jc w:val="center"/>
        <w:rPr>
          <w:b/>
          <w:sz w:val="26"/>
          <w:szCs w:val="26"/>
        </w:rPr>
      </w:pPr>
      <w:bookmarkStart w:id="1" w:name="OLE_LINK1"/>
      <w:bookmarkStart w:id="2" w:name="OLE_LINK2"/>
      <w:r>
        <w:rPr>
          <w:b/>
          <w:sz w:val="26"/>
          <w:szCs w:val="26"/>
        </w:rPr>
        <w:t>H</w:t>
      </w:r>
      <w:r w:rsidR="00CA43A5" w:rsidRPr="00002B4F">
        <w:rPr>
          <w:b/>
          <w:sz w:val="26"/>
          <w:szCs w:val="26"/>
        </w:rPr>
        <w:t>istory of the Proceeding</w:t>
      </w:r>
    </w:p>
    <w:bookmarkEnd w:id="1"/>
    <w:bookmarkEnd w:id="2"/>
    <w:p w14:paraId="73A9D247" w14:textId="77777777" w:rsidR="00CA43A5" w:rsidRPr="00002B4F" w:rsidRDefault="00CA43A5" w:rsidP="00B876D8">
      <w:pPr>
        <w:widowControl/>
        <w:spacing w:line="360" w:lineRule="auto"/>
        <w:jc w:val="center"/>
        <w:rPr>
          <w:b/>
          <w:sz w:val="26"/>
          <w:szCs w:val="26"/>
          <w:u w:val="single"/>
        </w:rPr>
      </w:pPr>
    </w:p>
    <w:p w14:paraId="3505FA74" w14:textId="07A7C37C" w:rsidR="00B876D8" w:rsidRDefault="00B876D8" w:rsidP="002E27CE">
      <w:pPr>
        <w:spacing w:line="360" w:lineRule="auto"/>
        <w:ind w:left="216" w:firstLine="1440"/>
        <w:textAlignment w:val="baseline"/>
        <w:rPr>
          <w:color w:val="000000"/>
          <w:sz w:val="26"/>
          <w:szCs w:val="26"/>
        </w:rPr>
      </w:pPr>
      <w:r w:rsidRPr="00B876D8">
        <w:rPr>
          <w:color w:val="000000"/>
          <w:spacing w:val="-2"/>
          <w:sz w:val="26"/>
          <w:szCs w:val="26"/>
        </w:rPr>
        <w:t xml:space="preserve">On April 9, 2018, </w:t>
      </w:r>
      <w:r>
        <w:rPr>
          <w:color w:val="000000"/>
          <w:spacing w:val="-2"/>
          <w:sz w:val="26"/>
          <w:szCs w:val="26"/>
        </w:rPr>
        <w:t xml:space="preserve">the </w:t>
      </w:r>
      <w:r w:rsidRPr="00B876D8">
        <w:rPr>
          <w:color w:val="000000"/>
          <w:spacing w:val="-2"/>
          <w:sz w:val="26"/>
          <w:szCs w:val="26"/>
        </w:rPr>
        <w:t xml:space="preserve">Complainants filed a formal Complaint against </w:t>
      </w:r>
      <w:r w:rsidR="001E3E17">
        <w:rPr>
          <w:color w:val="000000"/>
          <w:spacing w:val="-2"/>
          <w:sz w:val="26"/>
          <w:szCs w:val="26"/>
        </w:rPr>
        <w:t>the Respondent</w:t>
      </w:r>
      <w:r w:rsidRPr="00B876D8">
        <w:rPr>
          <w:color w:val="000000"/>
          <w:spacing w:val="-2"/>
          <w:sz w:val="26"/>
          <w:szCs w:val="26"/>
        </w:rPr>
        <w:t xml:space="preserve"> alleging incorrect charges on </w:t>
      </w:r>
      <w:r w:rsidR="005968FE">
        <w:rPr>
          <w:color w:val="000000"/>
          <w:spacing w:val="-2"/>
          <w:sz w:val="26"/>
          <w:szCs w:val="26"/>
        </w:rPr>
        <w:t>Ms. Mohamed’s</w:t>
      </w:r>
      <w:r w:rsidRPr="00B876D8">
        <w:rPr>
          <w:color w:val="000000"/>
          <w:spacing w:val="-2"/>
          <w:sz w:val="26"/>
          <w:szCs w:val="26"/>
        </w:rPr>
        <w:t xml:space="preserve"> bills from PECO relating to a payment arrangement that the Complainants allege was established without their </w:t>
      </w:r>
      <w:r w:rsidRPr="00B876D8">
        <w:rPr>
          <w:color w:val="000000"/>
          <w:sz w:val="26"/>
          <w:szCs w:val="26"/>
        </w:rPr>
        <w:t>knowledge or approval.</w:t>
      </w:r>
      <w:r w:rsidR="001E3E17">
        <w:rPr>
          <w:rStyle w:val="FootnoteReference"/>
          <w:color w:val="000000"/>
          <w:sz w:val="26"/>
          <w:szCs w:val="26"/>
        </w:rPr>
        <w:footnoteReference w:id="2"/>
      </w:r>
      <w:r w:rsidRPr="00B876D8">
        <w:rPr>
          <w:color w:val="000000"/>
          <w:sz w:val="26"/>
          <w:szCs w:val="26"/>
        </w:rPr>
        <w:t xml:space="preserve"> </w:t>
      </w:r>
      <w:r w:rsidR="001E3E17">
        <w:rPr>
          <w:color w:val="000000"/>
          <w:sz w:val="26"/>
          <w:szCs w:val="26"/>
        </w:rPr>
        <w:t xml:space="preserve"> </w:t>
      </w:r>
      <w:r w:rsidRPr="00B876D8">
        <w:rPr>
          <w:color w:val="000000"/>
          <w:sz w:val="26"/>
          <w:szCs w:val="26"/>
        </w:rPr>
        <w:t>In addition, the Complainants aver</w:t>
      </w:r>
      <w:r w:rsidR="001E3E17">
        <w:rPr>
          <w:color w:val="000000"/>
          <w:sz w:val="26"/>
          <w:szCs w:val="26"/>
        </w:rPr>
        <w:t>red</w:t>
      </w:r>
      <w:r w:rsidRPr="00B876D8">
        <w:rPr>
          <w:color w:val="000000"/>
          <w:sz w:val="26"/>
          <w:szCs w:val="26"/>
        </w:rPr>
        <w:t xml:space="preserve"> th</w:t>
      </w:r>
      <w:r w:rsidR="0094378C">
        <w:rPr>
          <w:color w:val="000000"/>
          <w:sz w:val="26"/>
          <w:szCs w:val="26"/>
        </w:rPr>
        <w:t xml:space="preserve">at Ms. Mohamed received zero </w:t>
      </w:r>
      <w:r w:rsidRPr="00B876D8">
        <w:rPr>
          <w:color w:val="000000"/>
          <w:sz w:val="26"/>
          <w:szCs w:val="26"/>
        </w:rPr>
        <w:t xml:space="preserve">credits </w:t>
      </w:r>
      <w:r w:rsidR="001E3E17">
        <w:rPr>
          <w:color w:val="000000"/>
          <w:sz w:val="26"/>
          <w:szCs w:val="26"/>
        </w:rPr>
        <w:t>after</w:t>
      </w:r>
      <w:r w:rsidRPr="00B876D8">
        <w:rPr>
          <w:color w:val="000000"/>
          <w:sz w:val="26"/>
          <w:szCs w:val="26"/>
        </w:rPr>
        <w:t xml:space="preserve"> re-enroll</w:t>
      </w:r>
      <w:r w:rsidR="001E3E17">
        <w:rPr>
          <w:color w:val="000000"/>
          <w:sz w:val="26"/>
          <w:szCs w:val="26"/>
        </w:rPr>
        <w:t xml:space="preserve">ing </w:t>
      </w:r>
      <w:r w:rsidRPr="00B876D8">
        <w:rPr>
          <w:color w:val="000000"/>
          <w:sz w:val="26"/>
          <w:szCs w:val="26"/>
        </w:rPr>
        <w:t>in PECO’s C</w:t>
      </w:r>
      <w:r w:rsidR="006D437E">
        <w:rPr>
          <w:color w:val="000000"/>
          <w:sz w:val="26"/>
          <w:szCs w:val="26"/>
        </w:rPr>
        <w:t>u</w:t>
      </w:r>
      <w:r w:rsidRPr="00B876D8">
        <w:rPr>
          <w:color w:val="000000"/>
          <w:sz w:val="26"/>
          <w:szCs w:val="26"/>
        </w:rPr>
        <w:t>st</w:t>
      </w:r>
      <w:r w:rsidR="006D437E">
        <w:rPr>
          <w:color w:val="000000"/>
          <w:sz w:val="26"/>
          <w:szCs w:val="26"/>
        </w:rPr>
        <w:t>o</w:t>
      </w:r>
      <w:r w:rsidRPr="00B876D8">
        <w:rPr>
          <w:color w:val="000000"/>
          <w:sz w:val="26"/>
          <w:szCs w:val="26"/>
        </w:rPr>
        <w:t xml:space="preserve">mer Assistance Program (CAP). </w:t>
      </w:r>
      <w:r w:rsidR="001E3E17">
        <w:rPr>
          <w:color w:val="000000"/>
          <w:sz w:val="26"/>
          <w:szCs w:val="26"/>
        </w:rPr>
        <w:t xml:space="preserve"> For</w:t>
      </w:r>
      <w:r w:rsidRPr="00B876D8">
        <w:rPr>
          <w:color w:val="000000"/>
          <w:sz w:val="26"/>
          <w:szCs w:val="26"/>
        </w:rPr>
        <w:t xml:space="preserve"> relief, the Complainants </w:t>
      </w:r>
      <w:r w:rsidR="001E3E17">
        <w:rPr>
          <w:color w:val="000000"/>
          <w:sz w:val="26"/>
          <w:szCs w:val="26"/>
        </w:rPr>
        <w:t>sought</w:t>
      </w:r>
      <w:r w:rsidRPr="00B876D8">
        <w:rPr>
          <w:color w:val="000000"/>
          <w:sz w:val="26"/>
          <w:szCs w:val="26"/>
        </w:rPr>
        <w:t xml:space="preserve"> a refund of the amounts paid in connection with the disputed payment arrangement, a refund of all late payment charges assessed against </w:t>
      </w:r>
      <w:r w:rsidR="0094378C">
        <w:rPr>
          <w:color w:val="000000"/>
          <w:sz w:val="26"/>
          <w:szCs w:val="26"/>
        </w:rPr>
        <w:t>Ms. Mohamed’s</w:t>
      </w:r>
      <w:r w:rsidRPr="00B876D8">
        <w:rPr>
          <w:color w:val="000000"/>
          <w:sz w:val="26"/>
          <w:szCs w:val="26"/>
        </w:rPr>
        <w:t xml:space="preserve"> account, </w:t>
      </w:r>
      <w:r w:rsidR="005A693E">
        <w:rPr>
          <w:color w:val="000000"/>
          <w:sz w:val="26"/>
          <w:szCs w:val="26"/>
        </w:rPr>
        <w:t xml:space="preserve">and enrollment in </w:t>
      </w:r>
      <w:r w:rsidRPr="00B876D8">
        <w:rPr>
          <w:color w:val="000000"/>
          <w:sz w:val="26"/>
          <w:szCs w:val="26"/>
        </w:rPr>
        <w:t>PECO’s prior CAP.</w:t>
      </w:r>
      <w:r w:rsidR="005A693E">
        <w:rPr>
          <w:color w:val="000000"/>
          <w:sz w:val="26"/>
          <w:szCs w:val="26"/>
        </w:rPr>
        <w:t xml:space="preserve">  Complaint at</w:t>
      </w:r>
      <w:r w:rsidR="006D437E">
        <w:rPr>
          <w:color w:val="000000"/>
          <w:sz w:val="26"/>
          <w:szCs w:val="26"/>
        </w:rPr>
        <w:t> </w:t>
      </w:r>
      <w:r w:rsidR="005A693E">
        <w:rPr>
          <w:color w:val="000000"/>
          <w:sz w:val="26"/>
          <w:szCs w:val="26"/>
        </w:rPr>
        <w:t>2-3.</w:t>
      </w:r>
    </w:p>
    <w:p w14:paraId="3B9EF1C0" w14:textId="77777777" w:rsidR="00B876D8" w:rsidRPr="00B876D8" w:rsidRDefault="00B876D8" w:rsidP="00B876D8">
      <w:pPr>
        <w:spacing w:line="360" w:lineRule="auto"/>
        <w:ind w:left="216" w:right="360" w:firstLine="1440"/>
        <w:textAlignment w:val="baseline"/>
        <w:rPr>
          <w:color w:val="000000"/>
          <w:sz w:val="26"/>
          <w:szCs w:val="26"/>
        </w:rPr>
      </w:pPr>
    </w:p>
    <w:p w14:paraId="372000F9" w14:textId="4AEF16C3" w:rsidR="00B876D8" w:rsidRDefault="00B876D8" w:rsidP="002E27CE">
      <w:pPr>
        <w:spacing w:line="360" w:lineRule="auto"/>
        <w:ind w:left="72" w:firstLine="1440"/>
        <w:textAlignment w:val="baseline"/>
        <w:rPr>
          <w:color w:val="000000"/>
          <w:sz w:val="26"/>
          <w:szCs w:val="26"/>
        </w:rPr>
      </w:pPr>
      <w:r w:rsidRPr="00B876D8">
        <w:rPr>
          <w:color w:val="000000"/>
          <w:sz w:val="26"/>
          <w:szCs w:val="26"/>
        </w:rPr>
        <w:t xml:space="preserve">On April 23, 2018, </w:t>
      </w:r>
      <w:r w:rsidR="005A693E">
        <w:rPr>
          <w:color w:val="000000"/>
          <w:sz w:val="26"/>
          <w:szCs w:val="26"/>
        </w:rPr>
        <w:t xml:space="preserve">the </w:t>
      </w:r>
      <w:r w:rsidRPr="00B876D8">
        <w:rPr>
          <w:color w:val="000000"/>
          <w:sz w:val="26"/>
          <w:szCs w:val="26"/>
        </w:rPr>
        <w:t>Respondent filed an Answer denying the material allegations of the Complaint.</w:t>
      </w:r>
      <w:r w:rsidR="005A693E">
        <w:rPr>
          <w:color w:val="000000"/>
          <w:sz w:val="26"/>
          <w:szCs w:val="26"/>
        </w:rPr>
        <w:t xml:space="preserve">  </w:t>
      </w:r>
      <w:r w:rsidRPr="00B876D8">
        <w:rPr>
          <w:color w:val="000000"/>
          <w:sz w:val="26"/>
          <w:szCs w:val="26"/>
        </w:rPr>
        <w:t xml:space="preserve">On June 21, 2018, the initial hearing convened as scheduled. </w:t>
      </w:r>
      <w:r w:rsidR="005A693E">
        <w:rPr>
          <w:color w:val="000000"/>
          <w:sz w:val="26"/>
          <w:szCs w:val="26"/>
        </w:rPr>
        <w:t xml:space="preserve"> The Complainants appeared </w:t>
      </w:r>
      <w:r w:rsidRPr="005A693E">
        <w:rPr>
          <w:i/>
          <w:iCs/>
          <w:color w:val="000000"/>
          <w:sz w:val="26"/>
          <w:szCs w:val="26"/>
        </w:rPr>
        <w:t>pro se</w:t>
      </w:r>
      <w:r w:rsidR="005A693E">
        <w:rPr>
          <w:color w:val="000000"/>
          <w:sz w:val="26"/>
          <w:szCs w:val="26"/>
        </w:rPr>
        <w:t xml:space="preserve">, </w:t>
      </w:r>
      <w:r w:rsidRPr="00B876D8">
        <w:rPr>
          <w:color w:val="000000"/>
          <w:sz w:val="26"/>
          <w:szCs w:val="26"/>
        </w:rPr>
        <w:t>testified in support of the Complaint</w:t>
      </w:r>
      <w:r w:rsidR="005A693E">
        <w:rPr>
          <w:color w:val="000000"/>
          <w:sz w:val="26"/>
          <w:szCs w:val="26"/>
        </w:rPr>
        <w:t xml:space="preserve"> and sponsored </w:t>
      </w:r>
      <w:r w:rsidRPr="00B876D8">
        <w:rPr>
          <w:color w:val="000000"/>
          <w:sz w:val="26"/>
          <w:szCs w:val="26"/>
        </w:rPr>
        <w:t>one exhibit</w:t>
      </w:r>
      <w:r w:rsidR="005A693E">
        <w:rPr>
          <w:color w:val="000000"/>
          <w:sz w:val="26"/>
          <w:szCs w:val="26"/>
        </w:rPr>
        <w:t>,</w:t>
      </w:r>
      <w:r w:rsidRPr="00B876D8">
        <w:rPr>
          <w:color w:val="000000"/>
          <w:sz w:val="26"/>
          <w:szCs w:val="26"/>
        </w:rPr>
        <w:t xml:space="preserve"> which was admitted into the record.</w:t>
      </w:r>
      <w:r w:rsidR="000B49EA">
        <w:rPr>
          <w:rStyle w:val="FootnoteReference"/>
          <w:color w:val="000000"/>
          <w:sz w:val="26"/>
          <w:szCs w:val="26"/>
        </w:rPr>
        <w:footnoteReference w:id="3"/>
      </w:r>
      <w:r w:rsidRPr="00B876D8">
        <w:rPr>
          <w:color w:val="000000"/>
          <w:sz w:val="26"/>
          <w:szCs w:val="26"/>
        </w:rPr>
        <w:t xml:space="preserve"> </w:t>
      </w:r>
      <w:r w:rsidR="005A693E">
        <w:rPr>
          <w:color w:val="000000"/>
          <w:sz w:val="26"/>
          <w:szCs w:val="26"/>
        </w:rPr>
        <w:t xml:space="preserve"> Counsel</w:t>
      </w:r>
      <w:r w:rsidRPr="00B876D8">
        <w:rPr>
          <w:color w:val="000000"/>
          <w:sz w:val="26"/>
          <w:szCs w:val="26"/>
        </w:rPr>
        <w:t xml:space="preserve"> appeared on behalf of </w:t>
      </w:r>
      <w:r w:rsidR="005A693E">
        <w:rPr>
          <w:color w:val="000000"/>
          <w:sz w:val="26"/>
          <w:szCs w:val="26"/>
        </w:rPr>
        <w:t xml:space="preserve">the </w:t>
      </w:r>
      <w:r w:rsidRPr="00B876D8">
        <w:rPr>
          <w:color w:val="000000"/>
          <w:sz w:val="26"/>
          <w:szCs w:val="26"/>
        </w:rPr>
        <w:t xml:space="preserve">Respondent, </w:t>
      </w:r>
      <w:r w:rsidR="005A693E">
        <w:rPr>
          <w:color w:val="000000"/>
          <w:sz w:val="26"/>
          <w:szCs w:val="26"/>
        </w:rPr>
        <w:t>who</w:t>
      </w:r>
      <w:r w:rsidRPr="00B876D8">
        <w:rPr>
          <w:color w:val="000000"/>
          <w:sz w:val="26"/>
          <w:szCs w:val="26"/>
        </w:rPr>
        <w:t xml:space="preserve"> presented the testimony of </w:t>
      </w:r>
      <w:r w:rsidR="005A693E">
        <w:rPr>
          <w:color w:val="000000"/>
          <w:sz w:val="26"/>
          <w:szCs w:val="26"/>
        </w:rPr>
        <w:t xml:space="preserve">one witness and </w:t>
      </w:r>
      <w:r w:rsidRPr="00B876D8">
        <w:rPr>
          <w:color w:val="000000"/>
          <w:sz w:val="26"/>
          <w:szCs w:val="26"/>
        </w:rPr>
        <w:t xml:space="preserve">sponsored </w:t>
      </w:r>
      <w:r w:rsidR="005A693E">
        <w:rPr>
          <w:color w:val="000000"/>
          <w:sz w:val="26"/>
          <w:szCs w:val="26"/>
        </w:rPr>
        <w:t>twelve</w:t>
      </w:r>
      <w:r w:rsidRPr="00B876D8">
        <w:rPr>
          <w:color w:val="000000"/>
          <w:sz w:val="26"/>
          <w:szCs w:val="26"/>
        </w:rPr>
        <w:t xml:space="preserve"> exhibits (PECO Exhibits 1-6, and 10-15), which were admitted into the record.</w:t>
      </w:r>
    </w:p>
    <w:p w14:paraId="50BAFE4C" w14:textId="77777777" w:rsidR="005A693E" w:rsidRPr="00B876D8" w:rsidRDefault="005A693E" w:rsidP="005A693E">
      <w:pPr>
        <w:spacing w:line="360" w:lineRule="auto"/>
        <w:ind w:left="72" w:right="216" w:firstLine="1440"/>
        <w:textAlignment w:val="baseline"/>
        <w:rPr>
          <w:color w:val="000000"/>
          <w:sz w:val="26"/>
          <w:szCs w:val="26"/>
        </w:rPr>
      </w:pPr>
    </w:p>
    <w:p w14:paraId="5B69A576" w14:textId="5F889195" w:rsidR="00B876D8" w:rsidRDefault="005A693E" w:rsidP="002E27CE">
      <w:pPr>
        <w:spacing w:line="360" w:lineRule="auto"/>
        <w:ind w:left="72" w:firstLine="1440"/>
        <w:textAlignment w:val="baseline"/>
        <w:rPr>
          <w:color w:val="000000"/>
          <w:sz w:val="26"/>
          <w:szCs w:val="26"/>
        </w:rPr>
      </w:pPr>
      <w:r>
        <w:rPr>
          <w:color w:val="000000"/>
          <w:sz w:val="26"/>
          <w:szCs w:val="26"/>
        </w:rPr>
        <w:t>During</w:t>
      </w:r>
      <w:r w:rsidR="00B876D8" w:rsidRPr="00B876D8">
        <w:rPr>
          <w:color w:val="000000"/>
          <w:sz w:val="26"/>
          <w:szCs w:val="26"/>
        </w:rPr>
        <w:t xml:space="preserve"> the hearing, </w:t>
      </w:r>
      <w:r>
        <w:rPr>
          <w:color w:val="000000"/>
          <w:sz w:val="26"/>
          <w:szCs w:val="26"/>
        </w:rPr>
        <w:t>ALJ Vero</w:t>
      </w:r>
      <w:r w:rsidR="00B876D8" w:rsidRPr="00B876D8">
        <w:rPr>
          <w:color w:val="000000"/>
          <w:sz w:val="26"/>
          <w:szCs w:val="26"/>
        </w:rPr>
        <w:t xml:space="preserve"> instructed PECO to submit as late-filed exhibits two additional documents regarding PECO’s assessment of late payment </w:t>
      </w:r>
      <w:r w:rsidR="00B876D8" w:rsidRPr="00B876D8">
        <w:rPr>
          <w:color w:val="000000"/>
          <w:sz w:val="26"/>
          <w:szCs w:val="26"/>
        </w:rPr>
        <w:lastRenderedPageBreak/>
        <w:t xml:space="preserve">charges against customers enrolled in its CAP. </w:t>
      </w:r>
      <w:r w:rsidR="000B49EA">
        <w:rPr>
          <w:color w:val="000000"/>
          <w:sz w:val="26"/>
          <w:szCs w:val="26"/>
        </w:rPr>
        <w:t xml:space="preserve"> </w:t>
      </w:r>
      <w:r w:rsidR="00B876D8" w:rsidRPr="00B876D8">
        <w:rPr>
          <w:color w:val="000000"/>
          <w:sz w:val="26"/>
          <w:szCs w:val="26"/>
        </w:rPr>
        <w:t xml:space="preserve">Tr. </w:t>
      </w:r>
      <w:r w:rsidR="000B49EA">
        <w:rPr>
          <w:color w:val="000000"/>
          <w:sz w:val="26"/>
          <w:szCs w:val="26"/>
        </w:rPr>
        <w:t xml:space="preserve">at </w:t>
      </w:r>
      <w:r w:rsidR="00B876D8" w:rsidRPr="00B876D8">
        <w:rPr>
          <w:color w:val="000000"/>
          <w:sz w:val="26"/>
          <w:szCs w:val="26"/>
        </w:rPr>
        <w:t xml:space="preserve">115. </w:t>
      </w:r>
      <w:r w:rsidR="000B49EA">
        <w:rPr>
          <w:color w:val="000000"/>
          <w:sz w:val="26"/>
          <w:szCs w:val="26"/>
        </w:rPr>
        <w:t xml:space="preserve"> </w:t>
      </w:r>
      <w:r w:rsidR="00B876D8" w:rsidRPr="00B876D8">
        <w:rPr>
          <w:color w:val="000000"/>
          <w:sz w:val="26"/>
          <w:szCs w:val="26"/>
        </w:rPr>
        <w:t>The Complainants were instructed that any written objections to the</w:t>
      </w:r>
      <w:r w:rsidR="000B49EA">
        <w:rPr>
          <w:color w:val="000000"/>
          <w:sz w:val="26"/>
          <w:szCs w:val="26"/>
        </w:rPr>
        <w:t xml:space="preserve"> </w:t>
      </w:r>
      <w:r w:rsidR="00B876D8" w:rsidRPr="00B876D8">
        <w:rPr>
          <w:color w:val="000000"/>
          <w:sz w:val="26"/>
          <w:szCs w:val="26"/>
        </w:rPr>
        <w:t xml:space="preserve">admission of PECO’s late-filed exhibits into the record had to be submitted no later than </w:t>
      </w:r>
      <w:r w:rsidR="000B49EA">
        <w:rPr>
          <w:color w:val="000000"/>
          <w:sz w:val="26"/>
          <w:szCs w:val="26"/>
        </w:rPr>
        <w:t>fourteen</w:t>
      </w:r>
      <w:r w:rsidR="00B876D8" w:rsidRPr="00B876D8">
        <w:rPr>
          <w:color w:val="000000"/>
          <w:sz w:val="26"/>
          <w:szCs w:val="26"/>
        </w:rPr>
        <w:t xml:space="preserve"> days from the date of receipt of the late-filed exhibits. </w:t>
      </w:r>
      <w:r w:rsidR="00F85104">
        <w:rPr>
          <w:color w:val="000000"/>
          <w:sz w:val="26"/>
          <w:szCs w:val="26"/>
        </w:rPr>
        <w:t xml:space="preserve"> </w:t>
      </w:r>
      <w:r w:rsidR="00B876D8" w:rsidRPr="00B876D8">
        <w:rPr>
          <w:color w:val="000000"/>
          <w:sz w:val="26"/>
          <w:szCs w:val="26"/>
        </w:rPr>
        <w:t xml:space="preserve">Tr. </w:t>
      </w:r>
      <w:r w:rsidR="000B49EA">
        <w:rPr>
          <w:color w:val="000000"/>
          <w:sz w:val="26"/>
          <w:szCs w:val="26"/>
        </w:rPr>
        <w:t xml:space="preserve">at </w:t>
      </w:r>
      <w:r w:rsidR="00B876D8" w:rsidRPr="00B876D8">
        <w:rPr>
          <w:color w:val="000000"/>
          <w:sz w:val="26"/>
          <w:szCs w:val="26"/>
        </w:rPr>
        <w:t>115-16.</w:t>
      </w:r>
    </w:p>
    <w:p w14:paraId="14DDA176" w14:textId="77777777" w:rsidR="004E2116" w:rsidRPr="00B876D8" w:rsidRDefault="004E2116" w:rsidP="000B49EA">
      <w:pPr>
        <w:spacing w:line="360" w:lineRule="auto"/>
        <w:ind w:left="72" w:right="216" w:firstLine="1440"/>
        <w:textAlignment w:val="baseline"/>
        <w:rPr>
          <w:color w:val="000000"/>
          <w:sz w:val="26"/>
          <w:szCs w:val="26"/>
        </w:rPr>
      </w:pPr>
    </w:p>
    <w:p w14:paraId="5D30068E" w14:textId="3EAD25E7" w:rsidR="00B876D8" w:rsidRPr="00B876D8" w:rsidRDefault="00B876D8" w:rsidP="002E27CE">
      <w:pPr>
        <w:spacing w:line="360" w:lineRule="auto"/>
        <w:ind w:left="72" w:firstLine="1512"/>
        <w:textAlignment w:val="baseline"/>
        <w:rPr>
          <w:color w:val="000000"/>
          <w:sz w:val="26"/>
          <w:szCs w:val="26"/>
        </w:rPr>
      </w:pPr>
      <w:r w:rsidRPr="00B876D8">
        <w:rPr>
          <w:color w:val="000000"/>
          <w:sz w:val="26"/>
          <w:szCs w:val="26"/>
        </w:rPr>
        <w:t>On June 27, 2018, PECO submitted its late-filed Exhibit 7, which is a section of PECO’s Universal Services Three-Year Plan (2016-2018) covering late payment charges</w:t>
      </w:r>
      <w:r w:rsidR="000B49EA">
        <w:rPr>
          <w:color w:val="000000"/>
          <w:sz w:val="26"/>
          <w:szCs w:val="26"/>
        </w:rPr>
        <w:t>,</w:t>
      </w:r>
      <w:r w:rsidRPr="00B876D8">
        <w:rPr>
          <w:color w:val="000000"/>
          <w:sz w:val="26"/>
          <w:szCs w:val="26"/>
        </w:rPr>
        <w:t xml:space="preserve"> and late-filed Exhibit 8, which is a section of </w:t>
      </w:r>
      <w:r w:rsidR="000B49EA">
        <w:rPr>
          <w:color w:val="000000"/>
          <w:sz w:val="26"/>
          <w:szCs w:val="26"/>
        </w:rPr>
        <w:t xml:space="preserve">the </w:t>
      </w:r>
      <w:r w:rsidRPr="00B876D8">
        <w:rPr>
          <w:color w:val="000000"/>
          <w:sz w:val="26"/>
          <w:szCs w:val="26"/>
        </w:rPr>
        <w:t xml:space="preserve">Tariff covering </w:t>
      </w:r>
      <w:r w:rsidR="000B49EA">
        <w:rPr>
          <w:color w:val="000000"/>
          <w:sz w:val="26"/>
          <w:szCs w:val="26"/>
        </w:rPr>
        <w:t>PECO</w:t>
      </w:r>
      <w:r w:rsidRPr="00B876D8">
        <w:rPr>
          <w:color w:val="000000"/>
          <w:sz w:val="26"/>
          <w:szCs w:val="26"/>
        </w:rPr>
        <w:t>’s assessment of late payment charges against customers enrolled in its CAP.</w:t>
      </w:r>
      <w:r w:rsidR="00F25122">
        <w:rPr>
          <w:color w:val="000000"/>
          <w:sz w:val="26"/>
          <w:szCs w:val="26"/>
        </w:rPr>
        <w:t xml:space="preserve">  In her Initial Decision, the ALJ explained that the </w:t>
      </w:r>
      <w:r w:rsidRPr="00B876D8">
        <w:rPr>
          <w:color w:val="000000"/>
          <w:sz w:val="26"/>
          <w:szCs w:val="26"/>
        </w:rPr>
        <w:t xml:space="preserve">Complainants </w:t>
      </w:r>
      <w:r w:rsidR="00F25122">
        <w:rPr>
          <w:color w:val="000000"/>
          <w:sz w:val="26"/>
          <w:szCs w:val="26"/>
        </w:rPr>
        <w:t>did</w:t>
      </w:r>
      <w:r w:rsidRPr="00B876D8">
        <w:rPr>
          <w:color w:val="000000"/>
          <w:sz w:val="26"/>
          <w:szCs w:val="26"/>
        </w:rPr>
        <w:t xml:space="preserve"> not submit written objections to the admission of PECO</w:t>
      </w:r>
      <w:r w:rsidR="004E2116">
        <w:rPr>
          <w:color w:val="000000"/>
          <w:sz w:val="26"/>
          <w:szCs w:val="26"/>
        </w:rPr>
        <w:t>’s</w:t>
      </w:r>
      <w:r w:rsidRPr="00B876D8">
        <w:rPr>
          <w:color w:val="000000"/>
          <w:sz w:val="26"/>
          <w:szCs w:val="26"/>
        </w:rPr>
        <w:t xml:space="preserve"> late-filed Exhibits 7 and 8 </w:t>
      </w:r>
      <w:r w:rsidR="00F25122">
        <w:rPr>
          <w:color w:val="000000"/>
          <w:sz w:val="26"/>
          <w:szCs w:val="26"/>
        </w:rPr>
        <w:t xml:space="preserve">and </w:t>
      </w:r>
      <w:r w:rsidR="003F4D1E">
        <w:rPr>
          <w:color w:val="000000"/>
          <w:sz w:val="26"/>
          <w:szCs w:val="26"/>
        </w:rPr>
        <w:t xml:space="preserve">the ALJ </w:t>
      </w:r>
      <w:r w:rsidRPr="00B876D8">
        <w:rPr>
          <w:color w:val="000000"/>
          <w:sz w:val="26"/>
          <w:szCs w:val="26"/>
        </w:rPr>
        <w:t xml:space="preserve">admitted </w:t>
      </w:r>
      <w:r w:rsidR="00F25122">
        <w:rPr>
          <w:color w:val="000000"/>
          <w:sz w:val="26"/>
          <w:szCs w:val="26"/>
        </w:rPr>
        <w:t xml:space="preserve">them </w:t>
      </w:r>
      <w:r w:rsidRPr="00B876D8">
        <w:rPr>
          <w:color w:val="000000"/>
          <w:sz w:val="26"/>
          <w:szCs w:val="26"/>
        </w:rPr>
        <w:t>into the record.</w:t>
      </w:r>
      <w:r w:rsidR="00F25122">
        <w:rPr>
          <w:color w:val="000000"/>
          <w:sz w:val="26"/>
          <w:szCs w:val="26"/>
        </w:rPr>
        <w:t xml:space="preserve">  I.D. at </w:t>
      </w:r>
      <w:r w:rsidR="009822CE">
        <w:rPr>
          <w:color w:val="000000"/>
          <w:sz w:val="26"/>
          <w:szCs w:val="26"/>
        </w:rPr>
        <w:t>3.</w:t>
      </w:r>
    </w:p>
    <w:p w14:paraId="03971440" w14:textId="77777777" w:rsidR="009822CE" w:rsidRDefault="009822CE" w:rsidP="00B876D8">
      <w:pPr>
        <w:spacing w:line="360" w:lineRule="auto"/>
        <w:ind w:left="72" w:right="864" w:firstLine="1368"/>
        <w:textAlignment w:val="baseline"/>
        <w:rPr>
          <w:color w:val="000000"/>
          <w:sz w:val="26"/>
          <w:szCs w:val="26"/>
        </w:rPr>
      </w:pPr>
    </w:p>
    <w:p w14:paraId="1678532D" w14:textId="6356F2EB" w:rsidR="00B876D8" w:rsidRPr="00B876D8" w:rsidRDefault="00B876D8" w:rsidP="00B876D8">
      <w:pPr>
        <w:spacing w:line="360" w:lineRule="auto"/>
        <w:ind w:left="72" w:right="864" w:firstLine="1368"/>
        <w:textAlignment w:val="baseline"/>
        <w:rPr>
          <w:color w:val="000000"/>
          <w:sz w:val="26"/>
          <w:szCs w:val="26"/>
        </w:rPr>
      </w:pPr>
      <w:r w:rsidRPr="00B876D8">
        <w:rPr>
          <w:color w:val="000000"/>
          <w:sz w:val="26"/>
          <w:szCs w:val="26"/>
        </w:rPr>
        <w:t xml:space="preserve">The evidentiary record in this matter closed upon receipt of </w:t>
      </w:r>
      <w:r w:rsidR="009822CE">
        <w:rPr>
          <w:color w:val="000000"/>
          <w:sz w:val="26"/>
          <w:szCs w:val="26"/>
        </w:rPr>
        <w:t xml:space="preserve">the </w:t>
      </w:r>
      <w:r w:rsidRPr="00B876D8">
        <w:rPr>
          <w:color w:val="000000"/>
          <w:sz w:val="26"/>
          <w:szCs w:val="26"/>
        </w:rPr>
        <w:t xml:space="preserve"> transcript on August 1, 2018.</w:t>
      </w:r>
    </w:p>
    <w:p w14:paraId="73AE8C91" w14:textId="11BD5B18" w:rsidR="000C4562" w:rsidRPr="00B876D8" w:rsidRDefault="000C4562" w:rsidP="00B876D8">
      <w:pPr>
        <w:widowControl/>
        <w:tabs>
          <w:tab w:val="left" w:pos="-1440"/>
          <w:tab w:val="left" w:pos="-720"/>
        </w:tabs>
        <w:suppressAutoHyphens/>
        <w:spacing w:line="360" w:lineRule="auto"/>
        <w:ind w:firstLine="1440"/>
        <w:rPr>
          <w:sz w:val="26"/>
          <w:szCs w:val="26"/>
        </w:rPr>
      </w:pPr>
    </w:p>
    <w:p w14:paraId="41B39FCC" w14:textId="34BD2475" w:rsidR="00A80F07" w:rsidRDefault="00A80F07" w:rsidP="00B876D8">
      <w:pPr>
        <w:widowControl/>
        <w:tabs>
          <w:tab w:val="left" w:pos="-1440"/>
          <w:tab w:val="left" w:pos="-720"/>
        </w:tabs>
        <w:suppressAutoHyphens/>
        <w:spacing w:line="360" w:lineRule="auto"/>
        <w:ind w:firstLine="1440"/>
        <w:rPr>
          <w:sz w:val="26"/>
          <w:szCs w:val="24"/>
        </w:rPr>
      </w:pPr>
      <w:r w:rsidRPr="004E2116">
        <w:rPr>
          <w:sz w:val="26"/>
          <w:szCs w:val="26"/>
        </w:rPr>
        <w:t>In the Initial Decision</w:t>
      </w:r>
      <w:r w:rsidR="000C4562" w:rsidRPr="004E2116">
        <w:rPr>
          <w:sz w:val="26"/>
          <w:szCs w:val="26"/>
        </w:rPr>
        <w:t xml:space="preserve"> issued </w:t>
      </w:r>
      <w:r w:rsidR="00822DAC" w:rsidRPr="004E2116">
        <w:rPr>
          <w:sz w:val="26"/>
          <w:szCs w:val="26"/>
        </w:rPr>
        <w:t xml:space="preserve">on </w:t>
      </w:r>
      <w:r w:rsidR="004E2116" w:rsidRPr="004E2116">
        <w:rPr>
          <w:sz w:val="26"/>
          <w:szCs w:val="26"/>
        </w:rPr>
        <w:t>October 30, 201</w:t>
      </w:r>
      <w:r w:rsidR="003F4D1E">
        <w:rPr>
          <w:sz w:val="26"/>
          <w:szCs w:val="26"/>
        </w:rPr>
        <w:t>8</w:t>
      </w:r>
      <w:r w:rsidRPr="004E2116">
        <w:rPr>
          <w:sz w:val="26"/>
          <w:szCs w:val="26"/>
        </w:rPr>
        <w:t xml:space="preserve">, ALJ </w:t>
      </w:r>
      <w:r w:rsidR="004E2116" w:rsidRPr="004E2116">
        <w:rPr>
          <w:sz w:val="26"/>
          <w:szCs w:val="26"/>
        </w:rPr>
        <w:t>Vero</w:t>
      </w:r>
      <w:r w:rsidRPr="004E2116">
        <w:rPr>
          <w:sz w:val="26"/>
          <w:szCs w:val="26"/>
        </w:rPr>
        <w:t xml:space="preserve"> </w:t>
      </w:r>
      <w:r w:rsidR="004E2116" w:rsidRPr="004E2116">
        <w:rPr>
          <w:color w:val="000000"/>
          <w:sz w:val="26"/>
          <w:szCs w:val="26"/>
        </w:rPr>
        <w:t>sustained the Complaint to the extent it requested a refund of late payment charges during the period of time when Ms. Mohamed was enrolled in PECO’s CAP and denied the Complaint with regard to the remainder of the claims due to the Complainants’ failure to carry their burden of proof.</w:t>
      </w:r>
      <w:r w:rsidR="004E2116">
        <w:rPr>
          <w:color w:val="000000"/>
          <w:sz w:val="26"/>
          <w:szCs w:val="26"/>
        </w:rPr>
        <w:t xml:space="preserve">  </w:t>
      </w:r>
      <w:r w:rsidRPr="004E2116">
        <w:rPr>
          <w:sz w:val="26"/>
          <w:szCs w:val="26"/>
        </w:rPr>
        <w:t>As previously</w:t>
      </w:r>
      <w:r w:rsidRPr="00002B4F">
        <w:rPr>
          <w:sz w:val="26"/>
          <w:szCs w:val="24"/>
        </w:rPr>
        <w:t xml:space="preserve"> indicated, the Complainant</w:t>
      </w:r>
      <w:r w:rsidR="004E2116">
        <w:rPr>
          <w:sz w:val="26"/>
          <w:szCs w:val="24"/>
        </w:rPr>
        <w:t>s</w:t>
      </w:r>
      <w:r w:rsidRPr="00002B4F">
        <w:rPr>
          <w:sz w:val="26"/>
          <w:szCs w:val="24"/>
        </w:rPr>
        <w:t xml:space="preserve"> filed Exceptions</w:t>
      </w:r>
      <w:r w:rsidR="00E320EE">
        <w:rPr>
          <w:sz w:val="26"/>
          <w:szCs w:val="24"/>
        </w:rPr>
        <w:t xml:space="preserve"> on </w:t>
      </w:r>
      <w:r w:rsidR="004E2116">
        <w:rPr>
          <w:sz w:val="26"/>
          <w:szCs w:val="24"/>
        </w:rPr>
        <w:t>November 19, 2018</w:t>
      </w:r>
      <w:r w:rsidR="00646751">
        <w:rPr>
          <w:sz w:val="26"/>
          <w:szCs w:val="24"/>
        </w:rPr>
        <w:t xml:space="preserve">, and </w:t>
      </w:r>
      <w:r w:rsidR="004E2116">
        <w:rPr>
          <w:sz w:val="26"/>
          <w:szCs w:val="24"/>
        </w:rPr>
        <w:t>PECO</w:t>
      </w:r>
      <w:r w:rsidR="00646751">
        <w:rPr>
          <w:sz w:val="26"/>
          <w:szCs w:val="24"/>
        </w:rPr>
        <w:t xml:space="preserve"> filed Replies to Exceptions on </w:t>
      </w:r>
      <w:r w:rsidR="004E2116">
        <w:rPr>
          <w:sz w:val="26"/>
          <w:szCs w:val="24"/>
        </w:rPr>
        <w:t>November 29, 2018</w:t>
      </w:r>
      <w:r w:rsidR="00754FFA">
        <w:rPr>
          <w:sz w:val="26"/>
          <w:szCs w:val="24"/>
        </w:rPr>
        <w:t>.</w:t>
      </w:r>
    </w:p>
    <w:p w14:paraId="23063CF6" w14:textId="77777777" w:rsidR="009B102D" w:rsidRDefault="009B102D" w:rsidP="005960B1">
      <w:pPr>
        <w:widowControl/>
        <w:tabs>
          <w:tab w:val="left" w:pos="-1440"/>
          <w:tab w:val="left" w:pos="-720"/>
        </w:tabs>
        <w:suppressAutoHyphens/>
        <w:spacing w:line="360" w:lineRule="auto"/>
        <w:ind w:firstLine="1440"/>
        <w:rPr>
          <w:sz w:val="26"/>
          <w:szCs w:val="24"/>
        </w:rPr>
      </w:pPr>
    </w:p>
    <w:p w14:paraId="5AE254F5" w14:textId="77777777" w:rsidR="00CA43A5" w:rsidRPr="00002B4F" w:rsidRDefault="00CA43A5" w:rsidP="00500615">
      <w:pPr>
        <w:keepNext/>
        <w:widowControl/>
        <w:spacing w:line="360" w:lineRule="auto"/>
        <w:jc w:val="center"/>
        <w:rPr>
          <w:sz w:val="26"/>
          <w:szCs w:val="26"/>
        </w:rPr>
      </w:pPr>
      <w:r w:rsidRPr="00002B4F">
        <w:rPr>
          <w:b/>
          <w:sz w:val="26"/>
          <w:szCs w:val="26"/>
        </w:rPr>
        <w:t>Discussion</w:t>
      </w:r>
    </w:p>
    <w:p w14:paraId="37E22F71" w14:textId="77777777" w:rsidR="005A490C" w:rsidRDefault="005A490C" w:rsidP="00500615">
      <w:pPr>
        <w:keepNext/>
        <w:widowControl/>
        <w:spacing w:line="360" w:lineRule="auto"/>
        <w:contextualSpacing/>
        <w:rPr>
          <w:b/>
          <w:sz w:val="26"/>
          <w:szCs w:val="26"/>
        </w:rPr>
      </w:pPr>
    </w:p>
    <w:p w14:paraId="7B42E63A" w14:textId="77777777" w:rsidR="007F7270" w:rsidRPr="00002B4F" w:rsidRDefault="007F7270" w:rsidP="00500615">
      <w:pPr>
        <w:keepNext/>
        <w:widowControl/>
        <w:spacing w:line="360" w:lineRule="auto"/>
        <w:contextualSpacing/>
        <w:rPr>
          <w:b/>
          <w:sz w:val="26"/>
          <w:szCs w:val="26"/>
        </w:rPr>
      </w:pPr>
      <w:r w:rsidRPr="00002B4F">
        <w:rPr>
          <w:b/>
          <w:sz w:val="26"/>
          <w:szCs w:val="26"/>
        </w:rPr>
        <w:t>Legal Standards</w:t>
      </w:r>
    </w:p>
    <w:p w14:paraId="508739A7" w14:textId="77777777" w:rsidR="0043592C" w:rsidRPr="00002B4F" w:rsidRDefault="0043592C" w:rsidP="005960B1">
      <w:pPr>
        <w:widowControl/>
        <w:spacing w:line="360" w:lineRule="auto"/>
        <w:rPr>
          <w:sz w:val="26"/>
          <w:szCs w:val="26"/>
        </w:rPr>
      </w:pPr>
    </w:p>
    <w:p w14:paraId="6EBB9BCC" w14:textId="308C63C6" w:rsidR="00CA43A5" w:rsidRDefault="0043592C" w:rsidP="005960B1">
      <w:pPr>
        <w:widowControl/>
        <w:spacing w:line="360" w:lineRule="auto"/>
        <w:ind w:firstLine="1440"/>
        <w:rPr>
          <w:sz w:val="26"/>
          <w:szCs w:val="26"/>
        </w:rPr>
      </w:pPr>
      <w:r w:rsidRPr="00002B4F">
        <w:rPr>
          <w:sz w:val="26"/>
          <w:szCs w:val="26"/>
        </w:rPr>
        <w:t>As the proponent of a rule or order, the Complainant</w:t>
      </w:r>
      <w:r w:rsidR="004E2116">
        <w:rPr>
          <w:sz w:val="26"/>
          <w:szCs w:val="26"/>
        </w:rPr>
        <w:t>s</w:t>
      </w:r>
      <w:r w:rsidRPr="00002B4F">
        <w:rPr>
          <w:sz w:val="26"/>
          <w:szCs w:val="26"/>
        </w:rPr>
        <w:t xml:space="preserve"> in this proceeding bear the burden of proof pursuant to Section 332(a) of the </w:t>
      </w:r>
      <w:r w:rsidR="00A86624">
        <w:rPr>
          <w:sz w:val="26"/>
          <w:szCs w:val="26"/>
        </w:rPr>
        <w:t xml:space="preserve">Public Utility </w:t>
      </w:r>
      <w:r w:rsidRPr="00002B4F">
        <w:rPr>
          <w:sz w:val="26"/>
          <w:szCs w:val="26"/>
        </w:rPr>
        <w:t>Code</w:t>
      </w:r>
      <w:r w:rsidR="00A86624">
        <w:rPr>
          <w:sz w:val="26"/>
          <w:szCs w:val="26"/>
        </w:rPr>
        <w:t xml:space="preserve"> (Code)</w:t>
      </w:r>
      <w:r w:rsidRPr="00002B4F">
        <w:rPr>
          <w:sz w:val="26"/>
          <w:szCs w:val="26"/>
        </w:rPr>
        <w:t xml:space="preserve">.  </w:t>
      </w:r>
      <w:r w:rsidRPr="00002B4F">
        <w:rPr>
          <w:sz w:val="26"/>
          <w:szCs w:val="26"/>
        </w:rPr>
        <w:lastRenderedPageBreak/>
        <w:t>66</w:t>
      </w:r>
      <w:r w:rsidR="00340594">
        <w:rPr>
          <w:sz w:val="26"/>
          <w:szCs w:val="26"/>
        </w:rPr>
        <w:t> </w:t>
      </w:r>
      <w:r w:rsidRPr="00002B4F">
        <w:rPr>
          <w:sz w:val="26"/>
          <w:szCs w:val="26"/>
        </w:rPr>
        <w:t>Pa. C.S. § 332(a).  To establish a sufficient case and satisfy the burden of proof, the Complainant</w:t>
      </w:r>
      <w:r w:rsidR="004E2116">
        <w:rPr>
          <w:sz w:val="26"/>
          <w:szCs w:val="26"/>
        </w:rPr>
        <w:t>s</w:t>
      </w:r>
      <w:r w:rsidRPr="00002B4F">
        <w:rPr>
          <w:sz w:val="26"/>
          <w:szCs w:val="26"/>
        </w:rPr>
        <w:t xml:space="preserve"> must show that the </w:t>
      </w:r>
      <w:r w:rsidR="00D55191" w:rsidRPr="00002B4F">
        <w:rPr>
          <w:sz w:val="26"/>
          <w:szCs w:val="26"/>
        </w:rPr>
        <w:t>Respondent</w:t>
      </w:r>
      <w:r w:rsidRPr="00002B4F">
        <w:rPr>
          <w:sz w:val="26"/>
          <w:szCs w:val="26"/>
        </w:rPr>
        <w:t xml:space="preserve"> is responsible or accountable for the problem described in the Complaint.  </w:t>
      </w:r>
      <w:r w:rsidRPr="00002B4F">
        <w:rPr>
          <w:i/>
          <w:sz w:val="26"/>
          <w:szCs w:val="26"/>
        </w:rPr>
        <w:t xml:space="preserve">Patterson v. </w:t>
      </w:r>
      <w:r w:rsidR="00D55191" w:rsidRPr="00002B4F">
        <w:rPr>
          <w:i/>
          <w:sz w:val="26"/>
          <w:szCs w:val="26"/>
        </w:rPr>
        <w:t xml:space="preserve">The </w:t>
      </w:r>
      <w:r w:rsidRPr="00002B4F">
        <w:rPr>
          <w:i/>
          <w:sz w:val="26"/>
          <w:szCs w:val="26"/>
        </w:rPr>
        <w:t>Bell Telephone Company of Pennsylvania</w:t>
      </w:r>
      <w:r w:rsidRPr="00002B4F">
        <w:rPr>
          <w:sz w:val="26"/>
          <w:szCs w:val="26"/>
        </w:rPr>
        <w:t xml:space="preserve">, 72 Pa. P.U.C. 196 (1990).  Such a showing must be by a preponderance of the evidence.  </w:t>
      </w:r>
      <w:r w:rsidRPr="00002B4F">
        <w:rPr>
          <w:i/>
          <w:iCs/>
          <w:sz w:val="26"/>
          <w:szCs w:val="26"/>
        </w:rPr>
        <w:t>Samuel J. Lansberry, Inc. v. Pa. PUC</w:t>
      </w:r>
      <w:r w:rsidRPr="00002B4F">
        <w:rPr>
          <w:sz w:val="26"/>
          <w:szCs w:val="26"/>
        </w:rPr>
        <w:t xml:space="preserve">, 578 A.2d 600 (Pa. Cmwlth. 1990), </w:t>
      </w:r>
      <w:r w:rsidRPr="00002B4F">
        <w:rPr>
          <w:i/>
          <w:sz w:val="26"/>
          <w:szCs w:val="26"/>
        </w:rPr>
        <w:t>alloc. denied</w:t>
      </w:r>
      <w:r w:rsidRPr="00340594">
        <w:rPr>
          <w:iCs/>
          <w:sz w:val="26"/>
          <w:szCs w:val="26"/>
        </w:rPr>
        <w:t xml:space="preserve">, </w:t>
      </w:r>
      <w:r w:rsidRPr="00002B4F">
        <w:rPr>
          <w:sz w:val="26"/>
          <w:szCs w:val="26"/>
        </w:rPr>
        <w:t>529 Pa. 654, 602 A.2d 863 (1992).  That is, the Complainants</w:t>
      </w:r>
      <w:r w:rsidR="004E2116">
        <w:rPr>
          <w:sz w:val="26"/>
          <w:szCs w:val="26"/>
        </w:rPr>
        <w:t>’</w:t>
      </w:r>
      <w:r w:rsidRPr="00002B4F">
        <w:rPr>
          <w:sz w:val="26"/>
          <w:szCs w:val="26"/>
        </w:rPr>
        <w:t xml:space="preserve"> evidence must be more convincing, by even the smallest amount, th</w:t>
      </w:r>
      <w:r w:rsidR="00D55191" w:rsidRPr="00002B4F">
        <w:rPr>
          <w:sz w:val="26"/>
          <w:szCs w:val="26"/>
        </w:rPr>
        <w:t>an that presented by the Respondent</w:t>
      </w:r>
      <w:r w:rsidRPr="00002B4F">
        <w:rPr>
          <w:sz w:val="26"/>
          <w:szCs w:val="26"/>
        </w:rPr>
        <w:t xml:space="preserve">.  </w:t>
      </w:r>
      <w:r w:rsidRPr="00002B4F">
        <w:rPr>
          <w:i/>
          <w:sz w:val="26"/>
          <w:szCs w:val="26"/>
        </w:rPr>
        <w:t>Se-Ling Hosiery</w:t>
      </w:r>
      <w:r w:rsidR="00D55191" w:rsidRPr="00002B4F">
        <w:rPr>
          <w:i/>
          <w:sz w:val="26"/>
          <w:szCs w:val="26"/>
        </w:rPr>
        <w:t>, Inc.</w:t>
      </w:r>
      <w:r w:rsidRPr="00002B4F">
        <w:rPr>
          <w:i/>
          <w:sz w:val="26"/>
          <w:szCs w:val="26"/>
        </w:rPr>
        <w:t xml:space="preserve"> v. Margulies</w:t>
      </w:r>
      <w:r w:rsidRPr="00002B4F">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002B4F">
        <w:rPr>
          <w:i/>
          <w:sz w:val="26"/>
          <w:szCs w:val="26"/>
        </w:rPr>
        <w:t>Norfolk &amp; Western Ry. Co. v. Pa. PUC</w:t>
      </w:r>
      <w:r w:rsidRPr="00340594">
        <w:rPr>
          <w:iCs/>
          <w:sz w:val="26"/>
          <w:szCs w:val="26"/>
        </w:rPr>
        <w:t>,</w:t>
      </w:r>
      <w:r w:rsidRPr="00002B4F">
        <w:rPr>
          <w:i/>
          <w:sz w:val="26"/>
          <w:szCs w:val="26"/>
        </w:rPr>
        <w:t xml:space="preserve"> </w:t>
      </w:r>
      <w:r w:rsidRPr="00002B4F">
        <w:rPr>
          <w:sz w:val="26"/>
          <w:szCs w:val="26"/>
        </w:rPr>
        <w:t>489 Pa. 109, 413 A.2d 1037 (1980).</w:t>
      </w:r>
    </w:p>
    <w:p w14:paraId="2E54E309" w14:textId="77777777" w:rsidR="00B64B96" w:rsidRPr="00002B4F" w:rsidRDefault="00B64B96" w:rsidP="005960B1">
      <w:pPr>
        <w:widowControl/>
        <w:spacing w:line="360" w:lineRule="auto"/>
        <w:ind w:firstLine="1440"/>
        <w:rPr>
          <w:sz w:val="26"/>
          <w:szCs w:val="26"/>
        </w:rPr>
      </w:pPr>
    </w:p>
    <w:p w14:paraId="0996A8EA" w14:textId="77777777" w:rsidR="00195F2E" w:rsidRPr="00002B4F" w:rsidRDefault="00670BFD" w:rsidP="005960B1">
      <w:pPr>
        <w:widowControl/>
        <w:spacing w:line="360" w:lineRule="auto"/>
        <w:ind w:firstLine="1440"/>
        <w:rPr>
          <w:i/>
          <w:sz w:val="26"/>
        </w:rPr>
      </w:pPr>
      <w:r w:rsidRPr="00002B4F">
        <w:rPr>
          <w:sz w:val="26"/>
        </w:rPr>
        <w:t>U</w:t>
      </w:r>
      <w:r w:rsidR="00D26516">
        <w:rPr>
          <w:sz w:val="26"/>
        </w:rPr>
        <w:t>pon the presentation by a C</w:t>
      </w:r>
      <w:r w:rsidRPr="00002B4F">
        <w:rPr>
          <w:sz w:val="26"/>
        </w:rPr>
        <w:t>omplainant of evidence sufficient to initially satisfy the burden of proof, the burden of g</w:t>
      </w:r>
      <w:r w:rsidR="00957BC0" w:rsidRPr="00002B4F">
        <w:rPr>
          <w:sz w:val="26"/>
        </w:rPr>
        <w:t xml:space="preserve">oing forward with the evidence </w:t>
      </w:r>
      <w:r w:rsidRPr="00002B4F">
        <w:rPr>
          <w:sz w:val="26"/>
        </w:rPr>
        <w:t xml:space="preserve">to rebut the evidence of the </w:t>
      </w:r>
      <w:r w:rsidR="00D26516">
        <w:rPr>
          <w:sz w:val="26"/>
        </w:rPr>
        <w:t>C</w:t>
      </w:r>
      <w:r w:rsidR="005232E6">
        <w:rPr>
          <w:sz w:val="26"/>
        </w:rPr>
        <w:t>omplainant</w:t>
      </w:r>
      <w:r w:rsidR="00D26516">
        <w:rPr>
          <w:sz w:val="26"/>
        </w:rPr>
        <w:t xml:space="preserve"> shifts to the R</w:t>
      </w:r>
      <w:r w:rsidRPr="00002B4F">
        <w:rPr>
          <w:sz w:val="26"/>
        </w:rPr>
        <w:t xml:space="preserve">espondent. </w:t>
      </w:r>
      <w:r w:rsidR="00146832">
        <w:rPr>
          <w:sz w:val="26"/>
        </w:rPr>
        <w:t xml:space="preserve"> </w:t>
      </w:r>
      <w:r w:rsidRPr="00002B4F">
        <w:rPr>
          <w:sz w:val="26"/>
        </w:rPr>
        <w:t>If</w:t>
      </w:r>
      <w:r w:rsidR="00D26516">
        <w:rPr>
          <w:sz w:val="26"/>
        </w:rPr>
        <w:t xml:space="preserve"> the evidence presented by the R</w:t>
      </w:r>
      <w:r w:rsidRPr="00002B4F">
        <w:rPr>
          <w:sz w:val="26"/>
        </w:rPr>
        <w:t>espondent is of co-equal value or “weight,” the burden of pro</w:t>
      </w:r>
      <w:r w:rsidR="00D26516">
        <w:rPr>
          <w:sz w:val="26"/>
        </w:rPr>
        <w:t>of has not been satisfied. The C</w:t>
      </w:r>
      <w:r w:rsidRPr="00002B4F">
        <w:rPr>
          <w:sz w:val="26"/>
        </w:rPr>
        <w:t>omplainant now has to provide some additional evidence to rebut that of the respondent</w:t>
      </w:r>
      <w:r w:rsidR="005801B1">
        <w:rPr>
          <w:sz w:val="26"/>
        </w:rPr>
        <w:t xml:space="preserve">. </w:t>
      </w:r>
      <w:r w:rsidRPr="00002B4F">
        <w:rPr>
          <w:iCs/>
          <w:sz w:val="26"/>
        </w:rPr>
        <w:t xml:space="preserve"> </w:t>
      </w:r>
      <w:hyperlink r:id="rId8" w:history="1">
        <w:r w:rsidR="00195F2E" w:rsidRPr="00002B4F">
          <w:rPr>
            <w:rStyle w:val="Hyperlink"/>
            <w:i/>
            <w:iCs/>
            <w:color w:val="auto"/>
            <w:sz w:val="26"/>
            <w:u w:val="none"/>
          </w:rPr>
          <w:t>Burleson v. Pa. PUC</w:t>
        </w:r>
        <w:r w:rsidR="00195F2E" w:rsidRPr="00340594">
          <w:rPr>
            <w:rStyle w:val="Hyperlink"/>
            <w:color w:val="auto"/>
            <w:sz w:val="26"/>
            <w:u w:val="none"/>
          </w:rPr>
          <w:t xml:space="preserve">, </w:t>
        </w:r>
        <w:r w:rsidR="00195F2E" w:rsidRPr="00002B4F">
          <w:rPr>
            <w:rStyle w:val="Hyperlink"/>
            <w:iCs/>
            <w:color w:val="auto"/>
            <w:sz w:val="26"/>
            <w:u w:val="none"/>
          </w:rPr>
          <w:t xml:space="preserve">443 A.2d 1373 (Pa. Cmwlth. 1982), </w:t>
        </w:r>
        <w:r w:rsidR="00195F2E" w:rsidRPr="00002B4F">
          <w:rPr>
            <w:rStyle w:val="Hyperlink"/>
            <w:i/>
            <w:iCs/>
            <w:color w:val="auto"/>
            <w:sz w:val="26"/>
            <w:u w:val="none"/>
          </w:rPr>
          <w:t>aff’d</w:t>
        </w:r>
        <w:r w:rsidR="00195F2E" w:rsidRPr="00340594">
          <w:rPr>
            <w:rStyle w:val="Hyperlink"/>
            <w:color w:val="auto"/>
            <w:sz w:val="26"/>
            <w:u w:val="none"/>
          </w:rPr>
          <w:t>,</w:t>
        </w:r>
        <w:r w:rsidR="00195F2E" w:rsidRPr="00002B4F">
          <w:rPr>
            <w:rStyle w:val="Hyperlink"/>
            <w:iCs/>
            <w:color w:val="auto"/>
            <w:sz w:val="26"/>
            <w:u w:val="none"/>
          </w:rPr>
          <w:t xml:space="preserve"> 501 Pa. 433, 461 A.2d 1234 (1983).</w:t>
        </w:r>
      </w:hyperlink>
    </w:p>
    <w:p w14:paraId="73DAC7E9" w14:textId="77777777" w:rsidR="00670BFD" w:rsidRPr="00002B4F" w:rsidRDefault="00670BFD" w:rsidP="005960B1">
      <w:pPr>
        <w:widowControl/>
        <w:spacing w:line="360" w:lineRule="auto"/>
        <w:ind w:firstLine="1440"/>
        <w:rPr>
          <w:sz w:val="26"/>
        </w:rPr>
      </w:pPr>
    </w:p>
    <w:p w14:paraId="2B342A9C" w14:textId="77777777" w:rsidR="00154CB6" w:rsidRPr="00002B4F" w:rsidRDefault="00670BFD" w:rsidP="005960B1">
      <w:pPr>
        <w:widowControl/>
        <w:spacing w:line="360" w:lineRule="auto"/>
        <w:ind w:firstLine="1440"/>
        <w:rPr>
          <w:i/>
          <w:sz w:val="26"/>
        </w:rPr>
      </w:pPr>
      <w:r w:rsidRPr="00002B4F">
        <w:rPr>
          <w:sz w:val="26"/>
        </w:rPr>
        <w:t xml:space="preserve">While the burden of </w:t>
      </w:r>
      <w:r w:rsidR="00957BC0" w:rsidRPr="00002B4F">
        <w:rPr>
          <w:sz w:val="26"/>
        </w:rPr>
        <w:t>going forward with the evidence</w:t>
      </w:r>
      <w:r w:rsidRPr="00002B4F">
        <w:rPr>
          <w:sz w:val="26"/>
        </w:rPr>
        <w:t xml:space="preserve"> may </w:t>
      </w:r>
      <w:r w:rsidRPr="00002B4F">
        <w:rPr>
          <w:rStyle w:val="term1"/>
          <w:b w:val="0"/>
          <w:bCs w:val="0"/>
          <w:sz w:val="26"/>
        </w:rPr>
        <w:t>shift</w:t>
      </w:r>
      <w:r w:rsidRPr="00002B4F">
        <w:rPr>
          <w:sz w:val="26"/>
        </w:rPr>
        <w:t xml:space="preserve"> back and forth during a proceeding, the </w:t>
      </w:r>
      <w:r w:rsidRPr="00002B4F">
        <w:rPr>
          <w:rStyle w:val="term1"/>
          <w:b w:val="0"/>
          <w:bCs w:val="0"/>
          <w:sz w:val="26"/>
        </w:rPr>
        <w:t>burden of proof</w:t>
      </w:r>
      <w:r w:rsidRPr="00002B4F">
        <w:rPr>
          <w:sz w:val="26"/>
        </w:rPr>
        <w:t xml:space="preserve"> never </w:t>
      </w:r>
      <w:r w:rsidRPr="00002B4F">
        <w:rPr>
          <w:rStyle w:val="term1"/>
          <w:b w:val="0"/>
          <w:bCs w:val="0"/>
          <w:sz w:val="26"/>
        </w:rPr>
        <w:t xml:space="preserve">shifts. </w:t>
      </w:r>
      <w:r w:rsidR="00146832">
        <w:rPr>
          <w:rStyle w:val="term1"/>
          <w:b w:val="0"/>
          <w:bCs w:val="0"/>
          <w:sz w:val="26"/>
        </w:rPr>
        <w:t xml:space="preserve"> </w:t>
      </w:r>
      <w:r w:rsidRPr="00002B4F">
        <w:rPr>
          <w:rStyle w:val="term1"/>
          <w:b w:val="0"/>
          <w:bCs w:val="0"/>
          <w:sz w:val="26"/>
        </w:rPr>
        <w:t>The burden of proof</w:t>
      </w:r>
      <w:r w:rsidRPr="00002B4F">
        <w:rPr>
          <w:sz w:val="26"/>
        </w:rPr>
        <w:t xml:space="preserve"> always remains on the party seeking affirmative relief from the Commission.</w:t>
      </w:r>
      <w:r w:rsidR="00885263" w:rsidRPr="00002B4F">
        <w:rPr>
          <w:sz w:val="26"/>
        </w:rPr>
        <w:t xml:space="preserve"> </w:t>
      </w:r>
      <w:r w:rsidRPr="00002B4F">
        <w:rPr>
          <w:sz w:val="26"/>
        </w:rPr>
        <w:t xml:space="preserve"> </w:t>
      </w:r>
      <w:r w:rsidR="00154CB6" w:rsidRPr="00002B4F">
        <w:rPr>
          <w:i/>
          <w:sz w:val="26"/>
        </w:rPr>
        <w:t>Milkie v. Pa. PUC</w:t>
      </w:r>
      <w:r w:rsidR="00154CB6" w:rsidRPr="00340594">
        <w:rPr>
          <w:iCs/>
          <w:sz w:val="26"/>
        </w:rPr>
        <w:t>,</w:t>
      </w:r>
      <w:r w:rsidR="00154CB6" w:rsidRPr="00002B4F">
        <w:rPr>
          <w:i/>
          <w:sz w:val="26"/>
        </w:rPr>
        <w:t xml:space="preserve"> </w:t>
      </w:r>
      <w:r w:rsidR="00154CB6" w:rsidRPr="00002B4F">
        <w:rPr>
          <w:sz w:val="26"/>
        </w:rPr>
        <w:t>768 A.2d 1217 (Pa. Cmwlth. 2001).</w:t>
      </w:r>
    </w:p>
    <w:p w14:paraId="0B536AFB" w14:textId="77777777" w:rsidR="00A940F8" w:rsidRPr="00002B4F" w:rsidRDefault="00A940F8" w:rsidP="00A940F8">
      <w:pPr>
        <w:widowControl/>
        <w:spacing w:line="360" w:lineRule="auto"/>
        <w:rPr>
          <w:sz w:val="26"/>
          <w:szCs w:val="26"/>
        </w:rPr>
      </w:pPr>
    </w:p>
    <w:p w14:paraId="1A3BDD87" w14:textId="675B3DE1" w:rsidR="00214B3E" w:rsidRPr="00002B4F" w:rsidRDefault="00006F35" w:rsidP="005960B1">
      <w:pPr>
        <w:widowControl/>
        <w:spacing w:line="360" w:lineRule="auto"/>
        <w:ind w:firstLine="1440"/>
        <w:rPr>
          <w:sz w:val="26"/>
          <w:szCs w:val="26"/>
        </w:rPr>
      </w:pPr>
      <w:r w:rsidRPr="00002B4F" w:rsidDel="002B4A1B">
        <w:rPr>
          <w:sz w:val="26"/>
          <w:szCs w:val="26"/>
        </w:rPr>
        <w:t xml:space="preserve">Before addressing the Exceptions, we note that any issue or Exception that we do not specifically </w:t>
      </w:r>
      <w:r w:rsidR="00AB3328">
        <w:rPr>
          <w:sz w:val="26"/>
          <w:szCs w:val="26"/>
        </w:rPr>
        <w:t>address</w:t>
      </w:r>
      <w:r w:rsidRPr="00002B4F" w:rsidDel="002B4A1B">
        <w:rPr>
          <w:sz w:val="26"/>
          <w:szCs w:val="26"/>
        </w:rPr>
        <w:t xml:space="preserve"> shall be deemed to have been duly considered and denied without further discussion.  The Commission is not required to consider expressly or at </w:t>
      </w:r>
      <w:r w:rsidRPr="00002B4F" w:rsidDel="002B4A1B">
        <w:rPr>
          <w:sz w:val="26"/>
          <w:szCs w:val="26"/>
        </w:rPr>
        <w:lastRenderedPageBreak/>
        <w:t>length each contention or argument raised by the parties</w:t>
      </w:r>
      <w:r w:rsidR="002A6750" w:rsidRPr="00002B4F" w:rsidDel="002B4A1B">
        <w:rPr>
          <w:sz w:val="26"/>
          <w:szCs w:val="26"/>
        </w:rPr>
        <w:t xml:space="preserve">.  </w:t>
      </w:r>
      <w:hyperlink r:id="rId9" w:history="1">
        <w:r w:rsidR="002A6750" w:rsidRPr="00002B4F" w:rsidDel="002B4A1B">
          <w:rPr>
            <w:rStyle w:val="Emphasis"/>
            <w:color w:val="000000"/>
            <w:sz w:val="26"/>
            <w:szCs w:val="26"/>
          </w:rPr>
          <w:t>Consolidated Rail Corp. v. Pa.</w:t>
        </w:r>
        <w:r w:rsidR="00340594">
          <w:rPr>
            <w:rStyle w:val="Emphasis"/>
            <w:color w:val="000000"/>
            <w:sz w:val="26"/>
            <w:szCs w:val="26"/>
          </w:rPr>
          <w:t> </w:t>
        </w:r>
        <w:r w:rsidR="002A6750" w:rsidRPr="00002B4F" w:rsidDel="002B4A1B">
          <w:rPr>
            <w:rStyle w:val="Emphasis"/>
            <w:color w:val="000000"/>
            <w:sz w:val="26"/>
            <w:szCs w:val="26"/>
          </w:rPr>
          <w:t>PUC</w:t>
        </w:r>
        <w:r w:rsidR="002A6750" w:rsidRPr="00340594" w:rsidDel="002B4A1B">
          <w:rPr>
            <w:rStyle w:val="Emphasis"/>
            <w:i w:val="0"/>
            <w:iCs w:val="0"/>
            <w:color w:val="000000"/>
            <w:sz w:val="26"/>
            <w:szCs w:val="26"/>
          </w:rPr>
          <w:t>,</w:t>
        </w:r>
        <w:r w:rsidR="002A6750" w:rsidRPr="00002B4F" w:rsidDel="002B4A1B">
          <w:rPr>
            <w:rStyle w:val="Emphasis"/>
            <w:color w:val="000000"/>
            <w:sz w:val="26"/>
            <w:szCs w:val="26"/>
          </w:rPr>
          <w:t xml:space="preserve"> </w:t>
        </w:r>
        <w:r w:rsidR="002A6750" w:rsidRPr="00002B4F" w:rsidDel="002B4A1B">
          <w:rPr>
            <w:rStyle w:val="Hyperlink"/>
            <w:color w:val="000000"/>
            <w:sz w:val="26"/>
            <w:szCs w:val="26"/>
            <w:u w:val="none"/>
          </w:rPr>
          <w:t>625 A.2d 741 (Pa. Cmwlth. 1993);</w:t>
        </w:r>
      </w:hyperlink>
      <w:r w:rsidR="002A6750" w:rsidRPr="00002B4F" w:rsidDel="002B4A1B">
        <w:rPr>
          <w:color w:val="000000"/>
          <w:sz w:val="26"/>
          <w:szCs w:val="26"/>
        </w:rPr>
        <w:t xml:space="preserve"> </w:t>
      </w:r>
      <w:r w:rsidR="002A6750" w:rsidRPr="00002B4F" w:rsidDel="002B4A1B">
        <w:rPr>
          <w:i/>
          <w:color w:val="000000"/>
          <w:sz w:val="26"/>
          <w:szCs w:val="26"/>
        </w:rPr>
        <w:t xml:space="preserve">also </w:t>
      </w:r>
      <w:r w:rsidR="002A6750" w:rsidRPr="00002B4F" w:rsidDel="002B4A1B">
        <w:rPr>
          <w:rStyle w:val="Emphasis"/>
          <w:color w:val="000000"/>
          <w:sz w:val="26"/>
          <w:szCs w:val="26"/>
        </w:rPr>
        <w:t xml:space="preserve">see, generally, </w:t>
      </w:r>
      <w:hyperlink r:id="rId10" w:history="1">
        <w:r w:rsidR="002A6750" w:rsidRPr="00002B4F" w:rsidDel="002B4A1B">
          <w:rPr>
            <w:rStyle w:val="Emphasis"/>
            <w:color w:val="000000"/>
            <w:sz w:val="26"/>
            <w:szCs w:val="26"/>
          </w:rPr>
          <w:t>University of Pennsylvania v. Pa. PUC</w:t>
        </w:r>
        <w:r w:rsidR="002A6750" w:rsidRPr="00002B4F" w:rsidDel="002B4A1B">
          <w:rPr>
            <w:rStyle w:val="Hyperlink"/>
            <w:color w:val="000000"/>
            <w:sz w:val="26"/>
            <w:szCs w:val="26"/>
            <w:u w:val="none"/>
          </w:rPr>
          <w:t>, 485 A.2d 1217 (Pa. Cmwlth. 1984).</w:t>
        </w:r>
      </w:hyperlink>
      <w:r w:rsidR="00214B3E" w:rsidRPr="00002B4F" w:rsidDel="002B4A1B">
        <w:rPr>
          <w:sz w:val="26"/>
          <w:szCs w:val="26"/>
        </w:rPr>
        <w:t xml:space="preserve"> </w:t>
      </w:r>
    </w:p>
    <w:p w14:paraId="05AE3C51" w14:textId="77777777" w:rsidR="00006F35" w:rsidRPr="00002B4F" w:rsidRDefault="00FD3058" w:rsidP="00340594">
      <w:pPr>
        <w:widowControl/>
        <w:spacing w:after="200" w:line="360" w:lineRule="auto"/>
        <w:rPr>
          <w:b/>
          <w:sz w:val="26"/>
          <w:szCs w:val="26"/>
        </w:rPr>
      </w:pPr>
      <w:r>
        <w:rPr>
          <w:b/>
          <w:sz w:val="26"/>
          <w:szCs w:val="26"/>
        </w:rPr>
        <w:br/>
      </w:r>
      <w:r w:rsidR="00802E4F" w:rsidRPr="00002B4F">
        <w:rPr>
          <w:b/>
          <w:sz w:val="26"/>
          <w:szCs w:val="26"/>
        </w:rPr>
        <w:t>ALJ’s Initial Decision</w:t>
      </w:r>
    </w:p>
    <w:p w14:paraId="084CB2B7" w14:textId="77777777" w:rsidR="00802E4F" w:rsidRPr="00002B4F" w:rsidRDefault="00802E4F" w:rsidP="005960B1">
      <w:pPr>
        <w:widowControl/>
        <w:spacing w:line="360" w:lineRule="auto"/>
        <w:ind w:firstLine="1440"/>
        <w:rPr>
          <w:b/>
          <w:sz w:val="26"/>
          <w:szCs w:val="26"/>
        </w:rPr>
      </w:pPr>
    </w:p>
    <w:p w14:paraId="0170CE4E" w14:textId="68D0D08C" w:rsidR="00802E4F" w:rsidRPr="00002B4F" w:rsidRDefault="00A72FFB" w:rsidP="005960B1">
      <w:pPr>
        <w:widowControl/>
        <w:spacing w:line="360" w:lineRule="auto"/>
        <w:ind w:firstLine="1440"/>
        <w:rPr>
          <w:sz w:val="26"/>
          <w:szCs w:val="26"/>
        </w:rPr>
      </w:pPr>
      <w:r w:rsidRPr="00002B4F">
        <w:rPr>
          <w:sz w:val="26"/>
          <w:szCs w:val="26"/>
        </w:rPr>
        <w:t xml:space="preserve">ALJ </w:t>
      </w:r>
      <w:r w:rsidR="004E2116">
        <w:rPr>
          <w:sz w:val="26"/>
          <w:szCs w:val="26"/>
        </w:rPr>
        <w:t>Vero</w:t>
      </w:r>
      <w:r w:rsidRPr="00002B4F">
        <w:rPr>
          <w:sz w:val="26"/>
          <w:szCs w:val="26"/>
        </w:rPr>
        <w:t xml:space="preserve"> made </w:t>
      </w:r>
      <w:r w:rsidR="004E2116">
        <w:rPr>
          <w:sz w:val="26"/>
          <w:szCs w:val="26"/>
        </w:rPr>
        <w:t>thirty-seven</w:t>
      </w:r>
      <w:r w:rsidRPr="00002B4F">
        <w:rPr>
          <w:sz w:val="26"/>
          <w:szCs w:val="26"/>
        </w:rPr>
        <w:t xml:space="preserve"> </w:t>
      </w:r>
      <w:r w:rsidR="00802E4F" w:rsidRPr="00002B4F">
        <w:rPr>
          <w:sz w:val="26"/>
          <w:szCs w:val="26"/>
        </w:rPr>
        <w:t>Find</w:t>
      </w:r>
      <w:r w:rsidRPr="00002B4F">
        <w:rPr>
          <w:sz w:val="26"/>
          <w:szCs w:val="26"/>
        </w:rPr>
        <w:t xml:space="preserve">ings of Fact and reached </w:t>
      </w:r>
      <w:r w:rsidR="0089543E">
        <w:rPr>
          <w:sz w:val="26"/>
          <w:szCs w:val="26"/>
        </w:rPr>
        <w:t>s</w:t>
      </w:r>
      <w:r w:rsidR="004E2116">
        <w:rPr>
          <w:sz w:val="26"/>
          <w:szCs w:val="26"/>
        </w:rPr>
        <w:t xml:space="preserve">ix </w:t>
      </w:r>
      <w:r w:rsidR="00802E4F" w:rsidRPr="00002B4F">
        <w:rPr>
          <w:sz w:val="26"/>
          <w:szCs w:val="26"/>
        </w:rPr>
        <w:t xml:space="preserve">Conclusions of Law.  </w:t>
      </w:r>
      <w:r w:rsidR="008E7F22">
        <w:rPr>
          <w:sz w:val="26"/>
          <w:szCs w:val="26"/>
        </w:rPr>
        <w:t xml:space="preserve">I.D. at </w:t>
      </w:r>
      <w:r w:rsidR="004E2116">
        <w:rPr>
          <w:sz w:val="26"/>
          <w:szCs w:val="26"/>
        </w:rPr>
        <w:t>3-7</w:t>
      </w:r>
      <w:r w:rsidR="0089543E">
        <w:rPr>
          <w:sz w:val="26"/>
          <w:szCs w:val="26"/>
        </w:rPr>
        <w:t xml:space="preserve">, </w:t>
      </w:r>
      <w:r w:rsidR="004E2116">
        <w:rPr>
          <w:sz w:val="26"/>
          <w:szCs w:val="26"/>
        </w:rPr>
        <w:t>16</w:t>
      </w:r>
      <w:r w:rsidR="00AE4A5D">
        <w:rPr>
          <w:sz w:val="26"/>
          <w:szCs w:val="26"/>
        </w:rPr>
        <w:t xml:space="preserve">.  </w:t>
      </w:r>
      <w:r w:rsidR="00802E4F" w:rsidRPr="00002B4F">
        <w:rPr>
          <w:sz w:val="26"/>
          <w:szCs w:val="26"/>
        </w:rPr>
        <w:t>The Findings of Fact and Conclusions of Law are incorporated herein by reference and are adopted without comment unless they are either expressly or by necessary implication rejected or modified by this Opinion and Order.</w:t>
      </w:r>
    </w:p>
    <w:p w14:paraId="5FA7462C" w14:textId="77777777" w:rsidR="00D07214" w:rsidRPr="00002B4F" w:rsidRDefault="00D07214" w:rsidP="005960B1">
      <w:pPr>
        <w:widowControl/>
        <w:spacing w:line="360" w:lineRule="auto"/>
        <w:ind w:firstLine="1440"/>
        <w:rPr>
          <w:sz w:val="26"/>
          <w:szCs w:val="26"/>
        </w:rPr>
      </w:pPr>
    </w:p>
    <w:p w14:paraId="3ECDAB67" w14:textId="2E7D5D73" w:rsidR="00BC44AB" w:rsidRDefault="00E240BA" w:rsidP="00E240BA">
      <w:pPr>
        <w:widowControl/>
        <w:spacing w:line="360" w:lineRule="auto"/>
        <w:rPr>
          <w:sz w:val="26"/>
          <w:szCs w:val="26"/>
        </w:rPr>
      </w:pPr>
      <w:r>
        <w:rPr>
          <w:sz w:val="26"/>
          <w:szCs w:val="26"/>
        </w:rPr>
        <w:tab/>
      </w:r>
      <w:r>
        <w:rPr>
          <w:sz w:val="26"/>
          <w:szCs w:val="26"/>
        </w:rPr>
        <w:tab/>
      </w:r>
      <w:r w:rsidR="0089543E">
        <w:rPr>
          <w:sz w:val="26"/>
          <w:szCs w:val="26"/>
        </w:rPr>
        <w:t>The</w:t>
      </w:r>
      <w:r w:rsidR="00316CB2">
        <w:rPr>
          <w:sz w:val="26"/>
          <w:szCs w:val="26"/>
        </w:rPr>
        <w:t xml:space="preserve"> </w:t>
      </w:r>
      <w:r>
        <w:rPr>
          <w:sz w:val="26"/>
          <w:szCs w:val="26"/>
        </w:rPr>
        <w:t xml:space="preserve">ALJ </w:t>
      </w:r>
      <w:r w:rsidR="00BC44AB">
        <w:rPr>
          <w:sz w:val="26"/>
          <w:szCs w:val="26"/>
        </w:rPr>
        <w:t xml:space="preserve">first addressed the Complainants’ allegations pertaining to CAP enrollment.  </w:t>
      </w:r>
      <w:r w:rsidR="00F5503D">
        <w:rPr>
          <w:sz w:val="26"/>
          <w:szCs w:val="26"/>
        </w:rPr>
        <w:t xml:space="preserve">Here, the ALJ determined that </w:t>
      </w:r>
      <w:r w:rsidR="001401D0">
        <w:rPr>
          <w:sz w:val="26"/>
          <w:szCs w:val="26"/>
        </w:rPr>
        <w:t>the Complainants failed to meet their burden of proving by a preponderance of the evidence that Ms. Mohamed’s CAP enrollment entitles her to a larger credit towards her PECO account.  As a result, the ALJ dismissed the Complaint to the extent it challenged the terms of Ms. Mohamed’s CAP enrollment.  I.D. at 11.</w:t>
      </w:r>
    </w:p>
    <w:p w14:paraId="1202CC45" w14:textId="1973649C" w:rsidR="001401D0" w:rsidRDefault="001401D0" w:rsidP="00E240BA">
      <w:pPr>
        <w:widowControl/>
        <w:spacing w:line="360" w:lineRule="auto"/>
        <w:rPr>
          <w:sz w:val="26"/>
          <w:szCs w:val="26"/>
        </w:rPr>
      </w:pPr>
    </w:p>
    <w:p w14:paraId="1A374F9E" w14:textId="6E97F004" w:rsidR="009E6B9C" w:rsidRDefault="009E6B9C" w:rsidP="009E6B9C">
      <w:pPr>
        <w:spacing w:line="360" w:lineRule="auto"/>
        <w:ind w:left="72" w:right="216" w:firstLine="1440"/>
        <w:textAlignment w:val="baseline"/>
        <w:rPr>
          <w:color w:val="000000"/>
          <w:sz w:val="26"/>
          <w:szCs w:val="26"/>
        </w:rPr>
      </w:pPr>
      <w:r>
        <w:rPr>
          <w:color w:val="000000"/>
          <w:sz w:val="26"/>
          <w:szCs w:val="26"/>
        </w:rPr>
        <w:t>The ALJ explained that o</w:t>
      </w:r>
      <w:r w:rsidRPr="00036F02">
        <w:rPr>
          <w:color w:val="000000"/>
          <w:sz w:val="26"/>
          <w:szCs w:val="26"/>
        </w:rPr>
        <w:t>n June 23, 2016, Ms. Mohamed was removed from PECO’s CAP for failure to recertify.</w:t>
      </w:r>
      <w:r w:rsidR="00340594">
        <w:rPr>
          <w:color w:val="000000"/>
          <w:sz w:val="26"/>
          <w:szCs w:val="26"/>
        </w:rPr>
        <w:t xml:space="preserve"> </w:t>
      </w:r>
      <w:r w:rsidRPr="00036F02">
        <w:rPr>
          <w:color w:val="000000"/>
          <w:sz w:val="26"/>
          <w:szCs w:val="26"/>
        </w:rPr>
        <w:t xml:space="preserve"> Tr. </w:t>
      </w:r>
      <w:r>
        <w:rPr>
          <w:color w:val="000000"/>
          <w:sz w:val="26"/>
          <w:szCs w:val="26"/>
        </w:rPr>
        <w:t xml:space="preserve">at </w:t>
      </w:r>
      <w:r w:rsidRPr="00036F02">
        <w:rPr>
          <w:color w:val="000000"/>
          <w:sz w:val="26"/>
          <w:szCs w:val="26"/>
        </w:rPr>
        <w:t>37.</w:t>
      </w:r>
      <w:r>
        <w:rPr>
          <w:color w:val="000000"/>
          <w:sz w:val="26"/>
          <w:szCs w:val="26"/>
        </w:rPr>
        <w:t xml:space="preserve">  Thereafter, o</w:t>
      </w:r>
      <w:r w:rsidRPr="00036F02">
        <w:rPr>
          <w:color w:val="000000"/>
          <w:spacing w:val="-1"/>
          <w:sz w:val="26"/>
          <w:szCs w:val="26"/>
        </w:rPr>
        <w:t>n October 14, 2016, PECO’s CAP Rider became effective as part of Supplement No. 20 to PECO’s Tariff Electric Pa. P.U.C. No. 5, Fifth Revised Page No. 71</w:t>
      </w:r>
      <w:r w:rsidR="00606809">
        <w:rPr>
          <w:color w:val="000000"/>
          <w:spacing w:val="-1"/>
          <w:sz w:val="26"/>
          <w:szCs w:val="26"/>
        </w:rPr>
        <w:t xml:space="preserve"> (Tariff Supplement)</w:t>
      </w:r>
      <w:r w:rsidRPr="00036F02">
        <w:rPr>
          <w:color w:val="000000"/>
          <w:spacing w:val="-1"/>
          <w:sz w:val="26"/>
          <w:szCs w:val="26"/>
        </w:rPr>
        <w:t xml:space="preserve">. </w:t>
      </w:r>
      <w:r>
        <w:rPr>
          <w:color w:val="000000"/>
          <w:spacing w:val="-1"/>
          <w:sz w:val="26"/>
          <w:szCs w:val="26"/>
        </w:rPr>
        <w:t xml:space="preserve"> </w:t>
      </w:r>
      <w:r w:rsidRPr="00036F02">
        <w:rPr>
          <w:i/>
          <w:iCs/>
          <w:color w:val="000000"/>
          <w:spacing w:val="-1"/>
          <w:sz w:val="26"/>
          <w:szCs w:val="26"/>
        </w:rPr>
        <w:t>See</w:t>
      </w:r>
      <w:r w:rsidRPr="00036F02">
        <w:rPr>
          <w:color w:val="000000"/>
          <w:spacing w:val="-1"/>
          <w:sz w:val="26"/>
          <w:szCs w:val="26"/>
        </w:rPr>
        <w:t xml:space="preserve"> PECO late-filed Exhibit 8. </w:t>
      </w:r>
      <w:r w:rsidR="00E65153">
        <w:rPr>
          <w:color w:val="000000"/>
          <w:spacing w:val="-1"/>
          <w:sz w:val="26"/>
          <w:szCs w:val="26"/>
        </w:rPr>
        <w:t xml:space="preserve"> </w:t>
      </w:r>
      <w:r w:rsidRPr="00036F02">
        <w:rPr>
          <w:color w:val="000000"/>
          <w:spacing w:val="-1"/>
          <w:sz w:val="26"/>
          <w:szCs w:val="26"/>
        </w:rPr>
        <w:t xml:space="preserve">PECO’s CAP Rider implemented the Fixed Credit Option (FCO) for PECO’s CAP customers under PECO’s Rate R (residential electric service) or RH (residential electric </w:t>
      </w:r>
      <w:r w:rsidRPr="00036F02">
        <w:rPr>
          <w:color w:val="000000"/>
          <w:sz w:val="26"/>
          <w:szCs w:val="26"/>
        </w:rPr>
        <w:t xml:space="preserve">heating service). </w:t>
      </w:r>
      <w:r>
        <w:rPr>
          <w:color w:val="000000"/>
          <w:sz w:val="26"/>
          <w:szCs w:val="26"/>
        </w:rPr>
        <w:t xml:space="preserve"> </w:t>
      </w:r>
      <w:r w:rsidRPr="00036F02">
        <w:rPr>
          <w:color w:val="000000"/>
          <w:sz w:val="26"/>
          <w:szCs w:val="26"/>
        </w:rPr>
        <w:t>The Rider incorporate</w:t>
      </w:r>
      <w:r>
        <w:rPr>
          <w:color w:val="000000"/>
          <w:sz w:val="26"/>
          <w:szCs w:val="26"/>
        </w:rPr>
        <w:t>d</w:t>
      </w:r>
      <w:r w:rsidRPr="00036F02">
        <w:rPr>
          <w:color w:val="000000"/>
          <w:sz w:val="26"/>
          <w:szCs w:val="26"/>
        </w:rPr>
        <w:t xml:space="preserve"> the FCO terms and calculations found in PECO’s </w:t>
      </w:r>
      <w:r w:rsidRPr="00036F02">
        <w:rPr>
          <w:i/>
          <w:color w:val="000000"/>
          <w:sz w:val="26"/>
          <w:szCs w:val="26"/>
        </w:rPr>
        <w:t>Universal Service and Energy Conservation Plan 2016</w:t>
      </w:r>
      <w:r w:rsidR="00340594">
        <w:rPr>
          <w:i/>
          <w:color w:val="000000"/>
          <w:sz w:val="26"/>
          <w:szCs w:val="26"/>
        </w:rPr>
        <w:noBreakHyphen/>
      </w:r>
      <w:r w:rsidRPr="00036F02">
        <w:rPr>
          <w:i/>
          <w:color w:val="000000"/>
          <w:sz w:val="26"/>
          <w:szCs w:val="26"/>
        </w:rPr>
        <w:t>2018</w:t>
      </w:r>
      <w:r w:rsidRPr="00036F02">
        <w:rPr>
          <w:color w:val="000000"/>
          <w:sz w:val="26"/>
          <w:szCs w:val="26"/>
        </w:rPr>
        <w:t>, Docket No. M-2015-2507139 (Order entered August 11, 2016)</w:t>
      </w:r>
      <w:r>
        <w:rPr>
          <w:color w:val="000000"/>
          <w:sz w:val="26"/>
          <w:szCs w:val="26"/>
        </w:rPr>
        <w:t xml:space="preserve"> (</w:t>
      </w:r>
      <w:r w:rsidRPr="00036F02">
        <w:rPr>
          <w:i/>
          <w:iCs/>
          <w:color w:val="000000"/>
          <w:sz w:val="26"/>
          <w:szCs w:val="26"/>
        </w:rPr>
        <w:t>USECP Order</w:t>
      </w:r>
      <w:r>
        <w:rPr>
          <w:color w:val="000000"/>
          <w:sz w:val="26"/>
          <w:szCs w:val="26"/>
        </w:rPr>
        <w:t>)</w:t>
      </w:r>
      <w:r w:rsidRPr="00036F02">
        <w:rPr>
          <w:color w:val="000000"/>
          <w:sz w:val="26"/>
          <w:szCs w:val="26"/>
        </w:rPr>
        <w:t>, which are as follows:</w:t>
      </w:r>
    </w:p>
    <w:p w14:paraId="3BDDAD99" w14:textId="37F4C7A9" w:rsidR="009E6B9C" w:rsidRPr="00036F02" w:rsidRDefault="009E6B9C" w:rsidP="009E6B9C">
      <w:pPr>
        <w:ind w:left="72"/>
        <w:jc w:val="center"/>
        <w:textAlignment w:val="baseline"/>
        <w:rPr>
          <w:b/>
          <w:color w:val="000000"/>
          <w:sz w:val="26"/>
          <w:szCs w:val="26"/>
        </w:rPr>
      </w:pPr>
      <w:r w:rsidRPr="00036F02">
        <w:rPr>
          <w:b/>
          <w:color w:val="000000"/>
          <w:sz w:val="26"/>
          <w:szCs w:val="26"/>
        </w:rPr>
        <w:lastRenderedPageBreak/>
        <w:t xml:space="preserve">ALLOWABLE ENERGY BURDEN </w:t>
      </w:r>
    </w:p>
    <w:tbl>
      <w:tblPr>
        <w:tblW w:w="7920" w:type="dxa"/>
        <w:jc w:val="center"/>
        <w:tblLayout w:type="fixed"/>
        <w:tblCellMar>
          <w:left w:w="0" w:type="dxa"/>
          <w:right w:w="0" w:type="dxa"/>
        </w:tblCellMar>
        <w:tblLook w:val="0000" w:firstRow="0" w:lastRow="0" w:firstColumn="0" w:lastColumn="0" w:noHBand="0" w:noVBand="0"/>
      </w:tblPr>
      <w:tblGrid>
        <w:gridCol w:w="1978"/>
        <w:gridCol w:w="1977"/>
        <w:gridCol w:w="1978"/>
        <w:gridCol w:w="1987"/>
      </w:tblGrid>
      <w:tr w:rsidR="009E6B9C" w:rsidRPr="00036F02" w14:paraId="3B941006" w14:textId="77777777" w:rsidTr="00DC459A">
        <w:trPr>
          <w:trHeight w:hRule="exact" w:val="614"/>
          <w:jc w:val="center"/>
        </w:trPr>
        <w:tc>
          <w:tcPr>
            <w:tcW w:w="1978" w:type="dxa"/>
            <w:tcBorders>
              <w:top w:val="single" w:sz="5" w:space="0" w:color="000000"/>
              <w:left w:val="single" w:sz="5" w:space="0" w:color="000000"/>
              <w:bottom w:val="single" w:sz="5" w:space="0" w:color="000000"/>
              <w:right w:val="single" w:sz="5" w:space="0" w:color="000000"/>
            </w:tcBorders>
          </w:tcPr>
          <w:p w14:paraId="425987B2" w14:textId="77777777" w:rsidR="009E6B9C" w:rsidRPr="00036F02" w:rsidRDefault="009E6B9C" w:rsidP="00931B3E">
            <w:pPr>
              <w:ind w:left="144"/>
              <w:textAlignment w:val="baseline"/>
              <w:rPr>
                <w:b/>
                <w:color w:val="000000"/>
                <w:sz w:val="26"/>
                <w:szCs w:val="26"/>
              </w:rPr>
            </w:pPr>
            <w:r w:rsidRPr="00036F02">
              <w:rPr>
                <w:b/>
                <w:color w:val="000000"/>
                <w:sz w:val="26"/>
                <w:szCs w:val="26"/>
              </w:rPr>
              <w:t>Federal</w:t>
            </w:r>
          </w:p>
          <w:p w14:paraId="7FB78B95" w14:textId="77777777" w:rsidR="009E6B9C" w:rsidRPr="00036F02" w:rsidRDefault="009E6B9C" w:rsidP="00931B3E">
            <w:pPr>
              <w:ind w:left="144"/>
              <w:textAlignment w:val="baseline"/>
              <w:rPr>
                <w:b/>
                <w:color w:val="000000"/>
                <w:sz w:val="26"/>
                <w:szCs w:val="26"/>
              </w:rPr>
            </w:pPr>
            <w:r w:rsidRPr="00036F02">
              <w:rPr>
                <w:b/>
                <w:color w:val="000000"/>
                <w:sz w:val="26"/>
                <w:szCs w:val="26"/>
              </w:rPr>
              <w:t>Poverty Level</w:t>
            </w:r>
          </w:p>
        </w:tc>
        <w:tc>
          <w:tcPr>
            <w:tcW w:w="1977" w:type="dxa"/>
            <w:tcBorders>
              <w:top w:val="single" w:sz="5" w:space="0" w:color="000000"/>
              <w:left w:val="single" w:sz="5" w:space="0" w:color="000000"/>
              <w:bottom w:val="single" w:sz="5" w:space="0" w:color="000000"/>
              <w:right w:val="single" w:sz="5" w:space="0" w:color="000000"/>
            </w:tcBorders>
          </w:tcPr>
          <w:p w14:paraId="3F72BDC1" w14:textId="77777777" w:rsidR="009E6B9C" w:rsidRPr="00036F02" w:rsidRDefault="009E6B9C" w:rsidP="00931B3E">
            <w:pPr>
              <w:ind w:left="144"/>
              <w:textAlignment w:val="baseline"/>
              <w:rPr>
                <w:b/>
                <w:color w:val="000000"/>
                <w:sz w:val="26"/>
                <w:szCs w:val="26"/>
              </w:rPr>
            </w:pPr>
            <w:r w:rsidRPr="00036F02">
              <w:rPr>
                <w:b/>
                <w:color w:val="000000"/>
                <w:sz w:val="26"/>
                <w:szCs w:val="26"/>
              </w:rPr>
              <w:t>Electric</w:t>
            </w:r>
          </w:p>
          <w:p w14:paraId="2FE65ADF" w14:textId="77777777" w:rsidR="009E6B9C" w:rsidRPr="00036F02" w:rsidRDefault="009E6B9C" w:rsidP="00931B3E">
            <w:pPr>
              <w:ind w:left="144"/>
              <w:textAlignment w:val="baseline"/>
              <w:rPr>
                <w:b/>
                <w:color w:val="000000"/>
                <w:sz w:val="26"/>
                <w:szCs w:val="26"/>
              </w:rPr>
            </w:pPr>
            <w:r w:rsidRPr="00036F02">
              <w:rPr>
                <w:b/>
                <w:color w:val="000000"/>
                <w:sz w:val="26"/>
                <w:szCs w:val="26"/>
              </w:rPr>
              <w:t>NonHeating</w:t>
            </w:r>
          </w:p>
        </w:tc>
        <w:tc>
          <w:tcPr>
            <w:tcW w:w="1978" w:type="dxa"/>
            <w:tcBorders>
              <w:top w:val="single" w:sz="5" w:space="0" w:color="000000"/>
              <w:left w:val="single" w:sz="5" w:space="0" w:color="000000"/>
              <w:bottom w:val="single" w:sz="5" w:space="0" w:color="000000"/>
              <w:right w:val="single" w:sz="5" w:space="0" w:color="000000"/>
            </w:tcBorders>
          </w:tcPr>
          <w:p w14:paraId="3338FAF9" w14:textId="77777777" w:rsidR="009E6B9C" w:rsidRPr="00036F02" w:rsidRDefault="009E6B9C" w:rsidP="00931B3E">
            <w:pPr>
              <w:ind w:left="115"/>
              <w:textAlignment w:val="baseline"/>
              <w:rPr>
                <w:b/>
                <w:color w:val="000000"/>
                <w:sz w:val="26"/>
                <w:szCs w:val="26"/>
              </w:rPr>
            </w:pPr>
            <w:r w:rsidRPr="00036F02">
              <w:rPr>
                <w:b/>
                <w:color w:val="000000"/>
                <w:sz w:val="26"/>
                <w:szCs w:val="26"/>
              </w:rPr>
              <w:t>Electric Heating</w:t>
            </w:r>
          </w:p>
        </w:tc>
        <w:tc>
          <w:tcPr>
            <w:tcW w:w="1987" w:type="dxa"/>
            <w:tcBorders>
              <w:top w:val="single" w:sz="5" w:space="0" w:color="000000"/>
              <w:left w:val="single" w:sz="5" w:space="0" w:color="000000"/>
              <w:bottom w:val="single" w:sz="5" w:space="0" w:color="000000"/>
              <w:right w:val="single" w:sz="5" w:space="0" w:color="000000"/>
            </w:tcBorders>
          </w:tcPr>
          <w:p w14:paraId="2C00F3C1" w14:textId="77777777" w:rsidR="009E6B9C" w:rsidRPr="00036F02" w:rsidRDefault="009E6B9C" w:rsidP="00931B3E">
            <w:pPr>
              <w:ind w:left="120"/>
              <w:textAlignment w:val="baseline"/>
              <w:rPr>
                <w:b/>
                <w:color w:val="000000"/>
                <w:sz w:val="26"/>
                <w:szCs w:val="26"/>
              </w:rPr>
            </w:pPr>
            <w:r w:rsidRPr="00036F02">
              <w:rPr>
                <w:b/>
                <w:color w:val="000000"/>
                <w:sz w:val="26"/>
                <w:szCs w:val="26"/>
              </w:rPr>
              <w:t>Gas Heating</w:t>
            </w:r>
          </w:p>
        </w:tc>
      </w:tr>
      <w:tr w:rsidR="009E6B9C" w:rsidRPr="00036F02" w14:paraId="1927F111" w14:textId="77777777" w:rsidTr="00DC459A">
        <w:trPr>
          <w:trHeight w:hRule="exact" w:val="312"/>
          <w:jc w:val="center"/>
        </w:trPr>
        <w:tc>
          <w:tcPr>
            <w:tcW w:w="1978" w:type="dxa"/>
            <w:tcBorders>
              <w:top w:val="single" w:sz="5" w:space="0" w:color="000000"/>
              <w:left w:val="single" w:sz="5" w:space="0" w:color="000000"/>
              <w:bottom w:val="single" w:sz="5" w:space="0" w:color="000000"/>
              <w:right w:val="single" w:sz="5" w:space="0" w:color="000000"/>
            </w:tcBorders>
            <w:vAlign w:val="center"/>
          </w:tcPr>
          <w:p w14:paraId="3A379903" w14:textId="77777777" w:rsidR="009E6B9C" w:rsidRPr="00036F02" w:rsidRDefault="009E6B9C" w:rsidP="00931B3E">
            <w:pPr>
              <w:ind w:left="120"/>
              <w:textAlignment w:val="baseline"/>
              <w:rPr>
                <w:color w:val="000000"/>
                <w:sz w:val="26"/>
                <w:szCs w:val="26"/>
              </w:rPr>
            </w:pPr>
            <w:r w:rsidRPr="00036F02">
              <w:rPr>
                <w:color w:val="000000"/>
                <w:sz w:val="26"/>
                <w:szCs w:val="26"/>
              </w:rPr>
              <w:t>0-50%</w:t>
            </w:r>
          </w:p>
        </w:tc>
        <w:tc>
          <w:tcPr>
            <w:tcW w:w="1977" w:type="dxa"/>
            <w:tcBorders>
              <w:top w:val="single" w:sz="5" w:space="0" w:color="000000"/>
              <w:left w:val="single" w:sz="5" w:space="0" w:color="000000"/>
              <w:bottom w:val="single" w:sz="5" w:space="0" w:color="000000"/>
              <w:right w:val="single" w:sz="5" w:space="0" w:color="000000"/>
            </w:tcBorders>
            <w:vAlign w:val="center"/>
          </w:tcPr>
          <w:p w14:paraId="01F5D1F9" w14:textId="77777777" w:rsidR="009E6B9C" w:rsidRPr="00036F02" w:rsidRDefault="009E6B9C" w:rsidP="00931B3E">
            <w:pPr>
              <w:ind w:left="110"/>
              <w:textAlignment w:val="baseline"/>
              <w:rPr>
                <w:color w:val="000000"/>
                <w:sz w:val="26"/>
                <w:szCs w:val="26"/>
              </w:rPr>
            </w:pPr>
            <w:r w:rsidRPr="00036F02">
              <w:rPr>
                <w:color w:val="000000"/>
                <w:sz w:val="26"/>
                <w:szCs w:val="26"/>
              </w:rPr>
              <w:t>5%</w:t>
            </w:r>
          </w:p>
        </w:tc>
        <w:tc>
          <w:tcPr>
            <w:tcW w:w="1978" w:type="dxa"/>
            <w:tcBorders>
              <w:top w:val="single" w:sz="5" w:space="0" w:color="000000"/>
              <w:left w:val="single" w:sz="5" w:space="0" w:color="000000"/>
              <w:bottom w:val="single" w:sz="5" w:space="0" w:color="000000"/>
              <w:right w:val="single" w:sz="5" w:space="0" w:color="000000"/>
            </w:tcBorders>
            <w:vAlign w:val="center"/>
          </w:tcPr>
          <w:p w14:paraId="4E84F4AE" w14:textId="77777777" w:rsidR="009E6B9C" w:rsidRPr="00036F02" w:rsidRDefault="009E6B9C" w:rsidP="00931B3E">
            <w:pPr>
              <w:ind w:left="115"/>
              <w:textAlignment w:val="baseline"/>
              <w:rPr>
                <w:color w:val="000000"/>
                <w:sz w:val="26"/>
                <w:szCs w:val="26"/>
              </w:rPr>
            </w:pPr>
            <w:r w:rsidRPr="00036F02">
              <w:rPr>
                <w:color w:val="000000"/>
                <w:sz w:val="26"/>
                <w:szCs w:val="26"/>
              </w:rPr>
              <w:t>13%</w:t>
            </w:r>
          </w:p>
        </w:tc>
        <w:tc>
          <w:tcPr>
            <w:tcW w:w="1987" w:type="dxa"/>
            <w:tcBorders>
              <w:top w:val="single" w:sz="5" w:space="0" w:color="000000"/>
              <w:left w:val="single" w:sz="5" w:space="0" w:color="000000"/>
              <w:bottom w:val="single" w:sz="5" w:space="0" w:color="000000"/>
              <w:right w:val="single" w:sz="5" w:space="0" w:color="000000"/>
            </w:tcBorders>
            <w:vAlign w:val="center"/>
          </w:tcPr>
          <w:p w14:paraId="5DAB8C08" w14:textId="77777777" w:rsidR="009E6B9C" w:rsidRPr="00036F02" w:rsidRDefault="009E6B9C" w:rsidP="00931B3E">
            <w:pPr>
              <w:ind w:left="120"/>
              <w:textAlignment w:val="baseline"/>
              <w:rPr>
                <w:color w:val="000000"/>
                <w:sz w:val="26"/>
                <w:szCs w:val="26"/>
              </w:rPr>
            </w:pPr>
            <w:r w:rsidRPr="00036F02">
              <w:rPr>
                <w:color w:val="000000"/>
                <w:sz w:val="26"/>
                <w:szCs w:val="26"/>
              </w:rPr>
              <w:t>13%</w:t>
            </w:r>
          </w:p>
        </w:tc>
      </w:tr>
      <w:tr w:rsidR="009E6B9C" w:rsidRPr="00036F02" w14:paraId="0B63B473" w14:textId="77777777" w:rsidTr="00DC459A">
        <w:trPr>
          <w:trHeight w:hRule="exact" w:val="317"/>
          <w:jc w:val="center"/>
        </w:trPr>
        <w:tc>
          <w:tcPr>
            <w:tcW w:w="1978" w:type="dxa"/>
            <w:tcBorders>
              <w:top w:val="single" w:sz="5" w:space="0" w:color="000000"/>
              <w:left w:val="single" w:sz="5" w:space="0" w:color="000000"/>
              <w:bottom w:val="single" w:sz="5" w:space="0" w:color="000000"/>
              <w:right w:val="single" w:sz="5" w:space="0" w:color="000000"/>
            </w:tcBorders>
            <w:vAlign w:val="center"/>
          </w:tcPr>
          <w:p w14:paraId="2C57CAB4" w14:textId="77777777" w:rsidR="009E6B9C" w:rsidRPr="00036F02" w:rsidRDefault="009E6B9C" w:rsidP="00931B3E">
            <w:pPr>
              <w:ind w:left="120"/>
              <w:textAlignment w:val="baseline"/>
              <w:rPr>
                <w:color w:val="000000"/>
                <w:sz w:val="26"/>
                <w:szCs w:val="26"/>
              </w:rPr>
            </w:pPr>
            <w:r w:rsidRPr="00036F02">
              <w:rPr>
                <w:color w:val="000000"/>
                <w:sz w:val="26"/>
                <w:szCs w:val="26"/>
              </w:rPr>
              <w:t>51-100%</w:t>
            </w:r>
          </w:p>
        </w:tc>
        <w:tc>
          <w:tcPr>
            <w:tcW w:w="1977" w:type="dxa"/>
            <w:tcBorders>
              <w:top w:val="single" w:sz="5" w:space="0" w:color="000000"/>
              <w:left w:val="single" w:sz="5" w:space="0" w:color="000000"/>
              <w:bottom w:val="single" w:sz="5" w:space="0" w:color="000000"/>
              <w:right w:val="single" w:sz="5" w:space="0" w:color="000000"/>
            </w:tcBorders>
            <w:vAlign w:val="center"/>
          </w:tcPr>
          <w:p w14:paraId="3F0837B4" w14:textId="77777777" w:rsidR="009E6B9C" w:rsidRPr="00036F02" w:rsidRDefault="009E6B9C" w:rsidP="00931B3E">
            <w:pPr>
              <w:ind w:left="110"/>
              <w:textAlignment w:val="baseline"/>
              <w:rPr>
                <w:color w:val="000000"/>
                <w:sz w:val="26"/>
                <w:szCs w:val="26"/>
              </w:rPr>
            </w:pPr>
            <w:r w:rsidRPr="00036F02">
              <w:rPr>
                <w:color w:val="000000"/>
                <w:sz w:val="26"/>
                <w:szCs w:val="26"/>
              </w:rPr>
              <w:t>6%</w:t>
            </w:r>
          </w:p>
        </w:tc>
        <w:tc>
          <w:tcPr>
            <w:tcW w:w="1978" w:type="dxa"/>
            <w:tcBorders>
              <w:top w:val="single" w:sz="5" w:space="0" w:color="000000"/>
              <w:left w:val="single" w:sz="5" w:space="0" w:color="000000"/>
              <w:bottom w:val="single" w:sz="5" w:space="0" w:color="000000"/>
              <w:right w:val="single" w:sz="5" w:space="0" w:color="000000"/>
            </w:tcBorders>
            <w:vAlign w:val="center"/>
          </w:tcPr>
          <w:p w14:paraId="394DC5D7" w14:textId="77777777" w:rsidR="009E6B9C" w:rsidRPr="00036F02" w:rsidRDefault="009E6B9C" w:rsidP="00931B3E">
            <w:pPr>
              <w:ind w:left="115"/>
              <w:textAlignment w:val="baseline"/>
              <w:rPr>
                <w:color w:val="000000"/>
                <w:sz w:val="26"/>
                <w:szCs w:val="26"/>
              </w:rPr>
            </w:pPr>
            <w:r w:rsidRPr="00036F02">
              <w:rPr>
                <w:color w:val="000000"/>
                <w:sz w:val="26"/>
                <w:szCs w:val="26"/>
              </w:rPr>
              <w:t>16%</w:t>
            </w:r>
          </w:p>
        </w:tc>
        <w:tc>
          <w:tcPr>
            <w:tcW w:w="1987" w:type="dxa"/>
            <w:tcBorders>
              <w:top w:val="single" w:sz="5" w:space="0" w:color="000000"/>
              <w:left w:val="single" w:sz="5" w:space="0" w:color="000000"/>
              <w:bottom w:val="single" w:sz="5" w:space="0" w:color="000000"/>
              <w:right w:val="single" w:sz="5" w:space="0" w:color="000000"/>
            </w:tcBorders>
            <w:vAlign w:val="center"/>
          </w:tcPr>
          <w:p w14:paraId="77AB8D96" w14:textId="77777777" w:rsidR="009E6B9C" w:rsidRPr="00036F02" w:rsidRDefault="009E6B9C" w:rsidP="00931B3E">
            <w:pPr>
              <w:ind w:left="120"/>
              <w:textAlignment w:val="baseline"/>
              <w:rPr>
                <w:color w:val="000000"/>
                <w:sz w:val="26"/>
                <w:szCs w:val="26"/>
              </w:rPr>
            </w:pPr>
            <w:r w:rsidRPr="00036F02">
              <w:rPr>
                <w:color w:val="000000"/>
                <w:sz w:val="26"/>
                <w:szCs w:val="26"/>
              </w:rPr>
              <w:t>16%</w:t>
            </w:r>
          </w:p>
        </w:tc>
      </w:tr>
      <w:tr w:rsidR="009E6B9C" w:rsidRPr="00036F02" w14:paraId="503B7D60" w14:textId="77777777" w:rsidTr="00DC459A">
        <w:trPr>
          <w:trHeight w:hRule="exact" w:val="322"/>
          <w:jc w:val="center"/>
        </w:trPr>
        <w:tc>
          <w:tcPr>
            <w:tcW w:w="1978" w:type="dxa"/>
            <w:tcBorders>
              <w:top w:val="single" w:sz="5" w:space="0" w:color="000000"/>
              <w:left w:val="single" w:sz="5" w:space="0" w:color="000000"/>
              <w:bottom w:val="single" w:sz="5" w:space="0" w:color="000000"/>
              <w:right w:val="single" w:sz="5" w:space="0" w:color="000000"/>
            </w:tcBorders>
            <w:vAlign w:val="center"/>
          </w:tcPr>
          <w:p w14:paraId="0B0E441F" w14:textId="77777777" w:rsidR="009E6B9C" w:rsidRPr="00036F02" w:rsidRDefault="009E6B9C" w:rsidP="00931B3E">
            <w:pPr>
              <w:ind w:left="120"/>
              <w:textAlignment w:val="baseline"/>
              <w:rPr>
                <w:color w:val="000000"/>
                <w:sz w:val="26"/>
                <w:szCs w:val="26"/>
              </w:rPr>
            </w:pPr>
            <w:r w:rsidRPr="00036F02">
              <w:rPr>
                <w:color w:val="000000"/>
                <w:sz w:val="26"/>
                <w:szCs w:val="26"/>
              </w:rPr>
              <w:t>101-150%</w:t>
            </w:r>
          </w:p>
        </w:tc>
        <w:tc>
          <w:tcPr>
            <w:tcW w:w="1977" w:type="dxa"/>
            <w:tcBorders>
              <w:top w:val="single" w:sz="5" w:space="0" w:color="000000"/>
              <w:left w:val="single" w:sz="5" w:space="0" w:color="000000"/>
              <w:bottom w:val="single" w:sz="5" w:space="0" w:color="000000"/>
              <w:right w:val="single" w:sz="5" w:space="0" w:color="000000"/>
            </w:tcBorders>
            <w:vAlign w:val="center"/>
          </w:tcPr>
          <w:p w14:paraId="3D581069" w14:textId="77777777" w:rsidR="009E6B9C" w:rsidRPr="00036F02" w:rsidRDefault="009E6B9C" w:rsidP="00931B3E">
            <w:pPr>
              <w:ind w:left="110"/>
              <w:textAlignment w:val="baseline"/>
              <w:rPr>
                <w:color w:val="000000"/>
                <w:sz w:val="26"/>
                <w:szCs w:val="26"/>
              </w:rPr>
            </w:pPr>
            <w:r w:rsidRPr="00036F02">
              <w:rPr>
                <w:color w:val="000000"/>
                <w:sz w:val="26"/>
                <w:szCs w:val="26"/>
              </w:rPr>
              <w:t>7%</w:t>
            </w:r>
          </w:p>
        </w:tc>
        <w:tc>
          <w:tcPr>
            <w:tcW w:w="1978" w:type="dxa"/>
            <w:tcBorders>
              <w:top w:val="single" w:sz="5" w:space="0" w:color="000000"/>
              <w:left w:val="single" w:sz="5" w:space="0" w:color="000000"/>
              <w:bottom w:val="single" w:sz="5" w:space="0" w:color="000000"/>
              <w:right w:val="single" w:sz="5" w:space="0" w:color="000000"/>
            </w:tcBorders>
            <w:vAlign w:val="center"/>
          </w:tcPr>
          <w:p w14:paraId="767A59FE" w14:textId="77777777" w:rsidR="009E6B9C" w:rsidRPr="00036F02" w:rsidRDefault="009E6B9C" w:rsidP="00931B3E">
            <w:pPr>
              <w:ind w:left="115"/>
              <w:textAlignment w:val="baseline"/>
              <w:rPr>
                <w:color w:val="000000"/>
                <w:sz w:val="26"/>
                <w:szCs w:val="26"/>
              </w:rPr>
            </w:pPr>
            <w:r w:rsidRPr="00036F02">
              <w:rPr>
                <w:color w:val="000000"/>
                <w:sz w:val="26"/>
                <w:szCs w:val="26"/>
              </w:rPr>
              <w:t>17%</w:t>
            </w:r>
          </w:p>
        </w:tc>
        <w:tc>
          <w:tcPr>
            <w:tcW w:w="1987" w:type="dxa"/>
            <w:tcBorders>
              <w:top w:val="single" w:sz="5" w:space="0" w:color="000000"/>
              <w:left w:val="single" w:sz="5" w:space="0" w:color="000000"/>
              <w:bottom w:val="single" w:sz="5" w:space="0" w:color="000000"/>
              <w:right w:val="single" w:sz="5" w:space="0" w:color="000000"/>
            </w:tcBorders>
            <w:vAlign w:val="center"/>
          </w:tcPr>
          <w:p w14:paraId="4EDB5AE9" w14:textId="77777777" w:rsidR="009E6B9C" w:rsidRPr="00036F02" w:rsidRDefault="009E6B9C" w:rsidP="00931B3E">
            <w:pPr>
              <w:ind w:left="120"/>
              <w:textAlignment w:val="baseline"/>
              <w:rPr>
                <w:color w:val="000000"/>
                <w:sz w:val="26"/>
                <w:szCs w:val="26"/>
              </w:rPr>
            </w:pPr>
            <w:r w:rsidRPr="00036F02">
              <w:rPr>
                <w:color w:val="000000"/>
                <w:sz w:val="26"/>
                <w:szCs w:val="26"/>
              </w:rPr>
              <w:t>17%</w:t>
            </w:r>
          </w:p>
        </w:tc>
      </w:tr>
    </w:tbl>
    <w:p w14:paraId="1545B8D3" w14:textId="77777777" w:rsidR="009E6B9C" w:rsidRPr="00036F02" w:rsidRDefault="009E6B9C" w:rsidP="009E6B9C">
      <w:pPr>
        <w:rPr>
          <w:sz w:val="26"/>
          <w:szCs w:val="26"/>
        </w:rPr>
      </w:pPr>
    </w:p>
    <w:p w14:paraId="2ED02E2D" w14:textId="77777777" w:rsidR="009E6B9C" w:rsidRDefault="009E6B9C" w:rsidP="009E6B9C">
      <w:pPr>
        <w:spacing w:line="360" w:lineRule="auto"/>
        <w:ind w:left="72"/>
        <w:textAlignment w:val="baseline"/>
        <w:rPr>
          <w:color w:val="000000"/>
          <w:spacing w:val="-3"/>
          <w:sz w:val="26"/>
          <w:szCs w:val="26"/>
        </w:rPr>
      </w:pPr>
      <w:r>
        <w:rPr>
          <w:color w:val="000000"/>
          <w:sz w:val="26"/>
          <w:szCs w:val="26"/>
        </w:rPr>
        <w:t xml:space="preserve">I.D. at 8-9 (citing </w:t>
      </w:r>
      <w:r w:rsidRPr="00036F02">
        <w:rPr>
          <w:i/>
          <w:iCs/>
          <w:color w:val="000000"/>
          <w:sz w:val="26"/>
          <w:szCs w:val="26"/>
        </w:rPr>
        <w:t>USECP Order</w:t>
      </w:r>
      <w:r w:rsidRPr="00036F02">
        <w:rPr>
          <w:i/>
          <w:color w:val="000000"/>
          <w:spacing w:val="-3"/>
          <w:sz w:val="26"/>
          <w:szCs w:val="26"/>
        </w:rPr>
        <w:t xml:space="preserve"> </w:t>
      </w:r>
      <w:r w:rsidRPr="00036F02">
        <w:rPr>
          <w:color w:val="000000"/>
          <w:spacing w:val="-3"/>
          <w:sz w:val="26"/>
          <w:szCs w:val="26"/>
        </w:rPr>
        <w:t xml:space="preserve">at </w:t>
      </w:r>
      <w:r>
        <w:rPr>
          <w:color w:val="000000"/>
          <w:spacing w:val="-3"/>
          <w:sz w:val="26"/>
          <w:szCs w:val="26"/>
        </w:rPr>
        <w:t>11)</w:t>
      </w:r>
      <w:r w:rsidRPr="00036F02">
        <w:rPr>
          <w:color w:val="000000"/>
          <w:spacing w:val="-3"/>
          <w:sz w:val="26"/>
          <w:szCs w:val="26"/>
        </w:rPr>
        <w:t>.</w:t>
      </w:r>
    </w:p>
    <w:p w14:paraId="03883EAE" w14:textId="77777777" w:rsidR="009E6B9C" w:rsidRPr="00036F02" w:rsidRDefault="009E6B9C" w:rsidP="009E6B9C">
      <w:pPr>
        <w:spacing w:line="360" w:lineRule="auto"/>
        <w:ind w:left="72"/>
        <w:textAlignment w:val="baseline"/>
        <w:rPr>
          <w:i/>
          <w:color w:val="000000"/>
          <w:spacing w:val="-3"/>
          <w:sz w:val="26"/>
          <w:szCs w:val="26"/>
        </w:rPr>
      </w:pPr>
    </w:p>
    <w:p w14:paraId="1CD953E2" w14:textId="11B26DBD" w:rsidR="009E6B9C" w:rsidRDefault="009E6B9C" w:rsidP="009E6B9C">
      <w:pPr>
        <w:spacing w:line="360" w:lineRule="auto"/>
        <w:ind w:left="72" w:right="144" w:firstLine="1440"/>
        <w:textAlignment w:val="baseline"/>
        <w:rPr>
          <w:color w:val="000000"/>
          <w:sz w:val="26"/>
          <w:szCs w:val="26"/>
        </w:rPr>
      </w:pPr>
      <w:r>
        <w:rPr>
          <w:color w:val="000000"/>
          <w:sz w:val="26"/>
          <w:szCs w:val="26"/>
        </w:rPr>
        <w:t xml:space="preserve">The ALJ further discussed Ms. Mohamed’s enrollment </w:t>
      </w:r>
      <w:r w:rsidRPr="00036F02">
        <w:rPr>
          <w:color w:val="000000"/>
          <w:sz w:val="26"/>
          <w:szCs w:val="26"/>
        </w:rPr>
        <w:t>in PECO’s new CAP FCO</w:t>
      </w:r>
      <w:r>
        <w:rPr>
          <w:color w:val="000000"/>
          <w:sz w:val="26"/>
          <w:szCs w:val="26"/>
        </w:rPr>
        <w:t xml:space="preserve"> on June 22, 2017</w:t>
      </w:r>
      <w:r w:rsidRPr="00036F02">
        <w:rPr>
          <w:color w:val="000000"/>
          <w:sz w:val="26"/>
          <w:szCs w:val="26"/>
        </w:rPr>
        <w:t xml:space="preserve">. </w:t>
      </w:r>
      <w:r>
        <w:rPr>
          <w:color w:val="000000"/>
          <w:sz w:val="26"/>
          <w:szCs w:val="26"/>
        </w:rPr>
        <w:t xml:space="preserve"> The ALJ indicated that t</w:t>
      </w:r>
      <w:r w:rsidRPr="00036F02">
        <w:rPr>
          <w:color w:val="000000"/>
          <w:sz w:val="26"/>
          <w:szCs w:val="26"/>
        </w:rPr>
        <w:t xml:space="preserve">here is no percentage discount on the customer’s usage under PECO’s new CAP FCO. </w:t>
      </w:r>
      <w:r>
        <w:rPr>
          <w:color w:val="000000"/>
          <w:sz w:val="26"/>
          <w:szCs w:val="26"/>
        </w:rPr>
        <w:t xml:space="preserve"> She added that any </w:t>
      </w:r>
      <w:r w:rsidRPr="00036F02">
        <w:rPr>
          <w:color w:val="000000"/>
          <w:sz w:val="26"/>
          <w:szCs w:val="26"/>
        </w:rPr>
        <w:t xml:space="preserve">credits under the CAP FCO are based on the customer’s energy burden as determined by their gross household income. </w:t>
      </w:r>
      <w:r>
        <w:rPr>
          <w:color w:val="000000"/>
          <w:sz w:val="26"/>
          <w:szCs w:val="26"/>
        </w:rPr>
        <w:t xml:space="preserve"> </w:t>
      </w:r>
      <w:r w:rsidRPr="00036F02">
        <w:rPr>
          <w:color w:val="000000"/>
          <w:sz w:val="26"/>
          <w:szCs w:val="26"/>
        </w:rPr>
        <w:t xml:space="preserve">According to the terms of PECO’s CAP FCO, </w:t>
      </w:r>
      <w:r>
        <w:rPr>
          <w:color w:val="000000"/>
          <w:sz w:val="26"/>
          <w:szCs w:val="26"/>
        </w:rPr>
        <w:t xml:space="preserve">the ALJ continued, </w:t>
      </w:r>
      <w:r w:rsidRPr="00036F02">
        <w:rPr>
          <w:color w:val="000000"/>
          <w:sz w:val="26"/>
          <w:szCs w:val="26"/>
        </w:rPr>
        <w:t xml:space="preserve">program participants receive a credit only if their undiscounted charges for electricity usage in the previous </w:t>
      </w:r>
      <w:r>
        <w:rPr>
          <w:color w:val="000000"/>
          <w:sz w:val="26"/>
          <w:szCs w:val="26"/>
        </w:rPr>
        <w:t>twelve</w:t>
      </w:r>
      <w:r w:rsidRPr="00036F02">
        <w:rPr>
          <w:color w:val="000000"/>
          <w:sz w:val="26"/>
          <w:szCs w:val="26"/>
        </w:rPr>
        <w:t>-month period exceed their energy burden.</w:t>
      </w:r>
      <w:r>
        <w:rPr>
          <w:color w:val="000000"/>
          <w:sz w:val="26"/>
          <w:szCs w:val="26"/>
        </w:rPr>
        <w:t xml:space="preserve">  I.D. at 9 (citing Tr. at 42).</w:t>
      </w:r>
    </w:p>
    <w:p w14:paraId="5873C131" w14:textId="77777777" w:rsidR="009E6B9C" w:rsidRPr="00036F02" w:rsidRDefault="009E6B9C" w:rsidP="009E6B9C">
      <w:pPr>
        <w:spacing w:line="360" w:lineRule="auto"/>
        <w:ind w:left="72" w:right="144" w:firstLine="1440"/>
        <w:textAlignment w:val="baseline"/>
        <w:rPr>
          <w:color w:val="000000"/>
          <w:sz w:val="26"/>
          <w:szCs w:val="26"/>
        </w:rPr>
      </w:pPr>
    </w:p>
    <w:p w14:paraId="6BC76890" w14:textId="7103F52C" w:rsidR="009E6B9C" w:rsidRDefault="005F34C1" w:rsidP="009E6B9C">
      <w:pPr>
        <w:spacing w:line="360" w:lineRule="auto"/>
        <w:ind w:left="72" w:right="144" w:firstLine="1440"/>
        <w:textAlignment w:val="baseline"/>
        <w:rPr>
          <w:color w:val="000000"/>
          <w:sz w:val="26"/>
          <w:szCs w:val="26"/>
        </w:rPr>
      </w:pPr>
      <w:r>
        <w:rPr>
          <w:color w:val="000000"/>
          <w:sz w:val="26"/>
          <w:szCs w:val="26"/>
        </w:rPr>
        <w:t xml:space="preserve">Noting the </w:t>
      </w:r>
      <w:r w:rsidR="009E6B9C" w:rsidRPr="00036F02">
        <w:rPr>
          <w:color w:val="000000"/>
          <w:sz w:val="26"/>
          <w:szCs w:val="26"/>
        </w:rPr>
        <w:t xml:space="preserve">enrollment in PECO’s CAP FCO, </w:t>
      </w:r>
      <w:r w:rsidR="009E6B9C">
        <w:rPr>
          <w:color w:val="000000"/>
          <w:sz w:val="26"/>
          <w:szCs w:val="26"/>
        </w:rPr>
        <w:t xml:space="preserve">the ALJ stated that Ms. Mohamed </w:t>
      </w:r>
      <w:r w:rsidR="009E6B9C" w:rsidRPr="00036F02">
        <w:rPr>
          <w:color w:val="000000"/>
          <w:sz w:val="26"/>
          <w:szCs w:val="26"/>
        </w:rPr>
        <w:t xml:space="preserve">reported </w:t>
      </w:r>
      <w:r w:rsidR="009E6B9C">
        <w:rPr>
          <w:color w:val="000000"/>
          <w:sz w:val="26"/>
          <w:szCs w:val="26"/>
        </w:rPr>
        <w:t>four</w:t>
      </w:r>
      <w:r w:rsidR="009E6B9C" w:rsidRPr="00036F02">
        <w:rPr>
          <w:color w:val="000000"/>
          <w:sz w:val="26"/>
          <w:szCs w:val="26"/>
        </w:rPr>
        <w:t xml:space="preserve"> individuals in </w:t>
      </w:r>
      <w:r w:rsidR="009E6B9C">
        <w:rPr>
          <w:color w:val="000000"/>
          <w:sz w:val="26"/>
          <w:szCs w:val="26"/>
        </w:rPr>
        <w:t>her</w:t>
      </w:r>
      <w:r w:rsidR="009E6B9C" w:rsidRPr="00036F02">
        <w:rPr>
          <w:color w:val="000000"/>
          <w:sz w:val="26"/>
          <w:szCs w:val="26"/>
        </w:rPr>
        <w:t xml:space="preserve"> household and </w:t>
      </w:r>
      <w:r w:rsidR="009E6B9C">
        <w:rPr>
          <w:color w:val="000000"/>
          <w:sz w:val="26"/>
          <w:szCs w:val="26"/>
        </w:rPr>
        <w:t>a</w:t>
      </w:r>
      <w:r w:rsidR="009E6B9C" w:rsidRPr="00036F02">
        <w:rPr>
          <w:color w:val="000000"/>
          <w:sz w:val="26"/>
          <w:szCs w:val="26"/>
        </w:rPr>
        <w:t xml:space="preserve"> gross household income </w:t>
      </w:r>
      <w:r w:rsidR="009E6B9C">
        <w:rPr>
          <w:color w:val="000000"/>
          <w:sz w:val="26"/>
          <w:szCs w:val="26"/>
        </w:rPr>
        <w:t>of</w:t>
      </w:r>
      <w:r w:rsidR="009E6B9C" w:rsidRPr="00036F02">
        <w:rPr>
          <w:color w:val="000000"/>
          <w:sz w:val="26"/>
          <w:szCs w:val="26"/>
        </w:rPr>
        <w:t xml:space="preserve"> $1,473.33 per month. </w:t>
      </w:r>
      <w:r w:rsidR="009E6B9C">
        <w:rPr>
          <w:color w:val="000000"/>
          <w:sz w:val="26"/>
          <w:szCs w:val="26"/>
        </w:rPr>
        <w:t xml:space="preserve"> A</w:t>
      </w:r>
      <w:r w:rsidR="009E6B9C" w:rsidRPr="00036F02">
        <w:rPr>
          <w:color w:val="000000"/>
          <w:sz w:val="26"/>
          <w:szCs w:val="26"/>
        </w:rPr>
        <w:t>t the time of her enrollment in PECO’s CAP FCO</w:t>
      </w:r>
      <w:r w:rsidR="009E6B9C">
        <w:rPr>
          <w:color w:val="000000"/>
          <w:sz w:val="26"/>
          <w:szCs w:val="26"/>
        </w:rPr>
        <w:t>,</w:t>
      </w:r>
      <w:r w:rsidR="009E6B9C" w:rsidRPr="00036F02">
        <w:rPr>
          <w:color w:val="000000"/>
          <w:sz w:val="26"/>
          <w:szCs w:val="26"/>
        </w:rPr>
        <w:t xml:space="preserve"> Ms. Mohamed’s gross household income placed her at 71% of the federal poverty level. </w:t>
      </w:r>
      <w:r w:rsidR="009E6B9C">
        <w:rPr>
          <w:color w:val="000000"/>
          <w:sz w:val="26"/>
          <w:szCs w:val="26"/>
        </w:rPr>
        <w:t xml:space="preserve"> I.D. at 9 (citing </w:t>
      </w:r>
      <w:r w:rsidR="009E6B9C" w:rsidRPr="00036F02">
        <w:rPr>
          <w:color w:val="000000"/>
          <w:sz w:val="26"/>
          <w:szCs w:val="26"/>
        </w:rPr>
        <w:t xml:space="preserve">Tr. </w:t>
      </w:r>
      <w:r w:rsidR="009E6B9C">
        <w:rPr>
          <w:color w:val="000000"/>
          <w:sz w:val="26"/>
          <w:szCs w:val="26"/>
        </w:rPr>
        <w:t>at 46-</w:t>
      </w:r>
      <w:r w:rsidR="009E6B9C" w:rsidRPr="00036F02">
        <w:rPr>
          <w:color w:val="000000"/>
          <w:sz w:val="26"/>
          <w:szCs w:val="26"/>
        </w:rPr>
        <w:t>47</w:t>
      </w:r>
      <w:r w:rsidR="009E6B9C">
        <w:rPr>
          <w:color w:val="000000"/>
          <w:sz w:val="26"/>
          <w:szCs w:val="26"/>
        </w:rPr>
        <w:t>)</w:t>
      </w:r>
      <w:r w:rsidR="009E6B9C" w:rsidRPr="00036F02">
        <w:rPr>
          <w:color w:val="000000"/>
          <w:sz w:val="26"/>
          <w:szCs w:val="26"/>
        </w:rPr>
        <w:t>.</w:t>
      </w:r>
    </w:p>
    <w:p w14:paraId="5C034E80" w14:textId="77777777" w:rsidR="009E6B9C" w:rsidRPr="00036F02" w:rsidRDefault="009E6B9C" w:rsidP="009E6B9C">
      <w:pPr>
        <w:spacing w:line="360" w:lineRule="auto"/>
        <w:ind w:left="72" w:right="144" w:firstLine="1440"/>
        <w:textAlignment w:val="baseline"/>
        <w:rPr>
          <w:color w:val="000000"/>
          <w:sz w:val="26"/>
          <w:szCs w:val="26"/>
        </w:rPr>
      </w:pPr>
    </w:p>
    <w:p w14:paraId="05E77DD0" w14:textId="152AB54C" w:rsidR="009E6B9C" w:rsidRDefault="00B314FA" w:rsidP="00B314FA">
      <w:pPr>
        <w:spacing w:line="360" w:lineRule="auto"/>
        <w:ind w:left="72" w:firstLine="1440"/>
        <w:textAlignment w:val="baseline"/>
        <w:rPr>
          <w:color w:val="000000"/>
          <w:sz w:val="26"/>
          <w:szCs w:val="26"/>
        </w:rPr>
      </w:pPr>
      <w:r>
        <w:rPr>
          <w:color w:val="000000"/>
          <w:spacing w:val="-1"/>
          <w:sz w:val="26"/>
          <w:szCs w:val="26"/>
        </w:rPr>
        <w:t>The ALJ cited to the terms of P</w:t>
      </w:r>
      <w:r w:rsidR="009E6B9C" w:rsidRPr="00036F02">
        <w:rPr>
          <w:color w:val="000000"/>
          <w:spacing w:val="-1"/>
          <w:sz w:val="26"/>
          <w:szCs w:val="26"/>
        </w:rPr>
        <w:t>ECO’s CAP FCO</w:t>
      </w:r>
      <w:r>
        <w:rPr>
          <w:color w:val="000000"/>
          <w:spacing w:val="-1"/>
          <w:sz w:val="26"/>
          <w:szCs w:val="26"/>
        </w:rPr>
        <w:t xml:space="preserve"> which provides that</w:t>
      </w:r>
      <w:r w:rsidR="009E6B9C">
        <w:rPr>
          <w:color w:val="000000"/>
          <w:spacing w:val="-1"/>
          <w:sz w:val="26"/>
          <w:szCs w:val="26"/>
        </w:rPr>
        <w:t xml:space="preserve"> </w:t>
      </w:r>
      <w:r w:rsidR="009E6B9C" w:rsidRPr="00036F02">
        <w:rPr>
          <w:color w:val="000000"/>
          <w:spacing w:val="-1"/>
          <w:sz w:val="26"/>
          <w:szCs w:val="26"/>
        </w:rPr>
        <w:t xml:space="preserve">the energy burden for customers whose annual gross income falls between 51% and 100% of the federal poverty level is set at 6% of their annual income. </w:t>
      </w:r>
      <w:r w:rsidR="009E6B9C">
        <w:rPr>
          <w:color w:val="000000"/>
          <w:spacing w:val="-1"/>
          <w:sz w:val="26"/>
          <w:szCs w:val="26"/>
        </w:rPr>
        <w:t xml:space="preserve"> The evidence indicated that o</w:t>
      </w:r>
      <w:r w:rsidR="009E6B9C" w:rsidRPr="00036F02">
        <w:rPr>
          <w:color w:val="000000"/>
          <w:spacing w:val="-1"/>
          <w:sz w:val="26"/>
          <w:szCs w:val="26"/>
        </w:rPr>
        <w:t xml:space="preserve">n June 22, 2017, Ms. Mohamed’s energy burden was calculated at $1,060.80 per year. </w:t>
      </w:r>
      <w:r w:rsidR="009E6B9C">
        <w:rPr>
          <w:color w:val="000000"/>
          <w:spacing w:val="-1"/>
          <w:sz w:val="26"/>
          <w:szCs w:val="26"/>
        </w:rPr>
        <w:t xml:space="preserve">  Thus, the Respondent found her to be inel</w:t>
      </w:r>
      <w:r w:rsidR="009E6B9C" w:rsidRPr="00036F02">
        <w:rPr>
          <w:color w:val="000000"/>
          <w:spacing w:val="-1"/>
          <w:sz w:val="26"/>
          <w:szCs w:val="26"/>
        </w:rPr>
        <w:t xml:space="preserve">igible to receive a credit on her account with PECO because her undiscounted charges for electricity usage in the previous </w:t>
      </w:r>
      <w:r w:rsidR="009E6B9C">
        <w:rPr>
          <w:color w:val="000000"/>
          <w:spacing w:val="-1"/>
          <w:sz w:val="26"/>
          <w:szCs w:val="26"/>
        </w:rPr>
        <w:t>twelve</w:t>
      </w:r>
      <w:r w:rsidR="009E6B9C" w:rsidRPr="00036F02">
        <w:rPr>
          <w:color w:val="000000"/>
          <w:spacing w:val="-1"/>
          <w:sz w:val="26"/>
          <w:szCs w:val="26"/>
        </w:rPr>
        <w:t xml:space="preserve">-month period did not exceed her energy burden of $1,060.80 per year. </w:t>
      </w:r>
      <w:r w:rsidR="00E65153">
        <w:rPr>
          <w:color w:val="000000"/>
          <w:spacing w:val="-1"/>
          <w:sz w:val="26"/>
          <w:szCs w:val="26"/>
        </w:rPr>
        <w:t xml:space="preserve"> </w:t>
      </w:r>
      <w:r w:rsidR="009E6B9C">
        <w:rPr>
          <w:color w:val="000000"/>
          <w:spacing w:val="-1"/>
          <w:sz w:val="26"/>
          <w:szCs w:val="26"/>
        </w:rPr>
        <w:t xml:space="preserve">Additionally, the </w:t>
      </w:r>
      <w:r w:rsidR="009E6B9C">
        <w:rPr>
          <w:color w:val="000000"/>
          <w:spacing w:val="-1"/>
          <w:sz w:val="26"/>
          <w:szCs w:val="26"/>
        </w:rPr>
        <w:lastRenderedPageBreak/>
        <w:t xml:space="preserve">ALJ emphasized that </w:t>
      </w:r>
      <w:r w:rsidR="009E6B9C" w:rsidRPr="00036F02">
        <w:rPr>
          <w:color w:val="000000"/>
          <w:spacing w:val="-1"/>
          <w:sz w:val="26"/>
          <w:szCs w:val="26"/>
        </w:rPr>
        <w:t xml:space="preserve">Ms. Mohamed’s undiscounted </w:t>
      </w:r>
      <w:r w:rsidR="00BC081F">
        <w:rPr>
          <w:color w:val="000000"/>
          <w:spacing w:val="-1"/>
          <w:sz w:val="26"/>
          <w:szCs w:val="26"/>
        </w:rPr>
        <w:t>c</w:t>
      </w:r>
      <w:r w:rsidR="009E6B9C" w:rsidRPr="00036F02">
        <w:rPr>
          <w:color w:val="000000"/>
          <w:spacing w:val="-1"/>
          <w:sz w:val="26"/>
          <w:szCs w:val="26"/>
        </w:rPr>
        <w:t xml:space="preserve">harge for electricity </w:t>
      </w:r>
      <w:r w:rsidR="009E6B9C" w:rsidRPr="00036F02">
        <w:rPr>
          <w:color w:val="000000"/>
          <w:sz w:val="26"/>
          <w:szCs w:val="26"/>
        </w:rPr>
        <w:t xml:space="preserve">usage in the </w:t>
      </w:r>
      <w:r w:rsidR="009E6B9C">
        <w:rPr>
          <w:color w:val="000000"/>
          <w:sz w:val="26"/>
          <w:szCs w:val="26"/>
        </w:rPr>
        <w:t>twelve</w:t>
      </w:r>
      <w:r w:rsidR="009E6B9C" w:rsidRPr="00036F02">
        <w:rPr>
          <w:color w:val="000000"/>
          <w:sz w:val="26"/>
          <w:szCs w:val="26"/>
        </w:rPr>
        <w:t>-month period of January 2017 to December 2017 w</w:t>
      </w:r>
      <w:r w:rsidR="009E6B9C">
        <w:rPr>
          <w:color w:val="000000"/>
          <w:sz w:val="26"/>
          <w:szCs w:val="26"/>
        </w:rPr>
        <w:t>as</w:t>
      </w:r>
      <w:r w:rsidR="009E6B9C" w:rsidRPr="00036F02">
        <w:rPr>
          <w:color w:val="000000"/>
          <w:sz w:val="26"/>
          <w:szCs w:val="26"/>
        </w:rPr>
        <w:t xml:space="preserve"> $961.90, and for the </w:t>
      </w:r>
      <w:r>
        <w:rPr>
          <w:color w:val="000000"/>
          <w:sz w:val="26"/>
          <w:szCs w:val="26"/>
        </w:rPr>
        <w:t>twelve</w:t>
      </w:r>
      <w:r w:rsidR="009E6B9C" w:rsidRPr="00036F02">
        <w:rPr>
          <w:color w:val="000000"/>
          <w:sz w:val="26"/>
          <w:szCs w:val="26"/>
        </w:rPr>
        <w:t xml:space="preserve">-month period of April 2017 to March 2018 </w:t>
      </w:r>
      <w:r w:rsidR="009E6B9C">
        <w:rPr>
          <w:color w:val="000000"/>
          <w:sz w:val="26"/>
          <w:szCs w:val="26"/>
        </w:rPr>
        <w:t>was</w:t>
      </w:r>
      <w:r w:rsidR="009E6B9C" w:rsidRPr="00036F02">
        <w:rPr>
          <w:color w:val="000000"/>
          <w:sz w:val="26"/>
          <w:szCs w:val="26"/>
        </w:rPr>
        <w:t xml:space="preserve"> $964.99. </w:t>
      </w:r>
      <w:r w:rsidR="009E6B9C">
        <w:rPr>
          <w:color w:val="000000"/>
          <w:sz w:val="26"/>
          <w:szCs w:val="26"/>
        </w:rPr>
        <w:t xml:space="preserve"> </w:t>
      </w:r>
      <w:r w:rsidR="009E6B9C" w:rsidRPr="00036F02">
        <w:rPr>
          <w:color w:val="000000"/>
          <w:sz w:val="26"/>
          <w:szCs w:val="26"/>
        </w:rPr>
        <w:t>As of the hearing</w:t>
      </w:r>
      <w:r w:rsidR="00DC459A">
        <w:rPr>
          <w:color w:val="000000"/>
          <w:sz w:val="26"/>
          <w:szCs w:val="26"/>
        </w:rPr>
        <w:t xml:space="preserve"> date</w:t>
      </w:r>
      <w:r w:rsidR="009E6B9C" w:rsidRPr="00036F02">
        <w:rPr>
          <w:color w:val="000000"/>
          <w:sz w:val="26"/>
          <w:szCs w:val="26"/>
        </w:rPr>
        <w:t xml:space="preserve">, </w:t>
      </w:r>
      <w:r w:rsidR="009E6B9C">
        <w:rPr>
          <w:color w:val="000000"/>
          <w:sz w:val="26"/>
          <w:szCs w:val="26"/>
        </w:rPr>
        <w:t xml:space="preserve">the ALJ continued, </w:t>
      </w:r>
      <w:r w:rsidR="009E6B9C" w:rsidRPr="00036F02">
        <w:rPr>
          <w:color w:val="000000"/>
          <w:sz w:val="26"/>
          <w:szCs w:val="26"/>
        </w:rPr>
        <w:t xml:space="preserve">Ms. Mohamed </w:t>
      </w:r>
      <w:r w:rsidR="009E6B9C">
        <w:rPr>
          <w:color w:val="000000"/>
          <w:sz w:val="26"/>
          <w:szCs w:val="26"/>
        </w:rPr>
        <w:t>was</w:t>
      </w:r>
      <w:r w:rsidR="009E6B9C" w:rsidRPr="00036F02">
        <w:rPr>
          <w:color w:val="000000"/>
          <w:sz w:val="26"/>
          <w:szCs w:val="26"/>
        </w:rPr>
        <w:t xml:space="preserve"> enrolled in PECO’s CAP FCO, yet </w:t>
      </w:r>
      <w:r w:rsidR="009E6B9C">
        <w:rPr>
          <w:color w:val="000000"/>
          <w:sz w:val="26"/>
          <w:szCs w:val="26"/>
        </w:rPr>
        <w:t>was</w:t>
      </w:r>
      <w:r w:rsidR="009E6B9C" w:rsidRPr="00036F02">
        <w:rPr>
          <w:color w:val="000000"/>
          <w:sz w:val="26"/>
          <w:szCs w:val="26"/>
        </w:rPr>
        <w:t xml:space="preserve"> still ineligible to receive a credit. </w:t>
      </w:r>
      <w:r w:rsidR="009E6B9C">
        <w:rPr>
          <w:color w:val="000000"/>
          <w:sz w:val="26"/>
          <w:szCs w:val="26"/>
        </w:rPr>
        <w:t xml:space="preserve"> I.D. at 9-10 (citing </w:t>
      </w:r>
      <w:r w:rsidR="009E6B9C" w:rsidRPr="00036F02">
        <w:rPr>
          <w:color w:val="000000"/>
          <w:sz w:val="26"/>
          <w:szCs w:val="26"/>
        </w:rPr>
        <w:t xml:space="preserve">Tr. </w:t>
      </w:r>
      <w:r w:rsidR="009E6B9C">
        <w:rPr>
          <w:color w:val="000000"/>
          <w:sz w:val="26"/>
          <w:szCs w:val="26"/>
        </w:rPr>
        <w:t xml:space="preserve">at </w:t>
      </w:r>
      <w:r w:rsidR="009E6B9C" w:rsidRPr="00036F02">
        <w:rPr>
          <w:color w:val="000000"/>
          <w:sz w:val="26"/>
          <w:szCs w:val="26"/>
        </w:rPr>
        <w:t>4</w:t>
      </w:r>
      <w:r w:rsidR="009E6B9C">
        <w:rPr>
          <w:color w:val="000000"/>
          <w:sz w:val="26"/>
          <w:szCs w:val="26"/>
        </w:rPr>
        <w:t>6</w:t>
      </w:r>
      <w:r w:rsidR="009E6B9C" w:rsidRPr="00036F02">
        <w:rPr>
          <w:color w:val="000000"/>
          <w:sz w:val="26"/>
          <w:szCs w:val="26"/>
        </w:rPr>
        <w:t>-50</w:t>
      </w:r>
      <w:r w:rsidR="009E6B9C">
        <w:rPr>
          <w:color w:val="000000"/>
          <w:sz w:val="26"/>
          <w:szCs w:val="26"/>
        </w:rPr>
        <w:t>; PECO Exhs. 5-6; PECO late-filed Exh. 8)</w:t>
      </w:r>
      <w:r w:rsidR="009E6B9C" w:rsidRPr="00036F02">
        <w:rPr>
          <w:color w:val="000000"/>
          <w:sz w:val="26"/>
          <w:szCs w:val="26"/>
        </w:rPr>
        <w:t>.</w:t>
      </w:r>
    </w:p>
    <w:p w14:paraId="1CD24AF7" w14:textId="77777777" w:rsidR="009E6B9C" w:rsidRPr="00036F02" w:rsidRDefault="009E6B9C" w:rsidP="009E6B9C">
      <w:pPr>
        <w:spacing w:line="360" w:lineRule="auto"/>
        <w:ind w:left="72" w:right="144" w:firstLine="1440"/>
        <w:textAlignment w:val="baseline"/>
        <w:rPr>
          <w:color w:val="000000"/>
          <w:sz w:val="26"/>
          <w:szCs w:val="26"/>
        </w:rPr>
      </w:pPr>
    </w:p>
    <w:p w14:paraId="4A929443" w14:textId="02CCC070" w:rsidR="009E6B9C" w:rsidRDefault="009E6B9C" w:rsidP="00B314FA">
      <w:pPr>
        <w:spacing w:line="360" w:lineRule="auto"/>
        <w:ind w:left="72" w:firstLine="1440"/>
        <w:textAlignment w:val="baseline"/>
        <w:rPr>
          <w:color w:val="000000"/>
          <w:sz w:val="26"/>
          <w:szCs w:val="26"/>
        </w:rPr>
      </w:pPr>
      <w:r>
        <w:rPr>
          <w:color w:val="000000"/>
          <w:sz w:val="26"/>
          <w:szCs w:val="26"/>
        </w:rPr>
        <w:t>Next, the ALJ addressed our Policy Statement on CAP design elements, 52</w:t>
      </w:r>
      <w:r w:rsidR="00340594">
        <w:rPr>
          <w:color w:val="000000"/>
          <w:sz w:val="26"/>
          <w:szCs w:val="26"/>
        </w:rPr>
        <w:t> </w:t>
      </w:r>
      <w:r>
        <w:rPr>
          <w:color w:val="000000"/>
          <w:sz w:val="26"/>
          <w:szCs w:val="26"/>
        </w:rPr>
        <w:t xml:space="preserve">Pa. Code § 69.265, which pertains to </w:t>
      </w:r>
      <w:r w:rsidRPr="00036F02">
        <w:rPr>
          <w:color w:val="000000"/>
          <w:sz w:val="26"/>
          <w:szCs w:val="26"/>
        </w:rPr>
        <w:t>customer energy burden</w:t>
      </w:r>
      <w:r w:rsidR="00B314FA">
        <w:rPr>
          <w:color w:val="000000"/>
          <w:sz w:val="26"/>
          <w:szCs w:val="26"/>
        </w:rPr>
        <w:t>,</w:t>
      </w:r>
      <w:r w:rsidRPr="00036F02">
        <w:rPr>
          <w:color w:val="000000"/>
          <w:sz w:val="26"/>
          <w:szCs w:val="26"/>
        </w:rPr>
        <w:t xml:space="preserve"> </w:t>
      </w:r>
      <w:r>
        <w:rPr>
          <w:color w:val="000000"/>
          <w:sz w:val="26"/>
          <w:szCs w:val="26"/>
        </w:rPr>
        <w:t xml:space="preserve">and </w:t>
      </w:r>
      <w:r w:rsidRPr="00036F02">
        <w:rPr>
          <w:color w:val="000000"/>
          <w:sz w:val="26"/>
          <w:szCs w:val="26"/>
        </w:rPr>
        <w:t>provides in pertinent part:</w:t>
      </w:r>
    </w:p>
    <w:p w14:paraId="744EA075" w14:textId="77777777" w:rsidR="009E6B9C" w:rsidRPr="00036F02" w:rsidRDefault="009E6B9C" w:rsidP="009E6B9C">
      <w:pPr>
        <w:spacing w:line="360" w:lineRule="auto"/>
        <w:ind w:left="72" w:right="432" w:firstLine="1440"/>
        <w:textAlignment w:val="baseline"/>
        <w:rPr>
          <w:color w:val="000000"/>
          <w:sz w:val="26"/>
          <w:szCs w:val="26"/>
        </w:rPr>
      </w:pPr>
    </w:p>
    <w:p w14:paraId="3BBDF454" w14:textId="4497C032" w:rsidR="009E6B9C" w:rsidRPr="00036F02" w:rsidRDefault="009E6B9C" w:rsidP="009E6B9C">
      <w:pPr>
        <w:tabs>
          <w:tab w:val="left" w:pos="1440"/>
        </w:tabs>
        <w:ind w:left="1440" w:right="1512"/>
        <w:textAlignment w:val="baseline"/>
        <w:rPr>
          <w:b/>
          <w:color w:val="000000"/>
          <w:sz w:val="26"/>
          <w:szCs w:val="26"/>
        </w:rPr>
      </w:pPr>
      <w:r w:rsidRPr="00E16A00">
        <w:rPr>
          <w:bCs/>
          <w:color w:val="000000"/>
          <w:sz w:val="26"/>
          <w:szCs w:val="26"/>
        </w:rPr>
        <w:t xml:space="preserve">(2) </w:t>
      </w:r>
      <w:r w:rsidRPr="00E16A00">
        <w:rPr>
          <w:bCs/>
          <w:i/>
          <w:color w:val="000000"/>
          <w:sz w:val="26"/>
          <w:szCs w:val="26"/>
        </w:rPr>
        <w:t>Payment plan proposal.</w:t>
      </w:r>
      <w:r w:rsidRPr="00036F02">
        <w:rPr>
          <w:b/>
          <w:i/>
          <w:color w:val="000000"/>
          <w:sz w:val="26"/>
          <w:szCs w:val="26"/>
        </w:rPr>
        <w:t xml:space="preserve"> </w:t>
      </w:r>
      <w:r w:rsidRPr="00036F02">
        <w:rPr>
          <w:color w:val="000000"/>
          <w:sz w:val="26"/>
          <w:szCs w:val="26"/>
        </w:rPr>
        <w:t xml:space="preserve">Generally, CAP payments for total electric and natural gas home energy should not exceed 17% of the CAP participant's annual income. The minimum payment should not be less than the guidelines in paragraph (3)(v)(A) and (B). </w:t>
      </w:r>
      <w:r>
        <w:rPr>
          <w:color w:val="000000"/>
          <w:sz w:val="26"/>
          <w:szCs w:val="26"/>
        </w:rPr>
        <w:t xml:space="preserve"> </w:t>
      </w:r>
      <w:r w:rsidRPr="00036F02">
        <w:rPr>
          <w:color w:val="000000"/>
          <w:sz w:val="26"/>
          <w:szCs w:val="26"/>
        </w:rPr>
        <w:t>Payment plans should be based on one or a combination of the following:</w:t>
      </w:r>
    </w:p>
    <w:p w14:paraId="732CF92C" w14:textId="0CB52A70" w:rsidR="00B314FA" w:rsidRPr="00036F02" w:rsidRDefault="009E6B9C" w:rsidP="009E6B9C">
      <w:pPr>
        <w:tabs>
          <w:tab w:val="left" w:pos="1440"/>
        </w:tabs>
        <w:ind w:left="1440" w:right="1656" w:firstLine="720"/>
        <w:textAlignment w:val="baseline"/>
        <w:rPr>
          <w:color w:val="000000"/>
          <w:spacing w:val="-1"/>
          <w:sz w:val="26"/>
          <w:szCs w:val="26"/>
        </w:rPr>
      </w:pPr>
      <w:r w:rsidRPr="00E16A00">
        <w:rPr>
          <w:bCs/>
          <w:color w:val="000000"/>
          <w:sz w:val="26"/>
          <w:szCs w:val="26"/>
        </w:rPr>
        <w:t xml:space="preserve">(i) </w:t>
      </w:r>
      <w:r w:rsidRPr="00E16A00">
        <w:rPr>
          <w:bCs/>
          <w:i/>
          <w:color w:val="000000"/>
          <w:sz w:val="26"/>
          <w:szCs w:val="26"/>
        </w:rPr>
        <w:t>Percentage of income plan.</w:t>
      </w:r>
      <w:r w:rsidRPr="00036F02">
        <w:rPr>
          <w:b/>
          <w:i/>
          <w:color w:val="000000"/>
          <w:sz w:val="26"/>
          <w:szCs w:val="26"/>
        </w:rPr>
        <w:t xml:space="preserve"> </w:t>
      </w:r>
      <w:r w:rsidRPr="00036F02">
        <w:rPr>
          <w:color w:val="000000"/>
          <w:sz w:val="26"/>
          <w:szCs w:val="26"/>
        </w:rPr>
        <w:t>Total payment for total electric and natural gas home energy under a percentage of income plan is determined based upon a scheduled percentage of the participant's annual gross income. The participating</w:t>
      </w:r>
      <w:r>
        <w:rPr>
          <w:color w:val="000000"/>
          <w:sz w:val="26"/>
          <w:szCs w:val="26"/>
        </w:rPr>
        <w:t xml:space="preserve"> </w:t>
      </w:r>
      <w:r w:rsidRPr="00036F02">
        <w:rPr>
          <w:color w:val="000000"/>
          <w:sz w:val="26"/>
          <w:szCs w:val="26"/>
        </w:rPr>
        <w:t>household's gross income and family size place the family at a particular poverty level based on Federal poverty income</w:t>
      </w:r>
      <w:r>
        <w:rPr>
          <w:color w:val="000000"/>
          <w:sz w:val="26"/>
          <w:szCs w:val="26"/>
        </w:rPr>
        <w:t xml:space="preserve"> </w:t>
      </w:r>
      <w:r w:rsidRPr="00036F02">
        <w:rPr>
          <w:color w:val="000000"/>
          <w:spacing w:val="-1"/>
          <w:sz w:val="26"/>
          <w:szCs w:val="26"/>
        </w:rPr>
        <w:t>guidelines.</w:t>
      </w:r>
    </w:p>
    <w:p w14:paraId="6A85E122" w14:textId="77777777" w:rsidR="009E6B9C" w:rsidRPr="00036F02" w:rsidRDefault="009E6B9C" w:rsidP="009E6B9C">
      <w:pPr>
        <w:tabs>
          <w:tab w:val="left" w:pos="1440"/>
        </w:tabs>
        <w:ind w:left="1440" w:right="1944" w:firstLine="1080"/>
        <w:textAlignment w:val="baseline"/>
        <w:rPr>
          <w:b/>
          <w:color w:val="000000"/>
          <w:spacing w:val="-1"/>
          <w:sz w:val="26"/>
          <w:szCs w:val="26"/>
        </w:rPr>
      </w:pPr>
      <w:r w:rsidRPr="00E16A00">
        <w:rPr>
          <w:bCs/>
          <w:color w:val="000000"/>
          <w:spacing w:val="-1"/>
          <w:sz w:val="26"/>
          <w:szCs w:val="26"/>
        </w:rPr>
        <w:t>(A)</w:t>
      </w:r>
      <w:r w:rsidRPr="00036F02">
        <w:rPr>
          <w:b/>
          <w:color w:val="000000"/>
          <w:spacing w:val="-1"/>
          <w:sz w:val="26"/>
          <w:szCs w:val="26"/>
        </w:rPr>
        <w:t xml:space="preserve"> </w:t>
      </w:r>
      <w:r w:rsidRPr="00036F02">
        <w:rPr>
          <w:color w:val="000000"/>
          <w:spacing w:val="-1"/>
          <w:sz w:val="26"/>
          <w:szCs w:val="26"/>
        </w:rPr>
        <w:t>Generally, maximum payments for electric nonheating service should be within the following ranges:</w:t>
      </w:r>
    </w:p>
    <w:p w14:paraId="2D1AD46F" w14:textId="77777777" w:rsidR="009E6B9C" w:rsidRPr="00036F02" w:rsidRDefault="009E6B9C" w:rsidP="009E6B9C">
      <w:pPr>
        <w:widowControl/>
        <w:numPr>
          <w:ilvl w:val="0"/>
          <w:numId w:val="4"/>
        </w:numPr>
        <w:tabs>
          <w:tab w:val="clear" w:pos="360"/>
          <w:tab w:val="left" w:pos="1440"/>
          <w:tab w:val="left" w:pos="3384"/>
        </w:tabs>
        <w:ind w:left="1440" w:right="1512" w:firstLine="1512"/>
        <w:textAlignment w:val="baseline"/>
        <w:rPr>
          <w:color w:val="000000"/>
          <w:sz w:val="26"/>
          <w:szCs w:val="26"/>
        </w:rPr>
      </w:pPr>
      <w:r w:rsidRPr="00036F02">
        <w:rPr>
          <w:color w:val="000000"/>
          <w:sz w:val="26"/>
          <w:szCs w:val="26"/>
        </w:rPr>
        <w:t xml:space="preserve">Household income between 0 -- 50% of poverty at 2% </w:t>
      </w:r>
      <w:r>
        <w:rPr>
          <w:color w:val="000000"/>
          <w:sz w:val="26"/>
          <w:szCs w:val="26"/>
        </w:rPr>
        <w:t>--</w:t>
      </w:r>
      <w:r w:rsidRPr="00036F02">
        <w:rPr>
          <w:color w:val="000000"/>
          <w:sz w:val="26"/>
          <w:szCs w:val="26"/>
        </w:rPr>
        <w:t xml:space="preserve"> 5% of income.</w:t>
      </w:r>
    </w:p>
    <w:p w14:paraId="795467A9" w14:textId="77777777" w:rsidR="009E6B9C" w:rsidRPr="009C3B33" w:rsidRDefault="009E6B9C" w:rsidP="009E6B9C">
      <w:pPr>
        <w:widowControl/>
        <w:numPr>
          <w:ilvl w:val="0"/>
          <w:numId w:val="4"/>
        </w:numPr>
        <w:tabs>
          <w:tab w:val="left" w:pos="1440"/>
          <w:tab w:val="left" w:pos="3456"/>
        </w:tabs>
        <w:ind w:left="1440" w:right="1728" w:firstLine="1512"/>
        <w:textAlignment w:val="baseline"/>
        <w:rPr>
          <w:b/>
          <w:i/>
          <w:iCs/>
          <w:color w:val="000000"/>
          <w:sz w:val="26"/>
          <w:szCs w:val="26"/>
        </w:rPr>
      </w:pPr>
      <w:r w:rsidRPr="009C3B33">
        <w:rPr>
          <w:b/>
          <w:i/>
          <w:iCs/>
          <w:color w:val="000000"/>
          <w:sz w:val="26"/>
          <w:szCs w:val="26"/>
        </w:rPr>
        <w:t>Household income between 51 -- 100% of poverty at 4% -- 6% of income.</w:t>
      </w:r>
    </w:p>
    <w:p w14:paraId="3619A738" w14:textId="77777777" w:rsidR="009E6B9C" w:rsidRDefault="009E6B9C" w:rsidP="009E6B9C">
      <w:pPr>
        <w:widowControl/>
        <w:numPr>
          <w:ilvl w:val="0"/>
          <w:numId w:val="4"/>
        </w:numPr>
        <w:tabs>
          <w:tab w:val="left" w:pos="1440"/>
          <w:tab w:val="left" w:pos="3528"/>
        </w:tabs>
        <w:ind w:left="1440" w:right="1728" w:firstLine="1512"/>
        <w:textAlignment w:val="baseline"/>
        <w:rPr>
          <w:color w:val="000000"/>
          <w:sz w:val="26"/>
          <w:szCs w:val="26"/>
        </w:rPr>
      </w:pPr>
      <w:r w:rsidRPr="00036F02">
        <w:rPr>
          <w:color w:val="000000"/>
          <w:sz w:val="26"/>
          <w:szCs w:val="26"/>
        </w:rPr>
        <w:t>Household income between 101 -- 150% of poverty at 6% -- 7% of income.</w:t>
      </w:r>
    </w:p>
    <w:p w14:paraId="1130EDAF" w14:textId="77777777" w:rsidR="009E6B9C" w:rsidRPr="00036F02" w:rsidRDefault="009E6B9C" w:rsidP="009E6B9C">
      <w:pPr>
        <w:tabs>
          <w:tab w:val="left" w:pos="1440"/>
          <w:tab w:val="left" w:pos="3528"/>
        </w:tabs>
        <w:ind w:left="2952" w:right="1728"/>
        <w:textAlignment w:val="baseline"/>
        <w:rPr>
          <w:color w:val="000000"/>
          <w:sz w:val="26"/>
          <w:szCs w:val="26"/>
        </w:rPr>
      </w:pPr>
    </w:p>
    <w:p w14:paraId="24D73EB9" w14:textId="5CE953B4" w:rsidR="009C3B33" w:rsidRDefault="009C3B33" w:rsidP="009C3B33">
      <w:pPr>
        <w:spacing w:line="360" w:lineRule="auto"/>
        <w:ind w:left="72"/>
        <w:textAlignment w:val="baseline"/>
        <w:rPr>
          <w:color w:val="000000"/>
          <w:spacing w:val="-1"/>
          <w:sz w:val="26"/>
          <w:szCs w:val="26"/>
        </w:rPr>
      </w:pPr>
      <w:r>
        <w:rPr>
          <w:color w:val="000000"/>
          <w:sz w:val="26"/>
          <w:szCs w:val="26"/>
        </w:rPr>
        <w:t xml:space="preserve">I.D. at 10 (quoting </w:t>
      </w:r>
      <w:r w:rsidR="009E6B9C" w:rsidRPr="00036F02">
        <w:rPr>
          <w:color w:val="000000"/>
          <w:sz w:val="26"/>
          <w:szCs w:val="26"/>
        </w:rPr>
        <w:t>52 Pa.</w:t>
      </w:r>
      <w:r w:rsidR="009E6B9C">
        <w:rPr>
          <w:color w:val="000000"/>
          <w:sz w:val="26"/>
          <w:szCs w:val="26"/>
        </w:rPr>
        <w:t xml:space="preserve"> </w:t>
      </w:r>
      <w:r w:rsidR="009E6B9C" w:rsidRPr="00036F02">
        <w:rPr>
          <w:color w:val="000000"/>
          <w:sz w:val="26"/>
          <w:szCs w:val="26"/>
        </w:rPr>
        <w:t>Code § 69.265(2)(i)(A)</w:t>
      </w:r>
      <w:r>
        <w:rPr>
          <w:color w:val="000000"/>
          <w:sz w:val="26"/>
          <w:szCs w:val="26"/>
        </w:rPr>
        <w:t xml:space="preserve"> (emphasis added by ALJ))</w:t>
      </w:r>
      <w:r w:rsidR="009E6B9C" w:rsidRPr="00036F02">
        <w:rPr>
          <w:color w:val="000000"/>
          <w:sz w:val="26"/>
          <w:szCs w:val="26"/>
        </w:rPr>
        <w:t xml:space="preserve">. </w:t>
      </w:r>
      <w:r w:rsidR="00B314FA">
        <w:rPr>
          <w:color w:val="000000"/>
          <w:sz w:val="26"/>
          <w:szCs w:val="26"/>
        </w:rPr>
        <w:t xml:space="preserve"> The ALJ explained that </w:t>
      </w:r>
      <w:r>
        <w:rPr>
          <w:color w:val="000000"/>
          <w:sz w:val="26"/>
          <w:szCs w:val="26"/>
        </w:rPr>
        <w:t xml:space="preserve">the requirements of the </w:t>
      </w:r>
      <w:r w:rsidRPr="009C3B33">
        <w:rPr>
          <w:i/>
          <w:iCs/>
          <w:color w:val="000000"/>
          <w:sz w:val="26"/>
          <w:szCs w:val="26"/>
        </w:rPr>
        <w:t>USECP Order</w:t>
      </w:r>
      <w:r>
        <w:rPr>
          <w:color w:val="000000"/>
          <w:sz w:val="26"/>
          <w:szCs w:val="26"/>
        </w:rPr>
        <w:t xml:space="preserve"> are incorporated in </w:t>
      </w:r>
      <w:r w:rsidR="009E6B9C" w:rsidRPr="00036F02">
        <w:rPr>
          <w:color w:val="000000"/>
          <w:spacing w:val="-1"/>
          <w:sz w:val="26"/>
          <w:szCs w:val="26"/>
        </w:rPr>
        <w:t xml:space="preserve">PECO’s CAP Rider under its current Commission-approved </w:t>
      </w:r>
      <w:r w:rsidR="00985369">
        <w:rPr>
          <w:color w:val="000000"/>
          <w:spacing w:val="-1"/>
          <w:sz w:val="26"/>
          <w:szCs w:val="26"/>
        </w:rPr>
        <w:t>t</w:t>
      </w:r>
      <w:r w:rsidR="009E6B9C" w:rsidRPr="00036F02">
        <w:rPr>
          <w:color w:val="000000"/>
          <w:spacing w:val="-1"/>
          <w:sz w:val="26"/>
          <w:szCs w:val="26"/>
        </w:rPr>
        <w:t>ariff</w:t>
      </w:r>
      <w:r>
        <w:rPr>
          <w:color w:val="000000"/>
          <w:spacing w:val="-1"/>
          <w:sz w:val="26"/>
          <w:szCs w:val="26"/>
        </w:rPr>
        <w:t xml:space="preserve">.  Here, the ALJ reasoned, the </w:t>
      </w:r>
      <w:r>
        <w:rPr>
          <w:color w:val="000000"/>
          <w:spacing w:val="-1"/>
          <w:sz w:val="26"/>
          <w:szCs w:val="26"/>
        </w:rPr>
        <w:lastRenderedPageBreak/>
        <w:t xml:space="preserve">Respondent has </w:t>
      </w:r>
      <w:r w:rsidR="009E6B9C" w:rsidRPr="00036F02">
        <w:rPr>
          <w:color w:val="000000"/>
          <w:spacing w:val="-1"/>
          <w:sz w:val="26"/>
          <w:szCs w:val="26"/>
        </w:rPr>
        <w:t>adopted the maximum of the payment ranges found in 52 Pa.</w:t>
      </w:r>
      <w:r>
        <w:rPr>
          <w:color w:val="000000"/>
          <w:spacing w:val="-1"/>
          <w:sz w:val="26"/>
          <w:szCs w:val="26"/>
        </w:rPr>
        <w:t xml:space="preserve"> </w:t>
      </w:r>
      <w:r w:rsidR="009E6B9C" w:rsidRPr="00036F02">
        <w:rPr>
          <w:color w:val="000000"/>
          <w:spacing w:val="-1"/>
          <w:sz w:val="26"/>
          <w:szCs w:val="26"/>
        </w:rPr>
        <w:t>Code §</w:t>
      </w:r>
      <w:r w:rsidR="00340594">
        <w:rPr>
          <w:color w:val="000000"/>
          <w:spacing w:val="-1"/>
          <w:sz w:val="26"/>
          <w:szCs w:val="26"/>
        </w:rPr>
        <w:t> </w:t>
      </w:r>
      <w:r w:rsidR="009E6B9C" w:rsidRPr="00036F02">
        <w:rPr>
          <w:color w:val="000000"/>
          <w:spacing w:val="-1"/>
          <w:sz w:val="26"/>
          <w:szCs w:val="26"/>
        </w:rPr>
        <w:t>69.265 for its calculations of the energy burden percentages.</w:t>
      </w:r>
      <w:r>
        <w:rPr>
          <w:color w:val="000000"/>
          <w:spacing w:val="-1"/>
          <w:sz w:val="26"/>
          <w:szCs w:val="26"/>
        </w:rPr>
        <w:t xml:space="preserve">  I.D. at 10.</w:t>
      </w:r>
    </w:p>
    <w:p w14:paraId="12CBDC6B" w14:textId="77777777" w:rsidR="009C3B33" w:rsidRDefault="009C3B33" w:rsidP="009C3B33">
      <w:pPr>
        <w:spacing w:line="360" w:lineRule="auto"/>
        <w:ind w:left="72"/>
        <w:textAlignment w:val="baseline"/>
        <w:rPr>
          <w:color w:val="000000"/>
          <w:spacing w:val="-1"/>
          <w:sz w:val="26"/>
          <w:szCs w:val="26"/>
        </w:rPr>
      </w:pPr>
    </w:p>
    <w:p w14:paraId="0DEE4DB0" w14:textId="2F58BB4A" w:rsidR="009E6B9C" w:rsidRPr="00036F02" w:rsidRDefault="009C3B33" w:rsidP="00985369">
      <w:pPr>
        <w:spacing w:line="360" w:lineRule="auto"/>
        <w:textAlignment w:val="baseline"/>
        <w:rPr>
          <w:color w:val="000000"/>
          <w:sz w:val="26"/>
          <w:szCs w:val="26"/>
        </w:rPr>
      </w:pPr>
      <w:r>
        <w:rPr>
          <w:color w:val="000000"/>
          <w:spacing w:val="-1"/>
          <w:sz w:val="26"/>
          <w:szCs w:val="26"/>
        </w:rPr>
        <w:tab/>
      </w:r>
      <w:r>
        <w:rPr>
          <w:color w:val="000000"/>
          <w:spacing w:val="-1"/>
          <w:sz w:val="26"/>
          <w:szCs w:val="26"/>
        </w:rPr>
        <w:tab/>
      </w:r>
      <w:r w:rsidR="009E6B9C" w:rsidRPr="00036F02">
        <w:rPr>
          <w:color w:val="000000"/>
          <w:spacing w:val="-1"/>
          <w:sz w:val="26"/>
          <w:szCs w:val="26"/>
        </w:rPr>
        <w:t xml:space="preserve">In addition, </w:t>
      </w:r>
      <w:r w:rsidR="00985369">
        <w:rPr>
          <w:color w:val="000000"/>
          <w:spacing w:val="-1"/>
          <w:sz w:val="26"/>
          <w:szCs w:val="26"/>
        </w:rPr>
        <w:t xml:space="preserve">the ALJ referenced PECO’s </w:t>
      </w:r>
      <w:r w:rsidR="009E6B9C" w:rsidRPr="00E65153">
        <w:rPr>
          <w:iCs/>
          <w:color w:val="000000"/>
          <w:spacing w:val="-1"/>
          <w:sz w:val="26"/>
          <w:szCs w:val="26"/>
        </w:rPr>
        <w:t>Universal Service and Energy Conservation Plan for 2016-2018</w:t>
      </w:r>
      <w:r w:rsidR="00985369">
        <w:rPr>
          <w:color w:val="000000"/>
          <w:spacing w:val="-1"/>
          <w:sz w:val="26"/>
          <w:szCs w:val="26"/>
        </w:rPr>
        <w:t>,</w:t>
      </w:r>
      <w:r w:rsidR="009E6B9C" w:rsidRPr="00036F02">
        <w:rPr>
          <w:color w:val="000000"/>
          <w:spacing w:val="-1"/>
          <w:sz w:val="26"/>
          <w:szCs w:val="26"/>
        </w:rPr>
        <w:t xml:space="preserve"> </w:t>
      </w:r>
      <w:r w:rsidR="00985369">
        <w:rPr>
          <w:color w:val="000000"/>
          <w:spacing w:val="-1"/>
          <w:sz w:val="26"/>
          <w:szCs w:val="26"/>
        </w:rPr>
        <w:t xml:space="preserve">which </w:t>
      </w:r>
      <w:r w:rsidR="009E6B9C" w:rsidRPr="00036F02">
        <w:rPr>
          <w:color w:val="000000"/>
          <w:spacing w:val="-1"/>
          <w:sz w:val="26"/>
          <w:szCs w:val="26"/>
        </w:rPr>
        <w:t>acknowledge</w:t>
      </w:r>
      <w:r w:rsidR="00985369">
        <w:rPr>
          <w:color w:val="000000"/>
          <w:spacing w:val="-1"/>
          <w:sz w:val="26"/>
          <w:szCs w:val="26"/>
        </w:rPr>
        <w:t>d</w:t>
      </w:r>
      <w:r w:rsidR="009E6B9C" w:rsidRPr="00036F02">
        <w:rPr>
          <w:color w:val="000000"/>
          <w:spacing w:val="-1"/>
          <w:sz w:val="26"/>
          <w:szCs w:val="26"/>
        </w:rPr>
        <w:t xml:space="preserve"> that </w:t>
      </w:r>
      <w:r w:rsidR="00985369">
        <w:rPr>
          <w:color w:val="000000"/>
          <w:spacing w:val="-1"/>
          <w:sz w:val="26"/>
          <w:szCs w:val="26"/>
        </w:rPr>
        <w:t>“</w:t>
      </w:r>
      <w:r w:rsidR="009E6B9C" w:rsidRPr="00036F02">
        <w:rPr>
          <w:color w:val="000000"/>
          <w:spacing w:val="-1"/>
          <w:sz w:val="26"/>
          <w:szCs w:val="26"/>
        </w:rPr>
        <w:t>under the FCO approach approximately 40,000 households that receive rate discounts under PECO’s [CAP Tier] program</w:t>
      </w:r>
      <w:r>
        <w:rPr>
          <w:color w:val="000000"/>
          <w:spacing w:val="-1"/>
          <w:sz w:val="26"/>
          <w:szCs w:val="26"/>
        </w:rPr>
        <w:t xml:space="preserve"> </w:t>
      </w:r>
      <w:r w:rsidR="009E6B9C" w:rsidRPr="00036F02">
        <w:rPr>
          <w:color w:val="000000"/>
          <w:sz w:val="26"/>
          <w:szCs w:val="26"/>
        </w:rPr>
        <w:t xml:space="preserve">will not receive discounts under the FCO.” </w:t>
      </w:r>
      <w:r w:rsidR="00985369">
        <w:rPr>
          <w:color w:val="000000"/>
          <w:sz w:val="26"/>
          <w:szCs w:val="26"/>
        </w:rPr>
        <w:t xml:space="preserve"> I.D. at 10 (quoting </w:t>
      </w:r>
      <w:r w:rsidR="009E6B9C" w:rsidRPr="00036F02">
        <w:rPr>
          <w:color w:val="000000"/>
          <w:sz w:val="26"/>
          <w:szCs w:val="26"/>
        </w:rPr>
        <w:t>PECO Exh</w:t>
      </w:r>
      <w:r w:rsidR="00985369">
        <w:rPr>
          <w:color w:val="000000"/>
          <w:sz w:val="26"/>
          <w:szCs w:val="26"/>
        </w:rPr>
        <w:t>.</w:t>
      </w:r>
      <w:r w:rsidR="009E6B9C" w:rsidRPr="00036F02">
        <w:rPr>
          <w:color w:val="000000"/>
          <w:sz w:val="26"/>
          <w:szCs w:val="26"/>
        </w:rPr>
        <w:t xml:space="preserve"> 6</w:t>
      </w:r>
      <w:r w:rsidR="00985369">
        <w:rPr>
          <w:color w:val="000000"/>
          <w:sz w:val="26"/>
          <w:szCs w:val="26"/>
        </w:rPr>
        <w:t xml:space="preserve"> at 34;</w:t>
      </w:r>
      <w:r w:rsidR="009E6B9C" w:rsidRPr="00036F02">
        <w:rPr>
          <w:color w:val="000000"/>
          <w:sz w:val="26"/>
          <w:szCs w:val="26"/>
        </w:rPr>
        <w:t xml:space="preserve"> </w:t>
      </w:r>
      <w:r w:rsidR="00985369">
        <w:rPr>
          <w:color w:val="000000"/>
          <w:sz w:val="26"/>
          <w:szCs w:val="26"/>
        </w:rPr>
        <w:t xml:space="preserve">and citing </w:t>
      </w:r>
      <w:r w:rsidR="009E6B9C" w:rsidRPr="00036F02">
        <w:rPr>
          <w:color w:val="000000"/>
          <w:sz w:val="26"/>
          <w:szCs w:val="26"/>
        </w:rPr>
        <w:t xml:space="preserve">Tr. </w:t>
      </w:r>
      <w:r w:rsidR="00985369">
        <w:rPr>
          <w:color w:val="000000"/>
          <w:sz w:val="26"/>
          <w:szCs w:val="26"/>
        </w:rPr>
        <w:t xml:space="preserve">at </w:t>
      </w:r>
      <w:r w:rsidR="009E6B9C" w:rsidRPr="00036F02">
        <w:rPr>
          <w:color w:val="000000"/>
          <w:sz w:val="26"/>
          <w:szCs w:val="26"/>
        </w:rPr>
        <w:t>49-50</w:t>
      </w:r>
      <w:r w:rsidR="00985369">
        <w:rPr>
          <w:color w:val="000000"/>
          <w:sz w:val="26"/>
          <w:szCs w:val="26"/>
        </w:rPr>
        <w:t>)</w:t>
      </w:r>
      <w:r w:rsidR="009E6B9C" w:rsidRPr="00036F02">
        <w:rPr>
          <w:color w:val="000000"/>
          <w:sz w:val="26"/>
          <w:szCs w:val="26"/>
        </w:rPr>
        <w:t xml:space="preserve">. </w:t>
      </w:r>
      <w:r w:rsidR="00985369">
        <w:rPr>
          <w:color w:val="000000"/>
          <w:sz w:val="26"/>
          <w:szCs w:val="26"/>
        </w:rPr>
        <w:t xml:space="preserve"> However, the ALJ determined that the </w:t>
      </w:r>
      <w:r w:rsidR="009E6B9C" w:rsidRPr="00036F02">
        <w:rPr>
          <w:color w:val="000000"/>
          <w:sz w:val="26"/>
          <w:szCs w:val="26"/>
        </w:rPr>
        <w:t xml:space="preserve">percentage of annual income selected by PECO for its calculations of energy burden </w:t>
      </w:r>
      <w:r w:rsidR="00985369">
        <w:rPr>
          <w:color w:val="000000"/>
          <w:sz w:val="26"/>
          <w:szCs w:val="26"/>
        </w:rPr>
        <w:t>was</w:t>
      </w:r>
      <w:r w:rsidR="009E6B9C" w:rsidRPr="00036F02">
        <w:rPr>
          <w:color w:val="000000"/>
          <w:sz w:val="26"/>
          <w:szCs w:val="26"/>
        </w:rPr>
        <w:t xml:space="preserve"> within the range allowed by Commission policy and </w:t>
      </w:r>
      <w:r w:rsidR="00985369">
        <w:rPr>
          <w:color w:val="000000"/>
          <w:sz w:val="26"/>
          <w:szCs w:val="26"/>
        </w:rPr>
        <w:t xml:space="preserve">the percentage </w:t>
      </w:r>
      <w:r w:rsidR="009E6B9C" w:rsidRPr="00036F02">
        <w:rPr>
          <w:color w:val="000000"/>
          <w:sz w:val="26"/>
          <w:szCs w:val="26"/>
        </w:rPr>
        <w:t xml:space="preserve">has been incorporated in PECO’s Commission-approved </w:t>
      </w:r>
      <w:r w:rsidR="00985369">
        <w:rPr>
          <w:color w:val="000000"/>
          <w:sz w:val="26"/>
          <w:szCs w:val="26"/>
        </w:rPr>
        <w:t>t</w:t>
      </w:r>
      <w:r w:rsidR="009E6B9C" w:rsidRPr="00036F02">
        <w:rPr>
          <w:color w:val="000000"/>
          <w:sz w:val="26"/>
          <w:szCs w:val="26"/>
        </w:rPr>
        <w:t xml:space="preserve">ariff, which carries the force of law and is </w:t>
      </w:r>
      <w:r w:rsidR="009E6B9C" w:rsidRPr="00036F02">
        <w:rPr>
          <w:i/>
          <w:color w:val="000000"/>
          <w:sz w:val="26"/>
          <w:szCs w:val="26"/>
        </w:rPr>
        <w:t xml:space="preserve">prima facia </w:t>
      </w:r>
      <w:r w:rsidR="009E6B9C" w:rsidRPr="00036F02">
        <w:rPr>
          <w:color w:val="000000"/>
          <w:sz w:val="26"/>
          <w:szCs w:val="26"/>
        </w:rPr>
        <w:t xml:space="preserve">reasonable. </w:t>
      </w:r>
      <w:r w:rsidR="00985369">
        <w:rPr>
          <w:color w:val="000000"/>
          <w:sz w:val="26"/>
          <w:szCs w:val="26"/>
        </w:rPr>
        <w:t xml:space="preserve"> I.D. at 11 (citing, </w:t>
      </w:r>
      <w:r w:rsidR="009E6B9C" w:rsidRPr="00036F02">
        <w:rPr>
          <w:i/>
          <w:color w:val="000000"/>
          <w:sz w:val="26"/>
          <w:szCs w:val="26"/>
        </w:rPr>
        <w:t xml:space="preserve">Pennsylvania Electric Co. v. Pa. </w:t>
      </w:r>
      <w:r w:rsidR="0065412F">
        <w:rPr>
          <w:i/>
          <w:color w:val="000000"/>
          <w:sz w:val="26"/>
          <w:szCs w:val="26"/>
        </w:rPr>
        <w:t>PUC</w:t>
      </w:r>
      <w:r w:rsidR="009E6B9C" w:rsidRPr="00036F02">
        <w:rPr>
          <w:color w:val="000000"/>
          <w:sz w:val="26"/>
          <w:szCs w:val="26"/>
        </w:rPr>
        <w:t>, 663 A.2d 281 (Pa.</w:t>
      </w:r>
      <w:r w:rsidR="00985369">
        <w:rPr>
          <w:color w:val="000000"/>
          <w:sz w:val="26"/>
          <w:szCs w:val="26"/>
        </w:rPr>
        <w:t xml:space="preserve"> </w:t>
      </w:r>
      <w:r w:rsidR="009E6B9C" w:rsidRPr="00036F02">
        <w:rPr>
          <w:color w:val="000000"/>
          <w:sz w:val="26"/>
          <w:szCs w:val="26"/>
        </w:rPr>
        <w:t xml:space="preserve">Cmwlth. 1995); </w:t>
      </w:r>
      <w:r w:rsidR="00985369">
        <w:rPr>
          <w:color w:val="000000"/>
          <w:sz w:val="26"/>
          <w:szCs w:val="26"/>
        </w:rPr>
        <w:t xml:space="preserve">and </w:t>
      </w:r>
      <w:r w:rsidR="009E6B9C" w:rsidRPr="00036F02">
        <w:rPr>
          <w:i/>
          <w:color w:val="000000"/>
          <w:sz w:val="26"/>
          <w:szCs w:val="26"/>
        </w:rPr>
        <w:t>Shenango T</w:t>
      </w:r>
      <w:r w:rsidR="00916D85">
        <w:rPr>
          <w:i/>
          <w:color w:val="000000"/>
          <w:sz w:val="26"/>
          <w:szCs w:val="26"/>
        </w:rPr>
        <w:t>wp. Bd.</w:t>
      </w:r>
      <w:r w:rsidR="009E6B9C" w:rsidRPr="00036F02">
        <w:rPr>
          <w:i/>
          <w:color w:val="000000"/>
          <w:sz w:val="26"/>
          <w:szCs w:val="26"/>
        </w:rPr>
        <w:t xml:space="preserve"> of Supervisors v. Pa. </w:t>
      </w:r>
      <w:r w:rsidR="00916D85">
        <w:rPr>
          <w:i/>
          <w:color w:val="000000"/>
          <w:sz w:val="26"/>
          <w:szCs w:val="26"/>
        </w:rPr>
        <w:t>PUC</w:t>
      </w:r>
      <w:r w:rsidR="009E6B9C" w:rsidRPr="00036F02">
        <w:rPr>
          <w:color w:val="000000"/>
          <w:sz w:val="26"/>
          <w:szCs w:val="26"/>
        </w:rPr>
        <w:t>, 686 A.2d 910, 914 (Pa.</w:t>
      </w:r>
      <w:r w:rsidR="00985369">
        <w:rPr>
          <w:color w:val="000000"/>
          <w:sz w:val="26"/>
          <w:szCs w:val="26"/>
        </w:rPr>
        <w:t xml:space="preserve"> </w:t>
      </w:r>
      <w:r w:rsidR="009E6B9C" w:rsidRPr="00036F02">
        <w:rPr>
          <w:color w:val="000000"/>
          <w:sz w:val="26"/>
          <w:szCs w:val="26"/>
        </w:rPr>
        <w:t>Cmwlth. 1996)</w:t>
      </w:r>
      <w:r w:rsidR="00985369">
        <w:rPr>
          <w:color w:val="000000"/>
          <w:sz w:val="26"/>
          <w:szCs w:val="26"/>
        </w:rPr>
        <w:t>)</w:t>
      </w:r>
      <w:r w:rsidR="009E6B9C" w:rsidRPr="00036F02">
        <w:rPr>
          <w:color w:val="000000"/>
          <w:sz w:val="26"/>
          <w:szCs w:val="26"/>
        </w:rPr>
        <w:t>.</w:t>
      </w:r>
    </w:p>
    <w:p w14:paraId="7AE765BF" w14:textId="46A6177D" w:rsidR="009E6B9C" w:rsidRDefault="009E6B9C" w:rsidP="00E240BA">
      <w:pPr>
        <w:widowControl/>
        <w:spacing w:line="360" w:lineRule="auto"/>
        <w:rPr>
          <w:sz w:val="26"/>
          <w:szCs w:val="26"/>
        </w:rPr>
      </w:pPr>
    </w:p>
    <w:p w14:paraId="6CDFEA54" w14:textId="023CF597" w:rsidR="00DC459A" w:rsidRDefault="00DC459A" w:rsidP="00E240BA">
      <w:pPr>
        <w:widowControl/>
        <w:spacing w:line="360" w:lineRule="auto"/>
        <w:rPr>
          <w:sz w:val="26"/>
          <w:szCs w:val="26"/>
        </w:rPr>
      </w:pPr>
      <w:r>
        <w:rPr>
          <w:sz w:val="26"/>
          <w:szCs w:val="26"/>
        </w:rPr>
        <w:tab/>
      </w:r>
      <w:r>
        <w:rPr>
          <w:sz w:val="26"/>
          <w:szCs w:val="26"/>
        </w:rPr>
        <w:tab/>
        <w:t>Here, the ALJ found that the record contains no indication that PECO’s calculation of Ms. Mohamed’s energy burden was incorrect.  Accordingly, the ALJ dismissed the Complaint allegations pertaining to the CAP enrollment.  I.D. at 11.</w:t>
      </w:r>
    </w:p>
    <w:p w14:paraId="47AD89F3" w14:textId="6B575455" w:rsidR="001401D0" w:rsidRDefault="001401D0" w:rsidP="00E240BA">
      <w:pPr>
        <w:widowControl/>
        <w:spacing w:line="360" w:lineRule="auto"/>
        <w:rPr>
          <w:sz w:val="26"/>
          <w:szCs w:val="26"/>
        </w:rPr>
      </w:pPr>
      <w:r>
        <w:rPr>
          <w:sz w:val="26"/>
          <w:szCs w:val="26"/>
        </w:rPr>
        <w:tab/>
      </w:r>
      <w:r>
        <w:rPr>
          <w:sz w:val="26"/>
          <w:szCs w:val="26"/>
        </w:rPr>
        <w:tab/>
      </w:r>
    </w:p>
    <w:p w14:paraId="4FDD4AAA" w14:textId="1C82C58B" w:rsidR="005A7D8B" w:rsidRDefault="004C64A5" w:rsidP="000362F4">
      <w:pPr>
        <w:widowControl/>
        <w:spacing w:line="360" w:lineRule="auto"/>
        <w:ind w:firstLine="1440"/>
        <w:rPr>
          <w:sz w:val="26"/>
          <w:szCs w:val="26"/>
        </w:rPr>
      </w:pPr>
      <w:r>
        <w:rPr>
          <w:sz w:val="26"/>
          <w:szCs w:val="26"/>
        </w:rPr>
        <w:t xml:space="preserve">Next, the ALJ addressed the Complainants’ allegations that there are incorrect charges on their bills resulting from an unauthorized payment arrangement.  For relief, the Complainants had requested a refund of the amounts paid in connection with the disputed payment arrangement.  Upon review, the ALJ determined that the Complainants’ claims of having no knowledge of the payment arrangement and </w:t>
      </w:r>
      <w:r w:rsidR="00FD3643">
        <w:rPr>
          <w:sz w:val="26"/>
          <w:szCs w:val="26"/>
        </w:rPr>
        <w:t xml:space="preserve">of not agreeing to the terms lacked credibility.  Accordingly, the ALJ concluded that the Complainants’ failed to satisfy their burden of proof with respect </w:t>
      </w:r>
      <w:r w:rsidR="006D437E">
        <w:rPr>
          <w:sz w:val="26"/>
          <w:szCs w:val="26"/>
        </w:rPr>
        <w:t xml:space="preserve">to </w:t>
      </w:r>
      <w:r w:rsidR="00FD3643">
        <w:rPr>
          <w:sz w:val="26"/>
          <w:szCs w:val="26"/>
        </w:rPr>
        <w:t>the alleged unauthorized charges.</w:t>
      </w:r>
    </w:p>
    <w:p w14:paraId="71EE4522" w14:textId="5CDF0AAF" w:rsidR="00FD3643" w:rsidRDefault="00FD3643" w:rsidP="000362F4">
      <w:pPr>
        <w:widowControl/>
        <w:spacing w:line="360" w:lineRule="auto"/>
        <w:ind w:firstLine="1440"/>
        <w:rPr>
          <w:sz w:val="26"/>
          <w:szCs w:val="26"/>
        </w:rPr>
      </w:pPr>
    </w:p>
    <w:p w14:paraId="580BD0FA" w14:textId="7BB71900" w:rsidR="001E4809" w:rsidRDefault="00FD3643" w:rsidP="00340594">
      <w:pPr>
        <w:widowControl/>
        <w:spacing w:line="360" w:lineRule="auto"/>
        <w:ind w:firstLine="1440"/>
        <w:textAlignment w:val="baseline"/>
        <w:rPr>
          <w:sz w:val="26"/>
          <w:szCs w:val="26"/>
        </w:rPr>
      </w:pPr>
      <w:r>
        <w:rPr>
          <w:sz w:val="26"/>
          <w:szCs w:val="26"/>
        </w:rPr>
        <w:lastRenderedPageBreak/>
        <w:t xml:space="preserve">In support, the ALJ summarized the evidence related to </w:t>
      </w:r>
      <w:r w:rsidR="00ED3689">
        <w:rPr>
          <w:sz w:val="26"/>
          <w:szCs w:val="26"/>
        </w:rPr>
        <w:t xml:space="preserve">the </w:t>
      </w:r>
      <w:r>
        <w:rPr>
          <w:sz w:val="26"/>
          <w:szCs w:val="26"/>
        </w:rPr>
        <w:t xml:space="preserve">establishment of service, Ms. Mohamed’s re-enrollment in PECO’s CAP, </w:t>
      </w:r>
      <w:r w:rsidR="00ED3689">
        <w:rPr>
          <w:sz w:val="26"/>
          <w:szCs w:val="26"/>
        </w:rPr>
        <w:t>Ms. Mohamed’s payment history, and PECO’s procedures pertaining to CAP enrollment and payment arrangements.</w:t>
      </w:r>
    </w:p>
    <w:p w14:paraId="01F4D91A" w14:textId="77777777" w:rsidR="001E4809" w:rsidRDefault="001E4809" w:rsidP="00ED3689">
      <w:pPr>
        <w:spacing w:line="360" w:lineRule="auto"/>
        <w:ind w:left="72" w:right="72" w:firstLine="1440"/>
        <w:textAlignment w:val="baseline"/>
        <w:rPr>
          <w:sz w:val="26"/>
          <w:szCs w:val="26"/>
        </w:rPr>
      </w:pPr>
    </w:p>
    <w:p w14:paraId="79CB5456" w14:textId="51563C78" w:rsidR="0022708B" w:rsidRDefault="00ED3689" w:rsidP="005809A4">
      <w:pPr>
        <w:spacing w:line="360" w:lineRule="auto"/>
        <w:ind w:left="72" w:right="72" w:firstLine="1440"/>
        <w:textAlignment w:val="baseline"/>
        <w:rPr>
          <w:color w:val="000000"/>
          <w:sz w:val="26"/>
          <w:szCs w:val="26"/>
        </w:rPr>
      </w:pPr>
      <w:r>
        <w:rPr>
          <w:sz w:val="26"/>
          <w:szCs w:val="26"/>
        </w:rPr>
        <w:t xml:space="preserve">Specifically, the ALJ referenced </w:t>
      </w:r>
      <w:r w:rsidR="000E6F81">
        <w:rPr>
          <w:sz w:val="26"/>
          <w:szCs w:val="26"/>
        </w:rPr>
        <w:t xml:space="preserve">the establishment of </w:t>
      </w:r>
      <w:r w:rsidRPr="00B3465E">
        <w:rPr>
          <w:color w:val="000000"/>
          <w:sz w:val="26"/>
          <w:szCs w:val="26"/>
        </w:rPr>
        <w:t>Ms. Mohamed’s account for the Service Address on December 6, 2013</w:t>
      </w:r>
      <w:r w:rsidR="000E6F81">
        <w:rPr>
          <w:color w:val="000000"/>
          <w:sz w:val="26"/>
          <w:szCs w:val="26"/>
        </w:rPr>
        <w:t>, and how, d</w:t>
      </w:r>
      <w:r w:rsidRPr="00B3465E">
        <w:rPr>
          <w:color w:val="000000"/>
          <w:sz w:val="26"/>
          <w:szCs w:val="26"/>
        </w:rPr>
        <w:t xml:space="preserve">uring the period of December 6, 2013, to June 10, 2014, Ms. Mohamed made only one payment of $100.00 towards her PECO account. </w:t>
      </w:r>
      <w:r w:rsidR="005809A4">
        <w:rPr>
          <w:color w:val="000000"/>
          <w:sz w:val="26"/>
          <w:szCs w:val="26"/>
        </w:rPr>
        <w:t xml:space="preserve"> </w:t>
      </w:r>
      <w:r w:rsidR="000E6F81">
        <w:rPr>
          <w:color w:val="000000"/>
          <w:sz w:val="26"/>
          <w:szCs w:val="26"/>
        </w:rPr>
        <w:t>The ALJ noted that t</w:t>
      </w:r>
      <w:r w:rsidRPr="00B3465E">
        <w:rPr>
          <w:color w:val="000000"/>
          <w:sz w:val="26"/>
          <w:szCs w:val="26"/>
        </w:rPr>
        <w:t>he $100.00 payment was made on March 7, 2014</w:t>
      </w:r>
      <w:r w:rsidR="001E4809">
        <w:rPr>
          <w:color w:val="000000"/>
          <w:sz w:val="26"/>
          <w:szCs w:val="26"/>
        </w:rPr>
        <w:t>,</w:t>
      </w:r>
      <w:r w:rsidRPr="00B3465E">
        <w:rPr>
          <w:color w:val="000000"/>
          <w:sz w:val="26"/>
          <w:szCs w:val="26"/>
        </w:rPr>
        <w:t xml:space="preserve"> and did not cover the outstanding balance of $648.32 in Ms. Mohamed’s PECO account at the time. </w:t>
      </w:r>
      <w:r w:rsidR="000E6F81">
        <w:rPr>
          <w:color w:val="000000"/>
          <w:sz w:val="26"/>
          <w:szCs w:val="26"/>
        </w:rPr>
        <w:t xml:space="preserve"> </w:t>
      </w:r>
      <w:r w:rsidR="002F76F7">
        <w:rPr>
          <w:color w:val="000000"/>
          <w:sz w:val="26"/>
          <w:szCs w:val="26"/>
        </w:rPr>
        <w:t>The ALJ continued that o</w:t>
      </w:r>
      <w:r w:rsidRPr="00B3465E">
        <w:rPr>
          <w:color w:val="000000"/>
          <w:sz w:val="26"/>
          <w:szCs w:val="26"/>
        </w:rPr>
        <w:t xml:space="preserve">n May 8, 2014, Ms. Mohamed re-enrolled in PECO’s CAP and her then outstanding balance of $846.70 was placed in a payment arrangement. </w:t>
      </w:r>
      <w:r w:rsidR="00C80A0F">
        <w:rPr>
          <w:color w:val="000000"/>
          <w:sz w:val="26"/>
          <w:szCs w:val="26"/>
        </w:rPr>
        <w:t xml:space="preserve"> </w:t>
      </w:r>
      <w:r w:rsidRPr="00B3465E">
        <w:rPr>
          <w:color w:val="000000"/>
          <w:sz w:val="26"/>
          <w:szCs w:val="26"/>
        </w:rPr>
        <w:t xml:space="preserve">The payment arrangement required Ms. Mohamed to pay monthly charges, plus $15.12 per month towards the arrearages. </w:t>
      </w:r>
      <w:r w:rsidR="002F76F7">
        <w:rPr>
          <w:color w:val="000000"/>
          <w:sz w:val="26"/>
          <w:szCs w:val="26"/>
        </w:rPr>
        <w:t xml:space="preserve">I.D. at 11-12 (citing </w:t>
      </w:r>
      <w:r w:rsidRPr="00B3465E">
        <w:rPr>
          <w:color w:val="000000"/>
          <w:sz w:val="26"/>
          <w:szCs w:val="26"/>
        </w:rPr>
        <w:t xml:space="preserve">Tr. </w:t>
      </w:r>
      <w:r w:rsidR="002F76F7">
        <w:rPr>
          <w:color w:val="000000"/>
          <w:sz w:val="26"/>
          <w:szCs w:val="26"/>
        </w:rPr>
        <w:t>at 2</w:t>
      </w:r>
      <w:r w:rsidR="0022708B">
        <w:rPr>
          <w:color w:val="000000"/>
          <w:sz w:val="26"/>
          <w:szCs w:val="26"/>
        </w:rPr>
        <w:t>5</w:t>
      </w:r>
      <w:r w:rsidR="002F76F7">
        <w:rPr>
          <w:color w:val="000000"/>
          <w:sz w:val="26"/>
          <w:szCs w:val="26"/>
        </w:rPr>
        <w:t>-</w:t>
      </w:r>
      <w:r w:rsidRPr="00B3465E">
        <w:rPr>
          <w:color w:val="000000"/>
          <w:sz w:val="26"/>
          <w:szCs w:val="26"/>
        </w:rPr>
        <w:t>28</w:t>
      </w:r>
      <w:r w:rsidR="005809A4">
        <w:rPr>
          <w:color w:val="000000"/>
          <w:sz w:val="26"/>
          <w:szCs w:val="26"/>
        </w:rPr>
        <w:t xml:space="preserve">; </w:t>
      </w:r>
      <w:r w:rsidRPr="00B3465E">
        <w:rPr>
          <w:color w:val="000000"/>
          <w:sz w:val="26"/>
          <w:szCs w:val="26"/>
        </w:rPr>
        <w:t>PECO Exh</w:t>
      </w:r>
      <w:r w:rsidR="00C80A0F">
        <w:rPr>
          <w:color w:val="000000"/>
          <w:sz w:val="26"/>
          <w:szCs w:val="26"/>
        </w:rPr>
        <w:t>.</w:t>
      </w:r>
      <w:r w:rsidRPr="00B3465E">
        <w:rPr>
          <w:color w:val="000000"/>
          <w:sz w:val="26"/>
          <w:szCs w:val="26"/>
        </w:rPr>
        <w:t xml:space="preserve"> 2</w:t>
      </w:r>
      <w:r w:rsidR="00C80A0F">
        <w:rPr>
          <w:color w:val="000000"/>
          <w:sz w:val="26"/>
          <w:szCs w:val="26"/>
        </w:rPr>
        <w:t>)</w:t>
      </w:r>
      <w:r w:rsidR="005809A4">
        <w:rPr>
          <w:color w:val="000000"/>
          <w:sz w:val="26"/>
          <w:szCs w:val="26"/>
        </w:rPr>
        <w:t>.</w:t>
      </w:r>
    </w:p>
    <w:p w14:paraId="350E5018" w14:textId="77777777" w:rsidR="0022708B" w:rsidRDefault="0022708B" w:rsidP="005809A4">
      <w:pPr>
        <w:spacing w:line="360" w:lineRule="auto"/>
        <w:ind w:left="72" w:right="72" w:firstLine="1440"/>
        <w:textAlignment w:val="baseline"/>
        <w:rPr>
          <w:color w:val="000000"/>
          <w:sz w:val="26"/>
          <w:szCs w:val="26"/>
        </w:rPr>
      </w:pPr>
    </w:p>
    <w:p w14:paraId="20BE2671" w14:textId="0B311EA0" w:rsidR="00ED3689" w:rsidRDefault="00C80A0F" w:rsidP="00D02D71">
      <w:pPr>
        <w:spacing w:line="360" w:lineRule="auto"/>
        <w:ind w:firstLine="1440"/>
        <w:textAlignment w:val="baseline"/>
        <w:rPr>
          <w:color w:val="000000"/>
          <w:sz w:val="26"/>
          <w:szCs w:val="26"/>
        </w:rPr>
      </w:pPr>
      <w:r>
        <w:rPr>
          <w:color w:val="000000"/>
          <w:sz w:val="26"/>
          <w:szCs w:val="26"/>
        </w:rPr>
        <w:t xml:space="preserve">The ALJ </w:t>
      </w:r>
      <w:r w:rsidR="005809A4">
        <w:rPr>
          <w:color w:val="000000"/>
          <w:sz w:val="26"/>
          <w:szCs w:val="26"/>
        </w:rPr>
        <w:t xml:space="preserve">also </w:t>
      </w:r>
      <w:r>
        <w:rPr>
          <w:color w:val="000000"/>
          <w:sz w:val="26"/>
          <w:szCs w:val="26"/>
        </w:rPr>
        <w:t>noted that o</w:t>
      </w:r>
      <w:r w:rsidR="00ED3689" w:rsidRPr="00B3465E">
        <w:rPr>
          <w:color w:val="000000"/>
          <w:sz w:val="26"/>
          <w:szCs w:val="26"/>
        </w:rPr>
        <w:t>n or about June 25, 2015, Ms. Mohamed accidentally finalized her PECO account for the Service Address as she was attempting to update her user profile online</w:t>
      </w:r>
      <w:r>
        <w:rPr>
          <w:color w:val="000000"/>
          <w:sz w:val="26"/>
          <w:szCs w:val="26"/>
        </w:rPr>
        <w:t xml:space="preserve">, which resulted in PECO establishing a </w:t>
      </w:r>
      <w:r w:rsidRPr="00B3465E">
        <w:rPr>
          <w:color w:val="000000"/>
          <w:sz w:val="26"/>
          <w:szCs w:val="26"/>
        </w:rPr>
        <w:t>new account for service at the Service Address</w:t>
      </w:r>
      <w:r w:rsidR="00ED3689" w:rsidRPr="00B3465E">
        <w:rPr>
          <w:color w:val="000000"/>
          <w:sz w:val="26"/>
          <w:szCs w:val="26"/>
        </w:rPr>
        <w:t xml:space="preserve">. </w:t>
      </w:r>
      <w:r w:rsidR="005809A4">
        <w:rPr>
          <w:color w:val="000000"/>
          <w:sz w:val="26"/>
          <w:szCs w:val="26"/>
        </w:rPr>
        <w:t xml:space="preserve"> </w:t>
      </w:r>
      <w:r w:rsidR="00ED3689" w:rsidRPr="00B3465E">
        <w:rPr>
          <w:color w:val="000000"/>
          <w:sz w:val="26"/>
          <w:szCs w:val="26"/>
        </w:rPr>
        <w:t>On June 25, 2015, PECO established a new account for service at the Service Address</w:t>
      </w:r>
      <w:r w:rsidR="005809A4">
        <w:rPr>
          <w:color w:val="000000"/>
          <w:sz w:val="26"/>
          <w:szCs w:val="26"/>
        </w:rPr>
        <w:t xml:space="preserve"> and </w:t>
      </w:r>
      <w:r w:rsidR="005809A4" w:rsidRPr="00B3465E">
        <w:rPr>
          <w:color w:val="000000"/>
          <w:sz w:val="26"/>
          <w:szCs w:val="26"/>
        </w:rPr>
        <w:t>Ms. Mohamed’s CAP enrollment was transferred to t</w:t>
      </w:r>
      <w:r w:rsidR="005809A4">
        <w:rPr>
          <w:color w:val="000000"/>
          <w:sz w:val="26"/>
          <w:szCs w:val="26"/>
        </w:rPr>
        <w:t>his</w:t>
      </w:r>
      <w:r w:rsidR="005809A4" w:rsidRPr="00B3465E">
        <w:rPr>
          <w:color w:val="000000"/>
          <w:sz w:val="26"/>
          <w:szCs w:val="26"/>
        </w:rPr>
        <w:t xml:space="preserve"> new account</w:t>
      </w:r>
      <w:r w:rsidR="00ED3689" w:rsidRPr="00B3465E">
        <w:rPr>
          <w:color w:val="000000"/>
          <w:sz w:val="26"/>
          <w:szCs w:val="26"/>
        </w:rPr>
        <w:t xml:space="preserve">. </w:t>
      </w:r>
      <w:r w:rsidR="005809A4">
        <w:rPr>
          <w:color w:val="000000"/>
          <w:sz w:val="26"/>
          <w:szCs w:val="26"/>
        </w:rPr>
        <w:t xml:space="preserve"> </w:t>
      </w:r>
      <w:r w:rsidR="00ED3689" w:rsidRPr="00B3465E">
        <w:rPr>
          <w:color w:val="000000"/>
          <w:sz w:val="26"/>
          <w:szCs w:val="26"/>
        </w:rPr>
        <w:t xml:space="preserve">The remainder of Ms. Mohamed’s May 2014 payment arrangement was transferred to her new account for the Service Address on September 21, 2015, following a call from Ms. Mohamed. </w:t>
      </w:r>
      <w:r w:rsidR="00A52E15">
        <w:rPr>
          <w:color w:val="000000"/>
          <w:sz w:val="26"/>
          <w:szCs w:val="26"/>
        </w:rPr>
        <w:t xml:space="preserve"> </w:t>
      </w:r>
      <w:r w:rsidR="00ED3689" w:rsidRPr="00B3465E">
        <w:rPr>
          <w:color w:val="000000"/>
          <w:sz w:val="26"/>
          <w:szCs w:val="26"/>
        </w:rPr>
        <w:t xml:space="preserve">After the transfer, the payment arrangement required Ms. Mohamed to retire the outstanding balance through monthly installments of $18.79. </w:t>
      </w:r>
      <w:r w:rsidR="00A52E15">
        <w:rPr>
          <w:color w:val="000000"/>
          <w:sz w:val="26"/>
          <w:szCs w:val="26"/>
        </w:rPr>
        <w:t xml:space="preserve"> I.D. at 12 (citing </w:t>
      </w:r>
      <w:r w:rsidR="00ED3689" w:rsidRPr="00B3465E">
        <w:rPr>
          <w:color w:val="000000"/>
          <w:sz w:val="26"/>
          <w:szCs w:val="26"/>
        </w:rPr>
        <w:t xml:space="preserve">Tr. </w:t>
      </w:r>
      <w:r w:rsidR="00A52E15">
        <w:rPr>
          <w:color w:val="000000"/>
          <w:sz w:val="26"/>
          <w:szCs w:val="26"/>
        </w:rPr>
        <w:t xml:space="preserve">32-35, </w:t>
      </w:r>
      <w:r w:rsidR="00ED3689" w:rsidRPr="00B3465E">
        <w:rPr>
          <w:color w:val="000000"/>
          <w:sz w:val="26"/>
          <w:szCs w:val="26"/>
        </w:rPr>
        <w:t>38</w:t>
      </w:r>
      <w:r w:rsidR="00A52E15">
        <w:rPr>
          <w:color w:val="000000"/>
          <w:sz w:val="26"/>
          <w:szCs w:val="26"/>
        </w:rPr>
        <w:t>-</w:t>
      </w:r>
      <w:r w:rsidR="00ED3689" w:rsidRPr="00B3465E">
        <w:rPr>
          <w:color w:val="000000"/>
          <w:sz w:val="26"/>
          <w:szCs w:val="26"/>
        </w:rPr>
        <w:softHyphen/>
        <w:t>39,</w:t>
      </w:r>
      <w:r w:rsidR="00A52E15">
        <w:rPr>
          <w:color w:val="000000"/>
          <w:sz w:val="26"/>
          <w:szCs w:val="26"/>
        </w:rPr>
        <w:t xml:space="preserve"> and 105-107;</w:t>
      </w:r>
      <w:r w:rsidR="00ED3689" w:rsidRPr="00B3465E">
        <w:rPr>
          <w:color w:val="000000"/>
          <w:sz w:val="26"/>
          <w:szCs w:val="26"/>
        </w:rPr>
        <w:t xml:space="preserve"> PECO Exh</w:t>
      </w:r>
      <w:r w:rsidR="00A52E15">
        <w:rPr>
          <w:color w:val="000000"/>
          <w:sz w:val="26"/>
          <w:szCs w:val="26"/>
        </w:rPr>
        <w:t>s.</w:t>
      </w:r>
      <w:r w:rsidR="00ED3689" w:rsidRPr="00B3465E">
        <w:rPr>
          <w:color w:val="000000"/>
          <w:sz w:val="26"/>
          <w:szCs w:val="26"/>
        </w:rPr>
        <w:t xml:space="preserve"> 3</w:t>
      </w:r>
      <w:r w:rsidR="00A52E15">
        <w:rPr>
          <w:color w:val="000000"/>
          <w:sz w:val="26"/>
          <w:szCs w:val="26"/>
        </w:rPr>
        <w:t>-4, 15)</w:t>
      </w:r>
      <w:r w:rsidR="00ED3689" w:rsidRPr="00B3465E">
        <w:rPr>
          <w:color w:val="000000"/>
          <w:sz w:val="26"/>
          <w:szCs w:val="26"/>
        </w:rPr>
        <w:t>.</w:t>
      </w:r>
    </w:p>
    <w:p w14:paraId="3403A72C" w14:textId="77777777" w:rsidR="00A52E15" w:rsidRPr="00B3465E" w:rsidRDefault="00A52E15" w:rsidP="005809A4">
      <w:pPr>
        <w:spacing w:line="360" w:lineRule="auto"/>
        <w:ind w:left="72" w:right="72" w:firstLine="1440"/>
        <w:textAlignment w:val="baseline"/>
        <w:rPr>
          <w:color w:val="000000"/>
          <w:sz w:val="26"/>
          <w:szCs w:val="26"/>
        </w:rPr>
      </w:pPr>
    </w:p>
    <w:p w14:paraId="6DED88A0" w14:textId="745ABAD5" w:rsidR="00317F97" w:rsidRDefault="00A52E15" w:rsidP="00D02D71">
      <w:pPr>
        <w:spacing w:line="360" w:lineRule="auto"/>
        <w:ind w:firstLine="1440"/>
        <w:textAlignment w:val="baseline"/>
        <w:rPr>
          <w:color w:val="000000"/>
          <w:sz w:val="26"/>
          <w:szCs w:val="26"/>
        </w:rPr>
      </w:pPr>
      <w:r>
        <w:rPr>
          <w:color w:val="000000"/>
          <w:sz w:val="26"/>
          <w:szCs w:val="26"/>
        </w:rPr>
        <w:t xml:space="preserve">The ALJ indicated that, on the </w:t>
      </w:r>
      <w:r w:rsidR="00ED3689" w:rsidRPr="00B3465E">
        <w:rPr>
          <w:color w:val="000000"/>
          <w:sz w:val="26"/>
          <w:szCs w:val="26"/>
        </w:rPr>
        <w:t>day of the initial hearing</w:t>
      </w:r>
      <w:r>
        <w:rPr>
          <w:color w:val="000000"/>
          <w:sz w:val="26"/>
          <w:szCs w:val="26"/>
        </w:rPr>
        <w:t xml:space="preserve">, </w:t>
      </w:r>
      <w:r w:rsidR="00ED3689" w:rsidRPr="00B3465E">
        <w:rPr>
          <w:color w:val="000000"/>
          <w:sz w:val="26"/>
          <w:szCs w:val="26"/>
        </w:rPr>
        <w:t>the payment arrangement established on Ms. Mohamed’s account in May of 2014 was still activ</w:t>
      </w:r>
      <w:r w:rsidR="00A57FDA">
        <w:rPr>
          <w:color w:val="000000"/>
          <w:sz w:val="26"/>
          <w:szCs w:val="26"/>
        </w:rPr>
        <w:t xml:space="preserve">e.   </w:t>
      </w:r>
      <w:r w:rsidR="00A57FDA">
        <w:rPr>
          <w:color w:val="000000"/>
          <w:sz w:val="26"/>
          <w:szCs w:val="26"/>
        </w:rPr>
        <w:lastRenderedPageBreak/>
        <w:t>The</w:t>
      </w:r>
      <w:r w:rsidR="00ED3689" w:rsidRPr="00B3465E">
        <w:rPr>
          <w:color w:val="000000"/>
          <w:sz w:val="26"/>
          <w:szCs w:val="26"/>
        </w:rPr>
        <w:t xml:space="preserve"> remaining balance under the payment arrangement </w:t>
      </w:r>
      <w:r w:rsidR="00A57FDA">
        <w:rPr>
          <w:color w:val="000000"/>
          <w:sz w:val="26"/>
          <w:szCs w:val="26"/>
        </w:rPr>
        <w:t>was</w:t>
      </w:r>
      <w:r w:rsidR="00ED3689" w:rsidRPr="00B3465E">
        <w:rPr>
          <w:color w:val="000000"/>
          <w:sz w:val="26"/>
          <w:szCs w:val="26"/>
        </w:rPr>
        <w:t xml:space="preserve"> $300.53</w:t>
      </w:r>
      <w:r w:rsidR="00A57FDA">
        <w:rPr>
          <w:color w:val="000000"/>
          <w:sz w:val="26"/>
          <w:szCs w:val="26"/>
        </w:rPr>
        <w:t xml:space="preserve"> and the</w:t>
      </w:r>
      <w:r w:rsidR="00ED3689" w:rsidRPr="00B3465E">
        <w:rPr>
          <w:color w:val="000000"/>
          <w:sz w:val="26"/>
          <w:szCs w:val="26"/>
        </w:rPr>
        <w:t xml:space="preserve"> outstanding balance in Ms. Mohamed’s account with PECO</w:t>
      </w:r>
      <w:r w:rsidR="00A57FDA">
        <w:rPr>
          <w:color w:val="000000"/>
          <w:sz w:val="26"/>
          <w:szCs w:val="26"/>
        </w:rPr>
        <w:t xml:space="preserve"> was</w:t>
      </w:r>
      <w:r w:rsidR="00ED3689" w:rsidRPr="00B3465E">
        <w:rPr>
          <w:color w:val="000000"/>
          <w:sz w:val="26"/>
          <w:szCs w:val="26"/>
        </w:rPr>
        <w:t xml:space="preserve"> $394.03. </w:t>
      </w:r>
      <w:r w:rsidR="00A57FDA">
        <w:rPr>
          <w:color w:val="000000"/>
          <w:sz w:val="26"/>
          <w:szCs w:val="26"/>
        </w:rPr>
        <w:t xml:space="preserve"> I.D. at 12 (citing </w:t>
      </w:r>
      <w:r w:rsidR="00ED3689" w:rsidRPr="00B3465E">
        <w:rPr>
          <w:color w:val="000000"/>
          <w:sz w:val="26"/>
          <w:szCs w:val="26"/>
        </w:rPr>
        <w:t xml:space="preserve">Tr. </w:t>
      </w:r>
      <w:r w:rsidR="00A57FDA">
        <w:rPr>
          <w:color w:val="000000"/>
          <w:sz w:val="26"/>
          <w:szCs w:val="26"/>
        </w:rPr>
        <w:t xml:space="preserve">at </w:t>
      </w:r>
      <w:r w:rsidR="00ED3689" w:rsidRPr="00B3465E">
        <w:rPr>
          <w:color w:val="000000"/>
          <w:sz w:val="26"/>
          <w:szCs w:val="26"/>
        </w:rPr>
        <w:t>41</w:t>
      </w:r>
      <w:r w:rsidR="00A57FDA">
        <w:rPr>
          <w:color w:val="000000"/>
          <w:sz w:val="26"/>
          <w:szCs w:val="26"/>
        </w:rPr>
        <w:t>)</w:t>
      </w:r>
      <w:r w:rsidR="00ED3689" w:rsidRPr="00B3465E">
        <w:rPr>
          <w:color w:val="000000"/>
          <w:sz w:val="26"/>
          <w:szCs w:val="26"/>
        </w:rPr>
        <w:t>.</w:t>
      </w:r>
      <w:r w:rsidR="00A57FDA">
        <w:rPr>
          <w:color w:val="000000"/>
          <w:sz w:val="26"/>
          <w:szCs w:val="26"/>
        </w:rPr>
        <w:t xml:space="preserve">  The ALJ </w:t>
      </w:r>
      <w:r w:rsidR="00317F97">
        <w:rPr>
          <w:color w:val="000000"/>
          <w:sz w:val="26"/>
          <w:szCs w:val="26"/>
        </w:rPr>
        <w:t xml:space="preserve">also </w:t>
      </w:r>
      <w:r w:rsidR="00A57FDA">
        <w:rPr>
          <w:color w:val="000000"/>
          <w:sz w:val="26"/>
          <w:szCs w:val="26"/>
        </w:rPr>
        <w:t xml:space="preserve">acknowledged the testimony of the </w:t>
      </w:r>
      <w:r w:rsidR="00ED3689" w:rsidRPr="00B3465E">
        <w:rPr>
          <w:color w:val="000000"/>
          <w:sz w:val="26"/>
          <w:szCs w:val="26"/>
        </w:rPr>
        <w:t>Respondent</w:t>
      </w:r>
      <w:r w:rsidR="00A57FDA">
        <w:rPr>
          <w:color w:val="000000"/>
          <w:sz w:val="26"/>
          <w:szCs w:val="26"/>
        </w:rPr>
        <w:t>’s witness who</w:t>
      </w:r>
      <w:r w:rsidR="00ED3689" w:rsidRPr="00B3465E">
        <w:rPr>
          <w:color w:val="000000"/>
          <w:sz w:val="26"/>
          <w:szCs w:val="26"/>
        </w:rPr>
        <w:t xml:space="preserve"> explained that PECO customers who enroll in its CAP with an outstanding balance are advised upon enrollment of a payment arrangement being established on their behalf. </w:t>
      </w:r>
      <w:r w:rsidR="00A57FDA">
        <w:rPr>
          <w:color w:val="000000"/>
          <w:sz w:val="26"/>
          <w:szCs w:val="26"/>
        </w:rPr>
        <w:t xml:space="preserve"> The witness further testified that </w:t>
      </w:r>
      <w:r w:rsidR="00ED3689" w:rsidRPr="00B3465E">
        <w:rPr>
          <w:color w:val="000000"/>
          <w:sz w:val="26"/>
          <w:szCs w:val="26"/>
        </w:rPr>
        <w:t>PECO informs the customers of the terms of the payment arrangement by sending an automated confirmation letter to the customer</w:t>
      </w:r>
      <w:r w:rsidR="00A57FDA">
        <w:rPr>
          <w:color w:val="000000"/>
          <w:sz w:val="26"/>
          <w:szCs w:val="26"/>
        </w:rPr>
        <w:t xml:space="preserve"> and that the</w:t>
      </w:r>
      <w:r w:rsidR="00ED3689" w:rsidRPr="00B3465E">
        <w:rPr>
          <w:color w:val="000000"/>
          <w:sz w:val="26"/>
          <w:szCs w:val="26"/>
        </w:rPr>
        <w:t xml:space="preserve"> customer is not required to sign a document agreeing to the terms of the payment arrangement with the Company. </w:t>
      </w:r>
      <w:r w:rsidR="00A57FDA">
        <w:rPr>
          <w:color w:val="000000"/>
          <w:sz w:val="26"/>
          <w:szCs w:val="26"/>
        </w:rPr>
        <w:t xml:space="preserve"> </w:t>
      </w:r>
      <w:r w:rsidR="00ED3689" w:rsidRPr="00B3465E">
        <w:rPr>
          <w:color w:val="000000"/>
          <w:sz w:val="26"/>
          <w:szCs w:val="26"/>
        </w:rPr>
        <w:t xml:space="preserve">However, information about the terms of an active payment arrangement appears on the second page of a regular PECO bill. </w:t>
      </w:r>
      <w:r w:rsidR="00317F97">
        <w:rPr>
          <w:color w:val="000000"/>
          <w:sz w:val="26"/>
          <w:szCs w:val="26"/>
        </w:rPr>
        <w:t xml:space="preserve"> I.D. at 12 (citing </w:t>
      </w:r>
      <w:r w:rsidR="00ED3689" w:rsidRPr="00B3465E">
        <w:rPr>
          <w:color w:val="000000"/>
          <w:sz w:val="26"/>
          <w:szCs w:val="26"/>
        </w:rPr>
        <w:t xml:space="preserve">Tr. </w:t>
      </w:r>
      <w:r w:rsidR="00317F97">
        <w:rPr>
          <w:color w:val="000000"/>
          <w:sz w:val="26"/>
          <w:szCs w:val="26"/>
        </w:rPr>
        <w:t>at 28-30)</w:t>
      </w:r>
      <w:r w:rsidR="00ED3689" w:rsidRPr="00B3465E">
        <w:rPr>
          <w:color w:val="000000"/>
          <w:sz w:val="26"/>
          <w:szCs w:val="26"/>
        </w:rPr>
        <w:t>.</w:t>
      </w:r>
    </w:p>
    <w:p w14:paraId="15505319" w14:textId="77777777" w:rsidR="00317F97" w:rsidRDefault="00317F97" w:rsidP="00A57FDA">
      <w:pPr>
        <w:spacing w:line="360" w:lineRule="auto"/>
        <w:ind w:left="72" w:right="288" w:firstLine="1440"/>
        <w:textAlignment w:val="baseline"/>
        <w:rPr>
          <w:color w:val="000000"/>
          <w:sz w:val="26"/>
          <w:szCs w:val="26"/>
        </w:rPr>
      </w:pPr>
    </w:p>
    <w:p w14:paraId="4C19DEEA" w14:textId="15530F8B" w:rsidR="00ED3689" w:rsidRDefault="00317F97" w:rsidP="00D02D71">
      <w:pPr>
        <w:spacing w:line="360" w:lineRule="auto"/>
        <w:ind w:firstLine="1440"/>
        <w:textAlignment w:val="baseline"/>
        <w:rPr>
          <w:color w:val="000000"/>
          <w:sz w:val="26"/>
          <w:szCs w:val="26"/>
        </w:rPr>
      </w:pPr>
      <w:r>
        <w:rPr>
          <w:color w:val="000000"/>
          <w:sz w:val="26"/>
          <w:szCs w:val="26"/>
        </w:rPr>
        <w:t xml:space="preserve">Additionally, the ALJ emphasized that </w:t>
      </w:r>
      <w:r w:rsidR="00ED3689" w:rsidRPr="00B3465E">
        <w:rPr>
          <w:color w:val="000000"/>
          <w:sz w:val="26"/>
          <w:szCs w:val="26"/>
        </w:rPr>
        <w:t>Ms. Mohamed was advised again of the terms of the payment arrangement when she contacted PECO on September 21, 2015</w:t>
      </w:r>
      <w:r>
        <w:rPr>
          <w:color w:val="000000"/>
          <w:sz w:val="26"/>
          <w:szCs w:val="26"/>
        </w:rPr>
        <w:t>,</w:t>
      </w:r>
      <w:r w:rsidR="00ED3689" w:rsidRPr="00B3465E">
        <w:rPr>
          <w:color w:val="000000"/>
          <w:sz w:val="26"/>
          <w:szCs w:val="26"/>
        </w:rPr>
        <w:t xml:space="preserve"> with concerns regarding the transfer of the payment arrangement after she accidentally finalized her account with PECO for the Service Address.</w:t>
      </w:r>
      <w:r>
        <w:rPr>
          <w:color w:val="000000"/>
          <w:sz w:val="26"/>
          <w:szCs w:val="26"/>
        </w:rPr>
        <w:t xml:space="preserve">  The ALJ also noted </w:t>
      </w:r>
      <w:r w:rsidR="00ED3689" w:rsidRPr="00B3465E">
        <w:rPr>
          <w:color w:val="000000"/>
          <w:sz w:val="26"/>
          <w:szCs w:val="26"/>
        </w:rPr>
        <w:t>PECO</w:t>
      </w:r>
      <w:r>
        <w:rPr>
          <w:color w:val="000000"/>
          <w:sz w:val="26"/>
          <w:szCs w:val="26"/>
        </w:rPr>
        <w:t>’s explanation</w:t>
      </w:r>
      <w:r w:rsidR="00ED3689" w:rsidRPr="00B3465E">
        <w:rPr>
          <w:color w:val="000000"/>
          <w:sz w:val="26"/>
          <w:szCs w:val="26"/>
        </w:rPr>
        <w:t xml:space="preserve"> that, if at any point the customer no longer wishes to make installment payments in accordance with the payment arrangement, the</w:t>
      </w:r>
      <w:r>
        <w:rPr>
          <w:color w:val="000000"/>
          <w:sz w:val="26"/>
          <w:szCs w:val="26"/>
        </w:rPr>
        <w:t xml:space="preserve"> </w:t>
      </w:r>
      <w:r w:rsidR="00ED3689" w:rsidRPr="00B3465E">
        <w:rPr>
          <w:color w:val="000000"/>
          <w:sz w:val="26"/>
          <w:szCs w:val="26"/>
        </w:rPr>
        <w:t xml:space="preserve">outstanding balance becomes due and owing and the customer’s account can be subject to PECO’s collection activities and termination. </w:t>
      </w:r>
      <w:r>
        <w:rPr>
          <w:color w:val="000000"/>
          <w:sz w:val="26"/>
          <w:szCs w:val="26"/>
        </w:rPr>
        <w:t xml:space="preserve"> I.D. at 12-13 (citing </w:t>
      </w:r>
      <w:r w:rsidR="00ED3689" w:rsidRPr="00B3465E">
        <w:rPr>
          <w:color w:val="000000"/>
          <w:sz w:val="26"/>
          <w:szCs w:val="26"/>
        </w:rPr>
        <w:t xml:space="preserve">Tr. </w:t>
      </w:r>
      <w:r>
        <w:rPr>
          <w:color w:val="000000"/>
          <w:sz w:val="26"/>
          <w:szCs w:val="26"/>
        </w:rPr>
        <w:t xml:space="preserve">at </w:t>
      </w:r>
      <w:r w:rsidR="00ED3689" w:rsidRPr="00B3465E">
        <w:rPr>
          <w:color w:val="000000"/>
          <w:sz w:val="26"/>
          <w:szCs w:val="26"/>
        </w:rPr>
        <w:t>75, 84</w:t>
      </w:r>
      <w:r>
        <w:rPr>
          <w:color w:val="000000"/>
          <w:sz w:val="26"/>
          <w:szCs w:val="26"/>
        </w:rPr>
        <w:t xml:space="preserve">, and 105-107; </w:t>
      </w:r>
      <w:r w:rsidRPr="00B3465E">
        <w:rPr>
          <w:color w:val="000000"/>
          <w:sz w:val="26"/>
          <w:szCs w:val="26"/>
        </w:rPr>
        <w:t>PECO Exh</w:t>
      </w:r>
      <w:r>
        <w:rPr>
          <w:color w:val="000000"/>
          <w:sz w:val="26"/>
          <w:szCs w:val="26"/>
        </w:rPr>
        <w:t>.</w:t>
      </w:r>
      <w:r w:rsidRPr="00B3465E">
        <w:rPr>
          <w:color w:val="000000"/>
          <w:sz w:val="26"/>
          <w:szCs w:val="26"/>
        </w:rPr>
        <w:t xml:space="preserve"> 15</w:t>
      </w:r>
      <w:r>
        <w:rPr>
          <w:color w:val="000000"/>
          <w:sz w:val="26"/>
          <w:szCs w:val="26"/>
        </w:rPr>
        <w:t>)</w:t>
      </w:r>
      <w:r w:rsidR="00ED3689" w:rsidRPr="00B3465E">
        <w:rPr>
          <w:color w:val="000000"/>
          <w:sz w:val="26"/>
          <w:szCs w:val="26"/>
        </w:rPr>
        <w:t>.</w:t>
      </w:r>
    </w:p>
    <w:p w14:paraId="2E87F654" w14:textId="77777777" w:rsidR="00317F97" w:rsidRPr="00B3465E" w:rsidRDefault="00317F97" w:rsidP="00A57FDA">
      <w:pPr>
        <w:spacing w:line="360" w:lineRule="auto"/>
        <w:ind w:left="72" w:right="288" w:firstLine="1440"/>
        <w:textAlignment w:val="baseline"/>
        <w:rPr>
          <w:color w:val="000000"/>
          <w:sz w:val="26"/>
          <w:szCs w:val="26"/>
        </w:rPr>
      </w:pPr>
    </w:p>
    <w:p w14:paraId="127592CB" w14:textId="367FB47C" w:rsidR="00ED3689" w:rsidRPr="00D02D71" w:rsidRDefault="00317F97" w:rsidP="00D02D71">
      <w:pPr>
        <w:spacing w:line="360" w:lineRule="auto"/>
        <w:ind w:firstLine="1440"/>
        <w:textAlignment w:val="baseline"/>
        <w:rPr>
          <w:color w:val="000000"/>
          <w:spacing w:val="-1"/>
          <w:sz w:val="26"/>
          <w:szCs w:val="26"/>
        </w:rPr>
      </w:pPr>
      <w:r>
        <w:rPr>
          <w:color w:val="000000"/>
          <w:spacing w:val="-1"/>
          <w:sz w:val="26"/>
          <w:szCs w:val="26"/>
        </w:rPr>
        <w:t>After considering this evidence, the ALJ found that the</w:t>
      </w:r>
      <w:r w:rsidR="00ED3689" w:rsidRPr="00B3465E">
        <w:rPr>
          <w:color w:val="000000"/>
          <w:spacing w:val="-1"/>
          <w:sz w:val="26"/>
          <w:szCs w:val="26"/>
        </w:rPr>
        <w:t xml:space="preserve"> Complainants </w:t>
      </w:r>
      <w:r>
        <w:rPr>
          <w:color w:val="000000"/>
          <w:spacing w:val="-1"/>
          <w:sz w:val="26"/>
          <w:szCs w:val="26"/>
        </w:rPr>
        <w:t xml:space="preserve">had </w:t>
      </w:r>
      <w:r w:rsidR="00ED3689" w:rsidRPr="00B3465E">
        <w:rPr>
          <w:color w:val="000000"/>
          <w:spacing w:val="-1"/>
          <w:sz w:val="26"/>
          <w:szCs w:val="26"/>
        </w:rPr>
        <w:t xml:space="preserve">failed to carry their burden of proving that PECO </w:t>
      </w:r>
      <w:r>
        <w:rPr>
          <w:color w:val="000000"/>
          <w:spacing w:val="-1"/>
          <w:sz w:val="26"/>
          <w:szCs w:val="26"/>
        </w:rPr>
        <w:t>violated Section 1501 of the Code</w:t>
      </w:r>
      <w:r w:rsidR="00D02D71">
        <w:rPr>
          <w:color w:val="000000"/>
          <w:spacing w:val="-1"/>
          <w:sz w:val="26"/>
          <w:szCs w:val="26"/>
        </w:rPr>
        <w:t>, 66</w:t>
      </w:r>
      <w:r w:rsidR="00340594">
        <w:rPr>
          <w:color w:val="000000"/>
          <w:spacing w:val="-1"/>
          <w:sz w:val="26"/>
          <w:szCs w:val="26"/>
        </w:rPr>
        <w:t> </w:t>
      </w:r>
      <w:r w:rsidR="00D02D71">
        <w:rPr>
          <w:color w:val="000000"/>
          <w:spacing w:val="-1"/>
          <w:sz w:val="26"/>
          <w:szCs w:val="26"/>
        </w:rPr>
        <w:t>Pa. C.S. § 1501,</w:t>
      </w:r>
      <w:r w:rsidR="00D02D71">
        <w:rPr>
          <w:rStyle w:val="FootnoteReference"/>
          <w:color w:val="000000"/>
          <w:spacing w:val="-1"/>
          <w:sz w:val="26"/>
          <w:szCs w:val="26"/>
        </w:rPr>
        <w:footnoteReference w:id="4"/>
      </w:r>
      <w:r w:rsidR="00D02D71">
        <w:rPr>
          <w:color w:val="000000"/>
          <w:spacing w:val="-1"/>
          <w:sz w:val="26"/>
          <w:szCs w:val="26"/>
        </w:rPr>
        <w:t xml:space="preserve"> or </w:t>
      </w:r>
      <w:r w:rsidR="00ED3689" w:rsidRPr="00B3465E">
        <w:rPr>
          <w:color w:val="000000"/>
          <w:spacing w:val="-1"/>
          <w:sz w:val="26"/>
          <w:szCs w:val="26"/>
        </w:rPr>
        <w:t xml:space="preserve">any other </w:t>
      </w:r>
      <w:r w:rsidR="00D02D71">
        <w:rPr>
          <w:color w:val="000000"/>
          <w:spacing w:val="-1"/>
          <w:sz w:val="26"/>
          <w:szCs w:val="26"/>
        </w:rPr>
        <w:t>S</w:t>
      </w:r>
      <w:r w:rsidR="00ED3689" w:rsidRPr="00B3465E">
        <w:rPr>
          <w:color w:val="000000"/>
          <w:spacing w:val="-1"/>
          <w:sz w:val="26"/>
          <w:szCs w:val="26"/>
        </w:rPr>
        <w:t xml:space="preserve">tatute, </w:t>
      </w:r>
      <w:r w:rsidR="00D02D71">
        <w:rPr>
          <w:color w:val="000000"/>
          <w:spacing w:val="-1"/>
          <w:sz w:val="26"/>
          <w:szCs w:val="26"/>
        </w:rPr>
        <w:t>R</w:t>
      </w:r>
      <w:r w:rsidR="00ED3689" w:rsidRPr="00B3465E">
        <w:rPr>
          <w:color w:val="000000"/>
          <w:spacing w:val="-1"/>
          <w:sz w:val="26"/>
          <w:szCs w:val="26"/>
        </w:rPr>
        <w:t xml:space="preserve">egulation or </w:t>
      </w:r>
      <w:r w:rsidR="00D02D71">
        <w:rPr>
          <w:color w:val="000000"/>
          <w:spacing w:val="-1"/>
          <w:sz w:val="26"/>
          <w:szCs w:val="26"/>
        </w:rPr>
        <w:t>Commission O</w:t>
      </w:r>
      <w:r w:rsidR="00ED3689" w:rsidRPr="00B3465E">
        <w:rPr>
          <w:color w:val="000000"/>
          <w:spacing w:val="-1"/>
          <w:sz w:val="26"/>
          <w:szCs w:val="26"/>
        </w:rPr>
        <w:t xml:space="preserve">rder, with regard to the establishment of the payment arrangement in question. </w:t>
      </w:r>
      <w:r w:rsidR="00D02D71">
        <w:rPr>
          <w:color w:val="000000"/>
          <w:spacing w:val="-1"/>
          <w:sz w:val="26"/>
          <w:szCs w:val="26"/>
        </w:rPr>
        <w:t xml:space="preserve"> The ALJ reasoned that the Complainants complied with </w:t>
      </w:r>
      <w:r w:rsidR="00ED3689" w:rsidRPr="00B3465E">
        <w:rPr>
          <w:color w:val="000000"/>
          <w:spacing w:val="-1"/>
          <w:sz w:val="26"/>
          <w:szCs w:val="26"/>
        </w:rPr>
        <w:t xml:space="preserve">the terms of the payment arrangement for essentially four </w:t>
      </w:r>
      <w:r w:rsidR="00ED3689" w:rsidRPr="00B3465E">
        <w:rPr>
          <w:color w:val="000000"/>
          <w:spacing w:val="-1"/>
          <w:sz w:val="26"/>
          <w:szCs w:val="26"/>
        </w:rPr>
        <w:lastRenderedPageBreak/>
        <w:t xml:space="preserve">years (May 2014 – June 2018), and </w:t>
      </w:r>
      <w:r w:rsidR="00D02D71">
        <w:rPr>
          <w:color w:val="000000"/>
          <w:spacing w:val="-1"/>
          <w:sz w:val="26"/>
          <w:szCs w:val="26"/>
        </w:rPr>
        <w:t xml:space="preserve">were </w:t>
      </w:r>
      <w:r w:rsidR="00ED3689" w:rsidRPr="00B3465E">
        <w:rPr>
          <w:color w:val="000000"/>
          <w:spacing w:val="-1"/>
          <w:sz w:val="26"/>
          <w:szCs w:val="26"/>
        </w:rPr>
        <w:t>made aware of its existence and terms through various means and on multiple occasions</w:t>
      </w:r>
      <w:r w:rsidR="00D02D71">
        <w:rPr>
          <w:color w:val="000000"/>
          <w:spacing w:val="-1"/>
          <w:sz w:val="26"/>
          <w:szCs w:val="26"/>
        </w:rPr>
        <w:t>.  As such</w:t>
      </w:r>
      <w:r w:rsidR="00ED3689" w:rsidRPr="00B3465E">
        <w:rPr>
          <w:color w:val="000000"/>
          <w:spacing w:val="-1"/>
          <w:sz w:val="26"/>
          <w:szCs w:val="26"/>
        </w:rPr>
        <w:t xml:space="preserve">, </w:t>
      </w:r>
      <w:r w:rsidR="00D02D71">
        <w:rPr>
          <w:color w:val="000000"/>
          <w:spacing w:val="-1"/>
          <w:sz w:val="26"/>
          <w:szCs w:val="26"/>
        </w:rPr>
        <w:t xml:space="preserve">the ALJ found </w:t>
      </w:r>
      <w:r w:rsidR="00ED3689" w:rsidRPr="00B3465E">
        <w:rPr>
          <w:color w:val="000000"/>
          <w:spacing w:val="-1"/>
          <w:sz w:val="26"/>
          <w:szCs w:val="26"/>
        </w:rPr>
        <w:t xml:space="preserve">no credibility in the Complainants’ claims that they had no knowledge of the payment arrangement and had not agreed to its terms. </w:t>
      </w:r>
      <w:r w:rsidR="00D02D71">
        <w:rPr>
          <w:color w:val="000000"/>
          <w:spacing w:val="-1"/>
          <w:sz w:val="26"/>
          <w:szCs w:val="26"/>
        </w:rPr>
        <w:t xml:space="preserve"> Accordingly, the ALJ dismissed the </w:t>
      </w:r>
      <w:r w:rsidR="00ED3689" w:rsidRPr="00B3465E">
        <w:rPr>
          <w:color w:val="000000"/>
          <w:spacing w:val="-1"/>
          <w:sz w:val="26"/>
          <w:szCs w:val="26"/>
        </w:rPr>
        <w:t>Complaint to the extent that it challenge</w:t>
      </w:r>
      <w:r w:rsidR="00D02D71">
        <w:rPr>
          <w:color w:val="000000"/>
          <w:spacing w:val="-1"/>
          <w:sz w:val="26"/>
          <w:szCs w:val="26"/>
        </w:rPr>
        <w:t>d</w:t>
      </w:r>
      <w:r w:rsidR="00ED3689" w:rsidRPr="00B3465E">
        <w:rPr>
          <w:color w:val="000000"/>
          <w:spacing w:val="-1"/>
          <w:sz w:val="26"/>
          <w:szCs w:val="26"/>
        </w:rPr>
        <w:t xml:space="preserve"> the payment arrangement issued by the </w:t>
      </w:r>
      <w:r w:rsidR="00D02D71">
        <w:rPr>
          <w:color w:val="000000"/>
          <w:spacing w:val="-1"/>
          <w:sz w:val="26"/>
          <w:szCs w:val="26"/>
        </w:rPr>
        <w:t xml:space="preserve">Respondent </w:t>
      </w:r>
      <w:r w:rsidR="00ED3689" w:rsidRPr="00B3465E">
        <w:rPr>
          <w:color w:val="000000"/>
          <w:spacing w:val="-1"/>
          <w:sz w:val="26"/>
          <w:szCs w:val="26"/>
        </w:rPr>
        <w:t>in May of 2014.</w:t>
      </w:r>
      <w:r w:rsidR="00D02D71">
        <w:rPr>
          <w:color w:val="000000"/>
          <w:spacing w:val="-1"/>
          <w:sz w:val="26"/>
          <w:szCs w:val="26"/>
        </w:rPr>
        <w:t xml:space="preserve">  I.D.</w:t>
      </w:r>
      <w:r w:rsidR="00340594">
        <w:rPr>
          <w:color w:val="000000"/>
          <w:spacing w:val="-1"/>
          <w:sz w:val="26"/>
          <w:szCs w:val="26"/>
        </w:rPr>
        <w:t> </w:t>
      </w:r>
      <w:r w:rsidR="00D02D71">
        <w:rPr>
          <w:color w:val="000000"/>
          <w:spacing w:val="-1"/>
          <w:sz w:val="26"/>
          <w:szCs w:val="26"/>
        </w:rPr>
        <w:t>at</w:t>
      </w:r>
      <w:r w:rsidR="00340594">
        <w:rPr>
          <w:color w:val="000000"/>
          <w:spacing w:val="-1"/>
          <w:sz w:val="26"/>
          <w:szCs w:val="26"/>
        </w:rPr>
        <w:t> </w:t>
      </w:r>
      <w:r w:rsidR="00D02D71">
        <w:rPr>
          <w:color w:val="000000"/>
          <w:spacing w:val="-1"/>
          <w:sz w:val="26"/>
          <w:szCs w:val="26"/>
        </w:rPr>
        <w:t>13.</w:t>
      </w:r>
    </w:p>
    <w:p w14:paraId="73A9B39D" w14:textId="104EC291" w:rsidR="00FD3643" w:rsidRDefault="00FD3643" w:rsidP="000362F4">
      <w:pPr>
        <w:widowControl/>
        <w:spacing w:line="360" w:lineRule="auto"/>
        <w:ind w:firstLine="1440"/>
        <w:rPr>
          <w:sz w:val="26"/>
          <w:szCs w:val="26"/>
        </w:rPr>
      </w:pPr>
    </w:p>
    <w:p w14:paraId="5BE8CE74" w14:textId="6EF9D640" w:rsidR="00A948F1" w:rsidRDefault="00004542" w:rsidP="000362F4">
      <w:pPr>
        <w:widowControl/>
        <w:spacing w:line="360" w:lineRule="auto"/>
        <w:ind w:firstLine="1440"/>
        <w:rPr>
          <w:sz w:val="26"/>
          <w:szCs w:val="26"/>
        </w:rPr>
      </w:pPr>
      <w:r>
        <w:rPr>
          <w:sz w:val="26"/>
          <w:szCs w:val="26"/>
        </w:rPr>
        <w:t xml:space="preserve">In the last section of the Initial Decision, the ALJ addressed the allegations pertaining to late payments and the requested refund of charges assessed against Ms. Mohamed’s account.  </w:t>
      </w:r>
      <w:r w:rsidR="00A948F1">
        <w:rPr>
          <w:sz w:val="26"/>
          <w:szCs w:val="26"/>
        </w:rPr>
        <w:t>The ALJ sustained the Complaint allegations as to the refund request of various late payment charges but denied the allegations to the extent they challenged the propriety and accuracy of PECO’s assessment of those late payment charges.</w:t>
      </w:r>
    </w:p>
    <w:p w14:paraId="12C9194C" w14:textId="39DFB3E1" w:rsidR="00FD3643" w:rsidRDefault="00FD3643" w:rsidP="000362F4">
      <w:pPr>
        <w:widowControl/>
        <w:spacing w:line="360" w:lineRule="auto"/>
        <w:ind w:firstLine="1440"/>
        <w:rPr>
          <w:sz w:val="26"/>
          <w:szCs w:val="26"/>
        </w:rPr>
      </w:pPr>
    </w:p>
    <w:p w14:paraId="08D9FD64" w14:textId="1E5C37E1" w:rsidR="00975867" w:rsidRDefault="00975867" w:rsidP="00975867">
      <w:pPr>
        <w:spacing w:line="360" w:lineRule="auto"/>
        <w:ind w:left="72" w:right="72" w:firstLine="1296"/>
        <w:textAlignment w:val="baseline"/>
        <w:rPr>
          <w:color w:val="000000"/>
          <w:sz w:val="26"/>
          <w:szCs w:val="26"/>
        </w:rPr>
      </w:pPr>
      <w:r>
        <w:rPr>
          <w:color w:val="000000"/>
          <w:sz w:val="26"/>
          <w:szCs w:val="26"/>
        </w:rPr>
        <w:t xml:space="preserve">The ALJ explained that, in </w:t>
      </w:r>
      <w:r w:rsidRPr="00B31EEA">
        <w:rPr>
          <w:color w:val="000000"/>
          <w:sz w:val="26"/>
          <w:szCs w:val="26"/>
        </w:rPr>
        <w:t>the course of Ms. Mohamed’s history as a customer of PECO at the Service Address, the Complainants made numerous late or partial payments to PECO</w:t>
      </w:r>
      <w:r w:rsidR="00B32F00">
        <w:rPr>
          <w:color w:val="000000"/>
          <w:sz w:val="26"/>
          <w:szCs w:val="26"/>
        </w:rPr>
        <w:t xml:space="preserve">.  The ALJ also </w:t>
      </w:r>
      <w:r>
        <w:rPr>
          <w:color w:val="000000"/>
          <w:sz w:val="26"/>
          <w:szCs w:val="26"/>
        </w:rPr>
        <w:t>acknowledged that the</w:t>
      </w:r>
      <w:r w:rsidR="00B32F00">
        <w:rPr>
          <w:color w:val="000000"/>
          <w:sz w:val="26"/>
          <w:szCs w:val="26"/>
        </w:rPr>
        <w:t xml:space="preserve"> Complainants </w:t>
      </w:r>
      <w:r w:rsidRPr="00B31EEA">
        <w:rPr>
          <w:color w:val="000000"/>
          <w:sz w:val="26"/>
          <w:szCs w:val="26"/>
        </w:rPr>
        <w:t xml:space="preserve">do not </w:t>
      </w:r>
      <w:r>
        <w:rPr>
          <w:color w:val="000000"/>
          <w:sz w:val="26"/>
          <w:szCs w:val="26"/>
        </w:rPr>
        <w:t>d</w:t>
      </w:r>
      <w:r w:rsidRPr="00B31EEA">
        <w:rPr>
          <w:color w:val="000000"/>
          <w:sz w:val="26"/>
          <w:szCs w:val="26"/>
        </w:rPr>
        <w:t>ispute the lateness of their payments to PECO or the accuracy of PECO’s calculation of late payment charges.</w:t>
      </w:r>
      <w:r w:rsidR="00E67ACF">
        <w:rPr>
          <w:color w:val="000000"/>
          <w:sz w:val="26"/>
          <w:szCs w:val="26"/>
        </w:rPr>
        <w:t xml:space="preserve">  I.D. at </w:t>
      </w:r>
      <w:r w:rsidR="002E27CE">
        <w:rPr>
          <w:color w:val="000000"/>
          <w:sz w:val="26"/>
          <w:szCs w:val="26"/>
        </w:rPr>
        <w:t>13.</w:t>
      </w:r>
    </w:p>
    <w:p w14:paraId="2DDA961C" w14:textId="77777777" w:rsidR="00975867" w:rsidRDefault="00975867" w:rsidP="00975867">
      <w:pPr>
        <w:spacing w:line="360" w:lineRule="auto"/>
        <w:ind w:left="72" w:right="72" w:firstLine="1296"/>
        <w:textAlignment w:val="baseline"/>
        <w:rPr>
          <w:color w:val="000000"/>
          <w:sz w:val="26"/>
          <w:szCs w:val="26"/>
        </w:rPr>
      </w:pPr>
    </w:p>
    <w:p w14:paraId="58F172E0" w14:textId="63C27460" w:rsidR="00B32F00" w:rsidRDefault="00B32F00" w:rsidP="00B32F00">
      <w:pPr>
        <w:spacing w:line="360" w:lineRule="auto"/>
        <w:ind w:left="72" w:right="72"/>
        <w:textAlignment w:val="baseline"/>
        <w:rPr>
          <w:color w:val="000000"/>
          <w:sz w:val="26"/>
          <w:szCs w:val="26"/>
        </w:rPr>
      </w:pPr>
      <w:r>
        <w:rPr>
          <w:color w:val="000000"/>
          <w:sz w:val="26"/>
          <w:szCs w:val="26"/>
        </w:rPr>
        <w:tab/>
      </w:r>
      <w:r>
        <w:rPr>
          <w:color w:val="000000"/>
          <w:sz w:val="26"/>
          <w:szCs w:val="26"/>
        </w:rPr>
        <w:tab/>
      </w:r>
      <w:r w:rsidR="00975867">
        <w:rPr>
          <w:color w:val="000000"/>
          <w:sz w:val="26"/>
          <w:szCs w:val="26"/>
        </w:rPr>
        <w:t xml:space="preserve">The ALJ applied Section 56.22 of our Regulations, 52 Pa. Code § 56.22, </w:t>
      </w:r>
      <w:r>
        <w:rPr>
          <w:color w:val="000000"/>
          <w:sz w:val="26"/>
          <w:szCs w:val="26"/>
        </w:rPr>
        <w:t xml:space="preserve">pertaining to the accrual of late payment charges, </w:t>
      </w:r>
      <w:r w:rsidR="00975867">
        <w:rPr>
          <w:color w:val="000000"/>
          <w:sz w:val="26"/>
          <w:szCs w:val="26"/>
        </w:rPr>
        <w:t xml:space="preserve">and </w:t>
      </w:r>
      <w:r w:rsidR="00975867" w:rsidRPr="00B31EEA">
        <w:rPr>
          <w:color w:val="000000"/>
          <w:sz w:val="26"/>
          <w:szCs w:val="26"/>
        </w:rPr>
        <w:t>the CAP Rider in PECO’s Tariff</w:t>
      </w:r>
      <w:r w:rsidR="00975867">
        <w:rPr>
          <w:color w:val="000000"/>
          <w:sz w:val="26"/>
          <w:szCs w:val="26"/>
        </w:rPr>
        <w:t>,</w:t>
      </w:r>
      <w:r w:rsidR="00975867" w:rsidRPr="00B31EEA">
        <w:rPr>
          <w:color w:val="000000"/>
          <w:sz w:val="26"/>
          <w:szCs w:val="26"/>
        </w:rPr>
        <w:t xml:space="preserve"> </w:t>
      </w:r>
      <w:r w:rsidR="00975867">
        <w:rPr>
          <w:color w:val="000000"/>
          <w:sz w:val="26"/>
          <w:szCs w:val="26"/>
        </w:rPr>
        <w:t xml:space="preserve">which </w:t>
      </w:r>
      <w:r w:rsidR="00975867" w:rsidRPr="00B31EEA">
        <w:rPr>
          <w:color w:val="000000"/>
          <w:sz w:val="26"/>
          <w:szCs w:val="26"/>
        </w:rPr>
        <w:t>incorporates PECO’s Universal Services Three-Year Plan 2016-2018</w:t>
      </w:r>
      <w:r w:rsidR="00975867">
        <w:rPr>
          <w:color w:val="000000"/>
          <w:sz w:val="26"/>
          <w:szCs w:val="26"/>
        </w:rPr>
        <w:t xml:space="preserve">.  </w:t>
      </w:r>
      <w:r>
        <w:rPr>
          <w:color w:val="000000"/>
          <w:sz w:val="26"/>
          <w:szCs w:val="26"/>
        </w:rPr>
        <w:t xml:space="preserve">In doing so, she determined that the Respondent did not </w:t>
      </w:r>
      <w:r w:rsidRPr="00B31EEA">
        <w:rPr>
          <w:color w:val="000000"/>
          <w:sz w:val="26"/>
          <w:szCs w:val="26"/>
        </w:rPr>
        <w:t>violate</w:t>
      </w:r>
      <w:r>
        <w:rPr>
          <w:color w:val="000000"/>
          <w:sz w:val="26"/>
          <w:szCs w:val="26"/>
        </w:rPr>
        <w:t xml:space="preserve"> the Code</w:t>
      </w:r>
      <w:r w:rsidRPr="00B31EEA">
        <w:rPr>
          <w:color w:val="000000"/>
          <w:sz w:val="26"/>
          <w:szCs w:val="26"/>
        </w:rPr>
        <w:t xml:space="preserve">, </w:t>
      </w:r>
      <w:r>
        <w:rPr>
          <w:color w:val="000000"/>
          <w:sz w:val="26"/>
          <w:szCs w:val="26"/>
        </w:rPr>
        <w:t>a Commission R</w:t>
      </w:r>
      <w:r w:rsidRPr="00B31EEA">
        <w:rPr>
          <w:color w:val="000000"/>
          <w:sz w:val="26"/>
          <w:szCs w:val="26"/>
        </w:rPr>
        <w:t xml:space="preserve">egulation or PECO’s own </w:t>
      </w:r>
      <w:r>
        <w:rPr>
          <w:color w:val="000000"/>
          <w:sz w:val="26"/>
          <w:szCs w:val="26"/>
        </w:rPr>
        <w:t>t</w:t>
      </w:r>
      <w:r w:rsidRPr="00B31EEA">
        <w:rPr>
          <w:color w:val="000000"/>
          <w:sz w:val="26"/>
          <w:szCs w:val="26"/>
        </w:rPr>
        <w:t>ariff by assessing late payment charges against Ms. Mohamed’s accounts for the Service Address.</w:t>
      </w:r>
      <w:r>
        <w:rPr>
          <w:color w:val="000000"/>
          <w:sz w:val="26"/>
          <w:szCs w:val="26"/>
        </w:rPr>
        <w:t xml:space="preserve">  I.D. at 13-14.</w:t>
      </w:r>
    </w:p>
    <w:p w14:paraId="35F76CBE" w14:textId="7013795B" w:rsidR="00B32F00" w:rsidRDefault="00B32F00" w:rsidP="00B32F00">
      <w:pPr>
        <w:spacing w:line="360" w:lineRule="auto"/>
        <w:ind w:left="72" w:right="72"/>
        <w:textAlignment w:val="baseline"/>
        <w:rPr>
          <w:color w:val="000000"/>
          <w:sz w:val="26"/>
          <w:szCs w:val="26"/>
        </w:rPr>
      </w:pPr>
    </w:p>
    <w:p w14:paraId="5D1B1A37" w14:textId="439D8E5E" w:rsidR="00C863A9" w:rsidRDefault="00B32F00" w:rsidP="00C863A9">
      <w:pPr>
        <w:spacing w:line="360" w:lineRule="auto"/>
        <w:ind w:left="72" w:right="72" w:firstLine="1512"/>
        <w:textAlignment w:val="baseline"/>
        <w:rPr>
          <w:color w:val="000000"/>
          <w:sz w:val="26"/>
          <w:szCs w:val="26"/>
        </w:rPr>
      </w:pPr>
      <w:r>
        <w:rPr>
          <w:color w:val="000000"/>
          <w:sz w:val="26"/>
          <w:szCs w:val="26"/>
        </w:rPr>
        <w:t xml:space="preserve">Next, the ALJ </w:t>
      </w:r>
      <w:r w:rsidR="00C863A9">
        <w:rPr>
          <w:color w:val="000000"/>
          <w:sz w:val="26"/>
          <w:szCs w:val="26"/>
        </w:rPr>
        <w:t xml:space="preserve">considered whether the late payment charges should be waived.  The ALJ explained that </w:t>
      </w:r>
      <w:r w:rsidR="00C863A9" w:rsidRPr="00B31EEA">
        <w:rPr>
          <w:color w:val="000000"/>
          <w:spacing w:val="-1"/>
          <w:sz w:val="26"/>
          <w:szCs w:val="26"/>
        </w:rPr>
        <w:t xml:space="preserve">the </w:t>
      </w:r>
      <w:r w:rsidR="00B43FC6">
        <w:rPr>
          <w:color w:val="000000"/>
          <w:spacing w:val="-1"/>
          <w:sz w:val="26"/>
          <w:szCs w:val="26"/>
        </w:rPr>
        <w:t xml:space="preserve">Code and our Regulations </w:t>
      </w:r>
      <w:r w:rsidR="00D10D3B">
        <w:rPr>
          <w:color w:val="000000"/>
          <w:spacing w:val="-1"/>
          <w:sz w:val="26"/>
          <w:szCs w:val="26"/>
        </w:rPr>
        <w:t xml:space="preserve">give </w:t>
      </w:r>
      <w:r w:rsidR="00B43FC6">
        <w:rPr>
          <w:color w:val="000000"/>
          <w:spacing w:val="-1"/>
          <w:sz w:val="26"/>
          <w:szCs w:val="26"/>
        </w:rPr>
        <w:t xml:space="preserve">the </w:t>
      </w:r>
      <w:r w:rsidR="00C863A9" w:rsidRPr="00B31EEA">
        <w:rPr>
          <w:color w:val="000000"/>
          <w:spacing w:val="-1"/>
          <w:sz w:val="26"/>
          <w:szCs w:val="26"/>
        </w:rPr>
        <w:t>Commission t</w:t>
      </w:r>
      <w:r w:rsidR="00D10D3B">
        <w:rPr>
          <w:color w:val="000000"/>
          <w:spacing w:val="-1"/>
          <w:sz w:val="26"/>
          <w:szCs w:val="26"/>
        </w:rPr>
        <w:t xml:space="preserve">he </w:t>
      </w:r>
      <w:r w:rsidR="00D10D3B">
        <w:rPr>
          <w:color w:val="000000"/>
          <w:spacing w:val="-1"/>
          <w:sz w:val="26"/>
          <w:szCs w:val="26"/>
        </w:rPr>
        <w:lastRenderedPageBreak/>
        <w:t xml:space="preserve">discretion to </w:t>
      </w:r>
      <w:r w:rsidR="00C863A9" w:rsidRPr="00B31EEA">
        <w:rPr>
          <w:color w:val="000000"/>
          <w:spacing w:val="-1"/>
          <w:sz w:val="26"/>
          <w:szCs w:val="26"/>
        </w:rPr>
        <w:t xml:space="preserve">“order a waiver of any late payment charges levied by a public utility as a result of a delinquent account for customers with a gross monthly household income not exceeding 150% of the Federal poverty level.” </w:t>
      </w:r>
      <w:r w:rsidR="00B43FC6">
        <w:rPr>
          <w:color w:val="000000"/>
          <w:spacing w:val="-1"/>
          <w:sz w:val="26"/>
          <w:szCs w:val="26"/>
        </w:rPr>
        <w:t xml:space="preserve"> </w:t>
      </w:r>
      <w:r w:rsidR="00C863A9">
        <w:rPr>
          <w:color w:val="000000"/>
          <w:spacing w:val="-1"/>
          <w:sz w:val="26"/>
          <w:szCs w:val="26"/>
        </w:rPr>
        <w:t xml:space="preserve">I.D. at </w:t>
      </w:r>
      <w:r w:rsidR="00B43FC6">
        <w:rPr>
          <w:color w:val="000000"/>
          <w:spacing w:val="-1"/>
          <w:sz w:val="26"/>
          <w:szCs w:val="26"/>
        </w:rPr>
        <w:t xml:space="preserve">14 (quoting </w:t>
      </w:r>
      <w:r w:rsidR="00C863A9" w:rsidRPr="00B31EEA">
        <w:rPr>
          <w:color w:val="000000"/>
          <w:spacing w:val="-1"/>
          <w:sz w:val="26"/>
          <w:szCs w:val="26"/>
        </w:rPr>
        <w:t>66 Pa.</w:t>
      </w:r>
      <w:r w:rsidR="00C863A9">
        <w:rPr>
          <w:color w:val="000000"/>
          <w:spacing w:val="-1"/>
          <w:sz w:val="26"/>
          <w:szCs w:val="26"/>
        </w:rPr>
        <w:t xml:space="preserve"> </w:t>
      </w:r>
      <w:r w:rsidR="00C863A9" w:rsidRPr="00B31EEA">
        <w:rPr>
          <w:color w:val="000000"/>
          <w:spacing w:val="-1"/>
          <w:sz w:val="26"/>
          <w:szCs w:val="26"/>
        </w:rPr>
        <w:t>C.S. § 1409</w:t>
      </w:r>
      <w:r w:rsidR="00B43FC6">
        <w:rPr>
          <w:color w:val="000000"/>
          <w:spacing w:val="-1"/>
          <w:sz w:val="26"/>
          <w:szCs w:val="26"/>
        </w:rPr>
        <w:t xml:space="preserve"> and </w:t>
      </w:r>
      <w:r w:rsidR="00C863A9" w:rsidRPr="00B31EEA">
        <w:rPr>
          <w:color w:val="000000"/>
          <w:spacing w:val="-1"/>
          <w:sz w:val="26"/>
          <w:szCs w:val="26"/>
        </w:rPr>
        <w:t>52 Pa.</w:t>
      </w:r>
      <w:r w:rsidR="00B43FC6">
        <w:rPr>
          <w:color w:val="000000"/>
          <w:spacing w:val="-1"/>
          <w:sz w:val="26"/>
          <w:szCs w:val="26"/>
        </w:rPr>
        <w:t xml:space="preserve"> </w:t>
      </w:r>
      <w:r w:rsidR="00C863A9" w:rsidRPr="00B31EEA">
        <w:rPr>
          <w:color w:val="000000"/>
          <w:spacing w:val="-1"/>
          <w:sz w:val="26"/>
          <w:szCs w:val="26"/>
        </w:rPr>
        <w:t>Code § 56.22(d)</w:t>
      </w:r>
      <w:r w:rsidR="00B43FC6">
        <w:rPr>
          <w:color w:val="000000"/>
          <w:spacing w:val="-1"/>
          <w:sz w:val="26"/>
          <w:szCs w:val="26"/>
        </w:rPr>
        <w:t>)</w:t>
      </w:r>
      <w:r w:rsidR="00C863A9" w:rsidRPr="00B31EEA">
        <w:rPr>
          <w:color w:val="000000"/>
          <w:spacing w:val="-1"/>
          <w:sz w:val="26"/>
          <w:szCs w:val="26"/>
        </w:rPr>
        <w:t xml:space="preserve">. </w:t>
      </w:r>
      <w:r w:rsidR="00B43FC6">
        <w:rPr>
          <w:color w:val="000000"/>
          <w:spacing w:val="-1"/>
          <w:sz w:val="26"/>
          <w:szCs w:val="26"/>
        </w:rPr>
        <w:t xml:space="preserve"> </w:t>
      </w:r>
      <w:r w:rsidR="00E67ACF">
        <w:rPr>
          <w:color w:val="000000"/>
          <w:spacing w:val="-1"/>
          <w:sz w:val="26"/>
          <w:szCs w:val="26"/>
        </w:rPr>
        <w:t xml:space="preserve">Applying the </w:t>
      </w:r>
      <w:r w:rsidR="00C863A9" w:rsidRPr="00B31EEA">
        <w:rPr>
          <w:color w:val="000000"/>
          <w:spacing w:val="-1"/>
          <w:sz w:val="26"/>
          <w:szCs w:val="26"/>
        </w:rPr>
        <w:t xml:space="preserve">record </w:t>
      </w:r>
      <w:r w:rsidR="00E67ACF">
        <w:rPr>
          <w:color w:val="000000"/>
          <w:spacing w:val="-1"/>
          <w:sz w:val="26"/>
          <w:szCs w:val="26"/>
        </w:rPr>
        <w:t xml:space="preserve">evidence </w:t>
      </w:r>
      <w:r w:rsidR="00C863A9" w:rsidRPr="00B31EEA">
        <w:rPr>
          <w:color w:val="000000"/>
          <w:spacing w:val="-1"/>
          <w:sz w:val="26"/>
          <w:szCs w:val="26"/>
        </w:rPr>
        <w:t>in this case</w:t>
      </w:r>
      <w:r w:rsidR="00E67ACF">
        <w:rPr>
          <w:color w:val="000000"/>
          <w:spacing w:val="-1"/>
          <w:sz w:val="26"/>
          <w:szCs w:val="26"/>
        </w:rPr>
        <w:t xml:space="preserve">, the ALJ </w:t>
      </w:r>
      <w:r w:rsidR="00C863A9" w:rsidRPr="00B31EEA">
        <w:rPr>
          <w:color w:val="000000"/>
          <w:spacing w:val="-1"/>
          <w:sz w:val="26"/>
          <w:szCs w:val="26"/>
        </w:rPr>
        <w:t>indicate</w:t>
      </w:r>
      <w:r w:rsidR="00E67ACF">
        <w:rPr>
          <w:color w:val="000000"/>
          <w:spacing w:val="-1"/>
          <w:sz w:val="26"/>
          <w:szCs w:val="26"/>
        </w:rPr>
        <w:t>d</w:t>
      </w:r>
      <w:r w:rsidR="00C863A9" w:rsidRPr="00B31EEA">
        <w:rPr>
          <w:color w:val="000000"/>
          <w:spacing w:val="-1"/>
          <w:sz w:val="26"/>
          <w:szCs w:val="26"/>
        </w:rPr>
        <w:t xml:space="preserve"> that Ms. Mohamed was enrolled in PECO’s CAP from May 8, 2014</w:t>
      </w:r>
      <w:r w:rsidR="00E67ACF">
        <w:rPr>
          <w:color w:val="000000"/>
          <w:spacing w:val="-1"/>
          <w:sz w:val="26"/>
          <w:szCs w:val="26"/>
        </w:rPr>
        <w:t>,</w:t>
      </w:r>
      <w:r w:rsidR="00C863A9" w:rsidRPr="00B31EEA">
        <w:rPr>
          <w:color w:val="000000"/>
          <w:spacing w:val="-1"/>
          <w:sz w:val="26"/>
          <w:szCs w:val="26"/>
        </w:rPr>
        <w:t xml:space="preserve"> to June 23, 2016, and then from June 22, 2017</w:t>
      </w:r>
      <w:r w:rsidR="00E67ACF">
        <w:rPr>
          <w:color w:val="000000"/>
          <w:spacing w:val="-1"/>
          <w:sz w:val="26"/>
          <w:szCs w:val="26"/>
        </w:rPr>
        <w:t>,</w:t>
      </w:r>
      <w:r w:rsidR="00C863A9" w:rsidRPr="00B31EEA">
        <w:rPr>
          <w:color w:val="000000"/>
          <w:spacing w:val="-1"/>
          <w:sz w:val="26"/>
          <w:szCs w:val="26"/>
        </w:rPr>
        <w:t xml:space="preserve"> to June 21, 2018 (the day of the evidentiary hearing). </w:t>
      </w:r>
      <w:r w:rsidR="00E67ACF">
        <w:rPr>
          <w:color w:val="000000"/>
          <w:spacing w:val="-1"/>
          <w:sz w:val="26"/>
          <w:szCs w:val="26"/>
        </w:rPr>
        <w:t xml:space="preserve"> </w:t>
      </w:r>
      <w:r w:rsidR="001E69AA">
        <w:rPr>
          <w:color w:val="000000"/>
          <w:spacing w:val="-1"/>
          <w:sz w:val="26"/>
          <w:szCs w:val="26"/>
        </w:rPr>
        <w:t>I.D. at 14 (citing</w:t>
      </w:r>
      <w:r w:rsidR="00A65C5F">
        <w:rPr>
          <w:color w:val="000000"/>
          <w:spacing w:val="-1"/>
          <w:sz w:val="26"/>
          <w:szCs w:val="26"/>
        </w:rPr>
        <w:t xml:space="preserve"> </w:t>
      </w:r>
      <w:r w:rsidR="001E69AA">
        <w:rPr>
          <w:color w:val="000000"/>
          <w:spacing w:val="-1"/>
          <w:sz w:val="26"/>
          <w:szCs w:val="26"/>
        </w:rPr>
        <w:t>Tr. at 26-27, 3</w:t>
      </w:r>
      <w:r w:rsidR="00A65C5F">
        <w:rPr>
          <w:color w:val="000000"/>
          <w:spacing w:val="-1"/>
          <w:sz w:val="26"/>
          <w:szCs w:val="26"/>
        </w:rPr>
        <w:t>6</w:t>
      </w:r>
      <w:r w:rsidR="001E69AA">
        <w:rPr>
          <w:color w:val="000000"/>
          <w:spacing w:val="-1"/>
          <w:sz w:val="26"/>
          <w:szCs w:val="26"/>
        </w:rPr>
        <w:t xml:space="preserve">, 42, and 48-50).  </w:t>
      </w:r>
      <w:r w:rsidR="00C863A9" w:rsidRPr="00B31EEA">
        <w:rPr>
          <w:color w:val="000000"/>
          <w:spacing w:val="-1"/>
          <w:sz w:val="26"/>
          <w:szCs w:val="26"/>
        </w:rPr>
        <w:t>Because only PECO customers whose household income does not exceed 150% of the Federal poverty level are eligible for enrollment in PECO’s</w:t>
      </w:r>
      <w:r w:rsidR="00C863A9">
        <w:rPr>
          <w:color w:val="000000"/>
          <w:spacing w:val="-1"/>
          <w:sz w:val="26"/>
          <w:szCs w:val="26"/>
        </w:rPr>
        <w:t xml:space="preserve"> </w:t>
      </w:r>
      <w:r w:rsidR="00C863A9" w:rsidRPr="00B31EEA">
        <w:rPr>
          <w:color w:val="000000"/>
          <w:sz w:val="26"/>
          <w:szCs w:val="26"/>
        </w:rPr>
        <w:t xml:space="preserve">CAP, </w:t>
      </w:r>
      <w:r w:rsidR="00E67ACF">
        <w:rPr>
          <w:color w:val="000000"/>
          <w:sz w:val="26"/>
          <w:szCs w:val="26"/>
        </w:rPr>
        <w:t xml:space="preserve">the ALJ found it </w:t>
      </w:r>
      <w:r w:rsidR="00C863A9" w:rsidRPr="00B31EEA">
        <w:rPr>
          <w:color w:val="000000"/>
          <w:sz w:val="26"/>
          <w:szCs w:val="26"/>
        </w:rPr>
        <w:t>reasonable to conclude that Ms. Mohamed’s household income was below 150% of the Federal poverty level during the periods of time she was enrolled in CAP.</w:t>
      </w:r>
      <w:r w:rsidR="001A031D">
        <w:rPr>
          <w:color w:val="000000"/>
          <w:sz w:val="26"/>
          <w:szCs w:val="26"/>
        </w:rPr>
        <w:t xml:space="preserve">  I.D. at 15.</w:t>
      </w:r>
      <w:r w:rsidR="001A031D">
        <w:rPr>
          <w:rStyle w:val="FootnoteReference"/>
          <w:color w:val="000000"/>
          <w:sz w:val="26"/>
          <w:szCs w:val="26"/>
        </w:rPr>
        <w:footnoteReference w:id="5"/>
      </w:r>
    </w:p>
    <w:p w14:paraId="6A9EE531" w14:textId="77777777" w:rsidR="001A031D" w:rsidRPr="00B31EEA" w:rsidRDefault="001A031D" w:rsidP="00C863A9">
      <w:pPr>
        <w:spacing w:line="360" w:lineRule="auto"/>
        <w:ind w:left="72" w:right="72" w:firstLine="1512"/>
        <w:textAlignment w:val="baseline"/>
        <w:rPr>
          <w:color w:val="000000"/>
          <w:sz w:val="26"/>
          <w:szCs w:val="26"/>
        </w:rPr>
      </w:pPr>
    </w:p>
    <w:p w14:paraId="04B56C46" w14:textId="5FE1275B" w:rsidR="004F1CEC" w:rsidRDefault="00B47CA3" w:rsidP="00C863A9">
      <w:pPr>
        <w:spacing w:line="360" w:lineRule="auto"/>
        <w:ind w:left="72" w:right="72" w:firstLine="1440"/>
        <w:textAlignment w:val="baseline"/>
        <w:rPr>
          <w:color w:val="000000"/>
          <w:sz w:val="26"/>
          <w:szCs w:val="26"/>
        </w:rPr>
      </w:pPr>
      <w:r>
        <w:rPr>
          <w:color w:val="000000"/>
          <w:sz w:val="26"/>
          <w:szCs w:val="26"/>
        </w:rPr>
        <w:t>Here</w:t>
      </w:r>
      <w:r w:rsidR="001A031D">
        <w:rPr>
          <w:color w:val="000000"/>
          <w:sz w:val="26"/>
          <w:szCs w:val="26"/>
        </w:rPr>
        <w:t>, the ALJ stated that t</w:t>
      </w:r>
      <w:r w:rsidR="00C863A9" w:rsidRPr="00B31EEA">
        <w:rPr>
          <w:color w:val="000000"/>
          <w:sz w:val="26"/>
          <w:szCs w:val="26"/>
        </w:rPr>
        <w:t>here are several late payment charges assessed against Ms. Mohamed’s account with PECO during the periods of May 8, 2014</w:t>
      </w:r>
      <w:r w:rsidR="001A031D">
        <w:rPr>
          <w:color w:val="000000"/>
          <w:sz w:val="26"/>
          <w:szCs w:val="26"/>
        </w:rPr>
        <w:t>,</w:t>
      </w:r>
      <w:r w:rsidR="00C863A9" w:rsidRPr="00B31EEA">
        <w:rPr>
          <w:color w:val="000000"/>
          <w:sz w:val="26"/>
          <w:szCs w:val="26"/>
        </w:rPr>
        <w:t xml:space="preserve"> to June 23, 2016, and June 22, 2017 to June 21, 2018.</w:t>
      </w:r>
      <w:r w:rsidR="001A031D">
        <w:rPr>
          <w:color w:val="000000"/>
          <w:sz w:val="26"/>
          <w:szCs w:val="26"/>
        </w:rPr>
        <w:t xml:space="preserve">  </w:t>
      </w:r>
      <w:r w:rsidR="00C863A9" w:rsidRPr="00B31EEA">
        <w:rPr>
          <w:color w:val="000000"/>
          <w:sz w:val="26"/>
          <w:szCs w:val="26"/>
        </w:rPr>
        <w:t xml:space="preserve">However, due to a rebilling that occurred in Ms. Mohamed’s account on April 6, 2016, the way in which payment arrangement deferments </w:t>
      </w:r>
      <w:r w:rsidR="00D10D3B">
        <w:rPr>
          <w:color w:val="000000"/>
          <w:sz w:val="26"/>
          <w:szCs w:val="26"/>
        </w:rPr>
        <w:t>were</w:t>
      </w:r>
      <w:r w:rsidR="00C863A9" w:rsidRPr="00B31EEA">
        <w:rPr>
          <w:color w:val="000000"/>
          <w:sz w:val="26"/>
          <w:szCs w:val="26"/>
        </w:rPr>
        <w:t xml:space="preserve"> reflected in Ms. Mohamed’s Account Statements, and the two instances where PECO voluntarily cance</w:t>
      </w:r>
      <w:r w:rsidR="006D437E">
        <w:rPr>
          <w:color w:val="000000"/>
          <w:sz w:val="26"/>
          <w:szCs w:val="26"/>
        </w:rPr>
        <w:t>l</w:t>
      </w:r>
      <w:r w:rsidR="00C863A9" w:rsidRPr="00B31EEA">
        <w:rPr>
          <w:color w:val="000000"/>
          <w:sz w:val="26"/>
          <w:szCs w:val="26"/>
        </w:rPr>
        <w:t xml:space="preserve">led late payment charges for the Complainants, </w:t>
      </w:r>
      <w:r w:rsidR="00D10D3B">
        <w:rPr>
          <w:color w:val="000000"/>
          <w:sz w:val="26"/>
          <w:szCs w:val="26"/>
        </w:rPr>
        <w:t xml:space="preserve">the ALJ found </w:t>
      </w:r>
      <w:r w:rsidR="00C863A9" w:rsidRPr="00B31EEA">
        <w:rPr>
          <w:color w:val="000000"/>
          <w:sz w:val="26"/>
          <w:szCs w:val="26"/>
        </w:rPr>
        <w:t xml:space="preserve">it difficult to calculate the sum of those late payment charges. </w:t>
      </w:r>
      <w:r w:rsidR="004F1CEC">
        <w:rPr>
          <w:color w:val="000000"/>
          <w:sz w:val="26"/>
          <w:szCs w:val="26"/>
        </w:rPr>
        <w:t xml:space="preserve"> I.D. at 15 (citing </w:t>
      </w:r>
      <w:r w:rsidR="004F1CEC" w:rsidRPr="00B31EEA">
        <w:rPr>
          <w:color w:val="000000"/>
          <w:sz w:val="26"/>
          <w:szCs w:val="26"/>
        </w:rPr>
        <w:t>PECO Exh</w:t>
      </w:r>
      <w:r w:rsidR="004F1CEC">
        <w:rPr>
          <w:color w:val="000000"/>
          <w:sz w:val="26"/>
          <w:szCs w:val="26"/>
        </w:rPr>
        <w:t xml:space="preserve">s. </w:t>
      </w:r>
      <w:r w:rsidR="004F1CEC" w:rsidRPr="00B31EEA">
        <w:rPr>
          <w:color w:val="000000"/>
          <w:sz w:val="26"/>
          <w:szCs w:val="26"/>
        </w:rPr>
        <w:t>2 and 3</w:t>
      </w:r>
      <w:r w:rsidR="004F1CEC">
        <w:rPr>
          <w:color w:val="000000"/>
          <w:sz w:val="26"/>
          <w:szCs w:val="26"/>
        </w:rPr>
        <w:t>).</w:t>
      </w:r>
      <w:r w:rsidR="00D10D3B">
        <w:rPr>
          <w:rStyle w:val="FootnoteReference"/>
          <w:color w:val="000000"/>
          <w:sz w:val="26"/>
          <w:szCs w:val="26"/>
        </w:rPr>
        <w:footnoteReference w:id="6"/>
      </w:r>
    </w:p>
    <w:p w14:paraId="1C42C270" w14:textId="77777777" w:rsidR="004F1CEC" w:rsidRDefault="004F1CEC" w:rsidP="00C863A9">
      <w:pPr>
        <w:spacing w:line="360" w:lineRule="auto"/>
        <w:ind w:left="72" w:right="72" w:firstLine="1440"/>
        <w:textAlignment w:val="baseline"/>
        <w:rPr>
          <w:color w:val="000000"/>
          <w:sz w:val="26"/>
          <w:szCs w:val="26"/>
        </w:rPr>
      </w:pPr>
    </w:p>
    <w:p w14:paraId="7C8B9FBE" w14:textId="636DBEF8" w:rsidR="00D10D3B" w:rsidRDefault="00D10D3B" w:rsidP="00631F6E">
      <w:pPr>
        <w:widowControl/>
        <w:spacing w:line="360" w:lineRule="auto"/>
        <w:ind w:left="72" w:right="72" w:firstLine="1440"/>
        <w:textAlignment w:val="baseline"/>
        <w:rPr>
          <w:color w:val="000000"/>
          <w:sz w:val="26"/>
          <w:szCs w:val="26"/>
        </w:rPr>
      </w:pPr>
      <w:r>
        <w:rPr>
          <w:color w:val="000000"/>
          <w:sz w:val="26"/>
          <w:szCs w:val="26"/>
        </w:rPr>
        <w:lastRenderedPageBreak/>
        <w:t>Thus</w:t>
      </w:r>
      <w:r w:rsidR="00C863A9" w:rsidRPr="00B31EEA">
        <w:rPr>
          <w:color w:val="000000"/>
          <w:sz w:val="26"/>
          <w:szCs w:val="26"/>
        </w:rPr>
        <w:t xml:space="preserve">, </w:t>
      </w:r>
      <w:r w:rsidR="004F1CEC">
        <w:rPr>
          <w:color w:val="000000"/>
          <w:sz w:val="26"/>
          <w:szCs w:val="26"/>
        </w:rPr>
        <w:t>the ALJ ordered</w:t>
      </w:r>
      <w:r w:rsidR="00C863A9" w:rsidRPr="00B31EEA">
        <w:rPr>
          <w:color w:val="000000"/>
          <w:sz w:val="26"/>
          <w:szCs w:val="26"/>
        </w:rPr>
        <w:t xml:space="preserve"> PECO to calculate the total amount of the uncancelled late payment charges assessed against Ms. Mohamed’s account with PECO during the periods of May 8, 2014</w:t>
      </w:r>
      <w:r w:rsidR="004F1CEC">
        <w:rPr>
          <w:color w:val="000000"/>
          <w:sz w:val="26"/>
          <w:szCs w:val="26"/>
        </w:rPr>
        <w:t>,</w:t>
      </w:r>
      <w:r w:rsidR="00C863A9" w:rsidRPr="00B31EEA">
        <w:rPr>
          <w:color w:val="000000"/>
          <w:sz w:val="26"/>
          <w:szCs w:val="26"/>
        </w:rPr>
        <w:t xml:space="preserve"> to June 23, 2016, and June 22, 2017 to June 21, 2018, and </w:t>
      </w:r>
      <w:r>
        <w:rPr>
          <w:color w:val="000000"/>
          <w:sz w:val="26"/>
          <w:szCs w:val="26"/>
        </w:rPr>
        <w:t xml:space="preserve">to </w:t>
      </w:r>
      <w:r w:rsidR="00C863A9" w:rsidRPr="00B31EEA">
        <w:rPr>
          <w:color w:val="000000"/>
          <w:sz w:val="26"/>
          <w:szCs w:val="26"/>
        </w:rPr>
        <w:t>submit a copy of the calculations to the Commission</w:t>
      </w:r>
      <w:r w:rsidR="00631F6E">
        <w:rPr>
          <w:color w:val="000000"/>
          <w:sz w:val="26"/>
          <w:szCs w:val="26"/>
        </w:rPr>
        <w:t>’</w:t>
      </w:r>
      <w:r w:rsidR="00C863A9" w:rsidRPr="00B31EEA">
        <w:rPr>
          <w:color w:val="000000"/>
          <w:sz w:val="26"/>
          <w:szCs w:val="26"/>
        </w:rPr>
        <w:t xml:space="preserve">s Bureau of Technical Utility Services (TUS) for review. </w:t>
      </w:r>
      <w:r>
        <w:rPr>
          <w:color w:val="000000"/>
          <w:sz w:val="26"/>
          <w:szCs w:val="26"/>
        </w:rPr>
        <w:t xml:space="preserve"> </w:t>
      </w:r>
      <w:r w:rsidR="00C863A9" w:rsidRPr="00B31EEA">
        <w:rPr>
          <w:color w:val="000000"/>
          <w:sz w:val="26"/>
          <w:szCs w:val="26"/>
        </w:rPr>
        <w:t xml:space="preserve">Once TUS has verified the calculation, </w:t>
      </w:r>
      <w:r>
        <w:rPr>
          <w:color w:val="000000"/>
          <w:sz w:val="26"/>
          <w:szCs w:val="26"/>
        </w:rPr>
        <w:t xml:space="preserve">the ALJ continued, </w:t>
      </w:r>
      <w:r w:rsidR="00C863A9" w:rsidRPr="00B31EEA">
        <w:rPr>
          <w:color w:val="000000"/>
          <w:sz w:val="26"/>
          <w:szCs w:val="26"/>
        </w:rPr>
        <w:t xml:space="preserve">PECO </w:t>
      </w:r>
      <w:r>
        <w:rPr>
          <w:color w:val="000000"/>
          <w:sz w:val="26"/>
          <w:szCs w:val="26"/>
        </w:rPr>
        <w:t>would be required to</w:t>
      </w:r>
      <w:r w:rsidR="00C863A9" w:rsidRPr="00B31EEA">
        <w:rPr>
          <w:color w:val="000000"/>
          <w:sz w:val="26"/>
          <w:szCs w:val="26"/>
        </w:rPr>
        <w:t xml:space="preserve"> credit the Complainants an amount equal to the late payment charges accumulated during the periods in question, if that amount is more than $0.00. </w:t>
      </w:r>
      <w:r>
        <w:rPr>
          <w:color w:val="000000"/>
          <w:sz w:val="26"/>
          <w:szCs w:val="26"/>
        </w:rPr>
        <w:t xml:space="preserve"> I.D. at 15 (citing </w:t>
      </w:r>
      <w:r w:rsidR="00C863A9" w:rsidRPr="00B31EEA">
        <w:rPr>
          <w:i/>
          <w:color w:val="000000"/>
          <w:sz w:val="26"/>
          <w:szCs w:val="26"/>
        </w:rPr>
        <w:t>Bartell v. PECO Energy Company</w:t>
      </w:r>
      <w:r w:rsidR="00C863A9" w:rsidRPr="00B31EEA">
        <w:rPr>
          <w:color w:val="000000"/>
          <w:sz w:val="26"/>
          <w:szCs w:val="26"/>
        </w:rPr>
        <w:t>, Docket No. C</w:t>
      </w:r>
      <w:r w:rsidR="00631F6E">
        <w:rPr>
          <w:color w:val="000000"/>
          <w:sz w:val="26"/>
          <w:szCs w:val="26"/>
        </w:rPr>
        <w:noBreakHyphen/>
      </w:r>
      <w:r w:rsidR="00C863A9" w:rsidRPr="00B31EEA">
        <w:rPr>
          <w:color w:val="000000"/>
          <w:sz w:val="26"/>
          <w:szCs w:val="26"/>
        </w:rPr>
        <w:t>2016</w:t>
      </w:r>
      <w:r w:rsidR="00631F6E">
        <w:rPr>
          <w:color w:val="000000"/>
          <w:sz w:val="26"/>
          <w:szCs w:val="26"/>
        </w:rPr>
        <w:noBreakHyphen/>
      </w:r>
      <w:r w:rsidR="00C863A9" w:rsidRPr="00B31EEA">
        <w:rPr>
          <w:color w:val="000000"/>
          <w:sz w:val="26"/>
          <w:szCs w:val="26"/>
        </w:rPr>
        <w:t>2542213 (Final Order entered June 9, 2017)</w:t>
      </w:r>
      <w:r w:rsidR="002E27CE">
        <w:rPr>
          <w:color w:val="000000"/>
          <w:sz w:val="26"/>
          <w:szCs w:val="26"/>
        </w:rPr>
        <w:t xml:space="preserve"> (</w:t>
      </w:r>
      <w:r w:rsidR="002E27CE" w:rsidRPr="002E27CE">
        <w:rPr>
          <w:i/>
          <w:iCs/>
          <w:color w:val="000000"/>
          <w:sz w:val="26"/>
          <w:szCs w:val="26"/>
        </w:rPr>
        <w:t>Bartell</w:t>
      </w:r>
      <w:r w:rsidR="00846F72">
        <w:rPr>
          <w:color w:val="000000"/>
          <w:sz w:val="26"/>
          <w:szCs w:val="26"/>
        </w:rPr>
        <w:t>)</w:t>
      </w:r>
      <w:r w:rsidR="00631F6E">
        <w:rPr>
          <w:color w:val="000000"/>
          <w:sz w:val="26"/>
          <w:szCs w:val="26"/>
        </w:rPr>
        <w:t>)</w:t>
      </w:r>
      <w:r w:rsidR="00C863A9" w:rsidRPr="00B31EEA">
        <w:rPr>
          <w:color w:val="000000"/>
          <w:sz w:val="26"/>
          <w:szCs w:val="26"/>
        </w:rPr>
        <w:t>.</w:t>
      </w:r>
    </w:p>
    <w:p w14:paraId="20A9489D" w14:textId="77777777" w:rsidR="00D10D3B" w:rsidRDefault="00D10D3B" w:rsidP="00C863A9">
      <w:pPr>
        <w:spacing w:line="360" w:lineRule="auto"/>
        <w:ind w:left="72" w:right="72" w:firstLine="1440"/>
        <w:textAlignment w:val="baseline"/>
        <w:rPr>
          <w:color w:val="000000"/>
          <w:sz w:val="26"/>
          <w:szCs w:val="26"/>
        </w:rPr>
      </w:pPr>
    </w:p>
    <w:p w14:paraId="73C99C53" w14:textId="5F305156" w:rsidR="00C863A9" w:rsidRPr="004F1CEC" w:rsidRDefault="00C863A9" w:rsidP="00C863A9">
      <w:pPr>
        <w:spacing w:line="360" w:lineRule="auto"/>
        <w:ind w:left="72" w:right="72" w:firstLine="1440"/>
        <w:textAlignment w:val="baseline"/>
        <w:rPr>
          <w:color w:val="000000"/>
          <w:sz w:val="26"/>
          <w:szCs w:val="26"/>
        </w:rPr>
      </w:pPr>
      <w:r w:rsidRPr="00B31EEA">
        <w:rPr>
          <w:color w:val="000000"/>
          <w:sz w:val="26"/>
          <w:szCs w:val="26"/>
        </w:rPr>
        <w:t xml:space="preserve">Consequently, </w:t>
      </w:r>
      <w:r w:rsidR="00606809">
        <w:rPr>
          <w:color w:val="000000"/>
          <w:sz w:val="26"/>
          <w:szCs w:val="26"/>
        </w:rPr>
        <w:t xml:space="preserve">the </w:t>
      </w:r>
      <w:r w:rsidR="0033722A">
        <w:rPr>
          <w:color w:val="000000"/>
          <w:sz w:val="26"/>
          <w:szCs w:val="26"/>
        </w:rPr>
        <w:t xml:space="preserve">ALJ sustained </w:t>
      </w:r>
      <w:r w:rsidRPr="00B31EEA">
        <w:rPr>
          <w:color w:val="000000"/>
          <w:sz w:val="26"/>
          <w:szCs w:val="26"/>
        </w:rPr>
        <w:t>the Complaint to the extent it request</w:t>
      </w:r>
      <w:r w:rsidR="0033722A">
        <w:rPr>
          <w:color w:val="000000"/>
          <w:sz w:val="26"/>
          <w:szCs w:val="26"/>
        </w:rPr>
        <w:t>ed</w:t>
      </w:r>
      <w:r w:rsidRPr="00B31EEA">
        <w:rPr>
          <w:color w:val="000000"/>
          <w:sz w:val="26"/>
          <w:szCs w:val="26"/>
        </w:rPr>
        <w:t xml:space="preserve"> a refund of late payment charges for the periods of May 8, 2014</w:t>
      </w:r>
      <w:r w:rsidR="0033722A">
        <w:rPr>
          <w:color w:val="000000"/>
          <w:sz w:val="26"/>
          <w:szCs w:val="26"/>
        </w:rPr>
        <w:t>,</w:t>
      </w:r>
      <w:r w:rsidRPr="00B31EEA">
        <w:rPr>
          <w:color w:val="000000"/>
          <w:sz w:val="26"/>
          <w:szCs w:val="26"/>
        </w:rPr>
        <w:t xml:space="preserve"> to June 23, 2016, and June 22, 2017</w:t>
      </w:r>
      <w:r w:rsidR="0033722A">
        <w:rPr>
          <w:color w:val="000000"/>
          <w:sz w:val="26"/>
          <w:szCs w:val="26"/>
        </w:rPr>
        <w:t>,</w:t>
      </w:r>
      <w:r w:rsidRPr="00B31EEA">
        <w:rPr>
          <w:color w:val="000000"/>
          <w:sz w:val="26"/>
          <w:szCs w:val="26"/>
        </w:rPr>
        <w:t xml:space="preserve"> to June 21, 2018, but denied </w:t>
      </w:r>
      <w:r w:rsidR="0033722A">
        <w:rPr>
          <w:color w:val="000000"/>
          <w:sz w:val="26"/>
          <w:szCs w:val="26"/>
        </w:rPr>
        <w:t xml:space="preserve">it </w:t>
      </w:r>
      <w:r w:rsidRPr="00B31EEA">
        <w:rPr>
          <w:color w:val="000000"/>
          <w:sz w:val="26"/>
          <w:szCs w:val="26"/>
        </w:rPr>
        <w:t>to the extent it challenge</w:t>
      </w:r>
      <w:r w:rsidR="00846F72">
        <w:rPr>
          <w:color w:val="000000"/>
          <w:sz w:val="26"/>
          <w:szCs w:val="26"/>
        </w:rPr>
        <w:t>d</w:t>
      </w:r>
      <w:r w:rsidRPr="00B31EEA">
        <w:rPr>
          <w:color w:val="000000"/>
          <w:sz w:val="26"/>
          <w:szCs w:val="26"/>
        </w:rPr>
        <w:t xml:space="preserve"> the propriety and accuracy of PECO’s assessment of those late payment charges.</w:t>
      </w:r>
      <w:r w:rsidR="004F1CEC" w:rsidRPr="004F1CEC">
        <w:rPr>
          <w:color w:val="000000"/>
          <w:sz w:val="26"/>
          <w:szCs w:val="26"/>
        </w:rPr>
        <w:t xml:space="preserve"> </w:t>
      </w:r>
      <w:r w:rsidR="0033722A">
        <w:rPr>
          <w:color w:val="000000"/>
          <w:sz w:val="26"/>
          <w:szCs w:val="26"/>
        </w:rPr>
        <w:t xml:space="preserve"> I.D. at 15.</w:t>
      </w:r>
    </w:p>
    <w:p w14:paraId="6485BA4F" w14:textId="77777777" w:rsidR="00FD3643" w:rsidRDefault="00FD3643" w:rsidP="000362F4">
      <w:pPr>
        <w:widowControl/>
        <w:spacing w:line="360" w:lineRule="auto"/>
        <w:ind w:firstLine="1440"/>
        <w:rPr>
          <w:sz w:val="26"/>
          <w:szCs w:val="26"/>
        </w:rPr>
      </w:pPr>
    </w:p>
    <w:p w14:paraId="77864926" w14:textId="77777777" w:rsidR="00565CE4" w:rsidRDefault="00B0494C" w:rsidP="00565CE4">
      <w:pPr>
        <w:widowControl/>
        <w:spacing w:line="360" w:lineRule="auto"/>
        <w:rPr>
          <w:b/>
          <w:sz w:val="26"/>
          <w:szCs w:val="26"/>
        </w:rPr>
      </w:pPr>
      <w:r>
        <w:rPr>
          <w:b/>
          <w:sz w:val="26"/>
          <w:szCs w:val="26"/>
        </w:rPr>
        <w:t>Exceptions</w:t>
      </w:r>
      <w:r w:rsidR="003B7F82">
        <w:rPr>
          <w:b/>
          <w:sz w:val="26"/>
          <w:szCs w:val="26"/>
        </w:rPr>
        <w:t xml:space="preserve"> and</w:t>
      </w:r>
      <w:r>
        <w:rPr>
          <w:b/>
          <w:sz w:val="26"/>
          <w:szCs w:val="26"/>
        </w:rPr>
        <w:t xml:space="preserve"> </w:t>
      </w:r>
      <w:r w:rsidR="00B77CD2">
        <w:rPr>
          <w:b/>
          <w:sz w:val="26"/>
          <w:szCs w:val="26"/>
        </w:rPr>
        <w:t>Replies</w:t>
      </w:r>
      <w:r w:rsidR="00563E42">
        <w:rPr>
          <w:b/>
          <w:sz w:val="26"/>
          <w:szCs w:val="26"/>
        </w:rPr>
        <w:t xml:space="preserve"> </w:t>
      </w:r>
    </w:p>
    <w:p w14:paraId="75B13E7F" w14:textId="77777777" w:rsidR="00565CE4" w:rsidRDefault="00565CE4" w:rsidP="00565CE4">
      <w:pPr>
        <w:widowControl/>
        <w:spacing w:line="360" w:lineRule="auto"/>
        <w:rPr>
          <w:b/>
          <w:sz w:val="26"/>
          <w:szCs w:val="26"/>
        </w:rPr>
      </w:pPr>
    </w:p>
    <w:p w14:paraId="5FFD9BD8" w14:textId="5023AFAB" w:rsidR="0097380C" w:rsidRDefault="00CF1E23" w:rsidP="00565CE4">
      <w:pPr>
        <w:widowControl/>
        <w:spacing w:line="360" w:lineRule="auto"/>
        <w:ind w:firstLine="1440"/>
        <w:rPr>
          <w:sz w:val="26"/>
          <w:szCs w:val="26"/>
        </w:rPr>
      </w:pPr>
      <w:r>
        <w:rPr>
          <w:sz w:val="26"/>
          <w:szCs w:val="26"/>
        </w:rPr>
        <w:t>The Complainant</w:t>
      </w:r>
      <w:r w:rsidR="00902552">
        <w:rPr>
          <w:sz w:val="26"/>
          <w:szCs w:val="26"/>
        </w:rPr>
        <w:t>s</w:t>
      </w:r>
      <w:r>
        <w:rPr>
          <w:sz w:val="26"/>
          <w:szCs w:val="26"/>
        </w:rPr>
        <w:t xml:space="preserve"> </w:t>
      </w:r>
      <w:r w:rsidR="002F408F">
        <w:rPr>
          <w:sz w:val="26"/>
          <w:szCs w:val="26"/>
        </w:rPr>
        <w:t>raise</w:t>
      </w:r>
      <w:r>
        <w:rPr>
          <w:sz w:val="26"/>
          <w:szCs w:val="26"/>
        </w:rPr>
        <w:t xml:space="preserve"> </w:t>
      </w:r>
      <w:r w:rsidR="00902552">
        <w:rPr>
          <w:sz w:val="26"/>
          <w:szCs w:val="26"/>
        </w:rPr>
        <w:t>six</w:t>
      </w:r>
      <w:r w:rsidR="00C43C29">
        <w:rPr>
          <w:sz w:val="26"/>
          <w:szCs w:val="26"/>
        </w:rPr>
        <w:t xml:space="preserve"> general </w:t>
      </w:r>
      <w:r>
        <w:rPr>
          <w:sz w:val="26"/>
          <w:szCs w:val="26"/>
        </w:rPr>
        <w:t>Exceptions</w:t>
      </w:r>
      <w:r w:rsidR="00047A40" w:rsidRPr="00002B4F">
        <w:rPr>
          <w:sz w:val="26"/>
          <w:szCs w:val="26"/>
        </w:rPr>
        <w:t>.</w:t>
      </w:r>
      <w:r w:rsidR="0002797C">
        <w:rPr>
          <w:rStyle w:val="FootnoteReference"/>
          <w:sz w:val="26"/>
          <w:szCs w:val="26"/>
        </w:rPr>
        <w:footnoteReference w:id="7"/>
      </w:r>
      <w:r w:rsidR="00563E42">
        <w:rPr>
          <w:sz w:val="26"/>
          <w:szCs w:val="26"/>
        </w:rPr>
        <w:t xml:space="preserve"> </w:t>
      </w:r>
      <w:r w:rsidR="00047A40">
        <w:rPr>
          <w:sz w:val="26"/>
          <w:szCs w:val="26"/>
        </w:rPr>
        <w:t xml:space="preserve">  </w:t>
      </w:r>
      <w:r w:rsidR="00717F5B">
        <w:rPr>
          <w:sz w:val="26"/>
          <w:szCs w:val="26"/>
        </w:rPr>
        <w:t xml:space="preserve">First, </w:t>
      </w:r>
      <w:r w:rsidR="00E52705">
        <w:rPr>
          <w:sz w:val="26"/>
          <w:szCs w:val="26"/>
        </w:rPr>
        <w:t>they</w:t>
      </w:r>
      <w:r w:rsidR="003D2D9D">
        <w:rPr>
          <w:sz w:val="26"/>
          <w:szCs w:val="26"/>
        </w:rPr>
        <w:t xml:space="preserve"> object to the ALJ’s finding that PECO did not terminate Ms. Mohamed’s CAP enrollment.  According to the Complainants, they were entitled to be in the CAP program and question why they were terminated.  </w:t>
      </w:r>
      <w:r w:rsidR="0097380C">
        <w:rPr>
          <w:sz w:val="26"/>
          <w:szCs w:val="26"/>
        </w:rPr>
        <w:t>Exc. at 1.</w:t>
      </w:r>
    </w:p>
    <w:p w14:paraId="5E27AEEA" w14:textId="1A506234" w:rsidR="00D51B6B" w:rsidRDefault="00D51B6B" w:rsidP="00565CE4">
      <w:pPr>
        <w:widowControl/>
        <w:spacing w:line="360" w:lineRule="auto"/>
        <w:ind w:firstLine="1440"/>
        <w:rPr>
          <w:sz w:val="26"/>
          <w:szCs w:val="26"/>
        </w:rPr>
      </w:pPr>
    </w:p>
    <w:p w14:paraId="396C459D" w14:textId="646767D4" w:rsidR="00DF3109" w:rsidRDefault="00D51B6B" w:rsidP="00565CE4">
      <w:pPr>
        <w:widowControl/>
        <w:spacing w:line="360" w:lineRule="auto"/>
        <w:ind w:firstLine="1440"/>
        <w:rPr>
          <w:sz w:val="26"/>
          <w:szCs w:val="26"/>
        </w:rPr>
      </w:pPr>
      <w:r>
        <w:rPr>
          <w:sz w:val="26"/>
          <w:szCs w:val="26"/>
        </w:rPr>
        <w:lastRenderedPageBreak/>
        <w:t xml:space="preserve">In its reply to the first Exception, PECO argues that the evidence clearly shows that Ms. Mohamed was not terminated from CAP.  According to the Respondent, Ms. Mohamed was originally enrolled in CAP on October 5, 2011, at a previous address.  </w:t>
      </w:r>
      <w:r w:rsidR="001127B4">
        <w:rPr>
          <w:sz w:val="26"/>
          <w:szCs w:val="26"/>
        </w:rPr>
        <w:t>O</w:t>
      </w:r>
      <w:r>
        <w:rPr>
          <w:sz w:val="26"/>
          <w:szCs w:val="26"/>
        </w:rPr>
        <w:t xml:space="preserve">n May </w:t>
      </w:r>
      <w:r w:rsidR="001127B4">
        <w:rPr>
          <w:sz w:val="26"/>
          <w:szCs w:val="26"/>
        </w:rPr>
        <w:t xml:space="preserve">8, 2014, Ms. Mohamed re-enrolled in CAP at her current Service Address.  Thereafter, she was removed from the program on June 23, 2016, for failing to recertify in the program.  PECO asserts that on June 22, 2017, Ms. Mohamed re-enrolled in CAP </w:t>
      </w:r>
      <w:r w:rsidR="00DF3109">
        <w:rPr>
          <w:sz w:val="26"/>
          <w:szCs w:val="26"/>
        </w:rPr>
        <w:t>under PECO’s F</w:t>
      </w:r>
      <w:r w:rsidR="006D437E">
        <w:rPr>
          <w:sz w:val="26"/>
          <w:szCs w:val="26"/>
        </w:rPr>
        <w:t>CO</w:t>
      </w:r>
      <w:r w:rsidR="00DF3109">
        <w:rPr>
          <w:sz w:val="26"/>
          <w:szCs w:val="26"/>
        </w:rPr>
        <w:t>.  R. Exc. at 2 (citing PECO Exh. 4).</w:t>
      </w:r>
    </w:p>
    <w:p w14:paraId="5C6A9DA0" w14:textId="77777777" w:rsidR="00DF3109" w:rsidRDefault="00DF3109" w:rsidP="00565CE4">
      <w:pPr>
        <w:widowControl/>
        <w:spacing w:line="360" w:lineRule="auto"/>
        <w:ind w:firstLine="1440"/>
        <w:rPr>
          <w:sz w:val="26"/>
          <w:szCs w:val="26"/>
        </w:rPr>
      </w:pPr>
    </w:p>
    <w:p w14:paraId="18D4379D" w14:textId="3B8C98F8" w:rsidR="00D51B6B" w:rsidRDefault="00DF3109" w:rsidP="00565CE4">
      <w:pPr>
        <w:widowControl/>
        <w:spacing w:line="360" w:lineRule="auto"/>
        <w:ind w:firstLine="1440"/>
        <w:rPr>
          <w:sz w:val="26"/>
          <w:szCs w:val="26"/>
        </w:rPr>
      </w:pPr>
      <w:r>
        <w:rPr>
          <w:sz w:val="26"/>
          <w:szCs w:val="26"/>
        </w:rPr>
        <w:t xml:space="preserve">Additionally, PECO argues that the evidence pertaining to Ms. Mohamed’s gross annual income establishes that the Complainants are ineligible for a monthly discount under the CAP </w:t>
      </w:r>
      <w:r w:rsidR="006D437E">
        <w:rPr>
          <w:sz w:val="26"/>
          <w:szCs w:val="26"/>
        </w:rPr>
        <w:t>FCO</w:t>
      </w:r>
      <w:r>
        <w:rPr>
          <w:sz w:val="26"/>
          <w:szCs w:val="26"/>
        </w:rPr>
        <w:t xml:space="preserve">.  Specifically, the Respondent contends that under the program the Complainants can afford to pay $1,060.80 per year for electricity bills based on the $1,473.33 monthly household gross income for four people.  According to PECO, the Complainants’ energy usage in 2017 and 2018 never surpassed </w:t>
      </w:r>
      <w:r w:rsidR="00FF5EC8">
        <w:rPr>
          <w:sz w:val="26"/>
          <w:szCs w:val="26"/>
        </w:rPr>
        <w:t>$1,060.80.  R.</w:t>
      </w:r>
      <w:r w:rsidR="00631F6E">
        <w:rPr>
          <w:sz w:val="26"/>
          <w:szCs w:val="26"/>
        </w:rPr>
        <w:t xml:space="preserve"> </w:t>
      </w:r>
      <w:r w:rsidR="00FF5EC8">
        <w:rPr>
          <w:sz w:val="26"/>
          <w:szCs w:val="26"/>
        </w:rPr>
        <w:t>Exc. at</w:t>
      </w:r>
      <w:r w:rsidR="00631F6E">
        <w:rPr>
          <w:sz w:val="26"/>
          <w:szCs w:val="26"/>
        </w:rPr>
        <w:t> </w:t>
      </w:r>
      <w:r w:rsidR="00FF5EC8">
        <w:rPr>
          <w:sz w:val="26"/>
          <w:szCs w:val="26"/>
        </w:rPr>
        <w:t>2 (citing PECO Exh. 4 and Tr. at 45, 49).</w:t>
      </w:r>
    </w:p>
    <w:p w14:paraId="740F7D92" w14:textId="77777777" w:rsidR="0097380C" w:rsidRDefault="0097380C" w:rsidP="00565CE4">
      <w:pPr>
        <w:widowControl/>
        <w:spacing w:line="360" w:lineRule="auto"/>
        <w:ind w:firstLine="1440"/>
        <w:rPr>
          <w:sz w:val="26"/>
          <w:szCs w:val="26"/>
        </w:rPr>
      </w:pPr>
    </w:p>
    <w:p w14:paraId="7294EC91" w14:textId="0E057EB0" w:rsidR="0097380C" w:rsidRDefault="00FF5EC8" w:rsidP="00565CE4">
      <w:pPr>
        <w:widowControl/>
        <w:spacing w:line="360" w:lineRule="auto"/>
        <w:ind w:firstLine="1440"/>
        <w:rPr>
          <w:sz w:val="26"/>
          <w:szCs w:val="26"/>
        </w:rPr>
      </w:pPr>
      <w:r>
        <w:rPr>
          <w:sz w:val="26"/>
          <w:szCs w:val="26"/>
        </w:rPr>
        <w:t>In their s</w:t>
      </w:r>
      <w:r w:rsidR="003D2D9D">
        <w:rPr>
          <w:sz w:val="26"/>
          <w:szCs w:val="26"/>
        </w:rPr>
        <w:t>econd</w:t>
      </w:r>
      <w:r>
        <w:rPr>
          <w:sz w:val="26"/>
          <w:szCs w:val="26"/>
        </w:rPr>
        <w:t xml:space="preserve"> Exception</w:t>
      </w:r>
      <w:r w:rsidR="003D2D9D">
        <w:rPr>
          <w:sz w:val="26"/>
          <w:szCs w:val="26"/>
        </w:rPr>
        <w:t xml:space="preserve">, the Complainants dispute the ALJ’s finding that Ms. Mohamed entered into a payment </w:t>
      </w:r>
      <w:r w:rsidR="00E52705">
        <w:rPr>
          <w:sz w:val="26"/>
          <w:szCs w:val="26"/>
        </w:rPr>
        <w:t>arrangement</w:t>
      </w:r>
      <w:r w:rsidR="003D2D9D">
        <w:rPr>
          <w:sz w:val="26"/>
          <w:szCs w:val="26"/>
        </w:rPr>
        <w:t xml:space="preserve">.  In support, the Complainants argue that the decision is built upon an agreement which the Complainants did not sign or </w:t>
      </w:r>
      <w:r w:rsidR="004E4C95">
        <w:rPr>
          <w:sz w:val="26"/>
          <w:szCs w:val="26"/>
        </w:rPr>
        <w:t>approve,</w:t>
      </w:r>
      <w:r w:rsidR="003D2D9D">
        <w:rPr>
          <w:sz w:val="26"/>
          <w:szCs w:val="26"/>
        </w:rPr>
        <w:t xml:space="preserve"> and that PECO failed to provide evidence of the alleged agreement with their signatures.  </w:t>
      </w:r>
      <w:r w:rsidR="003320BA">
        <w:rPr>
          <w:sz w:val="26"/>
          <w:szCs w:val="26"/>
        </w:rPr>
        <w:t>Exc. at 1.</w:t>
      </w:r>
    </w:p>
    <w:p w14:paraId="5386524E" w14:textId="63105EAA" w:rsidR="00985C87" w:rsidRDefault="00985C87" w:rsidP="00565CE4">
      <w:pPr>
        <w:widowControl/>
        <w:spacing w:line="360" w:lineRule="auto"/>
        <w:ind w:firstLine="1440"/>
        <w:rPr>
          <w:sz w:val="26"/>
          <w:szCs w:val="26"/>
        </w:rPr>
      </w:pPr>
    </w:p>
    <w:p w14:paraId="060C81EB" w14:textId="26B67872" w:rsidR="00985C87" w:rsidRDefault="00985C87" w:rsidP="00565CE4">
      <w:pPr>
        <w:widowControl/>
        <w:spacing w:line="360" w:lineRule="auto"/>
        <w:ind w:firstLine="1440"/>
        <w:rPr>
          <w:sz w:val="26"/>
          <w:szCs w:val="26"/>
        </w:rPr>
      </w:pPr>
      <w:r>
        <w:rPr>
          <w:sz w:val="26"/>
          <w:szCs w:val="26"/>
        </w:rPr>
        <w:t xml:space="preserve">In its response to the second Exception, PECO argues that the evidence clearly demonstrates that Ms. Mohamed entered into a payment </w:t>
      </w:r>
      <w:r w:rsidR="00E52705">
        <w:rPr>
          <w:sz w:val="26"/>
          <w:szCs w:val="26"/>
        </w:rPr>
        <w:t>arrangement</w:t>
      </w:r>
      <w:r>
        <w:rPr>
          <w:sz w:val="26"/>
          <w:szCs w:val="26"/>
        </w:rPr>
        <w:t xml:space="preserve">.  The Respondent asserts that the </w:t>
      </w:r>
      <w:r w:rsidR="00E52705">
        <w:rPr>
          <w:sz w:val="26"/>
          <w:szCs w:val="26"/>
        </w:rPr>
        <w:t>arrangement</w:t>
      </w:r>
      <w:r>
        <w:rPr>
          <w:sz w:val="26"/>
          <w:szCs w:val="26"/>
        </w:rPr>
        <w:t xml:space="preserve"> was initiated on May 8, 2014, during a CAP enrollment</w:t>
      </w:r>
      <w:r w:rsidR="00CD585E">
        <w:rPr>
          <w:sz w:val="26"/>
          <w:szCs w:val="26"/>
        </w:rPr>
        <w:t xml:space="preserve"> and has appeared on page two of Ms. Mohamed’s billing statement every month since that time.  According to PECO, if the Complainants choose not to have the </w:t>
      </w:r>
      <w:r w:rsidR="00E52705">
        <w:rPr>
          <w:sz w:val="26"/>
          <w:szCs w:val="26"/>
        </w:rPr>
        <w:t>payment arrangement</w:t>
      </w:r>
      <w:r w:rsidR="00CD585E">
        <w:rPr>
          <w:sz w:val="26"/>
          <w:szCs w:val="26"/>
        </w:rPr>
        <w:t>, the entire balance would become due and payable immediately.  R. Exc. at 3 (citing Tr. at 29 and PECO Exh. 15).</w:t>
      </w:r>
    </w:p>
    <w:p w14:paraId="196C601D" w14:textId="22299628" w:rsidR="0097380C" w:rsidRDefault="003D2D9D" w:rsidP="00565CE4">
      <w:pPr>
        <w:widowControl/>
        <w:spacing w:line="360" w:lineRule="auto"/>
        <w:ind w:firstLine="1440"/>
        <w:rPr>
          <w:sz w:val="26"/>
          <w:szCs w:val="26"/>
        </w:rPr>
      </w:pPr>
      <w:r>
        <w:rPr>
          <w:sz w:val="26"/>
          <w:szCs w:val="26"/>
        </w:rPr>
        <w:lastRenderedPageBreak/>
        <w:t xml:space="preserve">Third, the Complainants contend that the ALJ’s finding </w:t>
      </w:r>
      <w:r w:rsidR="0097380C">
        <w:rPr>
          <w:sz w:val="26"/>
          <w:szCs w:val="26"/>
        </w:rPr>
        <w:t xml:space="preserve">that Ms. Mohamed had an outstanding balance of $648.43 was in error.  The Complainants aver that they paid their bills and late fees each month and can provide evidence of such payments from their bank.  </w:t>
      </w:r>
      <w:r w:rsidR="003320BA">
        <w:rPr>
          <w:sz w:val="26"/>
          <w:szCs w:val="26"/>
        </w:rPr>
        <w:t>Exc. at 1.</w:t>
      </w:r>
    </w:p>
    <w:p w14:paraId="307237F3" w14:textId="28D940B1" w:rsidR="000F746F" w:rsidRDefault="000F746F" w:rsidP="00565CE4">
      <w:pPr>
        <w:widowControl/>
        <w:spacing w:line="360" w:lineRule="auto"/>
        <w:ind w:firstLine="1440"/>
        <w:rPr>
          <w:sz w:val="26"/>
          <w:szCs w:val="26"/>
        </w:rPr>
      </w:pPr>
    </w:p>
    <w:p w14:paraId="319390DB" w14:textId="05CECE05" w:rsidR="000F746F" w:rsidRDefault="000F746F" w:rsidP="00565CE4">
      <w:pPr>
        <w:widowControl/>
        <w:spacing w:line="360" w:lineRule="auto"/>
        <w:ind w:firstLine="1440"/>
        <w:rPr>
          <w:sz w:val="26"/>
          <w:szCs w:val="26"/>
        </w:rPr>
      </w:pPr>
      <w:r>
        <w:rPr>
          <w:sz w:val="26"/>
          <w:szCs w:val="26"/>
        </w:rPr>
        <w:t xml:space="preserve">In its reply to the third Exception, PECO asserts that it presented sufficient evidence to support the finding that as of March 7, 2014, Ms. Mohamed had accumulated a balance of $648.32.  </w:t>
      </w:r>
      <w:r w:rsidR="00660581">
        <w:rPr>
          <w:sz w:val="26"/>
          <w:szCs w:val="26"/>
        </w:rPr>
        <w:t xml:space="preserve">According to the Respondent, Ms. Mohamed made no payments to her account resulting in a bill of $648.32 due by March 28, 2014.  In response to the argument that bank statements will prove payments were made, PECO argues that the Complainants did not produce any </w:t>
      </w:r>
      <w:r w:rsidR="001E52E1">
        <w:rPr>
          <w:sz w:val="26"/>
          <w:szCs w:val="26"/>
        </w:rPr>
        <w:t xml:space="preserve">such </w:t>
      </w:r>
      <w:r w:rsidR="00660581">
        <w:rPr>
          <w:sz w:val="26"/>
          <w:szCs w:val="26"/>
        </w:rPr>
        <w:t>bank statements, cancelled checks or other documents at the hearing to show that the Respondent somehow hid or fabricated information.  Rather, PECO continues, the evidence clearly indicates that Ms. Mohamed incurred and did not pay these charges.  R. Exc. at 4.</w:t>
      </w:r>
    </w:p>
    <w:p w14:paraId="13E67F45" w14:textId="77777777" w:rsidR="0097380C" w:rsidRDefault="0097380C" w:rsidP="00565CE4">
      <w:pPr>
        <w:widowControl/>
        <w:spacing w:line="360" w:lineRule="auto"/>
        <w:ind w:firstLine="1440"/>
        <w:rPr>
          <w:sz w:val="26"/>
          <w:szCs w:val="26"/>
        </w:rPr>
      </w:pPr>
    </w:p>
    <w:p w14:paraId="2BB78C8B" w14:textId="5445DDA0" w:rsidR="008343AA" w:rsidRDefault="0097380C" w:rsidP="00565CE4">
      <w:pPr>
        <w:widowControl/>
        <w:spacing w:line="360" w:lineRule="auto"/>
        <w:ind w:firstLine="1440"/>
        <w:rPr>
          <w:sz w:val="26"/>
          <w:szCs w:val="26"/>
        </w:rPr>
      </w:pPr>
      <w:r>
        <w:rPr>
          <w:sz w:val="26"/>
          <w:szCs w:val="26"/>
        </w:rPr>
        <w:t>In their fourth Exception, the Complainants dispute the ALJ’s finding that Ms. Mohamed had a gross household income of $1,473.33 per month at the time of her CAP F</w:t>
      </w:r>
      <w:r w:rsidR="006D437E">
        <w:rPr>
          <w:sz w:val="26"/>
          <w:szCs w:val="26"/>
        </w:rPr>
        <w:t>CO</w:t>
      </w:r>
      <w:r>
        <w:rPr>
          <w:sz w:val="26"/>
          <w:szCs w:val="26"/>
        </w:rPr>
        <w:t xml:space="preserve"> enrollment.  </w:t>
      </w:r>
      <w:r w:rsidR="002E27CE">
        <w:rPr>
          <w:sz w:val="26"/>
          <w:szCs w:val="26"/>
        </w:rPr>
        <w:t>The</w:t>
      </w:r>
      <w:r>
        <w:rPr>
          <w:sz w:val="26"/>
          <w:szCs w:val="26"/>
        </w:rPr>
        <w:t xml:space="preserve"> Complainants</w:t>
      </w:r>
      <w:r w:rsidR="002E27CE">
        <w:rPr>
          <w:sz w:val="26"/>
          <w:szCs w:val="26"/>
        </w:rPr>
        <w:t xml:space="preserve"> state that </w:t>
      </w:r>
      <w:r>
        <w:rPr>
          <w:sz w:val="26"/>
          <w:szCs w:val="26"/>
        </w:rPr>
        <w:t>the gross income figure used in the Initial Decision was old income</w:t>
      </w:r>
      <w:r w:rsidR="003320BA">
        <w:rPr>
          <w:sz w:val="26"/>
          <w:szCs w:val="26"/>
        </w:rPr>
        <w:t xml:space="preserve"> </w:t>
      </w:r>
      <w:r w:rsidR="002E27CE">
        <w:rPr>
          <w:sz w:val="26"/>
          <w:szCs w:val="26"/>
        </w:rPr>
        <w:t>and</w:t>
      </w:r>
      <w:r w:rsidR="003320BA">
        <w:rPr>
          <w:sz w:val="26"/>
          <w:szCs w:val="26"/>
        </w:rPr>
        <w:t xml:space="preserve"> that Ms. Mohamed had been on vacation and Mr. Abdulrahman had been disabled at the time.  Instead, the Complainants assert that they are entitled to a 17% allowable energy burden because Ms. Mohamed’s income is less than $1,200 per month.  </w:t>
      </w:r>
      <w:r w:rsidR="004361B2">
        <w:rPr>
          <w:sz w:val="26"/>
          <w:szCs w:val="26"/>
        </w:rPr>
        <w:t xml:space="preserve">Additionally, the Complainants allege that they are entitled to a 17% allowable energy burden and not 6% because they use electric heating.  </w:t>
      </w:r>
      <w:r w:rsidR="003320BA">
        <w:rPr>
          <w:sz w:val="26"/>
          <w:szCs w:val="26"/>
        </w:rPr>
        <w:t>In support, the Complainants attempt to reference tax returns from 2016 and 2017.  Exc. at 2.</w:t>
      </w:r>
    </w:p>
    <w:p w14:paraId="414466D5" w14:textId="7829E14D" w:rsidR="00730FAC" w:rsidRDefault="00730FAC" w:rsidP="00565CE4">
      <w:pPr>
        <w:widowControl/>
        <w:spacing w:line="360" w:lineRule="auto"/>
        <w:ind w:firstLine="1440"/>
        <w:rPr>
          <w:sz w:val="26"/>
          <w:szCs w:val="26"/>
        </w:rPr>
      </w:pPr>
    </w:p>
    <w:p w14:paraId="79B544B3" w14:textId="547D5D9A" w:rsidR="00730FAC" w:rsidRDefault="00033D46" w:rsidP="00565CE4">
      <w:pPr>
        <w:widowControl/>
        <w:spacing w:line="360" w:lineRule="auto"/>
        <w:ind w:firstLine="1440"/>
        <w:rPr>
          <w:sz w:val="26"/>
          <w:szCs w:val="26"/>
        </w:rPr>
      </w:pPr>
      <w:r>
        <w:rPr>
          <w:sz w:val="26"/>
          <w:szCs w:val="26"/>
        </w:rPr>
        <w:t xml:space="preserve">In response to the fourth Exception, PECO contends that the record </w:t>
      </w:r>
      <w:r w:rsidR="008A6DE4">
        <w:rPr>
          <w:sz w:val="26"/>
          <w:szCs w:val="26"/>
        </w:rPr>
        <w:t xml:space="preserve">evidence </w:t>
      </w:r>
      <w:r w:rsidR="00EB1ADF">
        <w:rPr>
          <w:sz w:val="26"/>
          <w:szCs w:val="26"/>
        </w:rPr>
        <w:t xml:space="preserve">clearly </w:t>
      </w:r>
      <w:r w:rsidR="008A6DE4">
        <w:rPr>
          <w:sz w:val="26"/>
          <w:szCs w:val="26"/>
        </w:rPr>
        <w:t xml:space="preserve">indicates that </w:t>
      </w:r>
      <w:r w:rsidR="00EB1ADF">
        <w:rPr>
          <w:sz w:val="26"/>
          <w:szCs w:val="26"/>
        </w:rPr>
        <w:t xml:space="preserve">Ms. Mohamed reported </w:t>
      </w:r>
      <w:r w:rsidR="006E0F9A">
        <w:rPr>
          <w:sz w:val="26"/>
          <w:szCs w:val="26"/>
        </w:rPr>
        <w:t>$1,473.33 in monthly gross household income for her CAP</w:t>
      </w:r>
      <w:r w:rsidR="001315D5">
        <w:rPr>
          <w:sz w:val="26"/>
          <w:szCs w:val="26"/>
        </w:rPr>
        <w:t xml:space="preserve"> </w:t>
      </w:r>
      <w:r w:rsidR="006E0F9A">
        <w:rPr>
          <w:sz w:val="26"/>
          <w:szCs w:val="26"/>
        </w:rPr>
        <w:t>FCO enrollment.</w:t>
      </w:r>
      <w:r w:rsidR="00335D7E">
        <w:rPr>
          <w:sz w:val="26"/>
          <w:szCs w:val="26"/>
        </w:rPr>
        <w:t xml:space="preserve">  The Respondent asserts that the Complainants </w:t>
      </w:r>
      <w:r w:rsidR="003D59B1">
        <w:rPr>
          <w:sz w:val="26"/>
          <w:szCs w:val="26"/>
        </w:rPr>
        <w:t xml:space="preserve">presented one exhibit which did not contain tax returns or income </w:t>
      </w:r>
      <w:r w:rsidR="003D59B1">
        <w:rPr>
          <w:sz w:val="26"/>
          <w:szCs w:val="26"/>
        </w:rPr>
        <w:lastRenderedPageBreak/>
        <w:t xml:space="preserve">information.  </w:t>
      </w:r>
      <w:r w:rsidR="001770B9">
        <w:rPr>
          <w:sz w:val="26"/>
          <w:szCs w:val="26"/>
        </w:rPr>
        <w:t xml:space="preserve">In contrast, PECO </w:t>
      </w:r>
      <w:r w:rsidR="00625466">
        <w:rPr>
          <w:sz w:val="26"/>
          <w:szCs w:val="26"/>
        </w:rPr>
        <w:t xml:space="preserve">presented business records establishing </w:t>
      </w:r>
      <w:r w:rsidR="009952B6">
        <w:rPr>
          <w:sz w:val="26"/>
          <w:szCs w:val="26"/>
        </w:rPr>
        <w:t>monthly gross income of $1,473.</w:t>
      </w:r>
      <w:r w:rsidR="004734E2">
        <w:rPr>
          <w:sz w:val="26"/>
          <w:szCs w:val="26"/>
        </w:rPr>
        <w:t xml:space="preserve">33 for a family of four.  Based on this income, PECO argues, it correctly calculated </w:t>
      </w:r>
      <w:r w:rsidR="00303060">
        <w:rPr>
          <w:sz w:val="26"/>
          <w:szCs w:val="26"/>
        </w:rPr>
        <w:t>the Complainants’ CAP energy burden to be $1,060.80 based on an annual</w:t>
      </w:r>
      <w:r w:rsidR="00B45143">
        <w:rPr>
          <w:sz w:val="26"/>
          <w:szCs w:val="26"/>
        </w:rPr>
        <w:t xml:space="preserve"> gross income of $17,680.  The </w:t>
      </w:r>
      <w:r w:rsidR="005E40BE">
        <w:rPr>
          <w:sz w:val="26"/>
          <w:szCs w:val="26"/>
        </w:rPr>
        <w:t xml:space="preserve">Respondents contend that the </w:t>
      </w:r>
      <w:r w:rsidR="00B45143">
        <w:rPr>
          <w:sz w:val="26"/>
          <w:szCs w:val="26"/>
        </w:rPr>
        <w:t xml:space="preserve">Complainants had the opportunity at the hearing </w:t>
      </w:r>
      <w:r w:rsidR="005E40BE">
        <w:rPr>
          <w:sz w:val="26"/>
          <w:szCs w:val="26"/>
        </w:rPr>
        <w:t>to present tax return information, corre</w:t>
      </w:r>
      <w:r w:rsidR="00AD783D">
        <w:rPr>
          <w:sz w:val="26"/>
          <w:szCs w:val="26"/>
        </w:rPr>
        <w:t>spondence to PECO</w:t>
      </w:r>
      <w:r w:rsidR="00C10E14">
        <w:rPr>
          <w:sz w:val="26"/>
          <w:szCs w:val="26"/>
        </w:rPr>
        <w:t>, or other documentation</w:t>
      </w:r>
      <w:r w:rsidR="004710DB">
        <w:rPr>
          <w:sz w:val="26"/>
          <w:szCs w:val="26"/>
        </w:rPr>
        <w:t xml:space="preserve"> to prove a lower household income </w:t>
      </w:r>
      <w:r w:rsidR="00027C93">
        <w:rPr>
          <w:sz w:val="26"/>
          <w:szCs w:val="26"/>
        </w:rPr>
        <w:t>but failed to do so.  PECO argues that the Complainants canno</w:t>
      </w:r>
      <w:r w:rsidR="009610F6">
        <w:rPr>
          <w:sz w:val="26"/>
          <w:szCs w:val="26"/>
        </w:rPr>
        <w:t>t attempt to litigate this issue now in its Exceptions.  R. Exc. at 5.</w:t>
      </w:r>
    </w:p>
    <w:p w14:paraId="50B19007" w14:textId="46EF3555" w:rsidR="003320BA" w:rsidRDefault="003320BA" w:rsidP="00565CE4">
      <w:pPr>
        <w:widowControl/>
        <w:spacing w:line="360" w:lineRule="auto"/>
        <w:ind w:firstLine="1440"/>
        <w:rPr>
          <w:sz w:val="26"/>
          <w:szCs w:val="26"/>
        </w:rPr>
      </w:pPr>
    </w:p>
    <w:p w14:paraId="61DDE115" w14:textId="1742E33E" w:rsidR="003320BA" w:rsidRDefault="003320BA" w:rsidP="00565CE4">
      <w:pPr>
        <w:widowControl/>
        <w:spacing w:line="360" w:lineRule="auto"/>
        <w:ind w:firstLine="1440"/>
        <w:rPr>
          <w:sz w:val="26"/>
          <w:szCs w:val="26"/>
        </w:rPr>
      </w:pPr>
      <w:r>
        <w:rPr>
          <w:sz w:val="26"/>
          <w:szCs w:val="26"/>
        </w:rPr>
        <w:t>In their fifth Exception, the Complainants object to PECO’s late</w:t>
      </w:r>
      <w:r w:rsidR="00C71328">
        <w:rPr>
          <w:sz w:val="26"/>
          <w:szCs w:val="26"/>
        </w:rPr>
        <w:t>-</w:t>
      </w:r>
      <w:r>
        <w:rPr>
          <w:sz w:val="26"/>
          <w:szCs w:val="26"/>
        </w:rPr>
        <w:t xml:space="preserve">filed exhibits contending that the ALJ never requested their answer to these exhibits.  The Complainants’ sixth Exception alleges that the </w:t>
      </w:r>
      <w:r w:rsidR="00BD7467">
        <w:rPr>
          <w:sz w:val="26"/>
          <w:szCs w:val="26"/>
        </w:rPr>
        <w:t>ALJ never permitted them to retain an attorney to represent them.  Exc. at 1.</w:t>
      </w:r>
    </w:p>
    <w:p w14:paraId="3B977475" w14:textId="77777777" w:rsidR="008343AA" w:rsidRDefault="008343AA" w:rsidP="00565CE4">
      <w:pPr>
        <w:widowControl/>
        <w:spacing w:line="360" w:lineRule="auto"/>
        <w:ind w:firstLine="1440"/>
        <w:rPr>
          <w:sz w:val="26"/>
          <w:szCs w:val="26"/>
        </w:rPr>
      </w:pPr>
    </w:p>
    <w:p w14:paraId="35FF312A" w14:textId="373E19A8" w:rsidR="007B580E" w:rsidRDefault="009610F6" w:rsidP="00565CE4">
      <w:pPr>
        <w:widowControl/>
        <w:spacing w:line="360" w:lineRule="auto"/>
        <w:ind w:firstLine="1440"/>
        <w:rPr>
          <w:sz w:val="26"/>
          <w:szCs w:val="26"/>
        </w:rPr>
      </w:pPr>
      <w:r>
        <w:rPr>
          <w:sz w:val="26"/>
          <w:szCs w:val="26"/>
        </w:rPr>
        <w:t xml:space="preserve">PECO </w:t>
      </w:r>
      <w:r w:rsidR="00D162BF">
        <w:rPr>
          <w:sz w:val="26"/>
          <w:szCs w:val="26"/>
        </w:rPr>
        <w:t xml:space="preserve">did not respond to the fifth Exception.  However, in reply to the sixth Exception, the Respondent argues that </w:t>
      </w:r>
      <w:r w:rsidR="001160A2">
        <w:rPr>
          <w:sz w:val="26"/>
          <w:szCs w:val="26"/>
        </w:rPr>
        <w:t xml:space="preserve">the </w:t>
      </w:r>
      <w:r w:rsidR="00FB498C">
        <w:rPr>
          <w:sz w:val="26"/>
          <w:szCs w:val="26"/>
        </w:rPr>
        <w:t xml:space="preserve">Complainants </w:t>
      </w:r>
      <w:r w:rsidR="00FC11FF">
        <w:rPr>
          <w:sz w:val="26"/>
          <w:szCs w:val="26"/>
        </w:rPr>
        <w:t xml:space="preserve">chose </w:t>
      </w:r>
      <w:r w:rsidR="00EE2B65">
        <w:rPr>
          <w:sz w:val="26"/>
          <w:szCs w:val="26"/>
        </w:rPr>
        <w:t xml:space="preserve">to </w:t>
      </w:r>
      <w:r w:rsidR="00FC11FF">
        <w:rPr>
          <w:sz w:val="26"/>
          <w:szCs w:val="26"/>
        </w:rPr>
        <w:t xml:space="preserve">proceed </w:t>
      </w:r>
      <w:r w:rsidR="00FC11FF" w:rsidRPr="008A7D7C">
        <w:rPr>
          <w:i/>
          <w:iCs/>
          <w:sz w:val="26"/>
          <w:szCs w:val="26"/>
        </w:rPr>
        <w:t>pro se</w:t>
      </w:r>
      <w:r w:rsidR="00FC11FF">
        <w:rPr>
          <w:sz w:val="26"/>
          <w:szCs w:val="26"/>
        </w:rPr>
        <w:t xml:space="preserve"> and cannot </w:t>
      </w:r>
      <w:r w:rsidR="00EE2B65">
        <w:rPr>
          <w:sz w:val="26"/>
          <w:szCs w:val="26"/>
        </w:rPr>
        <w:t xml:space="preserve">now </w:t>
      </w:r>
      <w:r w:rsidR="00FC11FF">
        <w:rPr>
          <w:sz w:val="26"/>
          <w:szCs w:val="26"/>
        </w:rPr>
        <w:t xml:space="preserve">allege prejudice </w:t>
      </w:r>
      <w:r w:rsidR="008A7D7C">
        <w:rPr>
          <w:sz w:val="26"/>
          <w:szCs w:val="26"/>
        </w:rPr>
        <w:t xml:space="preserve">by not being afforded the opportunity to obtain counsel.  In </w:t>
      </w:r>
      <w:r w:rsidR="00EE2B65">
        <w:rPr>
          <w:sz w:val="26"/>
          <w:szCs w:val="26"/>
        </w:rPr>
        <w:t xml:space="preserve">support, PECO contends that the </w:t>
      </w:r>
      <w:r w:rsidR="003D2AA5">
        <w:rPr>
          <w:sz w:val="26"/>
          <w:szCs w:val="26"/>
        </w:rPr>
        <w:t xml:space="preserve">ALJ advised the Complainants in her prehearing order that </w:t>
      </w:r>
      <w:r w:rsidR="00342DA5">
        <w:rPr>
          <w:sz w:val="26"/>
          <w:szCs w:val="26"/>
        </w:rPr>
        <w:t>an individual is not required to have an attorney</w:t>
      </w:r>
      <w:r w:rsidR="006F7A12">
        <w:rPr>
          <w:sz w:val="26"/>
          <w:szCs w:val="26"/>
        </w:rPr>
        <w:t xml:space="preserve"> and may represent himself or herself at hearing.  </w:t>
      </w:r>
      <w:r w:rsidR="002178C2">
        <w:rPr>
          <w:sz w:val="26"/>
          <w:szCs w:val="26"/>
        </w:rPr>
        <w:t xml:space="preserve">After receiving the </w:t>
      </w:r>
      <w:r w:rsidR="00BE6D05">
        <w:rPr>
          <w:sz w:val="26"/>
          <w:szCs w:val="26"/>
        </w:rPr>
        <w:t xml:space="preserve">prehearing order, the Complainants </w:t>
      </w:r>
      <w:r w:rsidR="00472C48">
        <w:rPr>
          <w:sz w:val="26"/>
          <w:szCs w:val="26"/>
        </w:rPr>
        <w:t>did not</w:t>
      </w:r>
      <w:r w:rsidR="00BE6D05">
        <w:rPr>
          <w:sz w:val="26"/>
          <w:szCs w:val="26"/>
        </w:rPr>
        <w:t xml:space="preserve"> ask for an</w:t>
      </w:r>
      <w:r w:rsidR="00886305">
        <w:rPr>
          <w:sz w:val="26"/>
          <w:szCs w:val="26"/>
        </w:rPr>
        <w:t xml:space="preserve"> attorney </w:t>
      </w:r>
      <w:r w:rsidR="00472C48">
        <w:rPr>
          <w:sz w:val="26"/>
          <w:szCs w:val="26"/>
        </w:rPr>
        <w:t>or seek a continuance</w:t>
      </w:r>
      <w:r w:rsidR="00B90AE3">
        <w:rPr>
          <w:sz w:val="26"/>
          <w:szCs w:val="26"/>
        </w:rPr>
        <w:t xml:space="preserve"> in order to obtain one.  Indeed, the Respondent argues, the Complainants never </w:t>
      </w:r>
      <w:r w:rsidR="0061018B">
        <w:rPr>
          <w:sz w:val="26"/>
          <w:szCs w:val="26"/>
        </w:rPr>
        <w:t>raised the issue of needing an attorney.  Thus, PECO argues that the Exception should be denied.</w:t>
      </w:r>
    </w:p>
    <w:p w14:paraId="38933BAF" w14:textId="03656831" w:rsidR="0061018B" w:rsidRDefault="0061018B" w:rsidP="00565CE4">
      <w:pPr>
        <w:widowControl/>
        <w:spacing w:line="360" w:lineRule="auto"/>
        <w:ind w:firstLine="1440"/>
        <w:rPr>
          <w:sz w:val="26"/>
          <w:szCs w:val="26"/>
        </w:rPr>
      </w:pPr>
    </w:p>
    <w:p w14:paraId="645ADB71" w14:textId="7AE299A6" w:rsidR="0061018B" w:rsidRDefault="0061018B" w:rsidP="00565CE4">
      <w:pPr>
        <w:widowControl/>
        <w:spacing w:line="360" w:lineRule="auto"/>
        <w:ind w:firstLine="1440"/>
        <w:rPr>
          <w:sz w:val="26"/>
          <w:szCs w:val="26"/>
        </w:rPr>
      </w:pPr>
      <w:r>
        <w:rPr>
          <w:sz w:val="26"/>
          <w:szCs w:val="26"/>
        </w:rPr>
        <w:t xml:space="preserve">In addition to its replies </w:t>
      </w:r>
      <w:r w:rsidR="0070026C">
        <w:rPr>
          <w:sz w:val="26"/>
          <w:szCs w:val="26"/>
        </w:rPr>
        <w:t xml:space="preserve">to the Exceptions, PECO </w:t>
      </w:r>
      <w:r w:rsidR="00F91A9D">
        <w:rPr>
          <w:sz w:val="26"/>
          <w:szCs w:val="26"/>
        </w:rPr>
        <w:t xml:space="preserve">argues that the ALJ’s </w:t>
      </w:r>
      <w:r w:rsidR="004031F0">
        <w:rPr>
          <w:sz w:val="26"/>
          <w:szCs w:val="26"/>
        </w:rPr>
        <w:t xml:space="preserve">decision granting the refund of late payment charges should be reversed.  </w:t>
      </w:r>
      <w:r w:rsidR="00B22B0A">
        <w:rPr>
          <w:sz w:val="26"/>
          <w:szCs w:val="26"/>
        </w:rPr>
        <w:t>R. Exc. at 6-</w:t>
      </w:r>
      <w:r w:rsidR="0072724E">
        <w:rPr>
          <w:sz w:val="26"/>
          <w:szCs w:val="26"/>
        </w:rPr>
        <w:t xml:space="preserve">10.  For the reasons discussed below, we will not consider </w:t>
      </w:r>
      <w:r w:rsidR="00E40FEA">
        <w:rPr>
          <w:sz w:val="26"/>
          <w:szCs w:val="26"/>
        </w:rPr>
        <w:t>these</w:t>
      </w:r>
      <w:r w:rsidR="00650D3B">
        <w:rPr>
          <w:sz w:val="26"/>
          <w:szCs w:val="26"/>
        </w:rPr>
        <w:t xml:space="preserve"> arguments </w:t>
      </w:r>
      <w:r w:rsidR="00E40FEA">
        <w:rPr>
          <w:sz w:val="26"/>
          <w:szCs w:val="26"/>
        </w:rPr>
        <w:t xml:space="preserve">raised in the Replies to Exceptions because </w:t>
      </w:r>
      <w:r w:rsidR="007B59F3">
        <w:rPr>
          <w:sz w:val="26"/>
          <w:szCs w:val="26"/>
        </w:rPr>
        <w:t>the</w:t>
      </w:r>
      <w:r w:rsidR="002A2F10">
        <w:rPr>
          <w:sz w:val="26"/>
          <w:szCs w:val="26"/>
        </w:rPr>
        <w:t xml:space="preserve">y constitute </w:t>
      </w:r>
      <w:r w:rsidR="00E40FEA">
        <w:rPr>
          <w:sz w:val="26"/>
          <w:szCs w:val="26"/>
        </w:rPr>
        <w:t xml:space="preserve">untimely </w:t>
      </w:r>
      <w:r w:rsidR="002A2F10">
        <w:rPr>
          <w:sz w:val="26"/>
          <w:szCs w:val="26"/>
        </w:rPr>
        <w:t>filed Exceptions.</w:t>
      </w:r>
    </w:p>
    <w:p w14:paraId="19896675" w14:textId="77777777" w:rsidR="00E40FEA" w:rsidRDefault="00E40FEA" w:rsidP="0035666F">
      <w:pPr>
        <w:widowControl/>
        <w:spacing w:line="360" w:lineRule="auto"/>
        <w:rPr>
          <w:b/>
          <w:sz w:val="26"/>
          <w:szCs w:val="26"/>
        </w:rPr>
      </w:pPr>
    </w:p>
    <w:p w14:paraId="1A0DDDF2" w14:textId="7FCFD3A2" w:rsidR="007A5264" w:rsidRDefault="007A5264" w:rsidP="0035666F">
      <w:pPr>
        <w:widowControl/>
        <w:spacing w:line="360" w:lineRule="auto"/>
        <w:rPr>
          <w:b/>
          <w:sz w:val="26"/>
          <w:szCs w:val="26"/>
        </w:rPr>
      </w:pPr>
      <w:r>
        <w:rPr>
          <w:b/>
          <w:sz w:val="26"/>
          <w:szCs w:val="26"/>
        </w:rPr>
        <w:lastRenderedPageBreak/>
        <w:t>Disposition</w:t>
      </w:r>
    </w:p>
    <w:p w14:paraId="62F6EEF4" w14:textId="3639DF48" w:rsidR="00E817CD" w:rsidRDefault="00E817CD" w:rsidP="0035666F">
      <w:pPr>
        <w:widowControl/>
        <w:spacing w:line="360" w:lineRule="auto"/>
        <w:rPr>
          <w:b/>
          <w:sz w:val="26"/>
          <w:szCs w:val="26"/>
        </w:rPr>
      </w:pPr>
    </w:p>
    <w:p w14:paraId="6537A26C" w14:textId="3B84CCC7" w:rsidR="00E817CD" w:rsidRDefault="00E817CD" w:rsidP="0035666F">
      <w:pPr>
        <w:widowControl/>
        <w:spacing w:line="360" w:lineRule="auto"/>
        <w:rPr>
          <w:bCs/>
          <w:sz w:val="26"/>
          <w:szCs w:val="26"/>
        </w:rPr>
      </w:pPr>
      <w:r>
        <w:rPr>
          <w:b/>
          <w:sz w:val="26"/>
          <w:szCs w:val="26"/>
        </w:rPr>
        <w:tab/>
      </w:r>
      <w:r>
        <w:rPr>
          <w:b/>
          <w:sz w:val="26"/>
          <w:szCs w:val="26"/>
        </w:rPr>
        <w:tab/>
      </w:r>
      <w:r>
        <w:rPr>
          <w:bCs/>
          <w:sz w:val="26"/>
          <w:szCs w:val="26"/>
        </w:rPr>
        <w:t>Upon review of the record, we shall deny the Complainants’ Exceptions.</w:t>
      </w:r>
    </w:p>
    <w:p w14:paraId="19251612" w14:textId="3ECC7D0B" w:rsidR="00822BAC" w:rsidRDefault="00822BAC" w:rsidP="0035666F">
      <w:pPr>
        <w:widowControl/>
        <w:spacing w:line="360" w:lineRule="auto"/>
        <w:rPr>
          <w:bCs/>
          <w:sz w:val="26"/>
          <w:szCs w:val="26"/>
        </w:rPr>
      </w:pPr>
    </w:p>
    <w:p w14:paraId="45E5D3EE" w14:textId="66C2501F" w:rsidR="00822BAC" w:rsidRDefault="00822BAC" w:rsidP="0035666F">
      <w:pPr>
        <w:widowControl/>
        <w:spacing w:line="360" w:lineRule="auto"/>
        <w:rPr>
          <w:bCs/>
          <w:sz w:val="26"/>
          <w:szCs w:val="26"/>
        </w:rPr>
      </w:pPr>
      <w:r>
        <w:rPr>
          <w:bCs/>
          <w:sz w:val="26"/>
          <w:szCs w:val="26"/>
        </w:rPr>
        <w:tab/>
      </w:r>
      <w:r>
        <w:rPr>
          <w:bCs/>
          <w:sz w:val="26"/>
          <w:szCs w:val="26"/>
        </w:rPr>
        <w:tab/>
        <w:t xml:space="preserve">Regarding the first Exception, the record fully supports a finding that PECO </w:t>
      </w:r>
      <w:r w:rsidR="00225582">
        <w:rPr>
          <w:bCs/>
          <w:sz w:val="26"/>
          <w:szCs w:val="26"/>
        </w:rPr>
        <w:t xml:space="preserve">did not terminate Ms. Mohamed’s enrollment in CAP.  Although Ms. Mohamed was temporarily </w:t>
      </w:r>
      <w:r w:rsidR="00605C14">
        <w:rPr>
          <w:bCs/>
          <w:sz w:val="26"/>
          <w:szCs w:val="26"/>
        </w:rPr>
        <w:t>removed from the program on June 23, 2016, due to her own failure to recertify in the program</w:t>
      </w:r>
      <w:r w:rsidR="00905511">
        <w:rPr>
          <w:bCs/>
          <w:sz w:val="26"/>
          <w:szCs w:val="26"/>
        </w:rPr>
        <w:t xml:space="preserve">, it is evident that Ms. Mohamed was permitted to re-enroll in CAP under PECO’s FCO on June 22, 2017.  </w:t>
      </w:r>
      <w:r w:rsidR="005E1F7E">
        <w:rPr>
          <w:bCs/>
          <w:sz w:val="26"/>
          <w:szCs w:val="26"/>
        </w:rPr>
        <w:t xml:space="preserve">Furthermore, the record supports the ALJ’s determination that the Complainants’ are ineligible for a monthly discount under the FCO based on Ms. Mohamed’s annual gross income and low energy usage.  </w:t>
      </w:r>
      <w:r w:rsidR="00B21EF3">
        <w:rPr>
          <w:bCs/>
          <w:sz w:val="26"/>
          <w:szCs w:val="26"/>
        </w:rPr>
        <w:t xml:space="preserve">According to the evidence presented, </w:t>
      </w:r>
      <w:r w:rsidR="0093009D">
        <w:rPr>
          <w:bCs/>
          <w:sz w:val="26"/>
          <w:szCs w:val="26"/>
        </w:rPr>
        <w:t xml:space="preserve">Ms. Mohamed can afford up to $1,060.80 per year </w:t>
      </w:r>
      <w:r w:rsidR="00711A34">
        <w:rPr>
          <w:bCs/>
          <w:sz w:val="26"/>
          <w:szCs w:val="26"/>
        </w:rPr>
        <w:t>for electricity bills based on her $1,473.33 monthly gross income for a household of f</w:t>
      </w:r>
      <w:r w:rsidR="008A48EA">
        <w:rPr>
          <w:bCs/>
          <w:sz w:val="26"/>
          <w:szCs w:val="26"/>
        </w:rPr>
        <w:t xml:space="preserve">our people.  Her energy usage in both 2017 and 2018 never </w:t>
      </w:r>
      <w:r w:rsidR="00C417D8">
        <w:rPr>
          <w:bCs/>
          <w:sz w:val="26"/>
          <w:szCs w:val="26"/>
        </w:rPr>
        <w:t xml:space="preserve">surpassed </w:t>
      </w:r>
      <w:r w:rsidR="00D85EEE">
        <w:rPr>
          <w:bCs/>
          <w:sz w:val="26"/>
          <w:szCs w:val="26"/>
        </w:rPr>
        <w:t xml:space="preserve">the allowable energy threshold of $1,060.80.  Thus, </w:t>
      </w:r>
      <w:r w:rsidR="00292B1D">
        <w:rPr>
          <w:bCs/>
          <w:sz w:val="26"/>
          <w:szCs w:val="26"/>
        </w:rPr>
        <w:t xml:space="preserve">under the circumstances, </w:t>
      </w:r>
      <w:r w:rsidR="00D85EEE">
        <w:rPr>
          <w:bCs/>
          <w:sz w:val="26"/>
          <w:szCs w:val="26"/>
        </w:rPr>
        <w:t xml:space="preserve">PECO </w:t>
      </w:r>
      <w:r w:rsidR="00CE40A8">
        <w:rPr>
          <w:bCs/>
          <w:sz w:val="26"/>
          <w:szCs w:val="26"/>
        </w:rPr>
        <w:t xml:space="preserve">appropriately applied the </w:t>
      </w:r>
      <w:r w:rsidR="0074357F">
        <w:rPr>
          <w:bCs/>
          <w:sz w:val="26"/>
          <w:szCs w:val="26"/>
        </w:rPr>
        <w:t xml:space="preserve">terms of </w:t>
      </w:r>
      <w:r w:rsidR="00292B1D">
        <w:rPr>
          <w:bCs/>
          <w:sz w:val="26"/>
          <w:szCs w:val="26"/>
        </w:rPr>
        <w:t>its FCO by not applying CAP cre</w:t>
      </w:r>
      <w:r w:rsidR="00872744">
        <w:rPr>
          <w:bCs/>
          <w:sz w:val="26"/>
          <w:szCs w:val="26"/>
        </w:rPr>
        <w:t xml:space="preserve">dits to Ms. Mohamed’s account.  </w:t>
      </w:r>
      <w:r w:rsidR="00BC116B">
        <w:rPr>
          <w:bCs/>
          <w:sz w:val="26"/>
          <w:szCs w:val="26"/>
        </w:rPr>
        <w:t>Accordingly, we shall deny the first Exception.</w:t>
      </w:r>
    </w:p>
    <w:p w14:paraId="5E41B171" w14:textId="19411691" w:rsidR="007026CC" w:rsidRDefault="007026CC" w:rsidP="0035666F">
      <w:pPr>
        <w:widowControl/>
        <w:spacing w:line="360" w:lineRule="auto"/>
        <w:rPr>
          <w:bCs/>
          <w:sz w:val="26"/>
          <w:szCs w:val="26"/>
        </w:rPr>
      </w:pPr>
    </w:p>
    <w:p w14:paraId="710B7C55" w14:textId="2A49A3BF" w:rsidR="007026CC" w:rsidRDefault="007026CC" w:rsidP="0035666F">
      <w:pPr>
        <w:widowControl/>
        <w:spacing w:line="360" w:lineRule="auto"/>
        <w:rPr>
          <w:bCs/>
          <w:sz w:val="26"/>
          <w:szCs w:val="26"/>
        </w:rPr>
      </w:pPr>
      <w:r>
        <w:rPr>
          <w:bCs/>
          <w:sz w:val="26"/>
          <w:szCs w:val="26"/>
        </w:rPr>
        <w:tab/>
      </w:r>
      <w:r>
        <w:rPr>
          <w:bCs/>
          <w:sz w:val="26"/>
          <w:szCs w:val="26"/>
        </w:rPr>
        <w:tab/>
        <w:t>As to the second Exception,</w:t>
      </w:r>
      <w:r w:rsidR="006E6EEF">
        <w:rPr>
          <w:bCs/>
          <w:sz w:val="26"/>
          <w:szCs w:val="26"/>
        </w:rPr>
        <w:t xml:space="preserve"> the ALJ </w:t>
      </w:r>
      <w:r w:rsidR="00B83AB8">
        <w:rPr>
          <w:bCs/>
          <w:sz w:val="26"/>
          <w:szCs w:val="26"/>
        </w:rPr>
        <w:t xml:space="preserve">carefully referenced the evidentiary record in support of the determination that </w:t>
      </w:r>
      <w:r w:rsidR="001E713E">
        <w:rPr>
          <w:bCs/>
          <w:sz w:val="26"/>
          <w:szCs w:val="26"/>
        </w:rPr>
        <w:t xml:space="preserve">Ms. Mohamed entered into a payment arrangement with </w:t>
      </w:r>
      <w:r w:rsidR="00E45269">
        <w:rPr>
          <w:bCs/>
          <w:sz w:val="26"/>
          <w:szCs w:val="26"/>
        </w:rPr>
        <w:t xml:space="preserve">PECO.  It is clear that the Complainants’ failed to satisfy their burden of proof regarding this allegation.  Moreover, the Complainants appear to </w:t>
      </w:r>
      <w:r w:rsidR="00785D96">
        <w:rPr>
          <w:bCs/>
          <w:sz w:val="26"/>
          <w:szCs w:val="26"/>
        </w:rPr>
        <w:t>misapprehend the</w:t>
      </w:r>
      <w:r w:rsidR="001C46C7">
        <w:rPr>
          <w:bCs/>
          <w:sz w:val="26"/>
          <w:szCs w:val="26"/>
        </w:rPr>
        <w:t xml:space="preserve"> </w:t>
      </w:r>
      <w:r w:rsidR="002B2B09">
        <w:rPr>
          <w:bCs/>
          <w:sz w:val="26"/>
          <w:szCs w:val="26"/>
        </w:rPr>
        <w:t xml:space="preserve">financial benefit </w:t>
      </w:r>
      <w:r w:rsidR="001C46C7">
        <w:rPr>
          <w:bCs/>
          <w:sz w:val="26"/>
          <w:szCs w:val="26"/>
        </w:rPr>
        <w:t xml:space="preserve">of the payment arrangement with PECO; without it, </w:t>
      </w:r>
      <w:r w:rsidR="002B2B09">
        <w:rPr>
          <w:bCs/>
          <w:sz w:val="26"/>
          <w:szCs w:val="26"/>
        </w:rPr>
        <w:t xml:space="preserve">the entire outstanding balance </w:t>
      </w:r>
      <w:r w:rsidR="007D57F0">
        <w:rPr>
          <w:bCs/>
          <w:sz w:val="26"/>
          <w:szCs w:val="26"/>
        </w:rPr>
        <w:t xml:space="preserve">would become due and payable immediately </w:t>
      </w:r>
      <w:r w:rsidR="005712D9">
        <w:rPr>
          <w:bCs/>
          <w:sz w:val="26"/>
          <w:szCs w:val="26"/>
        </w:rPr>
        <w:t xml:space="preserve">rather than </w:t>
      </w:r>
      <w:r w:rsidR="006F1593">
        <w:rPr>
          <w:bCs/>
          <w:sz w:val="26"/>
          <w:szCs w:val="26"/>
        </w:rPr>
        <w:t xml:space="preserve">being spread over </w:t>
      </w:r>
      <w:r w:rsidR="002215D4">
        <w:rPr>
          <w:bCs/>
          <w:sz w:val="26"/>
          <w:szCs w:val="26"/>
        </w:rPr>
        <w:t xml:space="preserve">lower monthly </w:t>
      </w:r>
      <w:r w:rsidR="006F1593">
        <w:rPr>
          <w:bCs/>
          <w:sz w:val="26"/>
          <w:szCs w:val="26"/>
        </w:rPr>
        <w:t xml:space="preserve">installments </w:t>
      </w:r>
      <w:r w:rsidR="00B126CB">
        <w:rPr>
          <w:bCs/>
          <w:sz w:val="26"/>
          <w:szCs w:val="26"/>
        </w:rPr>
        <w:t xml:space="preserve">under </w:t>
      </w:r>
      <w:r w:rsidR="002E27CE">
        <w:rPr>
          <w:bCs/>
          <w:sz w:val="26"/>
          <w:szCs w:val="26"/>
        </w:rPr>
        <w:t>the</w:t>
      </w:r>
      <w:r w:rsidR="00B126CB">
        <w:rPr>
          <w:bCs/>
          <w:sz w:val="26"/>
          <w:szCs w:val="26"/>
        </w:rPr>
        <w:t xml:space="preserve"> existing payment arrangement.</w:t>
      </w:r>
      <w:r w:rsidR="0087265D">
        <w:rPr>
          <w:rStyle w:val="FootnoteReference"/>
          <w:bCs/>
          <w:sz w:val="26"/>
          <w:szCs w:val="26"/>
        </w:rPr>
        <w:footnoteReference w:id="8"/>
      </w:r>
      <w:r w:rsidR="00B126CB">
        <w:rPr>
          <w:bCs/>
          <w:sz w:val="26"/>
          <w:szCs w:val="26"/>
        </w:rPr>
        <w:t xml:space="preserve">  Thus, </w:t>
      </w:r>
      <w:r w:rsidR="0081056D">
        <w:rPr>
          <w:bCs/>
          <w:sz w:val="26"/>
          <w:szCs w:val="26"/>
        </w:rPr>
        <w:t>the second Exception is denied.</w:t>
      </w:r>
    </w:p>
    <w:p w14:paraId="7DDE1AC8" w14:textId="4CB66803" w:rsidR="007D57F0" w:rsidRDefault="007D57F0" w:rsidP="0035666F">
      <w:pPr>
        <w:widowControl/>
        <w:spacing w:line="360" w:lineRule="auto"/>
        <w:rPr>
          <w:bCs/>
          <w:sz w:val="26"/>
          <w:szCs w:val="26"/>
        </w:rPr>
      </w:pPr>
    </w:p>
    <w:p w14:paraId="0CC12784" w14:textId="1C71EFA4" w:rsidR="007D57F0" w:rsidRDefault="007D57F0" w:rsidP="0035666F">
      <w:pPr>
        <w:widowControl/>
        <w:spacing w:line="360" w:lineRule="auto"/>
        <w:rPr>
          <w:bCs/>
          <w:sz w:val="26"/>
          <w:szCs w:val="26"/>
        </w:rPr>
      </w:pPr>
      <w:r>
        <w:rPr>
          <w:bCs/>
          <w:sz w:val="26"/>
          <w:szCs w:val="26"/>
        </w:rPr>
        <w:lastRenderedPageBreak/>
        <w:tab/>
      </w:r>
      <w:r>
        <w:rPr>
          <w:bCs/>
          <w:sz w:val="26"/>
          <w:szCs w:val="26"/>
        </w:rPr>
        <w:tab/>
        <w:t>Regarding the third Exception, the Complainants have failed to satisfy the burden of proof challenging their outstanding balance of $648.43</w:t>
      </w:r>
      <w:r w:rsidR="0087265D">
        <w:rPr>
          <w:bCs/>
          <w:sz w:val="26"/>
          <w:szCs w:val="26"/>
        </w:rPr>
        <w:t xml:space="preserve"> accumulated through March 28, 2014.  </w:t>
      </w:r>
      <w:r w:rsidR="00326830">
        <w:rPr>
          <w:bCs/>
          <w:sz w:val="26"/>
          <w:szCs w:val="26"/>
        </w:rPr>
        <w:t>PECO provided evidence to show the incursion of this balance as follows:</w:t>
      </w:r>
    </w:p>
    <w:p w14:paraId="70FA878A" w14:textId="562EB86F" w:rsidR="00326830" w:rsidRDefault="00326830" w:rsidP="0035666F">
      <w:pPr>
        <w:widowControl/>
        <w:spacing w:line="360" w:lineRule="auto"/>
        <w:rPr>
          <w:bCs/>
          <w:sz w:val="26"/>
          <w:szCs w:val="26"/>
        </w:rPr>
      </w:pPr>
    </w:p>
    <w:p w14:paraId="59666B8A" w14:textId="7F70862D" w:rsidR="00326830" w:rsidRDefault="00326830" w:rsidP="00326830">
      <w:pPr>
        <w:widowControl/>
        <w:rPr>
          <w:bCs/>
          <w:sz w:val="26"/>
          <w:szCs w:val="26"/>
        </w:rPr>
      </w:pPr>
      <w:r>
        <w:rPr>
          <w:bCs/>
          <w:sz w:val="26"/>
          <w:szCs w:val="26"/>
        </w:rPr>
        <w:tab/>
      </w:r>
      <w:r>
        <w:rPr>
          <w:bCs/>
          <w:sz w:val="26"/>
          <w:szCs w:val="26"/>
        </w:rPr>
        <w:tab/>
        <w:t>$6.00 for a connection fee</w:t>
      </w:r>
    </w:p>
    <w:p w14:paraId="1AD874B8" w14:textId="37F34965" w:rsidR="00326830" w:rsidRDefault="00326830" w:rsidP="00326830">
      <w:pPr>
        <w:widowControl/>
        <w:rPr>
          <w:bCs/>
          <w:sz w:val="26"/>
          <w:szCs w:val="26"/>
        </w:rPr>
      </w:pPr>
      <w:r>
        <w:rPr>
          <w:bCs/>
          <w:sz w:val="26"/>
          <w:szCs w:val="26"/>
        </w:rPr>
        <w:tab/>
      </w:r>
      <w:r>
        <w:rPr>
          <w:bCs/>
          <w:sz w:val="26"/>
          <w:szCs w:val="26"/>
        </w:rPr>
        <w:tab/>
        <w:t>$237.83 in electric usage charges from 12/6/13 – 1/9/14</w:t>
      </w:r>
    </w:p>
    <w:p w14:paraId="0B536A9B" w14:textId="487AC8C2" w:rsidR="00326830" w:rsidRDefault="00326830" w:rsidP="00326830">
      <w:pPr>
        <w:widowControl/>
        <w:rPr>
          <w:bCs/>
          <w:sz w:val="26"/>
          <w:szCs w:val="26"/>
        </w:rPr>
      </w:pPr>
      <w:r>
        <w:rPr>
          <w:bCs/>
          <w:sz w:val="26"/>
          <w:szCs w:val="26"/>
        </w:rPr>
        <w:tab/>
      </w:r>
      <w:r>
        <w:rPr>
          <w:bCs/>
          <w:sz w:val="26"/>
          <w:szCs w:val="26"/>
        </w:rPr>
        <w:tab/>
        <w:t>$3.66 for a late payment charge</w:t>
      </w:r>
    </w:p>
    <w:p w14:paraId="297496B7" w14:textId="1D3FBC36" w:rsidR="00326830" w:rsidRDefault="00326830" w:rsidP="00326830">
      <w:pPr>
        <w:widowControl/>
        <w:rPr>
          <w:bCs/>
          <w:sz w:val="26"/>
          <w:szCs w:val="26"/>
        </w:rPr>
      </w:pPr>
      <w:r>
        <w:rPr>
          <w:bCs/>
          <w:sz w:val="26"/>
          <w:szCs w:val="26"/>
        </w:rPr>
        <w:tab/>
      </w:r>
      <w:r>
        <w:rPr>
          <w:bCs/>
          <w:sz w:val="26"/>
          <w:szCs w:val="26"/>
        </w:rPr>
        <w:tab/>
        <w:t>$214.75 in electric usage charges from 1/9/14 – 2/7/14</w:t>
      </w:r>
    </w:p>
    <w:p w14:paraId="31241466" w14:textId="7BF39C4B" w:rsidR="00326830" w:rsidRDefault="00326830" w:rsidP="00326830">
      <w:pPr>
        <w:widowControl/>
        <w:rPr>
          <w:bCs/>
          <w:sz w:val="26"/>
          <w:szCs w:val="26"/>
        </w:rPr>
      </w:pPr>
      <w:r>
        <w:rPr>
          <w:bCs/>
          <w:sz w:val="26"/>
          <w:szCs w:val="26"/>
        </w:rPr>
        <w:tab/>
      </w:r>
      <w:r>
        <w:rPr>
          <w:bCs/>
          <w:sz w:val="26"/>
          <w:szCs w:val="26"/>
        </w:rPr>
        <w:tab/>
        <w:t xml:space="preserve">$186.08 in electric usage charges from 2/7/14 – 3/6/14.  </w:t>
      </w:r>
    </w:p>
    <w:p w14:paraId="4BBFEF98" w14:textId="1D5767EC" w:rsidR="00326830" w:rsidRDefault="00326830" w:rsidP="0035666F">
      <w:pPr>
        <w:widowControl/>
        <w:spacing w:line="360" w:lineRule="auto"/>
        <w:rPr>
          <w:bCs/>
          <w:sz w:val="26"/>
          <w:szCs w:val="26"/>
        </w:rPr>
      </w:pPr>
    </w:p>
    <w:p w14:paraId="3D3A8A13" w14:textId="000CE570" w:rsidR="00326830" w:rsidRDefault="00326830" w:rsidP="0035666F">
      <w:pPr>
        <w:widowControl/>
        <w:spacing w:line="360" w:lineRule="auto"/>
        <w:rPr>
          <w:bCs/>
          <w:sz w:val="26"/>
          <w:szCs w:val="26"/>
        </w:rPr>
      </w:pPr>
      <w:r>
        <w:rPr>
          <w:bCs/>
          <w:sz w:val="26"/>
          <w:szCs w:val="26"/>
        </w:rPr>
        <w:t xml:space="preserve">PECO Exh. 2 at 1.  The Respondent also showed that Ms. Mohamed made no payments to her account during this period.  </w:t>
      </w:r>
      <w:r w:rsidRPr="00326830">
        <w:rPr>
          <w:bCs/>
          <w:i/>
          <w:iCs/>
          <w:sz w:val="26"/>
          <w:szCs w:val="26"/>
        </w:rPr>
        <w:t xml:space="preserve">Id. </w:t>
      </w:r>
      <w:r>
        <w:rPr>
          <w:bCs/>
          <w:sz w:val="26"/>
          <w:szCs w:val="26"/>
        </w:rPr>
        <w:t xml:space="preserve"> Although the Complainants allege generally that PECO hid or fabricated information, the Complainants submitted no evidence to show that payments had been made during this period.  Accordingly, we shall deny the third Exception.</w:t>
      </w:r>
    </w:p>
    <w:p w14:paraId="09CAA42D" w14:textId="3E090573" w:rsidR="00326830" w:rsidRDefault="00326830" w:rsidP="0035666F">
      <w:pPr>
        <w:widowControl/>
        <w:spacing w:line="360" w:lineRule="auto"/>
        <w:rPr>
          <w:bCs/>
          <w:sz w:val="26"/>
          <w:szCs w:val="26"/>
        </w:rPr>
      </w:pPr>
    </w:p>
    <w:p w14:paraId="7B22EFA0" w14:textId="63CC048D" w:rsidR="00326830" w:rsidRDefault="00326830" w:rsidP="0035666F">
      <w:pPr>
        <w:widowControl/>
        <w:spacing w:line="360" w:lineRule="auto"/>
        <w:rPr>
          <w:bCs/>
          <w:sz w:val="26"/>
          <w:szCs w:val="26"/>
        </w:rPr>
      </w:pPr>
      <w:r>
        <w:rPr>
          <w:bCs/>
          <w:sz w:val="26"/>
          <w:szCs w:val="26"/>
        </w:rPr>
        <w:tab/>
      </w:r>
      <w:r>
        <w:rPr>
          <w:bCs/>
          <w:sz w:val="26"/>
          <w:szCs w:val="26"/>
        </w:rPr>
        <w:tab/>
      </w:r>
      <w:r w:rsidR="006B0C98">
        <w:rPr>
          <w:bCs/>
          <w:sz w:val="26"/>
          <w:szCs w:val="26"/>
        </w:rPr>
        <w:t xml:space="preserve">In the fourth Exception, the Complainants </w:t>
      </w:r>
      <w:r w:rsidR="002F3244">
        <w:rPr>
          <w:bCs/>
          <w:sz w:val="26"/>
          <w:szCs w:val="26"/>
        </w:rPr>
        <w:t xml:space="preserve">object to the finding that on June 22, 2017, Ms. Mohamed’s reported gross household income was $1,473.33.  Instead, they now allege that their gross household income is less than $1,200 per month and attempt to reference tax returns from 2016 and 2017 in support.  During the </w:t>
      </w:r>
      <w:r w:rsidR="00C32014">
        <w:rPr>
          <w:bCs/>
          <w:sz w:val="26"/>
          <w:szCs w:val="26"/>
        </w:rPr>
        <w:t>hearing</w:t>
      </w:r>
      <w:r w:rsidR="002F3244">
        <w:rPr>
          <w:bCs/>
          <w:sz w:val="26"/>
          <w:szCs w:val="26"/>
        </w:rPr>
        <w:t xml:space="preserve">, PECO provided evidence </w:t>
      </w:r>
      <w:r w:rsidR="00C32014">
        <w:rPr>
          <w:bCs/>
          <w:sz w:val="26"/>
          <w:szCs w:val="26"/>
        </w:rPr>
        <w:t>showing a</w:t>
      </w:r>
      <w:r w:rsidR="002F3244">
        <w:rPr>
          <w:bCs/>
          <w:sz w:val="26"/>
          <w:szCs w:val="26"/>
        </w:rPr>
        <w:t xml:space="preserve"> gross household income of $1,473.33 per month.  </w:t>
      </w:r>
      <w:r w:rsidR="00C32014">
        <w:rPr>
          <w:bCs/>
          <w:sz w:val="26"/>
          <w:szCs w:val="26"/>
        </w:rPr>
        <w:t>Tr.</w:t>
      </w:r>
      <w:r w:rsidR="00631F6E">
        <w:rPr>
          <w:bCs/>
          <w:sz w:val="26"/>
          <w:szCs w:val="26"/>
        </w:rPr>
        <w:t> </w:t>
      </w:r>
      <w:r w:rsidR="00C32014">
        <w:rPr>
          <w:bCs/>
          <w:sz w:val="26"/>
          <w:szCs w:val="26"/>
        </w:rPr>
        <w:t>46</w:t>
      </w:r>
      <w:r w:rsidR="00631F6E">
        <w:rPr>
          <w:bCs/>
          <w:sz w:val="26"/>
          <w:szCs w:val="26"/>
        </w:rPr>
        <w:noBreakHyphen/>
      </w:r>
      <w:r w:rsidR="00C32014">
        <w:rPr>
          <w:bCs/>
          <w:sz w:val="26"/>
          <w:szCs w:val="26"/>
        </w:rPr>
        <w:t xml:space="preserve">47; PECO Exh. 4.  In contrast, the Complainants provided no evidence to counter this determination at that time.  Their attempt to provide evidentiary support for a different gross household income level at the Exception stage and well after the close of the evidentiary record is impermissible.  </w:t>
      </w:r>
      <w:r w:rsidR="00CF1D0B">
        <w:rPr>
          <w:bCs/>
          <w:sz w:val="26"/>
          <w:szCs w:val="26"/>
        </w:rPr>
        <w:t xml:space="preserve">It is axiomatic that this Commission must base its decisions on the evidence in the record.  We are prohibited from looking beyond the </w:t>
      </w:r>
      <w:r w:rsidR="00CF1D0B">
        <w:rPr>
          <w:bCs/>
          <w:sz w:val="26"/>
          <w:szCs w:val="26"/>
        </w:rPr>
        <w:lastRenderedPageBreak/>
        <w:t>record for evidence not previously supplied to support a desired finding of fact or conclusion of law.  52 Pa. Code § 5.431.</w:t>
      </w:r>
      <w:r w:rsidR="00CF1D0B">
        <w:rPr>
          <w:rStyle w:val="FootnoteReference"/>
          <w:bCs/>
          <w:sz w:val="26"/>
          <w:szCs w:val="26"/>
        </w:rPr>
        <w:footnoteReference w:id="9"/>
      </w:r>
    </w:p>
    <w:p w14:paraId="41A4EC25" w14:textId="6F042DDE" w:rsidR="00CF1D0B" w:rsidRDefault="00CF1D0B" w:rsidP="0035666F">
      <w:pPr>
        <w:widowControl/>
        <w:spacing w:line="360" w:lineRule="auto"/>
        <w:rPr>
          <w:bCs/>
          <w:sz w:val="26"/>
          <w:szCs w:val="26"/>
        </w:rPr>
      </w:pPr>
    </w:p>
    <w:p w14:paraId="06DF192D" w14:textId="775F0456" w:rsidR="001B09A0" w:rsidRDefault="00CF1D0B" w:rsidP="0035666F">
      <w:pPr>
        <w:widowControl/>
        <w:spacing w:line="360" w:lineRule="auto"/>
        <w:rPr>
          <w:bCs/>
          <w:sz w:val="26"/>
          <w:szCs w:val="26"/>
        </w:rPr>
      </w:pPr>
      <w:r>
        <w:rPr>
          <w:bCs/>
          <w:sz w:val="26"/>
          <w:szCs w:val="26"/>
        </w:rPr>
        <w:tab/>
      </w:r>
      <w:r>
        <w:rPr>
          <w:bCs/>
          <w:sz w:val="26"/>
          <w:szCs w:val="26"/>
        </w:rPr>
        <w:tab/>
        <w:t xml:space="preserve">In their fourth Exception, the Complainants also argue that they use electric heating and are entitled to a 17% allowable energy burden.  </w:t>
      </w:r>
      <w:r w:rsidR="000D66D8">
        <w:rPr>
          <w:bCs/>
          <w:sz w:val="26"/>
          <w:szCs w:val="26"/>
        </w:rPr>
        <w:t xml:space="preserve">As a preliminary matter, we could locate no evidentiary support </w:t>
      </w:r>
      <w:r w:rsidR="006F1593">
        <w:rPr>
          <w:bCs/>
          <w:sz w:val="26"/>
          <w:szCs w:val="26"/>
        </w:rPr>
        <w:t xml:space="preserve">for </w:t>
      </w:r>
      <w:r w:rsidR="000D66D8">
        <w:rPr>
          <w:bCs/>
          <w:sz w:val="26"/>
          <w:szCs w:val="26"/>
        </w:rPr>
        <w:t xml:space="preserve">the allegation that Ms. Mohamed is an electric heating (RH) customer.  More importantly, however, applying a 17% allowable energy burden would appear to be detrimental to the Complainants’ interests.  If PECO were to apply a 17% allowable energy burden, </w:t>
      </w:r>
      <w:r w:rsidR="001B09A0">
        <w:rPr>
          <w:bCs/>
          <w:sz w:val="26"/>
          <w:szCs w:val="26"/>
        </w:rPr>
        <w:t>the amount of Ms. Mohamed’s energy burden would increase significantly above the threshold of $1,060.80 (e.g., to $3,005.60 based on an annual income of $17,680).  Thus, under the CAP FCO</w:t>
      </w:r>
      <w:r w:rsidR="00367D91">
        <w:rPr>
          <w:bCs/>
          <w:sz w:val="26"/>
          <w:szCs w:val="26"/>
        </w:rPr>
        <w:t xml:space="preserve"> threshold for electric heating customers</w:t>
      </w:r>
      <w:r w:rsidR="001B09A0">
        <w:rPr>
          <w:bCs/>
          <w:sz w:val="26"/>
          <w:szCs w:val="26"/>
        </w:rPr>
        <w:t>, Ms. Mohamed would not be eligible for credits until her payments exceeded $3,005.60.  Accordingly, we shall deny the fourth Exception.</w:t>
      </w:r>
    </w:p>
    <w:p w14:paraId="1759EA8A" w14:textId="77777777" w:rsidR="001B09A0" w:rsidRDefault="001B09A0" w:rsidP="0035666F">
      <w:pPr>
        <w:widowControl/>
        <w:spacing w:line="360" w:lineRule="auto"/>
        <w:rPr>
          <w:bCs/>
          <w:sz w:val="26"/>
          <w:szCs w:val="26"/>
        </w:rPr>
      </w:pPr>
    </w:p>
    <w:p w14:paraId="0E60831B" w14:textId="5BA00A06" w:rsidR="00CF1D0B" w:rsidRDefault="001B09A0" w:rsidP="0035666F">
      <w:pPr>
        <w:widowControl/>
        <w:spacing w:line="360" w:lineRule="auto"/>
        <w:rPr>
          <w:bCs/>
          <w:sz w:val="26"/>
          <w:szCs w:val="26"/>
        </w:rPr>
      </w:pPr>
      <w:r>
        <w:rPr>
          <w:bCs/>
          <w:sz w:val="26"/>
          <w:szCs w:val="26"/>
        </w:rPr>
        <w:tab/>
      </w:r>
      <w:r>
        <w:rPr>
          <w:bCs/>
          <w:sz w:val="26"/>
          <w:szCs w:val="26"/>
        </w:rPr>
        <w:tab/>
        <w:t xml:space="preserve">We find the Complainants’ fifth Exception to be without merit.  It is clear that the ALJ advised the Complainants that any response or objection to PECO’s late-filed </w:t>
      </w:r>
      <w:r w:rsidR="00EF1694">
        <w:rPr>
          <w:bCs/>
          <w:sz w:val="26"/>
          <w:szCs w:val="26"/>
        </w:rPr>
        <w:t>e</w:t>
      </w:r>
      <w:r>
        <w:rPr>
          <w:bCs/>
          <w:sz w:val="26"/>
          <w:szCs w:val="26"/>
        </w:rPr>
        <w:t>xhibits</w:t>
      </w:r>
      <w:r w:rsidR="000D66D8">
        <w:rPr>
          <w:bCs/>
          <w:sz w:val="26"/>
          <w:szCs w:val="26"/>
        </w:rPr>
        <w:t xml:space="preserve"> </w:t>
      </w:r>
      <w:r w:rsidR="00EF1694">
        <w:rPr>
          <w:bCs/>
          <w:sz w:val="26"/>
          <w:szCs w:val="26"/>
        </w:rPr>
        <w:t>must be made in writing within two</w:t>
      </w:r>
      <w:r w:rsidR="006D437E">
        <w:rPr>
          <w:bCs/>
          <w:sz w:val="26"/>
          <w:szCs w:val="26"/>
        </w:rPr>
        <w:t xml:space="preserve"> weeks</w:t>
      </w:r>
      <w:r w:rsidR="00EF1694">
        <w:rPr>
          <w:bCs/>
          <w:sz w:val="26"/>
          <w:szCs w:val="26"/>
        </w:rPr>
        <w:t xml:space="preserve"> of receipt of the documents.  </w:t>
      </w:r>
      <w:r w:rsidR="00367D91">
        <w:rPr>
          <w:bCs/>
          <w:sz w:val="26"/>
          <w:szCs w:val="26"/>
        </w:rPr>
        <w:t>Tr. at 115</w:t>
      </w:r>
      <w:r w:rsidR="00631F6E">
        <w:rPr>
          <w:bCs/>
          <w:sz w:val="26"/>
          <w:szCs w:val="26"/>
        </w:rPr>
        <w:noBreakHyphen/>
      </w:r>
      <w:r w:rsidR="00367D91">
        <w:rPr>
          <w:bCs/>
          <w:sz w:val="26"/>
          <w:szCs w:val="26"/>
        </w:rPr>
        <w:t xml:space="preserve">116.  </w:t>
      </w:r>
      <w:r w:rsidR="00EF1694">
        <w:rPr>
          <w:bCs/>
          <w:sz w:val="26"/>
          <w:szCs w:val="26"/>
        </w:rPr>
        <w:t>Upon review, the Complainants failed to file such written objections.  Thus, we will deny the fifth Exception.</w:t>
      </w:r>
    </w:p>
    <w:p w14:paraId="730D27B1" w14:textId="5AB89388" w:rsidR="00EF1694" w:rsidRDefault="00EF1694" w:rsidP="0035666F">
      <w:pPr>
        <w:widowControl/>
        <w:spacing w:line="360" w:lineRule="auto"/>
        <w:rPr>
          <w:bCs/>
          <w:sz w:val="26"/>
          <w:szCs w:val="26"/>
        </w:rPr>
      </w:pPr>
    </w:p>
    <w:p w14:paraId="7600A756" w14:textId="7AEAB514" w:rsidR="00EF1694" w:rsidRDefault="00EF1694" w:rsidP="0035666F">
      <w:pPr>
        <w:widowControl/>
        <w:spacing w:line="360" w:lineRule="auto"/>
        <w:rPr>
          <w:bCs/>
          <w:sz w:val="26"/>
          <w:szCs w:val="26"/>
        </w:rPr>
      </w:pPr>
      <w:r>
        <w:rPr>
          <w:bCs/>
          <w:sz w:val="26"/>
          <w:szCs w:val="26"/>
        </w:rPr>
        <w:tab/>
      </w:r>
      <w:r>
        <w:rPr>
          <w:bCs/>
          <w:sz w:val="26"/>
          <w:szCs w:val="26"/>
        </w:rPr>
        <w:tab/>
        <w:t xml:space="preserve">Additionally, we shall deny the sixth Exception as there is no indication in the record that the ALJ </w:t>
      </w:r>
      <w:r w:rsidR="002E27CE">
        <w:rPr>
          <w:bCs/>
          <w:sz w:val="26"/>
          <w:szCs w:val="26"/>
        </w:rPr>
        <w:t>somehow</w:t>
      </w:r>
      <w:r>
        <w:rPr>
          <w:bCs/>
          <w:sz w:val="26"/>
          <w:szCs w:val="26"/>
        </w:rPr>
        <w:t xml:space="preserve"> prevented the Complainants from obtaining attorney representation.</w:t>
      </w:r>
    </w:p>
    <w:p w14:paraId="54BDC1DC" w14:textId="0EC30099" w:rsidR="00EF1694" w:rsidRDefault="00EF1694" w:rsidP="0035666F">
      <w:pPr>
        <w:widowControl/>
        <w:spacing w:line="360" w:lineRule="auto"/>
        <w:rPr>
          <w:bCs/>
          <w:sz w:val="26"/>
          <w:szCs w:val="26"/>
        </w:rPr>
      </w:pPr>
    </w:p>
    <w:p w14:paraId="69FAA1BB" w14:textId="0C1C9760" w:rsidR="00EF1694" w:rsidRDefault="00EF1694" w:rsidP="0035666F">
      <w:pPr>
        <w:widowControl/>
        <w:spacing w:line="360" w:lineRule="auto"/>
        <w:rPr>
          <w:bCs/>
          <w:sz w:val="26"/>
          <w:szCs w:val="26"/>
        </w:rPr>
      </w:pPr>
      <w:r>
        <w:rPr>
          <w:bCs/>
          <w:sz w:val="26"/>
          <w:szCs w:val="26"/>
        </w:rPr>
        <w:lastRenderedPageBreak/>
        <w:tab/>
      </w:r>
      <w:r>
        <w:rPr>
          <w:bCs/>
          <w:sz w:val="26"/>
          <w:szCs w:val="26"/>
        </w:rPr>
        <w:tab/>
      </w:r>
      <w:r w:rsidR="00367D91">
        <w:rPr>
          <w:bCs/>
          <w:sz w:val="26"/>
          <w:szCs w:val="26"/>
        </w:rPr>
        <w:t xml:space="preserve">As a final matter, we </w:t>
      </w:r>
      <w:r w:rsidR="002E27CE">
        <w:rPr>
          <w:bCs/>
          <w:sz w:val="26"/>
          <w:szCs w:val="26"/>
        </w:rPr>
        <w:t>note</w:t>
      </w:r>
      <w:r w:rsidR="00367D91">
        <w:rPr>
          <w:bCs/>
          <w:sz w:val="26"/>
          <w:szCs w:val="26"/>
        </w:rPr>
        <w:t xml:space="preserve"> PECO’s </w:t>
      </w:r>
      <w:r w:rsidR="002E27CE">
        <w:rPr>
          <w:bCs/>
          <w:sz w:val="26"/>
          <w:szCs w:val="26"/>
        </w:rPr>
        <w:t>request that we reverse</w:t>
      </w:r>
      <w:r w:rsidR="00367D91">
        <w:rPr>
          <w:bCs/>
          <w:sz w:val="26"/>
          <w:szCs w:val="26"/>
        </w:rPr>
        <w:t xml:space="preserve"> the ALJ’s decision granting </w:t>
      </w:r>
      <w:r w:rsidR="00ED2B4C">
        <w:rPr>
          <w:bCs/>
          <w:sz w:val="26"/>
          <w:szCs w:val="26"/>
        </w:rPr>
        <w:t xml:space="preserve">the refund of </w:t>
      </w:r>
      <w:r w:rsidR="00367D91">
        <w:rPr>
          <w:bCs/>
          <w:sz w:val="26"/>
          <w:szCs w:val="26"/>
        </w:rPr>
        <w:t xml:space="preserve">late payment charges.  </w:t>
      </w:r>
      <w:r w:rsidR="001312F5">
        <w:rPr>
          <w:bCs/>
          <w:sz w:val="26"/>
          <w:szCs w:val="26"/>
        </w:rPr>
        <w:t>The Respondent did not file Exceptions to the Initial Decision and its attempt to do so through its Replies to Exceptions is improper for two reasons.  First, the request to reverse the ALJ’s decision is  untimely as Exceptions are due with</w:t>
      </w:r>
      <w:r w:rsidR="006D437E">
        <w:rPr>
          <w:bCs/>
          <w:sz w:val="26"/>
          <w:szCs w:val="26"/>
        </w:rPr>
        <w:t>in</w:t>
      </w:r>
      <w:r w:rsidR="001312F5">
        <w:rPr>
          <w:bCs/>
          <w:sz w:val="26"/>
          <w:szCs w:val="26"/>
        </w:rPr>
        <w:t xml:space="preserve"> twenty days after the Initial Decision.  52 Pa. Code §</w:t>
      </w:r>
      <w:r w:rsidR="00631F6E">
        <w:rPr>
          <w:bCs/>
          <w:sz w:val="26"/>
          <w:szCs w:val="26"/>
        </w:rPr>
        <w:t> </w:t>
      </w:r>
      <w:r w:rsidR="001312F5">
        <w:rPr>
          <w:bCs/>
          <w:sz w:val="26"/>
          <w:szCs w:val="26"/>
        </w:rPr>
        <w:t>5.533(a).  Second, raising the arguments in its Replies to Exceptions prevents the Complainants from submitting a</w:t>
      </w:r>
      <w:r w:rsidR="00672E86">
        <w:rPr>
          <w:bCs/>
          <w:sz w:val="26"/>
          <w:szCs w:val="26"/>
        </w:rPr>
        <w:t>n answer</w:t>
      </w:r>
      <w:r w:rsidR="001312F5">
        <w:rPr>
          <w:bCs/>
          <w:sz w:val="26"/>
          <w:szCs w:val="26"/>
        </w:rPr>
        <w:t xml:space="preserve"> because our Regulations do not authorize responses to Replies to Exceptions.  Thus, PECO’s arguments </w:t>
      </w:r>
      <w:r w:rsidR="00672E86">
        <w:rPr>
          <w:bCs/>
          <w:sz w:val="26"/>
          <w:szCs w:val="26"/>
        </w:rPr>
        <w:t xml:space="preserve">appear to </w:t>
      </w:r>
      <w:r w:rsidR="001312F5">
        <w:rPr>
          <w:bCs/>
          <w:sz w:val="26"/>
          <w:szCs w:val="26"/>
        </w:rPr>
        <w:t>raise due process concerns.  Accordingly, we shall not consider them.</w:t>
      </w:r>
    </w:p>
    <w:p w14:paraId="5984AFC5" w14:textId="5258000B" w:rsidR="001312F5" w:rsidRDefault="001312F5" w:rsidP="0035666F">
      <w:pPr>
        <w:widowControl/>
        <w:spacing w:line="360" w:lineRule="auto"/>
        <w:rPr>
          <w:bCs/>
          <w:sz w:val="26"/>
          <w:szCs w:val="26"/>
        </w:rPr>
      </w:pPr>
    </w:p>
    <w:p w14:paraId="150679EB" w14:textId="6231389B" w:rsidR="001312F5" w:rsidRPr="002E27CE" w:rsidRDefault="001312F5" w:rsidP="0035666F">
      <w:pPr>
        <w:widowControl/>
        <w:spacing w:line="360" w:lineRule="auto"/>
      </w:pPr>
      <w:r>
        <w:rPr>
          <w:bCs/>
          <w:sz w:val="26"/>
          <w:szCs w:val="26"/>
        </w:rPr>
        <w:tab/>
      </w:r>
      <w:r>
        <w:rPr>
          <w:bCs/>
          <w:sz w:val="26"/>
          <w:szCs w:val="26"/>
        </w:rPr>
        <w:tab/>
      </w:r>
      <w:r w:rsidR="002E27CE">
        <w:rPr>
          <w:bCs/>
          <w:sz w:val="26"/>
          <w:szCs w:val="26"/>
        </w:rPr>
        <w:t>E</w:t>
      </w:r>
      <w:r>
        <w:rPr>
          <w:bCs/>
          <w:sz w:val="26"/>
          <w:szCs w:val="26"/>
        </w:rPr>
        <w:t xml:space="preserve">ven if we were to consider them, </w:t>
      </w:r>
      <w:r w:rsidR="002E27CE">
        <w:rPr>
          <w:bCs/>
          <w:sz w:val="26"/>
          <w:szCs w:val="26"/>
        </w:rPr>
        <w:t xml:space="preserve">however, </w:t>
      </w:r>
      <w:r w:rsidR="00672E86">
        <w:rPr>
          <w:bCs/>
          <w:sz w:val="26"/>
          <w:szCs w:val="26"/>
        </w:rPr>
        <w:t xml:space="preserve">it does not appear that the </w:t>
      </w:r>
      <w:r>
        <w:rPr>
          <w:bCs/>
          <w:sz w:val="26"/>
          <w:szCs w:val="26"/>
        </w:rPr>
        <w:t>ALJ</w:t>
      </w:r>
      <w:r w:rsidR="00672E86">
        <w:rPr>
          <w:bCs/>
          <w:sz w:val="26"/>
          <w:szCs w:val="26"/>
        </w:rPr>
        <w:t xml:space="preserve"> misapplied the Commission’s discretionary authority to waive the late payment charges </w:t>
      </w:r>
      <w:r w:rsidR="0043653E">
        <w:rPr>
          <w:bCs/>
          <w:sz w:val="26"/>
          <w:szCs w:val="26"/>
        </w:rPr>
        <w:t>pursuant to</w:t>
      </w:r>
      <w:r w:rsidR="00672E86">
        <w:rPr>
          <w:bCs/>
          <w:sz w:val="26"/>
          <w:szCs w:val="26"/>
        </w:rPr>
        <w:t xml:space="preserve"> Section 1409 of the Code, 66 Pa. C.S. § 1409, and Section 56.22(d) of our Regulations, 52 Pa. Code § 56.22(d).  </w:t>
      </w:r>
      <w:r w:rsidR="00672E86" w:rsidRPr="0070407D">
        <w:rPr>
          <w:bCs/>
          <w:i/>
          <w:iCs/>
          <w:sz w:val="26"/>
          <w:szCs w:val="26"/>
        </w:rPr>
        <w:t xml:space="preserve">See </w:t>
      </w:r>
      <w:r w:rsidR="002E27CE">
        <w:rPr>
          <w:bCs/>
          <w:i/>
          <w:iCs/>
          <w:sz w:val="26"/>
          <w:szCs w:val="26"/>
        </w:rPr>
        <w:t>e.g.</w:t>
      </w:r>
      <w:r w:rsidR="00672E86">
        <w:rPr>
          <w:bCs/>
          <w:sz w:val="26"/>
          <w:szCs w:val="26"/>
        </w:rPr>
        <w:t xml:space="preserve">, </w:t>
      </w:r>
      <w:r w:rsidR="00A564A9" w:rsidRPr="00A564A9">
        <w:rPr>
          <w:bCs/>
          <w:i/>
          <w:iCs/>
          <w:sz w:val="26"/>
          <w:szCs w:val="26"/>
        </w:rPr>
        <w:t>Bartell</w:t>
      </w:r>
      <w:r w:rsidR="002E27CE">
        <w:rPr>
          <w:bCs/>
          <w:sz w:val="26"/>
          <w:szCs w:val="26"/>
        </w:rPr>
        <w:t xml:space="preserve">; </w:t>
      </w:r>
      <w:r w:rsidR="002E27CE" w:rsidRPr="002E27CE">
        <w:rPr>
          <w:bCs/>
          <w:i/>
          <w:iCs/>
          <w:sz w:val="26"/>
          <w:szCs w:val="26"/>
        </w:rPr>
        <w:t>Armah Q. Fahnbulleh v. Philadelphia Gas Works</w:t>
      </w:r>
      <w:r w:rsidR="002E27CE">
        <w:rPr>
          <w:bCs/>
          <w:sz w:val="26"/>
          <w:szCs w:val="26"/>
        </w:rPr>
        <w:t xml:space="preserve">, Docket No. F-2017-2619829 (Final Order entered May 15, 2018); and </w:t>
      </w:r>
      <w:r w:rsidR="002E27CE" w:rsidRPr="002E27CE">
        <w:rPr>
          <w:bCs/>
          <w:i/>
          <w:iCs/>
          <w:sz w:val="26"/>
          <w:szCs w:val="26"/>
        </w:rPr>
        <w:t>Kimberly Vohrer v. PECO Energy Company</w:t>
      </w:r>
      <w:r w:rsidR="002E27CE">
        <w:rPr>
          <w:bCs/>
          <w:sz w:val="26"/>
          <w:szCs w:val="26"/>
        </w:rPr>
        <w:t>, Docket No. C-2018-3001422 (Final Order entered December 20, 2018).</w:t>
      </w:r>
    </w:p>
    <w:p w14:paraId="4BDEB3F1" w14:textId="77777777" w:rsidR="00FD3149" w:rsidRPr="00965BA0" w:rsidRDefault="00412E50" w:rsidP="00085EA7">
      <w:pPr>
        <w:widowControl/>
        <w:spacing w:line="360" w:lineRule="auto"/>
        <w:contextualSpacing/>
        <w:rPr>
          <w:b/>
          <w:sz w:val="26"/>
          <w:szCs w:val="26"/>
        </w:rPr>
      </w:pPr>
      <w:r>
        <w:rPr>
          <w:rStyle w:val="Hyperlink"/>
          <w:color w:val="000000"/>
          <w:sz w:val="26"/>
          <w:szCs w:val="26"/>
          <w:u w:val="none"/>
        </w:rPr>
        <w:tab/>
      </w:r>
      <w:r>
        <w:rPr>
          <w:rStyle w:val="Hyperlink"/>
          <w:color w:val="000000"/>
          <w:sz w:val="26"/>
          <w:szCs w:val="26"/>
          <w:u w:val="none"/>
        </w:rPr>
        <w:tab/>
      </w:r>
      <w:r w:rsidR="00B50838">
        <w:rPr>
          <w:rStyle w:val="Hyperlink"/>
          <w:color w:val="000000"/>
          <w:sz w:val="26"/>
          <w:szCs w:val="26"/>
          <w:u w:val="none"/>
        </w:rPr>
        <w:t xml:space="preserve"> </w:t>
      </w:r>
    </w:p>
    <w:p w14:paraId="39AA09EE" w14:textId="77777777" w:rsidR="00CA43A5" w:rsidRPr="00002B4F" w:rsidRDefault="00CA43A5" w:rsidP="00D65797">
      <w:pPr>
        <w:widowControl/>
        <w:spacing w:line="360" w:lineRule="auto"/>
        <w:jc w:val="center"/>
        <w:rPr>
          <w:b/>
          <w:sz w:val="26"/>
          <w:szCs w:val="26"/>
        </w:rPr>
      </w:pPr>
      <w:r w:rsidRPr="00002B4F">
        <w:rPr>
          <w:b/>
          <w:sz w:val="26"/>
          <w:szCs w:val="26"/>
        </w:rPr>
        <w:t>Conclusion</w:t>
      </w:r>
    </w:p>
    <w:p w14:paraId="4B4BC015" w14:textId="77777777" w:rsidR="00497616" w:rsidRPr="00002B4F" w:rsidRDefault="00497616" w:rsidP="005960B1">
      <w:pPr>
        <w:widowControl/>
        <w:spacing w:line="360" w:lineRule="auto"/>
        <w:rPr>
          <w:sz w:val="26"/>
          <w:szCs w:val="26"/>
        </w:rPr>
      </w:pPr>
    </w:p>
    <w:p w14:paraId="3414D08D" w14:textId="67B0145D" w:rsidR="00CA43A5" w:rsidRPr="00002B4F" w:rsidRDefault="00CA43A5" w:rsidP="00204A6D">
      <w:pPr>
        <w:widowControl/>
        <w:spacing w:line="360" w:lineRule="auto"/>
        <w:ind w:firstLine="1440"/>
        <w:rPr>
          <w:sz w:val="26"/>
          <w:szCs w:val="26"/>
        </w:rPr>
      </w:pPr>
      <w:r w:rsidRPr="00002B4F">
        <w:rPr>
          <w:sz w:val="26"/>
          <w:szCs w:val="26"/>
        </w:rPr>
        <w:t>Based upon the foregoing dis</w:t>
      </w:r>
      <w:r w:rsidR="00497616" w:rsidRPr="00002B4F">
        <w:rPr>
          <w:sz w:val="26"/>
          <w:szCs w:val="26"/>
        </w:rPr>
        <w:t xml:space="preserve">cussion, we shall </w:t>
      </w:r>
      <w:r w:rsidR="0070407D">
        <w:rPr>
          <w:sz w:val="26"/>
          <w:szCs w:val="26"/>
        </w:rPr>
        <w:t>deny</w:t>
      </w:r>
      <w:r w:rsidR="00497616" w:rsidRPr="00002B4F">
        <w:rPr>
          <w:sz w:val="26"/>
          <w:szCs w:val="26"/>
        </w:rPr>
        <w:t xml:space="preserve"> the Exceptions</w:t>
      </w:r>
      <w:r w:rsidR="000B0512">
        <w:rPr>
          <w:sz w:val="26"/>
          <w:szCs w:val="26"/>
        </w:rPr>
        <w:t xml:space="preserve"> and </w:t>
      </w:r>
      <w:r w:rsidR="0070407D">
        <w:rPr>
          <w:sz w:val="26"/>
          <w:szCs w:val="26"/>
        </w:rPr>
        <w:t>adopt</w:t>
      </w:r>
      <w:r w:rsidR="004854CC">
        <w:rPr>
          <w:sz w:val="26"/>
          <w:szCs w:val="26"/>
        </w:rPr>
        <w:t xml:space="preserve"> the</w:t>
      </w:r>
      <w:r w:rsidR="000B0512">
        <w:rPr>
          <w:sz w:val="26"/>
          <w:szCs w:val="26"/>
        </w:rPr>
        <w:t xml:space="preserve"> </w:t>
      </w:r>
      <w:r w:rsidR="00D15C8D">
        <w:rPr>
          <w:sz w:val="26"/>
          <w:szCs w:val="26"/>
        </w:rPr>
        <w:t>Initial Decision</w:t>
      </w:r>
      <w:r w:rsidRPr="00002B4F">
        <w:rPr>
          <w:sz w:val="26"/>
          <w:szCs w:val="26"/>
        </w:rPr>
        <w:t xml:space="preserve">; </w:t>
      </w:r>
      <w:r w:rsidRPr="00002B4F">
        <w:rPr>
          <w:b/>
          <w:sz w:val="26"/>
          <w:szCs w:val="26"/>
        </w:rPr>
        <w:t>THEREFORE,</w:t>
      </w:r>
      <w:r w:rsidRPr="00002B4F">
        <w:rPr>
          <w:sz w:val="26"/>
          <w:szCs w:val="26"/>
        </w:rPr>
        <w:t xml:space="preserve"> </w:t>
      </w:r>
    </w:p>
    <w:p w14:paraId="1D9192C8" w14:textId="77777777" w:rsidR="00CA43A5" w:rsidRPr="00002B4F" w:rsidRDefault="00CA43A5" w:rsidP="00544D2A">
      <w:pPr>
        <w:widowControl/>
        <w:spacing w:line="360" w:lineRule="auto"/>
        <w:rPr>
          <w:sz w:val="26"/>
          <w:szCs w:val="26"/>
        </w:rPr>
      </w:pPr>
    </w:p>
    <w:p w14:paraId="74B8C929" w14:textId="77777777" w:rsidR="00CA43A5" w:rsidRPr="00002B4F" w:rsidRDefault="00CA43A5" w:rsidP="00204A6D">
      <w:pPr>
        <w:widowControl/>
        <w:spacing w:line="360" w:lineRule="auto"/>
        <w:ind w:firstLine="1440"/>
        <w:rPr>
          <w:b/>
          <w:sz w:val="26"/>
          <w:szCs w:val="26"/>
        </w:rPr>
      </w:pPr>
      <w:r w:rsidRPr="00002B4F">
        <w:rPr>
          <w:b/>
          <w:sz w:val="26"/>
          <w:szCs w:val="26"/>
        </w:rPr>
        <w:t>IT IS ORDERED:</w:t>
      </w:r>
    </w:p>
    <w:p w14:paraId="700A272C" w14:textId="77777777" w:rsidR="00CA43A5" w:rsidRPr="00002B4F" w:rsidRDefault="00CA43A5" w:rsidP="00544D2A">
      <w:pPr>
        <w:widowControl/>
        <w:spacing w:line="360" w:lineRule="auto"/>
        <w:rPr>
          <w:sz w:val="26"/>
          <w:szCs w:val="26"/>
        </w:rPr>
      </w:pPr>
    </w:p>
    <w:p w14:paraId="508DB7CC" w14:textId="0F453F80" w:rsidR="00543F52" w:rsidRDefault="00497616" w:rsidP="00204A6D">
      <w:pPr>
        <w:widowControl/>
        <w:numPr>
          <w:ilvl w:val="0"/>
          <w:numId w:val="1"/>
        </w:numPr>
        <w:tabs>
          <w:tab w:val="clear" w:pos="2160"/>
          <w:tab w:val="num" w:pos="0"/>
        </w:tabs>
        <w:spacing w:line="360" w:lineRule="auto"/>
        <w:ind w:left="0" w:firstLine="1440"/>
        <w:rPr>
          <w:sz w:val="26"/>
          <w:szCs w:val="26"/>
        </w:rPr>
      </w:pPr>
      <w:r w:rsidRPr="00002B4F">
        <w:rPr>
          <w:sz w:val="26"/>
          <w:szCs w:val="26"/>
        </w:rPr>
        <w:t xml:space="preserve">That the Exceptions of </w:t>
      </w:r>
      <w:r w:rsidR="009F678C">
        <w:rPr>
          <w:sz w:val="26"/>
          <w:szCs w:val="26"/>
        </w:rPr>
        <w:t>Salwa Mohamed and Ahmed Abdulrahman</w:t>
      </w:r>
      <w:r w:rsidR="009F678C" w:rsidRPr="00002B4F">
        <w:rPr>
          <w:color w:val="000000"/>
          <w:sz w:val="26"/>
        </w:rPr>
        <w:t xml:space="preserve"> </w:t>
      </w:r>
      <w:r w:rsidR="000A4E45" w:rsidRPr="00002B4F">
        <w:rPr>
          <w:color w:val="000000"/>
          <w:sz w:val="26"/>
        </w:rPr>
        <w:t xml:space="preserve">filed on </w:t>
      </w:r>
      <w:r w:rsidR="000A4E45">
        <w:rPr>
          <w:color w:val="000000"/>
          <w:sz w:val="26"/>
        </w:rPr>
        <w:t>December 26, 2014</w:t>
      </w:r>
      <w:r w:rsidR="00781BF4">
        <w:rPr>
          <w:sz w:val="26"/>
          <w:szCs w:val="26"/>
        </w:rPr>
        <w:t>,</w:t>
      </w:r>
      <w:r w:rsidRPr="00002B4F">
        <w:rPr>
          <w:sz w:val="26"/>
          <w:szCs w:val="26"/>
        </w:rPr>
        <w:t xml:space="preserve"> are </w:t>
      </w:r>
      <w:r w:rsidR="000A4E45">
        <w:rPr>
          <w:sz w:val="26"/>
          <w:szCs w:val="26"/>
        </w:rPr>
        <w:t>denied</w:t>
      </w:r>
      <w:r w:rsidR="00485434">
        <w:rPr>
          <w:sz w:val="26"/>
          <w:szCs w:val="26"/>
        </w:rPr>
        <w:t xml:space="preserve">, </w:t>
      </w:r>
      <w:r w:rsidR="003F51F4" w:rsidRPr="00002B4F">
        <w:rPr>
          <w:sz w:val="26"/>
          <w:szCs w:val="26"/>
        </w:rPr>
        <w:t xml:space="preserve">consistent with this Opinion </w:t>
      </w:r>
      <w:r w:rsidR="00B80C43" w:rsidRPr="00002B4F">
        <w:rPr>
          <w:sz w:val="26"/>
          <w:szCs w:val="26"/>
        </w:rPr>
        <w:t>and Order</w:t>
      </w:r>
      <w:r w:rsidR="009155F7" w:rsidRPr="00002B4F">
        <w:rPr>
          <w:sz w:val="26"/>
          <w:szCs w:val="26"/>
        </w:rPr>
        <w:t>.</w:t>
      </w:r>
    </w:p>
    <w:p w14:paraId="67D0EDD7" w14:textId="77777777" w:rsidR="004929B1" w:rsidRDefault="004929B1" w:rsidP="004929B1">
      <w:pPr>
        <w:widowControl/>
        <w:spacing w:line="360" w:lineRule="auto"/>
        <w:ind w:left="1440"/>
        <w:rPr>
          <w:sz w:val="26"/>
          <w:szCs w:val="26"/>
        </w:rPr>
      </w:pPr>
    </w:p>
    <w:p w14:paraId="55413E0D" w14:textId="7A5E2C55" w:rsidR="002C36B4" w:rsidRDefault="003C15DE" w:rsidP="00F37DFA">
      <w:pPr>
        <w:keepLines/>
        <w:widowControl/>
        <w:numPr>
          <w:ilvl w:val="0"/>
          <w:numId w:val="1"/>
        </w:numPr>
        <w:tabs>
          <w:tab w:val="clear" w:pos="2160"/>
          <w:tab w:val="num" w:pos="0"/>
        </w:tabs>
        <w:spacing w:line="360" w:lineRule="auto"/>
        <w:ind w:left="0" w:firstLine="1440"/>
        <w:rPr>
          <w:sz w:val="26"/>
          <w:szCs w:val="26"/>
        </w:rPr>
      </w:pPr>
      <w:r w:rsidRPr="00F37DFA">
        <w:rPr>
          <w:sz w:val="26"/>
          <w:szCs w:val="26"/>
        </w:rPr>
        <w:lastRenderedPageBreak/>
        <w:t xml:space="preserve">That the Initial Decision of Administrative Law Judge </w:t>
      </w:r>
      <w:r w:rsidR="009F678C">
        <w:rPr>
          <w:color w:val="000000"/>
          <w:sz w:val="26"/>
        </w:rPr>
        <w:t>Eranda Vero</w:t>
      </w:r>
      <w:r w:rsidR="009F678C" w:rsidRPr="00002B4F">
        <w:rPr>
          <w:color w:val="000000"/>
          <w:sz w:val="26"/>
        </w:rPr>
        <w:t xml:space="preserve">, issued on </w:t>
      </w:r>
      <w:r w:rsidR="009F678C">
        <w:rPr>
          <w:color w:val="000000"/>
          <w:sz w:val="26"/>
        </w:rPr>
        <w:t xml:space="preserve">October 30, 2018, </w:t>
      </w:r>
      <w:r w:rsidRPr="00F37DFA">
        <w:rPr>
          <w:sz w:val="26"/>
          <w:szCs w:val="26"/>
        </w:rPr>
        <w:t xml:space="preserve">is </w:t>
      </w:r>
      <w:r w:rsidR="00A564A9">
        <w:rPr>
          <w:sz w:val="26"/>
          <w:szCs w:val="26"/>
        </w:rPr>
        <w:t>adopted</w:t>
      </w:r>
      <w:r w:rsidR="00A414FB">
        <w:rPr>
          <w:sz w:val="26"/>
          <w:szCs w:val="26"/>
        </w:rPr>
        <w:t>,</w:t>
      </w:r>
      <w:r w:rsidRPr="00F37DFA">
        <w:rPr>
          <w:sz w:val="26"/>
          <w:szCs w:val="26"/>
        </w:rPr>
        <w:t xml:space="preserve"> consistent with this Opinion and Order</w:t>
      </w:r>
      <w:r w:rsidR="00341BD0" w:rsidRPr="00F37DFA">
        <w:rPr>
          <w:sz w:val="26"/>
          <w:szCs w:val="26"/>
        </w:rPr>
        <w:t>.</w:t>
      </w:r>
    </w:p>
    <w:p w14:paraId="32743CEE" w14:textId="77777777" w:rsidR="009F678C" w:rsidRDefault="009F678C" w:rsidP="00631F6E">
      <w:pPr>
        <w:pStyle w:val="ListParagraph"/>
        <w:spacing w:line="360" w:lineRule="auto"/>
        <w:rPr>
          <w:sz w:val="26"/>
          <w:szCs w:val="26"/>
        </w:rPr>
      </w:pPr>
    </w:p>
    <w:p w14:paraId="36DE8FF0" w14:textId="7409FB6D" w:rsidR="0043653E" w:rsidRDefault="0043653E" w:rsidP="0043653E">
      <w:pPr>
        <w:widowControl/>
        <w:numPr>
          <w:ilvl w:val="0"/>
          <w:numId w:val="1"/>
        </w:numPr>
        <w:tabs>
          <w:tab w:val="clear" w:pos="2160"/>
        </w:tabs>
        <w:spacing w:line="360" w:lineRule="auto"/>
        <w:ind w:left="0" w:firstLine="1440"/>
        <w:textAlignment w:val="baseline"/>
        <w:rPr>
          <w:color w:val="000000"/>
          <w:sz w:val="26"/>
          <w:szCs w:val="26"/>
        </w:rPr>
      </w:pPr>
      <w:r w:rsidRPr="009531B2">
        <w:rPr>
          <w:color w:val="000000"/>
          <w:sz w:val="26"/>
          <w:szCs w:val="26"/>
        </w:rPr>
        <w:t>That the Formal Complaint filed by Salwa Mohamed and Ahmed Abdulrahman against PECO Energy Company at Docket No. F-2018-3001318 is denied to the extent it challenges the terms of PECO Energy Company’s Customer Assistance Fixed Credit Option.</w:t>
      </w:r>
    </w:p>
    <w:p w14:paraId="0A830D18" w14:textId="77777777" w:rsidR="0043653E" w:rsidRDefault="0043653E" w:rsidP="00631F6E">
      <w:pPr>
        <w:pStyle w:val="ListParagraph"/>
        <w:spacing w:line="360" w:lineRule="auto"/>
        <w:rPr>
          <w:color w:val="000000"/>
          <w:sz w:val="26"/>
          <w:szCs w:val="26"/>
        </w:rPr>
      </w:pPr>
    </w:p>
    <w:p w14:paraId="0FAC4201" w14:textId="1A68136D" w:rsidR="0043653E" w:rsidRDefault="0043653E" w:rsidP="00631F6E">
      <w:pPr>
        <w:widowControl/>
        <w:numPr>
          <w:ilvl w:val="0"/>
          <w:numId w:val="1"/>
        </w:numPr>
        <w:tabs>
          <w:tab w:val="clear" w:pos="2160"/>
        </w:tabs>
        <w:spacing w:line="360" w:lineRule="auto"/>
        <w:ind w:left="0" w:firstLine="1440"/>
        <w:textAlignment w:val="baseline"/>
        <w:rPr>
          <w:color w:val="000000"/>
          <w:sz w:val="26"/>
          <w:szCs w:val="26"/>
        </w:rPr>
      </w:pPr>
      <w:r w:rsidRPr="009531B2">
        <w:rPr>
          <w:color w:val="000000"/>
          <w:sz w:val="26"/>
          <w:szCs w:val="26"/>
        </w:rPr>
        <w:t>That the Formal Complaint filed by Salwa Mohamed and Ahmed Abdulrahman against PECO Energy Company at Docket No. F-2018-3001318 is denied with regard to the claim that they were improperly enrolled in a payment arrangement with the company.</w:t>
      </w:r>
    </w:p>
    <w:p w14:paraId="05EBB555" w14:textId="77777777" w:rsidR="0043653E" w:rsidRDefault="0043653E" w:rsidP="00631F6E">
      <w:pPr>
        <w:pStyle w:val="ListParagraph"/>
        <w:spacing w:line="360" w:lineRule="auto"/>
        <w:rPr>
          <w:color w:val="000000"/>
          <w:sz w:val="26"/>
          <w:szCs w:val="26"/>
        </w:rPr>
      </w:pPr>
    </w:p>
    <w:p w14:paraId="0403AFB6" w14:textId="2D0B72CD" w:rsidR="0043653E" w:rsidRDefault="0043653E" w:rsidP="00631F6E">
      <w:pPr>
        <w:widowControl/>
        <w:numPr>
          <w:ilvl w:val="0"/>
          <w:numId w:val="1"/>
        </w:numPr>
        <w:tabs>
          <w:tab w:val="clear" w:pos="2160"/>
          <w:tab w:val="num" w:pos="2070"/>
          <w:tab w:val="left" w:pos="2232"/>
        </w:tabs>
        <w:spacing w:line="360" w:lineRule="auto"/>
        <w:ind w:left="-90" w:firstLine="1530"/>
        <w:textAlignment w:val="baseline"/>
        <w:rPr>
          <w:color w:val="000000"/>
          <w:spacing w:val="-1"/>
          <w:sz w:val="26"/>
          <w:szCs w:val="26"/>
        </w:rPr>
      </w:pPr>
      <w:r w:rsidRPr="009531B2">
        <w:rPr>
          <w:color w:val="000000"/>
          <w:spacing w:val="-1"/>
          <w:sz w:val="26"/>
          <w:szCs w:val="26"/>
        </w:rPr>
        <w:t>That the Formal Complaint filed by Salwa Mohamed and Ahmed Abdulrahman against PECO Energy Company at Docket No. F-2018-3001318 is denied to the extent it challenges the propriety and accuracy of PECO’s assessment of late payment charges.</w:t>
      </w:r>
    </w:p>
    <w:p w14:paraId="4F524B28" w14:textId="77777777" w:rsidR="0043653E" w:rsidRDefault="0043653E" w:rsidP="00631F6E">
      <w:pPr>
        <w:pStyle w:val="ListParagraph"/>
        <w:spacing w:line="360" w:lineRule="auto"/>
        <w:rPr>
          <w:color w:val="000000"/>
          <w:spacing w:val="-1"/>
          <w:sz w:val="26"/>
          <w:szCs w:val="26"/>
        </w:rPr>
      </w:pPr>
    </w:p>
    <w:p w14:paraId="2B3FF2CC" w14:textId="3B8DF13E" w:rsidR="0043653E" w:rsidRPr="0043653E" w:rsidRDefault="0043653E" w:rsidP="00631F6E">
      <w:pPr>
        <w:widowControl/>
        <w:numPr>
          <w:ilvl w:val="0"/>
          <w:numId w:val="1"/>
        </w:numPr>
        <w:tabs>
          <w:tab w:val="clear" w:pos="2160"/>
          <w:tab w:val="num" w:pos="2070"/>
          <w:tab w:val="left" w:pos="2232"/>
        </w:tabs>
        <w:spacing w:line="360" w:lineRule="auto"/>
        <w:ind w:left="-90" w:firstLine="1530"/>
        <w:textAlignment w:val="baseline"/>
        <w:rPr>
          <w:color w:val="000000"/>
          <w:spacing w:val="-1"/>
          <w:sz w:val="26"/>
          <w:szCs w:val="26"/>
        </w:rPr>
      </w:pPr>
      <w:r w:rsidRPr="009531B2">
        <w:rPr>
          <w:color w:val="000000"/>
          <w:spacing w:val="-1"/>
          <w:sz w:val="26"/>
          <w:szCs w:val="26"/>
        </w:rPr>
        <w:t>That the Formal Complaint filed by Salwa Mohamed and Ahmed Abdulrahman against PECO Energy Company at Docket No. F-2018-3001318 is granted to the</w:t>
      </w:r>
      <w:r>
        <w:rPr>
          <w:color w:val="000000"/>
          <w:spacing w:val="-1"/>
          <w:sz w:val="26"/>
          <w:szCs w:val="26"/>
        </w:rPr>
        <w:t xml:space="preserve"> </w:t>
      </w:r>
      <w:r w:rsidRPr="009531B2">
        <w:rPr>
          <w:color w:val="000000"/>
          <w:sz w:val="26"/>
          <w:szCs w:val="26"/>
        </w:rPr>
        <w:t>extent it requests a refund of late payment charges for the periods of May 8, 2014</w:t>
      </w:r>
      <w:r>
        <w:rPr>
          <w:color w:val="000000"/>
          <w:sz w:val="26"/>
          <w:szCs w:val="26"/>
        </w:rPr>
        <w:t>,</w:t>
      </w:r>
      <w:r w:rsidRPr="009531B2">
        <w:rPr>
          <w:color w:val="000000"/>
          <w:sz w:val="26"/>
          <w:szCs w:val="26"/>
        </w:rPr>
        <w:t xml:space="preserve"> to June 23, 2016, and June 22, 2017</w:t>
      </w:r>
      <w:r>
        <w:rPr>
          <w:color w:val="000000"/>
          <w:sz w:val="26"/>
          <w:szCs w:val="26"/>
        </w:rPr>
        <w:t>,</w:t>
      </w:r>
      <w:r w:rsidRPr="009531B2">
        <w:rPr>
          <w:color w:val="000000"/>
          <w:sz w:val="26"/>
          <w:szCs w:val="26"/>
        </w:rPr>
        <w:t xml:space="preserve"> to June 21, 2018.</w:t>
      </w:r>
    </w:p>
    <w:p w14:paraId="15398CDA" w14:textId="77777777" w:rsidR="0043653E" w:rsidRDefault="0043653E" w:rsidP="00631F6E">
      <w:pPr>
        <w:pStyle w:val="ListParagraph"/>
        <w:spacing w:line="360" w:lineRule="auto"/>
        <w:rPr>
          <w:color w:val="000000"/>
          <w:spacing w:val="-1"/>
          <w:sz w:val="26"/>
          <w:szCs w:val="26"/>
        </w:rPr>
      </w:pPr>
    </w:p>
    <w:p w14:paraId="2FE7D2E9" w14:textId="4E17F017" w:rsidR="0043653E" w:rsidRDefault="0043653E" w:rsidP="00631F6E">
      <w:pPr>
        <w:widowControl/>
        <w:numPr>
          <w:ilvl w:val="0"/>
          <w:numId w:val="1"/>
        </w:numPr>
        <w:tabs>
          <w:tab w:val="clear" w:pos="2160"/>
          <w:tab w:val="num" w:pos="2070"/>
          <w:tab w:val="left" w:pos="2232"/>
        </w:tabs>
        <w:spacing w:line="360" w:lineRule="auto"/>
        <w:ind w:left="0" w:firstLine="1440"/>
        <w:textAlignment w:val="baseline"/>
        <w:rPr>
          <w:color w:val="000000"/>
          <w:sz w:val="26"/>
          <w:szCs w:val="26"/>
        </w:rPr>
      </w:pPr>
      <w:r w:rsidRPr="009531B2">
        <w:rPr>
          <w:color w:val="000000"/>
          <w:sz w:val="26"/>
          <w:szCs w:val="26"/>
        </w:rPr>
        <w:t>That PECO Energy Company shall calculate the total amount of the uncancelled late payment charges assessed against Salwa Mohamed’s account during the periods of May 8, 2014</w:t>
      </w:r>
      <w:r>
        <w:rPr>
          <w:color w:val="000000"/>
          <w:sz w:val="26"/>
          <w:szCs w:val="26"/>
        </w:rPr>
        <w:t>,</w:t>
      </w:r>
      <w:r w:rsidRPr="009531B2">
        <w:rPr>
          <w:color w:val="000000"/>
          <w:sz w:val="26"/>
          <w:szCs w:val="26"/>
        </w:rPr>
        <w:t xml:space="preserve"> to June 23, 2016, and June 22, 2017</w:t>
      </w:r>
      <w:r>
        <w:rPr>
          <w:color w:val="000000"/>
          <w:sz w:val="26"/>
          <w:szCs w:val="26"/>
        </w:rPr>
        <w:t>,</w:t>
      </w:r>
      <w:r w:rsidRPr="009531B2">
        <w:rPr>
          <w:color w:val="000000"/>
          <w:sz w:val="26"/>
          <w:szCs w:val="26"/>
        </w:rPr>
        <w:t xml:space="preserve"> to June 21, 2018, and submit a copy of the calculations to the Commission</w:t>
      </w:r>
      <w:r w:rsidR="00631F6E">
        <w:rPr>
          <w:color w:val="000000"/>
          <w:sz w:val="26"/>
          <w:szCs w:val="26"/>
        </w:rPr>
        <w:t>’</w:t>
      </w:r>
      <w:r w:rsidRPr="009531B2">
        <w:rPr>
          <w:color w:val="000000"/>
          <w:sz w:val="26"/>
          <w:szCs w:val="26"/>
        </w:rPr>
        <w:t>s Bureau of Technical Utility Services for review.</w:t>
      </w:r>
    </w:p>
    <w:p w14:paraId="05F94DB2" w14:textId="77777777" w:rsidR="0043653E" w:rsidRDefault="0043653E" w:rsidP="0043653E">
      <w:pPr>
        <w:pStyle w:val="ListParagraph"/>
        <w:rPr>
          <w:color w:val="000000"/>
          <w:sz w:val="26"/>
          <w:szCs w:val="26"/>
        </w:rPr>
      </w:pPr>
    </w:p>
    <w:p w14:paraId="7BF995BF" w14:textId="67784C47" w:rsidR="0043653E" w:rsidRDefault="0043653E" w:rsidP="0043653E">
      <w:pPr>
        <w:widowControl/>
        <w:numPr>
          <w:ilvl w:val="0"/>
          <w:numId w:val="1"/>
        </w:numPr>
        <w:tabs>
          <w:tab w:val="clear" w:pos="2160"/>
          <w:tab w:val="left" w:pos="1440"/>
          <w:tab w:val="num" w:pos="2070"/>
        </w:tabs>
        <w:spacing w:line="360" w:lineRule="auto"/>
        <w:ind w:left="0" w:firstLine="1440"/>
        <w:textAlignment w:val="baseline"/>
        <w:rPr>
          <w:color w:val="000000"/>
          <w:spacing w:val="-1"/>
          <w:sz w:val="26"/>
          <w:szCs w:val="26"/>
        </w:rPr>
      </w:pPr>
      <w:r w:rsidRPr="009531B2">
        <w:rPr>
          <w:color w:val="000000"/>
          <w:spacing w:val="-1"/>
          <w:sz w:val="26"/>
          <w:szCs w:val="26"/>
        </w:rPr>
        <w:lastRenderedPageBreak/>
        <w:t>That once the Commission’s Bureau of Technical Utility Services has verified the calculation</w:t>
      </w:r>
      <w:r>
        <w:rPr>
          <w:color w:val="000000"/>
          <w:spacing w:val="-1"/>
          <w:sz w:val="26"/>
          <w:szCs w:val="26"/>
        </w:rPr>
        <w:t xml:space="preserve"> required under Ordering Paragraph No. 7, </w:t>
      </w:r>
      <w:r w:rsidRPr="009531B2">
        <w:rPr>
          <w:color w:val="000000"/>
          <w:spacing w:val="-1"/>
          <w:sz w:val="26"/>
          <w:szCs w:val="26"/>
        </w:rPr>
        <w:t>PECO Energy Company shall credit Salwa Mohamed’s account an amount equal to the late payment charges accumulated during the periods of May 8, 2014</w:t>
      </w:r>
      <w:r>
        <w:rPr>
          <w:color w:val="000000"/>
          <w:spacing w:val="-1"/>
          <w:sz w:val="26"/>
          <w:szCs w:val="26"/>
        </w:rPr>
        <w:t>,</w:t>
      </w:r>
      <w:r w:rsidRPr="009531B2">
        <w:rPr>
          <w:color w:val="000000"/>
          <w:spacing w:val="-1"/>
          <w:sz w:val="26"/>
          <w:szCs w:val="26"/>
        </w:rPr>
        <w:t xml:space="preserve"> to June 23, 2016, and June 22, 2017</w:t>
      </w:r>
      <w:r>
        <w:rPr>
          <w:color w:val="000000"/>
          <w:spacing w:val="-1"/>
          <w:sz w:val="26"/>
          <w:szCs w:val="26"/>
        </w:rPr>
        <w:t>,</w:t>
      </w:r>
      <w:r w:rsidRPr="009531B2">
        <w:rPr>
          <w:color w:val="000000"/>
          <w:spacing w:val="-1"/>
          <w:sz w:val="26"/>
          <w:szCs w:val="26"/>
        </w:rPr>
        <w:t xml:space="preserve"> to June 21, 2018, if that amount is more than $0.00.</w:t>
      </w:r>
    </w:p>
    <w:p w14:paraId="30FEEB32" w14:textId="77777777" w:rsidR="0043653E" w:rsidRDefault="0043653E" w:rsidP="006D437E">
      <w:pPr>
        <w:pStyle w:val="ListParagraph"/>
        <w:spacing w:line="360" w:lineRule="auto"/>
        <w:rPr>
          <w:color w:val="000000"/>
          <w:spacing w:val="-1"/>
          <w:sz w:val="26"/>
          <w:szCs w:val="26"/>
        </w:rPr>
      </w:pPr>
    </w:p>
    <w:p w14:paraId="09D7AF7E" w14:textId="662861BE" w:rsidR="009F678C" w:rsidRPr="00100427" w:rsidRDefault="00100427" w:rsidP="00100427">
      <w:pPr>
        <w:widowControl/>
        <w:numPr>
          <w:ilvl w:val="0"/>
          <w:numId w:val="1"/>
        </w:numPr>
        <w:tabs>
          <w:tab w:val="clear" w:pos="2160"/>
          <w:tab w:val="num" w:pos="1980"/>
        </w:tabs>
        <w:spacing w:line="360" w:lineRule="auto"/>
        <w:ind w:left="0" w:firstLine="1440"/>
        <w:textAlignment w:val="baseline"/>
        <w:rPr>
          <w:color w:val="000000"/>
          <w:sz w:val="26"/>
          <w:szCs w:val="26"/>
        </w:rPr>
      </w:pPr>
      <w:r w:rsidRPr="009531B2">
        <w:rPr>
          <w:color w:val="000000"/>
          <w:sz w:val="26"/>
          <w:szCs w:val="26"/>
        </w:rPr>
        <w:t xml:space="preserve">That the Commission’s Bureau of Technical Utility Services shall receive a copy of this </w:t>
      </w:r>
      <w:r w:rsidR="006D437E">
        <w:rPr>
          <w:color w:val="000000"/>
          <w:sz w:val="26"/>
          <w:szCs w:val="26"/>
        </w:rPr>
        <w:t>Opinion and Order</w:t>
      </w:r>
      <w:r w:rsidRPr="009531B2">
        <w:rPr>
          <w:color w:val="000000"/>
          <w:sz w:val="26"/>
          <w:szCs w:val="26"/>
        </w:rPr>
        <w:t>.</w:t>
      </w:r>
    </w:p>
    <w:p w14:paraId="42F6569C" w14:textId="77777777" w:rsidR="002C36B4" w:rsidRDefault="002C36B4" w:rsidP="006D437E">
      <w:pPr>
        <w:keepLines/>
        <w:widowControl/>
        <w:spacing w:line="360" w:lineRule="auto"/>
        <w:rPr>
          <w:sz w:val="26"/>
          <w:szCs w:val="26"/>
        </w:rPr>
      </w:pPr>
    </w:p>
    <w:p w14:paraId="6695F421" w14:textId="4356D52F" w:rsidR="00543F52" w:rsidRDefault="00100427" w:rsidP="00485434">
      <w:pPr>
        <w:widowControl/>
        <w:tabs>
          <w:tab w:val="left" w:pos="-720"/>
        </w:tabs>
        <w:suppressAutoHyphens/>
        <w:autoSpaceDE w:val="0"/>
        <w:autoSpaceDN w:val="0"/>
        <w:spacing w:line="360" w:lineRule="auto"/>
        <w:ind w:firstLine="1440"/>
        <w:rPr>
          <w:sz w:val="26"/>
          <w:szCs w:val="26"/>
        </w:rPr>
      </w:pPr>
      <w:r>
        <w:rPr>
          <w:spacing w:val="-3"/>
          <w:sz w:val="26"/>
          <w:szCs w:val="26"/>
        </w:rPr>
        <w:t>10</w:t>
      </w:r>
      <w:r w:rsidR="002C36B4">
        <w:rPr>
          <w:spacing w:val="-3"/>
          <w:sz w:val="26"/>
          <w:szCs w:val="26"/>
        </w:rPr>
        <w:t>.</w:t>
      </w:r>
      <w:r w:rsidR="002C36B4">
        <w:rPr>
          <w:spacing w:val="-3"/>
          <w:sz w:val="26"/>
          <w:szCs w:val="26"/>
        </w:rPr>
        <w:tab/>
      </w:r>
      <w:r w:rsidR="00937C0A" w:rsidRPr="002C36B4">
        <w:rPr>
          <w:sz w:val="26"/>
          <w:szCs w:val="26"/>
        </w:rPr>
        <w:t>That the proc</w:t>
      </w:r>
      <w:r w:rsidR="00937C0A" w:rsidRPr="00F37DFA">
        <w:rPr>
          <w:sz w:val="26"/>
          <w:szCs w:val="26"/>
        </w:rPr>
        <w:t xml:space="preserve">eeding docketed at </w:t>
      </w:r>
      <w:r w:rsidRPr="009531B2">
        <w:rPr>
          <w:color w:val="000000"/>
          <w:spacing w:val="-1"/>
          <w:sz w:val="26"/>
          <w:szCs w:val="26"/>
        </w:rPr>
        <w:t>F-2018-3001318</w:t>
      </w:r>
      <w:r>
        <w:rPr>
          <w:color w:val="000000"/>
          <w:spacing w:val="-1"/>
          <w:sz w:val="26"/>
          <w:szCs w:val="26"/>
        </w:rPr>
        <w:t xml:space="preserve"> </w:t>
      </w:r>
      <w:r w:rsidR="00F37DFA">
        <w:rPr>
          <w:sz w:val="26"/>
          <w:szCs w:val="26"/>
        </w:rPr>
        <w:t>shall</w:t>
      </w:r>
      <w:r w:rsidR="00937C0A" w:rsidRPr="00F37DFA">
        <w:rPr>
          <w:sz w:val="26"/>
          <w:szCs w:val="26"/>
        </w:rPr>
        <w:t xml:space="preserve"> be marked closed.</w:t>
      </w:r>
      <w:r w:rsidR="00CA714B" w:rsidRPr="00CA714B">
        <w:rPr>
          <w:noProof/>
        </w:rPr>
        <w:t xml:space="preserve"> </w:t>
      </w:r>
    </w:p>
    <w:p w14:paraId="21C38B07" w14:textId="187706BE" w:rsidR="00497616" w:rsidRPr="00002B4F" w:rsidRDefault="00497616" w:rsidP="00F37DFA">
      <w:pPr>
        <w:keepLines/>
        <w:widowControl/>
        <w:rPr>
          <w:sz w:val="26"/>
          <w:szCs w:val="26"/>
        </w:rPr>
      </w:pPr>
    </w:p>
    <w:p w14:paraId="65B95ABD" w14:textId="753D4550" w:rsidR="00CA43A5" w:rsidRPr="00002B4F" w:rsidRDefault="00CA714B" w:rsidP="00F37DFA">
      <w:pPr>
        <w:keepLines/>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28C56340" wp14:editId="0B90E391">
            <wp:simplePos x="0" y="0"/>
            <wp:positionH relativeFrom="column">
              <wp:posOffset>3276600</wp:posOffset>
            </wp:positionH>
            <wp:positionV relativeFrom="paragraph">
              <wp:posOffset>191770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43A5" w:rsidRPr="00002B4F">
        <w:rPr>
          <w:b/>
          <w:sz w:val="26"/>
          <w:szCs w:val="26"/>
        </w:rPr>
        <w:t>BY THE COMMISSION,</w:t>
      </w:r>
    </w:p>
    <w:p w14:paraId="12DB04A4" w14:textId="1AA176EE" w:rsidR="00CA43A5" w:rsidRDefault="00CA43A5" w:rsidP="00F37DFA">
      <w:pPr>
        <w:keepLines/>
        <w:widowControl/>
        <w:tabs>
          <w:tab w:val="left" w:pos="-720"/>
        </w:tabs>
        <w:rPr>
          <w:sz w:val="26"/>
          <w:szCs w:val="26"/>
        </w:rPr>
      </w:pPr>
    </w:p>
    <w:p w14:paraId="0967BC60" w14:textId="77777777" w:rsidR="00F85104" w:rsidRPr="00002B4F" w:rsidRDefault="00F85104" w:rsidP="00F37DFA">
      <w:pPr>
        <w:keepLines/>
        <w:widowControl/>
        <w:tabs>
          <w:tab w:val="left" w:pos="-720"/>
        </w:tabs>
        <w:rPr>
          <w:sz w:val="26"/>
          <w:szCs w:val="26"/>
        </w:rPr>
      </w:pPr>
    </w:p>
    <w:p w14:paraId="774DC458" w14:textId="77777777" w:rsidR="00CA43A5" w:rsidRPr="00002B4F" w:rsidRDefault="00CA43A5" w:rsidP="005960B1">
      <w:pPr>
        <w:widowControl/>
        <w:tabs>
          <w:tab w:val="left" w:pos="-720"/>
        </w:tabs>
        <w:rPr>
          <w:sz w:val="26"/>
          <w:szCs w:val="26"/>
        </w:rPr>
      </w:pPr>
    </w:p>
    <w:p w14:paraId="7D7249B8" w14:textId="77777777" w:rsidR="00CA43A5" w:rsidRPr="00002B4F" w:rsidRDefault="00CA43A5" w:rsidP="005960B1">
      <w:pPr>
        <w:widowControl/>
        <w:tabs>
          <w:tab w:val="left" w:pos="-720"/>
        </w:tabs>
        <w:rPr>
          <w:sz w:val="26"/>
          <w:szCs w:val="26"/>
        </w:rPr>
      </w:pPr>
    </w:p>
    <w:p w14:paraId="24830B76" w14:textId="77777777" w:rsidR="00CA43A5" w:rsidRPr="00002B4F" w:rsidRDefault="006E5A14" w:rsidP="005960B1">
      <w:pPr>
        <w:widowControl/>
        <w:tabs>
          <w:tab w:val="left" w:pos="-720"/>
        </w:tabs>
        <w:ind w:firstLine="5040"/>
        <w:rPr>
          <w:b/>
          <w:sz w:val="26"/>
          <w:szCs w:val="26"/>
        </w:rPr>
      </w:pPr>
      <w:r>
        <w:rPr>
          <w:sz w:val="26"/>
          <w:szCs w:val="26"/>
        </w:rPr>
        <w:t>Rosemary Chiavetta</w:t>
      </w:r>
    </w:p>
    <w:p w14:paraId="525B6BD5" w14:textId="77777777" w:rsidR="00CA43A5" w:rsidRPr="00002B4F" w:rsidRDefault="00CA43A5" w:rsidP="005960B1">
      <w:pPr>
        <w:widowControl/>
        <w:tabs>
          <w:tab w:val="left" w:pos="-720"/>
        </w:tabs>
        <w:ind w:firstLine="5040"/>
        <w:rPr>
          <w:sz w:val="26"/>
          <w:szCs w:val="26"/>
        </w:rPr>
      </w:pPr>
      <w:r w:rsidRPr="00002B4F">
        <w:rPr>
          <w:sz w:val="26"/>
          <w:szCs w:val="26"/>
        </w:rPr>
        <w:t>Secretary</w:t>
      </w:r>
    </w:p>
    <w:p w14:paraId="1844AC8A" w14:textId="77777777" w:rsidR="00CA43A5" w:rsidRPr="00002B4F" w:rsidRDefault="00CA43A5" w:rsidP="005960B1">
      <w:pPr>
        <w:widowControl/>
        <w:tabs>
          <w:tab w:val="left" w:pos="-720"/>
        </w:tabs>
        <w:rPr>
          <w:sz w:val="26"/>
          <w:szCs w:val="26"/>
        </w:rPr>
      </w:pPr>
    </w:p>
    <w:p w14:paraId="1D9BDBAA" w14:textId="77777777" w:rsidR="00CA43A5" w:rsidRPr="00002B4F" w:rsidRDefault="00CA43A5" w:rsidP="005960B1">
      <w:pPr>
        <w:widowControl/>
        <w:tabs>
          <w:tab w:val="left" w:pos="-720"/>
        </w:tabs>
        <w:rPr>
          <w:sz w:val="26"/>
          <w:szCs w:val="26"/>
        </w:rPr>
      </w:pPr>
      <w:r w:rsidRPr="00002B4F">
        <w:rPr>
          <w:sz w:val="26"/>
          <w:szCs w:val="26"/>
        </w:rPr>
        <w:t>(SEAL)</w:t>
      </w:r>
    </w:p>
    <w:p w14:paraId="7F46BEB4" w14:textId="77777777" w:rsidR="00CA43A5" w:rsidRPr="00002B4F" w:rsidRDefault="00CA43A5" w:rsidP="005960B1">
      <w:pPr>
        <w:widowControl/>
        <w:tabs>
          <w:tab w:val="left" w:pos="-720"/>
        </w:tabs>
        <w:rPr>
          <w:sz w:val="26"/>
          <w:szCs w:val="26"/>
        </w:rPr>
      </w:pPr>
    </w:p>
    <w:p w14:paraId="580EF733" w14:textId="30691494" w:rsidR="00CA43A5" w:rsidRPr="00002B4F" w:rsidRDefault="00CA43A5" w:rsidP="005960B1">
      <w:pPr>
        <w:widowControl/>
        <w:tabs>
          <w:tab w:val="left" w:pos="-720"/>
        </w:tabs>
        <w:rPr>
          <w:sz w:val="26"/>
          <w:szCs w:val="26"/>
        </w:rPr>
      </w:pPr>
      <w:r w:rsidRPr="00002B4F">
        <w:rPr>
          <w:sz w:val="26"/>
          <w:szCs w:val="26"/>
        </w:rPr>
        <w:t xml:space="preserve">ORDER ADOPTED: </w:t>
      </w:r>
      <w:r w:rsidR="00100427">
        <w:rPr>
          <w:sz w:val="26"/>
          <w:szCs w:val="26"/>
        </w:rPr>
        <w:t xml:space="preserve">August </w:t>
      </w:r>
      <w:r w:rsidR="00F85104">
        <w:rPr>
          <w:sz w:val="26"/>
          <w:szCs w:val="26"/>
        </w:rPr>
        <w:t>29</w:t>
      </w:r>
      <w:r w:rsidR="00100427">
        <w:rPr>
          <w:sz w:val="26"/>
          <w:szCs w:val="26"/>
        </w:rPr>
        <w:t>, 2019</w:t>
      </w:r>
    </w:p>
    <w:p w14:paraId="512E4A73" w14:textId="77777777" w:rsidR="00857172" w:rsidRPr="00002B4F" w:rsidRDefault="00857172" w:rsidP="005960B1">
      <w:pPr>
        <w:widowControl/>
        <w:tabs>
          <w:tab w:val="left" w:pos="-720"/>
        </w:tabs>
        <w:rPr>
          <w:sz w:val="26"/>
          <w:szCs w:val="26"/>
        </w:rPr>
      </w:pPr>
    </w:p>
    <w:p w14:paraId="77EAFF55" w14:textId="3A484E85" w:rsidR="00CA43A5" w:rsidRPr="00002B4F" w:rsidRDefault="00CA43A5" w:rsidP="005960B1">
      <w:pPr>
        <w:widowControl/>
        <w:tabs>
          <w:tab w:val="left" w:pos="-720"/>
        </w:tabs>
        <w:rPr>
          <w:sz w:val="26"/>
          <w:szCs w:val="26"/>
        </w:rPr>
      </w:pPr>
      <w:r w:rsidRPr="00002B4F">
        <w:rPr>
          <w:sz w:val="26"/>
          <w:szCs w:val="26"/>
        </w:rPr>
        <w:t xml:space="preserve">ORDER ENTERED: </w:t>
      </w:r>
      <w:r w:rsidR="00BB59B4">
        <w:rPr>
          <w:sz w:val="26"/>
          <w:szCs w:val="26"/>
        </w:rPr>
        <w:t xml:space="preserve"> </w:t>
      </w:r>
      <w:r w:rsidR="00CA714B">
        <w:rPr>
          <w:sz w:val="26"/>
          <w:szCs w:val="26"/>
        </w:rPr>
        <w:t>August 29</w:t>
      </w:r>
      <w:bookmarkStart w:id="3" w:name="_GoBack"/>
      <w:bookmarkEnd w:id="3"/>
      <w:r w:rsidR="00CA714B">
        <w:rPr>
          <w:sz w:val="26"/>
          <w:szCs w:val="26"/>
        </w:rPr>
        <w:t>, 2019</w:t>
      </w:r>
    </w:p>
    <w:p w14:paraId="0D524CC1" w14:textId="77777777" w:rsidR="00344804" w:rsidRPr="00002B4F" w:rsidRDefault="00344804" w:rsidP="005960B1">
      <w:pPr>
        <w:widowControl/>
        <w:ind w:right="360"/>
        <w:rPr>
          <w:sz w:val="26"/>
          <w:szCs w:val="26"/>
        </w:rPr>
      </w:pPr>
    </w:p>
    <w:sectPr w:rsidR="00344804" w:rsidRPr="00002B4F" w:rsidSect="00515233">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82D91" w14:textId="77777777" w:rsidR="0061595D" w:rsidRDefault="0061595D" w:rsidP="00515233">
      <w:r>
        <w:separator/>
      </w:r>
    </w:p>
  </w:endnote>
  <w:endnote w:type="continuationSeparator" w:id="0">
    <w:p w14:paraId="74515880" w14:textId="77777777" w:rsidR="0061595D" w:rsidRDefault="0061595D" w:rsidP="0051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556038"/>
      <w:docPartObj>
        <w:docPartGallery w:val="Page Numbers (Bottom of Page)"/>
        <w:docPartUnique/>
      </w:docPartObj>
    </w:sdtPr>
    <w:sdtEndPr>
      <w:rPr>
        <w:noProof/>
        <w:sz w:val="26"/>
        <w:szCs w:val="26"/>
      </w:rPr>
    </w:sdtEndPr>
    <w:sdtContent>
      <w:p w14:paraId="6E2FDA46" w14:textId="77777777" w:rsidR="00515233" w:rsidRPr="00146832" w:rsidRDefault="00515233" w:rsidP="00146832">
        <w:pPr>
          <w:pStyle w:val="Footer"/>
          <w:jc w:val="center"/>
          <w:rPr>
            <w:sz w:val="26"/>
            <w:szCs w:val="26"/>
          </w:rPr>
        </w:pPr>
        <w:r w:rsidRPr="00146832">
          <w:rPr>
            <w:sz w:val="26"/>
            <w:szCs w:val="26"/>
          </w:rPr>
          <w:fldChar w:fldCharType="begin"/>
        </w:r>
        <w:r w:rsidRPr="00146832">
          <w:rPr>
            <w:sz w:val="26"/>
            <w:szCs w:val="26"/>
          </w:rPr>
          <w:instrText xml:space="preserve"> PAGE   \* MERGEFORMAT </w:instrText>
        </w:r>
        <w:r w:rsidRPr="00146832">
          <w:rPr>
            <w:sz w:val="26"/>
            <w:szCs w:val="26"/>
          </w:rPr>
          <w:fldChar w:fldCharType="separate"/>
        </w:r>
        <w:r w:rsidR="00BB2905">
          <w:rPr>
            <w:noProof/>
            <w:sz w:val="26"/>
            <w:szCs w:val="26"/>
          </w:rPr>
          <w:t>2</w:t>
        </w:r>
        <w:r w:rsidRPr="00146832">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F66B5" w14:textId="77777777" w:rsidR="0061595D" w:rsidRDefault="0061595D" w:rsidP="00515233">
      <w:r>
        <w:separator/>
      </w:r>
    </w:p>
  </w:footnote>
  <w:footnote w:type="continuationSeparator" w:id="0">
    <w:p w14:paraId="18B4D816" w14:textId="77777777" w:rsidR="0061595D" w:rsidRDefault="0061595D" w:rsidP="00515233">
      <w:r>
        <w:continuationSeparator/>
      </w:r>
    </w:p>
  </w:footnote>
  <w:footnote w:id="1">
    <w:p w14:paraId="40DEA661" w14:textId="17E15123" w:rsidR="006E407E" w:rsidRPr="006E407E" w:rsidRDefault="006E407E">
      <w:pPr>
        <w:pStyle w:val="FootnoteText"/>
        <w:rPr>
          <w:sz w:val="26"/>
          <w:szCs w:val="26"/>
        </w:rPr>
      </w:pPr>
      <w:r>
        <w:rPr>
          <w:sz w:val="26"/>
          <w:szCs w:val="26"/>
        </w:rPr>
        <w:tab/>
      </w:r>
      <w:r w:rsidRPr="006E407E">
        <w:rPr>
          <w:rStyle w:val="FootnoteReference"/>
          <w:sz w:val="26"/>
          <w:szCs w:val="26"/>
        </w:rPr>
        <w:footnoteRef/>
      </w:r>
      <w:r w:rsidRPr="006E407E">
        <w:rPr>
          <w:sz w:val="26"/>
          <w:szCs w:val="26"/>
        </w:rPr>
        <w:t xml:space="preserve"> </w:t>
      </w:r>
      <w:r>
        <w:rPr>
          <w:sz w:val="26"/>
          <w:szCs w:val="26"/>
        </w:rPr>
        <w:tab/>
        <w:t>Ms. Mohamed is the ratepayer of record for residential (non-heating) electric service with PECO Energy Company (Respondent or PECO) for the service address where she resides with her husband, Mr. Abdulrahman.  Tr. at 13; PECO Exh</w:t>
      </w:r>
      <w:r w:rsidR="005968FE">
        <w:rPr>
          <w:sz w:val="26"/>
          <w:szCs w:val="26"/>
        </w:rPr>
        <w:t>s. 2 and 3.</w:t>
      </w:r>
    </w:p>
  </w:footnote>
  <w:footnote w:id="2">
    <w:p w14:paraId="7A850203" w14:textId="0A7CA046" w:rsidR="001E3E17" w:rsidRPr="001E3E17" w:rsidRDefault="001E3E17" w:rsidP="00F85104">
      <w:pPr>
        <w:spacing w:after="120"/>
        <w:textAlignment w:val="baseline"/>
        <w:rPr>
          <w:sz w:val="26"/>
          <w:szCs w:val="26"/>
        </w:rPr>
      </w:pPr>
      <w:r>
        <w:rPr>
          <w:sz w:val="26"/>
          <w:szCs w:val="26"/>
        </w:rPr>
        <w:tab/>
      </w:r>
      <w:r w:rsidRPr="001E3E17">
        <w:rPr>
          <w:rStyle w:val="FootnoteReference"/>
          <w:sz w:val="26"/>
          <w:szCs w:val="26"/>
        </w:rPr>
        <w:footnoteRef/>
      </w:r>
      <w:r w:rsidRPr="001E3E17">
        <w:rPr>
          <w:sz w:val="26"/>
          <w:szCs w:val="26"/>
        </w:rPr>
        <w:t xml:space="preserve"> </w:t>
      </w:r>
      <w:r>
        <w:rPr>
          <w:sz w:val="26"/>
          <w:szCs w:val="26"/>
        </w:rPr>
        <w:tab/>
      </w:r>
      <w:r w:rsidR="00E14612">
        <w:rPr>
          <w:sz w:val="26"/>
          <w:szCs w:val="26"/>
        </w:rPr>
        <w:t xml:space="preserve">The </w:t>
      </w:r>
      <w:r w:rsidRPr="00B876D8">
        <w:rPr>
          <w:color w:val="000000"/>
          <w:sz w:val="26"/>
          <w:szCs w:val="26"/>
        </w:rPr>
        <w:t>Complaint is a timely appeal of the decision issued by the Commission’s Bureau of Consumer Services (BCS) on an informal complaint filed against</w:t>
      </w:r>
      <w:r w:rsidR="005A693E">
        <w:rPr>
          <w:color w:val="000000"/>
          <w:sz w:val="26"/>
          <w:szCs w:val="26"/>
        </w:rPr>
        <w:t xml:space="preserve"> </w:t>
      </w:r>
      <w:r w:rsidRPr="00B876D8">
        <w:rPr>
          <w:color w:val="000000"/>
          <w:sz w:val="26"/>
          <w:szCs w:val="26"/>
        </w:rPr>
        <w:t>PECO on January 26, 2018, at BCS Case No. 3586292.</w:t>
      </w:r>
    </w:p>
  </w:footnote>
  <w:footnote w:id="3">
    <w:p w14:paraId="514922E3" w14:textId="451568CE" w:rsidR="000B49EA" w:rsidRPr="000B49EA" w:rsidRDefault="000B49EA">
      <w:pPr>
        <w:pStyle w:val="FootnoteText"/>
        <w:rPr>
          <w:sz w:val="26"/>
          <w:szCs w:val="26"/>
        </w:rPr>
      </w:pPr>
      <w:r>
        <w:rPr>
          <w:sz w:val="26"/>
          <w:szCs w:val="26"/>
        </w:rPr>
        <w:tab/>
      </w:r>
      <w:r w:rsidRPr="000B49EA">
        <w:rPr>
          <w:rStyle w:val="FootnoteReference"/>
          <w:sz w:val="26"/>
          <w:szCs w:val="26"/>
        </w:rPr>
        <w:footnoteRef/>
      </w:r>
      <w:r w:rsidRPr="000B49EA">
        <w:rPr>
          <w:sz w:val="26"/>
          <w:szCs w:val="26"/>
        </w:rPr>
        <w:t xml:space="preserve"> </w:t>
      </w:r>
      <w:r>
        <w:rPr>
          <w:sz w:val="26"/>
          <w:szCs w:val="26"/>
        </w:rPr>
        <w:tab/>
        <w:t>A certified interpreter assisted the Complainants during the hearing.  Tr.</w:t>
      </w:r>
      <w:r w:rsidR="00340594">
        <w:rPr>
          <w:sz w:val="26"/>
          <w:szCs w:val="26"/>
        </w:rPr>
        <w:t> </w:t>
      </w:r>
      <w:r>
        <w:rPr>
          <w:sz w:val="26"/>
          <w:szCs w:val="26"/>
        </w:rPr>
        <w:t>at</w:t>
      </w:r>
      <w:r w:rsidR="00340594">
        <w:rPr>
          <w:sz w:val="26"/>
          <w:szCs w:val="26"/>
        </w:rPr>
        <w:t> </w:t>
      </w:r>
      <w:r>
        <w:rPr>
          <w:sz w:val="26"/>
          <w:szCs w:val="26"/>
        </w:rPr>
        <w:t>4, 55.</w:t>
      </w:r>
    </w:p>
  </w:footnote>
  <w:footnote w:id="4">
    <w:p w14:paraId="59BB936F" w14:textId="3E3B7909" w:rsidR="00D02D71" w:rsidRPr="00D02D71" w:rsidRDefault="00D02D71">
      <w:pPr>
        <w:pStyle w:val="FootnoteText"/>
        <w:rPr>
          <w:sz w:val="26"/>
          <w:szCs w:val="26"/>
        </w:rPr>
      </w:pPr>
      <w:r>
        <w:rPr>
          <w:sz w:val="26"/>
          <w:szCs w:val="26"/>
        </w:rPr>
        <w:tab/>
      </w:r>
      <w:r w:rsidRPr="00D02D71">
        <w:rPr>
          <w:rStyle w:val="FootnoteReference"/>
          <w:sz w:val="26"/>
          <w:szCs w:val="26"/>
        </w:rPr>
        <w:footnoteRef/>
      </w:r>
      <w:r w:rsidRPr="00D02D71">
        <w:rPr>
          <w:sz w:val="26"/>
          <w:szCs w:val="26"/>
        </w:rPr>
        <w:t xml:space="preserve"> </w:t>
      </w:r>
      <w:r>
        <w:rPr>
          <w:sz w:val="26"/>
          <w:szCs w:val="26"/>
        </w:rPr>
        <w:tab/>
        <w:t>Section 1501 provides, in part, that it is every public utility’s duty to “furnish and maintain adequate, efficient, safe and reasonable service and facilities” in conformity with the Regulations and Orders of the Commission.  66 Pa. C.S. § 1501.</w:t>
      </w:r>
    </w:p>
  </w:footnote>
  <w:footnote w:id="5">
    <w:p w14:paraId="3B5FE53F" w14:textId="3DA3F75B" w:rsidR="001A031D" w:rsidRPr="001A031D" w:rsidRDefault="001A031D" w:rsidP="00F85104">
      <w:pPr>
        <w:pStyle w:val="FootnoteText"/>
        <w:spacing w:after="120"/>
        <w:rPr>
          <w:sz w:val="26"/>
          <w:szCs w:val="26"/>
        </w:rPr>
      </w:pPr>
      <w:r>
        <w:tab/>
      </w:r>
      <w:r w:rsidRPr="001A031D">
        <w:rPr>
          <w:rStyle w:val="FootnoteReference"/>
          <w:sz w:val="26"/>
          <w:szCs w:val="26"/>
        </w:rPr>
        <w:footnoteRef/>
      </w:r>
      <w:r w:rsidRPr="001A031D">
        <w:rPr>
          <w:sz w:val="26"/>
          <w:szCs w:val="26"/>
        </w:rPr>
        <w:t xml:space="preserve"> </w:t>
      </w:r>
      <w:r w:rsidRPr="001A031D">
        <w:rPr>
          <w:sz w:val="26"/>
          <w:szCs w:val="26"/>
        </w:rPr>
        <w:tab/>
        <w:t>In making the poverty level determination</w:t>
      </w:r>
      <w:r>
        <w:rPr>
          <w:sz w:val="26"/>
          <w:szCs w:val="26"/>
        </w:rPr>
        <w:t>,</w:t>
      </w:r>
      <w:r w:rsidRPr="001A031D">
        <w:rPr>
          <w:sz w:val="26"/>
          <w:szCs w:val="26"/>
        </w:rPr>
        <w:t xml:space="preserve"> the ALJ referenced </w:t>
      </w:r>
      <w:r w:rsidR="00606809">
        <w:rPr>
          <w:sz w:val="26"/>
          <w:szCs w:val="26"/>
        </w:rPr>
        <w:t xml:space="preserve">PECO’s Tariff </w:t>
      </w:r>
      <w:r w:rsidRPr="001A031D">
        <w:rPr>
          <w:sz w:val="26"/>
          <w:szCs w:val="26"/>
        </w:rPr>
        <w:t>Supplement.</w:t>
      </w:r>
    </w:p>
  </w:footnote>
  <w:footnote w:id="6">
    <w:p w14:paraId="66D3B193" w14:textId="47ACC2D9" w:rsidR="00D10D3B" w:rsidRPr="00D10D3B" w:rsidRDefault="00D10D3B">
      <w:pPr>
        <w:pStyle w:val="FootnoteText"/>
        <w:rPr>
          <w:sz w:val="26"/>
          <w:szCs w:val="26"/>
        </w:rPr>
      </w:pPr>
      <w:r>
        <w:rPr>
          <w:sz w:val="26"/>
          <w:szCs w:val="26"/>
        </w:rPr>
        <w:tab/>
      </w:r>
      <w:r w:rsidRPr="00D10D3B">
        <w:rPr>
          <w:rStyle w:val="FootnoteReference"/>
          <w:sz w:val="26"/>
          <w:szCs w:val="26"/>
        </w:rPr>
        <w:footnoteRef/>
      </w:r>
      <w:r w:rsidRPr="00D10D3B">
        <w:rPr>
          <w:sz w:val="26"/>
          <w:szCs w:val="26"/>
        </w:rPr>
        <w:t xml:space="preserve"> </w:t>
      </w:r>
      <w:r>
        <w:rPr>
          <w:sz w:val="26"/>
          <w:szCs w:val="26"/>
        </w:rPr>
        <w:tab/>
      </w:r>
      <w:r>
        <w:rPr>
          <w:color w:val="000000"/>
          <w:sz w:val="26"/>
          <w:szCs w:val="26"/>
        </w:rPr>
        <w:t>In designating the late payment charges, the ALJ acknowledged that neither Section 1409 of the Code nor Section 56.22(d) of our Regulations specify how far back in time the Commission can exercise its authority to waive late payment charges.  Consequently, the ALJ applied the four-year statute of limitation provision in Section 1312 of the Code, 66 Pa. C.S. § 1312, regarding refunds, as guidance for determining which late payment charges to waive in this proceeding.  I.D. at 15.</w:t>
      </w:r>
    </w:p>
  </w:footnote>
  <w:footnote w:id="7">
    <w:p w14:paraId="0B830148" w14:textId="0B4E84A6" w:rsidR="0002797C" w:rsidRPr="00655657" w:rsidRDefault="0002797C" w:rsidP="0002797C">
      <w:pPr>
        <w:pStyle w:val="FootnoteText"/>
        <w:tabs>
          <w:tab w:val="left" w:pos="720"/>
          <w:tab w:val="left" w:pos="1440"/>
        </w:tabs>
      </w:pPr>
      <w:r>
        <w:rPr>
          <w:sz w:val="26"/>
          <w:szCs w:val="26"/>
        </w:rPr>
        <w:tab/>
      </w:r>
      <w:r w:rsidRPr="0002797C">
        <w:rPr>
          <w:rStyle w:val="FootnoteReference"/>
          <w:sz w:val="26"/>
          <w:szCs w:val="26"/>
        </w:rPr>
        <w:footnoteRef/>
      </w:r>
      <w:r w:rsidRPr="0002797C">
        <w:rPr>
          <w:sz w:val="26"/>
          <w:szCs w:val="26"/>
        </w:rPr>
        <w:t xml:space="preserve"> </w:t>
      </w:r>
      <w:r>
        <w:rPr>
          <w:sz w:val="26"/>
          <w:szCs w:val="26"/>
        </w:rPr>
        <w:tab/>
      </w:r>
      <w:r w:rsidRPr="00655657">
        <w:rPr>
          <w:sz w:val="26"/>
        </w:rPr>
        <w:t>We acknowledge that the format of the Complainants</w:t>
      </w:r>
      <w:r w:rsidR="00D51B6B">
        <w:rPr>
          <w:sz w:val="26"/>
        </w:rPr>
        <w:t>’</w:t>
      </w:r>
      <w:r w:rsidRPr="00655657">
        <w:rPr>
          <w:sz w:val="26"/>
        </w:rPr>
        <w:t xml:space="preserve"> Exceptions does not comply with Section 5.533(b) of our Regulations, 52 Pa. Code § 5.533(b), which requires that exceptions be numbered, identify the finding of fact and conclusion</w:t>
      </w:r>
      <w:r>
        <w:rPr>
          <w:sz w:val="26"/>
        </w:rPr>
        <w:t>s</w:t>
      </w:r>
      <w:r w:rsidRPr="00655657">
        <w:rPr>
          <w:sz w:val="26"/>
        </w:rPr>
        <w:t xml:space="preserve"> of law to which exception is taken, and cite to the relevant pages of the Initial Decision.  Nevertheless, particularly because the Complainant</w:t>
      </w:r>
      <w:r w:rsidR="00BE7894">
        <w:rPr>
          <w:sz w:val="26"/>
        </w:rPr>
        <w:t>s</w:t>
      </w:r>
      <w:r w:rsidRPr="00655657">
        <w:rPr>
          <w:sz w:val="26"/>
        </w:rPr>
        <w:t xml:space="preserve"> </w:t>
      </w:r>
      <w:r w:rsidR="00BE7894">
        <w:rPr>
          <w:sz w:val="26"/>
        </w:rPr>
        <w:t>are</w:t>
      </w:r>
      <w:r w:rsidRPr="00655657">
        <w:rPr>
          <w:sz w:val="26"/>
        </w:rPr>
        <w:t xml:space="preserve"> appearing </w:t>
      </w:r>
      <w:r w:rsidRPr="00655657">
        <w:rPr>
          <w:i/>
          <w:sz w:val="26"/>
        </w:rPr>
        <w:t>pro se</w:t>
      </w:r>
      <w:r w:rsidRPr="00655657">
        <w:rPr>
          <w:sz w:val="26"/>
        </w:rPr>
        <w:t>, we will accept the Exceptions as filed pursuant to Section 1.2(</w:t>
      </w:r>
      <w:r>
        <w:rPr>
          <w:sz w:val="26"/>
        </w:rPr>
        <w:t>a</w:t>
      </w:r>
      <w:r w:rsidRPr="00655657">
        <w:rPr>
          <w:sz w:val="26"/>
        </w:rPr>
        <w:t>) of our Regulations, 52 Pa.</w:t>
      </w:r>
      <w:r>
        <w:rPr>
          <w:sz w:val="26"/>
        </w:rPr>
        <w:t xml:space="preserve"> </w:t>
      </w:r>
      <w:r w:rsidRPr="00655657">
        <w:rPr>
          <w:sz w:val="26"/>
        </w:rPr>
        <w:t>Code § 1.2(</w:t>
      </w:r>
      <w:r>
        <w:rPr>
          <w:sz w:val="26"/>
        </w:rPr>
        <w:t>a</w:t>
      </w:r>
      <w:r w:rsidRPr="00655657">
        <w:rPr>
          <w:sz w:val="26"/>
        </w:rPr>
        <w:t>)</w:t>
      </w:r>
      <w:r>
        <w:rPr>
          <w:sz w:val="26"/>
        </w:rPr>
        <w:t>, in order to secure a just, speedy, and inexpensive determination</w:t>
      </w:r>
      <w:r w:rsidRPr="00655657">
        <w:rPr>
          <w:sz w:val="26"/>
        </w:rPr>
        <w:t>.</w:t>
      </w:r>
    </w:p>
    <w:p w14:paraId="3BD4D6A9" w14:textId="77777777" w:rsidR="0002797C" w:rsidRPr="0002797C" w:rsidRDefault="0002797C" w:rsidP="0002797C">
      <w:pPr>
        <w:pStyle w:val="FootnoteText"/>
        <w:ind w:firstLine="720"/>
        <w:rPr>
          <w:sz w:val="26"/>
          <w:szCs w:val="26"/>
        </w:rPr>
      </w:pPr>
    </w:p>
  </w:footnote>
  <w:footnote w:id="8">
    <w:p w14:paraId="0787CCDE" w14:textId="17BD2E67" w:rsidR="0087265D" w:rsidRPr="0087265D" w:rsidRDefault="0087265D">
      <w:pPr>
        <w:pStyle w:val="FootnoteText"/>
        <w:rPr>
          <w:sz w:val="26"/>
          <w:szCs w:val="26"/>
        </w:rPr>
      </w:pPr>
      <w:r>
        <w:rPr>
          <w:sz w:val="26"/>
          <w:szCs w:val="26"/>
        </w:rPr>
        <w:tab/>
      </w:r>
      <w:r w:rsidRPr="0087265D">
        <w:rPr>
          <w:rStyle w:val="FootnoteReference"/>
          <w:sz w:val="26"/>
          <w:szCs w:val="26"/>
        </w:rPr>
        <w:footnoteRef/>
      </w:r>
      <w:r w:rsidRPr="0087265D">
        <w:rPr>
          <w:sz w:val="26"/>
          <w:szCs w:val="26"/>
        </w:rPr>
        <w:t xml:space="preserve"> </w:t>
      </w:r>
      <w:r>
        <w:rPr>
          <w:sz w:val="26"/>
          <w:szCs w:val="26"/>
        </w:rPr>
        <w:tab/>
        <w:t>The outstanding balance owed as of the date of hearing was $394.03.  Tr.</w:t>
      </w:r>
      <w:r w:rsidR="00631F6E">
        <w:rPr>
          <w:sz w:val="26"/>
          <w:szCs w:val="26"/>
        </w:rPr>
        <w:t> </w:t>
      </w:r>
      <w:r>
        <w:rPr>
          <w:sz w:val="26"/>
          <w:szCs w:val="26"/>
        </w:rPr>
        <w:t>at</w:t>
      </w:r>
      <w:r w:rsidR="00631F6E">
        <w:rPr>
          <w:sz w:val="26"/>
          <w:szCs w:val="26"/>
        </w:rPr>
        <w:t> </w:t>
      </w:r>
      <w:r>
        <w:rPr>
          <w:sz w:val="26"/>
          <w:szCs w:val="26"/>
        </w:rPr>
        <w:t>41.</w:t>
      </w:r>
    </w:p>
  </w:footnote>
  <w:footnote w:id="9">
    <w:p w14:paraId="4303144E" w14:textId="097CDC94" w:rsidR="00CF1D0B" w:rsidRPr="00CF1D0B" w:rsidRDefault="00CF1D0B" w:rsidP="00090AC2">
      <w:pPr>
        <w:pStyle w:val="FootnoteText"/>
        <w:keepNext/>
        <w:keepLines/>
        <w:rPr>
          <w:sz w:val="26"/>
          <w:szCs w:val="26"/>
        </w:rPr>
      </w:pPr>
      <w:r>
        <w:rPr>
          <w:sz w:val="26"/>
          <w:szCs w:val="26"/>
        </w:rPr>
        <w:tab/>
      </w:r>
      <w:r w:rsidRPr="00CF1D0B">
        <w:rPr>
          <w:rStyle w:val="FootnoteReference"/>
          <w:sz w:val="26"/>
          <w:szCs w:val="26"/>
        </w:rPr>
        <w:footnoteRef/>
      </w:r>
      <w:r w:rsidRPr="00CF1D0B">
        <w:rPr>
          <w:sz w:val="26"/>
          <w:szCs w:val="26"/>
        </w:rPr>
        <w:t xml:space="preserve"> </w:t>
      </w:r>
      <w:r>
        <w:rPr>
          <w:sz w:val="26"/>
          <w:szCs w:val="26"/>
        </w:rPr>
        <w:tab/>
        <w:t xml:space="preserve">We note, however, that the Complainants have the </w:t>
      </w:r>
      <w:r w:rsidR="00090AC2">
        <w:rPr>
          <w:sz w:val="26"/>
          <w:szCs w:val="26"/>
        </w:rPr>
        <w:t>option of notifying</w:t>
      </w:r>
      <w:r>
        <w:rPr>
          <w:sz w:val="26"/>
          <w:szCs w:val="26"/>
        </w:rPr>
        <w:t xml:space="preserve"> PECO that their household income or size of household has changed</w:t>
      </w:r>
      <w:r w:rsidR="00090AC2">
        <w:rPr>
          <w:sz w:val="26"/>
          <w:szCs w:val="26"/>
        </w:rPr>
        <w:t>.  According to the CAP Rider contained in PECO’s Tariff Supplement, PECO is required to verify the change, recalculate the CAP FCO, and apply a new annual credit prospectively beginning with the next monthly bill after the recalculation is processed.  See PECO late-filed Exh.</w:t>
      </w:r>
      <w:r w:rsidR="00631F6E">
        <w:rPr>
          <w:sz w:val="26"/>
          <w:szCs w:val="26"/>
        </w:rPr>
        <w:t> </w:t>
      </w:r>
      <w:r w:rsidR="00090AC2">
        <w:rPr>
          <w:sz w:val="26"/>
          <w:szCs w:val="26"/>
        </w:rPr>
        <w:t>8 at 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C0BDC"/>
    <w:multiLevelType w:val="multilevel"/>
    <w:tmpl w:val="4A68ED34"/>
    <w:lvl w:ilvl="0">
      <w:start w:val="7"/>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F0645F0"/>
    <w:multiLevelType w:val="multilevel"/>
    <w:tmpl w:val="BAEA223A"/>
    <w:lvl w:ilvl="0">
      <w:start w:val="2"/>
      <w:numFmt w:val="low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171A15"/>
    <w:multiLevelType w:val="multilevel"/>
    <w:tmpl w:val="BC72EDFA"/>
    <w:lvl w:ilvl="0">
      <w:start w:val="1"/>
      <w:numFmt w:val="decimal"/>
      <w:lvlText w:val="%1."/>
      <w:lvlJc w:val="left"/>
      <w:pPr>
        <w:tabs>
          <w:tab w:val="left" w:pos="648"/>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78287433"/>
    <w:multiLevelType w:val="hybridMultilevel"/>
    <w:tmpl w:val="3C062A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7EA3119B"/>
    <w:multiLevelType w:val="multilevel"/>
    <w:tmpl w:val="29D2B77C"/>
    <w:lvl w:ilvl="0">
      <w:start w:val="1"/>
      <w:numFmt w:val="upperRoman"/>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C"/>
    <w:rsid w:val="00000D47"/>
    <w:rsid w:val="00000DE4"/>
    <w:rsid w:val="00001FC8"/>
    <w:rsid w:val="00002B4F"/>
    <w:rsid w:val="00004542"/>
    <w:rsid w:val="000046FC"/>
    <w:rsid w:val="00004BAE"/>
    <w:rsid w:val="00005A4F"/>
    <w:rsid w:val="00006685"/>
    <w:rsid w:val="00006F0B"/>
    <w:rsid w:val="00006F35"/>
    <w:rsid w:val="00010C91"/>
    <w:rsid w:val="00011950"/>
    <w:rsid w:val="000123E7"/>
    <w:rsid w:val="00016D57"/>
    <w:rsid w:val="00017852"/>
    <w:rsid w:val="00021E46"/>
    <w:rsid w:val="00022B74"/>
    <w:rsid w:val="00023DCD"/>
    <w:rsid w:val="0002524C"/>
    <w:rsid w:val="00025F3F"/>
    <w:rsid w:val="00026CD2"/>
    <w:rsid w:val="0002797C"/>
    <w:rsid w:val="00027A81"/>
    <w:rsid w:val="00027C93"/>
    <w:rsid w:val="00033D46"/>
    <w:rsid w:val="00035A8F"/>
    <w:rsid w:val="000362F4"/>
    <w:rsid w:val="00036C65"/>
    <w:rsid w:val="00040A8E"/>
    <w:rsid w:val="00040AEA"/>
    <w:rsid w:val="0004223C"/>
    <w:rsid w:val="00046FE7"/>
    <w:rsid w:val="00047874"/>
    <w:rsid w:val="00047A40"/>
    <w:rsid w:val="00047F4A"/>
    <w:rsid w:val="000523D1"/>
    <w:rsid w:val="00052B8F"/>
    <w:rsid w:val="00054612"/>
    <w:rsid w:val="00055691"/>
    <w:rsid w:val="0005572E"/>
    <w:rsid w:val="00056286"/>
    <w:rsid w:val="00056C6B"/>
    <w:rsid w:val="000612FD"/>
    <w:rsid w:val="00061DB6"/>
    <w:rsid w:val="000642AA"/>
    <w:rsid w:val="00064449"/>
    <w:rsid w:val="000649EC"/>
    <w:rsid w:val="00066EE5"/>
    <w:rsid w:val="00067260"/>
    <w:rsid w:val="00072261"/>
    <w:rsid w:val="00072808"/>
    <w:rsid w:val="00072D71"/>
    <w:rsid w:val="000767B0"/>
    <w:rsid w:val="00076F35"/>
    <w:rsid w:val="00077335"/>
    <w:rsid w:val="00084573"/>
    <w:rsid w:val="00084AF9"/>
    <w:rsid w:val="00085EA7"/>
    <w:rsid w:val="00090AC2"/>
    <w:rsid w:val="00090BA6"/>
    <w:rsid w:val="000917F7"/>
    <w:rsid w:val="000918D4"/>
    <w:rsid w:val="00091DC3"/>
    <w:rsid w:val="00093164"/>
    <w:rsid w:val="000938D0"/>
    <w:rsid w:val="0009612D"/>
    <w:rsid w:val="00097504"/>
    <w:rsid w:val="000A0EC9"/>
    <w:rsid w:val="000A2051"/>
    <w:rsid w:val="000A2C84"/>
    <w:rsid w:val="000A365D"/>
    <w:rsid w:val="000A4E45"/>
    <w:rsid w:val="000B0512"/>
    <w:rsid w:val="000B1013"/>
    <w:rsid w:val="000B216D"/>
    <w:rsid w:val="000B2755"/>
    <w:rsid w:val="000B2E04"/>
    <w:rsid w:val="000B49EA"/>
    <w:rsid w:val="000B4EAE"/>
    <w:rsid w:val="000B5238"/>
    <w:rsid w:val="000B607A"/>
    <w:rsid w:val="000B6B15"/>
    <w:rsid w:val="000C083C"/>
    <w:rsid w:val="000C2AE3"/>
    <w:rsid w:val="000C2C28"/>
    <w:rsid w:val="000C4562"/>
    <w:rsid w:val="000C6EDB"/>
    <w:rsid w:val="000C709A"/>
    <w:rsid w:val="000D10E7"/>
    <w:rsid w:val="000D435F"/>
    <w:rsid w:val="000D4CA1"/>
    <w:rsid w:val="000D5083"/>
    <w:rsid w:val="000D66D8"/>
    <w:rsid w:val="000E0DDA"/>
    <w:rsid w:val="000E6F81"/>
    <w:rsid w:val="000F179E"/>
    <w:rsid w:val="000F4307"/>
    <w:rsid w:val="000F68BF"/>
    <w:rsid w:val="000F746F"/>
    <w:rsid w:val="00100427"/>
    <w:rsid w:val="00100A60"/>
    <w:rsid w:val="0010158F"/>
    <w:rsid w:val="00101F51"/>
    <w:rsid w:val="001026CA"/>
    <w:rsid w:val="00104D9B"/>
    <w:rsid w:val="0011026A"/>
    <w:rsid w:val="00110F27"/>
    <w:rsid w:val="00111F4B"/>
    <w:rsid w:val="00112145"/>
    <w:rsid w:val="001127B4"/>
    <w:rsid w:val="001160A2"/>
    <w:rsid w:val="00117CB2"/>
    <w:rsid w:val="00120B39"/>
    <w:rsid w:val="001238E5"/>
    <w:rsid w:val="00123A2E"/>
    <w:rsid w:val="00124071"/>
    <w:rsid w:val="00126126"/>
    <w:rsid w:val="001267D4"/>
    <w:rsid w:val="001312F5"/>
    <w:rsid w:val="001315D5"/>
    <w:rsid w:val="001357B9"/>
    <w:rsid w:val="00135972"/>
    <w:rsid w:val="001360FC"/>
    <w:rsid w:val="001375A5"/>
    <w:rsid w:val="001401D0"/>
    <w:rsid w:val="00143910"/>
    <w:rsid w:val="001447A0"/>
    <w:rsid w:val="0014497F"/>
    <w:rsid w:val="00145E4B"/>
    <w:rsid w:val="00146832"/>
    <w:rsid w:val="00146DDD"/>
    <w:rsid w:val="00146E58"/>
    <w:rsid w:val="00147145"/>
    <w:rsid w:val="00150096"/>
    <w:rsid w:val="001508E4"/>
    <w:rsid w:val="00151445"/>
    <w:rsid w:val="00152A0D"/>
    <w:rsid w:val="00152A2B"/>
    <w:rsid w:val="00153394"/>
    <w:rsid w:val="0015380A"/>
    <w:rsid w:val="00154C15"/>
    <w:rsid w:val="00154CB6"/>
    <w:rsid w:val="0015528A"/>
    <w:rsid w:val="00164DA4"/>
    <w:rsid w:val="00165526"/>
    <w:rsid w:val="00166298"/>
    <w:rsid w:val="001663C8"/>
    <w:rsid w:val="00167B9B"/>
    <w:rsid w:val="00171A0D"/>
    <w:rsid w:val="00174694"/>
    <w:rsid w:val="00174D3D"/>
    <w:rsid w:val="0017620E"/>
    <w:rsid w:val="001770B9"/>
    <w:rsid w:val="00177251"/>
    <w:rsid w:val="00177EA1"/>
    <w:rsid w:val="001806FE"/>
    <w:rsid w:val="00181094"/>
    <w:rsid w:val="00182478"/>
    <w:rsid w:val="001825BB"/>
    <w:rsid w:val="00185492"/>
    <w:rsid w:val="0018572D"/>
    <w:rsid w:val="00186A97"/>
    <w:rsid w:val="0019530E"/>
    <w:rsid w:val="00195F2E"/>
    <w:rsid w:val="001A031D"/>
    <w:rsid w:val="001A081F"/>
    <w:rsid w:val="001A51CB"/>
    <w:rsid w:val="001A5C5F"/>
    <w:rsid w:val="001A5D99"/>
    <w:rsid w:val="001A67B2"/>
    <w:rsid w:val="001A6B84"/>
    <w:rsid w:val="001B09A0"/>
    <w:rsid w:val="001B1931"/>
    <w:rsid w:val="001B1DB4"/>
    <w:rsid w:val="001B2505"/>
    <w:rsid w:val="001B5A5C"/>
    <w:rsid w:val="001B71ED"/>
    <w:rsid w:val="001C0ABD"/>
    <w:rsid w:val="001C2C07"/>
    <w:rsid w:val="001C2E34"/>
    <w:rsid w:val="001C46C7"/>
    <w:rsid w:val="001C4978"/>
    <w:rsid w:val="001D0226"/>
    <w:rsid w:val="001D0ED2"/>
    <w:rsid w:val="001D3B8A"/>
    <w:rsid w:val="001E0B61"/>
    <w:rsid w:val="001E1276"/>
    <w:rsid w:val="001E20F5"/>
    <w:rsid w:val="001E21C0"/>
    <w:rsid w:val="001E38FA"/>
    <w:rsid w:val="001E3E17"/>
    <w:rsid w:val="001E4809"/>
    <w:rsid w:val="001E52E1"/>
    <w:rsid w:val="001E6900"/>
    <w:rsid w:val="001E69AA"/>
    <w:rsid w:val="001E713E"/>
    <w:rsid w:val="001E7F9A"/>
    <w:rsid w:val="001F285E"/>
    <w:rsid w:val="001F2D11"/>
    <w:rsid w:val="001F3CC7"/>
    <w:rsid w:val="001F44C2"/>
    <w:rsid w:val="001F5C4C"/>
    <w:rsid w:val="002018FF"/>
    <w:rsid w:val="00202524"/>
    <w:rsid w:val="002030CE"/>
    <w:rsid w:val="00204A6D"/>
    <w:rsid w:val="00210736"/>
    <w:rsid w:val="00210F81"/>
    <w:rsid w:val="00211622"/>
    <w:rsid w:val="00214785"/>
    <w:rsid w:val="00214B3E"/>
    <w:rsid w:val="002178C2"/>
    <w:rsid w:val="002215D4"/>
    <w:rsid w:val="00222052"/>
    <w:rsid w:val="00222D1C"/>
    <w:rsid w:val="002245C6"/>
    <w:rsid w:val="00225582"/>
    <w:rsid w:val="0022698E"/>
    <w:rsid w:val="0022708B"/>
    <w:rsid w:val="00227912"/>
    <w:rsid w:val="002311EE"/>
    <w:rsid w:val="002328B1"/>
    <w:rsid w:val="00232F1B"/>
    <w:rsid w:val="002336A9"/>
    <w:rsid w:val="00233B98"/>
    <w:rsid w:val="002352A9"/>
    <w:rsid w:val="002370F5"/>
    <w:rsid w:val="00240ACA"/>
    <w:rsid w:val="00240D7B"/>
    <w:rsid w:val="00241299"/>
    <w:rsid w:val="00243308"/>
    <w:rsid w:val="00243DE6"/>
    <w:rsid w:val="00243F66"/>
    <w:rsid w:val="00246A9C"/>
    <w:rsid w:val="00253997"/>
    <w:rsid w:val="00254828"/>
    <w:rsid w:val="00255462"/>
    <w:rsid w:val="00257A44"/>
    <w:rsid w:val="00260957"/>
    <w:rsid w:val="00264646"/>
    <w:rsid w:val="00264BED"/>
    <w:rsid w:val="0026609B"/>
    <w:rsid w:val="00270E43"/>
    <w:rsid w:val="0027232D"/>
    <w:rsid w:val="002729E1"/>
    <w:rsid w:val="00274D0F"/>
    <w:rsid w:val="00277500"/>
    <w:rsid w:val="00281A5F"/>
    <w:rsid w:val="00282D3C"/>
    <w:rsid w:val="00286091"/>
    <w:rsid w:val="00291CD5"/>
    <w:rsid w:val="00291F68"/>
    <w:rsid w:val="00292B1D"/>
    <w:rsid w:val="00295E1D"/>
    <w:rsid w:val="002A0446"/>
    <w:rsid w:val="002A060A"/>
    <w:rsid w:val="002A2220"/>
    <w:rsid w:val="002A2F10"/>
    <w:rsid w:val="002A4450"/>
    <w:rsid w:val="002A4698"/>
    <w:rsid w:val="002A5608"/>
    <w:rsid w:val="002A6750"/>
    <w:rsid w:val="002B2296"/>
    <w:rsid w:val="002B2B09"/>
    <w:rsid w:val="002B4407"/>
    <w:rsid w:val="002B44BE"/>
    <w:rsid w:val="002B4A1B"/>
    <w:rsid w:val="002B67B7"/>
    <w:rsid w:val="002C0429"/>
    <w:rsid w:val="002C06EA"/>
    <w:rsid w:val="002C0F42"/>
    <w:rsid w:val="002C19E4"/>
    <w:rsid w:val="002C36B4"/>
    <w:rsid w:val="002C4ACC"/>
    <w:rsid w:val="002C6014"/>
    <w:rsid w:val="002C6CC4"/>
    <w:rsid w:val="002D139D"/>
    <w:rsid w:val="002D13C4"/>
    <w:rsid w:val="002D275E"/>
    <w:rsid w:val="002D335A"/>
    <w:rsid w:val="002D6357"/>
    <w:rsid w:val="002D7584"/>
    <w:rsid w:val="002E106D"/>
    <w:rsid w:val="002E27CE"/>
    <w:rsid w:val="002E3026"/>
    <w:rsid w:val="002E3BA6"/>
    <w:rsid w:val="002E3F06"/>
    <w:rsid w:val="002E6FFA"/>
    <w:rsid w:val="002E7F8F"/>
    <w:rsid w:val="002F3244"/>
    <w:rsid w:val="002F3F04"/>
    <w:rsid w:val="002F408F"/>
    <w:rsid w:val="002F41BA"/>
    <w:rsid w:val="002F6526"/>
    <w:rsid w:val="002F76F7"/>
    <w:rsid w:val="003018AA"/>
    <w:rsid w:val="00303060"/>
    <w:rsid w:val="00303B99"/>
    <w:rsid w:val="00303E43"/>
    <w:rsid w:val="00303F6B"/>
    <w:rsid w:val="00306753"/>
    <w:rsid w:val="0030714F"/>
    <w:rsid w:val="003073E2"/>
    <w:rsid w:val="00307DDF"/>
    <w:rsid w:val="00307F7A"/>
    <w:rsid w:val="0031381C"/>
    <w:rsid w:val="00314A43"/>
    <w:rsid w:val="00315ECF"/>
    <w:rsid w:val="00316CB2"/>
    <w:rsid w:val="00317F97"/>
    <w:rsid w:val="00322040"/>
    <w:rsid w:val="003240B8"/>
    <w:rsid w:val="00325201"/>
    <w:rsid w:val="00325422"/>
    <w:rsid w:val="00326830"/>
    <w:rsid w:val="00330CAB"/>
    <w:rsid w:val="003320BA"/>
    <w:rsid w:val="00332410"/>
    <w:rsid w:val="00333BCE"/>
    <w:rsid w:val="00333D3E"/>
    <w:rsid w:val="00333FDA"/>
    <w:rsid w:val="003340DE"/>
    <w:rsid w:val="00335D7E"/>
    <w:rsid w:val="0033722A"/>
    <w:rsid w:val="0033751D"/>
    <w:rsid w:val="00340594"/>
    <w:rsid w:val="00340D19"/>
    <w:rsid w:val="00341BD0"/>
    <w:rsid w:val="0034228E"/>
    <w:rsid w:val="00342744"/>
    <w:rsid w:val="00342DA5"/>
    <w:rsid w:val="00344804"/>
    <w:rsid w:val="003518C8"/>
    <w:rsid w:val="003533B5"/>
    <w:rsid w:val="00353DFB"/>
    <w:rsid w:val="0035666F"/>
    <w:rsid w:val="003622CA"/>
    <w:rsid w:val="00363030"/>
    <w:rsid w:val="0036462C"/>
    <w:rsid w:val="00364A42"/>
    <w:rsid w:val="00367790"/>
    <w:rsid w:val="00367D91"/>
    <w:rsid w:val="003727A3"/>
    <w:rsid w:val="00373660"/>
    <w:rsid w:val="003755FB"/>
    <w:rsid w:val="0037577C"/>
    <w:rsid w:val="00376E20"/>
    <w:rsid w:val="003829D5"/>
    <w:rsid w:val="0038301C"/>
    <w:rsid w:val="00385502"/>
    <w:rsid w:val="00391466"/>
    <w:rsid w:val="00391A43"/>
    <w:rsid w:val="003A1D81"/>
    <w:rsid w:val="003A20BC"/>
    <w:rsid w:val="003A28AA"/>
    <w:rsid w:val="003A2D88"/>
    <w:rsid w:val="003B0611"/>
    <w:rsid w:val="003B42D9"/>
    <w:rsid w:val="003B550C"/>
    <w:rsid w:val="003B7F82"/>
    <w:rsid w:val="003C15DE"/>
    <w:rsid w:val="003C2AF3"/>
    <w:rsid w:val="003C3140"/>
    <w:rsid w:val="003C3E02"/>
    <w:rsid w:val="003C3FE8"/>
    <w:rsid w:val="003C73F9"/>
    <w:rsid w:val="003D2AA5"/>
    <w:rsid w:val="003D2D9D"/>
    <w:rsid w:val="003D59B1"/>
    <w:rsid w:val="003D5F07"/>
    <w:rsid w:val="003D6AB5"/>
    <w:rsid w:val="003E3FF5"/>
    <w:rsid w:val="003E5354"/>
    <w:rsid w:val="003F0CF9"/>
    <w:rsid w:val="003F4D06"/>
    <w:rsid w:val="003F4D1E"/>
    <w:rsid w:val="003F51F4"/>
    <w:rsid w:val="003F52C6"/>
    <w:rsid w:val="003F558E"/>
    <w:rsid w:val="004031F0"/>
    <w:rsid w:val="00403D6E"/>
    <w:rsid w:val="00407AC0"/>
    <w:rsid w:val="00412E30"/>
    <w:rsid w:val="00412E50"/>
    <w:rsid w:val="0041491A"/>
    <w:rsid w:val="00414C0A"/>
    <w:rsid w:val="00415989"/>
    <w:rsid w:val="00415D7B"/>
    <w:rsid w:val="004170AF"/>
    <w:rsid w:val="00420D51"/>
    <w:rsid w:val="004213BD"/>
    <w:rsid w:val="0042387E"/>
    <w:rsid w:val="004310E9"/>
    <w:rsid w:val="00432BB7"/>
    <w:rsid w:val="004331E9"/>
    <w:rsid w:val="00433548"/>
    <w:rsid w:val="00433E8D"/>
    <w:rsid w:val="0043592C"/>
    <w:rsid w:val="004361B2"/>
    <w:rsid w:val="00436437"/>
    <w:rsid w:val="0043653E"/>
    <w:rsid w:val="0044077D"/>
    <w:rsid w:val="004411B9"/>
    <w:rsid w:val="00441207"/>
    <w:rsid w:val="004422CA"/>
    <w:rsid w:val="00443807"/>
    <w:rsid w:val="004442A5"/>
    <w:rsid w:val="004462F7"/>
    <w:rsid w:val="00447124"/>
    <w:rsid w:val="00453DD4"/>
    <w:rsid w:val="00456293"/>
    <w:rsid w:val="0046019D"/>
    <w:rsid w:val="00462A85"/>
    <w:rsid w:val="00464536"/>
    <w:rsid w:val="0046514E"/>
    <w:rsid w:val="00465C7D"/>
    <w:rsid w:val="0046623C"/>
    <w:rsid w:val="00467739"/>
    <w:rsid w:val="004709BA"/>
    <w:rsid w:val="00470D0C"/>
    <w:rsid w:val="004710DB"/>
    <w:rsid w:val="00472C48"/>
    <w:rsid w:val="004734E2"/>
    <w:rsid w:val="00474E22"/>
    <w:rsid w:val="0047608F"/>
    <w:rsid w:val="00476554"/>
    <w:rsid w:val="004813D4"/>
    <w:rsid w:val="00481777"/>
    <w:rsid w:val="00485434"/>
    <w:rsid w:val="004854CC"/>
    <w:rsid w:val="00491D91"/>
    <w:rsid w:val="004929B1"/>
    <w:rsid w:val="00493D28"/>
    <w:rsid w:val="0049580C"/>
    <w:rsid w:val="00496C66"/>
    <w:rsid w:val="00497616"/>
    <w:rsid w:val="0049768F"/>
    <w:rsid w:val="004A04E5"/>
    <w:rsid w:val="004A1495"/>
    <w:rsid w:val="004A2165"/>
    <w:rsid w:val="004A2B9B"/>
    <w:rsid w:val="004A5F74"/>
    <w:rsid w:val="004B088E"/>
    <w:rsid w:val="004B0D6A"/>
    <w:rsid w:val="004B1052"/>
    <w:rsid w:val="004B2D71"/>
    <w:rsid w:val="004B3D57"/>
    <w:rsid w:val="004B41A5"/>
    <w:rsid w:val="004B4C9E"/>
    <w:rsid w:val="004B6296"/>
    <w:rsid w:val="004B6B14"/>
    <w:rsid w:val="004C199E"/>
    <w:rsid w:val="004C3B5B"/>
    <w:rsid w:val="004C64A5"/>
    <w:rsid w:val="004C6848"/>
    <w:rsid w:val="004E1D60"/>
    <w:rsid w:val="004E2116"/>
    <w:rsid w:val="004E250E"/>
    <w:rsid w:val="004E47EC"/>
    <w:rsid w:val="004E4C95"/>
    <w:rsid w:val="004E514F"/>
    <w:rsid w:val="004E737F"/>
    <w:rsid w:val="004F03DE"/>
    <w:rsid w:val="004F09F8"/>
    <w:rsid w:val="004F1176"/>
    <w:rsid w:val="004F1CEC"/>
    <w:rsid w:val="004F22DA"/>
    <w:rsid w:val="004F2DD4"/>
    <w:rsid w:val="004F6AA6"/>
    <w:rsid w:val="00500048"/>
    <w:rsid w:val="00500615"/>
    <w:rsid w:val="00502165"/>
    <w:rsid w:val="00504829"/>
    <w:rsid w:val="00504834"/>
    <w:rsid w:val="00504C7A"/>
    <w:rsid w:val="00505AEE"/>
    <w:rsid w:val="0050632E"/>
    <w:rsid w:val="0050752D"/>
    <w:rsid w:val="00511EF3"/>
    <w:rsid w:val="00513A92"/>
    <w:rsid w:val="00513FE5"/>
    <w:rsid w:val="00514507"/>
    <w:rsid w:val="00515233"/>
    <w:rsid w:val="00517972"/>
    <w:rsid w:val="00521201"/>
    <w:rsid w:val="00521350"/>
    <w:rsid w:val="00521F7D"/>
    <w:rsid w:val="00523149"/>
    <w:rsid w:val="005232E6"/>
    <w:rsid w:val="00524B87"/>
    <w:rsid w:val="0052616E"/>
    <w:rsid w:val="00527D40"/>
    <w:rsid w:val="005351B9"/>
    <w:rsid w:val="00535A3F"/>
    <w:rsid w:val="00536011"/>
    <w:rsid w:val="00536528"/>
    <w:rsid w:val="00542E37"/>
    <w:rsid w:val="00543D77"/>
    <w:rsid w:val="00543F52"/>
    <w:rsid w:val="00544741"/>
    <w:rsid w:val="00544987"/>
    <w:rsid w:val="00544D2A"/>
    <w:rsid w:val="0054523D"/>
    <w:rsid w:val="0054679E"/>
    <w:rsid w:val="00550B79"/>
    <w:rsid w:val="0055150B"/>
    <w:rsid w:val="005532F9"/>
    <w:rsid w:val="005536F2"/>
    <w:rsid w:val="005537AD"/>
    <w:rsid w:val="0055440B"/>
    <w:rsid w:val="0055708D"/>
    <w:rsid w:val="005618A7"/>
    <w:rsid w:val="00561CA6"/>
    <w:rsid w:val="0056243C"/>
    <w:rsid w:val="00563E42"/>
    <w:rsid w:val="00564565"/>
    <w:rsid w:val="005647BE"/>
    <w:rsid w:val="00565CE4"/>
    <w:rsid w:val="00566299"/>
    <w:rsid w:val="00566784"/>
    <w:rsid w:val="00567EA7"/>
    <w:rsid w:val="005712D9"/>
    <w:rsid w:val="005725F6"/>
    <w:rsid w:val="005734A0"/>
    <w:rsid w:val="005801B1"/>
    <w:rsid w:val="005809A4"/>
    <w:rsid w:val="005866C9"/>
    <w:rsid w:val="00586817"/>
    <w:rsid w:val="00586D92"/>
    <w:rsid w:val="00587507"/>
    <w:rsid w:val="00587731"/>
    <w:rsid w:val="00595D6F"/>
    <w:rsid w:val="005960B1"/>
    <w:rsid w:val="005968FE"/>
    <w:rsid w:val="00596A0B"/>
    <w:rsid w:val="00596E05"/>
    <w:rsid w:val="00596F85"/>
    <w:rsid w:val="005970FA"/>
    <w:rsid w:val="00597ED1"/>
    <w:rsid w:val="005A0176"/>
    <w:rsid w:val="005A088E"/>
    <w:rsid w:val="005A2298"/>
    <w:rsid w:val="005A25F7"/>
    <w:rsid w:val="005A28C1"/>
    <w:rsid w:val="005A490C"/>
    <w:rsid w:val="005A693E"/>
    <w:rsid w:val="005A72FC"/>
    <w:rsid w:val="005A7D8B"/>
    <w:rsid w:val="005B0388"/>
    <w:rsid w:val="005B0439"/>
    <w:rsid w:val="005B109A"/>
    <w:rsid w:val="005C2FD5"/>
    <w:rsid w:val="005C5378"/>
    <w:rsid w:val="005C7A3A"/>
    <w:rsid w:val="005D1287"/>
    <w:rsid w:val="005D2196"/>
    <w:rsid w:val="005D2AB9"/>
    <w:rsid w:val="005D34E2"/>
    <w:rsid w:val="005D496E"/>
    <w:rsid w:val="005D59CE"/>
    <w:rsid w:val="005D7834"/>
    <w:rsid w:val="005D7C20"/>
    <w:rsid w:val="005E0EA0"/>
    <w:rsid w:val="005E1F7E"/>
    <w:rsid w:val="005E2DDC"/>
    <w:rsid w:val="005E40BE"/>
    <w:rsid w:val="005E4B58"/>
    <w:rsid w:val="005E6960"/>
    <w:rsid w:val="005E6A96"/>
    <w:rsid w:val="005E7EB8"/>
    <w:rsid w:val="005F18D6"/>
    <w:rsid w:val="005F34C1"/>
    <w:rsid w:val="005F52F4"/>
    <w:rsid w:val="005F75DE"/>
    <w:rsid w:val="00603024"/>
    <w:rsid w:val="006041CF"/>
    <w:rsid w:val="00604EC1"/>
    <w:rsid w:val="0060506E"/>
    <w:rsid w:val="00605C14"/>
    <w:rsid w:val="00606809"/>
    <w:rsid w:val="00606CE7"/>
    <w:rsid w:val="0061018B"/>
    <w:rsid w:val="00611103"/>
    <w:rsid w:val="006116E3"/>
    <w:rsid w:val="00612A75"/>
    <w:rsid w:val="00615192"/>
    <w:rsid w:val="0061595D"/>
    <w:rsid w:val="006225C3"/>
    <w:rsid w:val="00624400"/>
    <w:rsid w:val="00624E51"/>
    <w:rsid w:val="00625466"/>
    <w:rsid w:val="00626162"/>
    <w:rsid w:val="006313A2"/>
    <w:rsid w:val="006319E9"/>
    <w:rsid w:val="00631F6E"/>
    <w:rsid w:val="00633CBA"/>
    <w:rsid w:val="00634719"/>
    <w:rsid w:val="00635E69"/>
    <w:rsid w:val="00636112"/>
    <w:rsid w:val="006364CF"/>
    <w:rsid w:val="00637DB7"/>
    <w:rsid w:val="00646751"/>
    <w:rsid w:val="006503E8"/>
    <w:rsid w:val="00650D3B"/>
    <w:rsid w:val="0065412F"/>
    <w:rsid w:val="00654A4A"/>
    <w:rsid w:val="0065545A"/>
    <w:rsid w:val="00660581"/>
    <w:rsid w:val="006618D7"/>
    <w:rsid w:val="00662585"/>
    <w:rsid w:val="0066264D"/>
    <w:rsid w:val="006644EB"/>
    <w:rsid w:val="006661CF"/>
    <w:rsid w:val="00670BFD"/>
    <w:rsid w:val="00671E4C"/>
    <w:rsid w:val="00672E86"/>
    <w:rsid w:val="00673A25"/>
    <w:rsid w:val="00674295"/>
    <w:rsid w:val="00674AE5"/>
    <w:rsid w:val="00677453"/>
    <w:rsid w:val="0067776A"/>
    <w:rsid w:val="00680BBE"/>
    <w:rsid w:val="006818A8"/>
    <w:rsid w:val="00681A51"/>
    <w:rsid w:val="00682469"/>
    <w:rsid w:val="00683D97"/>
    <w:rsid w:val="006842E6"/>
    <w:rsid w:val="00684FCA"/>
    <w:rsid w:val="00685087"/>
    <w:rsid w:val="00686B5C"/>
    <w:rsid w:val="00693742"/>
    <w:rsid w:val="00694190"/>
    <w:rsid w:val="00696997"/>
    <w:rsid w:val="006A5899"/>
    <w:rsid w:val="006A758C"/>
    <w:rsid w:val="006A7B4D"/>
    <w:rsid w:val="006A7CCC"/>
    <w:rsid w:val="006A7D50"/>
    <w:rsid w:val="006B0C98"/>
    <w:rsid w:val="006B112B"/>
    <w:rsid w:val="006B5A35"/>
    <w:rsid w:val="006C1EEC"/>
    <w:rsid w:val="006C3FEA"/>
    <w:rsid w:val="006C65C6"/>
    <w:rsid w:val="006C69E7"/>
    <w:rsid w:val="006D01D2"/>
    <w:rsid w:val="006D07F6"/>
    <w:rsid w:val="006D10AE"/>
    <w:rsid w:val="006D29F2"/>
    <w:rsid w:val="006D437E"/>
    <w:rsid w:val="006D7CA2"/>
    <w:rsid w:val="006E065B"/>
    <w:rsid w:val="006E09D3"/>
    <w:rsid w:val="006E0F9A"/>
    <w:rsid w:val="006E1D15"/>
    <w:rsid w:val="006E1E6C"/>
    <w:rsid w:val="006E2FB7"/>
    <w:rsid w:val="006E407E"/>
    <w:rsid w:val="006E5505"/>
    <w:rsid w:val="006E5A14"/>
    <w:rsid w:val="006E6EEF"/>
    <w:rsid w:val="006F0968"/>
    <w:rsid w:val="006F11B1"/>
    <w:rsid w:val="006F1593"/>
    <w:rsid w:val="006F240A"/>
    <w:rsid w:val="006F2FB3"/>
    <w:rsid w:val="006F36C7"/>
    <w:rsid w:val="006F4B06"/>
    <w:rsid w:val="006F531B"/>
    <w:rsid w:val="006F62BC"/>
    <w:rsid w:val="006F7A12"/>
    <w:rsid w:val="0070026C"/>
    <w:rsid w:val="00701709"/>
    <w:rsid w:val="00702493"/>
    <w:rsid w:val="007026CC"/>
    <w:rsid w:val="00702FD2"/>
    <w:rsid w:val="0070407D"/>
    <w:rsid w:val="007063EF"/>
    <w:rsid w:val="00707108"/>
    <w:rsid w:val="00707158"/>
    <w:rsid w:val="0070719A"/>
    <w:rsid w:val="00711A34"/>
    <w:rsid w:val="00713899"/>
    <w:rsid w:val="00714F3B"/>
    <w:rsid w:val="007166F7"/>
    <w:rsid w:val="00716AEF"/>
    <w:rsid w:val="00717076"/>
    <w:rsid w:val="00717296"/>
    <w:rsid w:val="0071758A"/>
    <w:rsid w:val="00717F5B"/>
    <w:rsid w:val="00720497"/>
    <w:rsid w:val="00720FB5"/>
    <w:rsid w:val="0072724E"/>
    <w:rsid w:val="00727370"/>
    <w:rsid w:val="00730FAC"/>
    <w:rsid w:val="00731444"/>
    <w:rsid w:val="00732F41"/>
    <w:rsid w:val="0073488E"/>
    <w:rsid w:val="0073523F"/>
    <w:rsid w:val="00735D9E"/>
    <w:rsid w:val="0074109C"/>
    <w:rsid w:val="00742335"/>
    <w:rsid w:val="00742842"/>
    <w:rsid w:val="0074357F"/>
    <w:rsid w:val="00745281"/>
    <w:rsid w:val="00753376"/>
    <w:rsid w:val="007543B0"/>
    <w:rsid w:val="00754FFA"/>
    <w:rsid w:val="007568A9"/>
    <w:rsid w:val="007569A5"/>
    <w:rsid w:val="00761514"/>
    <w:rsid w:val="00761AF6"/>
    <w:rsid w:val="00763CE7"/>
    <w:rsid w:val="007653EF"/>
    <w:rsid w:val="007718C3"/>
    <w:rsid w:val="00772177"/>
    <w:rsid w:val="00775C65"/>
    <w:rsid w:val="0077639A"/>
    <w:rsid w:val="00777816"/>
    <w:rsid w:val="00780A2E"/>
    <w:rsid w:val="00780E67"/>
    <w:rsid w:val="0078100C"/>
    <w:rsid w:val="0078157F"/>
    <w:rsid w:val="00781BF4"/>
    <w:rsid w:val="007843C0"/>
    <w:rsid w:val="00784914"/>
    <w:rsid w:val="00785D96"/>
    <w:rsid w:val="00786F48"/>
    <w:rsid w:val="00787682"/>
    <w:rsid w:val="0078772C"/>
    <w:rsid w:val="007878E4"/>
    <w:rsid w:val="00790AF6"/>
    <w:rsid w:val="0079393B"/>
    <w:rsid w:val="00794770"/>
    <w:rsid w:val="00795885"/>
    <w:rsid w:val="007963BD"/>
    <w:rsid w:val="007A4783"/>
    <w:rsid w:val="007A5191"/>
    <w:rsid w:val="007A5264"/>
    <w:rsid w:val="007B0500"/>
    <w:rsid w:val="007B111B"/>
    <w:rsid w:val="007B32A4"/>
    <w:rsid w:val="007B3AE8"/>
    <w:rsid w:val="007B4418"/>
    <w:rsid w:val="007B578A"/>
    <w:rsid w:val="007B580E"/>
    <w:rsid w:val="007B59F3"/>
    <w:rsid w:val="007B5F62"/>
    <w:rsid w:val="007B66B3"/>
    <w:rsid w:val="007B7077"/>
    <w:rsid w:val="007B7E53"/>
    <w:rsid w:val="007C3003"/>
    <w:rsid w:val="007C6B60"/>
    <w:rsid w:val="007C6F85"/>
    <w:rsid w:val="007C70D3"/>
    <w:rsid w:val="007C7D83"/>
    <w:rsid w:val="007D3AA0"/>
    <w:rsid w:val="007D3FE2"/>
    <w:rsid w:val="007D5690"/>
    <w:rsid w:val="007D57F0"/>
    <w:rsid w:val="007D69FA"/>
    <w:rsid w:val="007E0723"/>
    <w:rsid w:val="007E1600"/>
    <w:rsid w:val="007E44D5"/>
    <w:rsid w:val="007E5516"/>
    <w:rsid w:val="007E7FF2"/>
    <w:rsid w:val="007F7220"/>
    <w:rsid w:val="007F7270"/>
    <w:rsid w:val="00802E4F"/>
    <w:rsid w:val="0080456F"/>
    <w:rsid w:val="00804BE4"/>
    <w:rsid w:val="0081056D"/>
    <w:rsid w:val="00810603"/>
    <w:rsid w:val="00814283"/>
    <w:rsid w:val="00816212"/>
    <w:rsid w:val="00820209"/>
    <w:rsid w:val="00820F35"/>
    <w:rsid w:val="00820FEC"/>
    <w:rsid w:val="008217D1"/>
    <w:rsid w:val="00822BAC"/>
    <w:rsid w:val="00822C6C"/>
    <w:rsid w:val="00822DAC"/>
    <w:rsid w:val="0082393D"/>
    <w:rsid w:val="00825AB9"/>
    <w:rsid w:val="008324C3"/>
    <w:rsid w:val="0083324D"/>
    <w:rsid w:val="008343AA"/>
    <w:rsid w:val="00841733"/>
    <w:rsid w:val="00844D38"/>
    <w:rsid w:val="00844D85"/>
    <w:rsid w:val="008462F7"/>
    <w:rsid w:val="00846F72"/>
    <w:rsid w:val="008524BE"/>
    <w:rsid w:val="00853BC2"/>
    <w:rsid w:val="00854278"/>
    <w:rsid w:val="00854E66"/>
    <w:rsid w:val="00856063"/>
    <w:rsid w:val="00857172"/>
    <w:rsid w:val="00861FE3"/>
    <w:rsid w:val="0086236A"/>
    <w:rsid w:val="00862C51"/>
    <w:rsid w:val="00863179"/>
    <w:rsid w:val="0087035A"/>
    <w:rsid w:val="0087265D"/>
    <w:rsid w:val="00872744"/>
    <w:rsid w:val="0087347D"/>
    <w:rsid w:val="008764C0"/>
    <w:rsid w:val="00880006"/>
    <w:rsid w:val="0088161D"/>
    <w:rsid w:val="00882DAD"/>
    <w:rsid w:val="00885263"/>
    <w:rsid w:val="00886305"/>
    <w:rsid w:val="00892DA5"/>
    <w:rsid w:val="0089318F"/>
    <w:rsid w:val="008932C4"/>
    <w:rsid w:val="008949B1"/>
    <w:rsid w:val="0089543E"/>
    <w:rsid w:val="0089654C"/>
    <w:rsid w:val="00896714"/>
    <w:rsid w:val="0089713E"/>
    <w:rsid w:val="00897664"/>
    <w:rsid w:val="008A0144"/>
    <w:rsid w:val="008A0150"/>
    <w:rsid w:val="008A10F3"/>
    <w:rsid w:val="008A48EA"/>
    <w:rsid w:val="008A5C0F"/>
    <w:rsid w:val="008A6559"/>
    <w:rsid w:val="008A65E1"/>
    <w:rsid w:val="008A6DE4"/>
    <w:rsid w:val="008A7D7C"/>
    <w:rsid w:val="008B1596"/>
    <w:rsid w:val="008B17DA"/>
    <w:rsid w:val="008B1A9D"/>
    <w:rsid w:val="008B5512"/>
    <w:rsid w:val="008B7B7A"/>
    <w:rsid w:val="008C09C4"/>
    <w:rsid w:val="008C15E5"/>
    <w:rsid w:val="008C1F44"/>
    <w:rsid w:val="008C646F"/>
    <w:rsid w:val="008D0397"/>
    <w:rsid w:val="008D629F"/>
    <w:rsid w:val="008D6D55"/>
    <w:rsid w:val="008E2D41"/>
    <w:rsid w:val="008E3E4B"/>
    <w:rsid w:val="008E4EF9"/>
    <w:rsid w:val="008E6DFC"/>
    <w:rsid w:val="008E7710"/>
    <w:rsid w:val="008E7F22"/>
    <w:rsid w:val="008F3ED3"/>
    <w:rsid w:val="008F58A1"/>
    <w:rsid w:val="009007E6"/>
    <w:rsid w:val="00900B53"/>
    <w:rsid w:val="00900D4D"/>
    <w:rsid w:val="00902552"/>
    <w:rsid w:val="00903F34"/>
    <w:rsid w:val="009052C0"/>
    <w:rsid w:val="00905511"/>
    <w:rsid w:val="00905C0A"/>
    <w:rsid w:val="00911DD1"/>
    <w:rsid w:val="009122F8"/>
    <w:rsid w:val="00915520"/>
    <w:rsid w:val="009155F7"/>
    <w:rsid w:val="00916D85"/>
    <w:rsid w:val="00917746"/>
    <w:rsid w:val="00921131"/>
    <w:rsid w:val="009247F5"/>
    <w:rsid w:val="00926AB2"/>
    <w:rsid w:val="00926DD2"/>
    <w:rsid w:val="0093009D"/>
    <w:rsid w:val="0093044D"/>
    <w:rsid w:val="00931436"/>
    <w:rsid w:val="00933582"/>
    <w:rsid w:val="00935ACA"/>
    <w:rsid w:val="00937411"/>
    <w:rsid w:val="00937C0A"/>
    <w:rsid w:val="009407FE"/>
    <w:rsid w:val="00942436"/>
    <w:rsid w:val="0094362B"/>
    <w:rsid w:val="0094378C"/>
    <w:rsid w:val="00943FA1"/>
    <w:rsid w:val="0094680F"/>
    <w:rsid w:val="00946F96"/>
    <w:rsid w:val="0095008A"/>
    <w:rsid w:val="00954073"/>
    <w:rsid w:val="009572CA"/>
    <w:rsid w:val="00957603"/>
    <w:rsid w:val="00957A1D"/>
    <w:rsid w:val="00957BC0"/>
    <w:rsid w:val="009610F6"/>
    <w:rsid w:val="0096487B"/>
    <w:rsid w:val="00964D13"/>
    <w:rsid w:val="009652C7"/>
    <w:rsid w:val="00965BA0"/>
    <w:rsid w:val="009705B7"/>
    <w:rsid w:val="00971523"/>
    <w:rsid w:val="00971E69"/>
    <w:rsid w:val="0097380C"/>
    <w:rsid w:val="009757D1"/>
    <w:rsid w:val="00975867"/>
    <w:rsid w:val="00980078"/>
    <w:rsid w:val="00980754"/>
    <w:rsid w:val="0098116B"/>
    <w:rsid w:val="00981535"/>
    <w:rsid w:val="009822CE"/>
    <w:rsid w:val="009825C8"/>
    <w:rsid w:val="0098409F"/>
    <w:rsid w:val="00985369"/>
    <w:rsid w:val="00985537"/>
    <w:rsid w:val="00985C87"/>
    <w:rsid w:val="00991698"/>
    <w:rsid w:val="00991C17"/>
    <w:rsid w:val="00992085"/>
    <w:rsid w:val="00992D1E"/>
    <w:rsid w:val="009952B6"/>
    <w:rsid w:val="00995CD0"/>
    <w:rsid w:val="00997EB2"/>
    <w:rsid w:val="009A0557"/>
    <w:rsid w:val="009A06F5"/>
    <w:rsid w:val="009A0788"/>
    <w:rsid w:val="009A0E92"/>
    <w:rsid w:val="009A115A"/>
    <w:rsid w:val="009A17EC"/>
    <w:rsid w:val="009A4DD0"/>
    <w:rsid w:val="009A5D8D"/>
    <w:rsid w:val="009A5EEA"/>
    <w:rsid w:val="009A77FE"/>
    <w:rsid w:val="009A7B94"/>
    <w:rsid w:val="009B03DF"/>
    <w:rsid w:val="009B0801"/>
    <w:rsid w:val="009B102D"/>
    <w:rsid w:val="009B403F"/>
    <w:rsid w:val="009B582B"/>
    <w:rsid w:val="009B6AF0"/>
    <w:rsid w:val="009C292D"/>
    <w:rsid w:val="009C3B33"/>
    <w:rsid w:val="009C5F0C"/>
    <w:rsid w:val="009C67C0"/>
    <w:rsid w:val="009D006D"/>
    <w:rsid w:val="009D0BFF"/>
    <w:rsid w:val="009D1035"/>
    <w:rsid w:val="009D13D0"/>
    <w:rsid w:val="009D1859"/>
    <w:rsid w:val="009D2068"/>
    <w:rsid w:val="009D7D33"/>
    <w:rsid w:val="009E2943"/>
    <w:rsid w:val="009E4DD4"/>
    <w:rsid w:val="009E4E3F"/>
    <w:rsid w:val="009E5FFB"/>
    <w:rsid w:val="009E698B"/>
    <w:rsid w:val="009E6B9C"/>
    <w:rsid w:val="009E7A9F"/>
    <w:rsid w:val="009F0DF0"/>
    <w:rsid w:val="009F1547"/>
    <w:rsid w:val="009F17CF"/>
    <w:rsid w:val="009F2078"/>
    <w:rsid w:val="009F4ABA"/>
    <w:rsid w:val="009F5E63"/>
    <w:rsid w:val="009F678C"/>
    <w:rsid w:val="00A0132E"/>
    <w:rsid w:val="00A02892"/>
    <w:rsid w:val="00A066AE"/>
    <w:rsid w:val="00A06FBE"/>
    <w:rsid w:val="00A10DD9"/>
    <w:rsid w:val="00A12C6B"/>
    <w:rsid w:val="00A13E89"/>
    <w:rsid w:val="00A14117"/>
    <w:rsid w:val="00A149FA"/>
    <w:rsid w:val="00A17DF0"/>
    <w:rsid w:val="00A20F78"/>
    <w:rsid w:val="00A218F1"/>
    <w:rsid w:val="00A221C6"/>
    <w:rsid w:val="00A251EE"/>
    <w:rsid w:val="00A25DEA"/>
    <w:rsid w:val="00A26278"/>
    <w:rsid w:val="00A27DEE"/>
    <w:rsid w:val="00A31B93"/>
    <w:rsid w:val="00A31C35"/>
    <w:rsid w:val="00A35537"/>
    <w:rsid w:val="00A375EF"/>
    <w:rsid w:val="00A414FB"/>
    <w:rsid w:val="00A45D72"/>
    <w:rsid w:val="00A528C2"/>
    <w:rsid w:val="00A52E15"/>
    <w:rsid w:val="00A544BE"/>
    <w:rsid w:val="00A54AFD"/>
    <w:rsid w:val="00A54E69"/>
    <w:rsid w:val="00A564A9"/>
    <w:rsid w:val="00A57FDA"/>
    <w:rsid w:val="00A61B06"/>
    <w:rsid w:val="00A62113"/>
    <w:rsid w:val="00A65C5F"/>
    <w:rsid w:val="00A6759C"/>
    <w:rsid w:val="00A677F2"/>
    <w:rsid w:val="00A67923"/>
    <w:rsid w:val="00A70273"/>
    <w:rsid w:val="00A713ED"/>
    <w:rsid w:val="00A714B8"/>
    <w:rsid w:val="00A71E28"/>
    <w:rsid w:val="00A72FFB"/>
    <w:rsid w:val="00A74901"/>
    <w:rsid w:val="00A75733"/>
    <w:rsid w:val="00A75AB3"/>
    <w:rsid w:val="00A76308"/>
    <w:rsid w:val="00A779E5"/>
    <w:rsid w:val="00A77AC4"/>
    <w:rsid w:val="00A77C08"/>
    <w:rsid w:val="00A80B8E"/>
    <w:rsid w:val="00A80BB0"/>
    <w:rsid w:val="00A80F07"/>
    <w:rsid w:val="00A81527"/>
    <w:rsid w:val="00A81C57"/>
    <w:rsid w:val="00A82058"/>
    <w:rsid w:val="00A84AE7"/>
    <w:rsid w:val="00A86624"/>
    <w:rsid w:val="00A869B0"/>
    <w:rsid w:val="00A90F89"/>
    <w:rsid w:val="00A9289F"/>
    <w:rsid w:val="00A92A19"/>
    <w:rsid w:val="00A92C1D"/>
    <w:rsid w:val="00A940F8"/>
    <w:rsid w:val="00A948F1"/>
    <w:rsid w:val="00A94EF6"/>
    <w:rsid w:val="00AA02AE"/>
    <w:rsid w:val="00AA0C77"/>
    <w:rsid w:val="00AA0F5A"/>
    <w:rsid w:val="00AA1D27"/>
    <w:rsid w:val="00AA204C"/>
    <w:rsid w:val="00AA2D57"/>
    <w:rsid w:val="00AA3941"/>
    <w:rsid w:val="00AA3F9B"/>
    <w:rsid w:val="00AA56D0"/>
    <w:rsid w:val="00AB0C9F"/>
    <w:rsid w:val="00AB143A"/>
    <w:rsid w:val="00AB3328"/>
    <w:rsid w:val="00AB4D76"/>
    <w:rsid w:val="00AB544A"/>
    <w:rsid w:val="00AB794B"/>
    <w:rsid w:val="00AC003C"/>
    <w:rsid w:val="00AC0103"/>
    <w:rsid w:val="00AC1404"/>
    <w:rsid w:val="00AC18C1"/>
    <w:rsid w:val="00AC1E2C"/>
    <w:rsid w:val="00AC2C4C"/>
    <w:rsid w:val="00AD039F"/>
    <w:rsid w:val="00AD3902"/>
    <w:rsid w:val="00AD52D8"/>
    <w:rsid w:val="00AD6010"/>
    <w:rsid w:val="00AD783D"/>
    <w:rsid w:val="00AE150C"/>
    <w:rsid w:val="00AE33FF"/>
    <w:rsid w:val="00AE4A5D"/>
    <w:rsid w:val="00AF06D5"/>
    <w:rsid w:val="00AF09DD"/>
    <w:rsid w:val="00AF0A88"/>
    <w:rsid w:val="00AF34AF"/>
    <w:rsid w:val="00B01E01"/>
    <w:rsid w:val="00B02655"/>
    <w:rsid w:val="00B03D52"/>
    <w:rsid w:val="00B0494C"/>
    <w:rsid w:val="00B05102"/>
    <w:rsid w:val="00B056F8"/>
    <w:rsid w:val="00B06BD7"/>
    <w:rsid w:val="00B10030"/>
    <w:rsid w:val="00B126CB"/>
    <w:rsid w:val="00B13DDF"/>
    <w:rsid w:val="00B16A34"/>
    <w:rsid w:val="00B21EF3"/>
    <w:rsid w:val="00B22467"/>
    <w:rsid w:val="00B227F0"/>
    <w:rsid w:val="00B22B0A"/>
    <w:rsid w:val="00B25453"/>
    <w:rsid w:val="00B27007"/>
    <w:rsid w:val="00B27749"/>
    <w:rsid w:val="00B30EFF"/>
    <w:rsid w:val="00B314FA"/>
    <w:rsid w:val="00B31B9C"/>
    <w:rsid w:val="00B32F00"/>
    <w:rsid w:val="00B332A7"/>
    <w:rsid w:val="00B333E9"/>
    <w:rsid w:val="00B33E7F"/>
    <w:rsid w:val="00B34D6C"/>
    <w:rsid w:val="00B40CC4"/>
    <w:rsid w:val="00B43FC6"/>
    <w:rsid w:val="00B45143"/>
    <w:rsid w:val="00B46C2D"/>
    <w:rsid w:val="00B47CA3"/>
    <w:rsid w:val="00B50803"/>
    <w:rsid w:val="00B50838"/>
    <w:rsid w:val="00B5522B"/>
    <w:rsid w:val="00B5544F"/>
    <w:rsid w:val="00B55E5D"/>
    <w:rsid w:val="00B5665B"/>
    <w:rsid w:val="00B60A36"/>
    <w:rsid w:val="00B64B96"/>
    <w:rsid w:val="00B66867"/>
    <w:rsid w:val="00B66994"/>
    <w:rsid w:val="00B71AFB"/>
    <w:rsid w:val="00B71F3A"/>
    <w:rsid w:val="00B73C97"/>
    <w:rsid w:val="00B759FF"/>
    <w:rsid w:val="00B76340"/>
    <w:rsid w:val="00B77CD2"/>
    <w:rsid w:val="00B809F5"/>
    <w:rsid w:val="00B80C43"/>
    <w:rsid w:val="00B83AB8"/>
    <w:rsid w:val="00B876D8"/>
    <w:rsid w:val="00B90AE3"/>
    <w:rsid w:val="00B9130C"/>
    <w:rsid w:val="00B935D2"/>
    <w:rsid w:val="00B94786"/>
    <w:rsid w:val="00B97464"/>
    <w:rsid w:val="00BA78B6"/>
    <w:rsid w:val="00BB0B98"/>
    <w:rsid w:val="00BB26AD"/>
    <w:rsid w:val="00BB2905"/>
    <w:rsid w:val="00BB30F6"/>
    <w:rsid w:val="00BB59B4"/>
    <w:rsid w:val="00BB79BD"/>
    <w:rsid w:val="00BC0707"/>
    <w:rsid w:val="00BC081F"/>
    <w:rsid w:val="00BC116B"/>
    <w:rsid w:val="00BC38CC"/>
    <w:rsid w:val="00BC44AB"/>
    <w:rsid w:val="00BC7208"/>
    <w:rsid w:val="00BC7B4D"/>
    <w:rsid w:val="00BD0B48"/>
    <w:rsid w:val="00BD0FC0"/>
    <w:rsid w:val="00BD2A0A"/>
    <w:rsid w:val="00BD3C06"/>
    <w:rsid w:val="00BD5075"/>
    <w:rsid w:val="00BD5D0F"/>
    <w:rsid w:val="00BD7467"/>
    <w:rsid w:val="00BD7C68"/>
    <w:rsid w:val="00BE0027"/>
    <w:rsid w:val="00BE1298"/>
    <w:rsid w:val="00BE1CBC"/>
    <w:rsid w:val="00BE247D"/>
    <w:rsid w:val="00BE29DC"/>
    <w:rsid w:val="00BE6D05"/>
    <w:rsid w:val="00BE7894"/>
    <w:rsid w:val="00BF1383"/>
    <w:rsid w:val="00BF697A"/>
    <w:rsid w:val="00BF6ADB"/>
    <w:rsid w:val="00C01FFB"/>
    <w:rsid w:val="00C03776"/>
    <w:rsid w:val="00C0600E"/>
    <w:rsid w:val="00C10E14"/>
    <w:rsid w:val="00C12DD5"/>
    <w:rsid w:val="00C13806"/>
    <w:rsid w:val="00C13821"/>
    <w:rsid w:val="00C14051"/>
    <w:rsid w:val="00C15F73"/>
    <w:rsid w:val="00C2037B"/>
    <w:rsid w:val="00C21705"/>
    <w:rsid w:val="00C220B8"/>
    <w:rsid w:val="00C22FF7"/>
    <w:rsid w:val="00C24E7B"/>
    <w:rsid w:val="00C2669D"/>
    <w:rsid w:val="00C279BE"/>
    <w:rsid w:val="00C27C6A"/>
    <w:rsid w:val="00C27F76"/>
    <w:rsid w:val="00C30DA4"/>
    <w:rsid w:val="00C31B15"/>
    <w:rsid w:val="00C31E6F"/>
    <w:rsid w:val="00C32014"/>
    <w:rsid w:val="00C417D8"/>
    <w:rsid w:val="00C4283B"/>
    <w:rsid w:val="00C43C29"/>
    <w:rsid w:val="00C44719"/>
    <w:rsid w:val="00C45421"/>
    <w:rsid w:val="00C50108"/>
    <w:rsid w:val="00C50FFC"/>
    <w:rsid w:val="00C5157F"/>
    <w:rsid w:val="00C5574E"/>
    <w:rsid w:val="00C6479F"/>
    <w:rsid w:val="00C64D57"/>
    <w:rsid w:val="00C6572C"/>
    <w:rsid w:val="00C66D20"/>
    <w:rsid w:val="00C70CFF"/>
    <w:rsid w:val="00C71328"/>
    <w:rsid w:val="00C72250"/>
    <w:rsid w:val="00C73FB4"/>
    <w:rsid w:val="00C743AF"/>
    <w:rsid w:val="00C75655"/>
    <w:rsid w:val="00C75F01"/>
    <w:rsid w:val="00C80A0F"/>
    <w:rsid w:val="00C8131C"/>
    <w:rsid w:val="00C837C3"/>
    <w:rsid w:val="00C8409E"/>
    <w:rsid w:val="00C84497"/>
    <w:rsid w:val="00C846EC"/>
    <w:rsid w:val="00C850DD"/>
    <w:rsid w:val="00C863A9"/>
    <w:rsid w:val="00C868F6"/>
    <w:rsid w:val="00C91021"/>
    <w:rsid w:val="00C9137C"/>
    <w:rsid w:val="00C91644"/>
    <w:rsid w:val="00C9663B"/>
    <w:rsid w:val="00CA4272"/>
    <w:rsid w:val="00CA43A5"/>
    <w:rsid w:val="00CA714B"/>
    <w:rsid w:val="00CA7C0B"/>
    <w:rsid w:val="00CB00C6"/>
    <w:rsid w:val="00CB05BA"/>
    <w:rsid w:val="00CB152A"/>
    <w:rsid w:val="00CB1CC7"/>
    <w:rsid w:val="00CB1DEC"/>
    <w:rsid w:val="00CB1E55"/>
    <w:rsid w:val="00CB6E2B"/>
    <w:rsid w:val="00CB6FF7"/>
    <w:rsid w:val="00CB7302"/>
    <w:rsid w:val="00CC13EE"/>
    <w:rsid w:val="00CC1E9F"/>
    <w:rsid w:val="00CC1F79"/>
    <w:rsid w:val="00CC3EB7"/>
    <w:rsid w:val="00CC3EEF"/>
    <w:rsid w:val="00CC5896"/>
    <w:rsid w:val="00CC68BA"/>
    <w:rsid w:val="00CD585E"/>
    <w:rsid w:val="00CE0C35"/>
    <w:rsid w:val="00CE3810"/>
    <w:rsid w:val="00CE3A7A"/>
    <w:rsid w:val="00CE40A8"/>
    <w:rsid w:val="00CE506D"/>
    <w:rsid w:val="00CE52B4"/>
    <w:rsid w:val="00CE5DCD"/>
    <w:rsid w:val="00CE701C"/>
    <w:rsid w:val="00CE7599"/>
    <w:rsid w:val="00CF1D0B"/>
    <w:rsid w:val="00CF1E23"/>
    <w:rsid w:val="00CF252E"/>
    <w:rsid w:val="00CF414A"/>
    <w:rsid w:val="00CF4FF0"/>
    <w:rsid w:val="00CF5B47"/>
    <w:rsid w:val="00CF6B06"/>
    <w:rsid w:val="00D017FB"/>
    <w:rsid w:val="00D02D71"/>
    <w:rsid w:val="00D02DA7"/>
    <w:rsid w:val="00D06670"/>
    <w:rsid w:val="00D07214"/>
    <w:rsid w:val="00D104F9"/>
    <w:rsid w:val="00D10D3B"/>
    <w:rsid w:val="00D1250A"/>
    <w:rsid w:val="00D14323"/>
    <w:rsid w:val="00D159FD"/>
    <w:rsid w:val="00D15C8D"/>
    <w:rsid w:val="00D16008"/>
    <w:rsid w:val="00D162BF"/>
    <w:rsid w:val="00D166D4"/>
    <w:rsid w:val="00D166F5"/>
    <w:rsid w:val="00D2237A"/>
    <w:rsid w:val="00D26516"/>
    <w:rsid w:val="00D30254"/>
    <w:rsid w:val="00D33768"/>
    <w:rsid w:val="00D33D87"/>
    <w:rsid w:val="00D3438D"/>
    <w:rsid w:val="00D35077"/>
    <w:rsid w:val="00D356A9"/>
    <w:rsid w:val="00D35A6E"/>
    <w:rsid w:val="00D3686D"/>
    <w:rsid w:val="00D408A8"/>
    <w:rsid w:val="00D4111B"/>
    <w:rsid w:val="00D46DAE"/>
    <w:rsid w:val="00D51B6B"/>
    <w:rsid w:val="00D51C8F"/>
    <w:rsid w:val="00D5204B"/>
    <w:rsid w:val="00D54857"/>
    <w:rsid w:val="00D54C10"/>
    <w:rsid w:val="00D55191"/>
    <w:rsid w:val="00D55CD0"/>
    <w:rsid w:val="00D56443"/>
    <w:rsid w:val="00D56726"/>
    <w:rsid w:val="00D57544"/>
    <w:rsid w:val="00D57973"/>
    <w:rsid w:val="00D60CE2"/>
    <w:rsid w:val="00D612EC"/>
    <w:rsid w:val="00D6153E"/>
    <w:rsid w:val="00D623C4"/>
    <w:rsid w:val="00D65797"/>
    <w:rsid w:val="00D722DF"/>
    <w:rsid w:val="00D72A40"/>
    <w:rsid w:val="00D75A48"/>
    <w:rsid w:val="00D75CB2"/>
    <w:rsid w:val="00D77451"/>
    <w:rsid w:val="00D82213"/>
    <w:rsid w:val="00D84675"/>
    <w:rsid w:val="00D8526A"/>
    <w:rsid w:val="00D858C0"/>
    <w:rsid w:val="00D85EEE"/>
    <w:rsid w:val="00D86252"/>
    <w:rsid w:val="00D91127"/>
    <w:rsid w:val="00D917F3"/>
    <w:rsid w:val="00D9660C"/>
    <w:rsid w:val="00D97BAA"/>
    <w:rsid w:val="00D97F55"/>
    <w:rsid w:val="00DA152C"/>
    <w:rsid w:val="00DA3AF3"/>
    <w:rsid w:val="00DA4401"/>
    <w:rsid w:val="00DA474B"/>
    <w:rsid w:val="00DA5455"/>
    <w:rsid w:val="00DA5C2B"/>
    <w:rsid w:val="00DA7600"/>
    <w:rsid w:val="00DA78E2"/>
    <w:rsid w:val="00DB5EFB"/>
    <w:rsid w:val="00DB6EF1"/>
    <w:rsid w:val="00DC08A4"/>
    <w:rsid w:val="00DC0E13"/>
    <w:rsid w:val="00DC19BB"/>
    <w:rsid w:val="00DC459A"/>
    <w:rsid w:val="00DC50E6"/>
    <w:rsid w:val="00DC6404"/>
    <w:rsid w:val="00DC6750"/>
    <w:rsid w:val="00DD2CE0"/>
    <w:rsid w:val="00DD3078"/>
    <w:rsid w:val="00DD6E58"/>
    <w:rsid w:val="00DD7FDF"/>
    <w:rsid w:val="00DE04BB"/>
    <w:rsid w:val="00DE1703"/>
    <w:rsid w:val="00DE1F96"/>
    <w:rsid w:val="00DE25AC"/>
    <w:rsid w:val="00DE3FC2"/>
    <w:rsid w:val="00DE4C1F"/>
    <w:rsid w:val="00DF3109"/>
    <w:rsid w:val="00DF568D"/>
    <w:rsid w:val="00DF7C0B"/>
    <w:rsid w:val="00DF7C1E"/>
    <w:rsid w:val="00E00CCB"/>
    <w:rsid w:val="00E01F72"/>
    <w:rsid w:val="00E042C7"/>
    <w:rsid w:val="00E05B33"/>
    <w:rsid w:val="00E06690"/>
    <w:rsid w:val="00E0781A"/>
    <w:rsid w:val="00E10240"/>
    <w:rsid w:val="00E11475"/>
    <w:rsid w:val="00E138D3"/>
    <w:rsid w:val="00E13AC5"/>
    <w:rsid w:val="00E1412B"/>
    <w:rsid w:val="00E14612"/>
    <w:rsid w:val="00E17555"/>
    <w:rsid w:val="00E175A7"/>
    <w:rsid w:val="00E20168"/>
    <w:rsid w:val="00E20740"/>
    <w:rsid w:val="00E207E3"/>
    <w:rsid w:val="00E20E92"/>
    <w:rsid w:val="00E240BA"/>
    <w:rsid w:val="00E24324"/>
    <w:rsid w:val="00E245DA"/>
    <w:rsid w:val="00E24645"/>
    <w:rsid w:val="00E24B51"/>
    <w:rsid w:val="00E25DD2"/>
    <w:rsid w:val="00E2684B"/>
    <w:rsid w:val="00E31BCB"/>
    <w:rsid w:val="00E320EE"/>
    <w:rsid w:val="00E32963"/>
    <w:rsid w:val="00E337BC"/>
    <w:rsid w:val="00E33D92"/>
    <w:rsid w:val="00E34428"/>
    <w:rsid w:val="00E350CD"/>
    <w:rsid w:val="00E372A9"/>
    <w:rsid w:val="00E37A78"/>
    <w:rsid w:val="00E4001B"/>
    <w:rsid w:val="00E406A2"/>
    <w:rsid w:val="00E40FEA"/>
    <w:rsid w:val="00E413C7"/>
    <w:rsid w:val="00E4226A"/>
    <w:rsid w:val="00E431E5"/>
    <w:rsid w:val="00E4367E"/>
    <w:rsid w:val="00E45269"/>
    <w:rsid w:val="00E51FDE"/>
    <w:rsid w:val="00E52705"/>
    <w:rsid w:val="00E5300F"/>
    <w:rsid w:val="00E534B2"/>
    <w:rsid w:val="00E56B66"/>
    <w:rsid w:val="00E579AF"/>
    <w:rsid w:val="00E60ADC"/>
    <w:rsid w:val="00E60EDA"/>
    <w:rsid w:val="00E62CA9"/>
    <w:rsid w:val="00E64E69"/>
    <w:rsid w:val="00E65153"/>
    <w:rsid w:val="00E654EF"/>
    <w:rsid w:val="00E67ACF"/>
    <w:rsid w:val="00E705B7"/>
    <w:rsid w:val="00E7086E"/>
    <w:rsid w:val="00E70ECC"/>
    <w:rsid w:val="00E71A89"/>
    <w:rsid w:val="00E75579"/>
    <w:rsid w:val="00E7657C"/>
    <w:rsid w:val="00E77197"/>
    <w:rsid w:val="00E772AA"/>
    <w:rsid w:val="00E817CD"/>
    <w:rsid w:val="00E81B1A"/>
    <w:rsid w:val="00E8428F"/>
    <w:rsid w:val="00E84FB3"/>
    <w:rsid w:val="00E87037"/>
    <w:rsid w:val="00E91EB2"/>
    <w:rsid w:val="00EA0F03"/>
    <w:rsid w:val="00EA0F9C"/>
    <w:rsid w:val="00EA1EF9"/>
    <w:rsid w:val="00EA2CA0"/>
    <w:rsid w:val="00EA6AC4"/>
    <w:rsid w:val="00EA7237"/>
    <w:rsid w:val="00EB055B"/>
    <w:rsid w:val="00EB112A"/>
    <w:rsid w:val="00EB1ADF"/>
    <w:rsid w:val="00EB550F"/>
    <w:rsid w:val="00EC1212"/>
    <w:rsid w:val="00EC1D3D"/>
    <w:rsid w:val="00EC3331"/>
    <w:rsid w:val="00EC677E"/>
    <w:rsid w:val="00EC6E8B"/>
    <w:rsid w:val="00EC7636"/>
    <w:rsid w:val="00EC7E67"/>
    <w:rsid w:val="00ED2B4C"/>
    <w:rsid w:val="00ED3689"/>
    <w:rsid w:val="00ED455A"/>
    <w:rsid w:val="00ED5B5C"/>
    <w:rsid w:val="00ED70BD"/>
    <w:rsid w:val="00EE0B3E"/>
    <w:rsid w:val="00EE2B65"/>
    <w:rsid w:val="00EE37BB"/>
    <w:rsid w:val="00EE3A32"/>
    <w:rsid w:val="00EE52B0"/>
    <w:rsid w:val="00EE5BF3"/>
    <w:rsid w:val="00EF08EC"/>
    <w:rsid w:val="00EF152F"/>
    <w:rsid w:val="00EF1694"/>
    <w:rsid w:val="00EF4099"/>
    <w:rsid w:val="00EF6BDC"/>
    <w:rsid w:val="00EF6F4F"/>
    <w:rsid w:val="00EF7BC9"/>
    <w:rsid w:val="00F01C4C"/>
    <w:rsid w:val="00F02786"/>
    <w:rsid w:val="00F0434F"/>
    <w:rsid w:val="00F0589A"/>
    <w:rsid w:val="00F0670F"/>
    <w:rsid w:val="00F07FA6"/>
    <w:rsid w:val="00F10DFD"/>
    <w:rsid w:val="00F11BB3"/>
    <w:rsid w:val="00F12E3C"/>
    <w:rsid w:val="00F13036"/>
    <w:rsid w:val="00F150D0"/>
    <w:rsid w:val="00F21D1A"/>
    <w:rsid w:val="00F22865"/>
    <w:rsid w:val="00F24D75"/>
    <w:rsid w:val="00F25122"/>
    <w:rsid w:val="00F25D7F"/>
    <w:rsid w:val="00F261E3"/>
    <w:rsid w:val="00F30EFD"/>
    <w:rsid w:val="00F34B2F"/>
    <w:rsid w:val="00F34F33"/>
    <w:rsid w:val="00F36D1F"/>
    <w:rsid w:val="00F3769E"/>
    <w:rsid w:val="00F37DFA"/>
    <w:rsid w:val="00F40F06"/>
    <w:rsid w:val="00F42669"/>
    <w:rsid w:val="00F4749B"/>
    <w:rsid w:val="00F5145B"/>
    <w:rsid w:val="00F514FB"/>
    <w:rsid w:val="00F5254D"/>
    <w:rsid w:val="00F52688"/>
    <w:rsid w:val="00F546EE"/>
    <w:rsid w:val="00F5503D"/>
    <w:rsid w:val="00F56B61"/>
    <w:rsid w:val="00F56CE9"/>
    <w:rsid w:val="00F61151"/>
    <w:rsid w:val="00F640E1"/>
    <w:rsid w:val="00F64ECA"/>
    <w:rsid w:val="00F64ECE"/>
    <w:rsid w:val="00F66116"/>
    <w:rsid w:val="00F67B6E"/>
    <w:rsid w:val="00F76750"/>
    <w:rsid w:val="00F77765"/>
    <w:rsid w:val="00F7785E"/>
    <w:rsid w:val="00F77EC3"/>
    <w:rsid w:val="00F848CB"/>
    <w:rsid w:val="00F85104"/>
    <w:rsid w:val="00F85E98"/>
    <w:rsid w:val="00F879C1"/>
    <w:rsid w:val="00F90AE7"/>
    <w:rsid w:val="00F90C7B"/>
    <w:rsid w:val="00F91A9D"/>
    <w:rsid w:val="00F92EB5"/>
    <w:rsid w:val="00F958B0"/>
    <w:rsid w:val="00FA080E"/>
    <w:rsid w:val="00FA7C8B"/>
    <w:rsid w:val="00FB0249"/>
    <w:rsid w:val="00FB498C"/>
    <w:rsid w:val="00FB64CF"/>
    <w:rsid w:val="00FB793A"/>
    <w:rsid w:val="00FC015F"/>
    <w:rsid w:val="00FC11FF"/>
    <w:rsid w:val="00FC4BF9"/>
    <w:rsid w:val="00FC5915"/>
    <w:rsid w:val="00FC5D6D"/>
    <w:rsid w:val="00FC6F7C"/>
    <w:rsid w:val="00FD3058"/>
    <w:rsid w:val="00FD3149"/>
    <w:rsid w:val="00FD31A5"/>
    <w:rsid w:val="00FD323B"/>
    <w:rsid w:val="00FD3643"/>
    <w:rsid w:val="00FD368B"/>
    <w:rsid w:val="00FD6657"/>
    <w:rsid w:val="00FE49CF"/>
    <w:rsid w:val="00FE5DD4"/>
    <w:rsid w:val="00FF0BBF"/>
    <w:rsid w:val="00FF1A54"/>
    <w:rsid w:val="00FF45F3"/>
    <w:rsid w:val="00FF5EC8"/>
    <w:rsid w:val="00FF7D34"/>
    <w:rsid w:val="00FF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7AF0"/>
  <w15:docId w15:val="{34AAD5CF-E234-48B5-884C-5771C392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semiHidden/>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customStyle="1" w:styleId="ParaTab1">
    <w:name w:val="ParaTab 1"/>
    <w:rsid w:val="00000DE4"/>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497616"/>
    <w:pPr>
      <w:ind w:left="720"/>
      <w:contextualSpacing/>
    </w:pPr>
  </w:style>
  <w:style w:type="paragraph" w:styleId="Header">
    <w:name w:val="header"/>
    <w:basedOn w:val="Normal"/>
    <w:link w:val="HeaderChar"/>
    <w:uiPriority w:val="99"/>
    <w:unhideWhenUsed/>
    <w:rsid w:val="00515233"/>
    <w:pPr>
      <w:tabs>
        <w:tab w:val="center" w:pos="4680"/>
        <w:tab w:val="right" w:pos="9360"/>
      </w:tabs>
    </w:pPr>
  </w:style>
  <w:style w:type="character" w:customStyle="1" w:styleId="HeaderChar">
    <w:name w:val="Header Char"/>
    <w:basedOn w:val="DefaultParagraphFont"/>
    <w:link w:val="Header"/>
    <w:uiPriority w:val="99"/>
    <w:rsid w:val="0051523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15233"/>
    <w:pPr>
      <w:tabs>
        <w:tab w:val="center" w:pos="4680"/>
        <w:tab w:val="right" w:pos="9360"/>
      </w:tabs>
    </w:pPr>
  </w:style>
  <w:style w:type="character" w:customStyle="1" w:styleId="FooterChar">
    <w:name w:val="Footer Char"/>
    <w:basedOn w:val="DefaultParagraphFont"/>
    <w:link w:val="Footer"/>
    <w:uiPriority w:val="99"/>
    <w:rsid w:val="00515233"/>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A90F89"/>
    <w:rPr>
      <w:sz w:val="16"/>
      <w:szCs w:val="16"/>
    </w:rPr>
  </w:style>
  <w:style w:type="paragraph" w:styleId="CommentText">
    <w:name w:val="annotation text"/>
    <w:basedOn w:val="Normal"/>
    <w:link w:val="CommentTextChar"/>
    <w:uiPriority w:val="99"/>
    <w:semiHidden/>
    <w:unhideWhenUsed/>
    <w:rsid w:val="00A90F89"/>
  </w:style>
  <w:style w:type="character" w:customStyle="1" w:styleId="CommentTextChar">
    <w:name w:val="Comment Text Char"/>
    <w:basedOn w:val="DefaultParagraphFont"/>
    <w:link w:val="CommentText"/>
    <w:uiPriority w:val="99"/>
    <w:semiHidden/>
    <w:rsid w:val="00A90F8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0F89"/>
    <w:rPr>
      <w:b/>
      <w:bCs/>
    </w:rPr>
  </w:style>
  <w:style w:type="character" w:customStyle="1" w:styleId="CommentSubjectChar">
    <w:name w:val="Comment Subject Char"/>
    <w:basedOn w:val="CommentTextChar"/>
    <w:link w:val="CommentSubject"/>
    <w:uiPriority w:val="99"/>
    <w:semiHidden/>
    <w:rsid w:val="00A90F89"/>
    <w:rPr>
      <w:rFonts w:ascii="Times New Roman" w:eastAsia="Times New Roman" w:hAnsi="Times New Roman" w:cs="Times New Roman"/>
      <w:b/>
      <w:bCs/>
      <w:sz w:val="20"/>
      <w:szCs w:val="20"/>
    </w:rPr>
  </w:style>
  <w:style w:type="character" w:customStyle="1" w:styleId="pmterms11">
    <w:name w:val="pmterms11"/>
    <w:basedOn w:val="DefaultParagraphFont"/>
    <w:rsid w:val="00152A2B"/>
    <w:rPr>
      <w:b/>
      <w:bCs/>
      <w:i w:val="0"/>
      <w:iCs w:val="0"/>
      <w:color w:val="000000"/>
    </w:rPr>
  </w:style>
  <w:style w:type="paragraph" w:styleId="FootnoteText">
    <w:name w:val="footnote text"/>
    <w:basedOn w:val="Normal"/>
    <w:link w:val="FootnoteTextChar"/>
    <w:uiPriority w:val="99"/>
    <w:unhideWhenUsed/>
    <w:rsid w:val="00B333E9"/>
  </w:style>
  <w:style w:type="character" w:customStyle="1" w:styleId="FootnoteTextChar">
    <w:name w:val="Footnote Text Char"/>
    <w:basedOn w:val="DefaultParagraphFont"/>
    <w:link w:val="FootnoteText"/>
    <w:uiPriority w:val="99"/>
    <w:rsid w:val="00B333E9"/>
    <w:rPr>
      <w:rFonts w:ascii="Times New Roman" w:eastAsia="Times New Roman" w:hAnsi="Times New Roman" w:cs="Times New Roman"/>
      <w:sz w:val="20"/>
      <w:szCs w:val="20"/>
    </w:rPr>
  </w:style>
  <w:style w:type="paragraph" w:styleId="Revision">
    <w:name w:val="Revision"/>
    <w:hidden/>
    <w:uiPriority w:val="99"/>
    <w:semiHidden/>
    <w:rsid w:val="00911DD1"/>
    <w:pPr>
      <w:spacing w:after="0" w:line="240" w:lineRule="auto"/>
    </w:pPr>
    <w:rPr>
      <w:rFonts w:ascii="Times New Roman" w:eastAsia="Times New Roman" w:hAnsi="Times New Roman" w:cs="Times New Roman"/>
      <w:sz w:val="20"/>
      <w:szCs w:val="20"/>
    </w:rPr>
  </w:style>
  <w:style w:type="paragraph" w:styleId="BodyText">
    <w:name w:val="Body Text"/>
    <w:basedOn w:val="Normal"/>
    <w:link w:val="BodyTextChar"/>
    <w:rsid w:val="002C36B4"/>
    <w:pPr>
      <w:widowControl/>
      <w:tabs>
        <w:tab w:val="left" w:pos="-1440"/>
        <w:tab w:val="left" w:pos="-720"/>
        <w:tab w:val="left" w:pos="0"/>
        <w:tab w:val="left" w:pos="720"/>
        <w:tab w:val="left" w:pos="1440"/>
      </w:tabs>
      <w:spacing w:line="480" w:lineRule="auto"/>
      <w:jc w:val="both"/>
    </w:pPr>
    <w:rPr>
      <w:sz w:val="24"/>
    </w:rPr>
  </w:style>
  <w:style w:type="character" w:customStyle="1" w:styleId="BodyTextChar">
    <w:name w:val="Body Text Char"/>
    <w:basedOn w:val="DefaultParagraphFont"/>
    <w:link w:val="BodyText"/>
    <w:rsid w:val="002C36B4"/>
    <w:rPr>
      <w:rFonts w:ascii="Times New Roman" w:eastAsia="Times New Roman" w:hAnsi="Times New Roman" w:cs="Times New Roman"/>
      <w:sz w:val="24"/>
      <w:szCs w:val="20"/>
    </w:rPr>
  </w:style>
  <w:style w:type="paragraph" w:styleId="NoSpacing">
    <w:name w:val="No Spacing"/>
    <w:uiPriority w:val="1"/>
    <w:qFormat/>
    <w:rsid w:val="006644EB"/>
    <w:pPr>
      <w:spacing w:after="0" w:line="240" w:lineRule="auto"/>
      <w:jc w:val="both"/>
    </w:pPr>
    <w:rPr>
      <w:rFonts w:ascii="Times New Roman" w:eastAsia="Times New Roman" w:hAnsi="Times New Roman" w:cs="Times New Roman"/>
      <w:sz w:val="26"/>
      <w:szCs w:val="20"/>
    </w:rPr>
  </w:style>
  <w:style w:type="table" w:customStyle="1" w:styleId="TableGrid1">
    <w:name w:val="Table Grid1"/>
    <w:basedOn w:val="TableNormal"/>
    <w:next w:val="TableGrid"/>
    <w:uiPriority w:val="59"/>
    <w:rsid w:val="005447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D2B4C"/>
    <w:pPr>
      <w:widowControl/>
      <w:tabs>
        <w:tab w:val="center" w:pos="4680"/>
      </w:tabs>
      <w:suppressAutoHyphens/>
      <w:jc w:val="center"/>
    </w:pPr>
    <w:rPr>
      <w:b/>
      <w:sz w:val="26"/>
      <w:szCs w:val="26"/>
    </w:rPr>
  </w:style>
  <w:style w:type="character" w:customStyle="1" w:styleId="TitleChar">
    <w:name w:val="Title Char"/>
    <w:basedOn w:val="DefaultParagraphFont"/>
    <w:link w:val="Title"/>
    <w:uiPriority w:val="10"/>
    <w:rsid w:val="00ED2B4C"/>
    <w:rPr>
      <w:rFonts w:ascii="Times New Roman" w:eastAsia="Times New Roman"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612542">
      <w:bodyDiv w:val="1"/>
      <w:marLeft w:val="0"/>
      <w:marRight w:val="0"/>
      <w:marTop w:val="0"/>
      <w:marBottom w:val="0"/>
      <w:divBdr>
        <w:top w:val="none" w:sz="0" w:space="0" w:color="auto"/>
        <w:left w:val="none" w:sz="0" w:space="0" w:color="auto"/>
        <w:bottom w:val="none" w:sz="0" w:space="0" w:color="auto"/>
        <w:right w:val="none" w:sz="0" w:space="0" w:color="auto"/>
      </w:divBdr>
      <w:divsChild>
        <w:div w:id="1257396519">
          <w:marLeft w:val="0"/>
          <w:marRight w:val="0"/>
          <w:marTop w:val="0"/>
          <w:marBottom w:val="0"/>
          <w:divBdr>
            <w:top w:val="none" w:sz="0" w:space="0" w:color="auto"/>
            <w:left w:val="none" w:sz="0" w:space="0" w:color="auto"/>
            <w:bottom w:val="none" w:sz="0" w:space="0" w:color="auto"/>
            <w:right w:val="none" w:sz="0" w:space="0" w:color="auto"/>
          </w:divBdr>
          <w:divsChild>
            <w:div w:id="48654288">
              <w:marLeft w:val="0"/>
              <w:marRight w:val="0"/>
              <w:marTop w:val="0"/>
              <w:marBottom w:val="0"/>
              <w:divBdr>
                <w:top w:val="none" w:sz="0" w:space="0" w:color="auto"/>
                <w:left w:val="none" w:sz="0" w:space="0" w:color="auto"/>
                <w:bottom w:val="none" w:sz="0" w:space="0" w:color="auto"/>
                <w:right w:val="none" w:sz="0" w:space="0" w:color="auto"/>
              </w:divBdr>
              <w:divsChild>
                <w:div w:id="1106314033">
                  <w:marLeft w:val="0"/>
                  <w:marRight w:val="0"/>
                  <w:marTop w:val="0"/>
                  <w:marBottom w:val="0"/>
                  <w:divBdr>
                    <w:top w:val="none" w:sz="0" w:space="0" w:color="auto"/>
                    <w:left w:val="none" w:sz="0" w:space="0" w:color="auto"/>
                    <w:bottom w:val="none" w:sz="0" w:space="0" w:color="auto"/>
                    <w:right w:val="none" w:sz="0" w:space="0" w:color="auto"/>
                  </w:divBdr>
                  <w:divsChild>
                    <w:div w:id="106935210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937AF-7458-4C57-B345-88E99F198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5589</Words>
  <Characters>31862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Kyria</dc:creator>
  <cp:lastModifiedBy>Wagner, Nathan R</cp:lastModifiedBy>
  <cp:revision>4</cp:revision>
  <cp:lastPrinted>2019-07-25T15:14:00Z</cp:lastPrinted>
  <dcterms:created xsi:type="dcterms:W3CDTF">2019-08-19T20:26:00Z</dcterms:created>
  <dcterms:modified xsi:type="dcterms:W3CDTF">2019-08-28T19:14:00Z</dcterms:modified>
</cp:coreProperties>
</file>