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ECA4" w14:textId="77777777" w:rsidR="00DD3605" w:rsidRPr="009E236F" w:rsidRDefault="00DD3605" w:rsidP="00A42931">
      <w:pPr>
        <w:jc w:val="center"/>
        <w:rPr>
          <w:b/>
          <w:sz w:val="24"/>
          <w:szCs w:val="24"/>
        </w:rPr>
      </w:pPr>
      <w:r w:rsidRPr="009E236F">
        <w:rPr>
          <w:b/>
          <w:sz w:val="24"/>
          <w:szCs w:val="24"/>
        </w:rPr>
        <w:t>BEFORE THE</w:t>
      </w:r>
    </w:p>
    <w:p w14:paraId="5BA21303" w14:textId="77777777" w:rsidR="00DD3605" w:rsidRPr="009E236F" w:rsidRDefault="00DD3605" w:rsidP="00A42931">
      <w:pPr>
        <w:jc w:val="center"/>
        <w:rPr>
          <w:b/>
          <w:sz w:val="24"/>
          <w:szCs w:val="24"/>
        </w:rPr>
      </w:pPr>
      <w:r w:rsidRPr="009E236F">
        <w:rPr>
          <w:b/>
          <w:sz w:val="24"/>
          <w:szCs w:val="24"/>
        </w:rPr>
        <w:t>PENNSYLVANIA PUBLIC UTILITY COMMISSION</w:t>
      </w:r>
    </w:p>
    <w:p w14:paraId="73C04635" w14:textId="77777777" w:rsidR="00DD3605" w:rsidRPr="009E236F" w:rsidRDefault="00DD3605" w:rsidP="00A42931">
      <w:pPr>
        <w:jc w:val="center"/>
        <w:rPr>
          <w:b/>
          <w:sz w:val="24"/>
          <w:szCs w:val="24"/>
        </w:rPr>
      </w:pPr>
    </w:p>
    <w:p w14:paraId="32526394" w14:textId="77777777" w:rsidR="00DD3605" w:rsidRPr="009E236F" w:rsidRDefault="00DD3605" w:rsidP="00A42931">
      <w:pPr>
        <w:jc w:val="center"/>
        <w:rPr>
          <w:b/>
          <w:sz w:val="24"/>
          <w:szCs w:val="24"/>
        </w:rPr>
      </w:pPr>
    </w:p>
    <w:p w14:paraId="1DC2F637" w14:textId="77777777" w:rsidR="00DD3605" w:rsidRPr="009E236F" w:rsidRDefault="00DD3605" w:rsidP="00A42931">
      <w:pPr>
        <w:jc w:val="center"/>
        <w:rPr>
          <w:b/>
          <w:sz w:val="24"/>
          <w:szCs w:val="24"/>
        </w:rPr>
      </w:pPr>
    </w:p>
    <w:p w14:paraId="5B6C6077" w14:textId="55D8AB5A" w:rsidR="0089250B" w:rsidRPr="009E236F" w:rsidRDefault="003D58C8" w:rsidP="00A42931">
      <w:pPr>
        <w:rPr>
          <w:sz w:val="24"/>
          <w:szCs w:val="24"/>
        </w:rPr>
      </w:pPr>
      <w:r>
        <w:rPr>
          <w:sz w:val="24"/>
          <w:szCs w:val="24"/>
        </w:rPr>
        <w:t>Edward Payne</w:t>
      </w:r>
      <w:r w:rsidR="001B468F">
        <w:rPr>
          <w:sz w:val="24"/>
          <w:szCs w:val="24"/>
        </w:rPr>
        <w:tab/>
      </w:r>
      <w:r w:rsidR="001B468F">
        <w:rPr>
          <w:sz w:val="24"/>
          <w:szCs w:val="24"/>
        </w:rPr>
        <w:tab/>
      </w:r>
      <w:r w:rsidR="0034382B" w:rsidRPr="009E236F">
        <w:rPr>
          <w:sz w:val="24"/>
          <w:szCs w:val="24"/>
        </w:rPr>
        <w:tab/>
      </w:r>
      <w:r w:rsidR="00DD3605" w:rsidRPr="009E236F">
        <w:rPr>
          <w:sz w:val="24"/>
          <w:szCs w:val="24"/>
        </w:rPr>
        <w:tab/>
      </w:r>
      <w:r w:rsidR="00DD3605" w:rsidRPr="009E236F">
        <w:rPr>
          <w:sz w:val="24"/>
          <w:szCs w:val="24"/>
        </w:rPr>
        <w:tab/>
      </w:r>
      <w:r w:rsidR="0087277A">
        <w:rPr>
          <w:sz w:val="24"/>
          <w:szCs w:val="24"/>
        </w:rPr>
        <w:tab/>
      </w:r>
      <w:r w:rsidR="00DD3605" w:rsidRPr="009E236F">
        <w:rPr>
          <w:sz w:val="24"/>
          <w:szCs w:val="24"/>
        </w:rPr>
        <w:t>:</w:t>
      </w:r>
    </w:p>
    <w:p w14:paraId="67BD8FD1" w14:textId="77777777" w:rsidR="00DD3605" w:rsidRPr="009E236F" w:rsidRDefault="00DD3605" w:rsidP="00A42931">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p>
    <w:p w14:paraId="6E4335EA" w14:textId="035F766D" w:rsidR="00DD3605" w:rsidRPr="009E236F" w:rsidRDefault="00DD3605" w:rsidP="00A42931">
      <w:pPr>
        <w:rPr>
          <w:sz w:val="24"/>
          <w:szCs w:val="24"/>
        </w:rPr>
      </w:pPr>
      <w:r w:rsidRPr="009E236F">
        <w:rPr>
          <w:sz w:val="24"/>
          <w:szCs w:val="24"/>
        </w:rPr>
        <w:tab/>
        <w:t>v.</w:t>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r w:rsidRPr="009E236F">
        <w:rPr>
          <w:sz w:val="24"/>
          <w:szCs w:val="24"/>
        </w:rPr>
        <w:tab/>
      </w:r>
      <w:r w:rsidR="0087277A">
        <w:rPr>
          <w:sz w:val="24"/>
          <w:szCs w:val="24"/>
        </w:rPr>
        <w:tab/>
      </w:r>
      <w:r w:rsidR="00F553A3">
        <w:rPr>
          <w:sz w:val="24"/>
          <w:szCs w:val="24"/>
        </w:rPr>
        <w:t>C-201</w:t>
      </w:r>
      <w:r w:rsidR="003D58C8">
        <w:rPr>
          <w:sz w:val="24"/>
          <w:szCs w:val="24"/>
        </w:rPr>
        <w:t>9-3011279</w:t>
      </w:r>
    </w:p>
    <w:p w14:paraId="23784EEA" w14:textId="77777777" w:rsidR="00DD3605" w:rsidRPr="009E236F" w:rsidRDefault="00DD3605" w:rsidP="00A42931">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p>
    <w:p w14:paraId="5978390E" w14:textId="77777777" w:rsidR="00DD3605" w:rsidRDefault="001B468F" w:rsidP="00A42931">
      <w:pPr>
        <w:rPr>
          <w:sz w:val="24"/>
          <w:szCs w:val="24"/>
        </w:rPr>
      </w:pPr>
      <w:r>
        <w:rPr>
          <w:sz w:val="24"/>
          <w:szCs w:val="24"/>
        </w:rPr>
        <w:t>Duquesne Light Company</w:t>
      </w:r>
      <w:r>
        <w:rPr>
          <w:sz w:val="24"/>
          <w:szCs w:val="24"/>
        </w:rPr>
        <w:tab/>
      </w:r>
      <w:r w:rsidR="00F553A3">
        <w:rPr>
          <w:sz w:val="24"/>
          <w:szCs w:val="24"/>
        </w:rPr>
        <w:tab/>
      </w:r>
      <w:r w:rsidR="00DD3605" w:rsidRPr="009E236F">
        <w:rPr>
          <w:sz w:val="24"/>
          <w:szCs w:val="24"/>
        </w:rPr>
        <w:tab/>
      </w:r>
      <w:r w:rsidR="0087277A">
        <w:rPr>
          <w:sz w:val="24"/>
          <w:szCs w:val="24"/>
        </w:rPr>
        <w:tab/>
      </w:r>
      <w:r w:rsidR="00DD3605" w:rsidRPr="009E236F">
        <w:rPr>
          <w:sz w:val="24"/>
          <w:szCs w:val="24"/>
        </w:rPr>
        <w:t>:</w:t>
      </w:r>
    </w:p>
    <w:p w14:paraId="7431A3F3" w14:textId="77777777" w:rsidR="00DD3605" w:rsidRPr="009E236F" w:rsidRDefault="00DD3605" w:rsidP="00A42931">
      <w:pPr>
        <w:rPr>
          <w:sz w:val="24"/>
          <w:szCs w:val="24"/>
        </w:rPr>
      </w:pPr>
    </w:p>
    <w:p w14:paraId="2F6BA7A0" w14:textId="77777777" w:rsidR="00DD3605" w:rsidRPr="009E236F" w:rsidRDefault="00DD3605" w:rsidP="00A42931">
      <w:pPr>
        <w:rPr>
          <w:sz w:val="24"/>
          <w:szCs w:val="24"/>
        </w:rPr>
      </w:pPr>
    </w:p>
    <w:p w14:paraId="500A72D3" w14:textId="77777777" w:rsidR="00E122C5" w:rsidRPr="009E236F" w:rsidRDefault="00E122C5" w:rsidP="00A42931">
      <w:pPr>
        <w:rPr>
          <w:sz w:val="24"/>
          <w:szCs w:val="24"/>
        </w:rPr>
      </w:pPr>
    </w:p>
    <w:p w14:paraId="3BE3F05B" w14:textId="77777777" w:rsidR="000F17D0" w:rsidRPr="00294E80" w:rsidRDefault="00985B4B" w:rsidP="00A42931">
      <w:pPr>
        <w:pStyle w:val="Heading1"/>
        <w:rPr>
          <w:rFonts w:ascii="Times New Roman" w:hAnsi="Times New Roman"/>
          <w:szCs w:val="24"/>
          <w:u w:val="none"/>
        </w:rPr>
      </w:pPr>
      <w:r w:rsidRPr="00294E80">
        <w:rPr>
          <w:rFonts w:ascii="Times New Roman" w:hAnsi="Times New Roman"/>
          <w:szCs w:val="24"/>
          <w:u w:val="none"/>
        </w:rPr>
        <w:t xml:space="preserve">FIRST INTERIM ORDER </w:t>
      </w:r>
    </w:p>
    <w:p w14:paraId="32889585" w14:textId="2E687CA6" w:rsidR="00294E80" w:rsidRPr="00294E80" w:rsidRDefault="00CD268B" w:rsidP="00A42931">
      <w:pPr>
        <w:pStyle w:val="Heading1"/>
        <w:rPr>
          <w:rFonts w:ascii="Times New Roman" w:hAnsi="Times New Roman"/>
          <w:szCs w:val="24"/>
          <w:u w:val="none"/>
        </w:rPr>
      </w:pPr>
      <w:r>
        <w:rPr>
          <w:rFonts w:ascii="Times New Roman" w:hAnsi="Times New Roman"/>
          <w:szCs w:val="24"/>
          <w:u w:val="none"/>
        </w:rPr>
        <w:t xml:space="preserve">DENYING </w:t>
      </w:r>
      <w:r w:rsidR="0089250B" w:rsidRPr="00294E80">
        <w:rPr>
          <w:rFonts w:ascii="Times New Roman" w:hAnsi="Times New Roman"/>
          <w:szCs w:val="24"/>
          <w:u w:val="none"/>
        </w:rPr>
        <w:t xml:space="preserve">RESPONDENT </w:t>
      </w:r>
      <w:r w:rsidR="00046EFA">
        <w:rPr>
          <w:rFonts w:ascii="Times New Roman" w:hAnsi="Times New Roman"/>
          <w:szCs w:val="24"/>
          <w:u w:val="none"/>
        </w:rPr>
        <w:t xml:space="preserve">DUQUESNE LIGHT COMPANY’S </w:t>
      </w:r>
    </w:p>
    <w:p w14:paraId="3CDCED94" w14:textId="77777777" w:rsidR="00316202" w:rsidRPr="009E236F" w:rsidRDefault="00985B4B" w:rsidP="00A42931">
      <w:pPr>
        <w:pStyle w:val="Heading1"/>
        <w:rPr>
          <w:b w:val="0"/>
          <w:szCs w:val="24"/>
        </w:rPr>
      </w:pPr>
      <w:r>
        <w:rPr>
          <w:rFonts w:ascii="Times New Roman" w:hAnsi="Times New Roman"/>
          <w:szCs w:val="24"/>
        </w:rPr>
        <w:t xml:space="preserve">MOTION FOR </w:t>
      </w:r>
      <w:r w:rsidR="00046EFA">
        <w:rPr>
          <w:rFonts w:ascii="Times New Roman" w:hAnsi="Times New Roman"/>
          <w:szCs w:val="24"/>
        </w:rPr>
        <w:t>JUDGMENT ON THE PLEADINGS</w:t>
      </w:r>
      <w:r>
        <w:rPr>
          <w:rFonts w:ascii="Times New Roman" w:hAnsi="Times New Roman"/>
          <w:szCs w:val="24"/>
        </w:rPr>
        <w:t xml:space="preserve"> </w:t>
      </w:r>
    </w:p>
    <w:p w14:paraId="02930D94" w14:textId="77777777" w:rsidR="00DD3605" w:rsidRPr="009E236F" w:rsidRDefault="00DD3605" w:rsidP="00A42931">
      <w:pPr>
        <w:jc w:val="center"/>
        <w:rPr>
          <w:b/>
          <w:sz w:val="24"/>
          <w:szCs w:val="24"/>
        </w:rPr>
      </w:pPr>
    </w:p>
    <w:p w14:paraId="5E7C8CD4" w14:textId="77777777" w:rsidR="00DD3605" w:rsidRPr="009E236F" w:rsidRDefault="00DD3605" w:rsidP="00A42931">
      <w:pPr>
        <w:jc w:val="center"/>
        <w:rPr>
          <w:b/>
          <w:sz w:val="24"/>
          <w:szCs w:val="24"/>
        </w:rPr>
      </w:pPr>
    </w:p>
    <w:p w14:paraId="6B338558" w14:textId="77777777" w:rsidR="00DD3605" w:rsidRPr="009E236F" w:rsidRDefault="00DD3605" w:rsidP="00A42931">
      <w:pPr>
        <w:pStyle w:val="Heading2"/>
        <w:rPr>
          <w:rFonts w:ascii="Times New Roman" w:hAnsi="Times New Roman"/>
          <w:b w:val="0"/>
          <w:szCs w:val="24"/>
        </w:rPr>
      </w:pPr>
      <w:r w:rsidRPr="009E236F">
        <w:rPr>
          <w:rFonts w:ascii="Times New Roman" w:hAnsi="Times New Roman"/>
          <w:b w:val="0"/>
          <w:szCs w:val="24"/>
        </w:rPr>
        <w:t>Before</w:t>
      </w:r>
    </w:p>
    <w:p w14:paraId="328F7A21" w14:textId="77777777" w:rsidR="00DD3605" w:rsidRPr="009E236F" w:rsidRDefault="00F553A3" w:rsidP="00A42931">
      <w:pPr>
        <w:jc w:val="center"/>
        <w:rPr>
          <w:sz w:val="24"/>
          <w:szCs w:val="24"/>
        </w:rPr>
      </w:pPr>
      <w:r>
        <w:rPr>
          <w:sz w:val="24"/>
          <w:szCs w:val="24"/>
        </w:rPr>
        <w:t>Mark A. Hoyer</w:t>
      </w:r>
    </w:p>
    <w:p w14:paraId="1432B324" w14:textId="3420526D" w:rsidR="003A0C8C" w:rsidRDefault="00FC0996" w:rsidP="00A42931">
      <w:pPr>
        <w:jc w:val="center"/>
        <w:rPr>
          <w:sz w:val="24"/>
          <w:szCs w:val="24"/>
        </w:rPr>
      </w:pPr>
      <w:r>
        <w:rPr>
          <w:sz w:val="24"/>
          <w:szCs w:val="24"/>
        </w:rPr>
        <w:t xml:space="preserve">Deputy Chief </w:t>
      </w:r>
      <w:r w:rsidR="00DD3605" w:rsidRPr="009E236F">
        <w:rPr>
          <w:sz w:val="24"/>
          <w:szCs w:val="24"/>
        </w:rPr>
        <w:t>Administrative Law Judge</w:t>
      </w:r>
      <w:r w:rsidR="00ED0557">
        <w:rPr>
          <w:sz w:val="24"/>
          <w:szCs w:val="24"/>
        </w:rPr>
        <w:t xml:space="preserve">  </w:t>
      </w:r>
      <w:r w:rsidR="003A0C8C">
        <w:rPr>
          <w:sz w:val="24"/>
          <w:szCs w:val="24"/>
        </w:rPr>
        <w:t xml:space="preserve">  </w:t>
      </w:r>
    </w:p>
    <w:p w14:paraId="7EAEEAEF" w14:textId="2CDA22B4" w:rsidR="00CB1145" w:rsidRDefault="00CB1145" w:rsidP="00A42931">
      <w:pPr>
        <w:pStyle w:val="Heading1"/>
        <w:tabs>
          <w:tab w:val="left" w:pos="1980"/>
        </w:tabs>
        <w:jc w:val="left"/>
        <w:rPr>
          <w:rFonts w:ascii="Times New Roman" w:hAnsi="Times New Roman"/>
          <w:b w:val="0"/>
          <w:szCs w:val="24"/>
        </w:rPr>
      </w:pPr>
    </w:p>
    <w:p w14:paraId="4772316D" w14:textId="77777777" w:rsidR="00CB5FAE" w:rsidRPr="00CB5FAE" w:rsidRDefault="00CB5FAE" w:rsidP="00A42931"/>
    <w:p w14:paraId="55E59B66" w14:textId="2DC877F6" w:rsidR="00DD3605" w:rsidRPr="009E236F" w:rsidRDefault="00DD3605" w:rsidP="00A42931">
      <w:pPr>
        <w:pStyle w:val="Heading1"/>
        <w:tabs>
          <w:tab w:val="left" w:pos="1980"/>
        </w:tabs>
        <w:rPr>
          <w:rFonts w:ascii="Times New Roman" w:hAnsi="Times New Roman"/>
          <w:b w:val="0"/>
          <w:szCs w:val="24"/>
        </w:rPr>
      </w:pPr>
      <w:r w:rsidRPr="009E236F">
        <w:rPr>
          <w:rFonts w:ascii="Times New Roman" w:hAnsi="Times New Roman"/>
          <w:b w:val="0"/>
          <w:szCs w:val="24"/>
        </w:rPr>
        <w:t>HISTORY OF THE PROCEEDING</w:t>
      </w:r>
    </w:p>
    <w:p w14:paraId="64876D19" w14:textId="77777777" w:rsidR="00DD3605" w:rsidRPr="009E236F" w:rsidRDefault="00DD3605" w:rsidP="00AC67CF">
      <w:pPr>
        <w:spacing w:line="360" w:lineRule="auto"/>
        <w:rPr>
          <w:sz w:val="24"/>
          <w:szCs w:val="24"/>
        </w:rPr>
      </w:pPr>
    </w:p>
    <w:p w14:paraId="248391AD" w14:textId="45B4EC24" w:rsidR="001B468F" w:rsidRDefault="00DD3605" w:rsidP="00AC67CF">
      <w:pPr>
        <w:spacing w:line="360" w:lineRule="auto"/>
        <w:rPr>
          <w:sz w:val="24"/>
          <w:szCs w:val="24"/>
        </w:rPr>
      </w:pPr>
      <w:r w:rsidRPr="009E236F">
        <w:rPr>
          <w:sz w:val="24"/>
          <w:szCs w:val="24"/>
        </w:rPr>
        <w:tab/>
      </w:r>
      <w:r w:rsidRPr="009E236F">
        <w:rPr>
          <w:sz w:val="24"/>
          <w:szCs w:val="24"/>
        </w:rPr>
        <w:tab/>
      </w:r>
      <w:r w:rsidR="0089250B">
        <w:rPr>
          <w:sz w:val="24"/>
          <w:szCs w:val="24"/>
        </w:rPr>
        <w:t xml:space="preserve">On </w:t>
      </w:r>
      <w:r w:rsidR="00305F38">
        <w:rPr>
          <w:sz w:val="24"/>
          <w:szCs w:val="24"/>
        </w:rPr>
        <w:t>June 26, 2019, Edward Payne</w:t>
      </w:r>
      <w:r w:rsidR="00ED0557">
        <w:rPr>
          <w:sz w:val="24"/>
          <w:szCs w:val="24"/>
        </w:rPr>
        <w:t xml:space="preserve"> </w:t>
      </w:r>
      <w:r w:rsidR="0089250B">
        <w:rPr>
          <w:sz w:val="24"/>
          <w:szCs w:val="24"/>
        </w:rPr>
        <w:t>(</w:t>
      </w:r>
      <w:r w:rsidR="003A0C8C">
        <w:rPr>
          <w:sz w:val="24"/>
          <w:szCs w:val="24"/>
        </w:rPr>
        <w:t>Complainant) filed a formal complaint with the Pennsylvania Public Utility Commission (Commission) at Docket No. C-201</w:t>
      </w:r>
      <w:r w:rsidR="00305F38">
        <w:rPr>
          <w:sz w:val="24"/>
          <w:szCs w:val="24"/>
        </w:rPr>
        <w:t>9-3011279</w:t>
      </w:r>
      <w:r w:rsidR="003A0C8C">
        <w:rPr>
          <w:sz w:val="24"/>
          <w:szCs w:val="24"/>
        </w:rPr>
        <w:t xml:space="preserve"> against </w:t>
      </w:r>
      <w:r w:rsidR="00ED0557">
        <w:rPr>
          <w:sz w:val="24"/>
          <w:szCs w:val="24"/>
        </w:rPr>
        <w:t xml:space="preserve">Duquesne Light Company </w:t>
      </w:r>
      <w:r w:rsidR="000068DD">
        <w:rPr>
          <w:sz w:val="24"/>
          <w:szCs w:val="24"/>
        </w:rPr>
        <w:t>(</w:t>
      </w:r>
      <w:r w:rsidR="00ED0557">
        <w:rPr>
          <w:sz w:val="24"/>
          <w:szCs w:val="24"/>
        </w:rPr>
        <w:t>Duquesne Light or Respondent</w:t>
      </w:r>
      <w:r w:rsidR="00970029">
        <w:rPr>
          <w:sz w:val="24"/>
          <w:szCs w:val="24"/>
        </w:rPr>
        <w:t>)</w:t>
      </w:r>
      <w:r w:rsidR="003A0C8C">
        <w:rPr>
          <w:sz w:val="24"/>
          <w:szCs w:val="24"/>
        </w:rPr>
        <w:t xml:space="preserve">.  </w:t>
      </w:r>
      <w:r w:rsidR="00B70E54">
        <w:rPr>
          <w:sz w:val="24"/>
          <w:szCs w:val="24"/>
        </w:rPr>
        <w:t>C</w:t>
      </w:r>
      <w:r w:rsidR="000068DD">
        <w:rPr>
          <w:sz w:val="24"/>
          <w:szCs w:val="24"/>
        </w:rPr>
        <w:t>omplain</w:t>
      </w:r>
      <w:r w:rsidR="00B70E54">
        <w:rPr>
          <w:sz w:val="24"/>
          <w:szCs w:val="24"/>
        </w:rPr>
        <w:t>an</w:t>
      </w:r>
      <w:r w:rsidR="000068DD">
        <w:rPr>
          <w:sz w:val="24"/>
          <w:szCs w:val="24"/>
        </w:rPr>
        <w:t>t</w:t>
      </w:r>
      <w:r w:rsidR="00305F38">
        <w:rPr>
          <w:sz w:val="24"/>
          <w:szCs w:val="24"/>
        </w:rPr>
        <w:t xml:space="preserve"> alleges he is being billed for electric service provided to 818 Blossom Way, Pittsburgh, Pennsylvania, and that he never resided there.  </w:t>
      </w:r>
      <w:r w:rsidR="000068DD">
        <w:rPr>
          <w:sz w:val="24"/>
          <w:szCs w:val="24"/>
        </w:rPr>
        <w:t xml:space="preserve"> </w:t>
      </w:r>
      <w:r w:rsidR="001B468F">
        <w:rPr>
          <w:sz w:val="24"/>
          <w:szCs w:val="24"/>
        </w:rPr>
        <w:t>On J</w:t>
      </w:r>
      <w:r w:rsidR="00305F38">
        <w:rPr>
          <w:sz w:val="24"/>
          <w:szCs w:val="24"/>
        </w:rPr>
        <w:t xml:space="preserve">uly 17, 2019, </w:t>
      </w:r>
      <w:r w:rsidR="001B468F">
        <w:rPr>
          <w:sz w:val="24"/>
          <w:szCs w:val="24"/>
        </w:rPr>
        <w:t xml:space="preserve">Duquesne Light filed an </w:t>
      </w:r>
      <w:r w:rsidR="00EC4574">
        <w:rPr>
          <w:sz w:val="24"/>
          <w:szCs w:val="24"/>
        </w:rPr>
        <w:t>A</w:t>
      </w:r>
      <w:r w:rsidR="001B468F">
        <w:rPr>
          <w:sz w:val="24"/>
          <w:szCs w:val="24"/>
        </w:rPr>
        <w:t xml:space="preserve">nswer and </w:t>
      </w:r>
      <w:r w:rsidR="00EC4574">
        <w:rPr>
          <w:sz w:val="24"/>
          <w:szCs w:val="24"/>
        </w:rPr>
        <w:t>N</w:t>
      </w:r>
      <w:r w:rsidR="001B468F">
        <w:rPr>
          <w:sz w:val="24"/>
          <w:szCs w:val="24"/>
        </w:rPr>
        <w:t xml:space="preserve">ew </w:t>
      </w:r>
      <w:r w:rsidR="00EC4574">
        <w:rPr>
          <w:sz w:val="24"/>
          <w:szCs w:val="24"/>
        </w:rPr>
        <w:t>M</w:t>
      </w:r>
      <w:r w:rsidR="001B468F">
        <w:rPr>
          <w:sz w:val="24"/>
          <w:szCs w:val="24"/>
        </w:rPr>
        <w:t>atter requesting that the complaint be dismissed</w:t>
      </w:r>
      <w:r w:rsidR="00305F38">
        <w:rPr>
          <w:sz w:val="24"/>
          <w:szCs w:val="24"/>
        </w:rPr>
        <w:t xml:space="preserve"> with prejudice.  </w:t>
      </w:r>
      <w:r w:rsidR="001B468F">
        <w:rPr>
          <w:sz w:val="24"/>
          <w:szCs w:val="24"/>
        </w:rPr>
        <w:t xml:space="preserve"> </w:t>
      </w:r>
      <w:r w:rsidR="00305F38">
        <w:rPr>
          <w:sz w:val="24"/>
          <w:szCs w:val="24"/>
        </w:rPr>
        <w:t xml:space="preserve">Among other things, Duquesne Light averred in new matter that </w:t>
      </w:r>
      <w:r w:rsidR="001B468F">
        <w:rPr>
          <w:sz w:val="24"/>
          <w:szCs w:val="24"/>
        </w:rPr>
        <w:t xml:space="preserve">Complainant </w:t>
      </w:r>
      <w:r w:rsidR="00305F38">
        <w:rPr>
          <w:sz w:val="24"/>
          <w:szCs w:val="24"/>
        </w:rPr>
        <w:t xml:space="preserve">is a current customer at 829 Blossom Way, Pittsburgh, Pennsylvania, but he was formally a customer at 818 Blossom Way from July 11, 2011 to December 24, 2012.  </w:t>
      </w:r>
      <w:r w:rsidR="001B468F">
        <w:rPr>
          <w:sz w:val="24"/>
          <w:szCs w:val="24"/>
        </w:rPr>
        <w:t xml:space="preserve">  </w:t>
      </w:r>
    </w:p>
    <w:p w14:paraId="77A99076" w14:textId="77777777" w:rsidR="005B53A8" w:rsidRDefault="005B53A8" w:rsidP="00AC67CF">
      <w:pPr>
        <w:spacing w:line="360" w:lineRule="auto"/>
        <w:rPr>
          <w:sz w:val="24"/>
          <w:szCs w:val="24"/>
        </w:rPr>
      </w:pPr>
    </w:p>
    <w:p w14:paraId="1031AF26" w14:textId="5008D221" w:rsidR="00BC703C" w:rsidRDefault="00C84EA2" w:rsidP="00AC67CF">
      <w:pPr>
        <w:spacing w:line="360" w:lineRule="auto"/>
        <w:rPr>
          <w:sz w:val="24"/>
          <w:szCs w:val="24"/>
        </w:rPr>
      </w:pPr>
      <w:r>
        <w:rPr>
          <w:sz w:val="24"/>
          <w:szCs w:val="24"/>
        </w:rPr>
        <w:tab/>
      </w:r>
      <w:r>
        <w:rPr>
          <w:sz w:val="24"/>
          <w:szCs w:val="24"/>
        </w:rPr>
        <w:tab/>
        <w:t xml:space="preserve">On </w:t>
      </w:r>
      <w:r w:rsidR="00305F38">
        <w:rPr>
          <w:sz w:val="24"/>
          <w:szCs w:val="24"/>
        </w:rPr>
        <w:t xml:space="preserve">August 7, 2019, </w:t>
      </w:r>
      <w:r>
        <w:rPr>
          <w:sz w:val="24"/>
          <w:szCs w:val="24"/>
        </w:rPr>
        <w:t xml:space="preserve">a </w:t>
      </w:r>
      <w:r w:rsidR="001B468F">
        <w:rPr>
          <w:sz w:val="24"/>
          <w:szCs w:val="24"/>
        </w:rPr>
        <w:t xml:space="preserve">Call-In </w:t>
      </w:r>
      <w:r>
        <w:rPr>
          <w:sz w:val="24"/>
          <w:szCs w:val="24"/>
        </w:rPr>
        <w:t>Telephon</w:t>
      </w:r>
      <w:r w:rsidR="001B468F">
        <w:rPr>
          <w:sz w:val="24"/>
          <w:szCs w:val="24"/>
        </w:rPr>
        <w:t>e</w:t>
      </w:r>
      <w:r>
        <w:rPr>
          <w:sz w:val="24"/>
          <w:szCs w:val="24"/>
        </w:rPr>
        <w:t xml:space="preserve"> Hearing Notice was mailed to the parties scheduling an initial telephonic hearing for </w:t>
      </w:r>
      <w:r w:rsidR="00305F38">
        <w:rPr>
          <w:sz w:val="24"/>
          <w:szCs w:val="24"/>
        </w:rPr>
        <w:t>Monday, September 16</w:t>
      </w:r>
      <w:r w:rsidR="00BC703C">
        <w:rPr>
          <w:sz w:val="24"/>
          <w:szCs w:val="24"/>
        </w:rPr>
        <w:t xml:space="preserve">, 2019.  The undersigned issued a prehearing order on August 8, 2019.  </w:t>
      </w:r>
    </w:p>
    <w:p w14:paraId="7D7212AD" w14:textId="1C437D1F" w:rsidR="00BC703C" w:rsidRDefault="00BC703C" w:rsidP="00AC67CF">
      <w:pPr>
        <w:spacing w:line="360" w:lineRule="auto"/>
        <w:rPr>
          <w:sz w:val="24"/>
          <w:szCs w:val="24"/>
        </w:rPr>
      </w:pPr>
    </w:p>
    <w:p w14:paraId="40C6F51D" w14:textId="4676AE20" w:rsidR="00477B5E" w:rsidRDefault="00BC703C" w:rsidP="00AC67CF">
      <w:pPr>
        <w:spacing w:line="360" w:lineRule="auto"/>
        <w:rPr>
          <w:sz w:val="24"/>
          <w:szCs w:val="24"/>
        </w:rPr>
      </w:pPr>
      <w:r>
        <w:rPr>
          <w:sz w:val="24"/>
          <w:szCs w:val="24"/>
        </w:rPr>
        <w:lastRenderedPageBreak/>
        <w:tab/>
      </w:r>
      <w:r>
        <w:rPr>
          <w:sz w:val="24"/>
          <w:szCs w:val="24"/>
        </w:rPr>
        <w:tab/>
        <w:t>On August 13, 2019, Duquesne Light filed</w:t>
      </w:r>
      <w:r w:rsidR="00462D72">
        <w:rPr>
          <w:sz w:val="24"/>
          <w:szCs w:val="24"/>
        </w:rPr>
        <w:t xml:space="preserve"> a</w:t>
      </w:r>
      <w:r>
        <w:rPr>
          <w:sz w:val="24"/>
          <w:szCs w:val="24"/>
        </w:rPr>
        <w:t xml:space="preserve"> </w:t>
      </w:r>
      <w:r w:rsidR="00AC67CF">
        <w:rPr>
          <w:sz w:val="24"/>
          <w:szCs w:val="24"/>
        </w:rPr>
        <w:t>M</w:t>
      </w:r>
      <w:r>
        <w:rPr>
          <w:sz w:val="24"/>
          <w:szCs w:val="24"/>
        </w:rPr>
        <w:t xml:space="preserve">otion for </w:t>
      </w:r>
      <w:r w:rsidR="00AC67CF">
        <w:rPr>
          <w:sz w:val="24"/>
          <w:szCs w:val="24"/>
        </w:rPr>
        <w:t>J</w:t>
      </w:r>
      <w:r>
        <w:rPr>
          <w:sz w:val="24"/>
          <w:szCs w:val="24"/>
        </w:rPr>
        <w:t>udgment on the pleadings</w:t>
      </w:r>
      <w:r w:rsidR="00462D72">
        <w:rPr>
          <w:sz w:val="24"/>
          <w:szCs w:val="24"/>
        </w:rPr>
        <w:t xml:space="preserve"> requesting that the </w:t>
      </w:r>
      <w:r w:rsidR="00AC67CF">
        <w:rPr>
          <w:sz w:val="24"/>
          <w:szCs w:val="24"/>
        </w:rPr>
        <w:t>c</w:t>
      </w:r>
      <w:r w:rsidR="00462D72">
        <w:rPr>
          <w:sz w:val="24"/>
          <w:szCs w:val="24"/>
        </w:rPr>
        <w:t xml:space="preserve">omplaint be dismissed with prejudice.  As of the date of this interim order, </w:t>
      </w:r>
      <w:r w:rsidR="00046EFA">
        <w:rPr>
          <w:sz w:val="24"/>
          <w:szCs w:val="24"/>
        </w:rPr>
        <w:t xml:space="preserve">Complainant </w:t>
      </w:r>
      <w:r w:rsidR="00462D72">
        <w:rPr>
          <w:sz w:val="24"/>
          <w:szCs w:val="24"/>
        </w:rPr>
        <w:t>has not</w:t>
      </w:r>
      <w:r w:rsidR="00046EFA">
        <w:rPr>
          <w:sz w:val="24"/>
          <w:szCs w:val="24"/>
        </w:rPr>
        <w:t xml:space="preserve"> file</w:t>
      </w:r>
      <w:r w:rsidR="00462D72">
        <w:rPr>
          <w:sz w:val="24"/>
          <w:szCs w:val="24"/>
        </w:rPr>
        <w:t>d</w:t>
      </w:r>
      <w:r w:rsidR="00046EFA">
        <w:rPr>
          <w:sz w:val="24"/>
          <w:szCs w:val="24"/>
        </w:rPr>
        <w:t xml:space="preserve"> a response to the motion for judgment on the pleadings.  </w:t>
      </w:r>
      <w:r w:rsidR="00D718A3">
        <w:rPr>
          <w:sz w:val="24"/>
          <w:szCs w:val="24"/>
        </w:rPr>
        <w:t xml:space="preserve"> </w:t>
      </w:r>
    </w:p>
    <w:p w14:paraId="5188BA04" w14:textId="77777777" w:rsidR="00462D72" w:rsidRDefault="00462D72" w:rsidP="00AC67CF">
      <w:pPr>
        <w:spacing w:line="360" w:lineRule="auto"/>
        <w:rPr>
          <w:sz w:val="24"/>
          <w:szCs w:val="24"/>
          <w:u w:val="single"/>
        </w:rPr>
      </w:pPr>
    </w:p>
    <w:p w14:paraId="2BB62A62" w14:textId="77777777" w:rsidR="00EB3C5F" w:rsidRPr="00EB3C5F" w:rsidRDefault="00EB3C5F" w:rsidP="00AC67CF">
      <w:pPr>
        <w:spacing w:line="360" w:lineRule="auto"/>
        <w:jc w:val="center"/>
        <w:rPr>
          <w:sz w:val="24"/>
          <w:szCs w:val="24"/>
        </w:rPr>
      </w:pPr>
      <w:r>
        <w:rPr>
          <w:sz w:val="24"/>
          <w:szCs w:val="24"/>
          <w:u w:val="single"/>
        </w:rPr>
        <w:t>DISCUSSION</w:t>
      </w:r>
    </w:p>
    <w:p w14:paraId="0684CB12" w14:textId="77777777" w:rsidR="00A31E28" w:rsidRDefault="00A31E28" w:rsidP="00AC67CF">
      <w:pPr>
        <w:spacing w:line="360" w:lineRule="auto"/>
        <w:rPr>
          <w:sz w:val="24"/>
          <w:szCs w:val="24"/>
        </w:rPr>
      </w:pPr>
    </w:p>
    <w:p w14:paraId="2F6F205F" w14:textId="77777777" w:rsidR="007A7647" w:rsidRDefault="007A7647" w:rsidP="00AC67CF">
      <w:pPr>
        <w:spacing w:line="360" w:lineRule="auto"/>
        <w:ind w:firstLine="1440"/>
        <w:rPr>
          <w:sz w:val="24"/>
          <w:szCs w:val="24"/>
        </w:rPr>
      </w:pPr>
      <w:r w:rsidRPr="007A7647">
        <w:rPr>
          <w:sz w:val="24"/>
          <w:szCs w:val="24"/>
        </w:rPr>
        <w:t>The Commission’s Rules of Administrative Practice and Procedure permit parties to file preliminary motions.</w:t>
      </w:r>
      <w:r w:rsidRPr="007A7647">
        <w:rPr>
          <w:rStyle w:val="FootnoteReference"/>
          <w:sz w:val="24"/>
          <w:szCs w:val="24"/>
        </w:rPr>
        <w:footnoteReference w:id="1"/>
      </w:r>
      <w:r w:rsidRPr="007A7647">
        <w:rPr>
          <w:sz w:val="24"/>
          <w:szCs w:val="24"/>
        </w:rPr>
        <w:t xml:space="preserve">  The Commission’s regulation at 52 Pa.Code §</w:t>
      </w:r>
      <w:r w:rsidR="00CF2A91">
        <w:rPr>
          <w:sz w:val="24"/>
          <w:szCs w:val="24"/>
        </w:rPr>
        <w:t xml:space="preserve"> </w:t>
      </w:r>
      <w:r w:rsidRPr="007A7647">
        <w:rPr>
          <w:sz w:val="24"/>
          <w:szCs w:val="24"/>
        </w:rPr>
        <w:t>5.102(a), permits any party to move for judgment on the pleadings or summary judgment after the pleadings are closed, but within such time as not to delay a hearing.  In addition to the pleadings, a motion for summary judgment must be based on depositions, answers to interrogatories, admission and supporting affidavits.</w:t>
      </w:r>
      <w:r w:rsidRPr="007A7647">
        <w:rPr>
          <w:rStyle w:val="FootnoteReference"/>
          <w:sz w:val="24"/>
          <w:szCs w:val="24"/>
        </w:rPr>
        <w:footnoteReference w:id="2"/>
      </w:r>
      <w:r w:rsidRPr="007A7647">
        <w:rPr>
          <w:sz w:val="24"/>
          <w:szCs w:val="24"/>
        </w:rPr>
        <w:t xml:space="preserve">  The presiding officer will grant a preliminary motion if the record shows that there is no genuine issue as to a material fact and that the moving party is entitled to judgment as a matter of law.</w:t>
      </w:r>
      <w:r w:rsidRPr="007A7647">
        <w:rPr>
          <w:rStyle w:val="FootnoteReference"/>
          <w:sz w:val="24"/>
          <w:szCs w:val="24"/>
        </w:rPr>
        <w:footnoteReference w:id="3"/>
      </w:r>
      <w:r>
        <w:rPr>
          <w:sz w:val="24"/>
          <w:szCs w:val="24"/>
        </w:rPr>
        <w:t xml:space="preserve">  </w:t>
      </w:r>
    </w:p>
    <w:p w14:paraId="5539A424" w14:textId="77777777" w:rsidR="007A7647" w:rsidRDefault="007A7647" w:rsidP="00AC67CF">
      <w:pPr>
        <w:spacing w:line="360" w:lineRule="auto"/>
        <w:ind w:firstLine="1440"/>
        <w:rPr>
          <w:sz w:val="24"/>
          <w:szCs w:val="24"/>
        </w:rPr>
      </w:pPr>
    </w:p>
    <w:p w14:paraId="1F5AEBCC" w14:textId="07505519" w:rsidR="007A7647" w:rsidRDefault="007A7647" w:rsidP="00AC67CF">
      <w:pPr>
        <w:spacing w:line="360" w:lineRule="auto"/>
        <w:ind w:firstLine="1440"/>
        <w:rPr>
          <w:sz w:val="24"/>
          <w:szCs w:val="24"/>
        </w:rPr>
      </w:pPr>
      <w:r w:rsidRPr="007A7647">
        <w:rPr>
          <w:sz w:val="24"/>
          <w:szCs w:val="24"/>
        </w:rPr>
        <w:t xml:space="preserve">The moving party bears the burden of showing that no genuine issue of material fact exists and that </w:t>
      </w:r>
      <w:r w:rsidR="00F26C96">
        <w:rPr>
          <w:sz w:val="24"/>
          <w:szCs w:val="24"/>
        </w:rPr>
        <w:t>he</w:t>
      </w:r>
      <w:r w:rsidRPr="007A7647">
        <w:rPr>
          <w:sz w:val="24"/>
          <w:szCs w:val="24"/>
        </w:rPr>
        <w:t xml:space="preserve"> is entitled to a judgment as a matter of law.  The Commission must view the record in the light most favorable to the non-moving party, giving that party the benefit of all reasonable inferences.</w:t>
      </w:r>
      <w:r w:rsidRPr="007A7647">
        <w:rPr>
          <w:rStyle w:val="FootnoteReference"/>
          <w:sz w:val="24"/>
          <w:szCs w:val="24"/>
        </w:rPr>
        <w:footnoteReference w:id="4"/>
      </w:r>
      <w:r w:rsidRPr="007A7647">
        <w:rPr>
          <w:sz w:val="24"/>
          <w:szCs w:val="24"/>
        </w:rPr>
        <w:t xml:space="preserve">  All doubts as to the existence of a genuine issue of material fact must be resolved against the moving party.</w:t>
      </w:r>
      <w:r w:rsidRPr="007A7647">
        <w:rPr>
          <w:rStyle w:val="FootnoteReference"/>
          <w:sz w:val="24"/>
          <w:szCs w:val="24"/>
        </w:rPr>
        <w:footnoteReference w:id="5"/>
      </w:r>
      <w:r w:rsidRPr="007A7647">
        <w:rPr>
          <w:sz w:val="24"/>
          <w:szCs w:val="24"/>
        </w:rPr>
        <w:t xml:space="preserve">  Judgment will be granted only where the right is clear and free from doubt.</w:t>
      </w:r>
      <w:r>
        <w:rPr>
          <w:sz w:val="24"/>
          <w:szCs w:val="24"/>
        </w:rPr>
        <w:t xml:space="preserve">  </w:t>
      </w:r>
    </w:p>
    <w:p w14:paraId="2FDD4D31" w14:textId="77777777" w:rsidR="00C324D3" w:rsidRDefault="00C324D3" w:rsidP="00AC67CF">
      <w:pPr>
        <w:spacing w:line="360" w:lineRule="auto"/>
        <w:ind w:firstLine="1440"/>
        <w:rPr>
          <w:sz w:val="24"/>
          <w:szCs w:val="24"/>
        </w:rPr>
      </w:pPr>
    </w:p>
    <w:p w14:paraId="37D13C02" w14:textId="562CBEAC" w:rsidR="00EB2C97" w:rsidRDefault="00EB2C97" w:rsidP="00C324D3">
      <w:pPr>
        <w:ind w:firstLine="1440"/>
        <w:rPr>
          <w:sz w:val="24"/>
          <w:szCs w:val="24"/>
          <w14:textOutline w14:w="9525" w14:cap="rnd" w14:cmpd="sng" w14:algn="ctr">
            <w14:noFill/>
            <w14:prstDash w14:val="solid"/>
            <w14:bevel/>
          </w14:textOutline>
        </w:rPr>
      </w:pPr>
      <w:r>
        <w:rPr>
          <w:sz w:val="24"/>
          <w:szCs w:val="24"/>
          <w14:textOutline w14:w="9525" w14:cap="rnd" w14:cmpd="sng" w14:algn="ctr">
            <w14:noFill/>
            <w14:prstDash w14:val="solid"/>
            <w14:bevel/>
          </w14:textOutline>
        </w:rPr>
        <w:t xml:space="preserve">Section 5.102 provides, in pertinent part, as follows:  </w:t>
      </w:r>
      <w:r w:rsidRPr="00414ACC">
        <w:rPr>
          <w:sz w:val="24"/>
          <w:szCs w:val="24"/>
          <w14:textOutline w14:w="9525" w14:cap="rnd" w14:cmpd="sng" w14:algn="ctr">
            <w14:noFill/>
            <w14:prstDash w14:val="solid"/>
            <w14:bevel/>
          </w14:textOutline>
        </w:rPr>
        <w:t xml:space="preserve">  </w:t>
      </w:r>
    </w:p>
    <w:p w14:paraId="0D9BAC8C" w14:textId="77777777" w:rsidR="00C324D3" w:rsidRPr="00414ACC" w:rsidRDefault="00C324D3" w:rsidP="00C324D3">
      <w:pPr>
        <w:ind w:firstLine="1440"/>
        <w:rPr>
          <w:sz w:val="24"/>
          <w:szCs w:val="24"/>
          <w14:textOutline w14:w="9525" w14:cap="rnd" w14:cmpd="sng" w14:algn="ctr">
            <w14:noFill/>
            <w14:prstDash w14:val="solid"/>
            <w14:bevel/>
          </w14:textOutline>
        </w:rPr>
      </w:pPr>
    </w:p>
    <w:p w14:paraId="70F7DB43" w14:textId="38772043" w:rsidR="00F45724" w:rsidRDefault="00EB2C97" w:rsidP="00C324D3">
      <w:pPr>
        <w:pStyle w:val="NormalWeb"/>
        <w:spacing w:before="0" w:beforeAutospacing="0" w:after="0" w:afterAutospacing="0"/>
        <w:ind w:left="1440" w:right="1440"/>
      </w:pPr>
      <w:r>
        <w:t> (a)  </w:t>
      </w:r>
      <w:r>
        <w:rPr>
          <w:i/>
          <w:iCs/>
        </w:rPr>
        <w:t>Generally</w:t>
      </w:r>
      <w:r w:rsidR="009E1F58">
        <w:t xml:space="preserve">.  </w:t>
      </w:r>
      <w:r>
        <w:t xml:space="preserve">After the pleadings are closed, but within a time so that the hearing is not delayed, a party may move for judgment on the pleadings or summary judgment. A motion must contain a </w:t>
      </w:r>
      <w:r>
        <w:lastRenderedPageBreak/>
        <w:t xml:space="preserve">notice which states that an answer or other responsive pleading shall be filed within 20 days of service of the motion. </w:t>
      </w:r>
    </w:p>
    <w:p w14:paraId="6696BFF7" w14:textId="77777777" w:rsidR="00C324D3" w:rsidRDefault="00C324D3" w:rsidP="00C324D3">
      <w:pPr>
        <w:pStyle w:val="NormalWeb"/>
        <w:spacing w:before="0" w:beforeAutospacing="0" w:after="0" w:afterAutospacing="0"/>
        <w:ind w:left="1440" w:right="1440"/>
      </w:pPr>
    </w:p>
    <w:p w14:paraId="6FA37E91" w14:textId="3884DB3F" w:rsidR="00EB2C97" w:rsidRDefault="00EB2C97" w:rsidP="00C324D3">
      <w:pPr>
        <w:pStyle w:val="NormalWeb"/>
        <w:spacing w:before="0" w:beforeAutospacing="0" w:after="0" w:afterAutospacing="0"/>
        <w:ind w:left="1440" w:right="1440"/>
      </w:pPr>
      <w:r>
        <w:t> (b)  </w:t>
      </w:r>
      <w:r>
        <w:rPr>
          <w:i/>
          <w:iCs/>
        </w:rPr>
        <w:t>Answers</w:t>
      </w:r>
      <w:r w:rsidR="009E1F58">
        <w:t xml:space="preserve">.  </w:t>
      </w:r>
      <w:r>
        <w:t xml:space="preserve">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3ADBE006" w14:textId="77777777" w:rsidR="004D29DB" w:rsidRDefault="004D29DB" w:rsidP="00C324D3">
      <w:pPr>
        <w:pStyle w:val="NormalWeb"/>
        <w:spacing w:before="0" w:beforeAutospacing="0" w:after="0" w:afterAutospacing="0"/>
        <w:ind w:left="1440" w:right="1440"/>
      </w:pPr>
    </w:p>
    <w:p w14:paraId="6E3B69CC" w14:textId="202E2976" w:rsidR="00634524" w:rsidRDefault="00EB2C97" w:rsidP="00C324D3">
      <w:pPr>
        <w:pStyle w:val="NormalWeb"/>
        <w:spacing w:before="0" w:beforeAutospacing="0" w:after="0" w:afterAutospacing="0"/>
        <w:ind w:left="1440" w:right="1440"/>
      </w:pPr>
      <w:r>
        <w:t> (c)  </w:t>
      </w:r>
      <w:r>
        <w:rPr>
          <w:i/>
          <w:iCs/>
        </w:rPr>
        <w:t>Motion for summary judgment</w:t>
      </w:r>
      <w:r>
        <w:t xml:space="preserve">. A motion for summary judgment must be based on the pleadings and depositions, answers to interrogatories, admissions and supporting affidavits. Documents not already filed with the Commission shall be filed with the motion. </w:t>
      </w:r>
    </w:p>
    <w:p w14:paraId="25F96132" w14:textId="77777777" w:rsidR="004D29DB" w:rsidRDefault="004D29DB" w:rsidP="00C324D3">
      <w:pPr>
        <w:pStyle w:val="NormalWeb"/>
        <w:spacing w:before="0" w:beforeAutospacing="0" w:after="0" w:afterAutospacing="0"/>
        <w:ind w:left="1440" w:right="1440"/>
      </w:pPr>
    </w:p>
    <w:p w14:paraId="7856B150" w14:textId="6B128005" w:rsidR="00EB2C97" w:rsidRDefault="00EB2C97" w:rsidP="00C324D3">
      <w:pPr>
        <w:pStyle w:val="NormalWeb"/>
        <w:spacing w:before="0" w:beforeAutospacing="0" w:after="0" w:afterAutospacing="0"/>
        <w:ind w:left="1440" w:right="1440"/>
      </w:pPr>
      <w:r>
        <w:t>(d)  </w:t>
      </w:r>
      <w:r>
        <w:rPr>
          <w:i/>
          <w:iCs/>
        </w:rPr>
        <w:t>Decisions on motions</w:t>
      </w:r>
      <w:r>
        <w:t xml:space="preserve">. </w:t>
      </w:r>
    </w:p>
    <w:p w14:paraId="3FC63D3F" w14:textId="77777777" w:rsidR="004D29DB" w:rsidRDefault="004D29DB" w:rsidP="00C324D3">
      <w:pPr>
        <w:pStyle w:val="NormalWeb"/>
        <w:spacing w:before="0" w:beforeAutospacing="0" w:after="0" w:afterAutospacing="0"/>
        <w:ind w:left="1440" w:right="1440"/>
      </w:pPr>
    </w:p>
    <w:p w14:paraId="30DD5428" w14:textId="5DCBD497" w:rsidR="00EB2C97" w:rsidRDefault="00EB2C97" w:rsidP="00C324D3">
      <w:pPr>
        <w:pStyle w:val="NormalWeb"/>
        <w:spacing w:before="0" w:beforeAutospacing="0" w:after="0" w:afterAutospacing="0"/>
        <w:ind w:left="1440"/>
      </w:pPr>
      <w:r>
        <w:t>   (1)  </w:t>
      </w:r>
      <w:r>
        <w:rPr>
          <w:i/>
          <w:iCs/>
        </w:rPr>
        <w:t>Standard for grant or denial on all counts</w:t>
      </w:r>
      <w: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r w:rsidR="00752AA9">
        <w:br/>
      </w:r>
    </w:p>
    <w:p w14:paraId="35F25361" w14:textId="77777777" w:rsidR="00EB2C97" w:rsidRDefault="00EB2C97" w:rsidP="00AC67CF">
      <w:pPr>
        <w:pStyle w:val="NormalWeb"/>
        <w:spacing w:before="0" w:beforeAutospacing="0" w:after="0" w:afterAutospacing="0" w:line="360" w:lineRule="auto"/>
        <w:ind w:left="1440" w:right="1440"/>
        <w:jc w:val="center"/>
      </w:pPr>
      <w:r>
        <w:t>* * *</w:t>
      </w:r>
    </w:p>
    <w:p w14:paraId="2C7589B4" w14:textId="77777777" w:rsidR="00046EFA" w:rsidRDefault="00EB2C97" w:rsidP="00AC67CF">
      <w:pPr>
        <w:pStyle w:val="NormalWeb"/>
        <w:spacing w:before="0" w:beforeAutospacing="0" w:after="0" w:afterAutospacing="0" w:line="360" w:lineRule="auto"/>
        <w:ind w:right="1440"/>
      </w:pPr>
      <w:r>
        <w:t xml:space="preserve">52 Pa.Code § 5.102.  </w:t>
      </w:r>
    </w:p>
    <w:p w14:paraId="34309396" w14:textId="77777777" w:rsidR="00FC0996" w:rsidRDefault="00FC0996" w:rsidP="00AC67CF">
      <w:pPr>
        <w:pStyle w:val="NormalWeb"/>
        <w:spacing w:before="0" w:beforeAutospacing="0" w:after="0" w:afterAutospacing="0" w:line="360" w:lineRule="auto"/>
        <w:ind w:right="1440"/>
      </w:pPr>
    </w:p>
    <w:p w14:paraId="3656FCFA" w14:textId="77777777" w:rsidR="00046EFA" w:rsidRDefault="00046EFA" w:rsidP="00AC67CF">
      <w:pPr>
        <w:spacing w:line="360" w:lineRule="auto"/>
        <w:ind w:firstLine="1440"/>
        <w:rPr>
          <w:sz w:val="24"/>
          <w:szCs w:val="24"/>
        </w:rPr>
      </w:pPr>
      <w:r w:rsidRPr="007A7647">
        <w:rPr>
          <w:sz w:val="24"/>
          <w:szCs w:val="24"/>
        </w:rPr>
        <w:t>The Commission must view the record in the light most favorable to the non-moving party, giving that party the benefit of all reasonable inferences.</w:t>
      </w:r>
      <w:r w:rsidRPr="007A7647">
        <w:rPr>
          <w:rStyle w:val="FootnoteReference"/>
          <w:sz w:val="24"/>
          <w:szCs w:val="24"/>
        </w:rPr>
        <w:footnoteReference w:id="6"/>
      </w:r>
      <w:r w:rsidRPr="007A7647">
        <w:rPr>
          <w:sz w:val="24"/>
          <w:szCs w:val="24"/>
        </w:rPr>
        <w:t xml:space="preserve">  All doubts as to the existence of a genuine issue of material fact must be resolved against the moving party.</w:t>
      </w:r>
      <w:r w:rsidRPr="007A7647">
        <w:rPr>
          <w:rStyle w:val="FootnoteReference"/>
          <w:sz w:val="24"/>
          <w:szCs w:val="24"/>
        </w:rPr>
        <w:footnoteReference w:id="7"/>
      </w:r>
      <w:r w:rsidRPr="007A7647">
        <w:rPr>
          <w:sz w:val="24"/>
          <w:szCs w:val="24"/>
        </w:rPr>
        <w:t xml:space="preserve">  Judgment will be granted only where the right is clear and free from doubt.</w:t>
      </w:r>
      <w:r>
        <w:rPr>
          <w:sz w:val="24"/>
          <w:szCs w:val="24"/>
        </w:rPr>
        <w:t xml:space="preserve">  The undersigned concludes that this case contains genuine issues of material fact and Duquesne Light is not entitled to judgment as a matter of law.  </w:t>
      </w:r>
    </w:p>
    <w:p w14:paraId="4233E02E" w14:textId="77777777" w:rsidR="003C3DA6" w:rsidRDefault="003C3DA6" w:rsidP="00AC67CF">
      <w:pPr>
        <w:spacing w:line="360" w:lineRule="auto"/>
        <w:ind w:firstLine="1440"/>
        <w:rPr>
          <w:sz w:val="24"/>
          <w:szCs w:val="24"/>
        </w:rPr>
      </w:pPr>
    </w:p>
    <w:p w14:paraId="5B2C2AFD" w14:textId="05550CF0" w:rsidR="00CC6E65" w:rsidRDefault="00D718A3" w:rsidP="00AC67CF">
      <w:pPr>
        <w:pStyle w:val="ListParagraph"/>
        <w:spacing w:line="360" w:lineRule="auto"/>
        <w:ind w:left="0" w:firstLine="1440"/>
        <w:rPr>
          <w:sz w:val="24"/>
          <w:szCs w:val="24"/>
        </w:rPr>
      </w:pPr>
      <w:r>
        <w:rPr>
          <w:sz w:val="24"/>
          <w:szCs w:val="24"/>
        </w:rPr>
        <w:lastRenderedPageBreak/>
        <w:t xml:space="preserve">The undersigned concludes that </w:t>
      </w:r>
      <w:r w:rsidR="00046EFA">
        <w:rPr>
          <w:sz w:val="24"/>
          <w:szCs w:val="24"/>
        </w:rPr>
        <w:t xml:space="preserve">Duquesne Light’s </w:t>
      </w:r>
      <w:r w:rsidR="0021214E">
        <w:rPr>
          <w:sz w:val="24"/>
          <w:szCs w:val="24"/>
        </w:rPr>
        <w:t xml:space="preserve">motion does not meet the legal standards for </w:t>
      </w:r>
      <w:r w:rsidR="00046EFA">
        <w:rPr>
          <w:sz w:val="24"/>
          <w:szCs w:val="24"/>
        </w:rPr>
        <w:t>judgment on the pleadings</w:t>
      </w:r>
      <w:r w:rsidR="0021214E">
        <w:rPr>
          <w:sz w:val="24"/>
          <w:szCs w:val="24"/>
        </w:rPr>
        <w:t xml:space="preserve"> and therefore it is denied below.  </w:t>
      </w:r>
    </w:p>
    <w:p w14:paraId="487A036D" w14:textId="77777777" w:rsidR="002467CA" w:rsidRDefault="002467CA" w:rsidP="00AC67CF">
      <w:pPr>
        <w:spacing w:line="360" w:lineRule="auto"/>
        <w:rPr>
          <w:sz w:val="24"/>
          <w:szCs w:val="24"/>
        </w:rPr>
      </w:pPr>
    </w:p>
    <w:p w14:paraId="0BE24C6F" w14:textId="77777777" w:rsidR="00493D39" w:rsidRPr="009E236F" w:rsidRDefault="00493D39" w:rsidP="00AC67CF">
      <w:pPr>
        <w:spacing w:line="360" w:lineRule="auto"/>
        <w:rPr>
          <w:sz w:val="24"/>
          <w:szCs w:val="24"/>
        </w:rPr>
      </w:pPr>
      <w:r w:rsidRPr="009E236F">
        <w:rPr>
          <w:sz w:val="24"/>
          <w:szCs w:val="24"/>
        </w:rPr>
        <w:tab/>
      </w:r>
      <w:r w:rsidRPr="009E236F">
        <w:rPr>
          <w:sz w:val="24"/>
          <w:szCs w:val="24"/>
        </w:rPr>
        <w:tab/>
        <w:t>THEREFORE</w:t>
      </w:r>
      <w:r w:rsidR="0025206D">
        <w:rPr>
          <w:sz w:val="24"/>
          <w:szCs w:val="24"/>
        </w:rPr>
        <w:t>,</w:t>
      </w:r>
    </w:p>
    <w:p w14:paraId="039AFE04" w14:textId="77777777" w:rsidR="00493D39" w:rsidRPr="009E236F" w:rsidRDefault="00493D39" w:rsidP="00AC67CF">
      <w:pPr>
        <w:spacing w:line="360" w:lineRule="auto"/>
        <w:rPr>
          <w:sz w:val="24"/>
          <w:szCs w:val="24"/>
        </w:rPr>
      </w:pPr>
    </w:p>
    <w:p w14:paraId="6C0FA210" w14:textId="77777777" w:rsidR="00493D39" w:rsidRPr="009E236F" w:rsidRDefault="00493D39" w:rsidP="00AC67CF">
      <w:pPr>
        <w:spacing w:line="360" w:lineRule="auto"/>
        <w:rPr>
          <w:sz w:val="24"/>
          <w:szCs w:val="24"/>
        </w:rPr>
      </w:pPr>
      <w:r w:rsidRPr="009E236F">
        <w:rPr>
          <w:sz w:val="24"/>
          <w:szCs w:val="24"/>
        </w:rPr>
        <w:tab/>
      </w:r>
      <w:r w:rsidRPr="009E236F">
        <w:rPr>
          <w:sz w:val="24"/>
          <w:szCs w:val="24"/>
        </w:rPr>
        <w:tab/>
        <w:t>IT IS ORDERED:</w:t>
      </w:r>
    </w:p>
    <w:p w14:paraId="2EC92C03" w14:textId="6FA79997" w:rsidR="00C45F08" w:rsidRDefault="006775E3" w:rsidP="00AC67CF">
      <w:pPr>
        <w:spacing w:line="360" w:lineRule="auto"/>
        <w:rPr>
          <w:sz w:val="24"/>
          <w:szCs w:val="24"/>
        </w:rPr>
      </w:pP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That the </w:t>
      </w:r>
      <w:r w:rsidR="00152B69">
        <w:rPr>
          <w:sz w:val="24"/>
          <w:szCs w:val="24"/>
        </w:rPr>
        <w:t xml:space="preserve">Motion </w:t>
      </w:r>
      <w:r w:rsidR="00042B12">
        <w:rPr>
          <w:sz w:val="24"/>
          <w:szCs w:val="24"/>
        </w:rPr>
        <w:t xml:space="preserve">of </w:t>
      </w:r>
      <w:r w:rsidR="007243E9">
        <w:rPr>
          <w:sz w:val="24"/>
          <w:szCs w:val="24"/>
        </w:rPr>
        <w:t>Duquesne Light Company for Judgment on the Pleadings a</w:t>
      </w:r>
      <w:r w:rsidR="000C7898">
        <w:rPr>
          <w:sz w:val="24"/>
          <w:szCs w:val="24"/>
        </w:rPr>
        <w:t>t Docket No. C-201</w:t>
      </w:r>
      <w:r w:rsidR="00CA5539">
        <w:rPr>
          <w:sz w:val="24"/>
          <w:szCs w:val="24"/>
        </w:rPr>
        <w:t>9-3011279</w:t>
      </w:r>
      <w:r w:rsidR="00152B69">
        <w:rPr>
          <w:sz w:val="24"/>
          <w:szCs w:val="24"/>
        </w:rPr>
        <w:t>,</w:t>
      </w:r>
      <w:r w:rsidRPr="009E236F">
        <w:rPr>
          <w:sz w:val="24"/>
          <w:szCs w:val="24"/>
        </w:rPr>
        <w:t xml:space="preserve"> </w:t>
      </w:r>
      <w:r w:rsidR="005232FB">
        <w:rPr>
          <w:sz w:val="24"/>
          <w:szCs w:val="24"/>
        </w:rPr>
        <w:t>is</w:t>
      </w:r>
      <w:r w:rsidRPr="009E236F">
        <w:rPr>
          <w:sz w:val="24"/>
          <w:szCs w:val="24"/>
        </w:rPr>
        <w:t xml:space="preserve"> </w:t>
      </w:r>
      <w:r w:rsidR="00462D72">
        <w:rPr>
          <w:sz w:val="24"/>
          <w:szCs w:val="24"/>
        </w:rPr>
        <w:t>denied</w:t>
      </w:r>
      <w:r w:rsidR="000C7898">
        <w:rPr>
          <w:sz w:val="24"/>
          <w:szCs w:val="24"/>
        </w:rPr>
        <w:t xml:space="preserve">.  </w:t>
      </w:r>
      <w:r w:rsidR="00493D39" w:rsidRPr="009E236F">
        <w:rPr>
          <w:sz w:val="24"/>
          <w:szCs w:val="24"/>
        </w:rPr>
        <w:tab/>
      </w:r>
      <w:r w:rsidR="00493D39" w:rsidRPr="009E236F">
        <w:rPr>
          <w:sz w:val="24"/>
          <w:szCs w:val="24"/>
        </w:rPr>
        <w:tab/>
      </w:r>
      <w:r w:rsidR="000C7898">
        <w:rPr>
          <w:sz w:val="24"/>
          <w:szCs w:val="24"/>
        </w:rPr>
        <w:t xml:space="preserve">   </w:t>
      </w:r>
    </w:p>
    <w:p w14:paraId="76AA2DA7" w14:textId="4E6CEF74" w:rsidR="002467CA" w:rsidRDefault="002467CA" w:rsidP="00AC67CF">
      <w:pPr>
        <w:spacing w:line="360" w:lineRule="auto"/>
        <w:rPr>
          <w:sz w:val="24"/>
          <w:szCs w:val="24"/>
        </w:rPr>
      </w:pPr>
    </w:p>
    <w:p w14:paraId="442B1DBE" w14:textId="77777777" w:rsidR="00752AA9" w:rsidRDefault="00752AA9" w:rsidP="00AC67CF">
      <w:pPr>
        <w:spacing w:line="360" w:lineRule="auto"/>
        <w:rPr>
          <w:sz w:val="24"/>
          <w:szCs w:val="24"/>
        </w:rPr>
      </w:pPr>
    </w:p>
    <w:p w14:paraId="79A65334" w14:textId="0BBC35E9" w:rsidR="001F6037" w:rsidRPr="003C6AF4" w:rsidRDefault="00DD3605" w:rsidP="001F6037">
      <w:r w:rsidRPr="009E236F">
        <w:rPr>
          <w:sz w:val="24"/>
          <w:szCs w:val="24"/>
        </w:rPr>
        <w:t>Date:</w:t>
      </w:r>
      <w:r w:rsidR="00D124C5">
        <w:rPr>
          <w:sz w:val="24"/>
          <w:szCs w:val="24"/>
        </w:rPr>
        <w:t xml:space="preserve">  </w:t>
      </w:r>
      <w:r w:rsidR="00462D72">
        <w:rPr>
          <w:sz w:val="24"/>
          <w:szCs w:val="24"/>
          <w:u w:val="single"/>
        </w:rPr>
        <w:t>September 6,</w:t>
      </w:r>
      <w:r w:rsidR="00752AA9">
        <w:rPr>
          <w:sz w:val="24"/>
          <w:szCs w:val="24"/>
          <w:u w:val="single"/>
        </w:rPr>
        <w:t xml:space="preserve"> </w:t>
      </w:r>
      <w:r w:rsidR="00462D72">
        <w:rPr>
          <w:sz w:val="24"/>
          <w:szCs w:val="24"/>
          <w:u w:val="single"/>
        </w:rPr>
        <w:t>2019</w:t>
      </w:r>
      <w:r w:rsidRPr="009E236F">
        <w:rPr>
          <w:sz w:val="24"/>
          <w:szCs w:val="24"/>
        </w:rPr>
        <w:tab/>
      </w:r>
      <w:r w:rsidRPr="009E236F">
        <w:rPr>
          <w:sz w:val="24"/>
          <w:szCs w:val="24"/>
        </w:rPr>
        <w:tab/>
      </w:r>
      <w:r w:rsidRPr="009E236F">
        <w:rPr>
          <w:sz w:val="24"/>
          <w:szCs w:val="24"/>
        </w:rPr>
        <w:tab/>
      </w:r>
      <w:r w:rsidR="000C7898">
        <w:rPr>
          <w:sz w:val="24"/>
          <w:szCs w:val="24"/>
        </w:rPr>
        <w:tab/>
      </w:r>
      <w:r w:rsidR="001F6037" w:rsidRPr="009C6D70">
        <w:rPr>
          <w:u w:val="single"/>
        </w:rPr>
        <w:tab/>
      </w:r>
      <w:r w:rsidR="001F6037" w:rsidRPr="009C6D70">
        <w:rPr>
          <w:u w:val="single"/>
        </w:rPr>
        <w:tab/>
      </w:r>
      <w:r w:rsidR="001F6037" w:rsidRPr="003C6AF4">
        <w:rPr>
          <w:u w:val="single"/>
        </w:rPr>
        <w:t>/s/</w:t>
      </w:r>
      <w:r w:rsidR="001F6037" w:rsidRPr="003C6AF4">
        <w:rPr>
          <w:u w:val="single"/>
        </w:rPr>
        <w:tab/>
      </w:r>
      <w:r w:rsidR="001F6037" w:rsidRPr="003C6AF4">
        <w:rPr>
          <w:u w:val="single"/>
        </w:rPr>
        <w:tab/>
      </w:r>
      <w:r w:rsidR="001F6037" w:rsidRPr="003C6AF4">
        <w:rPr>
          <w:u w:val="single"/>
        </w:rPr>
        <w:tab/>
      </w:r>
      <w:r w:rsidR="001F6037" w:rsidRPr="003C6AF4">
        <w:rPr>
          <w:u w:val="single"/>
        </w:rPr>
        <w:tab/>
      </w:r>
    </w:p>
    <w:p w14:paraId="7CD2F5B0" w14:textId="77777777"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0C7898">
        <w:rPr>
          <w:sz w:val="24"/>
          <w:szCs w:val="24"/>
        </w:rPr>
        <w:t>Mark A. Hoyer</w:t>
      </w:r>
    </w:p>
    <w:p w14:paraId="6A5EE0BE" w14:textId="066641F0" w:rsidR="001F6037" w:rsidRDefault="00DD3605" w:rsidP="00462D72">
      <w:pPr>
        <w:ind w:hanging="720"/>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E45B3C" w:rsidRPr="009E236F">
        <w:rPr>
          <w:sz w:val="24"/>
          <w:szCs w:val="24"/>
        </w:rPr>
        <w:tab/>
      </w:r>
      <w:r w:rsidR="007243E9">
        <w:rPr>
          <w:sz w:val="24"/>
          <w:szCs w:val="24"/>
        </w:rPr>
        <w:t xml:space="preserve">Deputy Chief </w:t>
      </w:r>
      <w:r w:rsidRPr="009E236F">
        <w:rPr>
          <w:sz w:val="24"/>
          <w:szCs w:val="24"/>
        </w:rPr>
        <w:t>Administrative Law Judge</w:t>
      </w:r>
    </w:p>
    <w:p w14:paraId="620B813D" w14:textId="77777777" w:rsidR="004F06F7" w:rsidRDefault="004F06F7" w:rsidP="007243E9">
      <w:pPr>
        <w:ind w:hanging="720"/>
        <w:rPr>
          <w:sz w:val="24"/>
          <w:szCs w:val="24"/>
        </w:rPr>
        <w:sectPr w:rsidR="004F06F7" w:rsidSect="002C548E">
          <w:footerReference w:type="default" r:id="rId7"/>
          <w:pgSz w:w="12240" w:h="15840"/>
          <w:pgMar w:top="1440" w:right="1440" w:bottom="1152" w:left="1440" w:header="720" w:footer="720" w:gutter="0"/>
          <w:cols w:space="720"/>
          <w:titlePg/>
          <w:docGrid w:linePitch="360"/>
        </w:sectPr>
      </w:pPr>
    </w:p>
    <w:p w14:paraId="60D631B1" w14:textId="77777777" w:rsidR="0092098C" w:rsidRPr="0092098C" w:rsidRDefault="0092098C" w:rsidP="0092098C">
      <w:pPr>
        <w:rPr>
          <w:rFonts w:ascii="Calibri" w:hAnsi="Calibri"/>
          <w:sz w:val="22"/>
          <w:szCs w:val="22"/>
        </w:rPr>
      </w:pPr>
      <w:r w:rsidRPr="0092098C">
        <w:rPr>
          <w:rFonts w:ascii="Microsoft Sans Serif" w:eastAsia="Microsoft Sans Serif" w:hAnsi="Microsoft Sans Serif" w:cs="Microsoft Sans Serif"/>
          <w:b/>
          <w:sz w:val="24"/>
          <w:szCs w:val="22"/>
          <w:u w:val="single"/>
        </w:rPr>
        <w:lastRenderedPageBreak/>
        <w:t>C-2019-3011279 - EDWARD PAYNE V. DUQUESNE LIGHT COMPANY</w:t>
      </w:r>
      <w:r w:rsidRPr="0092098C">
        <w:rPr>
          <w:rFonts w:ascii="Microsoft Sans Serif" w:eastAsia="Microsoft Sans Serif" w:hAnsi="Microsoft Sans Serif" w:cs="Microsoft Sans Serif"/>
          <w:b/>
          <w:sz w:val="24"/>
          <w:szCs w:val="22"/>
          <w:u w:val="single"/>
        </w:rPr>
        <w:cr/>
      </w:r>
      <w:r w:rsidRPr="0092098C">
        <w:rPr>
          <w:rFonts w:ascii="Microsoft Sans Serif" w:eastAsia="Microsoft Sans Serif" w:hAnsi="Microsoft Sans Serif" w:cs="Microsoft Sans Serif"/>
          <w:b/>
          <w:sz w:val="24"/>
          <w:szCs w:val="22"/>
          <w:u w:val="single"/>
        </w:rPr>
        <w:cr/>
      </w:r>
      <w:r w:rsidRPr="0092098C">
        <w:rPr>
          <w:rFonts w:ascii="Microsoft Sans Serif" w:eastAsia="Microsoft Sans Serif" w:hAnsi="Microsoft Sans Serif" w:cs="Microsoft Sans Serif"/>
          <w:sz w:val="24"/>
          <w:szCs w:val="22"/>
        </w:rPr>
        <w:t>EDWARD PAYNE</w:t>
      </w:r>
      <w:r w:rsidRPr="0092098C">
        <w:rPr>
          <w:rFonts w:ascii="Microsoft Sans Serif" w:eastAsia="Microsoft Sans Serif" w:hAnsi="Microsoft Sans Serif" w:cs="Microsoft Sans Serif"/>
          <w:sz w:val="24"/>
          <w:szCs w:val="22"/>
        </w:rPr>
        <w:cr/>
        <w:t>829 BLOSSOM WAY</w:t>
      </w:r>
      <w:r w:rsidRPr="0092098C">
        <w:rPr>
          <w:rFonts w:ascii="Microsoft Sans Serif" w:eastAsia="Microsoft Sans Serif" w:hAnsi="Microsoft Sans Serif" w:cs="Microsoft Sans Serif"/>
          <w:sz w:val="24"/>
          <w:szCs w:val="22"/>
        </w:rPr>
        <w:cr/>
        <w:t>PITTSBURGH PA  15212</w:t>
      </w:r>
      <w:r w:rsidRPr="0092098C">
        <w:rPr>
          <w:rFonts w:ascii="Microsoft Sans Serif" w:eastAsia="Microsoft Sans Serif" w:hAnsi="Microsoft Sans Serif" w:cs="Microsoft Sans Serif"/>
          <w:sz w:val="24"/>
          <w:szCs w:val="22"/>
        </w:rPr>
        <w:cr/>
      </w:r>
      <w:r w:rsidRPr="0092098C">
        <w:rPr>
          <w:rFonts w:ascii="Microsoft Sans Serif" w:eastAsia="Microsoft Sans Serif" w:hAnsi="Microsoft Sans Serif" w:cs="Microsoft Sans Serif"/>
          <w:b/>
          <w:bCs/>
          <w:sz w:val="24"/>
          <w:szCs w:val="22"/>
        </w:rPr>
        <w:t>412.694.3018</w:t>
      </w:r>
      <w:r w:rsidRPr="0092098C">
        <w:rPr>
          <w:rFonts w:ascii="Microsoft Sans Serif" w:eastAsia="Microsoft Sans Serif" w:hAnsi="Microsoft Sans Serif" w:cs="Microsoft Sans Serif"/>
          <w:b/>
          <w:bCs/>
          <w:sz w:val="24"/>
          <w:szCs w:val="22"/>
        </w:rPr>
        <w:cr/>
      </w:r>
      <w:r w:rsidRPr="0092098C">
        <w:rPr>
          <w:rFonts w:ascii="Microsoft Sans Serif" w:eastAsia="Microsoft Sans Serif" w:hAnsi="Microsoft Sans Serif" w:cs="Microsoft Sans Serif"/>
          <w:sz w:val="24"/>
          <w:szCs w:val="22"/>
        </w:rPr>
        <w:cr/>
        <w:t>EMILY M FARAH COUNSEL</w:t>
      </w:r>
      <w:r w:rsidRPr="0092098C">
        <w:rPr>
          <w:rFonts w:ascii="Microsoft Sans Serif" w:eastAsia="Microsoft Sans Serif" w:hAnsi="Microsoft Sans Serif" w:cs="Microsoft Sans Serif"/>
          <w:sz w:val="24"/>
          <w:szCs w:val="22"/>
        </w:rPr>
        <w:cr/>
        <w:t>DUQUESNE LIGHT COMPANY</w:t>
      </w:r>
      <w:r w:rsidRPr="0092098C">
        <w:rPr>
          <w:rFonts w:ascii="Microsoft Sans Serif" w:eastAsia="Microsoft Sans Serif" w:hAnsi="Microsoft Sans Serif" w:cs="Microsoft Sans Serif"/>
          <w:sz w:val="24"/>
          <w:szCs w:val="22"/>
        </w:rPr>
        <w:cr/>
        <w:t>411 SEVENTH AVENUE</w:t>
      </w:r>
      <w:r w:rsidRPr="0092098C">
        <w:rPr>
          <w:rFonts w:ascii="Microsoft Sans Serif" w:eastAsia="Microsoft Sans Serif" w:hAnsi="Microsoft Sans Serif" w:cs="Microsoft Sans Serif"/>
          <w:sz w:val="24"/>
          <w:szCs w:val="22"/>
        </w:rPr>
        <w:cr/>
        <w:t>PITTSBURGH PA  15219</w:t>
      </w:r>
      <w:r w:rsidRPr="0092098C">
        <w:rPr>
          <w:rFonts w:ascii="Microsoft Sans Serif" w:eastAsia="Microsoft Sans Serif" w:hAnsi="Microsoft Sans Serif" w:cs="Microsoft Sans Serif"/>
          <w:sz w:val="24"/>
          <w:szCs w:val="22"/>
        </w:rPr>
        <w:cr/>
      </w:r>
      <w:r w:rsidRPr="0092098C">
        <w:rPr>
          <w:rFonts w:ascii="Microsoft Sans Serif" w:eastAsia="Microsoft Sans Serif" w:hAnsi="Microsoft Sans Serif" w:cs="Microsoft Sans Serif"/>
          <w:b/>
          <w:bCs/>
          <w:sz w:val="24"/>
          <w:szCs w:val="22"/>
        </w:rPr>
        <w:t>412.393.6431</w:t>
      </w:r>
      <w:r w:rsidRPr="0092098C">
        <w:rPr>
          <w:rFonts w:ascii="Microsoft Sans Serif" w:eastAsia="Microsoft Sans Serif" w:hAnsi="Microsoft Sans Serif" w:cs="Microsoft Sans Serif"/>
          <w:b/>
          <w:bCs/>
          <w:sz w:val="24"/>
          <w:szCs w:val="22"/>
        </w:rPr>
        <w:br/>
      </w:r>
      <w:r w:rsidRPr="0092098C">
        <w:rPr>
          <w:rFonts w:ascii="Microsoft Sans Serif" w:eastAsia="Microsoft Sans Serif" w:hAnsi="Microsoft Sans Serif" w:cs="Microsoft Sans Serif"/>
          <w:b/>
          <w:bCs/>
          <w:i/>
          <w:iCs/>
          <w:sz w:val="24"/>
          <w:szCs w:val="22"/>
          <w:u w:val="single"/>
        </w:rPr>
        <w:t>ACCEPTS E-SERVICE</w:t>
      </w:r>
      <w:r w:rsidRPr="0092098C">
        <w:rPr>
          <w:rFonts w:ascii="Microsoft Sans Serif" w:eastAsia="Microsoft Sans Serif" w:hAnsi="Microsoft Sans Serif" w:cs="Microsoft Sans Serif"/>
          <w:b/>
          <w:bCs/>
          <w:i/>
          <w:iCs/>
          <w:sz w:val="24"/>
          <w:szCs w:val="22"/>
          <w:u w:val="single"/>
        </w:rPr>
        <w:cr/>
      </w:r>
    </w:p>
    <w:p w14:paraId="54E0C8E4" w14:textId="6CADC92C" w:rsidR="006539B5" w:rsidRDefault="006539B5" w:rsidP="007243E9">
      <w:pPr>
        <w:ind w:hanging="720"/>
        <w:rPr>
          <w:sz w:val="24"/>
          <w:szCs w:val="24"/>
        </w:rPr>
      </w:pPr>
    </w:p>
    <w:sectPr w:rsidR="006539B5" w:rsidSect="002C548E">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9F2F0" w14:textId="77777777" w:rsidR="00CE028C" w:rsidRDefault="00CE028C" w:rsidP="007237C5">
      <w:r>
        <w:separator/>
      </w:r>
    </w:p>
  </w:endnote>
  <w:endnote w:type="continuationSeparator" w:id="0">
    <w:p w14:paraId="798B87B9" w14:textId="77777777" w:rsidR="00CE028C" w:rsidRDefault="00CE028C" w:rsidP="0072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628889"/>
      <w:docPartObj>
        <w:docPartGallery w:val="Page Numbers (Bottom of Page)"/>
        <w:docPartUnique/>
      </w:docPartObj>
    </w:sdtPr>
    <w:sdtEndPr>
      <w:rPr>
        <w:sz w:val="20"/>
        <w:szCs w:val="20"/>
      </w:rPr>
    </w:sdtEndPr>
    <w:sdtContent>
      <w:p w14:paraId="42B4B65B" w14:textId="77777777" w:rsidR="00CE053C" w:rsidRDefault="00720ACD">
        <w:pPr>
          <w:pStyle w:val="Footer"/>
          <w:jc w:val="center"/>
        </w:pPr>
        <w:r w:rsidRPr="00C72CBB">
          <w:rPr>
            <w:sz w:val="20"/>
            <w:szCs w:val="20"/>
          </w:rPr>
          <w:fldChar w:fldCharType="begin"/>
        </w:r>
        <w:r w:rsidR="00CE053C" w:rsidRPr="00C72CBB">
          <w:rPr>
            <w:sz w:val="20"/>
            <w:szCs w:val="20"/>
          </w:rPr>
          <w:instrText xml:space="preserve"> PAGE   \* MERGEFORMAT </w:instrText>
        </w:r>
        <w:r w:rsidRPr="00C72CBB">
          <w:rPr>
            <w:sz w:val="20"/>
            <w:szCs w:val="20"/>
          </w:rPr>
          <w:fldChar w:fldCharType="separate"/>
        </w:r>
        <w:r w:rsidR="008C0B9B">
          <w:rPr>
            <w:noProof/>
            <w:sz w:val="20"/>
            <w:szCs w:val="20"/>
          </w:rPr>
          <w:t>6</w:t>
        </w:r>
        <w:r w:rsidRPr="00C72CB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CACEA" w14:textId="77777777" w:rsidR="00CE028C" w:rsidRDefault="00CE028C" w:rsidP="007237C5">
      <w:r>
        <w:separator/>
      </w:r>
    </w:p>
  </w:footnote>
  <w:footnote w:type="continuationSeparator" w:id="0">
    <w:p w14:paraId="46125C78" w14:textId="77777777" w:rsidR="00CE028C" w:rsidRDefault="00CE028C" w:rsidP="007237C5">
      <w:r>
        <w:continuationSeparator/>
      </w:r>
    </w:p>
  </w:footnote>
  <w:footnote w:id="1">
    <w:p w14:paraId="28E990FD" w14:textId="61CDE8BD" w:rsidR="007A7647" w:rsidRDefault="007A7647" w:rsidP="00B645EE">
      <w:pPr>
        <w:pStyle w:val="FootnoteText"/>
      </w:pPr>
      <w:r>
        <w:rPr>
          <w:rStyle w:val="FootnoteReference"/>
        </w:rPr>
        <w:footnoteRef/>
      </w:r>
      <w:r>
        <w:t xml:space="preserve"> </w:t>
      </w:r>
      <w:r>
        <w:tab/>
        <w:t>52 Pa.Code</w:t>
      </w:r>
      <w:bookmarkStart w:id="0" w:name="_GoBack"/>
      <w:bookmarkEnd w:id="0"/>
      <w:r>
        <w:t xml:space="preserve"> §</w:t>
      </w:r>
      <w:r w:rsidR="00CF2A91">
        <w:t xml:space="preserve"> </w:t>
      </w:r>
      <w:r>
        <w:t>5.101-103.</w:t>
      </w:r>
    </w:p>
    <w:p w14:paraId="236C0E6E" w14:textId="77777777" w:rsidR="00C204ED" w:rsidRDefault="00C204ED" w:rsidP="00B645EE">
      <w:pPr>
        <w:pStyle w:val="FootnoteText"/>
      </w:pPr>
    </w:p>
  </w:footnote>
  <w:footnote w:id="2">
    <w:p w14:paraId="0372679C" w14:textId="77777777" w:rsidR="007A7647" w:rsidRDefault="007A7647" w:rsidP="00B645EE">
      <w:pPr>
        <w:pStyle w:val="FootnoteText"/>
      </w:pPr>
      <w:r>
        <w:rPr>
          <w:rStyle w:val="FootnoteReference"/>
        </w:rPr>
        <w:footnoteRef/>
      </w:r>
      <w:r>
        <w:t xml:space="preserve"> </w:t>
      </w:r>
      <w:r>
        <w:tab/>
        <w:t>52 Pa.Code §</w:t>
      </w:r>
      <w:r w:rsidR="00CF2A91">
        <w:t xml:space="preserve"> </w:t>
      </w:r>
      <w:r>
        <w:t>5.102(c).</w:t>
      </w:r>
    </w:p>
    <w:p w14:paraId="56FD7063" w14:textId="77777777" w:rsidR="005E7410" w:rsidRDefault="005E7410" w:rsidP="00B645EE">
      <w:pPr>
        <w:pStyle w:val="FootnoteText"/>
      </w:pPr>
    </w:p>
  </w:footnote>
  <w:footnote w:id="3">
    <w:p w14:paraId="53CD5FF4" w14:textId="77777777" w:rsidR="007A7647" w:rsidRDefault="007A7647" w:rsidP="00B645EE">
      <w:pPr>
        <w:pStyle w:val="FootnoteText"/>
      </w:pPr>
      <w:r>
        <w:rPr>
          <w:rStyle w:val="FootnoteReference"/>
        </w:rPr>
        <w:footnoteRef/>
      </w:r>
      <w:r>
        <w:t xml:space="preserve"> </w:t>
      </w:r>
      <w:r>
        <w:tab/>
        <w:t>52 Pa.Code §</w:t>
      </w:r>
      <w:r w:rsidR="00634524">
        <w:t xml:space="preserve"> </w:t>
      </w:r>
      <w:r>
        <w:t xml:space="preserve">5.102(d)(1).  </w:t>
      </w:r>
    </w:p>
    <w:p w14:paraId="08E6F341" w14:textId="77777777" w:rsidR="00DA6B40" w:rsidRDefault="00DA6B40" w:rsidP="00B645EE">
      <w:pPr>
        <w:pStyle w:val="FootnoteText"/>
      </w:pPr>
    </w:p>
  </w:footnote>
  <w:footnote w:id="4">
    <w:p w14:paraId="1F0EAF66" w14:textId="68C54FD1" w:rsidR="007A7647" w:rsidRDefault="007A7647" w:rsidP="00B645EE">
      <w:pPr>
        <w:pStyle w:val="FootnoteText"/>
      </w:pPr>
      <w:r>
        <w:rPr>
          <w:rStyle w:val="FootnoteReference"/>
        </w:rPr>
        <w:footnoteRef/>
      </w:r>
      <w:r>
        <w:t xml:space="preserve"> </w:t>
      </w:r>
      <w:r>
        <w:tab/>
      </w:r>
      <w:r w:rsidRPr="001F31F9">
        <w:rPr>
          <w:i/>
        </w:rPr>
        <w:t>First Mortgage Co. of Pennsylvania v. McCall</w:t>
      </w:r>
      <w:r>
        <w:t>, 459 A.2d 406 (Pa.Super</w:t>
      </w:r>
      <w:r w:rsidR="009E1F58">
        <w:t xml:space="preserve">.  </w:t>
      </w:r>
      <w:r>
        <w:t xml:space="preserve">1983); </w:t>
      </w:r>
      <w:r w:rsidRPr="001F31F9">
        <w:rPr>
          <w:i/>
        </w:rPr>
        <w:t>Mertz v. Lakatos</w:t>
      </w:r>
      <w:r>
        <w:t>, 381 A.2d 497 (Pa.Cmwlth</w:t>
      </w:r>
      <w:r w:rsidR="009E1F58">
        <w:t xml:space="preserve">.  </w:t>
      </w:r>
      <w:r>
        <w:t xml:space="preserve">1976).  </w:t>
      </w:r>
    </w:p>
    <w:p w14:paraId="116BAB08" w14:textId="77777777" w:rsidR="00DA6B40" w:rsidRDefault="00DA6B40" w:rsidP="00B645EE">
      <w:pPr>
        <w:pStyle w:val="FootnoteText"/>
      </w:pPr>
    </w:p>
  </w:footnote>
  <w:footnote w:id="5">
    <w:p w14:paraId="6A8D169D" w14:textId="77777777" w:rsidR="007A7647" w:rsidRDefault="007A7647" w:rsidP="00B645EE">
      <w:pPr>
        <w:pStyle w:val="FootnoteText"/>
      </w:pPr>
      <w:r>
        <w:rPr>
          <w:rStyle w:val="FootnoteReference"/>
        </w:rPr>
        <w:footnoteRef/>
      </w:r>
      <w:r>
        <w:t xml:space="preserve"> </w:t>
      </w:r>
      <w:r>
        <w:tab/>
      </w:r>
      <w:r w:rsidRPr="001F31F9">
        <w:rPr>
          <w:i/>
        </w:rPr>
        <w:t>Thomson Coal Company v. Pike Coal Company</w:t>
      </w:r>
      <w:r>
        <w:t>, 412 A.2d 466 (Pa. 1979).</w:t>
      </w:r>
    </w:p>
  </w:footnote>
  <w:footnote w:id="6">
    <w:p w14:paraId="41A97487" w14:textId="53849D7E" w:rsidR="00046EFA" w:rsidRDefault="00046EFA" w:rsidP="006D0DA2">
      <w:pPr>
        <w:pStyle w:val="FootnoteText"/>
      </w:pPr>
      <w:r>
        <w:rPr>
          <w:rStyle w:val="FootnoteReference"/>
        </w:rPr>
        <w:footnoteRef/>
      </w:r>
      <w:r>
        <w:t xml:space="preserve"> </w:t>
      </w:r>
      <w:r>
        <w:tab/>
      </w:r>
      <w:r w:rsidRPr="001F31F9">
        <w:rPr>
          <w:i/>
        </w:rPr>
        <w:t>First Mortgage Co. of Pennsylvania v. McCall</w:t>
      </w:r>
      <w:r>
        <w:t>, 459 A.2d 406 (Pa.Super</w:t>
      </w:r>
      <w:r w:rsidR="009E1F58">
        <w:t xml:space="preserve">.  </w:t>
      </w:r>
      <w:r>
        <w:t xml:space="preserve">1983); </w:t>
      </w:r>
      <w:r w:rsidRPr="001F31F9">
        <w:rPr>
          <w:i/>
        </w:rPr>
        <w:t>Mertz v. Lakatos</w:t>
      </w:r>
      <w:r>
        <w:t>, 381 A.2d 497 (Pa.Cmwlth</w:t>
      </w:r>
      <w:r w:rsidR="009E1F58">
        <w:t xml:space="preserve">.  </w:t>
      </w:r>
      <w:r>
        <w:t xml:space="preserve">1976).  </w:t>
      </w:r>
    </w:p>
    <w:p w14:paraId="1CE843AD" w14:textId="77777777" w:rsidR="00046EFA" w:rsidRDefault="00046EFA" w:rsidP="006D0DA2">
      <w:pPr>
        <w:pStyle w:val="FootnoteText"/>
      </w:pPr>
    </w:p>
  </w:footnote>
  <w:footnote w:id="7">
    <w:p w14:paraId="1578F527" w14:textId="740E9B68" w:rsidR="00046EFA" w:rsidRDefault="00046EFA" w:rsidP="006D0DA2">
      <w:pPr>
        <w:pStyle w:val="FootnoteText"/>
      </w:pPr>
      <w:r>
        <w:rPr>
          <w:rStyle w:val="FootnoteReference"/>
        </w:rPr>
        <w:footnoteRef/>
      </w:r>
      <w:r>
        <w:t xml:space="preserve"> </w:t>
      </w:r>
      <w:r>
        <w:tab/>
      </w:r>
      <w:r w:rsidRPr="001F31F9">
        <w:rPr>
          <w:i/>
        </w:rPr>
        <w:t>Thomson Coal Company v. Pike Coal Company</w:t>
      </w:r>
      <w:r>
        <w:t>, 412 A.2d 466 (Pa.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05"/>
    <w:rsid w:val="00000B68"/>
    <w:rsid w:val="000068DD"/>
    <w:rsid w:val="0000764F"/>
    <w:rsid w:val="00014095"/>
    <w:rsid w:val="000172AC"/>
    <w:rsid w:val="00017703"/>
    <w:rsid w:val="00020616"/>
    <w:rsid w:val="00020ACF"/>
    <w:rsid w:val="00027D9B"/>
    <w:rsid w:val="00031580"/>
    <w:rsid w:val="000361C6"/>
    <w:rsid w:val="0004104F"/>
    <w:rsid w:val="00042B12"/>
    <w:rsid w:val="000453F0"/>
    <w:rsid w:val="000465FB"/>
    <w:rsid w:val="00046EFA"/>
    <w:rsid w:val="00051531"/>
    <w:rsid w:val="00051A42"/>
    <w:rsid w:val="000521CC"/>
    <w:rsid w:val="00062BBD"/>
    <w:rsid w:val="00065E2A"/>
    <w:rsid w:val="00065E73"/>
    <w:rsid w:val="00071466"/>
    <w:rsid w:val="0008097E"/>
    <w:rsid w:val="00081C45"/>
    <w:rsid w:val="00086142"/>
    <w:rsid w:val="000875CF"/>
    <w:rsid w:val="0009315C"/>
    <w:rsid w:val="00093946"/>
    <w:rsid w:val="000A0A31"/>
    <w:rsid w:val="000B28AF"/>
    <w:rsid w:val="000B32C8"/>
    <w:rsid w:val="000B615A"/>
    <w:rsid w:val="000B7C4C"/>
    <w:rsid w:val="000C7898"/>
    <w:rsid w:val="000D435C"/>
    <w:rsid w:val="000E3437"/>
    <w:rsid w:val="000E3C33"/>
    <w:rsid w:val="000E4B75"/>
    <w:rsid w:val="000E7CFC"/>
    <w:rsid w:val="000F17D0"/>
    <w:rsid w:val="000F78B9"/>
    <w:rsid w:val="00100967"/>
    <w:rsid w:val="0010462E"/>
    <w:rsid w:val="00104E2F"/>
    <w:rsid w:val="001059C3"/>
    <w:rsid w:val="00107446"/>
    <w:rsid w:val="00110162"/>
    <w:rsid w:val="0011388A"/>
    <w:rsid w:val="001139BF"/>
    <w:rsid w:val="00113C3C"/>
    <w:rsid w:val="0012103D"/>
    <w:rsid w:val="00123515"/>
    <w:rsid w:val="00127AFC"/>
    <w:rsid w:val="00131408"/>
    <w:rsid w:val="0013260C"/>
    <w:rsid w:val="00132676"/>
    <w:rsid w:val="001362F6"/>
    <w:rsid w:val="001375ED"/>
    <w:rsid w:val="00144A9C"/>
    <w:rsid w:val="00146666"/>
    <w:rsid w:val="00152B69"/>
    <w:rsid w:val="00155545"/>
    <w:rsid w:val="00156549"/>
    <w:rsid w:val="00156BD3"/>
    <w:rsid w:val="00157A98"/>
    <w:rsid w:val="001648D8"/>
    <w:rsid w:val="00166EF7"/>
    <w:rsid w:val="00170D92"/>
    <w:rsid w:val="00172CCF"/>
    <w:rsid w:val="00172EB1"/>
    <w:rsid w:val="00175A9B"/>
    <w:rsid w:val="00176DFF"/>
    <w:rsid w:val="0017718A"/>
    <w:rsid w:val="00177DEA"/>
    <w:rsid w:val="0018450B"/>
    <w:rsid w:val="0018501E"/>
    <w:rsid w:val="0018624F"/>
    <w:rsid w:val="001A2FF6"/>
    <w:rsid w:val="001A3B11"/>
    <w:rsid w:val="001A4593"/>
    <w:rsid w:val="001A731D"/>
    <w:rsid w:val="001A7AE4"/>
    <w:rsid w:val="001B13A4"/>
    <w:rsid w:val="001B327A"/>
    <w:rsid w:val="001B468F"/>
    <w:rsid w:val="001B59D0"/>
    <w:rsid w:val="001B6CBA"/>
    <w:rsid w:val="001C60DE"/>
    <w:rsid w:val="001C7B8E"/>
    <w:rsid w:val="001D28AE"/>
    <w:rsid w:val="001D355B"/>
    <w:rsid w:val="001E0DF2"/>
    <w:rsid w:val="001E4F6B"/>
    <w:rsid w:val="001F3FEC"/>
    <w:rsid w:val="001F5FE0"/>
    <w:rsid w:val="001F6037"/>
    <w:rsid w:val="001F6192"/>
    <w:rsid w:val="001F7687"/>
    <w:rsid w:val="00203174"/>
    <w:rsid w:val="002036DB"/>
    <w:rsid w:val="0020471C"/>
    <w:rsid w:val="0021214E"/>
    <w:rsid w:val="00213457"/>
    <w:rsid w:val="0021560B"/>
    <w:rsid w:val="002226E1"/>
    <w:rsid w:val="00222CDF"/>
    <w:rsid w:val="00230D85"/>
    <w:rsid w:val="002325DF"/>
    <w:rsid w:val="002357D9"/>
    <w:rsid w:val="00235B6C"/>
    <w:rsid w:val="00235F06"/>
    <w:rsid w:val="00243B5A"/>
    <w:rsid w:val="002467CA"/>
    <w:rsid w:val="00251461"/>
    <w:rsid w:val="00251AFF"/>
    <w:rsid w:val="00251D51"/>
    <w:rsid w:val="0025206D"/>
    <w:rsid w:val="0025276F"/>
    <w:rsid w:val="002531EB"/>
    <w:rsid w:val="00253546"/>
    <w:rsid w:val="00254902"/>
    <w:rsid w:val="00257EEB"/>
    <w:rsid w:val="00262889"/>
    <w:rsid w:val="002647AA"/>
    <w:rsid w:val="00264F64"/>
    <w:rsid w:val="00267C75"/>
    <w:rsid w:val="00270362"/>
    <w:rsid w:val="002870A9"/>
    <w:rsid w:val="00287328"/>
    <w:rsid w:val="00294E80"/>
    <w:rsid w:val="00297A4A"/>
    <w:rsid w:val="002A3CF4"/>
    <w:rsid w:val="002A7FA1"/>
    <w:rsid w:val="002B1C21"/>
    <w:rsid w:val="002B2079"/>
    <w:rsid w:val="002B2EE6"/>
    <w:rsid w:val="002B42FA"/>
    <w:rsid w:val="002B53C8"/>
    <w:rsid w:val="002C539B"/>
    <w:rsid w:val="002C548E"/>
    <w:rsid w:val="002C609A"/>
    <w:rsid w:val="002C70C0"/>
    <w:rsid w:val="002D12EC"/>
    <w:rsid w:val="002D31F4"/>
    <w:rsid w:val="002D6A4C"/>
    <w:rsid w:val="002D75C6"/>
    <w:rsid w:val="002E32B5"/>
    <w:rsid w:val="002E4F07"/>
    <w:rsid w:val="002E6958"/>
    <w:rsid w:val="002F019F"/>
    <w:rsid w:val="002F269B"/>
    <w:rsid w:val="002F52AF"/>
    <w:rsid w:val="003009DE"/>
    <w:rsid w:val="00304C14"/>
    <w:rsid w:val="00305F38"/>
    <w:rsid w:val="003073EE"/>
    <w:rsid w:val="00311384"/>
    <w:rsid w:val="00311460"/>
    <w:rsid w:val="00312033"/>
    <w:rsid w:val="0031226D"/>
    <w:rsid w:val="00313F43"/>
    <w:rsid w:val="00316202"/>
    <w:rsid w:val="00317B1C"/>
    <w:rsid w:val="00323C28"/>
    <w:rsid w:val="00323E8F"/>
    <w:rsid w:val="003277DB"/>
    <w:rsid w:val="00331361"/>
    <w:rsid w:val="00331482"/>
    <w:rsid w:val="003413DF"/>
    <w:rsid w:val="00341F77"/>
    <w:rsid w:val="00343410"/>
    <w:rsid w:val="0034382B"/>
    <w:rsid w:val="003449DD"/>
    <w:rsid w:val="00351AD2"/>
    <w:rsid w:val="00352155"/>
    <w:rsid w:val="003568DB"/>
    <w:rsid w:val="00360427"/>
    <w:rsid w:val="003618CD"/>
    <w:rsid w:val="0036195B"/>
    <w:rsid w:val="003627CB"/>
    <w:rsid w:val="0036596E"/>
    <w:rsid w:val="00366A60"/>
    <w:rsid w:val="00367C94"/>
    <w:rsid w:val="00371B51"/>
    <w:rsid w:val="00375267"/>
    <w:rsid w:val="00376BAB"/>
    <w:rsid w:val="00382291"/>
    <w:rsid w:val="0038241E"/>
    <w:rsid w:val="00384FE3"/>
    <w:rsid w:val="00386FBF"/>
    <w:rsid w:val="00390836"/>
    <w:rsid w:val="00394737"/>
    <w:rsid w:val="003A024E"/>
    <w:rsid w:val="003A0C8C"/>
    <w:rsid w:val="003A15DB"/>
    <w:rsid w:val="003A251A"/>
    <w:rsid w:val="003A3EEB"/>
    <w:rsid w:val="003B0425"/>
    <w:rsid w:val="003B28F4"/>
    <w:rsid w:val="003B32C5"/>
    <w:rsid w:val="003B363D"/>
    <w:rsid w:val="003B48F6"/>
    <w:rsid w:val="003B5DC2"/>
    <w:rsid w:val="003B5F87"/>
    <w:rsid w:val="003B67C1"/>
    <w:rsid w:val="003C3DA6"/>
    <w:rsid w:val="003D58C8"/>
    <w:rsid w:val="003D6748"/>
    <w:rsid w:val="003D7BBA"/>
    <w:rsid w:val="003E12A9"/>
    <w:rsid w:val="003E60C1"/>
    <w:rsid w:val="003E7B2E"/>
    <w:rsid w:val="003F0D0A"/>
    <w:rsid w:val="003F17AC"/>
    <w:rsid w:val="003F480E"/>
    <w:rsid w:val="00400003"/>
    <w:rsid w:val="00402FD8"/>
    <w:rsid w:val="00410C10"/>
    <w:rsid w:val="004116D3"/>
    <w:rsid w:val="00412D44"/>
    <w:rsid w:val="004132CF"/>
    <w:rsid w:val="00413DFB"/>
    <w:rsid w:val="00414ACC"/>
    <w:rsid w:val="004161DA"/>
    <w:rsid w:val="004164FE"/>
    <w:rsid w:val="00421719"/>
    <w:rsid w:val="00421EDB"/>
    <w:rsid w:val="0042367A"/>
    <w:rsid w:val="004337A3"/>
    <w:rsid w:val="004461BA"/>
    <w:rsid w:val="00447265"/>
    <w:rsid w:val="00452DC3"/>
    <w:rsid w:val="00461BE2"/>
    <w:rsid w:val="004629D8"/>
    <w:rsid w:val="00462D72"/>
    <w:rsid w:val="0046613C"/>
    <w:rsid w:val="00466412"/>
    <w:rsid w:val="00472390"/>
    <w:rsid w:val="00476645"/>
    <w:rsid w:val="00476AA5"/>
    <w:rsid w:val="00477308"/>
    <w:rsid w:val="00477B5E"/>
    <w:rsid w:val="00491969"/>
    <w:rsid w:val="00493D39"/>
    <w:rsid w:val="00494177"/>
    <w:rsid w:val="00495A17"/>
    <w:rsid w:val="004A4630"/>
    <w:rsid w:val="004A4A83"/>
    <w:rsid w:val="004A4A92"/>
    <w:rsid w:val="004A55D1"/>
    <w:rsid w:val="004A5D58"/>
    <w:rsid w:val="004B3536"/>
    <w:rsid w:val="004B3B38"/>
    <w:rsid w:val="004B4B45"/>
    <w:rsid w:val="004C07D2"/>
    <w:rsid w:val="004C2794"/>
    <w:rsid w:val="004C5553"/>
    <w:rsid w:val="004D022E"/>
    <w:rsid w:val="004D29DB"/>
    <w:rsid w:val="004D4447"/>
    <w:rsid w:val="004E133C"/>
    <w:rsid w:val="004E1A8C"/>
    <w:rsid w:val="004E2D63"/>
    <w:rsid w:val="004E4202"/>
    <w:rsid w:val="004F06F7"/>
    <w:rsid w:val="004F51B0"/>
    <w:rsid w:val="004F6C8E"/>
    <w:rsid w:val="00502143"/>
    <w:rsid w:val="005028FF"/>
    <w:rsid w:val="00504287"/>
    <w:rsid w:val="00506301"/>
    <w:rsid w:val="005074C3"/>
    <w:rsid w:val="0051072B"/>
    <w:rsid w:val="005230F1"/>
    <w:rsid w:val="005232FB"/>
    <w:rsid w:val="00523C09"/>
    <w:rsid w:val="00532616"/>
    <w:rsid w:val="005352D3"/>
    <w:rsid w:val="00540ACE"/>
    <w:rsid w:val="005475EC"/>
    <w:rsid w:val="0055134B"/>
    <w:rsid w:val="00552D9B"/>
    <w:rsid w:val="0055746B"/>
    <w:rsid w:val="00562956"/>
    <w:rsid w:val="00564484"/>
    <w:rsid w:val="00567509"/>
    <w:rsid w:val="005726A6"/>
    <w:rsid w:val="00582365"/>
    <w:rsid w:val="00582CD8"/>
    <w:rsid w:val="0058784C"/>
    <w:rsid w:val="00590965"/>
    <w:rsid w:val="0059506A"/>
    <w:rsid w:val="00595B6A"/>
    <w:rsid w:val="005A0C0F"/>
    <w:rsid w:val="005A49A2"/>
    <w:rsid w:val="005B2D8D"/>
    <w:rsid w:val="005B34B9"/>
    <w:rsid w:val="005B4379"/>
    <w:rsid w:val="005B53A8"/>
    <w:rsid w:val="005B692D"/>
    <w:rsid w:val="005B6B5D"/>
    <w:rsid w:val="005B6C2B"/>
    <w:rsid w:val="005C1A15"/>
    <w:rsid w:val="005C2E38"/>
    <w:rsid w:val="005C319B"/>
    <w:rsid w:val="005D0346"/>
    <w:rsid w:val="005D1CEB"/>
    <w:rsid w:val="005D2D39"/>
    <w:rsid w:val="005E2080"/>
    <w:rsid w:val="005E6244"/>
    <w:rsid w:val="005E6784"/>
    <w:rsid w:val="005E7410"/>
    <w:rsid w:val="005F0C32"/>
    <w:rsid w:val="005F3A81"/>
    <w:rsid w:val="005F659B"/>
    <w:rsid w:val="005F6D34"/>
    <w:rsid w:val="005F6F2D"/>
    <w:rsid w:val="005F764E"/>
    <w:rsid w:val="00601976"/>
    <w:rsid w:val="00603A26"/>
    <w:rsid w:val="00610B4E"/>
    <w:rsid w:val="006149FB"/>
    <w:rsid w:val="00615697"/>
    <w:rsid w:val="00617E46"/>
    <w:rsid w:val="0062344C"/>
    <w:rsid w:val="00626705"/>
    <w:rsid w:val="00630B12"/>
    <w:rsid w:val="00632286"/>
    <w:rsid w:val="006339E4"/>
    <w:rsid w:val="00634524"/>
    <w:rsid w:val="006346FB"/>
    <w:rsid w:val="00636C19"/>
    <w:rsid w:val="00641F63"/>
    <w:rsid w:val="00642625"/>
    <w:rsid w:val="00647443"/>
    <w:rsid w:val="00647457"/>
    <w:rsid w:val="006533A4"/>
    <w:rsid w:val="006539B5"/>
    <w:rsid w:val="00653B68"/>
    <w:rsid w:val="00655B19"/>
    <w:rsid w:val="0066186C"/>
    <w:rsid w:val="00665AEC"/>
    <w:rsid w:val="00667FCA"/>
    <w:rsid w:val="00672A76"/>
    <w:rsid w:val="00672BA8"/>
    <w:rsid w:val="00672D17"/>
    <w:rsid w:val="0067453B"/>
    <w:rsid w:val="00676751"/>
    <w:rsid w:val="00676817"/>
    <w:rsid w:val="00676D90"/>
    <w:rsid w:val="006775E3"/>
    <w:rsid w:val="006813B4"/>
    <w:rsid w:val="006826C5"/>
    <w:rsid w:val="00682A5B"/>
    <w:rsid w:val="006843A8"/>
    <w:rsid w:val="006900D5"/>
    <w:rsid w:val="0069027E"/>
    <w:rsid w:val="00690843"/>
    <w:rsid w:val="00692368"/>
    <w:rsid w:val="00692CE6"/>
    <w:rsid w:val="006933E4"/>
    <w:rsid w:val="00693638"/>
    <w:rsid w:val="006969C8"/>
    <w:rsid w:val="006A41E4"/>
    <w:rsid w:val="006A4608"/>
    <w:rsid w:val="006A7438"/>
    <w:rsid w:val="006B1A38"/>
    <w:rsid w:val="006B4F76"/>
    <w:rsid w:val="006B53DE"/>
    <w:rsid w:val="006C11E9"/>
    <w:rsid w:val="006C24A2"/>
    <w:rsid w:val="006C73CF"/>
    <w:rsid w:val="006D05F2"/>
    <w:rsid w:val="006D0DA2"/>
    <w:rsid w:val="006D3591"/>
    <w:rsid w:val="006D36AC"/>
    <w:rsid w:val="006D4B2A"/>
    <w:rsid w:val="006D59AB"/>
    <w:rsid w:val="006D6151"/>
    <w:rsid w:val="006E3347"/>
    <w:rsid w:val="006F79B1"/>
    <w:rsid w:val="006F7F52"/>
    <w:rsid w:val="00700A03"/>
    <w:rsid w:val="00703DE0"/>
    <w:rsid w:val="0070421D"/>
    <w:rsid w:val="00713593"/>
    <w:rsid w:val="00715F0A"/>
    <w:rsid w:val="00717A75"/>
    <w:rsid w:val="00720ACD"/>
    <w:rsid w:val="007237C5"/>
    <w:rsid w:val="007243E9"/>
    <w:rsid w:val="007244D1"/>
    <w:rsid w:val="00725255"/>
    <w:rsid w:val="00727658"/>
    <w:rsid w:val="00737824"/>
    <w:rsid w:val="00737842"/>
    <w:rsid w:val="007403C2"/>
    <w:rsid w:val="007408D5"/>
    <w:rsid w:val="00744A31"/>
    <w:rsid w:val="007452F3"/>
    <w:rsid w:val="00746E27"/>
    <w:rsid w:val="00752AA9"/>
    <w:rsid w:val="00760832"/>
    <w:rsid w:val="00772706"/>
    <w:rsid w:val="00774DFE"/>
    <w:rsid w:val="007774E5"/>
    <w:rsid w:val="00780C16"/>
    <w:rsid w:val="00787F88"/>
    <w:rsid w:val="0079158C"/>
    <w:rsid w:val="00793DB4"/>
    <w:rsid w:val="007A0D1F"/>
    <w:rsid w:val="007A477C"/>
    <w:rsid w:val="007A56E6"/>
    <w:rsid w:val="007A717B"/>
    <w:rsid w:val="007A7647"/>
    <w:rsid w:val="007B0837"/>
    <w:rsid w:val="007B0DBB"/>
    <w:rsid w:val="007B2AC0"/>
    <w:rsid w:val="007B49D8"/>
    <w:rsid w:val="007B69CE"/>
    <w:rsid w:val="007C048A"/>
    <w:rsid w:val="007C2A51"/>
    <w:rsid w:val="007C6B1F"/>
    <w:rsid w:val="007D3733"/>
    <w:rsid w:val="007D4157"/>
    <w:rsid w:val="007E1AA0"/>
    <w:rsid w:val="007E2D1F"/>
    <w:rsid w:val="007F0C9F"/>
    <w:rsid w:val="007F1EAC"/>
    <w:rsid w:val="007F5EE7"/>
    <w:rsid w:val="007F6C3C"/>
    <w:rsid w:val="007F6F94"/>
    <w:rsid w:val="007F78B6"/>
    <w:rsid w:val="00802919"/>
    <w:rsid w:val="0080458B"/>
    <w:rsid w:val="00804FB2"/>
    <w:rsid w:val="008104AB"/>
    <w:rsid w:val="008166E0"/>
    <w:rsid w:val="008200B3"/>
    <w:rsid w:val="008215D0"/>
    <w:rsid w:val="00821A92"/>
    <w:rsid w:val="0084000E"/>
    <w:rsid w:val="008424A6"/>
    <w:rsid w:val="00844511"/>
    <w:rsid w:val="00844DBE"/>
    <w:rsid w:val="008605CF"/>
    <w:rsid w:val="00867164"/>
    <w:rsid w:val="0086752F"/>
    <w:rsid w:val="0087277A"/>
    <w:rsid w:val="00873534"/>
    <w:rsid w:val="008748C3"/>
    <w:rsid w:val="00876810"/>
    <w:rsid w:val="00880C89"/>
    <w:rsid w:val="00881023"/>
    <w:rsid w:val="00882CF9"/>
    <w:rsid w:val="00883BB5"/>
    <w:rsid w:val="00885DF2"/>
    <w:rsid w:val="00890339"/>
    <w:rsid w:val="00890E93"/>
    <w:rsid w:val="0089250B"/>
    <w:rsid w:val="0089738C"/>
    <w:rsid w:val="008A2208"/>
    <w:rsid w:val="008A557B"/>
    <w:rsid w:val="008B1248"/>
    <w:rsid w:val="008B15C0"/>
    <w:rsid w:val="008B5D4A"/>
    <w:rsid w:val="008B6419"/>
    <w:rsid w:val="008B65EE"/>
    <w:rsid w:val="008C09AC"/>
    <w:rsid w:val="008C0B9B"/>
    <w:rsid w:val="008C22D3"/>
    <w:rsid w:val="008C258A"/>
    <w:rsid w:val="008C52E5"/>
    <w:rsid w:val="008C6F9E"/>
    <w:rsid w:val="008C74A6"/>
    <w:rsid w:val="008D041F"/>
    <w:rsid w:val="008D3A8B"/>
    <w:rsid w:val="008D70B7"/>
    <w:rsid w:val="008E0524"/>
    <w:rsid w:val="008E0C61"/>
    <w:rsid w:val="008F03F5"/>
    <w:rsid w:val="008F604A"/>
    <w:rsid w:val="008F633F"/>
    <w:rsid w:val="00901FD9"/>
    <w:rsid w:val="00902C0B"/>
    <w:rsid w:val="00904835"/>
    <w:rsid w:val="009062E7"/>
    <w:rsid w:val="00911641"/>
    <w:rsid w:val="009167A8"/>
    <w:rsid w:val="0091767D"/>
    <w:rsid w:val="00920354"/>
    <w:rsid w:val="009205CE"/>
    <w:rsid w:val="0092098C"/>
    <w:rsid w:val="00923042"/>
    <w:rsid w:val="00930862"/>
    <w:rsid w:val="009356A3"/>
    <w:rsid w:val="00946E14"/>
    <w:rsid w:val="00947D3F"/>
    <w:rsid w:val="00951A3A"/>
    <w:rsid w:val="0095403D"/>
    <w:rsid w:val="00955C2C"/>
    <w:rsid w:val="00957300"/>
    <w:rsid w:val="00960941"/>
    <w:rsid w:val="0096711C"/>
    <w:rsid w:val="00970029"/>
    <w:rsid w:val="00970B6D"/>
    <w:rsid w:val="009733A0"/>
    <w:rsid w:val="0097391A"/>
    <w:rsid w:val="00975973"/>
    <w:rsid w:val="00982D5E"/>
    <w:rsid w:val="00982EC4"/>
    <w:rsid w:val="00982F39"/>
    <w:rsid w:val="00984F7E"/>
    <w:rsid w:val="00985B4B"/>
    <w:rsid w:val="0098733F"/>
    <w:rsid w:val="0099359B"/>
    <w:rsid w:val="00994702"/>
    <w:rsid w:val="009952D2"/>
    <w:rsid w:val="009A0A30"/>
    <w:rsid w:val="009A2FFB"/>
    <w:rsid w:val="009A35EF"/>
    <w:rsid w:val="009A3A13"/>
    <w:rsid w:val="009A3A50"/>
    <w:rsid w:val="009A3DCD"/>
    <w:rsid w:val="009A5DD5"/>
    <w:rsid w:val="009A6E84"/>
    <w:rsid w:val="009B4CD4"/>
    <w:rsid w:val="009B56F5"/>
    <w:rsid w:val="009C13ED"/>
    <w:rsid w:val="009C1D62"/>
    <w:rsid w:val="009C648B"/>
    <w:rsid w:val="009D5785"/>
    <w:rsid w:val="009D5C76"/>
    <w:rsid w:val="009D71B4"/>
    <w:rsid w:val="009E1F11"/>
    <w:rsid w:val="009E1F58"/>
    <w:rsid w:val="009E236F"/>
    <w:rsid w:val="009E434D"/>
    <w:rsid w:val="009E58EA"/>
    <w:rsid w:val="009E6AAE"/>
    <w:rsid w:val="009F0455"/>
    <w:rsid w:val="009F15D3"/>
    <w:rsid w:val="009F1830"/>
    <w:rsid w:val="009F1C4B"/>
    <w:rsid w:val="009F55FC"/>
    <w:rsid w:val="009F5A08"/>
    <w:rsid w:val="009F72A1"/>
    <w:rsid w:val="00A00DC5"/>
    <w:rsid w:val="00A024B4"/>
    <w:rsid w:val="00A052F0"/>
    <w:rsid w:val="00A07748"/>
    <w:rsid w:val="00A07865"/>
    <w:rsid w:val="00A07B60"/>
    <w:rsid w:val="00A07DDD"/>
    <w:rsid w:val="00A10BD9"/>
    <w:rsid w:val="00A12D79"/>
    <w:rsid w:val="00A14AF3"/>
    <w:rsid w:val="00A1500A"/>
    <w:rsid w:val="00A22B82"/>
    <w:rsid w:val="00A23F46"/>
    <w:rsid w:val="00A31E28"/>
    <w:rsid w:val="00A36C62"/>
    <w:rsid w:val="00A37544"/>
    <w:rsid w:val="00A37E71"/>
    <w:rsid w:val="00A402ED"/>
    <w:rsid w:val="00A42931"/>
    <w:rsid w:val="00A44D00"/>
    <w:rsid w:val="00A46561"/>
    <w:rsid w:val="00A4750D"/>
    <w:rsid w:val="00A56232"/>
    <w:rsid w:val="00A573E3"/>
    <w:rsid w:val="00A61B7D"/>
    <w:rsid w:val="00A70B1D"/>
    <w:rsid w:val="00A74DE5"/>
    <w:rsid w:val="00A760BB"/>
    <w:rsid w:val="00A7719B"/>
    <w:rsid w:val="00A83E41"/>
    <w:rsid w:val="00A84B88"/>
    <w:rsid w:val="00A905F7"/>
    <w:rsid w:val="00A92073"/>
    <w:rsid w:val="00A9233C"/>
    <w:rsid w:val="00AA19FC"/>
    <w:rsid w:val="00AA7F1F"/>
    <w:rsid w:val="00AB43D7"/>
    <w:rsid w:val="00AB7494"/>
    <w:rsid w:val="00AC0097"/>
    <w:rsid w:val="00AC5B63"/>
    <w:rsid w:val="00AC67CF"/>
    <w:rsid w:val="00AC6E42"/>
    <w:rsid w:val="00AD3B56"/>
    <w:rsid w:val="00AD74B1"/>
    <w:rsid w:val="00AE253B"/>
    <w:rsid w:val="00AE50A8"/>
    <w:rsid w:val="00AE5977"/>
    <w:rsid w:val="00B0225D"/>
    <w:rsid w:val="00B030B6"/>
    <w:rsid w:val="00B07E83"/>
    <w:rsid w:val="00B10424"/>
    <w:rsid w:val="00B126F5"/>
    <w:rsid w:val="00B202BE"/>
    <w:rsid w:val="00B207AC"/>
    <w:rsid w:val="00B228F1"/>
    <w:rsid w:val="00B231B1"/>
    <w:rsid w:val="00B25B93"/>
    <w:rsid w:val="00B25E50"/>
    <w:rsid w:val="00B30739"/>
    <w:rsid w:val="00B321B4"/>
    <w:rsid w:val="00B34DE6"/>
    <w:rsid w:val="00B35928"/>
    <w:rsid w:val="00B364CD"/>
    <w:rsid w:val="00B434EF"/>
    <w:rsid w:val="00B43B71"/>
    <w:rsid w:val="00B43E9A"/>
    <w:rsid w:val="00B50A65"/>
    <w:rsid w:val="00B50E38"/>
    <w:rsid w:val="00B510A7"/>
    <w:rsid w:val="00B52FEE"/>
    <w:rsid w:val="00B56159"/>
    <w:rsid w:val="00B575FE"/>
    <w:rsid w:val="00B6031B"/>
    <w:rsid w:val="00B60B06"/>
    <w:rsid w:val="00B61ABD"/>
    <w:rsid w:val="00B6451D"/>
    <w:rsid w:val="00B645EE"/>
    <w:rsid w:val="00B64A18"/>
    <w:rsid w:val="00B6796D"/>
    <w:rsid w:val="00B70E54"/>
    <w:rsid w:val="00B751A6"/>
    <w:rsid w:val="00B80C4A"/>
    <w:rsid w:val="00B82999"/>
    <w:rsid w:val="00B83072"/>
    <w:rsid w:val="00B85D7E"/>
    <w:rsid w:val="00B92410"/>
    <w:rsid w:val="00B92D56"/>
    <w:rsid w:val="00B9623A"/>
    <w:rsid w:val="00BA0462"/>
    <w:rsid w:val="00BA1F6A"/>
    <w:rsid w:val="00BA2207"/>
    <w:rsid w:val="00BA51EE"/>
    <w:rsid w:val="00BA7544"/>
    <w:rsid w:val="00BB0D68"/>
    <w:rsid w:val="00BB0E58"/>
    <w:rsid w:val="00BB2F82"/>
    <w:rsid w:val="00BB3AAC"/>
    <w:rsid w:val="00BC703C"/>
    <w:rsid w:val="00BD214E"/>
    <w:rsid w:val="00BD2318"/>
    <w:rsid w:val="00BD47C2"/>
    <w:rsid w:val="00BD58D1"/>
    <w:rsid w:val="00BD65B9"/>
    <w:rsid w:val="00BD7FB0"/>
    <w:rsid w:val="00BE0B88"/>
    <w:rsid w:val="00BE218D"/>
    <w:rsid w:val="00BE21F8"/>
    <w:rsid w:val="00BE2CA6"/>
    <w:rsid w:val="00BE50BF"/>
    <w:rsid w:val="00BE5BCC"/>
    <w:rsid w:val="00BE63DD"/>
    <w:rsid w:val="00BF017E"/>
    <w:rsid w:val="00BF07E7"/>
    <w:rsid w:val="00BF44C3"/>
    <w:rsid w:val="00BF48D5"/>
    <w:rsid w:val="00C00211"/>
    <w:rsid w:val="00C034CC"/>
    <w:rsid w:val="00C04CF7"/>
    <w:rsid w:val="00C0579B"/>
    <w:rsid w:val="00C07FAC"/>
    <w:rsid w:val="00C10E27"/>
    <w:rsid w:val="00C14F0F"/>
    <w:rsid w:val="00C15F63"/>
    <w:rsid w:val="00C204ED"/>
    <w:rsid w:val="00C20CC2"/>
    <w:rsid w:val="00C24CF9"/>
    <w:rsid w:val="00C27227"/>
    <w:rsid w:val="00C27268"/>
    <w:rsid w:val="00C3217C"/>
    <w:rsid w:val="00C324D3"/>
    <w:rsid w:val="00C3390D"/>
    <w:rsid w:val="00C372F6"/>
    <w:rsid w:val="00C4099D"/>
    <w:rsid w:val="00C40A9B"/>
    <w:rsid w:val="00C41B9A"/>
    <w:rsid w:val="00C4240E"/>
    <w:rsid w:val="00C45F08"/>
    <w:rsid w:val="00C65744"/>
    <w:rsid w:val="00C65E00"/>
    <w:rsid w:val="00C67449"/>
    <w:rsid w:val="00C71BD5"/>
    <w:rsid w:val="00C72B24"/>
    <w:rsid w:val="00C72CBB"/>
    <w:rsid w:val="00C76BAF"/>
    <w:rsid w:val="00C809F4"/>
    <w:rsid w:val="00C823B3"/>
    <w:rsid w:val="00C8465C"/>
    <w:rsid w:val="00C84EA2"/>
    <w:rsid w:val="00C85419"/>
    <w:rsid w:val="00CA0EFC"/>
    <w:rsid w:val="00CA2977"/>
    <w:rsid w:val="00CA5539"/>
    <w:rsid w:val="00CA6E2E"/>
    <w:rsid w:val="00CB1145"/>
    <w:rsid w:val="00CB17FD"/>
    <w:rsid w:val="00CB300C"/>
    <w:rsid w:val="00CB327A"/>
    <w:rsid w:val="00CB3482"/>
    <w:rsid w:val="00CB5FAE"/>
    <w:rsid w:val="00CB7129"/>
    <w:rsid w:val="00CC4531"/>
    <w:rsid w:val="00CC5DC3"/>
    <w:rsid w:val="00CC6E65"/>
    <w:rsid w:val="00CC72F5"/>
    <w:rsid w:val="00CC7977"/>
    <w:rsid w:val="00CD268B"/>
    <w:rsid w:val="00CE028C"/>
    <w:rsid w:val="00CE053C"/>
    <w:rsid w:val="00CE348B"/>
    <w:rsid w:val="00CE4993"/>
    <w:rsid w:val="00CE4F5D"/>
    <w:rsid w:val="00CF258C"/>
    <w:rsid w:val="00CF2739"/>
    <w:rsid w:val="00CF2A91"/>
    <w:rsid w:val="00CF4F5C"/>
    <w:rsid w:val="00D01486"/>
    <w:rsid w:val="00D022E5"/>
    <w:rsid w:val="00D0529F"/>
    <w:rsid w:val="00D124C5"/>
    <w:rsid w:val="00D12866"/>
    <w:rsid w:val="00D164A5"/>
    <w:rsid w:val="00D20E17"/>
    <w:rsid w:val="00D22332"/>
    <w:rsid w:val="00D22CE8"/>
    <w:rsid w:val="00D23841"/>
    <w:rsid w:val="00D24C1F"/>
    <w:rsid w:val="00D260A2"/>
    <w:rsid w:val="00D26522"/>
    <w:rsid w:val="00D27357"/>
    <w:rsid w:val="00D2744A"/>
    <w:rsid w:val="00D35EF6"/>
    <w:rsid w:val="00D43663"/>
    <w:rsid w:val="00D46102"/>
    <w:rsid w:val="00D466F1"/>
    <w:rsid w:val="00D51800"/>
    <w:rsid w:val="00D533E3"/>
    <w:rsid w:val="00D6263E"/>
    <w:rsid w:val="00D67EFA"/>
    <w:rsid w:val="00D718A3"/>
    <w:rsid w:val="00D729E8"/>
    <w:rsid w:val="00D73911"/>
    <w:rsid w:val="00D823D4"/>
    <w:rsid w:val="00D85135"/>
    <w:rsid w:val="00D91B13"/>
    <w:rsid w:val="00D941B6"/>
    <w:rsid w:val="00DA4B0A"/>
    <w:rsid w:val="00DA576C"/>
    <w:rsid w:val="00DA6B40"/>
    <w:rsid w:val="00DB0E37"/>
    <w:rsid w:val="00DB280F"/>
    <w:rsid w:val="00DB2D57"/>
    <w:rsid w:val="00DB3CBF"/>
    <w:rsid w:val="00DB44A1"/>
    <w:rsid w:val="00DB5AC3"/>
    <w:rsid w:val="00DB61DB"/>
    <w:rsid w:val="00DB7570"/>
    <w:rsid w:val="00DC0B8F"/>
    <w:rsid w:val="00DC1089"/>
    <w:rsid w:val="00DC174B"/>
    <w:rsid w:val="00DC1888"/>
    <w:rsid w:val="00DC1F47"/>
    <w:rsid w:val="00DC3FED"/>
    <w:rsid w:val="00DC5927"/>
    <w:rsid w:val="00DC7E1B"/>
    <w:rsid w:val="00DD0341"/>
    <w:rsid w:val="00DD3605"/>
    <w:rsid w:val="00DE7AF5"/>
    <w:rsid w:val="00DF0959"/>
    <w:rsid w:val="00DF0F34"/>
    <w:rsid w:val="00DF1607"/>
    <w:rsid w:val="00E023DD"/>
    <w:rsid w:val="00E03B65"/>
    <w:rsid w:val="00E04D6D"/>
    <w:rsid w:val="00E07BFA"/>
    <w:rsid w:val="00E122C5"/>
    <w:rsid w:val="00E13121"/>
    <w:rsid w:val="00E22B70"/>
    <w:rsid w:val="00E22ECA"/>
    <w:rsid w:val="00E34F98"/>
    <w:rsid w:val="00E42181"/>
    <w:rsid w:val="00E42B48"/>
    <w:rsid w:val="00E4372B"/>
    <w:rsid w:val="00E45B3C"/>
    <w:rsid w:val="00E46934"/>
    <w:rsid w:val="00E47376"/>
    <w:rsid w:val="00E51F3B"/>
    <w:rsid w:val="00E521DB"/>
    <w:rsid w:val="00E5493C"/>
    <w:rsid w:val="00E54F9C"/>
    <w:rsid w:val="00E568A4"/>
    <w:rsid w:val="00E577BB"/>
    <w:rsid w:val="00E60216"/>
    <w:rsid w:val="00E6107C"/>
    <w:rsid w:val="00E61AD9"/>
    <w:rsid w:val="00E652B7"/>
    <w:rsid w:val="00E7229B"/>
    <w:rsid w:val="00E760C3"/>
    <w:rsid w:val="00E80B4A"/>
    <w:rsid w:val="00E81240"/>
    <w:rsid w:val="00E82D2D"/>
    <w:rsid w:val="00E87367"/>
    <w:rsid w:val="00E926E2"/>
    <w:rsid w:val="00E94B13"/>
    <w:rsid w:val="00E95C4C"/>
    <w:rsid w:val="00E95C8A"/>
    <w:rsid w:val="00E97D61"/>
    <w:rsid w:val="00EA4BB6"/>
    <w:rsid w:val="00EA70CC"/>
    <w:rsid w:val="00EA7F7A"/>
    <w:rsid w:val="00EB2C97"/>
    <w:rsid w:val="00EB3C5F"/>
    <w:rsid w:val="00EC0F19"/>
    <w:rsid w:val="00EC407D"/>
    <w:rsid w:val="00EC4574"/>
    <w:rsid w:val="00EC67B1"/>
    <w:rsid w:val="00EC695A"/>
    <w:rsid w:val="00ED0557"/>
    <w:rsid w:val="00EE0968"/>
    <w:rsid w:val="00EE449D"/>
    <w:rsid w:val="00EE7AC4"/>
    <w:rsid w:val="00EF3627"/>
    <w:rsid w:val="00EF6D5D"/>
    <w:rsid w:val="00EF7ECB"/>
    <w:rsid w:val="00F009D8"/>
    <w:rsid w:val="00F06B35"/>
    <w:rsid w:val="00F1060F"/>
    <w:rsid w:val="00F108E7"/>
    <w:rsid w:val="00F10C4C"/>
    <w:rsid w:val="00F11EC3"/>
    <w:rsid w:val="00F1568B"/>
    <w:rsid w:val="00F1639E"/>
    <w:rsid w:val="00F178F3"/>
    <w:rsid w:val="00F20E7B"/>
    <w:rsid w:val="00F20F4E"/>
    <w:rsid w:val="00F22398"/>
    <w:rsid w:val="00F25D5E"/>
    <w:rsid w:val="00F26C96"/>
    <w:rsid w:val="00F31EF0"/>
    <w:rsid w:val="00F3603B"/>
    <w:rsid w:val="00F36206"/>
    <w:rsid w:val="00F37196"/>
    <w:rsid w:val="00F37D54"/>
    <w:rsid w:val="00F40FF1"/>
    <w:rsid w:val="00F4174A"/>
    <w:rsid w:val="00F43A8B"/>
    <w:rsid w:val="00F45224"/>
    <w:rsid w:val="00F45724"/>
    <w:rsid w:val="00F46D15"/>
    <w:rsid w:val="00F54017"/>
    <w:rsid w:val="00F553A3"/>
    <w:rsid w:val="00F565C4"/>
    <w:rsid w:val="00F64558"/>
    <w:rsid w:val="00F67695"/>
    <w:rsid w:val="00F715AE"/>
    <w:rsid w:val="00F77F48"/>
    <w:rsid w:val="00F85F87"/>
    <w:rsid w:val="00F905C5"/>
    <w:rsid w:val="00F91381"/>
    <w:rsid w:val="00F9221D"/>
    <w:rsid w:val="00F93D44"/>
    <w:rsid w:val="00F956D6"/>
    <w:rsid w:val="00F9579B"/>
    <w:rsid w:val="00F959F7"/>
    <w:rsid w:val="00F95A13"/>
    <w:rsid w:val="00FA03E2"/>
    <w:rsid w:val="00FA2790"/>
    <w:rsid w:val="00FA5806"/>
    <w:rsid w:val="00FA740E"/>
    <w:rsid w:val="00FB1DBA"/>
    <w:rsid w:val="00FB27C5"/>
    <w:rsid w:val="00FB508C"/>
    <w:rsid w:val="00FB794B"/>
    <w:rsid w:val="00FC0996"/>
    <w:rsid w:val="00FC3AA9"/>
    <w:rsid w:val="00FC4372"/>
    <w:rsid w:val="00FC6FA4"/>
    <w:rsid w:val="00FD247D"/>
    <w:rsid w:val="00FD32F7"/>
    <w:rsid w:val="00FE1A37"/>
    <w:rsid w:val="00FE2517"/>
    <w:rsid w:val="00FE3969"/>
    <w:rsid w:val="00FE718A"/>
    <w:rsid w:val="00FE7AC8"/>
    <w:rsid w:val="00FE7F0C"/>
    <w:rsid w:val="00FF2B34"/>
    <w:rsid w:val="00FF323A"/>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D258"/>
  <w15:docId w15:val="{9423666E-6616-4CD5-AE03-C5B6F20C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paragraph" w:styleId="Heading4">
    <w:name w:val="heading 4"/>
    <w:basedOn w:val="Normal"/>
    <w:next w:val="Normal"/>
    <w:link w:val="Heading4Char"/>
    <w:uiPriority w:val="9"/>
    <w:semiHidden/>
    <w:unhideWhenUsed/>
    <w:qFormat/>
    <w:rsid w:val="00A31E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nhideWhenUsed/>
    <w:rsid w:val="007237C5"/>
    <w:rPr>
      <w:sz w:val="20"/>
      <w:szCs w:val="20"/>
    </w:rPr>
  </w:style>
  <w:style w:type="character" w:customStyle="1" w:styleId="FootnoteTextChar">
    <w:name w:val="Footnote Text Char"/>
    <w:basedOn w:val="DefaultParagraphFont"/>
    <w:link w:val="FootnoteText"/>
    <w:rsid w:val="007237C5"/>
    <w:rPr>
      <w:rFonts w:ascii="Times New Roman" w:eastAsia="Times New Roman" w:hAnsi="Times New Roman" w:cs="Times New Roman"/>
      <w:sz w:val="20"/>
      <w:szCs w:val="20"/>
    </w:rPr>
  </w:style>
  <w:style w:type="character" w:styleId="FootnoteReference">
    <w:name w:val="footnote reference"/>
    <w:basedOn w:val="DefaultParagraphFont"/>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 w:type="paragraph" w:styleId="NormalWeb">
    <w:name w:val="Normal (Web)"/>
    <w:basedOn w:val="Normal"/>
    <w:unhideWhenUsed/>
    <w:rsid w:val="00A31E28"/>
    <w:pPr>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A31E28"/>
    <w:rPr>
      <w:rFonts w:asciiTheme="majorHAnsi" w:eastAsiaTheme="majorEastAsia" w:hAnsiTheme="majorHAnsi" w:cstheme="majorBidi"/>
      <w:b/>
      <w:bCs/>
      <w:i/>
      <w:iCs/>
      <w:color w:val="4F81BD" w:themeColor="accent1"/>
      <w:sz w:val="26"/>
      <w:szCs w:val="26"/>
    </w:rPr>
  </w:style>
  <w:style w:type="paragraph" w:customStyle="1" w:styleId="ParaTab1">
    <w:name w:val="ParaTab 1"/>
    <w:rsid w:val="00CC6E6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OC1">
    <w:name w:val="toc 1"/>
    <w:basedOn w:val="Normal"/>
    <w:next w:val="Normal"/>
    <w:autoRedefine/>
    <w:semiHidden/>
    <w:rsid w:val="00CC6E65"/>
    <w:pPr>
      <w:tabs>
        <w:tab w:val="right" w:leader="dot" w:pos="9360"/>
      </w:tabs>
      <w:suppressAutoHyphens/>
      <w:autoSpaceDE w:val="0"/>
      <w:autoSpaceDN w:val="0"/>
      <w:spacing w:before="480"/>
      <w:ind w:left="720" w:right="720" w:hanging="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630450">
      <w:bodyDiv w:val="1"/>
      <w:marLeft w:val="0"/>
      <w:marRight w:val="0"/>
      <w:marTop w:val="0"/>
      <w:marBottom w:val="0"/>
      <w:divBdr>
        <w:top w:val="none" w:sz="0" w:space="0" w:color="auto"/>
        <w:left w:val="none" w:sz="0" w:space="0" w:color="auto"/>
        <w:bottom w:val="none" w:sz="0" w:space="0" w:color="auto"/>
        <w:right w:val="none" w:sz="0" w:space="0" w:color="auto"/>
      </w:divBdr>
      <w:divsChild>
        <w:div w:id="1745451949">
          <w:marLeft w:val="0"/>
          <w:marRight w:val="0"/>
          <w:marTop w:val="0"/>
          <w:marBottom w:val="0"/>
          <w:divBdr>
            <w:top w:val="none" w:sz="0" w:space="0" w:color="auto"/>
            <w:left w:val="none" w:sz="0" w:space="0" w:color="auto"/>
            <w:bottom w:val="none" w:sz="0" w:space="0" w:color="auto"/>
            <w:right w:val="none" w:sz="0" w:space="0" w:color="auto"/>
          </w:divBdr>
          <w:divsChild>
            <w:div w:id="80302118">
              <w:marLeft w:val="0"/>
              <w:marRight w:val="0"/>
              <w:marTop w:val="0"/>
              <w:marBottom w:val="0"/>
              <w:divBdr>
                <w:top w:val="none" w:sz="0" w:space="0" w:color="auto"/>
                <w:left w:val="none" w:sz="0" w:space="0" w:color="auto"/>
                <w:bottom w:val="none" w:sz="0" w:space="0" w:color="auto"/>
                <w:right w:val="none" w:sz="0" w:space="0" w:color="auto"/>
              </w:divBdr>
              <w:divsChild>
                <w:div w:id="1391929137">
                  <w:marLeft w:val="0"/>
                  <w:marRight w:val="0"/>
                  <w:marTop w:val="0"/>
                  <w:marBottom w:val="0"/>
                  <w:divBdr>
                    <w:top w:val="none" w:sz="0" w:space="0" w:color="auto"/>
                    <w:left w:val="none" w:sz="0" w:space="0" w:color="auto"/>
                    <w:bottom w:val="none" w:sz="0" w:space="0" w:color="auto"/>
                    <w:right w:val="none" w:sz="0" w:space="0" w:color="auto"/>
                  </w:divBdr>
                  <w:divsChild>
                    <w:div w:id="20386997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8718">
      <w:bodyDiv w:val="1"/>
      <w:marLeft w:val="0"/>
      <w:marRight w:val="0"/>
      <w:marTop w:val="0"/>
      <w:marBottom w:val="0"/>
      <w:divBdr>
        <w:top w:val="none" w:sz="0" w:space="0" w:color="auto"/>
        <w:left w:val="none" w:sz="0" w:space="0" w:color="auto"/>
        <w:bottom w:val="none" w:sz="0" w:space="0" w:color="auto"/>
        <w:right w:val="none" w:sz="0" w:space="0" w:color="auto"/>
      </w:divBdr>
      <w:divsChild>
        <w:div w:id="1806777280">
          <w:marLeft w:val="0"/>
          <w:marRight w:val="0"/>
          <w:marTop w:val="0"/>
          <w:marBottom w:val="0"/>
          <w:divBdr>
            <w:top w:val="none" w:sz="0" w:space="0" w:color="auto"/>
            <w:left w:val="none" w:sz="0" w:space="0" w:color="auto"/>
            <w:bottom w:val="none" w:sz="0" w:space="0" w:color="auto"/>
            <w:right w:val="none" w:sz="0" w:space="0" w:color="auto"/>
          </w:divBdr>
          <w:divsChild>
            <w:div w:id="810557031">
              <w:marLeft w:val="0"/>
              <w:marRight w:val="0"/>
              <w:marTop w:val="0"/>
              <w:marBottom w:val="0"/>
              <w:divBdr>
                <w:top w:val="none" w:sz="0" w:space="0" w:color="auto"/>
                <w:left w:val="none" w:sz="0" w:space="0" w:color="auto"/>
                <w:bottom w:val="none" w:sz="0" w:space="0" w:color="auto"/>
                <w:right w:val="none" w:sz="0" w:space="0" w:color="auto"/>
              </w:divBdr>
              <w:divsChild>
                <w:div w:id="852569973">
                  <w:marLeft w:val="0"/>
                  <w:marRight w:val="0"/>
                  <w:marTop w:val="0"/>
                  <w:marBottom w:val="0"/>
                  <w:divBdr>
                    <w:top w:val="none" w:sz="0" w:space="0" w:color="auto"/>
                    <w:left w:val="none" w:sz="0" w:space="0" w:color="auto"/>
                    <w:bottom w:val="none" w:sz="0" w:space="0" w:color="auto"/>
                    <w:right w:val="none" w:sz="0" w:space="0" w:color="auto"/>
                  </w:divBdr>
                  <w:divsChild>
                    <w:div w:id="2721331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3D0C4-09D2-4600-9B38-70FFE359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Miskanic, Nicholas</cp:lastModifiedBy>
  <cp:revision>24</cp:revision>
  <cp:lastPrinted>2018-08-14T14:29:00Z</cp:lastPrinted>
  <dcterms:created xsi:type="dcterms:W3CDTF">2019-09-05T18:13:00Z</dcterms:created>
  <dcterms:modified xsi:type="dcterms:W3CDTF">2019-09-05T20:12:00Z</dcterms:modified>
</cp:coreProperties>
</file>