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DC178" w14:textId="77777777" w:rsidR="009F7F17" w:rsidRPr="00321FE6" w:rsidRDefault="009F7F17" w:rsidP="004019C6">
      <w:pPr>
        <w:tabs>
          <w:tab w:val="left" w:pos="0"/>
        </w:tabs>
        <w:spacing w:line="240" w:lineRule="auto"/>
        <w:jc w:val="center"/>
        <w:rPr>
          <w:rFonts w:eastAsia="Times New Roman"/>
          <w:b/>
        </w:rPr>
      </w:pPr>
      <w:bookmarkStart w:id="0" w:name="_Hlk505846206"/>
      <w:r w:rsidRPr="00321FE6">
        <w:rPr>
          <w:rFonts w:eastAsia="Times New Roman"/>
          <w:b/>
        </w:rPr>
        <w:t>BEFORE THE</w:t>
      </w:r>
    </w:p>
    <w:p w14:paraId="201404DE" w14:textId="77777777" w:rsidR="009F7F17" w:rsidRPr="00321FE6" w:rsidRDefault="009F7F17" w:rsidP="004019C6">
      <w:pPr>
        <w:tabs>
          <w:tab w:val="left" w:pos="0"/>
        </w:tabs>
        <w:spacing w:line="240" w:lineRule="auto"/>
        <w:jc w:val="center"/>
        <w:rPr>
          <w:rFonts w:eastAsia="Times New Roman"/>
          <w:b/>
        </w:rPr>
      </w:pPr>
      <w:smartTag w:uri="urn:schemas-microsoft-com:office:smarttags" w:element="place">
        <w:smartTag w:uri="urn:schemas-microsoft-com:office:smarttags" w:element="State">
          <w:r w:rsidRPr="00321FE6">
            <w:rPr>
              <w:rFonts w:eastAsia="Times New Roman"/>
              <w:b/>
            </w:rPr>
            <w:t>PENNSYLVANIA</w:t>
          </w:r>
        </w:smartTag>
      </w:smartTag>
      <w:r w:rsidRPr="00321FE6">
        <w:rPr>
          <w:rFonts w:eastAsia="Times New Roman"/>
          <w:b/>
        </w:rPr>
        <w:t xml:space="preserve"> PUBLIC UTILITY COMMISSION</w:t>
      </w:r>
    </w:p>
    <w:p w14:paraId="3B0B7E2F" w14:textId="77777777" w:rsidR="009F7F17" w:rsidRPr="00321FE6" w:rsidRDefault="009F7F17" w:rsidP="004019C6">
      <w:pPr>
        <w:tabs>
          <w:tab w:val="left" w:pos="0"/>
        </w:tabs>
        <w:spacing w:line="240" w:lineRule="auto"/>
        <w:jc w:val="both"/>
        <w:rPr>
          <w:rFonts w:eastAsia="Times New Roman"/>
          <w:b/>
        </w:rPr>
      </w:pPr>
    </w:p>
    <w:p w14:paraId="42F49A21" w14:textId="77777777" w:rsidR="009F7F17" w:rsidRPr="00321FE6" w:rsidRDefault="009F7F17" w:rsidP="004019C6">
      <w:pPr>
        <w:tabs>
          <w:tab w:val="left" w:pos="0"/>
        </w:tabs>
        <w:spacing w:line="240" w:lineRule="auto"/>
        <w:jc w:val="both"/>
        <w:rPr>
          <w:rFonts w:eastAsia="Times New Roman"/>
          <w:b/>
        </w:rPr>
      </w:pPr>
    </w:p>
    <w:p w14:paraId="3CC9C1A6" w14:textId="77777777" w:rsidR="009F7F17" w:rsidRPr="00321FE6" w:rsidRDefault="009F7F17" w:rsidP="004019C6">
      <w:pPr>
        <w:tabs>
          <w:tab w:val="left" w:pos="0"/>
        </w:tabs>
        <w:spacing w:line="240" w:lineRule="auto"/>
        <w:jc w:val="both"/>
        <w:rPr>
          <w:rFonts w:eastAsia="Times New Roman"/>
          <w:b/>
        </w:rPr>
      </w:pPr>
    </w:p>
    <w:p w14:paraId="2316D918" w14:textId="275B0B91" w:rsidR="009F7F17" w:rsidRPr="00321FE6" w:rsidRDefault="00FA0D72" w:rsidP="004019C6">
      <w:pPr>
        <w:tabs>
          <w:tab w:val="left" w:pos="0"/>
        </w:tabs>
        <w:spacing w:line="240" w:lineRule="auto"/>
        <w:jc w:val="both"/>
        <w:rPr>
          <w:rFonts w:eastAsia="Times New Roman"/>
          <w:b/>
        </w:rPr>
      </w:pPr>
      <w:r>
        <w:rPr>
          <w:rFonts w:eastAsia="Times New Roman"/>
        </w:rPr>
        <w:t>Olivia Winterrowd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9F7F17" w:rsidRPr="00321FE6">
        <w:rPr>
          <w:rFonts w:eastAsia="Times New Roman"/>
        </w:rPr>
        <w:tab/>
      </w:r>
      <w:r w:rsidR="009F7F17" w:rsidRPr="00321FE6">
        <w:rPr>
          <w:rFonts w:eastAsia="Times New Roman"/>
        </w:rPr>
        <w:tab/>
      </w:r>
      <w:r w:rsidR="009F7F17" w:rsidRPr="00321FE6">
        <w:rPr>
          <w:rFonts w:eastAsia="Times New Roman"/>
        </w:rPr>
        <w:tab/>
        <w:t>:</w:t>
      </w:r>
    </w:p>
    <w:p w14:paraId="3E9334C0" w14:textId="77777777" w:rsidR="009F7F17" w:rsidRPr="00321FE6" w:rsidRDefault="009F7F17" w:rsidP="004019C6">
      <w:pPr>
        <w:tabs>
          <w:tab w:val="left" w:pos="0"/>
        </w:tabs>
        <w:spacing w:line="240" w:lineRule="auto"/>
        <w:jc w:val="both"/>
        <w:rPr>
          <w:rFonts w:eastAsia="Times New Roman"/>
        </w:rPr>
      </w:pP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 w:rsidRPr="00321FE6">
        <w:rPr>
          <w:rFonts w:eastAsia="Times New Roman"/>
        </w:rPr>
        <w:t>:</w:t>
      </w:r>
    </w:p>
    <w:p w14:paraId="305B8B15" w14:textId="35D58486" w:rsidR="009F7F17" w:rsidRPr="00321FE6" w:rsidRDefault="009F7F17" w:rsidP="004019C6">
      <w:pPr>
        <w:tabs>
          <w:tab w:val="left" w:pos="0"/>
        </w:tabs>
        <w:spacing w:line="240" w:lineRule="auto"/>
        <w:jc w:val="both"/>
        <w:rPr>
          <w:rFonts w:eastAsia="Times New Roman"/>
        </w:rPr>
      </w:pPr>
      <w:r w:rsidRPr="00321FE6">
        <w:rPr>
          <w:rFonts w:eastAsia="Times New Roman"/>
        </w:rPr>
        <w:tab/>
        <w:t>v.</w:t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  <w:t>:</w:t>
      </w: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 w:rsidR="00FA0D72">
        <w:rPr>
          <w:rFonts w:eastAsia="Times New Roman"/>
        </w:rPr>
        <w:t>C-2019-3011935</w:t>
      </w:r>
    </w:p>
    <w:p w14:paraId="42F37C98" w14:textId="77777777" w:rsidR="009F7F17" w:rsidRPr="00321FE6" w:rsidRDefault="009F7F17" w:rsidP="004019C6">
      <w:pPr>
        <w:tabs>
          <w:tab w:val="left" w:pos="0"/>
        </w:tabs>
        <w:spacing w:line="240" w:lineRule="auto"/>
        <w:jc w:val="both"/>
        <w:rPr>
          <w:rFonts w:eastAsia="Times New Roman"/>
        </w:rPr>
      </w:pP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  <w:t>:</w:t>
      </w:r>
    </w:p>
    <w:p w14:paraId="11FFB680" w14:textId="39D90179" w:rsidR="009F7F17" w:rsidRPr="00321FE6" w:rsidRDefault="00FA0D72" w:rsidP="004019C6">
      <w:pPr>
        <w:tabs>
          <w:tab w:val="left" w:pos="0"/>
        </w:tabs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Duquesne Light Company</w:t>
      </w:r>
      <w:r w:rsidR="009F7F17" w:rsidRPr="00321FE6">
        <w:rPr>
          <w:rFonts w:eastAsia="Times New Roman"/>
        </w:rPr>
        <w:tab/>
      </w:r>
      <w:r w:rsidR="009F7F17" w:rsidRPr="00321FE6">
        <w:rPr>
          <w:rFonts w:eastAsia="Times New Roman"/>
        </w:rPr>
        <w:tab/>
      </w:r>
      <w:r w:rsidR="009F7F17" w:rsidRPr="00321FE6">
        <w:rPr>
          <w:rFonts w:eastAsia="Times New Roman"/>
        </w:rPr>
        <w:tab/>
      </w:r>
      <w:r w:rsidR="009F7F17" w:rsidRPr="00321FE6">
        <w:rPr>
          <w:rFonts w:eastAsia="Times New Roman"/>
        </w:rPr>
        <w:tab/>
        <w:t>:</w:t>
      </w:r>
    </w:p>
    <w:p w14:paraId="1A0919D4" w14:textId="77777777" w:rsidR="009F7F17" w:rsidRDefault="009F7F17" w:rsidP="004019C6">
      <w:pPr>
        <w:spacing w:line="240" w:lineRule="auto"/>
      </w:pPr>
    </w:p>
    <w:p w14:paraId="6A309EDF" w14:textId="77777777" w:rsidR="009F7F17" w:rsidRDefault="009F7F17" w:rsidP="004019C6">
      <w:pPr>
        <w:spacing w:line="240" w:lineRule="auto"/>
      </w:pPr>
    </w:p>
    <w:p w14:paraId="664BCE71" w14:textId="77777777" w:rsidR="009F7F17" w:rsidRDefault="009F7F17" w:rsidP="004019C6">
      <w:pPr>
        <w:spacing w:line="240" w:lineRule="auto"/>
      </w:pPr>
    </w:p>
    <w:p w14:paraId="4AD27162" w14:textId="77777777" w:rsidR="004138B2" w:rsidRDefault="009F7F17" w:rsidP="004019C6">
      <w:pPr>
        <w:spacing w:line="240" w:lineRule="auto"/>
        <w:jc w:val="center"/>
        <w:rPr>
          <w:b/>
        </w:rPr>
      </w:pPr>
      <w:r w:rsidRPr="00574909">
        <w:rPr>
          <w:b/>
        </w:rPr>
        <w:t>INTERIM ORDER</w:t>
      </w:r>
      <w:r>
        <w:rPr>
          <w:b/>
        </w:rPr>
        <w:t xml:space="preserve"> </w:t>
      </w:r>
    </w:p>
    <w:p w14:paraId="5BAD1E1A" w14:textId="770DB3DB" w:rsidR="009F7F17" w:rsidRPr="00574909" w:rsidRDefault="009F7F17" w:rsidP="004019C6">
      <w:pPr>
        <w:spacing w:line="240" w:lineRule="auto"/>
        <w:jc w:val="center"/>
        <w:rPr>
          <w:b/>
        </w:rPr>
      </w:pPr>
      <w:r>
        <w:rPr>
          <w:b/>
        </w:rPr>
        <w:t>ON</w:t>
      </w:r>
      <w:r w:rsidR="004138B2">
        <w:rPr>
          <w:b/>
        </w:rPr>
        <w:t xml:space="preserve"> </w:t>
      </w:r>
      <w:r>
        <w:rPr>
          <w:b/>
        </w:rPr>
        <w:t>PRELIMINARY OBJECTIONS AND</w:t>
      </w:r>
    </w:p>
    <w:p w14:paraId="1B68B22D" w14:textId="6426C699" w:rsidR="00AE4DE9" w:rsidRDefault="009F7F17" w:rsidP="004019C6">
      <w:pPr>
        <w:spacing w:line="240" w:lineRule="auto"/>
        <w:jc w:val="center"/>
      </w:pPr>
      <w:r w:rsidRPr="00574909">
        <w:rPr>
          <w:b/>
          <w:u w:val="single"/>
        </w:rPr>
        <w:t>REFERRING PROCEEDING TO MEDIATION</w:t>
      </w:r>
    </w:p>
    <w:bookmarkEnd w:id="0"/>
    <w:p w14:paraId="1A881CF3" w14:textId="77777777" w:rsidR="00AE4DE9" w:rsidRDefault="00AE4DE9"/>
    <w:p w14:paraId="72CB5D62" w14:textId="1F5422D2" w:rsidR="00AE4DE9" w:rsidRDefault="00AE4DE9">
      <w:r>
        <w:tab/>
      </w:r>
      <w:r w:rsidR="00735722">
        <w:tab/>
      </w:r>
      <w:r w:rsidR="0064563E">
        <w:t>On July 19, 2019, Olivia Winterrowd (Complainant) filed a formal complaint against Duquesne Light Company.</w:t>
      </w:r>
      <w:r>
        <w:t xml:space="preserve">  The Complainant alleges that a power surge occurred on </w:t>
      </w:r>
      <w:r w:rsidR="0064563E">
        <w:t>June 10, 2019</w:t>
      </w:r>
      <w:r>
        <w:t xml:space="preserve">, and damaged appliances. </w:t>
      </w:r>
      <w:r w:rsidR="0064563E">
        <w:t xml:space="preserve"> The Complainant also alleges that Duquesne Light fails to keep its lines clear and that the power has been off several times since the power surge in June</w:t>
      </w:r>
      <w:r w:rsidR="004138B2">
        <w:t> </w:t>
      </w:r>
      <w:r w:rsidR="0064563E">
        <w:t xml:space="preserve">2019. </w:t>
      </w:r>
      <w:r>
        <w:t xml:space="preserve"> As </w:t>
      </w:r>
      <w:r w:rsidR="001E08D8">
        <w:t>relief,</w:t>
      </w:r>
      <w:r>
        <w:t xml:space="preserve"> the Complainant requests </w:t>
      </w:r>
      <w:r w:rsidR="0064563E">
        <w:t>Duquesne Light</w:t>
      </w:r>
      <w:r>
        <w:t xml:space="preserve"> reimburse </w:t>
      </w:r>
      <w:r w:rsidR="0064563E">
        <w:t xml:space="preserve">her </w:t>
      </w:r>
      <w:r>
        <w:t>for the damaged appliances.</w:t>
      </w:r>
    </w:p>
    <w:p w14:paraId="7ECA60E6" w14:textId="77777777" w:rsidR="00AE4DE9" w:rsidRDefault="00AE4DE9"/>
    <w:p w14:paraId="40D5A273" w14:textId="77777777" w:rsidR="00E83C99" w:rsidRDefault="00AE4DE9" w:rsidP="00E83C99">
      <w:pPr>
        <w:rPr>
          <w:szCs w:val="24"/>
        </w:rPr>
      </w:pPr>
      <w:r>
        <w:tab/>
      </w:r>
      <w:r w:rsidR="004B0E40">
        <w:tab/>
      </w:r>
      <w:r w:rsidR="0064563E">
        <w:t>Duque</w:t>
      </w:r>
      <w:r w:rsidR="00521C52">
        <w:t>sne</w:t>
      </w:r>
      <w:r w:rsidR="0064563E">
        <w:t xml:space="preserve"> Light </w:t>
      </w:r>
      <w:r>
        <w:t xml:space="preserve"> filed an answer on </w:t>
      </w:r>
      <w:r w:rsidR="0064563E">
        <w:t>August 22, 2019</w:t>
      </w:r>
      <w:r>
        <w:t xml:space="preserve">.  </w:t>
      </w:r>
      <w:r w:rsidR="0064563E">
        <w:t>Duquesne Light</w:t>
      </w:r>
      <w:r>
        <w:t xml:space="preserve"> admits that an outage occurred on </w:t>
      </w:r>
      <w:r w:rsidR="0064563E">
        <w:t>June 10, 2019</w:t>
      </w:r>
      <w:r>
        <w:t xml:space="preserve">, but denies the complaint in all other material respects.  </w:t>
      </w:r>
      <w:r w:rsidR="0064563E">
        <w:t>Duquesne Light</w:t>
      </w:r>
      <w:r>
        <w:t xml:space="preserve"> also filed preliminary objections on </w:t>
      </w:r>
      <w:r w:rsidR="0064563E">
        <w:t>August 22, 2019</w:t>
      </w:r>
      <w:r>
        <w:t>, which included a notice to plead.  The basis for the preliminary objections is that the Commission does not have jurisdiction to award monetary damages, therefore the complaint should be dismissed</w:t>
      </w:r>
      <w:r w:rsidR="00F93BB5">
        <w:t>.</w:t>
      </w:r>
      <w:r w:rsidR="004B0E40">
        <w:t xml:space="preserve"> </w:t>
      </w:r>
      <w:r w:rsidR="00A536BA">
        <w:t xml:space="preserve">  The Complainant did not file a response to the preliminary objection</w:t>
      </w:r>
      <w:bookmarkStart w:id="1" w:name="_Hlk505609875"/>
      <w:r w:rsidR="00992B50">
        <w:t>s</w:t>
      </w:r>
      <w:r w:rsidR="00A536BA">
        <w:t>.</w:t>
      </w:r>
      <w:r w:rsidR="00ED5A03">
        <w:rPr>
          <w:rStyle w:val="FootnoteReference"/>
        </w:rPr>
        <w:footnoteReference w:id="1"/>
      </w:r>
      <w:bookmarkEnd w:id="1"/>
      <w:r w:rsidR="00E83C99" w:rsidRPr="00E83C99">
        <w:rPr>
          <w:szCs w:val="24"/>
        </w:rPr>
        <w:t xml:space="preserve"> </w:t>
      </w:r>
    </w:p>
    <w:p w14:paraId="6C01C0FF" w14:textId="77777777" w:rsidR="00E83C99" w:rsidRDefault="00E83C99" w:rsidP="00E83C99">
      <w:pPr>
        <w:rPr>
          <w:szCs w:val="24"/>
        </w:rPr>
      </w:pPr>
    </w:p>
    <w:p w14:paraId="6C81C1C0" w14:textId="01F4B23C" w:rsidR="00F117D3" w:rsidRDefault="00E83C99" w:rsidP="00F117D3">
      <w:r>
        <w:rPr>
          <w:szCs w:val="24"/>
        </w:rPr>
        <w:tab/>
      </w:r>
      <w:r>
        <w:rPr>
          <w:szCs w:val="24"/>
        </w:rPr>
        <w:tab/>
      </w:r>
      <w:r w:rsidR="00F117D3">
        <w:rPr>
          <w:szCs w:val="24"/>
        </w:rPr>
        <w:t xml:space="preserve">The Complainant is currently self-represented.  </w:t>
      </w:r>
      <w:r w:rsidR="00F117D3">
        <w:t>A ruling on PWSA’s preliminary objections will be held in abeyance pending a hearing on the complaint.  In</w:t>
      </w:r>
      <w:r w:rsidR="00F117D3" w:rsidRPr="00982AC1">
        <w:t xml:space="preserve"> </w:t>
      </w:r>
      <w:r w:rsidR="00F117D3" w:rsidRPr="00982AC1">
        <w:rPr>
          <w:i/>
        </w:rPr>
        <w:t>Carlock v. The United Telephone Company of Pennsylvania</w:t>
      </w:r>
      <w:r w:rsidR="00F117D3" w:rsidRPr="00982AC1">
        <w:t>, Docket No. F</w:t>
      </w:r>
      <w:r w:rsidR="00F117D3" w:rsidRPr="00982AC1">
        <w:noBreakHyphen/>
        <w:t>00163617 (Order entered July 14, 1993), th</w:t>
      </w:r>
      <w:r w:rsidR="00F117D3">
        <w:t>e</w:t>
      </w:r>
      <w:r w:rsidR="00F117D3" w:rsidRPr="00982AC1">
        <w:t xml:space="preserve"> Commission held that, in the normal course, </w:t>
      </w:r>
      <w:r w:rsidR="00F117D3">
        <w:t xml:space="preserve">the Commission </w:t>
      </w:r>
      <w:r w:rsidR="00F117D3" w:rsidRPr="00982AC1">
        <w:t xml:space="preserve">would not dismiss a </w:t>
      </w:r>
      <w:r w:rsidR="00F117D3" w:rsidRPr="00982AC1">
        <w:lastRenderedPageBreak/>
        <w:t>complaint</w:t>
      </w:r>
      <w:r w:rsidR="00F117D3">
        <w:t xml:space="preserve"> of a self-represented person</w:t>
      </w:r>
      <w:r w:rsidR="00F117D3" w:rsidRPr="00982AC1">
        <w:t xml:space="preserve"> without first providing a hearing during which </w:t>
      </w:r>
      <w:r w:rsidR="00F117D3" w:rsidRPr="00D50FE1">
        <w:t>self</w:t>
      </w:r>
      <w:r w:rsidR="006A570A">
        <w:noBreakHyphen/>
      </w:r>
      <w:r w:rsidR="00F117D3" w:rsidRPr="00D50FE1">
        <w:t>represented</w:t>
      </w:r>
      <w:r w:rsidR="00F117D3" w:rsidRPr="00982AC1">
        <w:t xml:space="preserve"> complainants could further explain their position and the factual basis for their complaint.  The concern was expressed that, in general, complainants may find it difficult to navigate through pre-hearing motions and should be given the chance to orally describe their basic issue and supporting facts.</w:t>
      </w:r>
      <w:r w:rsidR="00F117D3">
        <w:rPr>
          <w:rStyle w:val="FootnoteReference"/>
        </w:rPr>
        <w:footnoteReference w:id="2"/>
      </w:r>
      <w:r w:rsidR="00F117D3" w:rsidRPr="00982AC1">
        <w:t xml:space="preserve">  </w:t>
      </w:r>
    </w:p>
    <w:p w14:paraId="2768884B" w14:textId="77777777" w:rsidR="00F117D3" w:rsidRDefault="00F117D3" w:rsidP="00574909">
      <w:pPr>
        <w:rPr>
          <w:szCs w:val="24"/>
        </w:rPr>
      </w:pPr>
      <w:bookmarkStart w:id="2" w:name="_Hlk505846389"/>
      <w:bookmarkStart w:id="3" w:name="_Hlk505846268"/>
    </w:p>
    <w:p w14:paraId="256804C4" w14:textId="1D331A44" w:rsidR="00127E0D" w:rsidRDefault="00574909" w:rsidP="00574909">
      <w:pPr>
        <w:rPr>
          <w:spacing w:val="-3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E6AB2">
        <w:rPr>
          <w:spacing w:val="-3"/>
          <w:szCs w:val="24"/>
        </w:rPr>
        <w:t>It is</w:t>
      </w:r>
      <w:r w:rsidR="00E83C99">
        <w:rPr>
          <w:spacing w:val="-3"/>
          <w:szCs w:val="24"/>
        </w:rPr>
        <w:t xml:space="preserve"> also</w:t>
      </w:r>
      <w:r w:rsidRPr="007E6AB2">
        <w:rPr>
          <w:spacing w:val="-3"/>
          <w:szCs w:val="24"/>
        </w:rPr>
        <w:t xml:space="preserve"> the policy of the Commission to encourage settlements.  52 Pa</w:t>
      </w:r>
      <w:r w:rsidR="0084383F">
        <w:rPr>
          <w:spacing w:val="-3"/>
          <w:szCs w:val="24"/>
        </w:rPr>
        <w:t>.</w:t>
      </w:r>
      <w:r w:rsidRPr="007E6AB2">
        <w:rPr>
          <w:spacing w:val="-3"/>
          <w:szCs w:val="24"/>
        </w:rPr>
        <w:t>Code §</w:t>
      </w:r>
      <w:r w:rsidR="004138B2">
        <w:rPr>
          <w:spacing w:val="-3"/>
          <w:szCs w:val="24"/>
        </w:rPr>
        <w:t> </w:t>
      </w:r>
      <w:r w:rsidRPr="007E6AB2">
        <w:rPr>
          <w:spacing w:val="-3"/>
          <w:szCs w:val="24"/>
        </w:rPr>
        <w:t xml:space="preserve">5.231.  </w:t>
      </w:r>
      <w:r w:rsidR="001E08D8" w:rsidRPr="007E6AB2">
        <w:rPr>
          <w:spacing w:val="-3"/>
          <w:szCs w:val="24"/>
        </w:rPr>
        <w:t>Also,</w:t>
      </w:r>
      <w:r w:rsidRPr="007E6AB2">
        <w:rPr>
          <w:spacing w:val="-3"/>
          <w:szCs w:val="24"/>
        </w:rPr>
        <w:t xml:space="preserve"> it is Commission policy to encourage mediation during which the parties may attempt to resolve the case with the aid of a mediator.  52 Pa.Code §§ 69.391– 69.397.  The mediator, a neutral staff member within the Mediation Unit of the Commission’s Office of Administrative Law Judge, does not give advice, represent any party, evaluate or make a decision.  Instead, the mediator assists the parties in their efforts to come to an agreement thereby avoiding the time, expense and uncertainty of litigation. </w:t>
      </w:r>
      <w:r w:rsidR="00127E0D">
        <w:rPr>
          <w:spacing w:val="-3"/>
          <w:szCs w:val="24"/>
        </w:rPr>
        <w:t xml:space="preserve">  Mediation is an informal process where the parties can discuss a full range of settlement options beyond those which can be ordered by the Commission in the formal adjudication process.</w:t>
      </w:r>
    </w:p>
    <w:p w14:paraId="228B9A76" w14:textId="77777777" w:rsidR="00127E0D" w:rsidRDefault="00127E0D" w:rsidP="00574909">
      <w:pPr>
        <w:rPr>
          <w:spacing w:val="-3"/>
          <w:szCs w:val="24"/>
        </w:rPr>
      </w:pPr>
    </w:p>
    <w:p w14:paraId="60B170BD" w14:textId="70E228B2" w:rsidR="00E05E76" w:rsidRDefault="00127E0D" w:rsidP="00ED5A03">
      <w:r>
        <w:rPr>
          <w:spacing w:val="-3"/>
          <w:szCs w:val="24"/>
        </w:rPr>
        <w:tab/>
      </w:r>
      <w:r w:rsidR="00FA3333">
        <w:rPr>
          <w:spacing w:val="-3"/>
          <w:szCs w:val="24"/>
        </w:rPr>
        <w:tab/>
      </w:r>
      <w:r w:rsidR="00992B50">
        <w:rPr>
          <w:spacing w:val="-3"/>
          <w:szCs w:val="24"/>
        </w:rPr>
        <w:t>T</w:t>
      </w:r>
      <w:r w:rsidR="00E81ABD">
        <w:rPr>
          <w:spacing w:val="-3"/>
          <w:szCs w:val="24"/>
        </w:rPr>
        <w:t xml:space="preserve">his case appears to be appropriate for mediation.  </w:t>
      </w:r>
      <w:r w:rsidR="00574909" w:rsidRPr="007E6AB2">
        <w:rPr>
          <w:spacing w:val="-3"/>
          <w:szCs w:val="24"/>
        </w:rPr>
        <w:t xml:space="preserve">Accordingly, the </w:t>
      </w:r>
      <w:r w:rsidR="00574909">
        <w:rPr>
          <w:spacing w:val="-3"/>
          <w:szCs w:val="24"/>
        </w:rPr>
        <w:t>case will be referred to the Commission’s Mediation Unit for mediation review.</w:t>
      </w:r>
      <w:r>
        <w:rPr>
          <w:spacing w:val="-3"/>
          <w:szCs w:val="24"/>
        </w:rPr>
        <w:t xml:space="preserve">  In the event that the mediation process does not resolve in a settlement, the Complainant will be provided with an opportunity to respond to </w:t>
      </w:r>
      <w:r w:rsidR="00D22331">
        <w:rPr>
          <w:spacing w:val="-3"/>
          <w:szCs w:val="24"/>
        </w:rPr>
        <w:t>Duquesne Light’s</w:t>
      </w:r>
      <w:r>
        <w:rPr>
          <w:spacing w:val="-3"/>
          <w:szCs w:val="24"/>
        </w:rPr>
        <w:t xml:space="preserve"> preliminary objection</w:t>
      </w:r>
      <w:r w:rsidR="00992B50">
        <w:rPr>
          <w:spacing w:val="-3"/>
          <w:szCs w:val="24"/>
        </w:rPr>
        <w:t>s</w:t>
      </w:r>
      <w:r w:rsidR="00E81ABD">
        <w:rPr>
          <w:spacing w:val="-3"/>
          <w:szCs w:val="24"/>
        </w:rPr>
        <w:t>.  The preliminary objections do not raise a novel issue of law.  Holding a ruling on the preliminary objections in abeyance will not hamper mediation discussions.</w:t>
      </w:r>
    </w:p>
    <w:p w14:paraId="123EF4A1" w14:textId="67FC4CF1" w:rsidR="009F7F17" w:rsidRDefault="004B526B" w:rsidP="00ED5A03">
      <w:r>
        <w:br/>
      </w:r>
      <w:r>
        <w:br/>
      </w:r>
      <w:r>
        <w:br/>
      </w:r>
      <w:r>
        <w:br/>
      </w:r>
      <w:r>
        <w:br/>
      </w:r>
      <w:r>
        <w:br/>
      </w:r>
      <w:bookmarkStart w:id="4" w:name="_GoBack"/>
      <w:bookmarkEnd w:id="4"/>
    </w:p>
    <w:p w14:paraId="143B8288" w14:textId="77777777" w:rsidR="00ED5A03" w:rsidRDefault="00ED5A03" w:rsidP="009F7F17">
      <w:pPr>
        <w:ind w:left="720" w:firstLine="720"/>
      </w:pPr>
      <w:r>
        <w:lastRenderedPageBreak/>
        <w:t>THEREFORE,</w:t>
      </w:r>
    </w:p>
    <w:p w14:paraId="4A0B5E2B" w14:textId="77777777" w:rsidR="00ED5A03" w:rsidRDefault="00ED5A03" w:rsidP="00ED5A03"/>
    <w:p w14:paraId="31286B64" w14:textId="77777777" w:rsidR="00ED5A03" w:rsidRDefault="00ED5A03" w:rsidP="00ED5A03">
      <w:r>
        <w:tab/>
      </w:r>
      <w:r w:rsidR="009F7F17">
        <w:tab/>
      </w:r>
      <w:r>
        <w:t>IT IS ORDERED:</w:t>
      </w:r>
    </w:p>
    <w:p w14:paraId="76ACB803" w14:textId="77777777" w:rsidR="00ED5A03" w:rsidRDefault="00ED5A03" w:rsidP="00ED5A03"/>
    <w:p w14:paraId="5B1C3F61" w14:textId="3491E3C8" w:rsidR="00ED5A03" w:rsidRDefault="00ED5A03" w:rsidP="00ED5A03">
      <w:r>
        <w:tab/>
      </w:r>
      <w:r w:rsidR="00574909">
        <w:tab/>
      </w:r>
      <w:r>
        <w:t>1.</w:t>
      </w:r>
      <w:r>
        <w:tab/>
        <w:t>That the preliminary objection</w:t>
      </w:r>
      <w:r w:rsidR="00752324">
        <w:t>s</w:t>
      </w:r>
      <w:r>
        <w:t xml:space="preserve"> of </w:t>
      </w:r>
      <w:r w:rsidR="00D22331">
        <w:t>Duquesne Light Company</w:t>
      </w:r>
      <w:r>
        <w:t xml:space="preserve"> seeking dismissal of the </w:t>
      </w:r>
      <w:r w:rsidR="00333136">
        <w:t>complaint will be held in abeyance until a formal hearing, should a hearing become necessary</w:t>
      </w:r>
      <w:r>
        <w:t>.</w:t>
      </w:r>
    </w:p>
    <w:p w14:paraId="65B8427B" w14:textId="77777777" w:rsidR="00ED5A03" w:rsidRDefault="00ED5A03" w:rsidP="00ED5A03"/>
    <w:p w14:paraId="68DB4525" w14:textId="77777777" w:rsidR="00574909" w:rsidRPr="00D921AE" w:rsidRDefault="00ED5A03" w:rsidP="00333136">
      <w:pPr>
        <w:rPr>
          <w:spacing w:val="-3"/>
          <w:szCs w:val="24"/>
        </w:rPr>
      </w:pPr>
      <w:r>
        <w:tab/>
      </w:r>
      <w:r w:rsidR="00574909">
        <w:tab/>
      </w:r>
      <w:r>
        <w:t>2.</w:t>
      </w:r>
      <w:r>
        <w:tab/>
      </w:r>
      <w:r w:rsidR="00574909" w:rsidRPr="00D921AE">
        <w:rPr>
          <w:spacing w:val="-3"/>
          <w:szCs w:val="24"/>
        </w:rPr>
        <w:t xml:space="preserve">That the </w:t>
      </w:r>
      <w:r w:rsidR="00574909">
        <w:rPr>
          <w:spacing w:val="-3"/>
          <w:szCs w:val="24"/>
        </w:rPr>
        <w:t xml:space="preserve">case </w:t>
      </w:r>
      <w:r w:rsidR="00574909" w:rsidRPr="00D921AE">
        <w:rPr>
          <w:spacing w:val="-3"/>
          <w:szCs w:val="24"/>
        </w:rPr>
        <w:t>be and is hereby referred to the Commission’s Mediation Unit for the Commission’s mediation review process.</w:t>
      </w:r>
    </w:p>
    <w:p w14:paraId="3EF87BD3" w14:textId="77777777" w:rsidR="00574909" w:rsidRPr="00D921AE" w:rsidRDefault="00574909" w:rsidP="00574909">
      <w:pPr>
        <w:ind w:firstLine="1440"/>
        <w:rPr>
          <w:spacing w:val="-3"/>
          <w:szCs w:val="24"/>
        </w:rPr>
      </w:pPr>
    </w:p>
    <w:p w14:paraId="5C5BE8AA" w14:textId="77777777" w:rsidR="0097287F" w:rsidRDefault="00574909" w:rsidP="0097287F">
      <w:pPr>
        <w:tabs>
          <w:tab w:val="left" w:pos="1440"/>
          <w:tab w:val="left" w:pos="2160"/>
          <w:tab w:val="left" w:pos="2880"/>
        </w:tabs>
        <w:rPr>
          <w:spacing w:val="-3"/>
          <w:szCs w:val="24"/>
        </w:rPr>
      </w:pPr>
      <w:r w:rsidRPr="00D921AE">
        <w:rPr>
          <w:spacing w:val="-3"/>
          <w:szCs w:val="24"/>
        </w:rPr>
        <w:tab/>
      </w:r>
      <w:r w:rsidR="00333136">
        <w:rPr>
          <w:spacing w:val="-3"/>
          <w:szCs w:val="24"/>
        </w:rPr>
        <w:t>3</w:t>
      </w:r>
      <w:r w:rsidRPr="00D921AE">
        <w:rPr>
          <w:spacing w:val="-3"/>
          <w:szCs w:val="24"/>
        </w:rPr>
        <w:t>.</w:t>
      </w:r>
      <w:r w:rsidRPr="00D921AE">
        <w:rPr>
          <w:spacing w:val="-3"/>
          <w:szCs w:val="24"/>
        </w:rPr>
        <w:tab/>
      </w:r>
      <w:r w:rsidR="0097287F">
        <w:rPr>
          <w:spacing w:val="-3"/>
          <w:szCs w:val="24"/>
        </w:rPr>
        <w:t>That i</w:t>
      </w:r>
      <w:r w:rsidR="0097287F" w:rsidRPr="00D921AE">
        <w:rPr>
          <w:spacing w:val="-3"/>
          <w:szCs w:val="24"/>
        </w:rPr>
        <w:t xml:space="preserve">n the event the parties are unable to resolve this matter with the assistance of the mediator, the case shall be </w:t>
      </w:r>
      <w:r w:rsidR="0097287F">
        <w:rPr>
          <w:spacing w:val="-3"/>
          <w:szCs w:val="24"/>
        </w:rPr>
        <w:t>scheduled for a formal hearing before the undersigned presiding officer.</w:t>
      </w:r>
    </w:p>
    <w:p w14:paraId="5DB33042" w14:textId="0A7C447B" w:rsidR="00574909" w:rsidRDefault="00574909" w:rsidP="00574909">
      <w:pPr>
        <w:tabs>
          <w:tab w:val="left" w:pos="1440"/>
          <w:tab w:val="left" w:pos="2160"/>
          <w:tab w:val="left" w:pos="2880"/>
        </w:tabs>
        <w:jc w:val="both"/>
        <w:rPr>
          <w:spacing w:val="-3"/>
          <w:szCs w:val="24"/>
        </w:rPr>
      </w:pPr>
    </w:p>
    <w:p w14:paraId="7ED6FA02" w14:textId="77777777" w:rsidR="009F7F17" w:rsidRDefault="009F7F17" w:rsidP="00574909">
      <w:pPr>
        <w:tabs>
          <w:tab w:val="left" w:pos="1440"/>
          <w:tab w:val="left" w:pos="2160"/>
          <w:tab w:val="left" w:pos="2880"/>
        </w:tabs>
        <w:jc w:val="both"/>
        <w:rPr>
          <w:spacing w:val="-3"/>
          <w:szCs w:val="24"/>
        </w:rPr>
      </w:pPr>
    </w:p>
    <w:p w14:paraId="184218CA" w14:textId="3AF5BDA4" w:rsidR="008479B8" w:rsidRPr="008479B8" w:rsidRDefault="00E05E76" w:rsidP="00D22331">
      <w:pPr>
        <w:spacing w:line="240" w:lineRule="auto"/>
        <w:rPr>
          <w:rFonts w:eastAsia="Times New Roman"/>
          <w:szCs w:val="24"/>
        </w:rPr>
      </w:pPr>
      <w:r w:rsidRPr="00EE4E58">
        <w:rPr>
          <w:rFonts w:eastAsia="Times New Roman"/>
          <w:szCs w:val="24"/>
        </w:rPr>
        <w:t xml:space="preserve">Date:  </w:t>
      </w:r>
      <w:r w:rsidR="00D22331">
        <w:rPr>
          <w:rFonts w:eastAsia="Times New Roman"/>
          <w:szCs w:val="24"/>
          <w:u w:val="single"/>
        </w:rPr>
        <w:t>September 23, 2019</w:t>
      </w:r>
      <w:r w:rsidRPr="00EE4E58">
        <w:rPr>
          <w:szCs w:val="24"/>
        </w:rPr>
        <w:tab/>
      </w:r>
      <w:r w:rsidRPr="00EE4E58">
        <w:rPr>
          <w:szCs w:val="24"/>
        </w:rPr>
        <w:tab/>
      </w:r>
      <w:r w:rsidRPr="00EE4E58">
        <w:rPr>
          <w:szCs w:val="24"/>
        </w:rPr>
        <w:tab/>
      </w:r>
      <w:r w:rsidRPr="00EE4E58">
        <w:rPr>
          <w:szCs w:val="24"/>
        </w:rPr>
        <w:tab/>
      </w:r>
      <w:r w:rsidR="008479B8" w:rsidRPr="008479B8">
        <w:rPr>
          <w:rFonts w:eastAsia="Times New Roman"/>
          <w:szCs w:val="24"/>
          <w:u w:val="single"/>
        </w:rPr>
        <w:tab/>
      </w:r>
      <w:r w:rsidR="008479B8" w:rsidRPr="008479B8">
        <w:rPr>
          <w:rFonts w:eastAsia="Times New Roman"/>
          <w:szCs w:val="24"/>
          <w:u w:val="single"/>
        </w:rPr>
        <w:tab/>
        <w:t>/s/</w:t>
      </w:r>
      <w:r w:rsidR="008479B8" w:rsidRPr="008479B8">
        <w:rPr>
          <w:rFonts w:eastAsia="Times New Roman"/>
          <w:szCs w:val="24"/>
          <w:u w:val="single"/>
        </w:rPr>
        <w:tab/>
      </w:r>
      <w:r w:rsidR="008479B8" w:rsidRPr="008479B8">
        <w:rPr>
          <w:rFonts w:eastAsia="Times New Roman"/>
          <w:szCs w:val="24"/>
          <w:u w:val="single"/>
        </w:rPr>
        <w:tab/>
      </w:r>
      <w:r w:rsidR="008479B8" w:rsidRPr="008479B8">
        <w:rPr>
          <w:rFonts w:eastAsia="Times New Roman"/>
          <w:szCs w:val="24"/>
          <w:u w:val="single"/>
        </w:rPr>
        <w:tab/>
      </w:r>
      <w:r w:rsidR="008479B8" w:rsidRPr="008479B8">
        <w:rPr>
          <w:rFonts w:eastAsia="Times New Roman"/>
          <w:szCs w:val="24"/>
          <w:u w:val="single"/>
        </w:rPr>
        <w:tab/>
      </w:r>
    </w:p>
    <w:p w14:paraId="5D615CE1" w14:textId="77777777" w:rsidR="00D22331" w:rsidRDefault="008479B8" w:rsidP="00D22331">
      <w:pPr>
        <w:spacing w:line="240" w:lineRule="auto"/>
      </w:pPr>
      <w:r w:rsidRPr="008479B8">
        <w:rPr>
          <w:rFonts w:eastAsia="Times New Roman"/>
          <w:szCs w:val="24"/>
        </w:rPr>
        <w:tab/>
      </w:r>
      <w:r w:rsidRPr="008479B8">
        <w:rPr>
          <w:rFonts w:eastAsia="Times New Roman"/>
          <w:szCs w:val="24"/>
        </w:rPr>
        <w:tab/>
      </w:r>
      <w:r w:rsidRPr="008479B8">
        <w:rPr>
          <w:rFonts w:eastAsia="Times New Roman"/>
          <w:szCs w:val="24"/>
        </w:rPr>
        <w:tab/>
      </w:r>
      <w:r w:rsidRPr="008479B8">
        <w:rPr>
          <w:rFonts w:eastAsia="Times New Roman"/>
          <w:szCs w:val="24"/>
        </w:rPr>
        <w:tab/>
      </w:r>
      <w:r w:rsidRPr="008479B8">
        <w:rPr>
          <w:rFonts w:eastAsia="Times New Roman"/>
          <w:szCs w:val="24"/>
        </w:rPr>
        <w:tab/>
      </w:r>
      <w:r w:rsidRPr="008479B8">
        <w:rPr>
          <w:rFonts w:eastAsia="Times New Roman"/>
          <w:szCs w:val="24"/>
        </w:rPr>
        <w:tab/>
      </w:r>
      <w:r w:rsidRPr="008479B8">
        <w:rPr>
          <w:rFonts w:eastAsia="Times New Roman"/>
          <w:szCs w:val="24"/>
        </w:rPr>
        <w:tab/>
      </w:r>
      <w:bookmarkEnd w:id="2"/>
      <w:bookmarkEnd w:id="3"/>
      <w:r w:rsidR="00D22331">
        <w:t>Mary D. Long</w:t>
      </w:r>
    </w:p>
    <w:p w14:paraId="0F745781" w14:textId="77777777" w:rsidR="009914B8" w:rsidRDefault="00D22331" w:rsidP="00D22331">
      <w:pPr>
        <w:spacing w:line="240" w:lineRule="auto"/>
        <w:sectPr w:rsidR="009914B8" w:rsidSect="00BE5A87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</w:p>
    <w:p w14:paraId="5D8EA345" w14:textId="77777777" w:rsidR="009914B8" w:rsidRPr="009914B8" w:rsidRDefault="009914B8" w:rsidP="009914B8">
      <w:pPr>
        <w:spacing w:line="240" w:lineRule="auto"/>
        <w:rPr>
          <w:rFonts w:ascii="Calibri" w:eastAsia="Times New Roman" w:hAnsi="Calibri"/>
          <w:i/>
          <w:iCs/>
          <w:sz w:val="22"/>
          <w:szCs w:val="22"/>
          <w:u w:val="single"/>
        </w:rPr>
      </w:pPr>
      <w:bookmarkStart w:id="5" w:name="_Hlk19523887"/>
      <w:r w:rsidRPr="009914B8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C-2019-3011935 - OLIVIA WINTERROWD v. DUQUESNE LIGHT COMPANY</w:t>
      </w:r>
      <w:r w:rsidRPr="009914B8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9914B8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9914B8">
        <w:rPr>
          <w:rFonts w:ascii="Microsoft Sans Serif" w:eastAsia="Microsoft Sans Serif" w:hAnsi="Microsoft Sans Serif" w:cs="Microsoft Sans Serif"/>
          <w:szCs w:val="22"/>
        </w:rPr>
        <w:t>OLIVIA WINTERROWD</w:t>
      </w:r>
      <w:r w:rsidRPr="009914B8">
        <w:rPr>
          <w:rFonts w:ascii="Microsoft Sans Serif" w:eastAsia="Microsoft Sans Serif" w:hAnsi="Microsoft Sans Serif" w:cs="Microsoft Sans Serif"/>
          <w:szCs w:val="22"/>
        </w:rPr>
        <w:cr/>
        <w:t>340 SHARON DRIVE</w:t>
      </w:r>
      <w:r w:rsidRPr="009914B8">
        <w:rPr>
          <w:rFonts w:ascii="Microsoft Sans Serif" w:eastAsia="Microsoft Sans Serif" w:hAnsi="Microsoft Sans Serif" w:cs="Microsoft Sans Serif"/>
          <w:szCs w:val="22"/>
        </w:rPr>
        <w:cr/>
        <w:t>HOOKSTOWN PA  15050</w:t>
      </w:r>
      <w:r w:rsidRPr="009914B8">
        <w:rPr>
          <w:rFonts w:ascii="Microsoft Sans Serif" w:eastAsia="Microsoft Sans Serif" w:hAnsi="Microsoft Sans Serif" w:cs="Microsoft Sans Serif"/>
          <w:szCs w:val="22"/>
        </w:rPr>
        <w:cr/>
      </w:r>
      <w:r w:rsidRPr="009914B8">
        <w:rPr>
          <w:rFonts w:ascii="Microsoft Sans Serif" w:eastAsia="Microsoft Sans Serif" w:hAnsi="Microsoft Sans Serif" w:cs="Microsoft Sans Serif"/>
          <w:b/>
          <w:bCs/>
          <w:szCs w:val="22"/>
        </w:rPr>
        <w:t>724.494.1185</w:t>
      </w:r>
      <w:r w:rsidRPr="009914B8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9914B8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9914B8">
        <w:rPr>
          <w:rFonts w:ascii="Microsoft Sans Serif" w:eastAsia="Microsoft Sans Serif" w:hAnsi="Microsoft Sans Serif" w:cs="Microsoft Sans Serif"/>
          <w:szCs w:val="22"/>
        </w:rPr>
        <w:t>EMILY M FARAH ESQUIRE</w:t>
      </w:r>
      <w:r w:rsidRPr="009914B8">
        <w:rPr>
          <w:rFonts w:ascii="Microsoft Sans Serif" w:eastAsia="Microsoft Sans Serif" w:hAnsi="Microsoft Sans Serif" w:cs="Microsoft Sans Serif"/>
          <w:szCs w:val="22"/>
        </w:rPr>
        <w:cr/>
        <w:t>DUQUESNE LIGHT COMPANY</w:t>
      </w:r>
      <w:r w:rsidRPr="009914B8">
        <w:rPr>
          <w:rFonts w:ascii="Microsoft Sans Serif" w:eastAsia="Microsoft Sans Serif" w:hAnsi="Microsoft Sans Serif" w:cs="Microsoft Sans Serif"/>
          <w:szCs w:val="22"/>
        </w:rPr>
        <w:cr/>
        <w:t>411 SEVENTH AVENUE</w:t>
      </w:r>
      <w:r w:rsidRPr="009914B8">
        <w:rPr>
          <w:rFonts w:ascii="Microsoft Sans Serif" w:eastAsia="Microsoft Sans Serif" w:hAnsi="Microsoft Sans Serif" w:cs="Microsoft Sans Serif"/>
          <w:szCs w:val="22"/>
        </w:rPr>
        <w:cr/>
        <w:t>PITTSBURGH PA  15219</w:t>
      </w:r>
      <w:r w:rsidRPr="009914B8">
        <w:rPr>
          <w:rFonts w:ascii="Microsoft Sans Serif" w:eastAsia="Microsoft Sans Serif" w:hAnsi="Microsoft Sans Serif" w:cs="Microsoft Sans Serif"/>
          <w:szCs w:val="22"/>
        </w:rPr>
        <w:cr/>
      </w:r>
      <w:r w:rsidRPr="009914B8">
        <w:rPr>
          <w:rFonts w:ascii="Microsoft Sans Serif" w:eastAsia="Microsoft Sans Serif" w:hAnsi="Microsoft Sans Serif" w:cs="Microsoft Sans Serif"/>
          <w:b/>
          <w:bCs/>
          <w:szCs w:val="22"/>
        </w:rPr>
        <w:t>412.393.6431</w:t>
      </w:r>
      <w:r w:rsidRPr="009914B8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9914B8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9914B8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cr/>
      </w:r>
    </w:p>
    <w:bookmarkEnd w:id="5"/>
    <w:p w14:paraId="2084592C" w14:textId="0A558FA5" w:rsidR="00574909" w:rsidRDefault="00574909" w:rsidP="00D22331">
      <w:pPr>
        <w:spacing w:line="240" w:lineRule="auto"/>
      </w:pPr>
    </w:p>
    <w:sectPr w:rsidR="00574909" w:rsidSect="00BE5A87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E13BD" w14:textId="77777777" w:rsidR="00EB148C" w:rsidRDefault="00EB148C" w:rsidP="002958EA">
      <w:pPr>
        <w:spacing w:line="240" w:lineRule="auto"/>
      </w:pPr>
      <w:r>
        <w:separator/>
      </w:r>
    </w:p>
  </w:endnote>
  <w:endnote w:type="continuationSeparator" w:id="0">
    <w:p w14:paraId="30B87D79" w14:textId="77777777" w:rsidR="00EB148C" w:rsidRDefault="00EB148C" w:rsidP="002958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3295435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6797DEA" w14:textId="77777777" w:rsidR="00BE5A87" w:rsidRPr="00BE5A87" w:rsidRDefault="00BE5A87">
        <w:pPr>
          <w:pStyle w:val="Footer"/>
          <w:jc w:val="center"/>
          <w:rPr>
            <w:sz w:val="20"/>
          </w:rPr>
        </w:pPr>
        <w:r w:rsidRPr="00BE5A87">
          <w:rPr>
            <w:sz w:val="20"/>
          </w:rPr>
          <w:fldChar w:fldCharType="begin"/>
        </w:r>
        <w:r w:rsidRPr="00BE5A87">
          <w:rPr>
            <w:sz w:val="20"/>
          </w:rPr>
          <w:instrText xml:space="preserve"> PAGE   \* MERGEFORMAT </w:instrText>
        </w:r>
        <w:r w:rsidRPr="00BE5A87">
          <w:rPr>
            <w:sz w:val="20"/>
          </w:rPr>
          <w:fldChar w:fldCharType="separate"/>
        </w:r>
        <w:r w:rsidR="007755D7">
          <w:rPr>
            <w:noProof/>
            <w:sz w:val="20"/>
          </w:rPr>
          <w:t>3</w:t>
        </w:r>
        <w:r w:rsidRPr="00BE5A87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E9F35" w14:textId="77777777" w:rsidR="00EB148C" w:rsidRDefault="00EB148C" w:rsidP="002958EA">
      <w:pPr>
        <w:spacing w:line="240" w:lineRule="auto"/>
      </w:pPr>
      <w:r>
        <w:separator/>
      </w:r>
    </w:p>
  </w:footnote>
  <w:footnote w:type="continuationSeparator" w:id="0">
    <w:p w14:paraId="3B9792AF" w14:textId="77777777" w:rsidR="00EB148C" w:rsidRDefault="00EB148C" w:rsidP="002958EA">
      <w:pPr>
        <w:spacing w:line="240" w:lineRule="auto"/>
      </w:pPr>
      <w:r>
        <w:continuationSeparator/>
      </w:r>
    </w:p>
  </w:footnote>
  <w:footnote w:id="1">
    <w:p w14:paraId="33885034" w14:textId="74D30A0C" w:rsidR="00ED5A03" w:rsidRDefault="00ED5A03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>
        <w:tab/>
        <w:t xml:space="preserve">The preliminary objection was assigned to me as a motions judge on </w:t>
      </w:r>
      <w:r w:rsidR="0064563E">
        <w:t>September 6, 2019</w:t>
      </w:r>
      <w:r w:rsidR="00752324">
        <w:t>.</w:t>
      </w:r>
    </w:p>
  </w:footnote>
  <w:footnote w:id="2">
    <w:p w14:paraId="48F2D697" w14:textId="77777777" w:rsidR="00F117D3" w:rsidRDefault="00F117D3" w:rsidP="006A570A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2631FC">
        <w:rPr>
          <w:i/>
        </w:rPr>
        <w:t>See also</w:t>
      </w:r>
      <w:r>
        <w:t xml:space="preserve"> </w:t>
      </w:r>
      <w:r>
        <w:rPr>
          <w:i/>
        </w:rPr>
        <w:t>Richmond v. PECO Energy Company,</w:t>
      </w:r>
      <w:r>
        <w:t xml:space="preserve"> Docket No. F-2010-2187305 (Opinion and Order entered December 7, 2011).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4"/>
  </w:num>
  <w:num w:numId="2">
    <w:abstractNumId w:val="16"/>
  </w:num>
  <w:num w:numId="3">
    <w:abstractNumId w:val="22"/>
  </w:num>
  <w:num w:numId="4">
    <w:abstractNumId w:val="26"/>
  </w:num>
  <w:num w:numId="5">
    <w:abstractNumId w:val="9"/>
  </w:num>
  <w:num w:numId="6">
    <w:abstractNumId w:val="6"/>
  </w:num>
  <w:num w:numId="7">
    <w:abstractNumId w:val="4"/>
  </w:num>
  <w:num w:numId="8">
    <w:abstractNumId w:val="25"/>
  </w:num>
  <w:num w:numId="9">
    <w:abstractNumId w:val="2"/>
  </w:num>
  <w:num w:numId="10">
    <w:abstractNumId w:val="18"/>
  </w:num>
  <w:num w:numId="11">
    <w:abstractNumId w:val="21"/>
  </w:num>
  <w:num w:numId="12">
    <w:abstractNumId w:val="13"/>
  </w:num>
  <w:num w:numId="13">
    <w:abstractNumId w:val="19"/>
  </w:num>
  <w:num w:numId="14">
    <w:abstractNumId w:val="23"/>
  </w:num>
  <w:num w:numId="15">
    <w:abstractNumId w:val="0"/>
  </w:num>
  <w:num w:numId="16">
    <w:abstractNumId w:val="17"/>
  </w:num>
  <w:num w:numId="17">
    <w:abstractNumId w:val="17"/>
  </w:num>
  <w:num w:numId="18">
    <w:abstractNumId w:val="8"/>
  </w:num>
  <w:num w:numId="19">
    <w:abstractNumId w:val="14"/>
  </w:num>
  <w:num w:numId="20">
    <w:abstractNumId w:val="27"/>
  </w:num>
  <w:num w:numId="21">
    <w:abstractNumId w:val="11"/>
  </w:num>
  <w:num w:numId="22">
    <w:abstractNumId w:val="3"/>
  </w:num>
  <w:num w:numId="23">
    <w:abstractNumId w:val="12"/>
  </w:num>
  <w:num w:numId="24">
    <w:abstractNumId w:val="29"/>
  </w:num>
  <w:num w:numId="25">
    <w:abstractNumId w:val="1"/>
  </w:num>
  <w:num w:numId="26">
    <w:abstractNumId w:val="5"/>
  </w:num>
  <w:num w:numId="27">
    <w:abstractNumId w:val="20"/>
  </w:num>
  <w:num w:numId="28">
    <w:abstractNumId w:val="10"/>
  </w:num>
  <w:num w:numId="29">
    <w:abstractNumId w:val="7"/>
  </w:num>
  <w:num w:numId="30">
    <w:abstractNumId w:val="1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DE9"/>
    <w:rsid w:val="00004C37"/>
    <w:rsid w:val="000561BC"/>
    <w:rsid w:val="00066D87"/>
    <w:rsid w:val="000E1058"/>
    <w:rsid w:val="000E3EDE"/>
    <w:rsid w:val="00107E82"/>
    <w:rsid w:val="00127E0D"/>
    <w:rsid w:val="00141A8E"/>
    <w:rsid w:val="0014330D"/>
    <w:rsid w:val="001A21B6"/>
    <w:rsid w:val="001B1CBA"/>
    <w:rsid w:val="001C751F"/>
    <w:rsid w:val="001D2AF7"/>
    <w:rsid w:val="001E08D8"/>
    <w:rsid w:val="001E30B0"/>
    <w:rsid w:val="00207743"/>
    <w:rsid w:val="00213167"/>
    <w:rsid w:val="002512F9"/>
    <w:rsid w:val="00292217"/>
    <w:rsid w:val="002958EA"/>
    <w:rsid w:val="003145FA"/>
    <w:rsid w:val="003303A0"/>
    <w:rsid w:val="00333136"/>
    <w:rsid w:val="00367A41"/>
    <w:rsid w:val="00393C92"/>
    <w:rsid w:val="003A3E09"/>
    <w:rsid w:val="004019C6"/>
    <w:rsid w:val="004138B2"/>
    <w:rsid w:val="00433857"/>
    <w:rsid w:val="0046348B"/>
    <w:rsid w:val="00481D91"/>
    <w:rsid w:val="004B0E40"/>
    <w:rsid w:val="004B526B"/>
    <w:rsid w:val="004C1ED8"/>
    <w:rsid w:val="004D523C"/>
    <w:rsid w:val="004D5A66"/>
    <w:rsid w:val="004E16C1"/>
    <w:rsid w:val="00521C52"/>
    <w:rsid w:val="00574909"/>
    <w:rsid w:val="005A1C17"/>
    <w:rsid w:val="005A2ABA"/>
    <w:rsid w:val="005A3103"/>
    <w:rsid w:val="005D180A"/>
    <w:rsid w:val="005E7B69"/>
    <w:rsid w:val="0061174F"/>
    <w:rsid w:val="0061775F"/>
    <w:rsid w:val="0064563E"/>
    <w:rsid w:val="0067224F"/>
    <w:rsid w:val="00683EDA"/>
    <w:rsid w:val="00684BC0"/>
    <w:rsid w:val="00696C0D"/>
    <w:rsid w:val="006A570A"/>
    <w:rsid w:val="006B470D"/>
    <w:rsid w:val="006F0329"/>
    <w:rsid w:val="00700807"/>
    <w:rsid w:val="007074A5"/>
    <w:rsid w:val="00712E58"/>
    <w:rsid w:val="00735722"/>
    <w:rsid w:val="007407AC"/>
    <w:rsid w:val="00752324"/>
    <w:rsid w:val="00755D72"/>
    <w:rsid w:val="007755D7"/>
    <w:rsid w:val="00792796"/>
    <w:rsid w:val="00796B64"/>
    <w:rsid w:val="007E6779"/>
    <w:rsid w:val="00820B4C"/>
    <w:rsid w:val="0083239D"/>
    <w:rsid w:val="0084383F"/>
    <w:rsid w:val="008479B8"/>
    <w:rsid w:val="008529D2"/>
    <w:rsid w:val="0088105E"/>
    <w:rsid w:val="008C778F"/>
    <w:rsid w:val="00917DCA"/>
    <w:rsid w:val="0097287F"/>
    <w:rsid w:val="009914B8"/>
    <w:rsid w:val="00992B50"/>
    <w:rsid w:val="009E1699"/>
    <w:rsid w:val="009F2875"/>
    <w:rsid w:val="009F7F17"/>
    <w:rsid w:val="00A1207D"/>
    <w:rsid w:val="00A47096"/>
    <w:rsid w:val="00A536BA"/>
    <w:rsid w:val="00AA2EC5"/>
    <w:rsid w:val="00AB4C73"/>
    <w:rsid w:val="00AE4DE9"/>
    <w:rsid w:val="00AE6F47"/>
    <w:rsid w:val="00B21665"/>
    <w:rsid w:val="00B91E47"/>
    <w:rsid w:val="00BA6C6C"/>
    <w:rsid w:val="00BC6B21"/>
    <w:rsid w:val="00BE5A87"/>
    <w:rsid w:val="00C87E57"/>
    <w:rsid w:val="00CF6143"/>
    <w:rsid w:val="00D22331"/>
    <w:rsid w:val="00D65467"/>
    <w:rsid w:val="00DD5C37"/>
    <w:rsid w:val="00DE56B0"/>
    <w:rsid w:val="00E05E76"/>
    <w:rsid w:val="00E4239A"/>
    <w:rsid w:val="00E4428C"/>
    <w:rsid w:val="00E65E47"/>
    <w:rsid w:val="00E81ABD"/>
    <w:rsid w:val="00E83C99"/>
    <w:rsid w:val="00EB027A"/>
    <w:rsid w:val="00EB148C"/>
    <w:rsid w:val="00EC1CBA"/>
    <w:rsid w:val="00ED5A03"/>
    <w:rsid w:val="00EE7801"/>
    <w:rsid w:val="00F117D3"/>
    <w:rsid w:val="00F11A19"/>
    <w:rsid w:val="00F16554"/>
    <w:rsid w:val="00F41871"/>
    <w:rsid w:val="00F544E1"/>
    <w:rsid w:val="00F93BB5"/>
    <w:rsid w:val="00FA0D72"/>
    <w:rsid w:val="00FA3333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47C3531"/>
  <w15:chartTrackingRefBased/>
  <w15:docId w15:val="{81E9B17E-0AA9-41F3-AA54-E6666B27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8105E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755D72"/>
    <w:pPr>
      <w:ind w:left="1440" w:firstLine="720"/>
    </w:pPr>
  </w:style>
  <w:style w:type="paragraph" w:styleId="FootnoteText">
    <w:name w:val="footnote text"/>
    <w:link w:val="FootnoteTextChar"/>
    <w:autoRedefine/>
    <w:uiPriority w:val="99"/>
    <w:semiHidden/>
    <w:unhideWhenUsed/>
    <w:qFormat/>
    <w:rsid w:val="003A3E09"/>
    <w:pPr>
      <w:spacing w:after="12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E09"/>
    <w:rPr>
      <w:rFonts w:ascii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character" w:styleId="FootnoteReference">
    <w:name w:val="footnote reference"/>
    <w:basedOn w:val="DefaultParagraphFont"/>
    <w:uiPriority w:val="99"/>
    <w:unhideWhenUsed/>
    <w:rsid w:val="002958EA"/>
    <w:rPr>
      <w:rFonts w:ascii="Times New Roman" w:hAnsi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A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A03"/>
    <w:rPr>
      <w:rFonts w:ascii="Segoe UI" w:eastAsia="SimSu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5A8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A87"/>
    <w:rPr>
      <w:rFonts w:eastAsia="SimSun"/>
    </w:rPr>
  </w:style>
  <w:style w:type="paragraph" w:styleId="Footer">
    <w:name w:val="footer"/>
    <w:basedOn w:val="Normal"/>
    <w:link w:val="FooterChar"/>
    <w:uiPriority w:val="99"/>
    <w:unhideWhenUsed/>
    <w:rsid w:val="00BE5A8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A87"/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Miskanic, Nicholas</cp:lastModifiedBy>
  <cp:revision>9</cp:revision>
  <cp:lastPrinted>2018-02-08T14:38:00Z</cp:lastPrinted>
  <dcterms:created xsi:type="dcterms:W3CDTF">2019-09-23T15:37:00Z</dcterms:created>
  <dcterms:modified xsi:type="dcterms:W3CDTF">2019-09-23T16:18:00Z</dcterms:modified>
</cp:coreProperties>
</file>