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0BD926C8" w:rsidR="009E6606" w:rsidRPr="008B1B0D" w:rsidRDefault="001B4FCE"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Brendon and Jessica Weaver</w:t>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48BE209B"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FE0D5C">
        <w:rPr>
          <w:rFonts w:ascii="Times New Roman" w:hAnsi="Times New Roman" w:cs="Times New Roman"/>
          <w:spacing w:val="-3"/>
        </w:rPr>
        <w:t>C-2019-</w:t>
      </w:r>
      <w:r w:rsidR="001B4FCE">
        <w:rPr>
          <w:rFonts w:ascii="Times New Roman" w:hAnsi="Times New Roman" w:cs="Times New Roman"/>
          <w:spacing w:val="-3"/>
        </w:rPr>
        <w:t>3011315</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68D6712A" w:rsidR="00A40672" w:rsidRDefault="00FE0D5C"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A40672">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62ECCE94"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B1E14E8" w14:textId="71091246" w:rsidR="00AB18FE" w:rsidRPr="003176BE" w:rsidRDefault="00AB18FE"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DENYING MOTION TO COMPEL</w:t>
      </w:r>
    </w:p>
    <w:p w14:paraId="378D9DEA" w14:textId="268E3233" w:rsidR="009E6606" w:rsidRDefault="009E6606" w:rsidP="007168E2">
      <w:pPr>
        <w:pStyle w:val="ParaTab1"/>
        <w:tabs>
          <w:tab w:val="left" w:pos="2070"/>
        </w:tabs>
        <w:ind w:firstLine="0"/>
        <w:rPr>
          <w:rFonts w:ascii="Times New Roman" w:hAnsi="Times New Roman" w:cs="Times New Roman"/>
        </w:rPr>
      </w:pPr>
    </w:p>
    <w:p w14:paraId="0C77993D" w14:textId="77777777" w:rsidR="00FB31E1" w:rsidRDefault="00FB31E1" w:rsidP="007168E2">
      <w:pPr>
        <w:pStyle w:val="ParaTab1"/>
        <w:tabs>
          <w:tab w:val="left" w:pos="2070"/>
        </w:tabs>
        <w:ind w:firstLine="0"/>
        <w:rPr>
          <w:rFonts w:ascii="Times New Roman" w:hAnsi="Times New Roman" w:cs="Times New Roman"/>
          <w:b/>
          <w:bCs/>
          <w:u w:val="single"/>
        </w:rPr>
      </w:pPr>
    </w:p>
    <w:p w14:paraId="128685B8" w14:textId="633E618B" w:rsidR="00FB31E1" w:rsidRPr="00FB31E1" w:rsidRDefault="00FB31E1" w:rsidP="002156D5">
      <w:pPr>
        <w:pStyle w:val="ParaTab1"/>
        <w:tabs>
          <w:tab w:val="left" w:pos="2070"/>
        </w:tabs>
        <w:spacing w:line="360" w:lineRule="auto"/>
        <w:ind w:firstLine="0"/>
        <w:rPr>
          <w:rFonts w:ascii="Times New Roman" w:hAnsi="Times New Roman" w:cs="Times New Roman"/>
          <w:b/>
          <w:bCs/>
          <w:u w:val="single"/>
        </w:rPr>
      </w:pPr>
      <w:r>
        <w:rPr>
          <w:rFonts w:ascii="Times New Roman" w:hAnsi="Times New Roman" w:cs="Times New Roman"/>
          <w:b/>
          <w:bCs/>
          <w:u w:val="single"/>
        </w:rPr>
        <w:t>Introduction</w:t>
      </w:r>
    </w:p>
    <w:p w14:paraId="4EEFF665" w14:textId="77777777" w:rsidR="009E6606" w:rsidRDefault="009E6606" w:rsidP="002156D5">
      <w:pPr>
        <w:pStyle w:val="ParaTab1"/>
        <w:spacing w:line="360" w:lineRule="auto"/>
        <w:ind w:firstLine="0"/>
        <w:rPr>
          <w:rFonts w:ascii="Times New Roman" w:hAnsi="Times New Roman"/>
        </w:rPr>
      </w:pPr>
    </w:p>
    <w:p w14:paraId="2C8A4CF4" w14:textId="2D83FC4B" w:rsidR="00FD06FE" w:rsidRDefault="00AB18FE" w:rsidP="002156D5">
      <w:pPr>
        <w:pStyle w:val="ParaTab1"/>
        <w:tabs>
          <w:tab w:val="left" w:pos="2070"/>
        </w:tabs>
        <w:spacing w:line="360" w:lineRule="auto"/>
        <w:rPr>
          <w:rFonts w:ascii="Times New Roman" w:hAnsi="Times New Roman"/>
        </w:rPr>
      </w:pPr>
      <w:r>
        <w:rPr>
          <w:rFonts w:ascii="Times New Roman" w:hAnsi="Times New Roman"/>
        </w:rPr>
        <w:t xml:space="preserve">On </w:t>
      </w:r>
      <w:r w:rsidR="00FD06FE">
        <w:rPr>
          <w:rFonts w:ascii="Times New Roman" w:hAnsi="Times New Roman"/>
        </w:rPr>
        <w:t>July 2, 2019, Brendon and Jessica Weaver filed a formal complaint with the Pennsylvania Public Utility Commissio</w:t>
      </w:r>
      <w:r w:rsidR="002156D5">
        <w:rPr>
          <w:rFonts w:ascii="Times New Roman" w:hAnsi="Times New Roman"/>
        </w:rPr>
        <w:t>n</w:t>
      </w:r>
      <w:r w:rsidR="00FD06FE">
        <w:rPr>
          <w:rFonts w:ascii="Times New Roman" w:hAnsi="Times New Roman"/>
        </w:rPr>
        <w:t xml:space="preserve"> against PPL Electric Utilities Corporation, docket number C-2019-3011315.  In their complaint, the Weavers averred that PPL is threatening to terminate their service or has already terminated their service.  In the requested relief section of the formal complaint, the Weavers indicated that they do not want their meter to be replaced with a smart meter but would like to keep their current meter.  </w:t>
      </w:r>
    </w:p>
    <w:p w14:paraId="15B4AE8F" w14:textId="77777777" w:rsidR="00FD06FE" w:rsidRDefault="00FD06FE" w:rsidP="00003B1B">
      <w:pPr>
        <w:pStyle w:val="ParaTab1"/>
        <w:tabs>
          <w:tab w:val="left" w:pos="2070"/>
        </w:tabs>
        <w:spacing w:line="360" w:lineRule="auto"/>
        <w:rPr>
          <w:rFonts w:ascii="Times New Roman" w:hAnsi="Times New Roman"/>
        </w:rPr>
      </w:pPr>
    </w:p>
    <w:p w14:paraId="03FA0D4E" w14:textId="1F2F0224" w:rsidR="00804C2C" w:rsidRDefault="00FD06FE" w:rsidP="00003B1B">
      <w:pPr>
        <w:pStyle w:val="ParaTab1"/>
        <w:tabs>
          <w:tab w:val="left" w:pos="2070"/>
        </w:tabs>
        <w:spacing w:line="360" w:lineRule="auto"/>
        <w:rPr>
          <w:rFonts w:ascii="Times New Roman" w:hAnsi="Times New Roman"/>
        </w:rPr>
      </w:pPr>
      <w:r>
        <w:rPr>
          <w:rFonts w:ascii="Times New Roman" w:hAnsi="Times New Roman"/>
        </w:rPr>
        <w:t xml:space="preserve">On July 23, 2019, PPL filed an answer to the Weaver’s formal complaint.  In its answer, PPL </w:t>
      </w:r>
      <w:r w:rsidR="00D51240">
        <w:rPr>
          <w:rFonts w:ascii="Times New Roman" w:hAnsi="Times New Roman"/>
        </w:rPr>
        <w:t xml:space="preserve">admitted that it has attempted to install a new automated metering infrastructure (AMI) meter at the Weavers’ </w:t>
      </w:r>
      <w:r w:rsidR="00FB31E1">
        <w:rPr>
          <w:rFonts w:ascii="Times New Roman" w:hAnsi="Times New Roman"/>
        </w:rPr>
        <w:t xml:space="preserve">residence </w:t>
      </w:r>
      <w:r w:rsidR="00D51240">
        <w:rPr>
          <w:rFonts w:ascii="Times New Roman" w:hAnsi="Times New Roman"/>
        </w:rPr>
        <w:t>and that it sent termination notices to the Weavers because they have refused PPL representatives access to the premises to replace the meter.  PPL denied however that the termination notice is any way impermissible under the applicable laws and regulations.</w:t>
      </w:r>
      <w:r w:rsidR="00804C2C">
        <w:rPr>
          <w:rFonts w:ascii="Times New Roman" w:hAnsi="Times New Roman"/>
        </w:rPr>
        <w:t xml:space="preserve">  PPL provided additional discussion regarding why it believes that it is legally required to install the new AMI meter and that it is permitted to terminate service if it is prevented from replacing the meter.  PPL requested that the complaint filed by the Weavers be denied in its entirety and with prejudice.</w:t>
      </w:r>
    </w:p>
    <w:p w14:paraId="023C4B7E" w14:textId="77777777" w:rsidR="00804C2C" w:rsidRDefault="00804C2C" w:rsidP="00003B1B">
      <w:pPr>
        <w:pStyle w:val="ParaTab1"/>
        <w:tabs>
          <w:tab w:val="left" w:pos="2070"/>
        </w:tabs>
        <w:spacing w:line="360" w:lineRule="auto"/>
        <w:rPr>
          <w:rFonts w:ascii="Times New Roman" w:hAnsi="Times New Roman"/>
        </w:rPr>
      </w:pPr>
    </w:p>
    <w:p w14:paraId="50FD6A93" w14:textId="77777777" w:rsidR="00CB5D5D" w:rsidRDefault="00804C2C" w:rsidP="00003B1B">
      <w:pPr>
        <w:pStyle w:val="ParaTab1"/>
        <w:tabs>
          <w:tab w:val="left" w:pos="2070"/>
        </w:tabs>
        <w:spacing w:line="360" w:lineRule="auto"/>
        <w:rPr>
          <w:rFonts w:ascii="Times New Roman" w:hAnsi="Times New Roman"/>
        </w:rPr>
      </w:pPr>
      <w:r>
        <w:rPr>
          <w:rFonts w:ascii="Times New Roman" w:hAnsi="Times New Roman"/>
        </w:rPr>
        <w:lastRenderedPageBreak/>
        <w:t xml:space="preserve">On July 25, 2019, a hearing notice was issued </w:t>
      </w:r>
      <w:r w:rsidR="00CB5D5D">
        <w:rPr>
          <w:rFonts w:ascii="Times New Roman" w:hAnsi="Times New Roman"/>
        </w:rPr>
        <w:t>setting an initial telephonic hearing for this matter for Thursday, October 10, 2019 at 10:00 a.m. and assigning me as the presiding officer.  A prehearing order dated July 25, 2019 was also issued setting forth various procedural rules that will govern the hearing.</w:t>
      </w:r>
    </w:p>
    <w:p w14:paraId="677C1D8A" w14:textId="77777777" w:rsidR="00CB5D5D" w:rsidRDefault="00CB5D5D" w:rsidP="00003B1B">
      <w:pPr>
        <w:pStyle w:val="ParaTab1"/>
        <w:tabs>
          <w:tab w:val="left" w:pos="2070"/>
        </w:tabs>
        <w:spacing w:line="360" w:lineRule="auto"/>
        <w:rPr>
          <w:rFonts w:ascii="Times New Roman" w:hAnsi="Times New Roman"/>
        </w:rPr>
      </w:pPr>
    </w:p>
    <w:p w14:paraId="660AE179" w14:textId="77777777" w:rsidR="00650763" w:rsidRDefault="00CB5D5D" w:rsidP="00003B1B">
      <w:pPr>
        <w:pStyle w:val="ParaTab1"/>
        <w:tabs>
          <w:tab w:val="left" w:pos="2070"/>
        </w:tabs>
        <w:spacing w:line="360" w:lineRule="auto"/>
        <w:rPr>
          <w:rFonts w:ascii="Times New Roman" w:hAnsi="Times New Roman"/>
        </w:rPr>
      </w:pPr>
      <w:r>
        <w:rPr>
          <w:rFonts w:ascii="Times New Roman" w:hAnsi="Times New Roman"/>
        </w:rPr>
        <w:t xml:space="preserve">On September 17, 2019, PPL filed a motion to compel responses to discovery propounded on the Weavers.  In its motion, which was accompanied by a notice to plead, PPL argued that </w:t>
      </w:r>
      <w:r w:rsidR="00F62BEC">
        <w:rPr>
          <w:rFonts w:ascii="Times New Roman" w:hAnsi="Times New Roman"/>
        </w:rPr>
        <w:t xml:space="preserve">it served interrogatories on the Weavers on August 8, 2019 and that those answers were due on or before August 21, 2019.  PPL noted that the Weavers never served any objections or answers and that, to date, no response has been provided.  As discussed further below, PPL argued that these interrogatories are highly relevant to the issues to be decided in the case and that the company is trying to receive answers to the discovery in </w:t>
      </w:r>
      <w:proofErr w:type="gramStart"/>
      <w:r w:rsidR="00F62BEC">
        <w:rPr>
          <w:rFonts w:ascii="Times New Roman" w:hAnsi="Times New Roman"/>
        </w:rPr>
        <w:t>sufficient</w:t>
      </w:r>
      <w:proofErr w:type="gramEnd"/>
      <w:r w:rsidR="00F62BEC">
        <w:rPr>
          <w:rFonts w:ascii="Times New Roman" w:hAnsi="Times New Roman"/>
        </w:rPr>
        <w:t xml:space="preserve"> time before the evidentiary hearing.  </w:t>
      </w:r>
      <w:r w:rsidR="00650763">
        <w:rPr>
          <w:rFonts w:ascii="Times New Roman" w:hAnsi="Times New Roman"/>
        </w:rPr>
        <w:t xml:space="preserve">PPL added that, to the extent that the motion is </w:t>
      </w:r>
      <w:proofErr w:type="gramStart"/>
      <w:r w:rsidR="00650763">
        <w:rPr>
          <w:rFonts w:ascii="Times New Roman" w:hAnsi="Times New Roman"/>
        </w:rPr>
        <w:t>granted</w:t>
      </w:r>
      <w:proofErr w:type="gramEnd"/>
      <w:r w:rsidR="00650763">
        <w:rPr>
          <w:rFonts w:ascii="Times New Roman" w:hAnsi="Times New Roman"/>
        </w:rPr>
        <w:t xml:space="preserve"> and the Weavers fail to answer the interrogatories fully, PPL intends to file an appropriate motion to dismiss the complaint with prejudice.</w:t>
      </w:r>
    </w:p>
    <w:p w14:paraId="19D99C49" w14:textId="77777777" w:rsidR="00650763" w:rsidRDefault="00650763" w:rsidP="00003B1B">
      <w:pPr>
        <w:pStyle w:val="ParaTab1"/>
        <w:tabs>
          <w:tab w:val="left" w:pos="2070"/>
        </w:tabs>
        <w:spacing w:line="360" w:lineRule="auto"/>
        <w:rPr>
          <w:rFonts w:ascii="Times New Roman" w:hAnsi="Times New Roman"/>
        </w:rPr>
      </w:pPr>
    </w:p>
    <w:p w14:paraId="569AEA1D" w14:textId="77777777" w:rsidR="00650763" w:rsidRDefault="00650763" w:rsidP="00650763">
      <w:pPr>
        <w:pStyle w:val="ParaTab1"/>
        <w:tabs>
          <w:tab w:val="left" w:pos="2070"/>
        </w:tabs>
        <w:spacing w:line="360" w:lineRule="auto"/>
        <w:rPr>
          <w:rFonts w:ascii="Times New Roman" w:hAnsi="Times New Roman"/>
        </w:rPr>
      </w:pPr>
      <w:r>
        <w:rPr>
          <w:rFonts w:ascii="Times New Roman" w:hAnsi="Times New Roman"/>
        </w:rPr>
        <w:t>The Weavers did not file an answer to PPL’s motion to compel.</w:t>
      </w:r>
    </w:p>
    <w:p w14:paraId="286EE3FF" w14:textId="00B90FAC" w:rsidR="00167D1B" w:rsidRPr="00650763" w:rsidRDefault="00650763" w:rsidP="00650763">
      <w:pPr>
        <w:pStyle w:val="ParaTab1"/>
        <w:tabs>
          <w:tab w:val="left" w:pos="2070"/>
        </w:tabs>
        <w:spacing w:line="360" w:lineRule="auto"/>
        <w:rPr>
          <w:rFonts w:ascii="Times New Roman" w:hAnsi="Times New Roman"/>
        </w:rPr>
      </w:pPr>
      <w:r w:rsidRPr="00650763">
        <w:rPr>
          <w:rFonts w:ascii="Times New Roman" w:hAnsi="Times New Roman"/>
        </w:rPr>
        <w:t xml:space="preserve"> </w:t>
      </w:r>
    </w:p>
    <w:p w14:paraId="08ADBC46" w14:textId="730174E7" w:rsidR="00167D1B" w:rsidRPr="00650763" w:rsidRDefault="00167D1B" w:rsidP="00003B1B">
      <w:pPr>
        <w:pStyle w:val="ParaTab1"/>
        <w:tabs>
          <w:tab w:val="left" w:pos="2070"/>
        </w:tabs>
        <w:spacing w:line="360" w:lineRule="auto"/>
        <w:rPr>
          <w:rFonts w:ascii="Times New Roman" w:hAnsi="Times New Roman"/>
        </w:rPr>
      </w:pPr>
      <w:r w:rsidRPr="00650763">
        <w:rPr>
          <w:rFonts w:ascii="Times New Roman" w:hAnsi="Times New Roman"/>
        </w:rPr>
        <w:t xml:space="preserve">PPL’s motion to compel is ready for disposition.  For the reasons discussed further below, PPL’s motion will be </w:t>
      </w:r>
      <w:r w:rsidR="00FD1F3A" w:rsidRPr="00650763">
        <w:rPr>
          <w:rFonts w:ascii="Times New Roman" w:hAnsi="Times New Roman"/>
        </w:rPr>
        <w:t>denied</w:t>
      </w:r>
      <w:r w:rsidRPr="00650763">
        <w:rPr>
          <w:rFonts w:ascii="Times New Roman" w:hAnsi="Times New Roman"/>
        </w:rPr>
        <w:t>.</w:t>
      </w:r>
    </w:p>
    <w:p w14:paraId="5496B1A5" w14:textId="3429D7DD" w:rsidR="00167D1B" w:rsidRPr="00650763" w:rsidRDefault="00167D1B" w:rsidP="00167D1B">
      <w:pPr>
        <w:pStyle w:val="ParaTab1"/>
        <w:tabs>
          <w:tab w:val="left" w:pos="2070"/>
        </w:tabs>
        <w:spacing w:line="360" w:lineRule="auto"/>
        <w:ind w:firstLine="0"/>
        <w:rPr>
          <w:rFonts w:ascii="Times New Roman" w:hAnsi="Times New Roman"/>
        </w:rPr>
      </w:pPr>
    </w:p>
    <w:p w14:paraId="5D4F1F1A" w14:textId="77777777" w:rsidR="00553258" w:rsidRPr="00650763" w:rsidRDefault="00553258" w:rsidP="00553258">
      <w:pPr>
        <w:pStyle w:val="Style"/>
        <w:widowControl/>
        <w:spacing w:line="360" w:lineRule="auto"/>
        <w:rPr>
          <w:b/>
          <w:bCs/>
          <w:color w:val="000000"/>
          <w:u w:val="single"/>
        </w:rPr>
      </w:pPr>
      <w:r w:rsidRPr="00650763">
        <w:rPr>
          <w:b/>
          <w:bCs/>
          <w:color w:val="000000"/>
          <w:u w:val="single"/>
        </w:rPr>
        <w:t>Legal Standard</w:t>
      </w:r>
    </w:p>
    <w:p w14:paraId="3F6913AB" w14:textId="77777777" w:rsidR="00553258" w:rsidRPr="00650763" w:rsidRDefault="00553258" w:rsidP="00553258">
      <w:pPr>
        <w:pStyle w:val="Style"/>
        <w:widowControl/>
        <w:spacing w:line="360" w:lineRule="auto"/>
        <w:ind w:firstLine="1440"/>
        <w:rPr>
          <w:bCs/>
          <w:color w:val="000000"/>
        </w:rPr>
      </w:pPr>
    </w:p>
    <w:p w14:paraId="3D245E30" w14:textId="77777777" w:rsidR="00553258" w:rsidRPr="00650763" w:rsidRDefault="00553258" w:rsidP="00553258">
      <w:pPr>
        <w:tabs>
          <w:tab w:val="left" w:pos="-720"/>
          <w:tab w:val="left" w:pos="2070"/>
        </w:tabs>
        <w:suppressAutoHyphens/>
        <w:spacing w:line="360" w:lineRule="auto"/>
        <w:ind w:firstLine="1440"/>
      </w:pPr>
      <w:r w:rsidRPr="00650763">
        <w:t xml:space="preserve">The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proofErr w:type="gramStart"/>
      <w:r w:rsidRPr="00650763">
        <w:t>Pa.Code</w:t>
      </w:r>
      <w:proofErr w:type="spellEnd"/>
      <w:proofErr w:type="gramEnd"/>
      <w:r w:rsidRPr="00650763">
        <w:t xml:space="preserve"> § 5.321(c).  It is not grounds for objection that the information sought will be inadmissible at hearing if the information sought appears to be reasonably calculated to lead to the discovery of admissible evidence.  </w:t>
      </w:r>
      <w:r w:rsidRPr="00650763">
        <w:rPr>
          <w:u w:val="single"/>
        </w:rPr>
        <w:t>Id.</w:t>
      </w:r>
      <w:r w:rsidRPr="00650763">
        <w:t xml:space="preserve">  Discovery is not permitted, however, if it is sought in bad faith; would cause unreasonable annoyance, embarrassment, oppression, burden or expense; relates to a matter which is privileged; or would require the making of an unreasonable investigation by the deponent, a party or witness.  52 </w:t>
      </w:r>
      <w:proofErr w:type="spellStart"/>
      <w:proofErr w:type="gramStart"/>
      <w:r w:rsidRPr="00650763">
        <w:t>Pa.Code</w:t>
      </w:r>
      <w:proofErr w:type="spellEnd"/>
      <w:proofErr w:type="gramEnd"/>
      <w:r w:rsidRPr="00650763">
        <w:t xml:space="preserve"> § 5.361(a); </w:t>
      </w:r>
      <w:r w:rsidRPr="00650763">
        <w:rPr>
          <w:i/>
        </w:rPr>
        <w:t>see also</w:t>
      </w:r>
      <w:r w:rsidRPr="00650763">
        <w:t xml:space="preserve">, </w:t>
      </w:r>
      <w:r w:rsidRPr="00650763">
        <w:rPr>
          <w:u w:val="single"/>
        </w:rPr>
        <w:t xml:space="preserve">City of Pittsburgh v. </w:t>
      </w:r>
      <w:proofErr w:type="spellStart"/>
      <w:r w:rsidRPr="00650763">
        <w:rPr>
          <w:u w:val="single"/>
        </w:rPr>
        <w:t>Pa.P.U.C</w:t>
      </w:r>
      <w:proofErr w:type="spellEnd"/>
      <w:r w:rsidRPr="00650763">
        <w:rPr>
          <w:u w:val="single"/>
        </w:rPr>
        <w:t>.</w:t>
      </w:r>
      <w:r w:rsidRPr="00650763">
        <w:t>, 526 A.2d 1243 (</w:t>
      </w:r>
      <w:proofErr w:type="spellStart"/>
      <w:r w:rsidRPr="00650763">
        <w:t>Pa.Cmwlth</w:t>
      </w:r>
      <w:proofErr w:type="spellEnd"/>
      <w:r w:rsidRPr="00650763">
        <w:t xml:space="preserve"> 1987), </w:t>
      </w:r>
      <w:proofErr w:type="spellStart"/>
      <w:r w:rsidRPr="00650763">
        <w:rPr>
          <w:i/>
        </w:rPr>
        <w:t>alloc</w:t>
      </w:r>
      <w:proofErr w:type="spellEnd"/>
      <w:r w:rsidRPr="00650763">
        <w:rPr>
          <w:i/>
        </w:rPr>
        <w:t>. denied</w:t>
      </w:r>
      <w:r w:rsidRPr="00650763">
        <w:t>, 538 A.2d 880 (Pa. 1988).</w:t>
      </w:r>
    </w:p>
    <w:p w14:paraId="373E33D3" w14:textId="77777777" w:rsidR="00553258" w:rsidRPr="00650763" w:rsidRDefault="00553258" w:rsidP="00553258">
      <w:pPr>
        <w:tabs>
          <w:tab w:val="left" w:pos="-720"/>
          <w:tab w:val="left" w:pos="2070"/>
        </w:tabs>
        <w:suppressAutoHyphens/>
        <w:spacing w:line="360" w:lineRule="auto"/>
        <w:ind w:firstLine="1440"/>
      </w:pPr>
    </w:p>
    <w:p w14:paraId="444B19B8" w14:textId="3C0F387A" w:rsidR="00167D1B" w:rsidRPr="00650763" w:rsidRDefault="00553258" w:rsidP="00553258">
      <w:pPr>
        <w:tabs>
          <w:tab w:val="left" w:pos="-720"/>
          <w:tab w:val="left" w:pos="2070"/>
        </w:tabs>
        <w:suppressAutoHyphens/>
        <w:spacing w:line="360" w:lineRule="auto"/>
        <w:ind w:firstLine="1440"/>
      </w:pPr>
      <w:r w:rsidRPr="00650763">
        <w:t xml:space="preserve">Furthermore, information is relevant if it tends to establish a material fact, tends to make a fact at issue </w:t>
      </w:r>
      <w:proofErr w:type="gramStart"/>
      <w:r w:rsidRPr="00650763">
        <w:t>more or less probable</w:t>
      </w:r>
      <w:proofErr w:type="gramEnd"/>
      <w:r w:rsidRPr="00650763">
        <w:t xml:space="preserve"> or supports a reasonable inference or presumption regarding a material fact.  </w:t>
      </w:r>
      <w:r w:rsidRPr="00650763">
        <w:rPr>
          <w:i/>
        </w:rPr>
        <w:t>See</w:t>
      </w:r>
      <w:r w:rsidRPr="00650763">
        <w:t xml:space="preserve">, </w:t>
      </w:r>
      <w:r w:rsidRPr="00650763">
        <w:rPr>
          <w:u w:val="single"/>
        </w:rPr>
        <w:t>Petition of the Borough of Cornwall for a Declaratory Order that the Provision of Water Service to Isolated Customers Adjoining its Boundaries Does Not Constitute Provision of Public Utility Service Under § 102</w:t>
      </w:r>
      <w:r w:rsidRPr="00650763">
        <w:t xml:space="preserve">, Docket Number P-2015-2476211 (Order dated September 11, 2015) at 9-10, </w:t>
      </w:r>
      <w:r w:rsidRPr="00650763">
        <w:rPr>
          <w:i/>
        </w:rPr>
        <w:t>citing</w:t>
      </w:r>
      <w:r w:rsidRPr="00650763">
        <w:t xml:space="preserve">, </w:t>
      </w:r>
      <w:r w:rsidRPr="00650763">
        <w:rPr>
          <w:u w:val="single"/>
        </w:rPr>
        <w:t>Smith v. Morrison</w:t>
      </w:r>
      <w:r w:rsidRPr="00650763">
        <w:t>, 47 A.3d 1311 (</w:t>
      </w:r>
      <w:proofErr w:type="spellStart"/>
      <w:r w:rsidRPr="00650763">
        <w:t>Pa.Super</w:t>
      </w:r>
      <w:proofErr w:type="spellEnd"/>
      <w:r w:rsidRPr="00650763">
        <w:t xml:space="preserve"> 2012), </w:t>
      </w:r>
      <w:proofErr w:type="spellStart"/>
      <w:r w:rsidRPr="00650763">
        <w:rPr>
          <w:i/>
        </w:rPr>
        <w:t>alloc</w:t>
      </w:r>
      <w:proofErr w:type="spellEnd"/>
      <w:r w:rsidRPr="00650763">
        <w:rPr>
          <w:i/>
        </w:rPr>
        <w:t>. denied</w:t>
      </w:r>
      <w:r w:rsidRPr="00650763">
        <w:t xml:space="preserve">, 57 A.3d 71 (Pa. 2012).  Relevancy in discovery is broader than the standard used for admission of evidence at a hearing.  </w:t>
      </w:r>
      <w:r w:rsidRPr="00650763">
        <w:rPr>
          <w:u w:val="single"/>
        </w:rPr>
        <w:t>Id.</w:t>
      </w:r>
      <w:r w:rsidRPr="00650763">
        <w:t xml:space="preserve"> at 10, </w:t>
      </w:r>
      <w:r w:rsidRPr="00650763">
        <w:rPr>
          <w:i/>
        </w:rPr>
        <w:t>citing</w:t>
      </w:r>
      <w:r w:rsidRPr="00650763">
        <w:t xml:space="preserve">, </w:t>
      </w:r>
      <w:r w:rsidRPr="00650763">
        <w:rPr>
          <w:u w:val="single"/>
        </w:rPr>
        <w:t>Com. v. TAP Pharmaceutical Products, Inc.</w:t>
      </w:r>
      <w:r w:rsidRPr="00650763">
        <w:t>, 904 A.2d 986 (</w:t>
      </w:r>
      <w:proofErr w:type="spellStart"/>
      <w:proofErr w:type="gramStart"/>
      <w:r w:rsidRPr="00650763">
        <w:t>Pa.Cmwlth</w:t>
      </w:r>
      <w:proofErr w:type="spellEnd"/>
      <w:proofErr w:type="gramEnd"/>
      <w:r w:rsidRPr="00650763">
        <w:t xml:space="preserve"> 2006).  The party objecting to discovery has the burden to establish that the requested information is not relevant or discoverable with any doubts regarding relevancy being resolved in favor of discovery.  </w:t>
      </w:r>
      <w:r w:rsidRPr="00650763">
        <w:rPr>
          <w:u w:val="single"/>
        </w:rPr>
        <w:t>Id.</w:t>
      </w:r>
    </w:p>
    <w:p w14:paraId="0EC6BB73" w14:textId="18E79442" w:rsidR="005F709C" w:rsidRPr="005F709C" w:rsidRDefault="005F709C" w:rsidP="005F709C">
      <w:pPr>
        <w:tabs>
          <w:tab w:val="left" w:pos="-720"/>
          <w:tab w:val="left" w:pos="2070"/>
        </w:tabs>
        <w:suppressAutoHyphens/>
        <w:spacing w:line="360" w:lineRule="auto"/>
      </w:pPr>
    </w:p>
    <w:p w14:paraId="072F5589" w14:textId="7B0FA4AF" w:rsidR="005F709C" w:rsidRDefault="005F709C" w:rsidP="002156D5">
      <w:pPr>
        <w:tabs>
          <w:tab w:val="left" w:pos="-720"/>
          <w:tab w:val="left" w:pos="2070"/>
        </w:tabs>
        <w:suppressAutoHyphens/>
        <w:spacing w:line="360" w:lineRule="auto"/>
      </w:pPr>
      <w:r>
        <w:rPr>
          <w:b/>
          <w:bCs/>
          <w:u w:val="single"/>
        </w:rPr>
        <w:t>Interrogatories</w:t>
      </w:r>
    </w:p>
    <w:p w14:paraId="2545D55B" w14:textId="3B7299F2" w:rsidR="005F709C" w:rsidRDefault="005F709C" w:rsidP="002156D5">
      <w:pPr>
        <w:spacing w:line="360" w:lineRule="auto"/>
      </w:pPr>
    </w:p>
    <w:p w14:paraId="3688A471" w14:textId="29E91862" w:rsidR="002156D5" w:rsidRDefault="002156D5" w:rsidP="002156D5">
      <w:pPr>
        <w:spacing w:line="360" w:lineRule="auto"/>
      </w:pPr>
      <w:r>
        <w:tab/>
      </w:r>
      <w:r>
        <w:tab/>
        <w:t xml:space="preserve">Through its motion, PPL </w:t>
      </w:r>
      <w:proofErr w:type="gramStart"/>
      <w:r>
        <w:t>seeks to have</w:t>
      </w:r>
      <w:proofErr w:type="gramEnd"/>
      <w:r>
        <w:t xml:space="preserve"> the Weavers compelled to answer the following interrogatories:</w:t>
      </w:r>
    </w:p>
    <w:p w14:paraId="6F97624A" w14:textId="77777777" w:rsidR="002156D5" w:rsidRDefault="002156D5" w:rsidP="002156D5">
      <w:pPr>
        <w:spacing w:line="360" w:lineRule="auto"/>
      </w:pPr>
    </w:p>
    <w:p w14:paraId="0316CB18" w14:textId="77777777" w:rsidR="005F709C" w:rsidRDefault="005F709C" w:rsidP="005F709C">
      <w:pPr>
        <w:pStyle w:val="Heading1"/>
        <w:numPr>
          <w:ilvl w:val="0"/>
          <w:numId w:val="8"/>
        </w:numPr>
        <w:ind w:left="0" w:right="1440" w:firstLine="0"/>
      </w:pPr>
      <w:bookmarkStart w:id="0" w:name="pcgTempHeading"/>
      <w:bookmarkEnd w:id="0"/>
    </w:p>
    <w:p w14:paraId="1C7A12B1" w14:textId="77777777" w:rsidR="005F709C" w:rsidRPr="00E9279B" w:rsidRDefault="005F709C" w:rsidP="005F709C">
      <w:pPr>
        <w:pStyle w:val="Heading2"/>
        <w:keepNext w:val="0"/>
        <w:numPr>
          <w:ilvl w:val="1"/>
          <w:numId w:val="8"/>
        </w:numPr>
        <w:ind w:left="1440" w:right="1440" w:firstLine="0"/>
        <w:rPr>
          <w:b w:val="0"/>
        </w:rPr>
      </w:pPr>
      <w:r w:rsidRPr="00E9279B">
        <w:rPr>
          <w:b w:val="0"/>
        </w:rPr>
        <w:t>Re:</w:t>
      </w:r>
      <w:r w:rsidRPr="00E9279B">
        <w:rPr>
          <w:b w:val="0"/>
        </w:rPr>
        <w:tab/>
        <w:t xml:space="preserve">Formal Complaint.  </w:t>
      </w:r>
    </w:p>
    <w:p w14:paraId="122BC1E9"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Please explain in detail the reasons why you are challenging the Company’s installation of the new smart meter.</w:t>
      </w:r>
    </w:p>
    <w:p w14:paraId="33BAB534"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Please describe in detail all health concerns, if any, raised by the Company’s new smart meter, state the bases for such claims, and provide all documents relied upon by you in your response.</w:t>
      </w:r>
    </w:p>
    <w:p w14:paraId="1CC65027"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Please describe in detail all safety concerns, if any, raised by the Company’s new smart meter, state the bases for such claims, and provide all documents relied upon by you in your response.</w:t>
      </w:r>
    </w:p>
    <w:p w14:paraId="7EFDADD9"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Please describe in detail all privacy concerns, if any, raised by the Company’s new smart meter, state the bases for such claims, and provide all documents relied upon by you in your response.</w:t>
      </w:r>
    </w:p>
    <w:p w14:paraId="65035B2F"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Please describe in detail all reasons you believe the Company’s new smart meter violates the law.</w:t>
      </w:r>
    </w:p>
    <w:p w14:paraId="4CCE15EE" w14:textId="77777777" w:rsidR="005F709C" w:rsidRPr="00E9279B" w:rsidRDefault="005F709C" w:rsidP="005F709C">
      <w:pPr>
        <w:pStyle w:val="Heading1"/>
        <w:keepNext w:val="0"/>
        <w:numPr>
          <w:ilvl w:val="0"/>
          <w:numId w:val="8"/>
        </w:numPr>
        <w:ind w:left="0" w:right="1440" w:firstLine="0"/>
        <w:rPr>
          <w:b w:val="0"/>
        </w:rPr>
      </w:pPr>
    </w:p>
    <w:p w14:paraId="192C2EF8" w14:textId="77777777" w:rsidR="005F709C" w:rsidRPr="00E9279B" w:rsidRDefault="005F709C" w:rsidP="005F709C">
      <w:pPr>
        <w:pStyle w:val="Heading2"/>
        <w:keepNext w:val="0"/>
        <w:numPr>
          <w:ilvl w:val="1"/>
          <w:numId w:val="8"/>
        </w:numPr>
        <w:ind w:left="1440" w:right="1440" w:firstLine="0"/>
        <w:rPr>
          <w:b w:val="0"/>
        </w:rPr>
      </w:pPr>
      <w:r w:rsidRPr="00E9279B">
        <w:rPr>
          <w:b w:val="0"/>
        </w:rPr>
        <w:t xml:space="preserve">Please identify all wireless phones, cellphones, microwaves, wireless routers, </w:t>
      </w:r>
      <w:proofErr w:type="spellStart"/>
      <w:r w:rsidRPr="00E9279B">
        <w:rPr>
          <w:b w:val="0"/>
        </w:rPr>
        <w:t>wifi</w:t>
      </w:r>
      <w:proofErr w:type="spellEnd"/>
      <w:r w:rsidRPr="00E9279B">
        <w:rPr>
          <w:b w:val="0"/>
        </w:rPr>
        <w:t xml:space="preserve"> networks, tablets, computers, Bluetooth speakers, wireless security systems, smart speakers (</w:t>
      </w:r>
      <w:r w:rsidRPr="00E9279B">
        <w:rPr>
          <w:b w:val="0"/>
          <w:i/>
        </w:rPr>
        <w:t>e.g</w:t>
      </w:r>
      <w:r w:rsidRPr="00E9279B">
        <w:rPr>
          <w:b w:val="0"/>
        </w:rPr>
        <w:t xml:space="preserve">., Amazon Echo), garage door openers, baby monitors, and walkie talkies that are contained in or used in the house.  </w:t>
      </w:r>
    </w:p>
    <w:p w14:paraId="4F129BF6" w14:textId="77777777" w:rsidR="005F709C" w:rsidRPr="00E9279B" w:rsidRDefault="005F709C" w:rsidP="005F709C">
      <w:pPr>
        <w:pStyle w:val="Heading1"/>
        <w:keepNext w:val="0"/>
        <w:numPr>
          <w:ilvl w:val="0"/>
          <w:numId w:val="8"/>
        </w:numPr>
        <w:ind w:left="0" w:right="1440" w:firstLine="0"/>
        <w:rPr>
          <w:b w:val="0"/>
        </w:rPr>
      </w:pPr>
    </w:p>
    <w:p w14:paraId="17F60B3B" w14:textId="77777777" w:rsidR="005F709C" w:rsidRPr="00E9279B" w:rsidRDefault="005F709C" w:rsidP="005F709C">
      <w:pPr>
        <w:pStyle w:val="Heading2"/>
        <w:keepNext w:val="0"/>
        <w:numPr>
          <w:ilvl w:val="1"/>
          <w:numId w:val="8"/>
        </w:numPr>
        <w:ind w:left="1440" w:right="1440" w:firstLine="0"/>
        <w:rPr>
          <w:b w:val="0"/>
        </w:rPr>
      </w:pPr>
      <w:r w:rsidRPr="00E9279B">
        <w:rPr>
          <w:b w:val="0"/>
        </w:rPr>
        <w:t>Please state whether you or any member of your household uses a cell phone.  If so, please provide the make and model of each cell phone and, for each phone identified, provide 12 months of phone bills or other records of actual cell phone usage.</w:t>
      </w:r>
    </w:p>
    <w:p w14:paraId="55198843" w14:textId="77777777" w:rsidR="005F709C" w:rsidRPr="00E9279B" w:rsidRDefault="005F709C" w:rsidP="005F709C">
      <w:pPr>
        <w:pStyle w:val="Heading1"/>
        <w:keepNext w:val="0"/>
        <w:numPr>
          <w:ilvl w:val="0"/>
          <w:numId w:val="8"/>
        </w:numPr>
        <w:ind w:left="0" w:right="1440" w:firstLine="0"/>
        <w:rPr>
          <w:b w:val="0"/>
        </w:rPr>
      </w:pPr>
    </w:p>
    <w:p w14:paraId="4F8D4429"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Please state every health condition you claim was caused by a smart meter or will be caused or worsened by the installation of PPL Electric’s new smart meter.</w:t>
      </w:r>
    </w:p>
    <w:p w14:paraId="797CC038"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Please provide the date that every health condition identified in subpart (a) began.</w:t>
      </w:r>
    </w:p>
    <w:p w14:paraId="41E710B1"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Please provide copies of all your medical records of every health condition identified in subpart (a).</w:t>
      </w:r>
    </w:p>
    <w:p w14:paraId="587822F4"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For each alleged health condition that you do not have medical records for in response to subpart (c), please state whether such condition was diagnosed by a medical professional.  If so, please provide the name, address, and telephone number of the medical professional and the date of the diagnosis.</w:t>
      </w:r>
    </w:p>
    <w:p w14:paraId="13E1BD84"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For each of the alleged health conditions identified in subpart (a), please state whether you have been prescribed any therapy or treatment for the condition by a medical professional.  If so, please identify the therapy or treatment, provide the name, address, and telephone number of the prescribing medical professional, and provide the date the therapy or treatment was prescribed.</w:t>
      </w:r>
    </w:p>
    <w:p w14:paraId="56302062" w14:textId="77777777" w:rsidR="005F709C" w:rsidRPr="00E9279B" w:rsidRDefault="005F709C" w:rsidP="005F709C">
      <w:pPr>
        <w:pStyle w:val="Heading1"/>
        <w:keepNext w:val="0"/>
        <w:numPr>
          <w:ilvl w:val="0"/>
          <w:numId w:val="8"/>
        </w:numPr>
        <w:ind w:left="0" w:right="1440" w:firstLine="0"/>
        <w:rPr>
          <w:b w:val="0"/>
        </w:rPr>
      </w:pPr>
    </w:p>
    <w:p w14:paraId="0F57289F" w14:textId="77777777" w:rsidR="005F709C" w:rsidRPr="00E9279B" w:rsidRDefault="005F709C" w:rsidP="005F709C">
      <w:pPr>
        <w:pStyle w:val="BodyText"/>
        <w:ind w:left="1440" w:right="1440"/>
      </w:pPr>
      <w:r w:rsidRPr="00E9279B">
        <w:t>Please identify each person you plan to call as a fact witness in this proceeding.  For each person, please:</w:t>
      </w:r>
    </w:p>
    <w:p w14:paraId="1DBE0726" w14:textId="77777777" w:rsidR="005F709C" w:rsidRPr="00E9279B" w:rsidRDefault="005F709C" w:rsidP="00007B5B">
      <w:pPr>
        <w:pStyle w:val="Heading3"/>
        <w:numPr>
          <w:ilvl w:val="2"/>
          <w:numId w:val="8"/>
        </w:numPr>
        <w:tabs>
          <w:tab w:val="clear" w:pos="3330"/>
        </w:tabs>
        <w:ind w:left="1440" w:right="1440" w:firstLine="0"/>
        <w:rPr>
          <w:b w:val="0"/>
        </w:rPr>
      </w:pPr>
      <w:r w:rsidRPr="00E9279B">
        <w:rPr>
          <w:rFonts w:eastAsiaTheme="minorHAnsi"/>
          <w:b w:val="0"/>
        </w:rPr>
        <w:t xml:space="preserve">Provide the person’s name, home and business address, background, and qualifications; </w:t>
      </w:r>
    </w:p>
    <w:p w14:paraId="1E24F6CD" w14:textId="77777777" w:rsidR="005F709C" w:rsidRPr="00E9279B" w:rsidRDefault="005F709C" w:rsidP="00007B5B">
      <w:pPr>
        <w:pStyle w:val="Heading3"/>
        <w:numPr>
          <w:ilvl w:val="2"/>
          <w:numId w:val="8"/>
        </w:numPr>
        <w:tabs>
          <w:tab w:val="clear" w:pos="3330"/>
        </w:tabs>
        <w:ind w:left="1440" w:right="1440" w:firstLine="0"/>
        <w:rPr>
          <w:b w:val="0"/>
        </w:rPr>
      </w:pPr>
      <w:r w:rsidRPr="00E9279B">
        <w:rPr>
          <w:rFonts w:eastAsiaTheme="minorHAnsi"/>
          <w:b w:val="0"/>
        </w:rPr>
        <w:t>Explain in detail the subject matter(s) on which the</w:t>
      </w:r>
      <w:r w:rsidRPr="00E9279B">
        <w:rPr>
          <w:b w:val="0"/>
        </w:rPr>
        <w:t xml:space="preserve"> witness is expected to testify; and</w:t>
      </w:r>
    </w:p>
    <w:p w14:paraId="0B1CE095"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 xml:space="preserve">Provide the source(s) of information relied upon or referenced by the witness.   </w:t>
      </w:r>
    </w:p>
    <w:p w14:paraId="6DE059E4" w14:textId="77777777" w:rsidR="005F709C" w:rsidRPr="00E9279B" w:rsidRDefault="005F709C" w:rsidP="005F709C">
      <w:pPr>
        <w:pStyle w:val="Heading1"/>
        <w:keepNext w:val="0"/>
        <w:numPr>
          <w:ilvl w:val="0"/>
          <w:numId w:val="8"/>
        </w:numPr>
        <w:ind w:left="0" w:right="1440" w:firstLine="0"/>
        <w:rPr>
          <w:b w:val="0"/>
        </w:rPr>
      </w:pPr>
    </w:p>
    <w:p w14:paraId="52E56EA5" w14:textId="77777777" w:rsidR="005F709C" w:rsidRPr="00E9279B" w:rsidRDefault="005F709C" w:rsidP="005F709C">
      <w:pPr>
        <w:pStyle w:val="BodyText"/>
        <w:ind w:left="1440" w:right="1440"/>
      </w:pPr>
      <w:r w:rsidRPr="00E9279B">
        <w:t>Please identify each person you plan to call as an expert witness in this proceeding.  For each person, please:</w:t>
      </w:r>
    </w:p>
    <w:p w14:paraId="46D2A2A8" w14:textId="77777777" w:rsidR="005F709C" w:rsidRPr="00E9279B" w:rsidRDefault="005F709C" w:rsidP="00007B5B">
      <w:pPr>
        <w:pStyle w:val="Heading3"/>
        <w:numPr>
          <w:ilvl w:val="2"/>
          <w:numId w:val="8"/>
        </w:numPr>
        <w:tabs>
          <w:tab w:val="clear" w:pos="3330"/>
        </w:tabs>
        <w:ind w:left="1440" w:right="1440" w:firstLine="0"/>
        <w:rPr>
          <w:b w:val="0"/>
        </w:rPr>
      </w:pPr>
      <w:r w:rsidRPr="00E9279B">
        <w:rPr>
          <w:rFonts w:eastAsiaTheme="minorHAnsi"/>
          <w:b w:val="0"/>
        </w:rPr>
        <w:t xml:space="preserve">Provide the person’s name, home and business address, background, and qualifications; </w:t>
      </w:r>
    </w:p>
    <w:p w14:paraId="19B6E465" w14:textId="77777777" w:rsidR="005F709C" w:rsidRPr="00E9279B" w:rsidRDefault="005F709C" w:rsidP="00007B5B">
      <w:pPr>
        <w:pStyle w:val="Heading3"/>
        <w:numPr>
          <w:ilvl w:val="2"/>
          <w:numId w:val="8"/>
        </w:numPr>
        <w:tabs>
          <w:tab w:val="clear" w:pos="3330"/>
        </w:tabs>
        <w:ind w:left="1440" w:right="1440" w:firstLine="0"/>
        <w:rPr>
          <w:b w:val="0"/>
        </w:rPr>
      </w:pPr>
      <w:r w:rsidRPr="00E9279B">
        <w:rPr>
          <w:rFonts w:eastAsiaTheme="minorHAnsi"/>
          <w:b w:val="0"/>
        </w:rPr>
        <w:t>Explain in detail the subject matter(s) on which the</w:t>
      </w:r>
      <w:r w:rsidRPr="00E9279B">
        <w:rPr>
          <w:b w:val="0"/>
        </w:rPr>
        <w:t xml:space="preserve"> witness is expected to testify; </w:t>
      </w:r>
    </w:p>
    <w:p w14:paraId="1864B69C"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 xml:space="preserve">Provide the source(s) of information relied upon or referenced by the witness; and   </w:t>
      </w:r>
    </w:p>
    <w:p w14:paraId="6ABE2FD3" w14:textId="77777777" w:rsidR="005F709C" w:rsidRPr="00E9279B" w:rsidRDefault="005F709C" w:rsidP="00007B5B">
      <w:pPr>
        <w:pStyle w:val="Heading3"/>
        <w:numPr>
          <w:ilvl w:val="2"/>
          <w:numId w:val="8"/>
        </w:numPr>
        <w:tabs>
          <w:tab w:val="clear" w:pos="3330"/>
        </w:tabs>
        <w:ind w:left="1440" w:right="1440" w:firstLine="0"/>
        <w:rPr>
          <w:b w:val="0"/>
        </w:rPr>
      </w:pPr>
      <w:r w:rsidRPr="00E9279B">
        <w:rPr>
          <w:b w:val="0"/>
        </w:rPr>
        <w:t>Provide a copy of the expert witness’s current curriculum vitae.</w:t>
      </w:r>
    </w:p>
    <w:p w14:paraId="1D3D917D" w14:textId="77777777" w:rsidR="005F709C" w:rsidRPr="00E9279B" w:rsidRDefault="005F709C" w:rsidP="005F709C">
      <w:pPr>
        <w:pStyle w:val="Heading1"/>
        <w:numPr>
          <w:ilvl w:val="0"/>
          <w:numId w:val="8"/>
        </w:numPr>
        <w:ind w:left="0" w:right="1440" w:firstLine="0"/>
        <w:rPr>
          <w:b w:val="0"/>
        </w:rPr>
      </w:pPr>
    </w:p>
    <w:p w14:paraId="5E032819" w14:textId="77777777" w:rsidR="005F709C" w:rsidRPr="00E9279B" w:rsidRDefault="005F709C" w:rsidP="005F709C">
      <w:pPr>
        <w:pStyle w:val="BodyText"/>
        <w:ind w:left="1440" w:right="1440"/>
      </w:pPr>
      <w:r w:rsidRPr="00E9279B">
        <w:t>Please provide copies of all exhibits you intend to present or utilize at the evidentiary hearing in this proceeding.  For each exhibit to be used as part of your direct case, please identify the witness who will be sponsoring the exhibit.</w:t>
      </w:r>
    </w:p>
    <w:p w14:paraId="222DC397" w14:textId="39A5804D" w:rsidR="005F709C" w:rsidRDefault="005F709C" w:rsidP="005F709C">
      <w:pPr>
        <w:tabs>
          <w:tab w:val="left" w:pos="-720"/>
          <w:tab w:val="left" w:pos="2070"/>
        </w:tabs>
        <w:suppressAutoHyphens/>
        <w:spacing w:line="360" w:lineRule="auto"/>
      </w:pPr>
    </w:p>
    <w:p w14:paraId="1D37CE29" w14:textId="2314A462" w:rsidR="00206602" w:rsidRDefault="00206602" w:rsidP="005F709C">
      <w:pPr>
        <w:tabs>
          <w:tab w:val="left" w:pos="-720"/>
          <w:tab w:val="left" w:pos="2070"/>
        </w:tabs>
        <w:suppressAutoHyphens/>
        <w:spacing w:line="360" w:lineRule="auto"/>
      </w:pPr>
      <w:r>
        <w:rPr>
          <w:b/>
          <w:bCs/>
          <w:u w:val="single"/>
        </w:rPr>
        <w:t>Disposition</w:t>
      </w:r>
    </w:p>
    <w:p w14:paraId="69F3186B" w14:textId="2DFCB264" w:rsidR="00206602" w:rsidRDefault="00206602" w:rsidP="005F709C">
      <w:pPr>
        <w:tabs>
          <w:tab w:val="left" w:pos="-720"/>
          <w:tab w:val="left" w:pos="2070"/>
        </w:tabs>
        <w:suppressAutoHyphens/>
        <w:spacing w:line="360" w:lineRule="auto"/>
      </w:pPr>
    </w:p>
    <w:p w14:paraId="525460EC" w14:textId="51BAFFD2" w:rsidR="00206602" w:rsidRDefault="00206602" w:rsidP="00206602">
      <w:pPr>
        <w:tabs>
          <w:tab w:val="left" w:pos="-720"/>
        </w:tabs>
        <w:suppressAutoHyphens/>
        <w:spacing w:line="360" w:lineRule="auto"/>
        <w:rPr>
          <w:rFonts w:ascii="Times New Roman" w:hAnsi="Times New Roman" w:cs="Times New Roman"/>
        </w:rPr>
      </w:pPr>
      <w:r>
        <w:tab/>
      </w:r>
      <w:r>
        <w:tab/>
      </w:r>
      <w:r w:rsidR="00A11CBB">
        <w:t xml:space="preserve">PPL has failed to satisfy its burden to demonstrate that its motion should be granted.  Although the </w:t>
      </w:r>
      <w:proofErr w:type="spellStart"/>
      <w:r w:rsidR="00A11CBB">
        <w:t>Weaver’s</w:t>
      </w:r>
      <w:proofErr w:type="spellEnd"/>
      <w:r w:rsidR="00A11CBB">
        <w:t xml:space="preserve"> have the burden of proof </w:t>
      </w:r>
      <w:proofErr w:type="gramStart"/>
      <w:r w:rsidR="00A11CBB">
        <w:t>with regard to</w:t>
      </w:r>
      <w:proofErr w:type="gramEnd"/>
      <w:r w:rsidR="00A11CBB">
        <w:t xml:space="preserve"> their complaint, PPL has the burden of proof with regard to the motion to compel consistent with </w:t>
      </w:r>
      <w:r w:rsidR="00C0456D" w:rsidRPr="00787B5C">
        <w:rPr>
          <w:rFonts w:ascii="Times New Roman" w:hAnsi="Times New Roman" w:cs="Times New Roman"/>
        </w:rPr>
        <w:t>Section 332(a) of the Public Utility Code</w:t>
      </w:r>
      <w:r w:rsidR="00A11CBB">
        <w:rPr>
          <w:rFonts w:ascii="Times New Roman" w:hAnsi="Times New Roman" w:cs="Times New Roman"/>
        </w:rPr>
        <w:t xml:space="preserve">.  </w:t>
      </w:r>
      <w:r w:rsidR="00A11CBB" w:rsidRPr="00787B5C">
        <w:rPr>
          <w:rFonts w:ascii="Times New Roman" w:hAnsi="Times New Roman" w:cs="Times New Roman"/>
        </w:rPr>
        <w:t xml:space="preserve">66 </w:t>
      </w:r>
      <w:proofErr w:type="spellStart"/>
      <w:r w:rsidR="00A11CBB" w:rsidRPr="00787B5C">
        <w:rPr>
          <w:rFonts w:ascii="Times New Roman" w:hAnsi="Times New Roman" w:cs="Times New Roman"/>
        </w:rPr>
        <w:t>Pa.C.S</w:t>
      </w:r>
      <w:proofErr w:type="spellEnd"/>
      <w:r w:rsidR="00A11CBB" w:rsidRPr="00787B5C">
        <w:rPr>
          <w:rFonts w:ascii="Times New Roman" w:hAnsi="Times New Roman" w:cs="Times New Roman"/>
        </w:rPr>
        <w:t>. § 332(a</w:t>
      </w:r>
      <w:proofErr w:type="gramStart"/>
      <w:r w:rsidR="00A11CBB">
        <w:t>)</w:t>
      </w:r>
      <w:r w:rsidR="00A11CBB">
        <w:rPr>
          <w:rFonts w:ascii="Times New Roman" w:hAnsi="Times New Roman" w:cs="Times New Roman"/>
        </w:rPr>
        <w:t>(</w:t>
      </w:r>
      <w:proofErr w:type="gramEnd"/>
      <w:r w:rsidR="00C0456D" w:rsidRPr="00787B5C">
        <w:rPr>
          <w:rFonts w:ascii="Times New Roman" w:hAnsi="Times New Roman" w:cs="Times New Roman"/>
        </w:rPr>
        <w:t>the party seeking relief from the Commission has the burden of proof</w:t>
      </w:r>
      <w:r w:rsidR="00A11CBB">
        <w:rPr>
          <w:rFonts w:ascii="Times New Roman" w:hAnsi="Times New Roman" w:cs="Times New Roman"/>
        </w:rPr>
        <w:t>).</w:t>
      </w:r>
    </w:p>
    <w:p w14:paraId="4AB282C5" w14:textId="3D4F900A" w:rsidR="00F46D30" w:rsidRDefault="00F46D30" w:rsidP="00206602">
      <w:pPr>
        <w:tabs>
          <w:tab w:val="left" w:pos="-720"/>
        </w:tabs>
        <w:suppressAutoHyphens/>
        <w:spacing w:line="360" w:lineRule="auto"/>
        <w:rPr>
          <w:rFonts w:ascii="Times New Roman" w:hAnsi="Times New Roman" w:cs="Times New Roman"/>
        </w:rPr>
      </w:pPr>
    </w:p>
    <w:p w14:paraId="3055AC9F" w14:textId="19BB333F" w:rsidR="00F46D30" w:rsidRDefault="00F46D30" w:rsidP="00206602">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its motion, PPL argued that the interrogatories propounded by PPL are highly relevant to the issues to be decided in this case, including the complainants’ claim that the new AMI meter will cause, contribute to, or exacerbate adverse health effects.  </w:t>
      </w:r>
      <w:r w:rsidR="00FB31E1">
        <w:rPr>
          <w:rFonts w:ascii="Times New Roman" w:hAnsi="Times New Roman" w:cs="Times New Roman"/>
        </w:rPr>
        <w:t xml:space="preserve">PPL argued that its </w:t>
      </w:r>
      <w:r>
        <w:rPr>
          <w:rFonts w:ascii="Times New Roman" w:hAnsi="Times New Roman" w:cs="Times New Roman"/>
        </w:rPr>
        <w:t xml:space="preserve">interrogatories seeking information regarding the Weaver’s cell phone usage as well as information about any devices that emit radio frequency (RF) fields that are in the Weaver’s home </w:t>
      </w:r>
      <w:r w:rsidR="00FB31E1">
        <w:rPr>
          <w:rFonts w:ascii="Times New Roman" w:hAnsi="Times New Roman" w:cs="Times New Roman"/>
        </w:rPr>
        <w:t xml:space="preserve">is relevant </w:t>
      </w:r>
      <w:r>
        <w:rPr>
          <w:rFonts w:ascii="Times New Roman" w:hAnsi="Times New Roman" w:cs="Times New Roman"/>
        </w:rPr>
        <w:t xml:space="preserve">because its witness will demonstrate that the RF exposure received from a cell phone or other devices are far higher than from an AMI meter.  PPL argued that it is entitled to show </w:t>
      </w:r>
      <w:r w:rsidR="00FB31E1">
        <w:rPr>
          <w:rFonts w:ascii="Times New Roman" w:hAnsi="Times New Roman" w:cs="Times New Roman"/>
        </w:rPr>
        <w:t xml:space="preserve">how </w:t>
      </w:r>
      <w:r>
        <w:rPr>
          <w:rFonts w:ascii="Times New Roman" w:hAnsi="Times New Roman" w:cs="Times New Roman"/>
        </w:rPr>
        <w:t>the RF exposures from the complainants’ devices and appliances compare to those from the AMI meter and that it needs this information prior to the hearing.  As noted above, this information is requested in interrogatories I-2 and I-3.  PPL made no other argument in its motion to compel regarding the information sought in interrogatories I-1, I-4, I-5, I-6 and I-7.</w:t>
      </w:r>
    </w:p>
    <w:p w14:paraId="21873EA1" w14:textId="5C7A7011" w:rsidR="00F46D30" w:rsidRDefault="00F46D30" w:rsidP="00206602">
      <w:pPr>
        <w:tabs>
          <w:tab w:val="left" w:pos="-720"/>
        </w:tabs>
        <w:suppressAutoHyphens/>
        <w:spacing w:line="360" w:lineRule="auto"/>
        <w:rPr>
          <w:rFonts w:ascii="Times New Roman" w:hAnsi="Times New Roman" w:cs="Times New Roman"/>
        </w:rPr>
      </w:pPr>
    </w:p>
    <w:p w14:paraId="602A2440" w14:textId="39A7B5DA" w:rsidR="00F46D30" w:rsidRPr="00D51FB1" w:rsidRDefault="00F46D30" w:rsidP="00D51FB1">
      <w:pPr>
        <w:tabs>
          <w:tab w:val="left" w:pos="-720"/>
        </w:tabs>
        <w:suppressAutoHyphens/>
        <w:spacing w:line="360" w:lineRule="auto"/>
        <w:ind w:firstLine="1440"/>
        <w:rPr>
          <w:rFonts w:ascii="Times New Roman" w:hAnsi="Times New Roman" w:cs="Times New Roman"/>
        </w:rPr>
      </w:pPr>
      <w:r w:rsidRPr="00D51FB1">
        <w:rPr>
          <w:rFonts w:ascii="Times New Roman" w:hAnsi="Times New Roman" w:cs="Times New Roman"/>
        </w:rPr>
        <w:t xml:space="preserve">PPL’s motion will be denied with regard to interrogatories I-2 and I-3 because </w:t>
      </w:r>
      <w:r w:rsidR="00D51FB1" w:rsidRPr="00D51FB1">
        <w:rPr>
          <w:rFonts w:ascii="Times New Roman" w:hAnsi="Times New Roman" w:cs="Times New Roman"/>
        </w:rPr>
        <w:t xml:space="preserve">PPL’s request for information regarding “wireless phones, cellphones, microwaves, wireless routers, </w:t>
      </w:r>
      <w:proofErr w:type="spellStart"/>
      <w:r w:rsidR="00D51FB1" w:rsidRPr="00D51FB1">
        <w:rPr>
          <w:rFonts w:ascii="Times New Roman" w:hAnsi="Times New Roman" w:cs="Times New Roman"/>
        </w:rPr>
        <w:t>wifi</w:t>
      </w:r>
      <w:proofErr w:type="spellEnd"/>
      <w:r w:rsidR="00D51FB1" w:rsidRPr="00D51FB1">
        <w:rPr>
          <w:rFonts w:ascii="Times New Roman" w:hAnsi="Times New Roman" w:cs="Times New Roman"/>
        </w:rPr>
        <w:t xml:space="preserve"> networks, tablets, computers, Bluetooth speakers, wireless security systems, smart speakers (</w:t>
      </w:r>
      <w:r w:rsidR="00D51FB1" w:rsidRPr="00D51FB1">
        <w:rPr>
          <w:rFonts w:ascii="Times New Roman" w:hAnsi="Times New Roman" w:cs="Times New Roman"/>
          <w:i/>
        </w:rPr>
        <w:t>e.g</w:t>
      </w:r>
      <w:r w:rsidR="00D51FB1" w:rsidRPr="00D51FB1">
        <w:rPr>
          <w:rFonts w:ascii="Times New Roman" w:hAnsi="Times New Roman" w:cs="Times New Roman"/>
        </w:rPr>
        <w:t xml:space="preserve">., Amazon Echo), garage door openers, baby monitors, and walkie talkies that are contained in or used in the house” and 12 months of phone bills or other records of actual cell phone usage is unreasonably annoying and unduly burdensome.  </w:t>
      </w:r>
      <w:r w:rsidR="00D51FB1">
        <w:t>PPL is entitled to argue that the RF exposure received from the use of these devices is far higher than that from an AMI meter but it does not need 12 months of the Weaver’s phone records</w:t>
      </w:r>
      <w:r w:rsidR="00FB31E1">
        <w:t>, or to know in advance all the devices in the Weaver’s home,</w:t>
      </w:r>
      <w:r w:rsidR="00D51FB1">
        <w:t xml:space="preserve"> in order to make that argument.  To the extent that PPL seeks to make that argument, it can do so in other ways without obtaining 12 months of cell phone records</w:t>
      </w:r>
      <w:r w:rsidR="002156D5">
        <w:t xml:space="preserve"> by</w:t>
      </w:r>
      <w:r w:rsidR="00D51FB1">
        <w:t xml:space="preserve">, for example, asking the Weaver’s during cross examination </w:t>
      </w:r>
      <w:r w:rsidR="002156D5">
        <w:t xml:space="preserve">for </w:t>
      </w:r>
      <w:r w:rsidR="00D51FB1">
        <w:t>an estimate of how long they use their cell phone on average.  Twelve months of cell phone records</w:t>
      </w:r>
      <w:r w:rsidR="00FB31E1">
        <w:t>, and advance knowledge of all the devices at the service address,</w:t>
      </w:r>
      <w:r w:rsidR="00D51FB1">
        <w:t xml:space="preserve"> is not needed to make the point how RF exposure from cell phone use compares to those from AMI meters and is otherwise unreasonably annoying and unduly burdensome.</w:t>
      </w:r>
    </w:p>
    <w:p w14:paraId="2669CEC3" w14:textId="442DD4E6" w:rsidR="00F46D30" w:rsidRDefault="00F46D30" w:rsidP="00206602">
      <w:pPr>
        <w:tabs>
          <w:tab w:val="left" w:pos="-720"/>
        </w:tabs>
        <w:suppressAutoHyphens/>
        <w:spacing w:line="360" w:lineRule="auto"/>
        <w:rPr>
          <w:rFonts w:ascii="Times New Roman" w:hAnsi="Times New Roman" w:cs="Times New Roman"/>
        </w:rPr>
      </w:pPr>
    </w:p>
    <w:p w14:paraId="2D4D4F07" w14:textId="11F9E3DE" w:rsidR="00F46D30" w:rsidRDefault="00F46D30" w:rsidP="00206602">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PPL’s motion will be denied </w:t>
      </w:r>
      <w:proofErr w:type="gramStart"/>
      <w:r>
        <w:rPr>
          <w:rFonts w:ascii="Times New Roman" w:hAnsi="Times New Roman" w:cs="Times New Roman"/>
        </w:rPr>
        <w:t>with regard to</w:t>
      </w:r>
      <w:proofErr w:type="gramEnd"/>
      <w:r>
        <w:rPr>
          <w:rFonts w:ascii="Times New Roman" w:hAnsi="Times New Roman" w:cs="Times New Roman"/>
        </w:rPr>
        <w:t xml:space="preserve"> interrogatories I-1, I-4, I-5, I-6 and I-7 because the company made no argument with regard to these interrogatories</w:t>
      </w:r>
      <w:r w:rsidR="002156D5">
        <w:rPr>
          <w:rFonts w:ascii="Times New Roman" w:hAnsi="Times New Roman" w:cs="Times New Roman"/>
        </w:rPr>
        <w:t xml:space="preserve"> in its motion</w:t>
      </w:r>
      <w:r>
        <w:rPr>
          <w:rFonts w:ascii="Times New Roman" w:hAnsi="Times New Roman" w:cs="Times New Roman"/>
        </w:rPr>
        <w:t>.  Again, even though the Weaver’s did not file an answer to PPL’s motion, the burden of proof on this motion rests with PPL and PPL has not satisfied that burden</w:t>
      </w:r>
      <w:r w:rsidR="00FB31E1">
        <w:rPr>
          <w:rFonts w:ascii="Times New Roman" w:hAnsi="Times New Roman" w:cs="Times New Roman"/>
        </w:rPr>
        <w:t xml:space="preserve"> to demonstrate that the motion should be granted for these interrogatories</w:t>
      </w:r>
      <w:r>
        <w:rPr>
          <w:rFonts w:ascii="Times New Roman" w:hAnsi="Times New Roman" w:cs="Times New Roman"/>
        </w:rPr>
        <w:t>.</w:t>
      </w:r>
    </w:p>
    <w:p w14:paraId="1AFE1016" w14:textId="1FBBDFE2" w:rsidR="00F46D30" w:rsidRDefault="00F46D30" w:rsidP="00206602">
      <w:pPr>
        <w:tabs>
          <w:tab w:val="left" w:pos="-720"/>
        </w:tabs>
        <w:suppressAutoHyphens/>
        <w:spacing w:line="360" w:lineRule="auto"/>
        <w:rPr>
          <w:rFonts w:ascii="Times New Roman" w:hAnsi="Times New Roman" w:cs="Times New Roman"/>
        </w:rPr>
      </w:pPr>
    </w:p>
    <w:p w14:paraId="141C87F5" w14:textId="2D6886E9" w:rsidR="002C2B77" w:rsidRDefault="00184DF9" w:rsidP="00F46D30">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Certainly, PPL is entitled to know in advance, for example, any witnesses the Weavers may call in support of their complaint.  </w:t>
      </w:r>
      <w:r>
        <w:t xml:space="preserve">Both parties have due process rights which requires that PPL be given an </w:t>
      </w:r>
      <w:r w:rsidR="002156D5">
        <w:t xml:space="preserve">adequate </w:t>
      </w:r>
      <w:r>
        <w:t xml:space="preserve">opportunity to present a defense to the arguments made by the Weavers.  </w:t>
      </w:r>
      <w:r>
        <w:rPr>
          <w:rFonts w:ascii="Times New Roman" w:hAnsi="Times New Roman" w:cs="Times New Roman"/>
        </w:rPr>
        <w:t xml:space="preserve">By failing to timely respond to the interrogatories, the Weavers are hindering their prosecution of their complaint.  </w:t>
      </w:r>
      <w:r>
        <w:t xml:space="preserve">This fact, however, must be balanced with the fact that the Weavers </w:t>
      </w:r>
      <w:r w:rsidR="00FB31E1">
        <w:t xml:space="preserve">are </w:t>
      </w:r>
      <w:r>
        <w:t xml:space="preserve">pro se complainants.  The Commission’s regulations note that </w:t>
      </w:r>
      <w:r w:rsidR="002C2B77">
        <w:t xml:space="preserve">its regulations “shall be liberally construed to secure the just, speedy and inexpensive determination of every action” and that the “presiding officer at any stage of an action or proceeding may disregard an error or defect of procedure which does not affect the substantive rights of the parties.”  </w:t>
      </w:r>
      <w:r>
        <w:t>52 Pa. Code § 1.2(a)</w:t>
      </w:r>
      <w:r w:rsidR="002C2B77">
        <w:t xml:space="preserve">.  The Commission’s regulations further provide that “these liberal construction provisions apply with particularity in proceedings involving pro se litigation.”  52 Pa. Code § 1.2 </w:t>
      </w:r>
      <w:r>
        <w:t xml:space="preserve">(d); </w:t>
      </w:r>
      <w:r>
        <w:rPr>
          <w:i/>
          <w:iCs/>
        </w:rPr>
        <w:t>see also</w:t>
      </w:r>
      <w:r>
        <w:t>, 52 Pa. Code § 5.403(a) (the presiding officer shall have all necessary authority to control recei</w:t>
      </w:r>
      <w:r w:rsidR="002156D5">
        <w:t>pt</w:t>
      </w:r>
      <w:r>
        <w:t xml:space="preserve"> of evidence).  </w:t>
      </w:r>
      <w:r w:rsidR="00F46D30">
        <w:rPr>
          <w:rFonts w:ascii="Times New Roman" w:hAnsi="Times New Roman" w:cs="Times New Roman"/>
        </w:rPr>
        <w:tab/>
      </w:r>
    </w:p>
    <w:p w14:paraId="67696420" w14:textId="77777777" w:rsidR="002C2B77" w:rsidRDefault="002C2B77" w:rsidP="00F46D30">
      <w:pPr>
        <w:tabs>
          <w:tab w:val="left" w:pos="-720"/>
        </w:tabs>
        <w:suppressAutoHyphens/>
        <w:spacing w:line="360" w:lineRule="auto"/>
        <w:rPr>
          <w:rFonts w:ascii="Times New Roman" w:hAnsi="Times New Roman" w:cs="Times New Roman"/>
        </w:rPr>
      </w:pPr>
    </w:p>
    <w:p w14:paraId="139B72EB" w14:textId="0EFCCE31" w:rsidR="00232122" w:rsidRPr="002C2B77" w:rsidRDefault="00876F9A" w:rsidP="00B816DD">
      <w:pPr>
        <w:tabs>
          <w:tab w:val="left" w:pos="-720"/>
        </w:tabs>
        <w:suppressAutoHyphens/>
        <w:spacing w:line="360" w:lineRule="auto"/>
        <w:ind w:firstLine="1440"/>
        <w:rPr>
          <w:rFonts w:eastAsiaTheme="minorHAnsi"/>
          <w:color w:val="000000"/>
          <w:u w:val="single"/>
        </w:rPr>
      </w:pPr>
      <w:r w:rsidRPr="002C2B77">
        <w:t xml:space="preserve">Furthermore, </w:t>
      </w:r>
      <w:r w:rsidR="00E8207F" w:rsidRPr="002C2B77">
        <w:t xml:space="preserve">the Commission’s regulations also give the presiding officer the authority to limit discovery and regulate the course of the proceeding.  52 Pa. Code § 5.483(a); </w:t>
      </w:r>
      <w:r w:rsidR="00E8207F" w:rsidRPr="002C2B77">
        <w:rPr>
          <w:i/>
          <w:iCs/>
        </w:rPr>
        <w:t>see also</w:t>
      </w:r>
      <w:r w:rsidR="00E8207F" w:rsidRPr="002C2B77">
        <w:t xml:space="preserve">, </w:t>
      </w:r>
      <w:r w:rsidR="00954CB9" w:rsidRPr="002C2B77">
        <w:t xml:space="preserve">52 Pa. Code § 5.403. </w:t>
      </w:r>
      <w:r w:rsidR="00232122" w:rsidRPr="002C2B77">
        <w:t xml:space="preserve"> The Commission has previously recognized the difficulties that pro se complainants may experience in responding in writing to procedural matters</w:t>
      </w:r>
      <w:r w:rsidR="00BE3426" w:rsidRPr="002C2B77">
        <w:t xml:space="preserve"> prior to a hearing</w:t>
      </w:r>
      <w:r w:rsidR="00A57F7A" w:rsidRPr="002C2B77">
        <w:t xml:space="preserve">.  </w:t>
      </w:r>
      <w:r w:rsidR="00A57F7A" w:rsidRPr="002C2B77">
        <w:rPr>
          <w:rFonts w:eastAsiaTheme="minorHAnsi"/>
          <w:color w:val="000000"/>
          <w:u w:val="single"/>
        </w:rPr>
        <w:t>Carlock v. The United Telephone Company of Pennsylvania</w:t>
      </w:r>
      <w:r w:rsidR="00A57F7A" w:rsidRPr="002C2B77">
        <w:rPr>
          <w:rFonts w:eastAsiaTheme="minorHAnsi"/>
          <w:color w:val="000000"/>
        </w:rPr>
        <w:t xml:space="preserve">, Docket No. F-00163617 (Order entered July 14, 1993) (unrepresented complainants should have an opportunity to be heard orally, and not have their case dismissed </w:t>
      </w:r>
      <w:proofErr w:type="gramStart"/>
      <w:r w:rsidR="00A57F7A" w:rsidRPr="002C2B77">
        <w:rPr>
          <w:rFonts w:eastAsiaTheme="minorHAnsi"/>
          <w:color w:val="000000"/>
        </w:rPr>
        <w:t>on the basis of</w:t>
      </w:r>
      <w:proofErr w:type="gramEnd"/>
      <w:r w:rsidR="00A57F7A" w:rsidRPr="002C2B77">
        <w:rPr>
          <w:rFonts w:eastAsiaTheme="minorHAnsi"/>
          <w:color w:val="000000"/>
        </w:rPr>
        <w:t xml:space="preserve"> a preliminary pleading).  These factors do not excuse </w:t>
      </w:r>
      <w:r w:rsidR="002C2B77">
        <w:rPr>
          <w:rFonts w:eastAsiaTheme="minorHAnsi"/>
          <w:color w:val="000000"/>
        </w:rPr>
        <w:t xml:space="preserve">the Weaver’s failure to respond </w:t>
      </w:r>
      <w:r w:rsidR="006967C1" w:rsidRPr="002C2B77">
        <w:rPr>
          <w:rFonts w:eastAsiaTheme="minorHAnsi"/>
          <w:color w:val="000000"/>
        </w:rPr>
        <w:t xml:space="preserve">to interrogatories but merely provide </w:t>
      </w:r>
      <w:r w:rsidR="002C2B77">
        <w:rPr>
          <w:rFonts w:eastAsiaTheme="minorHAnsi"/>
          <w:color w:val="000000"/>
        </w:rPr>
        <w:t xml:space="preserve">the Weavers </w:t>
      </w:r>
      <w:r w:rsidR="006967C1" w:rsidRPr="002C2B77">
        <w:rPr>
          <w:rFonts w:eastAsiaTheme="minorHAnsi"/>
          <w:color w:val="000000"/>
        </w:rPr>
        <w:t xml:space="preserve">leeway in procedural matters so long as </w:t>
      </w:r>
      <w:r w:rsidR="002F58AB" w:rsidRPr="002C2B77">
        <w:rPr>
          <w:rFonts w:eastAsiaTheme="minorHAnsi"/>
          <w:color w:val="000000"/>
        </w:rPr>
        <w:t xml:space="preserve">PPL’s </w:t>
      </w:r>
      <w:r w:rsidR="006967C1" w:rsidRPr="002C2B77">
        <w:rPr>
          <w:rFonts w:eastAsiaTheme="minorHAnsi"/>
          <w:color w:val="000000"/>
        </w:rPr>
        <w:t xml:space="preserve">substantive rights are </w:t>
      </w:r>
      <w:r w:rsidR="002F58AB" w:rsidRPr="002C2B77">
        <w:rPr>
          <w:rFonts w:eastAsiaTheme="minorHAnsi"/>
          <w:color w:val="000000"/>
        </w:rPr>
        <w:t xml:space="preserve">not </w:t>
      </w:r>
      <w:r w:rsidR="006967C1" w:rsidRPr="002C2B77">
        <w:rPr>
          <w:rFonts w:eastAsiaTheme="minorHAnsi"/>
          <w:color w:val="000000"/>
        </w:rPr>
        <w:t>affected.</w:t>
      </w:r>
    </w:p>
    <w:p w14:paraId="5EDCB7F4" w14:textId="77777777" w:rsidR="00A57F7A" w:rsidRPr="002C2B77" w:rsidRDefault="00A57F7A" w:rsidP="00B816DD">
      <w:pPr>
        <w:tabs>
          <w:tab w:val="left" w:pos="-720"/>
        </w:tabs>
        <w:suppressAutoHyphens/>
        <w:spacing w:line="360" w:lineRule="auto"/>
        <w:ind w:firstLine="1440"/>
      </w:pPr>
    </w:p>
    <w:p w14:paraId="33FA1FED" w14:textId="2DD5DFDC" w:rsidR="00B816DD" w:rsidRPr="002C2B77" w:rsidRDefault="00232122" w:rsidP="00B816DD">
      <w:pPr>
        <w:tabs>
          <w:tab w:val="left" w:pos="-720"/>
        </w:tabs>
        <w:suppressAutoHyphens/>
        <w:spacing w:line="360" w:lineRule="auto"/>
        <w:ind w:firstLine="1440"/>
      </w:pPr>
      <w:r w:rsidRPr="002C2B77">
        <w:t xml:space="preserve">In balancing these interests and the interests of the parties, PPL’s motion to compel will be denied and the case will proceed to a hearing on October </w:t>
      </w:r>
      <w:r w:rsidR="002C2B77" w:rsidRPr="002C2B77">
        <w:t>10</w:t>
      </w:r>
      <w:r w:rsidRPr="002C2B77">
        <w:t xml:space="preserve">, 2019.  </w:t>
      </w:r>
      <w:r w:rsidR="002C2B77" w:rsidRPr="002C2B77">
        <w:t xml:space="preserve">The Weavers </w:t>
      </w:r>
      <w:r w:rsidRPr="002C2B77">
        <w:t xml:space="preserve">will be given an opportunity at that time to present </w:t>
      </w:r>
      <w:r w:rsidR="002C2B77" w:rsidRPr="002C2B77">
        <w:t xml:space="preserve">their </w:t>
      </w:r>
      <w:r w:rsidRPr="002C2B77">
        <w:t xml:space="preserve">complaint and any evidence in support of </w:t>
      </w:r>
      <w:r w:rsidR="002C2B77" w:rsidRPr="002C2B77">
        <w:t xml:space="preserve">their </w:t>
      </w:r>
      <w:r w:rsidRPr="002C2B77">
        <w:t xml:space="preserve">complaint.  </w:t>
      </w:r>
      <w:r w:rsidR="00D14E3B" w:rsidRPr="002C2B77">
        <w:t xml:space="preserve">To the extent that </w:t>
      </w:r>
      <w:r w:rsidR="002C2B77" w:rsidRPr="002C2B77">
        <w:t xml:space="preserve">the </w:t>
      </w:r>
      <w:proofErr w:type="spellStart"/>
      <w:r w:rsidR="002C2B77" w:rsidRPr="002C2B77">
        <w:t>Weaver’s</w:t>
      </w:r>
      <w:proofErr w:type="spellEnd"/>
      <w:r w:rsidR="002C2B77" w:rsidRPr="002C2B77">
        <w:t xml:space="preserve"> have </w:t>
      </w:r>
      <w:r w:rsidR="00D14E3B" w:rsidRPr="002C2B77">
        <w:t xml:space="preserve">not </w:t>
      </w:r>
      <w:r w:rsidR="002C2B77" w:rsidRPr="002C2B77">
        <w:t>provided any response to these interrogatories prior to that date</w:t>
      </w:r>
      <w:r w:rsidR="00D14E3B" w:rsidRPr="002C2B77">
        <w:t xml:space="preserve">, </w:t>
      </w:r>
      <w:r w:rsidRPr="002C2B77">
        <w:t xml:space="preserve">PPL will be given an opportunity to cross-examine </w:t>
      </w:r>
      <w:r w:rsidR="002C2B77" w:rsidRPr="002C2B77">
        <w:t xml:space="preserve">the Weavers </w:t>
      </w:r>
      <w:proofErr w:type="gramStart"/>
      <w:r w:rsidRPr="002C2B77">
        <w:t>with regard to</w:t>
      </w:r>
      <w:proofErr w:type="gramEnd"/>
      <w:r w:rsidRPr="002C2B77">
        <w:t xml:space="preserve"> the evidence </w:t>
      </w:r>
      <w:r w:rsidR="002C2B77" w:rsidRPr="002C2B77">
        <w:t xml:space="preserve">they have </w:t>
      </w:r>
      <w:r w:rsidRPr="002C2B77">
        <w:t xml:space="preserve">presented in support of </w:t>
      </w:r>
      <w:r w:rsidR="002C2B77" w:rsidRPr="002C2B77">
        <w:t xml:space="preserve">their </w:t>
      </w:r>
      <w:r w:rsidRPr="002C2B77">
        <w:t xml:space="preserve">complaint.  </w:t>
      </w:r>
      <w:r w:rsidR="00D14E3B" w:rsidRPr="002C2B77">
        <w:t xml:space="preserve">If PPL believes that it requires additional time to conduct such cross-examination or to present its response to </w:t>
      </w:r>
      <w:r w:rsidR="002C2B77" w:rsidRPr="002C2B77">
        <w:t xml:space="preserve">the </w:t>
      </w:r>
      <w:r w:rsidR="00D14E3B" w:rsidRPr="002C2B77">
        <w:t xml:space="preserve">complaint, it can request a continuation of the hearing so that it may be able to do that.  </w:t>
      </w:r>
      <w:r w:rsidR="002F58AB" w:rsidRPr="002C2B77">
        <w:t xml:space="preserve">Doing so would preserve PPL’s due process rights.  </w:t>
      </w:r>
      <w:r w:rsidR="00D14E3B" w:rsidRPr="002C2B77">
        <w:t>In the interim, however, PPL’s motion to compel answers to interrogator</w:t>
      </w:r>
      <w:r w:rsidR="002156D5">
        <w:t xml:space="preserve">ies </w:t>
      </w:r>
      <w:r w:rsidR="00D14E3B" w:rsidRPr="002C2B77">
        <w:t>will be denied.</w:t>
      </w:r>
    </w:p>
    <w:p w14:paraId="30BD16EA" w14:textId="77777777" w:rsidR="002C2B77" w:rsidRPr="00FB31E1" w:rsidRDefault="002C2B77" w:rsidP="0061092C">
      <w:pPr>
        <w:spacing w:line="360" w:lineRule="auto"/>
        <w:rPr>
          <w:b/>
          <w:u w:val="single"/>
        </w:rPr>
      </w:pPr>
    </w:p>
    <w:p w14:paraId="77589B82" w14:textId="781DF7EC" w:rsidR="0061092C" w:rsidRPr="00FB31E1" w:rsidRDefault="0061092C" w:rsidP="0061092C">
      <w:pPr>
        <w:spacing w:line="360" w:lineRule="auto"/>
      </w:pPr>
      <w:r w:rsidRPr="00FB31E1">
        <w:rPr>
          <w:b/>
          <w:u w:val="single"/>
        </w:rPr>
        <w:t>Conclusion</w:t>
      </w:r>
    </w:p>
    <w:p w14:paraId="1D52C676" w14:textId="11C500FC" w:rsidR="0061092C" w:rsidRPr="00FB31E1" w:rsidRDefault="0061092C" w:rsidP="0061092C">
      <w:pPr>
        <w:spacing w:line="360" w:lineRule="auto"/>
        <w:ind w:firstLine="1440"/>
      </w:pPr>
    </w:p>
    <w:p w14:paraId="4DC39119" w14:textId="2132D1B1" w:rsidR="002F58AB" w:rsidRPr="00FB69C0" w:rsidRDefault="002F58AB" w:rsidP="0061092C">
      <w:pPr>
        <w:spacing w:line="360" w:lineRule="auto"/>
        <w:ind w:firstLine="1440"/>
      </w:pPr>
      <w:r w:rsidRPr="00FB69C0">
        <w:t xml:space="preserve">PPL’s motion to compel will be denied in its entirety.  </w:t>
      </w:r>
      <w:r w:rsidR="00FB69C0">
        <w:t xml:space="preserve">The Weaver’s failure to respond to PPL’s interrogatories cannot be condoned.  However, the Weavers are </w:t>
      </w:r>
      <w:r w:rsidRPr="00FB69C0">
        <w:t>appearing in this proceeding pro se</w:t>
      </w:r>
      <w:r w:rsidR="00FB69C0">
        <w:t xml:space="preserve"> and are </w:t>
      </w:r>
      <w:r w:rsidRPr="00FB69C0">
        <w:t xml:space="preserve">afforded leeway in </w:t>
      </w:r>
      <w:r w:rsidR="00FB69C0">
        <w:t xml:space="preserve">their </w:t>
      </w:r>
      <w:r w:rsidRPr="00FB69C0">
        <w:t>compliance with the Commission’s procedural regulations</w:t>
      </w:r>
      <w:r w:rsidR="00FB69C0">
        <w:t xml:space="preserve">.  The Weaver’s </w:t>
      </w:r>
      <w:r w:rsidRPr="00FB69C0">
        <w:t xml:space="preserve">should be given an opportunity to be heard by explaining </w:t>
      </w:r>
      <w:r w:rsidR="00FB69C0">
        <w:t xml:space="preserve">their </w:t>
      </w:r>
      <w:r w:rsidRPr="00FB69C0">
        <w:t>complaint to the Commission orally in a way that protects both parties</w:t>
      </w:r>
      <w:r w:rsidR="00FB31E1">
        <w:t>’</w:t>
      </w:r>
      <w:r w:rsidRPr="00FB69C0">
        <w:t xml:space="preserve"> due process rights, including PPL’s ability to provide a defense to the complaint.  </w:t>
      </w:r>
      <w:r w:rsidR="00FB31E1">
        <w:t>In order to sustain their complaint</w:t>
      </w:r>
      <w:r w:rsidR="00FB69C0" w:rsidRPr="00FB69C0">
        <w:t xml:space="preserve">, however, </w:t>
      </w:r>
      <w:r w:rsidR="00FB69C0">
        <w:t xml:space="preserve">the Weaver’s </w:t>
      </w:r>
      <w:r w:rsidR="00FB69C0" w:rsidRPr="00FB69C0">
        <w:t xml:space="preserve">will have to demonstrate by a preponderance of the evidence that PPL violated the Public Utility Code, a Commission order or regulation or a Commission-approved tariff of the company in order to have his complaint sustained.  </w:t>
      </w:r>
      <w:r w:rsidRPr="00FB69C0">
        <w:t>In the interim, however, PPL’s motion to compel will be denied.</w:t>
      </w:r>
    </w:p>
    <w:p w14:paraId="4DAE63F8" w14:textId="77777777" w:rsidR="002F58AB" w:rsidRPr="000715C5" w:rsidRDefault="002F58AB" w:rsidP="0061092C">
      <w:pPr>
        <w:spacing w:line="360" w:lineRule="auto"/>
        <w:ind w:firstLine="1440"/>
      </w:pPr>
    </w:p>
    <w:p w14:paraId="08492A2F" w14:textId="77777777" w:rsidR="00C03ECF" w:rsidRDefault="00C03ECF">
      <w:pPr>
        <w:autoSpaceDE/>
        <w:autoSpaceDN/>
        <w:spacing w:after="200"/>
        <w:rPr>
          <w:u w:val="single"/>
        </w:rPr>
      </w:pPr>
      <w:r>
        <w:rPr>
          <w:u w:val="single"/>
        </w:rPr>
        <w:br w:type="page"/>
      </w:r>
    </w:p>
    <w:p w14:paraId="455B58C9" w14:textId="5E15E042" w:rsidR="0061092C" w:rsidRPr="000715C5" w:rsidRDefault="0061092C" w:rsidP="0061092C">
      <w:pPr>
        <w:spacing w:line="360" w:lineRule="auto"/>
        <w:jc w:val="center"/>
        <w:rPr>
          <w:u w:val="single"/>
        </w:rPr>
      </w:pPr>
      <w:r w:rsidRPr="000715C5">
        <w:rPr>
          <w:u w:val="single"/>
        </w:rPr>
        <w:t>ORDER</w:t>
      </w:r>
    </w:p>
    <w:p w14:paraId="5C69DE5A" w14:textId="63FDD5CA" w:rsidR="0061092C" w:rsidRDefault="0061092C" w:rsidP="0061092C">
      <w:pPr>
        <w:spacing w:line="360" w:lineRule="auto"/>
      </w:pPr>
    </w:p>
    <w:p w14:paraId="1BFF91E8" w14:textId="77777777" w:rsidR="001173BD" w:rsidRPr="000715C5" w:rsidRDefault="001173BD" w:rsidP="0061092C">
      <w:pPr>
        <w:spacing w:line="360" w:lineRule="auto"/>
      </w:pPr>
    </w:p>
    <w:p w14:paraId="6483F989" w14:textId="77777777" w:rsidR="0061092C" w:rsidRPr="000715C5" w:rsidRDefault="0061092C" w:rsidP="0061092C">
      <w:pPr>
        <w:spacing w:line="360" w:lineRule="auto"/>
        <w:ind w:firstLine="1440"/>
        <w:rPr>
          <w:bCs/>
        </w:rPr>
      </w:pPr>
      <w:r w:rsidRPr="000715C5">
        <w:rPr>
          <w:bCs/>
        </w:rPr>
        <w:t>THEREFORE,</w:t>
      </w:r>
    </w:p>
    <w:p w14:paraId="3608EA9E" w14:textId="77777777" w:rsidR="0061092C" w:rsidRPr="000715C5" w:rsidRDefault="0061092C" w:rsidP="0061092C">
      <w:pPr>
        <w:spacing w:line="360" w:lineRule="auto"/>
        <w:ind w:firstLine="1440"/>
      </w:pPr>
    </w:p>
    <w:p w14:paraId="0F1D6DD1" w14:textId="77777777" w:rsidR="0061092C" w:rsidRPr="000715C5" w:rsidRDefault="0061092C" w:rsidP="0061092C">
      <w:pPr>
        <w:autoSpaceDE/>
        <w:autoSpaceDN/>
        <w:spacing w:line="360" w:lineRule="auto"/>
        <w:ind w:left="720" w:firstLine="720"/>
      </w:pPr>
      <w:r w:rsidRPr="000715C5">
        <w:t>IT IS ORDERED:</w:t>
      </w:r>
    </w:p>
    <w:p w14:paraId="770AAA2A" w14:textId="77777777" w:rsidR="0061092C" w:rsidRPr="000715C5" w:rsidRDefault="0061092C" w:rsidP="0061092C">
      <w:pPr>
        <w:pStyle w:val="BodyText2"/>
        <w:spacing w:after="0" w:line="360" w:lineRule="auto"/>
        <w:ind w:firstLine="1440"/>
        <w:rPr>
          <w:b/>
          <w:color w:val="000000"/>
        </w:rPr>
      </w:pPr>
    </w:p>
    <w:p w14:paraId="6F2EF2C8" w14:textId="7417B5AC" w:rsidR="0061092C" w:rsidRPr="000715C5" w:rsidRDefault="0061092C" w:rsidP="0061092C">
      <w:pPr>
        <w:pStyle w:val="ListNumber"/>
        <w:tabs>
          <w:tab w:val="clear" w:pos="360"/>
          <w:tab w:val="num" w:pos="720"/>
        </w:tabs>
        <w:spacing w:after="0" w:line="360" w:lineRule="auto"/>
        <w:ind w:firstLine="1440"/>
        <w:jc w:val="left"/>
      </w:pPr>
      <w:r w:rsidRPr="000715C5">
        <w:t xml:space="preserve">That </w:t>
      </w:r>
      <w:r w:rsidR="00940F1B" w:rsidRPr="000715C5">
        <w:t xml:space="preserve">PPL Electric Utilities Corporation’s motion to compel responses to discovery propounded on </w:t>
      </w:r>
      <w:r w:rsidR="000715C5">
        <w:t xml:space="preserve">Brendon and Jessica Weaver </w:t>
      </w:r>
      <w:r w:rsidR="00940F1B" w:rsidRPr="000715C5">
        <w:t>– Set I at docket number C-2019-</w:t>
      </w:r>
      <w:r w:rsidR="000715C5">
        <w:t xml:space="preserve">3011315 </w:t>
      </w:r>
      <w:r w:rsidR="00940F1B" w:rsidRPr="000715C5">
        <w:t xml:space="preserve">dated September </w:t>
      </w:r>
      <w:r w:rsidR="000715C5">
        <w:t>17</w:t>
      </w:r>
      <w:r w:rsidR="00940F1B" w:rsidRPr="000715C5">
        <w:t xml:space="preserve">, 2019 </w:t>
      </w:r>
      <w:r w:rsidRPr="000715C5">
        <w:t>is hereby denied.</w:t>
      </w:r>
    </w:p>
    <w:p w14:paraId="7724E7A7" w14:textId="77777777" w:rsidR="0061092C" w:rsidRPr="000715C5" w:rsidRDefault="0061092C" w:rsidP="0061092C">
      <w:pPr>
        <w:pStyle w:val="ListNumber"/>
        <w:numPr>
          <w:ilvl w:val="0"/>
          <w:numId w:val="0"/>
        </w:numPr>
        <w:spacing w:after="0" w:line="360" w:lineRule="auto"/>
        <w:ind w:left="1440"/>
        <w:jc w:val="left"/>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7AD55451" w:rsidR="009E6606" w:rsidRPr="001173BD"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AB18FE">
        <w:rPr>
          <w:rFonts w:ascii="Times New Roman" w:hAnsi="Times New Roman" w:cs="Times New Roman"/>
          <w:spacing w:val="-3"/>
          <w:u w:val="single"/>
        </w:rPr>
        <w:t xml:space="preserve">September </w:t>
      </w:r>
      <w:r w:rsidR="00FB69C0">
        <w:rPr>
          <w:rFonts w:ascii="Times New Roman" w:hAnsi="Times New Roman" w:cs="Times New Roman"/>
          <w:spacing w:val="-3"/>
          <w:u w:val="single"/>
        </w:rPr>
        <w:t>26</w:t>
      </w:r>
      <w:r w:rsidR="003E620C">
        <w:rPr>
          <w:rFonts w:ascii="Times New Roman" w:hAnsi="Times New Roman" w:cs="Times New Roman"/>
          <w:spacing w:val="-3"/>
          <w:u w:val="single"/>
        </w:rPr>
        <w:t>, 2019</w:t>
      </w:r>
      <w:r w:rsidRPr="00EC3BC4">
        <w:rPr>
          <w:rFonts w:ascii="Times New Roman" w:hAnsi="Times New Roman" w:cs="Times New Roman"/>
          <w:spacing w:val="-3"/>
        </w:rPr>
        <w:tab/>
      </w:r>
      <w:r w:rsidR="001173BD">
        <w:rPr>
          <w:rFonts w:ascii="Times New Roman" w:hAnsi="Times New Roman" w:cs="Times New Roman"/>
          <w:spacing w:val="-3"/>
          <w:u w:val="single"/>
        </w:rPr>
        <w:tab/>
      </w:r>
      <w:r w:rsidR="001173BD">
        <w:rPr>
          <w:rFonts w:ascii="Times New Roman" w:hAnsi="Times New Roman" w:cs="Times New Roman"/>
          <w:spacing w:val="-3"/>
          <w:u w:val="single"/>
        </w:rPr>
        <w:tab/>
        <w:t>/s/</w:t>
      </w:r>
      <w:r w:rsidR="001173BD">
        <w:rPr>
          <w:rFonts w:ascii="Times New Roman" w:hAnsi="Times New Roman" w:cs="Times New Roman"/>
          <w:spacing w:val="-3"/>
          <w:u w:val="single"/>
        </w:rPr>
        <w:tab/>
      </w:r>
      <w:r w:rsidR="001173BD">
        <w:rPr>
          <w:rFonts w:ascii="Times New Roman" w:hAnsi="Times New Roman" w:cs="Times New Roman"/>
          <w:spacing w:val="-3"/>
          <w:u w:val="single"/>
        </w:rPr>
        <w:tab/>
      </w:r>
      <w:r w:rsidR="001173BD">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6959221A" w14:textId="77777777" w:rsidR="001173BD" w:rsidRDefault="009E6606" w:rsidP="00AD3534">
      <w:pPr>
        <w:pStyle w:val="ParaTab1"/>
        <w:tabs>
          <w:tab w:val="clear" w:pos="-720"/>
          <w:tab w:val="left" w:pos="720"/>
          <w:tab w:val="left" w:pos="5040"/>
        </w:tabs>
        <w:ind w:firstLine="0"/>
        <w:rPr>
          <w:rFonts w:ascii="Times New Roman" w:hAnsi="Times New Roman"/>
        </w:rPr>
        <w:sectPr w:rsidR="001173BD" w:rsidSect="00C9263E">
          <w:footerReference w:type="default" r:id="rId8"/>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330E5C29" w14:textId="77777777" w:rsidR="001173BD" w:rsidRDefault="001173BD" w:rsidP="001173BD">
      <w:pPr>
        <w:rPr>
          <w:rFonts w:ascii="Microsoft Sans Serif" w:eastAsia="Microsoft Sans Serif" w:hAnsi="Microsoft Sans Serif" w:cs="Microsoft Sans Serif"/>
          <w:b/>
          <w:u w:val="single"/>
        </w:rPr>
        <w:sectPr w:rsidR="001173BD" w:rsidSect="00F019AB">
          <w:footerReference w:type="default" r:id="rId9"/>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t>C-2019-3011315 - BRENDON &amp; JESSICA WEAVER V. PPL ELECTRIC UTILITIES CORPORATION</w:t>
      </w:r>
    </w:p>
    <w:p w14:paraId="48F263D7" w14:textId="77777777" w:rsidR="001173BD" w:rsidRDefault="001173BD" w:rsidP="001173BD">
      <w:pPr>
        <w:rPr>
          <w:rFonts w:ascii="Microsoft Sans Serif" w:eastAsia="Microsoft Sans Serif" w:hAnsi="Microsoft Sans Serif" w:cs="Microsoft Sans Serif"/>
          <w:b/>
          <w:u w:val="single"/>
        </w:rPr>
        <w:sectPr w:rsidR="001173BD" w:rsidSect="00F019AB">
          <w:type w:val="continuous"/>
          <w:pgSz w:w="12240" w:h="15840"/>
          <w:pgMar w:top="1440" w:right="1440" w:bottom="1440" w:left="1440" w:header="720" w:footer="720" w:gutter="0"/>
          <w:cols w:num="2" w:space="720"/>
          <w:docGrid w:linePitch="360"/>
        </w:sectPr>
      </w:pPr>
    </w:p>
    <w:p w14:paraId="15ED0BDF" w14:textId="77777777" w:rsidR="001173BD" w:rsidRDefault="001173BD" w:rsidP="001173BD">
      <w:pPr>
        <w:rPr>
          <w:rFonts w:ascii="Microsoft Sans Serif" w:eastAsia="Microsoft Sans Serif" w:hAnsi="Microsoft Sans Serif" w:cs="Microsoft Sans Serif"/>
          <w:b/>
          <w:bCs/>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610.774.5696</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JESSICA WEAVER</w:t>
      </w:r>
      <w:r>
        <w:rPr>
          <w:rFonts w:ascii="Microsoft Sans Serif" w:eastAsia="Microsoft Sans Serif" w:hAnsi="Microsoft Sans Serif" w:cs="Microsoft Sans Serif"/>
        </w:rPr>
        <w:br/>
        <w:t>180 KLINE ROAD</w:t>
      </w:r>
      <w:r>
        <w:rPr>
          <w:rFonts w:ascii="Microsoft Sans Serif" w:eastAsia="Microsoft Sans Serif" w:hAnsi="Microsoft Sans Serif" w:cs="Microsoft Sans Serif"/>
        </w:rPr>
        <w:cr/>
        <w:t>DENVER PA  17517</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717.824.6708</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r w:rsidRPr="00F019AB">
        <w:rPr>
          <w:rFonts w:ascii="Microsoft Sans Serif" w:eastAsia="Microsoft Sans Serif" w:hAnsi="Microsoft Sans Serif" w:cs="Microsoft Sans Serif"/>
          <w:b/>
          <w:bCs/>
        </w:rPr>
        <w:cr/>
      </w:r>
      <w:r>
        <w:rPr>
          <w:rFonts w:ascii="Microsoft Sans Serif" w:eastAsia="Microsoft Sans Serif" w:hAnsi="Microsoft Sans Serif" w:cs="Microsoft Sans Serif"/>
        </w:rPr>
        <w:cr/>
        <w:t>MICHAEL J SHAFER ATTORNEY</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w:t>
      </w:r>
      <w:r>
        <w:rPr>
          <w:rFonts w:ascii="Microsoft Sans Serif" w:eastAsia="Microsoft Sans Serif" w:hAnsi="Microsoft Sans Serif" w:cs="Microsoft Sans Serif"/>
        </w:rPr>
        <w:cr/>
        <w:t>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610.774.2599</w:t>
      </w:r>
      <w:r>
        <w:rPr>
          <w:rFonts w:ascii="Microsoft Sans Serif" w:eastAsia="Microsoft Sans Serif" w:hAnsi="Microsoft Sans Serif" w:cs="Microsoft Sans Serif"/>
          <w:b/>
          <w:bCs/>
        </w:rPr>
        <w:br/>
      </w:r>
      <w:r w:rsidRPr="00F019AB">
        <w:rPr>
          <w:rFonts w:ascii="Microsoft Sans Serif" w:eastAsia="Microsoft Sans Serif" w:hAnsi="Microsoft Sans Serif" w:cs="Microsoft Sans Serif"/>
          <w:b/>
          <w:bCs/>
          <w:i/>
          <w:iCs/>
          <w:u w:val="single"/>
        </w:rPr>
        <w:t>ACCEPTS E-SERVICE</w:t>
      </w:r>
    </w:p>
    <w:p w14:paraId="41ED188B" w14:textId="77777777" w:rsidR="001173BD" w:rsidRDefault="001173BD" w:rsidP="001173BD">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717.612.6052</w:t>
      </w:r>
      <w:r>
        <w:rPr>
          <w:rFonts w:ascii="Microsoft Sans Serif" w:eastAsia="Microsoft Sans Serif" w:hAnsi="Microsoft Sans Serif" w:cs="Microsoft Sans Serif"/>
          <w:b/>
          <w:bCs/>
        </w:rPr>
        <w:br/>
      </w:r>
      <w:r w:rsidRPr="00A61244">
        <w:rPr>
          <w:rFonts w:ascii="Microsoft Sans Serif" w:eastAsia="Microsoft Sans Serif" w:hAnsi="Microsoft Sans Serif" w:cs="Microsoft Sans Serif"/>
          <w:b/>
          <w:bCs/>
          <w:i/>
          <w:iCs/>
          <w:u w:val="single"/>
        </w:rPr>
        <w:t>ACCEPTS E-SERVICE</w:t>
      </w:r>
      <w:r w:rsidRPr="00A61244">
        <w:rPr>
          <w:rFonts w:ascii="Microsoft Sans Serif" w:eastAsia="Microsoft Sans Serif" w:hAnsi="Microsoft Sans Serif" w:cs="Microsoft Sans Serif"/>
          <w:b/>
          <w:bCs/>
          <w:i/>
          <w:iCs/>
          <w:u w:val="single"/>
        </w:rPr>
        <w:cr/>
      </w:r>
      <w:r w:rsidRPr="00A61244">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t>GARRETT P LENT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717.612.6032</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r w:rsidRPr="00F019AB">
        <w:rPr>
          <w:rFonts w:ascii="Microsoft Sans Serif" w:eastAsia="Microsoft Sans Serif" w:hAnsi="Microsoft Sans Serif" w:cs="Microsoft Sans Serif"/>
          <w:b/>
          <w:bCs/>
        </w:rPr>
        <w:cr/>
      </w:r>
      <w:r>
        <w:rPr>
          <w:rFonts w:ascii="Microsoft Sans Serif" w:eastAsia="Microsoft Sans Serif" w:hAnsi="Microsoft Sans Serif" w:cs="Microsoft Sans Serif"/>
        </w:rPr>
        <w:cr/>
      </w:r>
      <w:bookmarkStart w:id="1" w:name="_GoBack"/>
      <w:bookmarkEnd w:id="1"/>
    </w:p>
    <w:p w14:paraId="3FD35E9E" w14:textId="77777777" w:rsidR="001173BD" w:rsidRDefault="001173BD" w:rsidP="001173BD">
      <w:pPr>
        <w:rPr>
          <w:rFonts w:ascii="Microsoft Sans Serif" w:eastAsia="Microsoft Sans Serif" w:hAnsi="Microsoft Sans Serif" w:cs="Microsoft Sans Serif"/>
        </w:rPr>
      </w:pPr>
    </w:p>
    <w:p w14:paraId="2AE1B03C" w14:textId="108D8989" w:rsidR="001173BD" w:rsidRDefault="001173BD" w:rsidP="001173BD">
      <w:pPr>
        <w:rPr>
          <w:rFonts w:ascii="Microsoft Sans Serif" w:eastAsia="Microsoft Sans Serif" w:hAnsi="Microsoft Sans Serif" w:cs="Microsoft Sans Serif"/>
        </w:rPr>
      </w:pPr>
    </w:p>
    <w:p w14:paraId="20E1FB14" w14:textId="1869EB7C" w:rsidR="001173BD" w:rsidRDefault="001173BD" w:rsidP="001173BD">
      <w:pPr>
        <w:rPr>
          <w:rFonts w:ascii="Microsoft Sans Serif" w:eastAsia="Microsoft Sans Serif" w:hAnsi="Microsoft Sans Serif" w:cs="Microsoft Sans Serif"/>
        </w:rPr>
      </w:pPr>
    </w:p>
    <w:p w14:paraId="327BB6E2" w14:textId="4F23D6D7" w:rsidR="001173BD" w:rsidRDefault="001173BD" w:rsidP="001173BD">
      <w:pPr>
        <w:rPr>
          <w:rFonts w:ascii="Microsoft Sans Serif" w:eastAsia="Microsoft Sans Serif" w:hAnsi="Microsoft Sans Serif" w:cs="Microsoft Sans Serif"/>
        </w:rPr>
      </w:pPr>
    </w:p>
    <w:p w14:paraId="2CF5CEAC" w14:textId="77777777" w:rsidR="001173BD" w:rsidRDefault="001173BD" w:rsidP="001173BD">
      <w:pPr>
        <w:rPr>
          <w:rFonts w:ascii="Microsoft Sans Serif" w:eastAsia="Microsoft Sans Serif" w:hAnsi="Microsoft Sans Serif" w:cs="Microsoft Sans Serif"/>
        </w:rPr>
      </w:pPr>
    </w:p>
    <w:p w14:paraId="2F32C9A9" w14:textId="6D066AC8" w:rsidR="001173BD" w:rsidRDefault="001173BD" w:rsidP="001173BD">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t>LINDSAY A BERKSTRESSER ESQUIRE</w:t>
      </w:r>
      <w:r>
        <w:rPr>
          <w:rFonts w:ascii="Microsoft Sans Serif" w:eastAsia="Microsoft Sans Serif" w:hAnsi="Microsoft Sans Serif" w:cs="Microsoft Sans Serif"/>
        </w:rPr>
        <w:cr/>
        <w:t xml:space="preserve">17 N 2ND ST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019AB">
        <w:rPr>
          <w:rFonts w:ascii="Microsoft Sans Serif" w:eastAsia="Microsoft Sans Serif" w:hAnsi="Microsoft Sans Serif" w:cs="Microsoft Sans Serif"/>
          <w:b/>
          <w:bCs/>
        </w:rPr>
        <w:t>717.612.6021</w:t>
      </w:r>
      <w:r>
        <w:rPr>
          <w:rFonts w:ascii="Microsoft Sans Serif" w:eastAsia="Microsoft Sans Serif" w:hAnsi="Microsoft Sans Serif" w:cs="Microsoft Sans Serif"/>
          <w:b/>
          <w:bCs/>
        </w:rPr>
        <w:br/>
      </w:r>
      <w:r w:rsidRPr="00F019AB">
        <w:rPr>
          <w:rFonts w:ascii="Microsoft Sans Serif" w:eastAsia="Microsoft Sans Serif" w:hAnsi="Microsoft Sans Serif" w:cs="Microsoft Sans Serif"/>
          <w:b/>
          <w:bCs/>
          <w:i/>
          <w:iCs/>
          <w:u w:val="single"/>
        </w:rPr>
        <w:t>ACCEPTS E-SERVICE</w:t>
      </w:r>
    </w:p>
    <w:p w14:paraId="2A3B73BE" w14:textId="77777777" w:rsidR="001173BD" w:rsidRDefault="001173BD" w:rsidP="001173BD">
      <w:pPr>
        <w:rPr>
          <w:rFonts w:ascii="Microsoft Sans Serif" w:eastAsia="Microsoft Sans Serif" w:hAnsi="Microsoft Sans Serif" w:cs="Microsoft Sans Serif"/>
        </w:rPr>
      </w:pPr>
    </w:p>
    <w:p w14:paraId="4A6F2665" w14:textId="77777777" w:rsidR="001173BD" w:rsidRPr="00D82DD9" w:rsidRDefault="001173BD" w:rsidP="001173BD">
      <w:pPr>
        <w:rPr>
          <w:rFonts w:ascii="Microsoft Sans Serif" w:eastAsia="Microsoft Sans Serif" w:hAnsi="Microsoft Sans Serif" w:cs="Microsoft Sans Serif"/>
        </w:rPr>
      </w:pPr>
      <w:bookmarkStart w:id="2" w:name="_Hlk20474282"/>
      <w:r>
        <w:rPr>
          <w:rFonts w:ascii="Microsoft Sans Serif" w:eastAsia="Microsoft Sans Serif" w:hAnsi="Microsoft Sans Serif" w:cs="Microsoft Sans Serif"/>
        </w:rPr>
        <w:t>CURTIS S RENNER ESQUIRE</w:t>
      </w:r>
      <w:r>
        <w:rPr>
          <w:rFonts w:ascii="Microsoft Sans Serif" w:eastAsia="Microsoft Sans Serif" w:hAnsi="Microsoft Sans Serif" w:cs="Microsoft Sans Serif"/>
        </w:rPr>
        <w:cr/>
        <w:t>WATSON &amp; RENNER</w:t>
      </w:r>
      <w:r>
        <w:rPr>
          <w:rFonts w:ascii="Microsoft Sans Serif" w:eastAsia="Microsoft Sans Serif" w:hAnsi="Microsoft Sans Serif" w:cs="Microsoft Sans Serif"/>
        </w:rPr>
        <w:cr/>
        <w:t>1901 PENNSYLVANIA AVE NW SUITE 1005-ENS</w:t>
      </w:r>
      <w:r>
        <w:rPr>
          <w:rFonts w:ascii="Microsoft Sans Serif" w:eastAsia="Microsoft Sans Serif" w:hAnsi="Microsoft Sans Serif" w:cs="Microsoft Sans Serif"/>
        </w:rPr>
        <w:cr/>
        <w:t>WASHINGTON DC  20006</w:t>
      </w:r>
      <w:r>
        <w:rPr>
          <w:rFonts w:ascii="Microsoft Sans Serif" w:eastAsia="Microsoft Sans Serif" w:hAnsi="Microsoft Sans Serif" w:cs="Microsoft Sans Serif"/>
        </w:rPr>
        <w:cr/>
      </w:r>
      <w:bookmarkEnd w:id="2"/>
      <w:r w:rsidRPr="00F019AB">
        <w:rPr>
          <w:rFonts w:ascii="Microsoft Sans Serif" w:eastAsia="Microsoft Sans Serif" w:hAnsi="Microsoft Sans Serif" w:cs="Microsoft Sans Serif"/>
          <w:b/>
          <w:bCs/>
        </w:rPr>
        <w:t>202.737.6302</w:t>
      </w:r>
      <w:r w:rsidRPr="00F019AB">
        <w:rPr>
          <w:rFonts w:ascii="Microsoft Sans Serif" w:eastAsia="Microsoft Sans Serif" w:hAnsi="Microsoft Sans Serif" w:cs="Microsoft Sans Serif"/>
          <w:b/>
          <w:bCs/>
        </w:rPr>
        <w:cr/>
      </w:r>
    </w:p>
    <w:p w14:paraId="2520CDE7" w14:textId="77777777" w:rsidR="001173BD" w:rsidRDefault="001173BD" w:rsidP="001173BD"/>
    <w:p w14:paraId="595E96F1" w14:textId="486F1A84" w:rsidR="00EA6874" w:rsidRDefault="00EA6874" w:rsidP="00AD3534">
      <w:pPr>
        <w:pStyle w:val="ParaTab1"/>
        <w:tabs>
          <w:tab w:val="clear" w:pos="-720"/>
          <w:tab w:val="left" w:pos="720"/>
          <w:tab w:val="left" w:pos="5040"/>
        </w:tabs>
        <w:ind w:firstLine="0"/>
      </w:pPr>
    </w:p>
    <w:sectPr w:rsidR="00EA6874" w:rsidSect="00D82DD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03030" w14:textId="77777777" w:rsidR="00DF1162" w:rsidRDefault="00DF1162">
      <w:r>
        <w:separator/>
      </w:r>
    </w:p>
  </w:endnote>
  <w:endnote w:type="continuationSeparator" w:id="0">
    <w:p w14:paraId="00B6D1C6"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F637" w14:textId="029594D8" w:rsidR="001173BD" w:rsidRPr="001173BD" w:rsidRDefault="001173BD" w:rsidP="00117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78E41" w14:textId="77777777" w:rsidR="00DF1162" w:rsidRDefault="00DF1162">
      <w:r>
        <w:separator/>
      </w:r>
    </w:p>
  </w:footnote>
  <w:footnote w:type="continuationSeparator" w:id="0">
    <w:p w14:paraId="44663EFE" w14:textId="77777777" w:rsidR="00DF1162" w:rsidRDefault="00DF1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DB5101D"/>
    <w:multiLevelType w:val="hybridMultilevel"/>
    <w:tmpl w:val="563CB7BA"/>
    <w:lvl w:ilvl="0" w:tplc="6EE25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404"/>
    <w:multiLevelType w:val="hybridMultilevel"/>
    <w:tmpl w:val="656C63E4"/>
    <w:lvl w:ilvl="0" w:tplc="DE502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24161"/>
    <w:multiLevelType w:val="hybridMultilevel"/>
    <w:tmpl w:val="4F8C394E"/>
    <w:lvl w:ilvl="0" w:tplc="6982F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30E8A"/>
    <w:multiLevelType w:val="multilevel"/>
    <w:tmpl w:val="EA7C578A"/>
    <w:name w:val="General Numbering (1)222222"/>
    <w:lvl w:ilvl="0">
      <w:start w:val="1"/>
      <w:numFmt w:val="decimal"/>
      <w:lvlText w:val="PPL to Complainant-I-%1"/>
      <w:lvlJc w:val="left"/>
      <w:pPr>
        <w:tabs>
          <w:tab w:val="num" w:pos="1890"/>
        </w:tabs>
        <w:ind w:left="1890" w:hanging="720"/>
      </w:pPr>
      <w:rPr>
        <w:rFonts w:ascii="Times New Roman" w:hAnsi="Times New Roman" w:cs="Times New Roman" w:hint="default"/>
        <w:b w:val="0"/>
        <w:caps w:val="0"/>
        <w:color w:val="010000"/>
        <w:sz w:val="24"/>
        <w:u w:val="none"/>
      </w:rPr>
    </w:lvl>
    <w:lvl w:ilvl="1">
      <w:start w:val="1"/>
      <w:numFmt w:val="none"/>
      <w:lvlText w:val=""/>
      <w:lvlJc w:val="left"/>
      <w:pPr>
        <w:tabs>
          <w:tab w:val="num" w:pos="2610"/>
        </w:tabs>
        <w:ind w:left="2610" w:hanging="720"/>
      </w:pPr>
      <w:rPr>
        <w:rFonts w:ascii="Times New Roman" w:hAnsi="Times New Roman" w:cs="Times New Roman" w:hint="default"/>
        <w:b w:val="0"/>
        <w:caps w:val="0"/>
        <w:color w:val="010000"/>
        <w:sz w:val="24"/>
        <w:u w:val="none"/>
      </w:rPr>
    </w:lvl>
    <w:lvl w:ilvl="2">
      <w:start w:val="1"/>
      <w:numFmt w:val="lowerLetter"/>
      <w:lvlText w:val="(%3)"/>
      <w:lvlJc w:val="left"/>
      <w:pPr>
        <w:tabs>
          <w:tab w:val="num" w:pos="3330"/>
        </w:tabs>
        <w:ind w:left="3330" w:hanging="720"/>
      </w:pPr>
      <w:rPr>
        <w:rFonts w:ascii="Times New Roman" w:hAnsi="Times New Roman" w:cs="Times New Roman" w:hint="default"/>
        <w:b w:val="0"/>
        <w:caps w:val="0"/>
        <w:color w:val="010000"/>
        <w:sz w:val="24"/>
        <w:u w:val="none"/>
      </w:rPr>
    </w:lvl>
    <w:lvl w:ilvl="3">
      <w:start w:val="1"/>
      <w:numFmt w:val="decimal"/>
      <w:lvlText w:val="(%4)"/>
      <w:lvlJc w:val="left"/>
      <w:pPr>
        <w:tabs>
          <w:tab w:val="num" w:pos="4050"/>
        </w:tabs>
        <w:ind w:left="4050" w:hanging="720"/>
      </w:pPr>
      <w:rPr>
        <w:rFonts w:ascii="Times New Roman" w:hAnsi="Times New Roman" w:cs="Times New Roman" w:hint="default"/>
        <w:b w:val="0"/>
        <w:caps w:val="0"/>
        <w:color w:val="010000"/>
        <w:sz w:val="24"/>
        <w:u w:val="none"/>
      </w:rPr>
    </w:lvl>
    <w:lvl w:ilvl="4">
      <w:start w:val="1"/>
      <w:numFmt w:val="lowerLetter"/>
      <w:lvlText w:val="%5."/>
      <w:lvlJc w:val="left"/>
      <w:pPr>
        <w:tabs>
          <w:tab w:val="num" w:pos="4770"/>
        </w:tabs>
        <w:ind w:left="4770" w:hanging="720"/>
      </w:pPr>
      <w:rPr>
        <w:rFonts w:ascii="Times New Roman" w:hAnsi="Times New Roman" w:cs="Times New Roman" w:hint="default"/>
        <w:b w:val="0"/>
        <w:caps w:val="0"/>
        <w:color w:val="010000"/>
        <w:sz w:val="24"/>
        <w:u w:val="none"/>
      </w:rPr>
    </w:lvl>
    <w:lvl w:ilvl="5">
      <w:start w:val="1"/>
      <w:numFmt w:val="lowerRoman"/>
      <w:lvlText w:val="%6."/>
      <w:lvlJc w:val="left"/>
      <w:pPr>
        <w:tabs>
          <w:tab w:val="num" w:pos="5490"/>
        </w:tabs>
        <w:ind w:left="5490" w:hanging="720"/>
      </w:pPr>
      <w:rPr>
        <w:rFonts w:ascii="Times New Roman" w:hAnsi="Times New Roman" w:cs="Times New Roman" w:hint="default"/>
        <w:b w:val="0"/>
        <w:caps w:val="0"/>
        <w:color w:val="010000"/>
        <w:sz w:val="24"/>
        <w:u w:val="none"/>
      </w:rPr>
    </w:lvl>
    <w:lvl w:ilvl="6">
      <w:start w:val="1"/>
      <w:numFmt w:val="decimal"/>
      <w:lvlText w:val="%7)"/>
      <w:lvlJc w:val="left"/>
      <w:pPr>
        <w:tabs>
          <w:tab w:val="num" w:pos="6210"/>
        </w:tabs>
        <w:ind w:left="6210" w:hanging="720"/>
      </w:pPr>
      <w:rPr>
        <w:rFonts w:ascii="Times New Roman" w:hAnsi="Times New Roman" w:cs="Times New Roman" w:hint="default"/>
        <w:b w:val="0"/>
        <w:caps w:val="0"/>
        <w:color w:val="010000"/>
        <w:sz w:val="24"/>
        <w:u w:val="none"/>
      </w:rPr>
    </w:lvl>
    <w:lvl w:ilvl="7">
      <w:start w:val="1"/>
      <w:numFmt w:val="lowerLetter"/>
      <w:lvlText w:val="%8)"/>
      <w:lvlJc w:val="left"/>
      <w:pPr>
        <w:tabs>
          <w:tab w:val="num" w:pos="6930"/>
        </w:tabs>
        <w:ind w:left="6930" w:hanging="720"/>
      </w:pPr>
      <w:rPr>
        <w:rFonts w:ascii="Times New Roman" w:hAnsi="Times New Roman" w:cs="Times New Roman" w:hint="default"/>
        <w:b w:val="0"/>
        <w:caps w:val="0"/>
        <w:color w:val="010000"/>
        <w:sz w:val="24"/>
        <w:u w:val="none"/>
      </w:rPr>
    </w:lvl>
    <w:lvl w:ilvl="8">
      <w:start w:val="1"/>
      <w:numFmt w:val="lowerRoman"/>
      <w:lvlText w:val="%9)"/>
      <w:lvlJc w:val="left"/>
      <w:pPr>
        <w:tabs>
          <w:tab w:val="num" w:pos="7650"/>
        </w:tabs>
        <w:ind w:left="7650" w:hanging="720"/>
      </w:pPr>
      <w:rPr>
        <w:rFonts w:ascii="Times New Roman" w:hAnsi="Times New Roman" w:cs="Times New Roman" w:hint="default"/>
        <w:b w:val="0"/>
        <w:caps w:val="0"/>
        <w:color w:val="010000"/>
        <w:sz w:val="24"/>
        <w:u w:val="none"/>
      </w:rPr>
    </w:lvl>
  </w:abstractNum>
  <w:abstractNum w:abstractNumId="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8080D01"/>
    <w:multiLevelType w:val="hybridMultilevel"/>
    <w:tmpl w:val="50AE9E86"/>
    <w:lvl w:ilvl="0" w:tplc="06C2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7"/>
  </w:num>
  <w:num w:numId="3">
    <w:abstractNumId w:val="0"/>
    <w:lvlOverride w:ilvl="0">
      <w:startOverride w:val="1"/>
    </w:lvlOverride>
  </w:num>
  <w:num w:numId="4">
    <w:abstractNumId w:val="3"/>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07B5B"/>
    <w:rsid w:val="000417EA"/>
    <w:rsid w:val="000460FA"/>
    <w:rsid w:val="000715C5"/>
    <w:rsid w:val="00085B6B"/>
    <w:rsid w:val="00086B76"/>
    <w:rsid w:val="0009055F"/>
    <w:rsid w:val="000A55C9"/>
    <w:rsid w:val="000C4359"/>
    <w:rsid w:val="000C49BB"/>
    <w:rsid w:val="000E28AD"/>
    <w:rsid w:val="000F41F3"/>
    <w:rsid w:val="000F54DC"/>
    <w:rsid w:val="0010094A"/>
    <w:rsid w:val="00113EB5"/>
    <w:rsid w:val="001152AF"/>
    <w:rsid w:val="001173BD"/>
    <w:rsid w:val="001423CE"/>
    <w:rsid w:val="00167D1B"/>
    <w:rsid w:val="00172B9D"/>
    <w:rsid w:val="00184DF9"/>
    <w:rsid w:val="00195558"/>
    <w:rsid w:val="001959CA"/>
    <w:rsid w:val="001A41E7"/>
    <w:rsid w:val="001A7BA3"/>
    <w:rsid w:val="001B4FCE"/>
    <w:rsid w:val="001C2DB7"/>
    <w:rsid w:val="001E2F65"/>
    <w:rsid w:val="001F792D"/>
    <w:rsid w:val="00206602"/>
    <w:rsid w:val="002156D5"/>
    <w:rsid w:val="00232122"/>
    <w:rsid w:val="00237146"/>
    <w:rsid w:val="002428F7"/>
    <w:rsid w:val="00243313"/>
    <w:rsid w:val="00270F60"/>
    <w:rsid w:val="00271BDF"/>
    <w:rsid w:val="002805DB"/>
    <w:rsid w:val="002C2B77"/>
    <w:rsid w:val="002C4656"/>
    <w:rsid w:val="002D683F"/>
    <w:rsid w:val="002D7E51"/>
    <w:rsid w:val="002E0A2C"/>
    <w:rsid w:val="002F58AB"/>
    <w:rsid w:val="00307597"/>
    <w:rsid w:val="003260C5"/>
    <w:rsid w:val="00330BBB"/>
    <w:rsid w:val="00332778"/>
    <w:rsid w:val="0035126D"/>
    <w:rsid w:val="003556DE"/>
    <w:rsid w:val="00364C43"/>
    <w:rsid w:val="00365405"/>
    <w:rsid w:val="003717C9"/>
    <w:rsid w:val="0037613E"/>
    <w:rsid w:val="00376E58"/>
    <w:rsid w:val="003838AC"/>
    <w:rsid w:val="00386509"/>
    <w:rsid w:val="00394324"/>
    <w:rsid w:val="00395877"/>
    <w:rsid w:val="003A5C7F"/>
    <w:rsid w:val="003B0971"/>
    <w:rsid w:val="003B4706"/>
    <w:rsid w:val="003D20EA"/>
    <w:rsid w:val="003D79EA"/>
    <w:rsid w:val="003E620C"/>
    <w:rsid w:val="003F29AA"/>
    <w:rsid w:val="003F7536"/>
    <w:rsid w:val="00401429"/>
    <w:rsid w:val="00422D50"/>
    <w:rsid w:val="004374B7"/>
    <w:rsid w:val="00440721"/>
    <w:rsid w:val="00444E14"/>
    <w:rsid w:val="00447866"/>
    <w:rsid w:val="00470589"/>
    <w:rsid w:val="00471FC8"/>
    <w:rsid w:val="00486694"/>
    <w:rsid w:val="004C5E5E"/>
    <w:rsid w:val="004E30A3"/>
    <w:rsid w:val="004E53C3"/>
    <w:rsid w:val="0050118C"/>
    <w:rsid w:val="00510389"/>
    <w:rsid w:val="00521DFF"/>
    <w:rsid w:val="00531E92"/>
    <w:rsid w:val="00553258"/>
    <w:rsid w:val="0056543D"/>
    <w:rsid w:val="00577E30"/>
    <w:rsid w:val="00595D44"/>
    <w:rsid w:val="005B5A9F"/>
    <w:rsid w:val="005E20B0"/>
    <w:rsid w:val="005E23C0"/>
    <w:rsid w:val="005F6897"/>
    <w:rsid w:val="005F6E76"/>
    <w:rsid w:val="005F709C"/>
    <w:rsid w:val="00604D39"/>
    <w:rsid w:val="0061092C"/>
    <w:rsid w:val="0061426A"/>
    <w:rsid w:val="00621FDA"/>
    <w:rsid w:val="00622B6E"/>
    <w:rsid w:val="00650763"/>
    <w:rsid w:val="00656151"/>
    <w:rsid w:val="00667D22"/>
    <w:rsid w:val="00672017"/>
    <w:rsid w:val="0069215C"/>
    <w:rsid w:val="00694EFB"/>
    <w:rsid w:val="006967C1"/>
    <w:rsid w:val="006A01CB"/>
    <w:rsid w:val="006B4599"/>
    <w:rsid w:val="006C1F07"/>
    <w:rsid w:val="006C7456"/>
    <w:rsid w:val="006D1F03"/>
    <w:rsid w:val="007168E2"/>
    <w:rsid w:val="00731CFE"/>
    <w:rsid w:val="00741E64"/>
    <w:rsid w:val="007511E3"/>
    <w:rsid w:val="00765206"/>
    <w:rsid w:val="00775EA1"/>
    <w:rsid w:val="00781091"/>
    <w:rsid w:val="00781E24"/>
    <w:rsid w:val="007878CE"/>
    <w:rsid w:val="007D372B"/>
    <w:rsid w:val="007F369F"/>
    <w:rsid w:val="00804C2C"/>
    <w:rsid w:val="00811F9D"/>
    <w:rsid w:val="0083250A"/>
    <w:rsid w:val="00846B14"/>
    <w:rsid w:val="00861F9F"/>
    <w:rsid w:val="00871B80"/>
    <w:rsid w:val="008768E1"/>
    <w:rsid w:val="00876F9A"/>
    <w:rsid w:val="008975FD"/>
    <w:rsid w:val="008C551A"/>
    <w:rsid w:val="008C633A"/>
    <w:rsid w:val="008D0ECB"/>
    <w:rsid w:val="008D5417"/>
    <w:rsid w:val="008E29A2"/>
    <w:rsid w:val="008E4A35"/>
    <w:rsid w:val="008E71F1"/>
    <w:rsid w:val="009134FD"/>
    <w:rsid w:val="00940F1B"/>
    <w:rsid w:val="009473ED"/>
    <w:rsid w:val="00951F59"/>
    <w:rsid w:val="00954CB9"/>
    <w:rsid w:val="00964B71"/>
    <w:rsid w:val="009851EE"/>
    <w:rsid w:val="009B39EE"/>
    <w:rsid w:val="009B4499"/>
    <w:rsid w:val="009C1AEE"/>
    <w:rsid w:val="009D20E0"/>
    <w:rsid w:val="009E6606"/>
    <w:rsid w:val="00A0190E"/>
    <w:rsid w:val="00A11CBB"/>
    <w:rsid w:val="00A24539"/>
    <w:rsid w:val="00A33BFB"/>
    <w:rsid w:val="00A40672"/>
    <w:rsid w:val="00A42D79"/>
    <w:rsid w:val="00A552CC"/>
    <w:rsid w:val="00A57F7A"/>
    <w:rsid w:val="00A66F14"/>
    <w:rsid w:val="00A85319"/>
    <w:rsid w:val="00AA56E5"/>
    <w:rsid w:val="00AA753A"/>
    <w:rsid w:val="00AB009E"/>
    <w:rsid w:val="00AB18FE"/>
    <w:rsid w:val="00AC545F"/>
    <w:rsid w:val="00AD0B64"/>
    <w:rsid w:val="00AD3534"/>
    <w:rsid w:val="00AF336B"/>
    <w:rsid w:val="00AF403A"/>
    <w:rsid w:val="00B05651"/>
    <w:rsid w:val="00B1371E"/>
    <w:rsid w:val="00B13A1D"/>
    <w:rsid w:val="00B45653"/>
    <w:rsid w:val="00B54183"/>
    <w:rsid w:val="00B72CAE"/>
    <w:rsid w:val="00B816DD"/>
    <w:rsid w:val="00BA167A"/>
    <w:rsid w:val="00BC31FF"/>
    <w:rsid w:val="00BC4C44"/>
    <w:rsid w:val="00BD0120"/>
    <w:rsid w:val="00BD3BD1"/>
    <w:rsid w:val="00BD6AF3"/>
    <w:rsid w:val="00BE3426"/>
    <w:rsid w:val="00BE3D2B"/>
    <w:rsid w:val="00BF2D17"/>
    <w:rsid w:val="00C03ECF"/>
    <w:rsid w:val="00C0456D"/>
    <w:rsid w:val="00C06987"/>
    <w:rsid w:val="00C53692"/>
    <w:rsid w:val="00C56519"/>
    <w:rsid w:val="00C63855"/>
    <w:rsid w:val="00C9263E"/>
    <w:rsid w:val="00C92E57"/>
    <w:rsid w:val="00CB0A65"/>
    <w:rsid w:val="00CB1779"/>
    <w:rsid w:val="00CB5D5D"/>
    <w:rsid w:val="00CC1B61"/>
    <w:rsid w:val="00CC6709"/>
    <w:rsid w:val="00CD5D97"/>
    <w:rsid w:val="00CF4665"/>
    <w:rsid w:val="00CF6544"/>
    <w:rsid w:val="00D05749"/>
    <w:rsid w:val="00D14E3B"/>
    <w:rsid w:val="00D17940"/>
    <w:rsid w:val="00D20483"/>
    <w:rsid w:val="00D43921"/>
    <w:rsid w:val="00D50E27"/>
    <w:rsid w:val="00D51240"/>
    <w:rsid w:val="00D51FB1"/>
    <w:rsid w:val="00D71902"/>
    <w:rsid w:val="00D80948"/>
    <w:rsid w:val="00D81ED0"/>
    <w:rsid w:val="00D9382C"/>
    <w:rsid w:val="00D93E90"/>
    <w:rsid w:val="00D972A6"/>
    <w:rsid w:val="00DA55B9"/>
    <w:rsid w:val="00DB5142"/>
    <w:rsid w:val="00DB5537"/>
    <w:rsid w:val="00DC4972"/>
    <w:rsid w:val="00DD1E0F"/>
    <w:rsid w:val="00DF1162"/>
    <w:rsid w:val="00E04224"/>
    <w:rsid w:val="00E071A9"/>
    <w:rsid w:val="00E17655"/>
    <w:rsid w:val="00E36D62"/>
    <w:rsid w:val="00E37FE2"/>
    <w:rsid w:val="00E4396F"/>
    <w:rsid w:val="00E508E2"/>
    <w:rsid w:val="00E54D17"/>
    <w:rsid w:val="00E56E49"/>
    <w:rsid w:val="00E71258"/>
    <w:rsid w:val="00E8011E"/>
    <w:rsid w:val="00E80F78"/>
    <w:rsid w:val="00E8207F"/>
    <w:rsid w:val="00EA0A14"/>
    <w:rsid w:val="00EA4CCC"/>
    <w:rsid w:val="00EA5419"/>
    <w:rsid w:val="00EA6874"/>
    <w:rsid w:val="00EF66ED"/>
    <w:rsid w:val="00F227FB"/>
    <w:rsid w:val="00F22A54"/>
    <w:rsid w:val="00F408AA"/>
    <w:rsid w:val="00F46D30"/>
    <w:rsid w:val="00F57782"/>
    <w:rsid w:val="00F62BEC"/>
    <w:rsid w:val="00F93F0D"/>
    <w:rsid w:val="00FA153F"/>
    <w:rsid w:val="00FA5A31"/>
    <w:rsid w:val="00FB31E1"/>
    <w:rsid w:val="00FB69C0"/>
    <w:rsid w:val="00FD06FE"/>
    <w:rsid w:val="00FD1F3A"/>
    <w:rsid w:val="00FE0D5C"/>
    <w:rsid w:val="00FE2C24"/>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paragraph" w:styleId="Heading1">
    <w:name w:val="heading 1"/>
    <w:basedOn w:val="Normal"/>
    <w:next w:val="BodyText"/>
    <w:link w:val="Heading1Char"/>
    <w:uiPriority w:val="2"/>
    <w:qFormat/>
    <w:rsid w:val="005F709C"/>
    <w:pPr>
      <w:keepNext/>
      <w:autoSpaceDE/>
      <w:autoSpaceDN/>
      <w:spacing w:after="240"/>
      <w:outlineLvl w:val="0"/>
    </w:pPr>
    <w:rPr>
      <w:rFonts w:ascii="Times New Roman" w:hAnsi="Times New Roman" w:cs="Arial"/>
      <w:b/>
      <w:bCs/>
      <w:kern w:val="32"/>
      <w:szCs w:val="32"/>
    </w:rPr>
  </w:style>
  <w:style w:type="paragraph" w:styleId="Heading2">
    <w:name w:val="heading 2"/>
    <w:basedOn w:val="Normal"/>
    <w:next w:val="BodyText"/>
    <w:link w:val="Heading2Char"/>
    <w:uiPriority w:val="2"/>
    <w:qFormat/>
    <w:rsid w:val="005F709C"/>
    <w:pPr>
      <w:keepNext/>
      <w:autoSpaceDE/>
      <w:autoSpaceDN/>
      <w:spacing w:after="240"/>
      <w:outlineLvl w:val="1"/>
    </w:pPr>
    <w:rPr>
      <w:rFonts w:ascii="Times New Roman" w:hAnsi="Times New Roman" w:cs="Arial"/>
      <w:b/>
      <w:bCs/>
      <w:iCs/>
      <w:szCs w:val="28"/>
    </w:rPr>
  </w:style>
  <w:style w:type="paragraph" w:styleId="Heading3">
    <w:name w:val="heading 3"/>
    <w:basedOn w:val="Normal"/>
    <w:next w:val="BodyText"/>
    <w:link w:val="Heading3Char"/>
    <w:uiPriority w:val="2"/>
    <w:unhideWhenUsed/>
    <w:qFormat/>
    <w:rsid w:val="005F709C"/>
    <w:pPr>
      <w:autoSpaceDE/>
      <w:autoSpaceDN/>
      <w:spacing w:after="240"/>
      <w:outlineLvl w:val="2"/>
    </w:pPr>
    <w:rPr>
      <w:rFonts w:ascii="Times New Roman" w:hAnsi="Times New Roman"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paragraph" w:customStyle="1" w:styleId="Style">
    <w:name w:val="Style"/>
    <w:rsid w:val="00553258"/>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2">
    <w:name w:val="Body Text 2"/>
    <w:basedOn w:val="Normal"/>
    <w:link w:val="BodyText2Char"/>
    <w:rsid w:val="006109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61092C"/>
    <w:rPr>
      <w:rFonts w:ascii="Times New Roman" w:eastAsia="Times New Roman" w:hAnsi="Times New Roman" w:cs="Times New Roman"/>
      <w:sz w:val="20"/>
      <w:szCs w:val="20"/>
    </w:rPr>
  </w:style>
  <w:style w:type="paragraph" w:styleId="ListNumber">
    <w:name w:val="List Number"/>
    <w:basedOn w:val="Normal"/>
    <w:qFormat/>
    <w:rsid w:val="0061092C"/>
    <w:pPr>
      <w:numPr>
        <w:numId w:val="3"/>
      </w:numPr>
      <w:tabs>
        <w:tab w:val="clear" w:pos="1440"/>
        <w:tab w:val="num" w:pos="360"/>
      </w:tabs>
      <w:autoSpaceDE/>
      <w:autoSpaceDN/>
      <w:spacing w:after="240"/>
      <w:ind w:left="0" w:firstLine="0"/>
      <w:jc w:val="both"/>
    </w:pPr>
    <w:rPr>
      <w:rFonts w:ascii="Times New Roman" w:hAnsi="Times New Roman" w:cs="Times New Roman"/>
    </w:rPr>
  </w:style>
  <w:style w:type="paragraph" w:styleId="BalloonText">
    <w:name w:val="Balloon Text"/>
    <w:basedOn w:val="Normal"/>
    <w:link w:val="BalloonTextChar"/>
    <w:uiPriority w:val="99"/>
    <w:semiHidden/>
    <w:unhideWhenUsed/>
    <w:rsid w:val="00AF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3A"/>
    <w:rPr>
      <w:rFonts w:ascii="Segoe UI" w:eastAsia="Times New Roman" w:hAnsi="Segoe UI" w:cs="Segoe UI"/>
      <w:sz w:val="18"/>
      <w:szCs w:val="18"/>
    </w:rPr>
  </w:style>
  <w:style w:type="paragraph" w:styleId="BodyText">
    <w:name w:val="Body Text"/>
    <w:basedOn w:val="Normal"/>
    <w:link w:val="BodyTextChar"/>
    <w:uiPriority w:val="99"/>
    <w:semiHidden/>
    <w:unhideWhenUsed/>
    <w:rsid w:val="005F709C"/>
    <w:pPr>
      <w:spacing w:after="120"/>
    </w:pPr>
  </w:style>
  <w:style w:type="character" w:customStyle="1" w:styleId="BodyTextChar">
    <w:name w:val="Body Text Char"/>
    <w:basedOn w:val="DefaultParagraphFont"/>
    <w:link w:val="BodyText"/>
    <w:uiPriority w:val="99"/>
    <w:semiHidden/>
    <w:rsid w:val="005F709C"/>
    <w:rPr>
      <w:rFonts w:ascii="CG Times" w:eastAsia="Times New Roman" w:hAnsi="CG Times" w:cs="CG Times"/>
      <w:sz w:val="24"/>
      <w:szCs w:val="24"/>
    </w:rPr>
  </w:style>
  <w:style w:type="character" w:customStyle="1" w:styleId="Heading1Char">
    <w:name w:val="Heading 1 Char"/>
    <w:basedOn w:val="DefaultParagraphFont"/>
    <w:link w:val="Heading1"/>
    <w:uiPriority w:val="2"/>
    <w:rsid w:val="005F709C"/>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2"/>
    <w:rsid w:val="005F709C"/>
    <w:rPr>
      <w:rFonts w:ascii="Times New Roman" w:eastAsia="Times New Roman" w:hAnsi="Times New Roman" w:cs="Arial"/>
      <w:b/>
      <w:bCs/>
      <w:iCs/>
      <w:sz w:val="24"/>
      <w:szCs w:val="28"/>
    </w:rPr>
  </w:style>
  <w:style w:type="character" w:customStyle="1" w:styleId="Heading3Char">
    <w:name w:val="Heading 3 Char"/>
    <w:basedOn w:val="DefaultParagraphFont"/>
    <w:link w:val="Heading3"/>
    <w:uiPriority w:val="2"/>
    <w:rsid w:val="005F709C"/>
    <w:rPr>
      <w:rFonts w:ascii="Times New Roman" w:eastAsia="Times New Roman" w:hAnsi="Times New Roman" w:cs="Arial"/>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FD22F-DDE9-4B19-95DF-AD23C5B6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2019-09-27T14:59:00Z</cp:lastPrinted>
  <dcterms:created xsi:type="dcterms:W3CDTF">2019-09-27T14:59:00Z</dcterms:created>
  <dcterms:modified xsi:type="dcterms:W3CDTF">2019-09-27T14:59:00Z</dcterms:modified>
</cp:coreProperties>
</file>