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DF68F" w14:textId="77777777" w:rsidR="00B4613A" w:rsidRPr="002A5D4B" w:rsidRDefault="00B4613A" w:rsidP="00DE0BD2">
      <w:pPr>
        <w:spacing w:line="240" w:lineRule="auto"/>
        <w:ind w:firstLine="0"/>
        <w:rPr>
          <w:b/>
          <w:sz w:val="26"/>
          <w:szCs w:val="26"/>
        </w:rPr>
      </w:pPr>
      <w:r w:rsidRPr="002A5D4B">
        <w:rPr>
          <w:b/>
          <w:sz w:val="26"/>
          <w:szCs w:val="26"/>
        </w:rPr>
        <w:t>PENNSYLVANIA</w:t>
      </w:r>
    </w:p>
    <w:p w14:paraId="3E88C110" w14:textId="77777777" w:rsidR="00B4613A" w:rsidRPr="002A5D4B" w:rsidRDefault="00B4613A" w:rsidP="00DE0BD2">
      <w:pPr>
        <w:spacing w:line="240" w:lineRule="auto"/>
        <w:ind w:firstLine="0"/>
        <w:rPr>
          <w:b/>
          <w:sz w:val="26"/>
          <w:szCs w:val="26"/>
        </w:rPr>
      </w:pPr>
      <w:r w:rsidRPr="002A5D4B">
        <w:rPr>
          <w:b/>
          <w:sz w:val="26"/>
          <w:szCs w:val="26"/>
        </w:rPr>
        <w:t>PUBLIC UTILITY COMMISSION</w:t>
      </w:r>
    </w:p>
    <w:p w14:paraId="1F6358FB" w14:textId="77777777" w:rsidR="00B4613A" w:rsidRDefault="00B4613A" w:rsidP="00DE0BD2">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14:paraId="41596AAD" w14:textId="77777777" w:rsidR="00B4613A" w:rsidRDefault="00B4613A" w:rsidP="00172152">
      <w:pPr>
        <w:spacing w:line="240" w:lineRule="auto"/>
        <w:ind w:firstLine="0"/>
        <w:jc w:val="left"/>
        <w:rPr>
          <w:sz w:val="26"/>
          <w:szCs w:val="26"/>
        </w:rPr>
      </w:pPr>
    </w:p>
    <w:p w14:paraId="1E5E525B" w14:textId="77777777" w:rsidR="00B4613A" w:rsidRPr="002A5D4B" w:rsidRDefault="00B4613A" w:rsidP="00172152">
      <w:pPr>
        <w:spacing w:line="240" w:lineRule="auto"/>
        <w:ind w:firstLine="0"/>
        <w:jc w:val="right"/>
        <w:rPr>
          <w:sz w:val="26"/>
          <w:szCs w:val="26"/>
        </w:rPr>
      </w:pPr>
      <w:r>
        <w:rPr>
          <w:sz w:val="26"/>
          <w:szCs w:val="26"/>
        </w:rPr>
        <w:t>P</w:t>
      </w:r>
      <w:r w:rsidRPr="002A5D4B">
        <w:rPr>
          <w:sz w:val="26"/>
          <w:szCs w:val="26"/>
        </w:rPr>
        <w:t xml:space="preserve">ublic Meeting held </w:t>
      </w:r>
      <w:r w:rsidR="009C10CB">
        <w:rPr>
          <w:sz w:val="26"/>
          <w:szCs w:val="26"/>
        </w:rPr>
        <w:t>October 3</w:t>
      </w:r>
      <w:r>
        <w:rPr>
          <w:sz w:val="26"/>
          <w:szCs w:val="26"/>
        </w:rPr>
        <w:t>,</w:t>
      </w:r>
      <w:r w:rsidRPr="00B01CA9">
        <w:rPr>
          <w:kern w:val="1"/>
          <w:sz w:val="26"/>
          <w:szCs w:val="26"/>
        </w:rPr>
        <w:t xml:space="preserve"> 20</w:t>
      </w:r>
      <w:r>
        <w:rPr>
          <w:kern w:val="1"/>
          <w:sz w:val="26"/>
          <w:szCs w:val="26"/>
        </w:rPr>
        <w:t>1</w:t>
      </w:r>
      <w:r w:rsidR="009F3F31">
        <w:rPr>
          <w:kern w:val="1"/>
          <w:sz w:val="26"/>
          <w:szCs w:val="26"/>
        </w:rPr>
        <w:t>9</w:t>
      </w:r>
    </w:p>
    <w:p w14:paraId="238A28EE" w14:textId="77777777" w:rsidR="00172152" w:rsidRPr="002A5D4B" w:rsidRDefault="00172152" w:rsidP="00172152">
      <w:pPr>
        <w:spacing w:line="240" w:lineRule="auto"/>
        <w:ind w:firstLine="0"/>
        <w:jc w:val="left"/>
        <w:rPr>
          <w:sz w:val="26"/>
          <w:szCs w:val="26"/>
        </w:rPr>
      </w:pPr>
    </w:p>
    <w:p w14:paraId="0650EAF6" w14:textId="77777777" w:rsidR="00B4613A" w:rsidRPr="002A5D4B" w:rsidRDefault="00B4613A" w:rsidP="00172152">
      <w:pPr>
        <w:spacing w:line="240" w:lineRule="auto"/>
        <w:ind w:firstLine="0"/>
        <w:jc w:val="left"/>
        <w:rPr>
          <w:sz w:val="26"/>
          <w:szCs w:val="26"/>
        </w:rPr>
      </w:pPr>
      <w:r w:rsidRPr="002A5D4B">
        <w:rPr>
          <w:sz w:val="26"/>
          <w:szCs w:val="26"/>
        </w:rPr>
        <w:t>Commissioners Present:</w:t>
      </w:r>
    </w:p>
    <w:p w14:paraId="69529131" w14:textId="77777777" w:rsidR="00B4613A" w:rsidRPr="002A5D4B" w:rsidRDefault="00B4613A" w:rsidP="00172152">
      <w:pPr>
        <w:spacing w:line="240" w:lineRule="auto"/>
        <w:ind w:firstLine="0"/>
        <w:jc w:val="left"/>
        <w:rPr>
          <w:sz w:val="26"/>
          <w:szCs w:val="26"/>
        </w:rPr>
      </w:pPr>
    </w:p>
    <w:p w14:paraId="1F98FCFD" w14:textId="77777777" w:rsidR="00B4613A" w:rsidRPr="002A5D4B" w:rsidRDefault="00B4613A" w:rsidP="00172152">
      <w:pPr>
        <w:spacing w:line="240" w:lineRule="auto"/>
        <w:jc w:val="left"/>
        <w:rPr>
          <w:sz w:val="26"/>
          <w:szCs w:val="26"/>
        </w:rPr>
      </w:pPr>
      <w:r>
        <w:rPr>
          <w:sz w:val="26"/>
          <w:szCs w:val="26"/>
        </w:rPr>
        <w:t>Gladys Brown</w:t>
      </w:r>
      <w:r w:rsidR="002D7A7B">
        <w:rPr>
          <w:sz w:val="26"/>
          <w:szCs w:val="26"/>
        </w:rPr>
        <w:t xml:space="preserve"> Dutrieuille</w:t>
      </w:r>
      <w:r w:rsidRPr="002A5D4B">
        <w:rPr>
          <w:sz w:val="26"/>
          <w:szCs w:val="26"/>
        </w:rPr>
        <w:t>, Chairman</w:t>
      </w:r>
    </w:p>
    <w:p w14:paraId="46FBF55C" w14:textId="09C3385D" w:rsidR="00B4613A" w:rsidRDefault="00310ABE" w:rsidP="00172152">
      <w:pPr>
        <w:spacing w:line="240" w:lineRule="auto"/>
        <w:jc w:val="left"/>
        <w:rPr>
          <w:sz w:val="26"/>
          <w:szCs w:val="26"/>
        </w:rPr>
      </w:pPr>
      <w:r>
        <w:rPr>
          <w:sz w:val="26"/>
          <w:szCs w:val="26"/>
        </w:rPr>
        <w:t>David W. Sweet</w:t>
      </w:r>
      <w:r w:rsidR="00B4613A" w:rsidRPr="002A5D4B">
        <w:rPr>
          <w:sz w:val="26"/>
          <w:szCs w:val="26"/>
        </w:rPr>
        <w:t>, Vice Chairman</w:t>
      </w:r>
    </w:p>
    <w:p w14:paraId="4B0096EC" w14:textId="77777777" w:rsidR="00172152" w:rsidRDefault="00310ABE" w:rsidP="00172152">
      <w:pPr>
        <w:spacing w:line="240" w:lineRule="auto"/>
        <w:jc w:val="left"/>
        <w:rPr>
          <w:sz w:val="26"/>
          <w:szCs w:val="26"/>
        </w:rPr>
      </w:pPr>
      <w:r>
        <w:rPr>
          <w:sz w:val="26"/>
          <w:szCs w:val="26"/>
        </w:rPr>
        <w:t>Andrew G. Place</w:t>
      </w:r>
      <w:r w:rsidDel="00310ABE">
        <w:rPr>
          <w:sz w:val="26"/>
          <w:szCs w:val="26"/>
        </w:rPr>
        <w:t xml:space="preserve"> </w:t>
      </w:r>
    </w:p>
    <w:p w14:paraId="70AAC707" w14:textId="77777777" w:rsidR="00B4613A" w:rsidRPr="002A5D4B" w:rsidRDefault="00B4613A" w:rsidP="00172152">
      <w:pPr>
        <w:spacing w:line="240" w:lineRule="auto"/>
        <w:jc w:val="left"/>
        <w:rPr>
          <w:sz w:val="26"/>
          <w:szCs w:val="26"/>
        </w:rPr>
      </w:pPr>
      <w:r>
        <w:rPr>
          <w:sz w:val="26"/>
          <w:szCs w:val="26"/>
        </w:rPr>
        <w:t>John F. Coleman, Jr.</w:t>
      </w:r>
    </w:p>
    <w:p w14:paraId="62A25BF1" w14:textId="77777777" w:rsidR="00B4613A" w:rsidRPr="002A5D4B" w:rsidRDefault="00B4613A" w:rsidP="00172152">
      <w:pPr>
        <w:spacing w:line="240" w:lineRule="auto"/>
        <w:ind w:firstLine="0"/>
        <w:jc w:val="left"/>
        <w:rPr>
          <w:sz w:val="26"/>
          <w:szCs w:val="26"/>
        </w:rPr>
      </w:pPr>
    </w:p>
    <w:p w14:paraId="09AE04E5" w14:textId="77777777" w:rsidR="00172152" w:rsidRDefault="00172152" w:rsidP="00172152">
      <w:pPr>
        <w:tabs>
          <w:tab w:val="left" w:pos="-720"/>
          <w:tab w:val="left" w:pos="0"/>
        </w:tabs>
        <w:suppressAutoHyphens/>
        <w:spacing w:line="240" w:lineRule="auto"/>
        <w:ind w:firstLine="0"/>
        <w:jc w:val="left"/>
        <w:rPr>
          <w:sz w:val="26"/>
          <w:szCs w:val="26"/>
        </w:rPr>
      </w:pPr>
    </w:p>
    <w:p w14:paraId="73FE7E95" w14:textId="7A442D82" w:rsidR="00B4613A" w:rsidRPr="0046154A" w:rsidRDefault="0046154A" w:rsidP="0048763E">
      <w:pPr>
        <w:tabs>
          <w:tab w:val="left" w:pos="-720"/>
          <w:tab w:val="left" w:pos="0"/>
        </w:tabs>
        <w:suppressAutoHyphens/>
        <w:spacing w:line="240" w:lineRule="auto"/>
        <w:ind w:firstLine="0"/>
        <w:jc w:val="left"/>
        <w:rPr>
          <w:sz w:val="26"/>
          <w:szCs w:val="26"/>
        </w:rPr>
      </w:pPr>
      <w:r w:rsidRPr="0046154A">
        <w:rPr>
          <w:sz w:val="26"/>
          <w:szCs w:val="26"/>
        </w:rPr>
        <w:t>Tenika Gray</w:t>
      </w:r>
      <w:r w:rsidR="00BE5880" w:rsidRPr="0046154A">
        <w:rPr>
          <w:sz w:val="26"/>
          <w:szCs w:val="26"/>
        </w:rPr>
        <w:tab/>
      </w:r>
      <w:r w:rsidR="00BE5880" w:rsidRPr="0046154A">
        <w:rPr>
          <w:sz w:val="26"/>
          <w:szCs w:val="26"/>
        </w:rPr>
        <w:tab/>
      </w:r>
      <w:r w:rsidR="00B4613A" w:rsidRPr="0046154A">
        <w:rPr>
          <w:sz w:val="26"/>
          <w:szCs w:val="26"/>
        </w:rPr>
        <w:tab/>
      </w:r>
      <w:r w:rsidR="00F72947" w:rsidRPr="0046154A">
        <w:rPr>
          <w:sz w:val="26"/>
          <w:szCs w:val="26"/>
        </w:rPr>
        <w:tab/>
      </w:r>
      <w:r w:rsidR="005C6800" w:rsidRPr="0046154A">
        <w:rPr>
          <w:sz w:val="26"/>
          <w:szCs w:val="26"/>
        </w:rPr>
        <w:tab/>
      </w:r>
      <w:r w:rsidR="00FB3018" w:rsidRPr="0046154A">
        <w:rPr>
          <w:sz w:val="26"/>
          <w:szCs w:val="26"/>
        </w:rPr>
        <w:tab/>
      </w:r>
      <w:r w:rsidR="00D53428" w:rsidRPr="0046154A">
        <w:rPr>
          <w:sz w:val="26"/>
          <w:szCs w:val="26"/>
        </w:rPr>
        <w:tab/>
      </w:r>
      <w:r w:rsidR="0048763E" w:rsidRPr="0046154A">
        <w:rPr>
          <w:sz w:val="26"/>
          <w:szCs w:val="26"/>
        </w:rPr>
        <w:tab/>
      </w:r>
      <w:r w:rsidR="00172152" w:rsidRPr="0046154A">
        <w:rPr>
          <w:sz w:val="26"/>
          <w:szCs w:val="26"/>
        </w:rPr>
        <w:t xml:space="preserve">   </w:t>
      </w:r>
      <w:r w:rsidR="00F72947" w:rsidRPr="0046154A">
        <w:rPr>
          <w:sz w:val="26"/>
          <w:szCs w:val="26"/>
        </w:rPr>
        <w:t xml:space="preserve">  </w:t>
      </w:r>
      <w:r w:rsidR="008125A5">
        <w:rPr>
          <w:sz w:val="26"/>
          <w:szCs w:val="26"/>
        </w:rPr>
        <w:tab/>
        <w:t xml:space="preserve">     C</w:t>
      </w:r>
      <w:r w:rsidR="00BE5880" w:rsidRPr="0046154A">
        <w:rPr>
          <w:sz w:val="26"/>
          <w:szCs w:val="26"/>
        </w:rPr>
        <w:t>-201</w:t>
      </w:r>
      <w:r w:rsidR="00D53428" w:rsidRPr="0046154A">
        <w:rPr>
          <w:sz w:val="26"/>
          <w:szCs w:val="26"/>
        </w:rPr>
        <w:t>8</w:t>
      </w:r>
      <w:r w:rsidR="00BE5880" w:rsidRPr="0046154A">
        <w:rPr>
          <w:sz w:val="26"/>
          <w:szCs w:val="26"/>
        </w:rPr>
        <w:t>-</w:t>
      </w:r>
      <w:r w:rsidR="00D53428" w:rsidRPr="0046154A">
        <w:rPr>
          <w:sz w:val="26"/>
          <w:szCs w:val="26"/>
        </w:rPr>
        <w:t>300</w:t>
      </w:r>
      <w:r w:rsidR="00956AE6" w:rsidRPr="0046154A">
        <w:rPr>
          <w:sz w:val="26"/>
          <w:szCs w:val="26"/>
        </w:rPr>
        <w:t>5</w:t>
      </w:r>
      <w:r w:rsidRPr="0046154A">
        <w:rPr>
          <w:sz w:val="26"/>
          <w:szCs w:val="26"/>
        </w:rPr>
        <w:t>910</w:t>
      </w:r>
    </w:p>
    <w:p w14:paraId="054B1F95" w14:textId="77777777" w:rsidR="00B4613A" w:rsidRDefault="00B4613A" w:rsidP="00172152">
      <w:pPr>
        <w:tabs>
          <w:tab w:val="left" w:pos="-720"/>
          <w:tab w:val="left" w:pos="0"/>
        </w:tabs>
        <w:suppressAutoHyphens/>
        <w:spacing w:line="240" w:lineRule="auto"/>
        <w:ind w:firstLine="0"/>
        <w:jc w:val="left"/>
        <w:rPr>
          <w:b/>
          <w:sz w:val="26"/>
          <w:szCs w:val="26"/>
        </w:rPr>
      </w:pPr>
    </w:p>
    <w:p w14:paraId="2E073793" w14:textId="77777777" w:rsidR="00B4613A" w:rsidRDefault="00B4613A" w:rsidP="00172152">
      <w:pPr>
        <w:tabs>
          <w:tab w:val="left" w:pos="-720"/>
          <w:tab w:val="left" w:pos="0"/>
        </w:tabs>
        <w:suppressAutoHyphens/>
        <w:spacing w:line="240" w:lineRule="auto"/>
        <w:ind w:firstLine="0"/>
        <w:jc w:val="left"/>
        <w:rPr>
          <w:sz w:val="26"/>
          <w:szCs w:val="26"/>
        </w:rPr>
      </w:pPr>
      <w:r>
        <w:rPr>
          <w:b/>
          <w:sz w:val="26"/>
          <w:szCs w:val="26"/>
        </w:rPr>
        <w:tab/>
      </w:r>
      <w:r w:rsidR="00172152">
        <w:rPr>
          <w:b/>
          <w:sz w:val="26"/>
          <w:szCs w:val="26"/>
        </w:rPr>
        <w:t xml:space="preserve"> </w:t>
      </w:r>
      <w:r>
        <w:rPr>
          <w:b/>
          <w:sz w:val="26"/>
          <w:szCs w:val="26"/>
        </w:rPr>
        <w:t xml:space="preserve">    </w:t>
      </w:r>
      <w:r>
        <w:rPr>
          <w:sz w:val="26"/>
          <w:szCs w:val="26"/>
        </w:rPr>
        <w:t>v.</w:t>
      </w:r>
    </w:p>
    <w:p w14:paraId="65EBCED4" w14:textId="77777777" w:rsidR="00B4613A" w:rsidRDefault="00B4613A" w:rsidP="00172152">
      <w:pPr>
        <w:tabs>
          <w:tab w:val="left" w:pos="-720"/>
          <w:tab w:val="left" w:pos="0"/>
        </w:tabs>
        <w:suppressAutoHyphens/>
        <w:spacing w:line="240" w:lineRule="auto"/>
        <w:ind w:firstLine="0"/>
        <w:jc w:val="left"/>
        <w:rPr>
          <w:sz w:val="26"/>
          <w:szCs w:val="26"/>
        </w:rPr>
      </w:pPr>
    </w:p>
    <w:p w14:paraId="226A7F59" w14:textId="77777777" w:rsidR="00B4613A" w:rsidRDefault="0046154A" w:rsidP="00172152">
      <w:pPr>
        <w:tabs>
          <w:tab w:val="left" w:pos="-720"/>
          <w:tab w:val="left" w:pos="0"/>
        </w:tabs>
        <w:suppressAutoHyphens/>
        <w:spacing w:line="240" w:lineRule="auto"/>
        <w:ind w:firstLine="0"/>
        <w:jc w:val="left"/>
        <w:rPr>
          <w:sz w:val="26"/>
          <w:szCs w:val="26"/>
        </w:rPr>
      </w:pPr>
      <w:r>
        <w:rPr>
          <w:sz w:val="26"/>
          <w:szCs w:val="26"/>
        </w:rPr>
        <w:t>Philadelphia Gas Works</w:t>
      </w:r>
    </w:p>
    <w:p w14:paraId="6AA4351F" w14:textId="77777777" w:rsidR="00B4613A" w:rsidRPr="001E0694" w:rsidRDefault="00B4613A" w:rsidP="00172152">
      <w:pPr>
        <w:tabs>
          <w:tab w:val="left" w:pos="-720"/>
          <w:tab w:val="left" w:pos="0"/>
        </w:tabs>
        <w:suppressAutoHyphens/>
        <w:spacing w:line="240" w:lineRule="auto"/>
        <w:ind w:firstLine="0"/>
        <w:jc w:val="left"/>
        <w:rPr>
          <w:sz w:val="26"/>
          <w:szCs w:val="26"/>
        </w:rPr>
      </w:pPr>
    </w:p>
    <w:p w14:paraId="3896E484" w14:textId="77777777" w:rsidR="00B4613A" w:rsidRDefault="00B4613A" w:rsidP="00172152">
      <w:pPr>
        <w:tabs>
          <w:tab w:val="left" w:pos="-720"/>
        </w:tabs>
        <w:suppressAutoHyphens/>
        <w:spacing w:line="240" w:lineRule="auto"/>
        <w:ind w:firstLine="0"/>
        <w:jc w:val="left"/>
        <w:rPr>
          <w:sz w:val="26"/>
        </w:rPr>
      </w:pPr>
    </w:p>
    <w:p w14:paraId="0FC97845" w14:textId="77777777" w:rsidR="00B4613A" w:rsidRDefault="00B4613A" w:rsidP="00DE0BD2">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14:paraId="3F179A27" w14:textId="77777777" w:rsidR="00B4613A" w:rsidRDefault="00B4613A" w:rsidP="00DE0BD2">
      <w:pPr>
        <w:suppressAutoHyphens/>
        <w:ind w:firstLine="0"/>
        <w:rPr>
          <w:b/>
          <w:sz w:val="26"/>
          <w:szCs w:val="26"/>
        </w:rPr>
      </w:pPr>
    </w:p>
    <w:p w14:paraId="07818EA8" w14:textId="77777777" w:rsidR="00B4613A" w:rsidRDefault="00B4613A" w:rsidP="00DE0BD2">
      <w:pPr>
        <w:tabs>
          <w:tab w:val="left" w:pos="-720"/>
        </w:tabs>
        <w:suppressAutoHyphens/>
        <w:ind w:firstLine="0"/>
        <w:jc w:val="left"/>
        <w:rPr>
          <w:sz w:val="26"/>
        </w:rPr>
      </w:pPr>
      <w:r w:rsidRPr="00624B80">
        <w:rPr>
          <w:b/>
          <w:sz w:val="26"/>
        </w:rPr>
        <w:t>BY THE COMMISSION:</w:t>
      </w:r>
    </w:p>
    <w:p w14:paraId="104A7742" w14:textId="77777777" w:rsidR="00B4613A" w:rsidRDefault="00B4613A" w:rsidP="00DE0BD2">
      <w:pPr>
        <w:ind w:firstLine="0"/>
        <w:jc w:val="left"/>
        <w:rPr>
          <w:sz w:val="26"/>
          <w:szCs w:val="26"/>
        </w:rPr>
      </w:pPr>
    </w:p>
    <w:p w14:paraId="13CDE99C" w14:textId="77777777" w:rsidR="00C8279D" w:rsidRDefault="00D51C18" w:rsidP="000908E4">
      <w:pPr>
        <w:ind w:firstLine="1440"/>
        <w:jc w:val="left"/>
        <w:rPr>
          <w:sz w:val="26"/>
          <w:szCs w:val="26"/>
        </w:rPr>
      </w:pPr>
      <w:r w:rsidRPr="00FD25A0">
        <w:rPr>
          <w:sz w:val="26"/>
          <w:szCs w:val="26"/>
        </w:rPr>
        <w:t>Before the Pennsylvania Public Utility Commission (Commission) for consideration and disposition are the Exceptions filed by</w:t>
      </w:r>
      <w:r w:rsidR="00F65147">
        <w:rPr>
          <w:sz w:val="26"/>
          <w:szCs w:val="26"/>
        </w:rPr>
        <w:t xml:space="preserve"> </w:t>
      </w:r>
      <w:r w:rsidR="0046154A" w:rsidRPr="0046154A">
        <w:rPr>
          <w:sz w:val="26"/>
          <w:szCs w:val="26"/>
        </w:rPr>
        <w:t>Tenika Gray</w:t>
      </w:r>
      <w:r w:rsidR="0046154A" w:rsidRPr="00FD25A0">
        <w:rPr>
          <w:sz w:val="26"/>
          <w:szCs w:val="26"/>
        </w:rPr>
        <w:t xml:space="preserve"> </w:t>
      </w:r>
      <w:r w:rsidRPr="00FD25A0">
        <w:rPr>
          <w:sz w:val="26"/>
          <w:szCs w:val="26"/>
        </w:rPr>
        <w:t>(Complainant</w:t>
      </w:r>
      <w:r w:rsidR="00AC6FAA">
        <w:rPr>
          <w:sz w:val="26"/>
          <w:szCs w:val="26"/>
        </w:rPr>
        <w:t>)</w:t>
      </w:r>
      <w:r w:rsidR="00646C0D">
        <w:rPr>
          <w:sz w:val="26"/>
          <w:szCs w:val="26"/>
        </w:rPr>
        <w:t xml:space="preserve"> on </w:t>
      </w:r>
      <w:r w:rsidR="00D078FB">
        <w:rPr>
          <w:sz w:val="26"/>
          <w:szCs w:val="26"/>
        </w:rPr>
        <w:t>March</w:t>
      </w:r>
      <w:r w:rsidR="00646C0D">
        <w:rPr>
          <w:sz w:val="26"/>
          <w:szCs w:val="26"/>
        </w:rPr>
        <w:t xml:space="preserve"> </w:t>
      </w:r>
      <w:r w:rsidR="0046154A">
        <w:rPr>
          <w:sz w:val="26"/>
          <w:szCs w:val="26"/>
        </w:rPr>
        <w:t>4</w:t>
      </w:r>
      <w:r w:rsidR="00646C0D">
        <w:rPr>
          <w:sz w:val="26"/>
          <w:szCs w:val="26"/>
        </w:rPr>
        <w:t>, 201</w:t>
      </w:r>
      <w:r w:rsidR="00265946">
        <w:rPr>
          <w:sz w:val="26"/>
          <w:szCs w:val="26"/>
        </w:rPr>
        <w:t>9</w:t>
      </w:r>
      <w:r w:rsidRPr="00FD25A0">
        <w:rPr>
          <w:sz w:val="26"/>
          <w:szCs w:val="26"/>
        </w:rPr>
        <w:t xml:space="preserve">, to the Initial Decision (I.D.) of </w:t>
      </w:r>
      <w:r w:rsidR="0046154A">
        <w:rPr>
          <w:sz w:val="26"/>
          <w:szCs w:val="26"/>
        </w:rPr>
        <w:t>Special Agent</w:t>
      </w:r>
      <w:r w:rsidR="00646C0D">
        <w:rPr>
          <w:sz w:val="26"/>
          <w:szCs w:val="26"/>
        </w:rPr>
        <w:t xml:space="preserve"> </w:t>
      </w:r>
      <w:r w:rsidR="0046154A">
        <w:rPr>
          <w:sz w:val="26"/>
          <w:szCs w:val="26"/>
        </w:rPr>
        <w:t xml:space="preserve">Gail M. </w:t>
      </w:r>
      <w:r w:rsidR="00D078FB">
        <w:rPr>
          <w:sz w:val="26"/>
          <w:szCs w:val="26"/>
        </w:rPr>
        <w:t>C</w:t>
      </w:r>
      <w:r w:rsidR="0046154A">
        <w:rPr>
          <w:sz w:val="26"/>
          <w:szCs w:val="26"/>
        </w:rPr>
        <w:t>hiodo</w:t>
      </w:r>
      <w:r w:rsidR="009E446C">
        <w:rPr>
          <w:sz w:val="26"/>
          <w:szCs w:val="26"/>
        </w:rPr>
        <w:t>,</w:t>
      </w:r>
      <w:r w:rsidR="00646C0D">
        <w:rPr>
          <w:sz w:val="26"/>
          <w:szCs w:val="26"/>
        </w:rPr>
        <w:t xml:space="preserve"> issued on</w:t>
      </w:r>
      <w:r w:rsidR="00C8391C">
        <w:rPr>
          <w:sz w:val="26"/>
          <w:szCs w:val="26"/>
        </w:rPr>
        <w:t xml:space="preserve"> </w:t>
      </w:r>
      <w:r w:rsidR="0046154A">
        <w:rPr>
          <w:sz w:val="26"/>
          <w:szCs w:val="26"/>
        </w:rPr>
        <w:t>February</w:t>
      </w:r>
      <w:r w:rsidR="00C8391C">
        <w:rPr>
          <w:sz w:val="26"/>
          <w:szCs w:val="26"/>
        </w:rPr>
        <w:t xml:space="preserve"> </w:t>
      </w:r>
      <w:r w:rsidR="0046154A">
        <w:rPr>
          <w:sz w:val="26"/>
          <w:szCs w:val="26"/>
        </w:rPr>
        <w:t>21</w:t>
      </w:r>
      <w:r w:rsidR="003925B5">
        <w:rPr>
          <w:sz w:val="26"/>
          <w:szCs w:val="26"/>
        </w:rPr>
        <w:t>,</w:t>
      </w:r>
      <w:r w:rsidR="00DE4328">
        <w:rPr>
          <w:sz w:val="26"/>
          <w:szCs w:val="26"/>
        </w:rPr>
        <w:t xml:space="preserve"> 201</w:t>
      </w:r>
      <w:r w:rsidR="00D078FB">
        <w:rPr>
          <w:sz w:val="26"/>
          <w:szCs w:val="26"/>
        </w:rPr>
        <w:t>9</w:t>
      </w:r>
      <w:r w:rsidR="00514157">
        <w:rPr>
          <w:sz w:val="26"/>
          <w:szCs w:val="26"/>
        </w:rPr>
        <w:t xml:space="preserve">. </w:t>
      </w:r>
      <w:r w:rsidR="00514157" w:rsidRPr="00514157">
        <w:rPr>
          <w:sz w:val="26"/>
          <w:szCs w:val="26"/>
        </w:rPr>
        <w:t xml:space="preserve"> </w:t>
      </w:r>
      <w:r w:rsidR="00514157" w:rsidRPr="00FD25A0">
        <w:rPr>
          <w:sz w:val="26"/>
          <w:szCs w:val="26"/>
        </w:rPr>
        <w:t xml:space="preserve">Replies to Exceptions were filed by </w:t>
      </w:r>
      <w:r w:rsidR="00514157" w:rsidRPr="00996D4B">
        <w:rPr>
          <w:sz w:val="26"/>
          <w:szCs w:val="26"/>
        </w:rPr>
        <w:t>P</w:t>
      </w:r>
      <w:r w:rsidR="007B0112">
        <w:rPr>
          <w:sz w:val="26"/>
          <w:szCs w:val="26"/>
        </w:rPr>
        <w:t>hiladelphia Gas Works</w:t>
      </w:r>
      <w:r w:rsidR="00514157">
        <w:rPr>
          <w:sz w:val="26"/>
          <w:szCs w:val="26"/>
        </w:rPr>
        <w:t xml:space="preserve"> (P</w:t>
      </w:r>
      <w:r w:rsidR="000C09DE">
        <w:rPr>
          <w:sz w:val="26"/>
          <w:szCs w:val="26"/>
        </w:rPr>
        <w:t>GW</w:t>
      </w:r>
      <w:r w:rsidR="00514157">
        <w:rPr>
          <w:sz w:val="26"/>
          <w:szCs w:val="26"/>
        </w:rPr>
        <w:t>)</w:t>
      </w:r>
      <w:r w:rsidR="00514157" w:rsidRPr="00FD25A0">
        <w:rPr>
          <w:sz w:val="26"/>
          <w:szCs w:val="26"/>
        </w:rPr>
        <w:t xml:space="preserve"> on </w:t>
      </w:r>
      <w:r w:rsidR="0046154A">
        <w:rPr>
          <w:sz w:val="26"/>
          <w:szCs w:val="26"/>
        </w:rPr>
        <w:t>March</w:t>
      </w:r>
      <w:r w:rsidR="00514157">
        <w:rPr>
          <w:sz w:val="26"/>
          <w:szCs w:val="26"/>
        </w:rPr>
        <w:t> </w:t>
      </w:r>
      <w:r w:rsidR="0046154A">
        <w:rPr>
          <w:sz w:val="26"/>
          <w:szCs w:val="26"/>
        </w:rPr>
        <w:t>15</w:t>
      </w:r>
      <w:r w:rsidR="00514157">
        <w:rPr>
          <w:sz w:val="26"/>
          <w:szCs w:val="26"/>
        </w:rPr>
        <w:t>, 2019</w:t>
      </w:r>
      <w:r w:rsidR="00514157" w:rsidRPr="00FD25A0">
        <w:rPr>
          <w:sz w:val="26"/>
          <w:szCs w:val="26"/>
        </w:rPr>
        <w:t>.</w:t>
      </w:r>
      <w:r w:rsidR="00577E5F">
        <w:rPr>
          <w:rStyle w:val="FootnoteReference"/>
          <w:sz w:val="26"/>
          <w:szCs w:val="26"/>
        </w:rPr>
        <w:footnoteReference w:id="2"/>
      </w:r>
      <w:r w:rsidRPr="00FD25A0">
        <w:rPr>
          <w:sz w:val="26"/>
          <w:szCs w:val="26"/>
        </w:rPr>
        <w:t xml:space="preserve">  </w:t>
      </w:r>
      <w:r w:rsidR="00C8279D" w:rsidRPr="00194F9B">
        <w:rPr>
          <w:sz w:val="26"/>
          <w:szCs w:val="26"/>
        </w:rPr>
        <w:t>For the reasons stated below, we sha</w:t>
      </w:r>
      <w:r w:rsidR="00C8279D">
        <w:rPr>
          <w:sz w:val="26"/>
          <w:szCs w:val="26"/>
        </w:rPr>
        <w:t>l</w:t>
      </w:r>
      <w:r w:rsidR="006C5612">
        <w:rPr>
          <w:sz w:val="26"/>
          <w:szCs w:val="26"/>
        </w:rPr>
        <w:t>l deny the Exceptions and adopt</w:t>
      </w:r>
      <w:r w:rsidR="00C8279D">
        <w:rPr>
          <w:sz w:val="26"/>
          <w:szCs w:val="26"/>
        </w:rPr>
        <w:t xml:space="preserve"> </w:t>
      </w:r>
      <w:r w:rsidR="00C8279D" w:rsidRPr="00194F9B">
        <w:rPr>
          <w:sz w:val="26"/>
          <w:szCs w:val="26"/>
        </w:rPr>
        <w:t xml:space="preserve">the </w:t>
      </w:r>
      <w:r w:rsidR="000C09DE">
        <w:rPr>
          <w:sz w:val="26"/>
          <w:szCs w:val="26"/>
        </w:rPr>
        <w:t>S</w:t>
      </w:r>
      <w:r w:rsidR="006819F2">
        <w:rPr>
          <w:sz w:val="26"/>
          <w:szCs w:val="26"/>
        </w:rPr>
        <w:t>pecial</w:t>
      </w:r>
      <w:r w:rsidR="000C09DE">
        <w:rPr>
          <w:sz w:val="26"/>
          <w:szCs w:val="26"/>
        </w:rPr>
        <w:t xml:space="preserve"> A</w:t>
      </w:r>
      <w:r w:rsidR="006819F2">
        <w:rPr>
          <w:sz w:val="26"/>
          <w:szCs w:val="26"/>
        </w:rPr>
        <w:t>gent</w:t>
      </w:r>
      <w:r w:rsidR="00C8279D" w:rsidRPr="00194F9B">
        <w:rPr>
          <w:sz w:val="26"/>
          <w:szCs w:val="26"/>
        </w:rPr>
        <w:t>’s Initial Decision</w:t>
      </w:r>
      <w:r w:rsidR="006C5612" w:rsidRPr="00DB0AC5">
        <w:rPr>
          <w:sz w:val="26"/>
          <w:szCs w:val="26"/>
        </w:rPr>
        <w:t>, consistent with this Opinion and Order</w:t>
      </w:r>
      <w:r w:rsidR="00C8279D" w:rsidRPr="00194F9B">
        <w:rPr>
          <w:sz w:val="26"/>
          <w:szCs w:val="26"/>
        </w:rPr>
        <w:t>.</w:t>
      </w:r>
    </w:p>
    <w:p w14:paraId="5D87B5D9" w14:textId="77777777" w:rsidR="00B4613A" w:rsidRDefault="00B4613A" w:rsidP="009B3286">
      <w:pPr>
        <w:pStyle w:val="ListParagraph"/>
        <w:keepNext/>
        <w:keepLines/>
        <w:ind w:left="0" w:firstLine="0"/>
        <w:rPr>
          <w:b/>
          <w:sz w:val="26"/>
          <w:szCs w:val="26"/>
        </w:rPr>
      </w:pPr>
      <w:r w:rsidRPr="00D46080">
        <w:rPr>
          <w:b/>
          <w:sz w:val="26"/>
          <w:szCs w:val="26"/>
        </w:rPr>
        <w:lastRenderedPageBreak/>
        <w:t>History of the Proceeding</w:t>
      </w:r>
    </w:p>
    <w:p w14:paraId="3A583E2B" w14:textId="77777777" w:rsidR="00D46080" w:rsidRDefault="00D46080" w:rsidP="009B3286">
      <w:pPr>
        <w:pStyle w:val="ListParagraph"/>
        <w:keepNext/>
        <w:keepLines/>
        <w:ind w:left="0" w:firstLine="0"/>
        <w:jc w:val="both"/>
        <w:rPr>
          <w:b/>
          <w:sz w:val="26"/>
          <w:szCs w:val="26"/>
        </w:rPr>
      </w:pPr>
    </w:p>
    <w:p w14:paraId="6655C685" w14:textId="77777777" w:rsidR="00D46080" w:rsidRDefault="008818D1" w:rsidP="00860BEC">
      <w:pPr>
        <w:jc w:val="left"/>
        <w:rPr>
          <w:sz w:val="26"/>
          <w:szCs w:val="26"/>
        </w:rPr>
      </w:pPr>
      <w:r>
        <w:rPr>
          <w:sz w:val="26"/>
          <w:szCs w:val="26"/>
        </w:rPr>
        <w:tab/>
      </w:r>
      <w:r w:rsidR="00730307">
        <w:rPr>
          <w:sz w:val="26"/>
          <w:szCs w:val="26"/>
        </w:rPr>
        <w:t xml:space="preserve">On </w:t>
      </w:r>
      <w:r w:rsidR="000C09DE">
        <w:rPr>
          <w:sz w:val="26"/>
          <w:szCs w:val="26"/>
        </w:rPr>
        <w:t>November</w:t>
      </w:r>
      <w:r w:rsidR="00730307">
        <w:rPr>
          <w:sz w:val="26"/>
          <w:szCs w:val="26"/>
        </w:rPr>
        <w:t xml:space="preserve"> </w:t>
      </w:r>
      <w:r w:rsidR="00D078FB">
        <w:rPr>
          <w:sz w:val="26"/>
          <w:szCs w:val="26"/>
        </w:rPr>
        <w:t>7</w:t>
      </w:r>
      <w:r w:rsidR="00730307">
        <w:rPr>
          <w:sz w:val="26"/>
          <w:szCs w:val="26"/>
        </w:rPr>
        <w:t>, 201</w:t>
      </w:r>
      <w:r w:rsidR="009E446C">
        <w:rPr>
          <w:sz w:val="26"/>
          <w:szCs w:val="26"/>
        </w:rPr>
        <w:t>8</w:t>
      </w:r>
      <w:r w:rsidR="00730307">
        <w:rPr>
          <w:sz w:val="26"/>
          <w:szCs w:val="26"/>
        </w:rPr>
        <w:t>, the Complainant filed a Formal Complaint (Complaint)</w:t>
      </w:r>
      <w:r w:rsidR="00860BEC">
        <w:rPr>
          <w:rStyle w:val="FootnoteReference"/>
          <w:sz w:val="26"/>
          <w:szCs w:val="26"/>
        </w:rPr>
        <w:footnoteReference w:id="3"/>
      </w:r>
      <w:r w:rsidR="00730307">
        <w:rPr>
          <w:sz w:val="26"/>
          <w:szCs w:val="26"/>
        </w:rPr>
        <w:t xml:space="preserve"> </w:t>
      </w:r>
      <w:r w:rsidR="005B3208">
        <w:rPr>
          <w:sz w:val="26"/>
          <w:szCs w:val="26"/>
        </w:rPr>
        <w:t>aga</w:t>
      </w:r>
      <w:r w:rsidR="00332F8A">
        <w:rPr>
          <w:sz w:val="26"/>
          <w:szCs w:val="26"/>
        </w:rPr>
        <w:t xml:space="preserve">inst </w:t>
      </w:r>
      <w:r w:rsidR="000C09DE">
        <w:rPr>
          <w:sz w:val="26"/>
          <w:szCs w:val="26"/>
        </w:rPr>
        <w:t>PGW</w:t>
      </w:r>
      <w:r w:rsidR="005B3208">
        <w:rPr>
          <w:sz w:val="26"/>
          <w:szCs w:val="26"/>
        </w:rPr>
        <w:t xml:space="preserve"> </w:t>
      </w:r>
      <w:r w:rsidR="00CD0251">
        <w:rPr>
          <w:sz w:val="26"/>
          <w:szCs w:val="26"/>
        </w:rPr>
        <w:t xml:space="preserve">in which </w:t>
      </w:r>
      <w:r w:rsidR="00F65147">
        <w:rPr>
          <w:sz w:val="26"/>
          <w:szCs w:val="26"/>
        </w:rPr>
        <w:t xml:space="preserve">she </w:t>
      </w:r>
      <w:r w:rsidR="00971BBE">
        <w:rPr>
          <w:sz w:val="26"/>
          <w:szCs w:val="26"/>
        </w:rPr>
        <w:t xml:space="preserve">complained that </w:t>
      </w:r>
      <w:r w:rsidR="000C09DE">
        <w:rPr>
          <w:sz w:val="26"/>
          <w:szCs w:val="26"/>
        </w:rPr>
        <w:t>PGW</w:t>
      </w:r>
      <w:r w:rsidR="00971BBE">
        <w:rPr>
          <w:sz w:val="26"/>
          <w:szCs w:val="26"/>
        </w:rPr>
        <w:t xml:space="preserve"> </w:t>
      </w:r>
      <w:r w:rsidR="00F650BA">
        <w:rPr>
          <w:sz w:val="26"/>
          <w:szCs w:val="26"/>
        </w:rPr>
        <w:t>was</w:t>
      </w:r>
      <w:r w:rsidR="00971BBE">
        <w:rPr>
          <w:sz w:val="26"/>
          <w:szCs w:val="26"/>
        </w:rPr>
        <w:t xml:space="preserve"> threaten</w:t>
      </w:r>
      <w:r w:rsidR="005360FA">
        <w:rPr>
          <w:sz w:val="26"/>
          <w:szCs w:val="26"/>
        </w:rPr>
        <w:t>ing</w:t>
      </w:r>
      <w:r w:rsidR="00971BBE">
        <w:rPr>
          <w:sz w:val="26"/>
          <w:szCs w:val="26"/>
        </w:rPr>
        <w:t xml:space="preserve"> to disconnect her service</w:t>
      </w:r>
      <w:r w:rsidR="005E050D">
        <w:rPr>
          <w:sz w:val="26"/>
          <w:szCs w:val="26"/>
        </w:rPr>
        <w:t>.</w:t>
      </w:r>
      <w:r w:rsidR="001930E3">
        <w:rPr>
          <w:sz w:val="26"/>
          <w:szCs w:val="26"/>
        </w:rPr>
        <w:t xml:space="preserve">  </w:t>
      </w:r>
      <w:r w:rsidR="005E050D">
        <w:rPr>
          <w:sz w:val="26"/>
          <w:szCs w:val="26"/>
        </w:rPr>
        <w:t>For relief,</w:t>
      </w:r>
      <w:r w:rsidR="00971BBE">
        <w:rPr>
          <w:sz w:val="26"/>
          <w:szCs w:val="26"/>
        </w:rPr>
        <w:t xml:space="preserve"> she </w:t>
      </w:r>
      <w:r w:rsidR="00F650BA">
        <w:rPr>
          <w:sz w:val="26"/>
          <w:szCs w:val="26"/>
        </w:rPr>
        <w:t>requested an</w:t>
      </w:r>
      <w:r w:rsidR="00971BBE">
        <w:rPr>
          <w:sz w:val="26"/>
          <w:szCs w:val="26"/>
        </w:rPr>
        <w:t xml:space="preserve"> affordable</w:t>
      </w:r>
      <w:r w:rsidR="005B3208">
        <w:rPr>
          <w:sz w:val="26"/>
          <w:szCs w:val="26"/>
        </w:rPr>
        <w:t xml:space="preserve"> payment arrangement</w:t>
      </w:r>
      <w:r w:rsidR="00F650BA">
        <w:rPr>
          <w:sz w:val="26"/>
          <w:szCs w:val="26"/>
        </w:rPr>
        <w:t xml:space="preserve"> </w:t>
      </w:r>
      <w:r w:rsidR="006D198C">
        <w:rPr>
          <w:sz w:val="26"/>
          <w:szCs w:val="26"/>
        </w:rPr>
        <w:t>(payment arrangement or PAR)</w:t>
      </w:r>
      <w:r w:rsidR="005B3208">
        <w:rPr>
          <w:sz w:val="26"/>
          <w:szCs w:val="26"/>
        </w:rPr>
        <w:t>.</w:t>
      </w:r>
      <w:r w:rsidR="009D696C" w:rsidRPr="002646DF">
        <w:rPr>
          <w:sz w:val="26"/>
          <w:szCs w:val="26"/>
        </w:rPr>
        <w:t xml:space="preserve"> </w:t>
      </w:r>
      <w:r w:rsidR="005E050D" w:rsidRPr="002646DF">
        <w:rPr>
          <w:sz w:val="26"/>
          <w:szCs w:val="26"/>
        </w:rPr>
        <w:t xml:space="preserve"> Complaint at 1-3.</w:t>
      </w:r>
    </w:p>
    <w:p w14:paraId="03ADC06D" w14:textId="77777777" w:rsidR="006101F6" w:rsidRPr="00D46080" w:rsidRDefault="006101F6" w:rsidP="00DE0BD2">
      <w:pPr>
        <w:pStyle w:val="Default"/>
        <w:spacing w:line="360" w:lineRule="auto"/>
        <w:ind w:firstLine="1440"/>
        <w:rPr>
          <w:color w:val="auto"/>
          <w:sz w:val="26"/>
          <w:szCs w:val="26"/>
        </w:rPr>
      </w:pPr>
    </w:p>
    <w:p w14:paraId="3BBBBC7C" w14:textId="77777777" w:rsidR="00556845" w:rsidRDefault="000B5458" w:rsidP="00DE0BD2">
      <w:pPr>
        <w:pStyle w:val="Default"/>
        <w:spacing w:line="360" w:lineRule="auto"/>
        <w:ind w:firstLine="1440"/>
        <w:rPr>
          <w:sz w:val="26"/>
          <w:szCs w:val="26"/>
        </w:rPr>
      </w:pPr>
      <w:r>
        <w:rPr>
          <w:color w:val="auto"/>
          <w:sz w:val="26"/>
          <w:szCs w:val="26"/>
        </w:rPr>
        <w:t xml:space="preserve">On </w:t>
      </w:r>
      <w:r w:rsidR="000C09DE">
        <w:rPr>
          <w:color w:val="auto"/>
          <w:sz w:val="26"/>
          <w:szCs w:val="26"/>
        </w:rPr>
        <w:t>November</w:t>
      </w:r>
      <w:r w:rsidR="00F4422F">
        <w:rPr>
          <w:color w:val="auto"/>
          <w:sz w:val="26"/>
          <w:szCs w:val="26"/>
        </w:rPr>
        <w:t xml:space="preserve"> </w:t>
      </w:r>
      <w:r w:rsidR="000C09DE">
        <w:rPr>
          <w:color w:val="auto"/>
          <w:sz w:val="26"/>
          <w:szCs w:val="26"/>
        </w:rPr>
        <w:t>29</w:t>
      </w:r>
      <w:r w:rsidR="00F4422F">
        <w:rPr>
          <w:color w:val="auto"/>
          <w:sz w:val="26"/>
          <w:szCs w:val="26"/>
        </w:rPr>
        <w:t>, 201</w:t>
      </w:r>
      <w:r w:rsidR="004C4045">
        <w:rPr>
          <w:color w:val="auto"/>
          <w:sz w:val="26"/>
          <w:szCs w:val="26"/>
        </w:rPr>
        <w:t>8</w:t>
      </w:r>
      <w:r w:rsidR="00F4422F">
        <w:rPr>
          <w:color w:val="auto"/>
          <w:sz w:val="26"/>
          <w:szCs w:val="26"/>
        </w:rPr>
        <w:t xml:space="preserve">, </w:t>
      </w:r>
      <w:r w:rsidR="000C09DE">
        <w:rPr>
          <w:color w:val="auto"/>
          <w:sz w:val="26"/>
          <w:szCs w:val="26"/>
        </w:rPr>
        <w:t>PGW</w:t>
      </w:r>
      <w:r w:rsidR="00D46080" w:rsidRPr="00D46080">
        <w:rPr>
          <w:color w:val="auto"/>
          <w:sz w:val="26"/>
          <w:szCs w:val="26"/>
        </w:rPr>
        <w:t xml:space="preserve"> filed an </w:t>
      </w:r>
      <w:r w:rsidR="001D698E">
        <w:rPr>
          <w:color w:val="auto"/>
          <w:sz w:val="26"/>
          <w:szCs w:val="26"/>
        </w:rPr>
        <w:t>A</w:t>
      </w:r>
      <w:r w:rsidR="00D46080" w:rsidRPr="00D46080">
        <w:rPr>
          <w:color w:val="auto"/>
          <w:sz w:val="26"/>
          <w:szCs w:val="26"/>
        </w:rPr>
        <w:t>nswer</w:t>
      </w:r>
      <w:r w:rsidR="000908E4">
        <w:rPr>
          <w:color w:val="auto"/>
          <w:sz w:val="26"/>
          <w:szCs w:val="26"/>
        </w:rPr>
        <w:t xml:space="preserve"> </w:t>
      </w:r>
      <w:r w:rsidR="00C8391C">
        <w:rPr>
          <w:color w:val="auto"/>
          <w:sz w:val="26"/>
          <w:szCs w:val="26"/>
        </w:rPr>
        <w:t>(Answer)</w:t>
      </w:r>
      <w:r w:rsidR="002E3817" w:rsidRPr="002E3817">
        <w:rPr>
          <w:color w:val="auto"/>
          <w:sz w:val="26"/>
          <w:szCs w:val="26"/>
        </w:rPr>
        <w:t xml:space="preserve"> </w:t>
      </w:r>
      <w:r w:rsidR="00F65147">
        <w:rPr>
          <w:color w:val="auto"/>
          <w:sz w:val="26"/>
          <w:szCs w:val="26"/>
        </w:rPr>
        <w:t xml:space="preserve">in which it </w:t>
      </w:r>
      <w:r w:rsidR="00416F89">
        <w:rPr>
          <w:color w:val="auto"/>
          <w:sz w:val="26"/>
          <w:szCs w:val="26"/>
        </w:rPr>
        <w:t>generally d</w:t>
      </w:r>
      <w:r w:rsidR="004E26C4">
        <w:rPr>
          <w:color w:val="auto"/>
          <w:sz w:val="26"/>
          <w:szCs w:val="26"/>
        </w:rPr>
        <w:t xml:space="preserve">enied </w:t>
      </w:r>
      <w:r w:rsidR="00416F89">
        <w:rPr>
          <w:color w:val="auto"/>
          <w:sz w:val="26"/>
          <w:szCs w:val="26"/>
        </w:rPr>
        <w:t xml:space="preserve">all material </w:t>
      </w:r>
      <w:r w:rsidR="004E26C4">
        <w:rPr>
          <w:color w:val="auto"/>
          <w:sz w:val="26"/>
          <w:szCs w:val="26"/>
        </w:rPr>
        <w:t xml:space="preserve">allegations made by the Complainant.  </w:t>
      </w:r>
      <w:r w:rsidR="000C09DE">
        <w:rPr>
          <w:color w:val="auto"/>
          <w:sz w:val="26"/>
          <w:szCs w:val="26"/>
        </w:rPr>
        <w:t>PGW</w:t>
      </w:r>
      <w:r w:rsidR="00B13853">
        <w:rPr>
          <w:color w:val="auto"/>
          <w:sz w:val="26"/>
          <w:szCs w:val="26"/>
        </w:rPr>
        <w:t xml:space="preserve"> </w:t>
      </w:r>
      <w:r w:rsidR="00F85F4C">
        <w:rPr>
          <w:color w:val="auto"/>
          <w:sz w:val="26"/>
          <w:szCs w:val="26"/>
        </w:rPr>
        <w:t xml:space="preserve">admitted that it has issued a termination notice for service termination.  PGW </w:t>
      </w:r>
      <w:r w:rsidR="00B13853">
        <w:rPr>
          <w:color w:val="auto"/>
          <w:sz w:val="26"/>
          <w:szCs w:val="26"/>
        </w:rPr>
        <w:t>averred that</w:t>
      </w:r>
      <w:r w:rsidR="00F4422F">
        <w:rPr>
          <w:color w:val="auto"/>
          <w:sz w:val="26"/>
          <w:szCs w:val="26"/>
        </w:rPr>
        <w:t xml:space="preserve"> the Complainant</w:t>
      </w:r>
      <w:r w:rsidR="009D696C">
        <w:rPr>
          <w:color w:val="auto"/>
          <w:sz w:val="26"/>
          <w:szCs w:val="26"/>
        </w:rPr>
        <w:t xml:space="preserve"> </w:t>
      </w:r>
      <w:r w:rsidR="00B13853">
        <w:rPr>
          <w:color w:val="auto"/>
          <w:sz w:val="26"/>
          <w:szCs w:val="26"/>
        </w:rPr>
        <w:t xml:space="preserve">had defaulted on </w:t>
      </w:r>
      <w:r w:rsidR="00416F89">
        <w:rPr>
          <w:color w:val="auto"/>
          <w:sz w:val="26"/>
          <w:szCs w:val="26"/>
        </w:rPr>
        <w:t>a</w:t>
      </w:r>
      <w:r w:rsidR="00B13853">
        <w:rPr>
          <w:color w:val="auto"/>
          <w:sz w:val="26"/>
          <w:szCs w:val="26"/>
        </w:rPr>
        <w:t xml:space="preserve"> </w:t>
      </w:r>
      <w:r w:rsidR="00416F89">
        <w:rPr>
          <w:color w:val="auto"/>
          <w:sz w:val="26"/>
          <w:szCs w:val="26"/>
        </w:rPr>
        <w:t xml:space="preserve">prior </w:t>
      </w:r>
      <w:r w:rsidR="00B13853">
        <w:rPr>
          <w:color w:val="auto"/>
          <w:sz w:val="26"/>
          <w:szCs w:val="26"/>
        </w:rPr>
        <w:t xml:space="preserve">Commission-issued </w:t>
      </w:r>
      <w:r w:rsidR="00222708">
        <w:rPr>
          <w:color w:val="auto"/>
          <w:sz w:val="26"/>
          <w:szCs w:val="26"/>
        </w:rPr>
        <w:t>p</w:t>
      </w:r>
      <w:r w:rsidR="00416F89">
        <w:rPr>
          <w:color w:val="auto"/>
          <w:sz w:val="26"/>
          <w:szCs w:val="26"/>
        </w:rPr>
        <w:t xml:space="preserve">ayment </w:t>
      </w:r>
      <w:r w:rsidR="00222708">
        <w:rPr>
          <w:color w:val="auto"/>
          <w:sz w:val="26"/>
          <w:szCs w:val="26"/>
        </w:rPr>
        <w:t>a</w:t>
      </w:r>
      <w:r w:rsidR="00416F89">
        <w:rPr>
          <w:color w:val="auto"/>
          <w:sz w:val="26"/>
          <w:szCs w:val="26"/>
        </w:rPr>
        <w:t xml:space="preserve">rrangement </w:t>
      </w:r>
      <w:r w:rsidR="004E26C4">
        <w:rPr>
          <w:color w:val="auto"/>
          <w:sz w:val="26"/>
          <w:szCs w:val="26"/>
        </w:rPr>
        <w:t>and</w:t>
      </w:r>
      <w:r w:rsidR="00B13853">
        <w:rPr>
          <w:color w:val="auto"/>
          <w:sz w:val="26"/>
          <w:szCs w:val="26"/>
        </w:rPr>
        <w:t xml:space="preserve"> requested that the Commission </w:t>
      </w:r>
      <w:r w:rsidR="00541531">
        <w:rPr>
          <w:color w:val="auto"/>
          <w:sz w:val="26"/>
          <w:szCs w:val="26"/>
        </w:rPr>
        <w:t>dismiss</w:t>
      </w:r>
      <w:r w:rsidR="00B13853">
        <w:rPr>
          <w:color w:val="auto"/>
          <w:sz w:val="26"/>
          <w:szCs w:val="26"/>
        </w:rPr>
        <w:t xml:space="preserve"> the Complaint</w:t>
      </w:r>
      <w:r w:rsidR="00541531">
        <w:rPr>
          <w:color w:val="auto"/>
          <w:sz w:val="26"/>
          <w:szCs w:val="26"/>
        </w:rPr>
        <w:t>.  Answer</w:t>
      </w:r>
      <w:r w:rsidR="008D4165">
        <w:rPr>
          <w:sz w:val="26"/>
          <w:szCs w:val="26"/>
        </w:rPr>
        <w:t xml:space="preserve"> at </w:t>
      </w:r>
      <w:r w:rsidR="00541531">
        <w:rPr>
          <w:sz w:val="26"/>
          <w:szCs w:val="26"/>
        </w:rPr>
        <w:t>1</w:t>
      </w:r>
      <w:r w:rsidR="00F85F4C">
        <w:rPr>
          <w:sz w:val="26"/>
          <w:szCs w:val="26"/>
        </w:rPr>
        <w:t>-2</w:t>
      </w:r>
      <w:r w:rsidR="009B3622" w:rsidRPr="00CC10B2">
        <w:rPr>
          <w:sz w:val="26"/>
          <w:szCs w:val="26"/>
        </w:rPr>
        <w:t>.</w:t>
      </w:r>
    </w:p>
    <w:p w14:paraId="2C3AC54D" w14:textId="77777777" w:rsidR="00435A94" w:rsidRDefault="00435A94" w:rsidP="00F015ED">
      <w:pPr>
        <w:jc w:val="left"/>
        <w:rPr>
          <w:sz w:val="26"/>
          <w:szCs w:val="26"/>
        </w:rPr>
      </w:pPr>
    </w:p>
    <w:p w14:paraId="65AFF629" w14:textId="77777777" w:rsidR="001E1BAA" w:rsidRPr="008F783F" w:rsidRDefault="000C09DE" w:rsidP="008F783F">
      <w:pPr>
        <w:pStyle w:val="ListParagraph"/>
        <w:ind w:left="0" w:firstLine="1440"/>
        <w:jc w:val="left"/>
        <w:rPr>
          <w:sz w:val="26"/>
          <w:szCs w:val="26"/>
        </w:rPr>
      </w:pPr>
      <w:r>
        <w:rPr>
          <w:sz w:val="26"/>
          <w:szCs w:val="26"/>
        </w:rPr>
        <w:t>Special Agent</w:t>
      </w:r>
      <w:r w:rsidR="004E26C4">
        <w:rPr>
          <w:sz w:val="26"/>
          <w:szCs w:val="26"/>
        </w:rPr>
        <w:t xml:space="preserve"> </w:t>
      </w:r>
      <w:r>
        <w:rPr>
          <w:sz w:val="26"/>
          <w:szCs w:val="26"/>
        </w:rPr>
        <w:t>Chiodo</w:t>
      </w:r>
      <w:r w:rsidR="004E26C4">
        <w:rPr>
          <w:sz w:val="26"/>
          <w:szCs w:val="26"/>
        </w:rPr>
        <w:t xml:space="preserve"> conducted a</w:t>
      </w:r>
      <w:r w:rsidR="001E1BAA" w:rsidRPr="00031D29">
        <w:rPr>
          <w:sz w:val="26"/>
          <w:szCs w:val="26"/>
        </w:rPr>
        <w:t xml:space="preserve"> telephonic hearing</w:t>
      </w:r>
      <w:r w:rsidR="00BF06C8">
        <w:rPr>
          <w:sz w:val="26"/>
          <w:szCs w:val="26"/>
        </w:rPr>
        <w:t xml:space="preserve"> </w:t>
      </w:r>
      <w:r w:rsidR="001E1BAA" w:rsidRPr="00031D29">
        <w:rPr>
          <w:sz w:val="26"/>
          <w:szCs w:val="26"/>
        </w:rPr>
        <w:t xml:space="preserve">on </w:t>
      </w:r>
      <w:r>
        <w:rPr>
          <w:sz w:val="26"/>
          <w:szCs w:val="26"/>
        </w:rPr>
        <w:t>February</w:t>
      </w:r>
      <w:r w:rsidR="00031D29" w:rsidRPr="00031D29">
        <w:rPr>
          <w:sz w:val="26"/>
          <w:szCs w:val="26"/>
        </w:rPr>
        <w:t xml:space="preserve"> </w:t>
      </w:r>
      <w:r>
        <w:rPr>
          <w:sz w:val="26"/>
          <w:szCs w:val="26"/>
        </w:rPr>
        <w:t>4</w:t>
      </w:r>
      <w:r w:rsidR="001E1BAA" w:rsidRPr="00031D29">
        <w:rPr>
          <w:sz w:val="26"/>
          <w:szCs w:val="26"/>
        </w:rPr>
        <w:t>, 201</w:t>
      </w:r>
      <w:r>
        <w:rPr>
          <w:sz w:val="26"/>
          <w:szCs w:val="26"/>
        </w:rPr>
        <w:t>9</w:t>
      </w:r>
      <w:r w:rsidR="001E1BAA" w:rsidRPr="00031D29">
        <w:rPr>
          <w:sz w:val="26"/>
          <w:szCs w:val="26"/>
        </w:rPr>
        <w:t xml:space="preserve">.  </w:t>
      </w:r>
      <w:r w:rsidR="001E1BAA" w:rsidRPr="00031D29">
        <w:rPr>
          <w:spacing w:val="-3"/>
          <w:sz w:val="26"/>
          <w:szCs w:val="26"/>
        </w:rPr>
        <w:t xml:space="preserve">The Complainant appeared </w:t>
      </w:r>
      <w:r w:rsidR="001E1BAA" w:rsidRPr="00031D29">
        <w:rPr>
          <w:i/>
          <w:spacing w:val="-3"/>
          <w:sz w:val="26"/>
          <w:szCs w:val="26"/>
        </w:rPr>
        <w:t xml:space="preserve">pro se </w:t>
      </w:r>
      <w:r w:rsidR="001E1BAA" w:rsidRPr="00031D29">
        <w:rPr>
          <w:spacing w:val="-3"/>
          <w:sz w:val="26"/>
          <w:szCs w:val="26"/>
        </w:rPr>
        <w:t xml:space="preserve">and testified in support of her Complaint.  </w:t>
      </w:r>
      <w:r>
        <w:rPr>
          <w:spacing w:val="-3"/>
          <w:sz w:val="26"/>
          <w:szCs w:val="26"/>
        </w:rPr>
        <w:t>PGW</w:t>
      </w:r>
      <w:r w:rsidR="001E1BAA" w:rsidRPr="00031D29">
        <w:rPr>
          <w:spacing w:val="-3"/>
          <w:sz w:val="26"/>
          <w:szCs w:val="26"/>
        </w:rPr>
        <w:t xml:space="preserve"> was represented by counsel and presented the testimony of one witness.  </w:t>
      </w:r>
      <w:r>
        <w:rPr>
          <w:spacing w:val="-3"/>
          <w:sz w:val="26"/>
          <w:szCs w:val="26"/>
        </w:rPr>
        <w:t>PGW</w:t>
      </w:r>
      <w:r w:rsidR="001E1BAA" w:rsidRPr="00031D29">
        <w:rPr>
          <w:spacing w:val="-3"/>
          <w:sz w:val="26"/>
          <w:szCs w:val="26"/>
        </w:rPr>
        <w:t xml:space="preserve"> offered </w:t>
      </w:r>
      <w:r w:rsidR="007B0112">
        <w:rPr>
          <w:spacing w:val="-3"/>
          <w:sz w:val="26"/>
          <w:szCs w:val="26"/>
        </w:rPr>
        <w:t>four</w:t>
      </w:r>
      <w:r w:rsidR="001E1BAA" w:rsidRPr="00031D29">
        <w:rPr>
          <w:spacing w:val="-3"/>
          <w:sz w:val="26"/>
          <w:szCs w:val="26"/>
        </w:rPr>
        <w:t xml:space="preserve"> exhibits, all of which were admitted into the record.</w:t>
      </w:r>
      <w:r w:rsidR="001E1BAA" w:rsidRPr="00031D29">
        <w:rPr>
          <w:sz w:val="26"/>
          <w:szCs w:val="26"/>
        </w:rPr>
        <w:t xml:space="preserve">  </w:t>
      </w:r>
      <w:r w:rsidR="0006415D">
        <w:rPr>
          <w:sz w:val="26"/>
          <w:szCs w:val="26"/>
        </w:rPr>
        <w:t>The record was closed following the conclusion of the hearing</w:t>
      </w:r>
      <w:r w:rsidR="008F783F">
        <w:rPr>
          <w:sz w:val="26"/>
          <w:szCs w:val="26"/>
        </w:rPr>
        <w:t xml:space="preserve">.  </w:t>
      </w:r>
      <w:r w:rsidR="00247856" w:rsidRPr="008F783F">
        <w:rPr>
          <w:sz w:val="26"/>
          <w:szCs w:val="26"/>
        </w:rPr>
        <w:t>I.D. at 2.</w:t>
      </w:r>
    </w:p>
    <w:p w14:paraId="2A835EE8" w14:textId="77777777" w:rsidR="00247856" w:rsidRPr="00031D29" w:rsidRDefault="00247856" w:rsidP="00CC2529">
      <w:pPr>
        <w:pStyle w:val="ListParagraph"/>
        <w:ind w:left="0" w:firstLine="1440"/>
        <w:jc w:val="left"/>
        <w:rPr>
          <w:sz w:val="26"/>
          <w:szCs w:val="26"/>
        </w:rPr>
      </w:pPr>
    </w:p>
    <w:p w14:paraId="0CDCC639" w14:textId="77777777" w:rsidR="00DB0AC5" w:rsidRDefault="008F783F" w:rsidP="00DB0AC5">
      <w:pPr>
        <w:pStyle w:val="ListParagraph"/>
        <w:ind w:left="0" w:firstLine="1440"/>
        <w:jc w:val="left"/>
        <w:rPr>
          <w:sz w:val="26"/>
          <w:szCs w:val="26"/>
        </w:rPr>
      </w:pPr>
      <w:r>
        <w:rPr>
          <w:sz w:val="26"/>
          <w:szCs w:val="26"/>
        </w:rPr>
        <w:t>O</w:t>
      </w:r>
      <w:r w:rsidR="00247856">
        <w:rPr>
          <w:sz w:val="26"/>
          <w:szCs w:val="26"/>
        </w:rPr>
        <w:t xml:space="preserve">n </w:t>
      </w:r>
      <w:r w:rsidR="000C09DE">
        <w:rPr>
          <w:sz w:val="26"/>
          <w:szCs w:val="26"/>
        </w:rPr>
        <w:t>February</w:t>
      </w:r>
      <w:r w:rsidR="00247856">
        <w:rPr>
          <w:sz w:val="26"/>
          <w:szCs w:val="26"/>
        </w:rPr>
        <w:t xml:space="preserve"> </w:t>
      </w:r>
      <w:r w:rsidR="000C09DE">
        <w:rPr>
          <w:sz w:val="26"/>
          <w:szCs w:val="26"/>
        </w:rPr>
        <w:t>24</w:t>
      </w:r>
      <w:r w:rsidR="00247856">
        <w:rPr>
          <w:sz w:val="26"/>
          <w:szCs w:val="26"/>
        </w:rPr>
        <w:t>, 2019,</w:t>
      </w:r>
      <w:r>
        <w:rPr>
          <w:sz w:val="26"/>
          <w:szCs w:val="26"/>
        </w:rPr>
        <w:t xml:space="preserve"> the Commission issued</w:t>
      </w:r>
      <w:r w:rsidR="0092345D">
        <w:rPr>
          <w:sz w:val="26"/>
          <w:szCs w:val="26"/>
        </w:rPr>
        <w:t xml:space="preserve"> </w:t>
      </w:r>
      <w:r w:rsidR="000C09DE">
        <w:rPr>
          <w:sz w:val="26"/>
          <w:szCs w:val="26"/>
        </w:rPr>
        <w:t>Special Agent</w:t>
      </w:r>
      <w:r w:rsidR="0092345D">
        <w:rPr>
          <w:sz w:val="26"/>
          <w:szCs w:val="26"/>
        </w:rPr>
        <w:t xml:space="preserve"> </w:t>
      </w:r>
      <w:r w:rsidR="000C09DE">
        <w:rPr>
          <w:sz w:val="26"/>
          <w:szCs w:val="26"/>
        </w:rPr>
        <w:t>Chiodo</w:t>
      </w:r>
      <w:r>
        <w:rPr>
          <w:sz w:val="26"/>
          <w:szCs w:val="26"/>
        </w:rPr>
        <w:t xml:space="preserve">’s Initial Decision in which the </w:t>
      </w:r>
      <w:r w:rsidR="000C09DE">
        <w:rPr>
          <w:sz w:val="26"/>
          <w:szCs w:val="26"/>
        </w:rPr>
        <w:t>S</w:t>
      </w:r>
      <w:r w:rsidR="00714658">
        <w:rPr>
          <w:sz w:val="26"/>
          <w:szCs w:val="26"/>
        </w:rPr>
        <w:t>pecial</w:t>
      </w:r>
      <w:r w:rsidR="000C09DE">
        <w:rPr>
          <w:sz w:val="26"/>
          <w:szCs w:val="26"/>
        </w:rPr>
        <w:t xml:space="preserve"> A</w:t>
      </w:r>
      <w:r w:rsidR="00714658">
        <w:rPr>
          <w:sz w:val="26"/>
          <w:szCs w:val="26"/>
        </w:rPr>
        <w:t>ge</w:t>
      </w:r>
      <w:r w:rsidR="006819F2">
        <w:rPr>
          <w:sz w:val="26"/>
          <w:szCs w:val="26"/>
        </w:rPr>
        <w:t>n</w:t>
      </w:r>
      <w:r w:rsidR="00714658">
        <w:rPr>
          <w:sz w:val="26"/>
          <w:szCs w:val="26"/>
        </w:rPr>
        <w:t>t</w:t>
      </w:r>
      <w:r>
        <w:rPr>
          <w:sz w:val="26"/>
          <w:szCs w:val="26"/>
        </w:rPr>
        <w:t xml:space="preserve"> </w:t>
      </w:r>
      <w:r w:rsidR="00C8279D">
        <w:rPr>
          <w:sz w:val="26"/>
          <w:szCs w:val="26"/>
        </w:rPr>
        <w:t>dismissed the Complaint</w:t>
      </w:r>
      <w:r>
        <w:rPr>
          <w:sz w:val="26"/>
          <w:szCs w:val="26"/>
        </w:rPr>
        <w:t>.</w:t>
      </w:r>
      <w:r w:rsidR="00E5678C">
        <w:rPr>
          <w:sz w:val="26"/>
          <w:szCs w:val="26"/>
        </w:rPr>
        <w:t xml:space="preserve"> </w:t>
      </w:r>
      <w:r>
        <w:rPr>
          <w:sz w:val="26"/>
          <w:szCs w:val="26"/>
        </w:rPr>
        <w:t xml:space="preserve"> </w:t>
      </w:r>
      <w:r w:rsidR="00C8279D" w:rsidRPr="000908E4">
        <w:rPr>
          <w:i/>
          <w:sz w:val="26"/>
          <w:szCs w:val="26"/>
        </w:rPr>
        <w:t>Id.</w:t>
      </w:r>
      <w:r w:rsidR="00D40CCF">
        <w:rPr>
          <w:sz w:val="26"/>
          <w:szCs w:val="26"/>
        </w:rPr>
        <w:t xml:space="preserve"> at </w:t>
      </w:r>
      <w:r w:rsidR="00732BC6">
        <w:rPr>
          <w:sz w:val="26"/>
          <w:szCs w:val="26"/>
        </w:rPr>
        <w:t>9</w:t>
      </w:r>
      <w:r w:rsidR="00971BBE">
        <w:rPr>
          <w:sz w:val="26"/>
          <w:szCs w:val="26"/>
        </w:rPr>
        <w:t>.</w:t>
      </w:r>
    </w:p>
    <w:p w14:paraId="0CAD2751" w14:textId="77777777" w:rsidR="00732BC6" w:rsidRDefault="00732BC6" w:rsidP="00DB0AC5">
      <w:pPr>
        <w:pStyle w:val="ListParagraph"/>
        <w:ind w:left="0" w:firstLine="1440"/>
        <w:jc w:val="left"/>
        <w:rPr>
          <w:sz w:val="26"/>
          <w:szCs w:val="26"/>
        </w:rPr>
      </w:pPr>
    </w:p>
    <w:p w14:paraId="69CA0126" w14:textId="0DEB69E0" w:rsidR="00D13A06" w:rsidRDefault="004A44D1" w:rsidP="00DB0AC5">
      <w:pPr>
        <w:pStyle w:val="ListParagraph"/>
        <w:ind w:left="0" w:firstLine="1440"/>
        <w:jc w:val="left"/>
        <w:rPr>
          <w:sz w:val="26"/>
          <w:szCs w:val="26"/>
        </w:rPr>
      </w:pPr>
      <w:r>
        <w:rPr>
          <w:sz w:val="26"/>
          <w:szCs w:val="26"/>
        </w:rPr>
        <w:lastRenderedPageBreak/>
        <w:t xml:space="preserve">As previously noted, </w:t>
      </w:r>
      <w:r w:rsidR="00AC6FAA">
        <w:rPr>
          <w:sz w:val="26"/>
          <w:szCs w:val="26"/>
        </w:rPr>
        <w:t>the Complainant</w:t>
      </w:r>
      <w:r w:rsidR="00B3046D">
        <w:rPr>
          <w:sz w:val="26"/>
          <w:szCs w:val="26"/>
        </w:rPr>
        <w:t xml:space="preserve"> </w:t>
      </w:r>
      <w:r w:rsidR="0088484F">
        <w:rPr>
          <w:sz w:val="26"/>
          <w:szCs w:val="26"/>
        </w:rPr>
        <w:t xml:space="preserve">filed Exceptions </w:t>
      </w:r>
      <w:r w:rsidR="008F783F">
        <w:rPr>
          <w:sz w:val="26"/>
          <w:szCs w:val="26"/>
        </w:rPr>
        <w:t xml:space="preserve">on March </w:t>
      </w:r>
      <w:r w:rsidR="00714658">
        <w:rPr>
          <w:sz w:val="26"/>
          <w:szCs w:val="26"/>
        </w:rPr>
        <w:t>4</w:t>
      </w:r>
      <w:r w:rsidR="008F783F">
        <w:rPr>
          <w:sz w:val="26"/>
          <w:szCs w:val="26"/>
        </w:rPr>
        <w:t>, 2019.</w:t>
      </w:r>
      <w:r w:rsidR="00860BEC">
        <w:rPr>
          <w:rStyle w:val="FootnoteReference"/>
          <w:sz w:val="26"/>
          <w:szCs w:val="26"/>
        </w:rPr>
        <w:footnoteReference w:id="4"/>
      </w:r>
      <w:r w:rsidR="008F783F">
        <w:rPr>
          <w:sz w:val="26"/>
          <w:szCs w:val="26"/>
        </w:rPr>
        <w:t xml:space="preserve"> </w:t>
      </w:r>
      <w:r w:rsidR="006869CB">
        <w:rPr>
          <w:sz w:val="26"/>
          <w:szCs w:val="26"/>
        </w:rPr>
        <w:t xml:space="preserve"> </w:t>
      </w:r>
      <w:r w:rsidR="000C09DE">
        <w:rPr>
          <w:sz w:val="26"/>
          <w:szCs w:val="26"/>
        </w:rPr>
        <w:t>PGW</w:t>
      </w:r>
      <w:r w:rsidR="00D13A06">
        <w:rPr>
          <w:sz w:val="26"/>
          <w:szCs w:val="26"/>
        </w:rPr>
        <w:t xml:space="preserve"> filed Repl</w:t>
      </w:r>
      <w:r w:rsidR="00FB62D4">
        <w:rPr>
          <w:sz w:val="26"/>
          <w:szCs w:val="26"/>
        </w:rPr>
        <w:t>ies</w:t>
      </w:r>
      <w:r w:rsidR="00D13A06">
        <w:rPr>
          <w:sz w:val="26"/>
          <w:szCs w:val="26"/>
        </w:rPr>
        <w:t xml:space="preserve"> </w:t>
      </w:r>
      <w:r w:rsidR="00FB62D4">
        <w:rPr>
          <w:sz w:val="26"/>
          <w:szCs w:val="26"/>
        </w:rPr>
        <w:t xml:space="preserve">to </w:t>
      </w:r>
      <w:r w:rsidR="00D13A06">
        <w:rPr>
          <w:sz w:val="26"/>
          <w:szCs w:val="26"/>
        </w:rPr>
        <w:t xml:space="preserve">Exceptions on </w:t>
      </w:r>
      <w:r w:rsidR="00714658">
        <w:rPr>
          <w:sz w:val="26"/>
          <w:szCs w:val="26"/>
        </w:rPr>
        <w:t>March</w:t>
      </w:r>
      <w:r w:rsidR="006869CB">
        <w:rPr>
          <w:sz w:val="26"/>
          <w:szCs w:val="26"/>
        </w:rPr>
        <w:t xml:space="preserve"> </w:t>
      </w:r>
      <w:r w:rsidR="00714658">
        <w:rPr>
          <w:sz w:val="26"/>
          <w:szCs w:val="26"/>
        </w:rPr>
        <w:t>15</w:t>
      </w:r>
      <w:r w:rsidR="00D13A06">
        <w:rPr>
          <w:sz w:val="26"/>
          <w:szCs w:val="26"/>
        </w:rPr>
        <w:t>, 201</w:t>
      </w:r>
      <w:r w:rsidR="00031D29">
        <w:rPr>
          <w:sz w:val="26"/>
          <w:szCs w:val="26"/>
        </w:rPr>
        <w:t>9</w:t>
      </w:r>
      <w:r w:rsidR="00D13A06">
        <w:rPr>
          <w:sz w:val="26"/>
          <w:szCs w:val="26"/>
        </w:rPr>
        <w:t>.</w:t>
      </w:r>
    </w:p>
    <w:p w14:paraId="1B496C67" w14:textId="77777777" w:rsidR="00306B4E" w:rsidRDefault="00306B4E" w:rsidP="00DB0AC5">
      <w:pPr>
        <w:pStyle w:val="ListParagraph"/>
        <w:ind w:left="0" w:firstLine="1440"/>
        <w:jc w:val="left"/>
        <w:rPr>
          <w:sz w:val="26"/>
          <w:szCs w:val="26"/>
        </w:rPr>
      </w:pPr>
    </w:p>
    <w:p w14:paraId="059B0DE3" w14:textId="77777777" w:rsidR="00001CD3" w:rsidRPr="004A44D1" w:rsidRDefault="00001CD3" w:rsidP="009B3286">
      <w:pPr>
        <w:keepNext/>
        <w:keepLines/>
        <w:ind w:firstLine="0"/>
        <w:rPr>
          <w:b/>
          <w:sz w:val="26"/>
          <w:szCs w:val="26"/>
        </w:rPr>
      </w:pPr>
      <w:r w:rsidRPr="004A44D1">
        <w:rPr>
          <w:b/>
          <w:sz w:val="26"/>
          <w:szCs w:val="26"/>
        </w:rPr>
        <w:t>Discussion</w:t>
      </w:r>
    </w:p>
    <w:p w14:paraId="28707357" w14:textId="77777777" w:rsidR="004A44D1" w:rsidRDefault="004A44D1" w:rsidP="009B3286">
      <w:pPr>
        <w:keepNext/>
        <w:keepLines/>
        <w:ind w:firstLine="0"/>
        <w:jc w:val="left"/>
      </w:pPr>
    </w:p>
    <w:p w14:paraId="7D059B15" w14:textId="387A4A78" w:rsidR="00314599" w:rsidRPr="002646DF" w:rsidRDefault="00314599" w:rsidP="009B3286">
      <w:pPr>
        <w:keepNext/>
        <w:keepLines/>
        <w:ind w:firstLine="0"/>
        <w:jc w:val="left"/>
        <w:rPr>
          <w:sz w:val="26"/>
          <w:szCs w:val="26"/>
        </w:rPr>
      </w:pPr>
      <w:r>
        <w:tab/>
      </w:r>
      <w:r>
        <w:tab/>
      </w:r>
      <w:r w:rsidRPr="002646DF">
        <w:rPr>
          <w:sz w:val="26"/>
          <w:szCs w:val="26"/>
        </w:rPr>
        <w:t xml:space="preserve">We begin by considering the nature of the filing before us, to determine the applicable legal standard of review.  Although the present letter did not comply with technical requirements for filing Exceptions, because the Complainant is appearing </w:t>
      </w:r>
      <w:r w:rsidR="00306B4E">
        <w:rPr>
          <w:i/>
          <w:sz w:val="26"/>
          <w:szCs w:val="26"/>
        </w:rPr>
        <w:t>pro </w:t>
      </w:r>
      <w:r w:rsidRPr="002646DF">
        <w:rPr>
          <w:i/>
          <w:sz w:val="26"/>
          <w:szCs w:val="26"/>
        </w:rPr>
        <w:t>se</w:t>
      </w:r>
      <w:r w:rsidRPr="00306B4E">
        <w:rPr>
          <w:sz w:val="26"/>
          <w:szCs w:val="26"/>
        </w:rPr>
        <w:t>,</w:t>
      </w:r>
      <w:r w:rsidRPr="002646DF">
        <w:rPr>
          <w:i/>
          <w:sz w:val="26"/>
          <w:szCs w:val="26"/>
        </w:rPr>
        <w:t xml:space="preserve"> </w:t>
      </w:r>
      <w:r w:rsidRPr="002646DF">
        <w:rPr>
          <w:sz w:val="26"/>
          <w:szCs w:val="26"/>
        </w:rPr>
        <w:t xml:space="preserve">we </w:t>
      </w:r>
      <w:r w:rsidR="008125A5">
        <w:rPr>
          <w:sz w:val="26"/>
          <w:szCs w:val="26"/>
        </w:rPr>
        <w:t xml:space="preserve">will </w:t>
      </w:r>
      <w:r w:rsidRPr="002646DF">
        <w:rPr>
          <w:sz w:val="26"/>
          <w:szCs w:val="26"/>
        </w:rPr>
        <w:t xml:space="preserve">exercise our discretion under 52 Pa. Code § 1.2(a), to liberally apply our regulations and construe the letter as Exceptions.  </w:t>
      </w:r>
      <w:r w:rsidR="002646DF" w:rsidRPr="002646DF">
        <w:rPr>
          <w:sz w:val="26"/>
          <w:szCs w:val="26"/>
        </w:rPr>
        <w:t>Therefore,</w:t>
      </w:r>
      <w:r w:rsidRPr="002646DF">
        <w:rPr>
          <w:sz w:val="26"/>
          <w:szCs w:val="26"/>
        </w:rPr>
        <w:t xml:space="preserve"> we will review the matter as Exceptions to the I.D.</w:t>
      </w:r>
    </w:p>
    <w:p w14:paraId="5B1B6399" w14:textId="77777777" w:rsidR="00314599" w:rsidRPr="00314599" w:rsidRDefault="00314599" w:rsidP="009B3286">
      <w:pPr>
        <w:keepNext/>
        <w:keepLines/>
        <w:ind w:firstLine="0"/>
        <w:jc w:val="left"/>
      </w:pPr>
    </w:p>
    <w:p w14:paraId="44C8BEDF" w14:textId="77777777" w:rsidR="004A44D1" w:rsidRDefault="004A44D1" w:rsidP="009B3286">
      <w:pPr>
        <w:keepNext/>
        <w:keepLines/>
        <w:autoSpaceDE w:val="0"/>
        <w:autoSpaceDN w:val="0"/>
        <w:adjustRightInd w:val="0"/>
        <w:ind w:firstLine="0"/>
        <w:jc w:val="left"/>
        <w:rPr>
          <w:rFonts w:eastAsiaTheme="minorHAnsi"/>
          <w:b/>
          <w:color w:val="000000"/>
          <w:sz w:val="26"/>
          <w:szCs w:val="26"/>
        </w:rPr>
      </w:pPr>
      <w:r>
        <w:rPr>
          <w:rFonts w:eastAsiaTheme="minorHAnsi"/>
          <w:b/>
          <w:color w:val="000000"/>
          <w:sz w:val="26"/>
          <w:szCs w:val="26"/>
        </w:rPr>
        <w:t>Legal Standards</w:t>
      </w:r>
    </w:p>
    <w:p w14:paraId="644F4621" w14:textId="77777777" w:rsidR="00B94E5C" w:rsidRDefault="00B94E5C" w:rsidP="009B3286">
      <w:pPr>
        <w:keepNext/>
        <w:keepLines/>
        <w:autoSpaceDE w:val="0"/>
        <w:autoSpaceDN w:val="0"/>
        <w:adjustRightInd w:val="0"/>
        <w:ind w:firstLine="0"/>
        <w:jc w:val="left"/>
        <w:rPr>
          <w:rFonts w:eastAsiaTheme="minorHAnsi"/>
          <w:b/>
          <w:color w:val="000000"/>
          <w:sz w:val="26"/>
          <w:szCs w:val="26"/>
        </w:rPr>
      </w:pPr>
    </w:p>
    <w:p w14:paraId="50424704" w14:textId="77777777" w:rsidR="006D198C" w:rsidRDefault="006D198C" w:rsidP="006D198C">
      <w:pPr>
        <w:ind w:firstLine="1440"/>
        <w:contextualSpacing/>
        <w:jc w:val="left"/>
        <w:rPr>
          <w:rFonts w:eastAsia="Times New Roman"/>
          <w:sz w:val="26"/>
          <w:szCs w:val="26"/>
        </w:rPr>
      </w:pPr>
      <w:r w:rsidRPr="006D198C">
        <w:rPr>
          <w:rFonts w:eastAsia="Times New Roman"/>
          <w:sz w:val="26"/>
          <w:szCs w:val="26"/>
        </w:rPr>
        <w:t>As the party seeking affirmative relief from the Commission, the complainant in a formal complaint proceeding has the burden of proof</w:t>
      </w:r>
      <w:r>
        <w:rPr>
          <w:rFonts w:eastAsia="Times New Roman"/>
          <w:sz w:val="26"/>
          <w:szCs w:val="26"/>
        </w:rPr>
        <w:t xml:space="preserve"> under the Public Utility Code (Code)</w:t>
      </w:r>
      <w:r w:rsidRPr="006D198C">
        <w:rPr>
          <w:rFonts w:eastAsia="Times New Roman"/>
          <w:sz w:val="26"/>
          <w:szCs w:val="26"/>
        </w:rPr>
        <w:t xml:space="preserve">.  66 Pa. C.S. § 332(a).  The burden of proof is the “preponderance of the evidence” standard.  </w:t>
      </w:r>
      <w:r w:rsidRPr="006D198C">
        <w:rPr>
          <w:rFonts w:eastAsia="Times New Roman"/>
          <w:i/>
          <w:sz w:val="26"/>
          <w:szCs w:val="26"/>
        </w:rPr>
        <w:t>Suber v. Pennsylvania Com’n on Crime and Deliquency</w:t>
      </w:r>
      <w:r w:rsidRPr="006D198C">
        <w:rPr>
          <w:rFonts w:eastAsia="Times New Roman"/>
          <w:sz w:val="26"/>
          <w:szCs w:val="26"/>
        </w:rPr>
        <w:t>, 885 A. 2d 678, 682 (Pa. Cmwlth. 2005) (</w:t>
      </w:r>
      <w:r w:rsidRPr="006D198C">
        <w:rPr>
          <w:rFonts w:eastAsia="Times New Roman"/>
          <w:i/>
          <w:sz w:val="26"/>
          <w:szCs w:val="26"/>
        </w:rPr>
        <w:t>Suber</w:t>
      </w:r>
      <w:r w:rsidRPr="006D198C">
        <w:rPr>
          <w:rFonts w:eastAsia="Times New Roman"/>
          <w:sz w:val="26"/>
          <w:szCs w:val="26"/>
        </w:rPr>
        <w:t xml:space="preserve">); </w:t>
      </w:r>
      <w:r w:rsidRPr="006D198C">
        <w:rPr>
          <w:rFonts w:eastAsia="Times New Roman"/>
          <w:i/>
          <w:iCs/>
          <w:sz w:val="26"/>
          <w:szCs w:val="26"/>
        </w:rPr>
        <w:t>Samuel J. Lansberry, Inc. v. Pa. PUC</w:t>
      </w:r>
      <w:r w:rsidRPr="006D198C">
        <w:rPr>
          <w:rFonts w:eastAsia="Times New Roman"/>
          <w:sz w:val="26"/>
          <w:szCs w:val="26"/>
        </w:rPr>
        <w:t xml:space="preserve">, 578 A.2d 600 (Pa. Cmwlth. 1990), </w:t>
      </w:r>
      <w:r w:rsidRPr="006D198C">
        <w:rPr>
          <w:rFonts w:eastAsia="Times New Roman"/>
          <w:i/>
          <w:sz w:val="26"/>
          <w:szCs w:val="26"/>
        </w:rPr>
        <w:t>alloc. denied</w:t>
      </w:r>
      <w:r w:rsidRPr="00306B4E">
        <w:rPr>
          <w:rFonts w:eastAsia="Times New Roman"/>
          <w:sz w:val="26"/>
          <w:szCs w:val="26"/>
        </w:rPr>
        <w:t>,</w:t>
      </w:r>
      <w:r w:rsidRPr="006D198C">
        <w:rPr>
          <w:rFonts w:eastAsia="Times New Roman"/>
          <w:sz w:val="26"/>
          <w:szCs w:val="26"/>
        </w:rPr>
        <w:t xml:space="preserve"> 529 Pa. 654, 602 A.2d 863 (1992) (</w:t>
      </w:r>
      <w:r w:rsidRPr="006D198C">
        <w:rPr>
          <w:rFonts w:eastAsia="Times New Roman"/>
          <w:i/>
          <w:sz w:val="26"/>
          <w:szCs w:val="26"/>
        </w:rPr>
        <w:t>Lansberry</w:t>
      </w:r>
      <w:r w:rsidRPr="006D198C">
        <w:rPr>
          <w:rFonts w:eastAsia="Times New Roman"/>
          <w:sz w:val="26"/>
          <w:szCs w:val="26"/>
        </w:rPr>
        <w:t xml:space="preserve">).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6D198C">
        <w:rPr>
          <w:rFonts w:eastAsia="Times New Roman"/>
          <w:i/>
          <w:sz w:val="26"/>
          <w:szCs w:val="26"/>
        </w:rPr>
        <w:t xml:space="preserve">See </w:t>
      </w:r>
      <w:r w:rsidRPr="006D198C">
        <w:rPr>
          <w:rFonts w:eastAsia="Times New Roman"/>
          <w:i/>
          <w:iCs/>
          <w:sz w:val="26"/>
          <w:szCs w:val="26"/>
        </w:rPr>
        <w:t>Se-Ling Hosiery, Inc. v. Margulies</w:t>
      </w:r>
      <w:r w:rsidRPr="006D198C">
        <w:rPr>
          <w:rFonts w:eastAsia="Times New Roman"/>
          <w:sz w:val="26"/>
          <w:szCs w:val="26"/>
        </w:rPr>
        <w:t>, 364 Pa. 45, 48-49, 70 A.2d 854, 855 (1950).</w:t>
      </w:r>
    </w:p>
    <w:p w14:paraId="19AB34EE" w14:textId="77777777" w:rsidR="00732BC6" w:rsidRPr="006D198C" w:rsidRDefault="00732BC6" w:rsidP="006D198C">
      <w:pPr>
        <w:ind w:firstLine="1440"/>
        <w:contextualSpacing/>
        <w:jc w:val="left"/>
        <w:rPr>
          <w:rFonts w:eastAsia="Times New Roman"/>
          <w:sz w:val="26"/>
          <w:szCs w:val="26"/>
        </w:rPr>
      </w:pPr>
    </w:p>
    <w:p w14:paraId="581A4515" w14:textId="77777777" w:rsidR="006D198C" w:rsidRDefault="006D198C" w:rsidP="006D198C">
      <w:pPr>
        <w:ind w:firstLine="1440"/>
        <w:jc w:val="left"/>
        <w:rPr>
          <w:rFonts w:eastAsiaTheme="minorHAnsi"/>
          <w:sz w:val="26"/>
          <w:szCs w:val="26"/>
        </w:rPr>
      </w:pPr>
      <w:r w:rsidRPr="006D198C">
        <w:rPr>
          <w:rFonts w:eastAsiaTheme="minorHAnsi"/>
          <w:sz w:val="26"/>
          <w:szCs w:val="26"/>
        </w:rPr>
        <w:lastRenderedPageBreak/>
        <w:t xml:space="preserve">Adjudications by the Commission must be supported by substantial evidence in the record.  2 Pa. C.S. § 704; </w:t>
      </w:r>
      <w:r w:rsidRPr="006D198C">
        <w:rPr>
          <w:rFonts w:eastAsiaTheme="minorHAnsi"/>
          <w:i/>
          <w:sz w:val="26"/>
          <w:szCs w:val="26"/>
        </w:rPr>
        <w:t>Lansberry</w:t>
      </w:r>
      <w:r w:rsidRPr="006D198C">
        <w:rPr>
          <w:rFonts w:eastAsiaTheme="minorHAnsi"/>
          <w:sz w:val="26"/>
          <w:szCs w:val="26"/>
        </w:rPr>
        <w:t xml:space="preserve">, 578 A.2d at 602.  Substantial evidence is such relevant evidence that a reasonable mind might accept as adequate to support a conclusion.  </w:t>
      </w:r>
      <w:r w:rsidRPr="006D198C">
        <w:rPr>
          <w:rFonts w:eastAsiaTheme="minorHAnsi"/>
          <w:i/>
          <w:sz w:val="26"/>
          <w:szCs w:val="26"/>
        </w:rPr>
        <w:t>Consolidated Edison Company of New York v. National Labor Relations Board</w:t>
      </w:r>
      <w:r w:rsidRPr="006D198C">
        <w:rPr>
          <w:rFonts w:eastAsiaTheme="minorHAnsi"/>
          <w:sz w:val="26"/>
          <w:szCs w:val="26"/>
        </w:rPr>
        <w:t xml:space="preserve">, 305 U.S. 197, 229, 59 S. Ct. 206, 217.  More is required than a mere trace of evidence or a suspicion of the existence of a fact sought to be established.  </w:t>
      </w:r>
      <w:r w:rsidRPr="006D198C">
        <w:rPr>
          <w:rFonts w:eastAsiaTheme="minorHAnsi"/>
          <w:i/>
          <w:sz w:val="26"/>
          <w:szCs w:val="26"/>
        </w:rPr>
        <w:t>Norfolk &amp; Western Ry. Co. v. Pa. PUC</w:t>
      </w:r>
      <w:r w:rsidRPr="006D198C">
        <w:rPr>
          <w:rFonts w:eastAsiaTheme="minorHAnsi"/>
          <w:iCs/>
          <w:sz w:val="26"/>
          <w:szCs w:val="26"/>
        </w:rPr>
        <w:t>,</w:t>
      </w:r>
      <w:r w:rsidRPr="006D198C">
        <w:rPr>
          <w:rFonts w:eastAsiaTheme="minorHAnsi"/>
          <w:i/>
          <w:sz w:val="26"/>
          <w:szCs w:val="26"/>
        </w:rPr>
        <w:t xml:space="preserve"> </w:t>
      </w:r>
      <w:r w:rsidRPr="006D198C">
        <w:rPr>
          <w:rFonts w:eastAsiaTheme="minorHAnsi"/>
          <w:sz w:val="26"/>
          <w:szCs w:val="26"/>
        </w:rPr>
        <w:t>489 Pa. 109, 413 A.2d 1037 (1980) (</w:t>
      </w:r>
      <w:r w:rsidRPr="006D198C">
        <w:rPr>
          <w:rFonts w:eastAsiaTheme="minorHAnsi"/>
          <w:i/>
          <w:sz w:val="26"/>
          <w:szCs w:val="26"/>
        </w:rPr>
        <w:t>Norfolk</w:t>
      </w:r>
      <w:r w:rsidRPr="006D198C">
        <w:rPr>
          <w:rFonts w:eastAsiaTheme="minorHAnsi"/>
          <w:sz w:val="26"/>
          <w:szCs w:val="26"/>
        </w:rPr>
        <w:t xml:space="preserve">); </w:t>
      </w:r>
      <w:r w:rsidRPr="006D198C">
        <w:rPr>
          <w:rFonts w:eastAsiaTheme="minorHAnsi"/>
          <w:i/>
          <w:sz w:val="26"/>
          <w:szCs w:val="26"/>
        </w:rPr>
        <w:t>Murphy v. Comm. Dept. of Public Welfare, White Haven Center</w:t>
      </w:r>
      <w:r w:rsidRPr="006D198C">
        <w:rPr>
          <w:rFonts w:eastAsiaTheme="minorHAnsi"/>
          <w:sz w:val="26"/>
          <w:szCs w:val="26"/>
        </w:rPr>
        <w:t>, 480 A.2d 382 (Pa. Cmwlth. 1984).</w:t>
      </w:r>
    </w:p>
    <w:p w14:paraId="02D9206F" w14:textId="77777777" w:rsidR="006D198C" w:rsidRDefault="006D198C" w:rsidP="006D198C">
      <w:pPr>
        <w:ind w:firstLine="1440"/>
        <w:jc w:val="left"/>
        <w:rPr>
          <w:rFonts w:eastAsiaTheme="minorHAnsi"/>
          <w:sz w:val="26"/>
          <w:szCs w:val="26"/>
        </w:rPr>
      </w:pPr>
    </w:p>
    <w:p w14:paraId="5EBDE1B8" w14:textId="46AE7B91" w:rsidR="006D198C" w:rsidRPr="006D198C" w:rsidRDefault="006D198C" w:rsidP="006D198C">
      <w:pPr>
        <w:ind w:firstLine="1440"/>
        <w:jc w:val="left"/>
        <w:rPr>
          <w:rFonts w:eastAsia="Times New Roman"/>
          <w:sz w:val="26"/>
          <w:szCs w:val="26"/>
        </w:rPr>
      </w:pPr>
      <w:r w:rsidRPr="006D198C">
        <w:rPr>
          <w:rFonts w:eastAsia="Times New Roman"/>
          <w:sz w:val="26"/>
          <w:szCs w:val="26"/>
        </w:rPr>
        <w:t>The Responsible Utility Customer Protection Act, as codified in Chapter 14 of the Code, at 66 Pa. C.S. §§ 1401 – 1419, applies to complaints alleging inability to pay and requesting Commission-</w:t>
      </w:r>
      <w:r w:rsidR="0068385C">
        <w:rPr>
          <w:rFonts w:eastAsia="Times New Roman"/>
          <w:sz w:val="26"/>
          <w:szCs w:val="26"/>
        </w:rPr>
        <w:t>issued</w:t>
      </w:r>
      <w:r w:rsidRPr="006D198C">
        <w:rPr>
          <w:rFonts w:eastAsia="Times New Roman"/>
          <w:sz w:val="26"/>
          <w:szCs w:val="26"/>
        </w:rPr>
        <w:t xml:space="preserve"> payment arrangements.  A “payment arrangement” is defined as: “[a]</w:t>
      </w:r>
      <w:r w:rsidRPr="006D198C">
        <w:rPr>
          <w:rFonts w:eastAsia="Times New Roman"/>
          <w:color w:val="212121"/>
          <w:sz w:val="26"/>
          <w:szCs w:val="26"/>
        </w:rPr>
        <w:t xml:space="preserve">n agreement whereby a customer who admits liability for billed service is permitted to amortize or pay the unpaid balance of the account in one or more payments.”  </w:t>
      </w:r>
      <w:r w:rsidRPr="006D198C">
        <w:rPr>
          <w:rFonts w:eastAsia="Times New Roman"/>
          <w:sz w:val="26"/>
          <w:szCs w:val="26"/>
        </w:rPr>
        <w:t>66 Pa. C.S. § 1403.</w:t>
      </w:r>
    </w:p>
    <w:p w14:paraId="35892DCF" w14:textId="77777777" w:rsidR="006D198C" w:rsidRPr="006D198C" w:rsidRDefault="006D198C" w:rsidP="006D198C">
      <w:pPr>
        <w:ind w:firstLine="1440"/>
        <w:jc w:val="left"/>
        <w:rPr>
          <w:rFonts w:eastAsia="Times New Roman"/>
          <w:sz w:val="26"/>
          <w:szCs w:val="26"/>
        </w:rPr>
      </w:pPr>
    </w:p>
    <w:p w14:paraId="6AAF2022" w14:textId="7E68258E" w:rsidR="006D198C" w:rsidRDefault="006D198C" w:rsidP="006D198C">
      <w:pPr>
        <w:ind w:firstLine="1440"/>
        <w:jc w:val="left"/>
        <w:rPr>
          <w:rFonts w:eastAsia="Times New Roman"/>
          <w:sz w:val="26"/>
          <w:szCs w:val="26"/>
        </w:rPr>
      </w:pPr>
      <w:r w:rsidRPr="006D198C">
        <w:rPr>
          <w:rFonts w:eastAsia="Times New Roman"/>
          <w:sz w:val="26"/>
          <w:szCs w:val="26"/>
        </w:rPr>
        <w:t xml:space="preserve">Section 1405(a) makes explicit the power of the Commission to investigate payment disputes between a public utility and its applicants and customers.  It also makes explicit the Commission’s authority to establish at least one payment arrangement per customer subject to the limitations of Section 1405.  </w:t>
      </w:r>
      <w:r w:rsidRPr="006D198C">
        <w:rPr>
          <w:rFonts w:eastAsia="Times New Roman"/>
          <w:i/>
          <w:sz w:val="26"/>
          <w:szCs w:val="26"/>
        </w:rPr>
        <w:t xml:space="preserve">See </w:t>
      </w:r>
      <w:r w:rsidRPr="006D198C">
        <w:rPr>
          <w:rFonts w:eastAsia="Times New Roman"/>
          <w:sz w:val="26"/>
          <w:szCs w:val="26"/>
        </w:rPr>
        <w:t>66 Pa. C.S. § 1405(a).</w:t>
      </w:r>
    </w:p>
    <w:p w14:paraId="5B70B28F" w14:textId="77777777" w:rsidR="002646DF" w:rsidRPr="006D198C" w:rsidRDefault="002646DF" w:rsidP="006D198C">
      <w:pPr>
        <w:ind w:firstLine="1440"/>
        <w:jc w:val="left"/>
        <w:rPr>
          <w:rFonts w:eastAsia="Times New Roman"/>
          <w:sz w:val="26"/>
          <w:szCs w:val="26"/>
        </w:rPr>
      </w:pPr>
    </w:p>
    <w:p w14:paraId="0D7EFB9B" w14:textId="77777777" w:rsidR="006D198C" w:rsidRPr="006D198C" w:rsidRDefault="006D198C" w:rsidP="006D198C">
      <w:pPr>
        <w:ind w:firstLine="1440"/>
        <w:jc w:val="left"/>
        <w:rPr>
          <w:rFonts w:eastAsia="Times New Roman"/>
          <w:sz w:val="26"/>
          <w:szCs w:val="26"/>
        </w:rPr>
      </w:pPr>
      <w:bookmarkStart w:id="0" w:name="_Hlk531271779"/>
      <w:r w:rsidRPr="006D198C">
        <w:rPr>
          <w:rFonts w:eastAsia="Times New Roman"/>
          <w:sz w:val="26"/>
          <w:szCs w:val="26"/>
        </w:rPr>
        <w:t>For any customer who defaults on a Commission-issued payment arrangement, the customer may receive relief from the Commission only if the customer demonstrates a “change in income</w:t>
      </w:r>
      <w:r w:rsidR="005C5D50">
        <w:rPr>
          <w:rFonts w:eastAsia="Times New Roman"/>
          <w:sz w:val="26"/>
          <w:szCs w:val="26"/>
        </w:rPr>
        <w:t>.</w:t>
      </w:r>
      <w:r w:rsidRPr="006D198C">
        <w:rPr>
          <w:rFonts w:eastAsia="Times New Roman"/>
          <w:sz w:val="26"/>
          <w:szCs w:val="26"/>
        </w:rPr>
        <w:t>”  66 Pa. C.S. § 1405(d).</w:t>
      </w:r>
      <w:r w:rsidR="00D0773E">
        <w:rPr>
          <w:rFonts w:eastAsia="Times New Roman"/>
          <w:sz w:val="26"/>
          <w:szCs w:val="26"/>
        </w:rPr>
        <w:t xml:space="preserve">  </w:t>
      </w:r>
      <w:r w:rsidR="005C5D50">
        <w:rPr>
          <w:rFonts w:eastAsia="Times New Roman"/>
          <w:sz w:val="26"/>
          <w:szCs w:val="26"/>
        </w:rPr>
        <w:t>A change in income is defined as follows:</w:t>
      </w:r>
    </w:p>
    <w:p w14:paraId="5B87331D" w14:textId="77777777" w:rsidR="006D198C" w:rsidRPr="006D198C" w:rsidRDefault="006D198C" w:rsidP="006D198C">
      <w:pPr>
        <w:spacing w:line="240" w:lineRule="auto"/>
        <w:ind w:firstLine="1440"/>
        <w:jc w:val="left"/>
        <w:rPr>
          <w:rFonts w:eastAsia="Times New Roman"/>
          <w:sz w:val="26"/>
          <w:szCs w:val="26"/>
        </w:rPr>
      </w:pPr>
    </w:p>
    <w:p w14:paraId="3818CF1C" w14:textId="1C87D319" w:rsidR="006D198C" w:rsidRPr="005E050D" w:rsidRDefault="006D198C" w:rsidP="00336E53">
      <w:pPr>
        <w:spacing w:line="240" w:lineRule="auto"/>
        <w:ind w:left="1440" w:right="1440" w:firstLine="0"/>
        <w:jc w:val="left"/>
        <w:rPr>
          <w:rFonts w:eastAsia="Times New Roman"/>
          <w:b/>
          <w:bCs/>
          <w:color w:val="212121"/>
          <w:sz w:val="26"/>
          <w:szCs w:val="26"/>
        </w:rPr>
      </w:pPr>
      <w:r w:rsidRPr="006D198C">
        <w:rPr>
          <w:rFonts w:eastAsia="Times New Roman"/>
          <w:color w:val="212121"/>
          <w:sz w:val="26"/>
          <w:szCs w:val="26"/>
        </w:rPr>
        <w:t>A decrease in household income</w:t>
      </w:r>
      <w:r w:rsidR="00306B4E">
        <w:rPr>
          <w:rFonts w:eastAsia="Times New Roman"/>
          <w:color w:val="212121"/>
          <w:sz w:val="26"/>
          <w:szCs w:val="26"/>
        </w:rPr>
        <w:t xml:space="preserve"> of 20% or more if the customer’</w:t>
      </w:r>
      <w:r w:rsidRPr="006D198C">
        <w:rPr>
          <w:rFonts w:eastAsia="Times New Roman"/>
          <w:color w:val="212121"/>
          <w:sz w:val="26"/>
          <w:szCs w:val="26"/>
        </w:rPr>
        <w:t xml:space="preserve">s household income level exceeds 200% of the Federal poverty level or a decrease in household income of </w:t>
      </w:r>
      <w:r w:rsidRPr="006D198C">
        <w:rPr>
          <w:rFonts w:eastAsia="Times New Roman"/>
          <w:color w:val="212121"/>
          <w:sz w:val="26"/>
          <w:szCs w:val="26"/>
        </w:rPr>
        <w:lastRenderedPageBreak/>
        <w:t>10% or more if the customer's household income level is 200% or less of the Federal poverty level.</w:t>
      </w:r>
    </w:p>
    <w:p w14:paraId="2ACE3007" w14:textId="77777777" w:rsidR="008125A5" w:rsidRDefault="008125A5" w:rsidP="00306B4E">
      <w:pPr>
        <w:spacing w:line="480" w:lineRule="auto"/>
        <w:ind w:firstLine="0"/>
        <w:jc w:val="left"/>
        <w:rPr>
          <w:rFonts w:eastAsia="Times New Roman"/>
          <w:sz w:val="26"/>
          <w:szCs w:val="26"/>
        </w:rPr>
      </w:pPr>
    </w:p>
    <w:p w14:paraId="431541A1" w14:textId="77777777" w:rsidR="006D198C" w:rsidRPr="007851EB" w:rsidRDefault="005C5D50" w:rsidP="006D198C">
      <w:pPr>
        <w:ind w:firstLine="0"/>
        <w:jc w:val="left"/>
        <w:rPr>
          <w:rFonts w:eastAsia="Times New Roman"/>
          <w:sz w:val="26"/>
          <w:szCs w:val="26"/>
        </w:rPr>
      </w:pPr>
      <w:r w:rsidRPr="007851EB">
        <w:rPr>
          <w:rFonts w:eastAsia="Times New Roman"/>
          <w:sz w:val="26"/>
          <w:szCs w:val="26"/>
        </w:rPr>
        <w:t>66 Pa. Code § 1403.</w:t>
      </w:r>
    </w:p>
    <w:p w14:paraId="21838319" w14:textId="77777777" w:rsidR="005C5D50" w:rsidRPr="00E345FA" w:rsidRDefault="005C5D50" w:rsidP="006D198C">
      <w:pPr>
        <w:ind w:firstLine="0"/>
        <w:jc w:val="left"/>
        <w:rPr>
          <w:rFonts w:eastAsia="Times New Roman"/>
          <w:sz w:val="26"/>
          <w:szCs w:val="26"/>
        </w:rPr>
      </w:pPr>
    </w:p>
    <w:p w14:paraId="4D49261B" w14:textId="2EC740F8" w:rsidR="005C5D50" w:rsidRPr="006D198C" w:rsidRDefault="005C5D50" w:rsidP="005C5D50">
      <w:pPr>
        <w:autoSpaceDE w:val="0"/>
        <w:autoSpaceDN w:val="0"/>
        <w:adjustRightInd w:val="0"/>
        <w:ind w:firstLine="1440"/>
        <w:jc w:val="left"/>
        <w:rPr>
          <w:rFonts w:eastAsia="Times New Roman"/>
          <w:sz w:val="26"/>
          <w:szCs w:val="26"/>
        </w:rPr>
      </w:pPr>
      <w:r>
        <w:rPr>
          <w:rFonts w:eastAsia="Times New Roman"/>
          <w:sz w:val="26"/>
          <w:szCs w:val="26"/>
        </w:rPr>
        <w:t>Under Section 1405(d), i</w:t>
      </w:r>
      <w:r w:rsidRPr="006D198C">
        <w:rPr>
          <w:rFonts w:eastAsia="Times New Roman"/>
          <w:sz w:val="26"/>
          <w:szCs w:val="26"/>
        </w:rPr>
        <w:t>f the payment-defaulted customer establishes that he/she experienced a “change in income” since the time of the previously Commission-</w:t>
      </w:r>
      <w:r w:rsidR="003A4723">
        <w:rPr>
          <w:rFonts w:eastAsia="Times New Roman"/>
          <w:sz w:val="26"/>
          <w:szCs w:val="26"/>
        </w:rPr>
        <w:t>issued</w:t>
      </w:r>
      <w:r w:rsidRPr="006D198C">
        <w:rPr>
          <w:rFonts w:eastAsia="Times New Roman"/>
          <w:sz w:val="26"/>
          <w:szCs w:val="26"/>
        </w:rPr>
        <w:t xml:space="preserve"> payment arrangement, the Commission is authorized to exercise its discretion and grant a second or subsequent payment arrangement to the customer. 66 Pa. C.S. §</w:t>
      </w:r>
      <w:r w:rsidR="00222708">
        <w:rPr>
          <w:rFonts w:eastAsia="Times New Roman"/>
          <w:sz w:val="26"/>
          <w:szCs w:val="26"/>
        </w:rPr>
        <w:t> </w:t>
      </w:r>
      <w:r w:rsidRPr="006D198C">
        <w:rPr>
          <w:rFonts w:eastAsia="Times New Roman"/>
          <w:sz w:val="26"/>
          <w:szCs w:val="26"/>
        </w:rPr>
        <w:t>1405(d).</w:t>
      </w:r>
    </w:p>
    <w:p w14:paraId="0A47B35A" w14:textId="77777777" w:rsidR="005C5D50" w:rsidRPr="00E345FA" w:rsidRDefault="005C5D50" w:rsidP="006D198C">
      <w:pPr>
        <w:ind w:firstLine="0"/>
        <w:jc w:val="left"/>
        <w:rPr>
          <w:rFonts w:eastAsia="Times New Roman"/>
          <w:sz w:val="26"/>
          <w:szCs w:val="26"/>
        </w:rPr>
      </w:pPr>
    </w:p>
    <w:p w14:paraId="7BB8397E" w14:textId="161728F5" w:rsidR="006D198C" w:rsidRPr="006D198C" w:rsidRDefault="005C5D50" w:rsidP="006D198C">
      <w:pPr>
        <w:ind w:firstLine="1440"/>
        <w:jc w:val="left"/>
        <w:rPr>
          <w:rFonts w:eastAsia="Times New Roman"/>
          <w:sz w:val="26"/>
          <w:szCs w:val="26"/>
        </w:rPr>
      </w:pPr>
      <w:r>
        <w:rPr>
          <w:rFonts w:eastAsia="Times New Roman"/>
          <w:sz w:val="26"/>
          <w:szCs w:val="26"/>
        </w:rPr>
        <w:t xml:space="preserve">Alternatively, the Commission may </w:t>
      </w:r>
      <w:r w:rsidR="00FD4D73">
        <w:rPr>
          <w:rFonts w:eastAsia="Times New Roman"/>
          <w:sz w:val="26"/>
          <w:szCs w:val="26"/>
        </w:rPr>
        <w:t xml:space="preserve">reinstate a prior Commission-issued </w:t>
      </w:r>
      <w:r>
        <w:rPr>
          <w:rFonts w:eastAsia="Times New Roman"/>
          <w:sz w:val="26"/>
          <w:szCs w:val="26"/>
        </w:rPr>
        <w:t>payment arrangement</w:t>
      </w:r>
      <w:r w:rsidR="00FD4D73">
        <w:rPr>
          <w:rFonts w:eastAsia="Times New Roman"/>
          <w:sz w:val="26"/>
          <w:szCs w:val="26"/>
        </w:rPr>
        <w:t xml:space="preserve"> </w:t>
      </w:r>
      <w:r w:rsidR="00FD4D73" w:rsidRPr="006D198C">
        <w:rPr>
          <w:rFonts w:eastAsia="Times New Roman"/>
          <w:sz w:val="26"/>
          <w:szCs w:val="26"/>
        </w:rPr>
        <w:t xml:space="preserve">and extend the remaining term for a period of six months, </w:t>
      </w:r>
      <w:r w:rsidR="00FD4D73">
        <w:rPr>
          <w:rFonts w:eastAsia="Times New Roman"/>
          <w:sz w:val="26"/>
          <w:szCs w:val="26"/>
        </w:rPr>
        <w:t xml:space="preserve">if there has been a significant change in circumstance.  </w:t>
      </w:r>
      <w:r w:rsidR="00FD4D73" w:rsidRPr="007851EB">
        <w:rPr>
          <w:rFonts w:eastAsia="Times New Roman"/>
          <w:i/>
          <w:sz w:val="26"/>
          <w:szCs w:val="26"/>
        </w:rPr>
        <w:t>See</w:t>
      </w:r>
      <w:r w:rsidR="00FD4D73">
        <w:rPr>
          <w:rFonts w:eastAsia="Times New Roman"/>
          <w:sz w:val="26"/>
          <w:szCs w:val="26"/>
        </w:rPr>
        <w:t xml:space="preserve"> 66 Pa. C.S. § 1405(e).  </w:t>
      </w:r>
      <w:r w:rsidR="006D198C" w:rsidRPr="006D198C">
        <w:rPr>
          <w:rFonts w:eastAsia="Times New Roman"/>
          <w:sz w:val="26"/>
          <w:szCs w:val="26"/>
        </w:rPr>
        <w:t>A “significant change in circumstance” is defined as follows:</w:t>
      </w:r>
    </w:p>
    <w:p w14:paraId="658280A5" w14:textId="77777777" w:rsidR="006D198C" w:rsidRPr="006D198C" w:rsidRDefault="006D198C" w:rsidP="006D198C">
      <w:pPr>
        <w:spacing w:line="240" w:lineRule="auto"/>
        <w:ind w:left="1440" w:right="1440" w:firstLine="0"/>
        <w:jc w:val="left"/>
        <w:rPr>
          <w:rFonts w:eastAsia="Times New Roman"/>
          <w:sz w:val="26"/>
          <w:szCs w:val="26"/>
        </w:rPr>
      </w:pPr>
    </w:p>
    <w:p w14:paraId="5A8E2D1B" w14:textId="77777777" w:rsidR="00CA6708" w:rsidRDefault="006D198C" w:rsidP="006D198C">
      <w:pPr>
        <w:spacing w:line="240" w:lineRule="auto"/>
        <w:ind w:left="1440" w:right="1440" w:firstLine="0"/>
        <w:jc w:val="left"/>
        <w:rPr>
          <w:rFonts w:eastAsia="Times New Roman"/>
          <w:sz w:val="26"/>
          <w:szCs w:val="26"/>
        </w:rPr>
      </w:pPr>
      <w:r w:rsidRPr="006D198C">
        <w:rPr>
          <w:rFonts w:eastAsia="Times New Roman"/>
          <w:sz w:val="26"/>
          <w:szCs w:val="26"/>
        </w:rPr>
        <w:t>Any of the following criteria when verified by the public utility and experienced by customers with household income less than 300% of the Federal poverty level:</w:t>
      </w:r>
    </w:p>
    <w:p w14:paraId="1B65459E" w14:textId="77777777" w:rsidR="006D198C" w:rsidRPr="006D198C" w:rsidRDefault="006D198C" w:rsidP="006D198C">
      <w:pPr>
        <w:spacing w:line="240" w:lineRule="auto"/>
        <w:ind w:left="1440" w:right="1440" w:firstLine="0"/>
        <w:jc w:val="left"/>
        <w:rPr>
          <w:rFonts w:eastAsia="Times New Roman"/>
          <w:sz w:val="26"/>
          <w:szCs w:val="26"/>
        </w:rPr>
      </w:pPr>
    </w:p>
    <w:p w14:paraId="172C8BF4" w14:textId="77777777" w:rsidR="006D198C" w:rsidRPr="006D198C" w:rsidRDefault="006D198C" w:rsidP="006D198C">
      <w:pPr>
        <w:widowControl w:val="0"/>
        <w:numPr>
          <w:ilvl w:val="0"/>
          <w:numId w:val="6"/>
        </w:numPr>
        <w:spacing w:line="240" w:lineRule="auto"/>
        <w:ind w:right="1440"/>
        <w:contextualSpacing/>
        <w:jc w:val="left"/>
        <w:rPr>
          <w:rFonts w:eastAsia="Times New Roman"/>
          <w:sz w:val="26"/>
          <w:szCs w:val="26"/>
        </w:rPr>
      </w:pPr>
      <w:r w:rsidRPr="006D198C">
        <w:rPr>
          <w:rFonts w:eastAsia="Times New Roman"/>
          <w:sz w:val="26"/>
          <w:szCs w:val="26"/>
        </w:rPr>
        <w:t>The onset of a chronic or acute illness resulting in a significant loss in the customer’s household income.</w:t>
      </w:r>
    </w:p>
    <w:p w14:paraId="2301C30B" w14:textId="77777777" w:rsidR="006D198C" w:rsidRPr="006D198C" w:rsidRDefault="006D198C" w:rsidP="006D198C">
      <w:pPr>
        <w:spacing w:line="240" w:lineRule="auto"/>
        <w:ind w:left="1800" w:right="1440" w:firstLine="0"/>
        <w:contextualSpacing/>
        <w:jc w:val="left"/>
        <w:rPr>
          <w:rFonts w:eastAsia="Times New Roman"/>
          <w:sz w:val="26"/>
          <w:szCs w:val="26"/>
        </w:rPr>
      </w:pPr>
    </w:p>
    <w:p w14:paraId="15A447B4" w14:textId="77777777" w:rsidR="006D198C" w:rsidRPr="006D198C" w:rsidRDefault="006D198C" w:rsidP="006D198C">
      <w:pPr>
        <w:widowControl w:val="0"/>
        <w:numPr>
          <w:ilvl w:val="0"/>
          <w:numId w:val="6"/>
        </w:numPr>
        <w:spacing w:line="240" w:lineRule="auto"/>
        <w:ind w:right="1440"/>
        <w:contextualSpacing/>
        <w:jc w:val="left"/>
        <w:rPr>
          <w:rFonts w:eastAsia="Times New Roman"/>
          <w:sz w:val="26"/>
          <w:szCs w:val="26"/>
        </w:rPr>
      </w:pPr>
      <w:r w:rsidRPr="006D198C">
        <w:rPr>
          <w:rFonts w:eastAsia="Times New Roman"/>
          <w:sz w:val="26"/>
          <w:szCs w:val="26"/>
        </w:rPr>
        <w:t>Catastrophic damage to the customer’s residence resulting in a significant net cost to the customer’s household.</w:t>
      </w:r>
    </w:p>
    <w:p w14:paraId="5A5F7B89" w14:textId="77777777" w:rsidR="006D198C" w:rsidRPr="006D198C" w:rsidRDefault="006D198C" w:rsidP="006D198C">
      <w:pPr>
        <w:spacing w:line="240" w:lineRule="auto"/>
        <w:ind w:left="1800" w:right="1440" w:firstLine="0"/>
        <w:jc w:val="left"/>
        <w:rPr>
          <w:rFonts w:eastAsia="Times New Roman"/>
          <w:sz w:val="26"/>
          <w:szCs w:val="26"/>
        </w:rPr>
      </w:pPr>
    </w:p>
    <w:p w14:paraId="1C132AFC" w14:textId="77777777" w:rsidR="006D198C" w:rsidRPr="006D198C" w:rsidRDefault="006D198C" w:rsidP="006D198C">
      <w:pPr>
        <w:widowControl w:val="0"/>
        <w:numPr>
          <w:ilvl w:val="0"/>
          <w:numId w:val="6"/>
        </w:numPr>
        <w:spacing w:line="240" w:lineRule="auto"/>
        <w:ind w:right="1440"/>
        <w:contextualSpacing/>
        <w:jc w:val="left"/>
        <w:rPr>
          <w:rFonts w:eastAsia="Times New Roman"/>
          <w:sz w:val="26"/>
          <w:szCs w:val="26"/>
        </w:rPr>
      </w:pPr>
      <w:r w:rsidRPr="006D198C">
        <w:rPr>
          <w:rFonts w:eastAsia="Times New Roman"/>
          <w:sz w:val="26"/>
          <w:szCs w:val="26"/>
        </w:rPr>
        <w:t>Loss of customer’s residence.</w:t>
      </w:r>
    </w:p>
    <w:p w14:paraId="2664D4D3" w14:textId="77777777" w:rsidR="006D198C" w:rsidRPr="006D198C" w:rsidRDefault="006D198C" w:rsidP="006D198C">
      <w:pPr>
        <w:spacing w:line="240" w:lineRule="auto"/>
        <w:ind w:left="1800" w:right="1440" w:firstLine="0"/>
        <w:jc w:val="left"/>
        <w:rPr>
          <w:rFonts w:eastAsia="Times New Roman"/>
          <w:sz w:val="26"/>
          <w:szCs w:val="26"/>
        </w:rPr>
      </w:pPr>
    </w:p>
    <w:p w14:paraId="5108B605" w14:textId="23012B86" w:rsidR="00FD4D73" w:rsidRPr="00336E53" w:rsidRDefault="006D198C" w:rsidP="004A1BE1">
      <w:pPr>
        <w:widowControl w:val="0"/>
        <w:numPr>
          <w:ilvl w:val="0"/>
          <w:numId w:val="6"/>
        </w:numPr>
        <w:spacing w:line="240" w:lineRule="auto"/>
        <w:ind w:right="1440" w:firstLine="0"/>
        <w:contextualSpacing/>
        <w:jc w:val="left"/>
        <w:rPr>
          <w:rFonts w:eastAsia="Times New Roman"/>
          <w:sz w:val="26"/>
          <w:szCs w:val="26"/>
        </w:rPr>
      </w:pPr>
      <w:r w:rsidRPr="00336E53">
        <w:rPr>
          <w:rFonts w:eastAsia="Times New Roman"/>
          <w:sz w:val="26"/>
          <w:szCs w:val="26"/>
        </w:rPr>
        <w:t>Increase in the customer’s number of dependents in the household.</w:t>
      </w:r>
    </w:p>
    <w:p w14:paraId="563BC3F1" w14:textId="77777777" w:rsidR="008125A5" w:rsidRDefault="008125A5" w:rsidP="00306B4E">
      <w:pPr>
        <w:spacing w:line="480" w:lineRule="auto"/>
        <w:ind w:firstLine="0"/>
        <w:jc w:val="left"/>
        <w:rPr>
          <w:rFonts w:eastAsia="Times New Roman"/>
          <w:sz w:val="26"/>
          <w:szCs w:val="26"/>
        </w:rPr>
      </w:pPr>
    </w:p>
    <w:p w14:paraId="4DD8E47E" w14:textId="77777777" w:rsidR="006D198C" w:rsidRDefault="00FD4D73" w:rsidP="006D198C">
      <w:pPr>
        <w:ind w:firstLine="0"/>
        <w:jc w:val="left"/>
        <w:rPr>
          <w:rFonts w:eastAsia="Times New Roman"/>
          <w:sz w:val="26"/>
          <w:szCs w:val="26"/>
        </w:rPr>
      </w:pPr>
      <w:r w:rsidRPr="006D198C">
        <w:rPr>
          <w:rFonts w:eastAsia="Times New Roman"/>
          <w:sz w:val="26"/>
          <w:szCs w:val="26"/>
        </w:rPr>
        <w:t>66 Pa. C.S. § 1403</w:t>
      </w:r>
      <w:r>
        <w:rPr>
          <w:rFonts w:eastAsia="Times New Roman"/>
          <w:sz w:val="26"/>
          <w:szCs w:val="26"/>
        </w:rPr>
        <w:t>.</w:t>
      </w:r>
    </w:p>
    <w:p w14:paraId="14C29DDA" w14:textId="77777777" w:rsidR="00732BC6" w:rsidRDefault="00732BC6" w:rsidP="006D198C">
      <w:pPr>
        <w:ind w:firstLine="0"/>
        <w:jc w:val="left"/>
        <w:rPr>
          <w:rFonts w:eastAsia="Times New Roman"/>
          <w:sz w:val="26"/>
          <w:szCs w:val="26"/>
        </w:rPr>
      </w:pPr>
    </w:p>
    <w:p w14:paraId="092E7324" w14:textId="55FD931C" w:rsidR="0040380C" w:rsidRDefault="006D198C" w:rsidP="0040380C">
      <w:pPr>
        <w:autoSpaceDE w:val="0"/>
        <w:autoSpaceDN w:val="0"/>
        <w:adjustRightInd w:val="0"/>
        <w:ind w:firstLine="1440"/>
        <w:jc w:val="left"/>
        <w:rPr>
          <w:rFonts w:eastAsia="Times New Roman"/>
          <w:sz w:val="26"/>
          <w:szCs w:val="26"/>
        </w:rPr>
      </w:pPr>
      <w:r w:rsidRPr="006D198C">
        <w:rPr>
          <w:rFonts w:eastAsia="Times New Roman"/>
          <w:sz w:val="26"/>
          <w:szCs w:val="26"/>
        </w:rPr>
        <w:lastRenderedPageBreak/>
        <w:t>In all cases, however, the Commission will examine all relevant circumstances related to the payment-defaulted customer, to ensure that the granting of the appropriate relief is a prudent exercise of our discretion.</w:t>
      </w:r>
      <w:bookmarkEnd w:id="0"/>
    </w:p>
    <w:p w14:paraId="5603CF5E" w14:textId="77777777" w:rsidR="00880D51" w:rsidRDefault="00880D51" w:rsidP="0040380C">
      <w:pPr>
        <w:autoSpaceDE w:val="0"/>
        <w:autoSpaceDN w:val="0"/>
        <w:adjustRightInd w:val="0"/>
        <w:ind w:firstLine="1440"/>
        <w:jc w:val="left"/>
        <w:rPr>
          <w:rFonts w:eastAsia="Times New Roman"/>
          <w:sz w:val="26"/>
          <w:szCs w:val="26"/>
        </w:rPr>
      </w:pPr>
    </w:p>
    <w:p w14:paraId="6B373831" w14:textId="77777777" w:rsidR="00880D51" w:rsidRDefault="00880D51" w:rsidP="0093651F">
      <w:pPr>
        <w:ind w:firstLine="1440"/>
        <w:contextualSpacing/>
        <w:jc w:val="left"/>
        <w:rPr>
          <w:sz w:val="26"/>
          <w:szCs w:val="26"/>
        </w:rPr>
      </w:pPr>
      <w:r>
        <w:rPr>
          <w:sz w:val="26"/>
          <w:szCs w:val="26"/>
        </w:rPr>
        <w:t>W</w:t>
      </w:r>
      <w:r w:rsidRPr="00DB0AC5">
        <w:rPr>
          <w:sz w:val="26"/>
          <w:szCs w:val="26"/>
        </w:rPr>
        <w:t xml:space="preserve">e note that any issue or Exception that we do not specifically address shall be deemed to have been duly considered and denied without further discussion.  The Commission is not required to consider, either expressly or at length, each contention or argument raised by the Parties.  </w:t>
      </w:r>
      <w:r w:rsidRPr="00DB0AC5">
        <w:rPr>
          <w:rStyle w:val="Emphasis"/>
          <w:sz w:val="26"/>
          <w:szCs w:val="26"/>
        </w:rPr>
        <w:t>Consolidated Rail Corp. v. Pa. PUC</w:t>
      </w:r>
      <w:r w:rsidRPr="00306B4E">
        <w:rPr>
          <w:rStyle w:val="Emphasis"/>
          <w:i w:val="0"/>
          <w:sz w:val="26"/>
          <w:szCs w:val="26"/>
        </w:rPr>
        <w:t>,</w:t>
      </w:r>
      <w:r w:rsidRPr="00DB0AC5">
        <w:rPr>
          <w:rStyle w:val="Emphasis"/>
          <w:sz w:val="26"/>
          <w:szCs w:val="26"/>
        </w:rPr>
        <w:t xml:space="preserve"> </w:t>
      </w:r>
      <w:r w:rsidRPr="00DB0AC5">
        <w:rPr>
          <w:sz w:val="26"/>
          <w:szCs w:val="26"/>
        </w:rPr>
        <w:t xml:space="preserve">625 A.2d 741 (Pa. Cmwlth. 1993); </w:t>
      </w:r>
      <w:r w:rsidRPr="00DB0AC5">
        <w:rPr>
          <w:i/>
          <w:sz w:val="26"/>
          <w:szCs w:val="26"/>
        </w:rPr>
        <w:t xml:space="preserve">also </w:t>
      </w:r>
      <w:r w:rsidRPr="00DB0AC5">
        <w:rPr>
          <w:rStyle w:val="Emphasis"/>
          <w:sz w:val="26"/>
          <w:szCs w:val="26"/>
        </w:rPr>
        <w:t>see, generally, University of Pennsylvania v. Pa. PUC</w:t>
      </w:r>
      <w:r w:rsidRPr="00DB0AC5">
        <w:rPr>
          <w:sz w:val="26"/>
          <w:szCs w:val="26"/>
        </w:rPr>
        <w:t>, 485 A.2d 1217 (Pa. Cmwlth. 1984).</w:t>
      </w:r>
    </w:p>
    <w:p w14:paraId="407390FC" w14:textId="77777777" w:rsidR="00860BEC" w:rsidRPr="0093651F" w:rsidRDefault="00860BEC" w:rsidP="0093651F">
      <w:pPr>
        <w:ind w:firstLine="1440"/>
        <w:contextualSpacing/>
        <w:jc w:val="left"/>
        <w:rPr>
          <w:sz w:val="26"/>
          <w:szCs w:val="26"/>
        </w:rPr>
      </w:pPr>
    </w:p>
    <w:p w14:paraId="2C8DDDA7" w14:textId="77777777" w:rsidR="004A44D1" w:rsidRPr="0040380C" w:rsidRDefault="000C09DE" w:rsidP="00A24E38">
      <w:pPr>
        <w:keepNext/>
        <w:keepLines/>
        <w:autoSpaceDE w:val="0"/>
        <w:autoSpaceDN w:val="0"/>
        <w:adjustRightInd w:val="0"/>
        <w:ind w:firstLine="0"/>
        <w:jc w:val="left"/>
        <w:rPr>
          <w:rFonts w:eastAsia="Times New Roman"/>
          <w:sz w:val="26"/>
          <w:szCs w:val="26"/>
        </w:rPr>
      </w:pPr>
      <w:r>
        <w:rPr>
          <w:b/>
          <w:sz w:val="26"/>
          <w:szCs w:val="26"/>
        </w:rPr>
        <w:t>S</w:t>
      </w:r>
      <w:r w:rsidR="00714658">
        <w:rPr>
          <w:b/>
          <w:sz w:val="26"/>
          <w:szCs w:val="26"/>
        </w:rPr>
        <w:t>pecial</w:t>
      </w:r>
      <w:r>
        <w:rPr>
          <w:b/>
          <w:sz w:val="26"/>
          <w:szCs w:val="26"/>
        </w:rPr>
        <w:t xml:space="preserve"> A</w:t>
      </w:r>
      <w:r w:rsidR="00714658">
        <w:rPr>
          <w:b/>
          <w:sz w:val="26"/>
          <w:szCs w:val="26"/>
        </w:rPr>
        <w:t>gent</w:t>
      </w:r>
      <w:r w:rsidR="004A44D1" w:rsidRPr="00DB0AC5">
        <w:rPr>
          <w:b/>
          <w:sz w:val="26"/>
          <w:szCs w:val="26"/>
        </w:rPr>
        <w:t>’s Initial Decision</w:t>
      </w:r>
    </w:p>
    <w:p w14:paraId="597D1BCB" w14:textId="77777777" w:rsidR="004A44D1" w:rsidRPr="00DB0AC5" w:rsidRDefault="004A44D1" w:rsidP="00A24E38">
      <w:pPr>
        <w:keepNext/>
        <w:keepLines/>
        <w:ind w:firstLine="1440"/>
        <w:jc w:val="left"/>
        <w:rPr>
          <w:rStyle w:val="Hyperlink"/>
          <w:color w:val="auto"/>
          <w:sz w:val="26"/>
          <w:szCs w:val="26"/>
        </w:rPr>
      </w:pPr>
    </w:p>
    <w:p w14:paraId="2FA02991" w14:textId="77777777" w:rsidR="00A61546" w:rsidRPr="00DB0AC5" w:rsidRDefault="005C5958" w:rsidP="0040380C">
      <w:pPr>
        <w:autoSpaceDE w:val="0"/>
        <w:autoSpaceDN w:val="0"/>
        <w:adjustRightInd w:val="0"/>
        <w:ind w:firstLine="1440"/>
        <w:jc w:val="left"/>
        <w:rPr>
          <w:sz w:val="26"/>
          <w:szCs w:val="26"/>
        </w:rPr>
      </w:pPr>
      <w:r>
        <w:rPr>
          <w:sz w:val="26"/>
          <w:szCs w:val="26"/>
        </w:rPr>
        <w:t>In h</w:t>
      </w:r>
      <w:r w:rsidR="00732BC6">
        <w:rPr>
          <w:sz w:val="26"/>
          <w:szCs w:val="26"/>
        </w:rPr>
        <w:t>er</w:t>
      </w:r>
      <w:r>
        <w:rPr>
          <w:sz w:val="26"/>
          <w:szCs w:val="26"/>
        </w:rPr>
        <w:t xml:space="preserve"> Initial Decision, </w:t>
      </w:r>
      <w:r w:rsidR="000C09DE">
        <w:rPr>
          <w:sz w:val="26"/>
          <w:szCs w:val="26"/>
        </w:rPr>
        <w:t>S</w:t>
      </w:r>
      <w:r w:rsidR="00714658">
        <w:rPr>
          <w:sz w:val="26"/>
          <w:szCs w:val="26"/>
        </w:rPr>
        <w:t>pecial</w:t>
      </w:r>
      <w:r w:rsidR="000C09DE">
        <w:rPr>
          <w:sz w:val="26"/>
          <w:szCs w:val="26"/>
        </w:rPr>
        <w:t xml:space="preserve"> A</w:t>
      </w:r>
      <w:r w:rsidR="00714658">
        <w:rPr>
          <w:sz w:val="26"/>
          <w:szCs w:val="26"/>
        </w:rPr>
        <w:t>gent</w:t>
      </w:r>
      <w:r w:rsidR="003B432B" w:rsidRPr="00DB0AC5">
        <w:rPr>
          <w:sz w:val="26"/>
          <w:szCs w:val="26"/>
        </w:rPr>
        <w:t xml:space="preserve"> </w:t>
      </w:r>
      <w:r w:rsidR="00714658">
        <w:rPr>
          <w:sz w:val="26"/>
          <w:szCs w:val="26"/>
        </w:rPr>
        <w:t>Chiodo</w:t>
      </w:r>
      <w:r w:rsidR="003B432B" w:rsidRPr="00DB0AC5">
        <w:rPr>
          <w:sz w:val="26"/>
          <w:szCs w:val="26"/>
        </w:rPr>
        <w:t xml:space="preserve"> made </w:t>
      </w:r>
      <w:r w:rsidR="00714658">
        <w:rPr>
          <w:sz w:val="26"/>
          <w:szCs w:val="26"/>
        </w:rPr>
        <w:t>fourteen</w:t>
      </w:r>
      <w:r w:rsidR="00A61546" w:rsidRPr="00DB0AC5">
        <w:rPr>
          <w:sz w:val="26"/>
          <w:szCs w:val="26"/>
        </w:rPr>
        <w:t xml:space="preserve"> </w:t>
      </w:r>
      <w:r w:rsidR="003B432B" w:rsidRPr="00DB0AC5">
        <w:rPr>
          <w:sz w:val="26"/>
          <w:szCs w:val="26"/>
        </w:rPr>
        <w:t xml:space="preserve">Findings of Fact and reached </w:t>
      </w:r>
      <w:r w:rsidR="00714658">
        <w:rPr>
          <w:sz w:val="26"/>
          <w:szCs w:val="26"/>
        </w:rPr>
        <w:t>ten</w:t>
      </w:r>
      <w:r w:rsidR="00A61546" w:rsidRPr="00DB0AC5">
        <w:rPr>
          <w:sz w:val="26"/>
          <w:szCs w:val="26"/>
        </w:rPr>
        <w:t xml:space="preserve"> Conclusions of Law.  I.D. at </w:t>
      </w:r>
      <w:r w:rsidR="00714658">
        <w:rPr>
          <w:sz w:val="26"/>
          <w:szCs w:val="26"/>
        </w:rPr>
        <w:t>2</w:t>
      </w:r>
      <w:r w:rsidR="00A35F49">
        <w:rPr>
          <w:sz w:val="26"/>
          <w:szCs w:val="26"/>
        </w:rPr>
        <w:t>-</w:t>
      </w:r>
      <w:r w:rsidR="00714658">
        <w:rPr>
          <w:sz w:val="26"/>
          <w:szCs w:val="26"/>
        </w:rPr>
        <w:t>4</w:t>
      </w:r>
      <w:r w:rsidR="009C1A68">
        <w:rPr>
          <w:sz w:val="26"/>
          <w:szCs w:val="26"/>
        </w:rPr>
        <w:t xml:space="preserve">, </w:t>
      </w:r>
      <w:r w:rsidR="00714658">
        <w:rPr>
          <w:sz w:val="26"/>
          <w:szCs w:val="26"/>
        </w:rPr>
        <w:t>7</w:t>
      </w:r>
      <w:r w:rsidR="00A61546" w:rsidRPr="00DB0AC5">
        <w:rPr>
          <w:sz w:val="26"/>
          <w:szCs w:val="26"/>
        </w:rPr>
        <w:t>-</w:t>
      </w:r>
      <w:r w:rsidR="00714658">
        <w:rPr>
          <w:sz w:val="26"/>
          <w:szCs w:val="26"/>
        </w:rPr>
        <w:t>9</w:t>
      </w:r>
      <w:r w:rsidR="00A61546" w:rsidRPr="00DB0AC5">
        <w:rPr>
          <w:sz w:val="26"/>
          <w:szCs w:val="26"/>
        </w:rPr>
        <w:t>.  The Findings of Fact and Conclusions of Law are incorporated herein by reference and are adopted without comment unless they are either expressly or by necessary implication rejected or modified by this Opinion and Order</w:t>
      </w:r>
      <w:r w:rsidR="00202599" w:rsidRPr="00DB0AC5">
        <w:rPr>
          <w:sz w:val="26"/>
          <w:szCs w:val="26"/>
        </w:rPr>
        <w:t>.</w:t>
      </w:r>
    </w:p>
    <w:p w14:paraId="2E676BF4" w14:textId="77777777" w:rsidR="00202599" w:rsidRPr="00DB0AC5" w:rsidRDefault="00202599" w:rsidP="0040380C">
      <w:pPr>
        <w:autoSpaceDE w:val="0"/>
        <w:autoSpaceDN w:val="0"/>
        <w:adjustRightInd w:val="0"/>
        <w:ind w:firstLine="1440"/>
        <w:jc w:val="left"/>
        <w:rPr>
          <w:sz w:val="26"/>
          <w:szCs w:val="26"/>
        </w:rPr>
      </w:pPr>
    </w:p>
    <w:p w14:paraId="50A54608" w14:textId="5ABB1701" w:rsidR="00DB0AC5" w:rsidRDefault="008125A5" w:rsidP="00E345FA">
      <w:pPr>
        <w:autoSpaceDE w:val="0"/>
        <w:autoSpaceDN w:val="0"/>
        <w:adjustRightInd w:val="0"/>
        <w:ind w:firstLine="1440"/>
        <w:jc w:val="left"/>
        <w:rPr>
          <w:iCs/>
          <w:sz w:val="26"/>
          <w:szCs w:val="26"/>
        </w:rPr>
      </w:pPr>
      <w:r>
        <w:rPr>
          <w:sz w:val="26"/>
          <w:szCs w:val="26"/>
        </w:rPr>
        <w:t>Regarding</w:t>
      </w:r>
      <w:r w:rsidR="00204A6B">
        <w:rPr>
          <w:sz w:val="26"/>
          <w:szCs w:val="26"/>
        </w:rPr>
        <w:t xml:space="preserve"> the</w:t>
      </w:r>
      <w:r w:rsidR="005550E7">
        <w:rPr>
          <w:sz w:val="26"/>
          <w:szCs w:val="26"/>
        </w:rPr>
        <w:t xml:space="preserve"> Complainant’s request for an affordable payment arrangement</w:t>
      </w:r>
      <w:r w:rsidR="00D62719" w:rsidRPr="003A4F89">
        <w:rPr>
          <w:sz w:val="26"/>
          <w:szCs w:val="26"/>
        </w:rPr>
        <w:t xml:space="preserve">, the </w:t>
      </w:r>
      <w:r w:rsidR="000C09DE">
        <w:rPr>
          <w:sz w:val="26"/>
          <w:szCs w:val="26"/>
        </w:rPr>
        <w:t>S</w:t>
      </w:r>
      <w:r w:rsidR="00714658">
        <w:rPr>
          <w:sz w:val="26"/>
          <w:szCs w:val="26"/>
        </w:rPr>
        <w:t>pecial Agent</w:t>
      </w:r>
      <w:r w:rsidR="00D62719" w:rsidRPr="003A4F89">
        <w:rPr>
          <w:sz w:val="26"/>
          <w:szCs w:val="26"/>
        </w:rPr>
        <w:t xml:space="preserve"> </w:t>
      </w:r>
      <w:r w:rsidR="005550E7">
        <w:rPr>
          <w:sz w:val="26"/>
          <w:szCs w:val="26"/>
        </w:rPr>
        <w:t>noted</w:t>
      </w:r>
      <w:r w:rsidR="00D62719" w:rsidRPr="003A4F89">
        <w:rPr>
          <w:sz w:val="26"/>
          <w:szCs w:val="26"/>
        </w:rPr>
        <w:t xml:space="preserve"> that </w:t>
      </w:r>
      <w:r w:rsidR="00772D65" w:rsidRPr="00DB0AC5">
        <w:rPr>
          <w:sz w:val="26"/>
          <w:szCs w:val="26"/>
        </w:rPr>
        <w:t xml:space="preserve">the Complainant </w:t>
      </w:r>
      <w:r w:rsidR="00EE2122">
        <w:rPr>
          <w:sz w:val="26"/>
          <w:szCs w:val="26"/>
        </w:rPr>
        <w:t xml:space="preserve">had </w:t>
      </w:r>
      <w:r w:rsidR="00CB771D" w:rsidRPr="00DB0AC5">
        <w:rPr>
          <w:sz w:val="26"/>
          <w:szCs w:val="26"/>
        </w:rPr>
        <w:t>defaulted</w:t>
      </w:r>
      <w:r w:rsidR="00CB771D">
        <w:rPr>
          <w:sz w:val="26"/>
          <w:szCs w:val="26"/>
        </w:rPr>
        <w:t xml:space="preserve"> </w:t>
      </w:r>
      <w:r w:rsidR="005A5A51">
        <w:rPr>
          <w:sz w:val="26"/>
          <w:szCs w:val="26"/>
        </w:rPr>
        <w:t>on the</w:t>
      </w:r>
      <w:r w:rsidR="005E3476">
        <w:rPr>
          <w:sz w:val="26"/>
          <w:szCs w:val="26"/>
        </w:rPr>
        <w:t xml:space="preserve"> </w:t>
      </w:r>
      <w:r w:rsidR="00EE2122">
        <w:rPr>
          <w:sz w:val="26"/>
          <w:szCs w:val="26"/>
        </w:rPr>
        <w:t>Commission</w:t>
      </w:r>
      <w:r w:rsidR="0040380C">
        <w:rPr>
          <w:sz w:val="26"/>
          <w:szCs w:val="26"/>
        </w:rPr>
        <w:t>-</w:t>
      </w:r>
      <w:r w:rsidR="003A4723">
        <w:rPr>
          <w:sz w:val="26"/>
          <w:szCs w:val="26"/>
        </w:rPr>
        <w:t>issued</w:t>
      </w:r>
      <w:r w:rsidR="00EE2122" w:rsidRPr="00DB0AC5">
        <w:rPr>
          <w:sz w:val="26"/>
          <w:szCs w:val="26"/>
        </w:rPr>
        <w:t xml:space="preserve"> </w:t>
      </w:r>
      <w:r w:rsidR="005A5A51">
        <w:rPr>
          <w:sz w:val="26"/>
          <w:szCs w:val="26"/>
        </w:rPr>
        <w:t xml:space="preserve">PAR </w:t>
      </w:r>
      <w:r w:rsidR="00772D65" w:rsidRPr="00DB0AC5">
        <w:rPr>
          <w:sz w:val="26"/>
          <w:szCs w:val="26"/>
        </w:rPr>
        <w:t xml:space="preserve">granted </w:t>
      </w:r>
      <w:r w:rsidR="005A5A51">
        <w:rPr>
          <w:sz w:val="26"/>
          <w:szCs w:val="26"/>
        </w:rPr>
        <w:t>to her by BCS</w:t>
      </w:r>
      <w:r w:rsidR="00B04800">
        <w:rPr>
          <w:sz w:val="26"/>
          <w:szCs w:val="26"/>
        </w:rPr>
        <w:t xml:space="preserve"> on </w:t>
      </w:r>
      <w:r w:rsidR="00204A6B">
        <w:rPr>
          <w:sz w:val="26"/>
          <w:szCs w:val="26"/>
        </w:rPr>
        <w:t>April</w:t>
      </w:r>
      <w:r w:rsidR="00B04800">
        <w:rPr>
          <w:sz w:val="26"/>
          <w:szCs w:val="26"/>
        </w:rPr>
        <w:t xml:space="preserve"> </w:t>
      </w:r>
      <w:r w:rsidR="00204A6B">
        <w:rPr>
          <w:sz w:val="26"/>
          <w:szCs w:val="26"/>
        </w:rPr>
        <w:t>2</w:t>
      </w:r>
      <w:r w:rsidR="00222708">
        <w:rPr>
          <w:sz w:val="26"/>
          <w:szCs w:val="26"/>
        </w:rPr>
        <w:t>5</w:t>
      </w:r>
      <w:r w:rsidR="00B04800">
        <w:rPr>
          <w:sz w:val="26"/>
          <w:szCs w:val="26"/>
        </w:rPr>
        <w:t>, 201</w:t>
      </w:r>
      <w:r w:rsidR="00B65B1C">
        <w:rPr>
          <w:sz w:val="26"/>
          <w:szCs w:val="26"/>
        </w:rPr>
        <w:t>4</w:t>
      </w:r>
      <w:r w:rsidR="00D02483" w:rsidRPr="00DB0AC5">
        <w:rPr>
          <w:sz w:val="26"/>
          <w:szCs w:val="26"/>
        </w:rPr>
        <w:t xml:space="preserve"> </w:t>
      </w:r>
      <w:r w:rsidR="00204A6B">
        <w:rPr>
          <w:sz w:val="26"/>
          <w:szCs w:val="26"/>
        </w:rPr>
        <w:t>(2014 PAR)</w:t>
      </w:r>
      <w:r w:rsidR="00222708">
        <w:rPr>
          <w:sz w:val="26"/>
          <w:szCs w:val="26"/>
        </w:rPr>
        <w:t>.</w:t>
      </w:r>
      <w:r w:rsidR="00204A6B">
        <w:rPr>
          <w:sz w:val="26"/>
          <w:szCs w:val="26"/>
        </w:rPr>
        <w:t xml:space="preserve"> </w:t>
      </w:r>
      <w:r w:rsidR="00222708">
        <w:rPr>
          <w:sz w:val="26"/>
          <w:szCs w:val="26"/>
        </w:rPr>
        <w:t xml:space="preserve"> </w:t>
      </w:r>
      <w:r w:rsidR="00306B4E">
        <w:rPr>
          <w:sz w:val="26"/>
          <w:szCs w:val="26"/>
        </w:rPr>
        <w:t>I.D. at </w:t>
      </w:r>
      <w:r w:rsidR="001E3DC4">
        <w:rPr>
          <w:sz w:val="26"/>
          <w:szCs w:val="26"/>
        </w:rPr>
        <w:t xml:space="preserve">3, </w:t>
      </w:r>
      <w:r w:rsidR="00B65B1C">
        <w:rPr>
          <w:sz w:val="26"/>
          <w:szCs w:val="26"/>
        </w:rPr>
        <w:t>6</w:t>
      </w:r>
      <w:r>
        <w:rPr>
          <w:sz w:val="26"/>
          <w:szCs w:val="26"/>
        </w:rPr>
        <w:t>;</w:t>
      </w:r>
      <w:r w:rsidR="005A5A51">
        <w:rPr>
          <w:sz w:val="26"/>
          <w:szCs w:val="26"/>
        </w:rPr>
        <w:t xml:space="preserve"> Exhibit </w:t>
      </w:r>
      <w:r w:rsidR="00204A6B">
        <w:rPr>
          <w:sz w:val="26"/>
          <w:szCs w:val="26"/>
        </w:rPr>
        <w:t>3</w:t>
      </w:r>
      <w:r w:rsidR="00772D65" w:rsidRPr="00DB0AC5">
        <w:rPr>
          <w:sz w:val="26"/>
          <w:szCs w:val="26"/>
        </w:rPr>
        <w:t xml:space="preserve">.  </w:t>
      </w:r>
      <w:r w:rsidR="00454BF7">
        <w:rPr>
          <w:sz w:val="26"/>
          <w:szCs w:val="26"/>
        </w:rPr>
        <w:t xml:space="preserve">The Special Agent explained that the Complainant testified that </w:t>
      </w:r>
      <w:r w:rsidR="001E3DC4">
        <w:rPr>
          <w:sz w:val="26"/>
          <w:szCs w:val="26"/>
        </w:rPr>
        <w:t xml:space="preserve">her household size consisted of </w:t>
      </w:r>
      <w:r w:rsidR="00454BF7">
        <w:rPr>
          <w:sz w:val="26"/>
          <w:szCs w:val="26"/>
        </w:rPr>
        <w:t xml:space="preserve">two adults which includes herself and her adult son.  </w:t>
      </w:r>
      <w:r w:rsidR="00731B7A">
        <w:rPr>
          <w:sz w:val="26"/>
          <w:szCs w:val="26"/>
        </w:rPr>
        <w:t xml:space="preserve">The </w:t>
      </w:r>
      <w:r w:rsidR="000C09DE">
        <w:rPr>
          <w:sz w:val="26"/>
          <w:szCs w:val="26"/>
        </w:rPr>
        <w:t>S</w:t>
      </w:r>
      <w:r w:rsidR="00714658">
        <w:rPr>
          <w:sz w:val="26"/>
          <w:szCs w:val="26"/>
        </w:rPr>
        <w:t>pecial</w:t>
      </w:r>
      <w:r w:rsidR="000C09DE">
        <w:rPr>
          <w:sz w:val="26"/>
          <w:szCs w:val="26"/>
        </w:rPr>
        <w:t xml:space="preserve"> A</w:t>
      </w:r>
      <w:r w:rsidR="00714658">
        <w:rPr>
          <w:sz w:val="26"/>
          <w:szCs w:val="26"/>
        </w:rPr>
        <w:t>gent</w:t>
      </w:r>
      <w:r w:rsidR="00731B7A">
        <w:rPr>
          <w:sz w:val="26"/>
          <w:szCs w:val="26"/>
        </w:rPr>
        <w:t xml:space="preserve"> </w:t>
      </w:r>
      <w:r w:rsidR="001E3DC4">
        <w:rPr>
          <w:sz w:val="26"/>
          <w:szCs w:val="26"/>
        </w:rPr>
        <w:t xml:space="preserve">also </w:t>
      </w:r>
      <w:r w:rsidR="00731B7A">
        <w:rPr>
          <w:sz w:val="26"/>
          <w:szCs w:val="26"/>
        </w:rPr>
        <w:t>explain</w:t>
      </w:r>
      <w:r w:rsidR="00B04800">
        <w:rPr>
          <w:sz w:val="26"/>
          <w:szCs w:val="26"/>
        </w:rPr>
        <w:t>ed</w:t>
      </w:r>
      <w:r w:rsidR="00731B7A">
        <w:rPr>
          <w:sz w:val="26"/>
          <w:szCs w:val="26"/>
        </w:rPr>
        <w:t xml:space="preserve"> that </w:t>
      </w:r>
      <w:r w:rsidR="001E3DC4">
        <w:rPr>
          <w:sz w:val="26"/>
          <w:szCs w:val="26"/>
        </w:rPr>
        <w:t xml:space="preserve">in order </w:t>
      </w:r>
      <w:r w:rsidR="00731B7A">
        <w:rPr>
          <w:sz w:val="26"/>
          <w:szCs w:val="26"/>
        </w:rPr>
        <w:t xml:space="preserve">for </w:t>
      </w:r>
      <w:r w:rsidR="00772D65" w:rsidRPr="00DB0AC5">
        <w:rPr>
          <w:sz w:val="26"/>
          <w:szCs w:val="26"/>
        </w:rPr>
        <w:t xml:space="preserve">the Commission to </w:t>
      </w:r>
      <w:r>
        <w:rPr>
          <w:sz w:val="26"/>
          <w:szCs w:val="26"/>
        </w:rPr>
        <w:t>issue</w:t>
      </w:r>
      <w:r w:rsidR="00772D65" w:rsidRPr="00DB0AC5">
        <w:rPr>
          <w:sz w:val="26"/>
          <w:szCs w:val="26"/>
        </w:rPr>
        <w:t xml:space="preserve"> a second payment arrangement</w:t>
      </w:r>
      <w:r w:rsidR="00C1186F">
        <w:rPr>
          <w:sz w:val="26"/>
          <w:szCs w:val="26"/>
        </w:rPr>
        <w:t>,</w:t>
      </w:r>
      <w:r w:rsidR="00772D65" w:rsidRPr="00DB0AC5">
        <w:rPr>
          <w:sz w:val="26"/>
          <w:szCs w:val="26"/>
        </w:rPr>
        <w:t xml:space="preserve"> </w:t>
      </w:r>
      <w:r w:rsidR="00731B7A">
        <w:rPr>
          <w:sz w:val="26"/>
          <w:szCs w:val="26"/>
        </w:rPr>
        <w:t xml:space="preserve">the Complainant </w:t>
      </w:r>
      <w:r w:rsidR="00C1186F">
        <w:rPr>
          <w:sz w:val="26"/>
          <w:szCs w:val="26"/>
        </w:rPr>
        <w:t>must</w:t>
      </w:r>
      <w:r w:rsidR="00731B7A">
        <w:rPr>
          <w:sz w:val="26"/>
          <w:szCs w:val="26"/>
        </w:rPr>
        <w:t xml:space="preserve"> have </w:t>
      </w:r>
      <w:r w:rsidR="00C1186F">
        <w:rPr>
          <w:sz w:val="26"/>
          <w:szCs w:val="26"/>
        </w:rPr>
        <w:t xml:space="preserve">had </w:t>
      </w:r>
      <w:r w:rsidR="00731B7A">
        <w:rPr>
          <w:sz w:val="26"/>
          <w:szCs w:val="26"/>
        </w:rPr>
        <w:t xml:space="preserve">a </w:t>
      </w:r>
      <w:r w:rsidR="0040380C">
        <w:rPr>
          <w:sz w:val="26"/>
          <w:szCs w:val="26"/>
        </w:rPr>
        <w:t xml:space="preserve">“change in income” or a </w:t>
      </w:r>
      <w:r w:rsidR="00772D65" w:rsidRPr="00DB0AC5">
        <w:rPr>
          <w:sz w:val="26"/>
          <w:szCs w:val="26"/>
        </w:rPr>
        <w:t>decrease in income</w:t>
      </w:r>
      <w:r w:rsidR="00880D51" w:rsidRPr="00880D51">
        <w:rPr>
          <w:sz w:val="26"/>
          <w:szCs w:val="26"/>
        </w:rPr>
        <w:t xml:space="preserve"> </w:t>
      </w:r>
      <w:r w:rsidR="00880D51">
        <w:rPr>
          <w:sz w:val="26"/>
          <w:szCs w:val="26"/>
        </w:rPr>
        <w:t xml:space="preserve">of </w:t>
      </w:r>
      <w:r w:rsidR="00204A6B">
        <w:rPr>
          <w:sz w:val="26"/>
          <w:szCs w:val="26"/>
        </w:rPr>
        <w:t>twenty</w:t>
      </w:r>
      <w:r w:rsidR="00880D51">
        <w:rPr>
          <w:sz w:val="26"/>
          <w:szCs w:val="26"/>
        </w:rPr>
        <w:t xml:space="preserve"> percent or more</w:t>
      </w:r>
      <w:r w:rsidR="00772D65" w:rsidRPr="00DB0AC5">
        <w:rPr>
          <w:sz w:val="26"/>
          <w:szCs w:val="26"/>
        </w:rPr>
        <w:t>.</w:t>
      </w:r>
      <w:r w:rsidR="00D02483" w:rsidRPr="00DB0AC5">
        <w:rPr>
          <w:sz w:val="26"/>
          <w:szCs w:val="26"/>
        </w:rPr>
        <w:t xml:space="preserve">  </w:t>
      </w:r>
      <w:r w:rsidR="0093651F">
        <w:rPr>
          <w:sz w:val="26"/>
          <w:szCs w:val="26"/>
        </w:rPr>
        <w:t xml:space="preserve">I.D. at </w:t>
      </w:r>
      <w:r w:rsidR="00204A6B">
        <w:rPr>
          <w:sz w:val="26"/>
          <w:szCs w:val="26"/>
        </w:rPr>
        <w:t>6</w:t>
      </w:r>
      <w:r w:rsidR="0093651F">
        <w:rPr>
          <w:sz w:val="26"/>
          <w:szCs w:val="26"/>
        </w:rPr>
        <w:t xml:space="preserve"> (citing 66 Pa. C.S. § 1405(d)).  </w:t>
      </w:r>
      <w:r w:rsidR="00D02483" w:rsidRPr="00DB0AC5">
        <w:rPr>
          <w:sz w:val="26"/>
          <w:szCs w:val="26"/>
        </w:rPr>
        <w:t xml:space="preserve">The </w:t>
      </w:r>
      <w:r w:rsidR="000C09DE">
        <w:rPr>
          <w:sz w:val="26"/>
          <w:szCs w:val="26"/>
        </w:rPr>
        <w:t>S</w:t>
      </w:r>
      <w:r w:rsidR="00714658">
        <w:rPr>
          <w:sz w:val="26"/>
          <w:szCs w:val="26"/>
        </w:rPr>
        <w:t>pecial</w:t>
      </w:r>
      <w:r w:rsidR="000C09DE">
        <w:rPr>
          <w:sz w:val="26"/>
          <w:szCs w:val="26"/>
        </w:rPr>
        <w:t xml:space="preserve"> A</w:t>
      </w:r>
      <w:r w:rsidR="00714658">
        <w:rPr>
          <w:sz w:val="26"/>
          <w:szCs w:val="26"/>
        </w:rPr>
        <w:t>ge</w:t>
      </w:r>
      <w:r w:rsidR="003011C1">
        <w:rPr>
          <w:sz w:val="26"/>
          <w:szCs w:val="26"/>
        </w:rPr>
        <w:t>n</w:t>
      </w:r>
      <w:r w:rsidR="00714658">
        <w:rPr>
          <w:sz w:val="26"/>
          <w:szCs w:val="26"/>
        </w:rPr>
        <w:t>t</w:t>
      </w:r>
      <w:r w:rsidR="00D02483" w:rsidRPr="00DB0AC5">
        <w:rPr>
          <w:sz w:val="26"/>
          <w:szCs w:val="26"/>
        </w:rPr>
        <w:t xml:space="preserve"> </w:t>
      </w:r>
      <w:r w:rsidR="0075780F" w:rsidRPr="00DB0AC5">
        <w:rPr>
          <w:sz w:val="26"/>
          <w:szCs w:val="26"/>
        </w:rPr>
        <w:t>noted that</w:t>
      </w:r>
      <w:r w:rsidR="000079E5">
        <w:rPr>
          <w:sz w:val="26"/>
          <w:szCs w:val="26"/>
        </w:rPr>
        <w:t>, when BCS</w:t>
      </w:r>
      <w:r w:rsidR="0040380C">
        <w:rPr>
          <w:sz w:val="26"/>
          <w:szCs w:val="26"/>
        </w:rPr>
        <w:t xml:space="preserve"> issued the</w:t>
      </w:r>
      <w:r w:rsidR="000079E5">
        <w:rPr>
          <w:sz w:val="26"/>
          <w:szCs w:val="26"/>
        </w:rPr>
        <w:t xml:space="preserve"> </w:t>
      </w:r>
      <w:r w:rsidR="00204A6B">
        <w:rPr>
          <w:sz w:val="26"/>
          <w:szCs w:val="26"/>
        </w:rPr>
        <w:t xml:space="preserve">2014 </w:t>
      </w:r>
      <w:r w:rsidR="000079E5">
        <w:rPr>
          <w:sz w:val="26"/>
          <w:szCs w:val="26"/>
        </w:rPr>
        <w:t>PAR</w:t>
      </w:r>
      <w:r w:rsidR="0040380C">
        <w:rPr>
          <w:sz w:val="26"/>
          <w:szCs w:val="26"/>
        </w:rPr>
        <w:t xml:space="preserve">, </w:t>
      </w:r>
      <w:r w:rsidR="000079E5">
        <w:rPr>
          <w:sz w:val="26"/>
          <w:szCs w:val="26"/>
        </w:rPr>
        <w:t>t</w:t>
      </w:r>
      <w:r w:rsidR="0075780F" w:rsidRPr="00DB0AC5">
        <w:rPr>
          <w:sz w:val="26"/>
          <w:szCs w:val="26"/>
        </w:rPr>
        <w:t xml:space="preserve">he </w:t>
      </w:r>
      <w:r w:rsidR="00D02483" w:rsidRPr="00DB0AC5">
        <w:rPr>
          <w:sz w:val="26"/>
          <w:szCs w:val="26"/>
        </w:rPr>
        <w:t>Complainant</w:t>
      </w:r>
      <w:r w:rsidR="000079E5">
        <w:rPr>
          <w:sz w:val="26"/>
          <w:szCs w:val="26"/>
        </w:rPr>
        <w:t xml:space="preserve"> had reported </w:t>
      </w:r>
      <w:r w:rsidR="00204A6B">
        <w:rPr>
          <w:sz w:val="26"/>
          <w:szCs w:val="26"/>
        </w:rPr>
        <w:t xml:space="preserve">a monthly income of </w:t>
      </w:r>
      <w:r w:rsidR="001E3DC4">
        <w:rPr>
          <w:sz w:val="26"/>
          <w:szCs w:val="26"/>
        </w:rPr>
        <w:t>$</w:t>
      </w:r>
      <w:r w:rsidR="00204A6B">
        <w:rPr>
          <w:sz w:val="26"/>
          <w:szCs w:val="26"/>
        </w:rPr>
        <w:t>1,386.67</w:t>
      </w:r>
      <w:r w:rsidR="00E00E7D">
        <w:rPr>
          <w:sz w:val="26"/>
          <w:szCs w:val="26"/>
        </w:rPr>
        <w:t>.</w:t>
      </w:r>
      <w:r w:rsidR="00D02483" w:rsidRPr="00DB0AC5">
        <w:rPr>
          <w:sz w:val="26"/>
          <w:szCs w:val="26"/>
        </w:rPr>
        <w:t xml:space="preserve">  </w:t>
      </w:r>
      <w:r w:rsidR="007F4608">
        <w:rPr>
          <w:sz w:val="26"/>
          <w:szCs w:val="26"/>
        </w:rPr>
        <w:t xml:space="preserve">The </w:t>
      </w:r>
      <w:r w:rsidR="000C09DE">
        <w:rPr>
          <w:sz w:val="26"/>
          <w:szCs w:val="26"/>
        </w:rPr>
        <w:t>S</w:t>
      </w:r>
      <w:r w:rsidR="00714658">
        <w:rPr>
          <w:sz w:val="26"/>
          <w:szCs w:val="26"/>
        </w:rPr>
        <w:t>pecial</w:t>
      </w:r>
      <w:r w:rsidR="000C09DE">
        <w:rPr>
          <w:sz w:val="26"/>
          <w:szCs w:val="26"/>
        </w:rPr>
        <w:t xml:space="preserve"> A</w:t>
      </w:r>
      <w:r w:rsidR="00714658">
        <w:rPr>
          <w:sz w:val="26"/>
          <w:szCs w:val="26"/>
        </w:rPr>
        <w:t>gent</w:t>
      </w:r>
      <w:r w:rsidR="007F4608">
        <w:rPr>
          <w:sz w:val="26"/>
          <w:szCs w:val="26"/>
        </w:rPr>
        <w:t xml:space="preserve"> also noted that</w:t>
      </w:r>
      <w:r w:rsidR="0040380C">
        <w:rPr>
          <w:sz w:val="26"/>
          <w:szCs w:val="26"/>
        </w:rPr>
        <w:t>,</w:t>
      </w:r>
      <w:r w:rsidR="007F4608">
        <w:rPr>
          <w:sz w:val="26"/>
          <w:szCs w:val="26"/>
        </w:rPr>
        <w:t xml:space="preserve"> at the time of the </w:t>
      </w:r>
      <w:r w:rsidR="007F4608">
        <w:rPr>
          <w:sz w:val="26"/>
          <w:szCs w:val="26"/>
        </w:rPr>
        <w:lastRenderedPageBreak/>
        <w:t>hearing</w:t>
      </w:r>
      <w:r w:rsidR="0040380C">
        <w:rPr>
          <w:sz w:val="26"/>
          <w:szCs w:val="26"/>
        </w:rPr>
        <w:t>,</w:t>
      </w:r>
      <w:r w:rsidR="007F4608">
        <w:rPr>
          <w:sz w:val="26"/>
          <w:szCs w:val="26"/>
        </w:rPr>
        <w:t xml:space="preserve"> the Complainant testified that </w:t>
      </w:r>
      <w:r w:rsidR="00204A6B">
        <w:rPr>
          <w:sz w:val="26"/>
          <w:szCs w:val="26"/>
        </w:rPr>
        <w:t xml:space="preserve">her gross household income </w:t>
      </w:r>
      <w:r w:rsidR="00454BF7">
        <w:rPr>
          <w:sz w:val="26"/>
          <w:szCs w:val="26"/>
        </w:rPr>
        <w:t>wa</w:t>
      </w:r>
      <w:r w:rsidR="00204A6B">
        <w:rPr>
          <w:sz w:val="26"/>
          <w:szCs w:val="26"/>
        </w:rPr>
        <w:t>s $34,000</w:t>
      </w:r>
      <w:r w:rsidR="00454BF7">
        <w:rPr>
          <w:sz w:val="26"/>
          <w:szCs w:val="26"/>
        </w:rPr>
        <w:t>,</w:t>
      </w:r>
      <w:r w:rsidR="00204A6B">
        <w:rPr>
          <w:sz w:val="26"/>
          <w:szCs w:val="26"/>
        </w:rPr>
        <w:t xml:space="preserve"> which translate</w:t>
      </w:r>
      <w:r w:rsidR="00454BF7">
        <w:rPr>
          <w:sz w:val="26"/>
          <w:szCs w:val="26"/>
        </w:rPr>
        <w:t>d</w:t>
      </w:r>
      <w:r w:rsidR="00204A6B">
        <w:rPr>
          <w:sz w:val="26"/>
          <w:szCs w:val="26"/>
        </w:rPr>
        <w:t xml:space="preserve"> to $2,833 per month.  </w:t>
      </w:r>
      <w:r w:rsidR="0093651F">
        <w:rPr>
          <w:sz w:val="26"/>
          <w:szCs w:val="26"/>
        </w:rPr>
        <w:t>T</w:t>
      </w:r>
      <w:r w:rsidR="007F4608">
        <w:rPr>
          <w:sz w:val="26"/>
          <w:szCs w:val="26"/>
        </w:rPr>
        <w:t xml:space="preserve">he </w:t>
      </w:r>
      <w:r w:rsidR="000C09DE">
        <w:rPr>
          <w:sz w:val="26"/>
          <w:szCs w:val="26"/>
        </w:rPr>
        <w:t>S</w:t>
      </w:r>
      <w:r w:rsidR="00714658">
        <w:rPr>
          <w:sz w:val="26"/>
          <w:szCs w:val="26"/>
        </w:rPr>
        <w:t xml:space="preserve">pecial Agent </w:t>
      </w:r>
      <w:r w:rsidR="007F4608">
        <w:rPr>
          <w:sz w:val="26"/>
          <w:szCs w:val="26"/>
        </w:rPr>
        <w:t>found that the Complainant had an increase in income from the time of the 201</w:t>
      </w:r>
      <w:r w:rsidR="00204A6B">
        <w:rPr>
          <w:sz w:val="26"/>
          <w:szCs w:val="26"/>
        </w:rPr>
        <w:t>4</w:t>
      </w:r>
      <w:r w:rsidR="007F4608">
        <w:rPr>
          <w:sz w:val="26"/>
          <w:szCs w:val="26"/>
        </w:rPr>
        <w:t xml:space="preserve"> PAR and thus </w:t>
      </w:r>
      <w:r>
        <w:rPr>
          <w:sz w:val="26"/>
          <w:szCs w:val="26"/>
        </w:rPr>
        <w:t xml:space="preserve">was </w:t>
      </w:r>
      <w:r w:rsidR="007F4608">
        <w:rPr>
          <w:sz w:val="26"/>
          <w:szCs w:val="26"/>
        </w:rPr>
        <w:t>not eligible for a subsequent Commission-</w:t>
      </w:r>
      <w:r w:rsidR="00E81B7E">
        <w:rPr>
          <w:sz w:val="26"/>
          <w:szCs w:val="26"/>
        </w:rPr>
        <w:t>issued</w:t>
      </w:r>
      <w:r w:rsidR="007F4608">
        <w:rPr>
          <w:sz w:val="26"/>
          <w:szCs w:val="26"/>
        </w:rPr>
        <w:t xml:space="preserve"> PAR.  </w:t>
      </w:r>
      <w:r w:rsidR="00E00E7D" w:rsidRPr="008A61EF">
        <w:rPr>
          <w:iCs/>
          <w:sz w:val="26"/>
          <w:szCs w:val="26"/>
        </w:rPr>
        <w:t>I</w:t>
      </w:r>
      <w:r w:rsidR="008A61EF">
        <w:rPr>
          <w:iCs/>
          <w:sz w:val="26"/>
          <w:szCs w:val="26"/>
        </w:rPr>
        <w:t>.D.</w:t>
      </w:r>
      <w:r w:rsidR="007F4608">
        <w:rPr>
          <w:i/>
          <w:sz w:val="26"/>
          <w:szCs w:val="26"/>
        </w:rPr>
        <w:t xml:space="preserve"> </w:t>
      </w:r>
      <w:r w:rsidR="007F4608" w:rsidRPr="007F4608">
        <w:rPr>
          <w:iCs/>
          <w:sz w:val="26"/>
          <w:szCs w:val="26"/>
        </w:rPr>
        <w:t xml:space="preserve">at </w:t>
      </w:r>
      <w:r w:rsidR="00204A6B">
        <w:rPr>
          <w:iCs/>
          <w:sz w:val="26"/>
          <w:szCs w:val="26"/>
        </w:rPr>
        <w:t>6</w:t>
      </w:r>
      <w:r w:rsidR="00731B7A" w:rsidRPr="007F4608">
        <w:rPr>
          <w:iCs/>
          <w:sz w:val="26"/>
          <w:szCs w:val="26"/>
        </w:rPr>
        <w:t>.</w:t>
      </w:r>
    </w:p>
    <w:p w14:paraId="415DDAD1" w14:textId="77777777" w:rsidR="00336E53" w:rsidRDefault="00336E53" w:rsidP="00E345FA">
      <w:pPr>
        <w:autoSpaceDE w:val="0"/>
        <w:autoSpaceDN w:val="0"/>
        <w:adjustRightInd w:val="0"/>
        <w:ind w:firstLine="1440"/>
        <w:jc w:val="left"/>
        <w:rPr>
          <w:sz w:val="26"/>
          <w:szCs w:val="26"/>
        </w:rPr>
      </w:pPr>
    </w:p>
    <w:p w14:paraId="17F9067B" w14:textId="452BF24D" w:rsidR="0075780F" w:rsidRDefault="0040380C" w:rsidP="0093651F">
      <w:pPr>
        <w:autoSpaceDE w:val="0"/>
        <w:autoSpaceDN w:val="0"/>
        <w:adjustRightInd w:val="0"/>
        <w:ind w:firstLine="1440"/>
        <w:jc w:val="left"/>
        <w:rPr>
          <w:sz w:val="26"/>
          <w:szCs w:val="26"/>
        </w:rPr>
      </w:pPr>
      <w:r>
        <w:rPr>
          <w:sz w:val="26"/>
          <w:szCs w:val="26"/>
        </w:rPr>
        <w:t>In addition, t</w:t>
      </w:r>
      <w:r w:rsidR="0075780F" w:rsidRPr="00DB0AC5">
        <w:rPr>
          <w:sz w:val="26"/>
          <w:szCs w:val="26"/>
        </w:rPr>
        <w:t xml:space="preserve">he </w:t>
      </w:r>
      <w:r w:rsidR="000C09DE">
        <w:rPr>
          <w:sz w:val="26"/>
          <w:szCs w:val="26"/>
        </w:rPr>
        <w:t>S</w:t>
      </w:r>
      <w:r w:rsidR="00714658">
        <w:rPr>
          <w:sz w:val="26"/>
          <w:szCs w:val="26"/>
        </w:rPr>
        <w:t>pecial</w:t>
      </w:r>
      <w:r w:rsidR="000C09DE">
        <w:rPr>
          <w:sz w:val="26"/>
          <w:szCs w:val="26"/>
        </w:rPr>
        <w:t xml:space="preserve"> A</w:t>
      </w:r>
      <w:r w:rsidR="00714658">
        <w:rPr>
          <w:sz w:val="26"/>
          <w:szCs w:val="26"/>
        </w:rPr>
        <w:t>gent</w:t>
      </w:r>
      <w:r w:rsidR="00DF1E9A">
        <w:rPr>
          <w:sz w:val="26"/>
          <w:szCs w:val="26"/>
        </w:rPr>
        <w:t xml:space="preserve"> </w:t>
      </w:r>
      <w:r>
        <w:rPr>
          <w:sz w:val="26"/>
          <w:szCs w:val="26"/>
        </w:rPr>
        <w:t>explained</w:t>
      </w:r>
      <w:r w:rsidR="0075780F" w:rsidRPr="00DB0AC5">
        <w:rPr>
          <w:sz w:val="26"/>
          <w:szCs w:val="26"/>
        </w:rPr>
        <w:t xml:space="preserve"> that</w:t>
      </w:r>
      <w:r w:rsidR="00860BEC">
        <w:rPr>
          <w:sz w:val="26"/>
          <w:szCs w:val="26"/>
        </w:rPr>
        <w:t xml:space="preserve"> </w:t>
      </w:r>
      <w:r w:rsidR="0075780F" w:rsidRPr="00DB0AC5">
        <w:rPr>
          <w:sz w:val="26"/>
          <w:szCs w:val="26"/>
        </w:rPr>
        <w:t xml:space="preserve">the Commission is authorized to reinstate a </w:t>
      </w:r>
      <w:r w:rsidR="00860BEC">
        <w:rPr>
          <w:sz w:val="26"/>
          <w:szCs w:val="26"/>
        </w:rPr>
        <w:t xml:space="preserve">payment-defaulted </w:t>
      </w:r>
      <w:r>
        <w:rPr>
          <w:sz w:val="26"/>
          <w:szCs w:val="26"/>
        </w:rPr>
        <w:t>PAR</w:t>
      </w:r>
      <w:r w:rsidR="0075780F" w:rsidRPr="00DB0AC5">
        <w:rPr>
          <w:sz w:val="26"/>
          <w:szCs w:val="26"/>
        </w:rPr>
        <w:t xml:space="preserve"> and extend the remaining term for an initial period of six months where a customer</w:t>
      </w:r>
      <w:r w:rsidR="00860BEC">
        <w:rPr>
          <w:sz w:val="26"/>
          <w:szCs w:val="26"/>
        </w:rPr>
        <w:t>’s</w:t>
      </w:r>
      <w:r w:rsidR="0075780F" w:rsidRPr="00DB0AC5">
        <w:rPr>
          <w:sz w:val="26"/>
          <w:szCs w:val="26"/>
        </w:rPr>
        <w:t xml:space="preserve"> default</w:t>
      </w:r>
      <w:r w:rsidR="00860BEC">
        <w:rPr>
          <w:sz w:val="26"/>
          <w:szCs w:val="26"/>
        </w:rPr>
        <w:t xml:space="preserve"> is</w:t>
      </w:r>
      <w:r w:rsidR="0075780F" w:rsidRPr="00DB0AC5">
        <w:rPr>
          <w:sz w:val="26"/>
          <w:szCs w:val="26"/>
        </w:rPr>
        <w:t xml:space="preserve"> a result of a </w:t>
      </w:r>
      <w:r>
        <w:rPr>
          <w:sz w:val="26"/>
          <w:szCs w:val="26"/>
        </w:rPr>
        <w:t>“</w:t>
      </w:r>
      <w:r w:rsidR="0075780F" w:rsidRPr="00DB0AC5">
        <w:rPr>
          <w:sz w:val="26"/>
          <w:szCs w:val="26"/>
        </w:rPr>
        <w:t>significant change in circumstance.</w:t>
      </w:r>
      <w:r>
        <w:rPr>
          <w:sz w:val="26"/>
          <w:szCs w:val="26"/>
        </w:rPr>
        <w:t>”</w:t>
      </w:r>
      <w:r w:rsidR="0075780F" w:rsidRPr="00DB0AC5">
        <w:rPr>
          <w:sz w:val="26"/>
          <w:szCs w:val="26"/>
        </w:rPr>
        <w:t xml:space="preserve"> </w:t>
      </w:r>
      <w:r w:rsidR="0093651F">
        <w:rPr>
          <w:sz w:val="26"/>
          <w:szCs w:val="26"/>
        </w:rPr>
        <w:t xml:space="preserve"> I.D. at </w:t>
      </w:r>
      <w:r w:rsidR="001E3DC4">
        <w:rPr>
          <w:sz w:val="26"/>
          <w:szCs w:val="26"/>
        </w:rPr>
        <w:t>6</w:t>
      </w:r>
      <w:r w:rsidR="0093651F">
        <w:rPr>
          <w:sz w:val="26"/>
          <w:szCs w:val="26"/>
        </w:rPr>
        <w:t>-</w:t>
      </w:r>
      <w:r w:rsidR="001E3DC4">
        <w:rPr>
          <w:sz w:val="26"/>
          <w:szCs w:val="26"/>
        </w:rPr>
        <w:t>7</w:t>
      </w:r>
      <w:r w:rsidR="0093651F">
        <w:rPr>
          <w:sz w:val="26"/>
          <w:szCs w:val="26"/>
        </w:rPr>
        <w:t xml:space="preserve"> (citing 66 Pa. C.S. § 1405(e)).  </w:t>
      </w:r>
      <w:r>
        <w:rPr>
          <w:sz w:val="26"/>
          <w:szCs w:val="26"/>
        </w:rPr>
        <w:t>Here, t</w:t>
      </w:r>
      <w:r w:rsidR="0075780F" w:rsidRPr="00DB0AC5">
        <w:rPr>
          <w:sz w:val="26"/>
          <w:szCs w:val="26"/>
        </w:rPr>
        <w:t xml:space="preserve">he </w:t>
      </w:r>
      <w:r w:rsidR="000C09DE">
        <w:rPr>
          <w:sz w:val="26"/>
          <w:szCs w:val="26"/>
        </w:rPr>
        <w:t>S</w:t>
      </w:r>
      <w:r w:rsidR="00714658">
        <w:rPr>
          <w:sz w:val="26"/>
          <w:szCs w:val="26"/>
        </w:rPr>
        <w:t>pecial</w:t>
      </w:r>
      <w:r w:rsidR="000C09DE">
        <w:rPr>
          <w:sz w:val="26"/>
          <w:szCs w:val="26"/>
        </w:rPr>
        <w:t xml:space="preserve"> A</w:t>
      </w:r>
      <w:r w:rsidR="00714658">
        <w:rPr>
          <w:sz w:val="26"/>
          <w:szCs w:val="26"/>
        </w:rPr>
        <w:t>gent</w:t>
      </w:r>
      <w:r w:rsidR="0075780F" w:rsidRPr="00DB0AC5">
        <w:rPr>
          <w:sz w:val="26"/>
          <w:szCs w:val="26"/>
        </w:rPr>
        <w:t xml:space="preserve"> found that the Complainant did not </w:t>
      </w:r>
      <w:r w:rsidR="00E44FC9">
        <w:rPr>
          <w:sz w:val="26"/>
          <w:szCs w:val="26"/>
        </w:rPr>
        <w:t>offer any</w:t>
      </w:r>
      <w:r w:rsidR="0075780F" w:rsidRPr="00DB0AC5">
        <w:rPr>
          <w:sz w:val="26"/>
          <w:szCs w:val="26"/>
        </w:rPr>
        <w:t xml:space="preserve"> evidence </w:t>
      </w:r>
      <w:r w:rsidR="00E44FC9">
        <w:rPr>
          <w:sz w:val="26"/>
          <w:szCs w:val="26"/>
        </w:rPr>
        <w:t xml:space="preserve">to </w:t>
      </w:r>
      <w:r w:rsidR="0075780F" w:rsidRPr="00DB0AC5">
        <w:rPr>
          <w:sz w:val="26"/>
          <w:szCs w:val="26"/>
        </w:rPr>
        <w:t xml:space="preserve">reflect that </w:t>
      </w:r>
      <w:r w:rsidR="00025CA8">
        <w:rPr>
          <w:sz w:val="26"/>
          <w:szCs w:val="26"/>
        </w:rPr>
        <w:t>s</w:t>
      </w:r>
      <w:r w:rsidR="0075780F" w:rsidRPr="00DB0AC5">
        <w:rPr>
          <w:sz w:val="26"/>
          <w:szCs w:val="26"/>
        </w:rPr>
        <w:t>he experienced a significant change in circumstance</w:t>
      </w:r>
      <w:r w:rsidR="00E360D3">
        <w:rPr>
          <w:sz w:val="26"/>
          <w:szCs w:val="26"/>
        </w:rPr>
        <w:t xml:space="preserve"> in </w:t>
      </w:r>
      <w:r>
        <w:rPr>
          <w:sz w:val="26"/>
          <w:szCs w:val="26"/>
        </w:rPr>
        <w:t>s</w:t>
      </w:r>
      <w:r w:rsidR="00E360D3">
        <w:rPr>
          <w:sz w:val="26"/>
          <w:szCs w:val="26"/>
        </w:rPr>
        <w:t xml:space="preserve">ubsections </w:t>
      </w:r>
      <w:r w:rsidR="001E3DC4">
        <w:rPr>
          <w:sz w:val="26"/>
          <w:szCs w:val="26"/>
        </w:rPr>
        <w:t xml:space="preserve">(1), </w:t>
      </w:r>
      <w:r w:rsidR="00E360D3">
        <w:rPr>
          <w:sz w:val="26"/>
          <w:szCs w:val="26"/>
        </w:rPr>
        <w:t>(2), (3) and (4)</w:t>
      </w:r>
      <w:r w:rsidR="00C90DC9">
        <w:rPr>
          <w:sz w:val="26"/>
          <w:szCs w:val="26"/>
        </w:rPr>
        <w:t xml:space="preserve"> of the</w:t>
      </w:r>
      <w:r>
        <w:rPr>
          <w:sz w:val="26"/>
          <w:szCs w:val="26"/>
        </w:rPr>
        <w:t xml:space="preserve"> definition appearing in Section 1403 of the</w:t>
      </w:r>
      <w:r w:rsidR="00C90DC9">
        <w:rPr>
          <w:sz w:val="26"/>
          <w:szCs w:val="26"/>
        </w:rPr>
        <w:t xml:space="preserve"> Code</w:t>
      </w:r>
      <w:r w:rsidR="00E360D3">
        <w:rPr>
          <w:sz w:val="26"/>
          <w:szCs w:val="26"/>
        </w:rPr>
        <w:t xml:space="preserve">. </w:t>
      </w:r>
      <w:r w:rsidR="0075780F" w:rsidRPr="00DB0AC5">
        <w:rPr>
          <w:sz w:val="26"/>
          <w:szCs w:val="26"/>
        </w:rPr>
        <w:t xml:space="preserve"> </w:t>
      </w:r>
      <w:r w:rsidR="00027CE7">
        <w:rPr>
          <w:sz w:val="26"/>
          <w:szCs w:val="26"/>
        </w:rPr>
        <w:t>T</w:t>
      </w:r>
      <w:r w:rsidR="0075780F" w:rsidRPr="0093651F">
        <w:rPr>
          <w:sz w:val="26"/>
          <w:szCs w:val="26"/>
        </w:rPr>
        <w:t xml:space="preserve">he </w:t>
      </w:r>
      <w:r w:rsidR="000C09DE">
        <w:rPr>
          <w:sz w:val="26"/>
          <w:szCs w:val="26"/>
        </w:rPr>
        <w:t>S</w:t>
      </w:r>
      <w:r w:rsidR="00714658">
        <w:rPr>
          <w:sz w:val="26"/>
          <w:szCs w:val="26"/>
        </w:rPr>
        <w:t>pecial</w:t>
      </w:r>
      <w:r w:rsidR="000C09DE">
        <w:rPr>
          <w:sz w:val="26"/>
          <w:szCs w:val="26"/>
        </w:rPr>
        <w:t xml:space="preserve"> A</w:t>
      </w:r>
      <w:r w:rsidR="00714658">
        <w:rPr>
          <w:sz w:val="26"/>
          <w:szCs w:val="26"/>
        </w:rPr>
        <w:t>gent</w:t>
      </w:r>
      <w:r w:rsidR="0075780F" w:rsidRPr="0093651F">
        <w:rPr>
          <w:sz w:val="26"/>
          <w:szCs w:val="26"/>
        </w:rPr>
        <w:t xml:space="preserve"> concluded that </w:t>
      </w:r>
      <w:r w:rsidR="00E360D3" w:rsidRPr="0093651F">
        <w:rPr>
          <w:sz w:val="26"/>
          <w:szCs w:val="26"/>
        </w:rPr>
        <w:t>t</w:t>
      </w:r>
      <w:r w:rsidR="0075780F" w:rsidRPr="0093651F">
        <w:rPr>
          <w:sz w:val="26"/>
          <w:szCs w:val="26"/>
        </w:rPr>
        <w:t xml:space="preserve">he </w:t>
      </w:r>
      <w:r w:rsidR="005126E9" w:rsidRPr="0093651F">
        <w:rPr>
          <w:sz w:val="26"/>
          <w:szCs w:val="26"/>
        </w:rPr>
        <w:t>Complainant</w:t>
      </w:r>
      <w:r w:rsidR="00E360D3" w:rsidRPr="0093651F">
        <w:rPr>
          <w:sz w:val="26"/>
          <w:szCs w:val="26"/>
        </w:rPr>
        <w:t xml:space="preserve"> did not </w:t>
      </w:r>
      <w:r w:rsidRPr="0093651F">
        <w:rPr>
          <w:sz w:val="26"/>
          <w:szCs w:val="26"/>
        </w:rPr>
        <w:t xml:space="preserve">demonstrate </w:t>
      </w:r>
      <w:r w:rsidR="00700F14">
        <w:rPr>
          <w:sz w:val="26"/>
          <w:szCs w:val="26"/>
        </w:rPr>
        <w:t xml:space="preserve">that her default of </w:t>
      </w:r>
      <w:r w:rsidR="00387253">
        <w:rPr>
          <w:sz w:val="26"/>
          <w:szCs w:val="26"/>
        </w:rPr>
        <w:t xml:space="preserve">the </w:t>
      </w:r>
      <w:r w:rsidR="00700F14">
        <w:rPr>
          <w:sz w:val="26"/>
          <w:szCs w:val="26"/>
        </w:rPr>
        <w:t xml:space="preserve">2014 PAR was as a result of an </w:t>
      </w:r>
      <w:r w:rsidRPr="0093651F">
        <w:rPr>
          <w:sz w:val="26"/>
          <w:szCs w:val="26"/>
        </w:rPr>
        <w:t>onset of a chronic or acute illness resulting in a significant loss in the customer’s household income</w:t>
      </w:r>
      <w:r w:rsidR="00700F14">
        <w:rPr>
          <w:sz w:val="26"/>
          <w:szCs w:val="26"/>
        </w:rPr>
        <w:t>, a catastrophic damage to the customer’s residence, a loss of the customer’s residence, or an increase in customer’s number of dependents in the household,</w:t>
      </w:r>
      <w:r w:rsidRPr="0093651F">
        <w:rPr>
          <w:sz w:val="26"/>
          <w:szCs w:val="26"/>
        </w:rPr>
        <w:t xml:space="preserve"> to </w:t>
      </w:r>
      <w:r w:rsidR="00E360D3" w:rsidRPr="0093651F">
        <w:rPr>
          <w:sz w:val="26"/>
          <w:szCs w:val="26"/>
        </w:rPr>
        <w:t>meet</w:t>
      </w:r>
      <w:r w:rsidRPr="0093651F">
        <w:rPr>
          <w:sz w:val="26"/>
          <w:szCs w:val="26"/>
        </w:rPr>
        <w:t xml:space="preserve"> the definition of a “significant change in circumstance” in Section 1403 of the Code.  Thus, the </w:t>
      </w:r>
      <w:r w:rsidR="000C09DE">
        <w:rPr>
          <w:sz w:val="26"/>
          <w:szCs w:val="26"/>
        </w:rPr>
        <w:t>S</w:t>
      </w:r>
      <w:r w:rsidR="00D0773E">
        <w:rPr>
          <w:sz w:val="26"/>
          <w:szCs w:val="26"/>
        </w:rPr>
        <w:t xml:space="preserve">pecial </w:t>
      </w:r>
      <w:r w:rsidR="000C09DE">
        <w:rPr>
          <w:sz w:val="26"/>
          <w:szCs w:val="26"/>
        </w:rPr>
        <w:t>A</w:t>
      </w:r>
      <w:r w:rsidR="00D0773E">
        <w:rPr>
          <w:sz w:val="26"/>
          <w:szCs w:val="26"/>
        </w:rPr>
        <w:t>gent</w:t>
      </w:r>
      <w:r w:rsidRPr="0093651F">
        <w:rPr>
          <w:sz w:val="26"/>
          <w:szCs w:val="26"/>
        </w:rPr>
        <w:t xml:space="preserve"> determined</w:t>
      </w:r>
      <w:r w:rsidR="00E360D3" w:rsidRPr="0093651F">
        <w:rPr>
          <w:sz w:val="26"/>
          <w:szCs w:val="26"/>
        </w:rPr>
        <w:t xml:space="preserve"> </w:t>
      </w:r>
      <w:r w:rsidRPr="0093651F">
        <w:rPr>
          <w:sz w:val="26"/>
          <w:szCs w:val="26"/>
        </w:rPr>
        <w:t xml:space="preserve">that the Complainant did not demonstrate her </w:t>
      </w:r>
      <w:r w:rsidR="005126E9" w:rsidRPr="0093651F">
        <w:rPr>
          <w:sz w:val="26"/>
          <w:szCs w:val="26"/>
        </w:rPr>
        <w:t>eligibility</w:t>
      </w:r>
      <w:r w:rsidR="00E360D3" w:rsidRPr="0093651F">
        <w:rPr>
          <w:sz w:val="26"/>
          <w:szCs w:val="26"/>
        </w:rPr>
        <w:t xml:space="preserve"> for an extension </w:t>
      </w:r>
      <w:r w:rsidR="00E360D3">
        <w:rPr>
          <w:sz w:val="26"/>
          <w:szCs w:val="26"/>
        </w:rPr>
        <w:t xml:space="preserve">of the </w:t>
      </w:r>
      <w:r>
        <w:rPr>
          <w:sz w:val="26"/>
          <w:szCs w:val="26"/>
        </w:rPr>
        <w:t xml:space="preserve">previously </w:t>
      </w:r>
      <w:r w:rsidR="005126E9">
        <w:rPr>
          <w:sz w:val="26"/>
          <w:szCs w:val="26"/>
        </w:rPr>
        <w:t>Commission</w:t>
      </w:r>
      <w:r>
        <w:rPr>
          <w:sz w:val="26"/>
          <w:szCs w:val="26"/>
        </w:rPr>
        <w:t>-</w:t>
      </w:r>
      <w:r w:rsidR="00E81B7E">
        <w:rPr>
          <w:sz w:val="26"/>
          <w:szCs w:val="26"/>
        </w:rPr>
        <w:t>issued</w:t>
      </w:r>
      <w:r w:rsidR="00E360D3">
        <w:rPr>
          <w:sz w:val="26"/>
          <w:szCs w:val="26"/>
        </w:rPr>
        <w:t xml:space="preserve"> </w:t>
      </w:r>
      <w:r w:rsidR="005126E9">
        <w:rPr>
          <w:sz w:val="26"/>
          <w:szCs w:val="26"/>
        </w:rPr>
        <w:t>P</w:t>
      </w:r>
      <w:r w:rsidR="00E360D3">
        <w:rPr>
          <w:sz w:val="26"/>
          <w:szCs w:val="26"/>
        </w:rPr>
        <w:t xml:space="preserve">AR under Section 1405(e) of the Code.  </w:t>
      </w:r>
      <w:r w:rsidR="0075780F" w:rsidRPr="008A61EF">
        <w:rPr>
          <w:iCs/>
          <w:sz w:val="26"/>
          <w:szCs w:val="26"/>
        </w:rPr>
        <w:t>I</w:t>
      </w:r>
      <w:r w:rsidR="008A61EF">
        <w:rPr>
          <w:iCs/>
          <w:sz w:val="26"/>
          <w:szCs w:val="26"/>
        </w:rPr>
        <w:t>.D.</w:t>
      </w:r>
      <w:r w:rsidR="005126E9">
        <w:rPr>
          <w:i/>
          <w:sz w:val="26"/>
          <w:szCs w:val="26"/>
        </w:rPr>
        <w:t xml:space="preserve"> </w:t>
      </w:r>
      <w:r w:rsidR="005126E9" w:rsidRPr="005126E9">
        <w:rPr>
          <w:iCs/>
          <w:sz w:val="26"/>
          <w:szCs w:val="26"/>
        </w:rPr>
        <w:t xml:space="preserve">at </w:t>
      </w:r>
      <w:r w:rsidR="00454BF7">
        <w:rPr>
          <w:iCs/>
          <w:sz w:val="26"/>
          <w:szCs w:val="26"/>
        </w:rPr>
        <w:t>7</w:t>
      </w:r>
      <w:r w:rsidR="0075780F" w:rsidRPr="00DB0AC5">
        <w:rPr>
          <w:i/>
          <w:sz w:val="26"/>
          <w:szCs w:val="26"/>
        </w:rPr>
        <w:t>.</w:t>
      </w:r>
    </w:p>
    <w:p w14:paraId="477A59C0" w14:textId="77777777" w:rsidR="009C1A68" w:rsidRPr="00DB0AC5" w:rsidRDefault="009C1A68" w:rsidP="0075780F">
      <w:pPr>
        <w:autoSpaceDE w:val="0"/>
        <w:autoSpaceDN w:val="0"/>
        <w:adjustRightInd w:val="0"/>
        <w:ind w:firstLine="1440"/>
        <w:jc w:val="left"/>
        <w:rPr>
          <w:sz w:val="26"/>
          <w:szCs w:val="26"/>
        </w:rPr>
      </w:pPr>
    </w:p>
    <w:p w14:paraId="3BD1F603" w14:textId="35A79565" w:rsidR="00860BEC" w:rsidRDefault="00E81354" w:rsidP="00A24E38">
      <w:pPr>
        <w:pStyle w:val="Default"/>
        <w:spacing w:line="360" w:lineRule="auto"/>
        <w:ind w:firstLine="1440"/>
        <w:rPr>
          <w:sz w:val="26"/>
          <w:szCs w:val="26"/>
        </w:rPr>
      </w:pPr>
      <w:r>
        <w:rPr>
          <w:sz w:val="26"/>
          <w:szCs w:val="26"/>
        </w:rPr>
        <w:t>T</w:t>
      </w:r>
      <w:r w:rsidR="009E04CB" w:rsidRPr="00263B8E">
        <w:rPr>
          <w:sz w:val="26"/>
          <w:szCs w:val="26"/>
        </w:rPr>
        <w:t xml:space="preserve">he </w:t>
      </w:r>
      <w:r w:rsidR="000C09DE">
        <w:rPr>
          <w:sz w:val="26"/>
          <w:szCs w:val="26"/>
        </w:rPr>
        <w:t>S</w:t>
      </w:r>
      <w:r w:rsidR="00714658">
        <w:rPr>
          <w:sz w:val="26"/>
          <w:szCs w:val="26"/>
        </w:rPr>
        <w:t>pecial</w:t>
      </w:r>
      <w:r w:rsidR="000C09DE">
        <w:rPr>
          <w:sz w:val="26"/>
          <w:szCs w:val="26"/>
        </w:rPr>
        <w:t xml:space="preserve"> A</w:t>
      </w:r>
      <w:r w:rsidR="00714658">
        <w:rPr>
          <w:sz w:val="26"/>
          <w:szCs w:val="26"/>
        </w:rPr>
        <w:t>gent</w:t>
      </w:r>
      <w:r w:rsidR="009E04CB" w:rsidRPr="00263B8E">
        <w:rPr>
          <w:sz w:val="26"/>
          <w:szCs w:val="26"/>
        </w:rPr>
        <w:t xml:space="preserve"> </w:t>
      </w:r>
      <w:r>
        <w:rPr>
          <w:sz w:val="26"/>
          <w:szCs w:val="26"/>
        </w:rPr>
        <w:t xml:space="preserve">concluded </w:t>
      </w:r>
      <w:r w:rsidR="00454BF7">
        <w:rPr>
          <w:sz w:val="26"/>
          <w:szCs w:val="26"/>
        </w:rPr>
        <w:t>t</w:t>
      </w:r>
      <w:r>
        <w:rPr>
          <w:sz w:val="26"/>
          <w:szCs w:val="26"/>
        </w:rPr>
        <w:t>h</w:t>
      </w:r>
      <w:r w:rsidR="00454BF7">
        <w:rPr>
          <w:sz w:val="26"/>
          <w:szCs w:val="26"/>
        </w:rPr>
        <w:t>at</w:t>
      </w:r>
      <w:r>
        <w:rPr>
          <w:sz w:val="26"/>
          <w:szCs w:val="26"/>
        </w:rPr>
        <w:t xml:space="preserve"> </w:t>
      </w:r>
      <w:r w:rsidR="00454BF7">
        <w:rPr>
          <w:sz w:val="26"/>
          <w:szCs w:val="26"/>
        </w:rPr>
        <w:t xml:space="preserve">Complainant’s request </w:t>
      </w:r>
      <w:r>
        <w:rPr>
          <w:sz w:val="26"/>
          <w:szCs w:val="26"/>
        </w:rPr>
        <w:t xml:space="preserve">for a subsequent </w:t>
      </w:r>
      <w:r w:rsidR="00E92CB6">
        <w:rPr>
          <w:sz w:val="26"/>
          <w:szCs w:val="26"/>
        </w:rPr>
        <w:t>Commissi</w:t>
      </w:r>
      <w:r w:rsidR="00767A85">
        <w:rPr>
          <w:sz w:val="26"/>
          <w:szCs w:val="26"/>
        </w:rPr>
        <w:t>o</w:t>
      </w:r>
      <w:r w:rsidR="00E92CB6">
        <w:rPr>
          <w:sz w:val="26"/>
          <w:szCs w:val="26"/>
        </w:rPr>
        <w:t>n-</w:t>
      </w:r>
      <w:r w:rsidR="00E81B7E">
        <w:rPr>
          <w:sz w:val="26"/>
          <w:szCs w:val="26"/>
        </w:rPr>
        <w:t>issued</w:t>
      </w:r>
      <w:r w:rsidR="00E92CB6">
        <w:rPr>
          <w:sz w:val="26"/>
          <w:szCs w:val="26"/>
        </w:rPr>
        <w:t xml:space="preserve"> payment arra</w:t>
      </w:r>
      <w:r w:rsidR="00767A85">
        <w:rPr>
          <w:sz w:val="26"/>
          <w:szCs w:val="26"/>
        </w:rPr>
        <w:t>n</w:t>
      </w:r>
      <w:r w:rsidR="00E92CB6">
        <w:rPr>
          <w:sz w:val="26"/>
          <w:szCs w:val="26"/>
        </w:rPr>
        <w:t>ge</w:t>
      </w:r>
      <w:r w:rsidR="00767A85">
        <w:rPr>
          <w:sz w:val="26"/>
          <w:szCs w:val="26"/>
        </w:rPr>
        <w:t>m</w:t>
      </w:r>
      <w:r w:rsidR="00E92CB6">
        <w:rPr>
          <w:sz w:val="26"/>
          <w:szCs w:val="26"/>
        </w:rPr>
        <w:t xml:space="preserve">ent </w:t>
      </w:r>
      <w:r>
        <w:rPr>
          <w:sz w:val="26"/>
          <w:szCs w:val="26"/>
        </w:rPr>
        <w:t xml:space="preserve">must be denied </w:t>
      </w:r>
      <w:r w:rsidR="00454BF7">
        <w:rPr>
          <w:sz w:val="26"/>
          <w:szCs w:val="26"/>
        </w:rPr>
        <w:t>since she failed to establish by preponderance of the evidence that she is eligible for a second Commission-</w:t>
      </w:r>
      <w:r w:rsidR="003A4723">
        <w:rPr>
          <w:sz w:val="26"/>
          <w:szCs w:val="26"/>
        </w:rPr>
        <w:t>issued</w:t>
      </w:r>
      <w:r w:rsidR="00454BF7">
        <w:rPr>
          <w:sz w:val="26"/>
          <w:szCs w:val="26"/>
        </w:rPr>
        <w:t xml:space="preserve"> payment arrangement.  </w:t>
      </w:r>
      <w:r w:rsidR="00180623" w:rsidRPr="00E81354">
        <w:rPr>
          <w:iCs/>
          <w:sz w:val="26"/>
          <w:szCs w:val="26"/>
        </w:rPr>
        <w:t>I</w:t>
      </w:r>
      <w:r>
        <w:rPr>
          <w:iCs/>
          <w:sz w:val="26"/>
          <w:szCs w:val="26"/>
        </w:rPr>
        <w:t>.D</w:t>
      </w:r>
      <w:r w:rsidR="00180623" w:rsidRPr="00E81354">
        <w:rPr>
          <w:iCs/>
          <w:sz w:val="26"/>
          <w:szCs w:val="26"/>
        </w:rPr>
        <w:t>.</w:t>
      </w:r>
      <w:r w:rsidR="00180623">
        <w:rPr>
          <w:sz w:val="26"/>
          <w:szCs w:val="26"/>
        </w:rPr>
        <w:t xml:space="preserve"> at </w:t>
      </w:r>
      <w:r w:rsidR="00454BF7">
        <w:rPr>
          <w:sz w:val="26"/>
          <w:szCs w:val="26"/>
        </w:rPr>
        <w:t>7</w:t>
      </w:r>
      <w:r w:rsidR="00180623">
        <w:rPr>
          <w:sz w:val="26"/>
          <w:szCs w:val="26"/>
        </w:rPr>
        <w:t>.</w:t>
      </w:r>
    </w:p>
    <w:p w14:paraId="00D7B413" w14:textId="77777777" w:rsidR="00A24E38" w:rsidRDefault="00A24E38" w:rsidP="00A24E38">
      <w:pPr>
        <w:pStyle w:val="Default"/>
        <w:spacing w:line="360" w:lineRule="auto"/>
        <w:ind w:firstLine="1440"/>
        <w:rPr>
          <w:sz w:val="26"/>
          <w:szCs w:val="26"/>
        </w:rPr>
      </w:pPr>
    </w:p>
    <w:p w14:paraId="6E23EE5A" w14:textId="77777777" w:rsidR="00860BEC" w:rsidRPr="00860BEC" w:rsidRDefault="00860BEC" w:rsidP="00A24E38">
      <w:pPr>
        <w:pStyle w:val="Default"/>
        <w:keepNext/>
        <w:keepLines/>
        <w:spacing w:line="360" w:lineRule="auto"/>
        <w:rPr>
          <w:b/>
          <w:bCs/>
          <w:sz w:val="26"/>
          <w:szCs w:val="26"/>
        </w:rPr>
      </w:pPr>
      <w:r w:rsidRPr="00860BEC">
        <w:rPr>
          <w:b/>
          <w:bCs/>
          <w:sz w:val="26"/>
          <w:szCs w:val="26"/>
        </w:rPr>
        <w:lastRenderedPageBreak/>
        <w:t>Exceptions and Replies</w:t>
      </w:r>
    </w:p>
    <w:p w14:paraId="737BEE66" w14:textId="77777777" w:rsidR="00860BEC" w:rsidRDefault="00860BEC" w:rsidP="00A24E38">
      <w:pPr>
        <w:pStyle w:val="Default"/>
        <w:keepNext/>
        <w:keepLines/>
        <w:spacing w:line="360" w:lineRule="auto"/>
        <w:rPr>
          <w:sz w:val="26"/>
          <w:szCs w:val="26"/>
        </w:rPr>
      </w:pPr>
    </w:p>
    <w:p w14:paraId="7475C699" w14:textId="012DA805" w:rsidR="001A1848" w:rsidRPr="00860BEC" w:rsidRDefault="00860BEC" w:rsidP="00116365">
      <w:pPr>
        <w:autoSpaceDE w:val="0"/>
        <w:autoSpaceDN w:val="0"/>
        <w:adjustRightInd w:val="0"/>
        <w:ind w:firstLine="1440"/>
        <w:jc w:val="left"/>
        <w:rPr>
          <w:b/>
          <w:sz w:val="26"/>
          <w:szCs w:val="26"/>
        </w:rPr>
      </w:pPr>
      <w:r w:rsidRPr="00860BEC">
        <w:rPr>
          <w:bCs/>
          <w:sz w:val="26"/>
          <w:szCs w:val="26"/>
        </w:rPr>
        <w:t>T</w:t>
      </w:r>
      <w:r w:rsidR="00EA7EEC" w:rsidRPr="00DB0AC5">
        <w:rPr>
          <w:sz w:val="26"/>
          <w:szCs w:val="26"/>
        </w:rPr>
        <w:t xml:space="preserve">he Complainant’s Exceptions consist of </w:t>
      </w:r>
      <w:r w:rsidR="00180623">
        <w:rPr>
          <w:sz w:val="26"/>
          <w:szCs w:val="26"/>
        </w:rPr>
        <w:t>a o</w:t>
      </w:r>
      <w:r w:rsidR="00D16BCD">
        <w:rPr>
          <w:sz w:val="26"/>
          <w:szCs w:val="26"/>
        </w:rPr>
        <w:t>ne</w:t>
      </w:r>
      <w:r w:rsidR="00180623">
        <w:rPr>
          <w:sz w:val="26"/>
          <w:szCs w:val="26"/>
        </w:rPr>
        <w:t>-page hand</w:t>
      </w:r>
      <w:r w:rsidR="00F47BEB">
        <w:rPr>
          <w:sz w:val="26"/>
          <w:szCs w:val="26"/>
        </w:rPr>
        <w:t>w</w:t>
      </w:r>
      <w:r w:rsidR="00EA7EEC" w:rsidRPr="00DB0AC5">
        <w:rPr>
          <w:sz w:val="26"/>
          <w:szCs w:val="26"/>
        </w:rPr>
        <w:t xml:space="preserve">ritten </w:t>
      </w:r>
      <w:r w:rsidR="00171D3D">
        <w:rPr>
          <w:sz w:val="26"/>
          <w:szCs w:val="26"/>
        </w:rPr>
        <w:t xml:space="preserve">letter. </w:t>
      </w:r>
      <w:r w:rsidR="00E62A8A">
        <w:rPr>
          <w:sz w:val="26"/>
          <w:szCs w:val="26"/>
        </w:rPr>
        <w:t xml:space="preserve"> </w:t>
      </w:r>
      <w:r w:rsidR="009E07C7">
        <w:rPr>
          <w:sz w:val="26"/>
          <w:szCs w:val="26"/>
        </w:rPr>
        <w:t>In her</w:t>
      </w:r>
      <w:r w:rsidR="001A1848">
        <w:rPr>
          <w:sz w:val="26"/>
          <w:szCs w:val="26"/>
        </w:rPr>
        <w:t xml:space="preserve"> Exception</w:t>
      </w:r>
      <w:r w:rsidR="00B50E30">
        <w:rPr>
          <w:sz w:val="26"/>
          <w:szCs w:val="26"/>
        </w:rPr>
        <w:t>s,</w:t>
      </w:r>
      <w:r w:rsidR="001A1848">
        <w:rPr>
          <w:sz w:val="26"/>
          <w:szCs w:val="26"/>
        </w:rPr>
        <w:t xml:space="preserve"> </w:t>
      </w:r>
      <w:r w:rsidR="00A52527">
        <w:rPr>
          <w:sz w:val="26"/>
          <w:szCs w:val="26"/>
        </w:rPr>
        <w:t xml:space="preserve">the Complainant </w:t>
      </w:r>
      <w:r w:rsidR="004D73DA">
        <w:rPr>
          <w:sz w:val="26"/>
          <w:szCs w:val="26"/>
        </w:rPr>
        <w:t>reiterated her testimony at the hearing indicating that her current financial situation has improved and that she is working full time and that she earned $34,000 in 2018.  She reinforced her request for a second payment arrangement by stating that moving forward she will be able to make month</w:t>
      </w:r>
      <w:r w:rsidR="00027CE7">
        <w:rPr>
          <w:sz w:val="26"/>
          <w:szCs w:val="26"/>
        </w:rPr>
        <w:t>ly</w:t>
      </w:r>
      <w:r w:rsidR="004D73DA">
        <w:rPr>
          <w:sz w:val="26"/>
          <w:szCs w:val="26"/>
        </w:rPr>
        <w:t xml:space="preserve"> payments without fail, but </w:t>
      </w:r>
      <w:r w:rsidR="008125A5">
        <w:rPr>
          <w:sz w:val="26"/>
          <w:szCs w:val="26"/>
        </w:rPr>
        <w:t>does</w:t>
      </w:r>
      <w:r w:rsidR="00970EFF">
        <w:rPr>
          <w:sz w:val="26"/>
          <w:szCs w:val="26"/>
        </w:rPr>
        <w:t xml:space="preserve"> not</w:t>
      </w:r>
      <w:r w:rsidR="008125A5">
        <w:rPr>
          <w:sz w:val="26"/>
          <w:szCs w:val="26"/>
        </w:rPr>
        <w:t xml:space="preserve"> </w:t>
      </w:r>
      <w:r w:rsidR="004D73DA">
        <w:rPr>
          <w:sz w:val="26"/>
          <w:szCs w:val="26"/>
        </w:rPr>
        <w:t>have $4,400 to pay the entire balance in full.</w:t>
      </w:r>
      <w:r w:rsidR="00D16BCD">
        <w:rPr>
          <w:sz w:val="26"/>
          <w:szCs w:val="26"/>
        </w:rPr>
        <w:t xml:space="preserve">  </w:t>
      </w:r>
      <w:r w:rsidR="00A056A2">
        <w:rPr>
          <w:sz w:val="26"/>
          <w:szCs w:val="26"/>
        </w:rPr>
        <w:t xml:space="preserve">The Complainant requests </w:t>
      </w:r>
      <w:r w:rsidR="00003165">
        <w:rPr>
          <w:sz w:val="26"/>
          <w:szCs w:val="26"/>
        </w:rPr>
        <w:t>an affordable</w:t>
      </w:r>
      <w:r w:rsidR="00A056A2">
        <w:rPr>
          <w:sz w:val="26"/>
          <w:szCs w:val="26"/>
        </w:rPr>
        <w:t xml:space="preserve"> payment arrangement.</w:t>
      </w:r>
      <w:r w:rsidR="00427F29">
        <w:rPr>
          <w:sz w:val="26"/>
          <w:szCs w:val="26"/>
        </w:rPr>
        <w:t xml:space="preserve">  Exc. at 1.</w:t>
      </w:r>
    </w:p>
    <w:p w14:paraId="6550CC0C" w14:textId="77777777" w:rsidR="001A1848" w:rsidRDefault="001A1848" w:rsidP="00DE0BD2">
      <w:pPr>
        <w:ind w:firstLine="1440"/>
        <w:jc w:val="left"/>
        <w:rPr>
          <w:sz w:val="26"/>
          <w:szCs w:val="26"/>
        </w:rPr>
      </w:pPr>
    </w:p>
    <w:p w14:paraId="67B0DAEC" w14:textId="77777777" w:rsidR="00F103B2" w:rsidRDefault="00C376B8" w:rsidP="00DE0BD2">
      <w:pPr>
        <w:ind w:firstLine="1440"/>
        <w:jc w:val="left"/>
        <w:rPr>
          <w:sz w:val="26"/>
          <w:szCs w:val="26"/>
        </w:rPr>
      </w:pPr>
      <w:r>
        <w:rPr>
          <w:sz w:val="26"/>
          <w:szCs w:val="26"/>
        </w:rPr>
        <w:t>In its Replies to Exceptions,</w:t>
      </w:r>
      <w:r w:rsidR="00AB6ED6">
        <w:rPr>
          <w:sz w:val="26"/>
          <w:szCs w:val="26"/>
        </w:rPr>
        <w:t xml:space="preserve"> </w:t>
      </w:r>
      <w:r w:rsidR="00892F7C">
        <w:rPr>
          <w:sz w:val="26"/>
          <w:szCs w:val="26"/>
        </w:rPr>
        <w:t xml:space="preserve">PGW avers that the Complainant failed to address any error in fact or law contained in the Special Agent’s Initial Decision.  PGW </w:t>
      </w:r>
      <w:r w:rsidR="00A55226">
        <w:rPr>
          <w:sz w:val="26"/>
          <w:szCs w:val="26"/>
        </w:rPr>
        <w:t>avers</w:t>
      </w:r>
      <w:r w:rsidR="00D37586">
        <w:rPr>
          <w:sz w:val="26"/>
          <w:szCs w:val="26"/>
        </w:rPr>
        <w:t xml:space="preserve"> th</w:t>
      </w:r>
      <w:r w:rsidR="007E4658">
        <w:rPr>
          <w:sz w:val="26"/>
          <w:szCs w:val="26"/>
        </w:rPr>
        <w:t xml:space="preserve">at the </w:t>
      </w:r>
      <w:r w:rsidR="00892F7C">
        <w:rPr>
          <w:sz w:val="26"/>
          <w:szCs w:val="26"/>
        </w:rPr>
        <w:t>record in the case clearly indicates that the Complainant has not suffered a change in income or a significant change in circumstances</w:t>
      </w:r>
      <w:r w:rsidR="003D531B">
        <w:rPr>
          <w:sz w:val="26"/>
          <w:szCs w:val="26"/>
        </w:rPr>
        <w:t>.</w:t>
      </w:r>
      <w:r w:rsidR="00D37586">
        <w:rPr>
          <w:sz w:val="26"/>
          <w:szCs w:val="26"/>
        </w:rPr>
        <w:t xml:space="preserve">  </w:t>
      </w:r>
      <w:r w:rsidR="00892F7C">
        <w:rPr>
          <w:sz w:val="26"/>
          <w:szCs w:val="26"/>
        </w:rPr>
        <w:t>Accordingly, PGW request</w:t>
      </w:r>
      <w:r w:rsidR="00027CE7">
        <w:rPr>
          <w:sz w:val="26"/>
          <w:szCs w:val="26"/>
        </w:rPr>
        <w:t>s</w:t>
      </w:r>
      <w:r w:rsidR="00892F7C">
        <w:rPr>
          <w:sz w:val="26"/>
          <w:szCs w:val="26"/>
        </w:rPr>
        <w:t xml:space="preserve"> the</w:t>
      </w:r>
      <w:r>
        <w:rPr>
          <w:sz w:val="26"/>
          <w:szCs w:val="26"/>
        </w:rPr>
        <w:t xml:space="preserve"> Commission </w:t>
      </w:r>
      <w:r w:rsidR="00027CE7">
        <w:rPr>
          <w:sz w:val="26"/>
          <w:szCs w:val="26"/>
        </w:rPr>
        <w:t xml:space="preserve">to </w:t>
      </w:r>
      <w:r>
        <w:rPr>
          <w:sz w:val="26"/>
          <w:szCs w:val="26"/>
        </w:rPr>
        <w:t>deny the Complainant’s Exceptions</w:t>
      </w:r>
      <w:r w:rsidR="00C02B53">
        <w:rPr>
          <w:sz w:val="26"/>
          <w:szCs w:val="26"/>
        </w:rPr>
        <w:t xml:space="preserve"> and adopt the </w:t>
      </w:r>
      <w:r w:rsidR="000C09DE">
        <w:rPr>
          <w:sz w:val="26"/>
          <w:szCs w:val="26"/>
        </w:rPr>
        <w:t>S</w:t>
      </w:r>
      <w:r w:rsidR="00714658">
        <w:rPr>
          <w:sz w:val="26"/>
          <w:szCs w:val="26"/>
        </w:rPr>
        <w:t>pecial</w:t>
      </w:r>
      <w:r w:rsidR="000C09DE">
        <w:rPr>
          <w:sz w:val="26"/>
          <w:szCs w:val="26"/>
        </w:rPr>
        <w:t xml:space="preserve"> A</w:t>
      </w:r>
      <w:r w:rsidR="00714658">
        <w:rPr>
          <w:sz w:val="26"/>
          <w:szCs w:val="26"/>
        </w:rPr>
        <w:t>ge</w:t>
      </w:r>
      <w:r w:rsidR="003011C1">
        <w:rPr>
          <w:sz w:val="26"/>
          <w:szCs w:val="26"/>
        </w:rPr>
        <w:t>n</w:t>
      </w:r>
      <w:r w:rsidR="00714658">
        <w:rPr>
          <w:sz w:val="26"/>
          <w:szCs w:val="26"/>
        </w:rPr>
        <w:t>t</w:t>
      </w:r>
      <w:r w:rsidR="004539C9">
        <w:rPr>
          <w:sz w:val="26"/>
          <w:szCs w:val="26"/>
        </w:rPr>
        <w:t>’s</w:t>
      </w:r>
      <w:r w:rsidR="00C02B53">
        <w:rPr>
          <w:sz w:val="26"/>
          <w:szCs w:val="26"/>
        </w:rPr>
        <w:t xml:space="preserve"> Initial Decision</w:t>
      </w:r>
      <w:r>
        <w:rPr>
          <w:sz w:val="26"/>
          <w:szCs w:val="26"/>
        </w:rPr>
        <w:t xml:space="preserve">. </w:t>
      </w:r>
      <w:r w:rsidRPr="00C376B8">
        <w:rPr>
          <w:sz w:val="26"/>
          <w:szCs w:val="26"/>
        </w:rPr>
        <w:t xml:space="preserve"> </w:t>
      </w:r>
      <w:r>
        <w:rPr>
          <w:sz w:val="26"/>
          <w:szCs w:val="26"/>
        </w:rPr>
        <w:t xml:space="preserve">R. Exc. at </w:t>
      </w:r>
      <w:r w:rsidR="00892F7C">
        <w:rPr>
          <w:sz w:val="26"/>
          <w:szCs w:val="26"/>
        </w:rPr>
        <w:t>2</w:t>
      </w:r>
      <w:r w:rsidR="00F103B2">
        <w:rPr>
          <w:sz w:val="26"/>
          <w:szCs w:val="26"/>
        </w:rPr>
        <w:t>.</w:t>
      </w:r>
    </w:p>
    <w:p w14:paraId="06CB8587" w14:textId="77777777" w:rsidR="00F103B2" w:rsidRDefault="00F103B2" w:rsidP="00DE0BD2">
      <w:pPr>
        <w:ind w:firstLine="1440"/>
        <w:contextualSpacing/>
        <w:jc w:val="left"/>
        <w:rPr>
          <w:sz w:val="26"/>
          <w:szCs w:val="26"/>
        </w:rPr>
      </w:pPr>
    </w:p>
    <w:p w14:paraId="48CE2DD6" w14:textId="77777777" w:rsidR="00B776E7" w:rsidRPr="00DB0AC5" w:rsidRDefault="003C58D6" w:rsidP="009B3286">
      <w:pPr>
        <w:keepNext/>
        <w:keepLines/>
        <w:autoSpaceDE w:val="0"/>
        <w:autoSpaceDN w:val="0"/>
        <w:adjustRightInd w:val="0"/>
        <w:ind w:firstLine="0"/>
        <w:jc w:val="left"/>
        <w:rPr>
          <w:b/>
          <w:sz w:val="26"/>
          <w:szCs w:val="26"/>
        </w:rPr>
      </w:pPr>
      <w:r w:rsidRPr="00DB0AC5">
        <w:rPr>
          <w:b/>
          <w:sz w:val="26"/>
          <w:szCs w:val="26"/>
        </w:rPr>
        <w:t>Disposition</w:t>
      </w:r>
    </w:p>
    <w:p w14:paraId="28C14183" w14:textId="77777777" w:rsidR="00FB110C" w:rsidRDefault="00FB110C" w:rsidP="009B3286">
      <w:pPr>
        <w:keepNext/>
        <w:keepLines/>
        <w:autoSpaceDE w:val="0"/>
        <w:autoSpaceDN w:val="0"/>
        <w:adjustRightInd w:val="0"/>
        <w:ind w:firstLine="0"/>
        <w:jc w:val="left"/>
        <w:rPr>
          <w:b/>
          <w:sz w:val="26"/>
          <w:szCs w:val="26"/>
        </w:rPr>
      </w:pPr>
    </w:p>
    <w:p w14:paraId="18FAFF1B" w14:textId="3E2A688A" w:rsidR="009132C2" w:rsidRDefault="009132C2" w:rsidP="009132C2">
      <w:pPr>
        <w:autoSpaceDE w:val="0"/>
        <w:autoSpaceDN w:val="0"/>
        <w:adjustRightInd w:val="0"/>
        <w:ind w:firstLine="0"/>
        <w:jc w:val="left"/>
        <w:rPr>
          <w:sz w:val="26"/>
          <w:szCs w:val="26"/>
        </w:rPr>
      </w:pPr>
      <w:r>
        <w:rPr>
          <w:b/>
          <w:sz w:val="26"/>
          <w:szCs w:val="26"/>
        </w:rPr>
        <w:tab/>
      </w:r>
      <w:r>
        <w:rPr>
          <w:b/>
          <w:sz w:val="26"/>
          <w:szCs w:val="26"/>
        </w:rPr>
        <w:tab/>
      </w:r>
      <w:r>
        <w:rPr>
          <w:sz w:val="26"/>
          <w:szCs w:val="26"/>
        </w:rPr>
        <w:t xml:space="preserve">Upon review, we conclude the Complainant’s Exceptions fail to identify any error in fact or law contained in the Initial Decision.  </w:t>
      </w:r>
      <w:r w:rsidRPr="00514157">
        <w:rPr>
          <w:bCs/>
          <w:sz w:val="26"/>
          <w:szCs w:val="26"/>
        </w:rPr>
        <w:t>We</w:t>
      </w:r>
      <w:r>
        <w:rPr>
          <w:sz w:val="26"/>
          <w:szCs w:val="26"/>
        </w:rPr>
        <w:t xml:space="preserve"> agree with the </w:t>
      </w:r>
      <w:r w:rsidR="000C09DE">
        <w:rPr>
          <w:sz w:val="26"/>
          <w:szCs w:val="26"/>
        </w:rPr>
        <w:t>S</w:t>
      </w:r>
      <w:r w:rsidR="00892F7C">
        <w:rPr>
          <w:sz w:val="26"/>
          <w:szCs w:val="26"/>
        </w:rPr>
        <w:t>pecial</w:t>
      </w:r>
      <w:r w:rsidR="000C09DE">
        <w:rPr>
          <w:sz w:val="26"/>
          <w:szCs w:val="26"/>
        </w:rPr>
        <w:t xml:space="preserve"> A</w:t>
      </w:r>
      <w:r w:rsidR="00892F7C">
        <w:rPr>
          <w:sz w:val="26"/>
          <w:szCs w:val="26"/>
        </w:rPr>
        <w:t>gent</w:t>
      </w:r>
      <w:r>
        <w:rPr>
          <w:sz w:val="26"/>
          <w:szCs w:val="26"/>
        </w:rPr>
        <w:t xml:space="preserve"> that the Complainant failed to meet her burden of proving that she is entitled </w:t>
      </w:r>
      <w:r w:rsidR="00892F7C">
        <w:rPr>
          <w:sz w:val="26"/>
          <w:szCs w:val="26"/>
        </w:rPr>
        <w:t>for a second</w:t>
      </w:r>
      <w:r>
        <w:rPr>
          <w:sz w:val="26"/>
          <w:szCs w:val="26"/>
        </w:rPr>
        <w:t xml:space="preserve"> Commission-</w:t>
      </w:r>
      <w:r w:rsidR="003A4723">
        <w:rPr>
          <w:sz w:val="26"/>
          <w:szCs w:val="26"/>
        </w:rPr>
        <w:t>issued</w:t>
      </w:r>
      <w:r>
        <w:rPr>
          <w:sz w:val="26"/>
          <w:szCs w:val="26"/>
        </w:rPr>
        <w:t xml:space="preserve"> payment arrangement.  We affirm </w:t>
      </w:r>
      <w:r w:rsidRPr="00DB0AC5">
        <w:rPr>
          <w:sz w:val="26"/>
          <w:szCs w:val="26"/>
        </w:rPr>
        <w:t>the</w:t>
      </w:r>
      <w:r>
        <w:rPr>
          <w:sz w:val="26"/>
          <w:szCs w:val="26"/>
        </w:rPr>
        <w:t xml:space="preserve"> </w:t>
      </w:r>
      <w:r w:rsidR="000C09DE">
        <w:rPr>
          <w:sz w:val="26"/>
          <w:szCs w:val="26"/>
        </w:rPr>
        <w:t>S</w:t>
      </w:r>
      <w:r w:rsidR="00714658">
        <w:rPr>
          <w:sz w:val="26"/>
          <w:szCs w:val="26"/>
        </w:rPr>
        <w:t>pecial</w:t>
      </w:r>
      <w:r w:rsidR="000C09DE">
        <w:rPr>
          <w:sz w:val="26"/>
          <w:szCs w:val="26"/>
        </w:rPr>
        <w:t xml:space="preserve"> A</w:t>
      </w:r>
      <w:r w:rsidR="00714658">
        <w:rPr>
          <w:sz w:val="26"/>
          <w:szCs w:val="26"/>
        </w:rPr>
        <w:t>ge</w:t>
      </w:r>
      <w:r w:rsidR="00D0773E">
        <w:rPr>
          <w:sz w:val="26"/>
          <w:szCs w:val="26"/>
        </w:rPr>
        <w:t>n</w:t>
      </w:r>
      <w:r w:rsidR="00714658">
        <w:rPr>
          <w:sz w:val="26"/>
          <w:szCs w:val="26"/>
        </w:rPr>
        <w:t>t’</w:t>
      </w:r>
      <w:r>
        <w:rPr>
          <w:sz w:val="26"/>
          <w:szCs w:val="26"/>
        </w:rPr>
        <w:t>s finding that the</w:t>
      </w:r>
      <w:r w:rsidRPr="00DB0AC5">
        <w:rPr>
          <w:sz w:val="26"/>
          <w:szCs w:val="26"/>
        </w:rPr>
        <w:t xml:space="preserve"> Complainant did not demonstrate a “change in income,” </w:t>
      </w:r>
      <w:r>
        <w:rPr>
          <w:sz w:val="26"/>
          <w:szCs w:val="26"/>
        </w:rPr>
        <w:t>to</w:t>
      </w:r>
      <w:r w:rsidRPr="00DB0AC5">
        <w:rPr>
          <w:sz w:val="26"/>
          <w:szCs w:val="26"/>
        </w:rPr>
        <w:t xml:space="preserve"> qualify for a </w:t>
      </w:r>
      <w:r>
        <w:rPr>
          <w:sz w:val="26"/>
          <w:szCs w:val="26"/>
        </w:rPr>
        <w:t xml:space="preserve">second </w:t>
      </w:r>
      <w:r w:rsidRPr="00DB0AC5">
        <w:rPr>
          <w:sz w:val="26"/>
          <w:szCs w:val="26"/>
        </w:rPr>
        <w:t>Commission-</w:t>
      </w:r>
      <w:r w:rsidR="003A4723">
        <w:rPr>
          <w:sz w:val="26"/>
          <w:szCs w:val="26"/>
        </w:rPr>
        <w:t>issued</w:t>
      </w:r>
      <w:r w:rsidRPr="00DB0AC5">
        <w:rPr>
          <w:sz w:val="26"/>
          <w:szCs w:val="26"/>
        </w:rPr>
        <w:t xml:space="preserve"> payment </w:t>
      </w:r>
      <w:r w:rsidR="00F72163">
        <w:rPr>
          <w:sz w:val="26"/>
          <w:szCs w:val="26"/>
        </w:rPr>
        <w:t>arrangement</w:t>
      </w:r>
      <w:r w:rsidRPr="00DB0AC5">
        <w:rPr>
          <w:sz w:val="26"/>
          <w:szCs w:val="26"/>
        </w:rPr>
        <w:t xml:space="preserve"> under Section 1405(d) of the Code.</w:t>
      </w:r>
      <w:r>
        <w:rPr>
          <w:sz w:val="26"/>
          <w:szCs w:val="26"/>
        </w:rPr>
        <w:t xml:space="preserve"> </w:t>
      </w:r>
      <w:r w:rsidR="00027CE7">
        <w:rPr>
          <w:sz w:val="26"/>
          <w:szCs w:val="26"/>
        </w:rPr>
        <w:t xml:space="preserve"> </w:t>
      </w:r>
      <w:r>
        <w:rPr>
          <w:sz w:val="26"/>
          <w:szCs w:val="26"/>
        </w:rPr>
        <w:t xml:space="preserve">We note that the Complainant had </w:t>
      </w:r>
      <w:r w:rsidR="00892F7C">
        <w:rPr>
          <w:sz w:val="26"/>
          <w:szCs w:val="26"/>
        </w:rPr>
        <w:t>a</w:t>
      </w:r>
      <w:r>
        <w:rPr>
          <w:sz w:val="26"/>
          <w:szCs w:val="26"/>
        </w:rPr>
        <w:t xml:space="preserve"> prior Commission-</w:t>
      </w:r>
      <w:r w:rsidR="003A4723">
        <w:rPr>
          <w:sz w:val="26"/>
          <w:szCs w:val="26"/>
        </w:rPr>
        <w:t>issued</w:t>
      </w:r>
      <w:r>
        <w:rPr>
          <w:sz w:val="26"/>
          <w:szCs w:val="26"/>
        </w:rPr>
        <w:t xml:space="preserve"> payment arrangement on which she defaulted.  Specifically, instead of showing a decrease of income, the Complainant has experienced an increase in income since her prior Commission-</w:t>
      </w:r>
      <w:r w:rsidR="003A4723">
        <w:rPr>
          <w:sz w:val="26"/>
          <w:szCs w:val="26"/>
        </w:rPr>
        <w:t>issued</w:t>
      </w:r>
      <w:r>
        <w:rPr>
          <w:sz w:val="26"/>
          <w:szCs w:val="26"/>
        </w:rPr>
        <w:t xml:space="preserve"> payment arrangement.  </w:t>
      </w:r>
      <w:r w:rsidR="001D7A4D">
        <w:rPr>
          <w:sz w:val="26"/>
          <w:szCs w:val="26"/>
        </w:rPr>
        <w:t xml:space="preserve">At the time of </w:t>
      </w:r>
      <w:r>
        <w:rPr>
          <w:sz w:val="26"/>
          <w:szCs w:val="26"/>
        </w:rPr>
        <w:t>her prior Commission-</w:t>
      </w:r>
      <w:r w:rsidR="003A4723">
        <w:rPr>
          <w:sz w:val="26"/>
          <w:szCs w:val="26"/>
        </w:rPr>
        <w:t>issued</w:t>
      </w:r>
      <w:r>
        <w:rPr>
          <w:sz w:val="26"/>
          <w:szCs w:val="26"/>
        </w:rPr>
        <w:t xml:space="preserve"> payment arrangement, the </w:t>
      </w:r>
      <w:r>
        <w:rPr>
          <w:sz w:val="26"/>
          <w:szCs w:val="26"/>
        </w:rPr>
        <w:lastRenderedPageBreak/>
        <w:t xml:space="preserve">Complainant reported </w:t>
      </w:r>
      <w:r w:rsidR="001D7A4D">
        <w:rPr>
          <w:sz w:val="26"/>
          <w:szCs w:val="26"/>
        </w:rPr>
        <w:t>$1,386.67</w:t>
      </w:r>
      <w:r>
        <w:rPr>
          <w:sz w:val="26"/>
          <w:szCs w:val="26"/>
        </w:rPr>
        <w:t xml:space="preserve">.  However, at the hearing in </w:t>
      </w:r>
      <w:r w:rsidR="001D7A4D">
        <w:rPr>
          <w:sz w:val="26"/>
          <w:szCs w:val="26"/>
        </w:rPr>
        <w:t>February</w:t>
      </w:r>
      <w:r>
        <w:rPr>
          <w:sz w:val="26"/>
          <w:szCs w:val="26"/>
        </w:rPr>
        <w:t xml:space="preserve"> 201</w:t>
      </w:r>
      <w:r w:rsidR="001D7A4D">
        <w:rPr>
          <w:sz w:val="26"/>
          <w:szCs w:val="26"/>
        </w:rPr>
        <w:t>9</w:t>
      </w:r>
      <w:r>
        <w:rPr>
          <w:sz w:val="26"/>
          <w:szCs w:val="26"/>
        </w:rPr>
        <w:t xml:space="preserve">, the Complainant testified that her current income </w:t>
      </w:r>
      <w:r w:rsidR="001D7A4D">
        <w:rPr>
          <w:sz w:val="26"/>
          <w:szCs w:val="26"/>
        </w:rPr>
        <w:t xml:space="preserve">approximates $2,833 per month, which is an </w:t>
      </w:r>
      <w:r>
        <w:rPr>
          <w:sz w:val="26"/>
          <w:szCs w:val="26"/>
        </w:rPr>
        <w:t>increase</w:t>
      </w:r>
      <w:r w:rsidR="001D7A4D">
        <w:rPr>
          <w:sz w:val="26"/>
          <w:szCs w:val="26"/>
        </w:rPr>
        <w:t xml:space="preserve"> from prior period</w:t>
      </w:r>
      <w:r>
        <w:rPr>
          <w:sz w:val="26"/>
          <w:szCs w:val="26"/>
        </w:rPr>
        <w:t>.  Therefore, the Complainant does not qualify for another Commission-</w:t>
      </w:r>
      <w:r w:rsidR="003A4723">
        <w:rPr>
          <w:sz w:val="26"/>
          <w:szCs w:val="26"/>
        </w:rPr>
        <w:t>issued</w:t>
      </w:r>
      <w:r>
        <w:rPr>
          <w:sz w:val="26"/>
          <w:szCs w:val="26"/>
        </w:rPr>
        <w:t xml:space="preserve"> payment arrangement.</w:t>
      </w:r>
    </w:p>
    <w:p w14:paraId="70197158" w14:textId="77777777" w:rsidR="001D7A4D" w:rsidRDefault="001D7A4D" w:rsidP="009132C2">
      <w:pPr>
        <w:autoSpaceDE w:val="0"/>
        <w:autoSpaceDN w:val="0"/>
        <w:adjustRightInd w:val="0"/>
        <w:ind w:firstLine="0"/>
        <w:jc w:val="left"/>
        <w:rPr>
          <w:sz w:val="26"/>
          <w:szCs w:val="26"/>
        </w:rPr>
      </w:pPr>
    </w:p>
    <w:p w14:paraId="1B1E2233" w14:textId="7FFFAAE0" w:rsidR="009132C2" w:rsidRDefault="008125A5" w:rsidP="009132C2">
      <w:pPr>
        <w:autoSpaceDE w:val="0"/>
        <w:autoSpaceDN w:val="0"/>
        <w:adjustRightInd w:val="0"/>
        <w:ind w:firstLine="1440"/>
        <w:jc w:val="left"/>
        <w:rPr>
          <w:sz w:val="26"/>
          <w:szCs w:val="26"/>
        </w:rPr>
      </w:pPr>
      <w:r>
        <w:rPr>
          <w:sz w:val="26"/>
          <w:szCs w:val="26"/>
        </w:rPr>
        <w:t>Next, we will consider</w:t>
      </w:r>
      <w:r w:rsidR="009132C2">
        <w:rPr>
          <w:sz w:val="26"/>
          <w:szCs w:val="26"/>
        </w:rPr>
        <w:t xml:space="preserve"> whether we can extend </w:t>
      </w:r>
      <w:r w:rsidR="008C3F5E">
        <w:rPr>
          <w:sz w:val="26"/>
          <w:szCs w:val="26"/>
        </w:rPr>
        <w:t>or reinstate</w:t>
      </w:r>
      <w:r w:rsidR="00933F0C">
        <w:rPr>
          <w:sz w:val="26"/>
          <w:szCs w:val="26"/>
        </w:rPr>
        <w:t xml:space="preserve"> the Complainant’s</w:t>
      </w:r>
      <w:r w:rsidR="009132C2">
        <w:rPr>
          <w:sz w:val="26"/>
          <w:szCs w:val="26"/>
        </w:rPr>
        <w:t xml:space="preserve"> prior Commission-</w:t>
      </w:r>
      <w:r w:rsidR="003A4723">
        <w:rPr>
          <w:sz w:val="26"/>
          <w:szCs w:val="26"/>
        </w:rPr>
        <w:t>issued</w:t>
      </w:r>
      <w:r w:rsidR="009132C2">
        <w:rPr>
          <w:sz w:val="26"/>
          <w:szCs w:val="26"/>
        </w:rPr>
        <w:t xml:space="preserve"> payment arrangement</w:t>
      </w:r>
      <w:r w:rsidR="008C3F5E" w:rsidRPr="008C3F5E">
        <w:rPr>
          <w:sz w:val="26"/>
          <w:szCs w:val="26"/>
        </w:rPr>
        <w:t xml:space="preserve"> </w:t>
      </w:r>
      <w:r w:rsidR="008C3F5E">
        <w:rPr>
          <w:sz w:val="26"/>
          <w:szCs w:val="26"/>
        </w:rPr>
        <w:t xml:space="preserve">of September 15, 2014.  While we recognize that </w:t>
      </w:r>
      <w:r>
        <w:rPr>
          <w:sz w:val="26"/>
          <w:szCs w:val="26"/>
        </w:rPr>
        <w:t xml:space="preserve">although </w:t>
      </w:r>
      <w:r w:rsidR="008C3F5E">
        <w:rPr>
          <w:sz w:val="26"/>
          <w:szCs w:val="26"/>
        </w:rPr>
        <w:t xml:space="preserve">the Complainant may qualify for this consideration since her </w:t>
      </w:r>
      <w:r w:rsidR="008C3F5E" w:rsidRPr="006D198C">
        <w:rPr>
          <w:rFonts w:eastAsia="Times New Roman"/>
          <w:sz w:val="26"/>
          <w:szCs w:val="26"/>
        </w:rPr>
        <w:t xml:space="preserve">household income </w:t>
      </w:r>
      <w:r w:rsidR="008C3F5E">
        <w:rPr>
          <w:rFonts w:eastAsia="Times New Roman"/>
          <w:sz w:val="26"/>
          <w:szCs w:val="26"/>
        </w:rPr>
        <w:t>is less than 300% of the Federal P</w:t>
      </w:r>
      <w:r w:rsidR="008C3F5E" w:rsidRPr="006D198C">
        <w:rPr>
          <w:rFonts w:eastAsia="Times New Roman"/>
          <w:sz w:val="26"/>
          <w:szCs w:val="26"/>
        </w:rPr>
        <w:t xml:space="preserve">overty </w:t>
      </w:r>
      <w:r w:rsidR="008C3F5E">
        <w:rPr>
          <w:rFonts w:eastAsia="Times New Roman"/>
          <w:sz w:val="26"/>
          <w:szCs w:val="26"/>
        </w:rPr>
        <w:t>Guidelines,</w:t>
      </w:r>
      <w:r w:rsidR="008C3F5E">
        <w:rPr>
          <w:rStyle w:val="FootnoteReference"/>
          <w:rFonts w:eastAsia="Times New Roman"/>
          <w:sz w:val="26"/>
          <w:szCs w:val="26"/>
        </w:rPr>
        <w:footnoteReference w:id="5"/>
      </w:r>
      <w:r w:rsidR="008C3F5E">
        <w:rPr>
          <w:sz w:val="26"/>
          <w:szCs w:val="26"/>
        </w:rPr>
        <w:t xml:space="preserve">  </w:t>
      </w:r>
      <w:r w:rsidR="009132C2">
        <w:rPr>
          <w:sz w:val="26"/>
          <w:szCs w:val="26"/>
        </w:rPr>
        <w:t>the Complainant did not demonstrate a “significant change in circumstance</w:t>
      </w:r>
      <w:r w:rsidR="000F103C">
        <w:rPr>
          <w:sz w:val="26"/>
          <w:szCs w:val="26"/>
        </w:rPr>
        <w:t>.</w:t>
      </w:r>
      <w:r w:rsidR="009132C2">
        <w:rPr>
          <w:sz w:val="26"/>
          <w:szCs w:val="26"/>
        </w:rPr>
        <w:t>”</w:t>
      </w:r>
      <w:r w:rsidR="000F103C">
        <w:rPr>
          <w:sz w:val="26"/>
          <w:szCs w:val="26"/>
        </w:rPr>
        <w:t xml:space="preserve">  T</w:t>
      </w:r>
      <w:r>
        <w:rPr>
          <w:sz w:val="26"/>
          <w:szCs w:val="26"/>
        </w:rPr>
        <w:t xml:space="preserve">herefore, </w:t>
      </w:r>
      <w:r w:rsidR="008C3F5E">
        <w:rPr>
          <w:sz w:val="26"/>
          <w:szCs w:val="26"/>
        </w:rPr>
        <w:t xml:space="preserve">we are unable to </w:t>
      </w:r>
      <w:r>
        <w:rPr>
          <w:sz w:val="26"/>
          <w:szCs w:val="26"/>
        </w:rPr>
        <w:t>extend her prior Commission-</w:t>
      </w:r>
      <w:r w:rsidR="003A4723">
        <w:rPr>
          <w:sz w:val="26"/>
          <w:szCs w:val="26"/>
        </w:rPr>
        <w:t>issued</w:t>
      </w:r>
      <w:r>
        <w:rPr>
          <w:sz w:val="26"/>
          <w:szCs w:val="26"/>
        </w:rPr>
        <w:t xml:space="preserve"> payment arrangement</w:t>
      </w:r>
      <w:r w:rsidR="00F3594C">
        <w:rPr>
          <w:sz w:val="26"/>
          <w:szCs w:val="26"/>
        </w:rPr>
        <w:t xml:space="preserve"> and</w:t>
      </w:r>
      <w:r w:rsidR="003A4723">
        <w:rPr>
          <w:sz w:val="26"/>
          <w:szCs w:val="26"/>
        </w:rPr>
        <w:t xml:space="preserve"> </w:t>
      </w:r>
      <w:r w:rsidR="008C3F5E">
        <w:rPr>
          <w:sz w:val="26"/>
          <w:szCs w:val="26"/>
        </w:rPr>
        <w:t>will affirm</w:t>
      </w:r>
      <w:r w:rsidR="008C3F5E" w:rsidRPr="008C3F5E">
        <w:rPr>
          <w:sz w:val="26"/>
          <w:szCs w:val="26"/>
        </w:rPr>
        <w:t xml:space="preserve"> </w:t>
      </w:r>
      <w:r w:rsidR="008C3F5E">
        <w:rPr>
          <w:sz w:val="26"/>
          <w:szCs w:val="26"/>
        </w:rPr>
        <w:t>the Special Agent’s finding in this matter.</w:t>
      </w:r>
    </w:p>
    <w:p w14:paraId="6E12C149" w14:textId="77777777" w:rsidR="009132C2" w:rsidRDefault="009132C2" w:rsidP="009132C2">
      <w:pPr>
        <w:autoSpaceDE w:val="0"/>
        <w:autoSpaceDN w:val="0"/>
        <w:adjustRightInd w:val="0"/>
        <w:ind w:firstLine="0"/>
        <w:jc w:val="left"/>
        <w:rPr>
          <w:sz w:val="26"/>
          <w:szCs w:val="26"/>
        </w:rPr>
      </w:pPr>
    </w:p>
    <w:p w14:paraId="608E07A7" w14:textId="77777777" w:rsidR="009132C2" w:rsidRDefault="009132C2" w:rsidP="009132C2">
      <w:pPr>
        <w:autoSpaceDE w:val="0"/>
        <w:autoSpaceDN w:val="0"/>
        <w:adjustRightInd w:val="0"/>
        <w:ind w:firstLine="1440"/>
        <w:jc w:val="left"/>
        <w:rPr>
          <w:sz w:val="26"/>
          <w:szCs w:val="26"/>
        </w:rPr>
      </w:pPr>
      <w:r>
        <w:rPr>
          <w:sz w:val="26"/>
          <w:szCs w:val="26"/>
        </w:rPr>
        <w:t xml:space="preserve">Nevertheless, at the hearing Ms. </w:t>
      </w:r>
      <w:r w:rsidR="006819F2">
        <w:rPr>
          <w:sz w:val="26"/>
          <w:szCs w:val="26"/>
        </w:rPr>
        <w:t>Gray</w:t>
      </w:r>
      <w:r>
        <w:rPr>
          <w:sz w:val="26"/>
          <w:szCs w:val="26"/>
        </w:rPr>
        <w:t xml:space="preserve"> indicated a willingness to pay off her arrears since she has started working</w:t>
      </w:r>
      <w:r w:rsidR="00027CE7">
        <w:rPr>
          <w:sz w:val="26"/>
          <w:szCs w:val="26"/>
        </w:rPr>
        <w:t xml:space="preserve"> full time</w:t>
      </w:r>
      <w:r>
        <w:rPr>
          <w:sz w:val="26"/>
          <w:szCs w:val="26"/>
        </w:rPr>
        <w:t>.  We, therefore, encourage the parties to work with each other on a resolution to this matter by</w:t>
      </w:r>
      <w:r w:rsidR="004909CA">
        <w:rPr>
          <w:sz w:val="26"/>
          <w:szCs w:val="26"/>
        </w:rPr>
        <w:t xml:space="preserve"> </w:t>
      </w:r>
      <w:r>
        <w:rPr>
          <w:sz w:val="26"/>
          <w:szCs w:val="26"/>
        </w:rPr>
        <w:t>utilizing all resources that might be available to them</w:t>
      </w:r>
      <w:r w:rsidR="00BA031A">
        <w:rPr>
          <w:sz w:val="26"/>
          <w:szCs w:val="26"/>
        </w:rPr>
        <w:t>.</w:t>
      </w:r>
    </w:p>
    <w:p w14:paraId="43C86E81" w14:textId="77777777" w:rsidR="009132C2" w:rsidRDefault="009132C2" w:rsidP="007851EB">
      <w:pPr>
        <w:autoSpaceDE w:val="0"/>
        <w:autoSpaceDN w:val="0"/>
        <w:adjustRightInd w:val="0"/>
        <w:ind w:firstLine="0"/>
        <w:jc w:val="left"/>
        <w:rPr>
          <w:sz w:val="26"/>
          <w:szCs w:val="26"/>
        </w:rPr>
      </w:pPr>
    </w:p>
    <w:p w14:paraId="7B4426B9" w14:textId="77777777" w:rsidR="00B776E7" w:rsidRPr="00DB0AC5" w:rsidRDefault="00B776E7" w:rsidP="00860BEC">
      <w:pPr>
        <w:keepNext/>
        <w:keepLines/>
        <w:autoSpaceDE w:val="0"/>
        <w:autoSpaceDN w:val="0"/>
        <w:adjustRightInd w:val="0"/>
        <w:ind w:firstLine="0"/>
        <w:rPr>
          <w:sz w:val="26"/>
          <w:szCs w:val="26"/>
        </w:rPr>
      </w:pPr>
      <w:r w:rsidRPr="00DB0AC5">
        <w:rPr>
          <w:b/>
          <w:sz w:val="26"/>
          <w:szCs w:val="26"/>
        </w:rPr>
        <w:t>Conclusion</w:t>
      </w:r>
    </w:p>
    <w:p w14:paraId="008E7B93" w14:textId="77777777" w:rsidR="00B776E7" w:rsidRPr="00DB0AC5" w:rsidRDefault="00B776E7" w:rsidP="00860BEC">
      <w:pPr>
        <w:keepNext/>
        <w:keepLines/>
        <w:autoSpaceDE w:val="0"/>
        <w:autoSpaceDN w:val="0"/>
        <w:adjustRightInd w:val="0"/>
        <w:ind w:firstLine="0"/>
        <w:jc w:val="left"/>
        <w:rPr>
          <w:sz w:val="26"/>
          <w:szCs w:val="26"/>
        </w:rPr>
      </w:pPr>
    </w:p>
    <w:p w14:paraId="75276D52" w14:textId="77777777" w:rsidR="00A24E38" w:rsidRDefault="00B65F10" w:rsidP="00B65F10">
      <w:pPr>
        <w:autoSpaceDE w:val="0"/>
        <w:autoSpaceDN w:val="0"/>
        <w:adjustRightInd w:val="0"/>
        <w:jc w:val="left"/>
        <w:rPr>
          <w:sz w:val="26"/>
          <w:szCs w:val="26"/>
        </w:rPr>
      </w:pPr>
      <w:r>
        <w:rPr>
          <w:rFonts w:eastAsiaTheme="minorHAnsi"/>
          <w:sz w:val="26"/>
          <w:szCs w:val="26"/>
        </w:rPr>
        <w:tab/>
      </w:r>
      <w:r w:rsidR="0079540B" w:rsidRPr="00DB0AC5">
        <w:rPr>
          <w:rFonts w:eastAsiaTheme="minorHAnsi"/>
          <w:sz w:val="26"/>
          <w:szCs w:val="26"/>
        </w:rPr>
        <w:t>For the reasons</w:t>
      </w:r>
      <w:r w:rsidR="0079540B">
        <w:rPr>
          <w:rFonts w:eastAsiaTheme="minorHAnsi"/>
          <w:sz w:val="26"/>
          <w:szCs w:val="26"/>
        </w:rPr>
        <w:t xml:space="preserve"> discussed above</w:t>
      </w:r>
      <w:r w:rsidR="0079540B" w:rsidRPr="00DB0AC5">
        <w:rPr>
          <w:rFonts w:eastAsiaTheme="minorHAnsi"/>
          <w:sz w:val="26"/>
          <w:szCs w:val="26"/>
        </w:rPr>
        <w:t xml:space="preserve">, we shall deny the Complainant’s Exceptions and </w:t>
      </w:r>
      <w:r w:rsidR="0079540B">
        <w:rPr>
          <w:rFonts w:eastAsiaTheme="minorHAnsi"/>
          <w:sz w:val="26"/>
          <w:szCs w:val="26"/>
        </w:rPr>
        <w:t xml:space="preserve">adopt the </w:t>
      </w:r>
      <w:r w:rsidR="0079540B" w:rsidRPr="00DB0AC5">
        <w:rPr>
          <w:rFonts w:eastAsiaTheme="minorHAnsi"/>
          <w:sz w:val="26"/>
          <w:szCs w:val="26"/>
        </w:rPr>
        <w:t>Initial Decision</w:t>
      </w:r>
      <w:r w:rsidR="0079540B">
        <w:rPr>
          <w:rFonts w:eastAsiaTheme="minorHAnsi"/>
          <w:sz w:val="26"/>
          <w:szCs w:val="26"/>
        </w:rPr>
        <w:t xml:space="preserve"> of </w:t>
      </w:r>
      <w:r w:rsidR="000C09DE">
        <w:rPr>
          <w:rFonts w:eastAsiaTheme="minorHAnsi"/>
          <w:sz w:val="26"/>
          <w:szCs w:val="26"/>
        </w:rPr>
        <w:t>S</w:t>
      </w:r>
      <w:r w:rsidR="00714658">
        <w:rPr>
          <w:rFonts w:eastAsiaTheme="minorHAnsi"/>
          <w:sz w:val="26"/>
          <w:szCs w:val="26"/>
        </w:rPr>
        <w:t>pecial</w:t>
      </w:r>
      <w:r w:rsidR="000C09DE">
        <w:rPr>
          <w:rFonts w:eastAsiaTheme="minorHAnsi"/>
          <w:sz w:val="26"/>
          <w:szCs w:val="26"/>
        </w:rPr>
        <w:t xml:space="preserve"> A</w:t>
      </w:r>
      <w:r w:rsidR="00714658">
        <w:rPr>
          <w:rFonts w:eastAsiaTheme="minorHAnsi"/>
          <w:sz w:val="26"/>
          <w:szCs w:val="26"/>
        </w:rPr>
        <w:t>ge</w:t>
      </w:r>
      <w:r w:rsidR="006819F2">
        <w:rPr>
          <w:rFonts w:eastAsiaTheme="minorHAnsi"/>
          <w:sz w:val="26"/>
          <w:szCs w:val="26"/>
        </w:rPr>
        <w:t>n</w:t>
      </w:r>
      <w:r w:rsidR="00714658">
        <w:rPr>
          <w:rFonts w:eastAsiaTheme="minorHAnsi"/>
          <w:sz w:val="26"/>
          <w:szCs w:val="26"/>
        </w:rPr>
        <w:t>t</w:t>
      </w:r>
      <w:r w:rsidR="00D078FB">
        <w:rPr>
          <w:rFonts w:eastAsiaTheme="minorHAnsi"/>
          <w:sz w:val="26"/>
          <w:szCs w:val="26"/>
        </w:rPr>
        <w:t xml:space="preserve"> </w:t>
      </w:r>
      <w:r w:rsidR="001D7A4D">
        <w:rPr>
          <w:rFonts w:eastAsiaTheme="minorHAnsi"/>
          <w:sz w:val="26"/>
          <w:szCs w:val="26"/>
        </w:rPr>
        <w:t>Chiodo</w:t>
      </w:r>
      <w:r w:rsidR="0079540B" w:rsidRPr="00DB0AC5">
        <w:rPr>
          <w:rFonts w:eastAsiaTheme="minorHAnsi"/>
          <w:sz w:val="26"/>
          <w:szCs w:val="26"/>
        </w:rPr>
        <w:t xml:space="preserve">, </w:t>
      </w:r>
      <w:r w:rsidR="0079540B">
        <w:rPr>
          <w:rFonts w:eastAsiaTheme="minorHAnsi"/>
          <w:sz w:val="26"/>
          <w:szCs w:val="26"/>
        </w:rPr>
        <w:t>which dismisses the Complaint</w:t>
      </w:r>
      <w:r w:rsidR="00B776E7" w:rsidRPr="00DB0AC5">
        <w:rPr>
          <w:sz w:val="26"/>
          <w:szCs w:val="26"/>
        </w:rPr>
        <w:t xml:space="preserve">; </w:t>
      </w:r>
      <w:r w:rsidR="00B776E7" w:rsidRPr="00DB0AC5">
        <w:rPr>
          <w:b/>
          <w:sz w:val="26"/>
          <w:szCs w:val="26"/>
        </w:rPr>
        <w:t>THEREFORE</w:t>
      </w:r>
      <w:r w:rsidR="00B776E7" w:rsidRPr="00DB0AC5">
        <w:rPr>
          <w:sz w:val="26"/>
          <w:szCs w:val="26"/>
        </w:rPr>
        <w:t>,</w:t>
      </w:r>
    </w:p>
    <w:p w14:paraId="0499E877" w14:textId="77777777" w:rsidR="00A24E38" w:rsidRPr="00DB0AC5" w:rsidRDefault="00A24E38" w:rsidP="0093651F">
      <w:pPr>
        <w:autoSpaceDE w:val="0"/>
        <w:autoSpaceDN w:val="0"/>
        <w:adjustRightInd w:val="0"/>
        <w:ind w:firstLine="0"/>
        <w:jc w:val="left"/>
        <w:rPr>
          <w:sz w:val="26"/>
          <w:szCs w:val="26"/>
        </w:rPr>
      </w:pPr>
    </w:p>
    <w:p w14:paraId="1F77DE0C" w14:textId="77777777" w:rsidR="00B776E7" w:rsidRPr="00DB0AC5" w:rsidRDefault="00B776E7" w:rsidP="00306B4E">
      <w:pPr>
        <w:keepNext/>
        <w:ind w:firstLine="0"/>
        <w:jc w:val="left"/>
        <w:rPr>
          <w:b/>
          <w:sz w:val="26"/>
          <w:szCs w:val="26"/>
        </w:rPr>
      </w:pPr>
      <w:r w:rsidRPr="00DB0AC5">
        <w:rPr>
          <w:sz w:val="26"/>
          <w:szCs w:val="26"/>
        </w:rPr>
        <w:lastRenderedPageBreak/>
        <w:tab/>
      </w:r>
      <w:r w:rsidRPr="00DB0AC5">
        <w:rPr>
          <w:b/>
          <w:sz w:val="26"/>
          <w:szCs w:val="26"/>
        </w:rPr>
        <w:t>IT IS ORDERED:</w:t>
      </w:r>
    </w:p>
    <w:p w14:paraId="548E2A68" w14:textId="77777777" w:rsidR="00B776E7" w:rsidRPr="00DB0AC5" w:rsidRDefault="00B776E7" w:rsidP="00306B4E">
      <w:pPr>
        <w:keepNext/>
        <w:ind w:firstLine="0"/>
        <w:jc w:val="left"/>
        <w:rPr>
          <w:b/>
          <w:sz w:val="26"/>
          <w:szCs w:val="26"/>
        </w:rPr>
      </w:pPr>
    </w:p>
    <w:p w14:paraId="6CFDAC86" w14:textId="77777777" w:rsidR="00B776E7" w:rsidRPr="00DB0AC5" w:rsidRDefault="00B776E7" w:rsidP="00306B4E">
      <w:pPr>
        <w:keepNext/>
        <w:ind w:firstLine="1440"/>
        <w:jc w:val="left"/>
        <w:rPr>
          <w:sz w:val="26"/>
          <w:szCs w:val="26"/>
        </w:rPr>
      </w:pPr>
      <w:r w:rsidRPr="00DB0AC5">
        <w:rPr>
          <w:sz w:val="26"/>
          <w:szCs w:val="26"/>
        </w:rPr>
        <w:t>1.</w:t>
      </w:r>
      <w:r w:rsidRPr="00DB0AC5">
        <w:rPr>
          <w:sz w:val="26"/>
          <w:szCs w:val="26"/>
        </w:rPr>
        <w:tab/>
        <w:t xml:space="preserve">That the Exceptions filed by </w:t>
      </w:r>
      <w:r w:rsidR="001D7A4D">
        <w:rPr>
          <w:sz w:val="26"/>
          <w:szCs w:val="26"/>
        </w:rPr>
        <w:t>Tenika</w:t>
      </w:r>
      <w:r w:rsidR="00956AE6">
        <w:rPr>
          <w:sz w:val="26"/>
          <w:szCs w:val="26"/>
        </w:rPr>
        <w:t xml:space="preserve"> </w:t>
      </w:r>
      <w:r w:rsidR="001D7A4D">
        <w:rPr>
          <w:sz w:val="26"/>
          <w:szCs w:val="26"/>
        </w:rPr>
        <w:t>Gray</w:t>
      </w:r>
      <w:r w:rsidRPr="00DB0AC5">
        <w:rPr>
          <w:sz w:val="26"/>
          <w:szCs w:val="26"/>
        </w:rPr>
        <w:t xml:space="preserve"> on </w:t>
      </w:r>
      <w:r w:rsidR="00956AE6">
        <w:rPr>
          <w:sz w:val="26"/>
          <w:szCs w:val="26"/>
        </w:rPr>
        <w:t>March</w:t>
      </w:r>
      <w:r w:rsidR="0019342F" w:rsidRPr="00DB0AC5">
        <w:rPr>
          <w:sz w:val="26"/>
          <w:szCs w:val="26"/>
        </w:rPr>
        <w:t xml:space="preserve"> </w:t>
      </w:r>
      <w:r w:rsidR="00714658">
        <w:rPr>
          <w:sz w:val="26"/>
          <w:szCs w:val="26"/>
        </w:rPr>
        <w:t>4</w:t>
      </w:r>
      <w:r w:rsidR="00D86BAE" w:rsidRPr="00DB0AC5">
        <w:rPr>
          <w:sz w:val="26"/>
          <w:szCs w:val="26"/>
        </w:rPr>
        <w:t>, 201</w:t>
      </w:r>
      <w:r w:rsidR="00026474">
        <w:rPr>
          <w:sz w:val="26"/>
          <w:szCs w:val="26"/>
        </w:rPr>
        <w:t>9</w:t>
      </w:r>
      <w:r w:rsidRPr="00DB0AC5">
        <w:rPr>
          <w:sz w:val="26"/>
          <w:szCs w:val="26"/>
        </w:rPr>
        <w:t xml:space="preserve">, to the Initial Decision of </w:t>
      </w:r>
      <w:r w:rsidR="00714658">
        <w:rPr>
          <w:sz w:val="26"/>
          <w:szCs w:val="26"/>
        </w:rPr>
        <w:t>Special Agent</w:t>
      </w:r>
      <w:r w:rsidRPr="00DB0AC5">
        <w:rPr>
          <w:sz w:val="26"/>
          <w:szCs w:val="26"/>
        </w:rPr>
        <w:t xml:space="preserve"> </w:t>
      </w:r>
      <w:r w:rsidR="00714658">
        <w:rPr>
          <w:sz w:val="26"/>
          <w:szCs w:val="26"/>
        </w:rPr>
        <w:t>Gail</w:t>
      </w:r>
      <w:r w:rsidR="00956AE6">
        <w:rPr>
          <w:sz w:val="26"/>
          <w:szCs w:val="26"/>
        </w:rPr>
        <w:t xml:space="preserve"> </w:t>
      </w:r>
      <w:r w:rsidR="00714658">
        <w:rPr>
          <w:sz w:val="26"/>
          <w:szCs w:val="26"/>
        </w:rPr>
        <w:t>M</w:t>
      </w:r>
      <w:r w:rsidR="00026474">
        <w:rPr>
          <w:sz w:val="26"/>
          <w:szCs w:val="26"/>
        </w:rPr>
        <w:t xml:space="preserve">. </w:t>
      </w:r>
      <w:r w:rsidR="00714658">
        <w:rPr>
          <w:sz w:val="26"/>
          <w:szCs w:val="26"/>
        </w:rPr>
        <w:t>Chiodo</w:t>
      </w:r>
      <w:r w:rsidRPr="00DB0AC5">
        <w:rPr>
          <w:sz w:val="26"/>
          <w:szCs w:val="26"/>
        </w:rPr>
        <w:t xml:space="preserve">, issued on </w:t>
      </w:r>
      <w:r w:rsidR="00714658">
        <w:rPr>
          <w:sz w:val="26"/>
          <w:szCs w:val="26"/>
        </w:rPr>
        <w:t>February</w:t>
      </w:r>
      <w:r w:rsidR="00C34A96">
        <w:rPr>
          <w:sz w:val="26"/>
          <w:szCs w:val="26"/>
        </w:rPr>
        <w:t> </w:t>
      </w:r>
      <w:r w:rsidR="00714658">
        <w:rPr>
          <w:sz w:val="26"/>
          <w:szCs w:val="26"/>
        </w:rPr>
        <w:t>21</w:t>
      </w:r>
      <w:r w:rsidR="00D86BAE" w:rsidRPr="00DB0AC5">
        <w:rPr>
          <w:sz w:val="26"/>
          <w:szCs w:val="26"/>
        </w:rPr>
        <w:t>, 201</w:t>
      </w:r>
      <w:r w:rsidR="00956AE6">
        <w:rPr>
          <w:sz w:val="26"/>
          <w:szCs w:val="26"/>
        </w:rPr>
        <w:t>9</w:t>
      </w:r>
      <w:r w:rsidRPr="00DB0AC5">
        <w:rPr>
          <w:sz w:val="26"/>
          <w:szCs w:val="26"/>
        </w:rPr>
        <w:t>, are denied, consistent with this Opinion and Order.</w:t>
      </w:r>
    </w:p>
    <w:p w14:paraId="5AD07B3A" w14:textId="77777777" w:rsidR="00B776E7" w:rsidRPr="00DB0AC5" w:rsidRDefault="00B776E7" w:rsidP="0093651F">
      <w:pPr>
        <w:ind w:firstLine="1440"/>
        <w:jc w:val="left"/>
        <w:rPr>
          <w:sz w:val="26"/>
          <w:szCs w:val="26"/>
        </w:rPr>
      </w:pPr>
    </w:p>
    <w:p w14:paraId="0B14454D" w14:textId="77777777" w:rsidR="00B776E7" w:rsidRPr="00DB0AC5" w:rsidRDefault="00B776E7" w:rsidP="0093651F">
      <w:pPr>
        <w:ind w:firstLine="1440"/>
        <w:jc w:val="left"/>
        <w:rPr>
          <w:sz w:val="26"/>
          <w:szCs w:val="26"/>
        </w:rPr>
      </w:pPr>
      <w:r w:rsidRPr="00DB0AC5">
        <w:rPr>
          <w:sz w:val="26"/>
          <w:szCs w:val="26"/>
        </w:rPr>
        <w:t>2.</w:t>
      </w:r>
      <w:r w:rsidRPr="00DB0AC5">
        <w:rPr>
          <w:sz w:val="26"/>
          <w:szCs w:val="26"/>
        </w:rPr>
        <w:tab/>
        <w:t xml:space="preserve">That the Initial Decision of </w:t>
      </w:r>
      <w:r w:rsidR="003011C1">
        <w:rPr>
          <w:sz w:val="26"/>
          <w:szCs w:val="26"/>
        </w:rPr>
        <w:t>Special Agent</w:t>
      </w:r>
      <w:r w:rsidR="001D7A4D">
        <w:rPr>
          <w:sz w:val="26"/>
          <w:szCs w:val="26"/>
        </w:rPr>
        <w:t xml:space="preserve"> Gail M. Chiodo</w:t>
      </w:r>
      <w:r w:rsidRPr="00DB0AC5">
        <w:rPr>
          <w:sz w:val="26"/>
          <w:szCs w:val="26"/>
        </w:rPr>
        <w:t>, issued on</w:t>
      </w:r>
      <w:r w:rsidR="000A2650" w:rsidRPr="00DB0AC5">
        <w:rPr>
          <w:sz w:val="26"/>
          <w:szCs w:val="26"/>
        </w:rPr>
        <w:t xml:space="preserve"> </w:t>
      </w:r>
      <w:r w:rsidR="003011C1">
        <w:rPr>
          <w:sz w:val="26"/>
          <w:szCs w:val="26"/>
        </w:rPr>
        <w:t>February</w:t>
      </w:r>
      <w:r w:rsidR="0019342F" w:rsidRPr="00DB0AC5">
        <w:rPr>
          <w:sz w:val="26"/>
          <w:szCs w:val="26"/>
        </w:rPr>
        <w:t xml:space="preserve"> </w:t>
      </w:r>
      <w:r w:rsidR="003011C1">
        <w:rPr>
          <w:sz w:val="26"/>
          <w:szCs w:val="26"/>
        </w:rPr>
        <w:t>21</w:t>
      </w:r>
      <w:r w:rsidR="0019342F" w:rsidRPr="00DB0AC5">
        <w:rPr>
          <w:sz w:val="26"/>
          <w:szCs w:val="26"/>
        </w:rPr>
        <w:t>, 201</w:t>
      </w:r>
      <w:r w:rsidR="00956AE6">
        <w:rPr>
          <w:sz w:val="26"/>
          <w:szCs w:val="26"/>
        </w:rPr>
        <w:t>9</w:t>
      </w:r>
      <w:r w:rsidRPr="00DB0AC5">
        <w:rPr>
          <w:sz w:val="26"/>
          <w:szCs w:val="26"/>
        </w:rPr>
        <w:t>, is adopted, consistent with this Opinion and Order.</w:t>
      </w:r>
    </w:p>
    <w:p w14:paraId="23B35DA9" w14:textId="77777777" w:rsidR="00B776E7" w:rsidRPr="00DB0AC5" w:rsidRDefault="00B776E7" w:rsidP="0093651F">
      <w:pPr>
        <w:ind w:firstLine="1440"/>
        <w:jc w:val="left"/>
        <w:rPr>
          <w:sz w:val="26"/>
          <w:szCs w:val="26"/>
        </w:rPr>
      </w:pPr>
    </w:p>
    <w:p w14:paraId="331CE932" w14:textId="77777777" w:rsidR="0093651F" w:rsidRDefault="00B776E7" w:rsidP="0093651F">
      <w:pPr>
        <w:ind w:firstLine="1440"/>
        <w:jc w:val="left"/>
        <w:rPr>
          <w:sz w:val="26"/>
          <w:szCs w:val="26"/>
        </w:rPr>
      </w:pPr>
      <w:r w:rsidRPr="00DB0AC5">
        <w:rPr>
          <w:sz w:val="26"/>
          <w:szCs w:val="26"/>
        </w:rPr>
        <w:t>3.</w:t>
      </w:r>
      <w:r w:rsidRPr="00DB0AC5">
        <w:rPr>
          <w:sz w:val="26"/>
          <w:szCs w:val="26"/>
        </w:rPr>
        <w:tab/>
        <w:t xml:space="preserve">That the Formal Complaint filed on </w:t>
      </w:r>
      <w:r w:rsidR="00714658">
        <w:rPr>
          <w:sz w:val="26"/>
          <w:szCs w:val="26"/>
        </w:rPr>
        <w:t>November</w:t>
      </w:r>
      <w:r w:rsidR="00231228" w:rsidRPr="00DB0AC5">
        <w:rPr>
          <w:sz w:val="26"/>
          <w:szCs w:val="26"/>
        </w:rPr>
        <w:t xml:space="preserve"> </w:t>
      </w:r>
      <w:r w:rsidR="003011C1">
        <w:rPr>
          <w:sz w:val="26"/>
          <w:szCs w:val="26"/>
        </w:rPr>
        <w:t>7</w:t>
      </w:r>
      <w:r w:rsidR="00231228" w:rsidRPr="00DB0AC5">
        <w:rPr>
          <w:sz w:val="26"/>
          <w:szCs w:val="26"/>
        </w:rPr>
        <w:t>, 201</w:t>
      </w:r>
      <w:r w:rsidR="00E32BCF">
        <w:rPr>
          <w:sz w:val="26"/>
          <w:szCs w:val="26"/>
        </w:rPr>
        <w:t>8</w:t>
      </w:r>
      <w:r w:rsidRPr="00DB0AC5">
        <w:rPr>
          <w:sz w:val="26"/>
          <w:szCs w:val="26"/>
        </w:rPr>
        <w:t xml:space="preserve">, by </w:t>
      </w:r>
      <w:r w:rsidR="00714658" w:rsidRPr="0046154A">
        <w:rPr>
          <w:sz w:val="26"/>
          <w:szCs w:val="26"/>
        </w:rPr>
        <w:t>Tenika Gra</w:t>
      </w:r>
      <w:r w:rsidR="003011C1">
        <w:rPr>
          <w:sz w:val="26"/>
          <w:szCs w:val="26"/>
        </w:rPr>
        <w:t>y</w:t>
      </w:r>
      <w:r w:rsidR="00231228" w:rsidRPr="00DB0AC5">
        <w:rPr>
          <w:sz w:val="26"/>
          <w:szCs w:val="26"/>
        </w:rPr>
        <w:t xml:space="preserve"> </w:t>
      </w:r>
      <w:r w:rsidRPr="00DB0AC5">
        <w:rPr>
          <w:sz w:val="26"/>
          <w:szCs w:val="26"/>
        </w:rPr>
        <w:t xml:space="preserve">against </w:t>
      </w:r>
      <w:r w:rsidR="00026474">
        <w:rPr>
          <w:sz w:val="26"/>
          <w:szCs w:val="26"/>
        </w:rPr>
        <w:t>P</w:t>
      </w:r>
      <w:r w:rsidR="003011C1">
        <w:rPr>
          <w:sz w:val="26"/>
          <w:szCs w:val="26"/>
        </w:rPr>
        <w:t>hiladelphia</w:t>
      </w:r>
      <w:r w:rsidR="00231228" w:rsidRPr="00DB0AC5">
        <w:rPr>
          <w:sz w:val="26"/>
          <w:szCs w:val="26"/>
        </w:rPr>
        <w:t xml:space="preserve"> </w:t>
      </w:r>
      <w:r w:rsidR="003011C1">
        <w:rPr>
          <w:sz w:val="26"/>
          <w:szCs w:val="26"/>
        </w:rPr>
        <w:t>Gas</w:t>
      </w:r>
      <w:r w:rsidR="00026474">
        <w:rPr>
          <w:sz w:val="26"/>
          <w:szCs w:val="26"/>
        </w:rPr>
        <w:t xml:space="preserve"> </w:t>
      </w:r>
      <w:r w:rsidR="003011C1">
        <w:rPr>
          <w:sz w:val="26"/>
          <w:szCs w:val="26"/>
        </w:rPr>
        <w:t>Works</w:t>
      </w:r>
      <w:r w:rsidR="00231228" w:rsidRPr="00DB0AC5">
        <w:rPr>
          <w:sz w:val="26"/>
          <w:szCs w:val="26"/>
        </w:rPr>
        <w:t xml:space="preserve"> at Docket No. </w:t>
      </w:r>
      <w:r w:rsidR="003011C1">
        <w:rPr>
          <w:sz w:val="26"/>
          <w:szCs w:val="26"/>
        </w:rPr>
        <w:t>C</w:t>
      </w:r>
      <w:r w:rsidR="00231228" w:rsidRPr="00DB0AC5">
        <w:rPr>
          <w:sz w:val="26"/>
          <w:szCs w:val="26"/>
        </w:rPr>
        <w:t>-201</w:t>
      </w:r>
      <w:r w:rsidR="00E32BCF">
        <w:rPr>
          <w:sz w:val="26"/>
          <w:szCs w:val="26"/>
        </w:rPr>
        <w:t>8</w:t>
      </w:r>
      <w:r w:rsidR="00231228" w:rsidRPr="00DB0AC5">
        <w:rPr>
          <w:sz w:val="26"/>
          <w:szCs w:val="26"/>
        </w:rPr>
        <w:t>-</w:t>
      </w:r>
      <w:r w:rsidR="00E32BCF">
        <w:rPr>
          <w:sz w:val="26"/>
          <w:szCs w:val="26"/>
        </w:rPr>
        <w:t>300</w:t>
      </w:r>
      <w:r w:rsidR="00026474">
        <w:rPr>
          <w:sz w:val="26"/>
          <w:szCs w:val="26"/>
        </w:rPr>
        <w:t>5</w:t>
      </w:r>
      <w:r w:rsidR="003011C1">
        <w:rPr>
          <w:sz w:val="26"/>
          <w:szCs w:val="26"/>
        </w:rPr>
        <w:t>910</w:t>
      </w:r>
      <w:r w:rsidR="00231228" w:rsidRPr="00DB0AC5">
        <w:rPr>
          <w:sz w:val="26"/>
          <w:szCs w:val="26"/>
        </w:rPr>
        <w:t xml:space="preserve"> is dismissed, consistent with this Opinion and Order.</w:t>
      </w:r>
    </w:p>
    <w:p w14:paraId="772B03F8" w14:textId="77777777" w:rsidR="00F53D0D" w:rsidRDefault="00F53D0D" w:rsidP="0093651F">
      <w:pPr>
        <w:spacing w:line="240" w:lineRule="auto"/>
        <w:ind w:firstLine="1440"/>
        <w:jc w:val="left"/>
        <w:rPr>
          <w:sz w:val="26"/>
          <w:szCs w:val="26"/>
        </w:rPr>
      </w:pPr>
    </w:p>
    <w:p w14:paraId="48443502" w14:textId="77777777" w:rsidR="000A2650" w:rsidRDefault="0093651F" w:rsidP="0093651F">
      <w:pPr>
        <w:spacing w:line="240" w:lineRule="auto"/>
        <w:ind w:firstLine="1440"/>
        <w:jc w:val="left"/>
        <w:rPr>
          <w:sz w:val="26"/>
          <w:szCs w:val="26"/>
        </w:rPr>
      </w:pPr>
      <w:r>
        <w:rPr>
          <w:sz w:val="26"/>
          <w:szCs w:val="26"/>
        </w:rPr>
        <w:t>4</w:t>
      </w:r>
      <w:r w:rsidR="00B776E7" w:rsidRPr="00DB0AC5">
        <w:rPr>
          <w:sz w:val="26"/>
          <w:szCs w:val="26"/>
        </w:rPr>
        <w:t>.</w:t>
      </w:r>
      <w:r w:rsidR="00B776E7" w:rsidRPr="00DB0AC5">
        <w:rPr>
          <w:sz w:val="26"/>
          <w:szCs w:val="26"/>
        </w:rPr>
        <w:tab/>
        <w:t>That the proceeding at this docket be marked closed.</w:t>
      </w:r>
    </w:p>
    <w:p w14:paraId="7BB26790" w14:textId="77777777" w:rsidR="00C34A96" w:rsidRDefault="00C34A96" w:rsidP="0093651F">
      <w:pPr>
        <w:spacing w:line="240" w:lineRule="auto"/>
        <w:ind w:firstLine="0"/>
        <w:jc w:val="left"/>
        <w:rPr>
          <w:sz w:val="26"/>
          <w:szCs w:val="26"/>
        </w:rPr>
      </w:pPr>
    </w:p>
    <w:p w14:paraId="063BF75A" w14:textId="0DA5CA94" w:rsidR="00BA031A" w:rsidRDefault="00F2332F" w:rsidP="0093651F">
      <w:pPr>
        <w:spacing w:line="240" w:lineRule="auto"/>
        <w:ind w:firstLine="0"/>
        <w:jc w:val="left"/>
        <w:rPr>
          <w:b/>
          <w:sz w:val="26"/>
          <w:szCs w:val="26"/>
        </w:rPr>
      </w:pPr>
      <w:r w:rsidRPr="00DB0AC5">
        <w:rPr>
          <w:b/>
          <w:sz w:val="26"/>
          <w:szCs w:val="26"/>
        </w:rPr>
        <w:tab/>
      </w:r>
      <w:r w:rsidRPr="00DB0AC5">
        <w:rPr>
          <w:b/>
          <w:sz w:val="26"/>
          <w:szCs w:val="26"/>
        </w:rPr>
        <w:tab/>
      </w:r>
      <w:r w:rsidRPr="00DB0AC5">
        <w:rPr>
          <w:b/>
          <w:sz w:val="26"/>
          <w:szCs w:val="26"/>
        </w:rPr>
        <w:tab/>
      </w:r>
      <w:r w:rsidRPr="00DB0AC5">
        <w:rPr>
          <w:b/>
          <w:sz w:val="26"/>
          <w:szCs w:val="26"/>
        </w:rPr>
        <w:tab/>
      </w:r>
      <w:r w:rsidRPr="00DB0AC5">
        <w:rPr>
          <w:b/>
          <w:sz w:val="26"/>
          <w:szCs w:val="26"/>
        </w:rPr>
        <w:tab/>
      </w:r>
      <w:r w:rsidR="00F53D0D">
        <w:rPr>
          <w:b/>
          <w:sz w:val="26"/>
          <w:szCs w:val="26"/>
        </w:rPr>
        <w:tab/>
      </w:r>
      <w:r w:rsidR="00BA031A">
        <w:rPr>
          <w:b/>
          <w:sz w:val="26"/>
          <w:szCs w:val="26"/>
        </w:rPr>
        <w:tab/>
      </w:r>
    </w:p>
    <w:p w14:paraId="458CEADF" w14:textId="7F3B2FEA" w:rsidR="00B776E7" w:rsidRPr="00E52A87" w:rsidRDefault="00B776E7" w:rsidP="00BA031A">
      <w:pPr>
        <w:spacing w:line="240" w:lineRule="auto"/>
        <w:ind w:left="4320"/>
        <w:jc w:val="left"/>
        <w:rPr>
          <w:b/>
          <w:sz w:val="26"/>
          <w:szCs w:val="26"/>
        </w:rPr>
      </w:pPr>
      <w:r w:rsidRPr="00DB0AC5">
        <w:rPr>
          <w:b/>
          <w:sz w:val="26"/>
          <w:szCs w:val="26"/>
        </w:rPr>
        <w:t>BY THE COMMISSION,</w:t>
      </w:r>
    </w:p>
    <w:p w14:paraId="4A1B492C" w14:textId="2C5948A3" w:rsidR="00F2332F" w:rsidRPr="00DB0AC5" w:rsidRDefault="004B1EEC" w:rsidP="0093651F">
      <w:pPr>
        <w:spacing w:line="240" w:lineRule="auto"/>
        <w:ind w:firstLine="0"/>
        <w:jc w:val="left"/>
        <w:rPr>
          <w:sz w:val="26"/>
          <w:szCs w:val="26"/>
        </w:rPr>
      </w:pPr>
      <w:r>
        <w:rPr>
          <w:noProof/>
        </w:rPr>
        <w:drawing>
          <wp:anchor distT="0" distB="0" distL="114300" distR="114300" simplePos="0" relativeHeight="251659264" behindDoc="1" locked="0" layoutInCell="1" allowOverlap="1" wp14:anchorId="4CA2EED1" wp14:editId="3C6371D4">
            <wp:simplePos x="0" y="0"/>
            <wp:positionH relativeFrom="column">
              <wp:posOffset>3181350</wp:posOffset>
            </wp:positionH>
            <wp:positionV relativeFrom="paragraph">
              <wp:posOffset>10795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306DC" w14:textId="77777777" w:rsidR="00F2332F" w:rsidRDefault="00F2332F" w:rsidP="0093651F">
      <w:pPr>
        <w:tabs>
          <w:tab w:val="left" w:pos="5610"/>
        </w:tabs>
        <w:spacing w:line="240" w:lineRule="auto"/>
        <w:ind w:firstLine="0"/>
        <w:jc w:val="left"/>
        <w:rPr>
          <w:sz w:val="26"/>
          <w:szCs w:val="26"/>
        </w:rPr>
      </w:pPr>
    </w:p>
    <w:p w14:paraId="21BAF2A7" w14:textId="77777777" w:rsidR="00C34A96" w:rsidRPr="00DB0AC5" w:rsidRDefault="00C34A96" w:rsidP="0093651F">
      <w:pPr>
        <w:spacing w:line="240" w:lineRule="auto"/>
        <w:ind w:firstLine="0"/>
        <w:jc w:val="left"/>
        <w:rPr>
          <w:sz w:val="26"/>
          <w:szCs w:val="26"/>
        </w:rPr>
      </w:pPr>
    </w:p>
    <w:p w14:paraId="1BFBA425" w14:textId="77777777" w:rsidR="007C53F5" w:rsidRPr="00DB0AC5" w:rsidRDefault="007C53F5" w:rsidP="0093651F">
      <w:pPr>
        <w:spacing w:line="240" w:lineRule="auto"/>
        <w:ind w:firstLine="0"/>
        <w:jc w:val="left"/>
        <w:rPr>
          <w:sz w:val="26"/>
          <w:szCs w:val="26"/>
        </w:rPr>
      </w:pPr>
    </w:p>
    <w:p w14:paraId="1FD4F11E" w14:textId="77777777" w:rsidR="00B776E7" w:rsidRPr="00DB0AC5" w:rsidRDefault="00B776E7" w:rsidP="0093651F">
      <w:pPr>
        <w:spacing w:line="240" w:lineRule="auto"/>
        <w:ind w:firstLine="0"/>
        <w:jc w:val="left"/>
        <w:rPr>
          <w:sz w:val="26"/>
          <w:szCs w:val="26"/>
        </w:rPr>
      </w:pPr>
      <w:r w:rsidRPr="00DB0AC5">
        <w:rPr>
          <w:sz w:val="26"/>
          <w:szCs w:val="26"/>
        </w:rPr>
        <w:tab/>
      </w:r>
      <w:r w:rsidR="00F2332F" w:rsidRPr="00DB0AC5">
        <w:rPr>
          <w:sz w:val="26"/>
          <w:szCs w:val="26"/>
        </w:rPr>
        <w:tab/>
      </w:r>
      <w:r w:rsidRPr="00DB0AC5">
        <w:rPr>
          <w:sz w:val="26"/>
          <w:szCs w:val="26"/>
        </w:rPr>
        <w:tab/>
      </w:r>
      <w:r w:rsidRPr="00DB0AC5">
        <w:rPr>
          <w:sz w:val="26"/>
          <w:szCs w:val="26"/>
        </w:rPr>
        <w:tab/>
      </w:r>
      <w:r w:rsidRPr="00DB0AC5">
        <w:rPr>
          <w:sz w:val="26"/>
          <w:szCs w:val="26"/>
        </w:rPr>
        <w:tab/>
      </w:r>
      <w:r w:rsidRPr="00DB0AC5">
        <w:rPr>
          <w:sz w:val="26"/>
          <w:szCs w:val="26"/>
        </w:rPr>
        <w:tab/>
      </w:r>
      <w:r w:rsidR="00BA031A">
        <w:rPr>
          <w:sz w:val="26"/>
          <w:szCs w:val="26"/>
        </w:rPr>
        <w:tab/>
      </w:r>
      <w:r w:rsidRPr="00DB0AC5">
        <w:rPr>
          <w:sz w:val="26"/>
          <w:szCs w:val="26"/>
        </w:rPr>
        <w:t>Rosemary Chiavetta</w:t>
      </w:r>
    </w:p>
    <w:p w14:paraId="4732BEED" w14:textId="77777777" w:rsidR="00B776E7" w:rsidRPr="00DB0AC5" w:rsidRDefault="00B776E7" w:rsidP="0093651F">
      <w:pPr>
        <w:spacing w:line="240" w:lineRule="auto"/>
        <w:ind w:firstLine="0"/>
        <w:jc w:val="left"/>
        <w:rPr>
          <w:sz w:val="26"/>
          <w:szCs w:val="26"/>
        </w:rPr>
      </w:pPr>
      <w:r w:rsidRPr="00DB0AC5">
        <w:rPr>
          <w:sz w:val="26"/>
          <w:szCs w:val="26"/>
        </w:rPr>
        <w:tab/>
      </w:r>
      <w:r w:rsidRPr="00DB0AC5">
        <w:rPr>
          <w:sz w:val="26"/>
          <w:szCs w:val="26"/>
        </w:rPr>
        <w:tab/>
      </w:r>
      <w:r w:rsidRPr="00DB0AC5">
        <w:rPr>
          <w:sz w:val="26"/>
          <w:szCs w:val="26"/>
        </w:rPr>
        <w:tab/>
      </w:r>
      <w:r w:rsidRPr="00DB0AC5">
        <w:rPr>
          <w:sz w:val="26"/>
          <w:szCs w:val="26"/>
        </w:rPr>
        <w:tab/>
      </w:r>
      <w:r w:rsidRPr="00DB0AC5">
        <w:rPr>
          <w:sz w:val="26"/>
          <w:szCs w:val="26"/>
        </w:rPr>
        <w:tab/>
      </w:r>
      <w:r w:rsidRPr="00DB0AC5">
        <w:rPr>
          <w:sz w:val="26"/>
          <w:szCs w:val="26"/>
        </w:rPr>
        <w:tab/>
      </w:r>
      <w:r w:rsidR="00BA031A">
        <w:rPr>
          <w:sz w:val="26"/>
          <w:szCs w:val="26"/>
        </w:rPr>
        <w:tab/>
      </w:r>
      <w:r w:rsidRPr="00DB0AC5">
        <w:rPr>
          <w:sz w:val="26"/>
          <w:szCs w:val="26"/>
        </w:rPr>
        <w:t>Secretary</w:t>
      </w:r>
    </w:p>
    <w:p w14:paraId="00D35854" w14:textId="77777777" w:rsidR="00B776E7" w:rsidRPr="00DB0AC5" w:rsidRDefault="00B776E7" w:rsidP="0093651F">
      <w:pPr>
        <w:tabs>
          <w:tab w:val="left" w:pos="-720"/>
        </w:tabs>
        <w:spacing w:line="240" w:lineRule="auto"/>
        <w:ind w:firstLine="0"/>
        <w:jc w:val="left"/>
        <w:rPr>
          <w:sz w:val="26"/>
          <w:szCs w:val="26"/>
        </w:rPr>
      </w:pPr>
    </w:p>
    <w:p w14:paraId="46F033E8" w14:textId="77777777" w:rsidR="00B776E7" w:rsidRDefault="00B776E7" w:rsidP="0093651F">
      <w:pPr>
        <w:tabs>
          <w:tab w:val="left" w:pos="-720"/>
        </w:tabs>
        <w:spacing w:line="240" w:lineRule="auto"/>
        <w:ind w:firstLine="0"/>
        <w:jc w:val="left"/>
        <w:rPr>
          <w:sz w:val="26"/>
          <w:szCs w:val="26"/>
        </w:rPr>
      </w:pPr>
      <w:r w:rsidRPr="00DB0AC5">
        <w:rPr>
          <w:sz w:val="26"/>
          <w:szCs w:val="26"/>
        </w:rPr>
        <w:t>(SEAL)</w:t>
      </w:r>
    </w:p>
    <w:p w14:paraId="08041743" w14:textId="77777777" w:rsidR="004F791C" w:rsidRPr="00DB0AC5" w:rsidRDefault="004F791C" w:rsidP="0093651F">
      <w:pPr>
        <w:tabs>
          <w:tab w:val="left" w:pos="-720"/>
        </w:tabs>
        <w:spacing w:line="240" w:lineRule="auto"/>
        <w:ind w:firstLine="0"/>
        <w:jc w:val="left"/>
        <w:rPr>
          <w:sz w:val="26"/>
          <w:szCs w:val="26"/>
        </w:rPr>
      </w:pPr>
    </w:p>
    <w:p w14:paraId="1FFD2B53" w14:textId="77777777" w:rsidR="00B776E7" w:rsidRDefault="00B776E7" w:rsidP="0093651F">
      <w:pPr>
        <w:tabs>
          <w:tab w:val="left" w:pos="-720"/>
        </w:tabs>
        <w:spacing w:line="240" w:lineRule="auto"/>
        <w:ind w:firstLine="0"/>
        <w:jc w:val="left"/>
        <w:rPr>
          <w:sz w:val="26"/>
          <w:szCs w:val="26"/>
        </w:rPr>
      </w:pPr>
      <w:r w:rsidRPr="00DB0AC5">
        <w:rPr>
          <w:sz w:val="26"/>
          <w:szCs w:val="26"/>
        </w:rPr>
        <w:t xml:space="preserve">ORDER ADOPTED:  </w:t>
      </w:r>
      <w:r w:rsidR="009C10CB">
        <w:rPr>
          <w:sz w:val="26"/>
          <w:szCs w:val="26"/>
        </w:rPr>
        <w:t>October 3</w:t>
      </w:r>
      <w:r w:rsidRPr="00DB0AC5">
        <w:rPr>
          <w:sz w:val="26"/>
          <w:szCs w:val="26"/>
        </w:rPr>
        <w:t>, 201</w:t>
      </w:r>
      <w:r w:rsidR="009F3F31">
        <w:rPr>
          <w:sz w:val="26"/>
          <w:szCs w:val="26"/>
        </w:rPr>
        <w:t>9</w:t>
      </w:r>
    </w:p>
    <w:p w14:paraId="4E73DBA7" w14:textId="77777777" w:rsidR="004F791C" w:rsidRPr="00DB0AC5" w:rsidRDefault="004F791C" w:rsidP="0093651F">
      <w:pPr>
        <w:tabs>
          <w:tab w:val="left" w:pos="-720"/>
        </w:tabs>
        <w:spacing w:line="240" w:lineRule="auto"/>
        <w:ind w:firstLine="0"/>
        <w:jc w:val="left"/>
        <w:rPr>
          <w:sz w:val="26"/>
          <w:szCs w:val="26"/>
        </w:rPr>
      </w:pPr>
    </w:p>
    <w:p w14:paraId="4DBE80F7" w14:textId="719D5747" w:rsidR="00BC5D21" w:rsidRPr="000544CF" w:rsidRDefault="00B776E7" w:rsidP="00860BEC">
      <w:pPr>
        <w:tabs>
          <w:tab w:val="left" w:pos="-720"/>
        </w:tabs>
        <w:spacing w:line="240" w:lineRule="auto"/>
        <w:ind w:firstLine="0"/>
        <w:jc w:val="left"/>
        <w:rPr>
          <w:sz w:val="26"/>
          <w:szCs w:val="26"/>
        </w:rPr>
      </w:pPr>
      <w:r w:rsidRPr="00DB0AC5">
        <w:rPr>
          <w:sz w:val="26"/>
          <w:szCs w:val="26"/>
        </w:rPr>
        <w:t>ORDER ENTE</w:t>
      </w:r>
      <w:r w:rsidRPr="00507493">
        <w:rPr>
          <w:sz w:val="26"/>
          <w:szCs w:val="26"/>
        </w:rPr>
        <w:t xml:space="preserve">RED: </w:t>
      </w:r>
      <w:r>
        <w:rPr>
          <w:sz w:val="26"/>
          <w:szCs w:val="26"/>
        </w:rPr>
        <w:t xml:space="preserve"> </w:t>
      </w:r>
      <w:r w:rsidR="004B1EEC">
        <w:rPr>
          <w:sz w:val="26"/>
          <w:szCs w:val="26"/>
        </w:rPr>
        <w:t>October 3</w:t>
      </w:r>
      <w:bookmarkStart w:id="1" w:name="_GoBack"/>
      <w:bookmarkEnd w:id="1"/>
      <w:r w:rsidR="004B1EEC">
        <w:rPr>
          <w:sz w:val="26"/>
          <w:szCs w:val="26"/>
        </w:rPr>
        <w:t>, 2019</w:t>
      </w:r>
    </w:p>
    <w:sectPr w:rsidR="00BC5D21" w:rsidRPr="000544CF" w:rsidSect="00181C1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BEDD8" w14:textId="77777777" w:rsidR="006755AA" w:rsidRDefault="006755AA" w:rsidP="00181C10">
      <w:pPr>
        <w:spacing w:line="240" w:lineRule="auto"/>
      </w:pPr>
      <w:r>
        <w:separator/>
      </w:r>
    </w:p>
  </w:endnote>
  <w:endnote w:type="continuationSeparator" w:id="0">
    <w:p w14:paraId="7CE31061" w14:textId="77777777" w:rsidR="006755AA" w:rsidRDefault="006755AA" w:rsidP="00181C10">
      <w:pPr>
        <w:spacing w:line="240" w:lineRule="auto"/>
      </w:pPr>
      <w:r>
        <w:continuationSeparator/>
      </w:r>
    </w:p>
  </w:endnote>
  <w:endnote w:type="continuationNotice" w:id="1">
    <w:p w14:paraId="2C04D05E" w14:textId="77777777" w:rsidR="006755AA" w:rsidRDefault="006755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07285"/>
      <w:docPartObj>
        <w:docPartGallery w:val="Page Numbers (Bottom of Page)"/>
        <w:docPartUnique/>
      </w:docPartObj>
    </w:sdtPr>
    <w:sdtEndPr>
      <w:rPr>
        <w:noProof/>
      </w:rPr>
    </w:sdtEndPr>
    <w:sdtContent>
      <w:p w14:paraId="5A815036" w14:textId="1B547D4D" w:rsidR="00C8598A" w:rsidRDefault="00C8598A" w:rsidP="00304123">
        <w:pPr>
          <w:pStyle w:val="Footer"/>
          <w:ind w:firstLine="0"/>
        </w:pPr>
        <w:r>
          <w:fldChar w:fldCharType="begin"/>
        </w:r>
        <w:r>
          <w:instrText xml:space="preserve"> PAGE   \* MERGEFORMAT </w:instrText>
        </w:r>
        <w:r>
          <w:fldChar w:fldCharType="separate"/>
        </w:r>
        <w:r w:rsidR="00306B4E">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2A525" w14:textId="77777777" w:rsidR="006755AA" w:rsidRDefault="006755AA" w:rsidP="009B3286">
      <w:pPr>
        <w:spacing w:line="240" w:lineRule="auto"/>
        <w:ind w:firstLine="0"/>
        <w:jc w:val="left"/>
      </w:pPr>
      <w:r>
        <w:separator/>
      </w:r>
    </w:p>
  </w:footnote>
  <w:footnote w:type="continuationSeparator" w:id="0">
    <w:p w14:paraId="63BC2BAC" w14:textId="77777777" w:rsidR="006755AA" w:rsidRDefault="006755AA" w:rsidP="00181C10">
      <w:pPr>
        <w:spacing w:line="240" w:lineRule="auto"/>
      </w:pPr>
      <w:r>
        <w:continuationSeparator/>
      </w:r>
    </w:p>
  </w:footnote>
  <w:footnote w:type="continuationNotice" w:id="1">
    <w:p w14:paraId="0809FA7E" w14:textId="77777777" w:rsidR="006755AA" w:rsidRDefault="006755AA">
      <w:pPr>
        <w:spacing w:line="240" w:lineRule="auto"/>
      </w:pPr>
    </w:p>
  </w:footnote>
  <w:footnote w:id="2">
    <w:p w14:paraId="1629AC4F" w14:textId="50F3E6CF" w:rsidR="00577E5F" w:rsidRPr="00296F54" w:rsidRDefault="00577E5F" w:rsidP="00FB3018">
      <w:pPr>
        <w:pStyle w:val="FootnoteText"/>
        <w:keepNext/>
        <w:keepLines/>
        <w:spacing w:after="120"/>
        <w:jc w:val="left"/>
        <w:rPr>
          <w:sz w:val="26"/>
          <w:szCs w:val="26"/>
        </w:rPr>
      </w:pPr>
      <w:r w:rsidRPr="006869CB">
        <w:rPr>
          <w:sz w:val="26"/>
          <w:szCs w:val="26"/>
          <w:vertAlign w:val="superscript"/>
        </w:rPr>
        <w:footnoteRef/>
      </w:r>
      <w:r w:rsidRPr="006869CB">
        <w:rPr>
          <w:sz w:val="26"/>
          <w:szCs w:val="26"/>
        </w:rPr>
        <w:tab/>
      </w:r>
      <w:r w:rsidR="00C31FE1">
        <w:rPr>
          <w:sz w:val="26"/>
          <w:szCs w:val="26"/>
        </w:rPr>
        <w:t>T</w:t>
      </w:r>
      <w:r>
        <w:rPr>
          <w:sz w:val="26"/>
          <w:szCs w:val="26"/>
        </w:rPr>
        <w:t>he Complainant filed Exception</w:t>
      </w:r>
      <w:r w:rsidR="00C31FE1">
        <w:rPr>
          <w:sz w:val="26"/>
          <w:szCs w:val="26"/>
        </w:rPr>
        <w:t>s</w:t>
      </w:r>
      <w:r>
        <w:rPr>
          <w:sz w:val="26"/>
          <w:szCs w:val="26"/>
        </w:rPr>
        <w:t xml:space="preserve"> on </w:t>
      </w:r>
      <w:r w:rsidR="00514157">
        <w:rPr>
          <w:sz w:val="26"/>
          <w:szCs w:val="26"/>
        </w:rPr>
        <w:t xml:space="preserve">March </w:t>
      </w:r>
      <w:r w:rsidR="00C54055">
        <w:rPr>
          <w:sz w:val="26"/>
          <w:szCs w:val="26"/>
        </w:rPr>
        <w:t>4</w:t>
      </w:r>
      <w:r w:rsidR="00514157">
        <w:rPr>
          <w:sz w:val="26"/>
          <w:szCs w:val="26"/>
        </w:rPr>
        <w:t>, 2019</w:t>
      </w:r>
      <w:r w:rsidR="00D6739B">
        <w:rPr>
          <w:sz w:val="26"/>
          <w:szCs w:val="26"/>
        </w:rPr>
        <w:t>,</w:t>
      </w:r>
      <w:r w:rsidR="00514157">
        <w:rPr>
          <w:sz w:val="26"/>
          <w:szCs w:val="26"/>
        </w:rPr>
        <w:t xml:space="preserve"> but</w:t>
      </w:r>
      <w:r w:rsidR="00FA128B">
        <w:rPr>
          <w:sz w:val="26"/>
          <w:szCs w:val="26"/>
        </w:rPr>
        <w:t xml:space="preserve"> did not serve a copy of the Exception</w:t>
      </w:r>
      <w:r w:rsidR="008125A5">
        <w:rPr>
          <w:sz w:val="26"/>
          <w:szCs w:val="26"/>
        </w:rPr>
        <w:t>s</w:t>
      </w:r>
      <w:r w:rsidR="00FA128B">
        <w:rPr>
          <w:sz w:val="26"/>
          <w:szCs w:val="26"/>
        </w:rPr>
        <w:t xml:space="preserve"> on </w:t>
      </w:r>
      <w:r w:rsidR="000C09DE">
        <w:rPr>
          <w:sz w:val="26"/>
          <w:szCs w:val="26"/>
        </w:rPr>
        <w:t>PGW</w:t>
      </w:r>
      <w:r w:rsidR="00FA128B">
        <w:rPr>
          <w:sz w:val="26"/>
          <w:szCs w:val="26"/>
        </w:rPr>
        <w:t xml:space="preserve">.  By Secretarial Letter issued on March 6, 2019, </w:t>
      </w:r>
      <w:r w:rsidR="00D6739B">
        <w:rPr>
          <w:sz w:val="26"/>
          <w:szCs w:val="26"/>
        </w:rPr>
        <w:t xml:space="preserve">the Secretary’s </w:t>
      </w:r>
      <w:r w:rsidR="008125A5">
        <w:rPr>
          <w:sz w:val="26"/>
          <w:szCs w:val="26"/>
        </w:rPr>
        <w:t>Bureau</w:t>
      </w:r>
      <w:r w:rsidR="00D6739B">
        <w:rPr>
          <w:sz w:val="26"/>
          <w:szCs w:val="26"/>
        </w:rPr>
        <w:t xml:space="preserve"> served </w:t>
      </w:r>
      <w:r w:rsidR="00FA128B">
        <w:rPr>
          <w:sz w:val="26"/>
          <w:szCs w:val="26"/>
        </w:rPr>
        <w:t xml:space="preserve">the Exceptions on </w:t>
      </w:r>
      <w:r w:rsidR="000C09DE">
        <w:rPr>
          <w:sz w:val="26"/>
          <w:szCs w:val="26"/>
        </w:rPr>
        <w:t>PGW</w:t>
      </w:r>
      <w:r w:rsidR="00FA128B">
        <w:rPr>
          <w:sz w:val="26"/>
          <w:szCs w:val="26"/>
        </w:rPr>
        <w:t>.</w:t>
      </w:r>
    </w:p>
  </w:footnote>
  <w:footnote w:id="3">
    <w:p w14:paraId="57C405A6" w14:textId="47481446" w:rsidR="00860BEC" w:rsidRDefault="00860BEC" w:rsidP="00B95360">
      <w:pPr>
        <w:pStyle w:val="FootnoteText"/>
        <w:spacing w:after="120"/>
        <w:jc w:val="left"/>
      </w:pPr>
      <w:r w:rsidRPr="004C363A">
        <w:rPr>
          <w:rStyle w:val="FootnoteReference"/>
          <w:sz w:val="26"/>
          <w:szCs w:val="26"/>
        </w:rPr>
        <w:footnoteRef/>
      </w:r>
      <w:r w:rsidRPr="004C363A">
        <w:rPr>
          <w:sz w:val="26"/>
          <w:szCs w:val="26"/>
        </w:rPr>
        <w:tab/>
      </w:r>
      <w:r w:rsidR="00C01554">
        <w:rPr>
          <w:sz w:val="26"/>
          <w:szCs w:val="26"/>
        </w:rPr>
        <w:t>T</w:t>
      </w:r>
      <w:r w:rsidRPr="004C363A">
        <w:rPr>
          <w:sz w:val="26"/>
          <w:szCs w:val="26"/>
        </w:rPr>
        <w:t xml:space="preserve">he Commission’s Bureau of Consumer Services (BCS) </w:t>
      </w:r>
      <w:r w:rsidR="00C01554">
        <w:rPr>
          <w:sz w:val="26"/>
          <w:szCs w:val="26"/>
        </w:rPr>
        <w:t xml:space="preserve">issued an </w:t>
      </w:r>
      <w:r w:rsidRPr="004C363A">
        <w:rPr>
          <w:sz w:val="26"/>
          <w:szCs w:val="26"/>
        </w:rPr>
        <w:t>Informal Decision</w:t>
      </w:r>
      <w:r w:rsidRPr="008818D1">
        <w:rPr>
          <w:sz w:val="26"/>
          <w:szCs w:val="26"/>
        </w:rPr>
        <w:t xml:space="preserve"> at BCS Case No. 3</w:t>
      </w:r>
      <w:r>
        <w:rPr>
          <w:sz w:val="26"/>
          <w:szCs w:val="26"/>
        </w:rPr>
        <w:t>6</w:t>
      </w:r>
      <w:r w:rsidR="00D0773E">
        <w:rPr>
          <w:sz w:val="26"/>
          <w:szCs w:val="26"/>
        </w:rPr>
        <w:t xml:space="preserve">54947 </w:t>
      </w:r>
      <w:r w:rsidRPr="008818D1">
        <w:rPr>
          <w:sz w:val="26"/>
          <w:szCs w:val="26"/>
        </w:rPr>
        <w:t xml:space="preserve">on </w:t>
      </w:r>
      <w:r w:rsidR="00D0773E">
        <w:rPr>
          <w:sz w:val="26"/>
          <w:szCs w:val="26"/>
        </w:rPr>
        <w:t>October</w:t>
      </w:r>
      <w:r w:rsidRPr="008818D1">
        <w:rPr>
          <w:sz w:val="26"/>
          <w:szCs w:val="26"/>
        </w:rPr>
        <w:t xml:space="preserve"> </w:t>
      </w:r>
      <w:r w:rsidR="00D0773E">
        <w:rPr>
          <w:sz w:val="26"/>
          <w:szCs w:val="26"/>
        </w:rPr>
        <w:t>25</w:t>
      </w:r>
      <w:r w:rsidRPr="008818D1">
        <w:rPr>
          <w:sz w:val="26"/>
          <w:szCs w:val="26"/>
        </w:rPr>
        <w:t>, 201</w:t>
      </w:r>
      <w:r>
        <w:rPr>
          <w:sz w:val="26"/>
          <w:szCs w:val="26"/>
        </w:rPr>
        <w:t>8</w:t>
      </w:r>
      <w:r w:rsidRPr="008818D1">
        <w:rPr>
          <w:sz w:val="26"/>
          <w:szCs w:val="26"/>
        </w:rPr>
        <w:t>.</w:t>
      </w:r>
    </w:p>
  </w:footnote>
  <w:footnote w:id="4">
    <w:p w14:paraId="16199EED" w14:textId="4B61E850" w:rsidR="00860BEC" w:rsidRPr="00E345FA" w:rsidRDefault="00860BEC" w:rsidP="00306B4E">
      <w:pPr>
        <w:keepLines/>
        <w:tabs>
          <w:tab w:val="left" w:pos="720"/>
          <w:tab w:val="left" w:pos="1440"/>
        </w:tabs>
        <w:spacing w:line="240" w:lineRule="auto"/>
        <w:contextualSpacing/>
        <w:jc w:val="left"/>
        <w:rPr>
          <w:sz w:val="26"/>
          <w:szCs w:val="26"/>
        </w:rPr>
      </w:pPr>
      <w:r w:rsidRPr="00732BC6">
        <w:rPr>
          <w:rStyle w:val="FootnoteReference"/>
          <w:sz w:val="26"/>
          <w:szCs w:val="26"/>
        </w:rPr>
        <w:footnoteRef/>
      </w:r>
      <w:r>
        <w:tab/>
      </w:r>
      <w:r w:rsidRPr="00DB0AC5">
        <w:rPr>
          <w:sz w:val="26"/>
          <w:szCs w:val="26"/>
        </w:rPr>
        <w:t>We acknowledge that the format of the Complainant’s Exceptions does not strictly comply with Section 5.533(b) of our Regulations, 52 Pa. Code § 5.533(b)</w:t>
      </w:r>
      <w:r>
        <w:rPr>
          <w:sz w:val="26"/>
          <w:szCs w:val="26"/>
        </w:rPr>
        <w:t xml:space="preserve">; however, </w:t>
      </w:r>
      <w:r w:rsidRPr="00DB0AC5">
        <w:rPr>
          <w:sz w:val="26"/>
          <w:szCs w:val="26"/>
        </w:rPr>
        <w:t xml:space="preserve">particularly because the Complainant is appearing </w:t>
      </w:r>
      <w:r w:rsidRPr="00DB0AC5">
        <w:rPr>
          <w:i/>
          <w:sz w:val="26"/>
          <w:szCs w:val="26"/>
        </w:rPr>
        <w:t>pro se</w:t>
      </w:r>
      <w:r w:rsidRPr="00DB0AC5">
        <w:rPr>
          <w:sz w:val="26"/>
          <w:szCs w:val="26"/>
        </w:rPr>
        <w:t>, we will accept the Exceptions as filed pursuant to Section 1.2(a) of our Regulations, 52 Pa. Code § 1.2</w:t>
      </w:r>
      <w:r>
        <w:rPr>
          <w:sz w:val="26"/>
          <w:szCs w:val="26"/>
        </w:rPr>
        <w:t> </w:t>
      </w:r>
      <w:r w:rsidRPr="00DB0AC5">
        <w:rPr>
          <w:sz w:val="26"/>
          <w:szCs w:val="26"/>
        </w:rPr>
        <w:t>(a), in order to secure a just, speedy, and inexpensive determination.</w:t>
      </w:r>
    </w:p>
  </w:footnote>
  <w:footnote w:id="5">
    <w:p w14:paraId="6FF2B9F8" w14:textId="46BBE148" w:rsidR="008C3F5E" w:rsidRPr="007851EB" w:rsidRDefault="008C3F5E" w:rsidP="008C3F5E">
      <w:pPr>
        <w:pStyle w:val="FootnoteText"/>
        <w:spacing w:after="120"/>
        <w:jc w:val="both"/>
        <w:rPr>
          <w:sz w:val="26"/>
          <w:szCs w:val="26"/>
        </w:rPr>
      </w:pPr>
      <w:r w:rsidRPr="007851EB">
        <w:rPr>
          <w:rStyle w:val="FootnoteReference"/>
          <w:sz w:val="26"/>
          <w:szCs w:val="26"/>
        </w:rPr>
        <w:footnoteRef/>
      </w:r>
      <w:r w:rsidRPr="007851EB">
        <w:rPr>
          <w:sz w:val="26"/>
          <w:szCs w:val="26"/>
        </w:rPr>
        <w:tab/>
        <w:t>For a household of two</w:t>
      </w:r>
      <w:r w:rsidR="00773C71">
        <w:rPr>
          <w:sz w:val="26"/>
          <w:szCs w:val="26"/>
        </w:rPr>
        <w:t>,</w:t>
      </w:r>
      <w:r w:rsidRPr="007851EB">
        <w:rPr>
          <w:sz w:val="26"/>
          <w:szCs w:val="26"/>
        </w:rPr>
        <w:t xml:space="preserve"> the 300% level for the 2018 Federal Poverty Guidelines is $4,115.00 per month.  Here</w:t>
      </w:r>
      <w:r w:rsidR="005228AE">
        <w:rPr>
          <w:sz w:val="26"/>
          <w:szCs w:val="26"/>
        </w:rPr>
        <w:t>,</w:t>
      </w:r>
      <w:r w:rsidRPr="007851EB">
        <w:rPr>
          <w:sz w:val="26"/>
          <w:szCs w:val="26"/>
        </w:rPr>
        <w:t xml:space="preserve"> the Complainant’</w:t>
      </w:r>
      <w:r w:rsidR="008125A5">
        <w:rPr>
          <w:sz w:val="26"/>
          <w:szCs w:val="26"/>
        </w:rPr>
        <w:t>s</w:t>
      </w:r>
      <w:r w:rsidRPr="007851EB">
        <w:rPr>
          <w:sz w:val="26"/>
          <w:szCs w:val="26"/>
        </w:rPr>
        <w:t xml:space="preserve"> income is below that amount at $</w:t>
      </w:r>
      <w:r>
        <w:rPr>
          <w:sz w:val="26"/>
          <w:szCs w:val="26"/>
        </w:rPr>
        <w:t>2,833</w:t>
      </w:r>
      <w:r w:rsidRPr="007851EB">
        <w:rPr>
          <w:sz w:val="26"/>
          <w:szCs w:val="26"/>
        </w:rPr>
        <w:t xml:space="preserve"> per month.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3024F7"/>
    <w:multiLevelType w:val="hybridMultilevel"/>
    <w:tmpl w:val="B44A18DE"/>
    <w:lvl w:ilvl="0" w:tplc="733AF1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A1F43E9"/>
    <w:multiLevelType w:val="hybridMultilevel"/>
    <w:tmpl w:val="F97CCA16"/>
    <w:lvl w:ilvl="0" w:tplc="23922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DEF1890"/>
    <w:multiLevelType w:val="hybridMultilevel"/>
    <w:tmpl w:val="F2182F98"/>
    <w:lvl w:ilvl="0" w:tplc="A544AB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3A"/>
    <w:rsid w:val="00001CD3"/>
    <w:rsid w:val="00003165"/>
    <w:rsid w:val="000034B5"/>
    <w:rsid w:val="00004E3A"/>
    <w:rsid w:val="00005B07"/>
    <w:rsid w:val="000079E5"/>
    <w:rsid w:val="00010F99"/>
    <w:rsid w:val="00025CA8"/>
    <w:rsid w:val="00026474"/>
    <w:rsid w:val="00027CE7"/>
    <w:rsid w:val="00031D29"/>
    <w:rsid w:val="00040678"/>
    <w:rsid w:val="000460AB"/>
    <w:rsid w:val="00047EEF"/>
    <w:rsid w:val="00054363"/>
    <w:rsid w:val="000544CF"/>
    <w:rsid w:val="00060F09"/>
    <w:rsid w:val="0006415D"/>
    <w:rsid w:val="00064898"/>
    <w:rsid w:val="00064B5B"/>
    <w:rsid w:val="00072C6C"/>
    <w:rsid w:val="00072F49"/>
    <w:rsid w:val="0008356E"/>
    <w:rsid w:val="00090342"/>
    <w:rsid w:val="000908E4"/>
    <w:rsid w:val="00094DCD"/>
    <w:rsid w:val="00096D17"/>
    <w:rsid w:val="000A2650"/>
    <w:rsid w:val="000A4E25"/>
    <w:rsid w:val="000B0718"/>
    <w:rsid w:val="000B16F5"/>
    <w:rsid w:val="000B3848"/>
    <w:rsid w:val="000B5458"/>
    <w:rsid w:val="000B7D29"/>
    <w:rsid w:val="000C09DE"/>
    <w:rsid w:val="000C46EA"/>
    <w:rsid w:val="000C4932"/>
    <w:rsid w:val="000D68DB"/>
    <w:rsid w:val="000E3F04"/>
    <w:rsid w:val="000E63B7"/>
    <w:rsid w:val="000F04F4"/>
    <w:rsid w:val="000F103C"/>
    <w:rsid w:val="0010048A"/>
    <w:rsid w:val="00104F93"/>
    <w:rsid w:val="00105025"/>
    <w:rsid w:val="00110854"/>
    <w:rsid w:val="00112158"/>
    <w:rsid w:val="00113BC3"/>
    <w:rsid w:val="00116365"/>
    <w:rsid w:val="00136811"/>
    <w:rsid w:val="00137AB2"/>
    <w:rsid w:val="00137C8F"/>
    <w:rsid w:val="001435F9"/>
    <w:rsid w:val="00143ED4"/>
    <w:rsid w:val="00150B79"/>
    <w:rsid w:val="001529F6"/>
    <w:rsid w:val="0015734B"/>
    <w:rsid w:val="00164B6E"/>
    <w:rsid w:val="0017039E"/>
    <w:rsid w:val="00171D3D"/>
    <w:rsid w:val="00172152"/>
    <w:rsid w:val="00172AFA"/>
    <w:rsid w:val="001803DB"/>
    <w:rsid w:val="00180623"/>
    <w:rsid w:val="00181C10"/>
    <w:rsid w:val="001821BC"/>
    <w:rsid w:val="001930E3"/>
    <w:rsid w:val="0019342F"/>
    <w:rsid w:val="0019566A"/>
    <w:rsid w:val="00195CE6"/>
    <w:rsid w:val="00196AEF"/>
    <w:rsid w:val="001A1848"/>
    <w:rsid w:val="001A75CC"/>
    <w:rsid w:val="001B06B1"/>
    <w:rsid w:val="001B07B2"/>
    <w:rsid w:val="001B715F"/>
    <w:rsid w:val="001C1FC5"/>
    <w:rsid w:val="001C2822"/>
    <w:rsid w:val="001C2ED3"/>
    <w:rsid w:val="001D034E"/>
    <w:rsid w:val="001D2418"/>
    <w:rsid w:val="001D445F"/>
    <w:rsid w:val="001D541C"/>
    <w:rsid w:val="001D698E"/>
    <w:rsid w:val="001D7A4D"/>
    <w:rsid w:val="001E1BAA"/>
    <w:rsid w:val="001E3DC4"/>
    <w:rsid w:val="001E5C3F"/>
    <w:rsid w:val="001F1AD4"/>
    <w:rsid w:val="001F3CEB"/>
    <w:rsid w:val="00202599"/>
    <w:rsid w:val="0020466F"/>
    <w:rsid w:val="00204A6B"/>
    <w:rsid w:val="00205C67"/>
    <w:rsid w:val="002068D5"/>
    <w:rsid w:val="00220071"/>
    <w:rsid w:val="00222708"/>
    <w:rsid w:val="0023072D"/>
    <w:rsid w:val="00231228"/>
    <w:rsid w:val="00231D92"/>
    <w:rsid w:val="002411D4"/>
    <w:rsid w:val="00247856"/>
    <w:rsid w:val="00247EAC"/>
    <w:rsid w:val="00254A4B"/>
    <w:rsid w:val="00255A21"/>
    <w:rsid w:val="0026146A"/>
    <w:rsid w:val="002646DF"/>
    <w:rsid w:val="00265946"/>
    <w:rsid w:val="0026704B"/>
    <w:rsid w:val="00286FD1"/>
    <w:rsid w:val="00287449"/>
    <w:rsid w:val="00296F54"/>
    <w:rsid w:val="002B0124"/>
    <w:rsid w:val="002B712A"/>
    <w:rsid w:val="002C03E5"/>
    <w:rsid w:val="002C05A4"/>
    <w:rsid w:val="002C06F0"/>
    <w:rsid w:val="002C07A9"/>
    <w:rsid w:val="002C5844"/>
    <w:rsid w:val="002C6074"/>
    <w:rsid w:val="002C7C42"/>
    <w:rsid w:val="002D251D"/>
    <w:rsid w:val="002D7143"/>
    <w:rsid w:val="002D7A7B"/>
    <w:rsid w:val="002E03FB"/>
    <w:rsid w:val="002E071D"/>
    <w:rsid w:val="002E3817"/>
    <w:rsid w:val="002E56E9"/>
    <w:rsid w:val="002E57E4"/>
    <w:rsid w:val="002E6847"/>
    <w:rsid w:val="002F693E"/>
    <w:rsid w:val="003011C1"/>
    <w:rsid w:val="0030249D"/>
    <w:rsid w:val="00304123"/>
    <w:rsid w:val="0030581C"/>
    <w:rsid w:val="0030604F"/>
    <w:rsid w:val="00306B4E"/>
    <w:rsid w:val="0031042C"/>
    <w:rsid w:val="00310ABE"/>
    <w:rsid w:val="00313A1C"/>
    <w:rsid w:val="00313CCE"/>
    <w:rsid w:val="00314599"/>
    <w:rsid w:val="00320C66"/>
    <w:rsid w:val="00332D27"/>
    <w:rsid w:val="00332F8A"/>
    <w:rsid w:val="003347BA"/>
    <w:rsid w:val="00336E53"/>
    <w:rsid w:val="00343D79"/>
    <w:rsid w:val="00344574"/>
    <w:rsid w:val="00345330"/>
    <w:rsid w:val="003464F8"/>
    <w:rsid w:val="00351E5E"/>
    <w:rsid w:val="003535CA"/>
    <w:rsid w:val="00354957"/>
    <w:rsid w:val="00360B7B"/>
    <w:rsid w:val="00366803"/>
    <w:rsid w:val="003708B4"/>
    <w:rsid w:val="00370F4A"/>
    <w:rsid w:val="00387253"/>
    <w:rsid w:val="00387C99"/>
    <w:rsid w:val="003925B5"/>
    <w:rsid w:val="00396796"/>
    <w:rsid w:val="003A390E"/>
    <w:rsid w:val="003A4723"/>
    <w:rsid w:val="003B432B"/>
    <w:rsid w:val="003B68C2"/>
    <w:rsid w:val="003B7A31"/>
    <w:rsid w:val="003C021A"/>
    <w:rsid w:val="003C280C"/>
    <w:rsid w:val="003C2FE7"/>
    <w:rsid w:val="003C58D6"/>
    <w:rsid w:val="003C6DCF"/>
    <w:rsid w:val="003D531B"/>
    <w:rsid w:val="003D5441"/>
    <w:rsid w:val="003D6FC9"/>
    <w:rsid w:val="003E3481"/>
    <w:rsid w:val="003E6FFA"/>
    <w:rsid w:val="003F3876"/>
    <w:rsid w:val="003F3BDF"/>
    <w:rsid w:val="003F507D"/>
    <w:rsid w:val="003F6F36"/>
    <w:rsid w:val="004015CA"/>
    <w:rsid w:val="0040380C"/>
    <w:rsid w:val="00404695"/>
    <w:rsid w:val="00406560"/>
    <w:rsid w:val="0040718F"/>
    <w:rsid w:val="004162F6"/>
    <w:rsid w:val="00416F89"/>
    <w:rsid w:val="0042799E"/>
    <w:rsid w:val="00427F29"/>
    <w:rsid w:val="00431FEF"/>
    <w:rsid w:val="00434C01"/>
    <w:rsid w:val="0043551C"/>
    <w:rsid w:val="00435A94"/>
    <w:rsid w:val="00436688"/>
    <w:rsid w:val="00443C63"/>
    <w:rsid w:val="00444C8D"/>
    <w:rsid w:val="004539C9"/>
    <w:rsid w:val="00454BF7"/>
    <w:rsid w:val="00457361"/>
    <w:rsid w:val="00457E6D"/>
    <w:rsid w:val="004600E4"/>
    <w:rsid w:val="0046154A"/>
    <w:rsid w:val="004640F8"/>
    <w:rsid w:val="00474B44"/>
    <w:rsid w:val="0047646C"/>
    <w:rsid w:val="0048715A"/>
    <w:rsid w:val="0048763E"/>
    <w:rsid w:val="004909CA"/>
    <w:rsid w:val="00491833"/>
    <w:rsid w:val="004979A7"/>
    <w:rsid w:val="004A44D1"/>
    <w:rsid w:val="004A4E93"/>
    <w:rsid w:val="004B0779"/>
    <w:rsid w:val="004B1EEC"/>
    <w:rsid w:val="004B536F"/>
    <w:rsid w:val="004B6068"/>
    <w:rsid w:val="004C0C3A"/>
    <w:rsid w:val="004C363A"/>
    <w:rsid w:val="004C38DC"/>
    <w:rsid w:val="004C4045"/>
    <w:rsid w:val="004D474B"/>
    <w:rsid w:val="004D5527"/>
    <w:rsid w:val="004D73DA"/>
    <w:rsid w:val="004E1183"/>
    <w:rsid w:val="004E26C4"/>
    <w:rsid w:val="004E2BA4"/>
    <w:rsid w:val="004E3061"/>
    <w:rsid w:val="004F2048"/>
    <w:rsid w:val="004F23FE"/>
    <w:rsid w:val="004F791C"/>
    <w:rsid w:val="00500B77"/>
    <w:rsid w:val="00505F36"/>
    <w:rsid w:val="005061A4"/>
    <w:rsid w:val="0050700C"/>
    <w:rsid w:val="00510203"/>
    <w:rsid w:val="005126E9"/>
    <w:rsid w:val="00514157"/>
    <w:rsid w:val="005228AE"/>
    <w:rsid w:val="00524FC4"/>
    <w:rsid w:val="00527101"/>
    <w:rsid w:val="005360FA"/>
    <w:rsid w:val="005368F0"/>
    <w:rsid w:val="00536A09"/>
    <w:rsid w:val="00541531"/>
    <w:rsid w:val="005550E7"/>
    <w:rsid w:val="0055610A"/>
    <w:rsid w:val="00556845"/>
    <w:rsid w:val="0055752E"/>
    <w:rsid w:val="00565DAB"/>
    <w:rsid w:val="00566309"/>
    <w:rsid w:val="005671E6"/>
    <w:rsid w:val="0057189A"/>
    <w:rsid w:val="00577E5F"/>
    <w:rsid w:val="00584010"/>
    <w:rsid w:val="00584BEA"/>
    <w:rsid w:val="00593F08"/>
    <w:rsid w:val="0059624F"/>
    <w:rsid w:val="00597F71"/>
    <w:rsid w:val="005A5A51"/>
    <w:rsid w:val="005A6AE1"/>
    <w:rsid w:val="005A6E06"/>
    <w:rsid w:val="005A735A"/>
    <w:rsid w:val="005B3208"/>
    <w:rsid w:val="005B3F8B"/>
    <w:rsid w:val="005B43BA"/>
    <w:rsid w:val="005B5796"/>
    <w:rsid w:val="005C02C8"/>
    <w:rsid w:val="005C041B"/>
    <w:rsid w:val="005C2FEB"/>
    <w:rsid w:val="005C5958"/>
    <w:rsid w:val="005C5B83"/>
    <w:rsid w:val="005C5D50"/>
    <w:rsid w:val="005C6800"/>
    <w:rsid w:val="005D2B51"/>
    <w:rsid w:val="005D305A"/>
    <w:rsid w:val="005E050D"/>
    <w:rsid w:val="005E3476"/>
    <w:rsid w:val="005E7403"/>
    <w:rsid w:val="005F10B5"/>
    <w:rsid w:val="005F226B"/>
    <w:rsid w:val="005F6FC2"/>
    <w:rsid w:val="00604522"/>
    <w:rsid w:val="00607935"/>
    <w:rsid w:val="006101F6"/>
    <w:rsid w:val="00612BD1"/>
    <w:rsid w:val="006166D2"/>
    <w:rsid w:val="00624F24"/>
    <w:rsid w:val="00627AA0"/>
    <w:rsid w:val="00631537"/>
    <w:rsid w:val="0063396C"/>
    <w:rsid w:val="0063786B"/>
    <w:rsid w:val="006448E4"/>
    <w:rsid w:val="00646C0D"/>
    <w:rsid w:val="00651228"/>
    <w:rsid w:val="00662EDC"/>
    <w:rsid w:val="006701AA"/>
    <w:rsid w:val="00673D55"/>
    <w:rsid w:val="006755AA"/>
    <w:rsid w:val="006819F2"/>
    <w:rsid w:val="0068309F"/>
    <w:rsid w:val="0068385C"/>
    <w:rsid w:val="006869CB"/>
    <w:rsid w:val="0068783B"/>
    <w:rsid w:val="006917A2"/>
    <w:rsid w:val="006A466B"/>
    <w:rsid w:val="006A7C7A"/>
    <w:rsid w:val="006B738C"/>
    <w:rsid w:val="006C5612"/>
    <w:rsid w:val="006D198C"/>
    <w:rsid w:val="006D4A4C"/>
    <w:rsid w:val="006D66BD"/>
    <w:rsid w:val="006E2FB4"/>
    <w:rsid w:val="006E34FB"/>
    <w:rsid w:val="006F1468"/>
    <w:rsid w:val="006F454B"/>
    <w:rsid w:val="00700F14"/>
    <w:rsid w:val="007032B0"/>
    <w:rsid w:val="00704877"/>
    <w:rsid w:val="00704CF6"/>
    <w:rsid w:val="00705BB9"/>
    <w:rsid w:val="0071113B"/>
    <w:rsid w:val="00711A44"/>
    <w:rsid w:val="00712F91"/>
    <w:rsid w:val="00714658"/>
    <w:rsid w:val="007163D4"/>
    <w:rsid w:val="00722546"/>
    <w:rsid w:val="0072553F"/>
    <w:rsid w:val="007276AF"/>
    <w:rsid w:val="00730307"/>
    <w:rsid w:val="00731B7A"/>
    <w:rsid w:val="00732BC6"/>
    <w:rsid w:val="00735EB8"/>
    <w:rsid w:val="00744CF6"/>
    <w:rsid w:val="00750434"/>
    <w:rsid w:val="00752DCD"/>
    <w:rsid w:val="0075548F"/>
    <w:rsid w:val="0075780F"/>
    <w:rsid w:val="00760B25"/>
    <w:rsid w:val="00767A85"/>
    <w:rsid w:val="0077091B"/>
    <w:rsid w:val="00772D65"/>
    <w:rsid w:val="00773C71"/>
    <w:rsid w:val="0078288F"/>
    <w:rsid w:val="00783948"/>
    <w:rsid w:val="00784492"/>
    <w:rsid w:val="007851EB"/>
    <w:rsid w:val="0078739F"/>
    <w:rsid w:val="00791538"/>
    <w:rsid w:val="00795061"/>
    <w:rsid w:val="0079540B"/>
    <w:rsid w:val="007A1696"/>
    <w:rsid w:val="007B0112"/>
    <w:rsid w:val="007B3944"/>
    <w:rsid w:val="007C21DE"/>
    <w:rsid w:val="007C340D"/>
    <w:rsid w:val="007C53F5"/>
    <w:rsid w:val="007D001F"/>
    <w:rsid w:val="007D0A5E"/>
    <w:rsid w:val="007D25B0"/>
    <w:rsid w:val="007D3C26"/>
    <w:rsid w:val="007E4658"/>
    <w:rsid w:val="007E7C66"/>
    <w:rsid w:val="007F1B1A"/>
    <w:rsid w:val="007F4608"/>
    <w:rsid w:val="007F5012"/>
    <w:rsid w:val="007F6AF5"/>
    <w:rsid w:val="007F7D81"/>
    <w:rsid w:val="008125A5"/>
    <w:rsid w:val="008171CA"/>
    <w:rsid w:val="008225F2"/>
    <w:rsid w:val="00822680"/>
    <w:rsid w:val="00822712"/>
    <w:rsid w:val="008242A5"/>
    <w:rsid w:val="00835983"/>
    <w:rsid w:val="0083728E"/>
    <w:rsid w:val="0084020F"/>
    <w:rsid w:val="00845D23"/>
    <w:rsid w:val="00846857"/>
    <w:rsid w:val="00852C7E"/>
    <w:rsid w:val="00856D0E"/>
    <w:rsid w:val="00860BEC"/>
    <w:rsid w:val="00874675"/>
    <w:rsid w:val="00875128"/>
    <w:rsid w:val="00876AA7"/>
    <w:rsid w:val="00880D51"/>
    <w:rsid w:val="008818D1"/>
    <w:rsid w:val="0088484F"/>
    <w:rsid w:val="0089033B"/>
    <w:rsid w:val="00892B0E"/>
    <w:rsid w:val="00892F7C"/>
    <w:rsid w:val="008A247A"/>
    <w:rsid w:val="008A2651"/>
    <w:rsid w:val="008A5AE6"/>
    <w:rsid w:val="008A61EF"/>
    <w:rsid w:val="008B4862"/>
    <w:rsid w:val="008B5AAA"/>
    <w:rsid w:val="008C3F5E"/>
    <w:rsid w:val="008C4774"/>
    <w:rsid w:val="008D01EE"/>
    <w:rsid w:val="008D3225"/>
    <w:rsid w:val="008D4165"/>
    <w:rsid w:val="008D4612"/>
    <w:rsid w:val="008E4FDF"/>
    <w:rsid w:val="008F3CBF"/>
    <w:rsid w:val="008F783F"/>
    <w:rsid w:val="009018FA"/>
    <w:rsid w:val="00904AAB"/>
    <w:rsid w:val="00907631"/>
    <w:rsid w:val="009105DA"/>
    <w:rsid w:val="009132C2"/>
    <w:rsid w:val="00915DDC"/>
    <w:rsid w:val="00916E0C"/>
    <w:rsid w:val="0092345D"/>
    <w:rsid w:val="00927355"/>
    <w:rsid w:val="0093016C"/>
    <w:rsid w:val="00932252"/>
    <w:rsid w:val="009328CB"/>
    <w:rsid w:val="00933F0C"/>
    <w:rsid w:val="0093651F"/>
    <w:rsid w:val="009374A9"/>
    <w:rsid w:val="009377BD"/>
    <w:rsid w:val="00941A79"/>
    <w:rsid w:val="00941F5E"/>
    <w:rsid w:val="009458F0"/>
    <w:rsid w:val="00946341"/>
    <w:rsid w:val="009468ED"/>
    <w:rsid w:val="00953AF1"/>
    <w:rsid w:val="00956AE6"/>
    <w:rsid w:val="0096267C"/>
    <w:rsid w:val="00970EFF"/>
    <w:rsid w:val="00971383"/>
    <w:rsid w:val="00971BBE"/>
    <w:rsid w:val="009748CF"/>
    <w:rsid w:val="00981E3B"/>
    <w:rsid w:val="009903C8"/>
    <w:rsid w:val="00992EA2"/>
    <w:rsid w:val="00995149"/>
    <w:rsid w:val="00996B67"/>
    <w:rsid w:val="00996C49"/>
    <w:rsid w:val="00996D4B"/>
    <w:rsid w:val="009A2706"/>
    <w:rsid w:val="009B3286"/>
    <w:rsid w:val="009B3622"/>
    <w:rsid w:val="009B3959"/>
    <w:rsid w:val="009C0E13"/>
    <w:rsid w:val="009C10CB"/>
    <w:rsid w:val="009C18C5"/>
    <w:rsid w:val="009C1A68"/>
    <w:rsid w:val="009C1EC7"/>
    <w:rsid w:val="009C3C42"/>
    <w:rsid w:val="009C4DE3"/>
    <w:rsid w:val="009D63EF"/>
    <w:rsid w:val="009D696C"/>
    <w:rsid w:val="009E04CB"/>
    <w:rsid w:val="009E07C7"/>
    <w:rsid w:val="009E446C"/>
    <w:rsid w:val="009E53C9"/>
    <w:rsid w:val="009F1222"/>
    <w:rsid w:val="009F146A"/>
    <w:rsid w:val="009F3CA9"/>
    <w:rsid w:val="009F3F31"/>
    <w:rsid w:val="009F5A6F"/>
    <w:rsid w:val="009F5DAD"/>
    <w:rsid w:val="00A05561"/>
    <w:rsid w:val="00A056A2"/>
    <w:rsid w:val="00A11E3C"/>
    <w:rsid w:val="00A1374E"/>
    <w:rsid w:val="00A24E38"/>
    <w:rsid w:val="00A262A2"/>
    <w:rsid w:val="00A27561"/>
    <w:rsid w:val="00A27EA8"/>
    <w:rsid w:val="00A32F38"/>
    <w:rsid w:val="00A35F1B"/>
    <w:rsid w:val="00A35F49"/>
    <w:rsid w:val="00A36A2B"/>
    <w:rsid w:val="00A40BA7"/>
    <w:rsid w:val="00A41B02"/>
    <w:rsid w:val="00A46841"/>
    <w:rsid w:val="00A46B55"/>
    <w:rsid w:val="00A512DA"/>
    <w:rsid w:val="00A52527"/>
    <w:rsid w:val="00A5373B"/>
    <w:rsid w:val="00A55144"/>
    <w:rsid w:val="00A55226"/>
    <w:rsid w:val="00A60CA9"/>
    <w:rsid w:val="00A60CBB"/>
    <w:rsid w:val="00A61546"/>
    <w:rsid w:val="00A63DE8"/>
    <w:rsid w:val="00A65682"/>
    <w:rsid w:val="00A66498"/>
    <w:rsid w:val="00A755CD"/>
    <w:rsid w:val="00A829B4"/>
    <w:rsid w:val="00A92891"/>
    <w:rsid w:val="00A92C02"/>
    <w:rsid w:val="00A92FE3"/>
    <w:rsid w:val="00A94A9C"/>
    <w:rsid w:val="00A97DA8"/>
    <w:rsid w:val="00AA0970"/>
    <w:rsid w:val="00AA4561"/>
    <w:rsid w:val="00AA5AB0"/>
    <w:rsid w:val="00AA5F56"/>
    <w:rsid w:val="00AB57FC"/>
    <w:rsid w:val="00AB6ED6"/>
    <w:rsid w:val="00AC25F8"/>
    <w:rsid w:val="00AC2E04"/>
    <w:rsid w:val="00AC6FAA"/>
    <w:rsid w:val="00AD1329"/>
    <w:rsid w:val="00AD3D5F"/>
    <w:rsid w:val="00AE00E1"/>
    <w:rsid w:val="00AE2953"/>
    <w:rsid w:val="00AE3919"/>
    <w:rsid w:val="00AF0283"/>
    <w:rsid w:val="00AF18EB"/>
    <w:rsid w:val="00AF3193"/>
    <w:rsid w:val="00AF781F"/>
    <w:rsid w:val="00B04800"/>
    <w:rsid w:val="00B052BA"/>
    <w:rsid w:val="00B13853"/>
    <w:rsid w:val="00B14EF6"/>
    <w:rsid w:val="00B16BCB"/>
    <w:rsid w:val="00B17A1A"/>
    <w:rsid w:val="00B22B90"/>
    <w:rsid w:val="00B2497D"/>
    <w:rsid w:val="00B265D7"/>
    <w:rsid w:val="00B27449"/>
    <w:rsid w:val="00B3046D"/>
    <w:rsid w:val="00B3053E"/>
    <w:rsid w:val="00B3080B"/>
    <w:rsid w:val="00B30BC9"/>
    <w:rsid w:val="00B30C1D"/>
    <w:rsid w:val="00B33430"/>
    <w:rsid w:val="00B342E8"/>
    <w:rsid w:val="00B36546"/>
    <w:rsid w:val="00B4613A"/>
    <w:rsid w:val="00B471E4"/>
    <w:rsid w:val="00B50E30"/>
    <w:rsid w:val="00B514CB"/>
    <w:rsid w:val="00B52B76"/>
    <w:rsid w:val="00B53CCA"/>
    <w:rsid w:val="00B56671"/>
    <w:rsid w:val="00B573E8"/>
    <w:rsid w:val="00B65B1C"/>
    <w:rsid w:val="00B65F10"/>
    <w:rsid w:val="00B662FF"/>
    <w:rsid w:val="00B7396B"/>
    <w:rsid w:val="00B776E7"/>
    <w:rsid w:val="00B812B8"/>
    <w:rsid w:val="00B81C81"/>
    <w:rsid w:val="00B820D2"/>
    <w:rsid w:val="00B87BD9"/>
    <w:rsid w:val="00B92A40"/>
    <w:rsid w:val="00B94E5C"/>
    <w:rsid w:val="00B95360"/>
    <w:rsid w:val="00BA031A"/>
    <w:rsid w:val="00BA4F1C"/>
    <w:rsid w:val="00BA5749"/>
    <w:rsid w:val="00BB027A"/>
    <w:rsid w:val="00BB0656"/>
    <w:rsid w:val="00BB1C37"/>
    <w:rsid w:val="00BB3846"/>
    <w:rsid w:val="00BB5266"/>
    <w:rsid w:val="00BB561D"/>
    <w:rsid w:val="00BB7E2A"/>
    <w:rsid w:val="00BC0C01"/>
    <w:rsid w:val="00BC5522"/>
    <w:rsid w:val="00BC5D21"/>
    <w:rsid w:val="00BC6254"/>
    <w:rsid w:val="00BC696C"/>
    <w:rsid w:val="00BC72A7"/>
    <w:rsid w:val="00BD09CC"/>
    <w:rsid w:val="00BD1BC8"/>
    <w:rsid w:val="00BD39A6"/>
    <w:rsid w:val="00BD48FD"/>
    <w:rsid w:val="00BE1B83"/>
    <w:rsid w:val="00BE5880"/>
    <w:rsid w:val="00BF06C8"/>
    <w:rsid w:val="00BF3EBC"/>
    <w:rsid w:val="00C01554"/>
    <w:rsid w:val="00C02B53"/>
    <w:rsid w:val="00C046F7"/>
    <w:rsid w:val="00C110F6"/>
    <w:rsid w:val="00C1186F"/>
    <w:rsid w:val="00C231A6"/>
    <w:rsid w:val="00C24217"/>
    <w:rsid w:val="00C2483E"/>
    <w:rsid w:val="00C25DBC"/>
    <w:rsid w:val="00C279E1"/>
    <w:rsid w:val="00C27A3B"/>
    <w:rsid w:val="00C31043"/>
    <w:rsid w:val="00C31FE1"/>
    <w:rsid w:val="00C34A96"/>
    <w:rsid w:val="00C35E18"/>
    <w:rsid w:val="00C376B8"/>
    <w:rsid w:val="00C37D21"/>
    <w:rsid w:val="00C42BE6"/>
    <w:rsid w:val="00C5079B"/>
    <w:rsid w:val="00C50D7B"/>
    <w:rsid w:val="00C54055"/>
    <w:rsid w:val="00C566C7"/>
    <w:rsid w:val="00C6046B"/>
    <w:rsid w:val="00C62BA9"/>
    <w:rsid w:val="00C64B57"/>
    <w:rsid w:val="00C657AD"/>
    <w:rsid w:val="00C676D4"/>
    <w:rsid w:val="00C7619B"/>
    <w:rsid w:val="00C77A99"/>
    <w:rsid w:val="00C8279D"/>
    <w:rsid w:val="00C82F57"/>
    <w:rsid w:val="00C8391C"/>
    <w:rsid w:val="00C8598A"/>
    <w:rsid w:val="00C86CD5"/>
    <w:rsid w:val="00C90DC9"/>
    <w:rsid w:val="00C91A9B"/>
    <w:rsid w:val="00C92CFC"/>
    <w:rsid w:val="00C931D8"/>
    <w:rsid w:val="00C94277"/>
    <w:rsid w:val="00CA6708"/>
    <w:rsid w:val="00CA67AF"/>
    <w:rsid w:val="00CB0217"/>
    <w:rsid w:val="00CB690B"/>
    <w:rsid w:val="00CB771D"/>
    <w:rsid w:val="00CC2529"/>
    <w:rsid w:val="00CC3E6B"/>
    <w:rsid w:val="00CD0251"/>
    <w:rsid w:val="00CD161A"/>
    <w:rsid w:val="00CD161C"/>
    <w:rsid w:val="00CD287B"/>
    <w:rsid w:val="00CD3AC9"/>
    <w:rsid w:val="00CE2B7F"/>
    <w:rsid w:val="00CE5A88"/>
    <w:rsid w:val="00CF6A37"/>
    <w:rsid w:val="00CF77B9"/>
    <w:rsid w:val="00D02483"/>
    <w:rsid w:val="00D044E2"/>
    <w:rsid w:val="00D04EC6"/>
    <w:rsid w:val="00D0773E"/>
    <w:rsid w:val="00D078FB"/>
    <w:rsid w:val="00D07E78"/>
    <w:rsid w:val="00D1369F"/>
    <w:rsid w:val="00D13A06"/>
    <w:rsid w:val="00D14F14"/>
    <w:rsid w:val="00D16BCD"/>
    <w:rsid w:val="00D17076"/>
    <w:rsid w:val="00D205AB"/>
    <w:rsid w:val="00D233D6"/>
    <w:rsid w:val="00D239CE"/>
    <w:rsid w:val="00D37586"/>
    <w:rsid w:val="00D40CCF"/>
    <w:rsid w:val="00D4442D"/>
    <w:rsid w:val="00D46080"/>
    <w:rsid w:val="00D51C18"/>
    <w:rsid w:val="00D53428"/>
    <w:rsid w:val="00D571C2"/>
    <w:rsid w:val="00D62719"/>
    <w:rsid w:val="00D62CCE"/>
    <w:rsid w:val="00D66B92"/>
    <w:rsid w:val="00D6739B"/>
    <w:rsid w:val="00D71E9C"/>
    <w:rsid w:val="00D748E0"/>
    <w:rsid w:val="00D800F0"/>
    <w:rsid w:val="00D823B8"/>
    <w:rsid w:val="00D8306A"/>
    <w:rsid w:val="00D86BAE"/>
    <w:rsid w:val="00D92850"/>
    <w:rsid w:val="00D949C3"/>
    <w:rsid w:val="00DA23EF"/>
    <w:rsid w:val="00DA412D"/>
    <w:rsid w:val="00DB0663"/>
    <w:rsid w:val="00DB0AC5"/>
    <w:rsid w:val="00DB1428"/>
    <w:rsid w:val="00DC18D4"/>
    <w:rsid w:val="00DC2050"/>
    <w:rsid w:val="00DC50B6"/>
    <w:rsid w:val="00DD4305"/>
    <w:rsid w:val="00DE0BD2"/>
    <w:rsid w:val="00DE1764"/>
    <w:rsid w:val="00DE2B3C"/>
    <w:rsid w:val="00DE4328"/>
    <w:rsid w:val="00DE55B4"/>
    <w:rsid w:val="00DE571C"/>
    <w:rsid w:val="00DF1E9A"/>
    <w:rsid w:val="00E00E7D"/>
    <w:rsid w:val="00E0130E"/>
    <w:rsid w:val="00E02C95"/>
    <w:rsid w:val="00E12DA6"/>
    <w:rsid w:val="00E32489"/>
    <w:rsid w:val="00E32BCF"/>
    <w:rsid w:val="00E345FA"/>
    <w:rsid w:val="00E3541D"/>
    <w:rsid w:val="00E360D3"/>
    <w:rsid w:val="00E36214"/>
    <w:rsid w:val="00E436FB"/>
    <w:rsid w:val="00E4459F"/>
    <w:rsid w:val="00E44F19"/>
    <w:rsid w:val="00E44FC9"/>
    <w:rsid w:val="00E4596B"/>
    <w:rsid w:val="00E469F2"/>
    <w:rsid w:val="00E46E54"/>
    <w:rsid w:val="00E50D9A"/>
    <w:rsid w:val="00E52A87"/>
    <w:rsid w:val="00E5678C"/>
    <w:rsid w:val="00E56C73"/>
    <w:rsid w:val="00E62A8A"/>
    <w:rsid w:val="00E65E6D"/>
    <w:rsid w:val="00E6625D"/>
    <w:rsid w:val="00E71716"/>
    <w:rsid w:val="00E803E7"/>
    <w:rsid w:val="00E81354"/>
    <w:rsid w:val="00E81B7E"/>
    <w:rsid w:val="00E875E6"/>
    <w:rsid w:val="00E91271"/>
    <w:rsid w:val="00E92CB6"/>
    <w:rsid w:val="00E935EE"/>
    <w:rsid w:val="00EA091A"/>
    <w:rsid w:val="00EA543F"/>
    <w:rsid w:val="00EA7EEC"/>
    <w:rsid w:val="00EB1D52"/>
    <w:rsid w:val="00EB6BDF"/>
    <w:rsid w:val="00EC5705"/>
    <w:rsid w:val="00ED35F9"/>
    <w:rsid w:val="00ED3834"/>
    <w:rsid w:val="00EE2122"/>
    <w:rsid w:val="00EF19A3"/>
    <w:rsid w:val="00EF2BE2"/>
    <w:rsid w:val="00F015ED"/>
    <w:rsid w:val="00F02B3D"/>
    <w:rsid w:val="00F05F4E"/>
    <w:rsid w:val="00F06D90"/>
    <w:rsid w:val="00F07EBD"/>
    <w:rsid w:val="00F103B2"/>
    <w:rsid w:val="00F2332F"/>
    <w:rsid w:val="00F26225"/>
    <w:rsid w:val="00F264D9"/>
    <w:rsid w:val="00F278DB"/>
    <w:rsid w:val="00F3594C"/>
    <w:rsid w:val="00F40EA5"/>
    <w:rsid w:val="00F415C5"/>
    <w:rsid w:val="00F4422F"/>
    <w:rsid w:val="00F44A79"/>
    <w:rsid w:val="00F47228"/>
    <w:rsid w:val="00F47463"/>
    <w:rsid w:val="00F47BEB"/>
    <w:rsid w:val="00F50EA0"/>
    <w:rsid w:val="00F51C69"/>
    <w:rsid w:val="00F53D0D"/>
    <w:rsid w:val="00F54589"/>
    <w:rsid w:val="00F618BB"/>
    <w:rsid w:val="00F62D16"/>
    <w:rsid w:val="00F632E1"/>
    <w:rsid w:val="00F641E4"/>
    <w:rsid w:val="00F650BA"/>
    <w:rsid w:val="00F65147"/>
    <w:rsid w:val="00F6652A"/>
    <w:rsid w:val="00F66A93"/>
    <w:rsid w:val="00F67021"/>
    <w:rsid w:val="00F67197"/>
    <w:rsid w:val="00F72163"/>
    <w:rsid w:val="00F72947"/>
    <w:rsid w:val="00F73649"/>
    <w:rsid w:val="00F85F4C"/>
    <w:rsid w:val="00F8675A"/>
    <w:rsid w:val="00F92A6C"/>
    <w:rsid w:val="00F9473C"/>
    <w:rsid w:val="00F957B4"/>
    <w:rsid w:val="00FA0B3F"/>
    <w:rsid w:val="00FA128B"/>
    <w:rsid w:val="00FA1B9F"/>
    <w:rsid w:val="00FA3F49"/>
    <w:rsid w:val="00FA6932"/>
    <w:rsid w:val="00FB110C"/>
    <w:rsid w:val="00FB1A4B"/>
    <w:rsid w:val="00FB3018"/>
    <w:rsid w:val="00FB43BA"/>
    <w:rsid w:val="00FB62D4"/>
    <w:rsid w:val="00FC107F"/>
    <w:rsid w:val="00FC316F"/>
    <w:rsid w:val="00FC636B"/>
    <w:rsid w:val="00FD19B9"/>
    <w:rsid w:val="00FD4CB3"/>
    <w:rsid w:val="00FD4D73"/>
    <w:rsid w:val="00FD7E4D"/>
    <w:rsid w:val="00FE6145"/>
    <w:rsid w:val="00FE6E73"/>
    <w:rsid w:val="00FF6731"/>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72BC431"/>
  <w15:chartTrackingRefBased/>
  <w15:docId w15:val="{8DCCDDB7-FBF0-4A81-AA96-25C602A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613A"/>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3A"/>
    <w:pPr>
      <w:ind w:left="720"/>
      <w:contextualSpacing/>
    </w:pPr>
  </w:style>
  <w:style w:type="paragraph" w:customStyle="1" w:styleId="Default">
    <w:name w:val="Default"/>
    <w:rsid w:val="00D4608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4A44D1"/>
    <w:rPr>
      <w:color w:val="0000FF"/>
      <w:u w:val="single"/>
    </w:rPr>
  </w:style>
  <w:style w:type="character" w:customStyle="1" w:styleId="term1">
    <w:name w:val="term1"/>
    <w:basedOn w:val="DefaultParagraphFont"/>
    <w:rsid w:val="004A44D1"/>
    <w:rPr>
      <w:b/>
      <w:bCs/>
    </w:rPr>
  </w:style>
  <w:style w:type="character" w:styleId="Emphasis">
    <w:name w:val="Emphasis"/>
    <w:basedOn w:val="DefaultParagraphFont"/>
    <w:qFormat/>
    <w:rsid w:val="004A44D1"/>
    <w:rPr>
      <w:i/>
      <w:iCs/>
    </w:rPr>
  </w:style>
  <w:style w:type="paragraph" w:styleId="Header">
    <w:name w:val="header"/>
    <w:basedOn w:val="Normal"/>
    <w:link w:val="HeaderChar"/>
    <w:uiPriority w:val="99"/>
    <w:unhideWhenUsed/>
    <w:rsid w:val="00181C10"/>
    <w:pPr>
      <w:tabs>
        <w:tab w:val="center" w:pos="4680"/>
        <w:tab w:val="right" w:pos="9360"/>
      </w:tabs>
      <w:spacing w:line="240" w:lineRule="auto"/>
    </w:pPr>
  </w:style>
  <w:style w:type="character" w:customStyle="1" w:styleId="HeaderChar">
    <w:name w:val="Header Char"/>
    <w:basedOn w:val="DefaultParagraphFont"/>
    <w:link w:val="Header"/>
    <w:uiPriority w:val="99"/>
    <w:rsid w:val="00181C10"/>
    <w:rPr>
      <w:rFonts w:ascii="Times New Roman" w:eastAsia="Calibri" w:hAnsi="Times New Roman" w:cs="Times New Roman"/>
      <w:sz w:val="24"/>
      <w:szCs w:val="24"/>
    </w:rPr>
  </w:style>
  <w:style w:type="paragraph" w:styleId="Footer">
    <w:name w:val="footer"/>
    <w:basedOn w:val="Normal"/>
    <w:link w:val="FooterChar"/>
    <w:uiPriority w:val="99"/>
    <w:unhideWhenUsed/>
    <w:rsid w:val="00181C10"/>
    <w:pPr>
      <w:tabs>
        <w:tab w:val="center" w:pos="4680"/>
        <w:tab w:val="right" w:pos="9360"/>
      </w:tabs>
      <w:spacing w:line="240" w:lineRule="auto"/>
    </w:pPr>
  </w:style>
  <w:style w:type="character" w:customStyle="1" w:styleId="FooterChar">
    <w:name w:val="Footer Char"/>
    <w:basedOn w:val="DefaultParagraphFont"/>
    <w:link w:val="Footer"/>
    <w:uiPriority w:val="99"/>
    <w:rsid w:val="00181C10"/>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D51C18"/>
    <w:pPr>
      <w:spacing w:line="240" w:lineRule="auto"/>
    </w:pPr>
    <w:rPr>
      <w:sz w:val="20"/>
      <w:szCs w:val="20"/>
    </w:rPr>
  </w:style>
  <w:style w:type="character" w:customStyle="1" w:styleId="FootnoteTextChar">
    <w:name w:val="Footnote Text Char"/>
    <w:basedOn w:val="DefaultParagraphFont"/>
    <w:link w:val="FootnoteText"/>
    <w:uiPriority w:val="99"/>
    <w:semiHidden/>
    <w:rsid w:val="00D51C18"/>
    <w:rPr>
      <w:rFonts w:ascii="Times New Roman" w:eastAsia="Calibri" w:hAnsi="Times New Roman" w:cs="Times New Roman"/>
      <w:sz w:val="20"/>
      <w:szCs w:val="20"/>
    </w:rPr>
  </w:style>
  <w:style w:type="character" w:styleId="FootnoteReference">
    <w:name w:val="footnote reference"/>
    <w:aliases w:val="o,fr,Style 6,Style 20,Style 9,footnote text,Style 13,Style 12,Style 28,(NECG) Footnote Reference,Style 11,Style 16,Style 15,Style 17,o1,fr1,o2,fr2,o3,fr3,Style 8,Style 7,Style 19"/>
    <w:uiPriority w:val="99"/>
    <w:rsid w:val="00D51C18"/>
    <w:rPr>
      <w:vertAlign w:val="superscript"/>
    </w:rPr>
  </w:style>
  <w:style w:type="paragraph" w:customStyle="1" w:styleId="ParaTab1">
    <w:name w:val="ParaTab 1"/>
    <w:rsid w:val="00202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9B32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28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8391C"/>
    <w:rPr>
      <w:sz w:val="16"/>
      <w:szCs w:val="16"/>
    </w:rPr>
  </w:style>
  <w:style w:type="paragraph" w:styleId="CommentText">
    <w:name w:val="annotation text"/>
    <w:basedOn w:val="Normal"/>
    <w:link w:val="CommentTextChar"/>
    <w:uiPriority w:val="99"/>
    <w:semiHidden/>
    <w:unhideWhenUsed/>
    <w:rsid w:val="00C8391C"/>
    <w:pPr>
      <w:spacing w:line="240" w:lineRule="auto"/>
    </w:pPr>
    <w:rPr>
      <w:sz w:val="20"/>
      <w:szCs w:val="20"/>
    </w:rPr>
  </w:style>
  <w:style w:type="character" w:customStyle="1" w:styleId="CommentTextChar">
    <w:name w:val="Comment Text Char"/>
    <w:basedOn w:val="DefaultParagraphFont"/>
    <w:link w:val="CommentText"/>
    <w:uiPriority w:val="99"/>
    <w:semiHidden/>
    <w:rsid w:val="00C8391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91C"/>
    <w:rPr>
      <w:b/>
      <w:bCs/>
    </w:rPr>
  </w:style>
  <w:style w:type="character" w:customStyle="1" w:styleId="CommentSubjectChar">
    <w:name w:val="Comment Subject Char"/>
    <w:basedOn w:val="CommentTextChar"/>
    <w:link w:val="CommentSubject"/>
    <w:uiPriority w:val="99"/>
    <w:semiHidden/>
    <w:rsid w:val="00C8391C"/>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64095">
      <w:bodyDiv w:val="1"/>
      <w:marLeft w:val="0"/>
      <w:marRight w:val="0"/>
      <w:marTop w:val="0"/>
      <w:marBottom w:val="0"/>
      <w:divBdr>
        <w:top w:val="none" w:sz="0" w:space="0" w:color="auto"/>
        <w:left w:val="none" w:sz="0" w:space="0" w:color="auto"/>
        <w:bottom w:val="none" w:sz="0" w:space="0" w:color="auto"/>
        <w:right w:val="none" w:sz="0" w:space="0" w:color="auto"/>
      </w:divBdr>
      <w:divsChild>
        <w:div w:id="1403136730">
          <w:marLeft w:val="0"/>
          <w:marRight w:val="0"/>
          <w:marTop w:val="0"/>
          <w:marBottom w:val="0"/>
          <w:divBdr>
            <w:top w:val="none" w:sz="0" w:space="0" w:color="auto"/>
            <w:left w:val="none" w:sz="0" w:space="0" w:color="auto"/>
            <w:bottom w:val="none" w:sz="0" w:space="0" w:color="auto"/>
            <w:right w:val="none" w:sz="0" w:space="0" w:color="auto"/>
          </w:divBdr>
          <w:divsChild>
            <w:div w:id="48769850">
              <w:marLeft w:val="0"/>
              <w:marRight w:val="0"/>
              <w:marTop w:val="0"/>
              <w:marBottom w:val="0"/>
              <w:divBdr>
                <w:top w:val="none" w:sz="0" w:space="0" w:color="auto"/>
                <w:left w:val="none" w:sz="0" w:space="0" w:color="auto"/>
                <w:bottom w:val="none" w:sz="0" w:space="0" w:color="auto"/>
                <w:right w:val="none" w:sz="0" w:space="0" w:color="auto"/>
              </w:divBdr>
              <w:divsChild>
                <w:div w:id="11827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6618">
      <w:bodyDiv w:val="1"/>
      <w:marLeft w:val="0"/>
      <w:marRight w:val="0"/>
      <w:marTop w:val="0"/>
      <w:marBottom w:val="0"/>
      <w:divBdr>
        <w:top w:val="none" w:sz="0" w:space="0" w:color="auto"/>
        <w:left w:val="none" w:sz="0" w:space="0" w:color="auto"/>
        <w:bottom w:val="none" w:sz="0" w:space="0" w:color="auto"/>
        <w:right w:val="none" w:sz="0" w:space="0" w:color="auto"/>
      </w:divBdr>
    </w:div>
    <w:div w:id="2050762669">
      <w:bodyDiv w:val="1"/>
      <w:marLeft w:val="0"/>
      <w:marRight w:val="0"/>
      <w:marTop w:val="0"/>
      <w:marBottom w:val="0"/>
      <w:divBdr>
        <w:top w:val="none" w:sz="0" w:space="0" w:color="auto"/>
        <w:left w:val="none" w:sz="0" w:space="0" w:color="auto"/>
        <w:bottom w:val="none" w:sz="0" w:space="0" w:color="auto"/>
        <w:right w:val="none" w:sz="0" w:space="0" w:color="auto"/>
      </w:divBdr>
      <w:divsChild>
        <w:div w:id="621838288">
          <w:marLeft w:val="0"/>
          <w:marRight w:val="0"/>
          <w:marTop w:val="0"/>
          <w:marBottom w:val="0"/>
          <w:divBdr>
            <w:top w:val="none" w:sz="0" w:space="0" w:color="auto"/>
            <w:left w:val="none" w:sz="0" w:space="0" w:color="auto"/>
            <w:bottom w:val="none" w:sz="0" w:space="0" w:color="auto"/>
            <w:right w:val="none" w:sz="0" w:space="0" w:color="auto"/>
          </w:divBdr>
          <w:divsChild>
            <w:div w:id="1676886028">
              <w:marLeft w:val="0"/>
              <w:marRight w:val="0"/>
              <w:marTop w:val="0"/>
              <w:marBottom w:val="0"/>
              <w:divBdr>
                <w:top w:val="none" w:sz="0" w:space="0" w:color="auto"/>
                <w:left w:val="none" w:sz="0" w:space="0" w:color="auto"/>
                <w:bottom w:val="none" w:sz="0" w:space="0" w:color="auto"/>
                <w:right w:val="none" w:sz="0" w:space="0" w:color="auto"/>
              </w:divBdr>
              <w:divsChild>
                <w:div w:id="391655975">
                  <w:marLeft w:val="0"/>
                  <w:marRight w:val="0"/>
                  <w:marTop w:val="0"/>
                  <w:marBottom w:val="0"/>
                  <w:divBdr>
                    <w:top w:val="none" w:sz="0" w:space="0" w:color="auto"/>
                    <w:left w:val="none" w:sz="0" w:space="0" w:color="auto"/>
                    <w:bottom w:val="none" w:sz="0" w:space="0" w:color="auto"/>
                    <w:right w:val="none" w:sz="0" w:space="0" w:color="auto"/>
                  </w:divBdr>
                </w:div>
                <w:div w:id="379092982">
                  <w:marLeft w:val="0"/>
                  <w:marRight w:val="0"/>
                  <w:marTop w:val="0"/>
                  <w:marBottom w:val="0"/>
                  <w:divBdr>
                    <w:top w:val="none" w:sz="0" w:space="0" w:color="auto"/>
                    <w:left w:val="none" w:sz="0" w:space="0" w:color="auto"/>
                    <w:bottom w:val="none" w:sz="0" w:space="0" w:color="auto"/>
                    <w:right w:val="none" w:sz="0" w:space="0" w:color="auto"/>
                  </w:divBdr>
                  <w:divsChild>
                    <w:div w:id="1147748771">
                      <w:marLeft w:val="0"/>
                      <w:marRight w:val="0"/>
                      <w:marTop w:val="0"/>
                      <w:marBottom w:val="0"/>
                      <w:divBdr>
                        <w:top w:val="none" w:sz="0" w:space="0" w:color="auto"/>
                        <w:left w:val="none" w:sz="0" w:space="0" w:color="auto"/>
                        <w:bottom w:val="none" w:sz="0" w:space="0" w:color="auto"/>
                        <w:right w:val="none" w:sz="0" w:space="0" w:color="auto"/>
                      </w:divBdr>
                      <w:divsChild>
                        <w:div w:id="4945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0998">
                  <w:marLeft w:val="0"/>
                  <w:marRight w:val="0"/>
                  <w:marTop w:val="0"/>
                  <w:marBottom w:val="0"/>
                  <w:divBdr>
                    <w:top w:val="none" w:sz="0" w:space="0" w:color="auto"/>
                    <w:left w:val="none" w:sz="0" w:space="0" w:color="auto"/>
                    <w:bottom w:val="none" w:sz="0" w:space="0" w:color="auto"/>
                    <w:right w:val="none" w:sz="0" w:space="0" w:color="auto"/>
                  </w:divBdr>
                </w:div>
                <w:div w:id="5696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9090">
      <w:bodyDiv w:val="1"/>
      <w:marLeft w:val="720"/>
      <w:marRight w:val="0"/>
      <w:marTop w:val="0"/>
      <w:marBottom w:val="0"/>
      <w:divBdr>
        <w:top w:val="none" w:sz="0" w:space="0" w:color="auto"/>
        <w:left w:val="none" w:sz="0" w:space="0" w:color="auto"/>
        <w:bottom w:val="none" w:sz="0" w:space="0" w:color="auto"/>
        <w:right w:val="none" w:sz="0" w:space="0" w:color="auto"/>
      </w:divBdr>
      <w:divsChild>
        <w:div w:id="1808549079">
          <w:marLeft w:val="75"/>
          <w:marRight w:val="75"/>
          <w:marTop w:val="75"/>
          <w:marBottom w:val="75"/>
          <w:divBdr>
            <w:top w:val="none" w:sz="0" w:space="0" w:color="auto"/>
            <w:left w:val="none" w:sz="0" w:space="0" w:color="auto"/>
            <w:bottom w:val="none" w:sz="0" w:space="0" w:color="auto"/>
            <w:right w:val="none" w:sz="0" w:space="0" w:color="auto"/>
          </w:divBdr>
          <w:divsChild>
            <w:div w:id="470640333">
              <w:marLeft w:val="0"/>
              <w:marRight w:val="0"/>
              <w:marTop w:val="0"/>
              <w:marBottom w:val="0"/>
              <w:divBdr>
                <w:top w:val="none" w:sz="0" w:space="0" w:color="auto"/>
                <w:left w:val="none" w:sz="0" w:space="0" w:color="auto"/>
                <w:bottom w:val="none" w:sz="0" w:space="0" w:color="auto"/>
                <w:right w:val="none" w:sz="0" w:space="0" w:color="auto"/>
              </w:divBdr>
              <w:divsChild>
                <w:div w:id="1606812870">
                  <w:marLeft w:val="0"/>
                  <w:marRight w:val="0"/>
                  <w:marTop w:val="0"/>
                  <w:marBottom w:val="0"/>
                  <w:divBdr>
                    <w:top w:val="none" w:sz="0" w:space="0" w:color="auto"/>
                    <w:left w:val="none" w:sz="0" w:space="0" w:color="auto"/>
                    <w:bottom w:val="none" w:sz="0" w:space="0" w:color="auto"/>
                    <w:right w:val="none" w:sz="0" w:space="0" w:color="auto"/>
                  </w:divBdr>
                  <w:divsChild>
                    <w:div w:id="8800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554FE-5183-4ED8-9624-EFDC2BF6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24</cp:revision>
  <cp:lastPrinted>2019-09-24T12:36:00Z</cp:lastPrinted>
  <dcterms:created xsi:type="dcterms:W3CDTF">2019-09-18T18:27:00Z</dcterms:created>
  <dcterms:modified xsi:type="dcterms:W3CDTF">2019-10-02T19:16:00Z</dcterms:modified>
</cp:coreProperties>
</file>