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207E9F9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w:t>
      </w:r>
      <w:r w:rsidR="00F51D00">
        <w:rPr>
          <w:rFonts w:ascii="Times New Roman" w:hAnsi="Times New Roman"/>
          <w:sz w:val="24"/>
          <w:szCs w:val="24"/>
        </w:rPr>
        <w:t xml:space="preserve">held </w:t>
      </w:r>
      <w:r w:rsidR="00E87D6A">
        <w:rPr>
          <w:rFonts w:ascii="Times New Roman" w:hAnsi="Times New Roman"/>
          <w:sz w:val="24"/>
          <w:szCs w:val="24"/>
        </w:rPr>
        <w:t>October 3</w:t>
      </w:r>
      <w:r w:rsidR="003265F9">
        <w:rPr>
          <w:rFonts w:ascii="Times New Roman" w:hAnsi="Times New Roman"/>
          <w:sz w:val="24"/>
          <w:szCs w:val="24"/>
        </w:rPr>
        <w:t>, 2019</w:t>
      </w:r>
    </w:p>
    <w:p w14:paraId="685280F8" w14:textId="77777777" w:rsidR="00035460" w:rsidRDefault="0003546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743302C2"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Gladys Brown Dutrieuille, Chairman</w:t>
      </w:r>
    </w:p>
    <w:p w14:paraId="63FDC2DD"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David W. Sweet, Vice Chairman</w:t>
      </w:r>
    </w:p>
    <w:p w14:paraId="192971D4" w14:textId="77777777" w:rsidR="00F26B5F" w:rsidRPr="00F26B5F"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Andrew G. Place</w:t>
      </w:r>
    </w:p>
    <w:p w14:paraId="01207A76" w14:textId="660087D0" w:rsidR="009906B2" w:rsidRDefault="00F26B5F" w:rsidP="00F26B5F">
      <w:pPr>
        <w:ind w:firstLine="720"/>
        <w:rPr>
          <w:rFonts w:ascii="Times New Roman" w:eastAsia="Times New Roman" w:hAnsi="Times New Roman"/>
          <w:bCs/>
          <w:sz w:val="24"/>
          <w:szCs w:val="24"/>
        </w:rPr>
      </w:pPr>
      <w:r w:rsidRPr="00F26B5F">
        <w:rPr>
          <w:rFonts w:ascii="Times New Roman" w:eastAsia="Times New Roman" w:hAnsi="Times New Roman"/>
          <w:bCs/>
          <w:sz w:val="24"/>
          <w:szCs w:val="24"/>
        </w:rPr>
        <w:t>John F. Coleman, Jr.</w:t>
      </w:r>
    </w:p>
    <w:p w14:paraId="46355C55" w14:textId="77777777" w:rsidR="00035460" w:rsidRDefault="00035460"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200C1BA1"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Pennsylvania Public Utility Commission</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R-2019-3006904</w:t>
      </w:r>
    </w:p>
    <w:p w14:paraId="0B8CA358"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Office of Consumer Advocate</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 xml:space="preserve">: </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C-2019-3008684</w:t>
      </w:r>
    </w:p>
    <w:p w14:paraId="2D630EC2"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Office of Small Business Advocate</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C-2019-3008912</w:t>
      </w:r>
    </w:p>
    <w:p w14:paraId="4C39ED43"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654FF370"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t>v.</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473AF032" w14:textId="77777777" w:rsidR="00D924AD" w:rsidRP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3B1D8635" w14:textId="09985050" w:rsidR="00D924AD" w:rsidRDefault="00D924AD" w:rsidP="00D924AD">
      <w:pPr>
        <w:autoSpaceDE w:val="0"/>
        <w:autoSpaceDN w:val="0"/>
        <w:rPr>
          <w:rFonts w:ascii="Times New Roman" w:eastAsia="Times New Roman" w:hAnsi="Times New Roman"/>
          <w:sz w:val="24"/>
          <w:szCs w:val="24"/>
        </w:rPr>
      </w:pPr>
      <w:r w:rsidRPr="00D924AD">
        <w:rPr>
          <w:rFonts w:ascii="Times New Roman" w:eastAsia="Times New Roman" w:hAnsi="Times New Roman"/>
          <w:sz w:val="24"/>
          <w:szCs w:val="24"/>
        </w:rPr>
        <w:t>Newtown Artesian Water Company</w:t>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r>
      <w:r w:rsidRPr="00D924AD">
        <w:rPr>
          <w:rFonts w:ascii="Times New Roman" w:eastAsia="Times New Roman" w:hAnsi="Times New Roman"/>
          <w:sz w:val="24"/>
          <w:szCs w:val="24"/>
        </w:rPr>
        <w:tab/>
        <w:t>:</w:t>
      </w:r>
    </w:p>
    <w:p w14:paraId="334DC7CF" w14:textId="49F71342" w:rsidR="00CC03F5" w:rsidRDefault="00CC03F5" w:rsidP="00D924AD">
      <w:pPr>
        <w:autoSpaceDE w:val="0"/>
        <w:autoSpaceDN w:val="0"/>
        <w:rPr>
          <w:rFonts w:ascii="Times New Roman" w:eastAsia="Times New Roman" w:hAnsi="Times New Roman"/>
          <w:sz w:val="24"/>
          <w:szCs w:val="24"/>
        </w:rPr>
      </w:pPr>
    </w:p>
    <w:p w14:paraId="26AABA9F" w14:textId="77777777" w:rsidR="00CC03F5" w:rsidRPr="00D924AD" w:rsidRDefault="00CC03F5" w:rsidP="00D924AD">
      <w:pPr>
        <w:autoSpaceDE w:val="0"/>
        <w:autoSpaceDN w:val="0"/>
        <w:rPr>
          <w:rFonts w:ascii="Times New Roman" w:eastAsia="Times New Roman" w:hAnsi="Times New Roman"/>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CC03F5">
      <w:pPr>
        <w:spacing w:line="360" w:lineRule="auto"/>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CC03F5">
      <w:pPr>
        <w:spacing w:line="360" w:lineRule="auto"/>
        <w:rPr>
          <w:rFonts w:ascii="Times New Roman" w:hAnsi="Times New Roman"/>
          <w:sz w:val="24"/>
          <w:szCs w:val="24"/>
        </w:rPr>
      </w:pPr>
    </w:p>
    <w:p w14:paraId="1A7B7930" w14:textId="1DF1B670" w:rsidR="006A62FB"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F51D00">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5340DF">
        <w:rPr>
          <w:rFonts w:ascii="Times New Roman" w:hAnsi="Times New Roman"/>
          <w:sz w:val="24"/>
          <w:szCs w:val="24"/>
        </w:rPr>
        <w:t xml:space="preserve"> </w:t>
      </w:r>
      <w:r w:rsidR="00D924AD">
        <w:rPr>
          <w:rFonts w:ascii="Times New Roman" w:hAnsi="Times New Roman"/>
          <w:sz w:val="24"/>
          <w:szCs w:val="24"/>
        </w:rPr>
        <w:t>Darlene Davis Heep</w:t>
      </w:r>
      <w:r w:rsidR="00E17242" w:rsidRPr="00A1530D">
        <w:rPr>
          <w:rFonts w:ascii="Times New Roman" w:hAnsi="Times New Roman"/>
          <w:sz w:val="24"/>
          <w:szCs w:val="24"/>
        </w:rPr>
        <w:t xml:space="preserve">, dated </w:t>
      </w:r>
      <w:r w:rsidR="00D924AD">
        <w:rPr>
          <w:rFonts w:ascii="Times New Roman" w:hAnsi="Times New Roman"/>
          <w:sz w:val="24"/>
          <w:szCs w:val="24"/>
        </w:rPr>
        <w:t>September 4</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CC03F5">
      <w:pPr>
        <w:spacing w:line="360" w:lineRule="auto"/>
        <w:ind w:firstLine="720"/>
        <w:jc w:val="both"/>
        <w:rPr>
          <w:rFonts w:ascii="Times New Roman" w:hAnsi="Times New Roman"/>
          <w:sz w:val="24"/>
          <w:szCs w:val="24"/>
        </w:rPr>
      </w:pPr>
    </w:p>
    <w:p w14:paraId="1F6ED8D9" w14:textId="77777777" w:rsidR="00577603" w:rsidRPr="00A1530D" w:rsidRDefault="00577603" w:rsidP="00CC03F5">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CC03F5">
      <w:pPr>
        <w:spacing w:line="360" w:lineRule="auto"/>
        <w:jc w:val="both"/>
        <w:rPr>
          <w:rFonts w:ascii="Times New Roman" w:hAnsi="Times New Roman"/>
          <w:sz w:val="24"/>
          <w:szCs w:val="24"/>
        </w:rPr>
      </w:pPr>
    </w:p>
    <w:p w14:paraId="5C137B58" w14:textId="77777777" w:rsidR="0018257D" w:rsidRPr="00A1530D" w:rsidRDefault="00577603" w:rsidP="00CC03F5">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CC03F5">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1453018B" w14:textId="77777777" w:rsidR="00D924AD" w:rsidRPr="00D924AD" w:rsidRDefault="00D924AD" w:rsidP="00CC03F5">
      <w:pPr>
        <w:numPr>
          <w:ilvl w:val="0"/>
          <w:numId w:val="21"/>
        </w:numPr>
        <w:autoSpaceDE w:val="0"/>
        <w:autoSpaceDN w:val="0"/>
        <w:spacing w:line="360" w:lineRule="auto"/>
        <w:ind w:left="0" w:firstLine="1440"/>
        <w:jc w:val="both"/>
        <w:rPr>
          <w:rFonts w:ascii="Times New Roman" w:eastAsiaTheme="minorHAnsi" w:hAnsi="Times New Roman"/>
          <w:color w:val="000000"/>
          <w:sz w:val="24"/>
          <w:szCs w:val="24"/>
        </w:rPr>
      </w:pPr>
      <w:r w:rsidRPr="00D924AD">
        <w:rPr>
          <w:rFonts w:ascii="Times New Roman" w:eastAsiaTheme="minorHAnsi" w:hAnsi="Times New Roman"/>
          <w:color w:val="000000"/>
          <w:sz w:val="24"/>
          <w:szCs w:val="24"/>
        </w:rPr>
        <w:t xml:space="preserve">That the Newtown Artesian Water Company Supplement No. 136 to Tariff Water – Pa. P.U.C. No. 9 filed on March 1, 2019 shall not be placed in effect.  </w:t>
      </w:r>
    </w:p>
    <w:p w14:paraId="4F6EE592" w14:textId="77777777" w:rsidR="00D924AD" w:rsidRPr="00D924AD" w:rsidRDefault="00D924AD" w:rsidP="00CC03F5">
      <w:pPr>
        <w:autoSpaceDE w:val="0"/>
        <w:autoSpaceDN w:val="0"/>
        <w:spacing w:line="360" w:lineRule="auto"/>
        <w:ind w:left="1440"/>
        <w:jc w:val="both"/>
        <w:rPr>
          <w:rFonts w:ascii="Times New Roman" w:eastAsiaTheme="minorHAnsi" w:hAnsi="Times New Roman"/>
          <w:color w:val="000000"/>
          <w:sz w:val="24"/>
          <w:szCs w:val="24"/>
        </w:rPr>
      </w:pPr>
    </w:p>
    <w:p w14:paraId="0C2A4BDE" w14:textId="4DAD4A88" w:rsidR="00CC03F5" w:rsidRPr="00CC03F5" w:rsidRDefault="00D924AD" w:rsidP="00CC03F5">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eastAsiaTheme="minorHAnsi" w:hAnsi="Times New Roman"/>
          <w:color w:val="000000"/>
          <w:sz w:val="24"/>
          <w:szCs w:val="24"/>
        </w:rPr>
        <w:t>That the Joint Petition for Settlement of Rate Investigation at Docket No. R</w:t>
      </w:r>
      <w:r w:rsidRPr="00CC03F5">
        <w:rPr>
          <w:rFonts w:ascii="Times New Roman" w:eastAsiaTheme="minorHAnsi" w:hAnsi="Times New Roman"/>
          <w:color w:val="000000"/>
          <w:sz w:val="24"/>
          <w:szCs w:val="24"/>
        </w:rPr>
        <w:noBreakHyphen/>
      </w:r>
      <w:r w:rsidRPr="00D924AD">
        <w:rPr>
          <w:rFonts w:ascii="Times New Roman" w:eastAsiaTheme="minorHAnsi" w:hAnsi="Times New Roman"/>
          <w:color w:val="000000"/>
          <w:sz w:val="24"/>
          <w:szCs w:val="24"/>
        </w:rPr>
        <w:t xml:space="preserve">2019-3006904, filed, by Newtown Artesian Water Company, Office of Consumer </w:t>
      </w:r>
      <w:r w:rsidRPr="00D924AD">
        <w:rPr>
          <w:rFonts w:ascii="Times New Roman" w:eastAsiaTheme="minorHAnsi" w:hAnsi="Times New Roman"/>
          <w:color w:val="000000"/>
          <w:sz w:val="24"/>
          <w:szCs w:val="24"/>
        </w:rPr>
        <w:lastRenderedPageBreak/>
        <w:t xml:space="preserve">Advocate, Office of Small Business Advocate, and the Commission's Bureau of Investigation and Enforcement be approved without modification.  </w:t>
      </w:r>
    </w:p>
    <w:p w14:paraId="0C1116CE" w14:textId="77777777" w:rsidR="00CC03F5" w:rsidRPr="00CC03F5" w:rsidRDefault="00CC03F5" w:rsidP="00CC03F5">
      <w:pPr>
        <w:autoSpaceDE w:val="0"/>
        <w:autoSpaceDN w:val="0"/>
        <w:spacing w:line="360" w:lineRule="auto"/>
        <w:ind w:left="1440"/>
        <w:jc w:val="both"/>
        <w:rPr>
          <w:rFonts w:ascii="Times New Roman" w:eastAsiaTheme="minorHAnsi" w:hAnsi="Times New Roman"/>
          <w:color w:val="000000" w:themeColor="text1"/>
          <w:sz w:val="24"/>
          <w:szCs w:val="24"/>
        </w:rPr>
      </w:pPr>
    </w:p>
    <w:p w14:paraId="05D7BE2A" w14:textId="622DA546" w:rsidR="00D924AD" w:rsidRPr="00D924AD" w:rsidRDefault="00D924AD" w:rsidP="00477D68">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eastAsiaTheme="minorHAnsi" w:hAnsi="Times New Roman"/>
          <w:color w:val="000000"/>
          <w:sz w:val="24"/>
          <w:szCs w:val="24"/>
        </w:rPr>
        <w:t xml:space="preserve">That Newtown Artesian Water Company be permitted to file a tariff supplement incorporating the terms of the Joint Petition for Settlement and changes to rates, rules and regulations as set forth in the </w:t>
      </w:r>
      <w:r w:rsidRPr="00D924AD">
        <w:rPr>
          <w:rFonts w:ascii="Times New Roman" w:eastAsiaTheme="minorHAnsi" w:hAnsi="Times New Roman"/>
          <w:i/>
          <w:iCs/>
          <w:color w:val="000000"/>
          <w:sz w:val="24"/>
          <w:szCs w:val="24"/>
        </w:rPr>
        <w:t xml:space="preserve">pro forma </w:t>
      </w:r>
      <w:r w:rsidRPr="00D924AD">
        <w:rPr>
          <w:rFonts w:ascii="Times New Roman" w:eastAsiaTheme="minorHAnsi" w:hAnsi="Times New Roman"/>
          <w:color w:val="000000"/>
          <w:sz w:val="24"/>
          <w:szCs w:val="24"/>
        </w:rPr>
        <w:t xml:space="preserve">tariff attached to the Joint Petition for Settlement as Appendix A, to become effective upon at least one (1) days’ notice after entry of the Commission’s Order approving the Joint Petition for Settlement, provided, however, that the effective date of the tariff </w:t>
      </w:r>
      <w:r w:rsidRPr="00D924AD">
        <w:rPr>
          <w:rFonts w:ascii="Times New Roman" w:eastAsiaTheme="minorHAnsi" w:hAnsi="Times New Roman"/>
          <w:color w:val="000000" w:themeColor="text1"/>
          <w:sz w:val="24"/>
          <w:szCs w:val="24"/>
        </w:rPr>
        <w:t>supplement will be no sooner than October 1, 2019 so as to produce an annual increase in base rate operating revenues of approximately $780,000.</w:t>
      </w:r>
    </w:p>
    <w:p w14:paraId="40A707CE" w14:textId="77777777" w:rsidR="00D924AD" w:rsidRPr="00D924AD" w:rsidRDefault="00D924AD" w:rsidP="00D924AD">
      <w:pPr>
        <w:autoSpaceDE w:val="0"/>
        <w:autoSpaceDN w:val="0"/>
        <w:spacing w:line="360" w:lineRule="auto"/>
        <w:ind w:left="1440"/>
        <w:jc w:val="both"/>
        <w:rPr>
          <w:rFonts w:ascii="Times New Roman" w:eastAsiaTheme="minorHAnsi" w:hAnsi="Times New Roman"/>
          <w:color w:val="000000" w:themeColor="text1"/>
          <w:sz w:val="24"/>
          <w:szCs w:val="24"/>
        </w:rPr>
      </w:pPr>
    </w:p>
    <w:p w14:paraId="62E34CAA" w14:textId="77777777" w:rsidR="00D924AD" w:rsidRPr="00D924AD" w:rsidRDefault="00D924AD" w:rsidP="00D924AD">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hAnsi="Times New Roman"/>
          <w:color w:val="000000" w:themeColor="text1"/>
          <w:sz w:val="24"/>
          <w:szCs w:val="24"/>
        </w:rPr>
        <w:t xml:space="preserve">That the Plant Addition updated tables to be provided to the Bureau of Technical Utility Services, </w:t>
      </w:r>
      <w:r w:rsidRPr="00D924AD">
        <w:rPr>
          <w:rFonts w:ascii="Times New Roman" w:hAnsi="Times New Roman"/>
          <w:i/>
          <w:iCs/>
          <w:color w:val="000000" w:themeColor="text1"/>
          <w:sz w:val="24"/>
          <w:szCs w:val="24"/>
        </w:rPr>
        <w:t>inter alia</w:t>
      </w:r>
      <w:r w:rsidRPr="00D924AD">
        <w:rPr>
          <w:rFonts w:ascii="Times New Roman" w:hAnsi="Times New Roman"/>
          <w:color w:val="000000" w:themeColor="text1"/>
          <w:sz w:val="24"/>
          <w:szCs w:val="24"/>
        </w:rPr>
        <w:t>, in accordance with Section 13(d) of the settlement shall be sent to the attention of the Bureau of Technical Utility Services W</w:t>
      </w:r>
      <w:r w:rsidRPr="00D924AD">
        <w:rPr>
          <w:rFonts w:ascii="Times New Roman" w:eastAsiaTheme="minorHAnsi" w:hAnsi="Times New Roman"/>
          <w:color w:val="000000" w:themeColor="text1"/>
          <w:sz w:val="24"/>
          <w:szCs w:val="24"/>
        </w:rPr>
        <w:t xml:space="preserve">ater/Wastewater Division with reference to the Docket Number and settlement herein. </w:t>
      </w:r>
    </w:p>
    <w:p w14:paraId="45010600" w14:textId="77777777" w:rsidR="00D924AD" w:rsidRPr="00D924AD" w:rsidRDefault="00D924AD" w:rsidP="00D924AD">
      <w:pPr>
        <w:autoSpaceDE w:val="0"/>
        <w:autoSpaceDN w:val="0"/>
        <w:spacing w:line="360" w:lineRule="auto"/>
        <w:ind w:left="720"/>
        <w:contextualSpacing/>
        <w:jc w:val="both"/>
        <w:rPr>
          <w:rFonts w:ascii="Times New Roman" w:eastAsia="Times New Roman" w:hAnsi="Times New Roman"/>
          <w:sz w:val="24"/>
          <w:szCs w:val="24"/>
        </w:rPr>
      </w:pPr>
    </w:p>
    <w:p w14:paraId="53500B96" w14:textId="77777777" w:rsidR="00D924AD" w:rsidRPr="00D924AD" w:rsidRDefault="00D924AD" w:rsidP="00D924AD">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eastAsiaTheme="minorHAnsi" w:hAnsi="Times New Roman"/>
          <w:color w:val="000000"/>
          <w:sz w:val="24"/>
          <w:szCs w:val="24"/>
        </w:rPr>
        <w:t xml:space="preserve">That the investigation at Docket No. R-2019-3006904 be terminated upon the filing of the approved tariffs. </w:t>
      </w:r>
    </w:p>
    <w:p w14:paraId="40D94E50" w14:textId="77777777" w:rsidR="00D924AD" w:rsidRPr="00D924AD" w:rsidRDefault="00D924AD" w:rsidP="00D924AD">
      <w:pPr>
        <w:autoSpaceDE w:val="0"/>
        <w:autoSpaceDN w:val="0"/>
        <w:spacing w:line="360" w:lineRule="auto"/>
        <w:ind w:left="720"/>
        <w:contextualSpacing/>
        <w:jc w:val="both"/>
        <w:rPr>
          <w:rFonts w:ascii="Times New Roman" w:eastAsia="Times New Roman" w:hAnsi="Times New Roman"/>
          <w:sz w:val="24"/>
          <w:szCs w:val="24"/>
        </w:rPr>
      </w:pPr>
    </w:p>
    <w:p w14:paraId="6B9E1E37" w14:textId="77777777" w:rsidR="00D924AD" w:rsidRPr="00D924AD" w:rsidRDefault="00D924AD" w:rsidP="00D924AD">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eastAsiaTheme="minorHAnsi" w:hAnsi="Times New Roman"/>
          <w:color w:val="000000"/>
          <w:sz w:val="24"/>
          <w:szCs w:val="24"/>
        </w:rPr>
        <w:t xml:space="preserve">That the formal Complaint filed by the Office of Consumer Advocate at Docket No. C-2019-3008684 be closed as satisfied. </w:t>
      </w:r>
    </w:p>
    <w:p w14:paraId="2BFA04F0" w14:textId="77777777" w:rsidR="00D924AD" w:rsidRPr="00D924AD" w:rsidRDefault="00D924AD" w:rsidP="00D924AD">
      <w:pPr>
        <w:autoSpaceDE w:val="0"/>
        <w:autoSpaceDN w:val="0"/>
        <w:spacing w:line="360" w:lineRule="auto"/>
        <w:ind w:left="720"/>
        <w:contextualSpacing/>
        <w:jc w:val="both"/>
        <w:rPr>
          <w:rFonts w:ascii="Times New Roman" w:eastAsia="Times New Roman" w:hAnsi="Times New Roman"/>
          <w:sz w:val="24"/>
          <w:szCs w:val="24"/>
        </w:rPr>
      </w:pPr>
    </w:p>
    <w:p w14:paraId="319C46D3" w14:textId="267063C9" w:rsidR="00D924AD" w:rsidRPr="00D924AD" w:rsidRDefault="00D924AD" w:rsidP="00D924AD">
      <w:pPr>
        <w:numPr>
          <w:ilvl w:val="0"/>
          <w:numId w:val="21"/>
        </w:numPr>
        <w:autoSpaceDE w:val="0"/>
        <w:autoSpaceDN w:val="0"/>
        <w:spacing w:line="360" w:lineRule="auto"/>
        <w:ind w:left="0" w:firstLine="1440"/>
        <w:jc w:val="both"/>
        <w:rPr>
          <w:rFonts w:ascii="Times New Roman" w:eastAsiaTheme="minorHAnsi" w:hAnsi="Times New Roman"/>
          <w:color w:val="000000" w:themeColor="text1"/>
          <w:sz w:val="24"/>
          <w:szCs w:val="24"/>
        </w:rPr>
      </w:pPr>
      <w:r w:rsidRPr="00D924AD">
        <w:rPr>
          <w:rFonts w:ascii="Times New Roman" w:eastAsiaTheme="minorHAnsi" w:hAnsi="Times New Roman"/>
          <w:color w:val="000000"/>
          <w:sz w:val="24"/>
          <w:szCs w:val="24"/>
        </w:rPr>
        <w:t xml:space="preserve">That the formal Complaint filed by the Office of Small Business Advocate at Docket C-2019-3008912 be closed as satisfied. </w:t>
      </w:r>
    </w:p>
    <w:p w14:paraId="3EE44418" w14:textId="7AC3E7CD" w:rsidR="00F61893" w:rsidRDefault="00F61893" w:rsidP="00CC03F5">
      <w:pPr>
        <w:spacing w:line="360" w:lineRule="auto"/>
        <w:jc w:val="both"/>
        <w:rPr>
          <w:rFonts w:ascii="Times New Roman" w:hAnsi="Times New Roman"/>
          <w:sz w:val="24"/>
          <w:szCs w:val="24"/>
        </w:rPr>
      </w:pPr>
    </w:p>
    <w:p w14:paraId="32EC2B50" w14:textId="40B0E5D2" w:rsidR="00577603" w:rsidRPr="00A1530D" w:rsidRDefault="008A761D"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04D4436" wp14:editId="4868F9D9">
            <wp:simplePos x="0" y="0"/>
            <wp:positionH relativeFrom="column">
              <wp:posOffset>3152775</wp:posOffset>
            </wp:positionH>
            <wp:positionV relativeFrom="paragraph">
              <wp:posOffset>7620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77EDB9B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87D6A">
        <w:rPr>
          <w:rFonts w:ascii="Times New Roman" w:hAnsi="Times New Roman"/>
          <w:sz w:val="24"/>
          <w:szCs w:val="24"/>
        </w:rPr>
        <w:t>October 3</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72DA8555"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8A761D">
        <w:rPr>
          <w:rFonts w:ascii="Times New Roman" w:hAnsi="Times New Roman"/>
          <w:sz w:val="24"/>
          <w:szCs w:val="24"/>
        </w:rPr>
        <w:t xml:space="preserve"> October 3</w:t>
      </w:r>
      <w:bookmarkStart w:id="0" w:name="_GoBack"/>
      <w:bookmarkEnd w:id="0"/>
      <w:r w:rsidR="008A761D">
        <w:rPr>
          <w:rFonts w:ascii="Times New Roman" w:hAnsi="Times New Roman"/>
          <w:sz w:val="24"/>
          <w:szCs w:val="24"/>
        </w:rPr>
        <w:t>, 2019</w:t>
      </w:r>
    </w:p>
    <w:sectPr w:rsidR="00B4392F" w:rsidRPr="00A1530D" w:rsidSect="00CC03F5">
      <w:footerReference w:type="default" r:id="rId9"/>
      <w:pgSz w:w="12240" w:h="15840" w:code="1"/>
      <w:pgMar w:top="1296" w:right="1440" w:bottom="1296"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9CE0" w14:textId="77777777" w:rsidR="002A2937" w:rsidRDefault="002A2937" w:rsidP="00577603">
      <w:r>
        <w:separator/>
      </w:r>
    </w:p>
  </w:endnote>
  <w:endnote w:type="continuationSeparator" w:id="0">
    <w:p w14:paraId="199AD861" w14:textId="77777777" w:rsidR="002A2937" w:rsidRDefault="002A293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A603" w14:textId="5F8F1206" w:rsidR="00CC03F5" w:rsidRPr="00CC03F5" w:rsidRDefault="00CC03F5" w:rsidP="00CC03F5">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90B5" w14:textId="77777777" w:rsidR="002A2937" w:rsidRDefault="002A2937" w:rsidP="00577603">
      <w:r>
        <w:separator/>
      </w:r>
    </w:p>
  </w:footnote>
  <w:footnote w:type="continuationSeparator" w:id="0">
    <w:p w14:paraId="54031C02" w14:textId="77777777" w:rsidR="002A2937" w:rsidRDefault="002A293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1"/>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171"/>
    <w:rsid w:val="00227917"/>
    <w:rsid w:val="002348D6"/>
    <w:rsid w:val="002363AC"/>
    <w:rsid w:val="00246581"/>
    <w:rsid w:val="00253A7E"/>
    <w:rsid w:val="00253F1B"/>
    <w:rsid w:val="00274749"/>
    <w:rsid w:val="00277876"/>
    <w:rsid w:val="00287DA4"/>
    <w:rsid w:val="0029123A"/>
    <w:rsid w:val="00292B26"/>
    <w:rsid w:val="002A2937"/>
    <w:rsid w:val="002A2DAE"/>
    <w:rsid w:val="002A4D09"/>
    <w:rsid w:val="002B0A6D"/>
    <w:rsid w:val="002B1C7D"/>
    <w:rsid w:val="002B3E19"/>
    <w:rsid w:val="002B5251"/>
    <w:rsid w:val="002B55B0"/>
    <w:rsid w:val="002C0722"/>
    <w:rsid w:val="002C077F"/>
    <w:rsid w:val="002C4774"/>
    <w:rsid w:val="002C691F"/>
    <w:rsid w:val="002D24DB"/>
    <w:rsid w:val="002D4BB5"/>
    <w:rsid w:val="002E2F5B"/>
    <w:rsid w:val="002E7FB1"/>
    <w:rsid w:val="002F32B8"/>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7549"/>
    <w:rsid w:val="00474BF2"/>
    <w:rsid w:val="00481C93"/>
    <w:rsid w:val="00491BAF"/>
    <w:rsid w:val="00495A06"/>
    <w:rsid w:val="004A4684"/>
    <w:rsid w:val="004B2AB3"/>
    <w:rsid w:val="004C1C2B"/>
    <w:rsid w:val="004C5399"/>
    <w:rsid w:val="004C58B6"/>
    <w:rsid w:val="004D1BC3"/>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A761D"/>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87D6A"/>
    <w:rsid w:val="00E90854"/>
    <w:rsid w:val="00E965D1"/>
    <w:rsid w:val="00E974A2"/>
    <w:rsid w:val="00EA6E89"/>
    <w:rsid w:val="00EC515D"/>
    <w:rsid w:val="00ED4FFE"/>
    <w:rsid w:val="00EE723A"/>
    <w:rsid w:val="00EF1808"/>
    <w:rsid w:val="00F022E2"/>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791BF0-4B99-4846-BD5B-AC23BF32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2019-09-20T18:44:00Z</cp:lastPrinted>
  <dcterms:created xsi:type="dcterms:W3CDTF">2019-09-20T18:39:00Z</dcterms:created>
  <dcterms:modified xsi:type="dcterms:W3CDTF">2019-10-02T19:23:00Z</dcterms:modified>
</cp:coreProperties>
</file>