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4823B84" w:rsidR="00EB335F" w:rsidRPr="00215DD0" w:rsidRDefault="00472E9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Jerry G. Henderson</w:t>
      </w:r>
      <w:r w:rsidR="00475314">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2E3530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472E96">
        <w:rPr>
          <w:rFonts w:ascii="Times New Roman" w:hAnsi="Times New Roman" w:cs="Times New Roman"/>
          <w:spacing w:val="-3"/>
        </w:rPr>
        <w:t>2339</w:t>
      </w:r>
      <w:r w:rsidR="00B46435">
        <w:rPr>
          <w:rFonts w:ascii="Times New Roman" w:hAnsi="Times New Roman" w:cs="Times New Roman"/>
          <w:spacing w:val="-3"/>
        </w:rPr>
        <w:tab/>
      </w:r>
      <w:r w:rsidR="00587857">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45F6296F"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4021B0D" w:rsidR="00EB335F" w:rsidRPr="00587857" w:rsidRDefault="00EB335F" w:rsidP="00587857">
      <w:pPr>
        <w:pStyle w:val="ParaTab1"/>
        <w:tabs>
          <w:tab w:val="left" w:pos="2070"/>
        </w:tabs>
        <w:spacing w:line="360" w:lineRule="auto"/>
        <w:rPr>
          <w:rFonts w:ascii="Times New Roman" w:hAnsi="Times New Roman"/>
        </w:rPr>
      </w:pPr>
      <w:r>
        <w:rPr>
          <w:rFonts w:ascii="Times New Roman" w:hAnsi="Times New Roman"/>
        </w:rPr>
        <w:t>An initial telephonic hearing in this case is scheduled</w:t>
      </w:r>
      <w:r w:rsidRPr="009E7D30">
        <w:rPr>
          <w:rFonts w:ascii="Times New Roman" w:hAnsi="Times New Roman"/>
        </w:rPr>
        <w:t xml:space="preserve"> for </w:t>
      </w:r>
      <w:r w:rsidR="00472E96">
        <w:rPr>
          <w:rFonts w:ascii="Times New Roman" w:hAnsi="Times New Roman"/>
          <w:b/>
        </w:rPr>
        <w:t>Friday</w:t>
      </w:r>
      <w:r w:rsidR="0062562B">
        <w:rPr>
          <w:rFonts w:ascii="Times New Roman" w:hAnsi="Times New Roman"/>
          <w:b/>
        </w:rPr>
        <w:t xml:space="preserve">, </w:t>
      </w:r>
      <w:r w:rsidR="001A4C38">
        <w:rPr>
          <w:rFonts w:ascii="Times New Roman" w:hAnsi="Times New Roman"/>
          <w:b/>
        </w:rPr>
        <w:t xml:space="preserve">October </w:t>
      </w:r>
      <w:r w:rsidR="00475314">
        <w:rPr>
          <w:rFonts w:ascii="Times New Roman" w:hAnsi="Times New Roman"/>
          <w:b/>
        </w:rPr>
        <w:t>2</w:t>
      </w:r>
      <w:r w:rsidR="00472E96">
        <w:rPr>
          <w:rFonts w:ascii="Times New Roman" w:hAnsi="Times New Roman"/>
          <w:b/>
        </w:rPr>
        <w:t>5</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475314">
        <w:rPr>
          <w:rFonts w:ascii="Times New Roman" w:hAnsi="Times New Roman"/>
          <w:b/>
        </w:rPr>
        <w:t>0</w:t>
      </w:r>
      <w:r w:rsidR="000E2EE6">
        <w:rPr>
          <w:rFonts w:ascii="Times New Roman" w:hAnsi="Times New Roman"/>
          <w:b/>
        </w:rPr>
        <w:t xml:space="preserve">:00 </w:t>
      </w:r>
      <w:r w:rsidR="00475314">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66B4B1A6" w:rsidR="001A4C38" w:rsidRPr="00650A36" w:rsidRDefault="00472E9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Jerry G. Henderson</w:t>
      </w:r>
      <w:r w:rsidR="00475314">
        <w:rPr>
          <w:rFonts w:ascii="Times New Roman" w:hAnsi="Times New Roman" w:cs="Times New Roman"/>
          <w:color w:val="000000" w:themeColor="text1"/>
          <w:spacing w:val="-3"/>
        </w:rPr>
        <w:t>: 267.</w:t>
      </w:r>
      <w:r>
        <w:rPr>
          <w:rFonts w:ascii="Times New Roman" w:hAnsi="Times New Roman" w:cs="Times New Roman"/>
          <w:color w:val="000000" w:themeColor="text1"/>
          <w:spacing w:val="-3"/>
        </w:rPr>
        <w:t>366.5740</w:t>
      </w:r>
      <w:r w:rsidR="000E2EE6">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8"/>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lastRenderedPageBreak/>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9570BC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October 3</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587857">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9"/>
          <w:footerReference w:type="default" r:id="rId10"/>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C14A405" w14:textId="77777777" w:rsidR="00475314" w:rsidRDefault="00475314" w:rsidP="00475314">
      <w:pPr>
        <w:rPr>
          <w:rFonts w:ascii="Microsoft Sans Serif" w:hAnsi="Microsoft Sans Serif" w:cs="Microsoft Sans Serif"/>
        </w:rPr>
      </w:pPr>
    </w:p>
    <w:p w14:paraId="6F580606" w14:textId="77777777" w:rsidR="00472E96" w:rsidRPr="00506D6E" w:rsidRDefault="00472E96" w:rsidP="00472E96">
      <w:pPr>
        <w:spacing w:after="160" w:line="259" w:lineRule="auto"/>
        <w:rPr>
          <w:rFonts w:ascii="Microsoft Sans Serif" w:eastAsia="Microsoft Sans Serif" w:hAnsi="Microsoft Sans Serif" w:cs="Microsoft Sans Serif"/>
          <w:b/>
          <w:bCs/>
          <w:i/>
          <w:iCs/>
          <w:szCs w:val="22"/>
          <w:u w:val="single"/>
        </w:rPr>
      </w:pPr>
      <w:r w:rsidRPr="00506D6E">
        <w:rPr>
          <w:rFonts w:ascii="Microsoft Sans Serif" w:eastAsia="Microsoft Sans Serif" w:hAnsi="Microsoft Sans Serif" w:cs="Microsoft Sans Serif"/>
          <w:b/>
          <w:szCs w:val="22"/>
          <w:u w:val="single"/>
        </w:rPr>
        <w:t>C-2019-3012339 - JERRY HENDERSON v. PHILADELPHIA GAS WORKS</w:t>
      </w:r>
      <w:r w:rsidRPr="00506D6E">
        <w:rPr>
          <w:rFonts w:ascii="Microsoft Sans Serif" w:eastAsia="Microsoft Sans Serif" w:hAnsi="Microsoft Sans Serif" w:cs="Microsoft Sans Serif"/>
          <w:b/>
          <w:szCs w:val="22"/>
          <w:u w:val="single"/>
        </w:rPr>
        <w:cr/>
      </w:r>
      <w:r w:rsidRPr="00506D6E">
        <w:rPr>
          <w:rFonts w:ascii="Microsoft Sans Serif" w:eastAsia="Microsoft Sans Serif" w:hAnsi="Microsoft Sans Serif" w:cs="Microsoft Sans Serif"/>
          <w:b/>
          <w:szCs w:val="22"/>
          <w:u w:val="single"/>
        </w:rPr>
        <w:cr/>
      </w:r>
      <w:bookmarkStart w:id="0" w:name="_Hlk19102463"/>
      <w:bookmarkStart w:id="1" w:name="_GoBack"/>
      <w:r w:rsidRPr="00506D6E">
        <w:rPr>
          <w:rFonts w:ascii="Microsoft Sans Serif" w:eastAsia="Microsoft Sans Serif" w:hAnsi="Microsoft Sans Serif" w:cs="Microsoft Sans Serif"/>
          <w:szCs w:val="22"/>
        </w:rPr>
        <w:t>JERRY G. HENDERSON</w:t>
      </w:r>
      <w:r w:rsidRPr="00506D6E">
        <w:rPr>
          <w:rFonts w:ascii="Microsoft Sans Serif" w:eastAsia="Microsoft Sans Serif" w:hAnsi="Microsoft Sans Serif" w:cs="Microsoft Sans Serif"/>
          <w:szCs w:val="22"/>
        </w:rPr>
        <w:cr/>
        <w:t>2231 SOUTH 70TH STREET</w:t>
      </w:r>
      <w:r w:rsidRPr="00506D6E">
        <w:rPr>
          <w:rFonts w:ascii="Microsoft Sans Serif" w:eastAsia="Microsoft Sans Serif" w:hAnsi="Microsoft Sans Serif" w:cs="Microsoft Sans Serif"/>
          <w:szCs w:val="22"/>
        </w:rPr>
        <w:cr/>
        <w:t>PHILADELPHIA PA  19142</w:t>
      </w:r>
      <w:r w:rsidRPr="00506D6E">
        <w:rPr>
          <w:rFonts w:ascii="Microsoft Sans Serif" w:eastAsia="Microsoft Sans Serif" w:hAnsi="Microsoft Sans Serif" w:cs="Microsoft Sans Serif"/>
          <w:szCs w:val="22"/>
        </w:rPr>
        <w:cr/>
      </w:r>
      <w:bookmarkEnd w:id="0"/>
      <w:bookmarkEnd w:id="1"/>
      <w:r w:rsidRPr="00506D6E">
        <w:rPr>
          <w:rFonts w:ascii="Microsoft Sans Serif" w:eastAsia="Microsoft Sans Serif" w:hAnsi="Microsoft Sans Serif" w:cs="Microsoft Sans Serif"/>
          <w:b/>
          <w:bCs/>
          <w:szCs w:val="22"/>
        </w:rPr>
        <w:t>267.366.5740</w:t>
      </w:r>
      <w:r w:rsidRPr="00506D6E">
        <w:rPr>
          <w:rFonts w:ascii="Microsoft Sans Serif" w:eastAsia="Microsoft Sans Serif" w:hAnsi="Microsoft Sans Serif" w:cs="Microsoft Sans Serif"/>
          <w:szCs w:val="22"/>
        </w:rPr>
        <w:cr/>
      </w:r>
      <w:r w:rsidRPr="00506D6E">
        <w:rPr>
          <w:rFonts w:ascii="Microsoft Sans Serif" w:eastAsia="Microsoft Sans Serif" w:hAnsi="Microsoft Sans Serif" w:cs="Microsoft Sans Serif"/>
          <w:szCs w:val="22"/>
        </w:rPr>
        <w:cr/>
        <w:t>LAURETO FARINAS ESQUIRE</w:t>
      </w:r>
      <w:r w:rsidRPr="00506D6E">
        <w:rPr>
          <w:rFonts w:ascii="Microsoft Sans Serif" w:eastAsia="Microsoft Sans Serif" w:hAnsi="Microsoft Sans Serif" w:cs="Microsoft Sans Serif"/>
          <w:szCs w:val="22"/>
        </w:rPr>
        <w:cr/>
        <w:t>PHILADELPHIA GAS WORKS</w:t>
      </w:r>
      <w:r w:rsidRPr="00506D6E">
        <w:rPr>
          <w:rFonts w:ascii="Microsoft Sans Serif" w:eastAsia="Microsoft Sans Serif" w:hAnsi="Microsoft Sans Serif" w:cs="Microsoft Sans Serif"/>
          <w:szCs w:val="22"/>
        </w:rPr>
        <w:cr/>
        <w:t>4th FLOOR</w:t>
      </w:r>
      <w:r w:rsidRPr="00506D6E">
        <w:rPr>
          <w:rFonts w:ascii="Microsoft Sans Serif" w:eastAsia="Microsoft Sans Serif" w:hAnsi="Microsoft Sans Serif" w:cs="Microsoft Sans Serif"/>
          <w:szCs w:val="22"/>
        </w:rPr>
        <w:cr/>
        <w:t>800 W MONTGOMERY AVENUE</w:t>
      </w:r>
      <w:r w:rsidRPr="00506D6E">
        <w:rPr>
          <w:rFonts w:ascii="Microsoft Sans Serif" w:eastAsia="Microsoft Sans Serif" w:hAnsi="Microsoft Sans Serif" w:cs="Microsoft Sans Serif"/>
          <w:szCs w:val="22"/>
        </w:rPr>
        <w:cr/>
        <w:t>PHILADELPHIA PA  19122</w:t>
      </w:r>
      <w:r w:rsidRPr="00506D6E">
        <w:rPr>
          <w:rFonts w:ascii="Microsoft Sans Serif" w:eastAsia="Microsoft Sans Serif" w:hAnsi="Microsoft Sans Serif" w:cs="Microsoft Sans Serif"/>
          <w:szCs w:val="22"/>
        </w:rPr>
        <w:cr/>
      </w:r>
      <w:r w:rsidRPr="00506D6E">
        <w:rPr>
          <w:rFonts w:ascii="Microsoft Sans Serif" w:eastAsia="Microsoft Sans Serif" w:hAnsi="Microsoft Sans Serif" w:cs="Microsoft Sans Serif"/>
          <w:b/>
          <w:bCs/>
          <w:szCs w:val="22"/>
        </w:rPr>
        <w:t>215.684.6982</w:t>
      </w:r>
      <w:r w:rsidRPr="00506D6E">
        <w:rPr>
          <w:rFonts w:ascii="Calibri" w:hAnsi="Calibri"/>
          <w:sz w:val="22"/>
          <w:szCs w:val="22"/>
        </w:rPr>
        <w:br/>
      </w:r>
      <w:r w:rsidRPr="00506D6E">
        <w:rPr>
          <w:rFonts w:ascii="Microsoft Sans Serif" w:eastAsia="Microsoft Sans Serif" w:hAnsi="Microsoft Sans Serif" w:cs="Microsoft Sans Serif"/>
          <w:b/>
          <w:bCs/>
          <w:i/>
          <w:iCs/>
          <w:szCs w:val="22"/>
          <w:u w:val="single"/>
        </w:rPr>
        <w:t>ACCEPTS E-SERVICE</w:t>
      </w:r>
      <w:r w:rsidRPr="00506D6E">
        <w:rPr>
          <w:rFonts w:ascii="Microsoft Sans Serif" w:eastAsia="Microsoft Sans Serif" w:hAnsi="Microsoft Sans Serif" w:cs="Microsoft Sans Serif"/>
          <w:b/>
          <w:bCs/>
          <w:i/>
          <w:iCs/>
          <w:szCs w:val="22"/>
          <w:u w:val="single"/>
        </w:rPr>
        <w:cr/>
      </w:r>
    </w:p>
    <w:p w14:paraId="73E77EA0" w14:textId="3B16B4E1" w:rsidR="00DB4882" w:rsidRPr="00D139A8" w:rsidRDefault="001A17C6"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16D3" w14:textId="77777777" w:rsidR="001A17C6" w:rsidRDefault="001A17C6">
      <w:r>
        <w:separator/>
      </w:r>
    </w:p>
  </w:endnote>
  <w:endnote w:type="continuationSeparator" w:id="0">
    <w:p w14:paraId="3FF646E6" w14:textId="77777777" w:rsidR="001A17C6" w:rsidRDefault="001A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A1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A17C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7A1C0" w14:textId="77777777" w:rsidR="001A17C6" w:rsidRDefault="001A17C6">
      <w:r>
        <w:separator/>
      </w:r>
    </w:p>
  </w:footnote>
  <w:footnote w:type="continuationSeparator" w:id="0">
    <w:p w14:paraId="77F9BA75" w14:textId="77777777" w:rsidR="001A17C6" w:rsidRDefault="001A1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17C6"/>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87857"/>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BAD9-830C-446E-87ED-CFFA8118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2019-10-03T15:19:00Z</dcterms:created>
  <dcterms:modified xsi:type="dcterms:W3CDTF">2019-10-03T15:19:00Z</dcterms:modified>
</cp:coreProperties>
</file>