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05C27" w14:textId="77777777" w:rsidR="00367517" w:rsidRPr="00F74CA6" w:rsidRDefault="00367517" w:rsidP="006B265F">
      <w:pPr>
        <w:tabs>
          <w:tab w:val="center" w:pos="4680"/>
        </w:tabs>
        <w:suppressAutoHyphens/>
        <w:spacing w:line="240" w:lineRule="auto"/>
        <w:ind w:firstLine="0"/>
        <w:jc w:val="center"/>
        <w:rPr>
          <w:b/>
          <w:szCs w:val="26"/>
        </w:rPr>
      </w:pPr>
      <w:r w:rsidRPr="00F74CA6">
        <w:rPr>
          <w:b/>
          <w:szCs w:val="26"/>
        </w:rPr>
        <w:t>PENNSYLVANIA</w:t>
      </w:r>
    </w:p>
    <w:p w14:paraId="4C7C12EB" w14:textId="77777777" w:rsidR="00367517" w:rsidRPr="00F74CA6" w:rsidRDefault="00367517" w:rsidP="006B265F">
      <w:pPr>
        <w:tabs>
          <w:tab w:val="center" w:pos="4680"/>
        </w:tabs>
        <w:suppressAutoHyphens/>
        <w:spacing w:line="240" w:lineRule="auto"/>
        <w:ind w:firstLine="0"/>
        <w:jc w:val="center"/>
        <w:rPr>
          <w:szCs w:val="26"/>
        </w:rPr>
      </w:pPr>
      <w:r w:rsidRPr="00F74CA6">
        <w:rPr>
          <w:b/>
          <w:szCs w:val="26"/>
        </w:rPr>
        <w:t>PUBLIC UTILITY COMMISSION</w:t>
      </w:r>
    </w:p>
    <w:p w14:paraId="4EEE978A" w14:textId="77777777" w:rsidR="00367517" w:rsidRPr="00F74CA6" w:rsidRDefault="00367517" w:rsidP="006B265F">
      <w:pPr>
        <w:tabs>
          <w:tab w:val="center" w:pos="4680"/>
        </w:tabs>
        <w:suppressAutoHyphens/>
        <w:spacing w:line="240" w:lineRule="auto"/>
        <w:ind w:firstLine="0"/>
        <w:jc w:val="center"/>
        <w:rPr>
          <w:szCs w:val="26"/>
        </w:rPr>
      </w:pPr>
      <w:r w:rsidRPr="00F74CA6">
        <w:rPr>
          <w:b/>
          <w:szCs w:val="26"/>
        </w:rPr>
        <w:t>Harrisburg, PA 17105-3265</w:t>
      </w:r>
    </w:p>
    <w:p w14:paraId="32385EA1" w14:textId="77777777" w:rsidR="00367517" w:rsidRPr="00F74CA6" w:rsidRDefault="00367517" w:rsidP="006B265F">
      <w:pPr>
        <w:tabs>
          <w:tab w:val="left" w:pos="-720"/>
        </w:tabs>
        <w:suppressAutoHyphens/>
        <w:spacing w:line="240" w:lineRule="auto"/>
        <w:ind w:firstLine="0"/>
        <w:rPr>
          <w:szCs w:val="26"/>
        </w:rPr>
      </w:pPr>
    </w:p>
    <w:p w14:paraId="379303A1" w14:textId="77777777" w:rsidR="00367517" w:rsidRPr="00F74CA6" w:rsidRDefault="00367517" w:rsidP="006B265F">
      <w:pPr>
        <w:spacing w:line="240" w:lineRule="auto"/>
        <w:ind w:firstLine="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452"/>
      </w:tblGrid>
      <w:tr w:rsidR="00367517" w:rsidRPr="00F74CA6" w14:paraId="5B5148F3" w14:textId="77777777" w:rsidTr="0054393A">
        <w:tc>
          <w:tcPr>
            <w:tcW w:w="4968" w:type="dxa"/>
          </w:tcPr>
          <w:p w14:paraId="1DFF19B9" w14:textId="77777777" w:rsidR="00367517" w:rsidRPr="00F74CA6" w:rsidRDefault="00367517" w:rsidP="006B265F">
            <w:pPr>
              <w:spacing w:line="240" w:lineRule="auto"/>
              <w:ind w:firstLine="0"/>
              <w:rPr>
                <w:szCs w:val="26"/>
              </w:rPr>
            </w:pPr>
          </w:p>
        </w:tc>
        <w:tc>
          <w:tcPr>
            <w:tcW w:w="4518" w:type="dxa"/>
          </w:tcPr>
          <w:p w14:paraId="5E8A86B4" w14:textId="77777777" w:rsidR="00367517" w:rsidRPr="00F74CA6" w:rsidRDefault="00E506BA" w:rsidP="00B47CC0">
            <w:pPr>
              <w:spacing w:line="240" w:lineRule="auto"/>
              <w:ind w:firstLine="0"/>
              <w:jc w:val="right"/>
              <w:rPr>
                <w:szCs w:val="26"/>
              </w:rPr>
            </w:pPr>
            <w:r w:rsidRPr="00F74CA6">
              <w:rPr>
                <w:szCs w:val="26"/>
              </w:rPr>
              <w:t xml:space="preserve">   </w:t>
            </w:r>
            <w:r w:rsidR="00367517" w:rsidRPr="00F74CA6">
              <w:rPr>
                <w:szCs w:val="26"/>
              </w:rPr>
              <w:t xml:space="preserve">Public Meeting held </w:t>
            </w:r>
            <w:r w:rsidR="00AC38DF" w:rsidRPr="00F74CA6">
              <w:rPr>
                <w:szCs w:val="26"/>
              </w:rPr>
              <w:t>October</w:t>
            </w:r>
            <w:r w:rsidR="00367517" w:rsidRPr="00F74CA6">
              <w:rPr>
                <w:szCs w:val="26"/>
              </w:rPr>
              <w:t xml:space="preserve"> 3, 201</w:t>
            </w:r>
            <w:r w:rsidR="00AC38DF" w:rsidRPr="00F74CA6">
              <w:rPr>
                <w:szCs w:val="26"/>
              </w:rPr>
              <w:t>9</w:t>
            </w:r>
          </w:p>
          <w:p w14:paraId="035E7F96" w14:textId="77777777" w:rsidR="00367517" w:rsidRPr="00F74CA6" w:rsidRDefault="00367517" w:rsidP="006B265F">
            <w:pPr>
              <w:spacing w:line="240" w:lineRule="auto"/>
              <w:ind w:firstLine="0"/>
              <w:jc w:val="right"/>
              <w:rPr>
                <w:szCs w:val="26"/>
              </w:rPr>
            </w:pPr>
          </w:p>
        </w:tc>
      </w:tr>
      <w:tr w:rsidR="00367517" w:rsidRPr="00F74CA6" w14:paraId="3A68F53B" w14:textId="77777777" w:rsidTr="0054393A">
        <w:tc>
          <w:tcPr>
            <w:tcW w:w="4968" w:type="dxa"/>
          </w:tcPr>
          <w:p w14:paraId="5868799A" w14:textId="77777777" w:rsidR="00367517" w:rsidRPr="00F74CA6" w:rsidRDefault="00367517" w:rsidP="006B265F">
            <w:pPr>
              <w:spacing w:line="240" w:lineRule="auto"/>
              <w:ind w:firstLine="0"/>
              <w:rPr>
                <w:szCs w:val="26"/>
              </w:rPr>
            </w:pPr>
            <w:r w:rsidRPr="00F74CA6">
              <w:rPr>
                <w:szCs w:val="26"/>
              </w:rPr>
              <w:t>Commissioners Present:</w:t>
            </w:r>
          </w:p>
          <w:p w14:paraId="3B0DF54B" w14:textId="77777777" w:rsidR="00367517" w:rsidRPr="00F74CA6" w:rsidRDefault="00367517" w:rsidP="006B265F">
            <w:pPr>
              <w:spacing w:line="240" w:lineRule="auto"/>
              <w:ind w:firstLine="0"/>
              <w:rPr>
                <w:szCs w:val="26"/>
              </w:rPr>
            </w:pPr>
          </w:p>
          <w:p w14:paraId="21880AC0" w14:textId="77777777" w:rsidR="00367517" w:rsidRPr="00F74CA6" w:rsidRDefault="00367517" w:rsidP="006B265F">
            <w:pPr>
              <w:tabs>
                <w:tab w:val="left" w:pos="705"/>
              </w:tabs>
              <w:spacing w:line="240" w:lineRule="auto"/>
              <w:ind w:left="432" w:firstLine="0"/>
              <w:rPr>
                <w:szCs w:val="26"/>
              </w:rPr>
            </w:pPr>
            <w:r w:rsidRPr="00F74CA6">
              <w:rPr>
                <w:szCs w:val="26"/>
              </w:rPr>
              <w:t>Gladys Brown</w:t>
            </w:r>
            <w:r w:rsidR="00AC38DF" w:rsidRPr="00F74CA6">
              <w:rPr>
                <w:szCs w:val="26"/>
              </w:rPr>
              <w:t xml:space="preserve"> Dutrieuille</w:t>
            </w:r>
            <w:r w:rsidRPr="00F74CA6">
              <w:rPr>
                <w:szCs w:val="26"/>
              </w:rPr>
              <w:t>, Chairman</w:t>
            </w:r>
          </w:p>
          <w:p w14:paraId="7B112CAE" w14:textId="77777777" w:rsidR="00367517" w:rsidRPr="00F74CA6" w:rsidRDefault="00AC38DF" w:rsidP="006B265F">
            <w:pPr>
              <w:tabs>
                <w:tab w:val="left" w:pos="705"/>
              </w:tabs>
              <w:spacing w:line="240" w:lineRule="auto"/>
              <w:ind w:left="432" w:firstLine="0"/>
              <w:rPr>
                <w:szCs w:val="26"/>
              </w:rPr>
            </w:pPr>
            <w:r w:rsidRPr="00F74CA6">
              <w:rPr>
                <w:szCs w:val="26"/>
              </w:rPr>
              <w:t>David W. Sweet</w:t>
            </w:r>
            <w:r w:rsidR="00367517" w:rsidRPr="00F74CA6">
              <w:rPr>
                <w:szCs w:val="26"/>
              </w:rPr>
              <w:t>, Vice Chairman</w:t>
            </w:r>
          </w:p>
          <w:p w14:paraId="67B92003" w14:textId="6AE1F074" w:rsidR="00AC38DF" w:rsidRPr="00F74CA6" w:rsidRDefault="00367517" w:rsidP="006B265F">
            <w:pPr>
              <w:tabs>
                <w:tab w:val="left" w:pos="705"/>
              </w:tabs>
              <w:spacing w:line="240" w:lineRule="auto"/>
              <w:ind w:left="432" w:firstLine="0"/>
              <w:rPr>
                <w:szCs w:val="26"/>
              </w:rPr>
            </w:pPr>
            <w:r w:rsidRPr="00F74CA6">
              <w:rPr>
                <w:szCs w:val="26"/>
              </w:rPr>
              <w:t>Andrew G. Place</w:t>
            </w:r>
            <w:r w:rsidR="00A05491">
              <w:rPr>
                <w:szCs w:val="26"/>
              </w:rPr>
              <w:t>, Statement</w:t>
            </w:r>
            <w:bookmarkStart w:id="0" w:name="_GoBack"/>
            <w:bookmarkEnd w:id="0"/>
          </w:p>
          <w:p w14:paraId="440DF2D9" w14:textId="77777777" w:rsidR="00367517" w:rsidRPr="00F74CA6" w:rsidRDefault="00AC38DF" w:rsidP="006B265F">
            <w:pPr>
              <w:tabs>
                <w:tab w:val="left" w:pos="705"/>
              </w:tabs>
              <w:spacing w:line="240" w:lineRule="auto"/>
              <w:ind w:left="432" w:firstLine="0"/>
              <w:rPr>
                <w:szCs w:val="26"/>
              </w:rPr>
            </w:pPr>
            <w:r w:rsidRPr="00F74CA6">
              <w:rPr>
                <w:szCs w:val="26"/>
              </w:rPr>
              <w:t>John F. Coleman, Jr.</w:t>
            </w:r>
          </w:p>
          <w:p w14:paraId="662A4DEA" w14:textId="77777777" w:rsidR="00367517" w:rsidRPr="00F74CA6" w:rsidRDefault="00367517" w:rsidP="006B265F">
            <w:pPr>
              <w:spacing w:line="240" w:lineRule="auto"/>
              <w:ind w:firstLine="0"/>
              <w:rPr>
                <w:szCs w:val="26"/>
              </w:rPr>
            </w:pPr>
          </w:p>
        </w:tc>
        <w:tc>
          <w:tcPr>
            <w:tcW w:w="4518" w:type="dxa"/>
          </w:tcPr>
          <w:p w14:paraId="7FFBF71A" w14:textId="77777777" w:rsidR="00367517" w:rsidRPr="00F74CA6" w:rsidRDefault="00367517" w:rsidP="006B265F">
            <w:pPr>
              <w:spacing w:line="240" w:lineRule="auto"/>
              <w:ind w:firstLine="0"/>
              <w:jc w:val="right"/>
              <w:rPr>
                <w:szCs w:val="26"/>
              </w:rPr>
            </w:pPr>
          </w:p>
          <w:p w14:paraId="00438C45" w14:textId="77777777" w:rsidR="00367517" w:rsidRPr="00F74CA6" w:rsidRDefault="00367517" w:rsidP="006B265F">
            <w:pPr>
              <w:spacing w:line="240" w:lineRule="auto"/>
              <w:ind w:firstLine="0"/>
              <w:jc w:val="right"/>
              <w:rPr>
                <w:szCs w:val="26"/>
              </w:rPr>
            </w:pPr>
          </w:p>
        </w:tc>
      </w:tr>
      <w:tr w:rsidR="00367517" w:rsidRPr="00F74CA6" w14:paraId="7A19B759" w14:textId="77777777" w:rsidTr="0054393A">
        <w:tc>
          <w:tcPr>
            <w:tcW w:w="4968" w:type="dxa"/>
          </w:tcPr>
          <w:p w14:paraId="67949AD2" w14:textId="77777777" w:rsidR="00E94FBA" w:rsidRPr="00F74CA6" w:rsidRDefault="00E94FBA" w:rsidP="00E94FBA">
            <w:pPr>
              <w:pStyle w:val="Default"/>
              <w:rPr>
                <w:sz w:val="26"/>
                <w:szCs w:val="26"/>
              </w:rPr>
            </w:pPr>
          </w:p>
          <w:p w14:paraId="4B044FF7"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Pennsylvania Public Utility Commission </w:t>
            </w:r>
          </w:p>
          <w:p w14:paraId="7F7CA339" w14:textId="0D7798EB"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Office of Consumer Advocate </w:t>
            </w:r>
          </w:p>
          <w:p w14:paraId="6B8EC282"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Office of Small Business Advocate</w:t>
            </w:r>
          </w:p>
          <w:p w14:paraId="5EC8D85B"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Charles Hagins </w:t>
            </w:r>
          </w:p>
          <w:p w14:paraId="5A2100E3"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Daniel Killmeyer </w:t>
            </w:r>
          </w:p>
          <w:p w14:paraId="3F2BD889"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Samuel Givens</w:t>
            </w:r>
          </w:p>
          <w:p w14:paraId="101ED1F8"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Sean D. Ferris </w:t>
            </w:r>
          </w:p>
          <w:p w14:paraId="0969D48A"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Peoples Industrial Intervenors </w:t>
            </w:r>
          </w:p>
          <w:p w14:paraId="3C0B6383"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Ann D. Bugosh </w:t>
            </w:r>
          </w:p>
          <w:p w14:paraId="1BF566F8"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James Boudreau </w:t>
            </w:r>
          </w:p>
          <w:p w14:paraId="307BEB6C" w14:textId="77777777" w:rsidR="00E94FBA" w:rsidRPr="00F74CA6" w:rsidRDefault="00E94FBA" w:rsidP="00E94FBA">
            <w:pPr>
              <w:tabs>
                <w:tab w:val="left" w:pos="-720"/>
              </w:tabs>
              <w:suppressAutoHyphens/>
              <w:autoSpaceDE w:val="0"/>
              <w:autoSpaceDN w:val="0"/>
              <w:spacing w:line="240" w:lineRule="auto"/>
              <w:ind w:firstLine="0"/>
              <w:rPr>
                <w:spacing w:val="-3"/>
                <w:szCs w:val="26"/>
              </w:rPr>
            </w:pPr>
          </w:p>
          <w:p w14:paraId="1D0351F9"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                               v.  </w:t>
            </w:r>
          </w:p>
          <w:p w14:paraId="236C78BA" w14:textId="77777777" w:rsidR="00E94FBA" w:rsidRPr="00F74CA6" w:rsidRDefault="00E94FBA" w:rsidP="00E94FBA">
            <w:pPr>
              <w:tabs>
                <w:tab w:val="left" w:pos="-720"/>
              </w:tabs>
              <w:suppressAutoHyphens/>
              <w:autoSpaceDE w:val="0"/>
              <w:autoSpaceDN w:val="0"/>
              <w:spacing w:line="240" w:lineRule="auto"/>
              <w:ind w:firstLine="0"/>
              <w:rPr>
                <w:spacing w:val="-3"/>
                <w:szCs w:val="26"/>
              </w:rPr>
            </w:pPr>
            <w:r w:rsidRPr="00F74CA6">
              <w:rPr>
                <w:spacing w:val="-3"/>
                <w:szCs w:val="26"/>
              </w:rPr>
              <w:t xml:space="preserve"> </w:t>
            </w:r>
          </w:p>
          <w:p w14:paraId="1360450D" w14:textId="77777777" w:rsidR="00367517" w:rsidRPr="00F74CA6" w:rsidRDefault="00E94FBA" w:rsidP="006B265F">
            <w:pPr>
              <w:tabs>
                <w:tab w:val="left" w:pos="-720"/>
              </w:tabs>
              <w:suppressAutoHyphens/>
              <w:autoSpaceDE w:val="0"/>
              <w:autoSpaceDN w:val="0"/>
              <w:spacing w:line="240" w:lineRule="auto"/>
              <w:ind w:firstLine="0"/>
              <w:rPr>
                <w:spacing w:val="-3"/>
                <w:szCs w:val="26"/>
              </w:rPr>
            </w:pPr>
            <w:r w:rsidRPr="00F74CA6">
              <w:rPr>
                <w:spacing w:val="-3"/>
                <w:szCs w:val="26"/>
              </w:rPr>
              <w:t>Peoples Natural Gas Company LLC</w:t>
            </w:r>
          </w:p>
        </w:tc>
        <w:tc>
          <w:tcPr>
            <w:tcW w:w="4518" w:type="dxa"/>
          </w:tcPr>
          <w:p w14:paraId="6F45B027" w14:textId="77777777" w:rsidR="00C12EF0" w:rsidRPr="00F74CA6" w:rsidRDefault="00C12EF0" w:rsidP="006B265F">
            <w:pPr>
              <w:tabs>
                <w:tab w:val="left" w:pos="-720"/>
              </w:tabs>
              <w:suppressAutoHyphens/>
              <w:autoSpaceDE w:val="0"/>
              <w:autoSpaceDN w:val="0"/>
              <w:spacing w:line="240" w:lineRule="auto"/>
              <w:ind w:firstLine="0"/>
              <w:jc w:val="right"/>
              <w:rPr>
                <w:spacing w:val="-3"/>
                <w:szCs w:val="26"/>
              </w:rPr>
            </w:pPr>
          </w:p>
          <w:p w14:paraId="5F83BD5B" w14:textId="77777777" w:rsidR="00367517" w:rsidRPr="00F74CA6" w:rsidRDefault="00367517"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R-201</w:t>
            </w:r>
            <w:r w:rsidR="00E94FBA" w:rsidRPr="00F74CA6">
              <w:rPr>
                <w:spacing w:val="-3"/>
                <w:szCs w:val="26"/>
              </w:rPr>
              <w:t>8</w:t>
            </w:r>
            <w:r w:rsidRPr="00F74CA6">
              <w:rPr>
                <w:spacing w:val="-3"/>
                <w:szCs w:val="26"/>
              </w:rPr>
              <w:t>-</w:t>
            </w:r>
            <w:r w:rsidR="00E94FBA" w:rsidRPr="00F74CA6">
              <w:rPr>
                <w:spacing w:val="-3"/>
                <w:szCs w:val="26"/>
              </w:rPr>
              <w:t>3006818</w:t>
            </w:r>
          </w:p>
          <w:p w14:paraId="5C042931" w14:textId="77777777" w:rsidR="00367517" w:rsidRPr="00F74CA6" w:rsidRDefault="00367517"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w:t>
            </w:r>
            <w:r w:rsidR="00E94FBA" w:rsidRPr="00F74CA6">
              <w:rPr>
                <w:spacing w:val="-3"/>
                <w:szCs w:val="26"/>
              </w:rPr>
              <w:t>9</w:t>
            </w:r>
            <w:r w:rsidRPr="00F74CA6">
              <w:rPr>
                <w:spacing w:val="-3"/>
                <w:szCs w:val="26"/>
              </w:rPr>
              <w:t>-</w:t>
            </w:r>
            <w:r w:rsidR="00E94FBA" w:rsidRPr="00F74CA6">
              <w:rPr>
                <w:spacing w:val="-3"/>
                <w:szCs w:val="26"/>
              </w:rPr>
              <w:t>3007711</w:t>
            </w:r>
          </w:p>
          <w:p w14:paraId="26AD348A" w14:textId="77777777" w:rsidR="00367517" w:rsidRPr="00F74CA6" w:rsidRDefault="00367517"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w:t>
            </w:r>
            <w:r w:rsidR="00E94FBA" w:rsidRPr="00F74CA6">
              <w:rPr>
                <w:spacing w:val="-3"/>
                <w:szCs w:val="26"/>
              </w:rPr>
              <w:t>9</w:t>
            </w:r>
            <w:r w:rsidRPr="00F74CA6">
              <w:rPr>
                <w:spacing w:val="-3"/>
                <w:szCs w:val="26"/>
              </w:rPr>
              <w:t>-</w:t>
            </w:r>
            <w:r w:rsidR="00E94FBA" w:rsidRPr="00F74CA6">
              <w:rPr>
                <w:spacing w:val="-3"/>
                <w:szCs w:val="26"/>
              </w:rPr>
              <w:t>3007752</w:t>
            </w:r>
          </w:p>
          <w:p w14:paraId="5DC54FA6" w14:textId="77777777" w:rsidR="00367517" w:rsidRPr="00F74CA6" w:rsidRDefault="00367517"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w:t>
            </w:r>
            <w:r w:rsidR="00E94FBA" w:rsidRPr="00F74CA6">
              <w:rPr>
                <w:spacing w:val="-3"/>
                <w:szCs w:val="26"/>
              </w:rPr>
              <w:t>9</w:t>
            </w:r>
            <w:r w:rsidRPr="00F74CA6">
              <w:rPr>
                <w:spacing w:val="-3"/>
                <w:szCs w:val="26"/>
              </w:rPr>
              <w:t>-</w:t>
            </w:r>
            <w:r w:rsidR="00E94FBA" w:rsidRPr="00F74CA6">
              <w:rPr>
                <w:spacing w:val="-3"/>
                <w:szCs w:val="26"/>
              </w:rPr>
              <w:t>3007698</w:t>
            </w:r>
          </w:p>
          <w:p w14:paraId="758D7203" w14:textId="77777777" w:rsidR="00367517" w:rsidRPr="00F74CA6" w:rsidRDefault="00367517"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w:t>
            </w:r>
            <w:r w:rsidR="00E94FBA" w:rsidRPr="00F74CA6">
              <w:rPr>
                <w:spacing w:val="-3"/>
                <w:szCs w:val="26"/>
              </w:rPr>
              <w:t>9</w:t>
            </w:r>
            <w:r w:rsidRPr="00F74CA6">
              <w:rPr>
                <w:spacing w:val="-3"/>
                <w:szCs w:val="26"/>
              </w:rPr>
              <w:t>-</w:t>
            </w:r>
            <w:r w:rsidR="00E94FBA" w:rsidRPr="00F74CA6">
              <w:rPr>
                <w:spacing w:val="-3"/>
                <w:szCs w:val="26"/>
              </w:rPr>
              <w:t>300</w:t>
            </w:r>
            <w:r w:rsidRPr="00F74CA6">
              <w:rPr>
                <w:spacing w:val="-3"/>
                <w:szCs w:val="26"/>
              </w:rPr>
              <w:t>7</w:t>
            </w:r>
            <w:r w:rsidR="00E94FBA" w:rsidRPr="00F74CA6">
              <w:rPr>
                <w:spacing w:val="-3"/>
                <w:szCs w:val="26"/>
              </w:rPr>
              <w:t>635</w:t>
            </w:r>
          </w:p>
          <w:p w14:paraId="4E5BCDB5" w14:textId="77777777" w:rsidR="00E94FBA" w:rsidRPr="00F74CA6" w:rsidRDefault="00E94FBA"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C-2019-3007959</w:t>
            </w:r>
          </w:p>
          <w:p w14:paraId="32EF72E5" w14:textId="77777777" w:rsidR="00367517" w:rsidRPr="00F74CA6" w:rsidRDefault="00367517"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w:t>
            </w:r>
            <w:r w:rsidR="00E94FBA" w:rsidRPr="00F74CA6">
              <w:rPr>
                <w:spacing w:val="-3"/>
                <w:szCs w:val="26"/>
              </w:rPr>
              <w:t>9</w:t>
            </w:r>
            <w:r w:rsidRPr="00F74CA6">
              <w:rPr>
                <w:spacing w:val="-3"/>
                <w:szCs w:val="26"/>
              </w:rPr>
              <w:t>-</w:t>
            </w:r>
            <w:r w:rsidR="00E94FBA" w:rsidRPr="00F74CA6">
              <w:rPr>
                <w:spacing w:val="-3"/>
                <w:szCs w:val="26"/>
              </w:rPr>
              <w:t>3007904</w:t>
            </w:r>
          </w:p>
          <w:p w14:paraId="27178260" w14:textId="77777777" w:rsidR="00E94FBA" w:rsidRPr="00F74CA6" w:rsidRDefault="00E94FBA"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C-2019-3008506</w:t>
            </w:r>
          </w:p>
          <w:p w14:paraId="4BF165C8" w14:textId="77777777" w:rsidR="00E94FBA" w:rsidRPr="00F74CA6" w:rsidRDefault="00E94FBA"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C-2019-3008884</w:t>
            </w:r>
          </w:p>
          <w:p w14:paraId="06DA7962" w14:textId="77777777" w:rsidR="00E94FBA" w:rsidRPr="00F74CA6" w:rsidRDefault="00E94FBA" w:rsidP="006B265F">
            <w:pPr>
              <w:tabs>
                <w:tab w:val="left" w:pos="-720"/>
              </w:tabs>
              <w:suppressAutoHyphens/>
              <w:autoSpaceDE w:val="0"/>
              <w:autoSpaceDN w:val="0"/>
              <w:spacing w:line="240" w:lineRule="auto"/>
              <w:ind w:firstLine="0"/>
              <w:jc w:val="right"/>
              <w:rPr>
                <w:spacing w:val="-3"/>
                <w:szCs w:val="26"/>
              </w:rPr>
            </w:pPr>
            <w:r w:rsidRPr="00F74CA6">
              <w:rPr>
                <w:spacing w:val="-3"/>
                <w:szCs w:val="26"/>
              </w:rPr>
              <w:t>C-2019-3008800</w:t>
            </w:r>
          </w:p>
          <w:p w14:paraId="066F6245" w14:textId="77777777" w:rsidR="00367517" w:rsidRPr="00F74CA6" w:rsidRDefault="00367517" w:rsidP="006B265F">
            <w:pPr>
              <w:spacing w:line="240" w:lineRule="auto"/>
              <w:ind w:firstLine="0"/>
              <w:rPr>
                <w:szCs w:val="26"/>
              </w:rPr>
            </w:pPr>
          </w:p>
        </w:tc>
      </w:tr>
    </w:tbl>
    <w:p w14:paraId="479BB9B5" w14:textId="77777777" w:rsidR="00367517" w:rsidRPr="00F74CA6" w:rsidRDefault="00367517" w:rsidP="006B265F">
      <w:pPr>
        <w:spacing w:line="240" w:lineRule="auto"/>
        <w:ind w:firstLine="0"/>
        <w:rPr>
          <w:szCs w:val="26"/>
        </w:rPr>
      </w:pPr>
    </w:p>
    <w:p w14:paraId="3C302FA4" w14:textId="77777777" w:rsidR="00367517" w:rsidRPr="00F74CA6" w:rsidRDefault="00367517" w:rsidP="006B265F">
      <w:pPr>
        <w:spacing w:line="240" w:lineRule="auto"/>
        <w:ind w:firstLine="0"/>
        <w:rPr>
          <w:szCs w:val="26"/>
        </w:rPr>
      </w:pPr>
    </w:p>
    <w:p w14:paraId="1FA08D15" w14:textId="77777777" w:rsidR="00367517" w:rsidRPr="00F74CA6" w:rsidRDefault="00367517" w:rsidP="006B265F">
      <w:pPr>
        <w:spacing w:line="240" w:lineRule="auto"/>
        <w:ind w:firstLine="0"/>
        <w:jc w:val="center"/>
        <w:rPr>
          <w:b/>
          <w:szCs w:val="26"/>
        </w:rPr>
      </w:pPr>
    </w:p>
    <w:p w14:paraId="6D5124AF" w14:textId="77777777" w:rsidR="00367517" w:rsidRPr="00F74CA6" w:rsidRDefault="00367517" w:rsidP="006B265F">
      <w:pPr>
        <w:spacing w:line="240" w:lineRule="auto"/>
        <w:ind w:firstLine="0"/>
        <w:jc w:val="center"/>
        <w:rPr>
          <w:b/>
          <w:szCs w:val="26"/>
        </w:rPr>
      </w:pPr>
      <w:r w:rsidRPr="00F74CA6">
        <w:rPr>
          <w:b/>
          <w:szCs w:val="26"/>
        </w:rPr>
        <w:t>OPINION AND ORDER</w:t>
      </w:r>
    </w:p>
    <w:p w14:paraId="5CF94768" w14:textId="77777777" w:rsidR="00367517" w:rsidRPr="00F74CA6" w:rsidRDefault="00367517" w:rsidP="006B265F">
      <w:pPr>
        <w:spacing w:after="200" w:line="276" w:lineRule="auto"/>
        <w:ind w:firstLine="0"/>
        <w:rPr>
          <w:szCs w:val="26"/>
        </w:rPr>
      </w:pPr>
      <w:r w:rsidRPr="00F74CA6">
        <w:rPr>
          <w:szCs w:val="26"/>
        </w:rPr>
        <w:br w:type="page"/>
      </w:r>
    </w:p>
    <w:p w14:paraId="6235481B" w14:textId="77777777" w:rsidR="00367517" w:rsidRPr="00F74CA6" w:rsidRDefault="00367517" w:rsidP="00C12EF0">
      <w:pPr>
        <w:widowControl w:val="0"/>
        <w:ind w:firstLine="0"/>
        <w:rPr>
          <w:b/>
          <w:szCs w:val="26"/>
        </w:rPr>
      </w:pPr>
      <w:r w:rsidRPr="00F74CA6">
        <w:rPr>
          <w:b/>
          <w:szCs w:val="26"/>
        </w:rPr>
        <w:lastRenderedPageBreak/>
        <w:t>BY THE COMMISSION:</w:t>
      </w:r>
    </w:p>
    <w:p w14:paraId="311C2028" w14:textId="77777777" w:rsidR="00367517" w:rsidRPr="00F74CA6" w:rsidRDefault="00367517" w:rsidP="00C12EF0">
      <w:pPr>
        <w:widowControl w:val="0"/>
        <w:rPr>
          <w:szCs w:val="26"/>
        </w:rPr>
      </w:pPr>
    </w:p>
    <w:p w14:paraId="1F0A6B09" w14:textId="39619BD0" w:rsidR="007902C1" w:rsidRPr="00F74CA6" w:rsidRDefault="007902C1" w:rsidP="007902C1">
      <w:pPr>
        <w:widowControl w:val="0"/>
        <w:rPr>
          <w:rFonts w:eastAsiaTheme="minorHAnsi"/>
          <w:szCs w:val="26"/>
        </w:rPr>
      </w:pPr>
      <w:r w:rsidRPr="00F74CA6">
        <w:rPr>
          <w:szCs w:val="26"/>
        </w:rPr>
        <w:t xml:space="preserve">Before the Pennsylvania Public Utility Commission (Commission) for consideration and disposition are the Exceptions of </w:t>
      </w:r>
      <w:r w:rsidRPr="00F74CA6">
        <w:rPr>
          <w:color w:val="000000"/>
          <w:szCs w:val="26"/>
        </w:rPr>
        <w:t>the</w:t>
      </w:r>
      <w:r w:rsidR="002E06E8" w:rsidRPr="00F74CA6">
        <w:rPr>
          <w:color w:val="000000"/>
          <w:szCs w:val="26"/>
        </w:rPr>
        <w:t xml:space="preserve"> Office of Small Business Advocate (</w:t>
      </w:r>
      <w:r w:rsidRPr="00F74CA6">
        <w:rPr>
          <w:color w:val="000000"/>
          <w:szCs w:val="26"/>
        </w:rPr>
        <w:t>OSBA</w:t>
      </w:r>
      <w:r w:rsidR="002E06E8" w:rsidRPr="00F74CA6">
        <w:rPr>
          <w:color w:val="000000"/>
          <w:szCs w:val="26"/>
        </w:rPr>
        <w:t>)</w:t>
      </w:r>
      <w:r w:rsidRPr="00F74CA6">
        <w:rPr>
          <w:color w:val="000000"/>
          <w:szCs w:val="26"/>
        </w:rPr>
        <w:t xml:space="preserve"> filed on August 22, 2019, to the Recommended Decision (R.D.) of Deputy Chief Administrative Law Judge (ALJ) Joel H. Cheskis, issued on August 15, 2019, in </w:t>
      </w:r>
      <w:r w:rsidRPr="00F74CA6">
        <w:rPr>
          <w:szCs w:val="26"/>
        </w:rPr>
        <w:t xml:space="preserve">which he, </w:t>
      </w:r>
      <w:r w:rsidRPr="00F74CA6">
        <w:rPr>
          <w:i/>
          <w:szCs w:val="26"/>
        </w:rPr>
        <w:t>inter alia</w:t>
      </w:r>
      <w:r w:rsidRPr="00F74CA6">
        <w:rPr>
          <w:szCs w:val="26"/>
        </w:rPr>
        <w:t xml:space="preserve">, granted the </w:t>
      </w:r>
      <w:bookmarkStart w:id="1" w:name="_Hlk529437732"/>
      <w:r w:rsidRPr="00F74CA6">
        <w:rPr>
          <w:szCs w:val="26"/>
        </w:rPr>
        <w:t>Joint Petition for Approval of Settlement Stipulation (</w:t>
      </w:r>
      <w:r w:rsidR="007E07CE" w:rsidRPr="00F74CA6">
        <w:rPr>
          <w:szCs w:val="26"/>
        </w:rPr>
        <w:t>Joint Petition</w:t>
      </w:r>
      <w:r w:rsidR="002E06E8" w:rsidRPr="00F74CA6">
        <w:rPr>
          <w:szCs w:val="26"/>
        </w:rPr>
        <w:t xml:space="preserve"> or </w:t>
      </w:r>
      <w:r w:rsidR="00C04D9F" w:rsidRPr="00F74CA6">
        <w:rPr>
          <w:szCs w:val="26"/>
        </w:rPr>
        <w:t xml:space="preserve">Partial </w:t>
      </w:r>
      <w:r w:rsidR="002E06E8" w:rsidRPr="00F74CA6">
        <w:rPr>
          <w:szCs w:val="26"/>
        </w:rPr>
        <w:t>Settlement</w:t>
      </w:r>
      <w:r w:rsidRPr="00F74CA6">
        <w:rPr>
          <w:szCs w:val="26"/>
        </w:rPr>
        <w:t xml:space="preserve">) that was filed on </w:t>
      </w:r>
      <w:bookmarkEnd w:id="1"/>
      <w:r w:rsidRPr="00F74CA6">
        <w:rPr>
          <w:szCs w:val="26"/>
        </w:rPr>
        <w:t xml:space="preserve">July 9, 2019, by </w:t>
      </w:r>
      <w:r w:rsidR="002E06E8" w:rsidRPr="00F74CA6">
        <w:rPr>
          <w:szCs w:val="26"/>
        </w:rPr>
        <w:t xml:space="preserve">Peoples Natural Gas Company LLC (Peoples or the Company), </w:t>
      </w:r>
      <w:r w:rsidRPr="00F74CA6">
        <w:rPr>
          <w:szCs w:val="26"/>
        </w:rPr>
        <w:t>the Commission’s Bureau of Investigation and Enforcement (I&amp;E); the Office of Consumer Advocate (OCA); the</w:t>
      </w:r>
      <w:r w:rsidR="006C5383" w:rsidRPr="00F74CA6">
        <w:rPr>
          <w:szCs w:val="26"/>
        </w:rPr>
        <w:t xml:space="preserve"> </w:t>
      </w:r>
      <w:r w:rsidRPr="00F74CA6">
        <w:rPr>
          <w:szCs w:val="26"/>
        </w:rPr>
        <w:t>OSBA</w:t>
      </w:r>
      <w:r w:rsidRPr="00F74CA6">
        <w:rPr>
          <w:rFonts w:eastAsiaTheme="minorHAnsi"/>
          <w:szCs w:val="26"/>
        </w:rPr>
        <w:t>, Direct Energy Business, LLC, Direct Energy Services, LLC and Direct Energy Business Marketing, LLC (collectively</w:t>
      </w:r>
      <w:r w:rsidR="00D919E3">
        <w:rPr>
          <w:rFonts w:eastAsiaTheme="minorHAnsi"/>
          <w:szCs w:val="26"/>
        </w:rPr>
        <w:t>,</w:t>
      </w:r>
      <w:r w:rsidRPr="00F74CA6">
        <w:rPr>
          <w:rFonts w:eastAsiaTheme="minorHAnsi"/>
          <w:szCs w:val="26"/>
        </w:rPr>
        <w:t xml:space="preserve"> Direct Energy), Duquesne Light Company (Duquesne Light), Pennsylvania Independent Oil &amp; Gas Association (PIOGA), Community Action Association of Pennsylvania (CAAP), Coalition for Affordable Utility Services and Energy Efficiency in Pennsylvania (CAUSE-PA), and Snyder Brothers, Inc., VEC Energy LLC and Snyder Armclar Gas Company LP (collectively, Snyder Brothers).</w:t>
      </w:r>
    </w:p>
    <w:p w14:paraId="6DB8FD33" w14:textId="77777777" w:rsidR="007902C1" w:rsidRPr="00F74CA6" w:rsidRDefault="007902C1" w:rsidP="007902C1">
      <w:pPr>
        <w:widowControl w:val="0"/>
        <w:rPr>
          <w:rFonts w:eastAsiaTheme="minorHAnsi"/>
          <w:szCs w:val="26"/>
        </w:rPr>
      </w:pPr>
    </w:p>
    <w:p w14:paraId="6CD691EC" w14:textId="77777777" w:rsidR="007902C1" w:rsidRPr="00F74CA6" w:rsidRDefault="007902C1" w:rsidP="007902C1">
      <w:pPr>
        <w:rPr>
          <w:rFonts w:eastAsiaTheme="minorHAnsi"/>
          <w:color w:val="000000"/>
          <w:szCs w:val="26"/>
        </w:rPr>
      </w:pPr>
      <w:r w:rsidRPr="00F74CA6">
        <w:rPr>
          <w:szCs w:val="26"/>
        </w:rPr>
        <w:t xml:space="preserve">The remaining contested issue reserved for litigation </w:t>
      </w:r>
      <w:bookmarkStart w:id="2" w:name="_Hlk531277791"/>
      <w:r w:rsidRPr="00F74CA6">
        <w:rPr>
          <w:szCs w:val="26"/>
        </w:rPr>
        <w:t xml:space="preserve">involves the proposed </w:t>
      </w:r>
      <w:r w:rsidR="00303B3C" w:rsidRPr="00F74CA6">
        <w:rPr>
          <w:szCs w:val="26"/>
        </w:rPr>
        <w:t xml:space="preserve">modification to </w:t>
      </w:r>
      <w:r w:rsidR="00AA1FE6" w:rsidRPr="00F74CA6">
        <w:rPr>
          <w:szCs w:val="26"/>
        </w:rPr>
        <w:t>Peoples’</w:t>
      </w:r>
      <w:r w:rsidRPr="00F74CA6">
        <w:rPr>
          <w:szCs w:val="26"/>
        </w:rPr>
        <w:t xml:space="preserve"> </w:t>
      </w:r>
      <w:r w:rsidR="00303B3C" w:rsidRPr="00F74CA6">
        <w:rPr>
          <w:szCs w:val="26"/>
        </w:rPr>
        <w:t xml:space="preserve">Retail </w:t>
      </w:r>
      <w:r w:rsidRPr="00F74CA6">
        <w:rPr>
          <w:szCs w:val="26"/>
        </w:rPr>
        <w:t xml:space="preserve">Tariff </w:t>
      </w:r>
      <w:r w:rsidR="00303B3C" w:rsidRPr="00F74CA6">
        <w:rPr>
          <w:szCs w:val="26"/>
        </w:rPr>
        <w:t>Gas –</w:t>
      </w:r>
      <w:r w:rsidRPr="00F74CA6">
        <w:rPr>
          <w:szCs w:val="26"/>
        </w:rPr>
        <w:t xml:space="preserve"> </w:t>
      </w:r>
      <w:r w:rsidR="00303B3C" w:rsidRPr="00F74CA6">
        <w:rPr>
          <w:szCs w:val="26"/>
        </w:rPr>
        <w:t xml:space="preserve">Pa. P.U.C. </w:t>
      </w:r>
      <w:r w:rsidRPr="00F74CA6">
        <w:rPr>
          <w:szCs w:val="26"/>
        </w:rPr>
        <w:t>No. </w:t>
      </w:r>
      <w:r w:rsidR="00303B3C" w:rsidRPr="00F74CA6">
        <w:rPr>
          <w:szCs w:val="26"/>
        </w:rPr>
        <w:t>47</w:t>
      </w:r>
      <w:bookmarkEnd w:id="2"/>
      <w:r w:rsidR="000A74B6" w:rsidRPr="00F74CA6">
        <w:rPr>
          <w:szCs w:val="26"/>
        </w:rPr>
        <w:t>,</w:t>
      </w:r>
      <w:r w:rsidR="00A84F56" w:rsidRPr="00F74CA6">
        <w:rPr>
          <w:szCs w:val="26"/>
        </w:rPr>
        <w:t xml:space="preserve"> regarding t</w:t>
      </w:r>
      <w:r w:rsidR="000A74B6" w:rsidRPr="00F74CA6">
        <w:rPr>
          <w:szCs w:val="26"/>
        </w:rPr>
        <w:t>he Company’</w:t>
      </w:r>
      <w:r w:rsidR="00A84F56" w:rsidRPr="00F74CA6">
        <w:rPr>
          <w:szCs w:val="26"/>
        </w:rPr>
        <w:t>s main line extension policy</w:t>
      </w:r>
      <w:r w:rsidRPr="00F74CA6">
        <w:rPr>
          <w:szCs w:val="26"/>
        </w:rPr>
        <w:t>.</w:t>
      </w:r>
      <w:r w:rsidRPr="00F74CA6">
        <w:rPr>
          <w:rStyle w:val="FootnoteReference"/>
          <w:rFonts w:eastAsiaTheme="minorHAnsi"/>
          <w:color w:val="000000"/>
          <w:szCs w:val="26"/>
        </w:rPr>
        <w:footnoteReference w:id="1"/>
      </w:r>
      <w:r w:rsidRPr="00F74CA6">
        <w:rPr>
          <w:szCs w:val="26"/>
        </w:rPr>
        <w:t xml:space="preserve">  </w:t>
      </w:r>
      <w:r w:rsidR="00DC3383" w:rsidRPr="00F74CA6">
        <w:rPr>
          <w:szCs w:val="26"/>
        </w:rPr>
        <w:t>T</w:t>
      </w:r>
      <w:r w:rsidRPr="00F74CA6">
        <w:rPr>
          <w:szCs w:val="26"/>
        </w:rPr>
        <w:t xml:space="preserve">he ALJ supported </w:t>
      </w:r>
      <w:r w:rsidR="00D67F2C" w:rsidRPr="00F74CA6">
        <w:rPr>
          <w:szCs w:val="26"/>
        </w:rPr>
        <w:t xml:space="preserve">Peoples’ </w:t>
      </w:r>
      <w:r w:rsidR="00DC3383" w:rsidRPr="00F74CA6">
        <w:rPr>
          <w:szCs w:val="26"/>
        </w:rPr>
        <w:t xml:space="preserve">proposed </w:t>
      </w:r>
      <w:r w:rsidR="00D67F2C" w:rsidRPr="00F74CA6">
        <w:rPr>
          <w:szCs w:val="26"/>
        </w:rPr>
        <w:t>modification</w:t>
      </w:r>
      <w:r w:rsidRPr="00F74CA6">
        <w:rPr>
          <w:rFonts w:eastAsiaTheme="minorHAnsi"/>
          <w:color w:val="000000"/>
          <w:szCs w:val="26"/>
        </w:rPr>
        <w:t xml:space="preserve"> </w:t>
      </w:r>
      <w:r w:rsidR="00DC3383" w:rsidRPr="00F74CA6">
        <w:rPr>
          <w:rFonts w:eastAsiaTheme="minorHAnsi"/>
          <w:color w:val="000000"/>
          <w:szCs w:val="26"/>
        </w:rPr>
        <w:t xml:space="preserve">to its main line extension policy </w:t>
      </w:r>
      <w:r w:rsidRPr="00F74CA6">
        <w:rPr>
          <w:rFonts w:eastAsiaTheme="minorHAnsi"/>
          <w:color w:val="000000"/>
          <w:szCs w:val="26"/>
        </w:rPr>
        <w:t xml:space="preserve">and recommended </w:t>
      </w:r>
      <w:r w:rsidR="00D67F2C" w:rsidRPr="00F74CA6">
        <w:rPr>
          <w:rFonts w:eastAsiaTheme="minorHAnsi"/>
          <w:color w:val="000000"/>
          <w:szCs w:val="26"/>
        </w:rPr>
        <w:t>its approval</w:t>
      </w:r>
      <w:r w:rsidRPr="00F74CA6">
        <w:rPr>
          <w:rFonts w:eastAsiaTheme="minorHAnsi"/>
          <w:color w:val="000000"/>
          <w:szCs w:val="26"/>
        </w:rPr>
        <w:t xml:space="preserve">.  </w:t>
      </w:r>
      <w:r w:rsidR="00857709" w:rsidRPr="00F74CA6">
        <w:rPr>
          <w:rFonts w:eastAsiaTheme="minorHAnsi"/>
          <w:color w:val="000000"/>
          <w:szCs w:val="26"/>
        </w:rPr>
        <w:t xml:space="preserve">The </w:t>
      </w:r>
      <w:r w:rsidR="00D67F2C" w:rsidRPr="00F74CA6">
        <w:rPr>
          <w:rFonts w:eastAsiaTheme="minorHAnsi"/>
          <w:color w:val="000000"/>
          <w:szCs w:val="26"/>
        </w:rPr>
        <w:t xml:space="preserve">OSBA filed Exceptions to the ALJ’s recommendation. </w:t>
      </w:r>
      <w:r w:rsidR="00A84F56" w:rsidRPr="00F74CA6">
        <w:rPr>
          <w:rFonts w:eastAsiaTheme="minorHAnsi"/>
          <w:color w:val="000000"/>
          <w:szCs w:val="26"/>
        </w:rPr>
        <w:t xml:space="preserve"> </w:t>
      </w:r>
      <w:r w:rsidR="00D67F2C" w:rsidRPr="00F74CA6">
        <w:rPr>
          <w:szCs w:val="26"/>
        </w:rPr>
        <w:t>Peoples</w:t>
      </w:r>
      <w:r w:rsidRPr="00F74CA6">
        <w:rPr>
          <w:szCs w:val="26"/>
        </w:rPr>
        <w:t xml:space="preserve"> and </w:t>
      </w:r>
      <w:r w:rsidR="00D67F2C" w:rsidRPr="00F74CA6">
        <w:rPr>
          <w:szCs w:val="26"/>
        </w:rPr>
        <w:t>the OCA</w:t>
      </w:r>
      <w:r w:rsidRPr="00F74CA6">
        <w:rPr>
          <w:szCs w:val="26"/>
        </w:rPr>
        <w:t xml:space="preserve"> filed Replies to Exceptions.</w:t>
      </w:r>
    </w:p>
    <w:p w14:paraId="35DBED86" w14:textId="5890ED52" w:rsidR="007902C1" w:rsidRPr="00F74CA6" w:rsidRDefault="007902C1" w:rsidP="007902C1">
      <w:pPr>
        <w:tabs>
          <w:tab w:val="left" w:pos="-720"/>
        </w:tabs>
        <w:suppressAutoHyphens/>
        <w:contextualSpacing/>
        <w:rPr>
          <w:color w:val="FF0000"/>
          <w:szCs w:val="26"/>
        </w:rPr>
      </w:pPr>
      <w:r w:rsidRPr="00F74CA6">
        <w:rPr>
          <w:szCs w:val="26"/>
        </w:rPr>
        <w:lastRenderedPageBreak/>
        <w:t xml:space="preserve">For the reasons discussed below, </w:t>
      </w:r>
      <w:r w:rsidR="002024F5" w:rsidRPr="00F74CA6">
        <w:rPr>
          <w:szCs w:val="26"/>
        </w:rPr>
        <w:t xml:space="preserve">regarding </w:t>
      </w:r>
      <w:r w:rsidRPr="00F74CA6">
        <w:rPr>
          <w:szCs w:val="26"/>
        </w:rPr>
        <w:t xml:space="preserve">the sole outstanding issue that was left unresolved by the terms of the </w:t>
      </w:r>
      <w:r w:rsidR="00A047AE" w:rsidRPr="00F74CA6">
        <w:rPr>
          <w:szCs w:val="26"/>
        </w:rPr>
        <w:t>Joint Petition</w:t>
      </w:r>
      <w:r w:rsidRPr="00F74CA6">
        <w:rPr>
          <w:szCs w:val="26"/>
        </w:rPr>
        <w:t xml:space="preserve">, we shall </w:t>
      </w:r>
      <w:r w:rsidR="00D67F2C" w:rsidRPr="00F74CA6">
        <w:rPr>
          <w:szCs w:val="26"/>
        </w:rPr>
        <w:t>deny</w:t>
      </w:r>
      <w:r w:rsidRPr="00F74CA6">
        <w:rPr>
          <w:szCs w:val="26"/>
        </w:rPr>
        <w:t xml:space="preserve"> </w:t>
      </w:r>
      <w:r w:rsidR="00857709" w:rsidRPr="00F74CA6">
        <w:rPr>
          <w:szCs w:val="26"/>
        </w:rPr>
        <w:t xml:space="preserve">the </w:t>
      </w:r>
      <w:r w:rsidR="00D67F2C" w:rsidRPr="00F74CA6">
        <w:rPr>
          <w:szCs w:val="26"/>
        </w:rPr>
        <w:t>OSBA</w:t>
      </w:r>
      <w:r w:rsidRPr="00F74CA6">
        <w:rPr>
          <w:szCs w:val="26"/>
        </w:rPr>
        <w:t>’s Exception</w:t>
      </w:r>
      <w:r w:rsidR="002E06E8" w:rsidRPr="00F74CA6">
        <w:rPr>
          <w:szCs w:val="26"/>
        </w:rPr>
        <w:t>s</w:t>
      </w:r>
      <w:r w:rsidRPr="00F74CA6">
        <w:rPr>
          <w:szCs w:val="26"/>
        </w:rPr>
        <w:t xml:space="preserve">.  Accordingly, we shall adopt the ALJ’s Recommended Decision which approves the </w:t>
      </w:r>
      <w:r w:rsidR="00A047AE" w:rsidRPr="00F74CA6">
        <w:rPr>
          <w:szCs w:val="26"/>
        </w:rPr>
        <w:t>Joint Petition</w:t>
      </w:r>
      <w:r w:rsidRPr="00F74CA6">
        <w:rPr>
          <w:szCs w:val="26"/>
        </w:rPr>
        <w:t>, without modification, consistent with this Opinion and Order.</w:t>
      </w:r>
    </w:p>
    <w:p w14:paraId="5133ED71" w14:textId="77777777" w:rsidR="007902C1" w:rsidRPr="00F74CA6" w:rsidRDefault="007902C1" w:rsidP="007902C1">
      <w:pPr>
        <w:tabs>
          <w:tab w:val="left" w:pos="-720"/>
        </w:tabs>
        <w:suppressAutoHyphens/>
        <w:contextualSpacing/>
        <w:rPr>
          <w:szCs w:val="26"/>
        </w:rPr>
      </w:pPr>
    </w:p>
    <w:p w14:paraId="5028F7FE" w14:textId="10725C49" w:rsidR="007902C1" w:rsidRPr="00F74CA6" w:rsidRDefault="007902C1" w:rsidP="007902C1">
      <w:pPr>
        <w:tabs>
          <w:tab w:val="left" w:pos="-720"/>
        </w:tabs>
        <w:suppressAutoHyphens/>
        <w:contextualSpacing/>
        <w:rPr>
          <w:szCs w:val="26"/>
        </w:rPr>
      </w:pPr>
      <w:r w:rsidRPr="00F74CA6">
        <w:rPr>
          <w:szCs w:val="26"/>
        </w:rPr>
        <w:t xml:space="preserve">As discussed below, the genesis of this proceeding involved a general rate increase in which </w:t>
      </w:r>
      <w:r w:rsidR="00D67F2C" w:rsidRPr="00F74CA6">
        <w:rPr>
          <w:szCs w:val="26"/>
        </w:rPr>
        <w:t>Peoples</w:t>
      </w:r>
      <w:r w:rsidRPr="00F74CA6">
        <w:rPr>
          <w:szCs w:val="26"/>
        </w:rPr>
        <w:t xml:space="preserve"> proposed a base rate change that would have increased its annual distribution revenue</w:t>
      </w:r>
      <w:r w:rsidR="00857709" w:rsidRPr="00F74CA6">
        <w:rPr>
          <w:szCs w:val="26"/>
        </w:rPr>
        <w:t>s</w:t>
      </w:r>
      <w:r w:rsidRPr="00F74CA6">
        <w:rPr>
          <w:szCs w:val="26"/>
        </w:rPr>
        <w:t xml:space="preserve"> by $</w:t>
      </w:r>
      <w:r w:rsidR="00A84F56" w:rsidRPr="00F74CA6">
        <w:rPr>
          <w:szCs w:val="26"/>
        </w:rPr>
        <w:t>94</w:t>
      </w:r>
      <w:r w:rsidRPr="00F74CA6">
        <w:rPr>
          <w:szCs w:val="26"/>
        </w:rPr>
        <w:t>.</w:t>
      </w:r>
      <w:r w:rsidR="00A84F56" w:rsidRPr="00F74CA6">
        <w:rPr>
          <w:szCs w:val="26"/>
        </w:rPr>
        <w:t>9</w:t>
      </w:r>
      <w:r w:rsidRPr="00F74CA6">
        <w:rPr>
          <w:szCs w:val="26"/>
        </w:rPr>
        <w:t xml:space="preserve"> million</w:t>
      </w:r>
      <w:r w:rsidR="001A0EA3" w:rsidRPr="00F74CA6">
        <w:rPr>
          <w:szCs w:val="26"/>
        </w:rPr>
        <w:t>,</w:t>
      </w:r>
      <w:r w:rsidR="001A0EA3" w:rsidRPr="00F74CA6">
        <w:rPr>
          <w:rStyle w:val="FootnoteReference"/>
          <w:szCs w:val="26"/>
        </w:rPr>
        <w:footnoteReference w:id="2"/>
      </w:r>
      <w:r w:rsidRPr="00F74CA6">
        <w:rPr>
          <w:szCs w:val="26"/>
        </w:rPr>
        <w:t xml:space="preserve"> </w:t>
      </w:r>
      <w:r w:rsidR="002024F5" w:rsidRPr="00F74CA6">
        <w:rPr>
          <w:szCs w:val="26"/>
        </w:rPr>
        <w:t xml:space="preserve">and </w:t>
      </w:r>
      <w:r w:rsidR="00857709" w:rsidRPr="00F74CA6">
        <w:rPr>
          <w:szCs w:val="26"/>
        </w:rPr>
        <w:t>represent</w:t>
      </w:r>
      <w:r w:rsidR="002024F5" w:rsidRPr="00F74CA6">
        <w:rPr>
          <w:szCs w:val="26"/>
        </w:rPr>
        <w:t>s</w:t>
      </w:r>
      <w:r w:rsidR="00857709" w:rsidRPr="00F74CA6">
        <w:rPr>
          <w:szCs w:val="26"/>
        </w:rPr>
        <w:t xml:space="preserve"> </w:t>
      </w:r>
      <w:r w:rsidRPr="00F74CA6">
        <w:rPr>
          <w:szCs w:val="26"/>
        </w:rPr>
        <w:t>a</w:t>
      </w:r>
      <w:r w:rsidR="00857709" w:rsidRPr="00F74CA6">
        <w:rPr>
          <w:szCs w:val="26"/>
        </w:rPr>
        <w:t>n increase of</w:t>
      </w:r>
      <w:r w:rsidRPr="00F74CA6">
        <w:rPr>
          <w:szCs w:val="26"/>
        </w:rPr>
        <w:t xml:space="preserve"> 1</w:t>
      </w:r>
      <w:r w:rsidR="00A84F56" w:rsidRPr="00F74CA6">
        <w:rPr>
          <w:szCs w:val="26"/>
        </w:rPr>
        <w:t>4</w:t>
      </w:r>
      <w:r w:rsidRPr="00F74CA6">
        <w:rPr>
          <w:szCs w:val="26"/>
        </w:rPr>
        <w:t>.</w:t>
      </w:r>
      <w:r w:rsidR="00A84F56" w:rsidRPr="00F74CA6">
        <w:rPr>
          <w:szCs w:val="26"/>
        </w:rPr>
        <w:t>13</w:t>
      </w:r>
      <w:r w:rsidRPr="00F74CA6">
        <w:rPr>
          <w:szCs w:val="26"/>
        </w:rPr>
        <w:t xml:space="preserve">% </w:t>
      </w:r>
      <w:r w:rsidR="0009361B" w:rsidRPr="00F74CA6">
        <w:rPr>
          <w:szCs w:val="26"/>
        </w:rPr>
        <w:t xml:space="preserve">additional annual base rate operating revenues based upon data for </w:t>
      </w:r>
      <w:r w:rsidR="00857709" w:rsidRPr="00F74CA6">
        <w:rPr>
          <w:szCs w:val="26"/>
        </w:rPr>
        <w:t xml:space="preserve">the </w:t>
      </w:r>
      <w:r w:rsidR="0009361B" w:rsidRPr="00F74CA6">
        <w:rPr>
          <w:szCs w:val="26"/>
        </w:rPr>
        <w:t xml:space="preserve">Fully Projected Future Test Year (FPFTY) ending October 31, 2020.  </w:t>
      </w:r>
      <w:r w:rsidR="001A0EA3" w:rsidRPr="00F74CA6">
        <w:rPr>
          <w:szCs w:val="26"/>
        </w:rPr>
        <w:t>Peoples St. 3 at 2</w:t>
      </w:r>
      <w:r w:rsidRPr="00F74CA6">
        <w:rPr>
          <w:szCs w:val="26"/>
        </w:rPr>
        <w:t xml:space="preserve">.  Our approval of the Joint Petition, which embodies a so-called “black box” settlement, permits </w:t>
      </w:r>
      <w:r w:rsidR="00A84F56" w:rsidRPr="00F74CA6">
        <w:rPr>
          <w:szCs w:val="26"/>
        </w:rPr>
        <w:t>Peoples</w:t>
      </w:r>
      <w:r w:rsidRPr="00F74CA6">
        <w:rPr>
          <w:szCs w:val="26"/>
        </w:rPr>
        <w:t xml:space="preserve"> to file new tariff rates designed to provide an overall distribution base rate increase of $</w:t>
      </w:r>
      <w:r w:rsidR="00A84F56" w:rsidRPr="00F74CA6">
        <w:rPr>
          <w:szCs w:val="26"/>
        </w:rPr>
        <w:t>59</w:t>
      </w:r>
      <w:r w:rsidRPr="00F74CA6">
        <w:rPr>
          <w:szCs w:val="26"/>
        </w:rPr>
        <w:t>.</w:t>
      </w:r>
      <w:r w:rsidR="00A84F56" w:rsidRPr="00F74CA6">
        <w:rPr>
          <w:szCs w:val="26"/>
        </w:rPr>
        <w:t>5</w:t>
      </w:r>
      <w:r w:rsidRPr="00F74CA6">
        <w:rPr>
          <w:szCs w:val="26"/>
        </w:rPr>
        <w:t xml:space="preserve"> million, </w:t>
      </w:r>
      <w:r w:rsidR="00857709" w:rsidRPr="00F74CA6">
        <w:rPr>
          <w:szCs w:val="26"/>
        </w:rPr>
        <w:t xml:space="preserve">representing </w:t>
      </w:r>
      <w:r w:rsidRPr="00F74CA6">
        <w:rPr>
          <w:szCs w:val="26"/>
        </w:rPr>
        <w:t>an</w:t>
      </w:r>
      <w:r w:rsidR="00857709" w:rsidRPr="00F74CA6">
        <w:rPr>
          <w:szCs w:val="26"/>
        </w:rPr>
        <w:t xml:space="preserve"> increase of</w:t>
      </w:r>
      <w:r w:rsidRPr="00F74CA6">
        <w:rPr>
          <w:szCs w:val="26"/>
        </w:rPr>
        <w:t xml:space="preserve"> 8.</w:t>
      </w:r>
      <w:r w:rsidR="00A84F56" w:rsidRPr="00F74CA6">
        <w:rPr>
          <w:szCs w:val="26"/>
        </w:rPr>
        <w:t>92</w:t>
      </w:r>
      <w:r w:rsidRPr="00F74CA6">
        <w:rPr>
          <w:szCs w:val="26"/>
        </w:rPr>
        <w:t>% over present revenues.</w:t>
      </w:r>
      <w:r w:rsidR="006968B0">
        <w:rPr>
          <w:rStyle w:val="FootnoteReference"/>
          <w:szCs w:val="26"/>
        </w:rPr>
        <w:footnoteReference w:id="3"/>
      </w:r>
    </w:p>
    <w:p w14:paraId="4EBEB359" w14:textId="77777777" w:rsidR="007902C1" w:rsidRPr="00F74CA6" w:rsidRDefault="007902C1" w:rsidP="007902C1">
      <w:pPr>
        <w:tabs>
          <w:tab w:val="left" w:pos="-720"/>
        </w:tabs>
        <w:suppressAutoHyphens/>
        <w:contextualSpacing/>
        <w:rPr>
          <w:szCs w:val="26"/>
        </w:rPr>
      </w:pPr>
    </w:p>
    <w:p w14:paraId="04F342A4" w14:textId="71C0F9A3" w:rsidR="00B567A1" w:rsidRPr="00F74CA6" w:rsidRDefault="001476F9" w:rsidP="00D919E3">
      <w:pPr>
        <w:pStyle w:val="Heading1"/>
        <w:spacing w:line="360" w:lineRule="auto"/>
        <w:ind w:left="0" w:firstLine="0"/>
        <w:rPr>
          <w:rFonts w:cs="Times New Roman"/>
          <w:szCs w:val="26"/>
        </w:rPr>
      </w:pPr>
      <w:bookmarkStart w:id="3" w:name="_Toc397591037"/>
      <w:r>
        <w:rPr>
          <w:rFonts w:cs="Times New Roman"/>
          <w:szCs w:val="26"/>
        </w:rPr>
        <w:tab/>
      </w:r>
      <w:r w:rsidR="00B567A1" w:rsidRPr="00F74CA6">
        <w:rPr>
          <w:rFonts w:cs="Times New Roman"/>
          <w:szCs w:val="26"/>
        </w:rPr>
        <w:t>History of the Proceeding</w:t>
      </w:r>
      <w:bookmarkEnd w:id="3"/>
    </w:p>
    <w:p w14:paraId="035030E0" w14:textId="77777777" w:rsidR="00DD7DA8" w:rsidRPr="00F74CA6" w:rsidRDefault="00DD7DA8" w:rsidP="006B265F">
      <w:pPr>
        <w:rPr>
          <w:szCs w:val="26"/>
        </w:rPr>
      </w:pPr>
    </w:p>
    <w:p w14:paraId="366FA3B1" w14:textId="7BFE7F72" w:rsidR="00DD7DA8" w:rsidRPr="00F74CA6" w:rsidRDefault="00DD7DA8" w:rsidP="006B265F">
      <w:pPr>
        <w:rPr>
          <w:szCs w:val="26"/>
        </w:rPr>
      </w:pPr>
      <w:r w:rsidRPr="00F74CA6">
        <w:rPr>
          <w:szCs w:val="26"/>
        </w:rPr>
        <w:t xml:space="preserve">On </w:t>
      </w:r>
      <w:r w:rsidR="005F0915" w:rsidRPr="00F74CA6">
        <w:rPr>
          <w:szCs w:val="26"/>
        </w:rPr>
        <w:t>January</w:t>
      </w:r>
      <w:r w:rsidRPr="00F74CA6">
        <w:rPr>
          <w:szCs w:val="26"/>
        </w:rPr>
        <w:t xml:space="preserve"> </w:t>
      </w:r>
      <w:r w:rsidR="005F0915" w:rsidRPr="00F74CA6">
        <w:rPr>
          <w:szCs w:val="26"/>
        </w:rPr>
        <w:t>28</w:t>
      </w:r>
      <w:r w:rsidRPr="00F74CA6">
        <w:rPr>
          <w:szCs w:val="26"/>
        </w:rPr>
        <w:t>, 201</w:t>
      </w:r>
      <w:r w:rsidR="005F0915" w:rsidRPr="00F74CA6">
        <w:rPr>
          <w:szCs w:val="26"/>
        </w:rPr>
        <w:t>9</w:t>
      </w:r>
      <w:r w:rsidRPr="00F74CA6">
        <w:rPr>
          <w:szCs w:val="26"/>
        </w:rPr>
        <w:t xml:space="preserve">, </w:t>
      </w:r>
      <w:r w:rsidR="005F0915" w:rsidRPr="00F74CA6">
        <w:rPr>
          <w:szCs w:val="26"/>
        </w:rPr>
        <w:t>Peoples</w:t>
      </w:r>
      <w:r w:rsidRPr="00F74CA6">
        <w:rPr>
          <w:szCs w:val="26"/>
        </w:rPr>
        <w:t xml:space="preserve"> filed </w:t>
      </w:r>
      <w:r w:rsidR="008F008A" w:rsidRPr="00F74CA6">
        <w:rPr>
          <w:szCs w:val="26"/>
        </w:rPr>
        <w:t>Retail Tariff Gas</w:t>
      </w:r>
      <w:r w:rsidR="008B31C3" w:rsidRPr="00F74CA6">
        <w:rPr>
          <w:szCs w:val="26"/>
        </w:rPr>
        <w:t xml:space="preserve"> –</w:t>
      </w:r>
      <w:r w:rsidRPr="00F74CA6">
        <w:rPr>
          <w:szCs w:val="26"/>
        </w:rPr>
        <w:t xml:space="preserve"> Pa. P.U.C. No. </w:t>
      </w:r>
      <w:r w:rsidR="008F008A" w:rsidRPr="00F74CA6">
        <w:rPr>
          <w:szCs w:val="26"/>
        </w:rPr>
        <w:t>47 and Supplier Tariff Gas – Pa. PUC. No. S-3</w:t>
      </w:r>
      <w:r w:rsidRPr="00F74CA6">
        <w:rPr>
          <w:szCs w:val="26"/>
        </w:rPr>
        <w:t xml:space="preserve"> to become effective Ma</w:t>
      </w:r>
      <w:r w:rsidR="004F4E56" w:rsidRPr="00F74CA6">
        <w:rPr>
          <w:szCs w:val="26"/>
        </w:rPr>
        <w:t>rch</w:t>
      </w:r>
      <w:r w:rsidRPr="00F74CA6">
        <w:rPr>
          <w:szCs w:val="26"/>
        </w:rPr>
        <w:t xml:space="preserve"> </w:t>
      </w:r>
      <w:r w:rsidR="004F4E56" w:rsidRPr="00F74CA6">
        <w:rPr>
          <w:szCs w:val="26"/>
        </w:rPr>
        <w:t>29</w:t>
      </w:r>
      <w:r w:rsidRPr="00F74CA6">
        <w:rPr>
          <w:szCs w:val="26"/>
        </w:rPr>
        <w:t>, 201</w:t>
      </w:r>
      <w:r w:rsidR="004F4E56" w:rsidRPr="00F74CA6">
        <w:rPr>
          <w:szCs w:val="26"/>
        </w:rPr>
        <w:t>9</w:t>
      </w:r>
      <w:r w:rsidRPr="00F74CA6">
        <w:rPr>
          <w:szCs w:val="26"/>
        </w:rPr>
        <w:t xml:space="preserve">, containing </w:t>
      </w:r>
      <w:r w:rsidR="00857709" w:rsidRPr="00F74CA6">
        <w:rPr>
          <w:szCs w:val="26"/>
        </w:rPr>
        <w:t xml:space="preserve">a </w:t>
      </w:r>
      <w:r w:rsidRPr="00F74CA6">
        <w:rPr>
          <w:szCs w:val="26"/>
        </w:rPr>
        <w:t xml:space="preserve">proposed </w:t>
      </w:r>
      <w:r w:rsidR="008F008A" w:rsidRPr="00F74CA6">
        <w:rPr>
          <w:szCs w:val="26"/>
        </w:rPr>
        <w:t xml:space="preserve">general increase in gas distribution rates of </w:t>
      </w:r>
      <w:r w:rsidRPr="00F74CA6">
        <w:rPr>
          <w:szCs w:val="26"/>
        </w:rPr>
        <w:t>$</w:t>
      </w:r>
      <w:r w:rsidR="004F4E56" w:rsidRPr="00F74CA6">
        <w:rPr>
          <w:szCs w:val="26"/>
        </w:rPr>
        <w:t>9</w:t>
      </w:r>
      <w:r w:rsidRPr="00F74CA6">
        <w:rPr>
          <w:szCs w:val="26"/>
        </w:rPr>
        <w:t>4.</w:t>
      </w:r>
      <w:r w:rsidR="004F4E56" w:rsidRPr="00F74CA6">
        <w:rPr>
          <w:szCs w:val="26"/>
        </w:rPr>
        <w:t>9</w:t>
      </w:r>
      <w:r w:rsidRPr="00F74CA6">
        <w:rPr>
          <w:szCs w:val="26"/>
        </w:rPr>
        <w:t xml:space="preserve"> million</w:t>
      </w:r>
      <w:r w:rsidR="0054393A" w:rsidRPr="00F74CA6">
        <w:rPr>
          <w:szCs w:val="26"/>
        </w:rPr>
        <w:t xml:space="preserve"> </w:t>
      </w:r>
      <w:r w:rsidR="008F008A" w:rsidRPr="00F74CA6">
        <w:rPr>
          <w:szCs w:val="26"/>
        </w:rPr>
        <w:t xml:space="preserve">in </w:t>
      </w:r>
      <w:r w:rsidR="008F008A" w:rsidRPr="00F74CA6">
        <w:rPr>
          <w:szCs w:val="26"/>
        </w:rPr>
        <w:lastRenderedPageBreak/>
        <w:t>additional annual base rate operating revenues</w:t>
      </w:r>
      <w:r w:rsidRPr="00F74CA6">
        <w:rPr>
          <w:szCs w:val="26"/>
        </w:rPr>
        <w:t>.</w:t>
      </w:r>
      <w:r w:rsidR="00857709" w:rsidRPr="00F74CA6">
        <w:rPr>
          <w:rStyle w:val="FootnoteReference"/>
          <w:szCs w:val="26"/>
        </w:rPr>
        <w:footnoteReference w:id="4"/>
      </w:r>
      <w:r w:rsidR="00BA5F55" w:rsidRPr="00F74CA6">
        <w:rPr>
          <w:szCs w:val="26"/>
        </w:rPr>
        <w:t xml:space="preserve">  Additionally, the Company proposed to </w:t>
      </w:r>
      <w:r w:rsidR="000479B1" w:rsidRPr="00F74CA6">
        <w:rPr>
          <w:szCs w:val="26"/>
        </w:rPr>
        <w:t xml:space="preserve">merge the Peoples Division and Equitable Division Tariffs into two combined tariffs, one for Retail Service and one for Supplier Service.  The Company also proposed to </w:t>
      </w:r>
      <w:r w:rsidR="00BA5F55" w:rsidRPr="00F74CA6">
        <w:rPr>
          <w:szCs w:val="26"/>
        </w:rPr>
        <w:t xml:space="preserve">increase its monthly residential customer charge </w:t>
      </w:r>
      <w:r w:rsidR="000479B1" w:rsidRPr="00F74CA6">
        <w:rPr>
          <w:szCs w:val="26"/>
        </w:rPr>
        <w:t xml:space="preserve">to $20.00, which was an increase </w:t>
      </w:r>
      <w:r w:rsidR="00BA5F55" w:rsidRPr="00F74CA6">
        <w:rPr>
          <w:szCs w:val="26"/>
        </w:rPr>
        <w:t>from $</w:t>
      </w:r>
      <w:r w:rsidR="000479B1" w:rsidRPr="00F74CA6">
        <w:rPr>
          <w:szCs w:val="26"/>
        </w:rPr>
        <w:t xml:space="preserve">13.95 for </w:t>
      </w:r>
      <w:r w:rsidR="00BE0D05" w:rsidRPr="00F74CA6">
        <w:rPr>
          <w:szCs w:val="26"/>
        </w:rPr>
        <w:t>its</w:t>
      </w:r>
      <w:r w:rsidR="00857709" w:rsidRPr="00F74CA6">
        <w:rPr>
          <w:szCs w:val="26"/>
        </w:rPr>
        <w:t xml:space="preserve"> </w:t>
      </w:r>
      <w:r w:rsidR="000479B1" w:rsidRPr="00F74CA6">
        <w:rPr>
          <w:szCs w:val="26"/>
        </w:rPr>
        <w:t xml:space="preserve">Peoples Division and </w:t>
      </w:r>
      <w:r w:rsidR="00BA5F55" w:rsidRPr="00F74CA6">
        <w:rPr>
          <w:szCs w:val="26"/>
        </w:rPr>
        <w:t>$1</w:t>
      </w:r>
      <w:r w:rsidR="000479B1" w:rsidRPr="00F74CA6">
        <w:rPr>
          <w:szCs w:val="26"/>
        </w:rPr>
        <w:t>3</w:t>
      </w:r>
      <w:r w:rsidR="00BA5F55" w:rsidRPr="00F74CA6">
        <w:rPr>
          <w:szCs w:val="26"/>
        </w:rPr>
        <w:t>.</w:t>
      </w:r>
      <w:r w:rsidR="000479B1" w:rsidRPr="00F74CA6">
        <w:rPr>
          <w:szCs w:val="26"/>
        </w:rPr>
        <w:t>25 for</w:t>
      </w:r>
      <w:r w:rsidR="00857709" w:rsidRPr="00F74CA6">
        <w:rPr>
          <w:szCs w:val="26"/>
        </w:rPr>
        <w:t xml:space="preserve"> its</w:t>
      </w:r>
      <w:r w:rsidR="000479B1" w:rsidRPr="00F74CA6">
        <w:rPr>
          <w:szCs w:val="26"/>
        </w:rPr>
        <w:t xml:space="preserve"> Equitable Division</w:t>
      </w:r>
      <w:r w:rsidR="00BA5F55" w:rsidRPr="00F74CA6">
        <w:rPr>
          <w:szCs w:val="26"/>
        </w:rPr>
        <w:t>.</w:t>
      </w:r>
    </w:p>
    <w:p w14:paraId="3E48D378" w14:textId="77777777" w:rsidR="002E06E8" w:rsidRPr="00F74CA6" w:rsidRDefault="002E06E8" w:rsidP="006B265F">
      <w:pPr>
        <w:rPr>
          <w:szCs w:val="26"/>
        </w:rPr>
      </w:pPr>
    </w:p>
    <w:p w14:paraId="73E79E7B" w14:textId="77777777" w:rsidR="00DD7DA8" w:rsidRPr="00F74CA6" w:rsidRDefault="00DD7DA8" w:rsidP="006B265F">
      <w:pPr>
        <w:rPr>
          <w:szCs w:val="26"/>
        </w:rPr>
      </w:pPr>
      <w:r w:rsidRPr="00F74CA6">
        <w:rPr>
          <w:szCs w:val="26"/>
        </w:rPr>
        <w:t xml:space="preserve">On </w:t>
      </w:r>
      <w:r w:rsidR="004F4E56" w:rsidRPr="00F74CA6">
        <w:rPr>
          <w:szCs w:val="26"/>
        </w:rPr>
        <w:t>February</w:t>
      </w:r>
      <w:r w:rsidRPr="00F74CA6">
        <w:rPr>
          <w:szCs w:val="26"/>
        </w:rPr>
        <w:t xml:space="preserve"> </w:t>
      </w:r>
      <w:r w:rsidR="004F4E56" w:rsidRPr="00F74CA6">
        <w:rPr>
          <w:szCs w:val="26"/>
        </w:rPr>
        <w:t>28</w:t>
      </w:r>
      <w:r w:rsidRPr="00F74CA6">
        <w:rPr>
          <w:szCs w:val="26"/>
        </w:rPr>
        <w:t>, 201</w:t>
      </w:r>
      <w:r w:rsidR="004F4E56" w:rsidRPr="00F74CA6">
        <w:rPr>
          <w:szCs w:val="26"/>
        </w:rPr>
        <w:t>9</w:t>
      </w:r>
      <w:r w:rsidRPr="00F74CA6">
        <w:rPr>
          <w:szCs w:val="26"/>
        </w:rPr>
        <w:t xml:space="preserve">, the Commission issued an Order suspending </w:t>
      </w:r>
      <w:r w:rsidR="004F4E56" w:rsidRPr="00F74CA6">
        <w:rPr>
          <w:szCs w:val="26"/>
        </w:rPr>
        <w:t>Peoples</w:t>
      </w:r>
      <w:r w:rsidRPr="00F74CA6">
        <w:rPr>
          <w:szCs w:val="26"/>
        </w:rPr>
        <w:t xml:space="preserve">’ filing until </w:t>
      </w:r>
      <w:r w:rsidR="004F4E56" w:rsidRPr="00F74CA6">
        <w:rPr>
          <w:szCs w:val="26"/>
        </w:rPr>
        <w:t>October</w:t>
      </w:r>
      <w:r w:rsidRPr="00F74CA6">
        <w:rPr>
          <w:szCs w:val="26"/>
        </w:rPr>
        <w:t xml:space="preserve"> </w:t>
      </w:r>
      <w:r w:rsidR="004F4E56" w:rsidRPr="00F74CA6">
        <w:rPr>
          <w:szCs w:val="26"/>
        </w:rPr>
        <w:t>29</w:t>
      </w:r>
      <w:r w:rsidRPr="00F74CA6">
        <w:rPr>
          <w:szCs w:val="26"/>
        </w:rPr>
        <w:t>, 201</w:t>
      </w:r>
      <w:r w:rsidR="004F4E56" w:rsidRPr="00F74CA6">
        <w:rPr>
          <w:szCs w:val="26"/>
        </w:rPr>
        <w:t>9</w:t>
      </w:r>
      <w:r w:rsidRPr="00F74CA6">
        <w:rPr>
          <w:szCs w:val="26"/>
        </w:rPr>
        <w:t>, unless permitted by Commission Order to become effective at an earlier date.</w:t>
      </w:r>
    </w:p>
    <w:p w14:paraId="17B7DC15" w14:textId="77777777" w:rsidR="000479B1" w:rsidRPr="00F74CA6" w:rsidRDefault="000479B1" w:rsidP="006B265F">
      <w:pPr>
        <w:rPr>
          <w:szCs w:val="26"/>
        </w:rPr>
      </w:pPr>
    </w:p>
    <w:p w14:paraId="0382CDCD" w14:textId="295FD6B0" w:rsidR="00344FE8" w:rsidRPr="00F74CA6" w:rsidRDefault="00DD7DA8" w:rsidP="006B265F">
      <w:pPr>
        <w:rPr>
          <w:szCs w:val="26"/>
        </w:rPr>
      </w:pPr>
      <w:r w:rsidRPr="00F74CA6">
        <w:rPr>
          <w:szCs w:val="26"/>
        </w:rPr>
        <w:t xml:space="preserve">I&amp;E entered its appearance in this proceeding.  The OCA </w:t>
      </w:r>
      <w:r w:rsidR="004F4E56" w:rsidRPr="00F74CA6">
        <w:rPr>
          <w:szCs w:val="26"/>
        </w:rPr>
        <w:t>and</w:t>
      </w:r>
      <w:r w:rsidRPr="00F74CA6">
        <w:rPr>
          <w:szCs w:val="26"/>
        </w:rPr>
        <w:t xml:space="preserve"> OSBA</w:t>
      </w:r>
      <w:r w:rsidR="00A764C4" w:rsidRPr="00F74CA6">
        <w:rPr>
          <w:szCs w:val="26"/>
        </w:rPr>
        <w:t xml:space="preserve"> </w:t>
      </w:r>
      <w:r w:rsidRPr="00F74CA6">
        <w:rPr>
          <w:szCs w:val="26"/>
        </w:rPr>
        <w:t xml:space="preserve">filed </w:t>
      </w:r>
      <w:r w:rsidR="008B31C3" w:rsidRPr="00F74CA6">
        <w:rPr>
          <w:szCs w:val="26"/>
        </w:rPr>
        <w:t>Formal C</w:t>
      </w:r>
      <w:r w:rsidRPr="00F74CA6">
        <w:rPr>
          <w:szCs w:val="26"/>
        </w:rPr>
        <w:t xml:space="preserve">omplaints.  The OCA </w:t>
      </w:r>
      <w:r w:rsidR="008B31C3" w:rsidRPr="00F74CA6">
        <w:rPr>
          <w:szCs w:val="26"/>
        </w:rPr>
        <w:t>C</w:t>
      </w:r>
      <w:r w:rsidRPr="00F74CA6">
        <w:rPr>
          <w:szCs w:val="26"/>
        </w:rPr>
        <w:t>omplaint is filed at Docket No. C</w:t>
      </w:r>
      <w:r w:rsidRPr="00F74CA6">
        <w:rPr>
          <w:szCs w:val="26"/>
        </w:rPr>
        <w:noBreakHyphen/>
        <w:t>201</w:t>
      </w:r>
      <w:r w:rsidR="004F4E56" w:rsidRPr="00F74CA6">
        <w:rPr>
          <w:szCs w:val="26"/>
        </w:rPr>
        <w:t>9</w:t>
      </w:r>
      <w:r w:rsidRPr="00F74CA6">
        <w:rPr>
          <w:szCs w:val="26"/>
        </w:rPr>
        <w:t xml:space="preserve">-2473682.  The OSBA </w:t>
      </w:r>
      <w:r w:rsidR="008B31C3" w:rsidRPr="00F74CA6">
        <w:rPr>
          <w:szCs w:val="26"/>
        </w:rPr>
        <w:t>C</w:t>
      </w:r>
      <w:r w:rsidRPr="00F74CA6">
        <w:rPr>
          <w:szCs w:val="26"/>
        </w:rPr>
        <w:t>omplaint is filed at Docket No. C-201</w:t>
      </w:r>
      <w:r w:rsidR="00344FE8" w:rsidRPr="00F74CA6">
        <w:rPr>
          <w:szCs w:val="26"/>
        </w:rPr>
        <w:t>9</w:t>
      </w:r>
      <w:r w:rsidRPr="00F74CA6">
        <w:rPr>
          <w:szCs w:val="26"/>
        </w:rPr>
        <w:t>-2477816.  Petitions</w:t>
      </w:r>
      <w:r w:rsidR="00A764C4" w:rsidRPr="00F74CA6">
        <w:rPr>
          <w:szCs w:val="26"/>
        </w:rPr>
        <w:t xml:space="preserve"> to </w:t>
      </w:r>
      <w:r w:rsidR="002E06E8" w:rsidRPr="00F74CA6">
        <w:rPr>
          <w:szCs w:val="26"/>
        </w:rPr>
        <w:t>I</w:t>
      </w:r>
      <w:r w:rsidR="00A764C4" w:rsidRPr="00F74CA6">
        <w:rPr>
          <w:szCs w:val="26"/>
        </w:rPr>
        <w:t xml:space="preserve">ntervene were filed by </w:t>
      </w:r>
      <w:r w:rsidR="00BA5F55" w:rsidRPr="00F74CA6">
        <w:rPr>
          <w:szCs w:val="26"/>
        </w:rPr>
        <w:t xml:space="preserve">CAAP, </w:t>
      </w:r>
      <w:r w:rsidR="008437D6" w:rsidRPr="00F74CA6">
        <w:rPr>
          <w:szCs w:val="26"/>
        </w:rPr>
        <w:t xml:space="preserve">CAUSE-PA, </w:t>
      </w:r>
      <w:r w:rsidR="00BA5F55" w:rsidRPr="00F74CA6">
        <w:rPr>
          <w:szCs w:val="26"/>
        </w:rPr>
        <w:t xml:space="preserve">Dominion Energy Solutions, Inc. and Shipley </w:t>
      </w:r>
      <w:r w:rsidR="00FA3AC0" w:rsidRPr="00F74CA6">
        <w:rPr>
          <w:szCs w:val="26"/>
        </w:rPr>
        <w:t>Choice LLC d/b/a Shipley Energy (collectively, the NGS parties)</w:t>
      </w:r>
      <w:r w:rsidRPr="00F74CA6">
        <w:rPr>
          <w:szCs w:val="26"/>
        </w:rPr>
        <w:t xml:space="preserve">, </w:t>
      </w:r>
      <w:r w:rsidR="00FA3AC0" w:rsidRPr="00F74CA6">
        <w:rPr>
          <w:szCs w:val="26"/>
        </w:rPr>
        <w:t>the Retail Energy Supply Association (</w:t>
      </w:r>
      <w:r w:rsidRPr="00F74CA6">
        <w:rPr>
          <w:szCs w:val="26"/>
        </w:rPr>
        <w:t>RESA</w:t>
      </w:r>
      <w:r w:rsidR="00FA3AC0" w:rsidRPr="00F74CA6">
        <w:rPr>
          <w:szCs w:val="26"/>
        </w:rPr>
        <w:t>), the Utility Workers Union o</w:t>
      </w:r>
      <w:r w:rsidR="00344FE8" w:rsidRPr="00F74CA6">
        <w:rPr>
          <w:szCs w:val="26"/>
        </w:rPr>
        <w:t>f</w:t>
      </w:r>
      <w:r w:rsidR="00FA3AC0" w:rsidRPr="00F74CA6">
        <w:rPr>
          <w:szCs w:val="26"/>
        </w:rPr>
        <w:t xml:space="preserve"> America, Local 612 (UWUA); Duquesne Light; </w:t>
      </w:r>
      <w:r w:rsidR="00F21476" w:rsidRPr="00F74CA6">
        <w:rPr>
          <w:szCs w:val="26"/>
        </w:rPr>
        <w:t>PIOGA</w:t>
      </w:r>
      <w:r w:rsidR="00843CBE" w:rsidRPr="00F74CA6">
        <w:rPr>
          <w:szCs w:val="26"/>
        </w:rPr>
        <w:t>,</w:t>
      </w:r>
      <w:r w:rsidR="00F21476" w:rsidRPr="00F74CA6">
        <w:rPr>
          <w:szCs w:val="26"/>
        </w:rPr>
        <w:t xml:space="preserve"> Snyder Brothers, Equitrans, L.P. (Equitrans)</w:t>
      </w:r>
      <w:r w:rsidR="00FA3AC0" w:rsidRPr="00F74CA6">
        <w:rPr>
          <w:szCs w:val="26"/>
        </w:rPr>
        <w:t xml:space="preserve">, </w:t>
      </w:r>
      <w:r w:rsidR="00F21476" w:rsidRPr="00F74CA6">
        <w:rPr>
          <w:szCs w:val="26"/>
        </w:rPr>
        <w:t>Direct Energy</w:t>
      </w:r>
      <w:r w:rsidR="000D7919" w:rsidRPr="00F74CA6">
        <w:rPr>
          <w:szCs w:val="26"/>
        </w:rPr>
        <w:t>, Baker Gas, Inc. (Baker Gas), Marco Drilling, Inc. (Marco) and MDS Energy Development, LLC (MDS)</w:t>
      </w:r>
      <w:r w:rsidR="00F21476" w:rsidRPr="00F74CA6">
        <w:rPr>
          <w:szCs w:val="26"/>
        </w:rPr>
        <w:t>.</w:t>
      </w:r>
    </w:p>
    <w:p w14:paraId="4C1DDF7A" w14:textId="77777777" w:rsidR="00344FE8" w:rsidRPr="00F74CA6" w:rsidRDefault="00344FE8" w:rsidP="006B265F">
      <w:pPr>
        <w:rPr>
          <w:szCs w:val="26"/>
        </w:rPr>
      </w:pPr>
    </w:p>
    <w:p w14:paraId="31133964" w14:textId="37A80E73" w:rsidR="00DD7DA8" w:rsidRPr="00F74CA6" w:rsidRDefault="00F21476" w:rsidP="006B265F">
      <w:pPr>
        <w:rPr>
          <w:szCs w:val="26"/>
        </w:rPr>
      </w:pPr>
      <w:r w:rsidRPr="00F74CA6">
        <w:rPr>
          <w:szCs w:val="26"/>
        </w:rPr>
        <w:t xml:space="preserve">In addition, </w:t>
      </w:r>
      <w:r w:rsidR="002E06E8" w:rsidRPr="00F74CA6">
        <w:rPr>
          <w:szCs w:val="26"/>
        </w:rPr>
        <w:t>F</w:t>
      </w:r>
      <w:r w:rsidRPr="00F74CA6">
        <w:rPr>
          <w:szCs w:val="26"/>
        </w:rPr>
        <w:t xml:space="preserve">ormal </w:t>
      </w:r>
      <w:r w:rsidR="002E06E8" w:rsidRPr="00F74CA6">
        <w:rPr>
          <w:szCs w:val="26"/>
        </w:rPr>
        <w:t>C</w:t>
      </w:r>
      <w:r w:rsidR="00344FE8" w:rsidRPr="00F74CA6">
        <w:rPr>
          <w:szCs w:val="26"/>
        </w:rPr>
        <w:t>omplaints</w:t>
      </w:r>
      <w:r w:rsidRPr="00F74CA6">
        <w:rPr>
          <w:szCs w:val="26"/>
        </w:rPr>
        <w:t xml:space="preserve"> were filed by the Peoples </w:t>
      </w:r>
      <w:r w:rsidR="00344FE8" w:rsidRPr="00F74CA6">
        <w:rPr>
          <w:szCs w:val="26"/>
        </w:rPr>
        <w:t>Industrial</w:t>
      </w:r>
      <w:r w:rsidRPr="00F74CA6">
        <w:rPr>
          <w:szCs w:val="26"/>
        </w:rPr>
        <w:t xml:space="preserve"> Inter</w:t>
      </w:r>
      <w:r w:rsidR="00344FE8" w:rsidRPr="00F74CA6">
        <w:rPr>
          <w:szCs w:val="26"/>
        </w:rPr>
        <w:t>v</w:t>
      </w:r>
      <w:r w:rsidRPr="00F74CA6">
        <w:rPr>
          <w:szCs w:val="26"/>
        </w:rPr>
        <w:t>enors (PII) an</w:t>
      </w:r>
      <w:r w:rsidR="00843CBE" w:rsidRPr="00F74CA6">
        <w:rPr>
          <w:szCs w:val="26"/>
        </w:rPr>
        <w:t>d</w:t>
      </w:r>
      <w:r w:rsidRPr="00F74CA6">
        <w:rPr>
          <w:szCs w:val="26"/>
        </w:rPr>
        <w:t xml:space="preserve"> the following customer</w:t>
      </w:r>
      <w:r w:rsidR="00190FF9" w:rsidRPr="00F74CA6">
        <w:rPr>
          <w:szCs w:val="26"/>
        </w:rPr>
        <w:t>s</w:t>
      </w:r>
      <w:r w:rsidRPr="00F74CA6">
        <w:rPr>
          <w:szCs w:val="26"/>
        </w:rPr>
        <w:t xml:space="preserve"> of Peoples: Charles Hagins, Daniel Killmeyer, Samuel Givens, Sean D. Ferris, Ann D. Bugosh, James Boudreau</w:t>
      </w:r>
      <w:r w:rsidR="00DD7DA8" w:rsidRPr="00F74CA6">
        <w:rPr>
          <w:szCs w:val="26"/>
        </w:rPr>
        <w:t>.</w:t>
      </w:r>
      <w:r w:rsidRPr="00F74CA6">
        <w:rPr>
          <w:szCs w:val="26"/>
        </w:rPr>
        <w:t xml:space="preserve">  All of the</w:t>
      </w:r>
      <w:r w:rsidR="005F10BF" w:rsidRPr="00F74CA6">
        <w:rPr>
          <w:szCs w:val="26"/>
        </w:rPr>
        <w:t>se</w:t>
      </w:r>
      <w:r w:rsidRPr="00F74CA6">
        <w:rPr>
          <w:szCs w:val="26"/>
        </w:rPr>
        <w:t xml:space="preserve"> Complaints were consolidated in</w:t>
      </w:r>
      <w:r w:rsidR="005F10BF" w:rsidRPr="00F74CA6">
        <w:rPr>
          <w:szCs w:val="26"/>
        </w:rPr>
        <w:t>to</w:t>
      </w:r>
      <w:r w:rsidRPr="00F74CA6">
        <w:rPr>
          <w:szCs w:val="26"/>
        </w:rPr>
        <w:t xml:space="preserve"> this rate proceeding for hearing and disposition.</w:t>
      </w:r>
    </w:p>
    <w:p w14:paraId="498D84A6" w14:textId="77777777" w:rsidR="00DD7DA8" w:rsidRPr="00F74CA6" w:rsidRDefault="00DD7DA8" w:rsidP="006B265F">
      <w:pPr>
        <w:rPr>
          <w:szCs w:val="26"/>
        </w:rPr>
      </w:pPr>
    </w:p>
    <w:p w14:paraId="5526AD8B" w14:textId="455B9B91" w:rsidR="00E23D47" w:rsidRPr="00F74CA6" w:rsidRDefault="00E23D47" w:rsidP="006B265F">
      <w:pPr>
        <w:rPr>
          <w:szCs w:val="26"/>
        </w:rPr>
      </w:pPr>
      <w:r w:rsidRPr="00F74CA6">
        <w:rPr>
          <w:szCs w:val="26"/>
        </w:rPr>
        <w:lastRenderedPageBreak/>
        <w:t xml:space="preserve">On March 14, 2019, the ALJ convened a </w:t>
      </w:r>
      <w:r w:rsidR="002E06E8" w:rsidRPr="00F74CA6">
        <w:rPr>
          <w:szCs w:val="26"/>
        </w:rPr>
        <w:t>P</w:t>
      </w:r>
      <w:r w:rsidRPr="00F74CA6">
        <w:rPr>
          <w:szCs w:val="26"/>
        </w:rPr>
        <w:t xml:space="preserve">rehearing </w:t>
      </w:r>
      <w:r w:rsidR="002E06E8" w:rsidRPr="00F74CA6">
        <w:rPr>
          <w:szCs w:val="26"/>
        </w:rPr>
        <w:t>C</w:t>
      </w:r>
      <w:r w:rsidRPr="00F74CA6">
        <w:rPr>
          <w:szCs w:val="26"/>
        </w:rPr>
        <w:t xml:space="preserve">onference and on March 19, 2019, a scheduling order was issued memorializing the various matters agreed upon </w:t>
      </w:r>
      <w:r w:rsidR="0087390F" w:rsidRPr="00F74CA6">
        <w:rPr>
          <w:szCs w:val="26"/>
        </w:rPr>
        <w:t xml:space="preserve">at </w:t>
      </w:r>
      <w:r w:rsidRPr="00F74CA6">
        <w:rPr>
          <w:szCs w:val="26"/>
        </w:rPr>
        <w:t xml:space="preserve">the </w:t>
      </w:r>
      <w:r w:rsidR="002E06E8" w:rsidRPr="00F74CA6">
        <w:rPr>
          <w:szCs w:val="26"/>
        </w:rPr>
        <w:t>P</w:t>
      </w:r>
      <w:r w:rsidRPr="00F74CA6">
        <w:rPr>
          <w:szCs w:val="26"/>
        </w:rPr>
        <w:t xml:space="preserve">rehearing </w:t>
      </w:r>
      <w:r w:rsidR="002E06E8" w:rsidRPr="00F74CA6">
        <w:rPr>
          <w:szCs w:val="26"/>
        </w:rPr>
        <w:t>C</w:t>
      </w:r>
      <w:r w:rsidRPr="00F74CA6">
        <w:rPr>
          <w:szCs w:val="26"/>
        </w:rPr>
        <w:t>onference.  Thereafter, the Parties filed various motions and engaged in discovery and filed written testimony.</w:t>
      </w:r>
    </w:p>
    <w:p w14:paraId="47DC9426" w14:textId="77777777" w:rsidR="00E23D47" w:rsidRPr="00F74CA6" w:rsidRDefault="00E23D47" w:rsidP="006B265F">
      <w:pPr>
        <w:rPr>
          <w:szCs w:val="26"/>
        </w:rPr>
      </w:pPr>
    </w:p>
    <w:p w14:paraId="742C49CC" w14:textId="666BE277" w:rsidR="000D7919" w:rsidRPr="00F74CA6" w:rsidRDefault="000D7919" w:rsidP="006B265F">
      <w:pPr>
        <w:rPr>
          <w:szCs w:val="26"/>
        </w:rPr>
      </w:pPr>
      <w:r w:rsidRPr="00F74CA6">
        <w:rPr>
          <w:szCs w:val="26"/>
        </w:rPr>
        <w:t>Public input evidentiary hearings were held in Peoples</w:t>
      </w:r>
      <w:r w:rsidR="0087390F" w:rsidRPr="00F74CA6">
        <w:rPr>
          <w:szCs w:val="26"/>
        </w:rPr>
        <w:t>’</w:t>
      </w:r>
      <w:r w:rsidRPr="00F74CA6">
        <w:rPr>
          <w:szCs w:val="26"/>
        </w:rPr>
        <w:t xml:space="preserve"> service territory </w:t>
      </w:r>
      <w:r w:rsidR="0087390F" w:rsidRPr="00F74CA6">
        <w:rPr>
          <w:szCs w:val="26"/>
        </w:rPr>
        <w:t xml:space="preserve">in Johnstown, PA </w:t>
      </w:r>
      <w:r w:rsidRPr="00F74CA6">
        <w:rPr>
          <w:szCs w:val="26"/>
        </w:rPr>
        <w:t xml:space="preserve">on April 23, 2019 and </w:t>
      </w:r>
      <w:r w:rsidR="0087390F" w:rsidRPr="00F74CA6">
        <w:rPr>
          <w:szCs w:val="26"/>
        </w:rPr>
        <w:t xml:space="preserve">in Monroeville, PA </w:t>
      </w:r>
      <w:r w:rsidRPr="00F74CA6">
        <w:rPr>
          <w:szCs w:val="26"/>
        </w:rPr>
        <w:t>on April 24, 2019.</w:t>
      </w:r>
    </w:p>
    <w:p w14:paraId="066A0A13" w14:textId="77777777" w:rsidR="002E06E8" w:rsidRPr="00F74CA6" w:rsidRDefault="002E06E8" w:rsidP="00EA69F7">
      <w:pPr>
        <w:ind w:firstLine="0"/>
        <w:rPr>
          <w:szCs w:val="26"/>
        </w:rPr>
      </w:pPr>
    </w:p>
    <w:p w14:paraId="4F12A2F4" w14:textId="27DA5802" w:rsidR="00DD7DA8" w:rsidRPr="00F74CA6" w:rsidRDefault="0087390F" w:rsidP="006B265F">
      <w:pPr>
        <w:rPr>
          <w:szCs w:val="26"/>
        </w:rPr>
      </w:pPr>
      <w:r w:rsidRPr="00F74CA6">
        <w:rPr>
          <w:szCs w:val="26"/>
        </w:rPr>
        <w:t>The</w:t>
      </w:r>
      <w:r w:rsidR="00CF07E7" w:rsidRPr="00F74CA6">
        <w:rPr>
          <w:szCs w:val="26"/>
        </w:rPr>
        <w:t xml:space="preserve"> ALJ conducted evidentiary hearings on</w:t>
      </w:r>
      <w:r w:rsidR="00641F0C" w:rsidRPr="00F74CA6">
        <w:rPr>
          <w:szCs w:val="26"/>
        </w:rPr>
        <w:t xml:space="preserve"> June 20, 2019</w:t>
      </w:r>
      <w:r w:rsidR="00CF07E7" w:rsidRPr="00F74CA6">
        <w:rPr>
          <w:szCs w:val="26"/>
        </w:rPr>
        <w:t xml:space="preserve"> and June 25, 2019</w:t>
      </w:r>
      <w:r w:rsidR="00641F0C" w:rsidRPr="00F74CA6">
        <w:rPr>
          <w:szCs w:val="26"/>
        </w:rPr>
        <w:t xml:space="preserve">.  </w:t>
      </w:r>
      <w:r w:rsidR="00CF07E7" w:rsidRPr="00F74CA6">
        <w:rPr>
          <w:szCs w:val="26"/>
        </w:rPr>
        <w:t>P</w:t>
      </w:r>
      <w:r w:rsidR="00641F0C" w:rsidRPr="00F74CA6">
        <w:rPr>
          <w:szCs w:val="26"/>
        </w:rPr>
        <w:t>re-served testimony of multiple witnesses was admitted via stipulation with cross examination waived.</w:t>
      </w:r>
      <w:r w:rsidR="00CF07E7" w:rsidRPr="00F74CA6">
        <w:rPr>
          <w:szCs w:val="26"/>
        </w:rPr>
        <w:t xml:space="preserve"> </w:t>
      </w:r>
      <w:r w:rsidR="00641F0C" w:rsidRPr="00F74CA6">
        <w:rPr>
          <w:szCs w:val="26"/>
        </w:rPr>
        <w:t xml:space="preserve"> </w:t>
      </w:r>
      <w:r w:rsidR="00CF07E7" w:rsidRPr="00F74CA6">
        <w:rPr>
          <w:szCs w:val="26"/>
        </w:rPr>
        <w:t>On the second day of hearings, t</w:t>
      </w:r>
      <w:r w:rsidR="00DD7DA8" w:rsidRPr="00F74CA6">
        <w:rPr>
          <w:szCs w:val="26"/>
        </w:rPr>
        <w:t xml:space="preserve">he Parties informed the ALJ that </w:t>
      </w:r>
      <w:r w:rsidR="005F10BF" w:rsidRPr="00F74CA6">
        <w:rPr>
          <w:szCs w:val="26"/>
        </w:rPr>
        <w:t xml:space="preserve">they had reached </w:t>
      </w:r>
      <w:r w:rsidR="00641F0C" w:rsidRPr="00F74CA6">
        <w:rPr>
          <w:szCs w:val="26"/>
        </w:rPr>
        <w:t xml:space="preserve">a settlement on all </w:t>
      </w:r>
      <w:r w:rsidR="005F10BF" w:rsidRPr="00F74CA6">
        <w:rPr>
          <w:szCs w:val="26"/>
        </w:rPr>
        <w:t xml:space="preserve">but one issue </w:t>
      </w:r>
      <w:r w:rsidR="00B47CC0">
        <w:rPr>
          <w:szCs w:val="26"/>
        </w:rPr>
        <w:t>–</w:t>
      </w:r>
      <w:r w:rsidR="00641F0C" w:rsidRPr="00F74CA6">
        <w:rPr>
          <w:szCs w:val="26"/>
        </w:rPr>
        <w:t xml:space="preserve"> </w:t>
      </w:r>
      <w:r w:rsidR="00CF07E7" w:rsidRPr="00F74CA6">
        <w:rPr>
          <w:szCs w:val="26"/>
        </w:rPr>
        <w:t xml:space="preserve">Peoples’ proposed </w:t>
      </w:r>
      <w:r w:rsidR="00FB3A73" w:rsidRPr="00F74CA6">
        <w:rPr>
          <w:szCs w:val="26"/>
        </w:rPr>
        <w:t xml:space="preserve">change to the Company’s </w:t>
      </w:r>
      <w:r w:rsidR="00641F0C" w:rsidRPr="00F74CA6">
        <w:rPr>
          <w:szCs w:val="26"/>
        </w:rPr>
        <w:t>main line extension</w:t>
      </w:r>
      <w:r w:rsidR="00FB3A73" w:rsidRPr="00F74CA6">
        <w:rPr>
          <w:szCs w:val="26"/>
        </w:rPr>
        <w:t xml:space="preserve"> policy</w:t>
      </w:r>
      <w:r w:rsidRPr="00F74CA6">
        <w:rPr>
          <w:szCs w:val="26"/>
        </w:rPr>
        <w:t xml:space="preserve"> (Extension Policy)</w:t>
      </w:r>
      <w:r w:rsidR="005F10BF" w:rsidRPr="00F74CA6">
        <w:rPr>
          <w:szCs w:val="26"/>
        </w:rPr>
        <w:t xml:space="preserve">.  The proposal </w:t>
      </w:r>
      <w:r w:rsidRPr="00F74CA6">
        <w:rPr>
          <w:szCs w:val="26"/>
        </w:rPr>
        <w:t>would provide</w:t>
      </w:r>
      <w:r w:rsidR="005F10BF" w:rsidRPr="00F74CA6">
        <w:rPr>
          <w:szCs w:val="26"/>
        </w:rPr>
        <w:t xml:space="preserve"> each </w:t>
      </w:r>
      <w:r w:rsidRPr="00F74CA6">
        <w:rPr>
          <w:szCs w:val="26"/>
        </w:rPr>
        <w:t xml:space="preserve">potential </w:t>
      </w:r>
      <w:r w:rsidR="00206C01" w:rsidRPr="00F74CA6">
        <w:rPr>
          <w:szCs w:val="26"/>
        </w:rPr>
        <w:t xml:space="preserve">new </w:t>
      </w:r>
      <w:r w:rsidRPr="00F74CA6">
        <w:rPr>
          <w:szCs w:val="26"/>
        </w:rPr>
        <w:t xml:space="preserve">residential customer </w:t>
      </w:r>
      <w:r w:rsidR="005F10BF" w:rsidRPr="00F74CA6">
        <w:rPr>
          <w:szCs w:val="26"/>
        </w:rPr>
        <w:t xml:space="preserve">with </w:t>
      </w:r>
      <w:r w:rsidRPr="00F74CA6">
        <w:rPr>
          <w:szCs w:val="26"/>
        </w:rPr>
        <w:t xml:space="preserve">an allowance of 150 feet of main </w:t>
      </w:r>
      <w:r w:rsidR="008A18C1" w:rsidRPr="00F74CA6">
        <w:rPr>
          <w:szCs w:val="26"/>
        </w:rPr>
        <w:t>extension without</w:t>
      </w:r>
      <w:r w:rsidRPr="00F74CA6">
        <w:rPr>
          <w:szCs w:val="26"/>
        </w:rPr>
        <w:t xml:space="preserve"> charge in order to encourage more residential customers to connect to the Company’s system</w:t>
      </w:r>
      <w:r w:rsidR="00641F0C" w:rsidRPr="00F74CA6">
        <w:rPr>
          <w:szCs w:val="26"/>
        </w:rPr>
        <w:t>.</w:t>
      </w:r>
    </w:p>
    <w:p w14:paraId="19024202" w14:textId="77777777" w:rsidR="00DD7DA8" w:rsidRPr="00F74CA6" w:rsidRDefault="00DD7DA8" w:rsidP="006B265F">
      <w:pPr>
        <w:rPr>
          <w:szCs w:val="26"/>
        </w:rPr>
      </w:pPr>
    </w:p>
    <w:p w14:paraId="06AB18A1" w14:textId="40E69FB9" w:rsidR="00DD7DA8" w:rsidRPr="00F74CA6" w:rsidRDefault="00DD7DA8" w:rsidP="006B265F">
      <w:pPr>
        <w:rPr>
          <w:szCs w:val="26"/>
        </w:rPr>
      </w:pPr>
      <w:r w:rsidRPr="00F74CA6">
        <w:rPr>
          <w:szCs w:val="26"/>
        </w:rPr>
        <w:t xml:space="preserve">On </w:t>
      </w:r>
      <w:r w:rsidR="006F3429" w:rsidRPr="00F74CA6">
        <w:rPr>
          <w:szCs w:val="26"/>
        </w:rPr>
        <w:t>July</w:t>
      </w:r>
      <w:r w:rsidRPr="00F74CA6">
        <w:rPr>
          <w:szCs w:val="26"/>
        </w:rPr>
        <w:t xml:space="preserve"> </w:t>
      </w:r>
      <w:r w:rsidR="006F3429" w:rsidRPr="00F74CA6">
        <w:rPr>
          <w:szCs w:val="26"/>
        </w:rPr>
        <w:t>9</w:t>
      </w:r>
      <w:r w:rsidRPr="00F74CA6">
        <w:rPr>
          <w:szCs w:val="26"/>
        </w:rPr>
        <w:t>, 201</w:t>
      </w:r>
      <w:r w:rsidR="006F3429" w:rsidRPr="00F74CA6">
        <w:rPr>
          <w:szCs w:val="26"/>
        </w:rPr>
        <w:t>9</w:t>
      </w:r>
      <w:r w:rsidRPr="00F74CA6">
        <w:rPr>
          <w:szCs w:val="26"/>
        </w:rPr>
        <w:t xml:space="preserve">, </w:t>
      </w:r>
      <w:r w:rsidR="004F4E56" w:rsidRPr="00F74CA6">
        <w:rPr>
          <w:szCs w:val="26"/>
        </w:rPr>
        <w:t>Peoples</w:t>
      </w:r>
      <w:r w:rsidRPr="00F74CA6">
        <w:rPr>
          <w:szCs w:val="26"/>
        </w:rPr>
        <w:t xml:space="preserve">, I&amp;E, the OCA, the OSBA, </w:t>
      </w:r>
      <w:r w:rsidR="006F3429" w:rsidRPr="00F74CA6">
        <w:rPr>
          <w:szCs w:val="26"/>
        </w:rPr>
        <w:t xml:space="preserve">Direct Energy, </w:t>
      </w:r>
      <w:r w:rsidR="00736517" w:rsidRPr="00F74CA6">
        <w:rPr>
          <w:szCs w:val="26"/>
        </w:rPr>
        <w:t xml:space="preserve">Duquesne, </w:t>
      </w:r>
      <w:r w:rsidR="006F3429" w:rsidRPr="00F74CA6">
        <w:rPr>
          <w:szCs w:val="26"/>
        </w:rPr>
        <w:t>PIOGA, CAAP, CAUSE-PA and Snyder Brothers</w:t>
      </w:r>
      <w:r w:rsidR="00077019" w:rsidRPr="00F74CA6">
        <w:rPr>
          <w:szCs w:val="26"/>
        </w:rPr>
        <w:t xml:space="preserve"> filed the</w:t>
      </w:r>
      <w:r w:rsidRPr="00F74CA6">
        <w:rPr>
          <w:szCs w:val="26"/>
        </w:rPr>
        <w:t xml:space="preserve"> Joint Petition.  Th</w:t>
      </w:r>
      <w:r w:rsidR="008B31C3" w:rsidRPr="00F74CA6">
        <w:rPr>
          <w:szCs w:val="26"/>
        </w:rPr>
        <w:t>e</w:t>
      </w:r>
      <w:r w:rsidRPr="00F74CA6">
        <w:rPr>
          <w:szCs w:val="26"/>
        </w:rPr>
        <w:t xml:space="preserve"> </w:t>
      </w:r>
      <w:r w:rsidR="00206C01" w:rsidRPr="00F74CA6">
        <w:rPr>
          <w:szCs w:val="26"/>
        </w:rPr>
        <w:t>Joint Petition</w:t>
      </w:r>
      <w:r w:rsidR="00A047AE" w:rsidRPr="00F74CA6">
        <w:rPr>
          <w:szCs w:val="26"/>
        </w:rPr>
        <w:t xml:space="preserve"> </w:t>
      </w:r>
      <w:r w:rsidRPr="00F74CA6">
        <w:rPr>
          <w:szCs w:val="26"/>
        </w:rPr>
        <w:t>was also served on</w:t>
      </w:r>
      <w:r w:rsidR="007E07CE" w:rsidRPr="00F74CA6">
        <w:rPr>
          <w:szCs w:val="26"/>
        </w:rPr>
        <w:t xml:space="preserve"> each of the</w:t>
      </w:r>
      <w:r w:rsidRPr="00F74CA6">
        <w:rPr>
          <w:szCs w:val="26"/>
        </w:rPr>
        <w:t xml:space="preserve"> individual </w:t>
      </w:r>
      <w:r w:rsidR="008B31C3" w:rsidRPr="00F74CA6">
        <w:rPr>
          <w:szCs w:val="26"/>
        </w:rPr>
        <w:t>C</w:t>
      </w:r>
      <w:r w:rsidRPr="00F74CA6">
        <w:rPr>
          <w:szCs w:val="26"/>
        </w:rPr>
        <w:t>omplainant</w:t>
      </w:r>
      <w:r w:rsidR="00F35A0F" w:rsidRPr="00F74CA6">
        <w:rPr>
          <w:szCs w:val="26"/>
        </w:rPr>
        <w:t>s</w:t>
      </w:r>
      <w:r w:rsidRPr="00F74CA6">
        <w:rPr>
          <w:szCs w:val="26"/>
        </w:rPr>
        <w:t xml:space="preserve">.  By </w:t>
      </w:r>
      <w:r w:rsidR="00F35A0F" w:rsidRPr="00F74CA6">
        <w:rPr>
          <w:szCs w:val="26"/>
        </w:rPr>
        <w:t>letter</w:t>
      </w:r>
      <w:r w:rsidRPr="00F74CA6">
        <w:rPr>
          <w:szCs w:val="26"/>
        </w:rPr>
        <w:t xml:space="preserve"> dated </w:t>
      </w:r>
      <w:r w:rsidR="00F35A0F" w:rsidRPr="00F74CA6">
        <w:rPr>
          <w:szCs w:val="26"/>
        </w:rPr>
        <w:t>July 10,</w:t>
      </w:r>
      <w:r w:rsidRPr="00F74CA6">
        <w:rPr>
          <w:szCs w:val="26"/>
        </w:rPr>
        <w:t xml:space="preserve"> 201</w:t>
      </w:r>
      <w:r w:rsidR="00F35A0F" w:rsidRPr="00F74CA6">
        <w:rPr>
          <w:szCs w:val="26"/>
        </w:rPr>
        <w:t>9</w:t>
      </w:r>
      <w:r w:rsidRPr="00F74CA6">
        <w:rPr>
          <w:szCs w:val="26"/>
        </w:rPr>
        <w:t xml:space="preserve">, </w:t>
      </w:r>
      <w:r w:rsidR="00D71D6E" w:rsidRPr="00F74CA6">
        <w:rPr>
          <w:szCs w:val="26"/>
        </w:rPr>
        <w:t xml:space="preserve">the Commission directed </w:t>
      </w:r>
      <w:r w:rsidRPr="00F74CA6">
        <w:rPr>
          <w:szCs w:val="26"/>
        </w:rPr>
        <w:t xml:space="preserve">any </w:t>
      </w:r>
      <w:r w:rsidR="008B31C3" w:rsidRPr="00F74CA6">
        <w:rPr>
          <w:szCs w:val="26"/>
        </w:rPr>
        <w:t>P</w:t>
      </w:r>
      <w:r w:rsidRPr="00F74CA6">
        <w:rPr>
          <w:szCs w:val="26"/>
        </w:rPr>
        <w:t xml:space="preserve">arty wishing to object to the </w:t>
      </w:r>
      <w:r w:rsidR="00206C01" w:rsidRPr="00F74CA6">
        <w:rPr>
          <w:szCs w:val="26"/>
        </w:rPr>
        <w:t>Joint Petition</w:t>
      </w:r>
      <w:r w:rsidR="00A047AE" w:rsidRPr="00F74CA6">
        <w:rPr>
          <w:szCs w:val="26"/>
        </w:rPr>
        <w:t xml:space="preserve"> </w:t>
      </w:r>
      <w:r w:rsidRPr="00F74CA6">
        <w:rPr>
          <w:szCs w:val="26"/>
        </w:rPr>
        <w:t xml:space="preserve">to file those objections on or before </w:t>
      </w:r>
      <w:r w:rsidR="00F35A0F" w:rsidRPr="00F74CA6">
        <w:rPr>
          <w:szCs w:val="26"/>
        </w:rPr>
        <w:t>July</w:t>
      </w:r>
      <w:r w:rsidRPr="00F74CA6">
        <w:rPr>
          <w:szCs w:val="26"/>
        </w:rPr>
        <w:t xml:space="preserve"> </w:t>
      </w:r>
      <w:r w:rsidR="00F35A0F" w:rsidRPr="00F74CA6">
        <w:rPr>
          <w:szCs w:val="26"/>
        </w:rPr>
        <w:t>22</w:t>
      </w:r>
      <w:r w:rsidRPr="00F74CA6">
        <w:rPr>
          <w:szCs w:val="26"/>
        </w:rPr>
        <w:t>, 201</w:t>
      </w:r>
      <w:r w:rsidR="00F35A0F" w:rsidRPr="00F74CA6">
        <w:rPr>
          <w:szCs w:val="26"/>
        </w:rPr>
        <w:t>9</w:t>
      </w:r>
      <w:r w:rsidRPr="00F74CA6">
        <w:rPr>
          <w:szCs w:val="26"/>
        </w:rPr>
        <w:t>.  No objections were received.</w:t>
      </w:r>
      <w:r w:rsidR="00F35A0F" w:rsidRPr="00F74CA6">
        <w:rPr>
          <w:szCs w:val="26"/>
        </w:rPr>
        <w:t xml:space="preserve"> </w:t>
      </w:r>
      <w:r w:rsidR="00C966C9" w:rsidRPr="00F74CA6">
        <w:rPr>
          <w:szCs w:val="26"/>
        </w:rPr>
        <w:t xml:space="preserve"> </w:t>
      </w:r>
      <w:r w:rsidR="00F35A0F" w:rsidRPr="00F74CA6">
        <w:rPr>
          <w:szCs w:val="26"/>
        </w:rPr>
        <w:t>The record was closed on July 22, 2019.</w:t>
      </w:r>
    </w:p>
    <w:p w14:paraId="6CDC7A0E" w14:textId="77777777" w:rsidR="00EB3ADA" w:rsidRPr="00F74CA6" w:rsidRDefault="00EB3ADA" w:rsidP="006B265F">
      <w:pPr>
        <w:rPr>
          <w:szCs w:val="26"/>
        </w:rPr>
      </w:pPr>
    </w:p>
    <w:p w14:paraId="6143534F" w14:textId="46BBA1FF" w:rsidR="00EB3ADA" w:rsidRPr="00F74CA6" w:rsidRDefault="00543610" w:rsidP="006B265F">
      <w:pPr>
        <w:rPr>
          <w:szCs w:val="26"/>
        </w:rPr>
      </w:pPr>
      <w:r w:rsidRPr="00F74CA6">
        <w:rPr>
          <w:szCs w:val="26"/>
        </w:rPr>
        <w:t>In a Recommended Decision</w:t>
      </w:r>
      <w:r w:rsidR="00077019" w:rsidRPr="00F74CA6">
        <w:rPr>
          <w:szCs w:val="26"/>
        </w:rPr>
        <w:t>,</w:t>
      </w:r>
      <w:r w:rsidRPr="00F74CA6">
        <w:rPr>
          <w:szCs w:val="26"/>
        </w:rPr>
        <w:t xml:space="preserve"> issued on </w:t>
      </w:r>
      <w:r w:rsidR="00C966C9" w:rsidRPr="00F74CA6">
        <w:rPr>
          <w:szCs w:val="26"/>
        </w:rPr>
        <w:t>August</w:t>
      </w:r>
      <w:r w:rsidRPr="00F74CA6">
        <w:rPr>
          <w:szCs w:val="26"/>
        </w:rPr>
        <w:t xml:space="preserve"> </w:t>
      </w:r>
      <w:r w:rsidR="00C966C9" w:rsidRPr="00F74CA6">
        <w:rPr>
          <w:szCs w:val="26"/>
        </w:rPr>
        <w:t>15</w:t>
      </w:r>
      <w:r w:rsidRPr="00F74CA6">
        <w:rPr>
          <w:szCs w:val="26"/>
        </w:rPr>
        <w:t>, 201</w:t>
      </w:r>
      <w:r w:rsidR="000D7919" w:rsidRPr="00F74CA6">
        <w:rPr>
          <w:szCs w:val="26"/>
        </w:rPr>
        <w:t>9</w:t>
      </w:r>
      <w:r w:rsidRPr="00F74CA6">
        <w:rPr>
          <w:szCs w:val="26"/>
        </w:rPr>
        <w:t xml:space="preserve">, </w:t>
      </w:r>
      <w:r w:rsidR="000D7919" w:rsidRPr="00F74CA6">
        <w:rPr>
          <w:szCs w:val="26"/>
        </w:rPr>
        <w:t xml:space="preserve">Deputy Chief </w:t>
      </w:r>
      <w:r w:rsidRPr="00F74CA6">
        <w:rPr>
          <w:szCs w:val="26"/>
        </w:rPr>
        <w:t xml:space="preserve">ALJ </w:t>
      </w:r>
      <w:r w:rsidR="00843CBE" w:rsidRPr="00F74CA6">
        <w:rPr>
          <w:szCs w:val="26"/>
        </w:rPr>
        <w:t>Cheskis</w:t>
      </w:r>
      <w:r w:rsidRPr="00F74CA6">
        <w:rPr>
          <w:szCs w:val="26"/>
        </w:rPr>
        <w:t xml:space="preserve"> rec</w:t>
      </w:r>
      <w:r w:rsidR="00125A29" w:rsidRPr="00F74CA6">
        <w:rPr>
          <w:szCs w:val="26"/>
        </w:rPr>
        <w:t xml:space="preserve">ommended approval of the </w:t>
      </w:r>
      <w:r w:rsidR="00A047AE" w:rsidRPr="00F74CA6">
        <w:rPr>
          <w:szCs w:val="26"/>
        </w:rPr>
        <w:t xml:space="preserve">Joint </w:t>
      </w:r>
      <w:r w:rsidR="00EA69F7" w:rsidRPr="00F74CA6">
        <w:rPr>
          <w:szCs w:val="26"/>
        </w:rPr>
        <w:t>Petition,</w:t>
      </w:r>
      <w:r w:rsidRPr="00F74CA6">
        <w:rPr>
          <w:szCs w:val="26"/>
        </w:rPr>
        <w:t xml:space="preserve"> without modification</w:t>
      </w:r>
      <w:r w:rsidR="000D7919" w:rsidRPr="00F74CA6">
        <w:rPr>
          <w:szCs w:val="26"/>
        </w:rPr>
        <w:t>.</w:t>
      </w:r>
      <w:r w:rsidRPr="00F74CA6">
        <w:rPr>
          <w:szCs w:val="26"/>
        </w:rPr>
        <w:t xml:space="preserve"> </w:t>
      </w:r>
      <w:r w:rsidR="00FF5540" w:rsidRPr="00F74CA6">
        <w:rPr>
          <w:szCs w:val="26"/>
        </w:rPr>
        <w:t xml:space="preserve"> In addition, the ALJ recommended approval of the remaining one issue that the Parties did not settle.</w:t>
      </w:r>
    </w:p>
    <w:p w14:paraId="6EDFF103" w14:textId="77777777" w:rsidR="00077019" w:rsidRPr="00F74CA6" w:rsidRDefault="00077019" w:rsidP="006B265F">
      <w:pPr>
        <w:rPr>
          <w:szCs w:val="26"/>
        </w:rPr>
      </w:pPr>
    </w:p>
    <w:p w14:paraId="202DEED6" w14:textId="3D08C7F9" w:rsidR="00B567A1" w:rsidRPr="00F74CA6" w:rsidRDefault="00B567A1" w:rsidP="006B265F">
      <w:pPr>
        <w:rPr>
          <w:szCs w:val="26"/>
        </w:rPr>
      </w:pPr>
      <w:r w:rsidRPr="00F74CA6">
        <w:rPr>
          <w:szCs w:val="26"/>
        </w:rPr>
        <w:lastRenderedPageBreak/>
        <w:t xml:space="preserve">As noted, Exceptions were filed by </w:t>
      </w:r>
      <w:r w:rsidR="00D71D6E" w:rsidRPr="00F74CA6">
        <w:rPr>
          <w:szCs w:val="26"/>
        </w:rPr>
        <w:t xml:space="preserve">the </w:t>
      </w:r>
      <w:r w:rsidR="00843CBE" w:rsidRPr="00F74CA6">
        <w:rPr>
          <w:szCs w:val="26"/>
        </w:rPr>
        <w:t xml:space="preserve">OSBA </w:t>
      </w:r>
      <w:r w:rsidRPr="00F74CA6">
        <w:rPr>
          <w:szCs w:val="26"/>
        </w:rPr>
        <w:t xml:space="preserve">on </w:t>
      </w:r>
      <w:r w:rsidR="000D7919" w:rsidRPr="00F74CA6">
        <w:rPr>
          <w:szCs w:val="26"/>
        </w:rPr>
        <w:t>August</w:t>
      </w:r>
      <w:r w:rsidR="003A096B" w:rsidRPr="00F74CA6">
        <w:rPr>
          <w:szCs w:val="26"/>
        </w:rPr>
        <w:t> </w:t>
      </w:r>
      <w:r w:rsidRPr="00F74CA6">
        <w:rPr>
          <w:szCs w:val="26"/>
        </w:rPr>
        <w:t>2</w:t>
      </w:r>
      <w:r w:rsidR="000D7919" w:rsidRPr="00F74CA6">
        <w:rPr>
          <w:szCs w:val="26"/>
        </w:rPr>
        <w:t>2</w:t>
      </w:r>
      <w:r w:rsidRPr="00F74CA6">
        <w:rPr>
          <w:szCs w:val="26"/>
        </w:rPr>
        <w:t>, 201</w:t>
      </w:r>
      <w:r w:rsidR="000D7919" w:rsidRPr="00F74CA6">
        <w:rPr>
          <w:szCs w:val="26"/>
        </w:rPr>
        <w:t>9</w:t>
      </w:r>
      <w:r w:rsidRPr="00F74CA6">
        <w:rPr>
          <w:szCs w:val="26"/>
        </w:rPr>
        <w:t xml:space="preserve">.  Replies to Exceptions were filed by </w:t>
      </w:r>
      <w:r w:rsidR="00D71D6E" w:rsidRPr="00F74CA6">
        <w:rPr>
          <w:szCs w:val="26"/>
        </w:rPr>
        <w:t xml:space="preserve">the </w:t>
      </w:r>
      <w:r w:rsidRPr="00F74CA6">
        <w:rPr>
          <w:szCs w:val="26"/>
        </w:rPr>
        <w:t>OCA</w:t>
      </w:r>
      <w:r w:rsidR="000D7919" w:rsidRPr="00F74CA6">
        <w:rPr>
          <w:szCs w:val="26"/>
        </w:rPr>
        <w:t xml:space="preserve"> </w:t>
      </w:r>
      <w:r w:rsidR="00F37F53" w:rsidRPr="00F74CA6">
        <w:rPr>
          <w:szCs w:val="26"/>
        </w:rPr>
        <w:t xml:space="preserve">and Peoples </w:t>
      </w:r>
      <w:r w:rsidR="000D7919" w:rsidRPr="00F74CA6">
        <w:rPr>
          <w:szCs w:val="26"/>
        </w:rPr>
        <w:t>on August 27, 2019.</w:t>
      </w:r>
    </w:p>
    <w:p w14:paraId="1D304D34" w14:textId="77777777" w:rsidR="00714FEB" w:rsidRPr="00F74CA6" w:rsidRDefault="00714FEB" w:rsidP="006B265F">
      <w:pPr>
        <w:rPr>
          <w:szCs w:val="26"/>
        </w:rPr>
      </w:pPr>
    </w:p>
    <w:p w14:paraId="610E85FA" w14:textId="14EC6A6F" w:rsidR="00B567A1" w:rsidRPr="00F74CA6" w:rsidRDefault="000D7919" w:rsidP="001A5089">
      <w:pPr>
        <w:pStyle w:val="Heading1"/>
        <w:spacing w:line="360" w:lineRule="auto"/>
        <w:ind w:left="0" w:firstLine="0"/>
        <w:rPr>
          <w:rFonts w:cs="Times New Roman"/>
          <w:szCs w:val="26"/>
        </w:rPr>
      </w:pPr>
      <w:r w:rsidRPr="00F74CA6">
        <w:rPr>
          <w:rFonts w:cs="Times New Roman"/>
          <w:szCs w:val="26"/>
        </w:rPr>
        <w:t xml:space="preserve"> </w:t>
      </w:r>
      <w:r w:rsidR="00D71D6E" w:rsidRPr="00F74CA6">
        <w:rPr>
          <w:rFonts w:cs="Times New Roman"/>
          <w:szCs w:val="26"/>
        </w:rPr>
        <w:tab/>
      </w:r>
      <w:r w:rsidR="00B567A1" w:rsidRPr="00F74CA6">
        <w:rPr>
          <w:rFonts w:cs="Times New Roman"/>
          <w:szCs w:val="26"/>
        </w:rPr>
        <w:t>Introduction</w:t>
      </w:r>
    </w:p>
    <w:p w14:paraId="0536A99B" w14:textId="77777777" w:rsidR="00B567A1" w:rsidRPr="00F74CA6" w:rsidRDefault="00B567A1" w:rsidP="001A5089">
      <w:pPr>
        <w:keepNext/>
        <w:keepLines/>
        <w:rPr>
          <w:szCs w:val="26"/>
        </w:rPr>
      </w:pPr>
    </w:p>
    <w:p w14:paraId="1D15545C" w14:textId="103CA159" w:rsidR="00B567A1" w:rsidRPr="00F74CA6" w:rsidRDefault="00B567A1" w:rsidP="001A5089">
      <w:pPr>
        <w:rPr>
          <w:rFonts w:eastAsiaTheme="minorHAnsi"/>
          <w:szCs w:val="26"/>
        </w:rPr>
      </w:pPr>
      <w:r w:rsidRPr="00F74CA6">
        <w:rPr>
          <w:rFonts w:eastAsiaTheme="minorHAnsi"/>
          <w:szCs w:val="26"/>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r w:rsidRPr="00F74CA6">
        <w:rPr>
          <w:rFonts w:eastAsiaTheme="minorHAnsi"/>
          <w:i/>
          <w:szCs w:val="26"/>
        </w:rPr>
        <w:t>Consolidated Rail Corp. v. Pa. PUC</w:t>
      </w:r>
      <w:r w:rsidRPr="00F74CA6">
        <w:rPr>
          <w:rFonts w:eastAsiaTheme="minorHAnsi"/>
          <w:szCs w:val="26"/>
        </w:rPr>
        <w:t>, 625</w:t>
      </w:r>
      <w:r w:rsidR="00D919E3">
        <w:rPr>
          <w:rFonts w:eastAsiaTheme="minorHAnsi"/>
          <w:szCs w:val="26"/>
        </w:rPr>
        <w:t> </w:t>
      </w:r>
      <w:r w:rsidRPr="00F74CA6">
        <w:rPr>
          <w:rFonts w:eastAsiaTheme="minorHAnsi"/>
          <w:szCs w:val="26"/>
        </w:rPr>
        <w:t xml:space="preserve">A.2d 741 (Pa. Cmwlth. 1993); also see, generally, </w:t>
      </w:r>
      <w:r w:rsidRPr="00F74CA6">
        <w:rPr>
          <w:rFonts w:eastAsiaTheme="minorHAnsi"/>
          <w:i/>
          <w:szCs w:val="26"/>
        </w:rPr>
        <w:t>University of Pennsylvania v. Pa.</w:t>
      </w:r>
      <w:r w:rsidR="00D919E3">
        <w:rPr>
          <w:rFonts w:eastAsiaTheme="minorHAnsi"/>
          <w:i/>
          <w:szCs w:val="26"/>
        </w:rPr>
        <w:t> </w:t>
      </w:r>
      <w:r w:rsidRPr="00F74CA6">
        <w:rPr>
          <w:rFonts w:eastAsiaTheme="minorHAnsi"/>
          <w:i/>
          <w:szCs w:val="26"/>
        </w:rPr>
        <w:t>PUC</w:t>
      </w:r>
      <w:r w:rsidRPr="00F74CA6">
        <w:rPr>
          <w:rFonts w:eastAsiaTheme="minorHAnsi"/>
          <w:szCs w:val="26"/>
        </w:rPr>
        <w:t>, 485 A.2d 1217 (Pa. Cmwlth. 1984).</w:t>
      </w:r>
    </w:p>
    <w:p w14:paraId="565217F9" w14:textId="77777777" w:rsidR="00B567A1" w:rsidRPr="00F74CA6" w:rsidRDefault="00B567A1" w:rsidP="006B265F">
      <w:pPr>
        <w:rPr>
          <w:rFonts w:eastAsiaTheme="minorHAnsi"/>
          <w:szCs w:val="26"/>
        </w:rPr>
      </w:pPr>
    </w:p>
    <w:p w14:paraId="266EA165" w14:textId="403E5F8B" w:rsidR="00B567A1" w:rsidRPr="00F74CA6" w:rsidRDefault="00B567A1" w:rsidP="006B265F">
      <w:pPr>
        <w:rPr>
          <w:rFonts w:eastAsiaTheme="minorHAnsi"/>
          <w:szCs w:val="26"/>
        </w:rPr>
      </w:pPr>
      <w:r w:rsidRPr="00F74CA6">
        <w:rPr>
          <w:rFonts w:eastAsiaTheme="minorHAnsi"/>
          <w:szCs w:val="26"/>
        </w:rPr>
        <w:t>I</w:t>
      </w:r>
      <w:r w:rsidR="00077019" w:rsidRPr="00F74CA6">
        <w:rPr>
          <w:rFonts w:eastAsiaTheme="minorHAnsi"/>
          <w:szCs w:val="26"/>
        </w:rPr>
        <w:t>n h</w:t>
      </w:r>
      <w:r w:rsidR="00FF5540" w:rsidRPr="00F74CA6">
        <w:rPr>
          <w:rFonts w:eastAsiaTheme="minorHAnsi"/>
          <w:szCs w:val="26"/>
        </w:rPr>
        <w:t>is</w:t>
      </w:r>
      <w:r w:rsidRPr="00F74CA6">
        <w:rPr>
          <w:rFonts w:eastAsiaTheme="minorHAnsi"/>
          <w:szCs w:val="26"/>
        </w:rPr>
        <w:t xml:space="preserve"> Recommend</w:t>
      </w:r>
      <w:r w:rsidR="00AC13DB" w:rsidRPr="00F74CA6">
        <w:rPr>
          <w:rFonts w:eastAsiaTheme="minorHAnsi"/>
          <w:szCs w:val="26"/>
        </w:rPr>
        <w:t xml:space="preserve">ed Decision, the ALJ made </w:t>
      </w:r>
      <w:r w:rsidR="00FF5540" w:rsidRPr="00F74CA6">
        <w:rPr>
          <w:rFonts w:eastAsiaTheme="minorHAnsi"/>
          <w:szCs w:val="26"/>
        </w:rPr>
        <w:t>eighty-nine</w:t>
      </w:r>
      <w:r w:rsidRPr="00F74CA6">
        <w:rPr>
          <w:rFonts w:eastAsiaTheme="minorHAnsi"/>
          <w:szCs w:val="26"/>
        </w:rPr>
        <w:t xml:space="preserve"> Findings o</w:t>
      </w:r>
      <w:r w:rsidR="00AC13DB" w:rsidRPr="00F74CA6">
        <w:rPr>
          <w:rFonts w:eastAsiaTheme="minorHAnsi"/>
          <w:szCs w:val="26"/>
        </w:rPr>
        <w:t xml:space="preserve">f Fact and reached </w:t>
      </w:r>
      <w:r w:rsidR="00FF5540" w:rsidRPr="00F74CA6">
        <w:rPr>
          <w:rFonts w:eastAsiaTheme="minorHAnsi"/>
          <w:szCs w:val="26"/>
        </w:rPr>
        <w:t>seventeen</w:t>
      </w:r>
      <w:r w:rsidR="00AC13DB" w:rsidRPr="00F74CA6">
        <w:rPr>
          <w:rFonts w:eastAsiaTheme="minorHAnsi"/>
          <w:szCs w:val="26"/>
        </w:rPr>
        <w:t xml:space="preserve"> Conclusions of Law</w:t>
      </w:r>
      <w:r w:rsidR="006C5383" w:rsidRPr="00F74CA6">
        <w:rPr>
          <w:rFonts w:eastAsiaTheme="minorHAnsi"/>
          <w:szCs w:val="26"/>
        </w:rPr>
        <w:t xml:space="preserve">. </w:t>
      </w:r>
      <w:r w:rsidR="00077019" w:rsidRPr="00F74CA6">
        <w:rPr>
          <w:rFonts w:eastAsiaTheme="minorHAnsi"/>
          <w:szCs w:val="26"/>
        </w:rPr>
        <w:t xml:space="preserve"> </w:t>
      </w:r>
      <w:r w:rsidR="00AC13DB" w:rsidRPr="00F74CA6">
        <w:rPr>
          <w:rFonts w:eastAsiaTheme="minorHAnsi"/>
          <w:szCs w:val="26"/>
        </w:rPr>
        <w:t xml:space="preserve">R.D. at </w:t>
      </w:r>
      <w:r w:rsidR="00FF5540" w:rsidRPr="00F74CA6">
        <w:rPr>
          <w:rFonts w:eastAsiaTheme="minorHAnsi"/>
          <w:szCs w:val="26"/>
        </w:rPr>
        <w:t>7</w:t>
      </w:r>
      <w:r w:rsidRPr="00F74CA6">
        <w:rPr>
          <w:rFonts w:eastAsiaTheme="minorHAnsi"/>
          <w:szCs w:val="26"/>
        </w:rPr>
        <w:t>-</w:t>
      </w:r>
      <w:r w:rsidR="00FF5540" w:rsidRPr="00F74CA6">
        <w:rPr>
          <w:rFonts w:eastAsiaTheme="minorHAnsi"/>
          <w:szCs w:val="26"/>
        </w:rPr>
        <w:t>23</w:t>
      </w:r>
      <w:r w:rsidRPr="00F74CA6">
        <w:rPr>
          <w:rFonts w:eastAsiaTheme="minorHAnsi"/>
          <w:szCs w:val="26"/>
        </w:rPr>
        <w:t xml:space="preserve">, </w:t>
      </w:r>
      <w:r w:rsidR="00FF5540" w:rsidRPr="00F74CA6">
        <w:rPr>
          <w:rFonts w:eastAsiaTheme="minorHAnsi"/>
          <w:szCs w:val="26"/>
        </w:rPr>
        <w:t>60-62</w:t>
      </w:r>
      <w:r w:rsidRPr="00F74CA6">
        <w:rPr>
          <w:rFonts w:eastAsiaTheme="minorHAnsi"/>
          <w:szCs w:val="26"/>
        </w:rPr>
        <w:t>.  The Findings of Fact and Conclusions of Law are incorporated herein by reference and are adopted without comment unless they are either expressly or by necessary implica</w:t>
      </w:r>
      <w:r w:rsidR="00A20488" w:rsidRPr="00F74CA6">
        <w:rPr>
          <w:rFonts w:eastAsiaTheme="minorHAnsi"/>
          <w:szCs w:val="26"/>
        </w:rPr>
        <w:t>tion rejected or modified by this</w:t>
      </w:r>
      <w:r w:rsidRPr="00F74CA6">
        <w:rPr>
          <w:rFonts w:eastAsiaTheme="minorHAnsi"/>
          <w:szCs w:val="26"/>
        </w:rPr>
        <w:t xml:space="preserve"> Opinion and Order.</w:t>
      </w:r>
    </w:p>
    <w:p w14:paraId="7D3275C8" w14:textId="77777777" w:rsidR="00B567A1" w:rsidRPr="00F74CA6" w:rsidRDefault="00B567A1" w:rsidP="006B265F">
      <w:pPr>
        <w:rPr>
          <w:szCs w:val="26"/>
        </w:rPr>
      </w:pPr>
    </w:p>
    <w:p w14:paraId="13DD6E8C" w14:textId="77777777" w:rsidR="00B567A1" w:rsidRPr="00F74CA6" w:rsidRDefault="00AE33EF" w:rsidP="006B265F">
      <w:pPr>
        <w:pStyle w:val="ListParagraph"/>
        <w:keepNext/>
        <w:keepLines/>
        <w:numPr>
          <w:ilvl w:val="0"/>
          <w:numId w:val="2"/>
        </w:numPr>
        <w:ind w:hanging="720"/>
        <w:rPr>
          <w:b/>
          <w:szCs w:val="26"/>
        </w:rPr>
      </w:pPr>
      <w:r w:rsidRPr="00F74CA6">
        <w:rPr>
          <w:b/>
          <w:szCs w:val="26"/>
        </w:rPr>
        <w:t>Legal Standards</w:t>
      </w:r>
    </w:p>
    <w:p w14:paraId="30E6B220" w14:textId="77777777" w:rsidR="00AE33EF" w:rsidRPr="00F74CA6" w:rsidRDefault="00AE33EF" w:rsidP="006B265F">
      <w:pPr>
        <w:pStyle w:val="ListParagraph"/>
        <w:keepNext/>
        <w:keepLines/>
        <w:ind w:firstLine="0"/>
        <w:rPr>
          <w:b/>
          <w:szCs w:val="26"/>
        </w:rPr>
      </w:pPr>
    </w:p>
    <w:p w14:paraId="1D4C311F" w14:textId="77777777" w:rsidR="00AE33EF" w:rsidRPr="00F74CA6" w:rsidRDefault="00AE33EF" w:rsidP="006B265F">
      <w:pPr>
        <w:rPr>
          <w:szCs w:val="26"/>
        </w:rPr>
      </w:pPr>
      <w:r w:rsidRPr="00F74CA6">
        <w:rPr>
          <w:szCs w:val="26"/>
        </w:rPr>
        <w:t xml:space="preserve">The purpose of this investigation is to establish distribution rates for </w:t>
      </w:r>
      <w:r w:rsidR="004F4E56" w:rsidRPr="00F74CA6">
        <w:rPr>
          <w:szCs w:val="26"/>
        </w:rPr>
        <w:t>Peoples</w:t>
      </w:r>
      <w:r w:rsidRPr="00F74CA6">
        <w:rPr>
          <w:szCs w:val="26"/>
        </w:rPr>
        <w:t xml:space="preserve">’ customers that are “just and reasonable” pursuant to Section 1301 of the Public Utility Code (Code), 66 Pa. C.S. § 1301.  A public utility seeking a general rate increase is entitled to an opportunity to earn a fair rate of return on the value of the property dedicated to public service.  </w:t>
      </w:r>
      <w:r w:rsidRPr="00F74CA6">
        <w:rPr>
          <w:i/>
          <w:szCs w:val="26"/>
        </w:rPr>
        <w:t>Bluefield Water Works and Improvement Co. v. Public Service Comm’n of West Virginia</w:t>
      </w:r>
      <w:r w:rsidRPr="002F3162">
        <w:rPr>
          <w:iCs/>
          <w:szCs w:val="26"/>
        </w:rPr>
        <w:t xml:space="preserve">, </w:t>
      </w:r>
      <w:r w:rsidRPr="00F74CA6">
        <w:rPr>
          <w:szCs w:val="26"/>
        </w:rPr>
        <w:t>262 U.S. 679 (1923)</w:t>
      </w:r>
      <w:r w:rsidR="00127651" w:rsidRPr="00F74CA6">
        <w:rPr>
          <w:szCs w:val="26"/>
        </w:rPr>
        <w:t xml:space="preserve"> (</w:t>
      </w:r>
      <w:r w:rsidR="00127651" w:rsidRPr="00F74CA6">
        <w:rPr>
          <w:i/>
          <w:szCs w:val="26"/>
        </w:rPr>
        <w:t>Bluefield</w:t>
      </w:r>
      <w:r w:rsidR="00127651" w:rsidRPr="00F74CA6">
        <w:rPr>
          <w:szCs w:val="26"/>
        </w:rPr>
        <w:t>)</w:t>
      </w:r>
      <w:r w:rsidRPr="00F74CA6">
        <w:rPr>
          <w:szCs w:val="26"/>
        </w:rPr>
        <w:t>.</w:t>
      </w:r>
    </w:p>
    <w:p w14:paraId="0F052E48" w14:textId="77777777" w:rsidR="00FF5540" w:rsidRPr="00F74CA6" w:rsidRDefault="00FF5540" w:rsidP="006B265F">
      <w:pPr>
        <w:rPr>
          <w:szCs w:val="26"/>
        </w:rPr>
      </w:pPr>
    </w:p>
    <w:p w14:paraId="54CD4697" w14:textId="77777777" w:rsidR="00AE33EF" w:rsidRPr="00F74CA6" w:rsidRDefault="00AE33EF" w:rsidP="006B265F">
      <w:pPr>
        <w:rPr>
          <w:szCs w:val="26"/>
        </w:rPr>
      </w:pPr>
      <w:r w:rsidRPr="00F74CA6">
        <w:rPr>
          <w:szCs w:val="26"/>
        </w:rPr>
        <w:t xml:space="preserve">In determining what constitutes a fair rate of return, the Commission is guided by the criteria set forth in </w:t>
      </w:r>
      <w:r w:rsidRPr="00F74CA6">
        <w:rPr>
          <w:i/>
          <w:szCs w:val="26"/>
        </w:rPr>
        <w:t>Bluefield, supra</w:t>
      </w:r>
      <w:r w:rsidR="00B86EBE" w:rsidRPr="00F74CA6">
        <w:rPr>
          <w:i/>
          <w:szCs w:val="26"/>
        </w:rPr>
        <w:t>,</w:t>
      </w:r>
      <w:r w:rsidRPr="00F74CA6">
        <w:rPr>
          <w:i/>
          <w:szCs w:val="26"/>
        </w:rPr>
        <w:t xml:space="preserve"> </w:t>
      </w:r>
      <w:r w:rsidRPr="00F74CA6">
        <w:rPr>
          <w:szCs w:val="26"/>
        </w:rPr>
        <w:t xml:space="preserve">and </w:t>
      </w:r>
      <w:r w:rsidRPr="00F74CA6">
        <w:rPr>
          <w:i/>
          <w:szCs w:val="26"/>
        </w:rPr>
        <w:t xml:space="preserve">Federal Power Comm’n v. Hope </w:t>
      </w:r>
      <w:r w:rsidRPr="00F74CA6">
        <w:rPr>
          <w:i/>
          <w:szCs w:val="26"/>
        </w:rPr>
        <w:lastRenderedPageBreak/>
        <w:t>Natural Gas Co.</w:t>
      </w:r>
      <w:r w:rsidRPr="00F74CA6">
        <w:rPr>
          <w:szCs w:val="26"/>
        </w:rPr>
        <w:t xml:space="preserve">, 320 U.S. 591 (1944).  In </w:t>
      </w:r>
      <w:r w:rsidRPr="00F74CA6">
        <w:rPr>
          <w:i/>
          <w:szCs w:val="26"/>
        </w:rPr>
        <w:t>Bluefield</w:t>
      </w:r>
      <w:r w:rsidRPr="00F74CA6">
        <w:rPr>
          <w:szCs w:val="26"/>
        </w:rPr>
        <w:t xml:space="preserve"> the United States Supreme Court stated:</w:t>
      </w:r>
    </w:p>
    <w:p w14:paraId="6219DECD" w14:textId="77777777" w:rsidR="00AE33EF" w:rsidRPr="00F74CA6" w:rsidRDefault="00AE33EF">
      <w:pPr>
        <w:rPr>
          <w:szCs w:val="26"/>
        </w:rPr>
      </w:pPr>
    </w:p>
    <w:p w14:paraId="15855769" w14:textId="5E51F027" w:rsidR="00AE33EF" w:rsidRPr="00F74CA6" w:rsidRDefault="00AE33EF">
      <w:pPr>
        <w:spacing w:line="240" w:lineRule="auto"/>
        <w:ind w:left="1440" w:right="1440" w:firstLine="720"/>
        <w:rPr>
          <w:szCs w:val="26"/>
        </w:rPr>
      </w:pPr>
      <w:r w:rsidRPr="00F74CA6">
        <w:rPr>
          <w:szCs w:val="26"/>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w:t>
      </w:r>
    </w:p>
    <w:p w14:paraId="37771111" w14:textId="77777777" w:rsidR="00AE33EF" w:rsidRPr="00F74CA6" w:rsidRDefault="00AE33EF">
      <w:pPr>
        <w:keepNext/>
        <w:spacing w:line="240" w:lineRule="auto"/>
        <w:ind w:left="1440" w:right="1440" w:firstLine="0"/>
        <w:rPr>
          <w:szCs w:val="26"/>
        </w:rPr>
      </w:pPr>
      <w:r w:rsidRPr="00F74CA6">
        <w:rPr>
          <w:szCs w:val="26"/>
        </w:rPr>
        <w:t>A rate of return may be too high or too low by changes affecting opportunities for investment, the money market and business conditions generally.</w:t>
      </w:r>
    </w:p>
    <w:p w14:paraId="6DD67C4F" w14:textId="77777777" w:rsidR="00AE33EF" w:rsidRPr="00F74CA6" w:rsidRDefault="00AE33EF" w:rsidP="00EA69F7">
      <w:pPr>
        <w:keepNext/>
        <w:spacing w:line="240" w:lineRule="auto"/>
        <w:ind w:right="1440"/>
        <w:rPr>
          <w:szCs w:val="26"/>
        </w:rPr>
      </w:pPr>
    </w:p>
    <w:p w14:paraId="586BD94F" w14:textId="77777777" w:rsidR="002024F5" w:rsidRPr="00F74CA6" w:rsidRDefault="002024F5" w:rsidP="00EA69F7">
      <w:pPr>
        <w:keepNext/>
        <w:spacing w:line="240" w:lineRule="auto"/>
        <w:ind w:right="1440"/>
        <w:rPr>
          <w:szCs w:val="26"/>
        </w:rPr>
      </w:pPr>
    </w:p>
    <w:p w14:paraId="3C7C9A38" w14:textId="77777777" w:rsidR="00AE33EF" w:rsidRPr="00F74CA6" w:rsidRDefault="00AE33EF" w:rsidP="00EA69F7">
      <w:pPr>
        <w:pStyle w:val="BodyText"/>
        <w:keepNext/>
        <w:spacing w:after="0" w:line="360" w:lineRule="auto"/>
        <w:ind w:firstLine="0"/>
        <w:rPr>
          <w:rFonts w:cs="Times New Roman"/>
          <w:sz w:val="26"/>
          <w:szCs w:val="26"/>
        </w:rPr>
      </w:pPr>
      <w:r w:rsidRPr="00F74CA6">
        <w:rPr>
          <w:rFonts w:cs="Times New Roman"/>
          <w:i/>
          <w:sz w:val="26"/>
          <w:szCs w:val="26"/>
        </w:rPr>
        <w:t>Bluefield</w:t>
      </w:r>
      <w:r w:rsidRPr="002F3162">
        <w:rPr>
          <w:rFonts w:cs="Times New Roman"/>
          <w:iCs/>
          <w:sz w:val="26"/>
          <w:szCs w:val="26"/>
        </w:rPr>
        <w:t>, 2</w:t>
      </w:r>
      <w:r w:rsidRPr="00F74CA6">
        <w:rPr>
          <w:rFonts w:cs="Times New Roman"/>
          <w:sz w:val="26"/>
          <w:szCs w:val="26"/>
        </w:rPr>
        <w:t>62 U.S. at 692-</w:t>
      </w:r>
      <w:r w:rsidR="00127651" w:rsidRPr="00F74CA6">
        <w:rPr>
          <w:rFonts w:cs="Times New Roman"/>
          <w:sz w:val="26"/>
          <w:szCs w:val="26"/>
        </w:rPr>
        <w:t>69</w:t>
      </w:r>
      <w:r w:rsidRPr="00F74CA6">
        <w:rPr>
          <w:rFonts w:cs="Times New Roman"/>
          <w:sz w:val="26"/>
          <w:szCs w:val="26"/>
        </w:rPr>
        <w:t>3.</w:t>
      </w:r>
    </w:p>
    <w:p w14:paraId="13352D1D" w14:textId="77777777" w:rsidR="00AE33EF" w:rsidRPr="00F74CA6" w:rsidRDefault="00AE33EF" w:rsidP="001A5089">
      <w:pPr>
        <w:pStyle w:val="ListParagraph"/>
        <w:ind w:firstLine="0"/>
        <w:rPr>
          <w:b/>
          <w:szCs w:val="26"/>
        </w:rPr>
      </w:pPr>
    </w:p>
    <w:p w14:paraId="7A10720C" w14:textId="77777777" w:rsidR="00B567A1" w:rsidRPr="00F74CA6" w:rsidRDefault="00B567A1" w:rsidP="001A5089">
      <w:pPr>
        <w:pStyle w:val="ListParagraph"/>
        <w:keepNext/>
        <w:keepLines/>
        <w:numPr>
          <w:ilvl w:val="0"/>
          <w:numId w:val="2"/>
        </w:numPr>
        <w:ind w:hanging="720"/>
        <w:rPr>
          <w:b/>
          <w:szCs w:val="26"/>
        </w:rPr>
      </w:pPr>
      <w:r w:rsidRPr="00F74CA6">
        <w:rPr>
          <w:b/>
          <w:szCs w:val="26"/>
        </w:rPr>
        <w:t>Settlements</w:t>
      </w:r>
    </w:p>
    <w:p w14:paraId="63F41F42" w14:textId="77777777" w:rsidR="00B567A1" w:rsidRPr="00F74CA6" w:rsidRDefault="00B567A1" w:rsidP="001A5089">
      <w:pPr>
        <w:keepNext/>
        <w:keepLines/>
        <w:rPr>
          <w:b/>
          <w:szCs w:val="26"/>
        </w:rPr>
      </w:pPr>
    </w:p>
    <w:p w14:paraId="27600C35" w14:textId="77777777" w:rsidR="00B567A1" w:rsidRPr="00F74CA6" w:rsidRDefault="00B567A1">
      <w:pPr>
        <w:rPr>
          <w:szCs w:val="26"/>
        </w:rPr>
      </w:pPr>
      <w:r w:rsidRPr="00F74CA6">
        <w:rPr>
          <w:szCs w:val="26"/>
        </w:rPr>
        <w:t>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w:t>
      </w:r>
      <w:r w:rsidR="001A5089" w:rsidRPr="00F74CA6">
        <w:rPr>
          <w:szCs w:val="26"/>
        </w:rPr>
        <w:t xml:space="preserve"> utility involved in the case.</w:t>
      </w:r>
    </w:p>
    <w:p w14:paraId="2AC10FF1" w14:textId="77777777" w:rsidR="00FF5540" w:rsidRPr="00F74CA6" w:rsidRDefault="00FF5540">
      <w:pPr>
        <w:rPr>
          <w:szCs w:val="26"/>
        </w:rPr>
      </w:pPr>
    </w:p>
    <w:p w14:paraId="4B8D5D5A" w14:textId="61880772" w:rsidR="00B567A1" w:rsidRPr="00F74CA6" w:rsidRDefault="00AE33EF">
      <w:pPr>
        <w:suppressAutoHyphens/>
        <w:rPr>
          <w:szCs w:val="26"/>
        </w:rPr>
      </w:pPr>
      <w:r w:rsidRPr="00F74CA6">
        <w:rPr>
          <w:szCs w:val="26"/>
        </w:rPr>
        <w:lastRenderedPageBreak/>
        <w:t>Rate increase</w:t>
      </w:r>
      <w:r w:rsidR="00B567A1" w:rsidRPr="00F74CA6">
        <w:rPr>
          <w:szCs w:val="26"/>
        </w:rPr>
        <w:t xml:space="preserve"> proceedings are expensive to litigate,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Commission’s decision, yielding significant expense savings for the company’s customers.  For this and other sound reasons, settlements are encouraged by long-standing Commission policy.</w:t>
      </w:r>
    </w:p>
    <w:p w14:paraId="09432682" w14:textId="77777777" w:rsidR="00B567A1" w:rsidRPr="00F74CA6" w:rsidRDefault="00B567A1">
      <w:pPr>
        <w:rPr>
          <w:szCs w:val="26"/>
        </w:rPr>
      </w:pPr>
      <w:r w:rsidRPr="00F74CA6">
        <w:rPr>
          <w:szCs w:val="26"/>
        </w:rPr>
        <w:t xml:space="preserve">Despite the policy favoring settlements, the Commission does not simply rubber stamp settlements without further inquiry.  In order to accept a settlement such as </w:t>
      </w:r>
      <w:r w:rsidR="00127651" w:rsidRPr="00F74CA6">
        <w:rPr>
          <w:szCs w:val="26"/>
        </w:rPr>
        <w:t xml:space="preserve">those </w:t>
      </w:r>
      <w:r w:rsidRPr="00F74CA6">
        <w:rPr>
          <w:szCs w:val="26"/>
        </w:rPr>
        <w:t xml:space="preserve">proposed here, the Commission must determine that the proposed terms and conditions are in the public interest.  </w:t>
      </w:r>
      <w:r w:rsidRPr="00F74CA6">
        <w:rPr>
          <w:i/>
          <w:szCs w:val="26"/>
        </w:rPr>
        <w:t>Pa. PUC v. York Water Co.</w:t>
      </w:r>
      <w:r w:rsidRPr="00F74CA6">
        <w:rPr>
          <w:szCs w:val="26"/>
        </w:rPr>
        <w:t>, Docket No. R</w:t>
      </w:r>
      <w:r w:rsidRPr="00F74CA6">
        <w:rPr>
          <w:szCs w:val="26"/>
        </w:rPr>
        <w:noBreakHyphen/>
        <w:t xml:space="preserve">00049165 (Order entered October 4, 2004); </w:t>
      </w:r>
      <w:r w:rsidRPr="00F74CA6">
        <w:rPr>
          <w:i/>
          <w:szCs w:val="26"/>
        </w:rPr>
        <w:t>Pa. PUC v. C. S. Water and Sewer Assoc.</w:t>
      </w:r>
      <w:r w:rsidRPr="00F74CA6">
        <w:rPr>
          <w:szCs w:val="26"/>
        </w:rPr>
        <w:t>, 74 Pa. P.U.C. 767 (1991).</w:t>
      </w:r>
    </w:p>
    <w:p w14:paraId="7028F069" w14:textId="77777777" w:rsidR="00AE33EF" w:rsidRPr="00F74CA6" w:rsidRDefault="00AE33EF">
      <w:pPr>
        <w:rPr>
          <w:szCs w:val="26"/>
        </w:rPr>
      </w:pPr>
    </w:p>
    <w:p w14:paraId="6D9BEC45" w14:textId="77777777" w:rsidR="00AE33EF" w:rsidRPr="00F74CA6" w:rsidRDefault="00AE33EF">
      <w:pPr>
        <w:rPr>
          <w:szCs w:val="26"/>
        </w:rPr>
      </w:pPr>
      <w:r w:rsidRPr="00F74CA6">
        <w:rPr>
          <w:szCs w:val="26"/>
        </w:rPr>
        <w:t>With regard to the burden of proof in this matter, Section 315(a) of the Code provides:</w:t>
      </w:r>
    </w:p>
    <w:p w14:paraId="11C40449" w14:textId="77777777" w:rsidR="00AE33EF" w:rsidRPr="00F74CA6" w:rsidRDefault="00AE33EF">
      <w:pPr>
        <w:rPr>
          <w:szCs w:val="26"/>
        </w:rPr>
      </w:pPr>
    </w:p>
    <w:p w14:paraId="27E529AE" w14:textId="77777777" w:rsidR="00AE33EF" w:rsidRPr="00F74CA6" w:rsidRDefault="00AE33EF">
      <w:pPr>
        <w:keepNext/>
        <w:ind w:left="1440" w:firstLine="0"/>
        <w:jc w:val="both"/>
        <w:rPr>
          <w:b/>
          <w:szCs w:val="26"/>
        </w:rPr>
      </w:pPr>
      <w:r w:rsidRPr="00F74CA6">
        <w:rPr>
          <w:b/>
          <w:szCs w:val="26"/>
        </w:rPr>
        <w:t>§ 315.  Burden of proof</w:t>
      </w:r>
    </w:p>
    <w:p w14:paraId="1D7CC4CA" w14:textId="77777777" w:rsidR="00AE33EF" w:rsidRPr="00F74CA6" w:rsidRDefault="00AE33EF">
      <w:pPr>
        <w:keepNext/>
        <w:numPr>
          <w:ilvl w:val="0"/>
          <w:numId w:val="22"/>
        </w:numPr>
        <w:spacing w:line="240" w:lineRule="auto"/>
        <w:ind w:left="1440" w:right="1440" w:firstLine="360"/>
        <w:rPr>
          <w:szCs w:val="26"/>
        </w:rPr>
      </w:pPr>
      <w:r w:rsidRPr="00F74CA6">
        <w:rPr>
          <w:b/>
          <w:szCs w:val="26"/>
        </w:rPr>
        <w:t>Reasonableness of rates.—</w:t>
      </w:r>
      <w:r w:rsidRPr="00F74CA6">
        <w:rPr>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14:paraId="56964549" w14:textId="77777777" w:rsidR="00AE33EF" w:rsidRPr="00F74CA6" w:rsidRDefault="00AE33EF" w:rsidP="00EA69F7">
      <w:pPr>
        <w:spacing w:line="240" w:lineRule="auto"/>
        <w:rPr>
          <w:szCs w:val="26"/>
        </w:rPr>
      </w:pPr>
    </w:p>
    <w:p w14:paraId="5DECDB6F" w14:textId="77777777" w:rsidR="002024F5" w:rsidRPr="00F74CA6" w:rsidRDefault="002024F5">
      <w:pPr>
        <w:ind w:firstLine="0"/>
        <w:rPr>
          <w:szCs w:val="26"/>
        </w:rPr>
      </w:pPr>
    </w:p>
    <w:p w14:paraId="62AB09F6" w14:textId="2C733F48" w:rsidR="00B567A1" w:rsidRPr="00F74CA6" w:rsidRDefault="00AE33EF">
      <w:pPr>
        <w:ind w:firstLine="0"/>
        <w:rPr>
          <w:szCs w:val="26"/>
        </w:rPr>
      </w:pPr>
      <w:r w:rsidRPr="00F74CA6">
        <w:rPr>
          <w:szCs w:val="26"/>
        </w:rPr>
        <w:lastRenderedPageBreak/>
        <w:t xml:space="preserve">66 Pa. C.S. § 315(a).  Consequently, in this proceeding, </w:t>
      </w:r>
      <w:r w:rsidR="004F4E56" w:rsidRPr="00F74CA6">
        <w:rPr>
          <w:szCs w:val="26"/>
        </w:rPr>
        <w:t>Peoples</w:t>
      </w:r>
      <w:r w:rsidRPr="00F74CA6">
        <w:rPr>
          <w:szCs w:val="26"/>
        </w:rPr>
        <w:t xml:space="preserve"> has the burden to prove that the rate increase proposed by the Settlement is just and reasonable.  </w:t>
      </w:r>
      <w:r w:rsidR="00B567A1" w:rsidRPr="00F74CA6">
        <w:rPr>
          <w:color w:val="000000"/>
          <w:szCs w:val="26"/>
        </w:rPr>
        <w:t>In this case, the</w:t>
      </w:r>
      <w:r w:rsidR="00B567A1" w:rsidRPr="00F74CA6">
        <w:rPr>
          <w:szCs w:val="26"/>
        </w:rPr>
        <w:t xml:space="preserve"> Joint Petitioners have reached an accord on </w:t>
      </w:r>
      <w:r w:rsidR="00FB3A73" w:rsidRPr="00F74CA6">
        <w:rPr>
          <w:szCs w:val="26"/>
        </w:rPr>
        <w:t xml:space="preserve">all but one issue </w:t>
      </w:r>
      <w:r w:rsidR="00B567A1" w:rsidRPr="00F74CA6">
        <w:rPr>
          <w:szCs w:val="26"/>
        </w:rPr>
        <w:t xml:space="preserve">that arose in this proceeding and submitted the </w:t>
      </w:r>
      <w:r w:rsidR="00206C01" w:rsidRPr="00F74CA6">
        <w:rPr>
          <w:szCs w:val="26"/>
        </w:rPr>
        <w:t>Joint Petition</w:t>
      </w:r>
      <w:r w:rsidR="004363EA" w:rsidRPr="00F74CA6">
        <w:rPr>
          <w:szCs w:val="26"/>
        </w:rPr>
        <w:t xml:space="preserve"> </w:t>
      </w:r>
      <w:r w:rsidR="00AC13DB" w:rsidRPr="00F74CA6">
        <w:rPr>
          <w:szCs w:val="26"/>
        </w:rPr>
        <w:t xml:space="preserve">and </w:t>
      </w:r>
      <w:r w:rsidR="00FB3A73" w:rsidRPr="00F74CA6">
        <w:rPr>
          <w:szCs w:val="26"/>
        </w:rPr>
        <w:t>the one remaining issue litigated</w:t>
      </w:r>
      <w:r w:rsidR="00B567A1" w:rsidRPr="00F74CA6">
        <w:rPr>
          <w:szCs w:val="26"/>
        </w:rPr>
        <w:t xml:space="preserve">.  The Joint Petitioners have the burden to prove that the </w:t>
      </w:r>
      <w:r w:rsidR="00C04D9F" w:rsidRPr="00F74CA6">
        <w:rPr>
          <w:szCs w:val="26"/>
        </w:rPr>
        <w:t xml:space="preserve">Partial </w:t>
      </w:r>
      <w:r w:rsidR="004363EA" w:rsidRPr="00F74CA6">
        <w:rPr>
          <w:szCs w:val="26"/>
        </w:rPr>
        <w:t>Settlement</w:t>
      </w:r>
      <w:r w:rsidR="00EA69F7" w:rsidRPr="00F74CA6">
        <w:rPr>
          <w:szCs w:val="26"/>
        </w:rPr>
        <w:t xml:space="preserve"> </w:t>
      </w:r>
      <w:r w:rsidR="00B567A1" w:rsidRPr="00F74CA6">
        <w:rPr>
          <w:szCs w:val="26"/>
        </w:rPr>
        <w:t xml:space="preserve">is in the public interest. </w:t>
      </w:r>
      <w:r w:rsidR="00AC13DB" w:rsidRPr="00F74CA6">
        <w:rPr>
          <w:szCs w:val="26"/>
        </w:rPr>
        <w:t xml:space="preserve"> </w:t>
      </w:r>
      <w:r w:rsidR="004F4E56" w:rsidRPr="00F74CA6">
        <w:rPr>
          <w:szCs w:val="26"/>
        </w:rPr>
        <w:t>Peoples</w:t>
      </w:r>
      <w:r w:rsidR="00FB3A73" w:rsidRPr="00F74CA6">
        <w:rPr>
          <w:szCs w:val="26"/>
        </w:rPr>
        <w:t xml:space="preserve"> also</w:t>
      </w:r>
      <w:r w:rsidR="00AC13DB" w:rsidRPr="00F74CA6">
        <w:rPr>
          <w:szCs w:val="26"/>
        </w:rPr>
        <w:t xml:space="preserve"> have the burden to prove that </w:t>
      </w:r>
      <w:r w:rsidR="001B172F" w:rsidRPr="00F74CA6">
        <w:rPr>
          <w:szCs w:val="26"/>
        </w:rPr>
        <w:t xml:space="preserve">its proposed </w:t>
      </w:r>
      <w:r w:rsidR="00A359E7" w:rsidRPr="00F74CA6">
        <w:rPr>
          <w:szCs w:val="26"/>
        </w:rPr>
        <w:t xml:space="preserve">changes to its </w:t>
      </w:r>
      <w:r w:rsidR="001B172F" w:rsidRPr="00F74CA6">
        <w:rPr>
          <w:szCs w:val="26"/>
        </w:rPr>
        <w:t xml:space="preserve">main line extension policy </w:t>
      </w:r>
      <w:r w:rsidR="00AC13DB" w:rsidRPr="00F74CA6">
        <w:rPr>
          <w:szCs w:val="26"/>
        </w:rPr>
        <w:t>is in the public interest.</w:t>
      </w:r>
    </w:p>
    <w:p w14:paraId="56AA1DFF" w14:textId="77777777" w:rsidR="00B567A1" w:rsidRPr="00F74CA6" w:rsidRDefault="00B567A1">
      <w:pPr>
        <w:rPr>
          <w:b/>
          <w:szCs w:val="26"/>
        </w:rPr>
      </w:pPr>
    </w:p>
    <w:p w14:paraId="574DB499" w14:textId="77777777" w:rsidR="00B567A1" w:rsidRPr="00F74CA6" w:rsidRDefault="00B567A1" w:rsidP="00B47CC0">
      <w:pPr>
        <w:pStyle w:val="Heading1"/>
        <w:spacing w:line="360" w:lineRule="auto"/>
        <w:ind w:left="720" w:hanging="720"/>
        <w:rPr>
          <w:rFonts w:cs="Times New Roman"/>
          <w:szCs w:val="26"/>
        </w:rPr>
      </w:pPr>
      <w:r w:rsidRPr="00F74CA6">
        <w:rPr>
          <w:rFonts w:cs="Times New Roman"/>
          <w:szCs w:val="26"/>
        </w:rPr>
        <w:t>The Joint Petition for Partial Settlement</w:t>
      </w:r>
    </w:p>
    <w:p w14:paraId="5B16402D" w14:textId="77777777" w:rsidR="00B567A1" w:rsidRPr="00F74CA6" w:rsidRDefault="00B567A1" w:rsidP="00B47CC0">
      <w:pPr>
        <w:keepNext/>
        <w:keepLines/>
        <w:rPr>
          <w:szCs w:val="26"/>
        </w:rPr>
      </w:pPr>
    </w:p>
    <w:p w14:paraId="7FA8DC14" w14:textId="77777777" w:rsidR="00B567A1" w:rsidRPr="00F74CA6" w:rsidRDefault="00B567A1" w:rsidP="00B47CC0">
      <w:pPr>
        <w:pStyle w:val="ListParagraph"/>
        <w:keepNext/>
        <w:keepLines/>
        <w:numPr>
          <w:ilvl w:val="0"/>
          <w:numId w:val="3"/>
        </w:numPr>
        <w:ind w:hanging="720"/>
        <w:rPr>
          <w:b/>
          <w:szCs w:val="26"/>
        </w:rPr>
      </w:pPr>
      <w:r w:rsidRPr="00F74CA6">
        <w:rPr>
          <w:b/>
          <w:szCs w:val="26"/>
        </w:rPr>
        <w:t>Terms and Conditions of the Partial Settlement</w:t>
      </w:r>
    </w:p>
    <w:p w14:paraId="0C0FF463" w14:textId="77777777" w:rsidR="00B567A1" w:rsidRPr="00F74CA6" w:rsidRDefault="00B567A1" w:rsidP="00B47CC0">
      <w:pPr>
        <w:keepNext/>
        <w:keepLines/>
        <w:rPr>
          <w:b/>
          <w:szCs w:val="26"/>
        </w:rPr>
      </w:pPr>
    </w:p>
    <w:p w14:paraId="5B1F3D06" w14:textId="3818AF5B" w:rsidR="00460A91" w:rsidRPr="00F74CA6" w:rsidRDefault="00B567A1" w:rsidP="00B47CC0">
      <w:pPr>
        <w:rPr>
          <w:szCs w:val="26"/>
        </w:rPr>
      </w:pPr>
      <w:r w:rsidRPr="00F74CA6">
        <w:rPr>
          <w:szCs w:val="26"/>
        </w:rPr>
        <w:t xml:space="preserve">The Joint Petitioners agreed to the </w:t>
      </w:r>
      <w:r w:rsidR="00C04D9F" w:rsidRPr="00F74CA6">
        <w:rPr>
          <w:szCs w:val="26"/>
        </w:rPr>
        <w:t xml:space="preserve">Partial </w:t>
      </w:r>
      <w:r w:rsidR="004363EA" w:rsidRPr="00F74CA6">
        <w:rPr>
          <w:szCs w:val="26"/>
        </w:rPr>
        <w:t>Settlement</w:t>
      </w:r>
      <w:r w:rsidR="00A047AE" w:rsidRPr="00F74CA6">
        <w:rPr>
          <w:szCs w:val="26"/>
        </w:rPr>
        <w:t xml:space="preserve"> </w:t>
      </w:r>
      <w:r w:rsidRPr="00F74CA6">
        <w:rPr>
          <w:szCs w:val="26"/>
        </w:rPr>
        <w:t>co</w:t>
      </w:r>
      <w:r w:rsidR="00460A91" w:rsidRPr="00F74CA6">
        <w:rPr>
          <w:szCs w:val="26"/>
        </w:rPr>
        <w:t>vering all issues except for one</w:t>
      </w:r>
      <w:r w:rsidRPr="00F74CA6">
        <w:rPr>
          <w:szCs w:val="26"/>
        </w:rPr>
        <w:t xml:space="preserve">.  </w:t>
      </w:r>
      <w:r w:rsidR="009F6742" w:rsidRPr="00F74CA6">
        <w:rPr>
          <w:szCs w:val="26"/>
        </w:rPr>
        <w:t xml:space="preserve">The </w:t>
      </w:r>
      <w:r w:rsidR="00C04D9F" w:rsidRPr="00F74CA6">
        <w:rPr>
          <w:szCs w:val="26"/>
        </w:rPr>
        <w:t xml:space="preserve">Partial </w:t>
      </w:r>
      <w:r w:rsidR="004363EA" w:rsidRPr="00F74CA6">
        <w:rPr>
          <w:szCs w:val="26"/>
        </w:rPr>
        <w:t>Settlement</w:t>
      </w:r>
      <w:r w:rsidR="00A047AE" w:rsidRPr="00F74CA6">
        <w:rPr>
          <w:szCs w:val="26"/>
        </w:rPr>
        <w:t xml:space="preserve"> </w:t>
      </w:r>
      <w:r w:rsidR="009F6742" w:rsidRPr="00F74CA6">
        <w:rPr>
          <w:szCs w:val="26"/>
        </w:rPr>
        <w:t>provides for increases in rates, the merge</w:t>
      </w:r>
      <w:r w:rsidR="004363EA" w:rsidRPr="00F74CA6">
        <w:rPr>
          <w:szCs w:val="26"/>
        </w:rPr>
        <w:t>r</w:t>
      </w:r>
      <w:r w:rsidR="009F6742" w:rsidRPr="00F74CA6">
        <w:rPr>
          <w:szCs w:val="26"/>
        </w:rPr>
        <w:t xml:space="preserve"> o</w:t>
      </w:r>
      <w:r w:rsidR="004363EA" w:rsidRPr="00F74CA6">
        <w:rPr>
          <w:szCs w:val="26"/>
        </w:rPr>
        <w:t>f</w:t>
      </w:r>
      <w:r w:rsidR="009F6742" w:rsidRPr="00F74CA6">
        <w:rPr>
          <w:szCs w:val="26"/>
        </w:rPr>
        <w:t xml:space="preserve"> rates of the Company’s Peoples and Equitable Divisions, the combination of various other tariff provisions into single retail and supplier tariffs for the Company and the elimination of separate divisions</w:t>
      </w:r>
      <w:r w:rsidR="004363EA" w:rsidRPr="00F74CA6">
        <w:rPr>
          <w:szCs w:val="26"/>
        </w:rPr>
        <w:t xml:space="preserve"> of the Company</w:t>
      </w:r>
      <w:r w:rsidR="009F6742" w:rsidRPr="00F74CA6">
        <w:rPr>
          <w:szCs w:val="26"/>
        </w:rPr>
        <w:t xml:space="preserve">.  </w:t>
      </w:r>
      <w:r w:rsidR="00AE33EF" w:rsidRPr="00F74CA6">
        <w:rPr>
          <w:szCs w:val="26"/>
        </w:rPr>
        <w:t xml:space="preserve">The </w:t>
      </w:r>
      <w:r w:rsidR="00206C01" w:rsidRPr="00F74CA6">
        <w:rPr>
          <w:szCs w:val="26"/>
        </w:rPr>
        <w:t>Joint Petition</w:t>
      </w:r>
      <w:r w:rsidR="00A047AE" w:rsidRPr="00F74CA6">
        <w:rPr>
          <w:szCs w:val="26"/>
        </w:rPr>
        <w:t xml:space="preserve"> </w:t>
      </w:r>
      <w:r w:rsidR="00AE33EF" w:rsidRPr="00F74CA6">
        <w:rPr>
          <w:szCs w:val="26"/>
        </w:rPr>
        <w:t>will result in an increase</w:t>
      </w:r>
      <w:r w:rsidR="00E142B8" w:rsidRPr="00F74CA6">
        <w:rPr>
          <w:szCs w:val="26"/>
        </w:rPr>
        <w:t xml:space="preserve"> in distribution revenues of $</w:t>
      </w:r>
      <w:r w:rsidR="009F6742" w:rsidRPr="00F74CA6">
        <w:rPr>
          <w:szCs w:val="26"/>
        </w:rPr>
        <w:t>63,384,103,</w:t>
      </w:r>
      <w:r w:rsidR="00AE33EF" w:rsidRPr="00F74CA6">
        <w:rPr>
          <w:szCs w:val="26"/>
        </w:rPr>
        <w:t xml:space="preserve"> </w:t>
      </w:r>
      <w:r w:rsidR="009F6742" w:rsidRPr="00F74CA6">
        <w:rPr>
          <w:szCs w:val="26"/>
        </w:rPr>
        <w:t>as a result of approval of elimination of connection fees, pooling fees, and other miscellaneous charges, netting to the $59.5 million increase in annual operating revenue</w:t>
      </w:r>
      <w:r w:rsidR="003839DE" w:rsidRPr="00F74CA6">
        <w:rPr>
          <w:szCs w:val="26"/>
        </w:rPr>
        <w:t>.</w:t>
      </w:r>
      <w:r w:rsidR="00E142B8" w:rsidRPr="00F74CA6">
        <w:rPr>
          <w:szCs w:val="26"/>
        </w:rPr>
        <w:t xml:space="preserve">  The Joint P</w:t>
      </w:r>
      <w:r w:rsidR="00046B86" w:rsidRPr="00F74CA6">
        <w:rPr>
          <w:szCs w:val="26"/>
        </w:rPr>
        <w:t>etitioners have</w:t>
      </w:r>
      <w:r w:rsidR="00EA69F7" w:rsidRPr="00F74CA6">
        <w:rPr>
          <w:szCs w:val="26"/>
        </w:rPr>
        <w:t xml:space="preserve"> agreed to Peoples’ proposal to pay </w:t>
      </w:r>
      <w:r w:rsidR="003D3357" w:rsidRPr="00F74CA6">
        <w:rPr>
          <w:szCs w:val="26"/>
        </w:rPr>
        <w:t xml:space="preserve">third party fees for customer payments </w:t>
      </w:r>
      <w:r w:rsidR="00EA69F7" w:rsidRPr="00F74CA6">
        <w:rPr>
          <w:szCs w:val="26"/>
        </w:rPr>
        <w:t xml:space="preserve">using </w:t>
      </w:r>
      <w:r w:rsidR="003D3357" w:rsidRPr="00F74CA6">
        <w:rPr>
          <w:szCs w:val="26"/>
        </w:rPr>
        <w:t xml:space="preserve">credit card and debit card, </w:t>
      </w:r>
      <w:r w:rsidR="000B00CF" w:rsidRPr="00F74CA6">
        <w:rPr>
          <w:szCs w:val="26"/>
        </w:rPr>
        <w:t xml:space="preserve">low income customer issues and </w:t>
      </w:r>
      <w:r w:rsidR="000C35CA" w:rsidRPr="00F74CA6">
        <w:rPr>
          <w:szCs w:val="26"/>
        </w:rPr>
        <w:t xml:space="preserve">establishment of </w:t>
      </w:r>
      <w:r w:rsidR="000B00CF" w:rsidRPr="00F74CA6">
        <w:rPr>
          <w:szCs w:val="26"/>
        </w:rPr>
        <w:t>Rate Appalachian Gathering Service for the transportation of gas from unconventional sources, including Marcellus and Utica shale gas</w:t>
      </w:r>
      <w:r w:rsidR="00EA69F7" w:rsidRPr="00F74CA6">
        <w:rPr>
          <w:szCs w:val="26"/>
        </w:rPr>
        <w:t xml:space="preserve">.  </w:t>
      </w:r>
      <w:r w:rsidRPr="00F74CA6">
        <w:rPr>
          <w:szCs w:val="26"/>
        </w:rPr>
        <w:t>The Parties to this proceeding reserved for</w:t>
      </w:r>
      <w:r w:rsidR="00460A91" w:rsidRPr="00F74CA6">
        <w:rPr>
          <w:szCs w:val="26"/>
        </w:rPr>
        <w:t xml:space="preserve"> litigation the </w:t>
      </w:r>
      <w:r w:rsidR="006810AC" w:rsidRPr="00F74CA6">
        <w:rPr>
          <w:szCs w:val="26"/>
        </w:rPr>
        <w:t>one</w:t>
      </w:r>
      <w:r w:rsidR="00460A91" w:rsidRPr="00F74CA6">
        <w:rPr>
          <w:szCs w:val="26"/>
        </w:rPr>
        <w:t xml:space="preserve"> issue</w:t>
      </w:r>
      <w:r w:rsidR="004363EA" w:rsidRPr="00F74CA6">
        <w:rPr>
          <w:szCs w:val="26"/>
        </w:rPr>
        <w:t xml:space="preserve"> - </w:t>
      </w:r>
      <w:r w:rsidR="006810AC" w:rsidRPr="00F74CA6">
        <w:rPr>
          <w:szCs w:val="26"/>
        </w:rPr>
        <w:t>modification to the Company’s current main line extension policy which would provide potential residential customers an allowance of 150 feet of main extension per customer without charge to new customer</w:t>
      </w:r>
      <w:r w:rsidR="00C761A8" w:rsidRPr="00F74CA6">
        <w:rPr>
          <w:szCs w:val="26"/>
        </w:rPr>
        <w:t>s</w:t>
      </w:r>
      <w:r w:rsidR="00460A91" w:rsidRPr="00F74CA6">
        <w:rPr>
          <w:szCs w:val="26"/>
        </w:rPr>
        <w:t>.</w:t>
      </w:r>
    </w:p>
    <w:p w14:paraId="5874FED2" w14:textId="7512B2CB" w:rsidR="00B567A1" w:rsidRPr="00F74CA6" w:rsidRDefault="00B567A1">
      <w:pPr>
        <w:rPr>
          <w:bCs/>
          <w:szCs w:val="26"/>
        </w:rPr>
      </w:pPr>
    </w:p>
    <w:p w14:paraId="1B60B0DB" w14:textId="77777777" w:rsidR="00046B86" w:rsidRPr="00F74CA6" w:rsidRDefault="00E142B8">
      <w:pPr>
        <w:rPr>
          <w:szCs w:val="26"/>
        </w:rPr>
      </w:pPr>
      <w:r w:rsidRPr="00F74CA6">
        <w:rPr>
          <w:szCs w:val="26"/>
        </w:rPr>
        <w:lastRenderedPageBreak/>
        <w:t xml:space="preserve">The Settling Parties state that the Settlement was achieved after an extensive investigation of </w:t>
      </w:r>
      <w:r w:rsidR="004F4E56" w:rsidRPr="00F74CA6">
        <w:rPr>
          <w:szCs w:val="26"/>
        </w:rPr>
        <w:t>Peoples</w:t>
      </w:r>
      <w:r w:rsidRPr="00F74CA6">
        <w:rPr>
          <w:szCs w:val="26"/>
        </w:rPr>
        <w:t xml:space="preserve">’ filing, including informal and formal discovery and the </w:t>
      </w:r>
      <w:r w:rsidR="0047414E" w:rsidRPr="00F74CA6">
        <w:rPr>
          <w:szCs w:val="26"/>
        </w:rPr>
        <w:t>submission</w:t>
      </w:r>
      <w:r w:rsidRPr="00F74CA6">
        <w:rPr>
          <w:szCs w:val="26"/>
        </w:rPr>
        <w:t xml:space="preserve"> of direct, rebuttal, </w:t>
      </w:r>
      <w:r w:rsidR="0047414E" w:rsidRPr="00F74CA6">
        <w:rPr>
          <w:szCs w:val="26"/>
        </w:rPr>
        <w:t xml:space="preserve">supplemental direct, rebuttal, </w:t>
      </w:r>
      <w:r w:rsidRPr="00F74CA6">
        <w:rPr>
          <w:szCs w:val="26"/>
        </w:rPr>
        <w:t>surrebuttal and rejoinder testimony by a number of the Joi</w:t>
      </w:r>
      <w:r w:rsidR="003839DE" w:rsidRPr="00F74CA6">
        <w:rPr>
          <w:szCs w:val="26"/>
        </w:rPr>
        <w:t xml:space="preserve">nt Petitioners.  Settlement ¶ </w:t>
      </w:r>
      <w:r w:rsidR="00A51ADA" w:rsidRPr="00F74CA6">
        <w:rPr>
          <w:szCs w:val="26"/>
        </w:rPr>
        <w:t>74</w:t>
      </w:r>
      <w:r w:rsidR="003839DE" w:rsidRPr="00F74CA6">
        <w:rPr>
          <w:szCs w:val="26"/>
        </w:rPr>
        <w:t xml:space="preserve"> at </w:t>
      </w:r>
      <w:r w:rsidR="00A51ADA" w:rsidRPr="00F74CA6">
        <w:rPr>
          <w:szCs w:val="26"/>
        </w:rPr>
        <w:t>20</w:t>
      </w:r>
      <w:r w:rsidRPr="00F74CA6">
        <w:rPr>
          <w:szCs w:val="26"/>
        </w:rPr>
        <w:t>.  They also state that the Settlement is in the public interest for the reasons set forth in their respective Stateme</w:t>
      </w:r>
      <w:r w:rsidR="00FE21BA" w:rsidRPr="00F74CA6">
        <w:rPr>
          <w:szCs w:val="26"/>
        </w:rPr>
        <w:t xml:space="preserve">nts in Support.  Settlement ¶ </w:t>
      </w:r>
      <w:r w:rsidR="00A51ADA" w:rsidRPr="00F74CA6">
        <w:rPr>
          <w:szCs w:val="26"/>
        </w:rPr>
        <w:t>76</w:t>
      </w:r>
      <w:r w:rsidR="00FE21BA" w:rsidRPr="00F74CA6">
        <w:rPr>
          <w:szCs w:val="26"/>
        </w:rPr>
        <w:t xml:space="preserve"> at </w:t>
      </w:r>
      <w:r w:rsidR="00A51ADA" w:rsidRPr="00F74CA6">
        <w:rPr>
          <w:szCs w:val="26"/>
        </w:rPr>
        <w:t>2</w:t>
      </w:r>
      <w:r w:rsidR="00FE21BA" w:rsidRPr="00F74CA6">
        <w:rPr>
          <w:szCs w:val="26"/>
        </w:rPr>
        <w:t>1</w:t>
      </w:r>
      <w:r w:rsidRPr="00F74CA6">
        <w:rPr>
          <w:szCs w:val="26"/>
        </w:rPr>
        <w:t>.</w:t>
      </w:r>
    </w:p>
    <w:p w14:paraId="676D90FB" w14:textId="77777777" w:rsidR="00212E95" w:rsidRPr="00F74CA6" w:rsidRDefault="00212E95">
      <w:pPr>
        <w:rPr>
          <w:szCs w:val="26"/>
        </w:rPr>
      </w:pPr>
    </w:p>
    <w:p w14:paraId="715FDBB3" w14:textId="27271E88" w:rsidR="00B567A1" w:rsidRPr="00F74CA6" w:rsidRDefault="00B567A1" w:rsidP="00B046DF">
      <w:pPr>
        <w:rPr>
          <w:bCs/>
          <w:szCs w:val="26"/>
        </w:rPr>
      </w:pPr>
      <w:r w:rsidRPr="00F74CA6">
        <w:rPr>
          <w:szCs w:val="26"/>
        </w:rPr>
        <w:t xml:space="preserve">The </w:t>
      </w:r>
      <w:r w:rsidR="00206C01" w:rsidRPr="00F74CA6">
        <w:rPr>
          <w:szCs w:val="26"/>
        </w:rPr>
        <w:t>Joint Petition</w:t>
      </w:r>
      <w:r w:rsidR="00A047AE" w:rsidRPr="00F74CA6">
        <w:rPr>
          <w:szCs w:val="26"/>
        </w:rPr>
        <w:t xml:space="preserve"> </w:t>
      </w:r>
      <w:r w:rsidRPr="00F74CA6">
        <w:rPr>
          <w:szCs w:val="26"/>
        </w:rPr>
        <w:t xml:space="preserve">consists </w:t>
      </w:r>
      <w:r w:rsidR="00A047AE" w:rsidRPr="00F74CA6">
        <w:rPr>
          <w:szCs w:val="26"/>
        </w:rPr>
        <w:t xml:space="preserve">of </w:t>
      </w:r>
      <w:r w:rsidRPr="00F74CA6">
        <w:rPr>
          <w:szCs w:val="26"/>
        </w:rPr>
        <w:t xml:space="preserve">the terms and conditions of the </w:t>
      </w:r>
      <w:r w:rsidR="00C04D9F" w:rsidRPr="00F74CA6">
        <w:rPr>
          <w:szCs w:val="26"/>
        </w:rPr>
        <w:t xml:space="preserve">Partial </w:t>
      </w:r>
      <w:r w:rsidR="00C163ED" w:rsidRPr="00F74CA6">
        <w:rPr>
          <w:szCs w:val="26"/>
        </w:rPr>
        <w:t>Settlement</w:t>
      </w:r>
      <w:r w:rsidR="00A047AE" w:rsidRPr="00F74CA6">
        <w:rPr>
          <w:szCs w:val="26"/>
        </w:rPr>
        <w:t xml:space="preserve"> </w:t>
      </w:r>
      <w:r w:rsidR="007C3189" w:rsidRPr="00F74CA6">
        <w:rPr>
          <w:szCs w:val="26"/>
        </w:rPr>
        <w:t xml:space="preserve">and Appendices A through </w:t>
      </w:r>
      <w:r w:rsidR="00AE1FDC">
        <w:rPr>
          <w:szCs w:val="26"/>
        </w:rPr>
        <w:t>H</w:t>
      </w:r>
      <w:r w:rsidR="007C3189" w:rsidRPr="00F74CA6">
        <w:rPr>
          <w:szCs w:val="26"/>
        </w:rPr>
        <w:t xml:space="preserve">.  </w:t>
      </w:r>
      <w:r w:rsidR="00E142B8" w:rsidRPr="00F74CA6">
        <w:rPr>
          <w:szCs w:val="26"/>
        </w:rPr>
        <w:t xml:space="preserve">Appendix A to the Settlement </w:t>
      </w:r>
      <w:r w:rsidR="00D16640" w:rsidRPr="00F74CA6">
        <w:rPr>
          <w:szCs w:val="26"/>
        </w:rPr>
        <w:t xml:space="preserve">sets out the </w:t>
      </w:r>
      <w:r w:rsidR="002C605E" w:rsidRPr="00F74CA6">
        <w:rPr>
          <w:szCs w:val="26"/>
        </w:rPr>
        <w:t>Retail</w:t>
      </w:r>
      <w:r w:rsidR="00D16640" w:rsidRPr="00F74CA6">
        <w:rPr>
          <w:szCs w:val="26"/>
        </w:rPr>
        <w:t xml:space="preserve"> tariff</w:t>
      </w:r>
      <w:r w:rsidR="002C605E" w:rsidRPr="00F74CA6">
        <w:rPr>
          <w:szCs w:val="26"/>
        </w:rPr>
        <w:t>,</w:t>
      </w:r>
      <w:r w:rsidR="00D16640" w:rsidRPr="00F74CA6">
        <w:rPr>
          <w:szCs w:val="26"/>
        </w:rPr>
        <w:t xml:space="preserve"> </w:t>
      </w:r>
      <w:r w:rsidR="002C605E" w:rsidRPr="00F74CA6">
        <w:rPr>
          <w:szCs w:val="26"/>
        </w:rPr>
        <w:t>clean and redline versions;</w:t>
      </w:r>
      <w:r w:rsidR="00970118" w:rsidRPr="00F74CA6">
        <w:rPr>
          <w:szCs w:val="26"/>
        </w:rPr>
        <w:t xml:space="preserve"> </w:t>
      </w:r>
      <w:r w:rsidR="00BB590A" w:rsidRPr="00F74CA6">
        <w:rPr>
          <w:szCs w:val="26"/>
        </w:rPr>
        <w:t xml:space="preserve">Appendix </w:t>
      </w:r>
      <w:r w:rsidR="00D16640" w:rsidRPr="00F74CA6">
        <w:rPr>
          <w:szCs w:val="26"/>
        </w:rPr>
        <w:t>B</w:t>
      </w:r>
      <w:r w:rsidR="00BB590A" w:rsidRPr="00F74CA6">
        <w:rPr>
          <w:szCs w:val="26"/>
        </w:rPr>
        <w:t xml:space="preserve"> </w:t>
      </w:r>
      <w:r w:rsidR="00885E89">
        <w:rPr>
          <w:szCs w:val="26"/>
        </w:rPr>
        <w:t xml:space="preserve">to the Settlement </w:t>
      </w:r>
      <w:r w:rsidR="00D16640" w:rsidRPr="00F74CA6">
        <w:rPr>
          <w:szCs w:val="26"/>
        </w:rPr>
        <w:t xml:space="preserve">sets out the </w:t>
      </w:r>
      <w:r w:rsidR="002C605E" w:rsidRPr="00F74CA6">
        <w:rPr>
          <w:szCs w:val="26"/>
        </w:rPr>
        <w:t xml:space="preserve">Supplier </w:t>
      </w:r>
      <w:r w:rsidR="00D16640" w:rsidRPr="00F74CA6">
        <w:rPr>
          <w:szCs w:val="26"/>
        </w:rPr>
        <w:t>tariff</w:t>
      </w:r>
      <w:r w:rsidR="002C605E" w:rsidRPr="00F74CA6">
        <w:rPr>
          <w:szCs w:val="26"/>
        </w:rPr>
        <w:t>, clean and redline versions</w:t>
      </w:r>
      <w:r w:rsidR="00BB590A" w:rsidRPr="00F74CA6">
        <w:rPr>
          <w:szCs w:val="26"/>
        </w:rPr>
        <w:t>; Appendix C</w:t>
      </w:r>
      <w:r w:rsidR="00D16640" w:rsidRPr="00F74CA6">
        <w:rPr>
          <w:szCs w:val="26"/>
        </w:rPr>
        <w:t xml:space="preserve"> </w:t>
      </w:r>
      <w:r w:rsidR="00885E89">
        <w:rPr>
          <w:szCs w:val="26"/>
        </w:rPr>
        <w:t xml:space="preserve">to the Settlement </w:t>
      </w:r>
      <w:r w:rsidR="00C163ED" w:rsidRPr="00F74CA6">
        <w:rPr>
          <w:szCs w:val="26"/>
        </w:rPr>
        <w:t xml:space="preserve">provides </w:t>
      </w:r>
      <w:r w:rsidR="00EC4E4A" w:rsidRPr="00F74CA6">
        <w:rPr>
          <w:szCs w:val="26"/>
        </w:rPr>
        <w:t xml:space="preserve">revenue allocation; Appendix D </w:t>
      </w:r>
      <w:r w:rsidR="00885E89">
        <w:rPr>
          <w:szCs w:val="26"/>
        </w:rPr>
        <w:t xml:space="preserve">to the Settlement </w:t>
      </w:r>
      <w:r w:rsidR="00D16640" w:rsidRPr="00F74CA6">
        <w:rPr>
          <w:szCs w:val="26"/>
        </w:rPr>
        <w:t>provides</w:t>
      </w:r>
      <w:r w:rsidR="00BB590A" w:rsidRPr="00F74CA6">
        <w:rPr>
          <w:szCs w:val="26"/>
        </w:rPr>
        <w:t xml:space="preserve"> </w:t>
      </w:r>
      <w:r w:rsidR="00B046DF" w:rsidRPr="00F74CA6">
        <w:rPr>
          <w:rFonts w:eastAsiaTheme="minorHAnsi"/>
          <w:szCs w:val="26"/>
        </w:rPr>
        <w:t xml:space="preserve">the </w:t>
      </w:r>
      <w:r w:rsidR="002C605E" w:rsidRPr="00F74CA6">
        <w:rPr>
          <w:szCs w:val="26"/>
        </w:rPr>
        <w:t>proof of revenues and final settlement rates</w:t>
      </w:r>
      <w:r w:rsidR="00B046DF" w:rsidRPr="00F74CA6">
        <w:rPr>
          <w:rFonts w:eastAsiaTheme="minorHAnsi"/>
          <w:szCs w:val="26"/>
        </w:rPr>
        <w:t xml:space="preserve">; </w:t>
      </w:r>
      <w:r w:rsidR="00EC4E4A" w:rsidRPr="00F74CA6">
        <w:rPr>
          <w:szCs w:val="26"/>
        </w:rPr>
        <w:t xml:space="preserve">Appendix E </w:t>
      </w:r>
      <w:r w:rsidR="00885E89">
        <w:rPr>
          <w:szCs w:val="26"/>
        </w:rPr>
        <w:t xml:space="preserve">to the Settlement </w:t>
      </w:r>
      <w:r w:rsidR="002C605E" w:rsidRPr="00F74CA6">
        <w:rPr>
          <w:szCs w:val="26"/>
        </w:rPr>
        <w:t xml:space="preserve">provides the Tax Cuts and Jobs Act refund allocation; </w:t>
      </w:r>
      <w:r w:rsidR="00EC4E4A" w:rsidRPr="00F74CA6">
        <w:rPr>
          <w:szCs w:val="26"/>
        </w:rPr>
        <w:t xml:space="preserve">Appendix F </w:t>
      </w:r>
      <w:r w:rsidR="00660E13" w:rsidRPr="00F74CA6">
        <w:rPr>
          <w:szCs w:val="26"/>
        </w:rPr>
        <w:t>to the Settlement presents proposed Finding of Fact</w:t>
      </w:r>
      <w:r w:rsidR="00C761A8" w:rsidRPr="00F74CA6">
        <w:rPr>
          <w:szCs w:val="26"/>
        </w:rPr>
        <w:t>;</w:t>
      </w:r>
      <w:r w:rsidR="00660E13" w:rsidRPr="00F74CA6">
        <w:rPr>
          <w:szCs w:val="26"/>
        </w:rPr>
        <w:t xml:space="preserve"> Appendix G to the Settlement presents </w:t>
      </w:r>
      <w:r w:rsidR="00B046DF" w:rsidRPr="00F74CA6">
        <w:rPr>
          <w:szCs w:val="26"/>
        </w:rPr>
        <w:t>p</w:t>
      </w:r>
      <w:r w:rsidR="00660E13" w:rsidRPr="00F74CA6">
        <w:rPr>
          <w:szCs w:val="26"/>
        </w:rPr>
        <w:t xml:space="preserve">roposed </w:t>
      </w:r>
      <w:r w:rsidR="00BB590A" w:rsidRPr="00F74CA6">
        <w:rPr>
          <w:szCs w:val="26"/>
        </w:rPr>
        <w:t>Conclusions of Law</w:t>
      </w:r>
      <w:r w:rsidR="00660E13" w:rsidRPr="00F74CA6">
        <w:rPr>
          <w:szCs w:val="26"/>
        </w:rPr>
        <w:t xml:space="preserve">.  </w:t>
      </w:r>
      <w:r w:rsidR="00BB590A" w:rsidRPr="00F74CA6">
        <w:rPr>
          <w:szCs w:val="26"/>
        </w:rPr>
        <w:t xml:space="preserve">Appendix H to the Settlement presents </w:t>
      </w:r>
      <w:r w:rsidR="00EC4E4A" w:rsidRPr="00F74CA6">
        <w:rPr>
          <w:szCs w:val="26"/>
        </w:rPr>
        <w:t xml:space="preserve">Proposed </w:t>
      </w:r>
      <w:r w:rsidR="00BB590A" w:rsidRPr="00F74CA6">
        <w:rPr>
          <w:szCs w:val="26"/>
        </w:rPr>
        <w:t xml:space="preserve">Ordering Paragraph.  </w:t>
      </w:r>
      <w:r w:rsidR="00EC4E4A" w:rsidRPr="00F74CA6">
        <w:rPr>
          <w:szCs w:val="26"/>
        </w:rPr>
        <w:t xml:space="preserve">The </w:t>
      </w:r>
      <w:r w:rsidR="00206C01" w:rsidRPr="00F74CA6">
        <w:rPr>
          <w:szCs w:val="26"/>
        </w:rPr>
        <w:t>Joint Petition</w:t>
      </w:r>
      <w:r w:rsidR="00A047AE" w:rsidRPr="00F74CA6">
        <w:rPr>
          <w:szCs w:val="26"/>
        </w:rPr>
        <w:t xml:space="preserve"> </w:t>
      </w:r>
      <w:r w:rsidR="00EC4E4A" w:rsidRPr="00F74CA6">
        <w:rPr>
          <w:szCs w:val="26"/>
        </w:rPr>
        <w:t xml:space="preserve">was also accompanied by </w:t>
      </w:r>
      <w:r w:rsidRPr="00F74CA6">
        <w:rPr>
          <w:bCs/>
          <w:szCs w:val="26"/>
        </w:rPr>
        <w:t xml:space="preserve">Statements in Support filed by </w:t>
      </w:r>
      <w:r w:rsidR="004F4E56" w:rsidRPr="00F74CA6">
        <w:rPr>
          <w:bCs/>
          <w:szCs w:val="26"/>
        </w:rPr>
        <w:t>Peoples</w:t>
      </w:r>
      <w:r w:rsidRPr="00F74CA6">
        <w:rPr>
          <w:bCs/>
          <w:szCs w:val="26"/>
        </w:rPr>
        <w:t>, I&amp;E, the OCA</w:t>
      </w:r>
      <w:r w:rsidR="007C3189" w:rsidRPr="00F74CA6">
        <w:rPr>
          <w:bCs/>
          <w:szCs w:val="26"/>
        </w:rPr>
        <w:t xml:space="preserve">, </w:t>
      </w:r>
      <w:r w:rsidRPr="00F74CA6">
        <w:rPr>
          <w:bCs/>
          <w:szCs w:val="26"/>
        </w:rPr>
        <w:t xml:space="preserve">the OSBA, </w:t>
      </w:r>
      <w:r w:rsidR="00F268F0" w:rsidRPr="00F74CA6">
        <w:rPr>
          <w:bCs/>
          <w:szCs w:val="26"/>
        </w:rPr>
        <w:t xml:space="preserve">Direct Energy, Duquesne, PIOGA, </w:t>
      </w:r>
      <w:r w:rsidR="00660E13" w:rsidRPr="00F74CA6">
        <w:rPr>
          <w:szCs w:val="26"/>
        </w:rPr>
        <w:t>CAAP, CAUSE-PA and Snyder Brothers</w:t>
      </w:r>
      <w:r w:rsidRPr="00F74CA6">
        <w:rPr>
          <w:bCs/>
          <w:szCs w:val="26"/>
        </w:rPr>
        <w:t>.</w:t>
      </w:r>
    </w:p>
    <w:p w14:paraId="057C5F29" w14:textId="77777777" w:rsidR="00D205CE" w:rsidRPr="00F74CA6" w:rsidRDefault="00D205CE">
      <w:pPr>
        <w:rPr>
          <w:bCs/>
          <w:szCs w:val="26"/>
        </w:rPr>
      </w:pPr>
    </w:p>
    <w:p w14:paraId="0F5B6890" w14:textId="76F7C1D6" w:rsidR="00B567A1" w:rsidRPr="00F74CA6" w:rsidRDefault="00B567A1">
      <w:pPr>
        <w:rPr>
          <w:bCs/>
          <w:szCs w:val="26"/>
        </w:rPr>
      </w:pPr>
      <w:r w:rsidRPr="00F74CA6">
        <w:rPr>
          <w:bCs/>
          <w:szCs w:val="26"/>
        </w:rPr>
        <w:t xml:space="preserve">The essential terms of the </w:t>
      </w:r>
      <w:r w:rsidR="00C163ED" w:rsidRPr="00F74CA6">
        <w:rPr>
          <w:bCs/>
          <w:szCs w:val="26"/>
        </w:rPr>
        <w:t>Settlement</w:t>
      </w:r>
      <w:r w:rsidR="00A047AE" w:rsidRPr="00F74CA6">
        <w:rPr>
          <w:bCs/>
          <w:szCs w:val="26"/>
        </w:rPr>
        <w:t xml:space="preserve"> </w:t>
      </w:r>
      <w:r w:rsidRPr="00F74CA6">
        <w:rPr>
          <w:bCs/>
          <w:szCs w:val="26"/>
        </w:rPr>
        <w:t xml:space="preserve">are set forth in </w:t>
      </w:r>
      <w:r w:rsidR="00C163ED" w:rsidRPr="00F74CA6">
        <w:rPr>
          <w:bCs/>
          <w:szCs w:val="26"/>
        </w:rPr>
        <w:t>Paragraphs</w:t>
      </w:r>
      <w:r w:rsidR="00EF759E" w:rsidRPr="00F74CA6">
        <w:rPr>
          <w:bCs/>
          <w:szCs w:val="26"/>
        </w:rPr>
        <w:t xml:space="preserve"> </w:t>
      </w:r>
      <w:r w:rsidR="00A4572A" w:rsidRPr="00F74CA6">
        <w:rPr>
          <w:bCs/>
          <w:szCs w:val="26"/>
        </w:rPr>
        <w:t>28</w:t>
      </w:r>
      <w:r w:rsidR="00EF759E" w:rsidRPr="00F74CA6">
        <w:rPr>
          <w:bCs/>
          <w:szCs w:val="26"/>
        </w:rPr>
        <w:t>-</w:t>
      </w:r>
      <w:r w:rsidR="003F48E2" w:rsidRPr="00F74CA6">
        <w:rPr>
          <w:bCs/>
          <w:szCs w:val="26"/>
        </w:rPr>
        <w:t>73</w:t>
      </w:r>
      <w:r w:rsidRPr="00F74CA6">
        <w:rPr>
          <w:bCs/>
          <w:szCs w:val="26"/>
        </w:rPr>
        <w:t>.  The Joint Petitioners agreed to the following terms and conditions:</w:t>
      </w:r>
    </w:p>
    <w:p w14:paraId="40C7066C" w14:textId="77777777" w:rsidR="00EF759E" w:rsidRPr="00F74CA6" w:rsidRDefault="00EF759E">
      <w:pPr>
        <w:spacing w:line="240" w:lineRule="auto"/>
        <w:rPr>
          <w:bCs/>
          <w:szCs w:val="26"/>
        </w:rPr>
      </w:pPr>
    </w:p>
    <w:p w14:paraId="2E4E3A39" w14:textId="75E99CC7" w:rsidR="002518D5" w:rsidRPr="00F74CA6" w:rsidRDefault="00D919E3" w:rsidP="001A5089">
      <w:pPr>
        <w:pStyle w:val="ListParagraph"/>
        <w:keepNext/>
        <w:keepLines/>
        <w:numPr>
          <w:ilvl w:val="0"/>
          <w:numId w:val="19"/>
        </w:numPr>
        <w:spacing w:line="240" w:lineRule="auto"/>
        <w:rPr>
          <w:b/>
          <w:bCs/>
          <w:szCs w:val="26"/>
        </w:rPr>
      </w:pPr>
      <w:r w:rsidRPr="00F74CA6">
        <w:rPr>
          <w:b/>
          <w:bCs/>
          <w:szCs w:val="26"/>
        </w:rPr>
        <w:t>REVENUE REQUIREMENT</w:t>
      </w:r>
    </w:p>
    <w:p w14:paraId="0A1C6025" w14:textId="77777777" w:rsidR="002518D5" w:rsidRPr="00F74CA6" w:rsidRDefault="002518D5" w:rsidP="001A5089">
      <w:pPr>
        <w:pStyle w:val="ListParagraph"/>
        <w:keepNext/>
        <w:keepLines/>
        <w:spacing w:line="240" w:lineRule="auto"/>
        <w:ind w:left="2160" w:firstLine="0"/>
        <w:rPr>
          <w:b/>
          <w:bCs/>
          <w:szCs w:val="26"/>
        </w:rPr>
      </w:pPr>
    </w:p>
    <w:p w14:paraId="7DA13132" w14:textId="77777777" w:rsidR="006F3902" w:rsidRPr="00F74CA6" w:rsidRDefault="006F3902" w:rsidP="006F3902">
      <w:pPr>
        <w:pStyle w:val="ListParagraph"/>
        <w:spacing w:line="240" w:lineRule="auto"/>
        <w:ind w:left="1440" w:right="1440" w:firstLine="0"/>
        <w:rPr>
          <w:szCs w:val="26"/>
        </w:rPr>
      </w:pPr>
      <w:r w:rsidRPr="00F74CA6">
        <w:rPr>
          <w:szCs w:val="26"/>
        </w:rPr>
        <w:t>28.</w:t>
      </w:r>
      <w:r w:rsidRPr="00F74CA6">
        <w:rPr>
          <w:szCs w:val="26"/>
        </w:rPr>
        <w:tab/>
        <w:t>Peoples Natural will be permitted to increase annual revenues by amounts designed to produce increased operating revenues of $59.5 million annually, net of current Distribution System Improvement Charge (“DSIC”) and Tax Cuts and Jobs Act (“TCJA”) surcharges, based upon the level of operations for the twelve months ended October 31, 2020.</w:t>
      </w:r>
      <w:r w:rsidR="00707D5C" w:rsidRPr="00F74CA6">
        <w:rPr>
          <w:szCs w:val="26"/>
        </w:rPr>
        <w:t xml:space="preserve"> </w:t>
      </w:r>
      <w:r w:rsidRPr="00F74CA6">
        <w:rPr>
          <w:szCs w:val="26"/>
        </w:rPr>
        <w:t xml:space="preserve">This amount reflects the roll in of the negative TCJA surcharges and the current DSIC charges for the Peoples </w:t>
      </w:r>
      <w:r w:rsidRPr="00F74CA6">
        <w:rPr>
          <w:szCs w:val="26"/>
        </w:rPr>
        <w:lastRenderedPageBreak/>
        <w:t>Natural and Equitable Divisions. Peoples Natural’s base rates in this proceeding will be designed to increase distribution revenues by $63,384,103, as a result of approval of</w:t>
      </w:r>
      <w:r w:rsidR="00707D5C" w:rsidRPr="00F74CA6">
        <w:rPr>
          <w:szCs w:val="26"/>
        </w:rPr>
        <w:t xml:space="preserve"> </w:t>
      </w:r>
      <w:r w:rsidRPr="00F74CA6">
        <w:rPr>
          <w:szCs w:val="26"/>
        </w:rPr>
        <w:t>elimination of connection fees, pooling fees, and other miscellaneous charges, netting to the $59.5 million increase in annual operating revenues.</w:t>
      </w:r>
    </w:p>
    <w:p w14:paraId="2BE94F7D" w14:textId="77777777" w:rsidR="006F3902" w:rsidRPr="00F74CA6" w:rsidRDefault="006F3902" w:rsidP="006F3902">
      <w:pPr>
        <w:pStyle w:val="ListParagraph"/>
        <w:spacing w:line="240" w:lineRule="auto"/>
        <w:ind w:left="1440" w:right="1440" w:firstLine="0"/>
        <w:rPr>
          <w:szCs w:val="26"/>
        </w:rPr>
      </w:pPr>
    </w:p>
    <w:p w14:paraId="309B3FDC" w14:textId="77777777" w:rsidR="006F3902" w:rsidRPr="00F74CA6" w:rsidRDefault="006F3902" w:rsidP="006F3902">
      <w:pPr>
        <w:pStyle w:val="ListParagraph"/>
        <w:spacing w:line="240" w:lineRule="auto"/>
        <w:ind w:left="1440" w:right="1440" w:firstLine="0"/>
        <w:rPr>
          <w:szCs w:val="26"/>
        </w:rPr>
      </w:pPr>
      <w:r w:rsidRPr="00F74CA6">
        <w:rPr>
          <w:szCs w:val="26"/>
        </w:rPr>
        <w:t>29.</w:t>
      </w:r>
      <w:r w:rsidRPr="00F74CA6">
        <w:rPr>
          <w:szCs w:val="26"/>
        </w:rPr>
        <w:tab/>
        <w:t>The level of revenue requirement included in this Settlement reflects the resolution of the parties’ positions in the dispute regarding the application of 66 Pa.C.S. § 1301.1</w:t>
      </w:r>
      <w:r w:rsidR="00707D5C" w:rsidRPr="00F74CA6">
        <w:rPr>
          <w:szCs w:val="26"/>
        </w:rPr>
        <w:t xml:space="preserve"> </w:t>
      </w:r>
      <w:r w:rsidRPr="00F74CA6">
        <w:rPr>
          <w:szCs w:val="26"/>
        </w:rPr>
        <w:t>in this case.</w:t>
      </w:r>
    </w:p>
    <w:p w14:paraId="4EED9F68" w14:textId="77777777" w:rsidR="00A0760D" w:rsidRPr="00F74CA6" w:rsidRDefault="00A0760D" w:rsidP="006F3902">
      <w:pPr>
        <w:pStyle w:val="ListParagraph"/>
        <w:spacing w:line="240" w:lineRule="auto"/>
        <w:ind w:left="1440" w:right="1440" w:firstLine="0"/>
        <w:rPr>
          <w:szCs w:val="26"/>
        </w:rPr>
      </w:pPr>
    </w:p>
    <w:p w14:paraId="0D09335F" w14:textId="77777777" w:rsidR="006F3902" w:rsidRPr="00F74CA6" w:rsidRDefault="006F3902" w:rsidP="006F3902">
      <w:pPr>
        <w:pStyle w:val="ListParagraph"/>
        <w:spacing w:line="240" w:lineRule="auto"/>
        <w:ind w:left="1440" w:right="1440" w:firstLine="0"/>
        <w:rPr>
          <w:szCs w:val="26"/>
        </w:rPr>
      </w:pPr>
      <w:r w:rsidRPr="00F74CA6">
        <w:rPr>
          <w:szCs w:val="26"/>
        </w:rPr>
        <w:t>30.</w:t>
      </w:r>
      <w:r w:rsidRPr="00F74CA6">
        <w:rPr>
          <w:szCs w:val="26"/>
        </w:rPr>
        <w:tab/>
        <w:t>As of the effective date of rates in this proceeding, Peoples Natural will be eligible to include plant additions in the DSIC once the total eligible account balances exceed the</w:t>
      </w:r>
      <w:r w:rsidR="00707D5C" w:rsidRPr="00F74CA6">
        <w:rPr>
          <w:szCs w:val="26"/>
        </w:rPr>
        <w:t xml:space="preserve"> </w:t>
      </w:r>
      <w:r w:rsidRPr="00F74CA6">
        <w:rPr>
          <w:szCs w:val="26"/>
        </w:rPr>
        <w:t>levels projected by the Company in this proceeding at October 31, 2020. The foregoing provision is included solely for purposes of calculating the DSIC and is not determinative for future ratemaking purposes of the projected additions to be included in rate base in any Fully Projected Future Test Year (“FPFTY”) filing.</w:t>
      </w:r>
    </w:p>
    <w:p w14:paraId="35048E24" w14:textId="77777777" w:rsidR="006F3902" w:rsidRPr="00F74CA6" w:rsidRDefault="006F3902" w:rsidP="006F3902">
      <w:pPr>
        <w:pStyle w:val="ListParagraph"/>
        <w:spacing w:line="240" w:lineRule="auto"/>
        <w:ind w:left="1440" w:right="1440" w:firstLine="0"/>
        <w:rPr>
          <w:szCs w:val="26"/>
        </w:rPr>
      </w:pPr>
    </w:p>
    <w:p w14:paraId="0ACDD1A0" w14:textId="6974721B" w:rsidR="006F3902" w:rsidRPr="00F74CA6" w:rsidRDefault="006F3902" w:rsidP="006F3902">
      <w:pPr>
        <w:pStyle w:val="ListParagraph"/>
        <w:spacing w:line="240" w:lineRule="auto"/>
        <w:ind w:left="1440" w:right="1440" w:firstLine="0"/>
        <w:rPr>
          <w:szCs w:val="26"/>
        </w:rPr>
      </w:pPr>
      <w:r w:rsidRPr="00F74CA6">
        <w:rPr>
          <w:szCs w:val="26"/>
        </w:rPr>
        <w:t>31.</w:t>
      </w:r>
      <w:r w:rsidRPr="00F74CA6">
        <w:rPr>
          <w:szCs w:val="26"/>
        </w:rPr>
        <w:tab/>
        <w:t>For purposes of calculating its DSIC, Peoples Natural shall use the equity return rate for gas utilities contained in the 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 C.S. §</w:t>
      </w:r>
      <w:r w:rsidR="002F3162">
        <w:rPr>
          <w:szCs w:val="26"/>
        </w:rPr>
        <w:t> </w:t>
      </w:r>
      <w:r w:rsidRPr="00F74CA6">
        <w:rPr>
          <w:szCs w:val="26"/>
        </w:rPr>
        <w:t>1357(b)(3), until such time as the DSIC is reset pursuant to the provisions of 66 Pa. C.S. § 1358(b)(1).</w:t>
      </w:r>
    </w:p>
    <w:p w14:paraId="14EF92BC" w14:textId="77777777" w:rsidR="006F3902" w:rsidRPr="00F74CA6" w:rsidRDefault="006F3902" w:rsidP="006F3902">
      <w:pPr>
        <w:pStyle w:val="ListParagraph"/>
        <w:spacing w:line="240" w:lineRule="auto"/>
        <w:ind w:left="1440" w:right="1440" w:firstLine="0"/>
        <w:rPr>
          <w:szCs w:val="26"/>
        </w:rPr>
      </w:pPr>
    </w:p>
    <w:p w14:paraId="45DD0532" w14:textId="77777777" w:rsidR="006F3902" w:rsidRPr="00F74CA6" w:rsidRDefault="006F3902" w:rsidP="006F3902">
      <w:pPr>
        <w:pStyle w:val="ListParagraph"/>
        <w:spacing w:line="240" w:lineRule="auto"/>
        <w:ind w:left="1440" w:right="1440" w:firstLine="0"/>
        <w:rPr>
          <w:szCs w:val="26"/>
        </w:rPr>
      </w:pPr>
      <w:r w:rsidRPr="00F74CA6">
        <w:rPr>
          <w:szCs w:val="26"/>
        </w:rPr>
        <w:t>32.</w:t>
      </w:r>
      <w:r w:rsidRPr="00F74CA6">
        <w:rPr>
          <w:szCs w:val="26"/>
        </w:rPr>
        <w:tab/>
        <w:t xml:space="preserve">Peoples Natural will file a Total Company Pennsylvania jurisdictional report showing capital expenditures, plant additions and retirements, by month, for the Future Test Year (“FTY”) ending September 30, 2019, and the FPFTY ending October 31, 2020, by January 31 of each of the years following the test years. In Peoples Natural’s next base rate proceeding, the Company will prepare a comparison of its actual rate base additions for the twelve months ending October 31, 2020, to its projections in this case. However, it is recognized by Joint Petitioners that </w:t>
      </w:r>
      <w:r w:rsidRPr="00F74CA6">
        <w:rPr>
          <w:szCs w:val="26"/>
        </w:rPr>
        <w:lastRenderedPageBreak/>
        <w:t>this is a black box settlement that is a compromise of the Joint Petitioners’ positions on various issues.</w:t>
      </w:r>
    </w:p>
    <w:p w14:paraId="4B1D3345" w14:textId="77777777" w:rsidR="006F3902" w:rsidRPr="00F74CA6" w:rsidRDefault="006F3902" w:rsidP="006F3902">
      <w:pPr>
        <w:pStyle w:val="ListParagraph"/>
        <w:spacing w:line="240" w:lineRule="auto"/>
        <w:ind w:left="1440" w:right="1440" w:firstLine="0"/>
        <w:rPr>
          <w:szCs w:val="26"/>
        </w:rPr>
      </w:pPr>
    </w:p>
    <w:p w14:paraId="3A44AB51" w14:textId="4964DFC5" w:rsidR="006F3902" w:rsidRPr="00F74CA6" w:rsidRDefault="006F3902" w:rsidP="006F3902">
      <w:pPr>
        <w:pStyle w:val="ListParagraph"/>
        <w:spacing w:line="240" w:lineRule="auto"/>
        <w:ind w:left="1440" w:right="1440" w:firstLine="0"/>
        <w:rPr>
          <w:rFonts w:eastAsiaTheme="minorHAnsi"/>
          <w:szCs w:val="26"/>
        </w:rPr>
      </w:pPr>
      <w:r w:rsidRPr="00F74CA6">
        <w:rPr>
          <w:szCs w:val="26"/>
        </w:rPr>
        <w:t>33.</w:t>
      </w:r>
      <w:r w:rsidRPr="00F74CA6">
        <w:rPr>
          <w:szCs w:val="26"/>
        </w:rPr>
        <w:tab/>
        <w:t>Changes resulting from the enactment of the TCJA created differences in the deferred tax rates that were used prior to January 1, 2018, creating excess accumulated deferred income taxes. Peoples Natural will begin amortizing the total excess ADIT using the Average Rate Assumption Method (“ARAM”) upon the effective date of new rates. The remaining unamortized excess ADIT balance will continue as a reduction to rate base in all future proceedings until the full amount is returned to ratepayers</w:t>
      </w:r>
      <w:r w:rsidRPr="00F74CA6">
        <w:rPr>
          <w:rFonts w:eastAsiaTheme="minorHAnsi"/>
          <w:szCs w:val="26"/>
        </w:rPr>
        <w:t>.</w:t>
      </w:r>
    </w:p>
    <w:p w14:paraId="3DE972D1" w14:textId="77777777" w:rsidR="00C163ED" w:rsidRPr="00F74CA6" w:rsidRDefault="00C163ED" w:rsidP="006F3902">
      <w:pPr>
        <w:pStyle w:val="ListParagraph"/>
        <w:spacing w:line="240" w:lineRule="auto"/>
        <w:ind w:left="1440" w:right="1440" w:firstLine="0"/>
        <w:rPr>
          <w:rFonts w:eastAsiaTheme="minorHAnsi"/>
          <w:szCs w:val="26"/>
        </w:rPr>
      </w:pPr>
    </w:p>
    <w:p w14:paraId="776D26AD" w14:textId="77777777" w:rsidR="0097575A" w:rsidRPr="00F74CA6" w:rsidRDefault="0097575A" w:rsidP="00C15F17">
      <w:pPr>
        <w:pStyle w:val="ListParagraph"/>
        <w:keepNext/>
        <w:keepLines/>
        <w:numPr>
          <w:ilvl w:val="0"/>
          <w:numId w:val="19"/>
        </w:numPr>
        <w:autoSpaceDE w:val="0"/>
        <w:autoSpaceDN w:val="0"/>
        <w:adjustRightInd w:val="0"/>
        <w:spacing w:line="240" w:lineRule="auto"/>
        <w:rPr>
          <w:rFonts w:eastAsiaTheme="minorHAnsi"/>
          <w:b/>
          <w:bCs/>
          <w:szCs w:val="26"/>
        </w:rPr>
      </w:pPr>
      <w:r w:rsidRPr="00F74CA6">
        <w:rPr>
          <w:b/>
          <w:bCs/>
          <w:szCs w:val="26"/>
        </w:rPr>
        <w:t>MERGER OF PEOPLES NATURAL AND EQUITABLE DIVISION</w:t>
      </w:r>
      <w:r w:rsidRPr="00F74CA6">
        <w:rPr>
          <w:rFonts w:eastAsiaTheme="minorHAnsi"/>
          <w:b/>
          <w:bCs/>
          <w:szCs w:val="26"/>
        </w:rPr>
        <w:t xml:space="preserve"> RATES AND TARIFFS</w:t>
      </w:r>
    </w:p>
    <w:p w14:paraId="3171BC66" w14:textId="77777777" w:rsidR="0097575A" w:rsidRPr="00F74CA6" w:rsidRDefault="0097575A" w:rsidP="00C15F17">
      <w:pPr>
        <w:keepNext/>
        <w:keepLines/>
        <w:autoSpaceDE w:val="0"/>
        <w:autoSpaceDN w:val="0"/>
        <w:adjustRightInd w:val="0"/>
        <w:spacing w:line="240" w:lineRule="auto"/>
        <w:ind w:left="720" w:firstLine="720"/>
        <w:rPr>
          <w:rFonts w:eastAsiaTheme="minorHAnsi"/>
          <w:b/>
          <w:bCs/>
          <w:szCs w:val="26"/>
        </w:rPr>
      </w:pPr>
    </w:p>
    <w:p w14:paraId="73557124" w14:textId="77777777" w:rsidR="0097575A" w:rsidRPr="00F74CA6" w:rsidRDefault="0097575A" w:rsidP="00C15F17">
      <w:pPr>
        <w:pStyle w:val="ListParagraph"/>
        <w:keepNext/>
        <w:keepLines/>
        <w:spacing w:line="240" w:lineRule="auto"/>
        <w:ind w:left="1440" w:right="1440" w:firstLine="0"/>
        <w:rPr>
          <w:szCs w:val="26"/>
        </w:rPr>
      </w:pPr>
      <w:r w:rsidRPr="00F74CA6">
        <w:rPr>
          <w:szCs w:val="26"/>
        </w:rPr>
        <w:t>34.</w:t>
      </w:r>
      <w:r w:rsidRPr="00F74CA6">
        <w:rPr>
          <w:szCs w:val="26"/>
        </w:rPr>
        <w:tab/>
        <w:t>As proposed by the Company in its filing, the Settlement provides for merger of the separate current rates of the Company’s Peoples and Equitable Divisions into a single set of rate schedules and rates which are contained in a combined retail tariff, attached as Appendix A.</w:t>
      </w:r>
    </w:p>
    <w:p w14:paraId="2FE254FC" w14:textId="77777777" w:rsidR="0097575A" w:rsidRPr="00F74CA6" w:rsidRDefault="0097575A" w:rsidP="0097575A">
      <w:pPr>
        <w:pStyle w:val="ListParagraph"/>
        <w:spacing w:line="240" w:lineRule="auto"/>
        <w:ind w:left="1440" w:right="1440" w:firstLine="0"/>
        <w:rPr>
          <w:szCs w:val="26"/>
        </w:rPr>
      </w:pPr>
    </w:p>
    <w:p w14:paraId="18E31866" w14:textId="77777777" w:rsidR="0097575A" w:rsidRPr="00F74CA6" w:rsidRDefault="0097575A" w:rsidP="0097575A">
      <w:pPr>
        <w:pStyle w:val="ListParagraph"/>
        <w:spacing w:line="240" w:lineRule="auto"/>
        <w:ind w:left="1440" w:right="1440" w:firstLine="0"/>
        <w:rPr>
          <w:szCs w:val="26"/>
        </w:rPr>
      </w:pPr>
      <w:r w:rsidRPr="00F74CA6">
        <w:rPr>
          <w:szCs w:val="26"/>
        </w:rPr>
        <w:t>35.</w:t>
      </w:r>
      <w:r w:rsidRPr="00F74CA6">
        <w:rPr>
          <w:szCs w:val="26"/>
        </w:rPr>
        <w:tab/>
        <w:t>The Settlement also provides for a single supplier tariff, which is attached as Appendix B.</w:t>
      </w:r>
    </w:p>
    <w:p w14:paraId="5B2BB428" w14:textId="77777777" w:rsidR="0097575A" w:rsidRPr="00F74CA6" w:rsidRDefault="0097575A" w:rsidP="0097575A">
      <w:pPr>
        <w:pStyle w:val="ListParagraph"/>
        <w:spacing w:line="240" w:lineRule="auto"/>
        <w:ind w:left="1440" w:right="1440" w:firstLine="0"/>
        <w:rPr>
          <w:szCs w:val="26"/>
        </w:rPr>
      </w:pPr>
    </w:p>
    <w:p w14:paraId="36AB37BA" w14:textId="77777777" w:rsidR="006F3902" w:rsidRPr="00F74CA6" w:rsidRDefault="0097575A" w:rsidP="0097575A">
      <w:pPr>
        <w:pStyle w:val="ListParagraph"/>
        <w:spacing w:line="240" w:lineRule="auto"/>
        <w:ind w:left="1440" w:right="1440" w:firstLine="0"/>
        <w:rPr>
          <w:szCs w:val="26"/>
        </w:rPr>
      </w:pPr>
      <w:r w:rsidRPr="00F74CA6">
        <w:rPr>
          <w:szCs w:val="26"/>
        </w:rPr>
        <w:t>36.</w:t>
      </w:r>
      <w:r w:rsidRPr="00F74CA6">
        <w:rPr>
          <w:szCs w:val="26"/>
        </w:rPr>
        <w:tab/>
        <w:t>With the combination and rates and tariffs of the Company’s Divisions, the Settlement terminates the requirement of maintaining separate book and records for the</w:t>
      </w:r>
      <w:r w:rsidR="00B3199C" w:rsidRPr="00F74CA6">
        <w:rPr>
          <w:szCs w:val="26"/>
        </w:rPr>
        <w:t xml:space="preserve"> </w:t>
      </w:r>
      <w:r w:rsidRPr="00F74CA6">
        <w:rPr>
          <w:szCs w:val="26"/>
        </w:rPr>
        <w:t>Companies’ Peoples and Equitable Divisions as of the effective date of rates in this proceeding.  Peoples Natural’s books and records for the 12 months ended December 31, 2019 and thereafter will be on a consolidated basis. Further, all reports and filings submitted to the Commission will</w:t>
      </w:r>
      <w:r w:rsidR="00B3199C" w:rsidRPr="00F74CA6">
        <w:rPr>
          <w:szCs w:val="26"/>
        </w:rPr>
        <w:t xml:space="preserve"> </w:t>
      </w:r>
      <w:r w:rsidRPr="00F74CA6">
        <w:rPr>
          <w:szCs w:val="26"/>
        </w:rPr>
        <w:t>no longer be provided by division and will only be reported on a consolidated basis as of the effective date of rates in this proceeding.</w:t>
      </w:r>
    </w:p>
    <w:p w14:paraId="6185A233" w14:textId="77777777" w:rsidR="0097575A" w:rsidRPr="00F74CA6" w:rsidRDefault="0097575A" w:rsidP="0097575A">
      <w:pPr>
        <w:pStyle w:val="ListParagraph"/>
        <w:spacing w:line="240" w:lineRule="auto"/>
        <w:ind w:left="1440" w:right="1440" w:firstLine="0"/>
        <w:rPr>
          <w:szCs w:val="26"/>
        </w:rPr>
      </w:pPr>
    </w:p>
    <w:p w14:paraId="5EAC713E" w14:textId="77777777" w:rsidR="0097575A" w:rsidRPr="00F74CA6" w:rsidRDefault="0097575A" w:rsidP="0097575A">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POST EMPLOYMENT AND POST RETIREMENT BENEFITS</w:t>
      </w:r>
    </w:p>
    <w:p w14:paraId="188134E3" w14:textId="77777777" w:rsidR="0097575A" w:rsidRPr="00F74CA6" w:rsidRDefault="0097575A" w:rsidP="0097575A">
      <w:pPr>
        <w:pStyle w:val="ListParagraph"/>
        <w:autoSpaceDE w:val="0"/>
        <w:autoSpaceDN w:val="0"/>
        <w:adjustRightInd w:val="0"/>
        <w:spacing w:line="240" w:lineRule="auto"/>
        <w:ind w:left="2160" w:firstLine="0"/>
        <w:rPr>
          <w:rFonts w:eastAsiaTheme="minorHAnsi"/>
          <w:b/>
          <w:bCs/>
          <w:szCs w:val="26"/>
        </w:rPr>
      </w:pPr>
    </w:p>
    <w:p w14:paraId="2FD6A861" w14:textId="77777777" w:rsidR="0097575A" w:rsidRPr="00F74CA6" w:rsidRDefault="0097575A" w:rsidP="0097575A">
      <w:pPr>
        <w:pStyle w:val="ListParagraph"/>
        <w:spacing w:line="240" w:lineRule="auto"/>
        <w:ind w:left="1440" w:right="1440" w:firstLine="0"/>
        <w:rPr>
          <w:szCs w:val="26"/>
        </w:rPr>
      </w:pPr>
      <w:r w:rsidRPr="00F74CA6">
        <w:rPr>
          <w:szCs w:val="26"/>
        </w:rPr>
        <w:t>37.</w:t>
      </w:r>
      <w:r w:rsidRPr="00F74CA6">
        <w:rPr>
          <w:szCs w:val="26"/>
        </w:rPr>
        <w:tab/>
        <w:t xml:space="preserve">Peoples Natural has been granted approval in Docket No. R-00943252 to continue to recover FAS 112 (Post-employment benefit costs) on a pay-go basis. Peoples Natural </w:t>
      </w:r>
      <w:r w:rsidRPr="00F74CA6">
        <w:rPr>
          <w:szCs w:val="26"/>
        </w:rPr>
        <w:lastRenderedPageBreak/>
        <w:t>will continue to recover these costs in rates consistent with that prior Commission order.</w:t>
      </w:r>
    </w:p>
    <w:p w14:paraId="590668C1" w14:textId="77777777" w:rsidR="0097575A" w:rsidRPr="00F74CA6" w:rsidRDefault="0097575A" w:rsidP="0097575A">
      <w:pPr>
        <w:pStyle w:val="ListParagraph"/>
        <w:spacing w:line="240" w:lineRule="auto"/>
        <w:ind w:left="1440" w:right="1440" w:firstLine="0"/>
        <w:rPr>
          <w:szCs w:val="26"/>
        </w:rPr>
      </w:pPr>
    </w:p>
    <w:p w14:paraId="65ED93F2" w14:textId="77777777" w:rsidR="0097575A" w:rsidRPr="00F74CA6" w:rsidRDefault="0097575A" w:rsidP="0097575A">
      <w:pPr>
        <w:pStyle w:val="ListParagraph"/>
        <w:spacing w:line="240" w:lineRule="auto"/>
        <w:ind w:left="1440" w:right="1440" w:firstLine="0"/>
        <w:rPr>
          <w:szCs w:val="26"/>
        </w:rPr>
      </w:pPr>
      <w:r w:rsidRPr="00F74CA6">
        <w:rPr>
          <w:szCs w:val="26"/>
        </w:rPr>
        <w:t>38.</w:t>
      </w:r>
      <w:r w:rsidRPr="00F74CA6">
        <w:rPr>
          <w:szCs w:val="26"/>
        </w:rPr>
        <w:tab/>
        <w:t>Peoples Natural’s claim for Post-Retirement Benefits other than Pensions (“PBOPs”) for the FPFTY of $982,654 for current expense and continued 10-year amortization</w:t>
      </w:r>
      <w:r w:rsidR="00B3199C" w:rsidRPr="00F74CA6">
        <w:rPr>
          <w:szCs w:val="26"/>
        </w:rPr>
        <w:t xml:space="preserve"> </w:t>
      </w:r>
      <w:r w:rsidRPr="00F74CA6">
        <w:rPr>
          <w:szCs w:val="26"/>
        </w:rPr>
        <w:t>of $1,337,486 per year, to recover the funding deficiency previously approved at Docket No. R-2010-2201702, is approved. The Settlement revenue increase includes these amounts and these amounts will be paid to a dedicated trust account previously established by Peoples Natural for</w:t>
      </w:r>
      <w:r w:rsidR="00B3199C" w:rsidRPr="00F74CA6">
        <w:rPr>
          <w:szCs w:val="26"/>
        </w:rPr>
        <w:t xml:space="preserve"> </w:t>
      </w:r>
      <w:r w:rsidRPr="00F74CA6">
        <w:rPr>
          <w:szCs w:val="26"/>
        </w:rPr>
        <w:t>this purpose. Peoples Natural will continue to defer the difference between the annual PBOP expense calculated pursuant to FASB Accounting Standards Codification (“ASC”) 715 and the annual PBOP pay-as-you-go expense included in rates of $982,654. Only the amounts attributable to operation and maintenance will be deferred and recognized as a regulatory asset or liability and will be expensed or credited in future rate proceedings over an amortization period to be determined in the next base rate proceeding.</w:t>
      </w:r>
    </w:p>
    <w:p w14:paraId="665190F7" w14:textId="77777777" w:rsidR="0097575A" w:rsidRPr="00F74CA6" w:rsidRDefault="0097575A" w:rsidP="0097575A">
      <w:pPr>
        <w:pStyle w:val="ListParagraph"/>
        <w:spacing w:line="240" w:lineRule="auto"/>
        <w:ind w:left="1440" w:right="1440" w:firstLine="0"/>
        <w:rPr>
          <w:szCs w:val="26"/>
        </w:rPr>
      </w:pPr>
    </w:p>
    <w:p w14:paraId="62333CB4" w14:textId="77777777" w:rsidR="00335D2F" w:rsidRPr="00F74CA6" w:rsidRDefault="00335D2F" w:rsidP="00DD3941">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CLASS REVENUE REQUIREMENTS/RATE DESIGN</w:t>
      </w:r>
    </w:p>
    <w:p w14:paraId="62ACB196" w14:textId="77777777" w:rsidR="00335D2F" w:rsidRPr="00F74CA6" w:rsidRDefault="00335D2F" w:rsidP="00335D2F">
      <w:pPr>
        <w:autoSpaceDE w:val="0"/>
        <w:autoSpaceDN w:val="0"/>
        <w:adjustRightInd w:val="0"/>
        <w:spacing w:line="240" w:lineRule="auto"/>
        <w:ind w:left="720" w:firstLine="720"/>
        <w:rPr>
          <w:rFonts w:eastAsiaTheme="minorHAnsi"/>
          <w:b/>
          <w:bCs/>
          <w:szCs w:val="26"/>
        </w:rPr>
      </w:pPr>
    </w:p>
    <w:p w14:paraId="1625AC6C" w14:textId="77777777" w:rsidR="00335D2F" w:rsidRPr="00F74CA6" w:rsidRDefault="00335D2F" w:rsidP="00335D2F">
      <w:pPr>
        <w:pStyle w:val="ListParagraph"/>
        <w:spacing w:line="240" w:lineRule="auto"/>
        <w:ind w:left="1440" w:right="1440" w:firstLine="0"/>
        <w:rPr>
          <w:szCs w:val="26"/>
        </w:rPr>
      </w:pPr>
      <w:r w:rsidRPr="00F74CA6">
        <w:rPr>
          <w:szCs w:val="26"/>
        </w:rPr>
        <w:t>39.</w:t>
      </w:r>
      <w:r w:rsidRPr="00F74CA6">
        <w:rPr>
          <w:szCs w:val="26"/>
        </w:rPr>
        <w:tab/>
        <w:t>The class revenue increases and revenue allocation at settlement rates, which are designed to produce the $63.4 million increase in distribution rates and the $59.5 million net</w:t>
      </w:r>
      <w:r w:rsidR="009528DE" w:rsidRPr="00F74CA6">
        <w:rPr>
          <w:szCs w:val="26"/>
        </w:rPr>
        <w:t xml:space="preserve"> </w:t>
      </w:r>
      <w:r w:rsidRPr="00F74CA6">
        <w:rPr>
          <w:szCs w:val="26"/>
        </w:rPr>
        <w:t>increase in revenues, are as set forth in Appendix C, along with total revenues at settlement rates by class. The monthly changes in customer charges and distribution rates by class included in the settlement rates and proof of revenues is provided in Appendix D.</w:t>
      </w:r>
    </w:p>
    <w:p w14:paraId="3E547869" w14:textId="77777777" w:rsidR="00335D2F" w:rsidRPr="00F74CA6" w:rsidRDefault="00335D2F" w:rsidP="00335D2F">
      <w:pPr>
        <w:pStyle w:val="ListParagraph"/>
        <w:spacing w:line="240" w:lineRule="auto"/>
        <w:ind w:left="1440" w:right="1440" w:firstLine="0"/>
        <w:rPr>
          <w:szCs w:val="26"/>
        </w:rPr>
      </w:pPr>
    </w:p>
    <w:p w14:paraId="499C316E" w14:textId="77777777" w:rsidR="00335D2F" w:rsidRPr="00F74CA6" w:rsidRDefault="00335D2F" w:rsidP="00335D2F">
      <w:pPr>
        <w:pStyle w:val="ListParagraph"/>
        <w:spacing w:line="240" w:lineRule="auto"/>
        <w:ind w:left="1440" w:right="1440" w:firstLine="0"/>
        <w:rPr>
          <w:szCs w:val="26"/>
        </w:rPr>
      </w:pPr>
      <w:r w:rsidRPr="00F74CA6">
        <w:rPr>
          <w:szCs w:val="26"/>
        </w:rPr>
        <w:t>40.</w:t>
      </w:r>
      <w:r w:rsidR="00DD3941" w:rsidRPr="00F74CA6">
        <w:rPr>
          <w:szCs w:val="26"/>
        </w:rPr>
        <w:tab/>
      </w:r>
      <w:r w:rsidRPr="00F74CA6">
        <w:rPr>
          <w:szCs w:val="26"/>
        </w:rPr>
        <w:t>The customer charge for the Residential class will be $14.50.</w:t>
      </w:r>
    </w:p>
    <w:p w14:paraId="08212846" w14:textId="77777777" w:rsidR="00335D2F" w:rsidRPr="00F74CA6" w:rsidRDefault="00335D2F" w:rsidP="00335D2F">
      <w:pPr>
        <w:pStyle w:val="ListParagraph"/>
        <w:spacing w:line="240" w:lineRule="auto"/>
        <w:ind w:left="1440" w:right="1440" w:firstLine="0"/>
        <w:rPr>
          <w:szCs w:val="26"/>
        </w:rPr>
      </w:pPr>
    </w:p>
    <w:p w14:paraId="7B12BAB3" w14:textId="77777777" w:rsidR="00335D2F" w:rsidRPr="00F74CA6" w:rsidRDefault="00335D2F" w:rsidP="00DD3941">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CREDIT CARD PAYMENTS BY CUSTOMERS</w:t>
      </w:r>
    </w:p>
    <w:p w14:paraId="18916ADA" w14:textId="77777777" w:rsidR="00DD3941" w:rsidRPr="00F74CA6" w:rsidRDefault="00DD3941" w:rsidP="00DD3941">
      <w:pPr>
        <w:pStyle w:val="ListParagraph"/>
        <w:autoSpaceDE w:val="0"/>
        <w:autoSpaceDN w:val="0"/>
        <w:adjustRightInd w:val="0"/>
        <w:spacing w:line="240" w:lineRule="auto"/>
        <w:ind w:left="2160" w:firstLine="0"/>
        <w:rPr>
          <w:rFonts w:eastAsiaTheme="minorHAnsi"/>
          <w:b/>
          <w:bCs/>
          <w:szCs w:val="26"/>
        </w:rPr>
      </w:pPr>
    </w:p>
    <w:p w14:paraId="1DBCF08F" w14:textId="77777777" w:rsidR="00335D2F" w:rsidRPr="00F74CA6" w:rsidRDefault="00335D2F" w:rsidP="00DD3941">
      <w:pPr>
        <w:pStyle w:val="ListParagraph"/>
        <w:spacing w:line="240" w:lineRule="auto"/>
        <w:ind w:left="1440" w:right="1440" w:firstLine="0"/>
        <w:rPr>
          <w:szCs w:val="26"/>
        </w:rPr>
      </w:pPr>
      <w:r w:rsidRPr="00F74CA6">
        <w:rPr>
          <w:szCs w:val="26"/>
        </w:rPr>
        <w:t>41.</w:t>
      </w:r>
      <w:r w:rsidR="00DD3941" w:rsidRPr="00F74CA6">
        <w:rPr>
          <w:szCs w:val="26"/>
        </w:rPr>
        <w:tab/>
      </w:r>
      <w:r w:rsidRPr="00F74CA6">
        <w:rPr>
          <w:szCs w:val="26"/>
        </w:rPr>
        <w:t>The Company’s proposal to pay third party fees for customer payments by credit</w:t>
      </w:r>
      <w:r w:rsidR="00DD3941" w:rsidRPr="00F74CA6">
        <w:rPr>
          <w:szCs w:val="26"/>
        </w:rPr>
        <w:t xml:space="preserve"> </w:t>
      </w:r>
      <w:r w:rsidRPr="00F74CA6">
        <w:rPr>
          <w:szCs w:val="26"/>
        </w:rPr>
        <w:t>card, walk in payment, and debit card payments is approved.</w:t>
      </w:r>
    </w:p>
    <w:p w14:paraId="74655CBC" w14:textId="77777777" w:rsidR="00DD3941" w:rsidRPr="00F74CA6" w:rsidRDefault="00DD3941" w:rsidP="00DD3941">
      <w:pPr>
        <w:pStyle w:val="ListParagraph"/>
        <w:spacing w:line="240" w:lineRule="auto"/>
        <w:ind w:left="1440" w:right="1440" w:firstLine="0"/>
        <w:rPr>
          <w:szCs w:val="26"/>
        </w:rPr>
      </w:pPr>
    </w:p>
    <w:p w14:paraId="6FA3A0BD" w14:textId="77777777" w:rsidR="00335D2F" w:rsidRPr="00F74CA6" w:rsidRDefault="00335D2F" w:rsidP="00DD3941">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PRICE TO COMPARE (“PTC”) AND PURCHASE OF RECEIVABLES</w:t>
      </w:r>
      <w:r w:rsidR="00DD3941" w:rsidRPr="00F74CA6">
        <w:rPr>
          <w:rFonts w:eastAsiaTheme="minorHAnsi"/>
          <w:b/>
          <w:bCs/>
          <w:szCs w:val="26"/>
        </w:rPr>
        <w:t xml:space="preserve"> </w:t>
      </w:r>
      <w:r w:rsidRPr="00F74CA6">
        <w:rPr>
          <w:rFonts w:eastAsiaTheme="minorHAnsi"/>
          <w:b/>
          <w:bCs/>
          <w:szCs w:val="26"/>
        </w:rPr>
        <w:t>(“POR”) PROGRAM</w:t>
      </w:r>
    </w:p>
    <w:p w14:paraId="735A6A05" w14:textId="77777777" w:rsidR="00DD3941" w:rsidRPr="00F74CA6" w:rsidRDefault="00DD3941" w:rsidP="00DD3941">
      <w:pPr>
        <w:pStyle w:val="ListParagraph"/>
        <w:autoSpaceDE w:val="0"/>
        <w:autoSpaceDN w:val="0"/>
        <w:adjustRightInd w:val="0"/>
        <w:spacing w:line="240" w:lineRule="auto"/>
        <w:ind w:left="2160" w:firstLine="0"/>
        <w:rPr>
          <w:rFonts w:eastAsiaTheme="minorHAnsi"/>
          <w:b/>
          <w:bCs/>
          <w:szCs w:val="26"/>
        </w:rPr>
      </w:pPr>
    </w:p>
    <w:p w14:paraId="6EA2294A" w14:textId="77777777" w:rsidR="00335D2F" w:rsidRPr="00F74CA6" w:rsidRDefault="00335D2F" w:rsidP="00DD3941">
      <w:pPr>
        <w:pStyle w:val="ListParagraph"/>
        <w:spacing w:line="240" w:lineRule="auto"/>
        <w:ind w:left="1440" w:right="1440" w:firstLine="0"/>
        <w:rPr>
          <w:szCs w:val="26"/>
        </w:rPr>
      </w:pPr>
      <w:r w:rsidRPr="00F74CA6">
        <w:rPr>
          <w:szCs w:val="26"/>
        </w:rPr>
        <w:t>42.</w:t>
      </w:r>
      <w:r w:rsidR="00DD3941" w:rsidRPr="00F74CA6">
        <w:rPr>
          <w:szCs w:val="26"/>
        </w:rPr>
        <w:tab/>
      </w:r>
      <w:r w:rsidRPr="00F74CA6">
        <w:rPr>
          <w:szCs w:val="26"/>
        </w:rPr>
        <w:t>The PTC for Priority 1 customers consisting of natural gas supply charges (a</w:t>
      </w:r>
      <w:r w:rsidR="00DD3941" w:rsidRPr="00F74CA6">
        <w:rPr>
          <w:szCs w:val="26"/>
        </w:rPr>
        <w:t xml:space="preserve"> </w:t>
      </w:r>
      <w:r w:rsidRPr="00F74CA6">
        <w:rPr>
          <w:szCs w:val="26"/>
        </w:rPr>
        <w:t>Commodity Charge and a Gas Cost Adjustment Charge (“GCA”)), a Merchant Function Charge</w:t>
      </w:r>
      <w:r w:rsidR="009528DE" w:rsidRPr="00F74CA6">
        <w:rPr>
          <w:szCs w:val="26"/>
        </w:rPr>
        <w:t xml:space="preserve"> </w:t>
      </w:r>
      <w:r w:rsidRPr="00F74CA6">
        <w:rPr>
          <w:szCs w:val="26"/>
        </w:rPr>
        <w:t>(“MFC”) and a Gas Procurement Charge (“GPC”) (Rider G) are included in the settlement rates.</w:t>
      </w:r>
    </w:p>
    <w:p w14:paraId="5E16F63D" w14:textId="77777777" w:rsidR="00DD3941" w:rsidRPr="00F74CA6" w:rsidRDefault="00DD3941" w:rsidP="00DD3941">
      <w:pPr>
        <w:pStyle w:val="ListParagraph"/>
        <w:spacing w:line="240" w:lineRule="auto"/>
        <w:ind w:left="1440" w:right="1440" w:firstLine="0"/>
        <w:rPr>
          <w:szCs w:val="26"/>
        </w:rPr>
      </w:pPr>
    </w:p>
    <w:p w14:paraId="31F173D4" w14:textId="77777777" w:rsidR="00335D2F" w:rsidRPr="00F74CA6" w:rsidRDefault="00335D2F" w:rsidP="00DD3941">
      <w:pPr>
        <w:pStyle w:val="ListParagraph"/>
        <w:spacing w:line="240" w:lineRule="auto"/>
        <w:ind w:left="1440" w:right="1440" w:firstLine="0"/>
        <w:rPr>
          <w:szCs w:val="26"/>
        </w:rPr>
      </w:pPr>
      <w:r w:rsidRPr="00F74CA6">
        <w:rPr>
          <w:szCs w:val="26"/>
        </w:rPr>
        <w:t>43.</w:t>
      </w:r>
      <w:r w:rsidR="00DD3941" w:rsidRPr="00F74CA6">
        <w:rPr>
          <w:szCs w:val="26"/>
        </w:rPr>
        <w:tab/>
      </w:r>
      <w:r w:rsidRPr="00F74CA6">
        <w:rPr>
          <w:szCs w:val="26"/>
        </w:rPr>
        <w:t>The Settlement Rates set forth the portion of the revenue requirement to be</w:t>
      </w:r>
      <w:r w:rsidR="00DD3941" w:rsidRPr="00F74CA6">
        <w:rPr>
          <w:szCs w:val="26"/>
        </w:rPr>
        <w:t xml:space="preserve"> </w:t>
      </w:r>
      <w:r w:rsidRPr="00F74CA6">
        <w:rPr>
          <w:szCs w:val="26"/>
        </w:rPr>
        <w:t>recovered via the MFC (2.49% of purchased gas costs for residential customers and 0.21% of</w:t>
      </w:r>
      <w:r w:rsidR="009528DE" w:rsidRPr="00F74CA6">
        <w:rPr>
          <w:szCs w:val="26"/>
        </w:rPr>
        <w:t xml:space="preserve"> </w:t>
      </w:r>
      <w:r w:rsidRPr="00F74CA6">
        <w:rPr>
          <w:szCs w:val="26"/>
        </w:rPr>
        <w:t>purchased gas costs for small general service, medium general service and large general service)</w:t>
      </w:r>
      <w:r w:rsidR="00DD3941" w:rsidRPr="00F74CA6">
        <w:rPr>
          <w:szCs w:val="26"/>
        </w:rPr>
        <w:t xml:space="preserve"> </w:t>
      </w:r>
      <w:r w:rsidRPr="00F74CA6">
        <w:rPr>
          <w:szCs w:val="26"/>
        </w:rPr>
        <w:t>in Rider E and the GPC in Rider G. The GPC shall equal $0.0801 per Mcf.</w:t>
      </w:r>
    </w:p>
    <w:p w14:paraId="16F5548D" w14:textId="77777777" w:rsidR="00335D2F" w:rsidRPr="00F74CA6" w:rsidRDefault="00335D2F" w:rsidP="00DD3941">
      <w:pPr>
        <w:pStyle w:val="ListParagraph"/>
        <w:spacing w:line="240" w:lineRule="auto"/>
        <w:ind w:left="1440" w:right="1440" w:firstLine="0"/>
        <w:rPr>
          <w:szCs w:val="26"/>
        </w:rPr>
      </w:pPr>
      <w:r w:rsidRPr="00F74CA6">
        <w:rPr>
          <w:szCs w:val="26"/>
        </w:rPr>
        <w:t>44.</w:t>
      </w:r>
      <w:r w:rsidR="00DD3941" w:rsidRPr="00F74CA6">
        <w:rPr>
          <w:szCs w:val="26"/>
        </w:rPr>
        <w:tab/>
      </w:r>
      <w:r w:rsidRPr="00F74CA6">
        <w:rPr>
          <w:szCs w:val="26"/>
        </w:rPr>
        <w:t>Peoples Natural’s proposal to revise and update its POR discount rate and MFC to</w:t>
      </w:r>
      <w:r w:rsidR="00DD3941" w:rsidRPr="00F74CA6">
        <w:rPr>
          <w:szCs w:val="26"/>
        </w:rPr>
        <w:t xml:space="preserve"> </w:t>
      </w:r>
      <w:r w:rsidRPr="00F74CA6">
        <w:rPr>
          <w:szCs w:val="26"/>
        </w:rPr>
        <w:t>match the current write-off factor used to derive the Company’s bad debt revenue requirement</w:t>
      </w:r>
      <w:r w:rsidR="009528DE" w:rsidRPr="00F74CA6">
        <w:rPr>
          <w:szCs w:val="26"/>
        </w:rPr>
        <w:t xml:space="preserve"> </w:t>
      </w:r>
      <w:r w:rsidRPr="00F74CA6">
        <w:rPr>
          <w:szCs w:val="26"/>
        </w:rPr>
        <w:t>and to revise and update the administrative rider designed recover incremental POR</w:t>
      </w:r>
      <w:r w:rsidR="00DD3941" w:rsidRPr="00F74CA6">
        <w:rPr>
          <w:szCs w:val="26"/>
        </w:rPr>
        <w:t xml:space="preserve"> </w:t>
      </w:r>
      <w:r w:rsidRPr="00F74CA6">
        <w:rPr>
          <w:szCs w:val="26"/>
        </w:rPr>
        <w:t>implementation costs is implemented in the Settlement Rates.</w:t>
      </w:r>
    </w:p>
    <w:p w14:paraId="5CB9521A" w14:textId="77777777" w:rsidR="00DD3941" w:rsidRPr="00F74CA6" w:rsidRDefault="00DD3941" w:rsidP="00DD3941">
      <w:pPr>
        <w:spacing w:line="240" w:lineRule="auto"/>
        <w:ind w:right="1440"/>
        <w:rPr>
          <w:szCs w:val="26"/>
        </w:rPr>
      </w:pPr>
    </w:p>
    <w:p w14:paraId="4C8FA814" w14:textId="77777777" w:rsidR="00DD3941" w:rsidRPr="00F74CA6" w:rsidRDefault="00DD3941" w:rsidP="00DD3941">
      <w:pPr>
        <w:pStyle w:val="ListParagraph"/>
        <w:spacing w:line="240" w:lineRule="auto"/>
        <w:ind w:left="1440" w:right="1440" w:firstLine="0"/>
        <w:rPr>
          <w:szCs w:val="26"/>
        </w:rPr>
      </w:pPr>
      <w:r w:rsidRPr="00F74CA6">
        <w:rPr>
          <w:szCs w:val="26"/>
        </w:rPr>
        <w:t>45.</w:t>
      </w:r>
      <w:r w:rsidRPr="00F74CA6">
        <w:rPr>
          <w:szCs w:val="26"/>
        </w:rPr>
        <w:tab/>
        <w:t>Any shortfall in recovery of the uncollectible expenses and administrative costs of the POR program will not be recovered from sales customers.</w:t>
      </w:r>
    </w:p>
    <w:p w14:paraId="3E2FF20A" w14:textId="77777777" w:rsidR="00DD3941" w:rsidRPr="00F74CA6" w:rsidRDefault="00DD3941" w:rsidP="00DD3941">
      <w:pPr>
        <w:pStyle w:val="ListParagraph"/>
        <w:spacing w:line="240" w:lineRule="auto"/>
        <w:ind w:left="1440" w:right="1440" w:firstLine="0"/>
        <w:rPr>
          <w:szCs w:val="26"/>
        </w:rPr>
      </w:pPr>
    </w:p>
    <w:p w14:paraId="50653D41" w14:textId="77777777" w:rsidR="00DD3941" w:rsidRPr="00F74CA6" w:rsidRDefault="00DD3941" w:rsidP="00DD3941">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POOLING AND BILLING FEES</w:t>
      </w:r>
    </w:p>
    <w:p w14:paraId="56EBB55D" w14:textId="77777777" w:rsidR="00DD3941" w:rsidRPr="00F74CA6" w:rsidRDefault="00DD3941" w:rsidP="00DD3941">
      <w:pPr>
        <w:pStyle w:val="ListParagraph"/>
        <w:autoSpaceDE w:val="0"/>
        <w:autoSpaceDN w:val="0"/>
        <w:adjustRightInd w:val="0"/>
        <w:spacing w:line="240" w:lineRule="auto"/>
        <w:ind w:left="2160" w:firstLine="0"/>
        <w:rPr>
          <w:rFonts w:eastAsiaTheme="minorHAnsi"/>
          <w:b/>
          <w:bCs/>
          <w:szCs w:val="26"/>
        </w:rPr>
      </w:pPr>
    </w:p>
    <w:p w14:paraId="2B9986F4" w14:textId="77777777" w:rsidR="00DD3941" w:rsidRPr="00F74CA6" w:rsidRDefault="00DD3941" w:rsidP="00DD3941">
      <w:pPr>
        <w:pStyle w:val="ListParagraph"/>
        <w:spacing w:line="240" w:lineRule="auto"/>
        <w:ind w:left="1440" w:right="1440" w:firstLine="0"/>
        <w:rPr>
          <w:szCs w:val="26"/>
        </w:rPr>
      </w:pPr>
      <w:r w:rsidRPr="00F74CA6">
        <w:rPr>
          <w:szCs w:val="26"/>
        </w:rPr>
        <w:t>46.</w:t>
      </w:r>
      <w:r w:rsidRPr="00F74CA6">
        <w:rPr>
          <w:szCs w:val="26"/>
        </w:rPr>
        <w:tab/>
        <w:t>The Company’s existing pooling fees applicable to NP-1 and P-1 pools will be eliminated.</w:t>
      </w:r>
    </w:p>
    <w:p w14:paraId="3BDB1422" w14:textId="77777777" w:rsidR="003F48E2" w:rsidRPr="00F74CA6" w:rsidRDefault="003F48E2" w:rsidP="00DD3941">
      <w:pPr>
        <w:pStyle w:val="ListParagraph"/>
        <w:spacing w:line="240" w:lineRule="auto"/>
        <w:ind w:left="1440" w:right="1440" w:firstLine="0"/>
        <w:rPr>
          <w:szCs w:val="26"/>
        </w:rPr>
      </w:pPr>
    </w:p>
    <w:p w14:paraId="5EA03FDB" w14:textId="77777777" w:rsidR="00DD3941" w:rsidRPr="00F74CA6" w:rsidRDefault="00DD3941" w:rsidP="00DD3941">
      <w:pPr>
        <w:pStyle w:val="ListParagraph"/>
        <w:spacing w:line="240" w:lineRule="auto"/>
        <w:ind w:left="1440" w:right="1440" w:firstLine="0"/>
        <w:rPr>
          <w:szCs w:val="26"/>
        </w:rPr>
      </w:pPr>
      <w:r w:rsidRPr="00F74CA6">
        <w:rPr>
          <w:szCs w:val="26"/>
        </w:rPr>
        <w:t>47.</w:t>
      </w:r>
      <w:r w:rsidR="00B3199C" w:rsidRPr="00F74CA6">
        <w:rPr>
          <w:szCs w:val="26"/>
        </w:rPr>
        <w:tab/>
      </w:r>
      <w:r w:rsidRPr="00F74CA6">
        <w:rPr>
          <w:szCs w:val="26"/>
        </w:rPr>
        <w:t>Peoples Natural’s proposal to deliver the required daily gas supplies for Pool Operators that have a peak demand of 2,000 Dth or less in lieu of capacity assignment is</w:t>
      </w:r>
      <w:r w:rsidR="009528DE" w:rsidRPr="00F74CA6">
        <w:rPr>
          <w:szCs w:val="26"/>
        </w:rPr>
        <w:t xml:space="preserve"> </w:t>
      </w:r>
      <w:r w:rsidRPr="00F74CA6">
        <w:rPr>
          <w:szCs w:val="26"/>
        </w:rPr>
        <w:t>approved with the modification that it will be a voluntary option.</w:t>
      </w:r>
    </w:p>
    <w:p w14:paraId="44BE96CA" w14:textId="77777777" w:rsidR="00DD3941" w:rsidRPr="00F74CA6" w:rsidRDefault="00DD3941" w:rsidP="00DD3941">
      <w:pPr>
        <w:pStyle w:val="ListParagraph"/>
        <w:spacing w:line="240" w:lineRule="auto"/>
        <w:ind w:left="1440" w:right="1440" w:firstLine="0"/>
        <w:rPr>
          <w:szCs w:val="26"/>
        </w:rPr>
      </w:pPr>
    </w:p>
    <w:p w14:paraId="5EABA23E" w14:textId="77777777" w:rsidR="00DD3941" w:rsidRPr="00F74CA6" w:rsidRDefault="00DD3941" w:rsidP="00DD3941">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LOW INCOME CUSTOMER ISSUES</w:t>
      </w:r>
    </w:p>
    <w:p w14:paraId="797BFCB6" w14:textId="77777777" w:rsidR="00DD3941" w:rsidRPr="00F74CA6" w:rsidRDefault="00DD3941" w:rsidP="00DD3941">
      <w:pPr>
        <w:pStyle w:val="ListParagraph"/>
        <w:autoSpaceDE w:val="0"/>
        <w:autoSpaceDN w:val="0"/>
        <w:adjustRightInd w:val="0"/>
        <w:spacing w:line="240" w:lineRule="auto"/>
        <w:ind w:left="2160" w:firstLine="0"/>
        <w:rPr>
          <w:rFonts w:eastAsiaTheme="minorHAnsi"/>
          <w:b/>
          <w:bCs/>
          <w:szCs w:val="26"/>
        </w:rPr>
      </w:pPr>
    </w:p>
    <w:p w14:paraId="249ACA4E" w14:textId="77777777" w:rsidR="00DD3941" w:rsidRPr="00F74CA6" w:rsidRDefault="00DD3941" w:rsidP="00DD3941">
      <w:pPr>
        <w:pStyle w:val="ListParagraph"/>
        <w:spacing w:line="240" w:lineRule="auto"/>
        <w:ind w:left="1440" w:right="1440" w:firstLine="0"/>
        <w:rPr>
          <w:szCs w:val="26"/>
        </w:rPr>
      </w:pPr>
      <w:r w:rsidRPr="00F74CA6">
        <w:rPr>
          <w:szCs w:val="26"/>
        </w:rPr>
        <w:t>48.</w:t>
      </w:r>
      <w:r w:rsidRPr="00F74CA6">
        <w:rPr>
          <w:szCs w:val="26"/>
        </w:rPr>
        <w:tab/>
        <w:t>Peoples Natural will waive High Bill Investigation Fees for customers at or below 150% of the federal poverty level.</w:t>
      </w:r>
    </w:p>
    <w:p w14:paraId="614FD34C" w14:textId="77777777" w:rsidR="00DD3941" w:rsidRPr="00F74CA6" w:rsidRDefault="00DD3941" w:rsidP="00DD3941">
      <w:pPr>
        <w:pStyle w:val="ListParagraph"/>
        <w:spacing w:line="240" w:lineRule="auto"/>
        <w:ind w:left="1440" w:right="1440" w:firstLine="0"/>
        <w:rPr>
          <w:szCs w:val="26"/>
        </w:rPr>
      </w:pPr>
    </w:p>
    <w:p w14:paraId="4E69F6F5" w14:textId="77777777" w:rsidR="00DD3941" w:rsidRPr="00F74CA6" w:rsidRDefault="00DD3941" w:rsidP="00DD3941">
      <w:pPr>
        <w:pStyle w:val="ListParagraph"/>
        <w:spacing w:line="240" w:lineRule="auto"/>
        <w:ind w:left="1440" w:right="1440" w:firstLine="0"/>
        <w:rPr>
          <w:szCs w:val="26"/>
        </w:rPr>
      </w:pPr>
      <w:r w:rsidRPr="00F74CA6">
        <w:rPr>
          <w:szCs w:val="26"/>
        </w:rPr>
        <w:t>49.</w:t>
      </w:r>
      <w:r w:rsidRPr="00F74CA6">
        <w:rPr>
          <w:szCs w:val="26"/>
        </w:rPr>
        <w:tab/>
        <w:t>Regardless of income level, Peoples Natural will cease charging any High Bill Investigation Fees for a foreign load investigation.</w:t>
      </w:r>
    </w:p>
    <w:p w14:paraId="5233E181" w14:textId="77777777" w:rsidR="00DD3941" w:rsidRPr="00F74CA6" w:rsidRDefault="00DD3941" w:rsidP="00DD3941">
      <w:pPr>
        <w:pStyle w:val="ListParagraph"/>
        <w:spacing w:line="240" w:lineRule="auto"/>
        <w:ind w:left="1440" w:right="1440" w:firstLine="0"/>
        <w:rPr>
          <w:szCs w:val="26"/>
        </w:rPr>
      </w:pPr>
    </w:p>
    <w:p w14:paraId="2B5EFD2A" w14:textId="19D422A9" w:rsidR="00DD3941" w:rsidRPr="00F74CA6" w:rsidRDefault="00DD3941" w:rsidP="00DD3941">
      <w:pPr>
        <w:pStyle w:val="ListParagraph"/>
        <w:spacing w:line="240" w:lineRule="auto"/>
        <w:ind w:left="1440" w:right="1440" w:firstLine="0"/>
        <w:rPr>
          <w:szCs w:val="26"/>
        </w:rPr>
      </w:pPr>
      <w:r w:rsidRPr="00F74CA6">
        <w:rPr>
          <w:szCs w:val="26"/>
        </w:rPr>
        <w:t>50.</w:t>
      </w:r>
      <w:r w:rsidRPr="00F74CA6">
        <w:rPr>
          <w:szCs w:val="26"/>
        </w:rPr>
        <w:tab/>
        <w:t>Peoples Natural will integrate the Universal Service Riders of the Peoples and Equitable Divisions in a manner that does not adversely affect either one of the divisions.</w:t>
      </w:r>
      <w:r w:rsidR="009528DE" w:rsidRPr="00F74CA6">
        <w:rPr>
          <w:szCs w:val="26"/>
        </w:rPr>
        <w:t xml:space="preserve"> </w:t>
      </w:r>
      <w:r w:rsidRPr="00F74CA6">
        <w:rPr>
          <w:szCs w:val="26"/>
        </w:rPr>
        <w:t>Within 90 days of the effective date of rates in this proceeding, Peoples Natural will develop a written plan for how it will ensure that funding for its Low</w:t>
      </w:r>
      <w:r w:rsidR="00C163ED" w:rsidRPr="00F74CA6">
        <w:rPr>
          <w:szCs w:val="26"/>
        </w:rPr>
        <w:t>-</w:t>
      </w:r>
      <w:r w:rsidRPr="00F74CA6">
        <w:rPr>
          <w:szCs w:val="26"/>
        </w:rPr>
        <w:t>Income Usage Reduction Program (“LIURP”) will be equitably distributed between divisions. The plan will be circulated to all</w:t>
      </w:r>
      <w:r w:rsidR="00B3199C" w:rsidRPr="00F74CA6">
        <w:rPr>
          <w:szCs w:val="26"/>
        </w:rPr>
        <w:t xml:space="preserve"> </w:t>
      </w:r>
      <w:r w:rsidRPr="00F74CA6">
        <w:rPr>
          <w:szCs w:val="26"/>
        </w:rPr>
        <w:t>parties and shared with Commission staff at the Bureau of Consumer Services, and will include data about the actual spending for the program in each rate division over the last three years, as well as information about the estimated and confirmed low income populations in each rate district.</w:t>
      </w:r>
    </w:p>
    <w:p w14:paraId="7622EBED" w14:textId="77777777" w:rsidR="003F48E2" w:rsidRPr="00F74CA6" w:rsidRDefault="003F48E2" w:rsidP="00DD3941">
      <w:pPr>
        <w:pStyle w:val="ListParagraph"/>
        <w:spacing w:line="240" w:lineRule="auto"/>
        <w:ind w:left="1440" w:right="1440" w:firstLine="0"/>
        <w:rPr>
          <w:szCs w:val="26"/>
        </w:rPr>
      </w:pPr>
    </w:p>
    <w:p w14:paraId="34C1E1BA" w14:textId="77777777" w:rsidR="00DD3941" w:rsidRPr="00F74CA6" w:rsidRDefault="00DD3941" w:rsidP="00DD3941">
      <w:pPr>
        <w:pStyle w:val="ListParagraph"/>
        <w:spacing w:line="240" w:lineRule="auto"/>
        <w:ind w:left="1440" w:right="1440" w:firstLine="0"/>
        <w:rPr>
          <w:szCs w:val="26"/>
        </w:rPr>
      </w:pPr>
      <w:r w:rsidRPr="00F74CA6">
        <w:rPr>
          <w:szCs w:val="26"/>
        </w:rPr>
        <w:t>51.</w:t>
      </w:r>
      <w:r w:rsidRPr="00F74CA6">
        <w:rPr>
          <w:szCs w:val="26"/>
        </w:rPr>
        <w:tab/>
        <w:t>Within 120 days of the effective date of rates in this proceeding, Peoples Natural will host an in-person collaborative meeting with interested parties to this</w:t>
      </w:r>
      <w:r w:rsidR="006810AC" w:rsidRPr="00F74CA6">
        <w:rPr>
          <w:szCs w:val="26"/>
        </w:rPr>
        <w:t xml:space="preserve"> </w:t>
      </w:r>
      <w:r w:rsidRPr="00F74CA6">
        <w:rPr>
          <w:szCs w:val="26"/>
        </w:rPr>
        <w:t>proceeding and other stakeholders, including the Bureau of Consumer Services, to answer questions about its proposed</w:t>
      </w:r>
      <w:r w:rsidR="00B3199C" w:rsidRPr="00F74CA6">
        <w:rPr>
          <w:szCs w:val="26"/>
        </w:rPr>
        <w:t xml:space="preserve"> </w:t>
      </w:r>
      <w:r w:rsidRPr="00F74CA6">
        <w:rPr>
          <w:szCs w:val="26"/>
        </w:rPr>
        <w:t>plan. The parties and stakeholders will be given the opportunity to provide feedback and recommendations for revisions to Peoples Natural’s proposed plan. If the parties are able to reach consensus, Peoples Natural’s proposal to consolidate its universal service program budgets</w:t>
      </w:r>
      <w:r w:rsidR="00B3199C" w:rsidRPr="00F74CA6">
        <w:rPr>
          <w:szCs w:val="26"/>
        </w:rPr>
        <w:t xml:space="preserve"> </w:t>
      </w:r>
      <w:r w:rsidRPr="00F74CA6">
        <w:rPr>
          <w:szCs w:val="26"/>
        </w:rPr>
        <w:t>into a single budget for each program will be approved. If the parties are unable to reach consensus, Peoples Natural will file a separate Petition with the Commission seeking approval of its plan for consolidation of its universal service program budgets.</w:t>
      </w:r>
    </w:p>
    <w:p w14:paraId="0CFD7583" w14:textId="77777777" w:rsidR="003F48E2" w:rsidRPr="00F74CA6" w:rsidRDefault="003F48E2" w:rsidP="00DD3941">
      <w:pPr>
        <w:pStyle w:val="ListParagraph"/>
        <w:spacing w:line="240" w:lineRule="auto"/>
        <w:ind w:left="1440" w:right="1440" w:firstLine="0"/>
        <w:rPr>
          <w:szCs w:val="26"/>
        </w:rPr>
      </w:pPr>
    </w:p>
    <w:p w14:paraId="7291ED5E" w14:textId="77777777" w:rsidR="00DD3941" w:rsidRPr="00F74CA6" w:rsidRDefault="00DD3941" w:rsidP="00DD3941">
      <w:pPr>
        <w:pStyle w:val="ListParagraph"/>
        <w:spacing w:line="240" w:lineRule="auto"/>
        <w:ind w:left="1440" w:right="1440" w:firstLine="0"/>
        <w:rPr>
          <w:szCs w:val="26"/>
        </w:rPr>
      </w:pPr>
      <w:r w:rsidRPr="00F74CA6">
        <w:rPr>
          <w:szCs w:val="26"/>
        </w:rPr>
        <w:t>52.</w:t>
      </w:r>
      <w:r w:rsidRPr="00F74CA6">
        <w:rPr>
          <w:szCs w:val="26"/>
        </w:rPr>
        <w:tab/>
        <w:t>Peoples Natural will increase its annual LIURP budget by $650,000, divided proportionately between Peoples and Equitable Divisions. These costs will be recoverable under</w:t>
      </w:r>
      <w:r w:rsidR="00B3199C" w:rsidRPr="00F74CA6">
        <w:rPr>
          <w:szCs w:val="26"/>
        </w:rPr>
        <w:t xml:space="preserve"> </w:t>
      </w:r>
      <w:r w:rsidRPr="00F74CA6">
        <w:rPr>
          <w:szCs w:val="26"/>
        </w:rPr>
        <w:t>the Universal Service Rider. Any unspent funds at the end of each year will roll over and be added to the budget for the following year.</w:t>
      </w:r>
    </w:p>
    <w:p w14:paraId="634C13A0" w14:textId="77777777" w:rsidR="00DD3941" w:rsidRPr="00F74CA6" w:rsidRDefault="00DD3941" w:rsidP="00DD3941">
      <w:pPr>
        <w:pStyle w:val="ListParagraph"/>
        <w:spacing w:line="240" w:lineRule="auto"/>
        <w:ind w:left="1440" w:right="1440" w:firstLine="0"/>
        <w:rPr>
          <w:szCs w:val="26"/>
        </w:rPr>
      </w:pPr>
    </w:p>
    <w:p w14:paraId="7899D14A" w14:textId="77777777" w:rsidR="00DD3941" w:rsidRPr="00F74CA6" w:rsidRDefault="00DD3941" w:rsidP="00DD3941">
      <w:pPr>
        <w:pStyle w:val="ListParagraph"/>
        <w:spacing w:line="240" w:lineRule="auto"/>
        <w:ind w:left="1440" w:right="1440" w:firstLine="0"/>
        <w:rPr>
          <w:szCs w:val="26"/>
        </w:rPr>
      </w:pPr>
      <w:r w:rsidRPr="00F74CA6">
        <w:rPr>
          <w:szCs w:val="26"/>
        </w:rPr>
        <w:t>53.</w:t>
      </w:r>
      <w:r w:rsidRPr="00F74CA6">
        <w:rPr>
          <w:szCs w:val="26"/>
        </w:rPr>
        <w:tab/>
        <w:t>The Company commits to maintaining its existing business relationship with CBOs, subject to each individual CBO’s continued performance in conformance with the</w:t>
      </w:r>
      <w:r w:rsidR="009528DE" w:rsidRPr="00F74CA6">
        <w:rPr>
          <w:szCs w:val="26"/>
        </w:rPr>
        <w:t xml:space="preserve"> </w:t>
      </w:r>
      <w:r w:rsidRPr="00F74CA6">
        <w:rPr>
          <w:szCs w:val="26"/>
        </w:rPr>
        <w:t>Company’s Universal Service and Energy Conservation Plan (“USECP”) rules and their contract with the Company.</w:t>
      </w:r>
    </w:p>
    <w:p w14:paraId="3FFF00DD" w14:textId="77777777" w:rsidR="00DD3941" w:rsidRPr="00F74CA6" w:rsidRDefault="00DD3941" w:rsidP="00DD3941">
      <w:pPr>
        <w:pStyle w:val="ListParagraph"/>
        <w:spacing w:line="240" w:lineRule="auto"/>
        <w:ind w:left="1440" w:right="1440" w:firstLine="0"/>
        <w:rPr>
          <w:szCs w:val="26"/>
        </w:rPr>
      </w:pPr>
    </w:p>
    <w:p w14:paraId="34D0F73A" w14:textId="77777777" w:rsidR="00DD3941" w:rsidRPr="00F74CA6" w:rsidRDefault="00DD3941" w:rsidP="00DD3941">
      <w:pPr>
        <w:pStyle w:val="ListParagraph"/>
        <w:spacing w:line="240" w:lineRule="auto"/>
        <w:ind w:left="1440" w:right="1440" w:firstLine="0"/>
        <w:rPr>
          <w:szCs w:val="26"/>
        </w:rPr>
      </w:pPr>
      <w:r w:rsidRPr="00F74CA6">
        <w:rPr>
          <w:szCs w:val="26"/>
        </w:rPr>
        <w:lastRenderedPageBreak/>
        <w:t>54.</w:t>
      </w:r>
      <w:r w:rsidRPr="00F74CA6">
        <w:rPr>
          <w:szCs w:val="26"/>
        </w:rPr>
        <w:tab/>
        <w:t>Within 60 days of the effective date of rates, Peoples Natural will update its training materials to clarify that additional medical certificate renewals, beyond the first three</w:t>
      </w:r>
      <w:r w:rsidR="00B3199C" w:rsidRPr="00F74CA6">
        <w:rPr>
          <w:szCs w:val="26"/>
        </w:rPr>
        <w:t xml:space="preserve"> </w:t>
      </w:r>
      <w:r w:rsidRPr="00F74CA6">
        <w:rPr>
          <w:szCs w:val="26"/>
        </w:rPr>
        <w:t>certificates, are available to customers who continue to pay their current charges or budget bill amount while protected by a medical certificate. Peoples Natural will share its updated training materials with the parties to this proceeding.</w:t>
      </w:r>
    </w:p>
    <w:p w14:paraId="4FA936D9" w14:textId="77777777" w:rsidR="00DD3941" w:rsidRPr="00F74CA6" w:rsidRDefault="00DD3941" w:rsidP="00DD3941">
      <w:pPr>
        <w:pStyle w:val="ListParagraph"/>
        <w:spacing w:line="240" w:lineRule="auto"/>
        <w:ind w:left="1440" w:right="1440" w:firstLine="0"/>
        <w:rPr>
          <w:szCs w:val="26"/>
        </w:rPr>
      </w:pPr>
    </w:p>
    <w:p w14:paraId="29AA0750" w14:textId="77777777" w:rsidR="00DD3941" w:rsidRPr="00F74CA6" w:rsidRDefault="00DD3941" w:rsidP="00DD3941">
      <w:pPr>
        <w:pStyle w:val="ListParagraph"/>
        <w:spacing w:line="240" w:lineRule="auto"/>
        <w:ind w:left="1440" w:right="1440" w:firstLine="0"/>
        <w:rPr>
          <w:szCs w:val="26"/>
        </w:rPr>
      </w:pPr>
      <w:r w:rsidRPr="00F74CA6">
        <w:rPr>
          <w:szCs w:val="26"/>
        </w:rPr>
        <w:t>55.</w:t>
      </w:r>
      <w:r w:rsidRPr="00F74CA6">
        <w:rPr>
          <w:szCs w:val="26"/>
        </w:rPr>
        <w:tab/>
        <w:t>Peoples Natural’s customer service staff will inform customers upon submission of a medical certificate that they can continue to renew their medical certificates so long as they continue to pay their current bill or budget bill, but if they fail to do so they are limited to three certificates.</w:t>
      </w:r>
    </w:p>
    <w:p w14:paraId="7AE751CA" w14:textId="77777777" w:rsidR="00DD3941" w:rsidRPr="00F74CA6" w:rsidRDefault="00DD3941" w:rsidP="00DD3941">
      <w:pPr>
        <w:pStyle w:val="ListParagraph"/>
        <w:spacing w:line="240" w:lineRule="auto"/>
        <w:ind w:left="1440" w:right="1440" w:firstLine="0"/>
        <w:rPr>
          <w:szCs w:val="26"/>
        </w:rPr>
      </w:pPr>
    </w:p>
    <w:p w14:paraId="1739A866" w14:textId="77777777" w:rsidR="00DD3941" w:rsidRPr="00F74CA6" w:rsidRDefault="00DD3941" w:rsidP="00DD3941">
      <w:pPr>
        <w:pStyle w:val="ListParagraph"/>
        <w:spacing w:line="240" w:lineRule="auto"/>
        <w:ind w:left="1440" w:right="1440" w:firstLine="0"/>
        <w:rPr>
          <w:szCs w:val="26"/>
        </w:rPr>
      </w:pPr>
      <w:r w:rsidRPr="00F74CA6">
        <w:rPr>
          <w:szCs w:val="26"/>
        </w:rPr>
        <w:t>56.</w:t>
      </w:r>
      <w:r w:rsidRPr="00F74CA6">
        <w:rPr>
          <w:szCs w:val="26"/>
        </w:rPr>
        <w:tab/>
        <w:t>Peoples Natural agrees to automatically review its residential accounts at least once every six months to ensure it is not holding deposits for customers who are confirmed low</w:t>
      </w:r>
      <w:r w:rsidR="009528DE" w:rsidRPr="00F74CA6">
        <w:rPr>
          <w:szCs w:val="26"/>
        </w:rPr>
        <w:t xml:space="preserve"> </w:t>
      </w:r>
      <w:r w:rsidRPr="00F74CA6">
        <w:rPr>
          <w:szCs w:val="26"/>
        </w:rPr>
        <w:t>income. If it discovers that deposits are being held, Peoples Natural will refund those deposits to</w:t>
      </w:r>
      <w:r w:rsidR="009528DE" w:rsidRPr="00F74CA6">
        <w:rPr>
          <w:szCs w:val="26"/>
        </w:rPr>
        <w:t xml:space="preserve"> </w:t>
      </w:r>
      <w:r w:rsidRPr="00F74CA6">
        <w:rPr>
          <w:szCs w:val="26"/>
        </w:rPr>
        <w:t xml:space="preserve">customers within 30 days. </w:t>
      </w:r>
    </w:p>
    <w:p w14:paraId="19FE07D4" w14:textId="77777777" w:rsidR="00DD3941" w:rsidRPr="00F74CA6" w:rsidRDefault="00DD3941" w:rsidP="00DD3941">
      <w:pPr>
        <w:pStyle w:val="ListParagraph"/>
        <w:spacing w:line="240" w:lineRule="auto"/>
        <w:ind w:left="1440" w:right="1440" w:firstLine="0"/>
        <w:rPr>
          <w:szCs w:val="26"/>
        </w:rPr>
      </w:pPr>
    </w:p>
    <w:p w14:paraId="417F2163" w14:textId="77777777" w:rsidR="00DD3941" w:rsidRPr="00F74CA6" w:rsidRDefault="00DD3941" w:rsidP="00DD3941">
      <w:pPr>
        <w:pStyle w:val="ListParagraph"/>
        <w:spacing w:line="240" w:lineRule="auto"/>
        <w:ind w:left="1440" w:right="1440" w:firstLine="0"/>
        <w:rPr>
          <w:szCs w:val="26"/>
        </w:rPr>
      </w:pPr>
      <w:r w:rsidRPr="00F74CA6">
        <w:rPr>
          <w:szCs w:val="26"/>
        </w:rPr>
        <w:t>57.</w:t>
      </w:r>
      <w:r w:rsidRPr="00F74CA6">
        <w:rPr>
          <w:szCs w:val="26"/>
        </w:rPr>
        <w:tab/>
        <w:t>Peoples Natural agrees to memorialize, in its USECP, the steps that Peoples Natural has indicated it has already taken to bolster Customer Assistance Program (“CAP”) enrollment that were recommended by CAUSE-PA in its direct testimony.</w:t>
      </w:r>
    </w:p>
    <w:p w14:paraId="4530B6D8" w14:textId="77777777" w:rsidR="00DD3941" w:rsidRPr="00F74CA6" w:rsidRDefault="00DD3941" w:rsidP="00DD3941">
      <w:pPr>
        <w:pStyle w:val="ListParagraph"/>
        <w:spacing w:line="240" w:lineRule="auto"/>
        <w:ind w:left="1440" w:right="1440" w:firstLine="0"/>
        <w:rPr>
          <w:szCs w:val="26"/>
        </w:rPr>
      </w:pPr>
    </w:p>
    <w:p w14:paraId="78E35B2D" w14:textId="77777777" w:rsidR="00DD3941" w:rsidRPr="00F74CA6" w:rsidRDefault="00DD3941" w:rsidP="00DD3941">
      <w:pPr>
        <w:pStyle w:val="ListParagraph"/>
        <w:spacing w:line="240" w:lineRule="auto"/>
        <w:ind w:left="1440" w:right="1440" w:firstLine="0"/>
        <w:rPr>
          <w:szCs w:val="26"/>
        </w:rPr>
      </w:pPr>
      <w:r w:rsidRPr="00F74CA6">
        <w:rPr>
          <w:szCs w:val="26"/>
        </w:rPr>
        <w:t>58.</w:t>
      </w:r>
      <w:r w:rsidRPr="00F74CA6">
        <w:rPr>
          <w:szCs w:val="26"/>
        </w:rPr>
        <w:tab/>
        <w:t>Peoples Natural will revise its Universal Service cost recovery tariff to reflect a bad debt offset of 3.86% for all CAP participation exceeding 32,300. Peoples Natural will no</w:t>
      </w:r>
      <w:r w:rsidR="009528DE" w:rsidRPr="00F74CA6">
        <w:rPr>
          <w:szCs w:val="26"/>
        </w:rPr>
        <w:t xml:space="preserve"> </w:t>
      </w:r>
      <w:r w:rsidRPr="00F74CA6">
        <w:rPr>
          <w:szCs w:val="26"/>
        </w:rPr>
        <w:t>longer track CAP participation separately for its two divisions.</w:t>
      </w:r>
    </w:p>
    <w:p w14:paraId="452DBDF7" w14:textId="77777777" w:rsidR="00DD3941" w:rsidRPr="00F74CA6" w:rsidRDefault="00DD3941" w:rsidP="00DD3941">
      <w:pPr>
        <w:pStyle w:val="ListParagraph"/>
        <w:spacing w:line="240" w:lineRule="auto"/>
        <w:ind w:left="1440" w:right="1440" w:firstLine="0"/>
        <w:rPr>
          <w:szCs w:val="26"/>
        </w:rPr>
      </w:pPr>
    </w:p>
    <w:p w14:paraId="06DD86DF" w14:textId="77777777" w:rsidR="00DD3941" w:rsidRPr="00F74CA6" w:rsidRDefault="00DD3941" w:rsidP="00DD3941">
      <w:pPr>
        <w:pStyle w:val="ListParagraph"/>
        <w:spacing w:line="240" w:lineRule="auto"/>
        <w:ind w:left="1440" w:right="1440" w:firstLine="0"/>
        <w:rPr>
          <w:szCs w:val="26"/>
        </w:rPr>
      </w:pPr>
      <w:r w:rsidRPr="00F74CA6">
        <w:rPr>
          <w:szCs w:val="26"/>
        </w:rPr>
        <w:t>59.</w:t>
      </w:r>
      <w:r w:rsidRPr="00F74CA6">
        <w:rPr>
          <w:szCs w:val="26"/>
        </w:rPr>
        <w:tab/>
        <w:t>Within 6 months, Peoples Natural will adopt a procedure under which it will not disconnect service to a confirmed low-income customer for nonpayment without first providing a stand-alone Plain English notice to that customer of the customer’s right to enter into CAP and an explanation of CAP's arrearage forgiveness benefits. Peoples Natural will develop the Plain English notice in collaboration with its Universal Service Advisory Group.</w:t>
      </w:r>
    </w:p>
    <w:p w14:paraId="7B8BE031" w14:textId="77777777" w:rsidR="00DD3941" w:rsidRPr="00F74CA6" w:rsidRDefault="00DD3941" w:rsidP="00DD3941">
      <w:pPr>
        <w:pStyle w:val="ListParagraph"/>
        <w:spacing w:line="240" w:lineRule="auto"/>
        <w:ind w:left="1440" w:right="1440" w:firstLine="0"/>
        <w:rPr>
          <w:szCs w:val="26"/>
        </w:rPr>
      </w:pPr>
    </w:p>
    <w:p w14:paraId="4024A712" w14:textId="77777777" w:rsidR="00DD3941" w:rsidRPr="00F74CA6" w:rsidRDefault="00DD3941" w:rsidP="00DD3941">
      <w:pPr>
        <w:pStyle w:val="ListParagraph"/>
        <w:spacing w:line="240" w:lineRule="auto"/>
        <w:ind w:left="1440" w:right="1440" w:firstLine="0"/>
        <w:rPr>
          <w:szCs w:val="26"/>
        </w:rPr>
      </w:pPr>
      <w:r w:rsidRPr="00F74CA6">
        <w:rPr>
          <w:szCs w:val="26"/>
        </w:rPr>
        <w:lastRenderedPageBreak/>
        <w:t>60.</w:t>
      </w:r>
      <w:r w:rsidR="0047693C" w:rsidRPr="00F74CA6">
        <w:rPr>
          <w:szCs w:val="26"/>
        </w:rPr>
        <w:tab/>
      </w:r>
      <w:r w:rsidRPr="00F74CA6">
        <w:rPr>
          <w:szCs w:val="26"/>
        </w:rPr>
        <w:t>Peoples Natural will adopt a process providing that upon request to enter into Budget Billing, a customer in arrears should be placed on Budget Billing while spreading their</w:t>
      </w:r>
      <w:r w:rsidR="0047693C" w:rsidRPr="00F74CA6">
        <w:rPr>
          <w:szCs w:val="26"/>
        </w:rPr>
        <w:t xml:space="preserve"> </w:t>
      </w:r>
      <w:r w:rsidRPr="00F74CA6">
        <w:rPr>
          <w:szCs w:val="26"/>
        </w:rPr>
        <w:t>arrears over a period consistent with the Commission regulation applicable to the individual customer.</w:t>
      </w:r>
    </w:p>
    <w:p w14:paraId="592A2D56" w14:textId="77777777" w:rsidR="0047693C" w:rsidRPr="00F74CA6" w:rsidRDefault="0047693C" w:rsidP="00EA69F7">
      <w:pPr>
        <w:spacing w:line="240" w:lineRule="auto"/>
        <w:ind w:right="1440"/>
        <w:rPr>
          <w:szCs w:val="26"/>
        </w:rPr>
      </w:pPr>
    </w:p>
    <w:p w14:paraId="421A273D" w14:textId="77777777" w:rsidR="0047693C" w:rsidRPr="00F74CA6" w:rsidRDefault="0047693C" w:rsidP="0047693C">
      <w:pPr>
        <w:pStyle w:val="ListParagraph"/>
        <w:spacing w:line="240" w:lineRule="auto"/>
        <w:ind w:left="1440" w:right="1440" w:firstLine="0"/>
        <w:rPr>
          <w:szCs w:val="26"/>
        </w:rPr>
      </w:pPr>
      <w:r w:rsidRPr="00F74CA6">
        <w:rPr>
          <w:szCs w:val="26"/>
        </w:rPr>
        <w:t>61.</w:t>
      </w:r>
      <w:r w:rsidR="00D10E4F" w:rsidRPr="00F74CA6">
        <w:rPr>
          <w:szCs w:val="26"/>
        </w:rPr>
        <w:tab/>
      </w:r>
      <w:r w:rsidRPr="00F74CA6">
        <w:rPr>
          <w:szCs w:val="26"/>
        </w:rPr>
        <w:t>For the purposes of cold weather protections, the Company should adopt income verification language that mirrors the tariff language of Columbia Gas of Pennsylvania, Inc. and/or the FirstEnergy Companies to provide greater flexibility to establish income eligibility.</w:t>
      </w:r>
    </w:p>
    <w:p w14:paraId="006037B0" w14:textId="77777777" w:rsidR="0047693C" w:rsidRPr="00F74CA6" w:rsidRDefault="0047693C" w:rsidP="0047693C">
      <w:pPr>
        <w:pStyle w:val="ListParagraph"/>
        <w:spacing w:line="240" w:lineRule="auto"/>
        <w:ind w:left="1440" w:right="1440" w:firstLine="0"/>
        <w:rPr>
          <w:szCs w:val="26"/>
        </w:rPr>
      </w:pPr>
    </w:p>
    <w:p w14:paraId="06451D54" w14:textId="77777777" w:rsidR="009528DE" w:rsidRPr="00F74CA6" w:rsidRDefault="0047693C" w:rsidP="0047693C">
      <w:pPr>
        <w:pStyle w:val="ListParagraph"/>
        <w:spacing w:line="240" w:lineRule="auto"/>
        <w:ind w:left="1440" w:right="1440" w:firstLine="0"/>
        <w:rPr>
          <w:szCs w:val="26"/>
        </w:rPr>
      </w:pPr>
      <w:r w:rsidRPr="00F74CA6">
        <w:rPr>
          <w:szCs w:val="26"/>
        </w:rPr>
        <w:t>62.</w:t>
      </w:r>
      <w:r w:rsidR="00D10E4F" w:rsidRPr="00F74CA6">
        <w:rPr>
          <w:szCs w:val="26"/>
        </w:rPr>
        <w:tab/>
      </w:r>
      <w:r w:rsidRPr="00F74CA6">
        <w:rPr>
          <w:szCs w:val="26"/>
        </w:rPr>
        <w:t>Peoples Natural’s proposal to present the issue of CAP outreach to its Universal Service Advisory Group (“USAG”) no later than October 2019 is accepted, provided that</w:t>
      </w:r>
      <w:r w:rsidR="009528DE" w:rsidRPr="00F74CA6">
        <w:rPr>
          <w:szCs w:val="26"/>
        </w:rPr>
        <w:t xml:space="preserve"> </w:t>
      </w:r>
      <w:r w:rsidRPr="00F74CA6">
        <w:rPr>
          <w:szCs w:val="26"/>
        </w:rPr>
        <w:t>subsequent to this discussion, Peoples Natural will present the recommendations of the USAG to the Commission in either its next round of comments regarding the Peoples Natural’s USECP, or its next base rate case, whichever comes first.</w:t>
      </w:r>
    </w:p>
    <w:p w14:paraId="2482D073" w14:textId="77777777" w:rsidR="009528DE" w:rsidRPr="00F74CA6" w:rsidRDefault="009528DE" w:rsidP="0047693C">
      <w:pPr>
        <w:pStyle w:val="ListParagraph"/>
        <w:spacing w:line="240" w:lineRule="auto"/>
        <w:ind w:left="1440" w:right="1440" w:firstLine="0"/>
        <w:rPr>
          <w:szCs w:val="26"/>
        </w:rPr>
      </w:pPr>
    </w:p>
    <w:p w14:paraId="49837EB7" w14:textId="77777777" w:rsidR="0047693C" w:rsidRPr="00F74CA6" w:rsidRDefault="0047693C" w:rsidP="0047693C">
      <w:pPr>
        <w:pStyle w:val="ListParagraph"/>
        <w:spacing w:line="240" w:lineRule="auto"/>
        <w:ind w:left="1440" w:right="1440" w:firstLine="0"/>
        <w:rPr>
          <w:szCs w:val="26"/>
        </w:rPr>
      </w:pPr>
      <w:r w:rsidRPr="00F74CA6">
        <w:rPr>
          <w:szCs w:val="26"/>
        </w:rPr>
        <w:t>63.</w:t>
      </w:r>
      <w:r w:rsidR="009528DE" w:rsidRPr="00F74CA6">
        <w:rPr>
          <w:szCs w:val="26"/>
        </w:rPr>
        <w:tab/>
      </w:r>
      <w:r w:rsidRPr="00F74CA6">
        <w:rPr>
          <w:szCs w:val="26"/>
        </w:rPr>
        <w:t>The additional questions of: (1) why customers do not respond to written shutoff notices that inform customers in arrears of the need to contact the Company in order to avoid the disconnection of service; and (2) why customers do not successfully complete deferred payment agreements, will also be presented to the USAG within the same time line and with the same proviso.</w:t>
      </w:r>
    </w:p>
    <w:p w14:paraId="54A10936" w14:textId="77777777" w:rsidR="0047693C" w:rsidRPr="00F74CA6" w:rsidRDefault="0047693C" w:rsidP="0047693C">
      <w:pPr>
        <w:pStyle w:val="ListParagraph"/>
        <w:spacing w:line="240" w:lineRule="auto"/>
        <w:ind w:left="1440" w:right="1440" w:firstLine="0"/>
        <w:rPr>
          <w:szCs w:val="26"/>
        </w:rPr>
      </w:pPr>
    </w:p>
    <w:p w14:paraId="40EB2CCA" w14:textId="77777777" w:rsidR="0047693C" w:rsidRPr="00F74CA6" w:rsidRDefault="0047693C" w:rsidP="0047693C">
      <w:pPr>
        <w:pStyle w:val="ListParagraph"/>
        <w:spacing w:line="240" w:lineRule="auto"/>
        <w:ind w:left="1440" w:right="1440" w:firstLine="0"/>
        <w:rPr>
          <w:szCs w:val="26"/>
        </w:rPr>
      </w:pPr>
      <w:r w:rsidRPr="00F74CA6">
        <w:rPr>
          <w:szCs w:val="26"/>
        </w:rPr>
        <w:t>64.</w:t>
      </w:r>
      <w:r w:rsidR="00D10E4F" w:rsidRPr="00F74CA6">
        <w:rPr>
          <w:szCs w:val="26"/>
        </w:rPr>
        <w:tab/>
      </w:r>
      <w:r w:rsidRPr="00F74CA6">
        <w:rPr>
          <w:szCs w:val="26"/>
        </w:rPr>
        <w:t>Peoples Natural will revise its tariff to explicitly provide that the reconnection fee will be waived for all customers with income at or below 150% of the federal poverty level.</w:t>
      </w:r>
    </w:p>
    <w:p w14:paraId="192228DD" w14:textId="77777777" w:rsidR="0047693C" w:rsidRPr="00F74CA6" w:rsidRDefault="0047693C" w:rsidP="0047693C">
      <w:pPr>
        <w:pStyle w:val="ListParagraph"/>
        <w:spacing w:line="240" w:lineRule="auto"/>
        <w:ind w:left="1440" w:right="1440" w:firstLine="0"/>
        <w:rPr>
          <w:szCs w:val="26"/>
        </w:rPr>
      </w:pPr>
    </w:p>
    <w:p w14:paraId="4E8653D7" w14:textId="77777777" w:rsidR="0047693C" w:rsidRPr="00F74CA6" w:rsidRDefault="0047693C" w:rsidP="0047693C">
      <w:pPr>
        <w:pStyle w:val="ListParagraph"/>
        <w:spacing w:line="240" w:lineRule="auto"/>
        <w:ind w:left="1440" w:right="1440" w:firstLine="0"/>
        <w:rPr>
          <w:szCs w:val="26"/>
        </w:rPr>
      </w:pPr>
      <w:r w:rsidRPr="00F74CA6">
        <w:rPr>
          <w:szCs w:val="26"/>
        </w:rPr>
        <w:t>65.</w:t>
      </w:r>
      <w:r w:rsidR="00D10E4F" w:rsidRPr="00F74CA6">
        <w:rPr>
          <w:szCs w:val="26"/>
        </w:rPr>
        <w:tab/>
      </w:r>
      <w:r w:rsidRPr="00F74CA6">
        <w:rPr>
          <w:szCs w:val="26"/>
        </w:rPr>
        <w:t>Peoples Natural and Duquesne Light will collaborate on their CAPs with the objective to enhance the experience for their mutual low-income customers, including enabling</w:t>
      </w:r>
      <w:r w:rsidR="009528DE" w:rsidRPr="00F74CA6">
        <w:rPr>
          <w:szCs w:val="26"/>
        </w:rPr>
        <w:t xml:space="preserve"> </w:t>
      </w:r>
      <w:r w:rsidRPr="00F74CA6">
        <w:rPr>
          <w:szCs w:val="26"/>
        </w:rPr>
        <w:t>data and document sharing to reduce barriers to enrollment; develop a universal CAP application; and investigate methods of shared recertification that decreases the number of CAP</w:t>
      </w:r>
      <w:r w:rsidR="009528DE" w:rsidRPr="00F74CA6">
        <w:rPr>
          <w:szCs w:val="26"/>
        </w:rPr>
        <w:t xml:space="preserve"> </w:t>
      </w:r>
      <w:r w:rsidRPr="00F74CA6">
        <w:rPr>
          <w:szCs w:val="26"/>
        </w:rPr>
        <w:t>customers removed from CAP for failure to recertify.</w:t>
      </w:r>
    </w:p>
    <w:p w14:paraId="124B49BB" w14:textId="77777777" w:rsidR="0047693C" w:rsidRPr="00F74CA6" w:rsidRDefault="0047693C" w:rsidP="0047693C">
      <w:pPr>
        <w:pStyle w:val="ListParagraph"/>
        <w:spacing w:line="240" w:lineRule="auto"/>
        <w:ind w:left="1440" w:right="1440" w:firstLine="0"/>
        <w:rPr>
          <w:szCs w:val="26"/>
        </w:rPr>
      </w:pPr>
    </w:p>
    <w:p w14:paraId="6D58509D" w14:textId="77777777" w:rsidR="0047693C" w:rsidRPr="00F74CA6" w:rsidRDefault="0047693C" w:rsidP="0047693C">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MISCELLANEOUS PROVISIONS</w:t>
      </w:r>
    </w:p>
    <w:p w14:paraId="70199463" w14:textId="77777777" w:rsidR="0047693C" w:rsidRPr="00F74CA6" w:rsidRDefault="0047693C" w:rsidP="0047693C">
      <w:pPr>
        <w:pStyle w:val="ListParagraph"/>
        <w:autoSpaceDE w:val="0"/>
        <w:autoSpaceDN w:val="0"/>
        <w:adjustRightInd w:val="0"/>
        <w:spacing w:line="240" w:lineRule="auto"/>
        <w:ind w:left="2160" w:firstLine="0"/>
        <w:rPr>
          <w:rFonts w:eastAsiaTheme="minorHAnsi"/>
          <w:b/>
          <w:bCs/>
          <w:szCs w:val="26"/>
        </w:rPr>
      </w:pPr>
    </w:p>
    <w:p w14:paraId="205E95D3" w14:textId="477946F9" w:rsidR="0047693C" w:rsidRPr="00F74CA6" w:rsidRDefault="0047693C" w:rsidP="0047693C">
      <w:pPr>
        <w:pStyle w:val="ListParagraph"/>
        <w:spacing w:line="240" w:lineRule="auto"/>
        <w:ind w:left="1440" w:right="1440" w:firstLine="0"/>
        <w:rPr>
          <w:szCs w:val="26"/>
        </w:rPr>
      </w:pPr>
      <w:r w:rsidRPr="00F74CA6">
        <w:rPr>
          <w:szCs w:val="26"/>
        </w:rPr>
        <w:lastRenderedPageBreak/>
        <w:t>66.</w:t>
      </w:r>
      <w:r w:rsidRPr="00F74CA6">
        <w:rPr>
          <w:szCs w:val="26"/>
        </w:rPr>
        <w:tab/>
        <w:t>Within 120 days of the effective date of rates in this proceeding, in following the Commission’s Temporary Rates Order entered May 17, 2018 at Docket No. R-2018-2641242</w:t>
      </w:r>
      <w:r w:rsidR="009528DE" w:rsidRPr="00F74CA6">
        <w:rPr>
          <w:szCs w:val="26"/>
        </w:rPr>
        <w:t xml:space="preserve"> </w:t>
      </w:r>
      <w:r w:rsidRPr="00F74CA6">
        <w:rPr>
          <w:szCs w:val="26"/>
        </w:rPr>
        <w:t>and Commission Order entered on June 14, 2018 at Docket No. R-2018-3006818, Peoples Natural will provide the refund of tax savings with interest associated with the TCJA for the</w:t>
      </w:r>
      <w:r w:rsidR="009528DE" w:rsidRPr="00F74CA6">
        <w:rPr>
          <w:szCs w:val="26"/>
        </w:rPr>
        <w:t xml:space="preserve"> </w:t>
      </w:r>
      <w:r w:rsidRPr="00F74CA6">
        <w:rPr>
          <w:szCs w:val="26"/>
        </w:rPr>
        <w:t>period of January 1, 2018 through June 30, 2018 in a one-time bill credit. The one-time bill credit is estimated at $16.6 million, plus interest calculated at the residential mortgage lending rate specified by the Secretary of Banking in accordance with the Loan Interest and Protection</w:t>
      </w:r>
      <w:r w:rsidR="00D10E4F" w:rsidRPr="00F74CA6">
        <w:rPr>
          <w:szCs w:val="26"/>
        </w:rPr>
        <w:t xml:space="preserve"> </w:t>
      </w:r>
      <w:r w:rsidRPr="00F74CA6">
        <w:rPr>
          <w:szCs w:val="26"/>
        </w:rPr>
        <w:t>Law (41</w:t>
      </w:r>
      <w:r w:rsidR="002F3162">
        <w:rPr>
          <w:szCs w:val="26"/>
        </w:rPr>
        <w:t> </w:t>
      </w:r>
      <w:r w:rsidRPr="00F74CA6">
        <w:rPr>
          <w:szCs w:val="26"/>
        </w:rPr>
        <w:t>P.S. §§ 101 et seq.) in effect on the last day of the month prior to the refund to customers. The one-time bill credit will also include any accumulated over/under recovery</w:t>
      </w:r>
      <w:r w:rsidR="00D10E4F" w:rsidRPr="00F74CA6">
        <w:rPr>
          <w:szCs w:val="26"/>
        </w:rPr>
        <w:t xml:space="preserve"> </w:t>
      </w:r>
      <w:r w:rsidRPr="00F74CA6">
        <w:rPr>
          <w:szCs w:val="26"/>
        </w:rPr>
        <w:t>associated with the TCJA tax change from January 1, 2018 until rates go into effect for the current proceeding. The previous language will be incorporated into Peoples Natural’s Rider TCJA and will go into effect on October 29, 2019, the effective date of new rates in the current proceeding. The bill credit will be allocated to customer classes in the manner set forth in Appendix E. Once the one-bill credit is provided to customers the Rider TCJA will terminate.</w:t>
      </w:r>
    </w:p>
    <w:p w14:paraId="67A67CDE" w14:textId="77777777" w:rsidR="0047693C" w:rsidRPr="00F74CA6" w:rsidRDefault="0047693C" w:rsidP="0047693C">
      <w:pPr>
        <w:pStyle w:val="ListParagraph"/>
        <w:spacing w:line="240" w:lineRule="auto"/>
        <w:ind w:left="1440" w:right="1440" w:firstLine="0"/>
        <w:rPr>
          <w:szCs w:val="26"/>
        </w:rPr>
      </w:pPr>
    </w:p>
    <w:p w14:paraId="791139D8" w14:textId="77777777" w:rsidR="0047693C" w:rsidRPr="00F74CA6" w:rsidRDefault="0047693C" w:rsidP="0047693C">
      <w:pPr>
        <w:pStyle w:val="ListParagraph"/>
        <w:spacing w:line="240" w:lineRule="auto"/>
        <w:ind w:left="1440" w:right="1440" w:firstLine="0"/>
        <w:rPr>
          <w:szCs w:val="26"/>
        </w:rPr>
      </w:pPr>
      <w:r w:rsidRPr="00F74CA6">
        <w:rPr>
          <w:szCs w:val="26"/>
        </w:rPr>
        <w:t>67.</w:t>
      </w:r>
      <w:r w:rsidR="00D10E4F" w:rsidRPr="00F74CA6">
        <w:rPr>
          <w:szCs w:val="26"/>
        </w:rPr>
        <w:tab/>
      </w:r>
      <w:r w:rsidRPr="00F74CA6">
        <w:rPr>
          <w:szCs w:val="26"/>
        </w:rPr>
        <w:t>Peoples Natural will petition to withdraw the Petition for Approval of its Energy Efficiency and Conservation Plan (“EE&amp;C Plan”) that is currently pending before the</w:t>
      </w:r>
      <w:r w:rsidR="00D10E4F" w:rsidRPr="00F74CA6">
        <w:rPr>
          <w:szCs w:val="26"/>
        </w:rPr>
        <w:t xml:space="preserve"> </w:t>
      </w:r>
      <w:r w:rsidRPr="00F74CA6">
        <w:rPr>
          <w:szCs w:val="26"/>
        </w:rPr>
        <w:t>Commission at Docket No. M-2017-2640306. This withdrawal assumes full compliance with all prior settlement agreements related to the requirement to file the EE&amp;C Plan. Peoples Natural will convene a stakeholder group with the statutory advocates and Duquesne Light to review any</w:t>
      </w:r>
      <w:r w:rsidR="009528DE" w:rsidRPr="00F74CA6">
        <w:rPr>
          <w:szCs w:val="26"/>
        </w:rPr>
        <w:t xml:space="preserve"> </w:t>
      </w:r>
      <w:r w:rsidRPr="00F74CA6">
        <w:rPr>
          <w:szCs w:val="26"/>
        </w:rPr>
        <w:t>new proposal at least 120 days prior to filing, if such a proposal is filed in the future. Peoples Natural further agrees that:</w:t>
      </w:r>
    </w:p>
    <w:p w14:paraId="24E51492" w14:textId="77777777" w:rsidR="0047693C" w:rsidRPr="00F74CA6" w:rsidRDefault="0047693C" w:rsidP="0047693C">
      <w:pPr>
        <w:pStyle w:val="ListParagraph"/>
        <w:spacing w:line="240" w:lineRule="auto"/>
        <w:ind w:left="1440" w:right="1440" w:firstLine="0"/>
        <w:rPr>
          <w:szCs w:val="26"/>
        </w:rPr>
      </w:pPr>
    </w:p>
    <w:p w14:paraId="0352FDAF" w14:textId="77777777" w:rsidR="0047693C" w:rsidRPr="00F74CA6" w:rsidRDefault="0047693C" w:rsidP="0047693C">
      <w:pPr>
        <w:pStyle w:val="ListParagraph"/>
        <w:numPr>
          <w:ilvl w:val="0"/>
          <w:numId w:val="29"/>
        </w:numPr>
        <w:spacing w:line="240" w:lineRule="auto"/>
        <w:ind w:right="1440"/>
        <w:rPr>
          <w:szCs w:val="26"/>
        </w:rPr>
      </w:pPr>
      <w:r w:rsidRPr="00F74CA6">
        <w:rPr>
          <w:szCs w:val="26"/>
        </w:rPr>
        <w:t>Peoples Natural will not make any revised EE&amp;C filing with the Commission that includes any new proposal to incent Combined Heat and Power (“CHP”) development prior to June 1, 2021.</w:t>
      </w:r>
    </w:p>
    <w:p w14:paraId="21DAD17B" w14:textId="77777777" w:rsidR="0047693C" w:rsidRPr="00F74CA6" w:rsidRDefault="0047693C" w:rsidP="00DF1F33">
      <w:pPr>
        <w:pStyle w:val="ListParagraph"/>
        <w:rPr>
          <w:szCs w:val="26"/>
        </w:rPr>
      </w:pPr>
    </w:p>
    <w:p w14:paraId="62A32A49" w14:textId="77777777" w:rsidR="0047693C" w:rsidRPr="00F74CA6" w:rsidRDefault="0047693C" w:rsidP="00E63B5F">
      <w:pPr>
        <w:pStyle w:val="ListParagraph"/>
        <w:numPr>
          <w:ilvl w:val="0"/>
          <w:numId w:val="29"/>
        </w:numPr>
        <w:spacing w:line="240" w:lineRule="auto"/>
        <w:ind w:right="1440"/>
        <w:rPr>
          <w:szCs w:val="26"/>
        </w:rPr>
      </w:pPr>
      <w:r w:rsidRPr="00F74CA6">
        <w:rPr>
          <w:szCs w:val="26"/>
        </w:rPr>
        <w:t>Any proposal made by Peoples Natural to incent or otherwise fund CHP development using customer dollars will be made in a distribution base rate case.</w:t>
      </w:r>
    </w:p>
    <w:p w14:paraId="289A11C1" w14:textId="77777777" w:rsidR="0047693C" w:rsidRPr="00F74CA6" w:rsidRDefault="0047693C" w:rsidP="0047693C">
      <w:pPr>
        <w:pStyle w:val="ListParagraph"/>
        <w:rPr>
          <w:szCs w:val="26"/>
        </w:rPr>
      </w:pPr>
    </w:p>
    <w:p w14:paraId="39A7EDC8" w14:textId="77777777" w:rsidR="0047693C" w:rsidRPr="00F74CA6" w:rsidRDefault="0047693C" w:rsidP="00F47189">
      <w:pPr>
        <w:pStyle w:val="ListParagraph"/>
        <w:numPr>
          <w:ilvl w:val="0"/>
          <w:numId w:val="29"/>
        </w:numPr>
        <w:spacing w:line="240" w:lineRule="auto"/>
        <w:ind w:right="1440"/>
        <w:rPr>
          <w:szCs w:val="26"/>
        </w:rPr>
      </w:pPr>
      <w:r w:rsidRPr="00F74CA6">
        <w:rPr>
          <w:szCs w:val="26"/>
        </w:rPr>
        <w:t>In addition, any proposal filed after June 1, 2021, will include a discussion on the total resource economic test, in addition to societal, environmental, non-energy</w:t>
      </w:r>
      <w:r w:rsidR="009528DE" w:rsidRPr="00F74CA6">
        <w:rPr>
          <w:szCs w:val="26"/>
        </w:rPr>
        <w:t xml:space="preserve"> </w:t>
      </w:r>
      <w:r w:rsidRPr="00F74CA6">
        <w:rPr>
          <w:szCs w:val="26"/>
        </w:rPr>
        <w:t>impacts (“NEIs”), or non-electric aspects for the CHP projects.</w:t>
      </w:r>
    </w:p>
    <w:p w14:paraId="7A59F53C" w14:textId="77777777" w:rsidR="0047693C" w:rsidRPr="00F74CA6" w:rsidRDefault="0047693C" w:rsidP="00F47189">
      <w:pPr>
        <w:pStyle w:val="ListParagraph"/>
        <w:spacing w:line="240" w:lineRule="auto"/>
        <w:ind w:left="2160" w:right="1440" w:firstLine="0"/>
        <w:rPr>
          <w:szCs w:val="26"/>
        </w:rPr>
      </w:pPr>
    </w:p>
    <w:p w14:paraId="6821E7FE" w14:textId="77777777" w:rsidR="0047693C" w:rsidRPr="00F74CA6" w:rsidRDefault="0047693C" w:rsidP="00F47189">
      <w:pPr>
        <w:pStyle w:val="ListParagraph"/>
        <w:numPr>
          <w:ilvl w:val="0"/>
          <w:numId w:val="29"/>
        </w:numPr>
        <w:spacing w:line="240" w:lineRule="auto"/>
        <w:ind w:right="1440"/>
        <w:rPr>
          <w:szCs w:val="26"/>
        </w:rPr>
      </w:pPr>
      <w:r w:rsidRPr="00F74CA6">
        <w:rPr>
          <w:szCs w:val="26"/>
        </w:rPr>
        <w:t>Any such CHP proposal shall provide Duquesne Light with a reasonable opportunity to provide further customer incentives under its Act 129 EE&amp;C</w:t>
      </w:r>
      <w:r w:rsidR="009528DE" w:rsidRPr="00F74CA6">
        <w:rPr>
          <w:szCs w:val="26"/>
        </w:rPr>
        <w:t xml:space="preserve"> </w:t>
      </w:r>
      <w:r w:rsidRPr="00F74CA6">
        <w:rPr>
          <w:szCs w:val="26"/>
        </w:rPr>
        <w:t>programs for those CHP projects located in Duquesne Light’s service territory. Duquesne Light agrees that upon approval of this settlement by the Commission it</w:t>
      </w:r>
      <w:r w:rsidR="009528DE" w:rsidRPr="00F74CA6">
        <w:rPr>
          <w:szCs w:val="26"/>
        </w:rPr>
        <w:t xml:space="preserve"> </w:t>
      </w:r>
      <w:r w:rsidRPr="00F74CA6">
        <w:rPr>
          <w:szCs w:val="26"/>
        </w:rPr>
        <w:t>shall endeavor to enhance the visibility of available incentives to potential CHP customers. Duquesne Light also agrees that it will include CHP as an available custom measure in the next Phase of its Act 129 EE&amp;C program, if any.</w:t>
      </w:r>
      <w:r w:rsidR="00D10E4F" w:rsidRPr="00F74CA6">
        <w:rPr>
          <w:szCs w:val="26"/>
        </w:rPr>
        <w:t xml:space="preserve"> </w:t>
      </w:r>
      <w:r w:rsidRPr="00F74CA6">
        <w:rPr>
          <w:szCs w:val="26"/>
        </w:rPr>
        <w:t>Duquesne Light will invite Peoples Natural to participate in its EE&amp;C stakeholder planning process.</w:t>
      </w:r>
    </w:p>
    <w:p w14:paraId="77CDFC5F" w14:textId="77777777" w:rsidR="00D10E4F" w:rsidRPr="00F74CA6" w:rsidRDefault="00D10E4F" w:rsidP="00F47189">
      <w:pPr>
        <w:pStyle w:val="ListParagraph"/>
        <w:spacing w:line="240" w:lineRule="auto"/>
        <w:ind w:left="2160" w:right="1440" w:firstLine="0"/>
        <w:rPr>
          <w:szCs w:val="26"/>
        </w:rPr>
      </w:pPr>
    </w:p>
    <w:p w14:paraId="3457C771" w14:textId="77777777" w:rsidR="0047693C" w:rsidRPr="00F74CA6" w:rsidRDefault="0047693C" w:rsidP="00F47189">
      <w:pPr>
        <w:pStyle w:val="ListParagraph"/>
        <w:numPr>
          <w:ilvl w:val="0"/>
          <w:numId w:val="29"/>
        </w:numPr>
        <w:spacing w:line="240" w:lineRule="auto"/>
        <w:ind w:right="1440"/>
        <w:rPr>
          <w:szCs w:val="26"/>
        </w:rPr>
      </w:pPr>
      <w:r w:rsidRPr="00F74CA6">
        <w:rPr>
          <w:szCs w:val="26"/>
        </w:rPr>
        <w:t>Any change in applicable state law, Commission regulation or order would preempt this provision of the settlement. Duquesne Light reserves the right to</w:t>
      </w:r>
      <w:r w:rsidR="009528DE" w:rsidRPr="00F74CA6">
        <w:rPr>
          <w:szCs w:val="26"/>
        </w:rPr>
        <w:t xml:space="preserve"> </w:t>
      </w:r>
      <w:r w:rsidRPr="00F74CA6">
        <w:rPr>
          <w:szCs w:val="26"/>
        </w:rPr>
        <w:t>challenge any aspect of a revised EE&amp;C filing, or other filing related to the development of CHP.</w:t>
      </w:r>
    </w:p>
    <w:p w14:paraId="268B0881" w14:textId="77777777" w:rsidR="0047693C" w:rsidRPr="00F74CA6" w:rsidRDefault="0047693C" w:rsidP="0047693C">
      <w:pPr>
        <w:autoSpaceDE w:val="0"/>
        <w:autoSpaceDN w:val="0"/>
        <w:adjustRightInd w:val="0"/>
        <w:spacing w:line="240" w:lineRule="auto"/>
        <w:ind w:firstLine="0"/>
        <w:rPr>
          <w:rFonts w:eastAsiaTheme="minorHAnsi"/>
          <w:szCs w:val="26"/>
        </w:rPr>
      </w:pPr>
    </w:p>
    <w:p w14:paraId="3ED1F728" w14:textId="77777777" w:rsidR="0047693C" w:rsidRPr="00F74CA6" w:rsidRDefault="0047693C" w:rsidP="00D10E4F">
      <w:pPr>
        <w:pStyle w:val="ListParagraph"/>
        <w:spacing w:line="240" w:lineRule="auto"/>
        <w:ind w:left="1440" w:right="1440" w:firstLine="0"/>
        <w:rPr>
          <w:szCs w:val="26"/>
        </w:rPr>
      </w:pPr>
      <w:r w:rsidRPr="00F74CA6">
        <w:rPr>
          <w:szCs w:val="26"/>
        </w:rPr>
        <w:t>68.</w:t>
      </w:r>
      <w:r w:rsidR="00D10E4F" w:rsidRPr="00F74CA6">
        <w:rPr>
          <w:szCs w:val="26"/>
        </w:rPr>
        <w:tab/>
      </w:r>
      <w:r w:rsidRPr="00F74CA6">
        <w:rPr>
          <w:szCs w:val="26"/>
        </w:rPr>
        <w:t>Electricity delivered by an electric distribution company shall not constitute a</w:t>
      </w:r>
      <w:r w:rsidR="00D10E4F" w:rsidRPr="00F74CA6">
        <w:rPr>
          <w:szCs w:val="26"/>
        </w:rPr>
        <w:t xml:space="preserve"> </w:t>
      </w:r>
      <w:r w:rsidRPr="00F74CA6">
        <w:rPr>
          <w:szCs w:val="26"/>
        </w:rPr>
        <w:t>competitive alternative for purposes of natural gas flex rate eligibility or amount, unless the</w:t>
      </w:r>
      <w:r w:rsidR="00D10E4F" w:rsidRPr="00F74CA6">
        <w:rPr>
          <w:szCs w:val="26"/>
        </w:rPr>
        <w:t xml:space="preserve"> </w:t>
      </w:r>
      <w:r w:rsidRPr="00F74CA6">
        <w:rPr>
          <w:szCs w:val="26"/>
        </w:rPr>
        <w:t>electric distribution company offers an electric flexed distribution rate to the customer.</w:t>
      </w:r>
    </w:p>
    <w:p w14:paraId="18039F83" w14:textId="77777777" w:rsidR="00D10E4F" w:rsidRPr="00F74CA6" w:rsidRDefault="00D10E4F" w:rsidP="00D10E4F">
      <w:pPr>
        <w:pStyle w:val="ListParagraph"/>
        <w:spacing w:line="240" w:lineRule="auto"/>
        <w:ind w:left="1440" w:right="1440" w:firstLine="0"/>
        <w:rPr>
          <w:szCs w:val="26"/>
        </w:rPr>
      </w:pPr>
    </w:p>
    <w:p w14:paraId="5E0B203B" w14:textId="77777777" w:rsidR="0047693C" w:rsidRPr="00F74CA6" w:rsidRDefault="0047693C" w:rsidP="00D10E4F">
      <w:pPr>
        <w:pStyle w:val="ListParagraph"/>
        <w:spacing w:line="240" w:lineRule="auto"/>
        <w:ind w:left="1440" w:right="1440" w:firstLine="0"/>
        <w:rPr>
          <w:szCs w:val="26"/>
        </w:rPr>
      </w:pPr>
      <w:r w:rsidRPr="00F74CA6">
        <w:rPr>
          <w:szCs w:val="26"/>
        </w:rPr>
        <w:t>69.</w:t>
      </w:r>
      <w:r w:rsidR="00D10E4F" w:rsidRPr="00F74CA6">
        <w:rPr>
          <w:szCs w:val="26"/>
        </w:rPr>
        <w:tab/>
      </w:r>
      <w:r w:rsidRPr="00F74CA6">
        <w:rPr>
          <w:szCs w:val="26"/>
        </w:rPr>
        <w:t>The Company shall provide the highest curtailment priority available under</w:t>
      </w:r>
      <w:r w:rsidR="00D10E4F" w:rsidRPr="00F74CA6">
        <w:rPr>
          <w:szCs w:val="26"/>
        </w:rPr>
        <w:t xml:space="preserve"> </w:t>
      </w:r>
      <w:r w:rsidRPr="00F74CA6">
        <w:rPr>
          <w:szCs w:val="26"/>
        </w:rPr>
        <w:t>applicable law, no lower than Category 2a or its equivalent, to operational facilities of electric</w:t>
      </w:r>
      <w:r w:rsidR="00D10E4F" w:rsidRPr="00F74CA6">
        <w:rPr>
          <w:szCs w:val="26"/>
        </w:rPr>
        <w:t xml:space="preserve"> </w:t>
      </w:r>
      <w:r w:rsidRPr="00F74CA6">
        <w:rPr>
          <w:szCs w:val="26"/>
        </w:rPr>
        <w:t>distribution companies. Such operational facilities shall include the six Duquesne Light</w:t>
      </w:r>
      <w:r w:rsidR="00D10E4F" w:rsidRPr="00F74CA6">
        <w:rPr>
          <w:szCs w:val="26"/>
        </w:rPr>
        <w:t xml:space="preserve"> </w:t>
      </w:r>
      <w:r w:rsidRPr="00F74CA6">
        <w:rPr>
          <w:szCs w:val="26"/>
        </w:rPr>
        <w:t>operational facilities identified in Duquesne Light Statement No. 3, Direct Testimony of Jason</w:t>
      </w:r>
      <w:r w:rsidR="00D10E4F" w:rsidRPr="00F74CA6">
        <w:rPr>
          <w:szCs w:val="26"/>
        </w:rPr>
        <w:t xml:space="preserve"> </w:t>
      </w:r>
      <w:r w:rsidRPr="00F74CA6">
        <w:rPr>
          <w:szCs w:val="26"/>
        </w:rPr>
        <w:t>Harchick.</w:t>
      </w:r>
    </w:p>
    <w:p w14:paraId="6BE067C0" w14:textId="77777777" w:rsidR="00D10E4F" w:rsidRPr="00F74CA6" w:rsidRDefault="00D10E4F" w:rsidP="00D10E4F">
      <w:pPr>
        <w:pStyle w:val="ListParagraph"/>
        <w:spacing w:line="240" w:lineRule="auto"/>
        <w:ind w:left="1440" w:right="1440" w:firstLine="0"/>
        <w:rPr>
          <w:szCs w:val="26"/>
        </w:rPr>
      </w:pPr>
    </w:p>
    <w:p w14:paraId="1AF9154E" w14:textId="77777777" w:rsidR="00D10E4F" w:rsidRPr="00F74CA6" w:rsidRDefault="00D10E4F" w:rsidP="00D10E4F">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RATE APPALACHIAN GATHERING SERVICE</w:t>
      </w:r>
    </w:p>
    <w:p w14:paraId="60B3222F" w14:textId="77777777" w:rsidR="00D10E4F" w:rsidRPr="00F74CA6" w:rsidRDefault="00D10E4F" w:rsidP="00D10E4F">
      <w:pPr>
        <w:autoSpaceDE w:val="0"/>
        <w:autoSpaceDN w:val="0"/>
        <w:adjustRightInd w:val="0"/>
        <w:spacing w:line="240" w:lineRule="auto"/>
        <w:ind w:left="1440" w:firstLine="0"/>
        <w:rPr>
          <w:rFonts w:eastAsiaTheme="minorHAnsi"/>
          <w:b/>
          <w:bCs/>
          <w:szCs w:val="26"/>
        </w:rPr>
      </w:pPr>
    </w:p>
    <w:p w14:paraId="53333E8A" w14:textId="77777777" w:rsidR="00D10E4F" w:rsidRPr="00F74CA6" w:rsidRDefault="00D10E4F" w:rsidP="00D10E4F">
      <w:pPr>
        <w:pStyle w:val="ListParagraph"/>
        <w:spacing w:line="240" w:lineRule="auto"/>
        <w:ind w:left="1440" w:right="1440" w:firstLine="0"/>
        <w:rPr>
          <w:szCs w:val="26"/>
        </w:rPr>
      </w:pPr>
      <w:r w:rsidRPr="00F74CA6">
        <w:rPr>
          <w:szCs w:val="26"/>
        </w:rPr>
        <w:t>70.</w:t>
      </w:r>
      <w:r w:rsidR="009528DE" w:rsidRPr="00F74CA6">
        <w:rPr>
          <w:szCs w:val="26"/>
        </w:rPr>
        <w:tab/>
      </w:r>
      <w:r w:rsidRPr="00F74CA6">
        <w:rPr>
          <w:szCs w:val="26"/>
        </w:rPr>
        <w:t>The Company’s proposal to establish rate Appalachian Gathering service is approved as modified below:</w:t>
      </w:r>
    </w:p>
    <w:p w14:paraId="6FF30953" w14:textId="77777777" w:rsidR="00D10E4F" w:rsidRPr="00F74CA6" w:rsidRDefault="00D10E4F" w:rsidP="00D10E4F">
      <w:pPr>
        <w:pStyle w:val="ListParagraph"/>
        <w:spacing w:line="240" w:lineRule="auto"/>
        <w:ind w:left="1440" w:right="1440" w:firstLine="0"/>
        <w:rPr>
          <w:szCs w:val="26"/>
        </w:rPr>
      </w:pPr>
    </w:p>
    <w:p w14:paraId="59B9A325" w14:textId="77777777" w:rsidR="00D10E4F" w:rsidRPr="00F74CA6" w:rsidRDefault="00D10E4F" w:rsidP="00D10E4F">
      <w:pPr>
        <w:pStyle w:val="ListParagraph"/>
        <w:numPr>
          <w:ilvl w:val="0"/>
          <w:numId w:val="31"/>
        </w:numPr>
        <w:spacing w:line="240" w:lineRule="auto"/>
        <w:ind w:right="1440"/>
        <w:rPr>
          <w:szCs w:val="26"/>
        </w:rPr>
      </w:pPr>
      <w:r w:rsidRPr="00F74CA6">
        <w:rPr>
          <w:szCs w:val="26"/>
        </w:rPr>
        <w:t>In order to encourage conventional producers to stay on Peoples Natural’s gathering system and increase production, the following tariff language addition to Rate AGS is approved:</w:t>
      </w:r>
    </w:p>
    <w:p w14:paraId="41B4B528" w14:textId="77777777" w:rsidR="00D10E4F" w:rsidRPr="00F74CA6" w:rsidRDefault="00D10E4F" w:rsidP="00D10E4F">
      <w:pPr>
        <w:pStyle w:val="ListParagraph"/>
        <w:spacing w:line="240" w:lineRule="auto"/>
        <w:ind w:left="2520" w:right="1440" w:firstLine="0"/>
        <w:rPr>
          <w:szCs w:val="26"/>
        </w:rPr>
      </w:pPr>
    </w:p>
    <w:p w14:paraId="4C969CE4" w14:textId="77777777" w:rsidR="00D10E4F" w:rsidRPr="00F74CA6" w:rsidRDefault="00D10E4F" w:rsidP="006810AC">
      <w:pPr>
        <w:pStyle w:val="ListParagraph"/>
        <w:spacing w:line="240" w:lineRule="auto"/>
        <w:ind w:left="2880" w:right="1440" w:firstLine="0"/>
        <w:rPr>
          <w:szCs w:val="26"/>
        </w:rPr>
      </w:pPr>
      <w:r w:rsidRPr="00F74CA6">
        <w:rPr>
          <w:szCs w:val="26"/>
        </w:rPr>
        <w:t>(1) If a conventional producer adds incremental conventional production to the Peoples Natural’s system, that producer’s incremental production shall</w:t>
      </w:r>
      <w:r w:rsidR="00DF1F33" w:rsidRPr="00F74CA6">
        <w:rPr>
          <w:szCs w:val="26"/>
        </w:rPr>
        <w:t xml:space="preserve"> </w:t>
      </w:r>
      <w:r w:rsidRPr="00F74CA6">
        <w:rPr>
          <w:szCs w:val="26"/>
        </w:rPr>
        <w:t>qualify for a reduced Rate AGS fee equal to 50% of the effective monthly Rate AGS fee.</w:t>
      </w:r>
    </w:p>
    <w:p w14:paraId="490DBD1B" w14:textId="77777777" w:rsidR="006810AC" w:rsidRPr="00F74CA6" w:rsidRDefault="006810AC" w:rsidP="006810AC">
      <w:pPr>
        <w:pStyle w:val="ListParagraph"/>
        <w:spacing w:line="240" w:lineRule="auto"/>
        <w:ind w:left="2880" w:right="1440" w:firstLine="0"/>
        <w:rPr>
          <w:szCs w:val="26"/>
        </w:rPr>
      </w:pPr>
    </w:p>
    <w:p w14:paraId="2F1C8C54" w14:textId="77777777" w:rsidR="00D10E4F" w:rsidRPr="00F74CA6" w:rsidRDefault="00D10E4F" w:rsidP="00F47189">
      <w:pPr>
        <w:pStyle w:val="ListParagraph"/>
        <w:spacing w:line="240" w:lineRule="auto"/>
        <w:ind w:left="2880" w:right="1440" w:firstLine="0"/>
        <w:rPr>
          <w:szCs w:val="26"/>
        </w:rPr>
      </w:pPr>
      <w:r w:rsidRPr="00F74CA6">
        <w:rPr>
          <w:szCs w:val="26"/>
        </w:rPr>
        <w:t>(2) Incremental conventional production is any conventional production that is not connected to the Company’s facilities as of June 15, 2019 and shall not include any existing production delivered to Peoples Natural’s system and subsequently acquired by the producer from any other producer. Incremental conventional production shall also include increased production volumes from existing conventional wells as a result of well stimulation or similar actions. The level of incremental production volumes from existing wells shall be determined by the Company based on supporting information provided to the Company by the producer.</w:t>
      </w:r>
    </w:p>
    <w:p w14:paraId="75402BFC" w14:textId="77777777" w:rsidR="00D10E4F" w:rsidRPr="00F74CA6" w:rsidRDefault="00D10E4F" w:rsidP="00D10E4F">
      <w:pPr>
        <w:pStyle w:val="ListParagraph"/>
        <w:spacing w:line="240" w:lineRule="auto"/>
        <w:ind w:left="2160" w:right="1440" w:firstLine="720"/>
        <w:rPr>
          <w:szCs w:val="26"/>
        </w:rPr>
      </w:pPr>
    </w:p>
    <w:p w14:paraId="39E4489A" w14:textId="77777777" w:rsidR="00D10E4F" w:rsidRPr="00F74CA6" w:rsidRDefault="00D10E4F" w:rsidP="00B3199C">
      <w:pPr>
        <w:pStyle w:val="ListParagraph"/>
        <w:numPr>
          <w:ilvl w:val="0"/>
          <w:numId w:val="31"/>
        </w:numPr>
        <w:spacing w:line="240" w:lineRule="auto"/>
        <w:ind w:right="1440"/>
        <w:rPr>
          <w:szCs w:val="26"/>
        </w:rPr>
      </w:pPr>
      <w:r w:rsidRPr="00F74CA6">
        <w:rPr>
          <w:szCs w:val="26"/>
        </w:rPr>
        <w:t>Peoples Natural withdraws the proposed escalator to Rate AGS without prejudice</w:t>
      </w:r>
      <w:r w:rsidR="00B3199C" w:rsidRPr="00F74CA6">
        <w:rPr>
          <w:szCs w:val="26"/>
        </w:rPr>
        <w:t xml:space="preserve"> </w:t>
      </w:r>
      <w:r w:rsidRPr="00F74CA6">
        <w:rPr>
          <w:szCs w:val="26"/>
        </w:rPr>
        <w:t>to proposing a rate increase and/or rate escalator in a future base rate proceeding.</w:t>
      </w:r>
    </w:p>
    <w:p w14:paraId="05C1FEB6" w14:textId="77777777" w:rsidR="00D10E4F" w:rsidRPr="00F74CA6" w:rsidRDefault="00D10E4F" w:rsidP="00B3199C">
      <w:pPr>
        <w:pStyle w:val="ListParagraph"/>
        <w:spacing w:line="240" w:lineRule="auto"/>
        <w:ind w:left="2520" w:right="1440" w:firstLine="0"/>
        <w:rPr>
          <w:szCs w:val="26"/>
        </w:rPr>
      </w:pPr>
    </w:p>
    <w:p w14:paraId="7E553985" w14:textId="77777777" w:rsidR="00D10E4F" w:rsidRPr="00F74CA6" w:rsidRDefault="00D10E4F" w:rsidP="00E63B5F">
      <w:pPr>
        <w:pStyle w:val="ListParagraph"/>
        <w:numPr>
          <w:ilvl w:val="0"/>
          <w:numId w:val="31"/>
        </w:numPr>
        <w:spacing w:line="240" w:lineRule="auto"/>
        <w:ind w:right="1440"/>
        <w:rPr>
          <w:szCs w:val="26"/>
        </w:rPr>
      </w:pPr>
      <w:r w:rsidRPr="00F74CA6">
        <w:rPr>
          <w:szCs w:val="26"/>
        </w:rPr>
        <w:t>The water vapor standards for normal ongoing operations on the Peoples Division</w:t>
      </w:r>
      <w:r w:rsidR="00B3199C" w:rsidRPr="00F74CA6">
        <w:rPr>
          <w:szCs w:val="26"/>
        </w:rPr>
        <w:t xml:space="preserve"> </w:t>
      </w:r>
      <w:r w:rsidRPr="00F74CA6">
        <w:rPr>
          <w:szCs w:val="26"/>
        </w:rPr>
        <w:t>shall follow the Production Enhancement Services (“PES”) agreement standards</w:t>
      </w:r>
      <w:r w:rsidR="00B3199C" w:rsidRPr="00F74CA6">
        <w:rPr>
          <w:szCs w:val="26"/>
        </w:rPr>
        <w:t xml:space="preserve"> </w:t>
      </w:r>
      <w:r w:rsidRPr="00F74CA6">
        <w:rPr>
          <w:szCs w:val="26"/>
        </w:rPr>
        <w:t>currently in place on the Peoples Division. The water vapor standards for normal</w:t>
      </w:r>
      <w:r w:rsidR="00B3199C" w:rsidRPr="00F74CA6">
        <w:rPr>
          <w:szCs w:val="26"/>
        </w:rPr>
        <w:t xml:space="preserve"> </w:t>
      </w:r>
      <w:r w:rsidRPr="00F74CA6">
        <w:rPr>
          <w:szCs w:val="26"/>
        </w:rPr>
        <w:t xml:space="preserve">ongoing operations on the Equitable </w:t>
      </w:r>
      <w:r w:rsidRPr="00F74CA6">
        <w:rPr>
          <w:szCs w:val="26"/>
        </w:rPr>
        <w:lastRenderedPageBreak/>
        <w:t>Division shall be the prevailing water vapor</w:t>
      </w:r>
      <w:r w:rsidR="00B3199C" w:rsidRPr="00F74CA6">
        <w:rPr>
          <w:szCs w:val="26"/>
        </w:rPr>
        <w:t xml:space="preserve"> </w:t>
      </w:r>
      <w:r w:rsidRPr="00F74CA6">
        <w:rPr>
          <w:szCs w:val="26"/>
        </w:rPr>
        <w:t>standards as of June 1, 2019. However, Peoples Natural reserves the right to</w:t>
      </w:r>
      <w:r w:rsidR="00B3199C" w:rsidRPr="00F74CA6">
        <w:rPr>
          <w:szCs w:val="26"/>
        </w:rPr>
        <w:t xml:space="preserve"> </w:t>
      </w:r>
      <w:r w:rsidRPr="00F74CA6">
        <w:rPr>
          <w:szCs w:val="26"/>
        </w:rPr>
        <w:t>require more stringent water vapor standards in limited and specific situations</w:t>
      </w:r>
      <w:r w:rsidR="00B3199C" w:rsidRPr="00F74CA6">
        <w:rPr>
          <w:szCs w:val="26"/>
        </w:rPr>
        <w:t xml:space="preserve"> </w:t>
      </w:r>
      <w:r w:rsidRPr="00F74CA6">
        <w:rPr>
          <w:szCs w:val="26"/>
        </w:rPr>
        <w:t>where Peoples Natural has determined through water vapor testing that the water</w:t>
      </w:r>
      <w:r w:rsidR="00B3199C" w:rsidRPr="00F74CA6">
        <w:rPr>
          <w:szCs w:val="26"/>
        </w:rPr>
        <w:t xml:space="preserve"> </w:t>
      </w:r>
      <w:r w:rsidRPr="00F74CA6">
        <w:rPr>
          <w:szCs w:val="26"/>
        </w:rPr>
        <w:t>vapor levels at identified production meter points are affecting customer service</w:t>
      </w:r>
      <w:r w:rsidR="00B3199C" w:rsidRPr="00F74CA6">
        <w:rPr>
          <w:szCs w:val="26"/>
        </w:rPr>
        <w:t xml:space="preserve"> </w:t>
      </w:r>
      <w:r w:rsidRPr="00F74CA6">
        <w:rPr>
          <w:szCs w:val="26"/>
        </w:rPr>
        <w:t>or creating operational issues.</w:t>
      </w:r>
    </w:p>
    <w:p w14:paraId="268CA65E" w14:textId="77777777" w:rsidR="00F47189" w:rsidRPr="00F74CA6" w:rsidRDefault="00F47189" w:rsidP="00CE330C">
      <w:pPr>
        <w:pStyle w:val="ListParagraph"/>
        <w:ind w:left="1080"/>
        <w:rPr>
          <w:szCs w:val="26"/>
        </w:rPr>
      </w:pPr>
    </w:p>
    <w:p w14:paraId="7CD73225" w14:textId="77777777" w:rsidR="00D10E4F" w:rsidRPr="00F74CA6" w:rsidRDefault="00D10E4F" w:rsidP="00E63B5F">
      <w:pPr>
        <w:pStyle w:val="ListParagraph"/>
        <w:numPr>
          <w:ilvl w:val="0"/>
          <w:numId w:val="31"/>
        </w:numPr>
        <w:spacing w:line="240" w:lineRule="auto"/>
        <w:ind w:right="1440"/>
        <w:rPr>
          <w:szCs w:val="26"/>
        </w:rPr>
      </w:pPr>
      <w:r w:rsidRPr="00F74CA6">
        <w:rPr>
          <w:szCs w:val="26"/>
        </w:rPr>
        <w:t>Peoples Natural will make every effort to accept local gas as a priority o</w:t>
      </w:r>
      <w:r w:rsidR="00B3199C" w:rsidRPr="00F74CA6">
        <w:rPr>
          <w:szCs w:val="26"/>
        </w:rPr>
        <w:t>v</w:t>
      </w:r>
      <w:r w:rsidRPr="00F74CA6">
        <w:rPr>
          <w:szCs w:val="26"/>
        </w:rPr>
        <w:t>er</w:t>
      </w:r>
      <w:r w:rsidR="00B3199C" w:rsidRPr="00F74CA6">
        <w:rPr>
          <w:szCs w:val="26"/>
        </w:rPr>
        <w:t xml:space="preserve"> </w:t>
      </w:r>
      <w:r w:rsidRPr="00F74CA6">
        <w:rPr>
          <w:szCs w:val="26"/>
        </w:rPr>
        <w:t>Interstate gas.</w:t>
      </w:r>
    </w:p>
    <w:p w14:paraId="66ABB903" w14:textId="77777777" w:rsidR="00D10E4F" w:rsidRPr="00F74CA6" w:rsidRDefault="00D10E4F" w:rsidP="00E63B5F">
      <w:pPr>
        <w:pStyle w:val="ListParagraph"/>
        <w:numPr>
          <w:ilvl w:val="0"/>
          <w:numId w:val="31"/>
        </w:numPr>
        <w:spacing w:line="240" w:lineRule="auto"/>
        <w:ind w:right="1440"/>
        <w:rPr>
          <w:szCs w:val="26"/>
        </w:rPr>
      </w:pPr>
      <w:r w:rsidRPr="00F74CA6">
        <w:rPr>
          <w:szCs w:val="26"/>
        </w:rPr>
        <w:t>These terms will remain in effect until the effective date of new base rates as a</w:t>
      </w:r>
      <w:r w:rsidR="00B3199C" w:rsidRPr="00F74CA6">
        <w:rPr>
          <w:szCs w:val="26"/>
        </w:rPr>
        <w:t xml:space="preserve"> </w:t>
      </w:r>
      <w:r w:rsidRPr="00F74CA6">
        <w:rPr>
          <w:szCs w:val="26"/>
        </w:rPr>
        <w:t>result of Peoples Natural’s next base rate case.</w:t>
      </w:r>
    </w:p>
    <w:p w14:paraId="64E5A6CB" w14:textId="77777777" w:rsidR="00D10E4F" w:rsidRPr="00F74CA6" w:rsidRDefault="00D10E4F" w:rsidP="00B3199C">
      <w:pPr>
        <w:pStyle w:val="ListParagraph"/>
        <w:spacing w:line="240" w:lineRule="auto"/>
        <w:ind w:left="2520" w:right="1440" w:firstLine="0"/>
        <w:rPr>
          <w:szCs w:val="26"/>
        </w:rPr>
      </w:pPr>
    </w:p>
    <w:p w14:paraId="593C9981" w14:textId="77777777" w:rsidR="00D10E4F" w:rsidRPr="00F74CA6" w:rsidRDefault="00D10E4F" w:rsidP="00D10E4F">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MAIN LINE EXTENSION PROPOSAL</w:t>
      </w:r>
    </w:p>
    <w:p w14:paraId="04D9C8F4" w14:textId="77777777" w:rsidR="00D10E4F" w:rsidRPr="00F74CA6" w:rsidRDefault="00D10E4F" w:rsidP="00D10E4F">
      <w:pPr>
        <w:autoSpaceDE w:val="0"/>
        <w:autoSpaceDN w:val="0"/>
        <w:adjustRightInd w:val="0"/>
        <w:spacing w:line="240" w:lineRule="auto"/>
        <w:ind w:firstLine="0"/>
        <w:rPr>
          <w:rFonts w:eastAsiaTheme="minorHAnsi"/>
          <w:szCs w:val="26"/>
        </w:rPr>
      </w:pPr>
    </w:p>
    <w:p w14:paraId="31FED903" w14:textId="77777777" w:rsidR="00D10E4F" w:rsidRPr="00F74CA6" w:rsidRDefault="00D10E4F" w:rsidP="00B3199C">
      <w:pPr>
        <w:pStyle w:val="ListParagraph"/>
        <w:spacing w:line="240" w:lineRule="auto"/>
        <w:ind w:left="1440" w:right="1440" w:firstLine="0"/>
        <w:rPr>
          <w:szCs w:val="26"/>
        </w:rPr>
      </w:pPr>
      <w:r w:rsidRPr="00F74CA6">
        <w:rPr>
          <w:szCs w:val="26"/>
        </w:rPr>
        <w:t>71.</w:t>
      </w:r>
      <w:r w:rsidR="00B3199C" w:rsidRPr="00F74CA6">
        <w:rPr>
          <w:szCs w:val="26"/>
        </w:rPr>
        <w:tab/>
      </w:r>
      <w:r w:rsidRPr="00F74CA6">
        <w:rPr>
          <w:szCs w:val="26"/>
        </w:rPr>
        <w:t>The Company’s proposed changes to its main line extension policy are reserved</w:t>
      </w:r>
      <w:r w:rsidR="00B3199C" w:rsidRPr="00F74CA6">
        <w:rPr>
          <w:szCs w:val="26"/>
        </w:rPr>
        <w:t xml:space="preserve"> </w:t>
      </w:r>
      <w:r w:rsidRPr="00F74CA6">
        <w:rPr>
          <w:szCs w:val="26"/>
        </w:rPr>
        <w:t>for litigation.</w:t>
      </w:r>
    </w:p>
    <w:p w14:paraId="18D80D8D" w14:textId="77777777" w:rsidR="00D10E4F" w:rsidRPr="00F74CA6" w:rsidRDefault="00D10E4F" w:rsidP="00D10E4F">
      <w:pPr>
        <w:autoSpaceDE w:val="0"/>
        <w:autoSpaceDN w:val="0"/>
        <w:adjustRightInd w:val="0"/>
        <w:spacing w:line="240" w:lineRule="auto"/>
        <w:ind w:firstLine="0"/>
        <w:rPr>
          <w:rFonts w:eastAsiaTheme="minorHAnsi"/>
          <w:szCs w:val="26"/>
        </w:rPr>
      </w:pPr>
    </w:p>
    <w:p w14:paraId="338C9C4F" w14:textId="77777777" w:rsidR="00D10E4F" w:rsidRPr="00F74CA6" w:rsidRDefault="00D10E4F" w:rsidP="00B3199C">
      <w:pPr>
        <w:pStyle w:val="ListParagraph"/>
        <w:numPr>
          <w:ilvl w:val="0"/>
          <w:numId w:val="19"/>
        </w:numPr>
        <w:autoSpaceDE w:val="0"/>
        <w:autoSpaceDN w:val="0"/>
        <w:adjustRightInd w:val="0"/>
        <w:spacing w:line="240" w:lineRule="auto"/>
        <w:rPr>
          <w:rFonts w:eastAsiaTheme="minorHAnsi"/>
          <w:b/>
          <w:bCs/>
          <w:szCs w:val="26"/>
        </w:rPr>
      </w:pPr>
      <w:r w:rsidRPr="00F74CA6">
        <w:rPr>
          <w:rFonts w:eastAsiaTheme="minorHAnsi"/>
          <w:b/>
          <w:bCs/>
          <w:szCs w:val="26"/>
        </w:rPr>
        <w:t>COMPETITIVE RATE DISCOUNTS</w:t>
      </w:r>
    </w:p>
    <w:p w14:paraId="3455647B" w14:textId="77777777" w:rsidR="00D10E4F" w:rsidRPr="00F74CA6" w:rsidRDefault="00D10E4F" w:rsidP="00D10E4F">
      <w:pPr>
        <w:autoSpaceDE w:val="0"/>
        <w:autoSpaceDN w:val="0"/>
        <w:adjustRightInd w:val="0"/>
        <w:spacing w:line="240" w:lineRule="auto"/>
        <w:ind w:firstLine="0"/>
        <w:rPr>
          <w:rFonts w:eastAsiaTheme="minorHAnsi"/>
          <w:b/>
          <w:bCs/>
          <w:szCs w:val="26"/>
        </w:rPr>
      </w:pPr>
    </w:p>
    <w:p w14:paraId="4AFC9E19" w14:textId="77777777" w:rsidR="00D10E4F" w:rsidRPr="00F74CA6" w:rsidRDefault="00D10E4F" w:rsidP="00B3199C">
      <w:pPr>
        <w:pStyle w:val="ListParagraph"/>
        <w:spacing w:line="240" w:lineRule="auto"/>
        <w:ind w:left="1440" w:right="1440" w:firstLine="0"/>
        <w:rPr>
          <w:szCs w:val="26"/>
        </w:rPr>
      </w:pPr>
      <w:r w:rsidRPr="00F74CA6">
        <w:rPr>
          <w:szCs w:val="26"/>
        </w:rPr>
        <w:t>72.</w:t>
      </w:r>
      <w:r w:rsidR="00B3199C" w:rsidRPr="00F74CA6">
        <w:rPr>
          <w:szCs w:val="26"/>
        </w:rPr>
        <w:tab/>
      </w:r>
      <w:r w:rsidRPr="00F74CA6">
        <w:rPr>
          <w:szCs w:val="26"/>
        </w:rPr>
        <w:t>On combination of the Peoples and Equitable Divisions as contemplated by this</w:t>
      </w:r>
      <w:r w:rsidR="00B3199C" w:rsidRPr="00F74CA6">
        <w:rPr>
          <w:szCs w:val="26"/>
        </w:rPr>
        <w:t xml:space="preserve"> </w:t>
      </w:r>
      <w:r w:rsidRPr="00F74CA6">
        <w:rPr>
          <w:szCs w:val="26"/>
        </w:rPr>
        <w:t>Settlement, the entire Company will be subject to the requirements of the Equitable Gas</w:t>
      </w:r>
      <w:r w:rsidR="00B3199C" w:rsidRPr="00F74CA6">
        <w:rPr>
          <w:szCs w:val="26"/>
        </w:rPr>
        <w:t xml:space="preserve"> </w:t>
      </w:r>
      <w:r w:rsidRPr="00F74CA6">
        <w:rPr>
          <w:szCs w:val="26"/>
        </w:rPr>
        <w:t>Company 2008 base rate settlement provision concerning justifying discounts in future base rate proceedings, which provides as follows:</w:t>
      </w:r>
    </w:p>
    <w:p w14:paraId="5849EFA2" w14:textId="77777777" w:rsidR="009528DE" w:rsidRPr="00F74CA6" w:rsidRDefault="009528DE" w:rsidP="009528DE">
      <w:pPr>
        <w:pStyle w:val="ListParagraph"/>
        <w:spacing w:line="240" w:lineRule="auto"/>
        <w:ind w:left="2160" w:right="1440" w:firstLine="0"/>
        <w:rPr>
          <w:szCs w:val="26"/>
        </w:rPr>
      </w:pPr>
    </w:p>
    <w:p w14:paraId="277B0FCA" w14:textId="77777777" w:rsidR="00D10E4F" w:rsidRPr="00F74CA6" w:rsidRDefault="00D10E4F" w:rsidP="009528DE">
      <w:pPr>
        <w:pStyle w:val="ListParagraph"/>
        <w:spacing w:line="240" w:lineRule="auto"/>
        <w:ind w:left="2160" w:right="1440" w:firstLine="0"/>
        <w:rPr>
          <w:szCs w:val="26"/>
        </w:rPr>
      </w:pPr>
      <w:r w:rsidRPr="00F74CA6">
        <w:rPr>
          <w:szCs w:val="26"/>
        </w:rPr>
        <w:t>B.3.</w:t>
      </w:r>
      <w:r w:rsidR="00B3199C" w:rsidRPr="00F74CA6">
        <w:rPr>
          <w:szCs w:val="26"/>
        </w:rPr>
        <w:tab/>
      </w:r>
      <w:r w:rsidRPr="00F74CA6">
        <w:rPr>
          <w:szCs w:val="26"/>
        </w:rPr>
        <w:t>Equitable will agree to maintain a highly confidential log of</w:t>
      </w:r>
      <w:r w:rsidR="00B3199C" w:rsidRPr="00F74CA6">
        <w:rPr>
          <w:szCs w:val="26"/>
        </w:rPr>
        <w:t xml:space="preserve"> </w:t>
      </w:r>
      <w:r w:rsidRPr="00F74CA6">
        <w:rPr>
          <w:szCs w:val="26"/>
        </w:rPr>
        <w:t>negotiated delivery service agreements available for review by the</w:t>
      </w:r>
      <w:r w:rsidR="00B3199C" w:rsidRPr="00F74CA6">
        <w:rPr>
          <w:szCs w:val="26"/>
        </w:rPr>
        <w:t xml:space="preserve"> </w:t>
      </w:r>
      <w:r w:rsidRPr="00F74CA6">
        <w:rPr>
          <w:szCs w:val="26"/>
        </w:rPr>
        <w:t>OTS, the OCA and the OSBA. The log will contain the following</w:t>
      </w:r>
      <w:r w:rsidR="00B3199C" w:rsidRPr="00F74CA6">
        <w:rPr>
          <w:szCs w:val="26"/>
        </w:rPr>
        <w:t xml:space="preserve"> </w:t>
      </w:r>
      <w:r w:rsidRPr="00F74CA6">
        <w:rPr>
          <w:szCs w:val="26"/>
        </w:rPr>
        <w:t>information related to negotiated agreements:</w:t>
      </w:r>
    </w:p>
    <w:p w14:paraId="37198E7A" w14:textId="77777777" w:rsidR="009528DE" w:rsidRPr="00F74CA6" w:rsidRDefault="009528DE" w:rsidP="009528DE">
      <w:pPr>
        <w:pStyle w:val="ListParagraph"/>
        <w:spacing w:line="240" w:lineRule="auto"/>
        <w:ind w:left="2160" w:right="1440" w:firstLine="0"/>
        <w:rPr>
          <w:szCs w:val="26"/>
        </w:rPr>
      </w:pPr>
    </w:p>
    <w:p w14:paraId="6A7BACD8" w14:textId="77777777" w:rsidR="00D10E4F" w:rsidRPr="00F74CA6" w:rsidRDefault="00D10E4F" w:rsidP="009528DE">
      <w:pPr>
        <w:pStyle w:val="ListParagraph"/>
        <w:spacing w:line="240" w:lineRule="auto"/>
        <w:ind w:left="2160" w:right="1440" w:firstLine="0"/>
        <w:rPr>
          <w:szCs w:val="26"/>
        </w:rPr>
      </w:pPr>
      <w:r w:rsidRPr="00F74CA6">
        <w:rPr>
          <w:szCs w:val="26"/>
        </w:rPr>
        <w:t>Customer number, effective date of the agreement, the reason(s)</w:t>
      </w:r>
      <w:r w:rsidR="00B3199C" w:rsidRPr="00F74CA6">
        <w:rPr>
          <w:szCs w:val="26"/>
        </w:rPr>
        <w:t xml:space="preserve"> </w:t>
      </w:r>
      <w:r w:rsidRPr="00F74CA6">
        <w:rPr>
          <w:szCs w:val="26"/>
        </w:rPr>
        <w:t>for offering a negotiated delivery agreement, supporting work</w:t>
      </w:r>
      <w:r w:rsidR="00B3199C" w:rsidRPr="00F74CA6">
        <w:rPr>
          <w:szCs w:val="26"/>
        </w:rPr>
        <w:t xml:space="preserve"> </w:t>
      </w:r>
      <w:r w:rsidRPr="00F74CA6">
        <w:rPr>
          <w:szCs w:val="26"/>
        </w:rPr>
        <w:t>papers relied upon to substantiate the negotiated agreement, and an</w:t>
      </w:r>
      <w:r w:rsidR="00B3199C" w:rsidRPr="00F74CA6">
        <w:rPr>
          <w:szCs w:val="26"/>
        </w:rPr>
        <w:t xml:space="preserve"> </w:t>
      </w:r>
      <w:r w:rsidRPr="00F74CA6">
        <w:rPr>
          <w:szCs w:val="26"/>
        </w:rPr>
        <w:t>analysis which evaluates the contribution to overall fixed costs</w:t>
      </w:r>
      <w:r w:rsidR="00B3199C" w:rsidRPr="00F74CA6">
        <w:rPr>
          <w:szCs w:val="26"/>
        </w:rPr>
        <w:t xml:space="preserve"> </w:t>
      </w:r>
      <w:r w:rsidRPr="00F74CA6">
        <w:rPr>
          <w:szCs w:val="26"/>
        </w:rPr>
        <w:t>provided by each customer.</w:t>
      </w:r>
    </w:p>
    <w:p w14:paraId="25A2C219" w14:textId="77777777" w:rsidR="00D10E4F" w:rsidRPr="00F74CA6" w:rsidRDefault="00D10E4F" w:rsidP="00B3199C">
      <w:pPr>
        <w:pStyle w:val="ListParagraph"/>
        <w:spacing w:line="240" w:lineRule="auto"/>
        <w:ind w:left="1440" w:right="1440" w:firstLine="0"/>
        <w:rPr>
          <w:szCs w:val="26"/>
        </w:rPr>
      </w:pPr>
    </w:p>
    <w:p w14:paraId="6FFCF493" w14:textId="77777777" w:rsidR="00335D2F" w:rsidRPr="00F74CA6" w:rsidRDefault="00D10E4F" w:rsidP="00B3199C">
      <w:pPr>
        <w:pStyle w:val="ListParagraph"/>
        <w:spacing w:line="240" w:lineRule="auto"/>
        <w:ind w:left="1440" w:right="1440" w:firstLine="0"/>
        <w:rPr>
          <w:szCs w:val="26"/>
        </w:rPr>
      </w:pPr>
      <w:r w:rsidRPr="00F74CA6">
        <w:rPr>
          <w:szCs w:val="26"/>
        </w:rPr>
        <w:t>73.</w:t>
      </w:r>
      <w:r w:rsidR="00B3199C" w:rsidRPr="00F74CA6">
        <w:rPr>
          <w:szCs w:val="26"/>
        </w:rPr>
        <w:tab/>
      </w:r>
      <w:r w:rsidRPr="00F74CA6">
        <w:rPr>
          <w:szCs w:val="26"/>
        </w:rPr>
        <w:t>In implementing this provision in circumstances where a bypass of the Company’s facilities is the customer’s competitive option, the Company will work with the</w:t>
      </w:r>
      <w:r w:rsidR="00B3199C" w:rsidRPr="00F74CA6">
        <w:rPr>
          <w:szCs w:val="26"/>
        </w:rPr>
        <w:t xml:space="preserve"> </w:t>
      </w:r>
      <w:r w:rsidRPr="00F74CA6">
        <w:rPr>
          <w:szCs w:val="26"/>
        </w:rPr>
        <w:t>customer in future negotiations to develop an analysis of the likely construction cost of the bypass facilities and apply that estimate in determining, through negotiations, the discounted rate offered to the customer. This information will be included as a part of the confidential materials presented in the Company’s initial filing in future base rate proceedings. The Company will also provide a confidential annual report to the Statutory Advocates listing all customers that currently are receiving a discounted rate due to any of the reasons contained herein. The confidential report will provide information regarding whether the customer is being offered the discounted rate due to gas-on-gas competition, potential bypass, economic reasons or alternative fuel reasons. The Company should include in its analysis the annual log information. In future</w:t>
      </w:r>
      <w:r w:rsidR="00B3199C" w:rsidRPr="00F74CA6">
        <w:rPr>
          <w:szCs w:val="26"/>
        </w:rPr>
        <w:t xml:space="preserve"> </w:t>
      </w:r>
      <w:r w:rsidRPr="00F74CA6">
        <w:rPr>
          <w:szCs w:val="26"/>
        </w:rPr>
        <w:t>base rate proceedings, the confidential materials presented as part of the Company’s filing will include sworn affidavits from all discount customers as to the facts and reasons for the discounts as set forth in the Company supplied materials.</w:t>
      </w:r>
    </w:p>
    <w:p w14:paraId="563F8DC8" w14:textId="77777777" w:rsidR="00B3199C" w:rsidRPr="00F74CA6" w:rsidRDefault="00B3199C" w:rsidP="002F3162">
      <w:pPr>
        <w:pStyle w:val="OutlineL2"/>
        <w:numPr>
          <w:ilvl w:val="0"/>
          <w:numId w:val="0"/>
        </w:numPr>
        <w:tabs>
          <w:tab w:val="left" w:pos="0"/>
        </w:tabs>
        <w:spacing w:after="0"/>
        <w:rPr>
          <w:sz w:val="26"/>
          <w:szCs w:val="26"/>
        </w:rPr>
      </w:pPr>
    </w:p>
    <w:p w14:paraId="5F2F1E87" w14:textId="37F9C83D" w:rsidR="00B567A1" w:rsidRPr="00F74CA6" w:rsidRDefault="00B567A1" w:rsidP="00BE0D05">
      <w:pPr>
        <w:pStyle w:val="OutlineL2"/>
        <w:numPr>
          <w:ilvl w:val="0"/>
          <w:numId w:val="0"/>
        </w:numPr>
        <w:tabs>
          <w:tab w:val="left" w:pos="0"/>
        </w:tabs>
        <w:spacing w:after="0" w:line="360" w:lineRule="auto"/>
        <w:ind w:firstLine="1440"/>
        <w:rPr>
          <w:sz w:val="26"/>
          <w:szCs w:val="26"/>
        </w:rPr>
      </w:pPr>
      <w:r w:rsidRPr="00F74CA6">
        <w:rPr>
          <w:sz w:val="26"/>
          <w:szCs w:val="26"/>
        </w:rPr>
        <w:t xml:space="preserve">In addition to the specific terms to which the Joint Petitioners have agreed, the </w:t>
      </w:r>
      <w:r w:rsidR="00206C01" w:rsidRPr="00F74CA6">
        <w:rPr>
          <w:sz w:val="26"/>
          <w:szCs w:val="26"/>
        </w:rPr>
        <w:t>Joint Petition</w:t>
      </w:r>
      <w:r w:rsidR="00A047AE" w:rsidRPr="00F74CA6">
        <w:rPr>
          <w:sz w:val="26"/>
          <w:szCs w:val="26"/>
        </w:rPr>
        <w:t xml:space="preserve"> </w:t>
      </w:r>
      <w:r w:rsidRPr="00F74CA6">
        <w:rPr>
          <w:sz w:val="26"/>
          <w:szCs w:val="26"/>
        </w:rPr>
        <w:t xml:space="preserve">is conditioned upon the Commission’s approval of </w:t>
      </w:r>
      <w:r w:rsidR="00B468B4" w:rsidRPr="00F74CA6">
        <w:rPr>
          <w:sz w:val="26"/>
          <w:szCs w:val="26"/>
        </w:rPr>
        <w:t>its</w:t>
      </w:r>
      <w:r w:rsidRPr="00F74CA6">
        <w:rPr>
          <w:sz w:val="26"/>
          <w:szCs w:val="26"/>
        </w:rPr>
        <w:t xml:space="preserve"> terms and conditions</w:t>
      </w:r>
      <w:r w:rsidR="00B468B4" w:rsidRPr="00F74CA6">
        <w:rPr>
          <w:sz w:val="26"/>
          <w:szCs w:val="26"/>
        </w:rPr>
        <w:t>,</w:t>
      </w:r>
      <w:r w:rsidRPr="00F74CA6">
        <w:rPr>
          <w:sz w:val="26"/>
          <w:szCs w:val="26"/>
        </w:rPr>
        <w:t xml:space="preserve"> without modification.  </w:t>
      </w:r>
      <w:r w:rsidR="00B468B4" w:rsidRPr="00F74CA6">
        <w:rPr>
          <w:sz w:val="26"/>
          <w:szCs w:val="26"/>
        </w:rPr>
        <w:t xml:space="preserve">If the Commission modifies the </w:t>
      </w:r>
      <w:r w:rsidRPr="00F74CA6">
        <w:rPr>
          <w:sz w:val="26"/>
          <w:szCs w:val="26"/>
        </w:rPr>
        <w:t>Partial Settlement</w:t>
      </w:r>
      <w:r w:rsidR="00B468B4" w:rsidRPr="00F74CA6">
        <w:rPr>
          <w:sz w:val="26"/>
          <w:szCs w:val="26"/>
        </w:rPr>
        <w:t>,</w:t>
      </w:r>
      <w:r w:rsidR="00E90565" w:rsidRPr="00F74CA6">
        <w:rPr>
          <w:sz w:val="26"/>
          <w:szCs w:val="26"/>
        </w:rPr>
        <w:t xml:space="preserve"> </w:t>
      </w:r>
      <w:r w:rsidRPr="00F74CA6">
        <w:rPr>
          <w:sz w:val="26"/>
          <w:szCs w:val="26"/>
        </w:rPr>
        <w:t xml:space="preserve">any Joint Petitioners may </w:t>
      </w:r>
      <w:r w:rsidR="00B468B4" w:rsidRPr="00F74CA6">
        <w:rPr>
          <w:sz w:val="26"/>
          <w:szCs w:val="26"/>
        </w:rPr>
        <w:t xml:space="preserve">elect to </w:t>
      </w:r>
      <w:r w:rsidRPr="00F74CA6">
        <w:rPr>
          <w:sz w:val="26"/>
          <w:szCs w:val="26"/>
        </w:rPr>
        <w:t>withdraw from the Partial Settlement</w:t>
      </w:r>
      <w:r w:rsidR="00B468B4" w:rsidRPr="00F74CA6">
        <w:rPr>
          <w:sz w:val="26"/>
          <w:szCs w:val="26"/>
        </w:rPr>
        <w:t>.</w:t>
      </w:r>
      <w:r w:rsidRPr="00F74CA6">
        <w:rPr>
          <w:sz w:val="26"/>
          <w:szCs w:val="26"/>
        </w:rPr>
        <w:t xml:space="preserve">  </w:t>
      </w:r>
      <w:r w:rsidR="00206C01" w:rsidRPr="00F74CA6">
        <w:rPr>
          <w:sz w:val="26"/>
          <w:szCs w:val="26"/>
        </w:rPr>
        <w:t>Joint Petition</w:t>
      </w:r>
      <w:r w:rsidR="002F3162">
        <w:rPr>
          <w:sz w:val="26"/>
          <w:szCs w:val="26"/>
        </w:rPr>
        <w:t xml:space="preserve"> </w:t>
      </w:r>
      <w:r w:rsidRPr="00F74CA6">
        <w:rPr>
          <w:sz w:val="26"/>
          <w:szCs w:val="26"/>
        </w:rPr>
        <w:t>¶</w:t>
      </w:r>
      <w:r w:rsidR="002F3162">
        <w:rPr>
          <w:sz w:val="26"/>
          <w:szCs w:val="26"/>
        </w:rPr>
        <w:t xml:space="preserve"> </w:t>
      </w:r>
      <w:r w:rsidR="00D2140B" w:rsidRPr="00F74CA6">
        <w:rPr>
          <w:sz w:val="26"/>
          <w:szCs w:val="26"/>
        </w:rPr>
        <w:t>77</w:t>
      </w:r>
      <w:r w:rsidR="004E3E40" w:rsidRPr="00F74CA6">
        <w:rPr>
          <w:sz w:val="26"/>
          <w:szCs w:val="26"/>
        </w:rPr>
        <w:t xml:space="preserve"> at </w:t>
      </w:r>
      <w:r w:rsidR="00D2140B" w:rsidRPr="00F74CA6">
        <w:rPr>
          <w:sz w:val="26"/>
          <w:szCs w:val="26"/>
        </w:rPr>
        <w:t>2</w:t>
      </w:r>
      <w:r w:rsidR="004E3E40" w:rsidRPr="00F74CA6">
        <w:rPr>
          <w:sz w:val="26"/>
          <w:szCs w:val="26"/>
        </w:rPr>
        <w:t>1</w:t>
      </w:r>
      <w:r w:rsidRPr="00F74CA6">
        <w:rPr>
          <w:sz w:val="26"/>
          <w:szCs w:val="26"/>
        </w:rPr>
        <w:t xml:space="preserve">.  </w:t>
      </w:r>
      <w:r w:rsidR="00B468B4" w:rsidRPr="00F74CA6">
        <w:rPr>
          <w:sz w:val="26"/>
          <w:szCs w:val="26"/>
        </w:rPr>
        <w:t xml:space="preserve">The </w:t>
      </w:r>
      <w:r w:rsidR="00C04D9F" w:rsidRPr="00F74CA6">
        <w:rPr>
          <w:sz w:val="26"/>
          <w:szCs w:val="26"/>
        </w:rPr>
        <w:t>Joint Petition</w:t>
      </w:r>
      <w:r w:rsidR="00A047AE" w:rsidRPr="00F74CA6">
        <w:rPr>
          <w:sz w:val="26"/>
          <w:szCs w:val="26"/>
        </w:rPr>
        <w:t xml:space="preserve"> </w:t>
      </w:r>
      <w:r w:rsidR="00B468B4" w:rsidRPr="00F74CA6">
        <w:rPr>
          <w:sz w:val="26"/>
          <w:szCs w:val="26"/>
        </w:rPr>
        <w:t xml:space="preserve">also provides that it is made without any admission against, or prejudice to, any position that any Joint Petitioner may adopt in any further litigation in this proceeding.  The Joint Petitioners aver that the Settlement terms and conditions may not be cited as precedent in any future proceeding.  </w:t>
      </w:r>
      <w:r w:rsidR="00206C01" w:rsidRPr="00F74CA6">
        <w:rPr>
          <w:sz w:val="26"/>
          <w:szCs w:val="26"/>
        </w:rPr>
        <w:t>Joint Petition</w:t>
      </w:r>
      <w:r w:rsidR="002F3162">
        <w:rPr>
          <w:sz w:val="26"/>
          <w:szCs w:val="26"/>
        </w:rPr>
        <w:t xml:space="preserve"> </w:t>
      </w:r>
      <w:r w:rsidRPr="00F74CA6">
        <w:rPr>
          <w:sz w:val="26"/>
          <w:szCs w:val="26"/>
        </w:rPr>
        <w:t>¶</w:t>
      </w:r>
      <w:r w:rsidR="003E448A" w:rsidRPr="00F74CA6">
        <w:rPr>
          <w:sz w:val="26"/>
          <w:szCs w:val="26"/>
        </w:rPr>
        <w:t xml:space="preserve">¶ </w:t>
      </w:r>
      <w:r w:rsidR="00D2140B" w:rsidRPr="00F74CA6">
        <w:rPr>
          <w:sz w:val="26"/>
          <w:szCs w:val="26"/>
        </w:rPr>
        <w:t>7</w:t>
      </w:r>
      <w:r w:rsidR="003E448A" w:rsidRPr="00F74CA6">
        <w:rPr>
          <w:sz w:val="26"/>
          <w:szCs w:val="26"/>
        </w:rPr>
        <w:t>8-79</w:t>
      </w:r>
      <w:r w:rsidRPr="00F74CA6">
        <w:rPr>
          <w:sz w:val="26"/>
          <w:szCs w:val="26"/>
        </w:rPr>
        <w:t> </w:t>
      </w:r>
      <w:r w:rsidR="004E3E40" w:rsidRPr="00F74CA6">
        <w:rPr>
          <w:sz w:val="26"/>
          <w:szCs w:val="26"/>
        </w:rPr>
        <w:t xml:space="preserve">at </w:t>
      </w:r>
      <w:r w:rsidR="003E448A" w:rsidRPr="00F74CA6">
        <w:rPr>
          <w:sz w:val="26"/>
          <w:szCs w:val="26"/>
        </w:rPr>
        <w:t>21-</w:t>
      </w:r>
      <w:r w:rsidR="004E3E40" w:rsidRPr="00F74CA6">
        <w:rPr>
          <w:sz w:val="26"/>
          <w:szCs w:val="26"/>
        </w:rPr>
        <w:t>2</w:t>
      </w:r>
      <w:r w:rsidR="003E448A" w:rsidRPr="00F74CA6">
        <w:rPr>
          <w:sz w:val="26"/>
          <w:szCs w:val="26"/>
        </w:rPr>
        <w:t>2</w:t>
      </w:r>
      <w:r w:rsidRPr="00F74CA6">
        <w:rPr>
          <w:sz w:val="26"/>
          <w:szCs w:val="26"/>
        </w:rPr>
        <w:t>.</w:t>
      </w:r>
    </w:p>
    <w:p w14:paraId="2DB2F7F6" w14:textId="77777777" w:rsidR="00B468B4" w:rsidRPr="00F74CA6" w:rsidRDefault="00B468B4">
      <w:pPr>
        <w:pStyle w:val="OutlineL2"/>
        <w:numPr>
          <w:ilvl w:val="0"/>
          <w:numId w:val="0"/>
        </w:numPr>
        <w:tabs>
          <w:tab w:val="left" w:pos="0"/>
        </w:tabs>
        <w:spacing w:after="0" w:line="360" w:lineRule="auto"/>
        <w:rPr>
          <w:sz w:val="26"/>
          <w:szCs w:val="26"/>
        </w:rPr>
      </w:pPr>
    </w:p>
    <w:p w14:paraId="45DF66D1" w14:textId="1B31D6A9" w:rsidR="00B567A1" w:rsidRPr="00F74CA6" w:rsidRDefault="00B567A1">
      <w:pPr>
        <w:pStyle w:val="OutlineL2"/>
        <w:numPr>
          <w:ilvl w:val="0"/>
          <w:numId w:val="0"/>
        </w:numPr>
        <w:tabs>
          <w:tab w:val="left" w:pos="0"/>
        </w:tabs>
        <w:spacing w:after="0" w:line="360" w:lineRule="auto"/>
        <w:rPr>
          <w:sz w:val="26"/>
          <w:szCs w:val="26"/>
        </w:rPr>
      </w:pPr>
      <w:r w:rsidRPr="00F74CA6">
        <w:rPr>
          <w:sz w:val="26"/>
          <w:szCs w:val="26"/>
        </w:rPr>
        <w:tab/>
      </w:r>
      <w:r w:rsidRPr="00F74CA6">
        <w:rPr>
          <w:sz w:val="26"/>
          <w:szCs w:val="26"/>
        </w:rPr>
        <w:tab/>
        <w:t xml:space="preserve">The Joint Petitioners respectfully requested that the ALJ and the Commission approve the Partial Settlement, including all terms and conditions thereof, </w:t>
      </w:r>
      <w:r w:rsidR="00E90565" w:rsidRPr="00F74CA6">
        <w:rPr>
          <w:sz w:val="26"/>
          <w:szCs w:val="26"/>
        </w:rPr>
        <w:t>without modification</w:t>
      </w:r>
      <w:r w:rsidRPr="00F74CA6">
        <w:rPr>
          <w:sz w:val="26"/>
          <w:szCs w:val="26"/>
        </w:rPr>
        <w:t xml:space="preserve">.  </w:t>
      </w:r>
      <w:r w:rsidR="00206C01" w:rsidRPr="00F74CA6">
        <w:rPr>
          <w:sz w:val="26"/>
          <w:szCs w:val="26"/>
        </w:rPr>
        <w:t>Joint Petition</w:t>
      </w:r>
      <w:r w:rsidR="00A047AE" w:rsidRPr="00F74CA6">
        <w:rPr>
          <w:sz w:val="26"/>
          <w:szCs w:val="26"/>
        </w:rPr>
        <w:t xml:space="preserve"> </w:t>
      </w:r>
      <w:r w:rsidR="004E3E40" w:rsidRPr="00F74CA6">
        <w:rPr>
          <w:sz w:val="26"/>
          <w:szCs w:val="26"/>
        </w:rPr>
        <w:t>at 2</w:t>
      </w:r>
      <w:r w:rsidR="00E90565" w:rsidRPr="00F74CA6">
        <w:rPr>
          <w:sz w:val="26"/>
          <w:szCs w:val="26"/>
        </w:rPr>
        <w:t>3</w:t>
      </w:r>
      <w:r w:rsidRPr="00F74CA6">
        <w:rPr>
          <w:sz w:val="26"/>
          <w:szCs w:val="26"/>
        </w:rPr>
        <w:t>.</w:t>
      </w:r>
    </w:p>
    <w:p w14:paraId="26784096" w14:textId="77777777" w:rsidR="00B567A1" w:rsidRPr="00F74CA6" w:rsidRDefault="00B567A1">
      <w:pPr>
        <w:ind w:left="1440" w:right="1440" w:firstLine="0"/>
        <w:rPr>
          <w:bCs/>
          <w:szCs w:val="26"/>
        </w:rPr>
      </w:pPr>
    </w:p>
    <w:p w14:paraId="6E527A1B" w14:textId="77777777" w:rsidR="00B567A1" w:rsidRPr="00F74CA6" w:rsidRDefault="00B567A1" w:rsidP="00DE5BDB">
      <w:pPr>
        <w:pStyle w:val="ListParagraph"/>
        <w:keepNext/>
        <w:keepLines/>
        <w:numPr>
          <w:ilvl w:val="0"/>
          <w:numId w:val="3"/>
        </w:numPr>
        <w:ind w:hanging="720"/>
        <w:rPr>
          <w:b/>
          <w:szCs w:val="26"/>
        </w:rPr>
      </w:pPr>
      <w:r w:rsidRPr="00F74CA6">
        <w:rPr>
          <w:b/>
          <w:szCs w:val="26"/>
        </w:rPr>
        <w:t>ALJ’s Recommendation</w:t>
      </w:r>
    </w:p>
    <w:p w14:paraId="6D233FD0" w14:textId="77777777" w:rsidR="00B567A1" w:rsidRPr="00F74CA6" w:rsidRDefault="00B567A1" w:rsidP="000A4FE4">
      <w:pPr>
        <w:keepNext/>
        <w:keepLines/>
        <w:ind w:right="1440"/>
        <w:rPr>
          <w:b/>
          <w:szCs w:val="26"/>
        </w:rPr>
      </w:pPr>
    </w:p>
    <w:p w14:paraId="7C53FEE0" w14:textId="6F6B495E" w:rsidR="006D4E4E" w:rsidRPr="00F74CA6" w:rsidRDefault="004E3E1B">
      <w:pPr>
        <w:rPr>
          <w:szCs w:val="26"/>
        </w:rPr>
      </w:pPr>
      <w:r w:rsidRPr="00F74CA6">
        <w:rPr>
          <w:szCs w:val="26"/>
        </w:rPr>
        <w:t xml:space="preserve">The ALJ found that the </w:t>
      </w:r>
      <w:r w:rsidR="00E63B5F" w:rsidRPr="00F74CA6">
        <w:rPr>
          <w:szCs w:val="26"/>
        </w:rPr>
        <w:t>record evidence in this proceeding demonstrated that the</w:t>
      </w:r>
      <w:r w:rsidRPr="00F74CA6">
        <w:rPr>
          <w:szCs w:val="26"/>
        </w:rPr>
        <w:t xml:space="preserve"> </w:t>
      </w:r>
      <w:r w:rsidR="00206C01" w:rsidRPr="00F74CA6">
        <w:rPr>
          <w:szCs w:val="26"/>
        </w:rPr>
        <w:t>Joint Petition</w:t>
      </w:r>
      <w:r w:rsidR="00A047AE" w:rsidRPr="00F74CA6">
        <w:rPr>
          <w:szCs w:val="26"/>
        </w:rPr>
        <w:t xml:space="preserve"> </w:t>
      </w:r>
      <w:r w:rsidR="006D4205" w:rsidRPr="00F74CA6">
        <w:rPr>
          <w:szCs w:val="26"/>
        </w:rPr>
        <w:t>wa</w:t>
      </w:r>
      <w:r w:rsidRPr="00F74CA6">
        <w:rPr>
          <w:szCs w:val="26"/>
        </w:rPr>
        <w:t>s in the public interest and</w:t>
      </w:r>
      <w:r w:rsidR="00886F70" w:rsidRPr="00F74CA6">
        <w:rPr>
          <w:szCs w:val="26"/>
        </w:rPr>
        <w:t>,</w:t>
      </w:r>
      <w:r w:rsidRPr="00F74CA6">
        <w:rPr>
          <w:szCs w:val="26"/>
        </w:rPr>
        <w:t xml:space="preserve"> therefore</w:t>
      </w:r>
      <w:r w:rsidR="00442F36" w:rsidRPr="00F74CA6">
        <w:rPr>
          <w:szCs w:val="26"/>
        </w:rPr>
        <w:t>,</w:t>
      </w:r>
      <w:r w:rsidRPr="00F74CA6">
        <w:rPr>
          <w:szCs w:val="26"/>
        </w:rPr>
        <w:t xml:space="preserve"> recommended t</w:t>
      </w:r>
      <w:r w:rsidR="005E2542" w:rsidRPr="00F74CA6">
        <w:rPr>
          <w:szCs w:val="26"/>
        </w:rPr>
        <w:t>hat it</w:t>
      </w:r>
      <w:r w:rsidRPr="00F74CA6">
        <w:rPr>
          <w:szCs w:val="26"/>
        </w:rPr>
        <w:t xml:space="preserve"> </w:t>
      </w:r>
      <w:r w:rsidR="005E2542" w:rsidRPr="00F74CA6">
        <w:rPr>
          <w:szCs w:val="26"/>
        </w:rPr>
        <w:t xml:space="preserve">be </w:t>
      </w:r>
      <w:r w:rsidR="00212E95" w:rsidRPr="00F74CA6">
        <w:rPr>
          <w:szCs w:val="26"/>
        </w:rPr>
        <w:t xml:space="preserve">adopted </w:t>
      </w:r>
      <w:r w:rsidR="005E2542" w:rsidRPr="00F74CA6">
        <w:rPr>
          <w:szCs w:val="26"/>
        </w:rPr>
        <w:t>in its entirety</w:t>
      </w:r>
      <w:r w:rsidR="00212E95" w:rsidRPr="00F74CA6">
        <w:rPr>
          <w:szCs w:val="26"/>
        </w:rPr>
        <w:t>,</w:t>
      </w:r>
      <w:r w:rsidR="005E2542" w:rsidRPr="00F74CA6">
        <w:rPr>
          <w:szCs w:val="26"/>
        </w:rPr>
        <w:t xml:space="preserve"> </w:t>
      </w:r>
      <w:r w:rsidRPr="00F74CA6">
        <w:rPr>
          <w:szCs w:val="26"/>
        </w:rPr>
        <w:t>with</w:t>
      </w:r>
      <w:r w:rsidR="00E63B5F" w:rsidRPr="00F74CA6">
        <w:rPr>
          <w:szCs w:val="26"/>
        </w:rPr>
        <w:t>out</w:t>
      </w:r>
      <w:r w:rsidRPr="00F74CA6">
        <w:rPr>
          <w:szCs w:val="26"/>
        </w:rPr>
        <w:t xml:space="preserve"> modification.  </w:t>
      </w:r>
      <w:r w:rsidR="00807498" w:rsidRPr="00F74CA6">
        <w:rPr>
          <w:szCs w:val="26"/>
        </w:rPr>
        <w:t xml:space="preserve">He stated that </w:t>
      </w:r>
      <w:r w:rsidR="00212E95" w:rsidRPr="00F74CA6">
        <w:rPr>
          <w:szCs w:val="26"/>
        </w:rPr>
        <w:t xml:space="preserve">the </w:t>
      </w:r>
      <w:r w:rsidR="00206C01" w:rsidRPr="00F74CA6">
        <w:rPr>
          <w:szCs w:val="26"/>
        </w:rPr>
        <w:t>Joint Petition</w:t>
      </w:r>
      <w:r w:rsidR="00A047AE" w:rsidRPr="00F74CA6">
        <w:rPr>
          <w:szCs w:val="26"/>
        </w:rPr>
        <w:t xml:space="preserve"> </w:t>
      </w:r>
      <w:r w:rsidR="00807498" w:rsidRPr="00F74CA6">
        <w:rPr>
          <w:szCs w:val="26"/>
        </w:rPr>
        <w:t xml:space="preserve">is in the public interest because the original requested increase of $94.5 million has been reduced to a total of $59.5 million annually, </w:t>
      </w:r>
      <w:r w:rsidR="00212E95" w:rsidRPr="00F74CA6">
        <w:rPr>
          <w:szCs w:val="26"/>
        </w:rPr>
        <w:t xml:space="preserve">resulting in </w:t>
      </w:r>
      <w:r w:rsidR="00807498" w:rsidRPr="00F74CA6">
        <w:rPr>
          <w:szCs w:val="26"/>
        </w:rPr>
        <w:t xml:space="preserve">a savings of approximately $35 million per year </w:t>
      </w:r>
      <w:r w:rsidR="00212E95" w:rsidRPr="00F74CA6">
        <w:rPr>
          <w:szCs w:val="26"/>
        </w:rPr>
        <w:t xml:space="preserve">for </w:t>
      </w:r>
      <w:r w:rsidR="00807498" w:rsidRPr="00F74CA6">
        <w:rPr>
          <w:szCs w:val="26"/>
        </w:rPr>
        <w:t>Peoples’ customers</w:t>
      </w:r>
      <w:r w:rsidR="00212E95" w:rsidRPr="00F74CA6">
        <w:rPr>
          <w:szCs w:val="26"/>
        </w:rPr>
        <w:t>.</w:t>
      </w:r>
      <w:r w:rsidR="00807498" w:rsidRPr="00F74CA6">
        <w:rPr>
          <w:szCs w:val="26"/>
        </w:rPr>
        <w:t xml:space="preserve">  </w:t>
      </w:r>
      <w:r w:rsidR="00DE5BDB" w:rsidRPr="00F74CA6">
        <w:rPr>
          <w:szCs w:val="26"/>
        </w:rPr>
        <w:t>The ALJ also found</w:t>
      </w:r>
      <w:r w:rsidR="000D1670" w:rsidRPr="00F74CA6">
        <w:rPr>
          <w:szCs w:val="26"/>
        </w:rPr>
        <w:t xml:space="preserve"> </w:t>
      </w:r>
      <w:r w:rsidR="00212E95" w:rsidRPr="00F74CA6">
        <w:rPr>
          <w:szCs w:val="26"/>
        </w:rPr>
        <w:t xml:space="preserve">that under the Partial Settlement, </w:t>
      </w:r>
      <w:r w:rsidR="000D1670" w:rsidRPr="00F74CA6">
        <w:rPr>
          <w:szCs w:val="26"/>
        </w:rPr>
        <w:t>Peoples’ customers will continue to receive safe and adequate service at just and reasonable rates</w:t>
      </w:r>
      <w:r w:rsidR="00212E95" w:rsidRPr="00F74CA6">
        <w:rPr>
          <w:szCs w:val="26"/>
        </w:rPr>
        <w:t xml:space="preserve">. </w:t>
      </w:r>
      <w:r w:rsidR="000D1670" w:rsidRPr="00F74CA6">
        <w:rPr>
          <w:szCs w:val="26"/>
        </w:rPr>
        <w:t xml:space="preserve"> </w:t>
      </w:r>
      <w:r w:rsidR="002C054E" w:rsidRPr="00F74CA6">
        <w:rPr>
          <w:szCs w:val="26"/>
        </w:rPr>
        <w:t>R</w:t>
      </w:r>
      <w:r w:rsidR="00DE5BDB" w:rsidRPr="00F74CA6">
        <w:rPr>
          <w:szCs w:val="26"/>
        </w:rPr>
        <w:t>.D. at 43-44.</w:t>
      </w:r>
    </w:p>
    <w:p w14:paraId="3D65E25E" w14:textId="77777777" w:rsidR="006D4E4E" w:rsidRPr="00F74CA6" w:rsidRDefault="006D4E4E">
      <w:pPr>
        <w:rPr>
          <w:szCs w:val="26"/>
        </w:rPr>
      </w:pPr>
    </w:p>
    <w:p w14:paraId="08AA07E5" w14:textId="620DC2F2" w:rsidR="007411EA" w:rsidRPr="00F74CA6" w:rsidRDefault="007411EA" w:rsidP="007411EA">
      <w:pPr>
        <w:rPr>
          <w:szCs w:val="26"/>
        </w:rPr>
      </w:pPr>
      <w:r w:rsidRPr="00F74CA6">
        <w:rPr>
          <w:szCs w:val="26"/>
        </w:rPr>
        <w:t xml:space="preserve">The ALJ noted </w:t>
      </w:r>
      <w:r w:rsidR="00BE0D05" w:rsidRPr="00F74CA6">
        <w:rPr>
          <w:szCs w:val="26"/>
        </w:rPr>
        <w:t>that the</w:t>
      </w:r>
      <w:r w:rsidRPr="00F74CA6">
        <w:rPr>
          <w:szCs w:val="26"/>
        </w:rPr>
        <w:t xml:space="preserve"> </w:t>
      </w:r>
      <w:r w:rsidR="00206C01" w:rsidRPr="00F74CA6">
        <w:rPr>
          <w:szCs w:val="26"/>
        </w:rPr>
        <w:t>Joint Petition</w:t>
      </w:r>
      <w:r w:rsidR="00A047AE" w:rsidRPr="00F74CA6">
        <w:rPr>
          <w:szCs w:val="26"/>
        </w:rPr>
        <w:t xml:space="preserve"> </w:t>
      </w:r>
      <w:r w:rsidRPr="00F74CA6">
        <w:rPr>
          <w:szCs w:val="26"/>
        </w:rPr>
        <w:t>merges separate current rates of the Company’s Peoples and Equitable divisions into a single set of r</w:t>
      </w:r>
      <w:r w:rsidR="000D1670" w:rsidRPr="00F74CA6">
        <w:rPr>
          <w:szCs w:val="26"/>
        </w:rPr>
        <w:t>a</w:t>
      </w:r>
      <w:r w:rsidRPr="00F74CA6">
        <w:rPr>
          <w:szCs w:val="26"/>
        </w:rPr>
        <w:t>te schedules and rates</w:t>
      </w:r>
      <w:r w:rsidR="000D1670" w:rsidRPr="00F74CA6">
        <w:rPr>
          <w:szCs w:val="26"/>
        </w:rPr>
        <w:t>,</w:t>
      </w:r>
      <w:r w:rsidRPr="00F74CA6">
        <w:rPr>
          <w:szCs w:val="26"/>
        </w:rPr>
        <w:t xml:space="preserve"> making it simpler for the </w:t>
      </w:r>
      <w:r w:rsidR="00F25418">
        <w:rPr>
          <w:szCs w:val="26"/>
        </w:rPr>
        <w:t>C</w:t>
      </w:r>
      <w:r w:rsidRPr="00F74CA6">
        <w:rPr>
          <w:szCs w:val="26"/>
        </w:rPr>
        <w:t>ompany, the Commission and consumers.  Th</w:t>
      </w:r>
      <w:r w:rsidR="000D1670" w:rsidRPr="00F74CA6">
        <w:rPr>
          <w:szCs w:val="26"/>
        </w:rPr>
        <w:t xml:space="preserve">e ALJ also noted that the reduced revenue increase </w:t>
      </w:r>
      <w:r w:rsidRPr="00F74CA6">
        <w:rPr>
          <w:szCs w:val="26"/>
        </w:rPr>
        <w:t>amount factors in calculation of the Distribution System Improvement Charge</w:t>
      </w:r>
      <w:r w:rsidR="00212E95" w:rsidRPr="00F74CA6">
        <w:rPr>
          <w:szCs w:val="26"/>
        </w:rPr>
        <w:t xml:space="preserve"> (DSIC)</w:t>
      </w:r>
      <w:r w:rsidRPr="00F74CA6">
        <w:rPr>
          <w:szCs w:val="26"/>
        </w:rPr>
        <w:t xml:space="preserve"> and the change resulting from the enactment of the </w:t>
      </w:r>
      <w:r w:rsidR="00212E95" w:rsidRPr="00F74CA6">
        <w:rPr>
          <w:szCs w:val="26"/>
        </w:rPr>
        <w:t xml:space="preserve">federal </w:t>
      </w:r>
      <w:r w:rsidR="00212E95" w:rsidRPr="00F74CA6">
        <w:rPr>
          <w:color w:val="000000"/>
          <w:szCs w:val="26"/>
        </w:rPr>
        <w:t>Tax Cuts and Jobs Act of 2017, Public Law No. 115-97, 131 Stat. 2054</w:t>
      </w:r>
      <w:r w:rsidRPr="00F74CA6">
        <w:rPr>
          <w:szCs w:val="26"/>
        </w:rPr>
        <w:t xml:space="preserve"> (TCJA) that created differences in the deferred tax rates that were used prior to January 1, 2018.  </w:t>
      </w:r>
      <w:r w:rsidR="000D1670" w:rsidRPr="00F74CA6">
        <w:rPr>
          <w:szCs w:val="26"/>
        </w:rPr>
        <w:t xml:space="preserve">The ALJ also stated that the reduced revenue increase of $59.5 million amount appears to be a reasonable compromise given the other revenue requirement figures proposed in this proceeding and </w:t>
      </w:r>
      <w:r w:rsidR="005C0CE1" w:rsidRPr="00F74CA6">
        <w:rPr>
          <w:szCs w:val="26"/>
        </w:rPr>
        <w:t xml:space="preserve">is </w:t>
      </w:r>
      <w:r w:rsidR="000D1670" w:rsidRPr="00F74CA6">
        <w:rPr>
          <w:szCs w:val="26"/>
        </w:rPr>
        <w:t xml:space="preserve">within the likely range of outcomes had this case been fully litigated.  </w:t>
      </w:r>
      <w:r w:rsidR="002C054E" w:rsidRPr="00F74CA6">
        <w:rPr>
          <w:szCs w:val="26"/>
        </w:rPr>
        <w:t>R</w:t>
      </w:r>
      <w:r w:rsidR="000D1670" w:rsidRPr="00F74CA6">
        <w:rPr>
          <w:szCs w:val="26"/>
        </w:rPr>
        <w:t>.D. at 44.</w:t>
      </w:r>
    </w:p>
    <w:p w14:paraId="7DFD8433" w14:textId="77777777" w:rsidR="007411EA" w:rsidRPr="00F74CA6" w:rsidRDefault="007411EA">
      <w:pPr>
        <w:rPr>
          <w:szCs w:val="26"/>
        </w:rPr>
      </w:pPr>
    </w:p>
    <w:p w14:paraId="01C59895" w14:textId="255E57AA" w:rsidR="007411EA" w:rsidRPr="00F74CA6" w:rsidRDefault="007411EA" w:rsidP="006D4E4E">
      <w:pPr>
        <w:rPr>
          <w:szCs w:val="26"/>
        </w:rPr>
      </w:pPr>
      <w:r w:rsidRPr="00F74CA6">
        <w:rPr>
          <w:szCs w:val="26"/>
        </w:rPr>
        <w:t xml:space="preserve">The ALJ noted that there are several </w:t>
      </w:r>
      <w:r w:rsidR="002B3999" w:rsidRPr="00F74CA6">
        <w:rPr>
          <w:szCs w:val="26"/>
        </w:rPr>
        <w:t>provisions</w:t>
      </w:r>
      <w:r w:rsidRPr="00F74CA6">
        <w:rPr>
          <w:szCs w:val="26"/>
        </w:rPr>
        <w:t xml:space="preserve"> in the Settlement that benefit low-income </w:t>
      </w:r>
      <w:r w:rsidR="002B3999" w:rsidRPr="00F74CA6">
        <w:rPr>
          <w:szCs w:val="26"/>
        </w:rPr>
        <w:t>consumers</w:t>
      </w:r>
      <w:r w:rsidRPr="00F74CA6">
        <w:rPr>
          <w:szCs w:val="26"/>
        </w:rPr>
        <w:t xml:space="preserve">.  For example, Peoples will, among other things, waive high bill investigation fees for </w:t>
      </w:r>
      <w:r w:rsidR="002B3999" w:rsidRPr="00F74CA6">
        <w:rPr>
          <w:szCs w:val="26"/>
        </w:rPr>
        <w:t>c</w:t>
      </w:r>
      <w:r w:rsidRPr="00F74CA6">
        <w:rPr>
          <w:szCs w:val="26"/>
        </w:rPr>
        <w:t>ustomers at or below the federal poverty le</w:t>
      </w:r>
      <w:r w:rsidR="002B3999" w:rsidRPr="00F74CA6">
        <w:rPr>
          <w:szCs w:val="26"/>
        </w:rPr>
        <w:t>v</w:t>
      </w:r>
      <w:r w:rsidRPr="00F74CA6">
        <w:rPr>
          <w:szCs w:val="26"/>
        </w:rPr>
        <w:t>el which will allow low income customers to ensure that</w:t>
      </w:r>
      <w:r w:rsidR="002B3999" w:rsidRPr="00F74CA6">
        <w:rPr>
          <w:szCs w:val="26"/>
        </w:rPr>
        <w:t xml:space="preserve"> they </w:t>
      </w:r>
      <w:r w:rsidRPr="00F74CA6">
        <w:rPr>
          <w:szCs w:val="26"/>
        </w:rPr>
        <w:t xml:space="preserve">are not being over charged but are being billed accurately. </w:t>
      </w:r>
      <w:r w:rsidR="000D1670" w:rsidRPr="00F74CA6">
        <w:rPr>
          <w:szCs w:val="26"/>
        </w:rPr>
        <w:t xml:space="preserve"> </w:t>
      </w:r>
      <w:r w:rsidRPr="00F74CA6">
        <w:rPr>
          <w:szCs w:val="26"/>
        </w:rPr>
        <w:t>People</w:t>
      </w:r>
      <w:r w:rsidR="00C163ED" w:rsidRPr="00F74CA6">
        <w:rPr>
          <w:szCs w:val="26"/>
        </w:rPr>
        <w:t>s</w:t>
      </w:r>
      <w:r w:rsidRPr="00F74CA6">
        <w:rPr>
          <w:szCs w:val="26"/>
        </w:rPr>
        <w:t xml:space="preserve"> will increase its annual LIURP </w:t>
      </w:r>
      <w:r w:rsidR="00FB29CB" w:rsidRPr="00F74CA6">
        <w:rPr>
          <w:szCs w:val="26"/>
        </w:rPr>
        <w:t>budget</w:t>
      </w:r>
      <w:r w:rsidRPr="00F74CA6">
        <w:rPr>
          <w:szCs w:val="26"/>
        </w:rPr>
        <w:t xml:space="preserve"> by $650,000 divided </w:t>
      </w:r>
      <w:r w:rsidRPr="00F74CA6">
        <w:rPr>
          <w:szCs w:val="26"/>
        </w:rPr>
        <w:lastRenderedPageBreak/>
        <w:t>ev</w:t>
      </w:r>
      <w:r w:rsidR="002B3999" w:rsidRPr="00F74CA6">
        <w:rPr>
          <w:szCs w:val="26"/>
        </w:rPr>
        <w:t>e</w:t>
      </w:r>
      <w:r w:rsidRPr="00F74CA6">
        <w:rPr>
          <w:szCs w:val="26"/>
        </w:rPr>
        <w:t>nly between the People</w:t>
      </w:r>
      <w:r w:rsidR="00C163ED" w:rsidRPr="00F74CA6">
        <w:rPr>
          <w:szCs w:val="26"/>
        </w:rPr>
        <w:t>s</w:t>
      </w:r>
      <w:r w:rsidRPr="00F74CA6">
        <w:rPr>
          <w:szCs w:val="26"/>
        </w:rPr>
        <w:t xml:space="preserve"> and Equitable divisions with the cost recoverable through universal service rider.  This will increase the number of customers who can benefit from LIURP program. </w:t>
      </w:r>
      <w:r w:rsidR="002B3999" w:rsidRPr="00F74CA6">
        <w:rPr>
          <w:szCs w:val="26"/>
        </w:rPr>
        <w:t xml:space="preserve"> </w:t>
      </w:r>
      <w:r w:rsidRPr="00F74CA6">
        <w:rPr>
          <w:szCs w:val="26"/>
        </w:rPr>
        <w:t>Peoples will take steps to bolster its CAP enrollment w</w:t>
      </w:r>
      <w:r w:rsidR="002B3999" w:rsidRPr="00F74CA6">
        <w:rPr>
          <w:szCs w:val="26"/>
        </w:rPr>
        <w:t>h</w:t>
      </w:r>
      <w:r w:rsidRPr="00F74CA6">
        <w:rPr>
          <w:szCs w:val="26"/>
        </w:rPr>
        <w:t>ich will also allow more customers to benefit from the program</w:t>
      </w:r>
      <w:r w:rsidR="002B3999" w:rsidRPr="00F74CA6">
        <w:rPr>
          <w:szCs w:val="26"/>
        </w:rPr>
        <w:t>.</w:t>
      </w:r>
      <w:r w:rsidR="000D1670" w:rsidRPr="00F74CA6">
        <w:rPr>
          <w:szCs w:val="26"/>
        </w:rPr>
        <w:t xml:space="preserve">  Peoples will provide a stand-alone plain English notice to customers regarding CAP prior to termination developed in conjunction with the Universal Service Advisory Group which will decrease the number of customers that are improperly terminated.  </w:t>
      </w:r>
      <w:r w:rsidR="002C054E" w:rsidRPr="00F74CA6">
        <w:rPr>
          <w:szCs w:val="26"/>
        </w:rPr>
        <w:t>R</w:t>
      </w:r>
      <w:r w:rsidR="000D1670" w:rsidRPr="00F74CA6">
        <w:rPr>
          <w:szCs w:val="26"/>
        </w:rPr>
        <w:t>.D. at 45</w:t>
      </w:r>
      <w:r w:rsidR="006424FE" w:rsidRPr="00F74CA6">
        <w:rPr>
          <w:szCs w:val="26"/>
        </w:rPr>
        <w:t>.</w:t>
      </w:r>
    </w:p>
    <w:p w14:paraId="147B4FF1" w14:textId="77777777" w:rsidR="00CD7753" w:rsidRPr="00F74CA6" w:rsidRDefault="00CD7753" w:rsidP="006D4E4E">
      <w:pPr>
        <w:rPr>
          <w:szCs w:val="26"/>
        </w:rPr>
      </w:pPr>
    </w:p>
    <w:p w14:paraId="59B692CA" w14:textId="63D161CD" w:rsidR="006424FE" w:rsidRPr="00F74CA6" w:rsidRDefault="006424FE" w:rsidP="006D4E4E">
      <w:pPr>
        <w:rPr>
          <w:szCs w:val="26"/>
        </w:rPr>
      </w:pPr>
      <w:r w:rsidRPr="00F74CA6">
        <w:rPr>
          <w:szCs w:val="26"/>
        </w:rPr>
        <w:t xml:space="preserve">Peoples </w:t>
      </w:r>
      <w:r w:rsidR="005C0CE1" w:rsidRPr="00F74CA6">
        <w:rPr>
          <w:szCs w:val="26"/>
        </w:rPr>
        <w:t xml:space="preserve">has </w:t>
      </w:r>
      <w:r w:rsidRPr="00F74CA6">
        <w:rPr>
          <w:szCs w:val="26"/>
        </w:rPr>
        <w:t xml:space="preserve">agreed to eliminate pooling fees that deliver the required daily gas supplies for pool </w:t>
      </w:r>
      <w:r w:rsidR="008C2F77" w:rsidRPr="00F74CA6">
        <w:rPr>
          <w:szCs w:val="26"/>
        </w:rPr>
        <w:t>operations</w:t>
      </w:r>
      <w:r w:rsidRPr="00F74CA6">
        <w:rPr>
          <w:szCs w:val="26"/>
        </w:rPr>
        <w:t xml:space="preserve"> that h</w:t>
      </w:r>
      <w:r w:rsidR="008C2F77" w:rsidRPr="00F74CA6">
        <w:rPr>
          <w:szCs w:val="26"/>
        </w:rPr>
        <w:t>a</w:t>
      </w:r>
      <w:r w:rsidRPr="00F74CA6">
        <w:rPr>
          <w:szCs w:val="26"/>
        </w:rPr>
        <w:t xml:space="preserve">ve a peak demand of 2,000 Dth or less in lieu of capacity assignment on a voluntary basis. </w:t>
      </w:r>
      <w:r w:rsidR="008C2F77" w:rsidRPr="00F74CA6">
        <w:rPr>
          <w:szCs w:val="26"/>
        </w:rPr>
        <w:t xml:space="preserve"> Peoples has also agreed to withdraw its Petition for Approval of its Energy Efficiency and Conservation Plan that is currently pending before the Commission and convene a stakeholder group with OCA, I&amp;E, OSBA and Duquesne to review any new filing at least 120 days prior to filing if such a proposal is filed in the future.  </w:t>
      </w:r>
      <w:r w:rsidR="002C054E" w:rsidRPr="00F74CA6">
        <w:rPr>
          <w:szCs w:val="26"/>
        </w:rPr>
        <w:t>R</w:t>
      </w:r>
      <w:r w:rsidR="008C2F77" w:rsidRPr="00F74CA6">
        <w:rPr>
          <w:szCs w:val="26"/>
        </w:rPr>
        <w:t>.D. at 46.</w:t>
      </w:r>
    </w:p>
    <w:p w14:paraId="4C2A2FBD" w14:textId="77777777" w:rsidR="006424FE" w:rsidRPr="00F74CA6" w:rsidRDefault="006424FE" w:rsidP="006D4E4E">
      <w:pPr>
        <w:rPr>
          <w:szCs w:val="26"/>
        </w:rPr>
      </w:pPr>
    </w:p>
    <w:p w14:paraId="09765622" w14:textId="36EBF03D" w:rsidR="006D4E4E" w:rsidRPr="00F74CA6" w:rsidRDefault="006D4E4E" w:rsidP="006D4E4E">
      <w:pPr>
        <w:rPr>
          <w:szCs w:val="26"/>
        </w:rPr>
      </w:pPr>
      <w:r w:rsidRPr="00F74CA6">
        <w:rPr>
          <w:szCs w:val="26"/>
        </w:rPr>
        <w:t xml:space="preserve">The ALJ </w:t>
      </w:r>
      <w:r w:rsidR="005C0CE1" w:rsidRPr="00F74CA6">
        <w:rPr>
          <w:szCs w:val="26"/>
        </w:rPr>
        <w:t xml:space="preserve">opined </w:t>
      </w:r>
      <w:r w:rsidRPr="00F74CA6">
        <w:rPr>
          <w:szCs w:val="26"/>
        </w:rPr>
        <w:t xml:space="preserve">that the </w:t>
      </w:r>
      <w:r w:rsidR="00206C01" w:rsidRPr="00F74CA6">
        <w:rPr>
          <w:szCs w:val="26"/>
        </w:rPr>
        <w:t>Joint Petition</w:t>
      </w:r>
      <w:r w:rsidR="00A047AE" w:rsidRPr="00F74CA6">
        <w:rPr>
          <w:szCs w:val="26"/>
        </w:rPr>
        <w:t xml:space="preserve"> </w:t>
      </w:r>
      <w:r w:rsidRPr="00F74CA6">
        <w:rPr>
          <w:szCs w:val="26"/>
        </w:rPr>
        <w:t xml:space="preserve">represented a fair and reasonable settlement of this proceeding.  The ALJ asserted that </w:t>
      </w:r>
      <w:r w:rsidR="008C2F77" w:rsidRPr="00F74CA6">
        <w:rPr>
          <w:szCs w:val="26"/>
        </w:rPr>
        <w:t xml:space="preserve">the </w:t>
      </w:r>
      <w:r w:rsidR="00206C01" w:rsidRPr="00F74CA6">
        <w:rPr>
          <w:szCs w:val="26"/>
        </w:rPr>
        <w:t>Joint Petition</w:t>
      </w:r>
      <w:r w:rsidR="00A047AE" w:rsidRPr="00F74CA6">
        <w:rPr>
          <w:szCs w:val="26"/>
        </w:rPr>
        <w:t xml:space="preserve"> </w:t>
      </w:r>
      <w:r w:rsidR="00BE0D05" w:rsidRPr="00F74CA6">
        <w:rPr>
          <w:szCs w:val="26"/>
        </w:rPr>
        <w:t>will</w:t>
      </w:r>
      <w:r w:rsidR="008C2F77" w:rsidRPr="00F74CA6">
        <w:rPr>
          <w:szCs w:val="26"/>
        </w:rPr>
        <w:t xml:space="preserve"> save the p</w:t>
      </w:r>
      <w:r w:rsidRPr="00F74CA6">
        <w:rPr>
          <w:szCs w:val="26"/>
        </w:rPr>
        <w:t xml:space="preserve">arties </w:t>
      </w:r>
      <w:r w:rsidR="008C2F77" w:rsidRPr="00F74CA6">
        <w:rPr>
          <w:szCs w:val="26"/>
        </w:rPr>
        <w:t>from expending substantial time and expense involved with further litigation</w:t>
      </w:r>
      <w:r w:rsidRPr="00F74CA6">
        <w:rPr>
          <w:szCs w:val="26"/>
        </w:rPr>
        <w:t xml:space="preserve">.  Specifically, the ALJ pointed out that acceptance of the </w:t>
      </w:r>
      <w:r w:rsidR="00206C01" w:rsidRPr="00F74CA6">
        <w:rPr>
          <w:szCs w:val="26"/>
        </w:rPr>
        <w:t>Joint Petition</w:t>
      </w:r>
      <w:r w:rsidR="00A047AE" w:rsidRPr="00F74CA6">
        <w:rPr>
          <w:szCs w:val="26"/>
        </w:rPr>
        <w:t xml:space="preserve"> </w:t>
      </w:r>
      <w:r w:rsidRPr="00F74CA6">
        <w:rPr>
          <w:szCs w:val="26"/>
        </w:rPr>
        <w:t>will negate the need for the filing of additional testimony by all Parties, participation at in-person hearings, the filing of main and reply briefs, exceptions and reply exceptions, and potential appeals.  According to the ALJ, this savings in rate case expense serves the interests of Peoples and its ratepayers, as well as the Parties themselves.  R.D. at 46</w:t>
      </w:r>
      <w:r w:rsidR="000D241E" w:rsidRPr="00F74CA6">
        <w:rPr>
          <w:szCs w:val="26"/>
        </w:rPr>
        <w:t>-47</w:t>
      </w:r>
      <w:r w:rsidRPr="00F74CA6">
        <w:rPr>
          <w:szCs w:val="26"/>
        </w:rPr>
        <w:t>.</w:t>
      </w:r>
    </w:p>
    <w:p w14:paraId="1BD2FC1E" w14:textId="77777777" w:rsidR="006D4E4E" w:rsidRPr="00F74CA6" w:rsidRDefault="006D4E4E">
      <w:pPr>
        <w:rPr>
          <w:szCs w:val="26"/>
        </w:rPr>
      </w:pPr>
    </w:p>
    <w:p w14:paraId="081ED35C" w14:textId="0B70720F" w:rsidR="004E3E1B" w:rsidRPr="00F74CA6" w:rsidRDefault="00C85F8E">
      <w:pPr>
        <w:rPr>
          <w:szCs w:val="26"/>
        </w:rPr>
      </w:pPr>
      <w:r w:rsidRPr="00F74CA6">
        <w:rPr>
          <w:szCs w:val="26"/>
        </w:rPr>
        <w:t>The ALJ explained that the individual C</w:t>
      </w:r>
      <w:r w:rsidR="004E3E1B" w:rsidRPr="00F74CA6">
        <w:rPr>
          <w:szCs w:val="26"/>
        </w:rPr>
        <w:t>omplainant</w:t>
      </w:r>
      <w:r w:rsidR="00E63B5F" w:rsidRPr="00F74CA6">
        <w:rPr>
          <w:szCs w:val="26"/>
        </w:rPr>
        <w:t>s</w:t>
      </w:r>
      <w:r w:rsidR="004E3E1B" w:rsidRPr="00F74CA6">
        <w:rPr>
          <w:szCs w:val="26"/>
        </w:rPr>
        <w:t xml:space="preserve"> w</w:t>
      </w:r>
      <w:r w:rsidR="00E63B5F" w:rsidRPr="00F74CA6">
        <w:rPr>
          <w:szCs w:val="26"/>
        </w:rPr>
        <w:t>ere</w:t>
      </w:r>
      <w:r w:rsidR="004E3E1B" w:rsidRPr="00F74CA6">
        <w:rPr>
          <w:szCs w:val="26"/>
        </w:rPr>
        <w:t xml:space="preserve"> served with a copy of the Joint Petition and </w:t>
      </w:r>
      <w:r w:rsidR="00F25418">
        <w:rPr>
          <w:szCs w:val="26"/>
        </w:rPr>
        <w:t xml:space="preserve">were </w:t>
      </w:r>
      <w:r w:rsidR="004E3E1B" w:rsidRPr="00F74CA6">
        <w:rPr>
          <w:szCs w:val="26"/>
        </w:rPr>
        <w:t xml:space="preserve">offered an opportunity to object to its terms.  </w:t>
      </w:r>
      <w:r w:rsidRPr="00F74CA6">
        <w:rPr>
          <w:szCs w:val="26"/>
        </w:rPr>
        <w:t>However, n</w:t>
      </w:r>
      <w:r w:rsidR="004E3E1B" w:rsidRPr="00F74CA6">
        <w:rPr>
          <w:szCs w:val="26"/>
        </w:rPr>
        <w:t xml:space="preserve">o objections were filed.  Therefore, </w:t>
      </w:r>
      <w:r w:rsidRPr="00F74CA6">
        <w:rPr>
          <w:szCs w:val="26"/>
        </w:rPr>
        <w:t xml:space="preserve">the ALJ </w:t>
      </w:r>
      <w:r w:rsidR="00E63B5F" w:rsidRPr="00F74CA6">
        <w:rPr>
          <w:szCs w:val="26"/>
        </w:rPr>
        <w:t>deemed</w:t>
      </w:r>
      <w:r w:rsidRPr="00F74CA6">
        <w:rPr>
          <w:szCs w:val="26"/>
        </w:rPr>
        <w:t xml:space="preserve"> </w:t>
      </w:r>
      <w:r w:rsidR="00E63B5F" w:rsidRPr="00F74CA6">
        <w:rPr>
          <w:szCs w:val="26"/>
        </w:rPr>
        <w:t>that the Complainants</w:t>
      </w:r>
      <w:r w:rsidR="00D461BC" w:rsidRPr="00F74CA6">
        <w:rPr>
          <w:szCs w:val="26"/>
        </w:rPr>
        <w:t>’</w:t>
      </w:r>
      <w:r w:rsidR="00E63B5F" w:rsidRPr="00F74CA6">
        <w:rPr>
          <w:szCs w:val="26"/>
        </w:rPr>
        <w:t xml:space="preserve"> </w:t>
      </w:r>
      <w:r w:rsidR="00E63B5F" w:rsidRPr="00F74CA6">
        <w:rPr>
          <w:szCs w:val="26"/>
        </w:rPr>
        <w:lastRenderedPageBreak/>
        <w:t>do</w:t>
      </w:r>
      <w:r w:rsidR="00F55C54" w:rsidRPr="00F74CA6">
        <w:rPr>
          <w:szCs w:val="26"/>
        </w:rPr>
        <w:t>es</w:t>
      </w:r>
      <w:r w:rsidR="00E63B5F" w:rsidRPr="00F74CA6">
        <w:rPr>
          <w:szCs w:val="26"/>
        </w:rPr>
        <w:t xml:space="preserve"> not oppose</w:t>
      </w:r>
      <w:r w:rsidR="004E3E1B" w:rsidRPr="00F74CA6">
        <w:rPr>
          <w:szCs w:val="26"/>
        </w:rPr>
        <w:t xml:space="preserve"> </w:t>
      </w:r>
      <w:r w:rsidR="00E63B5F" w:rsidRPr="00F74CA6">
        <w:rPr>
          <w:szCs w:val="26"/>
        </w:rPr>
        <w:t>t</w:t>
      </w:r>
      <w:r w:rsidR="004E3E1B" w:rsidRPr="00F74CA6">
        <w:rPr>
          <w:szCs w:val="26"/>
        </w:rPr>
        <w:t>h</w:t>
      </w:r>
      <w:r w:rsidR="00E63B5F" w:rsidRPr="00F74CA6">
        <w:rPr>
          <w:szCs w:val="26"/>
        </w:rPr>
        <w:t>e</w:t>
      </w:r>
      <w:r w:rsidR="004E3E1B" w:rsidRPr="00F74CA6">
        <w:rPr>
          <w:szCs w:val="26"/>
        </w:rPr>
        <w:t xml:space="preserve"> </w:t>
      </w:r>
      <w:r w:rsidR="00E63B5F" w:rsidRPr="00F74CA6">
        <w:rPr>
          <w:szCs w:val="26"/>
        </w:rPr>
        <w:t xml:space="preserve">Settlement and </w:t>
      </w:r>
      <w:r w:rsidR="000D241E" w:rsidRPr="00F74CA6">
        <w:rPr>
          <w:szCs w:val="26"/>
        </w:rPr>
        <w:t xml:space="preserve">recommended that </w:t>
      </w:r>
      <w:r w:rsidR="00E63B5F" w:rsidRPr="00F74CA6">
        <w:rPr>
          <w:szCs w:val="26"/>
        </w:rPr>
        <w:t xml:space="preserve">the </w:t>
      </w:r>
      <w:r w:rsidR="00886F70" w:rsidRPr="00F74CA6">
        <w:rPr>
          <w:szCs w:val="26"/>
        </w:rPr>
        <w:t>F</w:t>
      </w:r>
      <w:r w:rsidR="004E3E1B" w:rsidRPr="00F74CA6">
        <w:rPr>
          <w:szCs w:val="26"/>
        </w:rPr>
        <w:t xml:space="preserve">ormal </w:t>
      </w:r>
      <w:r w:rsidR="00886F70" w:rsidRPr="00F74CA6">
        <w:rPr>
          <w:szCs w:val="26"/>
        </w:rPr>
        <w:t>C</w:t>
      </w:r>
      <w:r w:rsidR="004E3E1B" w:rsidRPr="00F74CA6">
        <w:rPr>
          <w:szCs w:val="26"/>
        </w:rPr>
        <w:t>omplaint</w:t>
      </w:r>
      <w:r w:rsidR="00E63B5F" w:rsidRPr="00F74CA6">
        <w:rPr>
          <w:szCs w:val="26"/>
        </w:rPr>
        <w:t>s</w:t>
      </w:r>
      <w:r w:rsidR="004E3E1B" w:rsidRPr="00F74CA6">
        <w:rPr>
          <w:szCs w:val="26"/>
        </w:rPr>
        <w:t xml:space="preserve"> be dismissed. </w:t>
      </w:r>
      <w:r w:rsidRPr="00F74CA6">
        <w:rPr>
          <w:szCs w:val="26"/>
        </w:rPr>
        <w:t xml:space="preserve"> R.D.</w:t>
      </w:r>
      <w:r w:rsidR="00886F70" w:rsidRPr="00F74CA6">
        <w:rPr>
          <w:szCs w:val="26"/>
        </w:rPr>
        <w:t> </w:t>
      </w:r>
      <w:r w:rsidRPr="00F74CA6">
        <w:rPr>
          <w:szCs w:val="26"/>
        </w:rPr>
        <w:t xml:space="preserve">at </w:t>
      </w:r>
      <w:r w:rsidR="00E63B5F" w:rsidRPr="00F74CA6">
        <w:rPr>
          <w:szCs w:val="26"/>
        </w:rPr>
        <w:t>47</w:t>
      </w:r>
      <w:r w:rsidRPr="00F74CA6">
        <w:rPr>
          <w:szCs w:val="26"/>
        </w:rPr>
        <w:t>.</w:t>
      </w:r>
    </w:p>
    <w:p w14:paraId="219F1656" w14:textId="77777777" w:rsidR="004E3E1B" w:rsidRPr="00F74CA6" w:rsidRDefault="004E3E1B">
      <w:pPr>
        <w:rPr>
          <w:szCs w:val="26"/>
        </w:rPr>
      </w:pPr>
    </w:p>
    <w:p w14:paraId="6F28B7A2" w14:textId="3078DFF3" w:rsidR="004E3E1B" w:rsidRPr="00F74CA6" w:rsidRDefault="00C85F8E">
      <w:pPr>
        <w:rPr>
          <w:szCs w:val="26"/>
        </w:rPr>
      </w:pPr>
      <w:r w:rsidRPr="00F74CA6">
        <w:rPr>
          <w:szCs w:val="26"/>
        </w:rPr>
        <w:t>The ALJ fou</w:t>
      </w:r>
      <w:r w:rsidR="004E3E1B" w:rsidRPr="00F74CA6">
        <w:rPr>
          <w:szCs w:val="26"/>
        </w:rPr>
        <w:t xml:space="preserve">nd the </w:t>
      </w:r>
      <w:r w:rsidR="00C04D9F" w:rsidRPr="00F74CA6">
        <w:rPr>
          <w:szCs w:val="26"/>
        </w:rPr>
        <w:t xml:space="preserve">Partial </w:t>
      </w:r>
      <w:r w:rsidR="00D461BC" w:rsidRPr="00F74CA6">
        <w:rPr>
          <w:szCs w:val="26"/>
        </w:rPr>
        <w:t>Settlement</w:t>
      </w:r>
      <w:r w:rsidR="00A047AE" w:rsidRPr="00F74CA6">
        <w:rPr>
          <w:szCs w:val="26"/>
        </w:rPr>
        <w:t xml:space="preserve"> </w:t>
      </w:r>
      <w:r w:rsidR="004E3E1B" w:rsidRPr="00F74CA6">
        <w:rPr>
          <w:szCs w:val="26"/>
        </w:rPr>
        <w:t>embodied in the Joint P</w:t>
      </w:r>
      <w:r w:rsidRPr="00F74CA6">
        <w:rPr>
          <w:szCs w:val="26"/>
        </w:rPr>
        <w:t xml:space="preserve">etition </w:t>
      </w:r>
      <w:r w:rsidR="00F76591" w:rsidRPr="00F74CA6">
        <w:rPr>
          <w:szCs w:val="26"/>
        </w:rPr>
        <w:t>i</w:t>
      </w:r>
      <w:r w:rsidR="004E3E1B" w:rsidRPr="00F74CA6">
        <w:rPr>
          <w:szCs w:val="26"/>
        </w:rPr>
        <w:t>s in the public interest</w:t>
      </w:r>
      <w:r w:rsidR="00A20238" w:rsidRPr="00F74CA6">
        <w:rPr>
          <w:szCs w:val="26"/>
        </w:rPr>
        <w:t>, supported by substantial evidence and</w:t>
      </w:r>
      <w:r w:rsidR="004E3E1B" w:rsidRPr="00F74CA6">
        <w:rPr>
          <w:szCs w:val="26"/>
        </w:rPr>
        <w:t xml:space="preserve"> recommend</w:t>
      </w:r>
      <w:r w:rsidRPr="00F74CA6">
        <w:rPr>
          <w:szCs w:val="26"/>
        </w:rPr>
        <w:t>ed</w:t>
      </w:r>
      <w:r w:rsidR="004E3E1B" w:rsidRPr="00F74CA6">
        <w:rPr>
          <w:szCs w:val="26"/>
        </w:rPr>
        <w:t xml:space="preserve"> </w:t>
      </w:r>
      <w:r w:rsidR="00A20238" w:rsidRPr="00F74CA6">
        <w:rPr>
          <w:szCs w:val="26"/>
        </w:rPr>
        <w:t>it</w:t>
      </w:r>
      <w:r w:rsidR="00D461BC" w:rsidRPr="00F74CA6">
        <w:rPr>
          <w:szCs w:val="26"/>
        </w:rPr>
        <w:t>s</w:t>
      </w:r>
      <w:r w:rsidR="004E3E1B" w:rsidRPr="00F74CA6">
        <w:rPr>
          <w:szCs w:val="26"/>
        </w:rPr>
        <w:t xml:space="preserve"> approv</w:t>
      </w:r>
      <w:r w:rsidR="00A20238" w:rsidRPr="00F74CA6">
        <w:rPr>
          <w:szCs w:val="26"/>
        </w:rPr>
        <w:t>al.</w:t>
      </w:r>
      <w:r w:rsidRPr="00F74CA6">
        <w:rPr>
          <w:szCs w:val="26"/>
        </w:rPr>
        <w:t xml:space="preserve">  R.D. at </w:t>
      </w:r>
      <w:r w:rsidR="00480B94" w:rsidRPr="00F74CA6">
        <w:rPr>
          <w:szCs w:val="26"/>
        </w:rPr>
        <w:t>48</w:t>
      </w:r>
      <w:r w:rsidRPr="00F74CA6">
        <w:rPr>
          <w:szCs w:val="26"/>
        </w:rPr>
        <w:t>.</w:t>
      </w:r>
    </w:p>
    <w:p w14:paraId="0819AC41" w14:textId="77777777" w:rsidR="000714D0" w:rsidRPr="00F74CA6" w:rsidRDefault="000714D0">
      <w:pPr>
        <w:rPr>
          <w:szCs w:val="26"/>
        </w:rPr>
      </w:pPr>
    </w:p>
    <w:p w14:paraId="5BF1EA64" w14:textId="77777777" w:rsidR="00B567A1" w:rsidRPr="00F74CA6" w:rsidRDefault="00B567A1" w:rsidP="002F3162">
      <w:pPr>
        <w:pStyle w:val="ListParagraph"/>
        <w:keepNext/>
        <w:keepLines/>
        <w:numPr>
          <w:ilvl w:val="0"/>
          <w:numId w:val="3"/>
        </w:numPr>
        <w:ind w:hanging="720"/>
        <w:rPr>
          <w:b/>
          <w:szCs w:val="26"/>
        </w:rPr>
      </w:pPr>
      <w:r w:rsidRPr="00F74CA6">
        <w:rPr>
          <w:b/>
          <w:szCs w:val="26"/>
        </w:rPr>
        <w:t>Disposition</w:t>
      </w:r>
    </w:p>
    <w:p w14:paraId="6AB9E1AE" w14:textId="77777777" w:rsidR="00B567A1" w:rsidRPr="00F74CA6" w:rsidRDefault="00B567A1" w:rsidP="000A4FE4">
      <w:pPr>
        <w:pStyle w:val="ListParagraph"/>
        <w:keepNext/>
        <w:keepLines/>
        <w:ind w:firstLine="0"/>
        <w:rPr>
          <w:b/>
          <w:szCs w:val="26"/>
        </w:rPr>
      </w:pPr>
    </w:p>
    <w:p w14:paraId="7813CADE" w14:textId="5A8BDD4A" w:rsidR="00B567A1" w:rsidRPr="00F74CA6" w:rsidRDefault="00127651">
      <w:pPr>
        <w:pStyle w:val="ListParagraph"/>
        <w:ind w:left="0"/>
        <w:rPr>
          <w:szCs w:val="26"/>
        </w:rPr>
      </w:pPr>
      <w:r w:rsidRPr="00F74CA6">
        <w:rPr>
          <w:szCs w:val="26"/>
        </w:rPr>
        <w:t>Prior to the evidentiary hearing, t</w:t>
      </w:r>
      <w:r w:rsidR="00B567A1" w:rsidRPr="00F74CA6">
        <w:rPr>
          <w:szCs w:val="26"/>
        </w:rPr>
        <w:t xml:space="preserve">he </w:t>
      </w:r>
      <w:r w:rsidRPr="00F74CA6">
        <w:rPr>
          <w:szCs w:val="26"/>
        </w:rPr>
        <w:t xml:space="preserve">Parties reached a </w:t>
      </w:r>
      <w:r w:rsidR="0045116C" w:rsidRPr="00F74CA6">
        <w:rPr>
          <w:szCs w:val="26"/>
        </w:rPr>
        <w:t>settlement in principle of the revenue requirement</w:t>
      </w:r>
      <w:r w:rsidR="00DC1A9E" w:rsidRPr="00F74CA6">
        <w:rPr>
          <w:szCs w:val="26"/>
        </w:rPr>
        <w:t xml:space="preserve"> in the Company’s rate case</w:t>
      </w:r>
      <w:r w:rsidR="00B567A1" w:rsidRPr="00F74CA6">
        <w:rPr>
          <w:szCs w:val="26"/>
        </w:rPr>
        <w:t>.  At hearing</w:t>
      </w:r>
      <w:r w:rsidR="00DC1A9E" w:rsidRPr="00F74CA6">
        <w:rPr>
          <w:szCs w:val="26"/>
        </w:rPr>
        <w:t>s held on June 20, 2019,</w:t>
      </w:r>
      <w:r w:rsidR="00B567A1" w:rsidRPr="00F74CA6">
        <w:rPr>
          <w:szCs w:val="26"/>
        </w:rPr>
        <w:t xml:space="preserve"> </w:t>
      </w:r>
      <w:r w:rsidR="00DC1A9E" w:rsidRPr="00F74CA6">
        <w:rPr>
          <w:szCs w:val="26"/>
        </w:rPr>
        <w:t xml:space="preserve">and June 25, 2019, </w:t>
      </w:r>
      <w:r w:rsidR="00B567A1" w:rsidRPr="00F74CA6">
        <w:rPr>
          <w:szCs w:val="26"/>
        </w:rPr>
        <w:t xml:space="preserve">the Parties pre-served testimony were admitted into the record and cross-examination was waived.  </w:t>
      </w:r>
      <w:r w:rsidR="00DC1A9E" w:rsidRPr="00F74CA6">
        <w:rPr>
          <w:szCs w:val="26"/>
        </w:rPr>
        <w:t xml:space="preserve">The Parties </w:t>
      </w:r>
      <w:r w:rsidR="00486E8F" w:rsidRPr="00F74CA6">
        <w:rPr>
          <w:szCs w:val="26"/>
        </w:rPr>
        <w:t xml:space="preserve">had reached a </w:t>
      </w:r>
      <w:r w:rsidR="00D461BC" w:rsidRPr="00F74CA6">
        <w:rPr>
          <w:szCs w:val="26"/>
        </w:rPr>
        <w:t>settlement</w:t>
      </w:r>
      <w:r w:rsidR="00A047AE" w:rsidRPr="00F74CA6">
        <w:rPr>
          <w:szCs w:val="26"/>
        </w:rPr>
        <w:t xml:space="preserve"> </w:t>
      </w:r>
      <w:r w:rsidR="00486E8F" w:rsidRPr="00F74CA6">
        <w:rPr>
          <w:szCs w:val="26"/>
        </w:rPr>
        <w:t xml:space="preserve">on all of the issues except one issue regarding main line extensions.  </w:t>
      </w:r>
      <w:r w:rsidR="00D461BC" w:rsidRPr="00F74CA6">
        <w:rPr>
          <w:szCs w:val="26"/>
        </w:rPr>
        <w:t xml:space="preserve">The </w:t>
      </w:r>
      <w:r w:rsidR="00206C01" w:rsidRPr="00F74CA6">
        <w:rPr>
          <w:szCs w:val="26"/>
        </w:rPr>
        <w:t>Joint Petition</w:t>
      </w:r>
      <w:r w:rsidR="00A047AE" w:rsidRPr="00F74CA6">
        <w:rPr>
          <w:szCs w:val="26"/>
        </w:rPr>
        <w:t xml:space="preserve"> </w:t>
      </w:r>
      <w:r w:rsidR="00B567A1" w:rsidRPr="00F74CA6">
        <w:rPr>
          <w:szCs w:val="26"/>
        </w:rPr>
        <w:t xml:space="preserve">was not signed by all the Parties, but also was </w:t>
      </w:r>
      <w:r w:rsidR="00886F70" w:rsidRPr="00F74CA6">
        <w:rPr>
          <w:szCs w:val="26"/>
        </w:rPr>
        <w:t xml:space="preserve">not </w:t>
      </w:r>
      <w:r w:rsidR="00B567A1" w:rsidRPr="00F74CA6">
        <w:rPr>
          <w:szCs w:val="26"/>
        </w:rPr>
        <w:t>opposed by any Party.</w:t>
      </w:r>
    </w:p>
    <w:p w14:paraId="2A5A8DC0" w14:textId="77777777" w:rsidR="00B567A1" w:rsidRPr="00F74CA6" w:rsidRDefault="00B567A1">
      <w:pPr>
        <w:pStyle w:val="ListParagraph"/>
        <w:ind w:left="0"/>
        <w:rPr>
          <w:szCs w:val="26"/>
        </w:rPr>
      </w:pPr>
    </w:p>
    <w:p w14:paraId="6EFCD630" w14:textId="525507DD" w:rsidR="000B7E3F" w:rsidRPr="00F74CA6" w:rsidRDefault="00B567A1" w:rsidP="000B7E3F">
      <w:pPr>
        <w:pStyle w:val="ListParagraph"/>
        <w:ind w:left="0"/>
        <w:rPr>
          <w:szCs w:val="26"/>
        </w:rPr>
      </w:pPr>
      <w:r w:rsidRPr="00F74CA6">
        <w:rPr>
          <w:szCs w:val="26"/>
        </w:rPr>
        <w:t xml:space="preserve">Based upon our review of the Partial Settlement, we agree with the ALJ, as well </w:t>
      </w:r>
      <w:r w:rsidR="00D461BC" w:rsidRPr="00F74CA6">
        <w:rPr>
          <w:szCs w:val="26"/>
        </w:rPr>
        <w:t xml:space="preserve">as </w:t>
      </w:r>
      <w:r w:rsidR="007C06EE" w:rsidRPr="00F74CA6">
        <w:rPr>
          <w:szCs w:val="26"/>
        </w:rPr>
        <w:t>with the Joint Petitioners’ assertions in their</w:t>
      </w:r>
      <w:r w:rsidRPr="00F74CA6">
        <w:rPr>
          <w:szCs w:val="26"/>
        </w:rPr>
        <w:t xml:space="preserve"> filed Statements in Support, that the terms and conditions of the </w:t>
      </w:r>
      <w:r w:rsidR="00D461BC" w:rsidRPr="00F74CA6">
        <w:rPr>
          <w:szCs w:val="26"/>
        </w:rPr>
        <w:t>Settlement</w:t>
      </w:r>
      <w:r w:rsidR="00A047AE" w:rsidRPr="00F74CA6">
        <w:rPr>
          <w:szCs w:val="26"/>
        </w:rPr>
        <w:t xml:space="preserve"> </w:t>
      </w:r>
      <w:r w:rsidRPr="00F74CA6">
        <w:rPr>
          <w:szCs w:val="26"/>
        </w:rPr>
        <w:t xml:space="preserve">are in the public interest and should be approved.  We find that </w:t>
      </w:r>
      <w:r w:rsidR="00486E8F" w:rsidRPr="00F74CA6">
        <w:rPr>
          <w:szCs w:val="26"/>
        </w:rPr>
        <w:t>the</w:t>
      </w:r>
      <w:r w:rsidR="00676A0B" w:rsidRPr="00F74CA6">
        <w:rPr>
          <w:szCs w:val="26"/>
        </w:rPr>
        <w:t xml:space="preserve"> settled issues within the </w:t>
      </w:r>
      <w:r w:rsidR="00206C01" w:rsidRPr="00F74CA6">
        <w:rPr>
          <w:szCs w:val="26"/>
        </w:rPr>
        <w:t>Joint Petition</w:t>
      </w:r>
      <w:r w:rsidR="00A047AE" w:rsidRPr="00F74CA6">
        <w:rPr>
          <w:szCs w:val="26"/>
        </w:rPr>
        <w:t xml:space="preserve"> </w:t>
      </w:r>
      <w:r w:rsidR="0080542B" w:rsidRPr="00F74CA6">
        <w:rPr>
          <w:szCs w:val="26"/>
        </w:rPr>
        <w:t xml:space="preserve">are beneficial to customers. </w:t>
      </w:r>
      <w:r w:rsidRPr="00F74CA6">
        <w:rPr>
          <w:szCs w:val="26"/>
        </w:rPr>
        <w:t xml:space="preserve"> </w:t>
      </w:r>
      <w:r w:rsidR="0080542B" w:rsidRPr="00F74CA6">
        <w:rPr>
          <w:szCs w:val="26"/>
        </w:rPr>
        <w:t>Among th</w:t>
      </w:r>
      <w:r w:rsidR="00886F70" w:rsidRPr="00F74CA6">
        <w:rPr>
          <w:szCs w:val="26"/>
        </w:rPr>
        <w:t>o</w:t>
      </w:r>
      <w:r w:rsidR="0080542B" w:rsidRPr="00F74CA6">
        <w:rPr>
          <w:szCs w:val="26"/>
        </w:rPr>
        <w:t xml:space="preserve">se provisions are: (1) the reduced distribution rate increase </w:t>
      </w:r>
      <w:r w:rsidR="00AF409F" w:rsidRPr="00F74CA6">
        <w:rPr>
          <w:szCs w:val="26"/>
        </w:rPr>
        <w:t>of about sixty percent of</w:t>
      </w:r>
      <w:r w:rsidR="0080542B" w:rsidRPr="00F74CA6">
        <w:rPr>
          <w:szCs w:val="26"/>
        </w:rPr>
        <w:t xml:space="preserve"> the originally proposed increase in rates; (2)</w:t>
      </w:r>
      <w:r w:rsidR="00AF409F" w:rsidRPr="00F74CA6">
        <w:rPr>
          <w:szCs w:val="26"/>
        </w:rPr>
        <w:t xml:space="preserve"> the agreement by </w:t>
      </w:r>
      <w:r w:rsidR="004F4E56" w:rsidRPr="00F74CA6">
        <w:rPr>
          <w:szCs w:val="26"/>
        </w:rPr>
        <w:t>Peoples</w:t>
      </w:r>
      <w:r w:rsidR="00AF409F" w:rsidRPr="00F74CA6">
        <w:rPr>
          <w:szCs w:val="26"/>
        </w:rPr>
        <w:t xml:space="preserve"> to </w:t>
      </w:r>
      <w:r w:rsidR="001D36F6" w:rsidRPr="00F74CA6">
        <w:rPr>
          <w:szCs w:val="26"/>
        </w:rPr>
        <w:t xml:space="preserve">factor in calculation of the DSIC and the changes resulting from the enactment of the TCJA in the deferred tax rates used prior to January 1, 2018, </w:t>
      </w:r>
      <w:r w:rsidR="00A153D3" w:rsidRPr="00F74CA6">
        <w:rPr>
          <w:szCs w:val="26"/>
        </w:rPr>
        <w:t>that</w:t>
      </w:r>
      <w:r w:rsidR="001D36F6" w:rsidRPr="00F74CA6">
        <w:rPr>
          <w:szCs w:val="26"/>
        </w:rPr>
        <w:t xml:space="preserve"> will result in one-time bill credit estimated at $16.6 million</w:t>
      </w:r>
      <w:r w:rsidR="00AF409F" w:rsidRPr="00F74CA6">
        <w:rPr>
          <w:szCs w:val="26"/>
        </w:rPr>
        <w:t xml:space="preserve">; (3) </w:t>
      </w:r>
      <w:r w:rsidR="00974C50" w:rsidRPr="00F74CA6">
        <w:rPr>
          <w:szCs w:val="26"/>
        </w:rPr>
        <w:t xml:space="preserve">the </w:t>
      </w:r>
      <w:r w:rsidR="00BA2627" w:rsidRPr="00F74CA6">
        <w:rPr>
          <w:szCs w:val="26"/>
        </w:rPr>
        <w:t>merger of the Company</w:t>
      </w:r>
      <w:r w:rsidR="00885E89">
        <w:rPr>
          <w:szCs w:val="26"/>
        </w:rPr>
        <w:t>’</w:t>
      </w:r>
      <w:r w:rsidR="00BA2627" w:rsidRPr="00F74CA6">
        <w:rPr>
          <w:szCs w:val="26"/>
        </w:rPr>
        <w:t xml:space="preserve">s Peoples and Equitable divisions into a single set of rate schedules and rates in a combined tariff will make it simpler for the </w:t>
      </w:r>
      <w:r w:rsidR="00D461BC" w:rsidRPr="00F74CA6">
        <w:rPr>
          <w:szCs w:val="26"/>
        </w:rPr>
        <w:t>C</w:t>
      </w:r>
      <w:r w:rsidR="00BA2627" w:rsidRPr="00F74CA6">
        <w:rPr>
          <w:szCs w:val="26"/>
        </w:rPr>
        <w:t xml:space="preserve">ompany, the </w:t>
      </w:r>
      <w:r w:rsidR="000B7E3F" w:rsidRPr="00F74CA6">
        <w:rPr>
          <w:szCs w:val="26"/>
        </w:rPr>
        <w:t>Commission</w:t>
      </w:r>
      <w:r w:rsidR="00BA2627" w:rsidRPr="00F74CA6">
        <w:rPr>
          <w:szCs w:val="26"/>
        </w:rPr>
        <w:t xml:space="preserve"> and consumers</w:t>
      </w:r>
      <w:r w:rsidR="00974C50" w:rsidRPr="00F74CA6">
        <w:rPr>
          <w:szCs w:val="26"/>
        </w:rPr>
        <w:t>; (4)</w:t>
      </w:r>
      <w:r w:rsidR="009A7872" w:rsidRPr="00F74CA6">
        <w:rPr>
          <w:szCs w:val="26"/>
        </w:rPr>
        <w:t xml:space="preserve"> </w:t>
      </w:r>
      <w:r w:rsidR="000B7E3F" w:rsidRPr="00F74CA6">
        <w:rPr>
          <w:szCs w:val="26"/>
        </w:rPr>
        <w:t xml:space="preserve">the agreement that the combined rate for residential customer charge will be at the rate of $14.50 per month; (5) </w:t>
      </w:r>
      <w:r w:rsidR="00E14327" w:rsidRPr="00F74CA6">
        <w:rPr>
          <w:szCs w:val="26"/>
        </w:rPr>
        <w:t xml:space="preserve">the agreement by </w:t>
      </w:r>
      <w:r w:rsidR="004F4E56" w:rsidRPr="00F74CA6">
        <w:rPr>
          <w:szCs w:val="26"/>
        </w:rPr>
        <w:t>Peoples</w:t>
      </w:r>
      <w:r w:rsidR="00E14327" w:rsidRPr="00F74CA6">
        <w:rPr>
          <w:szCs w:val="26"/>
        </w:rPr>
        <w:t xml:space="preserve"> to p</w:t>
      </w:r>
      <w:r w:rsidR="000B7E3F" w:rsidRPr="00F74CA6">
        <w:rPr>
          <w:szCs w:val="26"/>
        </w:rPr>
        <w:t xml:space="preserve">ay third party fees for customers payments by credit </w:t>
      </w:r>
      <w:r w:rsidR="000B7E3F" w:rsidRPr="00F74CA6">
        <w:rPr>
          <w:szCs w:val="26"/>
        </w:rPr>
        <w:lastRenderedPageBreak/>
        <w:t>card and debit card</w:t>
      </w:r>
      <w:r w:rsidR="00E14327" w:rsidRPr="00F74CA6">
        <w:rPr>
          <w:szCs w:val="26"/>
        </w:rPr>
        <w:t>; (</w:t>
      </w:r>
      <w:r w:rsidR="000B7E3F" w:rsidRPr="00F74CA6">
        <w:rPr>
          <w:szCs w:val="26"/>
        </w:rPr>
        <w:t>6</w:t>
      </w:r>
      <w:r w:rsidR="00E14327" w:rsidRPr="00F74CA6">
        <w:rPr>
          <w:szCs w:val="26"/>
        </w:rPr>
        <w:t xml:space="preserve">) </w:t>
      </w:r>
      <w:r w:rsidR="000B7E3F" w:rsidRPr="00F74CA6">
        <w:rPr>
          <w:szCs w:val="26"/>
        </w:rPr>
        <w:t xml:space="preserve">the agreement by Peoples to waive high bill investigation fees for customers at or below the federal poverty level to ensure that they are not being overcharged; (7) the agreement by Peoples to </w:t>
      </w:r>
      <w:r w:rsidR="0050229E" w:rsidRPr="00F74CA6">
        <w:rPr>
          <w:szCs w:val="26"/>
        </w:rPr>
        <w:t>increase its annual LIURP budget by $650,000 with the cost recoverable through the universal service rider; (8) the agreement to update its training materials to make clarifications regarding additional medical certificate renewals which will enable more consumer</w:t>
      </w:r>
      <w:r w:rsidR="00A153D3" w:rsidRPr="00F74CA6">
        <w:rPr>
          <w:szCs w:val="26"/>
        </w:rPr>
        <w:t>s</w:t>
      </w:r>
      <w:r w:rsidR="0050229E" w:rsidRPr="00F74CA6">
        <w:rPr>
          <w:szCs w:val="26"/>
        </w:rPr>
        <w:t xml:space="preserve"> to maintain service when they have medical necessity; (9) the agreement by Peoples to take steps to bolster its CAP enrollment allowing more consumers to benefit from the program; (10) the agreement to provide a stand-alone plain English notice, developed in conjunction with the Universal Service Advisory Group, regarding termination of service of CAP customers; (11)</w:t>
      </w:r>
      <w:r w:rsidR="00D919E3">
        <w:rPr>
          <w:szCs w:val="26"/>
        </w:rPr>
        <w:t> </w:t>
      </w:r>
      <w:r w:rsidR="0050229E" w:rsidRPr="00F74CA6">
        <w:rPr>
          <w:szCs w:val="26"/>
        </w:rPr>
        <w:t>Peoples</w:t>
      </w:r>
      <w:r w:rsidR="00D461BC" w:rsidRPr="00F74CA6">
        <w:rPr>
          <w:szCs w:val="26"/>
        </w:rPr>
        <w:t>’</w:t>
      </w:r>
      <w:r w:rsidR="0050229E" w:rsidRPr="00F74CA6">
        <w:rPr>
          <w:szCs w:val="26"/>
        </w:rPr>
        <w:t xml:space="preserve"> agreement </w:t>
      </w:r>
      <w:r w:rsidR="00D0086F" w:rsidRPr="00F74CA6">
        <w:rPr>
          <w:szCs w:val="26"/>
        </w:rPr>
        <w:t>to modify the budget billing process and making tariff revisions regarding waiver of the reconnection fees for  customers at or below 150% of the federal poverty level</w:t>
      </w:r>
      <w:r w:rsidR="00BC54FE" w:rsidRPr="00F74CA6">
        <w:rPr>
          <w:szCs w:val="26"/>
        </w:rPr>
        <w:t>; (12) Peoples</w:t>
      </w:r>
      <w:r w:rsidR="00D461BC" w:rsidRPr="00F74CA6">
        <w:rPr>
          <w:szCs w:val="26"/>
        </w:rPr>
        <w:t>’</w:t>
      </w:r>
      <w:r w:rsidR="00BC54FE" w:rsidRPr="00F74CA6">
        <w:rPr>
          <w:szCs w:val="26"/>
        </w:rPr>
        <w:t xml:space="preserve"> agreement to eliminate pooling fees and deliver the required daily gas supplies for pool operates that have a peak demand of 2,000 Dth or less in lieu of capacity assignment on a voluntary basis; (13) Peoples</w:t>
      </w:r>
      <w:r w:rsidR="00D461BC" w:rsidRPr="00F74CA6">
        <w:rPr>
          <w:szCs w:val="26"/>
        </w:rPr>
        <w:t>’</w:t>
      </w:r>
      <w:r w:rsidR="00BC54FE" w:rsidRPr="00F74CA6">
        <w:rPr>
          <w:szCs w:val="26"/>
        </w:rPr>
        <w:t xml:space="preserve"> agreement to withdraw its Petition for Approval of its Energy Efficiency and Conservation Plan, currently pending before the Commission and convene a stakeholder group with OCA, I&amp;E, OSBA and Duquesne to review any new filing at least 120 days prior to its filing; (14) Peoples</w:t>
      </w:r>
      <w:r w:rsidR="00D461BC" w:rsidRPr="00F74CA6">
        <w:rPr>
          <w:szCs w:val="26"/>
        </w:rPr>
        <w:t>’</w:t>
      </w:r>
      <w:r w:rsidR="00BC54FE" w:rsidRPr="00F74CA6">
        <w:rPr>
          <w:szCs w:val="26"/>
        </w:rPr>
        <w:t xml:space="preserve"> agreement to modif</w:t>
      </w:r>
      <w:r w:rsidR="00A153D3" w:rsidRPr="00F74CA6">
        <w:rPr>
          <w:szCs w:val="26"/>
        </w:rPr>
        <w:t>y</w:t>
      </w:r>
      <w:r w:rsidR="00BC54FE" w:rsidRPr="00F74CA6">
        <w:rPr>
          <w:szCs w:val="26"/>
        </w:rPr>
        <w:t xml:space="preserve"> the proposed Rate AGS encouraging conventional producers </w:t>
      </w:r>
      <w:r w:rsidR="00A153D3" w:rsidRPr="00F74CA6">
        <w:rPr>
          <w:szCs w:val="26"/>
        </w:rPr>
        <w:t xml:space="preserve">of Pennsylvania </w:t>
      </w:r>
      <w:r w:rsidR="00BC54FE" w:rsidRPr="00F74CA6">
        <w:rPr>
          <w:szCs w:val="26"/>
        </w:rPr>
        <w:t>to stay on Peoples</w:t>
      </w:r>
      <w:r w:rsidR="00C82217">
        <w:rPr>
          <w:szCs w:val="26"/>
        </w:rPr>
        <w:t>’</w:t>
      </w:r>
      <w:r w:rsidR="00BC54FE" w:rsidRPr="00F74CA6">
        <w:rPr>
          <w:szCs w:val="26"/>
        </w:rPr>
        <w:t xml:space="preserve"> gathering system and increase</w:t>
      </w:r>
      <w:r w:rsidR="000D73B5" w:rsidRPr="00F74CA6">
        <w:rPr>
          <w:szCs w:val="26"/>
        </w:rPr>
        <w:t xml:space="preserve"> production; </w:t>
      </w:r>
      <w:r w:rsidR="00885E89">
        <w:rPr>
          <w:szCs w:val="26"/>
        </w:rPr>
        <w:t xml:space="preserve">and </w:t>
      </w:r>
      <w:r w:rsidR="000D73B5" w:rsidRPr="00F74CA6">
        <w:rPr>
          <w:szCs w:val="26"/>
        </w:rPr>
        <w:t>(15)</w:t>
      </w:r>
      <w:r w:rsidR="00885E89">
        <w:rPr>
          <w:szCs w:val="26"/>
        </w:rPr>
        <w:t> </w:t>
      </w:r>
      <w:r w:rsidR="000D73B5" w:rsidRPr="00F74CA6">
        <w:rPr>
          <w:szCs w:val="26"/>
        </w:rPr>
        <w:t>Peoples</w:t>
      </w:r>
      <w:r w:rsidR="002F3162">
        <w:rPr>
          <w:szCs w:val="26"/>
        </w:rPr>
        <w:t>’</w:t>
      </w:r>
      <w:r w:rsidR="000D73B5" w:rsidRPr="00F74CA6">
        <w:rPr>
          <w:szCs w:val="26"/>
        </w:rPr>
        <w:t xml:space="preserve"> agreement to subject</w:t>
      </w:r>
      <w:r w:rsidR="00A153D3" w:rsidRPr="00F74CA6">
        <w:rPr>
          <w:szCs w:val="26"/>
        </w:rPr>
        <w:t xml:space="preserve"> </w:t>
      </w:r>
      <w:r w:rsidR="000D73B5" w:rsidRPr="00F74CA6">
        <w:rPr>
          <w:szCs w:val="26"/>
        </w:rPr>
        <w:t>i</w:t>
      </w:r>
      <w:r w:rsidR="00A153D3" w:rsidRPr="00F74CA6">
        <w:rPr>
          <w:szCs w:val="26"/>
        </w:rPr>
        <w:t>tself</w:t>
      </w:r>
      <w:r w:rsidR="000D73B5" w:rsidRPr="00F74CA6">
        <w:rPr>
          <w:szCs w:val="26"/>
        </w:rPr>
        <w:t xml:space="preserve"> to </w:t>
      </w:r>
      <w:r w:rsidR="00A153D3" w:rsidRPr="00F74CA6">
        <w:rPr>
          <w:szCs w:val="26"/>
        </w:rPr>
        <w:t xml:space="preserve">the </w:t>
      </w:r>
      <w:r w:rsidR="000D73B5" w:rsidRPr="00F74CA6">
        <w:rPr>
          <w:szCs w:val="26"/>
        </w:rPr>
        <w:t>requirements of Equitable Gas Company’s 2008 base rate settlement provisions concerning justifying competitive discounts in future base rate proceedings.</w:t>
      </w:r>
    </w:p>
    <w:p w14:paraId="74B1EEAA" w14:textId="77777777" w:rsidR="000B7E3F" w:rsidRPr="00F74CA6" w:rsidRDefault="000B7E3F" w:rsidP="000B7E3F">
      <w:pPr>
        <w:pStyle w:val="ListParagraph"/>
        <w:ind w:left="0"/>
        <w:rPr>
          <w:szCs w:val="26"/>
        </w:rPr>
      </w:pPr>
    </w:p>
    <w:p w14:paraId="691DDA14" w14:textId="696218DE" w:rsidR="00B567A1" w:rsidRPr="00F74CA6" w:rsidRDefault="00B567A1">
      <w:pPr>
        <w:pStyle w:val="ListParagraph"/>
        <w:ind w:left="0"/>
        <w:rPr>
          <w:szCs w:val="26"/>
        </w:rPr>
      </w:pPr>
      <w:r w:rsidRPr="00F74CA6">
        <w:rPr>
          <w:szCs w:val="26"/>
        </w:rPr>
        <w:t xml:space="preserve">The </w:t>
      </w:r>
      <w:r w:rsidR="00206C01" w:rsidRPr="00F74CA6">
        <w:rPr>
          <w:szCs w:val="26"/>
        </w:rPr>
        <w:t>Joint Petition</w:t>
      </w:r>
      <w:r w:rsidR="00A047AE" w:rsidRPr="00F74CA6">
        <w:rPr>
          <w:szCs w:val="26"/>
        </w:rPr>
        <w:t xml:space="preserve"> </w:t>
      </w:r>
      <w:r w:rsidRPr="00F74CA6">
        <w:rPr>
          <w:szCs w:val="26"/>
        </w:rPr>
        <w:t xml:space="preserve">resolves </w:t>
      </w:r>
      <w:r w:rsidR="00A461A4" w:rsidRPr="00F74CA6">
        <w:rPr>
          <w:szCs w:val="26"/>
        </w:rPr>
        <w:t>all but one</w:t>
      </w:r>
      <w:r w:rsidRPr="00F74CA6">
        <w:rPr>
          <w:szCs w:val="26"/>
        </w:rPr>
        <w:t xml:space="preserve"> issue</w:t>
      </w:r>
      <w:r w:rsidR="007C06EE" w:rsidRPr="00F74CA6">
        <w:rPr>
          <w:szCs w:val="26"/>
        </w:rPr>
        <w:t xml:space="preserve">, discussed, </w:t>
      </w:r>
      <w:r w:rsidR="007C06EE" w:rsidRPr="00F74CA6">
        <w:rPr>
          <w:i/>
          <w:iCs/>
          <w:szCs w:val="26"/>
        </w:rPr>
        <w:t>infra,</w:t>
      </w:r>
      <w:r w:rsidRPr="00F74CA6">
        <w:rPr>
          <w:szCs w:val="26"/>
        </w:rPr>
        <w:t xml:space="preserve"> impacting residential consumers, business customers and the public interest at large and represents a fair balance of the interests of </w:t>
      </w:r>
      <w:r w:rsidR="004F4E56" w:rsidRPr="00F74CA6">
        <w:rPr>
          <w:szCs w:val="26"/>
        </w:rPr>
        <w:t>Peoples</w:t>
      </w:r>
      <w:r w:rsidRPr="00F74CA6">
        <w:rPr>
          <w:szCs w:val="26"/>
        </w:rPr>
        <w:t xml:space="preserve"> and its customers.  The benefits of approving the </w:t>
      </w:r>
      <w:r w:rsidR="00206C01" w:rsidRPr="00F74CA6">
        <w:rPr>
          <w:szCs w:val="26"/>
        </w:rPr>
        <w:t>Joint Petition</w:t>
      </w:r>
      <w:r w:rsidR="00A047AE" w:rsidRPr="00F74CA6">
        <w:rPr>
          <w:szCs w:val="26"/>
        </w:rPr>
        <w:t xml:space="preserve"> </w:t>
      </w:r>
      <w:r w:rsidRPr="00F74CA6">
        <w:rPr>
          <w:szCs w:val="26"/>
        </w:rPr>
        <w:t xml:space="preserve">are numerous and will result in significant savings of time and expenses for all Parties involved by avoiding the necessity of further administrative proceedings, as </w:t>
      </w:r>
      <w:r w:rsidRPr="00F74CA6">
        <w:rPr>
          <w:szCs w:val="26"/>
        </w:rPr>
        <w:lastRenderedPageBreak/>
        <w:t xml:space="preserve">well as possible appellate court proceedings, conserving precious administrative resources.  </w:t>
      </w:r>
      <w:r w:rsidR="006C1AD3" w:rsidRPr="00F74CA6">
        <w:rPr>
          <w:szCs w:val="26"/>
        </w:rPr>
        <w:t xml:space="preserve">Moreover, the </w:t>
      </w:r>
      <w:r w:rsidR="00206C01" w:rsidRPr="00F74CA6">
        <w:rPr>
          <w:szCs w:val="26"/>
        </w:rPr>
        <w:t>Joint Petition</w:t>
      </w:r>
      <w:r w:rsidR="00A047AE" w:rsidRPr="00F74CA6">
        <w:rPr>
          <w:szCs w:val="26"/>
        </w:rPr>
        <w:t xml:space="preserve"> </w:t>
      </w:r>
      <w:r w:rsidR="006C1AD3" w:rsidRPr="00F74CA6">
        <w:rPr>
          <w:szCs w:val="26"/>
        </w:rPr>
        <w:t xml:space="preserve">provides regulatory certainty with respect to the disposition of issues which benefits all parties.  </w:t>
      </w:r>
      <w:r w:rsidRPr="00F74CA6">
        <w:rPr>
          <w:szCs w:val="26"/>
        </w:rPr>
        <w:t xml:space="preserve">For the reasons stated herein and in the settling Parties’ Statements in Support, we agree with the ALJ’s conclusion that the </w:t>
      </w:r>
      <w:r w:rsidR="00206C01" w:rsidRPr="00F74CA6">
        <w:rPr>
          <w:szCs w:val="26"/>
        </w:rPr>
        <w:t>Joint Petition</w:t>
      </w:r>
      <w:r w:rsidR="00A047AE" w:rsidRPr="00F74CA6">
        <w:rPr>
          <w:szCs w:val="26"/>
        </w:rPr>
        <w:t xml:space="preserve"> </w:t>
      </w:r>
      <w:r w:rsidRPr="00F74CA6">
        <w:rPr>
          <w:szCs w:val="26"/>
        </w:rPr>
        <w:t xml:space="preserve">is in the public interest.  Accordingly, we shall adopt the ALJ’s recommendation to </w:t>
      </w:r>
      <w:r w:rsidR="00D466FD" w:rsidRPr="00F74CA6">
        <w:rPr>
          <w:szCs w:val="26"/>
        </w:rPr>
        <w:t>grant</w:t>
      </w:r>
      <w:r w:rsidRPr="00F74CA6">
        <w:rPr>
          <w:szCs w:val="26"/>
        </w:rPr>
        <w:t xml:space="preserve"> the </w:t>
      </w:r>
      <w:r w:rsidR="00B92176" w:rsidRPr="00F74CA6">
        <w:rPr>
          <w:szCs w:val="26"/>
        </w:rPr>
        <w:t xml:space="preserve">Joint Petition </w:t>
      </w:r>
      <w:r w:rsidR="00D466FD" w:rsidRPr="00F74CA6">
        <w:rPr>
          <w:szCs w:val="26"/>
        </w:rPr>
        <w:t xml:space="preserve">and approve the </w:t>
      </w:r>
      <w:r w:rsidRPr="00F74CA6">
        <w:rPr>
          <w:szCs w:val="26"/>
        </w:rPr>
        <w:t>Partial Settlement, without modification.</w:t>
      </w:r>
    </w:p>
    <w:p w14:paraId="394427E1" w14:textId="77777777" w:rsidR="005A4429" w:rsidRPr="00F74CA6" w:rsidRDefault="005A4429" w:rsidP="00F76591">
      <w:pPr>
        <w:ind w:firstLine="0"/>
        <w:rPr>
          <w:szCs w:val="26"/>
        </w:rPr>
      </w:pPr>
    </w:p>
    <w:p w14:paraId="06BAAAD3" w14:textId="67E7DC63" w:rsidR="00B567A1" w:rsidRPr="00F74CA6" w:rsidRDefault="005760F4" w:rsidP="002F3162">
      <w:pPr>
        <w:pStyle w:val="Heading1"/>
        <w:tabs>
          <w:tab w:val="left" w:pos="720"/>
        </w:tabs>
        <w:spacing w:line="360" w:lineRule="auto"/>
        <w:ind w:hanging="9360"/>
        <w:rPr>
          <w:rFonts w:cs="Times New Roman"/>
          <w:szCs w:val="26"/>
        </w:rPr>
      </w:pPr>
      <w:r w:rsidRPr="00F74CA6">
        <w:rPr>
          <w:rFonts w:cs="Times New Roman"/>
          <w:szCs w:val="26"/>
        </w:rPr>
        <w:t>Contested Issue</w:t>
      </w:r>
      <w:r w:rsidR="00F25418">
        <w:rPr>
          <w:rFonts w:cs="Times New Roman"/>
          <w:szCs w:val="26"/>
        </w:rPr>
        <w:t xml:space="preserve"> Regarding</w:t>
      </w:r>
    </w:p>
    <w:p w14:paraId="42380A16" w14:textId="77777777" w:rsidR="00B567A1" w:rsidRPr="00F74CA6" w:rsidRDefault="00B567A1">
      <w:pPr>
        <w:keepNext/>
        <w:keepLines/>
        <w:rPr>
          <w:szCs w:val="26"/>
        </w:rPr>
      </w:pPr>
    </w:p>
    <w:p w14:paraId="7AE7D8FD" w14:textId="5A43FC6F" w:rsidR="00B567A1" w:rsidRPr="00F74CA6" w:rsidRDefault="00D919E3" w:rsidP="00D56039">
      <w:pPr>
        <w:keepNext/>
        <w:keepLines/>
        <w:ind w:firstLine="0"/>
        <w:rPr>
          <w:b/>
          <w:szCs w:val="26"/>
        </w:rPr>
      </w:pPr>
      <w:r>
        <w:rPr>
          <w:b/>
          <w:szCs w:val="26"/>
        </w:rPr>
        <w:t>A.</w:t>
      </w:r>
      <w:r>
        <w:rPr>
          <w:b/>
          <w:szCs w:val="26"/>
        </w:rPr>
        <w:tab/>
        <w:t>M</w:t>
      </w:r>
      <w:r w:rsidR="0029192D" w:rsidRPr="00F74CA6">
        <w:rPr>
          <w:b/>
          <w:szCs w:val="26"/>
        </w:rPr>
        <w:t xml:space="preserve">ain Line Extension </w:t>
      </w:r>
      <w:r w:rsidR="0028041B" w:rsidRPr="00F74CA6">
        <w:rPr>
          <w:b/>
          <w:szCs w:val="26"/>
        </w:rPr>
        <w:t>Allowance</w:t>
      </w:r>
    </w:p>
    <w:p w14:paraId="2B7C4A70" w14:textId="77777777" w:rsidR="00B567A1" w:rsidRPr="00F74CA6" w:rsidRDefault="00B567A1">
      <w:pPr>
        <w:pStyle w:val="ListParagraph"/>
        <w:keepNext/>
        <w:keepLines/>
        <w:ind w:firstLine="0"/>
        <w:rPr>
          <w:b/>
          <w:szCs w:val="26"/>
        </w:rPr>
      </w:pPr>
    </w:p>
    <w:p w14:paraId="5A406D26" w14:textId="77777777" w:rsidR="00B567A1" w:rsidRPr="00F74CA6" w:rsidRDefault="00B567A1">
      <w:pPr>
        <w:pStyle w:val="ListParagraph"/>
        <w:keepNext/>
        <w:keepLines/>
        <w:numPr>
          <w:ilvl w:val="0"/>
          <w:numId w:val="6"/>
        </w:numPr>
        <w:ind w:left="1440" w:hanging="720"/>
        <w:rPr>
          <w:b/>
          <w:szCs w:val="26"/>
        </w:rPr>
      </w:pPr>
      <w:r w:rsidRPr="00F74CA6">
        <w:rPr>
          <w:b/>
          <w:szCs w:val="26"/>
        </w:rPr>
        <w:t>Background</w:t>
      </w:r>
    </w:p>
    <w:p w14:paraId="74A82910" w14:textId="77777777" w:rsidR="00043A42" w:rsidRPr="00F74CA6" w:rsidRDefault="00043A42">
      <w:pPr>
        <w:pStyle w:val="ListParagraph"/>
        <w:keepNext/>
        <w:keepLines/>
        <w:ind w:left="1440" w:firstLine="0"/>
        <w:rPr>
          <w:b/>
          <w:szCs w:val="26"/>
        </w:rPr>
      </w:pPr>
    </w:p>
    <w:p w14:paraId="723C37FB" w14:textId="44FEAA31" w:rsidR="00071D46" w:rsidRPr="00F74CA6" w:rsidRDefault="00281A5D" w:rsidP="0060164C">
      <w:pPr>
        <w:contextualSpacing/>
        <w:rPr>
          <w:szCs w:val="26"/>
        </w:rPr>
      </w:pPr>
      <w:r w:rsidRPr="00F74CA6">
        <w:rPr>
          <w:szCs w:val="26"/>
        </w:rPr>
        <w:t>In its initial filing Peoples proposed a streamlined approach to install the first 150 feet of main line</w:t>
      </w:r>
      <w:r w:rsidR="0085439E" w:rsidRPr="00F74CA6">
        <w:rPr>
          <w:szCs w:val="26"/>
        </w:rPr>
        <w:t>,</w:t>
      </w:r>
      <w:r w:rsidRPr="00F74CA6">
        <w:rPr>
          <w:szCs w:val="26"/>
        </w:rPr>
        <w:t xml:space="preserve"> without charge</w:t>
      </w:r>
      <w:r w:rsidR="0085439E" w:rsidRPr="00F74CA6">
        <w:rPr>
          <w:szCs w:val="26"/>
        </w:rPr>
        <w:t>,</w:t>
      </w:r>
      <w:r w:rsidRPr="00F74CA6">
        <w:rPr>
          <w:szCs w:val="26"/>
        </w:rPr>
        <w:t xml:space="preserve"> for each residential applicant that applies for a line extension</w:t>
      </w:r>
      <w:r w:rsidR="006678E5" w:rsidRPr="00F74CA6">
        <w:rPr>
          <w:szCs w:val="26"/>
        </w:rPr>
        <w:t xml:space="preserve"> unless there are abnormal underground conditions that require excessive expenditures</w:t>
      </w:r>
      <w:r w:rsidRPr="00F74CA6">
        <w:rPr>
          <w:szCs w:val="26"/>
        </w:rPr>
        <w:t xml:space="preserve">.  </w:t>
      </w:r>
      <w:r w:rsidR="00A42B4E" w:rsidRPr="00F74CA6">
        <w:rPr>
          <w:szCs w:val="26"/>
        </w:rPr>
        <w:t xml:space="preserve">Peoples M.B. at 12; (citing Peoples St. No. 2 at 39-41).  </w:t>
      </w:r>
      <w:r w:rsidR="006678E5" w:rsidRPr="00F74CA6">
        <w:rPr>
          <w:szCs w:val="26"/>
        </w:rPr>
        <w:t>P</w:t>
      </w:r>
      <w:r w:rsidR="00071D46" w:rsidRPr="00F74CA6">
        <w:rPr>
          <w:szCs w:val="26"/>
        </w:rPr>
        <w:t>rojects that contain abnormal underground conditions, such as crossing a stream or state highway, or visible ledge, or rock that will affect excavation or excessive permitting fees, would not be eligible for the 150-feet allotment.  When the extension project is greater than 150 feet, People</w:t>
      </w:r>
      <w:r w:rsidR="0085439E" w:rsidRPr="00F74CA6">
        <w:rPr>
          <w:szCs w:val="26"/>
        </w:rPr>
        <w:t>s</w:t>
      </w:r>
      <w:r w:rsidR="00071D46" w:rsidRPr="00F74CA6">
        <w:rPr>
          <w:szCs w:val="26"/>
        </w:rPr>
        <w:t xml:space="preserve"> will determine the required customer contribution by subtracting 150 feet per customer from the average foot per customer associated with the specific main line extension </w:t>
      </w:r>
      <w:r w:rsidR="0028041B" w:rsidRPr="00F74CA6">
        <w:rPr>
          <w:szCs w:val="26"/>
        </w:rPr>
        <w:t>allowance</w:t>
      </w:r>
      <w:r w:rsidR="00071D46" w:rsidRPr="00F74CA6">
        <w:rPr>
          <w:szCs w:val="26"/>
        </w:rPr>
        <w:t>.</w:t>
      </w:r>
      <w:r w:rsidR="00A42B4E" w:rsidRPr="00F74CA6">
        <w:rPr>
          <w:szCs w:val="26"/>
        </w:rPr>
        <w:t xml:space="preserve">  </w:t>
      </w:r>
      <w:r w:rsidR="00A42B4E" w:rsidRPr="00F74CA6">
        <w:rPr>
          <w:i/>
          <w:iCs/>
          <w:szCs w:val="26"/>
        </w:rPr>
        <w:t>Id</w:t>
      </w:r>
      <w:r w:rsidR="00A42B4E" w:rsidRPr="00F74CA6">
        <w:rPr>
          <w:szCs w:val="26"/>
        </w:rPr>
        <w:t>.</w:t>
      </w:r>
    </w:p>
    <w:p w14:paraId="0B3C8B0D" w14:textId="77777777" w:rsidR="00071D46" w:rsidRPr="00F74CA6" w:rsidRDefault="00071D46" w:rsidP="0060164C">
      <w:pPr>
        <w:contextualSpacing/>
        <w:rPr>
          <w:szCs w:val="26"/>
        </w:rPr>
      </w:pPr>
    </w:p>
    <w:p w14:paraId="2CAF36BC" w14:textId="5DE2AE24" w:rsidR="00043A42" w:rsidRPr="00F74CA6" w:rsidRDefault="00281A5D" w:rsidP="0060164C">
      <w:pPr>
        <w:contextualSpacing/>
        <w:rPr>
          <w:szCs w:val="26"/>
        </w:rPr>
      </w:pPr>
      <w:r w:rsidRPr="00F74CA6">
        <w:rPr>
          <w:szCs w:val="26"/>
        </w:rPr>
        <w:t xml:space="preserve">Currently, Peoples </w:t>
      </w:r>
      <w:r w:rsidR="0060164C" w:rsidRPr="00F74CA6">
        <w:rPr>
          <w:szCs w:val="26"/>
        </w:rPr>
        <w:t>use</w:t>
      </w:r>
      <w:r w:rsidR="0085439E" w:rsidRPr="00F74CA6">
        <w:rPr>
          <w:szCs w:val="26"/>
        </w:rPr>
        <w:t>s</w:t>
      </w:r>
      <w:r w:rsidR="0060164C" w:rsidRPr="00F74CA6">
        <w:rPr>
          <w:szCs w:val="26"/>
        </w:rPr>
        <w:t xml:space="preserve"> an economic analysis when a customer requests the </w:t>
      </w:r>
      <w:r w:rsidR="00B8318D" w:rsidRPr="00F74CA6">
        <w:rPr>
          <w:szCs w:val="26"/>
        </w:rPr>
        <w:t>C</w:t>
      </w:r>
      <w:r w:rsidR="0060164C" w:rsidRPr="00F74CA6">
        <w:rPr>
          <w:szCs w:val="26"/>
        </w:rPr>
        <w:t xml:space="preserve">ompany to extend its natural gas facilities to serve that customer.  Peoples </w:t>
      </w:r>
      <w:r w:rsidR="00ED507B" w:rsidRPr="00F74CA6">
        <w:rPr>
          <w:szCs w:val="26"/>
        </w:rPr>
        <w:t xml:space="preserve">then </w:t>
      </w:r>
      <w:r w:rsidR="0060164C" w:rsidRPr="00F74CA6">
        <w:rPr>
          <w:szCs w:val="26"/>
        </w:rPr>
        <w:t>compare</w:t>
      </w:r>
      <w:r w:rsidR="0085439E" w:rsidRPr="00F74CA6">
        <w:rPr>
          <w:szCs w:val="26"/>
        </w:rPr>
        <w:t>s</w:t>
      </w:r>
      <w:r w:rsidR="0060164C" w:rsidRPr="00F74CA6">
        <w:rPr>
          <w:szCs w:val="26"/>
        </w:rPr>
        <w:t xml:space="preserve"> the net present value of the customer’s projected future revenue to the cost the </w:t>
      </w:r>
      <w:r w:rsidR="00B8318D" w:rsidRPr="00F74CA6">
        <w:rPr>
          <w:szCs w:val="26"/>
        </w:rPr>
        <w:t>C</w:t>
      </w:r>
      <w:r w:rsidR="0060164C" w:rsidRPr="00F74CA6">
        <w:rPr>
          <w:szCs w:val="26"/>
        </w:rPr>
        <w:t>ompany would incur to add that customer and extend the facilities to the customer without cost</w:t>
      </w:r>
      <w:r w:rsidR="00ED507B" w:rsidRPr="00F74CA6">
        <w:rPr>
          <w:szCs w:val="26"/>
        </w:rPr>
        <w:t>.</w:t>
      </w:r>
      <w:r w:rsidR="0060164C" w:rsidRPr="00F74CA6">
        <w:rPr>
          <w:szCs w:val="26"/>
        </w:rPr>
        <w:t xml:space="preserve"> </w:t>
      </w:r>
      <w:r w:rsidR="00ED507B" w:rsidRPr="00F74CA6">
        <w:rPr>
          <w:szCs w:val="26"/>
        </w:rPr>
        <w:t xml:space="preserve"> I</w:t>
      </w:r>
      <w:r w:rsidR="0060164C" w:rsidRPr="00F74CA6">
        <w:rPr>
          <w:szCs w:val="26"/>
        </w:rPr>
        <w:t xml:space="preserve">f the projected cost </w:t>
      </w:r>
      <w:r w:rsidR="00ED507B" w:rsidRPr="00F74CA6">
        <w:rPr>
          <w:szCs w:val="26"/>
        </w:rPr>
        <w:t>exceeds</w:t>
      </w:r>
      <w:r w:rsidR="0060164C" w:rsidRPr="00F74CA6">
        <w:rPr>
          <w:szCs w:val="26"/>
        </w:rPr>
        <w:t xml:space="preserve"> the projected revenue, </w:t>
      </w:r>
      <w:r w:rsidRPr="00F74CA6">
        <w:rPr>
          <w:szCs w:val="26"/>
        </w:rPr>
        <w:t>t</w:t>
      </w:r>
      <w:r w:rsidR="00ED507B" w:rsidRPr="00F74CA6">
        <w:rPr>
          <w:szCs w:val="26"/>
        </w:rPr>
        <w:t xml:space="preserve">he </w:t>
      </w:r>
      <w:r w:rsidR="0060164C" w:rsidRPr="00F74CA6">
        <w:rPr>
          <w:szCs w:val="26"/>
        </w:rPr>
        <w:t>customer</w:t>
      </w:r>
      <w:r w:rsidR="00ED507B" w:rsidRPr="00F74CA6">
        <w:rPr>
          <w:szCs w:val="26"/>
        </w:rPr>
        <w:t xml:space="preserve"> is </w:t>
      </w:r>
      <w:r w:rsidR="00ED507B" w:rsidRPr="00F74CA6">
        <w:rPr>
          <w:szCs w:val="26"/>
        </w:rPr>
        <w:lastRenderedPageBreak/>
        <w:t>required</w:t>
      </w:r>
      <w:r w:rsidR="0060164C" w:rsidRPr="00F74CA6">
        <w:rPr>
          <w:szCs w:val="26"/>
        </w:rPr>
        <w:t xml:space="preserve"> to pay a contribution in aid of construction (CIAC) equal to the revenue deficiency or pay the required contribution over time pursuant to Rider MLX.</w:t>
      </w:r>
      <w:r w:rsidR="000C35CA" w:rsidRPr="00F74CA6">
        <w:rPr>
          <w:rStyle w:val="FootnoteReference"/>
          <w:szCs w:val="26"/>
        </w:rPr>
        <w:footnoteReference w:id="5"/>
      </w:r>
      <w:r w:rsidR="0060164C" w:rsidRPr="00F74CA6">
        <w:rPr>
          <w:szCs w:val="26"/>
        </w:rPr>
        <w:t xml:space="preserve">  </w:t>
      </w:r>
      <w:r w:rsidRPr="00F74CA6">
        <w:rPr>
          <w:szCs w:val="26"/>
        </w:rPr>
        <w:t>Peoples’ proposed streamlined approach for its</w:t>
      </w:r>
      <w:r w:rsidR="0060164C" w:rsidRPr="00F74CA6">
        <w:rPr>
          <w:szCs w:val="26"/>
        </w:rPr>
        <w:t xml:space="preserve"> main line extension will not replace Rider MLX which will continue to be offered to customers as an option to pay the contribution for the extension over time. </w:t>
      </w:r>
      <w:r w:rsidR="00043A42" w:rsidRPr="00F74CA6">
        <w:rPr>
          <w:szCs w:val="26"/>
        </w:rPr>
        <w:t xml:space="preserve"> </w:t>
      </w:r>
      <w:r w:rsidR="0060164C" w:rsidRPr="00F74CA6">
        <w:rPr>
          <w:i/>
          <w:iCs/>
          <w:szCs w:val="26"/>
        </w:rPr>
        <w:t>Id</w:t>
      </w:r>
      <w:r w:rsidR="001B3DD7" w:rsidRPr="00F74CA6">
        <w:rPr>
          <w:szCs w:val="26"/>
        </w:rPr>
        <w:t>.</w:t>
      </w:r>
      <w:r w:rsidR="0060164C" w:rsidRPr="00F74CA6">
        <w:rPr>
          <w:szCs w:val="26"/>
        </w:rPr>
        <w:t xml:space="preserve"> at </w:t>
      </w:r>
      <w:r w:rsidR="00A42B4E" w:rsidRPr="00F74CA6">
        <w:rPr>
          <w:szCs w:val="26"/>
        </w:rPr>
        <w:t>11-</w:t>
      </w:r>
      <w:r w:rsidR="0060164C" w:rsidRPr="00F74CA6">
        <w:rPr>
          <w:szCs w:val="26"/>
        </w:rPr>
        <w:t xml:space="preserve">13 </w:t>
      </w:r>
      <w:r w:rsidR="0085439E" w:rsidRPr="00F74CA6">
        <w:rPr>
          <w:szCs w:val="26"/>
        </w:rPr>
        <w:t>(</w:t>
      </w:r>
      <w:r w:rsidR="0060164C" w:rsidRPr="00F74CA6">
        <w:rPr>
          <w:szCs w:val="26"/>
        </w:rPr>
        <w:t>citing Peo</w:t>
      </w:r>
      <w:r w:rsidR="004F4E56" w:rsidRPr="00F74CA6">
        <w:rPr>
          <w:szCs w:val="26"/>
        </w:rPr>
        <w:t>ples</w:t>
      </w:r>
      <w:r w:rsidR="00043A42" w:rsidRPr="00F74CA6">
        <w:rPr>
          <w:szCs w:val="26"/>
        </w:rPr>
        <w:t xml:space="preserve"> St. 2 at </w:t>
      </w:r>
      <w:r w:rsidR="0060164C" w:rsidRPr="00F74CA6">
        <w:rPr>
          <w:szCs w:val="26"/>
        </w:rPr>
        <w:t>4</w:t>
      </w:r>
      <w:r w:rsidR="00043A42" w:rsidRPr="00F74CA6">
        <w:rPr>
          <w:szCs w:val="26"/>
        </w:rPr>
        <w:t>1</w:t>
      </w:r>
      <w:r w:rsidR="0085439E" w:rsidRPr="00F74CA6">
        <w:rPr>
          <w:szCs w:val="26"/>
        </w:rPr>
        <w:t>)</w:t>
      </w:r>
      <w:r w:rsidR="00043A42" w:rsidRPr="00F74CA6">
        <w:rPr>
          <w:szCs w:val="26"/>
        </w:rPr>
        <w:t>.</w:t>
      </w:r>
    </w:p>
    <w:p w14:paraId="58D388F0" w14:textId="77777777" w:rsidR="00A42B4E" w:rsidRPr="00F74CA6" w:rsidRDefault="00A42B4E" w:rsidP="0060164C">
      <w:pPr>
        <w:contextualSpacing/>
        <w:rPr>
          <w:szCs w:val="26"/>
        </w:rPr>
      </w:pPr>
    </w:p>
    <w:p w14:paraId="46393355" w14:textId="77777777" w:rsidR="00B567A1" w:rsidRPr="00F74CA6" w:rsidRDefault="00B567A1" w:rsidP="00D00515">
      <w:pPr>
        <w:pStyle w:val="ListParagraph"/>
        <w:keepNext/>
        <w:keepLines/>
        <w:numPr>
          <w:ilvl w:val="0"/>
          <w:numId w:val="6"/>
        </w:numPr>
        <w:ind w:left="1440" w:hanging="720"/>
        <w:rPr>
          <w:b/>
          <w:szCs w:val="26"/>
        </w:rPr>
      </w:pPr>
      <w:r w:rsidRPr="00F74CA6">
        <w:rPr>
          <w:b/>
          <w:szCs w:val="26"/>
        </w:rPr>
        <w:t>Positions of the Parties</w:t>
      </w:r>
    </w:p>
    <w:p w14:paraId="1B731D0C" w14:textId="77777777" w:rsidR="00043A42" w:rsidRPr="00F74CA6" w:rsidRDefault="00043A42" w:rsidP="00D00515">
      <w:pPr>
        <w:pStyle w:val="ListParagraph"/>
        <w:keepNext/>
        <w:keepLines/>
        <w:ind w:left="1440" w:firstLine="0"/>
        <w:rPr>
          <w:b/>
          <w:szCs w:val="26"/>
        </w:rPr>
      </w:pPr>
    </w:p>
    <w:p w14:paraId="2A2E0EAE" w14:textId="77777777" w:rsidR="00690337" w:rsidRPr="00F74CA6" w:rsidRDefault="00690337" w:rsidP="00D919E3">
      <w:pPr>
        <w:pStyle w:val="ListParagraph"/>
        <w:keepNext/>
        <w:keepLines/>
        <w:ind w:firstLine="720"/>
        <w:rPr>
          <w:b/>
          <w:szCs w:val="26"/>
        </w:rPr>
      </w:pPr>
      <w:r w:rsidRPr="00F74CA6">
        <w:rPr>
          <w:b/>
          <w:szCs w:val="26"/>
        </w:rPr>
        <w:t>a.</w:t>
      </w:r>
      <w:r w:rsidRPr="00F74CA6">
        <w:rPr>
          <w:b/>
          <w:szCs w:val="26"/>
        </w:rPr>
        <w:tab/>
      </w:r>
      <w:r w:rsidR="004F4E56" w:rsidRPr="00F74CA6">
        <w:rPr>
          <w:b/>
          <w:szCs w:val="26"/>
        </w:rPr>
        <w:t>Peoples</w:t>
      </w:r>
    </w:p>
    <w:p w14:paraId="43F60154" w14:textId="77777777" w:rsidR="00690337" w:rsidRPr="00F74CA6" w:rsidRDefault="00690337" w:rsidP="00D00515">
      <w:pPr>
        <w:pStyle w:val="ListParagraph"/>
        <w:keepNext/>
        <w:keepLines/>
        <w:ind w:left="0"/>
        <w:rPr>
          <w:szCs w:val="26"/>
        </w:rPr>
      </w:pPr>
    </w:p>
    <w:p w14:paraId="4F9DBE5E" w14:textId="3F3A30B7" w:rsidR="008D5F3F" w:rsidRPr="00F74CA6" w:rsidRDefault="004F4E56">
      <w:pPr>
        <w:contextualSpacing/>
        <w:rPr>
          <w:szCs w:val="26"/>
        </w:rPr>
      </w:pPr>
      <w:r w:rsidRPr="00F74CA6">
        <w:rPr>
          <w:szCs w:val="26"/>
        </w:rPr>
        <w:t>Peoples</w:t>
      </w:r>
      <w:r w:rsidR="00690337" w:rsidRPr="00F74CA6">
        <w:rPr>
          <w:szCs w:val="26"/>
        </w:rPr>
        <w:t xml:space="preserve"> submitted that its</w:t>
      </w:r>
      <w:r w:rsidR="00B67147" w:rsidRPr="00F74CA6">
        <w:rPr>
          <w:szCs w:val="26"/>
        </w:rPr>
        <w:t xml:space="preserve"> </w:t>
      </w:r>
      <w:r w:rsidR="0070631A" w:rsidRPr="00F74CA6">
        <w:rPr>
          <w:szCs w:val="26"/>
        </w:rPr>
        <w:t>M</w:t>
      </w:r>
      <w:r w:rsidR="0060164C" w:rsidRPr="00F74CA6">
        <w:rPr>
          <w:szCs w:val="26"/>
        </w:rPr>
        <w:t xml:space="preserve">ain </w:t>
      </w:r>
      <w:r w:rsidR="0070631A" w:rsidRPr="00F74CA6">
        <w:rPr>
          <w:szCs w:val="26"/>
        </w:rPr>
        <w:t>L</w:t>
      </w:r>
      <w:r w:rsidR="0060164C" w:rsidRPr="00F74CA6">
        <w:rPr>
          <w:szCs w:val="26"/>
        </w:rPr>
        <w:t xml:space="preserve">ine </w:t>
      </w:r>
      <w:r w:rsidR="0070631A" w:rsidRPr="00F74CA6">
        <w:rPr>
          <w:szCs w:val="26"/>
        </w:rPr>
        <w:t>E</w:t>
      </w:r>
      <w:r w:rsidR="0060164C" w:rsidRPr="00F74CA6">
        <w:rPr>
          <w:szCs w:val="26"/>
        </w:rPr>
        <w:t>xtension</w:t>
      </w:r>
      <w:r w:rsidR="00600E1F" w:rsidRPr="00F74CA6">
        <w:rPr>
          <w:szCs w:val="26"/>
        </w:rPr>
        <w:t xml:space="preserve"> proposal to install 150 feet of main line without charge for each residential applicant will reduce barriers to customer receiving natural gas service by reducing the overall cost a residential applicant must pay for line extension.  </w:t>
      </w:r>
      <w:r w:rsidR="008D5F3F" w:rsidRPr="00F74CA6">
        <w:rPr>
          <w:szCs w:val="26"/>
        </w:rPr>
        <w:t xml:space="preserve">Peoples noted that one of the more significant barriers for residential customers to receive or convert </w:t>
      </w:r>
      <w:r w:rsidR="00B345F9" w:rsidRPr="00F74CA6">
        <w:rPr>
          <w:szCs w:val="26"/>
        </w:rPr>
        <w:t xml:space="preserve">from other energy source </w:t>
      </w:r>
      <w:r w:rsidR="008D5F3F" w:rsidRPr="00F74CA6">
        <w:rPr>
          <w:szCs w:val="26"/>
        </w:rPr>
        <w:t xml:space="preserve">to natural gas is the CIAC.  Although Rider MLX helps in overcoming this barrier by spreading the cost of the CIAC over a period of time, it does not reduce the overall cost a customer must pay for the main extension.  </w:t>
      </w:r>
      <w:r w:rsidR="006678E5" w:rsidRPr="00F74CA6">
        <w:rPr>
          <w:szCs w:val="26"/>
        </w:rPr>
        <w:t>Peoples noted the plentiful supply of low-cost gas from the Marcellus Shale</w:t>
      </w:r>
      <w:r w:rsidR="008D5F3F" w:rsidRPr="00F74CA6">
        <w:rPr>
          <w:szCs w:val="26"/>
        </w:rPr>
        <w:t xml:space="preserve"> is an ideal opportunity to help more people convert to natural gas and enjoy the cost savings of this efficient natural resource.  </w:t>
      </w:r>
      <w:r w:rsidR="00A42B4E" w:rsidRPr="00F74CA6">
        <w:rPr>
          <w:i/>
          <w:iCs/>
          <w:szCs w:val="26"/>
        </w:rPr>
        <w:t>Id.</w:t>
      </w:r>
      <w:r w:rsidR="00A42B4E" w:rsidRPr="00F74CA6">
        <w:rPr>
          <w:szCs w:val="26"/>
        </w:rPr>
        <w:t xml:space="preserve"> at 13-14.</w:t>
      </w:r>
    </w:p>
    <w:p w14:paraId="719D0798" w14:textId="77777777" w:rsidR="008D5F3F" w:rsidRPr="00F74CA6" w:rsidRDefault="008D5F3F">
      <w:pPr>
        <w:contextualSpacing/>
        <w:rPr>
          <w:szCs w:val="26"/>
        </w:rPr>
      </w:pPr>
    </w:p>
    <w:p w14:paraId="30393E31" w14:textId="1D065044" w:rsidR="006678E5" w:rsidRPr="00F74CA6" w:rsidRDefault="006678E5">
      <w:pPr>
        <w:contextualSpacing/>
        <w:rPr>
          <w:szCs w:val="26"/>
        </w:rPr>
      </w:pPr>
      <w:r w:rsidRPr="00F74CA6">
        <w:rPr>
          <w:szCs w:val="26"/>
        </w:rPr>
        <w:t>Peoples a</w:t>
      </w:r>
      <w:r w:rsidR="00AD1A5A" w:rsidRPr="00F74CA6">
        <w:rPr>
          <w:szCs w:val="26"/>
        </w:rPr>
        <w:t>verre</w:t>
      </w:r>
      <w:r w:rsidRPr="00F74CA6">
        <w:rPr>
          <w:szCs w:val="26"/>
        </w:rPr>
        <w:t xml:space="preserve">d that its proposal will supplement Rider MLX and provide greater flexibility to customers in determining how to pay for the required contributions. Peoples also claimed that its proposal should be approved because it is a streamlined approach </w:t>
      </w:r>
      <w:r w:rsidR="001B3DD7" w:rsidRPr="00F74CA6">
        <w:rPr>
          <w:szCs w:val="26"/>
        </w:rPr>
        <w:t xml:space="preserve">that </w:t>
      </w:r>
      <w:r w:rsidRPr="00F74CA6">
        <w:rPr>
          <w:szCs w:val="26"/>
        </w:rPr>
        <w:t xml:space="preserve">is simpler and easier for customers to </w:t>
      </w:r>
      <w:r w:rsidR="00885E89" w:rsidRPr="00F74CA6">
        <w:rPr>
          <w:szCs w:val="26"/>
        </w:rPr>
        <w:t>understand</w:t>
      </w:r>
      <w:r w:rsidR="00885E89">
        <w:rPr>
          <w:szCs w:val="26"/>
        </w:rPr>
        <w:t>,</w:t>
      </w:r>
      <w:r w:rsidR="00885E89" w:rsidRPr="00F74CA6">
        <w:rPr>
          <w:szCs w:val="26"/>
        </w:rPr>
        <w:t xml:space="preserve"> and</w:t>
      </w:r>
      <w:r w:rsidRPr="00F74CA6">
        <w:rPr>
          <w:szCs w:val="26"/>
        </w:rPr>
        <w:t xml:space="preserve"> is consistent with </w:t>
      </w:r>
      <w:r w:rsidR="00D846F4" w:rsidRPr="00F74CA6">
        <w:rPr>
          <w:szCs w:val="26"/>
        </w:rPr>
        <w:t xml:space="preserve">the </w:t>
      </w:r>
      <w:r w:rsidR="00D846F4" w:rsidRPr="00F74CA6">
        <w:rPr>
          <w:szCs w:val="26"/>
        </w:rPr>
        <w:lastRenderedPageBreak/>
        <w:t xml:space="preserve">main line extension policies of </w:t>
      </w:r>
      <w:r w:rsidRPr="00F74CA6">
        <w:rPr>
          <w:szCs w:val="26"/>
        </w:rPr>
        <w:t>other natural gas distribution companies</w:t>
      </w:r>
      <w:r w:rsidR="00D846F4" w:rsidRPr="00F74CA6">
        <w:rPr>
          <w:szCs w:val="26"/>
        </w:rPr>
        <w:t xml:space="preserve"> such as</w:t>
      </w:r>
      <w:r w:rsidRPr="00F74CA6">
        <w:rPr>
          <w:szCs w:val="26"/>
        </w:rPr>
        <w:t xml:space="preserve"> Columbia Gas of Pennsylvania, Inc. and the FirstEnergy Companies</w:t>
      </w:r>
      <w:r w:rsidR="00D846F4" w:rsidRPr="00F74CA6">
        <w:rPr>
          <w:szCs w:val="26"/>
        </w:rPr>
        <w:t xml:space="preserve">.  </w:t>
      </w:r>
      <w:r w:rsidR="00A42B4E" w:rsidRPr="00F74CA6">
        <w:rPr>
          <w:i/>
          <w:iCs/>
          <w:szCs w:val="26"/>
        </w:rPr>
        <w:t>Id.</w:t>
      </w:r>
      <w:r w:rsidR="00A42B4E" w:rsidRPr="00F74CA6">
        <w:rPr>
          <w:szCs w:val="26"/>
        </w:rPr>
        <w:t xml:space="preserve"> at 14-15.</w:t>
      </w:r>
    </w:p>
    <w:p w14:paraId="1F13ADE7" w14:textId="77777777" w:rsidR="00AD1A5A" w:rsidRPr="00F74CA6" w:rsidRDefault="00AD1A5A" w:rsidP="00EA69F7">
      <w:pPr>
        <w:ind w:firstLine="0"/>
        <w:contextualSpacing/>
        <w:rPr>
          <w:szCs w:val="26"/>
        </w:rPr>
      </w:pPr>
    </w:p>
    <w:p w14:paraId="51033110" w14:textId="69E94A75" w:rsidR="00690337" w:rsidRPr="00F74CA6" w:rsidRDefault="00AD1A5A" w:rsidP="0084404B">
      <w:pPr>
        <w:contextualSpacing/>
        <w:rPr>
          <w:szCs w:val="26"/>
        </w:rPr>
      </w:pPr>
      <w:r w:rsidRPr="00F74CA6">
        <w:rPr>
          <w:szCs w:val="26"/>
        </w:rPr>
        <w:t>Peoples added that it</w:t>
      </w:r>
      <w:r w:rsidR="009D06CC" w:rsidRPr="00F74CA6">
        <w:rPr>
          <w:szCs w:val="26"/>
        </w:rPr>
        <w:t>s</w:t>
      </w:r>
      <w:r w:rsidRPr="00F74CA6">
        <w:rPr>
          <w:szCs w:val="26"/>
        </w:rPr>
        <w:t xml:space="preserve"> main line extension proposal will not create any subsidy or cost shift to existing customers based upon its historic experience.  Peoples witness </w:t>
      </w:r>
      <w:r w:rsidR="00087E4C" w:rsidRPr="00F74CA6">
        <w:rPr>
          <w:szCs w:val="26"/>
        </w:rPr>
        <w:t xml:space="preserve">Mr. </w:t>
      </w:r>
      <w:r w:rsidRPr="00F74CA6">
        <w:rPr>
          <w:szCs w:val="26"/>
        </w:rPr>
        <w:t xml:space="preserve">Gregorini </w:t>
      </w:r>
      <w:r w:rsidR="00005863" w:rsidRPr="00F74CA6">
        <w:rPr>
          <w:szCs w:val="26"/>
        </w:rPr>
        <w:t xml:space="preserve">in his prepared </w:t>
      </w:r>
      <w:r w:rsidRPr="00F74CA6">
        <w:rPr>
          <w:szCs w:val="26"/>
        </w:rPr>
        <w:t>testi</w:t>
      </w:r>
      <w:r w:rsidR="00005863" w:rsidRPr="00F74CA6">
        <w:rPr>
          <w:szCs w:val="26"/>
        </w:rPr>
        <w:t>mony</w:t>
      </w:r>
      <w:r w:rsidRPr="00F74CA6">
        <w:rPr>
          <w:szCs w:val="26"/>
        </w:rPr>
        <w:t xml:space="preserve"> </w:t>
      </w:r>
      <w:r w:rsidR="00005863" w:rsidRPr="00F74CA6">
        <w:rPr>
          <w:szCs w:val="26"/>
        </w:rPr>
        <w:t xml:space="preserve">indicated </w:t>
      </w:r>
      <w:r w:rsidRPr="00F74CA6">
        <w:rPr>
          <w:szCs w:val="26"/>
        </w:rPr>
        <w:t xml:space="preserve">that when all residential mainline extensions are reviewed, the average cost is considerably well below the average allowable cost under the Company’s existing allowable investment model.  </w:t>
      </w:r>
      <w:r w:rsidR="00005863" w:rsidRPr="00F74CA6">
        <w:rPr>
          <w:szCs w:val="26"/>
        </w:rPr>
        <w:t>Peoples also</w:t>
      </w:r>
      <w:r w:rsidRPr="00F74CA6">
        <w:rPr>
          <w:szCs w:val="26"/>
        </w:rPr>
        <w:t xml:space="preserve"> </w:t>
      </w:r>
      <w:r w:rsidR="00005863" w:rsidRPr="00F74CA6">
        <w:rPr>
          <w:szCs w:val="26"/>
        </w:rPr>
        <w:t xml:space="preserve">indicated </w:t>
      </w:r>
      <w:r w:rsidRPr="00F74CA6">
        <w:rPr>
          <w:szCs w:val="26"/>
        </w:rPr>
        <w:t xml:space="preserve">that </w:t>
      </w:r>
      <w:r w:rsidR="00CC0E83" w:rsidRPr="00F74CA6">
        <w:rPr>
          <w:szCs w:val="26"/>
        </w:rPr>
        <w:t>based on the</w:t>
      </w:r>
      <w:r w:rsidRPr="00F74CA6">
        <w:rPr>
          <w:szCs w:val="26"/>
        </w:rPr>
        <w:t xml:space="preserve"> historic residential mainline extensions in 2017 a</w:t>
      </w:r>
      <w:r w:rsidR="009D06CC" w:rsidRPr="00F74CA6">
        <w:rPr>
          <w:szCs w:val="26"/>
        </w:rPr>
        <w:t>n</w:t>
      </w:r>
      <w:r w:rsidRPr="00F74CA6">
        <w:rPr>
          <w:szCs w:val="26"/>
        </w:rPr>
        <w:t>d 2018</w:t>
      </w:r>
      <w:r w:rsidR="002215FC" w:rsidRPr="00F74CA6">
        <w:rPr>
          <w:szCs w:val="26"/>
        </w:rPr>
        <w:t>, the allowable project cost under the Company’s proposed 150-foot main line extension would be $6,594</w:t>
      </w:r>
      <w:r w:rsidR="00CC0E83" w:rsidRPr="00F74CA6">
        <w:rPr>
          <w:szCs w:val="26"/>
        </w:rPr>
        <w:t xml:space="preserve"> rather than the $5,906 </w:t>
      </w:r>
      <w:r w:rsidR="009D06CC" w:rsidRPr="00F74CA6">
        <w:rPr>
          <w:szCs w:val="26"/>
        </w:rPr>
        <w:t xml:space="preserve">under the Company’s current policy using proposed rates.  </w:t>
      </w:r>
      <w:r w:rsidR="00A94027" w:rsidRPr="00F74CA6">
        <w:rPr>
          <w:i/>
          <w:iCs/>
          <w:szCs w:val="26"/>
        </w:rPr>
        <w:t>Id</w:t>
      </w:r>
      <w:r w:rsidR="00A94027" w:rsidRPr="00F74CA6">
        <w:rPr>
          <w:szCs w:val="26"/>
        </w:rPr>
        <w:t>.</w:t>
      </w:r>
      <w:r w:rsidR="00690337" w:rsidRPr="00F74CA6">
        <w:rPr>
          <w:szCs w:val="26"/>
        </w:rPr>
        <w:t xml:space="preserve"> at 1</w:t>
      </w:r>
      <w:r w:rsidR="0084404B" w:rsidRPr="00F74CA6">
        <w:rPr>
          <w:szCs w:val="26"/>
        </w:rPr>
        <w:t>6</w:t>
      </w:r>
      <w:r w:rsidR="00690337" w:rsidRPr="00F74CA6">
        <w:rPr>
          <w:szCs w:val="26"/>
        </w:rPr>
        <w:t>-1</w:t>
      </w:r>
      <w:r w:rsidR="0084404B" w:rsidRPr="00F74CA6">
        <w:rPr>
          <w:szCs w:val="26"/>
        </w:rPr>
        <w:t>7</w:t>
      </w:r>
      <w:r w:rsidR="00690337" w:rsidRPr="00F74CA6">
        <w:rPr>
          <w:szCs w:val="26"/>
        </w:rPr>
        <w:t>.</w:t>
      </w:r>
    </w:p>
    <w:p w14:paraId="027E0ADB" w14:textId="77777777" w:rsidR="00690337" w:rsidRPr="00F74CA6" w:rsidRDefault="00690337">
      <w:pPr>
        <w:pStyle w:val="ListParagraph"/>
        <w:ind w:left="0"/>
        <w:rPr>
          <w:szCs w:val="26"/>
        </w:rPr>
      </w:pPr>
    </w:p>
    <w:p w14:paraId="38733772" w14:textId="77777777" w:rsidR="00600E1F" w:rsidRPr="00F74CA6" w:rsidRDefault="00690337" w:rsidP="00D919E3">
      <w:pPr>
        <w:pStyle w:val="ListParagraph"/>
        <w:keepNext/>
        <w:keepLines/>
        <w:ind w:firstLine="720"/>
        <w:rPr>
          <w:b/>
          <w:szCs w:val="26"/>
        </w:rPr>
      </w:pPr>
      <w:r w:rsidRPr="00F74CA6">
        <w:rPr>
          <w:b/>
          <w:szCs w:val="26"/>
        </w:rPr>
        <w:t>b.</w:t>
      </w:r>
      <w:r w:rsidRPr="00F74CA6">
        <w:rPr>
          <w:b/>
          <w:szCs w:val="26"/>
        </w:rPr>
        <w:tab/>
      </w:r>
      <w:r w:rsidR="00600E1F" w:rsidRPr="00F74CA6">
        <w:rPr>
          <w:b/>
          <w:szCs w:val="26"/>
        </w:rPr>
        <w:t>OSBA</w:t>
      </w:r>
    </w:p>
    <w:p w14:paraId="3722D99F" w14:textId="77777777" w:rsidR="0084404B" w:rsidRPr="00F74CA6" w:rsidRDefault="0084404B" w:rsidP="0084404B">
      <w:pPr>
        <w:keepNext/>
        <w:keepLines/>
        <w:ind w:firstLine="0"/>
        <w:rPr>
          <w:bCs/>
          <w:szCs w:val="26"/>
        </w:rPr>
      </w:pPr>
      <w:r w:rsidRPr="00F74CA6">
        <w:rPr>
          <w:bCs/>
          <w:szCs w:val="26"/>
        </w:rPr>
        <w:tab/>
      </w:r>
    </w:p>
    <w:p w14:paraId="4F0384FF" w14:textId="76368CF1" w:rsidR="0084404B" w:rsidRPr="00F74CA6" w:rsidRDefault="001B3DD7" w:rsidP="005C1D36">
      <w:pPr>
        <w:contextualSpacing/>
        <w:rPr>
          <w:szCs w:val="26"/>
        </w:rPr>
      </w:pPr>
      <w:r w:rsidRPr="00F74CA6">
        <w:rPr>
          <w:szCs w:val="26"/>
        </w:rPr>
        <w:t xml:space="preserve">The </w:t>
      </w:r>
      <w:r w:rsidR="0084404B" w:rsidRPr="00F74CA6">
        <w:rPr>
          <w:szCs w:val="26"/>
        </w:rPr>
        <w:t xml:space="preserve">OSBA opposed Peoples’ proposed changes to its main line extension policy. </w:t>
      </w:r>
      <w:r w:rsidRPr="00F74CA6">
        <w:rPr>
          <w:szCs w:val="26"/>
        </w:rPr>
        <w:t xml:space="preserve"> The </w:t>
      </w:r>
      <w:r w:rsidR="0084404B" w:rsidRPr="00F74CA6">
        <w:rPr>
          <w:szCs w:val="26"/>
        </w:rPr>
        <w:t xml:space="preserve">OSBA argued that the proposal violates cost causation principles. </w:t>
      </w:r>
      <w:r w:rsidRPr="00F74CA6">
        <w:rPr>
          <w:szCs w:val="26"/>
        </w:rPr>
        <w:t xml:space="preserve"> </w:t>
      </w:r>
      <w:r w:rsidR="0084404B" w:rsidRPr="00F74CA6">
        <w:rPr>
          <w:szCs w:val="26"/>
        </w:rPr>
        <w:t xml:space="preserve">OSBA M.B. at 6-8. </w:t>
      </w:r>
      <w:r w:rsidRPr="00F74CA6">
        <w:rPr>
          <w:szCs w:val="26"/>
        </w:rPr>
        <w:t xml:space="preserve"> The </w:t>
      </w:r>
      <w:r w:rsidR="0084404B" w:rsidRPr="00F74CA6">
        <w:rPr>
          <w:szCs w:val="26"/>
        </w:rPr>
        <w:t xml:space="preserve">OSBA noted that the intent of the proposal is to make it easier for residential applicants to acquire natural gas service by reducing the overall level of the CIAC that would otherwise be required of residential customers under Peoples’ existing main extension policy. </w:t>
      </w:r>
      <w:r w:rsidRPr="00F74CA6">
        <w:rPr>
          <w:szCs w:val="26"/>
        </w:rPr>
        <w:t xml:space="preserve"> </w:t>
      </w:r>
      <w:r w:rsidR="0084404B" w:rsidRPr="00F74CA6">
        <w:rPr>
          <w:i/>
          <w:iCs/>
          <w:szCs w:val="26"/>
        </w:rPr>
        <w:t>Id</w:t>
      </w:r>
      <w:r w:rsidR="0084404B" w:rsidRPr="00F74CA6">
        <w:rPr>
          <w:szCs w:val="26"/>
        </w:rPr>
        <w:t xml:space="preserve">. at 7. </w:t>
      </w:r>
      <w:r w:rsidRPr="00F74CA6">
        <w:rPr>
          <w:szCs w:val="26"/>
        </w:rPr>
        <w:t xml:space="preserve"> The </w:t>
      </w:r>
      <w:r w:rsidR="0084404B" w:rsidRPr="00F74CA6">
        <w:rPr>
          <w:szCs w:val="26"/>
        </w:rPr>
        <w:t xml:space="preserve">OSBA added that the proposal to reduce the required level of residential CIACs going forward undermines the purpose of CIAC which is to offset that part of the cost of an extension that is not otherwise supported by the customer’s expected revenue stream over a 40-year period. </w:t>
      </w:r>
      <w:r w:rsidRPr="00F74CA6">
        <w:rPr>
          <w:szCs w:val="26"/>
        </w:rPr>
        <w:t xml:space="preserve"> </w:t>
      </w:r>
      <w:r w:rsidR="0084404B" w:rsidRPr="00F74CA6">
        <w:rPr>
          <w:i/>
          <w:iCs/>
          <w:szCs w:val="26"/>
        </w:rPr>
        <w:t>Id</w:t>
      </w:r>
      <w:r w:rsidR="0084404B" w:rsidRPr="00F74CA6">
        <w:rPr>
          <w:szCs w:val="26"/>
        </w:rPr>
        <w:t xml:space="preserve">. </w:t>
      </w:r>
      <w:r w:rsidRPr="00F74CA6">
        <w:rPr>
          <w:szCs w:val="26"/>
        </w:rPr>
        <w:t>(</w:t>
      </w:r>
      <w:r w:rsidR="0084404B" w:rsidRPr="00F74CA6">
        <w:rPr>
          <w:szCs w:val="26"/>
        </w:rPr>
        <w:t>citing OSBA St. No.</w:t>
      </w:r>
      <w:r w:rsidR="00885E89">
        <w:rPr>
          <w:szCs w:val="26"/>
        </w:rPr>
        <w:t> </w:t>
      </w:r>
      <w:r w:rsidR="0084404B" w:rsidRPr="00F74CA6">
        <w:rPr>
          <w:szCs w:val="26"/>
        </w:rPr>
        <w:t>1 at 14, 16</w:t>
      </w:r>
      <w:r w:rsidRPr="00F74CA6">
        <w:rPr>
          <w:szCs w:val="26"/>
        </w:rPr>
        <w:t>)</w:t>
      </w:r>
      <w:r w:rsidR="0084404B" w:rsidRPr="00F74CA6">
        <w:rPr>
          <w:szCs w:val="26"/>
        </w:rPr>
        <w:t xml:space="preserve">. </w:t>
      </w:r>
      <w:r w:rsidR="006A4F7A" w:rsidRPr="00F74CA6">
        <w:rPr>
          <w:szCs w:val="26"/>
        </w:rPr>
        <w:t xml:space="preserve"> </w:t>
      </w:r>
      <w:r w:rsidRPr="00F74CA6">
        <w:rPr>
          <w:szCs w:val="26"/>
        </w:rPr>
        <w:t xml:space="preserve">The </w:t>
      </w:r>
      <w:r w:rsidR="0084404B" w:rsidRPr="00F74CA6">
        <w:rPr>
          <w:szCs w:val="26"/>
        </w:rPr>
        <w:t xml:space="preserve">OSBA argued that adopting the proposed modification would not lower Peoples’ cost of extending service to residential customers but would merely excuse the residential customer from paying a portion of that cost. </w:t>
      </w:r>
      <w:r w:rsidR="006A4F7A" w:rsidRPr="00F74CA6">
        <w:rPr>
          <w:szCs w:val="26"/>
        </w:rPr>
        <w:t xml:space="preserve"> </w:t>
      </w:r>
      <w:r w:rsidR="0084404B" w:rsidRPr="00F74CA6">
        <w:rPr>
          <w:i/>
          <w:iCs/>
          <w:szCs w:val="26"/>
        </w:rPr>
        <w:t>Id</w:t>
      </w:r>
      <w:r w:rsidR="0084404B" w:rsidRPr="00F74CA6">
        <w:rPr>
          <w:szCs w:val="26"/>
        </w:rPr>
        <w:t xml:space="preserve">. </w:t>
      </w:r>
      <w:r w:rsidR="006A4F7A" w:rsidRPr="00F74CA6">
        <w:rPr>
          <w:szCs w:val="26"/>
        </w:rPr>
        <w:t xml:space="preserve"> </w:t>
      </w:r>
      <w:r w:rsidRPr="00F74CA6">
        <w:rPr>
          <w:szCs w:val="26"/>
        </w:rPr>
        <w:t xml:space="preserve">The </w:t>
      </w:r>
      <w:r w:rsidR="0084404B" w:rsidRPr="00F74CA6">
        <w:rPr>
          <w:szCs w:val="26"/>
        </w:rPr>
        <w:t xml:space="preserve">OSBA cited to the Commonwealth Court’s decision in </w:t>
      </w:r>
      <w:r w:rsidR="0084404B" w:rsidRPr="00F74CA6">
        <w:rPr>
          <w:i/>
          <w:iCs/>
          <w:szCs w:val="26"/>
        </w:rPr>
        <w:t xml:space="preserve">Lloyd v. </w:t>
      </w:r>
      <w:r w:rsidR="00885E89">
        <w:rPr>
          <w:i/>
          <w:iCs/>
          <w:szCs w:val="26"/>
        </w:rPr>
        <w:t>Pa. PUC</w:t>
      </w:r>
      <w:r w:rsidR="0084404B" w:rsidRPr="00F74CA6">
        <w:rPr>
          <w:szCs w:val="26"/>
        </w:rPr>
        <w:t>, 904 A.2d 1010, 1020 (Pa.</w:t>
      </w:r>
      <w:r w:rsidR="00885E89">
        <w:rPr>
          <w:szCs w:val="26"/>
        </w:rPr>
        <w:t> </w:t>
      </w:r>
      <w:r w:rsidR="0084404B" w:rsidRPr="00F74CA6">
        <w:rPr>
          <w:szCs w:val="26"/>
        </w:rPr>
        <w:t xml:space="preserve">Cmwlth. 2006), </w:t>
      </w:r>
      <w:r w:rsidR="0084404B" w:rsidRPr="00885E89">
        <w:rPr>
          <w:i/>
          <w:iCs/>
          <w:szCs w:val="26"/>
        </w:rPr>
        <w:t>alloc. denied</w:t>
      </w:r>
      <w:r w:rsidR="0084404B" w:rsidRPr="00F74CA6">
        <w:rPr>
          <w:szCs w:val="26"/>
        </w:rPr>
        <w:t>, 916 A.2d 1104 (Pa. 2007) (</w:t>
      </w:r>
      <w:r w:rsidR="0084404B" w:rsidRPr="00F74CA6">
        <w:rPr>
          <w:i/>
          <w:iCs/>
          <w:szCs w:val="26"/>
        </w:rPr>
        <w:t>Lloyd</w:t>
      </w:r>
      <w:r w:rsidR="0084404B" w:rsidRPr="00F74CA6">
        <w:rPr>
          <w:szCs w:val="26"/>
        </w:rPr>
        <w:t xml:space="preserve">), as well as </w:t>
      </w:r>
      <w:r w:rsidRPr="00F74CA6">
        <w:rPr>
          <w:szCs w:val="26"/>
        </w:rPr>
        <w:t xml:space="preserve">to </w:t>
      </w:r>
      <w:r w:rsidR="0084404B" w:rsidRPr="00F74CA6">
        <w:rPr>
          <w:szCs w:val="26"/>
        </w:rPr>
        <w:lastRenderedPageBreak/>
        <w:t>Section 1304 of the Code, 66 Pa.</w:t>
      </w:r>
      <w:r w:rsidR="006A4F7A" w:rsidRPr="00F74CA6">
        <w:rPr>
          <w:szCs w:val="26"/>
        </w:rPr>
        <w:t xml:space="preserve"> </w:t>
      </w:r>
      <w:r w:rsidR="0084404B" w:rsidRPr="00F74CA6">
        <w:rPr>
          <w:szCs w:val="26"/>
        </w:rPr>
        <w:t xml:space="preserve">C.S. § 1304, for the principle that cost causation is a basic </w:t>
      </w:r>
      <w:r w:rsidR="00B8318D" w:rsidRPr="00F74CA6">
        <w:rPr>
          <w:szCs w:val="26"/>
        </w:rPr>
        <w:t>tenet</w:t>
      </w:r>
      <w:r w:rsidR="0084404B" w:rsidRPr="00F74CA6">
        <w:rPr>
          <w:szCs w:val="26"/>
        </w:rPr>
        <w:t xml:space="preserve"> in utility law ratemaking in support of its position.</w:t>
      </w:r>
      <w:r w:rsidR="00087E4C" w:rsidRPr="00F74CA6">
        <w:rPr>
          <w:szCs w:val="26"/>
        </w:rPr>
        <w:t xml:space="preserve"> </w:t>
      </w:r>
      <w:r w:rsidR="0084404B" w:rsidRPr="00F74CA6">
        <w:rPr>
          <w:szCs w:val="26"/>
        </w:rPr>
        <w:t xml:space="preserve"> </w:t>
      </w:r>
      <w:r w:rsidR="0084404B" w:rsidRPr="00F74CA6">
        <w:rPr>
          <w:i/>
          <w:iCs/>
          <w:szCs w:val="26"/>
        </w:rPr>
        <w:t>Id</w:t>
      </w:r>
      <w:r w:rsidR="0084404B" w:rsidRPr="00F74CA6">
        <w:rPr>
          <w:szCs w:val="26"/>
        </w:rPr>
        <w:t>. at 8.</w:t>
      </w:r>
    </w:p>
    <w:p w14:paraId="168A3B72" w14:textId="77777777" w:rsidR="00CC0E83" w:rsidRPr="00F74CA6" w:rsidRDefault="00CC0E83" w:rsidP="005C1D36">
      <w:pPr>
        <w:contextualSpacing/>
        <w:rPr>
          <w:szCs w:val="26"/>
        </w:rPr>
      </w:pPr>
    </w:p>
    <w:p w14:paraId="32B5064A" w14:textId="2270771D" w:rsidR="005C1D36" w:rsidRPr="00F74CA6" w:rsidRDefault="0084404B" w:rsidP="005C1D36">
      <w:pPr>
        <w:contextualSpacing/>
        <w:rPr>
          <w:szCs w:val="26"/>
        </w:rPr>
      </w:pPr>
      <w:r w:rsidRPr="00F74CA6">
        <w:rPr>
          <w:szCs w:val="26"/>
        </w:rPr>
        <w:t xml:space="preserve">In addition, </w:t>
      </w:r>
      <w:r w:rsidR="002A341E" w:rsidRPr="00F74CA6">
        <w:rPr>
          <w:szCs w:val="26"/>
        </w:rPr>
        <w:t xml:space="preserve">the </w:t>
      </w:r>
      <w:r w:rsidRPr="00F74CA6">
        <w:rPr>
          <w:szCs w:val="26"/>
        </w:rPr>
        <w:t xml:space="preserve">OSBA argued that Peoples’ proposal impermissibly creates a cross-class subsidy, noting that the difference between the current allowable investment amount and Peoples’ proposal equates to a reduction in a residential applicant’s otherwise required CIAC of $868 and that $868 will be paid by general ratepayers. </w:t>
      </w:r>
      <w:r w:rsidR="006A4F7A" w:rsidRPr="00F74CA6">
        <w:rPr>
          <w:szCs w:val="26"/>
        </w:rPr>
        <w:t xml:space="preserve"> </w:t>
      </w:r>
      <w:r w:rsidRPr="00F74CA6">
        <w:rPr>
          <w:i/>
          <w:iCs/>
          <w:szCs w:val="26"/>
        </w:rPr>
        <w:t>Id</w:t>
      </w:r>
      <w:r w:rsidRPr="00F74CA6">
        <w:rPr>
          <w:szCs w:val="26"/>
        </w:rPr>
        <w:t xml:space="preserve">. at 8-9, </w:t>
      </w:r>
      <w:r w:rsidR="00087E4C" w:rsidRPr="00F74CA6">
        <w:rPr>
          <w:szCs w:val="26"/>
        </w:rPr>
        <w:t>(</w:t>
      </w:r>
      <w:r w:rsidRPr="00F74CA6">
        <w:rPr>
          <w:szCs w:val="26"/>
        </w:rPr>
        <w:t xml:space="preserve">citing </w:t>
      </w:r>
      <w:r w:rsidRPr="00F74CA6">
        <w:rPr>
          <w:i/>
          <w:iCs/>
          <w:szCs w:val="26"/>
        </w:rPr>
        <w:t>Lloyd</w:t>
      </w:r>
      <w:r w:rsidRPr="00F74CA6">
        <w:rPr>
          <w:szCs w:val="26"/>
        </w:rPr>
        <w:t>, OSBA St. No. 1 at 16</w:t>
      </w:r>
      <w:r w:rsidR="00087E4C" w:rsidRPr="00F74CA6">
        <w:rPr>
          <w:szCs w:val="26"/>
        </w:rPr>
        <w:t>,</w:t>
      </w:r>
      <w:r w:rsidRPr="00F74CA6">
        <w:rPr>
          <w:szCs w:val="26"/>
        </w:rPr>
        <w:t xml:space="preserve"> and OSBA St. No. 1-S at 7</w:t>
      </w:r>
      <w:r w:rsidR="00087E4C" w:rsidRPr="00F74CA6">
        <w:rPr>
          <w:szCs w:val="26"/>
        </w:rPr>
        <w:t>)</w:t>
      </w:r>
      <w:r w:rsidRPr="00F74CA6">
        <w:rPr>
          <w:szCs w:val="26"/>
        </w:rPr>
        <w:t xml:space="preserve">. </w:t>
      </w:r>
      <w:r w:rsidR="006A4F7A" w:rsidRPr="00F74CA6">
        <w:rPr>
          <w:szCs w:val="26"/>
        </w:rPr>
        <w:t xml:space="preserve"> </w:t>
      </w:r>
      <w:r w:rsidRPr="00F74CA6">
        <w:rPr>
          <w:szCs w:val="26"/>
        </w:rPr>
        <w:t>Therefore,</w:t>
      </w:r>
      <w:r w:rsidR="00087E4C" w:rsidRPr="00F74CA6">
        <w:rPr>
          <w:szCs w:val="26"/>
        </w:rPr>
        <w:t xml:space="preserve"> the</w:t>
      </w:r>
      <w:r w:rsidRPr="00F74CA6">
        <w:rPr>
          <w:szCs w:val="26"/>
        </w:rPr>
        <w:t xml:space="preserve"> OSBA argues that the proposal to have general ratepayers pay a portion of the cost of main line extensions for residential customers creates a cross-subsidization</w:t>
      </w:r>
      <w:r w:rsidR="005C1D36" w:rsidRPr="00F74CA6">
        <w:rPr>
          <w:szCs w:val="26"/>
        </w:rPr>
        <w:t xml:space="preserve"> and that it should be rejected</w:t>
      </w:r>
      <w:r w:rsidRPr="00F74CA6">
        <w:rPr>
          <w:szCs w:val="26"/>
        </w:rPr>
        <w:t xml:space="preserve">. </w:t>
      </w:r>
      <w:r w:rsidR="006A4F7A" w:rsidRPr="00F74CA6">
        <w:rPr>
          <w:szCs w:val="26"/>
        </w:rPr>
        <w:t xml:space="preserve"> </w:t>
      </w:r>
      <w:r w:rsidR="00087E4C" w:rsidRPr="00F74CA6">
        <w:rPr>
          <w:szCs w:val="26"/>
        </w:rPr>
        <w:t>OSBA M.B</w:t>
      </w:r>
      <w:r w:rsidRPr="00F74CA6">
        <w:rPr>
          <w:szCs w:val="26"/>
        </w:rPr>
        <w:t>. at 9.</w:t>
      </w:r>
    </w:p>
    <w:p w14:paraId="65BF1F18" w14:textId="77777777" w:rsidR="006A4F7A" w:rsidRPr="00F74CA6" w:rsidRDefault="006A4F7A" w:rsidP="005C1D36">
      <w:pPr>
        <w:contextualSpacing/>
        <w:rPr>
          <w:szCs w:val="26"/>
        </w:rPr>
      </w:pPr>
    </w:p>
    <w:p w14:paraId="7018D03B" w14:textId="66F051C2" w:rsidR="0084404B" w:rsidRPr="00F74CA6" w:rsidRDefault="00087E4C" w:rsidP="005C1D36">
      <w:pPr>
        <w:contextualSpacing/>
        <w:rPr>
          <w:szCs w:val="26"/>
        </w:rPr>
      </w:pPr>
      <w:r w:rsidRPr="00F74CA6">
        <w:rPr>
          <w:szCs w:val="26"/>
        </w:rPr>
        <w:t xml:space="preserve">The </w:t>
      </w:r>
      <w:r w:rsidR="0084404B" w:rsidRPr="00F74CA6">
        <w:rPr>
          <w:szCs w:val="26"/>
        </w:rPr>
        <w:t xml:space="preserve">OSBA argues that Peoples’ current main line extension policy is reasonable and appropriate. </w:t>
      </w:r>
      <w:r w:rsidRPr="00F74CA6">
        <w:rPr>
          <w:szCs w:val="26"/>
        </w:rPr>
        <w:t xml:space="preserve"> </w:t>
      </w:r>
      <w:r w:rsidR="0084404B" w:rsidRPr="00F74CA6">
        <w:rPr>
          <w:i/>
          <w:iCs/>
          <w:szCs w:val="26"/>
        </w:rPr>
        <w:t>Id</w:t>
      </w:r>
      <w:r w:rsidR="0084404B" w:rsidRPr="00F74CA6">
        <w:rPr>
          <w:szCs w:val="26"/>
        </w:rPr>
        <w:t xml:space="preserve">. at 9-10. </w:t>
      </w:r>
      <w:r w:rsidRPr="00F74CA6">
        <w:rPr>
          <w:szCs w:val="26"/>
        </w:rPr>
        <w:t xml:space="preserve"> The </w:t>
      </w:r>
      <w:r w:rsidR="0084404B" w:rsidRPr="00F74CA6">
        <w:rPr>
          <w:szCs w:val="26"/>
        </w:rPr>
        <w:t>OSBA noted that the current 40 years of net revenue contributions for purposes of determining the customer’s allowable investment amount should be more than sufficient time for a customer to payback the</w:t>
      </w:r>
      <w:r w:rsidR="005C1D36" w:rsidRPr="00F74CA6">
        <w:rPr>
          <w:szCs w:val="26"/>
        </w:rPr>
        <w:t xml:space="preserve"> </w:t>
      </w:r>
      <w:r w:rsidR="0084404B" w:rsidRPr="00F74CA6">
        <w:rPr>
          <w:szCs w:val="26"/>
        </w:rPr>
        <w:t xml:space="preserve">initial service extension costs incurred by Peoples without requiring a CIAC. </w:t>
      </w:r>
      <w:r w:rsidR="006A4F7A" w:rsidRPr="00F74CA6">
        <w:rPr>
          <w:szCs w:val="26"/>
        </w:rPr>
        <w:t xml:space="preserve"> </w:t>
      </w:r>
      <w:r w:rsidR="0084404B" w:rsidRPr="00F74CA6">
        <w:rPr>
          <w:i/>
          <w:iCs/>
          <w:szCs w:val="26"/>
        </w:rPr>
        <w:t>Id</w:t>
      </w:r>
      <w:r w:rsidR="0084404B" w:rsidRPr="00F74CA6">
        <w:rPr>
          <w:szCs w:val="26"/>
        </w:rPr>
        <w:t>. at 10</w:t>
      </w:r>
      <w:r w:rsidR="002F3162">
        <w:rPr>
          <w:szCs w:val="26"/>
        </w:rPr>
        <w:t xml:space="preserve"> (</w:t>
      </w:r>
      <w:r w:rsidR="0084404B" w:rsidRPr="00F74CA6">
        <w:rPr>
          <w:szCs w:val="26"/>
        </w:rPr>
        <w:t>citing OSBA St.</w:t>
      </w:r>
      <w:r w:rsidR="002F3162">
        <w:rPr>
          <w:szCs w:val="26"/>
        </w:rPr>
        <w:t> </w:t>
      </w:r>
      <w:r w:rsidR="0084404B" w:rsidRPr="00F74CA6">
        <w:rPr>
          <w:szCs w:val="26"/>
        </w:rPr>
        <w:t>No. 1 at 17</w:t>
      </w:r>
      <w:r w:rsidR="002F3162">
        <w:rPr>
          <w:szCs w:val="26"/>
        </w:rPr>
        <w:t>)</w:t>
      </w:r>
      <w:r w:rsidR="0084404B" w:rsidRPr="00F74CA6">
        <w:rPr>
          <w:szCs w:val="26"/>
        </w:rPr>
        <w:t xml:space="preserve">. </w:t>
      </w:r>
      <w:r w:rsidRPr="00F74CA6">
        <w:rPr>
          <w:szCs w:val="26"/>
        </w:rPr>
        <w:t xml:space="preserve"> The </w:t>
      </w:r>
      <w:r w:rsidR="0084404B" w:rsidRPr="00F74CA6">
        <w:rPr>
          <w:szCs w:val="26"/>
        </w:rPr>
        <w:t>OSBA concluded that Peoples has failed to provide any valid economic argument in support of its proposal.</w:t>
      </w:r>
    </w:p>
    <w:p w14:paraId="02F95296" w14:textId="77777777" w:rsidR="0084404B" w:rsidRPr="00F74CA6" w:rsidRDefault="0084404B" w:rsidP="005C1D36">
      <w:pPr>
        <w:contextualSpacing/>
        <w:rPr>
          <w:szCs w:val="26"/>
        </w:rPr>
      </w:pPr>
      <w:r w:rsidRPr="00F74CA6">
        <w:rPr>
          <w:szCs w:val="26"/>
        </w:rPr>
        <w:tab/>
      </w:r>
      <w:r w:rsidRPr="00F74CA6">
        <w:rPr>
          <w:szCs w:val="26"/>
        </w:rPr>
        <w:tab/>
      </w:r>
    </w:p>
    <w:p w14:paraId="31E1EE61" w14:textId="77777777" w:rsidR="00690337" w:rsidRPr="00F74CA6" w:rsidRDefault="00600E1F" w:rsidP="00D919E3">
      <w:pPr>
        <w:pStyle w:val="ListParagraph"/>
        <w:keepNext/>
        <w:keepLines/>
        <w:ind w:firstLine="720"/>
        <w:rPr>
          <w:b/>
          <w:szCs w:val="26"/>
        </w:rPr>
      </w:pPr>
      <w:r w:rsidRPr="00F74CA6">
        <w:rPr>
          <w:b/>
          <w:szCs w:val="26"/>
        </w:rPr>
        <w:t>c.</w:t>
      </w:r>
      <w:r w:rsidRPr="00F74CA6">
        <w:rPr>
          <w:b/>
          <w:szCs w:val="26"/>
        </w:rPr>
        <w:tab/>
      </w:r>
      <w:r w:rsidR="00690337" w:rsidRPr="00F74CA6">
        <w:rPr>
          <w:b/>
          <w:szCs w:val="26"/>
        </w:rPr>
        <w:t>OCA</w:t>
      </w:r>
    </w:p>
    <w:p w14:paraId="4382C752" w14:textId="77777777" w:rsidR="00690337" w:rsidRPr="00F74CA6" w:rsidRDefault="00690337" w:rsidP="005C1D36">
      <w:pPr>
        <w:contextualSpacing/>
        <w:rPr>
          <w:szCs w:val="26"/>
        </w:rPr>
      </w:pPr>
    </w:p>
    <w:p w14:paraId="0B257B98" w14:textId="5E72A689" w:rsidR="00690337" w:rsidRPr="00F74CA6" w:rsidRDefault="005C1D36" w:rsidP="0028041B">
      <w:pPr>
        <w:contextualSpacing/>
        <w:rPr>
          <w:szCs w:val="26"/>
        </w:rPr>
      </w:pPr>
      <w:r w:rsidRPr="00F74CA6">
        <w:rPr>
          <w:szCs w:val="26"/>
        </w:rPr>
        <w:t xml:space="preserve">The OCA also briefed this issue. </w:t>
      </w:r>
      <w:r w:rsidR="00087E4C" w:rsidRPr="00F74CA6">
        <w:rPr>
          <w:szCs w:val="26"/>
        </w:rPr>
        <w:t xml:space="preserve"> </w:t>
      </w:r>
      <w:r w:rsidRPr="00F74CA6">
        <w:rPr>
          <w:szCs w:val="26"/>
        </w:rPr>
        <w:t xml:space="preserve">The OCA argued that Peoples has met its burden of proof in this case by demonstrating that the proposed main line extension policy will provide a benefit to customers seeking to obtain access to low-cost natural gas service in unserved and underserved areas within the Commonwealth without negatively affecting the </w:t>
      </w:r>
      <w:r w:rsidR="002A341E" w:rsidRPr="00F74CA6">
        <w:rPr>
          <w:szCs w:val="26"/>
        </w:rPr>
        <w:t>C</w:t>
      </w:r>
      <w:r w:rsidRPr="00F74CA6">
        <w:rPr>
          <w:szCs w:val="26"/>
        </w:rPr>
        <w:t xml:space="preserve">ompany’s current customers. </w:t>
      </w:r>
      <w:r w:rsidR="006A4F7A" w:rsidRPr="00F74CA6">
        <w:rPr>
          <w:szCs w:val="26"/>
        </w:rPr>
        <w:t xml:space="preserve"> </w:t>
      </w:r>
      <w:r w:rsidRPr="00F74CA6">
        <w:rPr>
          <w:szCs w:val="26"/>
        </w:rPr>
        <w:t xml:space="preserve">OCA M.B. at 8-9. </w:t>
      </w:r>
      <w:r w:rsidR="006A4F7A" w:rsidRPr="00F74CA6">
        <w:rPr>
          <w:szCs w:val="26"/>
        </w:rPr>
        <w:t xml:space="preserve"> </w:t>
      </w:r>
      <w:r w:rsidRPr="00F74CA6">
        <w:rPr>
          <w:szCs w:val="26"/>
        </w:rPr>
        <w:t xml:space="preserve">The OCA points to an economic test as explained by Peoples’ witness </w:t>
      </w:r>
      <w:r w:rsidR="00087E4C" w:rsidRPr="00F74CA6">
        <w:rPr>
          <w:szCs w:val="26"/>
        </w:rPr>
        <w:t xml:space="preserve">Mr. </w:t>
      </w:r>
      <w:r w:rsidRPr="00F74CA6">
        <w:rPr>
          <w:szCs w:val="26"/>
        </w:rPr>
        <w:t xml:space="preserve">Gregorini noting that, if the current economic test revealed that a CIAC was needed, the customer could pay that CIAC </w:t>
      </w:r>
      <w:r w:rsidRPr="00F74CA6">
        <w:rPr>
          <w:szCs w:val="26"/>
        </w:rPr>
        <w:lastRenderedPageBreak/>
        <w:t xml:space="preserve">upfront or spread the cost of the CIAC over time by charging a higher delivery rate through Rider MLX. </w:t>
      </w:r>
      <w:r w:rsidR="006A4F7A" w:rsidRPr="00F74CA6">
        <w:rPr>
          <w:szCs w:val="26"/>
        </w:rPr>
        <w:t xml:space="preserve"> </w:t>
      </w:r>
      <w:r w:rsidRPr="00F74CA6">
        <w:rPr>
          <w:i/>
          <w:iCs/>
          <w:szCs w:val="26"/>
        </w:rPr>
        <w:t>Id</w:t>
      </w:r>
      <w:r w:rsidRPr="00F74CA6">
        <w:rPr>
          <w:szCs w:val="26"/>
        </w:rPr>
        <w:t xml:space="preserve">. at 9-10. </w:t>
      </w:r>
      <w:r w:rsidR="006A4F7A" w:rsidRPr="00F74CA6">
        <w:rPr>
          <w:szCs w:val="26"/>
        </w:rPr>
        <w:t xml:space="preserve"> </w:t>
      </w:r>
      <w:r w:rsidRPr="00F74CA6">
        <w:rPr>
          <w:szCs w:val="26"/>
        </w:rPr>
        <w:t xml:space="preserve">The OCA noted that Mr. Gregorini explained that the CIAC amount as a whole was a significant barrier to incentivizing residential customers to receive a main extension and convert to natural gas service, but the proposed changes reduce this barrier through the 150-foot allowance. </w:t>
      </w:r>
      <w:r w:rsidR="006A4F7A" w:rsidRPr="00F74CA6">
        <w:rPr>
          <w:szCs w:val="26"/>
        </w:rPr>
        <w:t xml:space="preserve"> </w:t>
      </w:r>
      <w:r w:rsidRPr="00F74CA6">
        <w:rPr>
          <w:i/>
          <w:iCs/>
          <w:szCs w:val="26"/>
        </w:rPr>
        <w:t>Id</w:t>
      </w:r>
      <w:r w:rsidRPr="00F74CA6">
        <w:rPr>
          <w:szCs w:val="26"/>
        </w:rPr>
        <w:t>. at 10.</w:t>
      </w:r>
    </w:p>
    <w:p w14:paraId="14DDF861" w14:textId="77777777" w:rsidR="002A341E" w:rsidRPr="00F74CA6" w:rsidRDefault="002A341E" w:rsidP="0028041B">
      <w:pPr>
        <w:contextualSpacing/>
        <w:rPr>
          <w:szCs w:val="26"/>
        </w:rPr>
      </w:pPr>
    </w:p>
    <w:p w14:paraId="380331CA" w14:textId="77777777" w:rsidR="00B567A1" w:rsidRPr="00F74CA6" w:rsidRDefault="00B567A1" w:rsidP="00D00515">
      <w:pPr>
        <w:pStyle w:val="ListParagraph"/>
        <w:keepNext/>
        <w:keepLines/>
        <w:numPr>
          <w:ilvl w:val="0"/>
          <w:numId w:val="6"/>
        </w:numPr>
        <w:ind w:left="1440" w:hanging="720"/>
        <w:rPr>
          <w:b/>
          <w:szCs w:val="26"/>
        </w:rPr>
      </w:pPr>
      <w:r w:rsidRPr="00F74CA6">
        <w:rPr>
          <w:b/>
          <w:szCs w:val="26"/>
        </w:rPr>
        <w:t>ALJ’s Recommendation</w:t>
      </w:r>
    </w:p>
    <w:p w14:paraId="6D99D55E" w14:textId="77777777" w:rsidR="00690337" w:rsidRPr="00F74CA6" w:rsidRDefault="00690337" w:rsidP="00D00515">
      <w:pPr>
        <w:pStyle w:val="ListParagraph"/>
        <w:keepNext/>
        <w:keepLines/>
        <w:ind w:left="1440" w:firstLine="0"/>
        <w:rPr>
          <w:b/>
          <w:szCs w:val="26"/>
        </w:rPr>
      </w:pPr>
    </w:p>
    <w:p w14:paraId="419B5FD3" w14:textId="04D2A9A8" w:rsidR="00140698" w:rsidRPr="00F74CA6" w:rsidRDefault="00140698" w:rsidP="00140698">
      <w:pPr>
        <w:rPr>
          <w:szCs w:val="26"/>
        </w:rPr>
      </w:pPr>
      <w:r w:rsidRPr="00F74CA6">
        <w:rPr>
          <w:szCs w:val="26"/>
        </w:rPr>
        <w:t xml:space="preserve">ALJ Cheskis recommended that the Commission approve the </w:t>
      </w:r>
      <w:r w:rsidR="003273D3" w:rsidRPr="00F74CA6">
        <w:rPr>
          <w:szCs w:val="26"/>
        </w:rPr>
        <w:t>C</w:t>
      </w:r>
      <w:r w:rsidRPr="00F74CA6">
        <w:rPr>
          <w:szCs w:val="26"/>
        </w:rPr>
        <w:t xml:space="preserve">ompany’s proposal to modify its main line extension policy.  The ALJ found </w:t>
      </w:r>
      <w:r w:rsidR="00D014C0" w:rsidRPr="00F74CA6">
        <w:rPr>
          <w:szCs w:val="26"/>
        </w:rPr>
        <w:t xml:space="preserve">that </w:t>
      </w:r>
      <w:r w:rsidRPr="00F74CA6">
        <w:rPr>
          <w:szCs w:val="26"/>
        </w:rPr>
        <w:t xml:space="preserve">Peoples </w:t>
      </w:r>
      <w:r w:rsidR="00D014C0" w:rsidRPr="00F74CA6">
        <w:rPr>
          <w:szCs w:val="26"/>
        </w:rPr>
        <w:t>had established that its main line extension policy is in the public interest and</w:t>
      </w:r>
      <w:r w:rsidRPr="00F74CA6">
        <w:rPr>
          <w:szCs w:val="26"/>
        </w:rPr>
        <w:t xml:space="preserve"> supported by substantial </w:t>
      </w:r>
      <w:r w:rsidR="006A4F7A" w:rsidRPr="00F74CA6">
        <w:rPr>
          <w:szCs w:val="26"/>
        </w:rPr>
        <w:t xml:space="preserve">record </w:t>
      </w:r>
      <w:r w:rsidRPr="00F74CA6">
        <w:rPr>
          <w:szCs w:val="26"/>
        </w:rPr>
        <w:t>evidence.  R.D. at 5</w:t>
      </w:r>
      <w:r w:rsidR="006A4F7A" w:rsidRPr="00F74CA6">
        <w:rPr>
          <w:szCs w:val="26"/>
        </w:rPr>
        <w:t>5</w:t>
      </w:r>
      <w:r w:rsidR="00D014C0" w:rsidRPr="00F74CA6">
        <w:rPr>
          <w:szCs w:val="26"/>
        </w:rPr>
        <w:t>-59</w:t>
      </w:r>
      <w:r w:rsidRPr="00F74CA6">
        <w:rPr>
          <w:szCs w:val="26"/>
        </w:rPr>
        <w:t>.</w:t>
      </w:r>
    </w:p>
    <w:p w14:paraId="00B7F20E" w14:textId="77777777" w:rsidR="00140698" w:rsidRPr="00F74CA6" w:rsidRDefault="00140698">
      <w:pPr>
        <w:contextualSpacing/>
        <w:rPr>
          <w:szCs w:val="26"/>
        </w:rPr>
      </w:pPr>
    </w:p>
    <w:p w14:paraId="2BCDB2BE" w14:textId="2CBA08CB" w:rsidR="00C63FA5" w:rsidRPr="00F74CA6" w:rsidRDefault="00827FE5" w:rsidP="005C1D36">
      <w:pPr>
        <w:rPr>
          <w:i/>
          <w:iCs/>
          <w:szCs w:val="26"/>
        </w:rPr>
      </w:pPr>
      <w:r w:rsidRPr="00F74CA6">
        <w:rPr>
          <w:szCs w:val="26"/>
        </w:rPr>
        <w:t>In h</w:t>
      </w:r>
      <w:r w:rsidR="005049FA" w:rsidRPr="00F74CA6">
        <w:rPr>
          <w:szCs w:val="26"/>
        </w:rPr>
        <w:t>is</w:t>
      </w:r>
      <w:r w:rsidRPr="00F74CA6">
        <w:rPr>
          <w:szCs w:val="26"/>
        </w:rPr>
        <w:t xml:space="preserve"> Recommended Decision, the ALJ accepted the position of </w:t>
      </w:r>
      <w:r w:rsidR="005C1D36" w:rsidRPr="00F74CA6">
        <w:rPr>
          <w:szCs w:val="26"/>
        </w:rPr>
        <w:t>Peoples</w:t>
      </w:r>
      <w:r w:rsidRPr="00F74CA6">
        <w:rPr>
          <w:szCs w:val="26"/>
        </w:rPr>
        <w:t xml:space="preserve">, as endorsed by </w:t>
      </w:r>
      <w:r w:rsidR="00DD1472" w:rsidRPr="00F74CA6">
        <w:rPr>
          <w:szCs w:val="26"/>
        </w:rPr>
        <w:t xml:space="preserve">the </w:t>
      </w:r>
      <w:r w:rsidR="005C1D36" w:rsidRPr="00F74CA6">
        <w:rPr>
          <w:szCs w:val="26"/>
        </w:rPr>
        <w:t>OCA</w:t>
      </w:r>
      <w:r w:rsidRPr="00F74CA6">
        <w:rPr>
          <w:szCs w:val="26"/>
        </w:rPr>
        <w:t xml:space="preserve">, that </w:t>
      </w:r>
      <w:r w:rsidR="00C63FA5" w:rsidRPr="00F74CA6">
        <w:rPr>
          <w:szCs w:val="26"/>
        </w:rPr>
        <w:t>as a matter of public policy, areas of the Commonwealth that are unserved or underserved by natural gas s</w:t>
      </w:r>
      <w:r w:rsidR="00D942D1" w:rsidRPr="00F74CA6">
        <w:rPr>
          <w:szCs w:val="26"/>
        </w:rPr>
        <w:t>t</w:t>
      </w:r>
      <w:r w:rsidR="00C63FA5" w:rsidRPr="00F74CA6">
        <w:rPr>
          <w:szCs w:val="26"/>
        </w:rPr>
        <w:t xml:space="preserve">and to benefit from the price </w:t>
      </w:r>
      <w:r w:rsidR="00AE1FDC" w:rsidRPr="00F74CA6">
        <w:rPr>
          <w:szCs w:val="26"/>
        </w:rPr>
        <w:t>compet</w:t>
      </w:r>
      <w:r w:rsidR="00AE1FDC">
        <w:rPr>
          <w:szCs w:val="26"/>
        </w:rPr>
        <w:t>it</w:t>
      </w:r>
      <w:r w:rsidR="00AE1FDC" w:rsidRPr="00F74CA6">
        <w:rPr>
          <w:szCs w:val="26"/>
        </w:rPr>
        <w:t>i</w:t>
      </w:r>
      <w:r w:rsidR="00AE1FDC">
        <w:rPr>
          <w:szCs w:val="26"/>
        </w:rPr>
        <w:t>v</w:t>
      </w:r>
      <w:r w:rsidR="00AE1FDC" w:rsidRPr="00F74CA6">
        <w:rPr>
          <w:szCs w:val="26"/>
        </w:rPr>
        <w:t>eness</w:t>
      </w:r>
      <w:r w:rsidR="00C63FA5" w:rsidRPr="00F74CA6">
        <w:rPr>
          <w:szCs w:val="26"/>
        </w:rPr>
        <w:t xml:space="preserve"> and availability of natural gas.  The ALJ noted that Peoples’ proposal will increase the number of residential customers who are able to receive natural gas service by eliminating the first $5,906 of cost to have the main line extended. </w:t>
      </w:r>
      <w:r w:rsidR="00D942D1" w:rsidRPr="00F74CA6">
        <w:rPr>
          <w:szCs w:val="26"/>
        </w:rPr>
        <w:t xml:space="preserve"> </w:t>
      </w:r>
      <w:r w:rsidR="006A4F7A" w:rsidRPr="00F74CA6">
        <w:rPr>
          <w:i/>
          <w:iCs/>
          <w:szCs w:val="26"/>
        </w:rPr>
        <w:t>Id.</w:t>
      </w:r>
    </w:p>
    <w:p w14:paraId="0D4EEA96" w14:textId="77777777" w:rsidR="00C63FA5" w:rsidRPr="00F74CA6" w:rsidRDefault="00C63FA5" w:rsidP="005C1D36">
      <w:pPr>
        <w:rPr>
          <w:szCs w:val="26"/>
        </w:rPr>
      </w:pPr>
    </w:p>
    <w:p w14:paraId="278A2704" w14:textId="646A1DDF" w:rsidR="005C1D36" w:rsidRPr="00F74CA6" w:rsidRDefault="00D942D1" w:rsidP="005C1D36">
      <w:pPr>
        <w:rPr>
          <w:szCs w:val="26"/>
        </w:rPr>
      </w:pPr>
      <w:r w:rsidRPr="00F74CA6">
        <w:rPr>
          <w:szCs w:val="26"/>
        </w:rPr>
        <w:t>The ALJ agreed</w:t>
      </w:r>
      <w:r w:rsidR="005C1D36" w:rsidRPr="00F74CA6">
        <w:rPr>
          <w:szCs w:val="26"/>
        </w:rPr>
        <w:t xml:space="preserve"> with Peoples and the OCA that the </w:t>
      </w:r>
      <w:r w:rsidRPr="00F74CA6">
        <w:rPr>
          <w:szCs w:val="26"/>
        </w:rPr>
        <w:t xml:space="preserve">Company </w:t>
      </w:r>
      <w:r w:rsidR="005C1D36" w:rsidRPr="00F74CA6">
        <w:rPr>
          <w:szCs w:val="26"/>
        </w:rPr>
        <w:t>installing the first 150 feet of main line without charge for each residential</w:t>
      </w:r>
      <w:r w:rsidR="00B81B3F" w:rsidRPr="00F74CA6">
        <w:rPr>
          <w:szCs w:val="26"/>
        </w:rPr>
        <w:t xml:space="preserve"> customer</w:t>
      </w:r>
      <w:r w:rsidR="005C1D36" w:rsidRPr="00F74CA6">
        <w:rPr>
          <w:szCs w:val="26"/>
        </w:rPr>
        <w:t xml:space="preserve"> that applies for a line extension, unless there are abnormal underground conditions such as crossing a stream or highway, among other things, is just and reasonable. </w:t>
      </w:r>
      <w:r w:rsidRPr="00F74CA6">
        <w:rPr>
          <w:szCs w:val="26"/>
        </w:rPr>
        <w:t xml:space="preserve"> The ALJ noted that this </w:t>
      </w:r>
      <w:r w:rsidR="005C1D36" w:rsidRPr="00F74CA6">
        <w:rPr>
          <w:szCs w:val="26"/>
        </w:rPr>
        <w:t xml:space="preserve">includes Peoples’ proposal that, as more applicants join a single project to extend gas facilities, the </w:t>
      </w:r>
      <w:r w:rsidRPr="00F74CA6">
        <w:rPr>
          <w:szCs w:val="26"/>
        </w:rPr>
        <w:t xml:space="preserve">Company </w:t>
      </w:r>
      <w:r w:rsidR="005C1D36" w:rsidRPr="00F74CA6">
        <w:rPr>
          <w:szCs w:val="26"/>
        </w:rPr>
        <w:t xml:space="preserve">will install a greater length of main without charge to the residential applicants and that any amount required beyond 150 feet could be paid by the applicant upfront or through Rider MLX. </w:t>
      </w:r>
      <w:r w:rsidR="00E97484" w:rsidRPr="00F74CA6">
        <w:rPr>
          <w:szCs w:val="26"/>
        </w:rPr>
        <w:t xml:space="preserve"> </w:t>
      </w:r>
      <w:r w:rsidR="00E97484" w:rsidRPr="00F74CA6">
        <w:rPr>
          <w:i/>
          <w:iCs/>
          <w:szCs w:val="26"/>
        </w:rPr>
        <w:t>Id.</w:t>
      </w:r>
    </w:p>
    <w:p w14:paraId="7A078E38" w14:textId="77777777" w:rsidR="00560CF5" w:rsidRPr="00F74CA6" w:rsidRDefault="00560CF5" w:rsidP="005C1D36">
      <w:pPr>
        <w:rPr>
          <w:szCs w:val="26"/>
        </w:rPr>
      </w:pPr>
    </w:p>
    <w:p w14:paraId="0EE7E0A9" w14:textId="2F0F64DB" w:rsidR="005C1D36" w:rsidRPr="00F74CA6" w:rsidRDefault="00D942D1" w:rsidP="005C1D36">
      <w:pPr>
        <w:rPr>
          <w:szCs w:val="26"/>
        </w:rPr>
      </w:pPr>
      <w:r w:rsidRPr="00F74CA6">
        <w:rPr>
          <w:szCs w:val="26"/>
        </w:rPr>
        <w:lastRenderedPageBreak/>
        <w:t xml:space="preserve">The ALJ also pointed out that </w:t>
      </w:r>
      <w:r w:rsidR="005C1D36" w:rsidRPr="00F74CA6">
        <w:rPr>
          <w:szCs w:val="26"/>
        </w:rPr>
        <w:t xml:space="preserve">Peoples’ proposal will increase the number of residential customers who are able to receive natural gas service by eliminating the first $5,906 of cost to have the main line extended. </w:t>
      </w:r>
      <w:r w:rsidRPr="00F74CA6">
        <w:rPr>
          <w:szCs w:val="26"/>
        </w:rPr>
        <w:t xml:space="preserve"> According to the ALJ, n</w:t>
      </w:r>
      <w:r w:rsidR="005C1D36" w:rsidRPr="00F74CA6">
        <w:rPr>
          <w:szCs w:val="26"/>
        </w:rPr>
        <w:t xml:space="preserve">atural gas service is a reliable and economic source of heat and has become increasingly available as a result of the increased access to Marcellus Shale in Pennsylvania. </w:t>
      </w:r>
      <w:r w:rsidRPr="00F74CA6">
        <w:rPr>
          <w:szCs w:val="26"/>
        </w:rPr>
        <w:t xml:space="preserve"> The ALJ agreed with Peoples’ argument that</w:t>
      </w:r>
      <w:r w:rsidR="005C1D36" w:rsidRPr="00F74CA6">
        <w:rPr>
          <w:szCs w:val="26"/>
        </w:rPr>
        <w:t xml:space="preserve"> through the combined benefit of the proposal and Rider MLX, Peoples will be able to further encourage customers to convert to natural gas and capitalize on the plentiful supply of low-cost gas supplies. </w:t>
      </w:r>
      <w:r w:rsidRPr="00F74CA6">
        <w:rPr>
          <w:szCs w:val="26"/>
        </w:rPr>
        <w:t xml:space="preserve"> </w:t>
      </w:r>
      <w:r w:rsidR="005C1D36" w:rsidRPr="00F74CA6">
        <w:rPr>
          <w:szCs w:val="26"/>
        </w:rPr>
        <w:t xml:space="preserve">In addition, the </w:t>
      </w:r>
      <w:r w:rsidRPr="00F74CA6">
        <w:rPr>
          <w:szCs w:val="26"/>
        </w:rPr>
        <w:t xml:space="preserve">ALJ agreed with the OCA’s </w:t>
      </w:r>
      <w:r w:rsidR="00DD1472" w:rsidRPr="00F74CA6">
        <w:rPr>
          <w:szCs w:val="26"/>
        </w:rPr>
        <w:t>assertion that</w:t>
      </w:r>
      <w:r w:rsidR="005C1D36" w:rsidRPr="00F74CA6">
        <w:rPr>
          <w:szCs w:val="26"/>
        </w:rPr>
        <w:t xml:space="preserve"> as a matter of public policy, areas of the Commonwealth that are unserved or underserved by natural gas stand to benefit from the price competitiveness and availability of natural gas. </w:t>
      </w:r>
      <w:r w:rsidR="00E97484" w:rsidRPr="00F74CA6">
        <w:rPr>
          <w:szCs w:val="26"/>
        </w:rPr>
        <w:t xml:space="preserve"> </w:t>
      </w:r>
      <w:r w:rsidR="00E97484" w:rsidRPr="00F74CA6">
        <w:rPr>
          <w:i/>
          <w:iCs/>
          <w:szCs w:val="26"/>
        </w:rPr>
        <w:t>Id.</w:t>
      </w:r>
    </w:p>
    <w:p w14:paraId="70A27B40" w14:textId="77777777" w:rsidR="005C1D36" w:rsidRPr="00F74CA6" w:rsidRDefault="005C1D36" w:rsidP="005C1D36">
      <w:pPr>
        <w:rPr>
          <w:szCs w:val="26"/>
        </w:rPr>
      </w:pPr>
    </w:p>
    <w:p w14:paraId="245F2782" w14:textId="77777777" w:rsidR="00827FE5" w:rsidRPr="00F74CA6" w:rsidRDefault="00827FE5">
      <w:pPr>
        <w:pStyle w:val="ListParagraph"/>
        <w:ind w:left="0"/>
        <w:rPr>
          <w:szCs w:val="26"/>
        </w:rPr>
      </w:pPr>
      <w:r w:rsidRPr="00F74CA6">
        <w:rPr>
          <w:szCs w:val="26"/>
        </w:rPr>
        <w:t>In light of the above, the ALJ recommended a</w:t>
      </w:r>
      <w:r w:rsidR="0028041B" w:rsidRPr="00F74CA6">
        <w:rPr>
          <w:szCs w:val="26"/>
        </w:rPr>
        <w:t xml:space="preserve">doption of </w:t>
      </w:r>
      <w:bookmarkStart w:id="4" w:name="_Hlk19483590"/>
      <w:r w:rsidR="0028041B" w:rsidRPr="00F74CA6">
        <w:rPr>
          <w:szCs w:val="26"/>
        </w:rPr>
        <w:t>Peoples’ proposed main line extension allowance.</w:t>
      </w:r>
      <w:bookmarkEnd w:id="4"/>
      <w:r w:rsidR="0028041B" w:rsidRPr="00F74CA6">
        <w:rPr>
          <w:szCs w:val="26"/>
        </w:rPr>
        <w:t xml:space="preserve"> </w:t>
      </w:r>
      <w:r w:rsidRPr="00F74CA6">
        <w:rPr>
          <w:szCs w:val="26"/>
        </w:rPr>
        <w:t xml:space="preserve"> </w:t>
      </w:r>
      <w:r w:rsidR="00D014C0" w:rsidRPr="00F74CA6">
        <w:rPr>
          <w:i/>
          <w:iCs/>
          <w:szCs w:val="26"/>
        </w:rPr>
        <w:t>Id</w:t>
      </w:r>
      <w:r w:rsidRPr="00F74CA6">
        <w:rPr>
          <w:szCs w:val="26"/>
        </w:rPr>
        <w:t>.</w:t>
      </w:r>
    </w:p>
    <w:p w14:paraId="717B775F" w14:textId="77777777" w:rsidR="00690337" w:rsidRPr="00F74CA6" w:rsidRDefault="00690337">
      <w:pPr>
        <w:pStyle w:val="ListParagraph"/>
        <w:ind w:left="1440" w:firstLine="0"/>
        <w:rPr>
          <w:b/>
          <w:szCs w:val="26"/>
        </w:rPr>
      </w:pPr>
    </w:p>
    <w:p w14:paraId="289F6CDA" w14:textId="77777777" w:rsidR="00B567A1" w:rsidRPr="00F74CA6" w:rsidRDefault="00B567A1">
      <w:pPr>
        <w:pStyle w:val="ListParagraph"/>
        <w:keepNext/>
        <w:keepLines/>
        <w:numPr>
          <w:ilvl w:val="0"/>
          <w:numId w:val="6"/>
        </w:numPr>
        <w:ind w:left="1440" w:hanging="720"/>
        <w:rPr>
          <w:b/>
          <w:szCs w:val="26"/>
        </w:rPr>
      </w:pPr>
      <w:r w:rsidRPr="00F74CA6">
        <w:rPr>
          <w:b/>
          <w:szCs w:val="26"/>
        </w:rPr>
        <w:t>Exceptions and Replies</w:t>
      </w:r>
    </w:p>
    <w:p w14:paraId="071FAC0F" w14:textId="77777777" w:rsidR="00827FE5" w:rsidRPr="00F74CA6" w:rsidRDefault="00827FE5">
      <w:pPr>
        <w:pStyle w:val="ListParagraph"/>
        <w:keepNext/>
        <w:keepLines/>
        <w:ind w:left="1440" w:firstLine="0"/>
        <w:rPr>
          <w:b/>
          <w:szCs w:val="26"/>
        </w:rPr>
      </w:pPr>
    </w:p>
    <w:p w14:paraId="65186C27" w14:textId="77777777" w:rsidR="004770F3" w:rsidRPr="00F74CA6" w:rsidRDefault="00D942D1">
      <w:pPr>
        <w:pStyle w:val="ListParagraph"/>
        <w:keepNext/>
        <w:keepLines/>
        <w:ind w:left="0"/>
        <w:rPr>
          <w:szCs w:val="26"/>
        </w:rPr>
      </w:pPr>
      <w:r w:rsidRPr="00F74CA6">
        <w:rPr>
          <w:szCs w:val="26"/>
        </w:rPr>
        <w:t xml:space="preserve">The </w:t>
      </w:r>
      <w:r w:rsidR="00D21443" w:rsidRPr="00F74CA6">
        <w:rPr>
          <w:szCs w:val="26"/>
        </w:rPr>
        <w:t xml:space="preserve">OSBA </w:t>
      </w:r>
      <w:r w:rsidR="004770F3" w:rsidRPr="00F74CA6">
        <w:rPr>
          <w:szCs w:val="26"/>
        </w:rPr>
        <w:t xml:space="preserve">excepted to the ALJ’s ruling.  </w:t>
      </w:r>
      <w:r w:rsidR="00D21443" w:rsidRPr="00F74CA6">
        <w:rPr>
          <w:szCs w:val="26"/>
        </w:rPr>
        <w:t>Peoples</w:t>
      </w:r>
      <w:r w:rsidR="004770F3" w:rsidRPr="00F74CA6">
        <w:rPr>
          <w:szCs w:val="26"/>
        </w:rPr>
        <w:t xml:space="preserve"> </w:t>
      </w:r>
      <w:r w:rsidR="00D21443" w:rsidRPr="00F74CA6">
        <w:rPr>
          <w:szCs w:val="26"/>
        </w:rPr>
        <w:t xml:space="preserve">and </w:t>
      </w:r>
      <w:r w:rsidRPr="00F74CA6">
        <w:rPr>
          <w:szCs w:val="26"/>
        </w:rPr>
        <w:t xml:space="preserve">the </w:t>
      </w:r>
      <w:r w:rsidR="00D21443" w:rsidRPr="00F74CA6">
        <w:rPr>
          <w:szCs w:val="26"/>
        </w:rPr>
        <w:t xml:space="preserve">OCA </w:t>
      </w:r>
      <w:r w:rsidR="004770F3" w:rsidRPr="00F74CA6">
        <w:rPr>
          <w:szCs w:val="26"/>
        </w:rPr>
        <w:t xml:space="preserve">filed Replies to </w:t>
      </w:r>
      <w:r w:rsidR="00AD1953" w:rsidRPr="00F74CA6">
        <w:rPr>
          <w:szCs w:val="26"/>
        </w:rPr>
        <w:t xml:space="preserve">the </w:t>
      </w:r>
      <w:r w:rsidR="00D21443" w:rsidRPr="00F74CA6">
        <w:rPr>
          <w:szCs w:val="26"/>
        </w:rPr>
        <w:t>OSBA’s</w:t>
      </w:r>
      <w:r w:rsidR="004770F3" w:rsidRPr="00F74CA6">
        <w:rPr>
          <w:szCs w:val="26"/>
        </w:rPr>
        <w:t xml:space="preserve"> Exceptions.  The Exceptions and the associated Replies to Exceptions are addressed below.</w:t>
      </w:r>
    </w:p>
    <w:p w14:paraId="74F9F08D" w14:textId="77777777" w:rsidR="00D21443" w:rsidRPr="00F74CA6" w:rsidRDefault="00D21443" w:rsidP="006D538D">
      <w:pPr>
        <w:keepNext/>
        <w:keepLines/>
        <w:spacing w:line="240" w:lineRule="auto"/>
        <w:ind w:firstLine="0"/>
        <w:rPr>
          <w:szCs w:val="26"/>
        </w:rPr>
      </w:pPr>
    </w:p>
    <w:p w14:paraId="338E5001" w14:textId="6E428D3C" w:rsidR="004770F3" w:rsidRPr="00F74CA6" w:rsidRDefault="00AD1953">
      <w:pPr>
        <w:contextualSpacing/>
        <w:rPr>
          <w:szCs w:val="26"/>
        </w:rPr>
      </w:pPr>
      <w:r w:rsidRPr="00F74CA6">
        <w:rPr>
          <w:szCs w:val="26"/>
        </w:rPr>
        <w:t xml:space="preserve">The </w:t>
      </w:r>
      <w:r w:rsidR="00D21443" w:rsidRPr="00F74CA6">
        <w:rPr>
          <w:szCs w:val="26"/>
        </w:rPr>
        <w:t>OSBA</w:t>
      </w:r>
      <w:r w:rsidR="004770F3" w:rsidRPr="00F74CA6">
        <w:rPr>
          <w:szCs w:val="26"/>
        </w:rPr>
        <w:t xml:space="preserve"> excepts to the ALJ’s recommendation </w:t>
      </w:r>
      <w:r w:rsidR="00F943AC" w:rsidRPr="00F74CA6">
        <w:rPr>
          <w:szCs w:val="26"/>
        </w:rPr>
        <w:t>by noting that even though the ALJ acknowledged that to the extent that the Company’s proposed</w:t>
      </w:r>
      <w:r w:rsidR="008C1A5A" w:rsidRPr="00F74CA6">
        <w:rPr>
          <w:szCs w:val="26"/>
        </w:rPr>
        <w:t xml:space="preserve"> 150-foot </w:t>
      </w:r>
      <w:r w:rsidR="0070631A" w:rsidRPr="00F74CA6">
        <w:rPr>
          <w:szCs w:val="26"/>
        </w:rPr>
        <w:t>M</w:t>
      </w:r>
      <w:r w:rsidR="008C1A5A" w:rsidRPr="00F74CA6">
        <w:rPr>
          <w:szCs w:val="26"/>
        </w:rPr>
        <w:t xml:space="preserve">ain </w:t>
      </w:r>
      <w:r w:rsidR="0070631A" w:rsidRPr="00F74CA6">
        <w:rPr>
          <w:szCs w:val="26"/>
        </w:rPr>
        <w:t>M</w:t>
      </w:r>
      <w:r w:rsidR="008C1A5A" w:rsidRPr="00F74CA6">
        <w:rPr>
          <w:szCs w:val="26"/>
        </w:rPr>
        <w:t>ine</w:t>
      </w:r>
      <w:r w:rsidR="00F943AC" w:rsidRPr="00F74CA6">
        <w:rPr>
          <w:szCs w:val="26"/>
        </w:rPr>
        <w:t xml:space="preserve"> </w:t>
      </w:r>
      <w:r w:rsidR="0070631A" w:rsidRPr="00F74CA6">
        <w:rPr>
          <w:szCs w:val="26"/>
        </w:rPr>
        <w:t>E</w:t>
      </w:r>
      <w:r w:rsidR="00F943AC" w:rsidRPr="00F74CA6">
        <w:rPr>
          <w:szCs w:val="26"/>
        </w:rPr>
        <w:t xml:space="preserve">xtension </w:t>
      </w:r>
      <w:r w:rsidR="008C1A5A" w:rsidRPr="00F74CA6">
        <w:rPr>
          <w:szCs w:val="26"/>
        </w:rPr>
        <w:t>allowance</w:t>
      </w:r>
      <w:r w:rsidR="00F943AC" w:rsidRPr="00F74CA6">
        <w:rPr>
          <w:szCs w:val="26"/>
        </w:rPr>
        <w:t xml:space="preserve"> </w:t>
      </w:r>
      <w:r w:rsidR="008C1A5A" w:rsidRPr="00F74CA6">
        <w:rPr>
          <w:szCs w:val="26"/>
        </w:rPr>
        <w:t xml:space="preserve">to new residential customers </w:t>
      </w:r>
      <w:r w:rsidR="00F943AC" w:rsidRPr="00F74CA6">
        <w:rPr>
          <w:szCs w:val="26"/>
        </w:rPr>
        <w:t>creates a subsidy</w:t>
      </w:r>
      <w:r w:rsidRPr="00F74CA6">
        <w:rPr>
          <w:szCs w:val="26"/>
        </w:rPr>
        <w:t>,</w:t>
      </w:r>
      <w:r w:rsidR="00F943AC" w:rsidRPr="00F74CA6">
        <w:rPr>
          <w:szCs w:val="26"/>
        </w:rPr>
        <w:t xml:space="preserve"> it is appropriate to allocate costs to </w:t>
      </w:r>
      <w:r w:rsidRPr="00F74CA6">
        <w:rPr>
          <w:szCs w:val="26"/>
        </w:rPr>
        <w:t xml:space="preserve">the </w:t>
      </w:r>
      <w:r w:rsidR="00F943AC" w:rsidRPr="00F74CA6">
        <w:rPr>
          <w:szCs w:val="26"/>
        </w:rPr>
        <w:t>residential customer</w:t>
      </w:r>
      <w:r w:rsidR="008C1A5A" w:rsidRPr="00F74CA6">
        <w:rPr>
          <w:szCs w:val="26"/>
        </w:rPr>
        <w:t xml:space="preserve"> class in future base rate proceeding</w:t>
      </w:r>
      <w:r w:rsidR="00F943AC" w:rsidRPr="00F74CA6">
        <w:rPr>
          <w:szCs w:val="26"/>
        </w:rPr>
        <w:t xml:space="preserve">.  </w:t>
      </w:r>
      <w:r w:rsidRPr="00F74CA6">
        <w:rPr>
          <w:szCs w:val="26"/>
        </w:rPr>
        <w:t xml:space="preserve">The </w:t>
      </w:r>
      <w:r w:rsidR="0031491F" w:rsidRPr="00F74CA6">
        <w:rPr>
          <w:szCs w:val="26"/>
        </w:rPr>
        <w:t xml:space="preserve">OSBA </w:t>
      </w:r>
      <w:r w:rsidRPr="00F74CA6">
        <w:rPr>
          <w:szCs w:val="26"/>
        </w:rPr>
        <w:t xml:space="preserve">contends </w:t>
      </w:r>
      <w:r w:rsidR="0031491F" w:rsidRPr="00F74CA6">
        <w:rPr>
          <w:szCs w:val="26"/>
        </w:rPr>
        <w:t xml:space="preserve">that </w:t>
      </w:r>
      <w:r w:rsidRPr="00F74CA6">
        <w:rPr>
          <w:szCs w:val="26"/>
        </w:rPr>
        <w:t>the ALJ erred by</w:t>
      </w:r>
      <w:r w:rsidR="00F943AC" w:rsidRPr="00F74CA6">
        <w:rPr>
          <w:szCs w:val="26"/>
        </w:rPr>
        <w:t xml:space="preserve"> not includ</w:t>
      </w:r>
      <w:r w:rsidR="0031491F" w:rsidRPr="00F74CA6">
        <w:rPr>
          <w:szCs w:val="26"/>
        </w:rPr>
        <w:t>ing</w:t>
      </w:r>
      <w:r w:rsidR="00F943AC" w:rsidRPr="00F74CA6">
        <w:rPr>
          <w:szCs w:val="26"/>
        </w:rPr>
        <w:t xml:space="preserve"> an </w:t>
      </w:r>
      <w:r w:rsidR="0031491F" w:rsidRPr="00F74CA6">
        <w:rPr>
          <w:szCs w:val="26"/>
        </w:rPr>
        <w:t>O</w:t>
      </w:r>
      <w:r w:rsidR="00F943AC" w:rsidRPr="00F74CA6">
        <w:rPr>
          <w:szCs w:val="26"/>
        </w:rPr>
        <w:t xml:space="preserve">rdering </w:t>
      </w:r>
      <w:r w:rsidR="0031491F" w:rsidRPr="00F74CA6">
        <w:rPr>
          <w:szCs w:val="26"/>
        </w:rPr>
        <w:t>P</w:t>
      </w:r>
      <w:r w:rsidR="00F943AC" w:rsidRPr="00F74CA6">
        <w:rPr>
          <w:szCs w:val="26"/>
        </w:rPr>
        <w:t xml:space="preserve">aragraph directing the Company to allocate these costs to the residential class in </w:t>
      </w:r>
      <w:r w:rsidR="008C1A5A" w:rsidRPr="00F74CA6">
        <w:rPr>
          <w:szCs w:val="26"/>
        </w:rPr>
        <w:t xml:space="preserve">any </w:t>
      </w:r>
      <w:r w:rsidR="00F943AC" w:rsidRPr="00F74CA6">
        <w:rPr>
          <w:szCs w:val="26"/>
        </w:rPr>
        <w:t>future bas</w:t>
      </w:r>
      <w:r w:rsidR="008C1A5A" w:rsidRPr="00F74CA6">
        <w:rPr>
          <w:szCs w:val="26"/>
        </w:rPr>
        <w:t>e</w:t>
      </w:r>
      <w:r w:rsidR="00F943AC" w:rsidRPr="00F74CA6">
        <w:rPr>
          <w:szCs w:val="26"/>
        </w:rPr>
        <w:t xml:space="preserve"> rate proceeding.  OSBA</w:t>
      </w:r>
      <w:r w:rsidR="004770F3" w:rsidRPr="00F74CA6">
        <w:rPr>
          <w:szCs w:val="26"/>
        </w:rPr>
        <w:t xml:space="preserve"> Exc. at </w:t>
      </w:r>
      <w:r w:rsidR="00F943AC" w:rsidRPr="00F74CA6">
        <w:rPr>
          <w:szCs w:val="26"/>
        </w:rPr>
        <w:t>2</w:t>
      </w:r>
      <w:r w:rsidR="004770F3" w:rsidRPr="00F74CA6">
        <w:rPr>
          <w:szCs w:val="26"/>
        </w:rPr>
        <w:t>.</w:t>
      </w:r>
    </w:p>
    <w:p w14:paraId="759FF6B9" w14:textId="77777777" w:rsidR="004770F3" w:rsidRPr="00F74CA6" w:rsidRDefault="004770F3">
      <w:pPr>
        <w:contextualSpacing/>
        <w:rPr>
          <w:szCs w:val="26"/>
        </w:rPr>
      </w:pPr>
    </w:p>
    <w:p w14:paraId="14C91889" w14:textId="063A1725" w:rsidR="00077CAC" w:rsidRPr="00F74CA6" w:rsidRDefault="001E1799">
      <w:pPr>
        <w:contextualSpacing/>
        <w:rPr>
          <w:szCs w:val="26"/>
        </w:rPr>
      </w:pPr>
      <w:r w:rsidRPr="00F74CA6">
        <w:rPr>
          <w:szCs w:val="26"/>
        </w:rPr>
        <w:lastRenderedPageBreak/>
        <w:t xml:space="preserve">In its Reply to Exceptions, </w:t>
      </w:r>
      <w:r w:rsidR="004F4E56" w:rsidRPr="00F74CA6">
        <w:rPr>
          <w:szCs w:val="26"/>
        </w:rPr>
        <w:t>Peoples</w:t>
      </w:r>
      <w:r w:rsidR="004770F3" w:rsidRPr="00F74CA6">
        <w:rPr>
          <w:szCs w:val="26"/>
        </w:rPr>
        <w:t xml:space="preserve"> </w:t>
      </w:r>
      <w:r w:rsidRPr="00F74CA6">
        <w:rPr>
          <w:szCs w:val="26"/>
        </w:rPr>
        <w:t>states</w:t>
      </w:r>
      <w:r w:rsidR="004770F3" w:rsidRPr="00F74CA6">
        <w:rPr>
          <w:szCs w:val="26"/>
        </w:rPr>
        <w:t xml:space="preserve"> that </w:t>
      </w:r>
      <w:r w:rsidR="00AD1953" w:rsidRPr="00F74CA6">
        <w:rPr>
          <w:szCs w:val="26"/>
        </w:rPr>
        <w:t xml:space="preserve">the </w:t>
      </w:r>
      <w:r w:rsidR="00077CAC" w:rsidRPr="00F74CA6">
        <w:rPr>
          <w:szCs w:val="26"/>
        </w:rPr>
        <w:t xml:space="preserve">OSBA no longer contests its 150-feet main line allowance proposal, but </w:t>
      </w:r>
      <w:r w:rsidR="00AD1953" w:rsidRPr="00F74CA6">
        <w:rPr>
          <w:szCs w:val="26"/>
        </w:rPr>
        <w:t xml:space="preserve">simply objects to the ALJ’s omission of an ordering paragraph that would require </w:t>
      </w:r>
      <w:r w:rsidR="00077CAC" w:rsidRPr="00F74CA6">
        <w:rPr>
          <w:szCs w:val="26"/>
        </w:rPr>
        <w:t xml:space="preserve">the Company to assign all of the costs for the main line extensions proposal, including any subsidy that may be created, to the residential customer class in future base rate proceedings.  Peoples </w:t>
      </w:r>
      <w:r w:rsidR="008718F1" w:rsidRPr="00F74CA6">
        <w:rPr>
          <w:szCs w:val="26"/>
        </w:rPr>
        <w:t>notes that</w:t>
      </w:r>
      <w:r w:rsidR="00077CAC" w:rsidRPr="00F74CA6">
        <w:rPr>
          <w:szCs w:val="26"/>
        </w:rPr>
        <w:t xml:space="preserve"> </w:t>
      </w:r>
      <w:r w:rsidR="008C1A5A" w:rsidRPr="00F74CA6">
        <w:rPr>
          <w:szCs w:val="26"/>
        </w:rPr>
        <w:t>the ALJ</w:t>
      </w:r>
      <w:r w:rsidR="00077CAC" w:rsidRPr="00F74CA6">
        <w:rPr>
          <w:szCs w:val="26"/>
        </w:rPr>
        <w:t>,</w:t>
      </w:r>
      <w:r w:rsidR="008C1A5A" w:rsidRPr="00F74CA6">
        <w:rPr>
          <w:szCs w:val="26"/>
        </w:rPr>
        <w:t xml:space="preserve"> in his Recommended Decision</w:t>
      </w:r>
      <w:r w:rsidR="00077CAC" w:rsidRPr="00F74CA6">
        <w:rPr>
          <w:szCs w:val="26"/>
        </w:rPr>
        <w:t>, had rejected</w:t>
      </w:r>
      <w:r w:rsidR="008C1A5A" w:rsidRPr="00F74CA6">
        <w:rPr>
          <w:szCs w:val="26"/>
        </w:rPr>
        <w:t xml:space="preserve"> </w:t>
      </w:r>
      <w:r w:rsidR="00AD1953" w:rsidRPr="00F74CA6">
        <w:rPr>
          <w:szCs w:val="26"/>
        </w:rPr>
        <w:t xml:space="preserve">the </w:t>
      </w:r>
      <w:r w:rsidR="008C1A5A" w:rsidRPr="00F74CA6">
        <w:rPr>
          <w:szCs w:val="26"/>
        </w:rPr>
        <w:t>OSBA</w:t>
      </w:r>
      <w:r w:rsidR="004770F3" w:rsidRPr="00F74CA6">
        <w:rPr>
          <w:szCs w:val="26"/>
        </w:rPr>
        <w:t xml:space="preserve">’s </w:t>
      </w:r>
      <w:r w:rsidR="008C1A5A" w:rsidRPr="00F74CA6">
        <w:rPr>
          <w:szCs w:val="26"/>
        </w:rPr>
        <w:t xml:space="preserve">claim that the Company’s proposal would result in residential applicants paying inadequate contribution in the form of CIACs for extension of the Company’s </w:t>
      </w:r>
      <w:r w:rsidR="00B81B3F" w:rsidRPr="00F74CA6">
        <w:rPr>
          <w:szCs w:val="26"/>
        </w:rPr>
        <w:t>m</w:t>
      </w:r>
      <w:r w:rsidR="008C1A5A" w:rsidRPr="00F74CA6">
        <w:rPr>
          <w:szCs w:val="26"/>
        </w:rPr>
        <w:t>ain</w:t>
      </w:r>
      <w:r w:rsidR="00F06F05" w:rsidRPr="00F74CA6">
        <w:rPr>
          <w:szCs w:val="26"/>
        </w:rPr>
        <w:t xml:space="preserve"> </w:t>
      </w:r>
      <w:r w:rsidR="00B81B3F" w:rsidRPr="00F74CA6">
        <w:rPr>
          <w:szCs w:val="26"/>
        </w:rPr>
        <w:t>l</w:t>
      </w:r>
      <w:r w:rsidR="00F06F05" w:rsidRPr="00F74CA6">
        <w:rPr>
          <w:szCs w:val="26"/>
        </w:rPr>
        <w:t>ines</w:t>
      </w:r>
      <w:r w:rsidR="008C1A5A" w:rsidRPr="00F74CA6">
        <w:rPr>
          <w:szCs w:val="26"/>
        </w:rPr>
        <w:t xml:space="preserve">.  </w:t>
      </w:r>
      <w:r w:rsidR="006D59AE" w:rsidRPr="00F74CA6">
        <w:rPr>
          <w:szCs w:val="26"/>
        </w:rPr>
        <w:t xml:space="preserve">Peoples </w:t>
      </w:r>
      <w:r w:rsidR="00077CAC" w:rsidRPr="00F74CA6">
        <w:rPr>
          <w:szCs w:val="26"/>
        </w:rPr>
        <w:t xml:space="preserve">also </w:t>
      </w:r>
      <w:r w:rsidR="006D59AE" w:rsidRPr="00F74CA6">
        <w:rPr>
          <w:szCs w:val="26"/>
        </w:rPr>
        <w:t xml:space="preserve">noted that the ALJ specifically rejected </w:t>
      </w:r>
      <w:r w:rsidR="00AD1953" w:rsidRPr="00F74CA6">
        <w:rPr>
          <w:szCs w:val="26"/>
        </w:rPr>
        <w:t xml:space="preserve">the </w:t>
      </w:r>
      <w:r w:rsidR="006D59AE" w:rsidRPr="00F74CA6">
        <w:rPr>
          <w:szCs w:val="26"/>
        </w:rPr>
        <w:t>OSBA’s argument that the Company’s proposal would create a subsidy for new residential applicants that would be passed on to general ratepayer</w:t>
      </w:r>
      <w:r w:rsidR="00AD1953" w:rsidRPr="00F74CA6">
        <w:rPr>
          <w:szCs w:val="26"/>
        </w:rPr>
        <w:t>s</w:t>
      </w:r>
      <w:r w:rsidR="006D59AE" w:rsidRPr="00F74CA6">
        <w:rPr>
          <w:szCs w:val="26"/>
        </w:rPr>
        <w:t xml:space="preserve">.  </w:t>
      </w:r>
      <w:r w:rsidR="00ED25DB" w:rsidRPr="00F74CA6">
        <w:rPr>
          <w:szCs w:val="26"/>
        </w:rPr>
        <w:t>Peoples R. Exc. at 1-2.</w:t>
      </w:r>
    </w:p>
    <w:p w14:paraId="01BF0708" w14:textId="77777777" w:rsidR="00077CAC" w:rsidRPr="00F74CA6" w:rsidRDefault="00077CAC">
      <w:pPr>
        <w:contextualSpacing/>
        <w:rPr>
          <w:szCs w:val="26"/>
        </w:rPr>
      </w:pPr>
    </w:p>
    <w:p w14:paraId="187D676B" w14:textId="72B23C56" w:rsidR="006D59AE" w:rsidRPr="00F74CA6" w:rsidRDefault="006D59AE">
      <w:pPr>
        <w:contextualSpacing/>
        <w:rPr>
          <w:szCs w:val="26"/>
        </w:rPr>
      </w:pPr>
      <w:r w:rsidRPr="00F74CA6">
        <w:rPr>
          <w:szCs w:val="26"/>
        </w:rPr>
        <w:t xml:space="preserve">Peoples </w:t>
      </w:r>
      <w:r w:rsidR="00077CAC" w:rsidRPr="00F74CA6">
        <w:rPr>
          <w:szCs w:val="26"/>
        </w:rPr>
        <w:t>emphasizes</w:t>
      </w:r>
      <w:r w:rsidRPr="00F74CA6">
        <w:rPr>
          <w:szCs w:val="26"/>
        </w:rPr>
        <w:t xml:space="preserve"> that the record demonstrate</w:t>
      </w:r>
      <w:r w:rsidR="00AD1953" w:rsidRPr="00F74CA6">
        <w:rPr>
          <w:szCs w:val="26"/>
        </w:rPr>
        <w:t>s</w:t>
      </w:r>
      <w:r w:rsidRPr="00F74CA6">
        <w:rPr>
          <w:szCs w:val="26"/>
        </w:rPr>
        <w:t xml:space="preserve"> that historical examination of all of </w:t>
      </w:r>
      <w:r w:rsidR="00AD1953" w:rsidRPr="00F74CA6">
        <w:rPr>
          <w:szCs w:val="26"/>
        </w:rPr>
        <w:t xml:space="preserve">Peoples’ </w:t>
      </w:r>
      <w:r w:rsidRPr="00F74CA6">
        <w:rPr>
          <w:szCs w:val="26"/>
        </w:rPr>
        <w:t>residential main line extensions in 2017 and 2018 shows that the average allowable project cost per residential customer under the proposal is substantially lower than the average allowable investment under the current policy.</w:t>
      </w:r>
      <w:r w:rsidR="00D67AA5" w:rsidRPr="00F74CA6">
        <w:rPr>
          <w:szCs w:val="26"/>
        </w:rPr>
        <w:t xml:space="preserve">  </w:t>
      </w:r>
      <w:r w:rsidR="007309AA" w:rsidRPr="00F74CA6">
        <w:rPr>
          <w:szCs w:val="26"/>
        </w:rPr>
        <w:t xml:space="preserve">Additionally, </w:t>
      </w:r>
      <w:r w:rsidR="00D67AA5" w:rsidRPr="00F74CA6">
        <w:rPr>
          <w:szCs w:val="26"/>
        </w:rPr>
        <w:t>People</w:t>
      </w:r>
      <w:r w:rsidR="007309AA" w:rsidRPr="00F74CA6">
        <w:rPr>
          <w:szCs w:val="26"/>
        </w:rPr>
        <w:t>s</w:t>
      </w:r>
      <w:r w:rsidR="00D67AA5" w:rsidRPr="00F74CA6">
        <w:rPr>
          <w:szCs w:val="26"/>
        </w:rPr>
        <w:t xml:space="preserve"> </w:t>
      </w:r>
      <w:r w:rsidR="007309AA" w:rsidRPr="00F74CA6">
        <w:rPr>
          <w:szCs w:val="26"/>
        </w:rPr>
        <w:t>states</w:t>
      </w:r>
      <w:r w:rsidR="00D67AA5" w:rsidRPr="00F74CA6">
        <w:rPr>
          <w:szCs w:val="26"/>
        </w:rPr>
        <w:t xml:space="preserve"> that although the extension rule applies to residential customer</w:t>
      </w:r>
      <w:r w:rsidR="007309AA" w:rsidRPr="00F74CA6">
        <w:rPr>
          <w:szCs w:val="26"/>
        </w:rPr>
        <w:t>s</w:t>
      </w:r>
      <w:r w:rsidR="00D67AA5" w:rsidRPr="00F74CA6">
        <w:rPr>
          <w:szCs w:val="26"/>
        </w:rPr>
        <w:t xml:space="preserve">, those </w:t>
      </w:r>
      <w:r w:rsidR="00B15F88" w:rsidRPr="00F74CA6">
        <w:rPr>
          <w:szCs w:val="26"/>
        </w:rPr>
        <w:t xml:space="preserve">line </w:t>
      </w:r>
      <w:r w:rsidR="00D67AA5" w:rsidRPr="00F74CA6">
        <w:rPr>
          <w:szCs w:val="26"/>
        </w:rPr>
        <w:t>extensions could allow other classes such as small business class</w:t>
      </w:r>
      <w:r w:rsidR="007309AA" w:rsidRPr="00F74CA6">
        <w:rPr>
          <w:szCs w:val="26"/>
        </w:rPr>
        <w:t>es</w:t>
      </w:r>
      <w:r w:rsidR="00D67AA5" w:rsidRPr="00F74CA6">
        <w:rPr>
          <w:szCs w:val="26"/>
        </w:rPr>
        <w:t xml:space="preserve"> to obtain natural gas service when otherwise </w:t>
      </w:r>
      <w:r w:rsidR="000C6D24" w:rsidRPr="00F74CA6">
        <w:rPr>
          <w:szCs w:val="26"/>
        </w:rPr>
        <w:t xml:space="preserve">they </w:t>
      </w:r>
      <w:r w:rsidR="00D67AA5" w:rsidRPr="00F74CA6">
        <w:rPr>
          <w:szCs w:val="26"/>
        </w:rPr>
        <w:t xml:space="preserve">would not have received service.  </w:t>
      </w:r>
      <w:r w:rsidR="00077CAC" w:rsidRPr="00F74CA6">
        <w:rPr>
          <w:szCs w:val="26"/>
        </w:rPr>
        <w:t>Peoples points out that</w:t>
      </w:r>
      <w:r w:rsidR="00D67AA5" w:rsidRPr="00F74CA6">
        <w:rPr>
          <w:szCs w:val="26"/>
        </w:rPr>
        <w:t xml:space="preserve"> until </w:t>
      </w:r>
      <w:r w:rsidR="00077CAC" w:rsidRPr="00F74CA6">
        <w:rPr>
          <w:szCs w:val="26"/>
        </w:rPr>
        <w:t>such</w:t>
      </w:r>
      <w:r w:rsidR="00D67AA5" w:rsidRPr="00F74CA6">
        <w:rPr>
          <w:szCs w:val="26"/>
        </w:rPr>
        <w:t xml:space="preserve"> costs are reflected in the Company’s rate base and the parties </w:t>
      </w:r>
      <w:r w:rsidR="000C6D24" w:rsidRPr="00F74CA6">
        <w:rPr>
          <w:szCs w:val="26"/>
        </w:rPr>
        <w:t>are able to</w:t>
      </w:r>
      <w:r w:rsidR="00D67AA5" w:rsidRPr="00F74CA6">
        <w:rPr>
          <w:szCs w:val="26"/>
        </w:rPr>
        <w:t xml:space="preserve"> review all of the costs and benefits of the extensions, it is premature for the Commission to declare </w:t>
      </w:r>
      <w:r w:rsidR="00077CAC" w:rsidRPr="00F74CA6">
        <w:rPr>
          <w:szCs w:val="26"/>
        </w:rPr>
        <w:t xml:space="preserve">that </w:t>
      </w:r>
      <w:r w:rsidR="00D67AA5" w:rsidRPr="00F74CA6">
        <w:rPr>
          <w:szCs w:val="26"/>
        </w:rPr>
        <w:t xml:space="preserve">these costs should be allocated and </w:t>
      </w:r>
      <w:r w:rsidR="00304BBA" w:rsidRPr="00F74CA6">
        <w:rPr>
          <w:szCs w:val="26"/>
        </w:rPr>
        <w:t>recovered</w:t>
      </w:r>
      <w:r w:rsidR="00D67AA5" w:rsidRPr="00F74CA6">
        <w:rPr>
          <w:szCs w:val="26"/>
        </w:rPr>
        <w:t xml:space="preserve"> by Peoples.</w:t>
      </w:r>
      <w:r w:rsidR="00ED25DB" w:rsidRPr="00F74CA6">
        <w:rPr>
          <w:szCs w:val="26"/>
        </w:rPr>
        <w:t xml:space="preserve">  Peoples R. Exc. at</w:t>
      </w:r>
      <w:r w:rsidR="00D919E3">
        <w:rPr>
          <w:szCs w:val="26"/>
        </w:rPr>
        <w:t> </w:t>
      </w:r>
      <w:r w:rsidR="00ED25DB" w:rsidRPr="00F74CA6">
        <w:rPr>
          <w:szCs w:val="26"/>
        </w:rPr>
        <w:t>3-4.</w:t>
      </w:r>
    </w:p>
    <w:p w14:paraId="1DF53F7A" w14:textId="77777777" w:rsidR="006D59AE" w:rsidRPr="00F74CA6" w:rsidRDefault="006D59AE">
      <w:pPr>
        <w:contextualSpacing/>
        <w:rPr>
          <w:szCs w:val="26"/>
        </w:rPr>
      </w:pPr>
    </w:p>
    <w:p w14:paraId="6491005D" w14:textId="77777777" w:rsidR="004770F3" w:rsidRPr="00F74CA6" w:rsidRDefault="00332D40" w:rsidP="00ED25DB">
      <w:pPr>
        <w:contextualSpacing/>
        <w:rPr>
          <w:szCs w:val="26"/>
        </w:rPr>
      </w:pPr>
      <w:r w:rsidRPr="00F74CA6">
        <w:rPr>
          <w:szCs w:val="26"/>
        </w:rPr>
        <w:t xml:space="preserve">Peoples </w:t>
      </w:r>
      <w:r w:rsidR="00ED25DB" w:rsidRPr="00F74CA6">
        <w:rPr>
          <w:szCs w:val="26"/>
        </w:rPr>
        <w:t>submit</w:t>
      </w:r>
      <w:r w:rsidR="007309AA" w:rsidRPr="00F74CA6">
        <w:rPr>
          <w:szCs w:val="26"/>
        </w:rPr>
        <w:t>s</w:t>
      </w:r>
      <w:r w:rsidR="00ED25DB" w:rsidRPr="00F74CA6">
        <w:rPr>
          <w:szCs w:val="26"/>
        </w:rPr>
        <w:t xml:space="preserve"> that for the above </w:t>
      </w:r>
      <w:r w:rsidR="00077CAC" w:rsidRPr="00F74CA6">
        <w:rPr>
          <w:szCs w:val="26"/>
        </w:rPr>
        <w:t xml:space="preserve">reasons </w:t>
      </w:r>
      <w:r w:rsidR="00ED25DB" w:rsidRPr="00F74CA6">
        <w:rPr>
          <w:szCs w:val="26"/>
        </w:rPr>
        <w:t xml:space="preserve">the Commission should deny </w:t>
      </w:r>
      <w:r w:rsidR="007309AA" w:rsidRPr="00F74CA6">
        <w:rPr>
          <w:szCs w:val="26"/>
        </w:rPr>
        <w:t xml:space="preserve">the </w:t>
      </w:r>
      <w:r w:rsidR="00ED25DB" w:rsidRPr="00F74CA6">
        <w:rPr>
          <w:szCs w:val="26"/>
        </w:rPr>
        <w:t>OSBA’s Exception and adopt the ALJ’s well-reasoned Recommended Decision without modification</w:t>
      </w:r>
      <w:r w:rsidR="004770F3" w:rsidRPr="00F74CA6">
        <w:rPr>
          <w:szCs w:val="26"/>
        </w:rPr>
        <w:t xml:space="preserve">.  </w:t>
      </w:r>
      <w:r w:rsidR="004F4E56" w:rsidRPr="00F74CA6">
        <w:rPr>
          <w:szCs w:val="26"/>
        </w:rPr>
        <w:t>Peoples</w:t>
      </w:r>
      <w:r w:rsidR="004770F3" w:rsidRPr="00F74CA6">
        <w:rPr>
          <w:szCs w:val="26"/>
        </w:rPr>
        <w:t xml:space="preserve"> R. Exc. at </w:t>
      </w:r>
      <w:r w:rsidR="00ED25DB" w:rsidRPr="00F74CA6">
        <w:rPr>
          <w:szCs w:val="26"/>
        </w:rPr>
        <w:t>1</w:t>
      </w:r>
      <w:r w:rsidR="004770F3" w:rsidRPr="00F74CA6">
        <w:rPr>
          <w:szCs w:val="26"/>
        </w:rPr>
        <w:t>-</w:t>
      </w:r>
      <w:r w:rsidR="00ED25DB" w:rsidRPr="00F74CA6">
        <w:rPr>
          <w:szCs w:val="26"/>
        </w:rPr>
        <w:t>2</w:t>
      </w:r>
      <w:r w:rsidR="004770F3" w:rsidRPr="00F74CA6">
        <w:rPr>
          <w:szCs w:val="26"/>
        </w:rPr>
        <w:t>.</w:t>
      </w:r>
    </w:p>
    <w:p w14:paraId="29C7CFD8" w14:textId="77777777" w:rsidR="004770F3" w:rsidRPr="00F74CA6" w:rsidRDefault="004770F3">
      <w:pPr>
        <w:contextualSpacing/>
        <w:rPr>
          <w:szCs w:val="26"/>
        </w:rPr>
      </w:pPr>
    </w:p>
    <w:p w14:paraId="717D660F" w14:textId="0EC1CA06" w:rsidR="00DF2AB2" w:rsidRPr="00F74CA6" w:rsidRDefault="004770F3" w:rsidP="00DF2AB2">
      <w:pPr>
        <w:contextualSpacing/>
        <w:rPr>
          <w:szCs w:val="26"/>
        </w:rPr>
      </w:pPr>
      <w:r w:rsidRPr="00F74CA6">
        <w:rPr>
          <w:szCs w:val="26"/>
        </w:rPr>
        <w:lastRenderedPageBreak/>
        <w:t>In its Replies to</w:t>
      </w:r>
      <w:r w:rsidR="007F2C0C" w:rsidRPr="00F74CA6">
        <w:rPr>
          <w:szCs w:val="26"/>
        </w:rPr>
        <w:t xml:space="preserve"> </w:t>
      </w:r>
      <w:r w:rsidR="007309AA" w:rsidRPr="00F74CA6">
        <w:rPr>
          <w:szCs w:val="26"/>
        </w:rPr>
        <w:t xml:space="preserve">the </w:t>
      </w:r>
      <w:r w:rsidR="007F2C0C" w:rsidRPr="00F74CA6">
        <w:rPr>
          <w:szCs w:val="26"/>
        </w:rPr>
        <w:t>OSBA</w:t>
      </w:r>
      <w:r w:rsidRPr="00F74CA6">
        <w:rPr>
          <w:szCs w:val="26"/>
        </w:rPr>
        <w:t>’s Exceptions, the OCA contends that</w:t>
      </w:r>
      <w:r w:rsidR="00B15F88" w:rsidRPr="00F74CA6">
        <w:rPr>
          <w:szCs w:val="26"/>
        </w:rPr>
        <w:t xml:space="preserve"> </w:t>
      </w:r>
      <w:r w:rsidR="007309AA" w:rsidRPr="00F74CA6">
        <w:rPr>
          <w:szCs w:val="26"/>
        </w:rPr>
        <w:t xml:space="preserve">the </w:t>
      </w:r>
      <w:r w:rsidR="00B15F88" w:rsidRPr="00F74CA6">
        <w:rPr>
          <w:szCs w:val="26"/>
        </w:rPr>
        <w:t xml:space="preserve">OSBA’s request to include Ordering Paragraphs that direct Peoples to allocate costs associated with its proposed Extension Policy to the residential class </w:t>
      </w:r>
      <w:r w:rsidR="007309AA" w:rsidRPr="00F74CA6">
        <w:rPr>
          <w:szCs w:val="26"/>
        </w:rPr>
        <w:t xml:space="preserve">is not supported </w:t>
      </w:r>
      <w:r w:rsidR="008718F1" w:rsidRPr="00F74CA6">
        <w:rPr>
          <w:szCs w:val="26"/>
        </w:rPr>
        <w:t>by the</w:t>
      </w:r>
      <w:r w:rsidR="00B15F88" w:rsidRPr="00F74CA6">
        <w:rPr>
          <w:szCs w:val="26"/>
        </w:rPr>
        <w:t xml:space="preserve"> Code and should be denied.  The OCA</w:t>
      </w:r>
      <w:r w:rsidR="00F10988" w:rsidRPr="00F74CA6">
        <w:rPr>
          <w:szCs w:val="26"/>
        </w:rPr>
        <w:t xml:space="preserve"> </w:t>
      </w:r>
      <w:r w:rsidR="00B15F88" w:rsidRPr="00F74CA6">
        <w:rPr>
          <w:szCs w:val="26"/>
        </w:rPr>
        <w:t>cite</w:t>
      </w:r>
      <w:r w:rsidR="00F10988" w:rsidRPr="00F74CA6">
        <w:rPr>
          <w:szCs w:val="26"/>
        </w:rPr>
        <w:t>s</w:t>
      </w:r>
      <w:r w:rsidR="00B15F88" w:rsidRPr="00F74CA6">
        <w:rPr>
          <w:szCs w:val="26"/>
        </w:rPr>
        <w:t xml:space="preserve"> to Section</w:t>
      </w:r>
      <w:r w:rsidR="00F10988" w:rsidRPr="00F74CA6">
        <w:rPr>
          <w:szCs w:val="26"/>
        </w:rPr>
        <w:t>s</w:t>
      </w:r>
      <w:r w:rsidR="00B15F88" w:rsidRPr="00F74CA6">
        <w:rPr>
          <w:szCs w:val="26"/>
        </w:rPr>
        <w:t xml:space="preserve"> 332(b) </w:t>
      </w:r>
      <w:r w:rsidR="00F10988" w:rsidRPr="00F74CA6">
        <w:rPr>
          <w:szCs w:val="26"/>
        </w:rPr>
        <w:t xml:space="preserve">and 335(c) </w:t>
      </w:r>
      <w:r w:rsidR="00B15F88" w:rsidRPr="00F74CA6">
        <w:rPr>
          <w:szCs w:val="26"/>
        </w:rPr>
        <w:t>of the Code</w:t>
      </w:r>
      <w:r w:rsidR="00F10988" w:rsidRPr="00F74CA6">
        <w:rPr>
          <w:szCs w:val="26"/>
        </w:rPr>
        <w:t xml:space="preserve"> and state</w:t>
      </w:r>
      <w:r w:rsidR="007309AA" w:rsidRPr="00F74CA6">
        <w:rPr>
          <w:szCs w:val="26"/>
        </w:rPr>
        <w:t>s</w:t>
      </w:r>
      <w:r w:rsidR="00F10988" w:rsidRPr="00F74CA6">
        <w:rPr>
          <w:szCs w:val="26"/>
        </w:rPr>
        <w:t xml:space="preserve"> that any order issued by the ALJ or the Commission in a proceeding must be based on evidence in the record.  The OCA also cites to Commission’s Order at </w:t>
      </w:r>
      <w:r w:rsidR="00F10988" w:rsidRPr="00F74CA6">
        <w:rPr>
          <w:i/>
          <w:iCs/>
          <w:szCs w:val="26"/>
        </w:rPr>
        <w:t>Pa. Elec. Co. v. Pa. PUC</w:t>
      </w:r>
      <w:r w:rsidR="00F10988" w:rsidRPr="00F74CA6">
        <w:rPr>
          <w:szCs w:val="26"/>
        </w:rPr>
        <w:t>, 166 Pa. Commw. 413 432, 648, A.2d 63, 74 (1994)</w:t>
      </w:r>
      <w:r w:rsidR="007250A2" w:rsidRPr="00F74CA6">
        <w:rPr>
          <w:szCs w:val="26"/>
        </w:rPr>
        <w:t xml:space="preserve"> </w:t>
      </w:r>
      <w:r w:rsidR="00182B22" w:rsidRPr="00F74CA6">
        <w:rPr>
          <w:szCs w:val="26"/>
        </w:rPr>
        <w:t>to emphasize the</w:t>
      </w:r>
      <w:r w:rsidR="007250A2" w:rsidRPr="00F74CA6">
        <w:rPr>
          <w:szCs w:val="26"/>
        </w:rPr>
        <w:t xml:space="preserve"> </w:t>
      </w:r>
      <w:r w:rsidR="00182B22" w:rsidRPr="00F74CA6">
        <w:rPr>
          <w:szCs w:val="26"/>
        </w:rPr>
        <w:t>Commission’s</w:t>
      </w:r>
      <w:r w:rsidR="007250A2" w:rsidRPr="00F74CA6">
        <w:rPr>
          <w:szCs w:val="26"/>
        </w:rPr>
        <w:t xml:space="preserve"> role and duty</w:t>
      </w:r>
      <w:r w:rsidR="00182B22" w:rsidRPr="00F74CA6">
        <w:rPr>
          <w:szCs w:val="26"/>
        </w:rPr>
        <w:t xml:space="preserve"> in r</w:t>
      </w:r>
      <w:r w:rsidR="007250A2" w:rsidRPr="00F74CA6">
        <w:rPr>
          <w:szCs w:val="26"/>
        </w:rPr>
        <w:t>evi</w:t>
      </w:r>
      <w:r w:rsidR="00182B22" w:rsidRPr="00F74CA6">
        <w:rPr>
          <w:szCs w:val="26"/>
        </w:rPr>
        <w:t>e</w:t>
      </w:r>
      <w:r w:rsidR="007250A2" w:rsidRPr="00F74CA6">
        <w:rPr>
          <w:szCs w:val="26"/>
        </w:rPr>
        <w:t>w</w:t>
      </w:r>
      <w:r w:rsidR="00182B22" w:rsidRPr="00F74CA6">
        <w:rPr>
          <w:szCs w:val="26"/>
        </w:rPr>
        <w:t>ing</w:t>
      </w:r>
      <w:r w:rsidR="007250A2" w:rsidRPr="00F74CA6">
        <w:rPr>
          <w:szCs w:val="26"/>
        </w:rPr>
        <w:t xml:space="preserve"> record evidence </w:t>
      </w:r>
      <w:r w:rsidR="00182B22" w:rsidRPr="00F74CA6">
        <w:rPr>
          <w:szCs w:val="26"/>
        </w:rPr>
        <w:t>in</w:t>
      </w:r>
      <w:r w:rsidR="007250A2" w:rsidRPr="00F74CA6">
        <w:rPr>
          <w:szCs w:val="26"/>
        </w:rPr>
        <w:t xml:space="preserve"> mak</w:t>
      </w:r>
      <w:r w:rsidR="00182B22" w:rsidRPr="00F74CA6">
        <w:rPr>
          <w:szCs w:val="26"/>
        </w:rPr>
        <w:t>ing</w:t>
      </w:r>
      <w:r w:rsidR="007250A2" w:rsidRPr="00F74CA6">
        <w:rPr>
          <w:szCs w:val="26"/>
        </w:rPr>
        <w:t xml:space="preserve"> appropriate </w:t>
      </w:r>
      <w:r w:rsidR="00182B22" w:rsidRPr="00F74CA6">
        <w:rPr>
          <w:szCs w:val="26"/>
        </w:rPr>
        <w:t>cr</w:t>
      </w:r>
      <w:r w:rsidR="007250A2" w:rsidRPr="00F74CA6">
        <w:rPr>
          <w:szCs w:val="26"/>
        </w:rPr>
        <w:t>edible determination</w:t>
      </w:r>
      <w:r w:rsidR="00182B22" w:rsidRPr="00F74CA6">
        <w:rPr>
          <w:szCs w:val="26"/>
        </w:rPr>
        <w:t>s</w:t>
      </w:r>
      <w:r w:rsidR="007250A2" w:rsidRPr="00F74CA6">
        <w:rPr>
          <w:szCs w:val="26"/>
        </w:rPr>
        <w:t xml:space="preserve"> and assign</w:t>
      </w:r>
      <w:r w:rsidR="00182B22" w:rsidRPr="00F74CA6">
        <w:rPr>
          <w:szCs w:val="26"/>
        </w:rPr>
        <w:t>ing</w:t>
      </w:r>
      <w:r w:rsidR="007250A2" w:rsidRPr="00F74CA6">
        <w:rPr>
          <w:szCs w:val="26"/>
        </w:rPr>
        <w:t xml:space="preserve"> the appropriate weight to the evidence pres</w:t>
      </w:r>
      <w:r w:rsidR="00182B22" w:rsidRPr="00F74CA6">
        <w:rPr>
          <w:szCs w:val="26"/>
        </w:rPr>
        <w:t>en</w:t>
      </w:r>
      <w:r w:rsidR="007250A2" w:rsidRPr="00F74CA6">
        <w:rPr>
          <w:szCs w:val="26"/>
        </w:rPr>
        <w:t xml:space="preserve">ted. </w:t>
      </w:r>
      <w:r w:rsidR="00DF2AB2" w:rsidRPr="00F74CA6">
        <w:rPr>
          <w:szCs w:val="26"/>
        </w:rPr>
        <w:t xml:space="preserve"> OCA R. Ex</w:t>
      </w:r>
      <w:r w:rsidR="009D3E3A" w:rsidRPr="00F74CA6">
        <w:rPr>
          <w:szCs w:val="26"/>
        </w:rPr>
        <w:t>c</w:t>
      </w:r>
      <w:r w:rsidR="00DF2AB2" w:rsidRPr="00F74CA6">
        <w:rPr>
          <w:szCs w:val="26"/>
        </w:rPr>
        <w:t>. at 2-3.</w:t>
      </w:r>
    </w:p>
    <w:p w14:paraId="72C1506C" w14:textId="77777777" w:rsidR="00B15F88" w:rsidRPr="00F74CA6" w:rsidRDefault="00B15F88">
      <w:pPr>
        <w:contextualSpacing/>
        <w:rPr>
          <w:szCs w:val="26"/>
        </w:rPr>
      </w:pPr>
    </w:p>
    <w:p w14:paraId="7D372C8D" w14:textId="7003B169" w:rsidR="00182B22" w:rsidRPr="00F74CA6" w:rsidRDefault="00182B22">
      <w:pPr>
        <w:contextualSpacing/>
        <w:rPr>
          <w:szCs w:val="26"/>
        </w:rPr>
      </w:pPr>
      <w:r w:rsidRPr="00F74CA6">
        <w:rPr>
          <w:szCs w:val="26"/>
        </w:rPr>
        <w:t>The OCA maintains that in this proceeding th</w:t>
      </w:r>
      <w:r w:rsidR="009D3E3A" w:rsidRPr="00F74CA6">
        <w:rPr>
          <w:szCs w:val="26"/>
        </w:rPr>
        <w:t>ere</w:t>
      </w:r>
      <w:r w:rsidRPr="00F74CA6">
        <w:rPr>
          <w:szCs w:val="26"/>
        </w:rPr>
        <w:t xml:space="preserve"> is no evidence in the record to support </w:t>
      </w:r>
      <w:r w:rsidR="007309AA" w:rsidRPr="00F74CA6">
        <w:rPr>
          <w:szCs w:val="26"/>
        </w:rPr>
        <w:t xml:space="preserve">the inclusion of </w:t>
      </w:r>
      <w:r w:rsidRPr="00F74CA6">
        <w:rPr>
          <w:szCs w:val="26"/>
        </w:rPr>
        <w:t xml:space="preserve">Ordering Paragraphs to direct Peoples to allocate costs associated with the Company’s proposed Extension Policy to the residential class.  </w:t>
      </w:r>
      <w:r w:rsidR="007309AA" w:rsidRPr="00F74CA6">
        <w:rPr>
          <w:szCs w:val="26"/>
        </w:rPr>
        <w:t>Rather, the OCA submits that</w:t>
      </w:r>
      <w:r w:rsidRPr="00F74CA6">
        <w:rPr>
          <w:szCs w:val="26"/>
        </w:rPr>
        <w:t xml:space="preserve"> the record evidence in this proceeding shows that the Company did not propose a specific allocation of costs for i</w:t>
      </w:r>
      <w:r w:rsidR="007309AA" w:rsidRPr="00F74CA6">
        <w:rPr>
          <w:szCs w:val="26"/>
        </w:rPr>
        <w:t>t</w:t>
      </w:r>
      <w:r w:rsidRPr="00F74CA6">
        <w:rPr>
          <w:szCs w:val="26"/>
        </w:rPr>
        <w:t xml:space="preserve">s Extension Policy.  Accordingly, the OCA </w:t>
      </w:r>
      <w:r w:rsidR="00A07153" w:rsidRPr="00F74CA6">
        <w:rPr>
          <w:szCs w:val="26"/>
        </w:rPr>
        <w:t xml:space="preserve">takes the position </w:t>
      </w:r>
      <w:r w:rsidRPr="00F74CA6">
        <w:rPr>
          <w:szCs w:val="26"/>
        </w:rPr>
        <w:t xml:space="preserve">that no decision is being made in this </w:t>
      </w:r>
      <w:r w:rsidR="00DF2AB2" w:rsidRPr="00F74CA6">
        <w:rPr>
          <w:szCs w:val="26"/>
        </w:rPr>
        <w:t>proceeding or</w:t>
      </w:r>
      <w:r w:rsidRPr="00F74CA6">
        <w:rPr>
          <w:szCs w:val="26"/>
        </w:rPr>
        <w:t xml:space="preserve"> should be made with respect to future allocations of costs </w:t>
      </w:r>
      <w:r w:rsidR="00DF2AB2" w:rsidRPr="00F74CA6">
        <w:rPr>
          <w:szCs w:val="26"/>
        </w:rPr>
        <w:t xml:space="preserve">that </w:t>
      </w:r>
      <w:r w:rsidRPr="00F74CA6">
        <w:rPr>
          <w:szCs w:val="26"/>
        </w:rPr>
        <w:t xml:space="preserve">have not yet been incurred. </w:t>
      </w:r>
      <w:r w:rsidR="00DF2AB2" w:rsidRPr="00F74CA6">
        <w:rPr>
          <w:szCs w:val="26"/>
        </w:rPr>
        <w:t xml:space="preserve"> The OCA also maintains that the implication of the Company’s proposed Extension Policy is currently not creating any subsidies or surpluses.  The OC</w:t>
      </w:r>
      <w:r w:rsidR="00A07153" w:rsidRPr="00F74CA6">
        <w:rPr>
          <w:szCs w:val="26"/>
        </w:rPr>
        <w:t>A</w:t>
      </w:r>
      <w:r w:rsidR="00DF2AB2" w:rsidRPr="00F74CA6">
        <w:rPr>
          <w:szCs w:val="26"/>
        </w:rPr>
        <w:t xml:space="preserve"> also refers to the ALJ’s discussion in his Recommended Decision that it is uncertain that a subsidy will be created and that the parties can review the </w:t>
      </w:r>
      <w:r w:rsidR="009D3E3A" w:rsidRPr="00F74CA6">
        <w:rPr>
          <w:szCs w:val="26"/>
        </w:rPr>
        <w:t>C</w:t>
      </w:r>
      <w:r w:rsidR="00DF2AB2" w:rsidRPr="00F74CA6">
        <w:rPr>
          <w:szCs w:val="26"/>
        </w:rPr>
        <w:t>ompany’s residential extensions in Peoples’ next base rate proceeding to ensure that the costs are allocated appropriately and if needed to modify the rule on a prospective basis.  OCA R. Ex</w:t>
      </w:r>
      <w:r w:rsidR="009D3E3A" w:rsidRPr="00F74CA6">
        <w:rPr>
          <w:szCs w:val="26"/>
        </w:rPr>
        <w:t>c</w:t>
      </w:r>
      <w:r w:rsidR="00DF2AB2" w:rsidRPr="00F74CA6">
        <w:rPr>
          <w:szCs w:val="26"/>
        </w:rPr>
        <w:t>. at</w:t>
      </w:r>
      <w:r w:rsidR="00D919E3">
        <w:rPr>
          <w:szCs w:val="26"/>
        </w:rPr>
        <w:t> </w:t>
      </w:r>
      <w:r w:rsidR="00DF2AB2" w:rsidRPr="00F74CA6">
        <w:rPr>
          <w:szCs w:val="26"/>
        </w:rPr>
        <w:t>3</w:t>
      </w:r>
      <w:r w:rsidR="00A07153" w:rsidRPr="00F74CA6">
        <w:rPr>
          <w:szCs w:val="26"/>
        </w:rPr>
        <w:noBreakHyphen/>
      </w:r>
      <w:r w:rsidR="00DF2AB2" w:rsidRPr="00F74CA6">
        <w:rPr>
          <w:szCs w:val="26"/>
        </w:rPr>
        <w:t>4.</w:t>
      </w:r>
    </w:p>
    <w:p w14:paraId="48B51E06" w14:textId="77777777" w:rsidR="004770F3" w:rsidRPr="00F74CA6" w:rsidRDefault="00182B22" w:rsidP="00DF2AB2">
      <w:pPr>
        <w:contextualSpacing/>
        <w:rPr>
          <w:szCs w:val="26"/>
        </w:rPr>
      </w:pPr>
      <w:r w:rsidRPr="00F74CA6">
        <w:rPr>
          <w:szCs w:val="26"/>
        </w:rPr>
        <w:t xml:space="preserve"> </w:t>
      </w:r>
    </w:p>
    <w:p w14:paraId="674DAF4F" w14:textId="77777777" w:rsidR="00B567A1" w:rsidRPr="00F74CA6" w:rsidRDefault="00B567A1">
      <w:pPr>
        <w:pStyle w:val="ListParagraph"/>
        <w:keepNext/>
        <w:keepLines/>
        <w:numPr>
          <w:ilvl w:val="0"/>
          <w:numId w:val="6"/>
        </w:numPr>
        <w:ind w:left="1440" w:hanging="720"/>
        <w:rPr>
          <w:b/>
          <w:szCs w:val="26"/>
        </w:rPr>
      </w:pPr>
      <w:r w:rsidRPr="00F74CA6">
        <w:rPr>
          <w:b/>
          <w:szCs w:val="26"/>
        </w:rPr>
        <w:lastRenderedPageBreak/>
        <w:t>Disposition</w:t>
      </w:r>
    </w:p>
    <w:p w14:paraId="2A4B4F74" w14:textId="77777777" w:rsidR="004770F3" w:rsidRPr="00F74CA6" w:rsidRDefault="004770F3">
      <w:pPr>
        <w:pStyle w:val="ListParagraph"/>
        <w:keepNext/>
        <w:keepLines/>
        <w:ind w:left="1440" w:firstLine="0"/>
        <w:rPr>
          <w:b/>
          <w:szCs w:val="26"/>
        </w:rPr>
      </w:pPr>
    </w:p>
    <w:p w14:paraId="2633E23E" w14:textId="59C3C4E2" w:rsidR="002D04EA" w:rsidRPr="00F74CA6" w:rsidRDefault="00372749" w:rsidP="005F7B08">
      <w:pPr>
        <w:contextualSpacing/>
        <w:rPr>
          <w:szCs w:val="26"/>
        </w:rPr>
      </w:pPr>
      <w:r w:rsidRPr="00F74CA6">
        <w:rPr>
          <w:szCs w:val="26"/>
        </w:rPr>
        <w:t xml:space="preserve">On consideration of the positions of the Parties and the record evidence, we shall deny </w:t>
      </w:r>
      <w:r w:rsidR="00A07153" w:rsidRPr="00F74CA6">
        <w:rPr>
          <w:szCs w:val="26"/>
        </w:rPr>
        <w:t xml:space="preserve">the </w:t>
      </w:r>
      <w:r w:rsidR="00600E1F" w:rsidRPr="00F74CA6">
        <w:rPr>
          <w:szCs w:val="26"/>
        </w:rPr>
        <w:t>OSBA</w:t>
      </w:r>
      <w:r w:rsidRPr="00F74CA6">
        <w:rPr>
          <w:szCs w:val="26"/>
        </w:rPr>
        <w:t xml:space="preserve">’s Exceptions and adopt the recommendation of ALJ </w:t>
      </w:r>
      <w:r w:rsidR="00600E1F" w:rsidRPr="00F74CA6">
        <w:rPr>
          <w:szCs w:val="26"/>
        </w:rPr>
        <w:t>Cheskis</w:t>
      </w:r>
      <w:r w:rsidRPr="00F74CA6">
        <w:rPr>
          <w:szCs w:val="26"/>
        </w:rPr>
        <w:t>.</w:t>
      </w:r>
      <w:r w:rsidR="005F7B08" w:rsidRPr="00F74CA6">
        <w:rPr>
          <w:szCs w:val="26"/>
        </w:rPr>
        <w:t xml:space="preserve">  </w:t>
      </w:r>
      <w:r w:rsidR="00A07153" w:rsidRPr="00F74CA6">
        <w:rPr>
          <w:szCs w:val="26"/>
        </w:rPr>
        <w:t xml:space="preserve">The </w:t>
      </w:r>
      <w:r w:rsidR="00B4049C" w:rsidRPr="00F74CA6">
        <w:rPr>
          <w:szCs w:val="26"/>
        </w:rPr>
        <w:t>OSBA</w:t>
      </w:r>
      <w:r w:rsidR="00392FE4" w:rsidRPr="00F74CA6">
        <w:rPr>
          <w:szCs w:val="26"/>
        </w:rPr>
        <w:t>’s</w:t>
      </w:r>
      <w:r w:rsidR="00B4049C" w:rsidRPr="00F74CA6">
        <w:rPr>
          <w:szCs w:val="26"/>
        </w:rPr>
        <w:t xml:space="preserve"> request </w:t>
      </w:r>
      <w:r w:rsidR="00392FE4" w:rsidRPr="00F74CA6">
        <w:rPr>
          <w:szCs w:val="26"/>
        </w:rPr>
        <w:t xml:space="preserve">to include an ordering paragraph </w:t>
      </w:r>
      <w:r w:rsidR="00A07153" w:rsidRPr="00F74CA6">
        <w:rPr>
          <w:szCs w:val="26"/>
        </w:rPr>
        <w:t xml:space="preserve">that directs </w:t>
      </w:r>
      <w:r w:rsidR="00B4049C" w:rsidRPr="00F74CA6">
        <w:rPr>
          <w:szCs w:val="26"/>
        </w:rPr>
        <w:t xml:space="preserve">Peoples to allocate costs associated with the Company’s proposed Extension Policy to the residential class </w:t>
      </w:r>
      <w:r w:rsidR="00A07153" w:rsidRPr="00F74CA6">
        <w:rPr>
          <w:szCs w:val="26"/>
        </w:rPr>
        <w:t xml:space="preserve">is </w:t>
      </w:r>
      <w:r w:rsidR="00B4049C" w:rsidRPr="00F74CA6">
        <w:rPr>
          <w:szCs w:val="26"/>
        </w:rPr>
        <w:t xml:space="preserve">based </w:t>
      </w:r>
      <w:r w:rsidR="00A047AE" w:rsidRPr="00F74CA6">
        <w:rPr>
          <w:szCs w:val="26"/>
        </w:rPr>
        <w:t xml:space="preserve">upon </w:t>
      </w:r>
      <w:r w:rsidR="007A16FD" w:rsidRPr="00F74CA6">
        <w:rPr>
          <w:szCs w:val="26"/>
        </w:rPr>
        <w:t>an</w:t>
      </w:r>
      <w:r w:rsidR="00B4049C" w:rsidRPr="00F74CA6">
        <w:rPr>
          <w:szCs w:val="26"/>
        </w:rPr>
        <w:t xml:space="preserve"> assumption of </w:t>
      </w:r>
      <w:r w:rsidR="00BE3396" w:rsidRPr="00F74CA6">
        <w:rPr>
          <w:szCs w:val="26"/>
        </w:rPr>
        <w:t xml:space="preserve">shifting </w:t>
      </w:r>
      <w:r w:rsidR="00657486" w:rsidRPr="00F74CA6">
        <w:rPr>
          <w:szCs w:val="26"/>
        </w:rPr>
        <w:t xml:space="preserve">the </w:t>
      </w:r>
      <w:r w:rsidR="00BE3396" w:rsidRPr="00F74CA6">
        <w:rPr>
          <w:szCs w:val="26"/>
        </w:rPr>
        <w:t>cost to other class</w:t>
      </w:r>
      <w:r w:rsidR="00657486" w:rsidRPr="00F74CA6">
        <w:rPr>
          <w:szCs w:val="26"/>
        </w:rPr>
        <w:t>es</w:t>
      </w:r>
      <w:r w:rsidR="00BE3396" w:rsidRPr="00F74CA6">
        <w:rPr>
          <w:szCs w:val="26"/>
        </w:rPr>
        <w:t xml:space="preserve"> of customers and a </w:t>
      </w:r>
      <w:r w:rsidR="00B4049C" w:rsidRPr="00F74CA6">
        <w:rPr>
          <w:szCs w:val="26"/>
        </w:rPr>
        <w:t xml:space="preserve">subsidy being created.  </w:t>
      </w:r>
      <w:r w:rsidR="002D04EA" w:rsidRPr="00F74CA6">
        <w:rPr>
          <w:szCs w:val="26"/>
        </w:rPr>
        <w:t xml:space="preserve">However, Peoples has not sought any ratemaking treatment regarding its proposal and did not reflect any capital cost in this case and it is unknown at this time how much cost will be incurred with the main line allowance.  </w:t>
      </w:r>
      <w:r w:rsidR="005A3779" w:rsidRPr="00F74CA6">
        <w:rPr>
          <w:szCs w:val="26"/>
        </w:rPr>
        <w:t>T</w:t>
      </w:r>
      <w:r w:rsidR="00BE3396" w:rsidRPr="00F74CA6">
        <w:rPr>
          <w:szCs w:val="26"/>
        </w:rPr>
        <w:t>he ALJ concluded</w:t>
      </w:r>
      <w:r w:rsidR="005A3779" w:rsidRPr="00F74CA6">
        <w:rPr>
          <w:szCs w:val="26"/>
        </w:rPr>
        <w:t>, based on the record evidence,</w:t>
      </w:r>
      <w:r w:rsidR="00BE3396" w:rsidRPr="00F74CA6">
        <w:rPr>
          <w:szCs w:val="26"/>
        </w:rPr>
        <w:t xml:space="preserve"> that it is unclear that a subsidy or a shift of cost would occur.  </w:t>
      </w:r>
      <w:r w:rsidR="005A3779" w:rsidRPr="00F74CA6">
        <w:rPr>
          <w:szCs w:val="26"/>
        </w:rPr>
        <w:t>We agree.</w:t>
      </w:r>
    </w:p>
    <w:p w14:paraId="2F7B3AD8" w14:textId="77777777" w:rsidR="00662C81" w:rsidRPr="00F74CA6" w:rsidRDefault="00662C81" w:rsidP="005F7B08">
      <w:pPr>
        <w:contextualSpacing/>
        <w:rPr>
          <w:szCs w:val="26"/>
        </w:rPr>
      </w:pPr>
    </w:p>
    <w:p w14:paraId="258D2D8A" w14:textId="6ECEAE8D" w:rsidR="00BE3396" w:rsidRPr="00F74CA6" w:rsidRDefault="00BE3396" w:rsidP="005F7B08">
      <w:pPr>
        <w:contextualSpacing/>
        <w:rPr>
          <w:szCs w:val="26"/>
        </w:rPr>
      </w:pPr>
      <w:r w:rsidRPr="00F74CA6">
        <w:rPr>
          <w:szCs w:val="26"/>
        </w:rPr>
        <w:t>We also</w:t>
      </w:r>
      <w:r w:rsidR="00B4049C" w:rsidRPr="00F74CA6">
        <w:rPr>
          <w:szCs w:val="26"/>
        </w:rPr>
        <w:t xml:space="preserve"> </w:t>
      </w:r>
      <w:r w:rsidR="002D04EA" w:rsidRPr="00F74CA6">
        <w:rPr>
          <w:szCs w:val="26"/>
        </w:rPr>
        <w:t xml:space="preserve">agree with </w:t>
      </w:r>
      <w:r w:rsidR="00B4049C" w:rsidRPr="00F74CA6">
        <w:rPr>
          <w:szCs w:val="26"/>
        </w:rPr>
        <w:t xml:space="preserve">the OCA that </w:t>
      </w:r>
      <w:r w:rsidR="00662C81" w:rsidRPr="00F74CA6">
        <w:rPr>
          <w:szCs w:val="26"/>
        </w:rPr>
        <w:t xml:space="preserve">the </w:t>
      </w:r>
      <w:r w:rsidRPr="00F74CA6">
        <w:rPr>
          <w:szCs w:val="26"/>
        </w:rPr>
        <w:t xml:space="preserve">general nature of utility ratemaking should be viewed on a wider perspective.  As </w:t>
      </w:r>
      <w:r w:rsidR="00662C81" w:rsidRPr="00F74CA6">
        <w:rPr>
          <w:szCs w:val="26"/>
        </w:rPr>
        <w:t xml:space="preserve">the </w:t>
      </w:r>
      <w:r w:rsidRPr="00F74CA6">
        <w:rPr>
          <w:szCs w:val="26"/>
        </w:rPr>
        <w:t xml:space="preserve">OCA </w:t>
      </w:r>
      <w:r w:rsidR="00662C81" w:rsidRPr="00F74CA6">
        <w:rPr>
          <w:szCs w:val="26"/>
        </w:rPr>
        <w:t>observed</w:t>
      </w:r>
      <w:r w:rsidRPr="00F74CA6">
        <w:rPr>
          <w:szCs w:val="26"/>
        </w:rPr>
        <w:t xml:space="preserve">, </w:t>
      </w:r>
      <w:r w:rsidR="00657486" w:rsidRPr="00F74CA6">
        <w:rPr>
          <w:szCs w:val="26"/>
        </w:rPr>
        <w:t xml:space="preserve">it could be said that </w:t>
      </w:r>
      <w:r w:rsidRPr="00F74CA6">
        <w:rPr>
          <w:szCs w:val="26"/>
        </w:rPr>
        <w:t>new customers taking service in locations where main line extension</w:t>
      </w:r>
      <w:r w:rsidR="00662C81" w:rsidRPr="00F74CA6">
        <w:rPr>
          <w:szCs w:val="26"/>
        </w:rPr>
        <w:t>s</w:t>
      </w:r>
      <w:r w:rsidRPr="00F74CA6">
        <w:rPr>
          <w:szCs w:val="26"/>
        </w:rPr>
        <w:t xml:space="preserve"> have not been an issue have</w:t>
      </w:r>
      <w:r w:rsidR="00662C81" w:rsidRPr="00F74CA6">
        <w:rPr>
          <w:szCs w:val="26"/>
        </w:rPr>
        <w:t xml:space="preserve"> been</w:t>
      </w:r>
      <w:r w:rsidRPr="00F74CA6">
        <w:rPr>
          <w:szCs w:val="26"/>
        </w:rPr>
        <w:t xml:space="preserve"> subsidized by all the existing customers that have contributed to the existing system for years.  </w:t>
      </w:r>
      <w:r w:rsidR="002D04EA" w:rsidRPr="00F74CA6">
        <w:rPr>
          <w:szCs w:val="26"/>
        </w:rPr>
        <w:t xml:space="preserve">We agree with the ALJ that the parties can review the </w:t>
      </w:r>
      <w:r w:rsidR="00F25418">
        <w:rPr>
          <w:szCs w:val="26"/>
        </w:rPr>
        <w:t>C</w:t>
      </w:r>
      <w:r w:rsidR="002D04EA" w:rsidRPr="00F74CA6">
        <w:rPr>
          <w:szCs w:val="26"/>
        </w:rPr>
        <w:t xml:space="preserve">ompany’s residential extension in the Company’s next base rate proceeding to ensure that the cost are allocated appropriately and if </w:t>
      </w:r>
      <w:r w:rsidR="005A3779" w:rsidRPr="00F74CA6">
        <w:rPr>
          <w:szCs w:val="26"/>
        </w:rPr>
        <w:t>necessary,</w:t>
      </w:r>
      <w:r w:rsidR="002D04EA" w:rsidRPr="00F74CA6">
        <w:rPr>
          <w:szCs w:val="26"/>
        </w:rPr>
        <w:t xml:space="preserve"> to modify the rule prospectively.</w:t>
      </w:r>
    </w:p>
    <w:p w14:paraId="3418BC09" w14:textId="77777777" w:rsidR="002D04EA" w:rsidRPr="00F74CA6" w:rsidRDefault="002D04EA" w:rsidP="005F7B08">
      <w:pPr>
        <w:contextualSpacing/>
        <w:rPr>
          <w:szCs w:val="26"/>
        </w:rPr>
      </w:pPr>
    </w:p>
    <w:p w14:paraId="33F261E3" w14:textId="25C9E659" w:rsidR="005F7B08" w:rsidRPr="00F74CA6" w:rsidRDefault="002D04EA" w:rsidP="005F7B08">
      <w:pPr>
        <w:contextualSpacing/>
        <w:rPr>
          <w:szCs w:val="26"/>
        </w:rPr>
      </w:pPr>
      <w:r w:rsidRPr="00F74CA6">
        <w:rPr>
          <w:szCs w:val="26"/>
        </w:rPr>
        <w:t xml:space="preserve">In light of </w:t>
      </w:r>
      <w:r w:rsidR="00066492" w:rsidRPr="00F74CA6">
        <w:rPr>
          <w:szCs w:val="26"/>
        </w:rPr>
        <w:t>the above</w:t>
      </w:r>
      <w:r w:rsidR="00885E89">
        <w:rPr>
          <w:szCs w:val="26"/>
        </w:rPr>
        <w:t>,</w:t>
      </w:r>
      <w:r w:rsidR="00066492" w:rsidRPr="00F74CA6">
        <w:rPr>
          <w:szCs w:val="26"/>
        </w:rPr>
        <w:t xml:space="preserve"> we </w:t>
      </w:r>
      <w:r w:rsidR="00662C81" w:rsidRPr="00F74CA6">
        <w:rPr>
          <w:szCs w:val="26"/>
        </w:rPr>
        <w:t xml:space="preserve">shall </w:t>
      </w:r>
      <w:r w:rsidR="00066492" w:rsidRPr="00F74CA6">
        <w:rPr>
          <w:szCs w:val="26"/>
        </w:rPr>
        <w:t>adopt the ALJ’s recommendation that Peoples’ proposal to change main line extension policy is in the public interest.</w:t>
      </w:r>
      <w:r w:rsidR="00662C81" w:rsidRPr="00F74CA6">
        <w:rPr>
          <w:szCs w:val="26"/>
        </w:rPr>
        <w:t xml:space="preserve">  Accordingly, we shall </w:t>
      </w:r>
      <w:r w:rsidR="00F25418">
        <w:rPr>
          <w:szCs w:val="26"/>
        </w:rPr>
        <w:t xml:space="preserve">grant </w:t>
      </w:r>
      <w:r w:rsidR="00662C81" w:rsidRPr="00F74CA6">
        <w:rPr>
          <w:szCs w:val="26"/>
        </w:rPr>
        <w:t>Peoples’ proposed main line extension allowance.</w:t>
      </w:r>
    </w:p>
    <w:p w14:paraId="74A21947" w14:textId="77777777" w:rsidR="00216757" w:rsidRPr="00F74CA6" w:rsidRDefault="00216757">
      <w:pPr>
        <w:contextualSpacing/>
        <w:rPr>
          <w:szCs w:val="26"/>
        </w:rPr>
      </w:pPr>
    </w:p>
    <w:p w14:paraId="09B0B481" w14:textId="77777777" w:rsidR="005760F4" w:rsidRPr="00F74CA6" w:rsidRDefault="005760F4" w:rsidP="00C82217">
      <w:pPr>
        <w:pStyle w:val="Heading1"/>
        <w:tabs>
          <w:tab w:val="left" w:pos="720"/>
        </w:tabs>
        <w:spacing w:line="360" w:lineRule="auto"/>
        <w:ind w:hanging="9360"/>
        <w:rPr>
          <w:rFonts w:cs="Times New Roman"/>
          <w:szCs w:val="26"/>
        </w:rPr>
      </w:pPr>
      <w:r w:rsidRPr="00F74CA6">
        <w:rPr>
          <w:rFonts w:cs="Times New Roman"/>
          <w:szCs w:val="26"/>
        </w:rPr>
        <w:lastRenderedPageBreak/>
        <w:t>Conclusion</w:t>
      </w:r>
    </w:p>
    <w:p w14:paraId="5B096824" w14:textId="77777777" w:rsidR="005760F4" w:rsidRPr="00F74CA6" w:rsidRDefault="005760F4">
      <w:pPr>
        <w:keepNext/>
        <w:keepLines/>
        <w:rPr>
          <w:szCs w:val="26"/>
        </w:rPr>
      </w:pPr>
    </w:p>
    <w:p w14:paraId="12ED1E86" w14:textId="510F4B2C" w:rsidR="005760F4" w:rsidRPr="00F74CA6" w:rsidRDefault="005760F4">
      <w:pPr>
        <w:rPr>
          <w:b/>
          <w:szCs w:val="26"/>
        </w:rPr>
      </w:pPr>
      <w:r w:rsidRPr="00F74CA6">
        <w:rPr>
          <w:szCs w:val="26"/>
        </w:rPr>
        <w:t xml:space="preserve">It is the Commission’s policy to promote settlements.  52 Pa. Code § 5.231.  The Parties herein have provided the Commission with sufficient information upon which to thoroughly consider the terms of the proposed </w:t>
      </w:r>
      <w:r w:rsidR="00781CBF" w:rsidRPr="00F74CA6">
        <w:rPr>
          <w:szCs w:val="26"/>
        </w:rPr>
        <w:t>Joint Petition for Partial S</w:t>
      </w:r>
      <w:r w:rsidRPr="00F74CA6">
        <w:rPr>
          <w:szCs w:val="26"/>
        </w:rPr>
        <w:t xml:space="preserve">ettlement.  Based on our review of the record in this case, including the Joint Petition </w:t>
      </w:r>
      <w:r w:rsidR="00781CBF" w:rsidRPr="00F74CA6">
        <w:rPr>
          <w:szCs w:val="26"/>
        </w:rPr>
        <w:t xml:space="preserve"> </w:t>
      </w:r>
      <w:r w:rsidRPr="00F74CA6">
        <w:rPr>
          <w:szCs w:val="26"/>
        </w:rPr>
        <w:t>and the Statements in Support thereof, we find that the proposed</w:t>
      </w:r>
      <w:r w:rsidR="00781CBF" w:rsidRPr="00F74CA6">
        <w:rPr>
          <w:szCs w:val="26"/>
        </w:rPr>
        <w:t xml:space="preserve"> </w:t>
      </w:r>
      <w:r w:rsidR="00206C01" w:rsidRPr="00F74CA6">
        <w:rPr>
          <w:szCs w:val="26"/>
        </w:rPr>
        <w:t>Joint Petition</w:t>
      </w:r>
      <w:r w:rsidR="00592D12" w:rsidRPr="00F74CA6">
        <w:rPr>
          <w:szCs w:val="26"/>
        </w:rPr>
        <w:t xml:space="preserve"> </w:t>
      </w:r>
      <w:r w:rsidR="009D3E3A" w:rsidRPr="00F74CA6">
        <w:rPr>
          <w:szCs w:val="26"/>
        </w:rPr>
        <w:t>by</w:t>
      </w:r>
      <w:r w:rsidRPr="00F74CA6">
        <w:rPr>
          <w:szCs w:val="26"/>
        </w:rPr>
        <w:t xml:space="preserve"> </w:t>
      </w:r>
      <w:r w:rsidR="004F4E56" w:rsidRPr="00F74CA6">
        <w:rPr>
          <w:szCs w:val="26"/>
        </w:rPr>
        <w:t>Peoples</w:t>
      </w:r>
      <w:r w:rsidRPr="00F74CA6">
        <w:rPr>
          <w:szCs w:val="26"/>
        </w:rPr>
        <w:t>, I&amp;E, the OCA</w:t>
      </w:r>
      <w:r w:rsidR="00781CBF" w:rsidRPr="00F74CA6">
        <w:rPr>
          <w:szCs w:val="26"/>
        </w:rPr>
        <w:t xml:space="preserve">, the OSBA, </w:t>
      </w:r>
      <w:r w:rsidR="008D0B5C" w:rsidRPr="00F74CA6">
        <w:rPr>
          <w:szCs w:val="26"/>
        </w:rPr>
        <w:t xml:space="preserve">Direct Energy, </w:t>
      </w:r>
      <w:r w:rsidR="00D936E6" w:rsidRPr="00F74CA6">
        <w:rPr>
          <w:szCs w:val="26"/>
        </w:rPr>
        <w:t xml:space="preserve">Duquesne Light, </w:t>
      </w:r>
      <w:r w:rsidR="008D0B5C" w:rsidRPr="00F74CA6">
        <w:rPr>
          <w:szCs w:val="26"/>
        </w:rPr>
        <w:t>PIOGA, CAAP, CAUSE-PA and Snyder Brothers</w:t>
      </w:r>
      <w:r w:rsidR="009E7B68" w:rsidRPr="00F74CA6">
        <w:rPr>
          <w:szCs w:val="26"/>
        </w:rPr>
        <w:t>,</w:t>
      </w:r>
      <w:r w:rsidR="00834143" w:rsidRPr="00F74CA6">
        <w:rPr>
          <w:szCs w:val="26"/>
        </w:rPr>
        <w:t xml:space="preserve"> are</w:t>
      </w:r>
      <w:r w:rsidRPr="00F74CA6">
        <w:rPr>
          <w:szCs w:val="26"/>
        </w:rPr>
        <w:t xml:space="preserve"> in the public interest</w:t>
      </w:r>
      <w:r w:rsidR="00834143" w:rsidRPr="00F74CA6">
        <w:rPr>
          <w:szCs w:val="26"/>
        </w:rPr>
        <w:t>.</w:t>
      </w:r>
      <w:r w:rsidRPr="00F74CA6">
        <w:rPr>
          <w:szCs w:val="26"/>
        </w:rPr>
        <w:t xml:space="preserve">  Accordingly, we shall adopt the Recommended Decision, consistent with this Opinion and Order, and </w:t>
      </w:r>
      <w:r w:rsidR="009E7B68" w:rsidRPr="00F74CA6">
        <w:rPr>
          <w:szCs w:val="26"/>
        </w:rPr>
        <w:t>grant t</w:t>
      </w:r>
      <w:r w:rsidRPr="00F74CA6">
        <w:rPr>
          <w:szCs w:val="26"/>
        </w:rPr>
        <w:t>he Joint Petition</w:t>
      </w:r>
      <w:r w:rsidR="00781CBF" w:rsidRPr="00F74CA6">
        <w:rPr>
          <w:szCs w:val="26"/>
        </w:rPr>
        <w:t xml:space="preserve"> for Partial Settlement</w:t>
      </w:r>
      <w:r w:rsidRPr="00F74CA6">
        <w:rPr>
          <w:szCs w:val="26"/>
        </w:rPr>
        <w:t>.  Additionally, we shall deny</w:t>
      </w:r>
      <w:r w:rsidR="00781CBF" w:rsidRPr="00F74CA6">
        <w:rPr>
          <w:szCs w:val="26"/>
        </w:rPr>
        <w:t xml:space="preserve"> </w:t>
      </w:r>
      <w:r w:rsidRPr="00F74CA6">
        <w:rPr>
          <w:szCs w:val="26"/>
        </w:rPr>
        <w:t xml:space="preserve">the Exceptions of </w:t>
      </w:r>
      <w:r w:rsidR="009D3E3A" w:rsidRPr="00F74CA6">
        <w:rPr>
          <w:szCs w:val="26"/>
        </w:rPr>
        <w:t xml:space="preserve">the </w:t>
      </w:r>
      <w:r w:rsidR="00DC0F20" w:rsidRPr="00F74CA6">
        <w:rPr>
          <w:szCs w:val="26"/>
        </w:rPr>
        <w:t xml:space="preserve">OSBA and adopt </w:t>
      </w:r>
      <w:r w:rsidR="009D3E3A" w:rsidRPr="00F74CA6">
        <w:rPr>
          <w:szCs w:val="26"/>
        </w:rPr>
        <w:t xml:space="preserve">the </w:t>
      </w:r>
      <w:r w:rsidR="00DC0F20" w:rsidRPr="00F74CA6">
        <w:rPr>
          <w:szCs w:val="26"/>
        </w:rPr>
        <w:t xml:space="preserve">ALJ’s recommendation </w:t>
      </w:r>
      <w:r w:rsidR="00913500" w:rsidRPr="00F74CA6">
        <w:rPr>
          <w:szCs w:val="26"/>
        </w:rPr>
        <w:t>regarding</w:t>
      </w:r>
      <w:r w:rsidR="00DC0F20" w:rsidRPr="00F74CA6">
        <w:rPr>
          <w:szCs w:val="26"/>
        </w:rPr>
        <w:t xml:space="preserve"> Peoples’ </w:t>
      </w:r>
      <w:r w:rsidR="0070631A" w:rsidRPr="00F74CA6">
        <w:rPr>
          <w:szCs w:val="26"/>
        </w:rPr>
        <w:t>M</w:t>
      </w:r>
      <w:r w:rsidR="00DC0F20" w:rsidRPr="00F74CA6">
        <w:rPr>
          <w:szCs w:val="26"/>
        </w:rPr>
        <w:t xml:space="preserve">ain </w:t>
      </w:r>
      <w:r w:rsidR="0070631A" w:rsidRPr="00F74CA6">
        <w:rPr>
          <w:szCs w:val="26"/>
        </w:rPr>
        <w:t>L</w:t>
      </w:r>
      <w:r w:rsidR="00DC0F20" w:rsidRPr="00F74CA6">
        <w:rPr>
          <w:szCs w:val="26"/>
        </w:rPr>
        <w:t xml:space="preserve">ine </w:t>
      </w:r>
      <w:r w:rsidR="0070631A" w:rsidRPr="00F74CA6">
        <w:rPr>
          <w:szCs w:val="26"/>
        </w:rPr>
        <w:t>E</w:t>
      </w:r>
      <w:r w:rsidR="00DC0F20" w:rsidRPr="00F74CA6">
        <w:rPr>
          <w:szCs w:val="26"/>
        </w:rPr>
        <w:t>xtension program</w:t>
      </w:r>
      <w:r w:rsidRPr="00F74CA6">
        <w:rPr>
          <w:szCs w:val="26"/>
        </w:rPr>
        <w:t xml:space="preserve">; </w:t>
      </w:r>
      <w:r w:rsidRPr="00F74CA6">
        <w:rPr>
          <w:b/>
          <w:szCs w:val="26"/>
        </w:rPr>
        <w:t>THEREFORE:</w:t>
      </w:r>
    </w:p>
    <w:p w14:paraId="2103C5F2" w14:textId="77777777" w:rsidR="005760F4" w:rsidRPr="00F74CA6" w:rsidRDefault="005760F4" w:rsidP="009E7B68">
      <w:pPr>
        <w:keepNext/>
        <w:keepLines/>
        <w:rPr>
          <w:szCs w:val="26"/>
        </w:rPr>
      </w:pPr>
      <w:r w:rsidRPr="00F74CA6">
        <w:rPr>
          <w:b/>
          <w:szCs w:val="26"/>
        </w:rPr>
        <w:t>IT IS ORDERED:</w:t>
      </w:r>
    </w:p>
    <w:p w14:paraId="28CDA610" w14:textId="77777777" w:rsidR="005760F4" w:rsidRPr="00F74CA6" w:rsidRDefault="005760F4" w:rsidP="009E7B68">
      <w:pPr>
        <w:keepNext/>
        <w:keepLines/>
        <w:rPr>
          <w:b/>
          <w:szCs w:val="26"/>
        </w:rPr>
      </w:pPr>
    </w:p>
    <w:p w14:paraId="746882C9" w14:textId="548A12FC" w:rsidR="005760F4" w:rsidRPr="00F74CA6" w:rsidRDefault="005760F4" w:rsidP="009E7B68">
      <w:pPr>
        <w:pStyle w:val="ListParagraph"/>
        <w:keepNext/>
        <w:keepLines/>
        <w:numPr>
          <w:ilvl w:val="0"/>
          <w:numId w:val="7"/>
        </w:numPr>
        <w:tabs>
          <w:tab w:val="clear" w:pos="720"/>
          <w:tab w:val="num" w:pos="0"/>
        </w:tabs>
        <w:ind w:left="0" w:firstLine="1440"/>
        <w:rPr>
          <w:szCs w:val="26"/>
        </w:rPr>
      </w:pPr>
      <w:r w:rsidRPr="00F74CA6">
        <w:rPr>
          <w:szCs w:val="26"/>
        </w:rPr>
        <w:t xml:space="preserve">That the Exceptions filed by the </w:t>
      </w:r>
      <w:r w:rsidR="00913500" w:rsidRPr="00F74CA6">
        <w:rPr>
          <w:szCs w:val="26"/>
        </w:rPr>
        <w:t xml:space="preserve">Office of </w:t>
      </w:r>
      <w:r w:rsidR="008D0B5C" w:rsidRPr="00F74CA6">
        <w:rPr>
          <w:szCs w:val="26"/>
        </w:rPr>
        <w:t>Small Business Advocate</w:t>
      </w:r>
      <w:r w:rsidRPr="00F74CA6">
        <w:rPr>
          <w:szCs w:val="26"/>
        </w:rPr>
        <w:t xml:space="preserve"> to the Recommended Decision of </w:t>
      </w:r>
      <w:r w:rsidR="008D0B5C" w:rsidRPr="00F74CA6">
        <w:rPr>
          <w:szCs w:val="26"/>
        </w:rPr>
        <w:t xml:space="preserve">Deputy Chief </w:t>
      </w:r>
      <w:r w:rsidRPr="00F74CA6">
        <w:rPr>
          <w:szCs w:val="26"/>
        </w:rPr>
        <w:t xml:space="preserve">Administrative Law Judge </w:t>
      </w:r>
      <w:r w:rsidR="008D0B5C" w:rsidRPr="00F74CA6">
        <w:rPr>
          <w:szCs w:val="26"/>
        </w:rPr>
        <w:t>Joel</w:t>
      </w:r>
      <w:r w:rsidRPr="00F74CA6">
        <w:rPr>
          <w:szCs w:val="26"/>
        </w:rPr>
        <w:t xml:space="preserve"> </w:t>
      </w:r>
      <w:r w:rsidR="008D0B5C" w:rsidRPr="00F74CA6">
        <w:rPr>
          <w:szCs w:val="26"/>
        </w:rPr>
        <w:t>H</w:t>
      </w:r>
      <w:r w:rsidRPr="00F74CA6">
        <w:rPr>
          <w:szCs w:val="26"/>
        </w:rPr>
        <w:t xml:space="preserve">. </w:t>
      </w:r>
      <w:r w:rsidR="008D0B5C" w:rsidRPr="00F74CA6">
        <w:rPr>
          <w:szCs w:val="26"/>
        </w:rPr>
        <w:t>Cheskis</w:t>
      </w:r>
      <w:r w:rsidR="00A62095" w:rsidRPr="00F74CA6">
        <w:rPr>
          <w:szCs w:val="26"/>
        </w:rPr>
        <w:t>, on August 22, 2019,</w:t>
      </w:r>
      <w:r w:rsidR="008D0B5C" w:rsidRPr="00F74CA6">
        <w:rPr>
          <w:szCs w:val="26"/>
        </w:rPr>
        <w:t xml:space="preserve"> </w:t>
      </w:r>
      <w:r w:rsidRPr="00F74CA6">
        <w:rPr>
          <w:szCs w:val="26"/>
        </w:rPr>
        <w:t>are denied.</w:t>
      </w:r>
    </w:p>
    <w:p w14:paraId="686E4417" w14:textId="77777777" w:rsidR="003D487A" w:rsidRPr="00F74CA6" w:rsidRDefault="003D487A" w:rsidP="009E7B68">
      <w:pPr>
        <w:pStyle w:val="ListParagraph"/>
        <w:ind w:left="1440" w:firstLine="0"/>
        <w:rPr>
          <w:szCs w:val="26"/>
        </w:rPr>
      </w:pPr>
    </w:p>
    <w:p w14:paraId="693715EC" w14:textId="77777777" w:rsidR="005760F4" w:rsidRPr="00F74CA6" w:rsidRDefault="005760F4" w:rsidP="00B94D39">
      <w:pPr>
        <w:pStyle w:val="ListParagraph"/>
        <w:numPr>
          <w:ilvl w:val="0"/>
          <w:numId w:val="7"/>
        </w:numPr>
        <w:tabs>
          <w:tab w:val="clear" w:pos="720"/>
          <w:tab w:val="num" w:pos="0"/>
        </w:tabs>
        <w:ind w:left="0" w:firstLine="1440"/>
        <w:rPr>
          <w:szCs w:val="26"/>
        </w:rPr>
      </w:pPr>
      <w:r w:rsidRPr="00F74CA6">
        <w:rPr>
          <w:szCs w:val="26"/>
        </w:rPr>
        <w:t xml:space="preserve">That the Recommended Decision of </w:t>
      </w:r>
      <w:r w:rsidR="008D0B5C" w:rsidRPr="00F74CA6">
        <w:rPr>
          <w:szCs w:val="26"/>
        </w:rPr>
        <w:t>Deputy Chief Administrative Law Judge Joel H. Cheskis</w:t>
      </w:r>
      <w:r w:rsidRPr="00F74CA6">
        <w:rPr>
          <w:szCs w:val="26"/>
        </w:rPr>
        <w:t xml:space="preserve">, issued on </w:t>
      </w:r>
      <w:r w:rsidR="006920B0" w:rsidRPr="00F74CA6">
        <w:rPr>
          <w:szCs w:val="26"/>
        </w:rPr>
        <w:t>August</w:t>
      </w:r>
      <w:r w:rsidRPr="00F74CA6">
        <w:rPr>
          <w:szCs w:val="26"/>
        </w:rPr>
        <w:t xml:space="preserve"> </w:t>
      </w:r>
      <w:r w:rsidR="006920B0" w:rsidRPr="00F74CA6">
        <w:rPr>
          <w:szCs w:val="26"/>
        </w:rPr>
        <w:t>15</w:t>
      </w:r>
      <w:r w:rsidRPr="00F74CA6">
        <w:rPr>
          <w:szCs w:val="26"/>
        </w:rPr>
        <w:t>, 201</w:t>
      </w:r>
      <w:r w:rsidR="008D0B5C" w:rsidRPr="00F74CA6">
        <w:rPr>
          <w:szCs w:val="26"/>
        </w:rPr>
        <w:t>9</w:t>
      </w:r>
      <w:r w:rsidRPr="00F74CA6">
        <w:rPr>
          <w:szCs w:val="26"/>
        </w:rPr>
        <w:t>, is adopted</w:t>
      </w:r>
      <w:r w:rsidR="008E22E3" w:rsidRPr="00F74CA6">
        <w:rPr>
          <w:szCs w:val="26"/>
        </w:rPr>
        <w:t>,</w:t>
      </w:r>
      <w:r w:rsidRPr="00F74CA6">
        <w:rPr>
          <w:szCs w:val="26"/>
        </w:rPr>
        <w:t xml:space="preserve"> </w:t>
      </w:r>
      <w:r w:rsidR="000A1158" w:rsidRPr="00F74CA6">
        <w:rPr>
          <w:szCs w:val="26"/>
        </w:rPr>
        <w:t>consistent with</w:t>
      </w:r>
      <w:r w:rsidRPr="00F74CA6">
        <w:rPr>
          <w:szCs w:val="26"/>
        </w:rPr>
        <w:t xml:space="preserve"> this Opinion and Order.</w:t>
      </w:r>
    </w:p>
    <w:p w14:paraId="0150EA56" w14:textId="77777777" w:rsidR="005760F4" w:rsidRPr="00F74CA6" w:rsidRDefault="005760F4">
      <w:pPr>
        <w:ind w:firstLine="0"/>
        <w:rPr>
          <w:szCs w:val="26"/>
        </w:rPr>
      </w:pPr>
    </w:p>
    <w:p w14:paraId="183A926D" w14:textId="77777777" w:rsidR="00621674" w:rsidRPr="00F74CA6" w:rsidRDefault="00621674" w:rsidP="00621674">
      <w:pPr>
        <w:pStyle w:val="ListParagraph"/>
        <w:numPr>
          <w:ilvl w:val="0"/>
          <w:numId w:val="7"/>
        </w:numPr>
        <w:tabs>
          <w:tab w:val="clear" w:pos="720"/>
          <w:tab w:val="num" w:pos="0"/>
        </w:tabs>
        <w:ind w:left="0" w:firstLine="1440"/>
        <w:rPr>
          <w:szCs w:val="26"/>
        </w:rPr>
      </w:pPr>
      <w:r w:rsidRPr="00F74CA6">
        <w:rPr>
          <w:szCs w:val="26"/>
        </w:rPr>
        <w:t>That Peoples Natural Gas Company LLC shall not place into effect the rates, rules and regulation contained in Retail Tariff Gas – PA PUC No. 47 and Supplier Tariff – PA PUC No. S-3, as filed.</w:t>
      </w:r>
    </w:p>
    <w:p w14:paraId="1A102762" w14:textId="77777777" w:rsidR="00621674" w:rsidRPr="00F74CA6" w:rsidRDefault="00621674" w:rsidP="00621674">
      <w:pPr>
        <w:pStyle w:val="ListParagraph"/>
        <w:rPr>
          <w:szCs w:val="26"/>
        </w:rPr>
      </w:pPr>
    </w:p>
    <w:p w14:paraId="78C39A06" w14:textId="1FE30EBA" w:rsidR="008E22E3" w:rsidRPr="00F74CA6" w:rsidRDefault="008E22E3" w:rsidP="00B94D39">
      <w:pPr>
        <w:pStyle w:val="ListParagraph"/>
        <w:numPr>
          <w:ilvl w:val="0"/>
          <w:numId w:val="7"/>
        </w:numPr>
        <w:tabs>
          <w:tab w:val="clear" w:pos="720"/>
          <w:tab w:val="num" w:pos="0"/>
        </w:tabs>
        <w:ind w:left="0" w:firstLine="1440"/>
        <w:rPr>
          <w:szCs w:val="26"/>
        </w:rPr>
      </w:pPr>
      <w:r w:rsidRPr="00F74CA6">
        <w:rPr>
          <w:szCs w:val="26"/>
        </w:rPr>
        <w:t xml:space="preserve">That the Joint Petition for </w:t>
      </w:r>
      <w:r w:rsidR="003319F6" w:rsidRPr="00F74CA6">
        <w:rPr>
          <w:szCs w:val="26"/>
        </w:rPr>
        <w:t>Approval of Settlement Stipulation</w:t>
      </w:r>
      <w:r w:rsidR="00592D12" w:rsidRPr="00F74CA6">
        <w:rPr>
          <w:szCs w:val="26"/>
        </w:rPr>
        <w:t xml:space="preserve"> </w:t>
      </w:r>
      <w:r w:rsidRPr="00F74CA6">
        <w:rPr>
          <w:szCs w:val="26"/>
        </w:rPr>
        <w:t xml:space="preserve">filed </w:t>
      </w:r>
      <w:r w:rsidR="003319F6" w:rsidRPr="00F74CA6">
        <w:rPr>
          <w:szCs w:val="26"/>
        </w:rPr>
        <w:t xml:space="preserve">on </w:t>
      </w:r>
      <w:r w:rsidR="00970B24" w:rsidRPr="00F74CA6">
        <w:rPr>
          <w:szCs w:val="26"/>
        </w:rPr>
        <w:t>July</w:t>
      </w:r>
      <w:r w:rsidRPr="00F74CA6">
        <w:rPr>
          <w:szCs w:val="26"/>
        </w:rPr>
        <w:t xml:space="preserve"> </w:t>
      </w:r>
      <w:r w:rsidR="00970B24" w:rsidRPr="00F74CA6">
        <w:rPr>
          <w:szCs w:val="26"/>
        </w:rPr>
        <w:t>9</w:t>
      </w:r>
      <w:r w:rsidRPr="00F74CA6">
        <w:rPr>
          <w:szCs w:val="26"/>
        </w:rPr>
        <w:t>, 201</w:t>
      </w:r>
      <w:r w:rsidR="00970B24" w:rsidRPr="00F74CA6">
        <w:rPr>
          <w:szCs w:val="26"/>
        </w:rPr>
        <w:t>9</w:t>
      </w:r>
      <w:r w:rsidRPr="00F74CA6">
        <w:rPr>
          <w:szCs w:val="26"/>
        </w:rPr>
        <w:t xml:space="preserve">, by </w:t>
      </w:r>
      <w:r w:rsidR="004F4E56" w:rsidRPr="00F74CA6">
        <w:rPr>
          <w:szCs w:val="26"/>
        </w:rPr>
        <w:t>Peoples</w:t>
      </w:r>
      <w:r w:rsidRPr="00F74CA6">
        <w:rPr>
          <w:szCs w:val="26"/>
        </w:rPr>
        <w:t xml:space="preserve"> </w:t>
      </w:r>
      <w:r w:rsidR="00970B24" w:rsidRPr="00F74CA6">
        <w:rPr>
          <w:szCs w:val="26"/>
        </w:rPr>
        <w:t xml:space="preserve">Natural </w:t>
      </w:r>
      <w:r w:rsidRPr="00F74CA6">
        <w:rPr>
          <w:szCs w:val="26"/>
        </w:rPr>
        <w:t xml:space="preserve">Gas </w:t>
      </w:r>
      <w:r w:rsidR="00970B24" w:rsidRPr="00F74CA6">
        <w:rPr>
          <w:szCs w:val="26"/>
        </w:rPr>
        <w:t>Company LLC</w:t>
      </w:r>
      <w:r w:rsidRPr="00F74CA6">
        <w:rPr>
          <w:szCs w:val="26"/>
        </w:rPr>
        <w:t xml:space="preserve">, the Commission’s Bureau of </w:t>
      </w:r>
      <w:r w:rsidRPr="00F74CA6">
        <w:rPr>
          <w:szCs w:val="26"/>
        </w:rPr>
        <w:lastRenderedPageBreak/>
        <w:t xml:space="preserve">Investigation and Enforcement, the Office of Consumer Advocate, the Office of Small Business Advocate, </w:t>
      </w:r>
      <w:r w:rsidR="00970B24" w:rsidRPr="00F74CA6">
        <w:rPr>
          <w:szCs w:val="26"/>
        </w:rPr>
        <w:t>Direct Energy</w:t>
      </w:r>
      <w:r w:rsidR="000A1158" w:rsidRPr="00F74CA6">
        <w:rPr>
          <w:szCs w:val="26"/>
        </w:rPr>
        <w:t xml:space="preserve"> Business, LLC,</w:t>
      </w:r>
      <w:r w:rsidR="00970B24" w:rsidRPr="00F74CA6">
        <w:rPr>
          <w:szCs w:val="26"/>
        </w:rPr>
        <w:t xml:space="preserve"> </w:t>
      </w:r>
      <w:r w:rsidR="000A1158" w:rsidRPr="00F74CA6">
        <w:rPr>
          <w:szCs w:val="26"/>
        </w:rPr>
        <w:t>Direct Energy Services, LLC,</w:t>
      </w:r>
      <w:r w:rsidR="00897F00" w:rsidRPr="00F74CA6">
        <w:rPr>
          <w:szCs w:val="26"/>
        </w:rPr>
        <w:t xml:space="preserve"> Direct Energy Business Marketing, LLC, Duquesne Light Company, </w:t>
      </w:r>
      <w:r w:rsidR="00970B24" w:rsidRPr="00F74CA6">
        <w:rPr>
          <w:szCs w:val="26"/>
        </w:rPr>
        <w:t>P</w:t>
      </w:r>
      <w:r w:rsidR="000A1158" w:rsidRPr="00F74CA6">
        <w:rPr>
          <w:szCs w:val="26"/>
        </w:rPr>
        <w:t>ennsylvania Independent Oil and Gas Association</w:t>
      </w:r>
      <w:r w:rsidR="00970B24" w:rsidRPr="00F74CA6">
        <w:rPr>
          <w:szCs w:val="26"/>
        </w:rPr>
        <w:t>,</w:t>
      </w:r>
      <w:r w:rsidR="000A1158" w:rsidRPr="00F74CA6">
        <w:rPr>
          <w:szCs w:val="26"/>
        </w:rPr>
        <w:t xml:space="preserve"> Community Action Association of Pennsylvania,</w:t>
      </w:r>
      <w:r w:rsidR="00970B24" w:rsidRPr="00F74CA6">
        <w:rPr>
          <w:szCs w:val="26"/>
        </w:rPr>
        <w:t xml:space="preserve"> C</w:t>
      </w:r>
      <w:r w:rsidR="000A1158" w:rsidRPr="00F74CA6">
        <w:rPr>
          <w:szCs w:val="26"/>
        </w:rPr>
        <w:t>oalition for Affordable Utility Services and Energy Efficiency</w:t>
      </w:r>
      <w:r w:rsidR="00A62095" w:rsidRPr="00F74CA6">
        <w:rPr>
          <w:szCs w:val="26"/>
        </w:rPr>
        <w:t>,</w:t>
      </w:r>
      <w:r w:rsidR="00970B24" w:rsidRPr="00F74CA6">
        <w:rPr>
          <w:szCs w:val="26"/>
        </w:rPr>
        <w:t xml:space="preserve"> Snyder Brothers</w:t>
      </w:r>
      <w:r w:rsidR="000A1158" w:rsidRPr="00F74CA6">
        <w:rPr>
          <w:szCs w:val="26"/>
        </w:rPr>
        <w:t>, Inc., VEC Energy LLC and Snyder Armclar Gas Company LP</w:t>
      </w:r>
      <w:r w:rsidR="00C25260" w:rsidRPr="00F74CA6">
        <w:rPr>
          <w:szCs w:val="26"/>
        </w:rPr>
        <w:t>, is approved</w:t>
      </w:r>
      <w:r w:rsidRPr="00F74CA6">
        <w:rPr>
          <w:szCs w:val="26"/>
        </w:rPr>
        <w:t>.</w:t>
      </w:r>
    </w:p>
    <w:p w14:paraId="02F8E250" w14:textId="77777777" w:rsidR="00CE1268" w:rsidRPr="00F74CA6" w:rsidRDefault="00CE1268" w:rsidP="00CE1268">
      <w:pPr>
        <w:pStyle w:val="ListParagraph"/>
        <w:rPr>
          <w:szCs w:val="26"/>
        </w:rPr>
      </w:pPr>
    </w:p>
    <w:p w14:paraId="210ED82D" w14:textId="65A01FE9" w:rsidR="00CE1268" w:rsidRPr="00F74CA6" w:rsidRDefault="008E22E3" w:rsidP="004C5F18">
      <w:pPr>
        <w:pStyle w:val="ListParagraph"/>
        <w:numPr>
          <w:ilvl w:val="0"/>
          <w:numId w:val="7"/>
        </w:numPr>
        <w:tabs>
          <w:tab w:val="clear" w:pos="720"/>
          <w:tab w:val="num" w:pos="0"/>
        </w:tabs>
        <w:ind w:left="0" w:firstLine="1440"/>
        <w:rPr>
          <w:szCs w:val="26"/>
        </w:rPr>
      </w:pPr>
      <w:r w:rsidRPr="00F74CA6">
        <w:rPr>
          <w:szCs w:val="26"/>
        </w:rPr>
        <w:t xml:space="preserve">That </w:t>
      </w:r>
      <w:r w:rsidR="004F4E56" w:rsidRPr="00F74CA6">
        <w:rPr>
          <w:szCs w:val="26"/>
        </w:rPr>
        <w:t>Peoples</w:t>
      </w:r>
      <w:r w:rsidRPr="00F74CA6">
        <w:rPr>
          <w:szCs w:val="26"/>
        </w:rPr>
        <w:t xml:space="preserve"> </w:t>
      </w:r>
      <w:r w:rsidR="00851F2F" w:rsidRPr="00F74CA6">
        <w:rPr>
          <w:szCs w:val="26"/>
        </w:rPr>
        <w:t xml:space="preserve">Natural </w:t>
      </w:r>
      <w:r w:rsidRPr="00F74CA6">
        <w:rPr>
          <w:szCs w:val="26"/>
        </w:rPr>
        <w:t xml:space="preserve">Gas </w:t>
      </w:r>
      <w:r w:rsidR="00851F2F" w:rsidRPr="00F74CA6">
        <w:rPr>
          <w:szCs w:val="26"/>
        </w:rPr>
        <w:t>Company</w:t>
      </w:r>
      <w:r w:rsidRPr="00F74CA6">
        <w:rPr>
          <w:szCs w:val="26"/>
        </w:rPr>
        <w:t xml:space="preserve"> </w:t>
      </w:r>
      <w:r w:rsidR="00621674" w:rsidRPr="00F74CA6">
        <w:rPr>
          <w:szCs w:val="26"/>
        </w:rPr>
        <w:t>LLC</w:t>
      </w:r>
      <w:r w:rsidRPr="00F74CA6">
        <w:rPr>
          <w:szCs w:val="26"/>
        </w:rPr>
        <w:t xml:space="preserve"> shall be permitted to file </w:t>
      </w:r>
      <w:r w:rsidR="00CE1268" w:rsidRPr="00F74CA6">
        <w:rPr>
          <w:szCs w:val="26"/>
        </w:rPr>
        <w:t xml:space="preserve">tariffs, </w:t>
      </w:r>
      <w:r w:rsidRPr="00F74CA6">
        <w:rPr>
          <w:szCs w:val="26"/>
        </w:rPr>
        <w:t>tariff supplement</w:t>
      </w:r>
      <w:r w:rsidR="00CE1268" w:rsidRPr="00F74CA6">
        <w:rPr>
          <w:szCs w:val="26"/>
        </w:rPr>
        <w:t>s</w:t>
      </w:r>
      <w:r w:rsidRPr="00F74CA6">
        <w:rPr>
          <w:szCs w:val="26"/>
        </w:rPr>
        <w:t xml:space="preserve"> </w:t>
      </w:r>
      <w:r w:rsidR="00CE1268" w:rsidRPr="00F74CA6">
        <w:rPr>
          <w:szCs w:val="26"/>
        </w:rPr>
        <w:t>and/or tariff revisions, on one day’s notice, and pursuant to the provisions of 52 Pa. Code §§ 53.1,</w:t>
      </w:r>
      <w:r w:rsidR="00E316CD" w:rsidRPr="00F74CA6">
        <w:rPr>
          <w:szCs w:val="26"/>
        </w:rPr>
        <w:t xml:space="preserve"> </w:t>
      </w:r>
      <w:r w:rsidR="00CE1268" w:rsidRPr="00F74CA6">
        <w:rPr>
          <w:i/>
          <w:iCs/>
          <w:szCs w:val="26"/>
        </w:rPr>
        <w:t>et seq</w:t>
      </w:r>
      <w:r w:rsidR="00CE1268" w:rsidRPr="00F74CA6">
        <w:rPr>
          <w:szCs w:val="26"/>
        </w:rPr>
        <w:t>., an</w:t>
      </w:r>
      <w:r w:rsidR="00FB6072" w:rsidRPr="00F74CA6">
        <w:rPr>
          <w:szCs w:val="26"/>
        </w:rPr>
        <w:t>d</w:t>
      </w:r>
      <w:r w:rsidR="00CE1268" w:rsidRPr="00F74CA6">
        <w:rPr>
          <w:szCs w:val="26"/>
        </w:rPr>
        <w:t xml:space="preserve"> 53.101, incorporating the terms of the Joint Petition for </w:t>
      </w:r>
      <w:r w:rsidR="003319F6" w:rsidRPr="00F74CA6">
        <w:rPr>
          <w:szCs w:val="26"/>
        </w:rPr>
        <w:t>Approval of Settlement Stipulation</w:t>
      </w:r>
      <w:r w:rsidR="00592D12" w:rsidRPr="00F74CA6">
        <w:rPr>
          <w:szCs w:val="26"/>
        </w:rPr>
        <w:t xml:space="preserve"> </w:t>
      </w:r>
      <w:r w:rsidR="00CE1268" w:rsidRPr="00F74CA6">
        <w:rPr>
          <w:szCs w:val="26"/>
        </w:rPr>
        <w:t xml:space="preserve">and changes to rates, rules and regulations as set forth in Appendices A and B of the Joint Petition for </w:t>
      </w:r>
      <w:r w:rsidR="00AD2109" w:rsidRPr="00F74CA6">
        <w:rPr>
          <w:szCs w:val="26"/>
        </w:rPr>
        <w:t>Approval of Settlement Stipulation</w:t>
      </w:r>
      <w:r w:rsidR="00CE1268" w:rsidRPr="00F74CA6">
        <w:rPr>
          <w:szCs w:val="26"/>
        </w:rPr>
        <w:t>, designed to produce an annual distribution rate revenue increase of approximately $59.5 million, to become effective for servi</w:t>
      </w:r>
      <w:r w:rsidR="004C5F18" w:rsidRPr="00F74CA6">
        <w:rPr>
          <w:szCs w:val="26"/>
        </w:rPr>
        <w:t>c</w:t>
      </w:r>
      <w:r w:rsidR="00CE1268" w:rsidRPr="00F74CA6">
        <w:rPr>
          <w:szCs w:val="26"/>
        </w:rPr>
        <w:t xml:space="preserve">e rendered on and after October </w:t>
      </w:r>
      <w:r w:rsidR="004C5F18" w:rsidRPr="00F74CA6">
        <w:rPr>
          <w:szCs w:val="26"/>
        </w:rPr>
        <w:t>29, 2019.</w:t>
      </w:r>
    </w:p>
    <w:p w14:paraId="51880A45" w14:textId="77777777" w:rsidR="00621674" w:rsidRPr="00F74CA6" w:rsidRDefault="00621674" w:rsidP="00621674">
      <w:pPr>
        <w:pStyle w:val="ListParagraph"/>
        <w:rPr>
          <w:szCs w:val="26"/>
        </w:rPr>
      </w:pPr>
    </w:p>
    <w:p w14:paraId="6AFED454" w14:textId="3909C53B" w:rsidR="00621674" w:rsidRPr="00F74CA6" w:rsidRDefault="00621674" w:rsidP="00621674">
      <w:pPr>
        <w:pStyle w:val="ListParagraph"/>
        <w:numPr>
          <w:ilvl w:val="0"/>
          <w:numId w:val="7"/>
        </w:numPr>
        <w:tabs>
          <w:tab w:val="clear" w:pos="720"/>
          <w:tab w:val="num" w:pos="0"/>
        </w:tabs>
        <w:ind w:left="0" w:firstLine="1440"/>
        <w:rPr>
          <w:szCs w:val="26"/>
        </w:rPr>
      </w:pPr>
      <w:r w:rsidRPr="00F74CA6">
        <w:rPr>
          <w:szCs w:val="26"/>
        </w:rPr>
        <w:t xml:space="preserve">That Peoples </w:t>
      </w:r>
      <w:r w:rsidR="00851F2F" w:rsidRPr="00F74CA6">
        <w:rPr>
          <w:szCs w:val="26"/>
        </w:rPr>
        <w:t xml:space="preserve">Natural </w:t>
      </w:r>
      <w:r w:rsidRPr="00F74CA6">
        <w:rPr>
          <w:szCs w:val="26"/>
        </w:rPr>
        <w:t xml:space="preserve">Gas </w:t>
      </w:r>
      <w:r w:rsidR="00851F2F" w:rsidRPr="00F74CA6">
        <w:rPr>
          <w:szCs w:val="26"/>
        </w:rPr>
        <w:t>Company</w:t>
      </w:r>
      <w:r w:rsidRPr="00F74CA6">
        <w:rPr>
          <w:szCs w:val="26"/>
        </w:rPr>
        <w:t xml:space="preserve"> LLC shall refund </w:t>
      </w:r>
      <w:r w:rsidR="007F6520" w:rsidRPr="00F74CA6">
        <w:rPr>
          <w:szCs w:val="26"/>
        </w:rPr>
        <w:t xml:space="preserve">in the form of one-time bill credit within 120 days of the effective date of rates in this proceeding, the tax savings, with interest, associated with the </w:t>
      </w:r>
      <w:r w:rsidR="00E316CD" w:rsidRPr="00F74CA6">
        <w:rPr>
          <w:szCs w:val="26"/>
        </w:rPr>
        <w:t xml:space="preserve">Tax Cut and Jobs Act of 2017 </w:t>
      </w:r>
      <w:r w:rsidR="007F6520" w:rsidRPr="00F74CA6">
        <w:rPr>
          <w:szCs w:val="26"/>
        </w:rPr>
        <w:t>for the period of January 1, 2018</w:t>
      </w:r>
      <w:r w:rsidR="00AD2109" w:rsidRPr="00F74CA6">
        <w:rPr>
          <w:szCs w:val="26"/>
        </w:rPr>
        <w:t>,</w:t>
      </w:r>
      <w:r w:rsidR="007F6520" w:rsidRPr="00F74CA6">
        <w:rPr>
          <w:szCs w:val="26"/>
        </w:rPr>
        <w:t xml:space="preserve"> till the new rate in this proceeding goes into effect on October 29, 2019.</w:t>
      </w:r>
    </w:p>
    <w:p w14:paraId="4D247D7F" w14:textId="77777777" w:rsidR="00913500" w:rsidRPr="00F74CA6" w:rsidRDefault="00913500" w:rsidP="008718F1">
      <w:pPr>
        <w:pStyle w:val="ListParagraph"/>
        <w:ind w:left="1440" w:firstLine="0"/>
        <w:rPr>
          <w:szCs w:val="26"/>
        </w:rPr>
      </w:pPr>
    </w:p>
    <w:p w14:paraId="0BEF4908" w14:textId="77777777" w:rsidR="00621674" w:rsidRPr="00F74CA6" w:rsidRDefault="00621674" w:rsidP="00621674">
      <w:pPr>
        <w:pStyle w:val="ListParagraph"/>
        <w:numPr>
          <w:ilvl w:val="0"/>
          <w:numId w:val="7"/>
        </w:numPr>
        <w:tabs>
          <w:tab w:val="clear" w:pos="720"/>
          <w:tab w:val="num" w:pos="0"/>
        </w:tabs>
        <w:ind w:left="0" w:firstLine="1440"/>
        <w:rPr>
          <w:szCs w:val="26"/>
        </w:rPr>
      </w:pPr>
      <w:r w:rsidRPr="00F74CA6">
        <w:rPr>
          <w:szCs w:val="26"/>
        </w:rPr>
        <w:t xml:space="preserve">That </w:t>
      </w:r>
      <w:r w:rsidR="00C04197" w:rsidRPr="00F74CA6">
        <w:rPr>
          <w:szCs w:val="26"/>
        </w:rPr>
        <w:t xml:space="preserve">Peoples </w:t>
      </w:r>
      <w:r w:rsidR="00851F2F" w:rsidRPr="00F74CA6">
        <w:rPr>
          <w:szCs w:val="26"/>
        </w:rPr>
        <w:t xml:space="preserve">Natural </w:t>
      </w:r>
      <w:r w:rsidR="00C04197" w:rsidRPr="00F74CA6">
        <w:rPr>
          <w:szCs w:val="26"/>
        </w:rPr>
        <w:t xml:space="preserve">Gas </w:t>
      </w:r>
      <w:r w:rsidR="00851F2F" w:rsidRPr="00F74CA6">
        <w:rPr>
          <w:szCs w:val="26"/>
        </w:rPr>
        <w:t>Company</w:t>
      </w:r>
      <w:r w:rsidRPr="00F74CA6">
        <w:rPr>
          <w:szCs w:val="26"/>
        </w:rPr>
        <w:t xml:space="preserve"> </w:t>
      </w:r>
      <w:r w:rsidR="00736517" w:rsidRPr="00F74CA6">
        <w:rPr>
          <w:szCs w:val="26"/>
        </w:rPr>
        <w:t xml:space="preserve">LLC </w:t>
      </w:r>
      <w:r w:rsidRPr="00F74CA6">
        <w:rPr>
          <w:szCs w:val="26"/>
        </w:rPr>
        <w:t xml:space="preserve">shall file with the Commission’s Bureau of Technical Utility Services a list that shall detail by rate class how much in dollars will be refunded to each rate class as a result of the Tax Cut and Jobs Act of 2017 refund. </w:t>
      </w:r>
      <w:r w:rsidR="00FB6072" w:rsidRPr="00F74CA6">
        <w:rPr>
          <w:szCs w:val="26"/>
        </w:rPr>
        <w:t xml:space="preserve"> </w:t>
      </w:r>
      <w:r w:rsidRPr="00F74CA6">
        <w:rPr>
          <w:szCs w:val="26"/>
        </w:rPr>
        <w:t>The list shall be filed at Docket No. R-2018-300</w:t>
      </w:r>
      <w:r w:rsidR="00A84C19" w:rsidRPr="00F74CA6">
        <w:rPr>
          <w:szCs w:val="26"/>
        </w:rPr>
        <w:t>6</w:t>
      </w:r>
      <w:r w:rsidRPr="00F74CA6">
        <w:rPr>
          <w:szCs w:val="26"/>
        </w:rPr>
        <w:t>8</w:t>
      </w:r>
      <w:r w:rsidR="00A84C19" w:rsidRPr="00F74CA6">
        <w:rPr>
          <w:szCs w:val="26"/>
        </w:rPr>
        <w:t>18</w:t>
      </w:r>
      <w:r w:rsidRPr="00F74CA6">
        <w:rPr>
          <w:szCs w:val="26"/>
        </w:rPr>
        <w:t xml:space="preserve"> on or before </w:t>
      </w:r>
      <w:r w:rsidR="00A84C19" w:rsidRPr="00F74CA6">
        <w:rPr>
          <w:szCs w:val="26"/>
        </w:rPr>
        <w:t>November</w:t>
      </w:r>
      <w:r w:rsidRPr="00F74CA6">
        <w:rPr>
          <w:szCs w:val="26"/>
        </w:rPr>
        <w:t xml:space="preserve"> </w:t>
      </w:r>
      <w:r w:rsidR="00A84C19" w:rsidRPr="00F74CA6">
        <w:rPr>
          <w:szCs w:val="26"/>
        </w:rPr>
        <w:t>18</w:t>
      </w:r>
      <w:r w:rsidRPr="00F74CA6">
        <w:rPr>
          <w:szCs w:val="26"/>
        </w:rPr>
        <w:t>, 2019.</w:t>
      </w:r>
    </w:p>
    <w:p w14:paraId="75D16DDA" w14:textId="77777777" w:rsidR="00B31442" w:rsidRPr="00F74CA6" w:rsidRDefault="00B31442" w:rsidP="007D182B">
      <w:pPr>
        <w:rPr>
          <w:szCs w:val="26"/>
        </w:rPr>
      </w:pPr>
    </w:p>
    <w:p w14:paraId="7E703C01" w14:textId="46E0439F" w:rsidR="008E22E3" w:rsidRPr="00F74CA6" w:rsidRDefault="00B31442" w:rsidP="007D182B">
      <w:pPr>
        <w:rPr>
          <w:szCs w:val="26"/>
        </w:rPr>
      </w:pPr>
      <w:r w:rsidRPr="00F74CA6">
        <w:rPr>
          <w:szCs w:val="26"/>
        </w:rPr>
        <w:lastRenderedPageBreak/>
        <w:t>8</w:t>
      </w:r>
      <w:r w:rsidR="00370424" w:rsidRPr="00F74CA6">
        <w:rPr>
          <w:szCs w:val="26"/>
        </w:rPr>
        <w:t>.</w:t>
      </w:r>
      <w:r w:rsidR="00370424" w:rsidRPr="00F74CA6">
        <w:rPr>
          <w:szCs w:val="26"/>
        </w:rPr>
        <w:tab/>
      </w:r>
      <w:r w:rsidR="008E22E3" w:rsidRPr="00F74CA6">
        <w:rPr>
          <w:szCs w:val="26"/>
        </w:rPr>
        <w:t>That the Formal Complaint filed by the Office of Consumer Advocate at Docket No. C-201</w:t>
      </w:r>
      <w:r w:rsidR="00D936E6" w:rsidRPr="00F74CA6">
        <w:rPr>
          <w:szCs w:val="26"/>
        </w:rPr>
        <w:t>9</w:t>
      </w:r>
      <w:r w:rsidR="008E22E3" w:rsidRPr="00F74CA6">
        <w:rPr>
          <w:szCs w:val="26"/>
        </w:rPr>
        <w:t>-</w:t>
      </w:r>
      <w:r w:rsidR="00D936E6" w:rsidRPr="00F74CA6">
        <w:rPr>
          <w:szCs w:val="26"/>
        </w:rPr>
        <w:t>3007711</w:t>
      </w:r>
      <w:r w:rsidR="008E22E3" w:rsidRPr="00F74CA6">
        <w:rPr>
          <w:szCs w:val="26"/>
        </w:rPr>
        <w:t xml:space="preserve">, </w:t>
      </w:r>
      <w:r w:rsidR="00D936E6" w:rsidRPr="00F74CA6">
        <w:rPr>
          <w:szCs w:val="26"/>
        </w:rPr>
        <w:t>be marked satisfied and closed.</w:t>
      </w:r>
    </w:p>
    <w:p w14:paraId="32BADD49" w14:textId="77777777" w:rsidR="008A67A6" w:rsidRPr="00F74CA6" w:rsidRDefault="008A67A6" w:rsidP="007D182B">
      <w:pPr>
        <w:rPr>
          <w:szCs w:val="26"/>
        </w:rPr>
      </w:pPr>
    </w:p>
    <w:p w14:paraId="45C81B27" w14:textId="248F06C7" w:rsidR="00965EEF" w:rsidRPr="00F74CA6" w:rsidRDefault="00B31442" w:rsidP="00965EEF">
      <w:pPr>
        <w:rPr>
          <w:szCs w:val="26"/>
        </w:rPr>
      </w:pPr>
      <w:r w:rsidRPr="00F74CA6">
        <w:rPr>
          <w:szCs w:val="26"/>
        </w:rPr>
        <w:t>9</w:t>
      </w:r>
      <w:r w:rsidR="003F75BE" w:rsidRPr="00F74CA6">
        <w:rPr>
          <w:szCs w:val="26"/>
        </w:rPr>
        <w:t>.</w:t>
      </w:r>
      <w:r w:rsidR="003F75BE" w:rsidRPr="00F74CA6">
        <w:rPr>
          <w:szCs w:val="26"/>
        </w:rPr>
        <w:tab/>
      </w:r>
      <w:r w:rsidR="008E22E3" w:rsidRPr="00F74CA6">
        <w:rPr>
          <w:szCs w:val="26"/>
        </w:rPr>
        <w:t>That the Formal Complaint filed by the Office of Small Business Advocate at Docket No. C-201</w:t>
      </w:r>
      <w:r w:rsidR="00965EEF" w:rsidRPr="00F74CA6">
        <w:rPr>
          <w:szCs w:val="26"/>
        </w:rPr>
        <w:t>9</w:t>
      </w:r>
      <w:r w:rsidR="008E22E3" w:rsidRPr="00F74CA6">
        <w:rPr>
          <w:szCs w:val="26"/>
        </w:rPr>
        <w:t>-</w:t>
      </w:r>
      <w:r w:rsidR="00965EEF" w:rsidRPr="00F74CA6">
        <w:rPr>
          <w:szCs w:val="26"/>
        </w:rPr>
        <w:t>3007752</w:t>
      </w:r>
      <w:r w:rsidR="008E22E3" w:rsidRPr="00F74CA6">
        <w:rPr>
          <w:szCs w:val="26"/>
        </w:rPr>
        <w:t xml:space="preserve">, </w:t>
      </w:r>
      <w:r w:rsidR="00965EEF" w:rsidRPr="00F74CA6">
        <w:rPr>
          <w:szCs w:val="26"/>
        </w:rPr>
        <w:t>as it relates to the disposition of its request to include a directive that the costs for new residential customers’ mainline extension should be assigned to the residential class, is denied.  The Formal Complaint is otherwise satisfied as it relates to all other issues and shall be marked closed.</w:t>
      </w:r>
    </w:p>
    <w:p w14:paraId="28C674A5" w14:textId="77777777" w:rsidR="004C397E" w:rsidRPr="00F74CA6" w:rsidRDefault="004C397E">
      <w:pPr>
        <w:ind w:firstLine="0"/>
        <w:rPr>
          <w:szCs w:val="26"/>
        </w:rPr>
      </w:pPr>
    </w:p>
    <w:p w14:paraId="6075B0BC" w14:textId="77777777" w:rsidR="00965EEF" w:rsidRPr="00F74CA6" w:rsidRDefault="00B31442" w:rsidP="00965EEF">
      <w:pPr>
        <w:rPr>
          <w:szCs w:val="26"/>
        </w:rPr>
      </w:pPr>
      <w:r w:rsidRPr="00F74CA6">
        <w:rPr>
          <w:szCs w:val="26"/>
        </w:rPr>
        <w:t>10</w:t>
      </w:r>
      <w:r w:rsidR="003F75BE" w:rsidRPr="00F74CA6">
        <w:rPr>
          <w:szCs w:val="26"/>
        </w:rPr>
        <w:t>.</w:t>
      </w:r>
      <w:r w:rsidR="003F75BE" w:rsidRPr="00F74CA6">
        <w:rPr>
          <w:szCs w:val="26"/>
        </w:rPr>
        <w:tab/>
      </w:r>
      <w:r w:rsidR="00965EEF" w:rsidRPr="00F74CA6">
        <w:rPr>
          <w:szCs w:val="26"/>
        </w:rPr>
        <w:t xml:space="preserve">That the Formal Complaint filed by </w:t>
      </w:r>
      <w:r w:rsidR="00C707EA" w:rsidRPr="00F74CA6">
        <w:rPr>
          <w:szCs w:val="26"/>
        </w:rPr>
        <w:t xml:space="preserve">Charles Hagins </w:t>
      </w:r>
      <w:r w:rsidR="00965EEF" w:rsidRPr="00F74CA6">
        <w:rPr>
          <w:szCs w:val="26"/>
        </w:rPr>
        <w:t>at Docket No. C-2019-3007698, is dismissed.</w:t>
      </w:r>
    </w:p>
    <w:p w14:paraId="1E0A117D" w14:textId="77777777" w:rsidR="00FB6072" w:rsidRPr="00F74CA6" w:rsidRDefault="00FB6072" w:rsidP="00965EEF">
      <w:pPr>
        <w:rPr>
          <w:szCs w:val="26"/>
        </w:rPr>
      </w:pPr>
    </w:p>
    <w:p w14:paraId="034D9F30" w14:textId="77777777" w:rsidR="00FB6072" w:rsidRPr="00F74CA6" w:rsidRDefault="00FB6072" w:rsidP="00FB6072">
      <w:pPr>
        <w:rPr>
          <w:szCs w:val="26"/>
        </w:rPr>
      </w:pPr>
      <w:r w:rsidRPr="00F74CA6">
        <w:rPr>
          <w:szCs w:val="26"/>
        </w:rPr>
        <w:t>11.</w:t>
      </w:r>
      <w:r w:rsidRPr="00F74CA6">
        <w:rPr>
          <w:szCs w:val="26"/>
        </w:rPr>
        <w:tab/>
        <w:t>That the Formal Complaint filed by Daniel Killmeyer at Docket No. C-2019-3007635, is dismissed.</w:t>
      </w:r>
    </w:p>
    <w:p w14:paraId="6B51BC4B" w14:textId="77777777" w:rsidR="00FB6072" w:rsidRPr="00F74CA6" w:rsidRDefault="004C5F18" w:rsidP="00FB6072">
      <w:pPr>
        <w:rPr>
          <w:szCs w:val="26"/>
        </w:rPr>
      </w:pPr>
      <w:r w:rsidRPr="00F74CA6">
        <w:rPr>
          <w:szCs w:val="26"/>
        </w:rPr>
        <w:t>1</w:t>
      </w:r>
      <w:r w:rsidR="00B31442" w:rsidRPr="00F74CA6">
        <w:rPr>
          <w:szCs w:val="26"/>
        </w:rPr>
        <w:t>2</w:t>
      </w:r>
      <w:r w:rsidR="00965EEF" w:rsidRPr="00F74CA6">
        <w:rPr>
          <w:szCs w:val="26"/>
        </w:rPr>
        <w:t>.</w:t>
      </w:r>
      <w:r w:rsidR="00965EEF" w:rsidRPr="00F74CA6">
        <w:rPr>
          <w:szCs w:val="26"/>
        </w:rPr>
        <w:tab/>
      </w:r>
      <w:r w:rsidR="00FB6072" w:rsidRPr="00F74CA6">
        <w:rPr>
          <w:szCs w:val="26"/>
        </w:rPr>
        <w:t>That the Formal Complaint filed by Samuel Givens at Docket No. C</w:t>
      </w:r>
      <w:r w:rsidR="00FB6072" w:rsidRPr="00F74CA6">
        <w:rPr>
          <w:szCs w:val="26"/>
        </w:rPr>
        <w:noBreakHyphen/>
        <w:t>2019-3007959, is dismissed.</w:t>
      </w:r>
    </w:p>
    <w:p w14:paraId="39B17EF6" w14:textId="77777777" w:rsidR="00FB6072" w:rsidRPr="00F74CA6" w:rsidRDefault="00FB6072" w:rsidP="00965EEF">
      <w:pPr>
        <w:rPr>
          <w:szCs w:val="26"/>
        </w:rPr>
      </w:pPr>
    </w:p>
    <w:p w14:paraId="696064A1" w14:textId="77777777" w:rsidR="00FB6072" w:rsidRPr="00F74CA6" w:rsidRDefault="00965EEF" w:rsidP="00FB6072">
      <w:pPr>
        <w:rPr>
          <w:szCs w:val="26"/>
        </w:rPr>
      </w:pPr>
      <w:r w:rsidRPr="00F74CA6">
        <w:rPr>
          <w:szCs w:val="26"/>
        </w:rPr>
        <w:t>1</w:t>
      </w:r>
      <w:r w:rsidR="00B31442" w:rsidRPr="00F74CA6">
        <w:rPr>
          <w:szCs w:val="26"/>
        </w:rPr>
        <w:t>3</w:t>
      </w:r>
      <w:r w:rsidRPr="00F74CA6">
        <w:rPr>
          <w:szCs w:val="26"/>
        </w:rPr>
        <w:t>.</w:t>
      </w:r>
      <w:r w:rsidRPr="00F74CA6">
        <w:rPr>
          <w:szCs w:val="26"/>
        </w:rPr>
        <w:tab/>
      </w:r>
      <w:r w:rsidR="00FB6072" w:rsidRPr="00F74CA6">
        <w:rPr>
          <w:szCs w:val="26"/>
        </w:rPr>
        <w:t>That the Formal Complaint filed by Sean D. Ferris at Docket No. C</w:t>
      </w:r>
      <w:r w:rsidR="00FB6072" w:rsidRPr="00F74CA6">
        <w:rPr>
          <w:szCs w:val="26"/>
        </w:rPr>
        <w:noBreakHyphen/>
        <w:t>2019-3007904, is dismissed.</w:t>
      </w:r>
    </w:p>
    <w:p w14:paraId="32015659" w14:textId="77777777" w:rsidR="00965EEF" w:rsidRPr="00F74CA6" w:rsidRDefault="00965EEF" w:rsidP="00DF0A57">
      <w:pPr>
        <w:rPr>
          <w:szCs w:val="26"/>
        </w:rPr>
      </w:pPr>
    </w:p>
    <w:p w14:paraId="785A5059" w14:textId="1E03B5DE" w:rsidR="00DF0A57" w:rsidRPr="00F74CA6" w:rsidRDefault="00DF0A57" w:rsidP="00DF0A57">
      <w:pPr>
        <w:rPr>
          <w:szCs w:val="26"/>
        </w:rPr>
      </w:pPr>
      <w:r w:rsidRPr="00F74CA6">
        <w:rPr>
          <w:szCs w:val="26"/>
        </w:rPr>
        <w:t>1</w:t>
      </w:r>
      <w:r w:rsidR="00B31442" w:rsidRPr="00F74CA6">
        <w:rPr>
          <w:szCs w:val="26"/>
        </w:rPr>
        <w:t>4</w:t>
      </w:r>
      <w:r w:rsidRPr="00F74CA6">
        <w:rPr>
          <w:szCs w:val="26"/>
        </w:rPr>
        <w:t>.</w:t>
      </w:r>
      <w:r w:rsidRPr="00F74CA6">
        <w:rPr>
          <w:szCs w:val="26"/>
        </w:rPr>
        <w:tab/>
        <w:t>That the Formal Complaint filed by Peoples Industrial Intervenors at Docket No. C-2019-3008506, be marked satisfied and closed.</w:t>
      </w:r>
    </w:p>
    <w:p w14:paraId="3BC95321" w14:textId="77777777" w:rsidR="00913500" w:rsidRPr="00F74CA6" w:rsidRDefault="00913500" w:rsidP="00DF0A57">
      <w:pPr>
        <w:rPr>
          <w:szCs w:val="26"/>
        </w:rPr>
      </w:pPr>
    </w:p>
    <w:p w14:paraId="3586E8F0" w14:textId="77777777" w:rsidR="00A30CC3" w:rsidRPr="00F74CA6" w:rsidRDefault="00A30CC3" w:rsidP="00A30CC3">
      <w:pPr>
        <w:rPr>
          <w:szCs w:val="26"/>
        </w:rPr>
      </w:pPr>
      <w:r w:rsidRPr="00F74CA6">
        <w:rPr>
          <w:szCs w:val="26"/>
        </w:rPr>
        <w:t>1</w:t>
      </w:r>
      <w:r w:rsidR="00B31442" w:rsidRPr="00F74CA6">
        <w:rPr>
          <w:szCs w:val="26"/>
        </w:rPr>
        <w:t>5</w:t>
      </w:r>
      <w:r w:rsidRPr="00F74CA6">
        <w:rPr>
          <w:szCs w:val="26"/>
        </w:rPr>
        <w:t>.</w:t>
      </w:r>
      <w:r w:rsidRPr="00F74CA6">
        <w:rPr>
          <w:szCs w:val="26"/>
        </w:rPr>
        <w:tab/>
        <w:t>That the Formal Complaint filed by Ann D. Bugosh Docket No. C</w:t>
      </w:r>
      <w:r w:rsidR="00FB6072" w:rsidRPr="00F74CA6">
        <w:rPr>
          <w:szCs w:val="26"/>
        </w:rPr>
        <w:noBreakHyphen/>
      </w:r>
      <w:r w:rsidRPr="00F74CA6">
        <w:rPr>
          <w:szCs w:val="26"/>
        </w:rPr>
        <w:t>2019-3008884, is dismissed.</w:t>
      </w:r>
    </w:p>
    <w:p w14:paraId="13A311C3" w14:textId="77777777" w:rsidR="00B37001" w:rsidRPr="00F74CA6" w:rsidRDefault="00B37001" w:rsidP="00A30CC3">
      <w:pPr>
        <w:rPr>
          <w:szCs w:val="26"/>
        </w:rPr>
      </w:pPr>
    </w:p>
    <w:p w14:paraId="7DDE3A0E" w14:textId="0E6EC893" w:rsidR="006C5383" w:rsidRDefault="00A30CC3" w:rsidP="006920B0">
      <w:pPr>
        <w:rPr>
          <w:szCs w:val="26"/>
        </w:rPr>
      </w:pPr>
      <w:r w:rsidRPr="00F74CA6">
        <w:rPr>
          <w:szCs w:val="26"/>
        </w:rPr>
        <w:t>1</w:t>
      </w:r>
      <w:r w:rsidR="00B31442" w:rsidRPr="00F74CA6">
        <w:rPr>
          <w:szCs w:val="26"/>
        </w:rPr>
        <w:t>6</w:t>
      </w:r>
      <w:r w:rsidRPr="00F74CA6">
        <w:rPr>
          <w:szCs w:val="26"/>
        </w:rPr>
        <w:t>.</w:t>
      </w:r>
      <w:r w:rsidRPr="00F74CA6">
        <w:rPr>
          <w:szCs w:val="26"/>
        </w:rPr>
        <w:tab/>
        <w:t>That the Formal Complaint filed by James Boudreau at Docket No. C-2019-3008800, is dismissed.</w:t>
      </w:r>
    </w:p>
    <w:p w14:paraId="4B115D68" w14:textId="77777777" w:rsidR="00C82217" w:rsidRDefault="00C82217" w:rsidP="00C82217">
      <w:pPr>
        <w:ind w:firstLine="0"/>
        <w:rPr>
          <w:szCs w:val="26"/>
        </w:rPr>
      </w:pPr>
    </w:p>
    <w:p w14:paraId="10FBF3A0" w14:textId="516615A2" w:rsidR="004C397E" w:rsidRPr="00F74CA6" w:rsidRDefault="00965EEF" w:rsidP="006920B0">
      <w:pPr>
        <w:rPr>
          <w:szCs w:val="26"/>
        </w:rPr>
      </w:pPr>
      <w:r w:rsidRPr="00F74CA6">
        <w:rPr>
          <w:szCs w:val="26"/>
        </w:rPr>
        <w:lastRenderedPageBreak/>
        <w:t>1</w:t>
      </w:r>
      <w:r w:rsidR="00B31442" w:rsidRPr="00F74CA6">
        <w:rPr>
          <w:szCs w:val="26"/>
        </w:rPr>
        <w:t>7</w:t>
      </w:r>
      <w:r w:rsidRPr="00F74CA6">
        <w:rPr>
          <w:szCs w:val="26"/>
        </w:rPr>
        <w:t>.</w:t>
      </w:r>
      <w:r w:rsidRPr="00F74CA6">
        <w:rPr>
          <w:szCs w:val="26"/>
        </w:rPr>
        <w:tab/>
      </w:r>
      <w:r w:rsidR="008E22E3" w:rsidRPr="00F74CA6">
        <w:rPr>
          <w:szCs w:val="26"/>
        </w:rPr>
        <w:t>That upon Commission approval of the tariff supplement</w:t>
      </w:r>
      <w:r w:rsidR="00E316CD" w:rsidRPr="00F74CA6">
        <w:rPr>
          <w:szCs w:val="26"/>
        </w:rPr>
        <w:t>s</w:t>
      </w:r>
      <w:r w:rsidR="008E22E3" w:rsidRPr="00F74CA6">
        <w:rPr>
          <w:szCs w:val="26"/>
        </w:rPr>
        <w:t xml:space="preserve"> filed by </w:t>
      </w:r>
      <w:r w:rsidR="004F4E56" w:rsidRPr="00F74CA6">
        <w:rPr>
          <w:szCs w:val="26"/>
        </w:rPr>
        <w:t>Peoples</w:t>
      </w:r>
      <w:r w:rsidR="008E22E3" w:rsidRPr="00F74CA6">
        <w:rPr>
          <w:szCs w:val="26"/>
        </w:rPr>
        <w:t xml:space="preserve"> </w:t>
      </w:r>
      <w:r w:rsidR="00970B24" w:rsidRPr="00F74CA6">
        <w:rPr>
          <w:szCs w:val="26"/>
        </w:rPr>
        <w:t xml:space="preserve">Natural </w:t>
      </w:r>
      <w:r w:rsidR="008E22E3" w:rsidRPr="00F74CA6">
        <w:rPr>
          <w:szCs w:val="26"/>
        </w:rPr>
        <w:t xml:space="preserve">Gas </w:t>
      </w:r>
      <w:r w:rsidR="00970B24" w:rsidRPr="00F74CA6">
        <w:rPr>
          <w:szCs w:val="26"/>
        </w:rPr>
        <w:t>Company LLC</w:t>
      </w:r>
      <w:r w:rsidR="008E22E3" w:rsidRPr="00F74CA6">
        <w:rPr>
          <w:szCs w:val="26"/>
        </w:rPr>
        <w:t xml:space="preserve"> in compliance with the Commission’s Order, the investigation at Docket No. R-201</w:t>
      </w:r>
      <w:r w:rsidR="00970B24" w:rsidRPr="00F74CA6">
        <w:rPr>
          <w:szCs w:val="26"/>
        </w:rPr>
        <w:t>8</w:t>
      </w:r>
      <w:r w:rsidR="008E22E3" w:rsidRPr="00F74CA6">
        <w:rPr>
          <w:szCs w:val="26"/>
        </w:rPr>
        <w:t>-</w:t>
      </w:r>
      <w:r w:rsidR="00970B24" w:rsidRPr="00F74CA6">
        <w:rPr>
          <w:szCs w:val="26"/>
        </w:rPr>
        <w:t>3006818</w:t>
      </w:r>
      <w:r w:rsidR="008E22E3" w:rsidRPr="00F74CA6">
        <w:rPr>
          <w:szCs w:val="26"/>
        </w:rPr>
        <w:t>, be marked closed.</w:t>
      </w:r>
    </w:p>
    <w:p w14:paraId="2CBDEA90" w14:textId="77777777" w:rsidR="002E30E9" w:rsidRPr="00F74CA6" w:rsidRDefault="002E30E9" w:rsidP="002D1F0B">
      <w:pPr>
        <w:pStyle w:val="ListParagraph"/>
        <w:keepNext/>
        <w:keepLines/>
        <w:ind w:left="1440" w:firstLine="0"/>
        <w:rPr>
          <w:szCs w:val="26"/>
        </w:rPr>
      </w:pPr>
    </w:p>
    <w:p w14:paraId="0CDC5AF3" w14:textId="65375DB2" w:rsidR="00A83D4D" w:rsidRPr="00F74CA6" w:rsidRDefault="00957B11" w:rsidP="00C82217">
      <w:pPr>
        <w:tabs>
          <w:tab w:val="left" w:pos="-720"/>
        </w:tabs>
        <w:suppressAutoHyphens/>
        <w:ind w:left="5400" w:firstLine="0"/>
        <w:rPr>
          <w:szCs w:val="26"/>
        </w:rPr>
      </w:pPr>
      <w:r w:rsidRPr="009F01BA">
        <w:rPr>
          <w:b/>
          <w:noProof/>
          <w:sz w:val="20"/>
          <w:szCs w:val="20"/>
        </w:rPr>
        <w:drawing>
          <wp:anchor distT="0" distB="0" distL="114300" distR="114300" simplePos="0" relativeHeight="251659264" behindDoc="1" locked="0" layoutInCell="1" allowOverlap="1" wp14:anchorId="01C623FC" wp14:editId="487C2F5D">
            <wp:simplePos x="0" y="0"/>
            <wp:positionH relativeFrom="column">
              <wp:posOffset>3305175</wp:posOffset>
            </wp:positionH>
            <wp:positionV relativeFrom="paragraph">
              <wp:posOffset>254635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83D4D" w:rsidRPr="00F74CA6">
        <w:rPr>
          <w:b/>
          <w:szCs w:val="26"/>
        </w:rPr>
        <w:t>BY THE COMMISSION,</w:t>
      </w:r>
    </w:p>
    <w:p w14:paraId="7C99DE70" w14:textId="56687C03" w:rsidR="00A83D4D" w:rsidRPr="00F74CA6" w:rsidRDefault="00A83D4D" w:rsidP="00C82217">
      <w:pPr>
        <w:tabs>
          <w:tab w:val="left" w:pos="-720"/>
        </w:tabs>
        <w:suppressAutoHyphens/>
        <w:ind w:left="5040" w:firstLine="0"/>
        <w:rPr>
          <w:szCs w:val="26"/>
        </w:rPr>
      </w:pPr>
    </w:p>
    <w:p w14:paraId="6CE23B20" w14:textId="20A496BC" w:rsidR="00913500" w:rsidRPr="00F74CA6" w:rsidRDefault="00913500" w:rsidP="00957B11">
      <w:pPr>
        <w:tabs>
          <w:tab w:val="left" w:pos="-720"/>
        </w:tabs>
        <w:suppressAutoHyphens/>
        <w:ind w:left="5040" w:firstLine="0"/>
        <w:jc w:val="center"/>
        <w:rPr>
          <w:szCs w:val="26"/>
        </w:rPr>
      </w:pPr>
    </w:p>
    <w:p w14:paraId="3E0339DB" w14:textId="77777777" w:rsidR="002E30E9" w:rsidRPr="00F74CA6" w:rsidRDefault="002E30E9" w:rsidP="00C82217">
      <w:pPr>
        <w:tabs>
          <w:tab w:val="left" w:pos="-720"/>
        </w:tabs>
        <w:suppressAutoHyphens/>
        <w:ind w:left="5040" w:firstLine="0"/>
        <w:rPr>
          <w:szCs w:val="26"/>
        </w:rPr>
      </w:pPr>
    </w:p>
    <w:p w14:paraId="1CCF4A85" w14:textId="77777777" w:rsidR="00A83D4D" w:rsidRPr="00F74CA6" w:rsidRDefault="00A83D4D" w:rsidP="00C82217">
      <w:pPr>
        <w:tabs>
          <w:tab w:val="left" w:pos="-720"/>
        </w:tabs>
        <w:suppressAutoHyphens/>
        <w:spacing w:line="240" w:lineRule="auto"/>
        <w:ind w:left="5400" w:firstLine="0"/>
        <w:rPr>
          <w:szCs w:val="26"/>
        </w:rPr>
      </w:pPr>
      <w:r w:rsidRPr="00F74CA6">
        <w:rPr>
          <w:szCs w:val="26"/>
        </w:rPr>
        <w:t>Rosemary Chiavetta</w:t>
      </w:r>
    </w:p>
    <w:p w14:paraId="576AA07D" w14:textId="77777777" w:rsidR="00A83D4D" w:rsidRPr="00F74CA6" w:rsidRDefault="00A83D4D" w:rsidP="00C82217">
      <w:pPr>
        <w:tabs>
          <w:tab w:val="left" w:pos="-720"/>
        </w:tabs>
        <w:suppressAutoHyphens/>
        <w:spacing w:line="240" w:lineRule="auto"/>
        <w:ind w:left="5400" w:firstLine="0"/>
        <w:rPr>
          <w:szCs w:val="26"/>
        </w:rPr>
      </w:pPr>
      <w:r w:rsidRPr="00F74CA6">
        <w:rPr>
          <w:szCs w:val="26"/>
        </w:rPr>
        <w:t>Secretary</w:t>
      </w:r>
    </w:p>
    <w:p w14:paraId="309BC2E3" w14:textId="77777777" w:rsidR="00A83D4D" w:rsidRPr="00F74CA6" w:rsidRDefault="00A83D4D" w:rsidP="00C82217">
      <w:pPr>
        <w:tabs>
          <w:tab w:val="left" w:pos="-720"/>
        </w:tabs>
        <w:suppressAutoHyphens/>
        <w:spacing w:line="240" w:lineRule="auto"/>
        <w:ind w:left="5040" w:firstLine="0"/>
        <w:rPr>
          <w:szCs w:val="26"/>
        </w:rPr>
      </w:pPr>
    </w:p>
    <w:p w14:paraId="62905262" w14:textId="77777777" w:rsidR="00A83D4D" w:rsidRPr="00F74CA6" w:rsidRDefault="00A83D4D" w:rsidP="00C82217">
      <w:pPr>
        <w:tabs>
          <w:tab w:val="left" w:pos="-720"/>
        </w:tabs>
        <w:suppressAutoHyphens/>
        <w:spacing w:line="480" w:lineRule="auto"/>
        <w:ind w:firstLine="0"/>
        <w:rPr>
          <w:szCs w:val="26"/>
        </w:rPr>
      </w:pPr>
      <w:r w:rsidRPr="00F74CA6">
        <w:rPr>
          <w:szCs w:val="26"/>
        </w:rPr>
        <w:t>(SEAL)</w:t>
      </w:r>
    </w:p>
    <w:p w14:paraId="2AD2CAC1" w14:textId="77777777" w:rsidR="00A83D4D" w:rsidRPr="00F74CA6" w:rsidRDefault="00A83D4D" w:rsidP="00C82217">
      <w:pPr>
        <w:tabs>
          <w:tab w:val="left" w:pos="-720"/>
        </w:tabs>
        <w:suppressAutoHyphens/>
        <w:spacing w:line="480" w:lineRule="auto"/>
        <w:ind w:firstLine="0"/>
        <w:rPr>
          <w:szCs w:val="26"/>
        </w:rPr>
      </w:pPr>
      <w:r w:rsidRPr="00F74CA6">
        <w:rPr>
          <w:szCs w:val="26"/>
        </w:rPr>
        <w:t xml:space="preserve">ORDER ADOPTED:  </w:t>
      </w:r>
      <w:r w:rsidR="00970B24" w:rsidRPr="00F74CA6">
        <w:rPr>
          <w:szCs w:val="26"/>
        </w:rPr>
        <w:t>October</w:t>
      </w:r>
      <w:r w:rsidRPr="00F74CA6">
        <w:rPr>
          <w:szCs w:val="26"/>
        </w:rPr>
        <w:t xml:space="preserve"> 3, 201</w:t>
      </w:r>
      <w:r w:rsidR="00970B24" w:rsidRPr="00F74CA6">
        <w:rPr>
          <w:szCs w:val="26"/>
        </w:rPr>
        <w:t>9</w:t>
      </w:r>
    </w:p>
    <w:p w14:paraId="20D1523B" w14:textId="4BA655EB" w:rsidR="0054393A" w:rsidRPr="00F74CA6" w:rsidRDefault="00A83D4D" w:rsidP="00C82217">
      <w:pPr>
        <w:tabs>
          <w:tab w:val="left" w:pos="-720"/>
        </w:tabs>
        <w:suppressAutoHyphens/>
        <w:spacing w:line="480" w:lineRule="auto"/>
        <w:ind w:firstLine="0"/>
        <w:rPr>
          <w:szCs w:val="26"/>
        </w:rPr>
      </w:pPr>
      <w:r w:rsidRPr="00F74CA6">
        <w:rPr>
          <w:szCs w:val="26"/>
        </w:rPr>
        <w:t xml:space="preserve">ORDER ENTERED:  </w:t>
      </w:r>
      <w:r w:rsidR="00957B11">
        <w:rPr>
          <w:szCs w:val="26"/>
        </w:rPr>
        <w:t>October 3, 2019</w:t>
      </w:r>
    </w:p>
    <w:sectPr w:rsidR="0054393A" w:rsidRPr="00F74CA6" w:rsidSect="00B47CC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1ABF" w14:textId="77777777" w:rsidR="009D7BF7" w:rsidRDefault="009D7BF7" w:rsidP="00367517">
      <w:pPr>
        <w:spacing w:line="240" w:lineRule="auto"/>
      </w:pPr>
      <w:r>
        <w:separator/>
      </w:r>
    </w:p>
  </w:endnote>
  <w:endnote w:type="continuationSeparator" w:id="0">
    <w:p w14:paraId="1C65B2F6" w14:textId="77777777" w:rsidR="009D7BF7" w:rsidRDefault="009D7BF7" w:rsidP="00367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05953"/>
      <w:docPartObj>
        <w:docPartGallery w:val="Page Numbers (Bottom of Page)"/>
        <w:docPartUnique/>
      </w:docPartObj>
    </w:sdtPr>
    <w:sdtEndPr>
      <w:rPr>
        <w:noProof/>
      </w:rPr>
    </w:sdtEndPr>
    <w:sdtContent>
      <w:p w14:paraId="1B79E390" w14:textId="6A75A9B1" w:rsidR="00EA69F7" w:rsidRDefault="00EA69F7" w:rsidP="001476F9">
        <w:pPr>
          <w:pStyle w:val="Footer"/>
          <w:ind w:firstLine="0"/>
          <w:jc w:val="center"/>
        </w:pPr>
        <w:r>
          <w:fldChar w:fldCharType="begin"/>
        </w:r>
        <w:r>
          <w:instrText xml:space="preserve"> PAGE   \* MERGEFORMAT </w:instrText>
        </w:r>
        <w:r>
          <w:fldChar w:fldCharType="separate"/>
        </w:r>
        <w:r>
          <w:rPr>
            <w:noProof/>
          </w:rPr>
          <w:t>38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08F3" w14:textId="77777777" w:rsidR="009D7BF7" w:rsidRDefault="009D7BF7" w:rsidP="00D919E3">
      <w:pPr>
        <w:spacing w:line="240" w:lineRule="auto"/>
        <w:ind w:firstLine="0"/>
      </w:pPr>
      <w:r>
        <w:separator/>
      </w:r>
    </w:p>
  </w:footnote>
  <w:footnote w:type="continuationSeparator" w:id="0">
    <w:p w14:paraId="7AC1B57A" w14:textId="77777777" w:rsidR="009D7BF7" w:rsidRDefault="009D7BF7" w:rsidP="00367517">
      <w:pPr>
        <w:spacing w:line="240" w:lineRule="auto"/>
      </w:pPr>
      <w:r>
        <w:continuationSeparator/>
      </w:r>
    </w:p>
  </w:footnote>
  <w:footnote w:id="1">
    <w:p w14:paraId="1AA461D4" w14:textId="3197BF38" w:rsidR="00EA69F7" w:rsidRPr="008F6B17" w:rsidRDefault="00EA69F7" w:rsidP="00303B3C">
      <w:pPr>
        <w:pStyle w:val="FootnoteText"/>
        <w:keepNext/>
        <w:keepLines/>
        <w:spacing w:after="120" w:line="240" w:lineRule="auto"/>
        <w:ind w:firstLine="720"/>
        <w:rPr>
          <w:sz w:val="26"/>
          <w:szCs w:val="26"/>
        </w:rPr>
      </w:pPr>
      <w:r w:rsidRPr="008F6B17">
        <w:rPr>
          <w:rStyle w:val="FootnoteReference"/>
          <w:sz w:val="26"/>
          <w:szCs w:val="26"/>
        </w:rPr>
        <w:footnoteRef/>
      </w:r>
      <w:r w:rsidRPr="008F6B17">
        <w:rPr>
          <w:sz w:val="26"/>
          <w:szCs w:val="26"/>
        </w:rPr>
        <w:tab/>
        <w:t xml:space="preserve">As discussed, </w:t>
      </w:r>
      <w:r w:rsidRPr="008F6B17">
        <w:rPr>
          <w:i/>
          <w:sz w:val="26"/>
          <w:szCs w:val="26"/>
        </w:rPr>
        <w:t>infra</w:t>
      </w:r>
      <w:r w:rsidRPr="008F6B17">
        <w:rPr>
          <w:sz w:val="26"/>
          <w:szCs w:val="26"/>
        </w:rPr>
        <w:t xml:space="preserve">, </w:t>
      </w:r>
      <w:r>
        <w:rPr>
          <w:sz w:val="26"/>
          <w:szCs w:val="26"/>
        </w:rPr>
        <w:t>Peoples</w:t>
      </w:r>
      <w:r w:rsidRPr="008F6B17">
        <w:rPr>
          <w:sz w:val="26"/>
          <w:szCs w:val="26"/>
        </w:rPr>
        <w:t xml:space="preserve"> proposed </w:t>
      </w:r>
      <w:r>
        <w:rPr>
          <w:sz w:val="26"/>
          <w:szCs w:val="26"/>
        </w:rPr>
        <w:t xml:space="preserve">modification to its main line extension policy would provide an allowance of 150 feet of main per customer without the need to perform an economic analysis in normal situation. </w:t>
      </w:r>
      <w:r w:rsidRPr="008F6B17">
        <w:rPr>
          <w:sz w:val="26"/>
          <w:szCs w:val="26"/>
        </w:rPr>
        <w:t xml:space="preserve"> </w:t>
      </w:r>
      <w:r>
        <w:rPr>
          <w:sz w:val="26"/>
          <w:szCs w:val="26"/>
        </w:rPr>
        <w:t>In effect, the Company would install the first 150 feet of main without charge to the customer in normal situation.  The OSBA</w:t>
      </w:r>
      <w:r w:rsidRPr="008F6B17">
        <w:rPr>
          <w:sz w:val="26"/>
          <w:szCs w:val="26"/>
        </w:rPr>
        <w:t xml:space="preserve"> </w:t>
      </w:r>
      <w:r>
        <w:rPr>
          <w:sz w:val="26"/>
          <w:szCs w:val="26"/>
        </w:rPr>
        <w:t>is</w:t>
      </w:r>
      <w:r w:rsidRPr="008F6B17">
        <w:rPr>
          <w:sz w:val="26"/>
          <w:szCs w:val="26"/>
        </w:rPr>
        <w:t xml:space="preserve"> oppose</w:t>
      </w:r>
      <w:r>
        <w:rPr>
          <w:sz w:val="26"/>
          <w:szCs w:val="26"/>
        </w:rPr>
        <w:t>d</w:t>
      </w:r>
      <w:r w:rsidRPr="008F6B17">
        <w:rPr>
          <w:sz w:val="26"/>
          <w:szCs w:val="26"/>
        </w:rPr>
        <w:t xml:space="preserve"> </w:t>
      </w:r>
      <w:r>
        <w:rPr>
          <w:sz w:val="26"/>
          <w:szCs w:val="26"/>
        </w:rPr>
        <w:t xml:space="preserve">to </w:t>
      </w:r>
      <w:r w:rsidRPr="008F6B17">
        <w:rPr>
          <w:sz w:val="26"/>
          <w:szCs w:val="26"/>
        </w:rPr>
        <w:t xml:space="preserve">the Company’s </w:t>
      </w:r>
      <w:r>
        <w:rPr>
          <w:sz w:val="26"/>
          <w:szCs w:val="26"/>
        </w:rPr>
        <w:t xml:space="preserve">proposed modification. </w:t>
      </w:r>
      <w:r w:rsidRPr="008F6B17">
        <w:rPr>
          <w:sz w:val="26"/>
          <w:szCs w:val="26"/>
        </w:rPr>
        <w:t xml:space="preserve"> R.D.</w:t>
      </w:r>
      <w:r w:rsidR="00B47CC0">
        <w:rPr>
          <w:sz w:val="26"/>
          <w:szCs w:val="26"/>
        </w:rPr>
        <w:t> </w:t>
      </w:r>
      <w:r w:rsidRPr="008F6B17">
        <w:rPr>
          <w:sz w:val="26"/>
          <w:szCs w:val="26"/>
        </w:rPr>
        <w:t>at</w:t>
      </w:r>
      <w:r w:rsidR="00D919E3">
        <w:rPr>
          <w:sz w:val="26"/>
          <w:szCs w:val="26"/>
        </w:rPr>
        <w:t> </w:t>
      </w:r>
      <w:r>
        <w:rPr>
          <w:sz w:val="26"/>
          <w:szCs w:val="26"/>
        </w:rPr>
        <w:t>19</w:t>
      </w:r>
      <w:r w:rsidR="00D919E3">
        <w:rPr>
          <w:sz w:val="26"/>
          <w:szCs w:val="26"/>
        </w:rPr>
        <w:noBreakHyphen/>
      </w:r>
      <w:r>
        <w:rPr>
          <w:sz w:val="26"/>
          <w:szCs w:val="26"/>
        </w:rPr>
        <w:t>23</w:t>
      </w:r>
      <w:r w:rsidRPr="008F6B17">
        <w:rPr>
          <w:sz w:val="26"/>
          <w:szCs w:val="26"/>
        </w:rPr>
        <w:t>.</w:t>
      </w:r>
    </w:p>
  </w:footnote>
  <w:footnote w:id="2">
    <w:p w14:paraId="2F49CDC5" w14:textId="258F8862" w:rsidR="00EA69F7" w:rsidRPr="001A0EA3" w:rsidRDefault="00EA69F7" w:rsidP="001A0EA3">
      <w:pPr>
        <w:pStyle w:val="FootnoteText"/>
        <w:ind w:firstLine="720"/>
        <w:rPr>
          <w:sz w:val="26"/>
          <w:szCs w:val="26"/>
        </w:rPr>
      </w:pPr>
      <w:r w:rsidRPr="001A0EA3">
        <w:rPr>
          <w:rStyle w:val="FootnoteReference"/>
          <w:sz w:val="26"/>
          <w:szCs w:val="26"/>
        </w:rPr>
        <w:footnoteRef/>
      </w:r>
      <w:r>
        <w:rPr>
          <w:sz w:val="26"/>
          <w:szCs w:val="26"/>
        </w:rPr>
        <w:tab/>
      </w:r>
      <w:r w:rsidRPr="001A0EA3">
        <w:rPr>
          <w:i/>
          <w:iCs/>
          <w:sz w:val="26"/>
          <w:szCs w:val="26"/>
        </w:rPr>
        <w:t>See</w:t>
      </w:r>
      <w:r w:rsidRPr="001A0EA3">
        <w:rPr>
          <w:sz w:val="26"/>
          <w:szCs w:val="26"/>
        </w:rPr>
        <w:t xml:space="preserve"> Peoples St</w:t>
      </w:r>
      <w:r>
        <w:rPr>
          <w:sz w:val="26"/>
          <w:szCs w:val="26"/>
        </w:rPr>
        <w:t>.</w:t>
      </w:r>
      <w:r w:rsidRPr="001A0EA3">
        <w:rPr>
          <w:sz w:val="26"/>
          <w:szCs w:val="26"/>
        </w:rPr>
        <w:t xml:space="preserve"> No. 3-R </w:t>
      </w:r>
      <w:r>
        <w:rPr>
          <w:sz w:val="26"/>
          <w:szCs w:val="26"/>
        </w:rPr>
        <w:t>at</w:t>
      </w:r>
      <w:r w:rsidRPr="001A0EA3">
        <w:rPr>
          <w:sz w:val="26"/>
          <w:szCs w:val="26"/>
        </w:rPr>
        <w:t xml:space="preserve"> 5</w:t>
      </w:r>
      <w:r>
        <w:rPr>
          <w:sz w:val="26"/>
          <w:szCs w:val="26"/>
        </w:rPr>
        <w:t>.</w:t>
      </w:r>
    </w:p>
  </w:footnote>
  <w:footnote w:id="3">
    <w:p w14:paraId="5C7A9964" w14:textId="1B4B1648" w:rsidR="00EC1279" w:rsidRPr="00EC1279" w:rsidRDefault="006968B0" w:rsidP="00EC1279">
      <w:pPr>
        <w:pStyle w:val="NormalWeb"/>
        <w:shd w:val="clear" w:color="auto" w:fill="FFFFFF"/>
        <w:ind w:firstLine="720"/>
        <w:rPr>
          <w:rFonts w:ascii="Helvetica" w:hAnsi="Helvetica" w:cs="Helvetica"/>
          <w:color w:val="333333"/>
        </w:rPr>
      </w:pPr>
      <w:r w:rsidRPr="006968B0">
        <w:rPr>
          <w:rStyle w:val="FootnoteReference"/>
          <w:sz w:val="26"/>
          <w:szCs w:val="26"/>
        </w:rPr>
        <w:footnoteRef/>
      </w:r>
      <w:r>
        <w:rPr>
          <w:sz w:val="26"/>
          <w:szCs w:val="26"/>
        </w:rPr>
        <w:tab/>
      </w:r>
      <w:r w:rsidR="00EC1279" w:rsidRPr="00EC1279">
        <w:rPr>
          <w:rFonts w:ascii="Helvetica" w:hAnsi="Helvetica" w:cs="Helvetica"/>
          <w:color w:val="333333"/>
        </w:rPr>
        <w:t xml:space="preserve">The </w:t>
      </w:r>
      <w:r w:rsidR="00EC1279">
        <w:rPr>
          <w:rFonts w:ascii="Helvetica" w:hAnsi="Helvetica" w:cs="Helvetica"/>
          <w:color w:val="333333"/>
        </w:rPr>
        <w:t>Partial S</w:t>
      </w:r>
      <w:r w:rsidR="00EC1279" w:rsidRPr="00EC1279">
        <w:rPr>
          <w:rFonts w:ascii="Helvetica" w:hAnsi="Helvetica" w:cs="Helvetica"/>
          <w:color w:val="333333"/>
        </w:rPr>
        <w:t xml:space="preserve">ettlement combines the rates of the Company’s Peoples and Equitable Divisions.  Under the settlement, the average monthly bill for a residential customer in the Peoples Division would increase from $74.24 to $79.84, an increase of $5.60 or 7.5 percent, and that of Equitable Division would increase from $70.79 to $79.84, an increase of $9.05 or 12.8 percent, for an average residential monthly bill of $79.84 for both divisions.  </w:t>
      </w:r>
    </w:p>
    <w:p w14:paraId="0E4B17CB" w14:textId="3CD95DC9" w:rsidR="006968B0" w:rsidRPr="006968B0" w:rsidRDefault="006968B0" w:rsidP="006968B0">
      <w:pPr>
        <w:pStyle w:val="FootnoteText"/>
        <w:ind w:firstLine="720"/>
        <w:rPr>
          <w:sz w:val="26"/>
          <w:szCs w:val="26"/>
        </w:rPr>
      </w:pPr>
    </w:p>
  </w:footnote>
  <w:footnote w:id="4">
    <w:p w14:paraId="3D67CA8B" w14:textId="77777777" w:rsidR="00EA69F7" w:rsidRPr="00BE0D05" w:rsidRDefault="00EA69F7" w:rsidP="00BE0D05">
      <w:pPr>
        <w:pStyle w:val="FootnoteText"/>
        <w:spacing w:line="240" w:lineRule="auto"/>
        <w:ind w:firstLine="0"/>
        <w:rPr>
          <w:sz w:val="26"/>
          <w:szCs w:val="26"/>
        </w:rPr>
      </w:pPr>
      <w:r w:rsidRPr="00BE0D05">
        <w:rPr>
          <w:sz w:val="26"/>
          <w:szCs w:val="26"/>
        </w:rPr>
        <w:tab/>
      </w:r>
      <w:r w:rsidRPr="00BE0D05">
        <w:rPr>
          <w:rStyle w:val="FootnoteReference"/>
          <w:sz w:val="26"/>
          <w:szCs w:val="26"/>
        </w:rPr>
        <w:footnoteRef/>
      </w:r>
      <w:r w:rsidRPr="00BE0D05">
        <w:rPr>
          <w:sz w:val="26"/>
          <w:szCs w:val="26"/>
        </w:rPr>
        <w:tab/>
        <w:t>As previously noted, in this Opinion and Order, we shall approve an annual revenue increase of $59.5 million, or 8.92%.</w:t>
      </w:r>
    </w:p>
  </w:footnote>
  <w:footnote w:id="5">
    <w:p w14:paraId="5C2991D1" w14:textId="2A399B22" w:rsidR="000C35CA" w:rsidRPr="00B67147" w:rsidRDefault="000C35CA" w:rsidP="00D919E3">
      <w:pPr>
        <w:pStyle w:val="FootnoteText"/>
        <w:spacing w:line="240" w:lineRule="auto"/>
        <w:ind w:firstLine="720"/>
        <w:rPr>
          <w:sz w:val="26"/>
          <w:szCs w:val="26"/>
        </w:rPr>
      </w:pPr>
      <w:r w:rsidRPr="00B67147">
        <w:rPr>
          <w:rStyle w:val="FootnoteReference"/>
          <w:sz w:val="26"/>
          <w:szCs w:val="26"/>
        </w:rPr>
        <w:footnoteRef/>
      </w:r>
      <w:r>
        <w:rPr>
          <w:sz w:val="26"/>
          <w:szCs w:val="26"/>
        </w:rPr>
        <w:tab/>
        <w:t>Rider MLX is</w:t>
      </w:r>
      <w:r w:rsidR="00763205">
        <w:rPr>
          <w:sz w:val="26"/>
          <w:szCs w:val="26"/>
        </w:rPr>
        <w:t xml:space="preserve"> a </w:t>
      </w:r>
      <w:r>
        <w:rPr>
          <w:sz w:val="26"/>
          <w:szCs w:val="26"/>
        </w:rPr>
        <w:t xml:space="preserve">provision in Peoples’ tariff </w:t>
      </w:r>
      <w:r w:rsidR="00B67147">
        <w:rPr>
          <w:sz w:val="26"/>
          <w:szCs w:val="26"/>
        </w:rPr>
        <w:t xml:space="preserve">through </w:t>
      </w:r>
      <w:r>
        <w:rPr>
          <w:sz w:val="26"/>
          <w:szCs w:val="26"/>
        </w:rPr>
        <w:t xml:space="preserve">which a customer </w:t>
      </w:r>
      <w:r w:rsidR="00B67147">
        <w:rPr>
          <w:sz w:val="26"/>
          <w:szCs w:val="26"/>
        </w:rPr>
        <w:t>spreads his required contribution, or CIAC, for an extended period of time through higher delivery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5BF"/>
    <w:multiLevelType w:val="hybridMultilevel"/>
    <w:tmpl w:val="A7865DD8"/>
    <w:lvl w:ilvl="0" w:tplc="3B54867C">
      <w:start w:val="78"/>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BB30FF5"/>
    <w:multiLevelType w:val="hybridMultilevel"/>
    <w:tmpl w:val="29504F50"/>
    <w:lvl w:ilvl="0" w:tplc="04090017">
      <w:start w:val="1"/>
      <w:numFmt w:val="lowerLetter"/>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3206A60"/>
    <w:multiLevelType w:val="hybridMultilevel"/>
    <w:tmpl w:val="86BE9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C7A8A"/>
    <w:multiLevelType w:val="hybridMultilevel"/>
    <w:tmpl w:val="BB3C9AD4"/>
    <w:lvl w:ilvl="0" w:tplc="EE5E4B7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118B5"/>
    <w:multiLevelType w:val="hybridMultilevel"/>
    <w:tmpl w:val="660651CA"/>
    <w:lvl w:ilvl="0" w:tplc="0C243B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1365C7"/>
    <w:multiLevelType w:val="hybridMultilevel"/>
    <w:tmpl w:val="03C29BA4"/>
    <w:lvl w:ilvl="0" w:tplc="F5661228">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656308"/>
    <w:multiLevelType w:val="hybridMultilevel"/>
    <w:tmpl w:val="03C29BA4"/>
    <w:lvl w:ilvl="0" w:tplc="F5661228">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DF026B"/>
    <w:multiLevelType w:val="hybridMultilevel"/>
    <w:tmpl w:val="1734AF1A"/>
    <w:lvl w:ilvl="0" w:tplc="B7EC53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3E3098"/>
    <w:multiLevelType w:val="hybridMultilevel"/>
    <w:tmpl w:val="C34E3CAC"/>
    <w:lvl w:ilvl="0" w:tplc="96407A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3702F9"/>
    <w:multiLevelType w:val="hybridMultilevel"/>
    <w:tmpl w:val="1734AF1A"/>
    <w:lvl w:ilvl="0" w:tplc="B7EC53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ECA7FDC"/>
    <w:multiLevelType w:val="hybridMultilevel"/>
    <w:tmpl w:val="ECF4CC2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0327E48"/>
    <w:multiLevelType w:val="hybridMultilevel"/>
    <w:tmpl w:val="481E26E2"/>
    <w:lvl w:ilvl="0" w:tplc="BAE0C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CE2FDA"/>
    <w:multiLevelType w:val="hybridMultilevel"/>
    <w:tmpl w:val="01268898"/>
    <w:lvl w:ilvl="0" w:tplc="8802394C">
      <w:start w:val="1"/>
      <w:numFmt w:val="upperRoman"/>
      <w:pStyle w:val="Heading1"/>
      <w:lvlText w:val="%1."/>
      <w:lvlJc w:val="right"/>
      <w:pPr>
        <w:ind w:left="9360" w:hanging="360"/>
      </w:pPr>
    </w:lvl>
    <w:lvl w:ilvl="1" w:tplc="04090019">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4" w15:restartNumberingAfterBreak="0">
    <w:nsid w:val="42FF6405"/>
    <w:multiLevelType w:val="hybridMultilevel"/>
    <w:tmpl w:val="A006777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6" w15:restartNumberingAfterBreak="0">
    <w:nsid w:val="4BAA0E68"/>
    <w:multiLevelType w:val="hybridMultilevel"/>
    <w:tmpl w:val="7FD81D9E"/>
    <w:lvl w:ilvl="0" w:tplc="C954537E">
      <w:start w:val="9"/>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ED87407"/>
    <w:multiLevelType w:val="hybridMultilevel"/>
    <w:tmpl w:val="4EEAF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92E6F"/>
    <w:multiLevelType w:val="hybridMultilevel"/>
    <w:tmpl w:val="1A765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B20C3"/>
    <w:multiLevelType w:val="hybridMultilevel"/>
    <w:tmpl w:val="2DE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F26088"/>
    <w:multiLevelType w:val="hybridMultilevel"/>
    <w:tmpl w:val="7DA6DC64"/>
    <w:lvl w:ilvl="0" w:tplc="F80C7972">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86430B"/>
    <w:multiLevelType w:val="singleLevel"/>
    <w:tmpl w:val="E8860072"/>
    <w:name w:val=" Numbered List"/>
    <w:lvl w:ilvl="0">
      <w:start w:val="1"/>
      <w:numFmt w:val="decimal"/>
      <w:lvlText w:val="%1."/>
      <w:lvlJc w:val="left"/>
      <w:pPr>
        <w:tabs>
          <w:tab w:val="num" w:pos="1530"/>
        </w:tabs>
        <w:ind w:left="90" w:firstLine="720"/>
      </w:pPr>
      <w:rPr>
        <w:b w:val="0"/>
        <w:color w:val="auto"/>
      </w:rPr>
    </w:lvl>
  </w:abstractNum>
  <w:abstractNum w:abstractNumId="22" w15:restartNumberingAfterBreak="0">
    <w:nsid w:val="619978F0"/>
    <w:multiLevelType w:val="hybridMultilevel"/>
    <w:tmpl w:val="349E1DD4"/>
    <w:lvl w:ilvl="0" w:tplc="FBBC28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5664844"/>
    <w:multiLevelType w:val="hybridMultilevel"/>
    <w:tmpl w:val="E1BEEEE6"/>
    <w:lvl w:ilvl="0" w:tplc="493C0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9D5278"/>
    <w:multiLevelType w:val="hybridMultilevel"/>
    <w:tmpl w:val="C34E3CAC"/>
    <w:lvl w:ilvl="0" w:tplc="96407A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973FD"/>
    <w:multiLevelType w:val="hybridMultilevel"/>
    <w:tmpl w:val="693A7764"/>
    <w:lvl w:ilvl="0" w:tplc="D5E691F2">
      <w:start w:val="5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5121BF"/>
    <w:multiLevelType w:val="hybridMultilevel"/>
    <w:tmpl w:val="5844B85E"/>
    <w:lvl w:ilvl="0" w:tplc="3118B91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28" w15:restartNumberingAfterBreak="0">
    <w:nsid w:val="7DAB63AE"/>
    <w:multiLevelType w:val="hybridMultilevel"/>
    <w:tmpl w:val="A9ACC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4"/>
  </w:num>
  <w:num w:numId="4">
    <w:abstractNumId w:val="15"/>
  </w:num>
  <w:num w:numId="5">
    <w:abstractNumId w:val="28"/>
  </w:num>
  <w:num w:numId="6">
    <w:abstractNumId w:val="23"/>
  </w:num>
  <w:num w:numId="7">
    <w:abstractNumId w:val="19"/>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7"/>
  </w:num>
  <w:num w:numId="14">
    <w:abstractNumId w:val="27"/>
  </w:num>
  <w:num w:numId="15">
    <w:abstractNumId w:val="21"/>
  </w:num>
  <w:num w:numId="16">
    <w:abstractNumId w:val="1"/>
  </w:num>
  <w:num w:numId="17">
    <w:abstractNumId w:val="14"/>
  </w:num>
  <w:num w:numId="18">
    <w:abstractNumId w:val="11"/>
  </w:num>
  <w:num w:numId="19">
    <w:abstractNumId w:val="6"/>
  </w:num>
  <w:num w:numId="20">
    <w:abstractNumId w:val="25"/>
  </w:num>
  <w:num w:numId="21">
    <w:abstractNumId w:val="0"/>
  </w:num>
  <w:num w:numId="22">
    <w:abstractNumId w:val="9"/>
  </w:num>
  <w:num w:numId="23">
    <w:abstractNumId w:val="16"/>
  </w:num>
  <w:num w:numId="24">
    <w:abstractNumId w:val="20"/>
  </w:num>
  <w:num w:numId="25">
    <w:abstractNumId w:val="2"/>
  </w:num>
  <w:num w:numId="26">
    <w:abstractNumId w:val="8"/>
  </w:num>
  <w:num w:numId="27">
    <w:abstractNumId w:val="5"/>
  </w:num>
  <w:num w:numId="28">
    <w:abstractNumId w:val="3"/>
  </w:num>
  <w:num w:numId="29">
    <w:abstractNumId w:val="7"/>
  </w:num>
  <w:num w:numId="30">
    <w:abstractNumId w:val="10"/>
  </w:num>
  <w:num w:numId="31">
    <w:abstractNumId w:val="22"/>
  </w:num>
  <w:num w:numId="32">
    <w:abstractNumId w:val="15"/>
  </w:num>
  <w:num w:numId="33">
    <w:abstractNumId w:val="26"/>
  </w:num>
  <w:num w:numId="34">
    <w:abstractNumId w:val="1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17"/>
    <w:rsid w:val="00005863"/>
    <w:rsid w:val="00043A42"/>
    <w:rsid w:val="00046B86"/>
    <w:rsid w:val="0004706A"/>
    <w:rsid w:val="000479B1"/>
    <w:rsid w:val="00053C7A"/>
    <w:rsid w:val="0006289B"/>
    <w:rsid w:val="00066492"/>
    <w:rsid w:val="000714D0"/>
    <w:rsid w:val="00071D46"/>
    <w:rsid w:val="0007236B"/>
    <w:rsid w:val="00077019"/>
    <w:rsid w:val="00077CAC"/>
    <w:rsid w:val="00087E4C"/>
    <w:rsid w:val="0009361B"/>
    <w:rsid w:val="000A1158"/>
    <w:rsid w:val="000A3157"/>
    <w:rsid w:val="000A4FE4"/>
    <w:rsid w:val="000A74B6"/>
    <w:rsid w:val="000B00CF"/>
    <w:rsid w:val="000B7E3F"/>
    <w:rsid w:val="000C0959"/>
    <w:rsid w:val="000C35CA"/>
    <w:rsid w:val="000C6D24"/>
    <w:rsid w:val="000C74B7"/>
    <w:rsid w:val="000D1670"/>
    <w:rsid w:val="000D1AAA"/>
    <w:rsid w:val="000D1C37"/>
    <w:rsid w:val="000D241E"/>
    <w:rsid w:val="000D73B5"/>
    <w:rsid w:val="000D7919"/>
    <w:rsid w:val="00120CDC"/>
    <w:rsid w:val="00125A29"/>
    <w:rsid w:val="00127651"/>
    <w:rsid w:val="00136F20"/>
    <w:rsid w:val="00140698"/>
    <w:rsid w:val="001476F9"/>
    <w:rsid w:val="00181786"/>
    <w:rsid w:val="0018227D"/>
    <w:rsid w:val="00182B22"/>
    <w:rsid w:val="00183A2D"/>
    <w:rsid w:val="00190FF9"/>
    <w:rsid w:val="00192075"/>
    <w:rsid w:val="001A0EA3"/>
    <w:rsid w:val="001A5089"/>
    <w:rsid w:val="001B172F"/>
    <w:rsid w:val="001B3DD7"/>
    <w:rsid w:val="001B6BBE"/>
    <w:rsid w:val="001C0654"/>
    <w:rsid w:val="001C704A"/>
    <w:rsid w:val="001D36F6"/>
    <w:rsid w:val="001D502C"/>
    <w:rsid w:val="001E1799"/>
    <w:rsid w:val="001E3CED"/>
    <w:rsid w:val="001F35B5"/>
    <w:rsid w:val="001F6B51"/>
    <w:rsid w:val="002024F5"/>
    <w:rsid w:val="00206C01"/>
    <w:rsid w:val="00212E95"/>
    <w:rsid w:val="00215400"/>
    <w:rsid w:val="00216757"/>
    <w:rsid w:val="002215FC"/>
    <w:rsid w:val="00222D0D"/>
    <w:rsid w:val="002245E5"/>
    <w:rsid w:val="0023125E"/>
    <w:rsid w:val="00231C68"/>
    <w:rsid w:val="00236806"/>
    <w:rsid w:val="00242DB8"/>
    <w:rsid w:val="00243E28"/>
    <w:rsid w:val="00244B96"/>
    <w:rsid w:val="002518D5"/>
    <w:rsid w:val="00254AAF"/>
    <w:rsid w:val="00255B34"/>
    <w:rsid w:val="00276E40"/>
    <w:rsid w:val="0028041B"/>
    <w:rsid w:val="00281A5D"/>
    <w:rsid w:val="00285C50"/>
    <w:rsid w:val="0029192D"/>
    <w:rsid w:val="00297AFD"/>
    <w:rsid w:val="002A341E"/>
    <w:rsid w:val="002B3999"/>
    <w:rsid w:val="002C054E"/>
    <w:rsid w:val="002C605E"/>
    <w:rsid w:val="002C6F41"/>
    <w:rsid w:val="002D04EA"/>
    <w:rsid w:val="002D0DBD"/>
    <w:rsid w:val="002D1F0B"/>
    <w:rsid w:val="002D50CB"/>
    <w:rsid w:val="002E06E8"/>
    <w:rsid w:val="002E294F"/>
    <w:rsid w:val="002E30E9"/>
    <w:rsid w:val="002E73C1"/>
    <w:rsid w:val="002F3162"/>
    <w:rsid w:val="002F59C3"/>
    <w:rsid w:val="00303B3C"/>
    <w:rsid w:val="00304BBA"/>
    <w:rsid w:val="00307298"/>
    <w:rsid w:val="0031088B"/>
    <w:rsid w:val="0031491F"/>
    <w:rsid w:val="003208D3"/>
    <w:rsid w:val="003271C5"/>
    <w:rsid w:val="003273D3"/>
    <w:rsid w:val="00330C5F"/>
    <w:rsid w:val="003319F6"/>
    <w:rsid w:val="00332D40"/>
    <w:rsid w:val="00335D2F"/>
    <w:rsid w:val="00335E86"/>
    <w:rsid w:val="00344FE8"/>
    <w:rsid w:val="00367517"/>
    <w:rsid w:val="00370424"/>
    <w:rsid w:val="00372749"/>
    <w:rsid w:val="00376A61"/>
    <w:rsid w:val="003839DE"/>
    <w:rsid w:val="00392371"/>
    <w:rsid w:val="00392FE4"/>
    <w:rsid w:val="003A096B"/>
    <w:rsid w:val="003B0C28"/>
    <w:rsid w:val="003B36F4"/>
    <w:rsid w:val="003C1278"/>
    <w:rsid w:val="003D3357"/>
    <w:rsid w:val="003D487A"/>
    <w:rsid w:val="003D4A44"/>
    <w:rsid w:val="003E448A"/>
    <w:rsid w:val="003E5AFD"/>
    <w:rsid w:val="003F48E2"/>
    <w:rsid w:val="003F75BE"/>
    <w:rsid w:val="00401BDD"/>
    <w:rsid w:val="00410AE9"/>
    <w:rsid w:val="0041552A"/>
    <w:rsid w:val="00416093"/>
    <w:rsid w:val="0042473B"/>
    <w:rsid w:val="00425A19"/>
    <w:rsid w:val="00425F1A"/>
    <w:rsid w:val="00431036"/>
    <w:rsid w:val="004363EA"/>
    <w:rsid w:val="00442F36"/>
    <w:rsid w:val="0045116C"/>
    <w:rsid w:val="00460A91"/>
    <w:rsid w:val="004671E1"/>
    <w:rsid w:val="00472E2A"/>
    <w:rsid w:val="0047414E"/>
    <w:rsid w:val="00474CA2"/>
    <w:rsid w:val="0047693C"/>
    <w:rsid w:val="004770F3"/>
    <w:rsid w:val="00480B94"/>
    <w:rsid w:val="00486E8F"/>
    <w:rsid w:val="004924E6"/>
    <w:rsid w:val="00493E37"/>
    <w:rsid w:val="004942BD"/>
    <w:rsid w:val="00496D59"/>
    <w:rsid w:val="004A1ADB"/>
    <w:rsid w:val="004A6337"/>
    <w:rsid w:val="004A67CC"/>
    <w:rsid w:val="004B500F"/>
    <w:rsid w:val="004C397E"/>
    <w:rsid w:val="004C5F18"/>
    <w:rsid w:val="004D3856"/>
    <w:rsid w:val="004D4F36"/>
    <w:rsid w:val="004D65AC"/>
    <w:rsid w:val="004E3CF0"/>
    <w:rsid w:val="004E3E1B"/>
    <w:rsid w:val="004E3E40"/>
    <w:rsid w:val="004E7859"/>
    <w:rsid w:val="004F4E56"/>
    <w:rsid w:val="00502169"/>
    <w:rsid w:val="0050229E"/>
    <w:rsid w:val="005049FA"/>
    <w:rsid w:val="0052072F"/>
    <w:rsid w:val="00537E44"/>
    <w:rsid w:val="00542A4C"/>
    <w:rsid w:val="00543610"/>
    <w:rsid w:val="0054393A"/>
    <w:rsid w:val="00556A6F"/>
    <w:rsid w:val="00560CF5"/>
    <w:rsid w:val="00572D52"/>
    <w:rsid w:val="005760F4"/>
    <w:rsid w:val="00585A26"/>
    <w:rsid w:val="00592D12"/>
    <w:rsid w:val="00592E97"/>
    <w:rsid w:val="005A3779"/>
    <w:rsid w:val="005A4429"/>
    <w:rsid w:val="005C0CE1"/>
    <w:rsid w:val="005C1D36"/>
    <w:rsid w:val="005C51B7"/>
    <w:rsid w:val="005D6C8C"/>
    <w:rsid w:val="005E2542"/>
    <w:rsid w:val="005E389C"/>
    <w:rsid w:val="005F03CD"/>
    <w:rsid w:val="005F0915"/>
    <w:rsid w:val="005F10BF"/>
    <w:rsid w:val="005F7B08"/>
    <w:rsid w:val="00600E1F"/>
    <w:rsid w:val="0060164C"/>
    <w:rsid w:val="00621674"/>
    <w:rsid w:val="00632340"/>
    <w:rsid w:val="00637967"/>
    <w:rsid w:val="00637BB9"/>
    <w:rsid w:val="00641F0C"/>
    <w:rsid w:val="006424FE"/>
    <w:rsid w:val="00650276"/>
    <w:rsid w:val="00657486"/>
    <w:rsid w:val="00660E13"/>
    <w:rsid w:val="00662C81"/>
    <w:rsid w:val="006678E5"/>
    <w:rsid w:val="00676A0B"/>
    <w:rsid w:val="00676C44"/>
    <w:rsid w:val="00680457"/>
    <w:rsid w:val="006810AC"/>
    <w:rsid w:val="0068256C"/>
    <w:rsid w:val="00686B3A"/>
    <w:rsid w:val="00690337"/>
    <w:rsid w:val="006920B0"/>
    <w:rsid w:val="006932C9"/>
    <w:rsid w:val="0069527F"/>
    <w:rsid w:val="006968B0"/>
    <w:rsid w:val="006A4F7A"/>
    <w:rsid w:val="006A5E99"/>
    <w:rsid w:val="006B265F"/>
    <w:rsid w:val="006C0E4D"/>
    <w:rsid w:val="006C1AD3"/>
    <w:rsid w:val="006C2521"/>
    <w:rsid w:val="006C430B"/>
    <w:rsid w:val="006C5383"/>
    <w:rsid w:val="006C6C7D"/>
    <w:rsid w:val="006D4205"/>
    <w:rsid w:val="006D4E4E"/>
    <w:rsid w:val="006D538D"/>
    <w:rsid w:val="006D59AE"/>
    <w:rsid w:val="006E2B76"/>
    <w:rsid w:val="006E2F54"/>
    <w:rsid w:val="006F3429"/>
    <w:rsid w:val="006F3902"/>
    <w:rsid w:val="0070631A"/>
    <w:rsid w:val="00707D5C"/>
    <w:rsid w:val="00714FEB"/>
    <w:rsid w:val="00720ADF"/>
    <w:rsid w:val="007250A2"/>
    <w:rsid w:val="007309AA"/>
    <w:rsid w:val="00732027"/>
    <w:rsid w:val="00736517"/>
    <w:rsid w:val="00736567"/>
    <w:rsid w:val="007411EA"/>
    <w:rsid w:val="0074524D"/>
    <w:rsid w:val="007478C9"/>
    <w:rsid w:val="00752659"/>
    <w:rsid w:val="00763205"/>
    <w:rsid w:val="007638FE"/>
    <w:rsid w:val="00781CBF"/>
    <w:rsid w:val="007902C1"/>
    <w:rsid w:val="00792E42"/>
    <w:rsid w:val="00797EBE"/>
    <w:rsid w:val="007A16FD"/>
    <w:rsid w:val="007B41F8"/>
    <w:rsid w:val="007C06EE"/>
    <w:rsid w:val="007C3189"/>
    <w:rsid w:val="007D11C2"/>
    <w:rsid w:val="007D182B"/>
    <w:rsid w:val="007E07CE"/>
    <w:rsid w:val="007F2C0C"/>
    <w:rsid w:val="007F6520"/>
    <w:rsid w:val="0080542B"/>
    <w:rsid w:val="00807498"/>
    <w:rsid w:val="00815623"/>
    <w:rsid w:val="00827FE5"/>
    <w:rsid w:val="00834143"/>
    <w:rsid w:val="00834774"/>
    <w:rsid w:val="008437D6"/>
    <w:rsid w:val="00843CBE"/>
    <w:rsid w:val="0084404B"/>
    <w:rsid w:val="008507E9"/>
    <w:rsid w:val="00851F2F"/>
    <w:rsid w:val="0085439E"/>
    <w:rsid w:val="00857709"/>
    <w:rsid w:val="008629D5"/>
    <w:rsid w:val="0086399D"/>
    <w:rsid w:val="00870C72"/>
    <w:rsid w:val="0087172B"/>
    <w:rsid w:val="008718F1"/>
    <w:rsid w:val="00871A27"/>
    <w:rsid w:val="008733ED"/>
    <w:rsid w:val="0087390F"/>
    <w:rsid w:val="00885E89"/>
    <w:rsid w:val="00886F70"/>
    <w:rsid w:val="00890506"/>
    <w:rsid w:val="00894385"/>
    <w:rsid w:val="00897F00"/>
    <w:rsid w:val="008A18C1"/>
    <w:rsid w:val="008A67A6"/>
    <w:rsid w:val="008B31C3"/>
    <w:rsid w:val="008C1267"/>
    <w:rsid w:val="008C1A5A"/>
    <w:rsid w:val="008C2F77"/>
    <w:rsid w:val="008D0B5C"/>
    <w:rsid w:val="008D1F12"/>
    <w:rsid w:val="008D5F3F"/>
    <w:rsid w:val="008E22E3"/>
    <w:rsid w:val="008F008A"/>
    <w:rsid w:val="008F3A31"/>
    <w:rsid w:val="009132D5"/>
    <w:rsid w:val="00913500"/>
    <w:rsid w:val="00917436"/>
    <w:rsid w:val="00921018"/>
    <w:rsid w:val="009212B0"/>
    <w:rsid w:val="009371AC"/>
    <w:rsid w:val="00950DD6"/>
    <w:rsid w:val="009528DE"/>
    <w:rsid w:val="00957B11"/>
    <w:rsid w:val="00965EEF"/>
    <w:rsid w:val="00970118"/>
    <w:rsid w:val="00970B24"/>
    <w:rsid w:val="00974C50"/>
    <w:rsid w:val="0097575A"/>
    <w:rsid w:val="00975B4B"/>
    <w:rsid w:val="0097783A"/>
    <w:rsid w:val="009927A0"/>
    <w:rsid w:val="009A7872"/>
    <w:rsid w:val="009C5569"/>
    <w:rsid w:val="009D06CC"/>
    <w:rsid w:val="009D3E3A"/>
    <w:rsid w:val="009D7BF7"/>
    <w:rsid w:val="009E7B68"/>
    <w:rsid w:val="009F6742"/>
    <w:rsid w:val="00A047AE"/>
    <w:rsid w:val="00A05491"/>
    <w:rsid w:val="00A06119"/>
    <w:rsid w:val="00A07153"/>
    <w:rsid w:val="00A0760D"/>
    <w:rsid w:val="00A153D3"/>
    <w:rsid w:val="00A16A97"/>
    <w:rsid w:val="00A20238"/>
    <w:rsid w:val="00A20488"/>
    <w:rsid w:val="00A30CC3"/>
    <w:rsid w:val="00A359E7"/>
    <w:rsid w:val="00A42B4E"/>
    <w:rsid w:val="00A43F67"/>
    <w:rsid w:val="00A4572A"/>
    <w:rsid w:val="00A461A4"/>
    <w:rsid w:val="00A51ADA"/>
    <w:rsid w:val="00A62095"/>
    <w:rsid w:val="00A62566"/>
    <w:rsid w:val="00A74EA7"/>
    <w:rsid w:val="00A764C4"/>
    <w:rsid w:val="00A775DF"/>
    <w:rsid w:val="00A80F35"/>
    <w:rsid w:val="00A82159"/>
    <w:rsid w:val="00A83D4D"/>
    <w:rsid w:val="00A84C19"/>
    <w:rsid w:val="00A84F56"/>
    <w:rsid w:val="00A94027"/>
    <w:rsid w:val="00A9516B"/>
    <w:rsid w:val="00AA00D6"/>
    <w:rsid w:val="00AA1FE6"/>
    <w:rsid w:val="00AC13DB"/>
    <w:rsid w:val="00AC38DF"/>
    <w:rsid w:val="00AD0307"/>
    <w:rsid w:val="00AD1953"/>
    <w:rsid w:val="00AD1A5A"/>
    <w:rsid w:val="00AD2109"/>
    <w:rsid w:val="00AD6985"/>
    <w:rsid w:val="00AD6B02"/>
    <w:rsid w:val="00AE1FDC"/>
    <w:rsid w:val="00AE33EF"/>
    <w:rsid w:val="00AF409F"/>
    <w:rsid w:val="00B046DF"/>
    <w:rsid w:val="00B1022E"/>
    <w:rsid w:val="00B15F88"/>
    <w:rsid w:val="00B17A1A"/>
    <w:rsid w:val="00B31442"/>
    <w:rsid w:val="00B3199C"/>
    <w:rsid w:val="00B345F9"/>
    <w:rsid w:val="00B37001"/>
    <w:rsid w:val="00B4049C"/>
    <w:rsid w:val="00B413B0"/>
    <w:rsid w:val="00B468B4"/>
    <w:rsid w:val="00B47CC0"/>
    <w:rsid w:val="00B5456E"/>
    <w:rsid w:val="00B567A1"/>
    <w:rsid w:val="00B630D2"/>
    <w:rsid w:val="00B67147"/>
    <w:rsid w:val="00B73CB2"/>
    <w:rsid w:val="00B77EEF"/>
    <w:rsid w:val="00B805D7"/>
    <w:rsid w:val="00B81B3F"/>
    <w:rsid w:val="00B8318D"/>
    <w:rsid w:val="00B86EBE"/>
    <w:rsid w:val="00B92176"/>
    <w:rsid w:val="00B94D39"/>
    <w:rsid w:val="00BA2627"/>
    <w:rsid w:val="00BA5F55"/>
    <w:rsid w:val="00BA70D9"/>
    <w:rsid w:val="00BB590A"/>
    <w:rsid w:val="00BC54FE"/>
    <w:rsid w:val="00BC5530"/>
    <w:rsid w:val="00BE0AB3"/>
    <w:rsid w:val="00BE0D05"/>
    <w:rsid w:val="00BE1AC6"/>
    <w:rsid w:val="00BE3396"/>
    <w:rsid w:val="00BE5479"/>
    <w:rsid w:val="00BF3415"/>
    <w:rsid w:val="00BF3B56"/>
    <w:rsid w:val="00BF5875"/>
    <w:rsid w:val="00C04197"/>
    <w:rsid w:val="00C04D9F"/>
    <w:rsid w:val="00C05F28"/>
    <w:rsid w:val="00C110F6"/>
    <w:rsid w:val="00C122DF"/>
    <w:rsid w:val="00C12EF0"/>
    <w:rsid w:val="00C15F17"/>
    <w:rsid w:val="00C163ED"/>
    <w:rsid w:val="00C16AF0"/>
    <w:rsid w:val="00C21129"/>
    <w:rsid w:val="00C21E95"/>
    <w:rsid w:val="00C25260"/>
    <w:rsid w:val="00C34B3D"/>
    <w:rsid w:val="00C55614"/>
    <w:rsid w:val="00C63FA5"/>
    <w:rsid w:val="00C707EA"/>
    <w:rsid w:val="00C71420"/>
    <w:rsid w:val="00C725CF"/>
    <w:rsid w:val="00C761A8"/>
    <w:rsid w:val="00C82217"/>
    <w:rsid w:val="00C85F8E"/>
    <w:rsid w:val="00C966C9"/>
    <w:rsid w:val="00CB1CF1"/>
    <w:rsid w:val="00CC09EC"/>
    <w:rsid w:val="00CC0E83"/>
    <w:rsid w:val="00CC1D7D"/>
    <w:rsid w:val="00CD7753"/>
    <w:rsid w:val="00CE1268"/>
    <w:rsid w:val="00CE330C"/>
    <w:rsid w:val="00CF07E7"/>
    <w:rsid w:val="00D00515"/>
    <w:rsid w:val="00D0086F"/>
    <w:rsid w:val="00D014C0"/>
    <w:rsid w:val="00D017E1"/>
    <w:rsid w:val="00D10E4F"/>
    <w:rsid w:val="00D16640"/>
    <w:rsid w:val="00D205CE"/>
    <w:rsid w:val="00D2112A"/>
    <w:rsid w:val="00D2140B"/>
    <w:rsid w:val="00D21443"/>
    <w:rsid w:val="00D2451B"/>
    <w:rsid w:val="00D34F7C"/>
    <w:rsid w:val="00D40F7F"/>
    <w:rsid w:val="00D461BC"/>
    <w:rsid w:val="00D466FD"/>
    <w:rsid w:val="00D56039"/>
    <w:rsid w:val="00D60BC2"/>
    <w:rsid w:val="00D634B1"/>
    <w:rsid w:val="00D67AA5"/>
    <w:rsid w:val="00D67F2C"/>
    <w:rsid w:val="00D71D6E"/>
    <w:rsid w:val="00D818C4"/>
    <w:rsid w:val="00D846F4"/>
    <w:rsid w:val="00D919E3"/>
    <w:rsid w:val="00D936E6"/>
    <w:rsid w:val="00D942D1"/>
    <w:rsid w:val="00DB4927"/>
    <w:rsid w:val="00DB4D6C"/>
    <w:rsid w:val="00DC0F20"/>
    <w:rsid w:val="00DC1A9E"/>
    <w:rsid w:val="00DC3383"/>
    <w:rsid w:val="00DD1472"/>
    <w:rsid w:val="00DD3941"/>
    <w:rsid w:val="00DD7DA8"/>
    <w:rsid w:val="00DE4A3B"/>
    <w:rsid w:val="00DE5BDB"/>
    <w:rsid w:val="00DF0A57"/>
    <w:rsid w:val="00DF1F33"/>
    <w:rsid w:val="00DF2AB2"/>
    <w:rsid w:val="00E100BC"/>
    <w:rsid w:val="00E142B8"/>
    <w:rsid w:val="00E14327"/>
    <w:rsid w:val="00E14C5E"/>
    <w:rsid w:val="00E23D47"/>
    <w:rsid w:val="00E24DBA"/>
    <w:rsid w:val="00E316CD"/>
    <w:rsid w:val="00E506BA"/>
    <w:rsid w:val="00E52737"/>
    <w:rsid w:val="00E63B5F"/>
    <w:rsid w:val="00E73049"/>
    <w:rsid w:val="00E82A9C"/>
    <w:rsid w:val="00E8428C"/>
    <w:rsid w:val="00E902FF"/>
    <w:rsid w:val="00E90565"/>
    <w:rsid w:val="00E94FBA"/>
    <w:rsid w:val="00E96E1E"/>
    <w:rsid w:val="00E97484"/>
    <w:rsid w:val="00EA69F7"/>
    <w:rsid w:val="00EB3ADA"/>
    <w:rsid w:val="00EC1279"/>
    <w:rsid w:val="00EC4351"/>
    <w:rsid w:val="00EC4E4A"/>
    <w:rsid w:val="00EC5716"/>
    <w:rsid w:val="00ED24DF"/>
    <w:rsid w:val="00ED25DB"/>
    <w:rsid w:val="00ED507B"/>
    <w:rsid w:val="00EE59B0"/>
    <w:rsid w:val="00EF50CA"/>
    <w:rsid w:val="00EF759E"/>
    <w:rsid w:val="00F03549"/>
    <w:rsid w:val="00F03CA3"/>
    <w:rsid w:val="00F04391"/>
    <w:rsid w:val="00F06BF2"/>
    <w:rsid w:val="00F06F05"/>
    <w:rsid w:val="00F10988"/>
    <w:rsid w:val="00F21476"/>
    <w:rsid w:val="00F25418"/>
    <w:rsid w:val="00F268F0"/>
    <w:rsid w:val="00F35A0F"/>
    <w:rsid w:val="00F37F53"/>
    <w:rsid w:val="00F44C65"/>
    <w:rsid w:val="00F44DB7"/>
    <w:rsid w:val="00F46F80"/>
    <w:rsid w:val="00F47189"/>
    <w:rsid w:val="00F55C54"/>
    <w:rsid w:val="00F60897"/>
    <w:rsid w:val="00F64DE4"/>
    <w:rsid w:val="00F717CF"/>
    <w:rsid w:val="00F74A21"/>
    <w:rsid w:val="00F74CA6"/>
    <w:rsid w:val="00F76591"/>
    <w:rsid w:val="00F81D50"/>
    <w:rsid w:val="00F827D9"/>
    <w:rsid w:val="00F82C5C"/>
    <w:rsid w:val="00F93095"/>
    <w:rsid w:val="00F943AC"/>
    <w:rsid w:val="00FA3AC0"/>
    <w:rsid w:val="00FB01F0"/>
    <w:rsid w:val="00FB29CB"/>
    <w:rsid w:val="00FB3A73"/>
    <w:rsid w:val="00FB6072"/>
    <w:rsid w:val="00FB7A79"/>
    <w:rsid w:val="00FC3973"/>
    <w:rsid w:val="00FE21BA"/>
    <w:rsid w:val="00FE5A53"/>
    <w:rsid w:val="00FF3310"/>
    <w:rsid w:val="00FF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C020"/>
  <w15:docId w15:val="{01248BD1-1935-44C0-8C1E-9CC48FF3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7517"/>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367517"/>
    <w:pPr>
      <w:keepNext/>
      <w:keepLines/>
      <w:numPr>
        <w:numId w:val="1"/>
      </w:numPr>
      <w:autoSpaceDE w:val="0"/>
      <w:autoSpaceDN w:val="0"/>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F759E"/>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17"/>
    <w:rPr>
      <w:rFonts w:ascii="Times New Roman" w:eastAsiaTheme="majorEastAsia" w:hAnsi="Times New Roman" w:cstheme="majorBidi"/>
      <w:b/>
      <w:bCs/>
      <w:sz w:val="26"/>
      <w:szCs w:val="28"/>
    </w:rPr>
  </w:style>
  <w:style w:type="table" w:styleId="TableGrid">
    <w:name w:val="Table Grid"/>
    <w:basedOn w:val="TableNormal"/>
    <w:uiPriority w:val="59"/>
    <w:rsid w:val="00367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qFormat/>
    <w:rsid w:val="00367517"/>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367517"/>
    <w:rPr>
      <w:rFonts w:ascii="Times New Roman" w:eastAsia="Times New Roman" w:hAnsi="Times New Roman" w:cs="Times New Roman"/>
      <w:sz w:val="20"/>
      <w:szCs w:val="20"/>
    </w:rPr>
  </w:style>
  <w:style w:type="character" w:styleId="FootnoteReference">
    <w:name w:val="footnote reference"/>
    <w:aliases w:val="o,fr,footnote text,Style 42,Style 13,Style 12,Style 28,(NECG) Footnote Reference,Style 11,Style 9,Style 16,Style 15,Style 17,Style 20,o1,fr1,o2,fr2,o3,fr3,Style 8,Style 7,Style 19"/>
    <w:basedOn w:val="DefaultParagraphFont"/>
    <w:uiPriority w:val="99"/>
    <w:unhideWhenUsed/>
    <w:rsid w:val="00367517"/>
    <w:rPr>
      <w:vertAlign w:val="superscript"/>
    </w:rPr>
  </w:style>
  <w:style w:type="paragraph" w:styleId="ListParagraph">
    <w:name w:val="List Paragraph"/>
    <w:basedOn w:val="Normal"/>
    <w:uiPriority w:val="34"/>
    <w:qFormat/>
    <w:rsid w:val="00B567A1"/>
    <w:pPr>
      <w:ind w:left="720"/>
      <w:contextualSpacing/>
    </w:pPr>
  </w:style>
  <w:style w:type="paragraph" w:customStyle="1" w:styleId="OutlineL1">
    <w:name w:val="Outline_L1"/>
    <w:basedOn w:val="Normal"/>
    <w:next w:val="FootnoteText"/>
    <w:rsid w:val="00B567A1"/>
    <w:pPr>
      <w:keepNext/>
      <w:numPr>
        <w:numId w:val="4"/>
      </w:numPr>
      <w:spacing w:after="240" w:line="240" w:lineRule="auto"/>
      <w:jc w:val="center"/>
      <w:outlineLvl w:val="0"/>
    </w:pPr>
    <w:rPr>
      <w:rFonts w:ascii="Times New Roman Bold" w:hAnsi="Times New Roman Bold"/>
      <w:b/>
      <w:caps/>
      <w:sz w:val="24"/>
      <w:szCs w:val="20"/>
    </w:rPr>
  </w:style>
  <w:style w:type="paragraph" w:customStyle="1" w:styleId="OutlineL2">
    <w:name w:val="Outline_L2"/>
    <w:basedOn w:val="OutlineL1"/>
    <w:rsid w:val="00B567A1"/>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B567A1"/>
    <w:pPr>
      <w:numPr>
        <w:ilvl w:val="2"/>
      </w:numPr>
      <w:spacing w:after="120"/>
      <w:outlineLvl w:val="2"/>
    </w:pPr>
  </w:style>
  <w:style w:type="paragraph" w:customStyle="1" w:styleId="OutlineL4">
    <w:name w:val="Outline_L4"/>
    <w:basedOn w:val="OutlineL3"/>
    <w:rsid w:val="00B567A1"/>
    <w:pPr>
      <w:numPr>
        <w:ilvl w:val="3"/>
      </w:numPr>
      <w:outlineLvl w:val="3"/>
    </w:pPr>
  </w:style>
  <w:style w:type="paragraph" w:customStyle="1" w:styleId="OutlineL5">
    <w:name w:val="Outline_L5"/>
    <w:basedOn w:val="OutlineL4"/>
    <w:rsid w:val="00B567A1"/>
    <w:pPr>
      <w:numPr>
        <w:ilvl w:val="4"/>
      </w:numPr>
      <w:spacing w:line="240" w:lineRule="auto"/>
      <w:outlineLvl w:val="4"/>
    </w:pPr>
  </w:style>
  <w:style w:type="paragraph" w:customStyle="1" w:styleId="OutlineL6">
    <w:name w:val="Outline_L6"/>
    <w:basedOn w:val="OutlineL5"/>
    <w:rsid w:val="00B567A1"/>
    <w:pPr>
      <w:numPr>
        <w:ilvl w:val="5"/>
      </w:numPr>
      <w:spacing w:after="240"/>
      <w:outlineLvl w:val="5"/>
    </w:pPr>
    <w:rPr>
      <w:szCs w:val="24"/>
    </w:rPr>
  </w:style>
  <w:style w:type="paragraph" w:customStyle="1" w:styleId="OutlineL7">
    <w:name w:val="Outline_L7"/>
    <w:basedOn w:val="OutlineL6"/>
    <w:rsid w:val="00B567A1"/>
    <w:pPr>
      <w:numPr>
        <w:ilvl w:val="6"/>
      </w:numPr>
      <w:outlineLvl w:val="6"/>
    </w:pPr>
    <w:rPr>
      <w:rFonts w:ascii="Times New Roman Bold" w:hAnsi="Times New Roman Bold"/>
      <w:b/>
    </w:rPr>
  </w:style>
  <w:style w:type="paragraph" w:customStyle="1" w:styleId="OutlineL8">
    <w:name w:val="Outline_L8"/>
    <w:basedOn w:val="OutlineL7"/>
    <w:rsid w:val="00B567A1"/>
    <w:pPr>
      <w:numPr>
        <w:ilvl w:val="7"/>
      </w:numPr>
      <w:outlineLvl w:val="7"/>
    </w:pPr>
  </w:style>
  <w:style w:type="paragraph" w:customStyle="1" w:styleId="OutlineL9">
    <w:name w:val="Outline_L9"/>
    <w:basedOn w:val="OutlineL8"/>
    <w:rsid w:val="00B567A1"/>
    <w:pPr>
      <w:numPr>
        <w:ilvl w:val="8"/>
      </w:numPr>
      <w:outlineLvl w:val="8"/>
    </w:pPr>
  </w:style>
  <w:style w:type="paragraph" w:styleId="Header">
    <w:name w:val="header"/>
    <w:basedOn w:val="Normal"/>
    <w:link w:val="HeaderChar"/>
    <w:uiPriority w:val="99"/>
    <w:unhideWhenUsed/>
    <w:rsid w:val="008733ED"/>
    <w:pPr>
      <w:tabs>
        <w:tab w:val="center" w:pos="4680"/>
        <w:tab w:val="right" w:pos="9360"/>
      </w:tabs>
      <w:spacing w:line="240" w:lineRule="auto"/>
    </w:pPr>
  </w:style>
  <w:style w:type="character" w:customStyle="1" w:styleId="HeaderChar">
    <w:name w:val="Header Char"/>
    <w:basedOn w:val="DefaultParagraphFont"/>
    <w:link w:val="Header"/>
    <w:uiPriority w:val="99"/>
    <w:rsid w:val="008733E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733ED"/>
    <w:pPr>
      <w:tabs>
        <w:tab w:val="center" w:pos="4680"/>
        <w:tab w:val="right" w:pos="9360"/>
      </w:tabs>
      <w:spacing w:line="240" w:lineRule="auto"/>
    </w:pPr>
  </w:style>
  <w:style w:type="character" w:customStyle="1" w:styleId="FooterChar">
    <w:name w:val="Footer Char"/>
    <w:basedOn w:val="DefaultParagraphFont"/>
    <w:link w:val="Footer"/>
    <w:uiPriority w:val="99"/>
    <w:rsid w:val="008733ED"/>
    <w:rPr>
      <w:rFonts w:ascii="Times New Roman" w:eastAsia="Times New Roman" w:hAnsi="Times New Roman" w:cs="Times New Roman"/>
      <w:sz w:val="26"/>
      <w:szCs w:val="24"/>
    </w:rPr>
  </w:style>
  <w:style w:type="paragraph" w:styleId="ListNumber">
    <w:name w:val="List Number"/>
    <w:basedOn w:val="Normal"/>
    <w:qFormat/>
    <w:rsid w:val="00460A91"/>
    <w:pPr>
      <w:numPr>
        <w:numId w:val="14"/>
      </w:numPr>
      <w:spacing w:after="240" w:line="240" w:lineRule="auto"/>
      <w:jc w:val="both"/>
    </w:pPr>
    <w:rPr>
      <w:rFonts w:eastAsiaTheme="minorHAnsi" w:cstheme="minorBidi"/>
      <w:sz w:val="24"/>
    </w:rPr>
  </w:style>
  <w:style w:type="character" w:customStyle="1" w:styleId="Heading2Char">
    <w:name w:val="Heading 2 Char"/>
    <w:basedOn w:val="DefaultParagraphFont"/>
    <w:link w:val="Heading2"/>
    <w:uiPriority w:val="9"/>
    <w:semiHidden/>
    <w:rsid w:val="00EF759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EF759E"/>
    <w:pPr>
      <w:spacing w:after="240" w:line="240" w:lineRule="auto"/>
      <w:ind w:firstLine="720"/>
      <w:jc w:val="both"/>
    </w:pPr>
    <w:rPr>
      <w:rFonts w:eastAsiaTheme="minorHAnsi" w:cstheme="minorBidi"/>
      <w:sz w:val="24"/>
    </w:rPr>
  </w:style>
  <w:style w:type="character" w:customStyle="1" w:styleId="BodyTextChar">
    <w:name w:val="Body Text Char"/>
    <w:basedOn w:val="DefaultParagraphFont"/>
    <w:link w:val="BodyText"/>
    <w:rsid w:val="00EF759E"/>
    <w:rPr>
      <w:rFonts w:ascii="Times New Roman" w:hAnsi="Times New Roman"/>
      <w:sz w:val="24"/>
      <w:szCs w:val="24"/>
    </w:rPr>
  </w:style>
  <w:style w:type="paragraph" w:styleId="BalloonText">
    <w:name w:val="Balloon Text"/>
    <w:basedOn w:val="Normal"/>
    <w:link w:val="BalloonTextChar"/>
    <w:uiPriority w:val="99"/>
    <w:semiHidden/>
    <w:unhideWhenUsed/>
    <w:rsid w:val="003108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7651"/>
    <w:rPr>
      <w:sz w:val="16"/>
      <w:szCs w:val="16"/>
    </w:rPr>
  </w:style>
  <w:style w:type="paragraph" w:styleId="CommentText">
    <w:name w:val="annotation text"/>
    <w:basedOn w:val="Normal"/>
    <w:link w:val="CommentTextChar"/>
    <w:uiPriority w:val="99"/>
    <w:semiHidden/>
    <w:unhideWhenUsed/>
    <w:rsid w:val="00127651"/>
    <w:pPr>
      <w:spacing w:line="240" w:lineRule="auto"/>
    </w:pPr>
    <w:rPr>
      <w:sz w:val="20"/>
      <w:szCs w:val="20"/>
    </w:rPr>
  </w:style>
  <w:style w:type="character" w:customStyle="1" w:styleId="CommentTextChar">
    <w:name w:val="Comment Text Char"/>
    <w:basedOn w:val="DefaultParagraphFont"/>
    <w:link w:val="CommentText"/>
    <w:uiPriority w:val="99"/>
    <w:semiHidden/>
    <w:rsid w:val="00127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7651"/>
    <w:rPr>
      <w:b/>
      <w:bCs/>
    </w:rPr>
  </w:style>
  <w:style w:type="character" w:customStyle="1" w:styleId="CommentSubjectChar">
    <w:name w:val="Comment Subject Char"/>
    <w:basedOn w:val="CommentTextChar"/>
    <w:link w:val="CommentSubject"/>
    <w:uiPriority w:val="99"/>
    <w:semiHidden/>
    <w:rsid w:val="00127651"/>
    <w:rPr>
      <w:rFonts w:ascii="Times New Roman" w:eastAsia="Times New Roman" w:hAnsi="Times New Roman" w:cs="Times New Roman"/>
      <w:b/>
      <w:bCs/>
      <w:sz w:val="20"/>
      <w:szCs w:val="20"/>
    </w:rPr>
  </w:style>
  <w:style w:type="paragraph" w:customStyle="1" w:styleId="Default">
    <w:name w:val="Default"/>
    <w:rsid w:val="00E94FB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C1279"/>
    <w:pPr>
      <w:spacing w:before="100" w:beforeAutospacing="1" w:after="100" w:afterAutospacing="1" w:line="240" w:lineRule="auto"/>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2235-9F09-4A08-99C2-22BD9CF3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10245</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Carran, Robert</dc:creator>
  <cp:lastModifiedBy>Sheffer, Ryan</cp:lastModifiedBy>
  <cp:revision>4</cp:revision>
  <cp:lastPrinted>2019-09-24T19:43:00Z</cp:lastPrinted>
  <dcterms:created xsi:type="dcterms:W3CDTF">2019-10-02T20:04:00Z</dcterms:created>
  <dcterms:modified xsi:type="dcterms:W3CDTF">2019-10-03T16:22:00Z</dcterms:modified>
</cp:coreProperties>
</file>