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327F32D2" w:rsidR="00775192" w:rsidRPr="00AC0CAA" w:rsidRDefault="00BC0DAA"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Maurice Vaughn</w:t>
      </w:r>
      <w:r w:rsidR="00775192">
        <w:rPr>
          <w:rFonts w:ascii="Times New Roman" w:hAnsi="Times New Roman" w:cs="Times New Roman"/>
          <w:spacing w:val="-3"/>
        </w:rPr>
        <w:tab/>
        <w:t xml:space="preserve">   </w:t>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sidRPr="00AC0CAA">
        <w:rPr>
          <w:rFonts w:ascii="Times New Roman" w:hAnsi="Times New Roman" w:cs="Times New Roman"/>
          <w:spacing w:val="-3"/>
        </w:rPr>
        <w:fldChar w:fldCharType="begin"/>
      </w:r>
      <w:r w:rsidR="00775192" w:rsidRPr="00AC0CAA">
        <w:rPr>
          <w:rFonts w:ascii="Times New Roman" w:hAnsi="Times New Roman" w:cs="Times New Roman"/>
          <w:spacing w:val="-3"/>
        </w:rPr>
        <w:instrText>fillin "Complainant's name" \d ""</w:instrText>
      </w:r>
      <w:r w:rsidR="00775192" w:rsidRPr="00AC0CAA">
        <w:rPr>
          <w:rFonts w:ascii="Times New Roman" w:hAnsi="Times New Roman" w:cs="Times New Roman"/>
          <w:spacing w:val="-3"/>
        </w:rPr>
        <w:fldChar w:fldCharType="end"/>
      </w:r>
      <w:r w:rsidR="00775192"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3CD9D1A1"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C-2019-301</w:t>
      </w:r>
      <w:r w:rsidR="00105628">
        <w:rPr>
          <w:rFonts w:ascii="Times New Roman" w:hAnsi="Times New Roman" w:cs="Times New Roman"/>
          <w:spacing w:val="-3"/>
        </w:rPr>
        <w:t>3295</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5966E516" w:rsidR="00775192" w:rsidRDefault="00BC0DAA"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775192">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75DED089"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105628">
        <w:rPr>
          <w:rFonts w:ascii="Times New Roman" w:hAnsi="Times New Roman" w:cs="Times New Roman"/>
          <w:b/>
        </w:rPr>
        <w:t>MONDAY</w:t>
      </w:r>
      <w:r w:rsidRPr="00E41EE8">
        <w:rPr>
          <w:rFonts w:ascii="Times New Roman" w:hAnsi="Times New Roman" w:cs="Times New Roman"/>
          <w:b/>
        </w:rPr>
        <w:t>, </w:t>
      </w:r>
      <w:r>
        <w:rPr>
          <w:rFonts w:ascii="Times New Roman" w:hAnsi="Times New Roman" w:cs="Times New Roman"/>
          <w:b/>
        </w:rPr>
        <w:t xml:space="preserve">NOVEMBER </w:t>
      </w:r>
      <w:r w:rsidR="00105628">
        <w:rPr>
          <w:rFonts w:ascii="Times New Roman" w:hAnsi="Times New Roman" w:cs="Times New Roman"/>
          <w:b/>
        </w:rPr>
        <w:t>25</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38F908EF"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t>Maurice Vaughn</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C924EC">
        <w:rPr>
          <w:rFonts w:ascii="Times New Roman" w:hAnsi="Times New Roman" w:cs="Times New Roman"/>
          <w:b/>
          <w:spacing w:val="-3"/>
        </w:rPr>
        <w:tab/>
      </w:r>
      <w:r w:rsidR="00285CC7">
        <w:rPr>
          <w:rFonts w:ascii="Times New Roman" w:hAnsi="Times New Roman" w:cs="Times New Roman"/>
          <w:bCs/>
          <w:spacing w:val="-3"/>
        </w:rPr>
        <w:t>215</w:t>
      </w:r>
      <w:r w:rsidR="007A7FAB" w:rsidRPr="00944587">
        <w:rPr>
          <w:rFonts w:ascii="Times New Roman" w:hAnsi="Times New Roman" w:cs="Times New Roman"/>
          <w:bCs/>
          <w:spacing w:val="-3"/>
        </w:rPr>
        <w:t>.</w:t>
      </w:r>
      <w:r w:rsidR="00285CC7">
        <w:rPr>
          <w:rFonts w:ascii="Times New Roman" w:hAnsi="Times New Roman" w:cs="Times New Roman"/>
          <w:bCs/>
          <w:spacing w:val="-3"/>
        </w:rPr>
        <w:t>6</w:t>
      </w:r>
      <w:r w:rsidR="00105628">
        <w:rPr>
          <w:rFonts w:ascii="Times New Roman" w:hAnsi="Times New Roman" w:cs="Times New Roman"/>
          <w:bCs/>
          <w:spacing w:val="-3"/>
        </w:rPr>
        <w:t>26</w:t>
      </w:r>
      <w:r w:rsidR="007A7FAB" w:rsidRPr="00944587">
        <w:rPr>
          <w:rFonts w:ascii="Times New Roman" w:hAnsi="Times New Roman" w:cs="Times New Roman"/>
          <w:bCs/>
          <w:spacing w:val="-3"/>
        </w:rPr>
        <w:t>.</w:t>
      </w:r>
      <w:r w:rsidR="00105628">
        <w:rPr>
          <w:rFonts w:ascii="Times New Roman" w:hAnsi="Times New Roman" w:cs="Times New Roman"/>
          <w:bCs/>
          <w:spacing w:val="-3"/>
        </w:rPr>
        <w:t>2751</w:t>
      </w:r>
    </w:p>
    <w:p w14:paraId="747D58BF" w14:textId="47E2D0B4"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BE2589">
        <w:rPr>
          <w:rFonts w:ascii="Times New Roman" w:hAnsi="Times New Roman" w:cs="Times New Roman"/>
          <w:b/>
          <w:spacing w:val="-3"/>
        </w:rPr>
        <w:t>Angela M. Lorenz</w:t>
      </w:r>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981D09">
        <w:rPr>
          <w:rFonts w:ascii="Times New Roman" w:hAnsi="Times New Roman" w:cs="Times New Roman"/>
          <w:b/>
          <w:spacing w:val="-3"/>
        </w:rPr>
        <w:tab/>
      </w:r>
      <w:r w:rsidR="00285CC7">
        <w:rPr>
          <w:rFonts w:ascii="Times New Roman" w:hAnsi="Times New Roman" w:cs="Times New Roman"/>
          <w:bCs/>
          <w:spacing w:val="-3"/>
        </w:rPr>
        <w:t>215</w:t>
      </w:r>
      <w:r w:rsidR="00981D09" w:rsidRPr="00944587">
        <w:rPr>
          <w:rFonts w:ascii="Times New Roman" w:hAnsi="Times New Roman" w:cs="Times New Roman"/>
          <w:bCs/>
          <w:spacing w:val="-3"/>
        </w:rPr>
        <w:t>.</w:t>
      </w:r>
      <w:r w:rsidR="00BE2589">
        <w:rPr>
          <w:rFonts w:ascii="Times New Roman" w:hAnsi="Times New Roman" w:cs="Times New Roman"/>
          <w:bCs/>
          <w:spacing w:val="-3"/>
        </w:rPr>
        <w:t>501</w:t>
      </w:r>
      <w:r w:rsidR="00981D09" w:rsidRPr="00944587">
        <w:rPr>
          <w:rFonts w:ascii="Times New Roman" w:hAnsi="Times New Roman" w:cs="Times New Roman"/>
          <w:bCs/>
          <w:spacing w:val="-3"/>
        </w:rPr>
        <w:t>.</w:t>
      </w:r>
      <w:r w:rsidR="00BE2589">
        <w:rPr>
          <w:rFonts w:ascii="Times New Roman" w:hAnsi="Times New Roman" w:cs="Times New Roman"/>
          <w:bCs/>
          <w:spacing w:val="-3"/>
        </w:rPr>
        <w:t>7847</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77777777" w:rsidR="003F521C" w:rsidRPr="00A060F3" w:rsidRDefault="003F521C"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77777777"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 xml:space="preserve">Note that attachments to </w:t>
      </w:r>
      <w:r w:rsidRPr="00DB6000">
        <w:rPr>
          <w:rFonts w:ascii="Times New Roman" w:hAnsi="Times New Roman" w:cs="Times New Roman"/>
        </w:rPr>
        <w:lastRenderedPageBreak/>
        <w:t>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77777777" w:rsidR="003F521C" w:rsidRDefault="003F521C"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w:t>
      </w:r>
      <w:r w:rsidRPr="00FD60AC">
        <w:rPr>
          <w:rFonts w:ascii="Times New Roman" w:hAnsi="Times New Roman" w:cs="Times New Roman"/>
          <w:spacing w:val="-3"/>
        </w:rPr>
        <w:lastRenderedPageBreak/>
        <w:t xml:space="preserve">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lastRenderedPageBreak/>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454E0389"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October 16,</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DBF4A20" w14:textId="6E0A3FEA" w:rsidR="008C3E20" w:rsidRDefault="008C3E20">
      <w:pPr>
        <w:autoSpaceDE/>
        <w:autoSpaceDN/>
        <w:rPr>
          <w:rFonts w:ascii="Times New Roman" w:hAnsi="Times New Roman" w:cs="Times New Roman"/>
          <w:spacing w:val="-3"/>
          <w:sz w:val="16"/>
          <w:szCs w:val="16"/>
        </w:rPr>
      </w:pPr>
      <w:r>
        <w:rPr>
          <w:rFonts w:ascii="Times New Roman" w:hAnsi="Times New Roman" w:cs="Times New Roman"/>
          <w:spacing w:val="-3"/>
        </w:rPr>
        <w:br w:type="page"/>
      </w:r>
    </w:p>
    <w:p w14:paraId="1291B08B" w14:textId="77777777" w:rsidR="008C3E20" w:rsidRPr="008C3E20" w:rsidRDefault="008C3E20" w:rsidP="008C3E20">
      <w:pPr>
        <w:autoSpaceDE/>
        <w:autoSpaceDN/>
        <w:spacing w:after="160" w:line="259" w:lineRule="auto"/>
        <w:rPr>
          <w:rFonts w:asciiTheme="minorHAnsi" w:eastAsiaTheme="minorEastAsia" w:hAnsiTheme="minorHAnsi" w:cstheme="minorBidi"/>
          <w:i/>
          <w:iCs/>
          <w:sz w:val="22"/>
          <w:szCs w:val="22"/>
          <w:u w:val="single"/>
        </w:rPr>
      </w:pPr>
      <w:r w:rsidRPr="008C3E20">
        <w:rPr>
          <w:rFonts w:ascii="Microsoft Sans Serif" w:eastAsia="Microsoft Sans Serif" w:hAnsi="Microsoft Sans Serif" w:cs="Microsoft Sans Serif"/>
          <w:b/>
          <w:szCs w:val="22"/>
          <w:u w:val="single"/>
        </w:rPr>
        <w:lastRenderedPageBreak/>
        <w:t xml:space="preserve">C-2019-3013295 - MAURICE VAUGHN v. PECO ENERGY COMPANY </w:t>
      </w:r>
      <w:r w:rsidRPr="008C3E20">
        <w:rPr>
          <w:rFonts w:ascii="Microsoft Sans Serif" w:eastAsia="Microsoft Sans Serif" w:hAnsi="Microsoft Sans Serif" w:cs="Microsoft Sans Serif"/>
          <w:b/>
          <w:szCs w:val="22"/>
          <w:u w:val="single"/>
        </w:rPr>
        <w:cr/>
      </w:r>
      <w:r w:rsidRPr="008C3E20">
        <w:rPr>
          <w:rFonts w:ascii="Microsoft Sans Serif" w:eastAsia="Microsoft Sans Serif" w:hAnsi="Microsoft Sans Serif" w:cs="Microsoft Sans Serif"/>
          <w:b/>
          <w:szCs w:val="22"/>
          <w:u w:val="single"/>
        </w:rPr>
        <w:cr/>
      </w:r>
      <w:r w:rsidRPr="008C3E20">
        <w:rPr>
          <w:rFonts w:ascii="Microsoft Sans Serif" w:eastAsia="Microsoft Sans Serif" w:hAnsi="Microsoft Sans Serif" w:cs="Microsoft Sans Serif"/>
          <w:szCs w:val="22"/>
        </w:rPr>
        <w:t>MAURICE VAUGHN</w:t>
      </w:r>
      <w:r w:rsidRPr="008C3E20">
        <w:rPr>
          <w:rFonts w:ascii="Microsoft Sans Serif" w:eastAsia="Microsoft Sans Serif" w:hAnsi="Microsoft Sans Serif" w:cs="Microsoft Sans Serif"/>
          <w:szCs w:val="22"/>
        </w:rPr>
        <w:cr/>
        <w:t>3605 N PERCY STREET</w:t>
      </w:r>
      <w:r w:rsidRPr="008C3E20">
        <w:rPr>
          <w:rFonts w:ascii="Microsoft Sans Serif" w:eastAsia="Microsoft Sans Serif" w:hAnsi="Microsoft Sans Serif" w:cs="Microsoft Sans Serif"/>
          <w:szCs w:val="22"/>
        </w:rPr>
        <w:cr/>
        <w:t>PHILADELPHIA PA  19140</w:t>
      </w:r>
      <w:r w:rsidRPr="008C3E20">
        <w:rPr>
          <w:rFonts w:ascii="Microsoft Sans Serif" w:eastAsia="Microsoft Sans Serif" w:hAnsi="Microsoft Sans Serif" w:cs="Microsoft Sans Serif"/>
          <w:szCs w:val="22"/>
        </w:rPr>
        <w:cr/>
      </w:r>
      <w:r w:rsidRPr="008C3E20">
        <w:rPr>
          <w:rFonts w:ascii="Microsoft Sans Serif" w:eastAsia="Microsoft Sans Serif" w:hAnsi="Microsoft Sans Serif" w:cs="Microsoft Sans Serif"/>
          <w:b/>
          <w:bCs/>
          <w:szCs w:val="22"/>
        </w:rPr>
        <w:t>215.626.2751</w:t>
      </w:r>
      <w:r w:rsidRPr="008C3E20">
        <w:rPr>
          <w:rFonts w:ascii="Microsoft Sans Serif" w:eastAsia="Microsoft Sans Serif" w:hAnsi="Microsoft Sans Serif" w:cs="Microsoft Sans Serif"/>
          <w:szCs w:val="22"/>
        </w:rPr>
        <w:cr/>
      </w:r>
      <w:r w:rsidRPr="008C3E20">
        <w:rPr>
          <w:rFonts w:ascii="Microsoft Sans Serif" w:eastAsia="Microsoft Sans Serif" w:hAnsi="Microsoft Sans Serif" w:cs="Microsoft Sans Serif"/>
          <w:szCs w:val="22"/>
        </w:rPr>
        <w:cr/>
        <w:t>ANGELA M LORENZ ATTORNEY</w:t>
      </w:r>
      <w:r w:rsidRPr="008C3E20">
        <w:rPr>
          <w:rFonts w:ascii="Microsoft Sans Serif" w:eastAsia="Microsoft Sans Serif" w:hAnsi="Microsoft Sans Serif" w:cs="Microsoft Sans Serif"/>
          <w:szCs w:val="22"/>
        </w:rPr>
        <w:cr/>
        <w:t>PECO ENERGY COMPANY</w:t>
      </w:r>
      <w:r w:rsidRPr="008C3E20">
        <w:rPr>
          <w:rFonts w:ascii="Microsoft Sans Serif" w:eastAsia="Microsoft Sans Serif" w:hAnsi="Microsoft Sans Serif" w:cs="Microsoft Sans Serif"/>
          <w:szCs w:val="22"/>
        </w:rPr>
        <w:cr/>
        <w:t>1880 JOHN F KENNEDY BLVD</w:t>
      </w:r>
      <w:r w:rsidRPr="008C3E20">
        <w:rPr>
          <w:rFonts w:ascii="Microsoft Sans Serif" w:eastAsia="Microsoft Sans Serif" w:hAnsi="Microsoft Sans Serif" w:cs="Microsoft Sans Serif"/>
          <w:szCs w:val="22"/>
        </w:rPr>
        <w:cr/>
        <w:t>SUITE 1800</w:t>
      </w:r>
      <w:r w:rsidRPr="008C3E20">
        <w:rPr>
          <w:rFonts w:ascii="Microsoft Sans Serif" w:eastAsia="Microsoft Sans Serif" w:hAnsi="Microsoft Sans Serif" w:cs="Microsoft Sans Serif"/>
          <w:szCs w:val="22"/>
        </w:rPr>
        <w:cr/>
        <w:t>PHILADELPHIA PA  19103</w:t>
      </w:r>
      <w:r w:rsidRPr="008C3E20">
        <w:rPr>
          <w:rFonts w:ascii="Microsoft Sans Serif" w:eastAsia="Microsoft Sans Serif" w:hAnsi="Microsoft Sans Serif" w:cs="Microsoft Sans Serif"/>
          <w:szCs w:val="22"/>
        </w:rPr>
        <w:cr/>
      </w:r>
      <w:r w:rsidRPr="008C3E20">
        <w:rPr>
          <w:rFonts w:ascii="Microsoft Sans Serif" w:eastAsia="Microsoft Sans Serif" w:hAnsi="Microsoft Sans Serif" w:cs="Microsoft Sans Serif"/>
          <w:b/>
          <w:bCs/>
          <w:szCs w:val="22"/>
        </w:rPr>
        <w:t>215.501.7847</w:t>
      </w:r>
      <w:r w:rsidRPr="008C3E20">
        <w:rPr>
          <w:rFonts w:ascii="Microsoft Sans Serif" w:eastAsia="Microsoft Sans Serif" w:hAnsi="Microsoft Sans Serif" w:cs="Microsoft Sans Serif"/>
          <w:b/>
          <w:bCs/>
          <w:szCs w:val="22"/>
        </w:rPr>
        <w:br/>
      </w:r>
      <w:r w:rsidRPr="008C3E20">
        <w:rPr>
          <w:rFonts w:ascii="Microsoft Sans Serif" w:eastAsia="Microsoft Sans Serif" w:hAnsi="Microsoft Sans Serif" w:cs="Microsoft Sans Serif"/>
          <w:b/>
          <w:bCs/>
          <w:i/>
          <w:iCs/>
          <w:szCs w:val="22"/>
          <w:u w:val="single"/>
        </w:rPr>
        <w:t>ACCEPTS E-SERVICE</w:t>
      </w:r>
      <w:r w:rsidRPr="008C3E20">
        <w:rPr>
          <w:rFonts w:ascii="Microsoft Sans Serif" w:eastAsia="Microsoft Sans Serif" w:hAnsi="Microsoft Sans Serif" w:cs="Microsoft Sans Serif"/>
          <w:i/>
          <w:iCs/>
          <w:szCs w:val="22"/>
          <w:u w:val="single"/>
        </w:rPr>
        <w:cr/>
      </w:r>
    </w:p>
    <w:p w14:paraId="1A42DFD5" w14:textId="77777777"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rsidSect="00550E8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9EEDC" w14:textId="77777777" w:rsidR="00F535E0" w:rsidRDefault="00F535E0">
      <w:pPr>
        <w:spacing w:line="20" w:lineRule="exact"/>
        <w:rPr>
          <w:sz w:val="20"/>
          <w:szCs w:val="20"/>
        </w:rPr>
      </w:pPr>
    </w:p>
  </w:endnote>
  <w:endnote w:type="continuationSeparator" w:id="0">
    <w:p w14:paraId="65AD6280" w14:textId="77777777" w:rsidR="00F535E0" w:rsidRDefault="00F535E0">
      <w:pPr>
        <w:pStyle w:val="ParaTab1"/>
        <w:rPr>
          <w:sz w:val="20"/>
          <w:szCs w:val="20"/>
        </w:rPr>
      </w:pPr>
      <w:r>
        <w:rPr>
          <w:sz w:val="20"/>
          <w:szCs w:val="20"/>
        </w:rPr>
        <w:t xml:space="preserve"> </w:t>
      </w:r>
    </w:p>
  </w:endnote>
  <w:endnote w:type="continuationNotice" w:id="1">
    <w:p w14:paraId="2C8B0838" w14:textId="77777777" w:rsidR="00F535E0" w:rsidRDefault="00F535E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noProof/>
      </w:rPr>
    </w:sdtEndPr>
    <w:sdtContent>
      <w:p w14:paraId="603A3417" w14:textId="2E9B089D" w:rsidR="00550E8B" w:rsidRDefault="00550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65D69B" w14:textId="77777777"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785BA" w14:textId="77777777" w:rsidR="00F535E0" w:rsidRDefault="00F535E0">
      <w:pPr>
        <w:pStyle w:val="ParaTab1"/>
        <w:rPr>
          <w:sz w:val="20"/>
          <w:szCs w:val="20"/>
        </w:rPr>
      </w:pPr>
      <w:r>
        <w:rPr>
          <w:sz w:val="20"/>
          <w:szCs w:val="20"/>
        </w:rPr>
        <w:separator/>
      </w:r>
    </w:p>
  </w:footnote>
  <w:footnote w:type="continuationSeparator" w:id="0">
    <w:p w14:paraId="6EF49FB9" w14:textId="77777777" w:rsidR="00F535E0" w:rsidRDefault="00F535E0">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D8B"/>
    <w:rsid w:val="00255E38"/>
    <w:rsid w:val="002624B6"/>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31BF"/>
    <w:rsid w:val="00396AE4"/>
    <w:rsid w:val="00397008"/>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35FA"/>
    <w:rsid w:val="004D412D"/>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B60"/>
    <w:rsid w:val="00897C02"/>
    <w:rsid w:val="00897D6A"/>
    <w:rsid w:val="008A0E9A"/>
    <w:rsid w:val="008A2E24"/>
    <w:rsid w:val="008A4221"/>
    <w:rsid w:val="008B461D"/>
    <w:rsid w:val="008B68FE"/>
    <w:rsid w:val="008C072D"/>
    <w:rsid w:val="008C335E"/>
    <w:rsid w:val="008C3E20"/>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0DAA"/>
    <w:rsid w:val="00BC3FE5"/>
    <w:rsid w:val="00BC558F"/>
    <w:rsid w:val="00BC58B3"/>
    <w:rsid w:val="00BC7344"/>
    <w:rsid w:val="00BC7A6B"/>
    <w:rsid w:val="00BD144A"/>
    <w:rsid w:val="00BD44D3"/>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F3A"/>
    <w:rsid w:val="00C16472"/>
    <w:rsid w:val="00C17974"/>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561D"/>
    <w:rsid w:val="00E579E7"/>
    <w:rsid w:val="00E71512"/>
    <w:rsid w:val="00E7161D"/>
    <w:rsid w:val="00E744FF"/>
    <w:rsid w:val="00E7480E"/>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5E0"/>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3.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E41238-D99B-44B7-A52C-E1187AC4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Krahel, Christy</cp:lastModifiedBy>
  <cp:revision>2</cp:revision>
  <cp:lastPrinted>2019-09-26T14:44:00Z</cp:lastPrinted>
  <dcterms:created xsi:type="dcterms:W3CDTF">2019-10-16T18:06:00Z</dcterms:created>
  <dcterms:modified xsi:type="dcterms:W3CDTF">2019-10-16T18:06:00Z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