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6C8D" w14:textId="77777777" w:rsidR="009078DF" w:rsidRDefault="009078DF" w:rsidP="00725885">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14:paraId="655C114C" w14:textId="77777777" w:rsidR="009078DF" w:rsidRDefault="009078DF" w:rsidP="00725885">
      <w:pPr>
        <w:tabs>
          <w:tab w:val="center" w:pos="4680"/>
        </w:tabs>
        <w:suppressAutoHyphens/>
        <w:spacing w:line="240" w:lineRule="auto"/>
        <w:ind w:firstLine="0"/>
        <w:jc w:val="center"/>
        <w:rPr>
          <w:sz w:val="26"/>
          <w:szCs w:val="26"/>
        </w:rPr>
      </w:pPr>
      <w:r>
        <w:rPr>
          <w:b/>
          <w:sz w:val="26"/>
          <w:szCs w:val="26"/>
        </w:rPr>
        <w:t>PUBLIC UTILITY COMMISSION</w:t>
      </w:r>
    </w:p>
    <w:p w14:paraId="181073AB" w14:textId="77777777" w:rsidR="009078DF" w:rsidRDefault="009078DF" w:rsidP="00725885">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14:paraId="4A321F8B" w14:textId="77777777" w:rsidR="00AC4D78" w:rsidRDefault="00AC4D78" w:rsidP="00725885">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E438E3" w:rsidRPr="00E438E3" w14:paraId="5EE89A5D" w14:textId="77777777" w:rsidTr="00AD4AE9">
        <w:tc>
          <w:tcPr>
            <w:tcW w:w="5058" w:type="dxa"/>
          </w:tcPr>
          <w:p w14:paraId="7FF0E8B7" w14:textId="77777777" w:rsidR="00E438E3" w:rsidRPr="00E438E3" w:rsidRDefault="00E438E3" w:rsidP="00725885">
            <w:pPr>
              <w:spacing w:line="240" w:lineRule="auto"/>
              <w:ind w:firstLine="0"/>
              <w:rPr>
                <w:sz w:val="26"/>
                <w:szCs w:val="26"/>
              </w:rPr>
            </w:pPr>
          </w:p>
        </w:tc>
        <w:tc>
          <w:tcPr>
            <w:tcW w:w="4428" w:type="dxa"/>
          </w:tcPr>
          <w:p w14:paraId="581CB0C9" w14:textId="77777777" w:rsidR="00E438E3" w:rsidRPr="00E438E3" w:rsidRDefault="00E438E3" w:rsidP="00725885">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Public Meeting held </w:t>
            </w:r>
            <w:r w:rsidR="00113D23">
              <w:rPr>
                <w:rFonts w:ascii="Times New Roman" w:hAnsi="Times New Roman"/>
                <w:sz w:val="26"/>
                <w:szCs w:val="26"/>
              </w:rPr>
              <w:t>October</w:t>
            </w:r>
            <w:r w:rsidR="00174099">
              <w:rPr>
                <w:rFonts w:ascii="Times New Roman" w:hAnsi="Times New Roman"/>
                <w:sz w:val="26"/>
                <w:szCs w:val="26"/>
              </w:rPr>
              <w:t xml:space="preserve"> </w:t>
            </w:r>
            <w:r w:rsidR="00CE261C">
              <w:rPr>
                <w:rFonts w:ascii="Times New Roman" w:hAnsi="Times New Roman"/>
                <w:sz w:val="26"/>
                <w:szCs w:val="26"/>
              </w:rPr>
              <w:t>2</w:t>
            </w:r>
            <w:r w:rsidR="00113D23">
              <w:rPr>
                <w:rFonts w:ascii="Times New Roman" w:hAnsi="Times New Roman"/>
                <w:sz w:val="26"/>
                <w:szCs w:val="26"/>
              </w:rPr>
              <w:t>4</w:t>
            </w:r>
            <w:r w:rsidR="0073505C">
              <w:rPr>
                <w:rFonts w:ascii="Times New Roman" w:hAnsi="Times New Roman"/>
                <w:sz w:val="26"/>
                <w:szCs w:val="26"/>
              </w:rPr>
              <w:t>, 201</w:t>
            </w:r>
            <w:r w:rsidR="00113D23">
              <w:rPr>
                <w:rFonts w:ascii="Times New Roman" w:hAnsi="Times New Roman"/>
                <w:sz w:val="26"/>
                <w:szCs w:val="26"/>
              </w:rPr>
              <w:t>9</w:t>
            </w:r>
          </w:p>
          <w:p w14:paraId="5FB6F60B" w14:textId="77777777" w:rsidR="00E438E3" w:rsidRPr="00E438E3" w:rsidRDefault="00E438E3" w:rsidP="00725885">
            <w:pPr>
              <w:spacing w:line="240" w:lineRule="auto"/>
              <w:ind w:firstLine="0"/>
              <w:jc w:val="right"/>
              <w:rPr>
                <w:rFonts w:ascii="Times New Roman" w:hAnsi="Times New Roman"/>
                <w:sz w:val="26"/>
                <w:szCs w:val="26"/>
              </w:rPr>
            </w:pPr>
          </w:p>
          <w:p w14:paraId="0909FAD6" w14:textId="77777777" w:rsidR="00E438E3" w:rsidRPr="00E438E3" w:rsidRDefault="00E438E3" w:rsidP="00725885">
            <w:pPr>
              <w:spacing w:line="240" w:lineRule="auto"/>
              <w:ind w:firstLine="0"/>
              <w:jc w:val="right"/>
              <w:rPr>
                <w:rFonts w:ascii="Times New Roman" w:hAnsi="Times New Roman"/>
                <w:sz w:val="26"/>
                <w:szCs w:val="26"/>
              </w:rPr>
            </w:pPr>
          </w:p>
        </w:tc>
      </w:tr>
      <w:tr w:rsidR="00E438E3" w:rsidRPr="00E438E3" w14:paraId="7A70BA0D" w14:textId="77777777" w:rsidTr="00AD4AE9">
        <w:tc>
          <w:tcPr>
            <w:tcW w:w="5058" w:type="dxa"/>
          </w:tcPr>
          <w:p w14:paraId="1C76CB96" w14:textId="77777777" w:rsidR="00E438E3" w:rsidRPr="00E438E3" w:rsidRDefault="00E438E3" w:rsidP="00725885">
            <w:pPr>
              <w:spacing w:line="240" w:lineRule="auto"/>
              <w:ind w:firstLine="0"/>
              <w:rPr>
                <w:rFonts w:ascii="Times New Roman" w:hAnsi="Times New Roman"/>
                <w:sz w:val="26"/>
                <w:szCs w:val="26"/>
              </w:rPr>
            </w:pPr>
            <w:r w:rsidRPr="00E438E3">
              <w:rPr>
                <w:rFonts w:ascii="Times New Roman" w:hAnsi="Times New Roman"/>
                <w:sz w:val="26"/>
                <w:szCs w:val="26"/>
              </w:rPr>
              <w:t>Commissioners Present:</w:t>
            </w:r>
          </w:p>
          <w:p w14:paraId="146CFF41" w14:textId="77777777" w:rsidR="00E438E3" w:rsidRPr="00E438E3" w:rsidRDefault="00E438E3" w:rsidP="00725885">
            <w:pPr>
              <w:spacing w:line="240" w:lineRule="auto"/>
              <w:ind w:firstLine="0"/>
              <w:rPr>
                <w:rFonts w:ascii="Times New Roman" w:hAnsi="Times New Roman"/>
                <w:sz w:val="26"/>
                <w:szCs w:val="26"/>
              </w:rPr>
            </w:pPr>
          </w:p>
          <w:p w14:paraId="34891836" w14:textId="77777777" w:rsidR="00BF126F" w:rsidRDefault="00BF126F" w:rsidP="00BF126F">
            <w:pPr>
              <w:tabs>
                <w:tab w:val="left" w:pos="705"/>
              </w:tabs>
              <w:spacing w:line="240" w:lineRule="auto"/>
              <w:ind w:firstLine="720"/>
              <w:contextualSpacing/>
              <w:rPr>
                <w:rFonts w:ascii="Times New Roman" w:hAnsi="Times New Roman" w:cs="Times New Roman"/>
                <w:sz w:val="26"/>
                <w:szCs w:val="26"/>
              </w:rPr>
            </w:pPr>
          </w:p>
          <w:p w14:paraId="0A72A0EB" w14:textId="77777777" w:rsidR="00BF126F" w:rsidRPr="00BF126F" w:rsidRDefault="00BF126F" w:rsidP="00BF126F">
            <w:pPr>
              <w:tabs>
                <w:tab w:val="left" w:pos="705"/>
              </w:tabs>
              <w:spacing w:line="240" w:lineRule="auto"/>
              <w:ind w:firstLine="720"/>
              <w:contextualSpacing/>
              <w:rPr>
                <w:rFonts w:ascii="Times New Roman" w:hAnsi="Times New Roman" w:cs="Times New Roman"/>
                <w:sz w:val="26"/>
                <w:szCs w:val="26"/>
              </w:rPr>
            </w:pPr>
            <w:r w:rsidRPr="00BF126F">
              <w:rPr>
                <w:rFonts w:ascii="Times New Roman" w:hAnsi="Times New Roman" w:cs="Times New Roman"/>
                <w:sz w:val="26"/>
                <w:szCs w:val="26"/>
              </w:rPr>
              <w:t>Gladys Brown Dutrieuille, Chairman</w:t>
            </w:r>
          </w:p>
          <w:p w14:paraId="6A940DEB" w14:textId="77777777" w:rsidR="00BF126F" w:rsidRPr="00BF126F" w:rsidRDefault="00BF126F" w:rsidP="00BF126F">
            <w:pPr>
              <w:tabs>
                <w:tab w:val="left" w:pos="705"/>
              </w:tabs>
              <w:spacing w:line="240" w:lineRule="auto"/>
              <w:ind w:firstLine="720"/>
              <w:contextualSpacing/>
              <w:rPr>
                <w:rFonts w:ascii="Times New Roman" w:hAnsi="Times New Roman" w:cs="Times New Roman"/>
                <w:sz w:val="26"/>
                <w:szCs w:val="26"/>
              </w:rPr>
            </w:pPr>
            <w:r w:rsidRPr="00BF126F">
              <w:rPr>
                <w:rFonts w:ascii="Times New Roman" w:hAnsi="Times New Roman" w:cs="Times New Roman"/>
                <w:sz w:val="26"/>
                <w:szCs w:val="26"/>
              </w:rPr>
              <w:t>David W. Sweet, Vice Chairman</w:t>
            </w:r>
          </w:p>
          <w:p w14:paraId="4CE6D333" w14:textId="77777777" w:rsidR="00BF126F" w:rsidRPr="00BF126F" w:rsidRDefault="00BF126F" w:rsidP="00BF126F">
            <w:pPr>
              <w:tabs>
                <w:tab w:val="left" w:pos="705"/>
              </w:tabs>
              <w:spacing w:line="240" w:lineRule="auto"/>
              <w:ind w:firstLine="720"/>
              <w:contextualSpacing/>
              <w:rPr>
                <w:rFonts w:ascii="Times New Roman" w:hAnsi="Times New Roman" w:cs="Times New Roman"/>
                <w:sz w:val="26"/>
                <w:szCs w:val="26"/>
              </w:rPr>
            </w:pPr>
            <w:r w:rsidRPr="00BF126F">
              <w:rPr>
                <w:rFonts w:ascii="Times New Roman" w:hAnsi="Times New Roman" w:cs="Times New Roman"/>
                <w:sz w:val="26"/>
                <w:szCs w:val="26"/>
              </w:rPr>
              <w:t>Andrew G. Place</w:t>
            </w:r>
          </w:p>
          <w:p w14:paraId="4E413BC5" w14:textId="77777777" w:rsidR="00BF126F" w:rsidRPr="00BF126F" w:rsidRDefault="00BF126F" w:rsidP="00BF126F">
            <w:pPr>
              <w:tabs>
                <w:tab w:val="left" w:pos="705"/>
              </w:tabs>
              <w:spacing w:line="240" w:lineRule="auto"/>
              <w:ind w:firstLine="720"/>
              <w:contextualSpacing/>
              <w:rPr>
                <w:rFonts w:ascii="Times New Roman" w:hAnsi="Times New Roman" w:cs="Times New Roman"/>
                <w:sz w:val="26"/>
                <w:szCs w:val="26"/>
              </w:rPr>
            </w:pPr>
            <w:r w:rsidRPr="00BF126F">
              <w:rPr>
                <w:rFonts w:ascii="Times New Roman" w:hAnsi="Times New Roman" w:cs="Times New Roman"/>
                <w:sz w:val="26"/>
                <w:szCs w:val="26"/>
              </w:rPr>
              <w:t>John F. Coleman, Jr.</w:t>
            </w:r>
          </w:p>
          <w:p w14:paraId="379ED227" w14:textId="77777777" w:rsidR="00BF126F" w:rsidRPr="00BF126F" w:rsidRDefault="00BF126F" w:rsidP="00725885">
            <w:pPr>
              <w:tabs>
                <w:tab w:val="left" w:pos="705"/>
              </w:tabs>
              <w:spacing w:line="240" w:lineRule="auto"/>
              <w:ind w:left="720" w:firstLine="0"/>
              <w:contextualSpacing/>
              <w:rPr>
                <w:rFonts w:ascii="Times New Roman" w:hAnsi="Times New Roman" w:cs="Times New Roman"/>
                <w:sz w:val="26"/>
                <w:szCs w:val="26"/>
              </w:rPr>
            </w:pPr>
          </w:p>
          <w:p w14:paraId="62F0F6FC" w14:textId="77777777" w:rsidR="00E438E3" w:rsidRPr="00E438E3" w:rsidRDefault="00E438E3" w:rsidP="00725885">
            <w:pPr>
              <w:spacing w:line="240" w:lineRule="auto"/>
              <w:ind w:firstLine="0"/>
              <w:rPr>
                <w:rFonts w:ascii="Times New Roman" w:hAnsi="Times New Roman"/>
                <w:sz w:val="26"/>
                <w:szCs w:val="26"/>
              </w:rPr>
            </w:pPr>
          </w:p>
        </w:tc>
        <w:tc>
          <w:tcPr>
            <w:tcW w:w="4428" w:type="dxa"/>
          </w:tcPr>
          <w:p w14:paraId="51401310" w14:textId="77777777" w:rsidR="00E438E3" w:rsidRPr="00E438E3" w:rsidRDefault="00E438E3" w:rsidP="00725885">
            <w:pPr>
              <w:spacing w:line="240" w:lineRule="auto"/>
              <w:ind w:firstLine="0"/>
              <w:jc w:val="right"/>
              <w:rPr>
                <w:rFonts w:ascii="Times New Roman" w:hAnsi="Times New Roman"/>
                <w:sz w:val="26"/>
                <w:szCs w:val="26"/>
              </w:rPr>
            </w:pPr>
          </w:p>
          <w:p w14:paraId="22282DC6" w14:textId="77777777" w:rsidR="00E438E3" w:rsidRPr="00E438E3" w:rsidRDefault="00E438E3" w:rsidP="00725885">
            <w:pPr>
              <w:spacing w:line="240" w:lineRule="auto"/>
              <w:ind w:firstLine="0"/>
              <w:jc w:val="right"/>
              <w:rPr>
                <w:rFonts w:ascii="Times New Roman" w:hAnsi="Times New Roman"/>
                <w:sz w:val="26"/>
                <w:szCs w:val="26"/>
              </w:rPr>
            </w:pPr>
          </w:p>
        </w:tc>
      </w:tr>
      <w:tr w:rsidR="00E438E3" w:rsidRPr="00E438E3" w14:paraId="553AC2B0" w14:textId="77777777" w:rsidTr="00AD4AE9">
        <w:tc>
          <w:tcPr>
            <w:tcW w:w="5058" w:type="dxa"/>
          </w:tcPr>
          <w:p w14:paraId="519E7C9B" w14:textId="77777777" w:rsidR="0073505C" w:rsidRDefault="0073505C" w:rsidP="00725885">
            <w:pPr>
              <w:spacing w:line="240" w:lineRule="auto"/>
              <w:ind w:firstLine="0"/>
              <w:rPr>
                <w:rFonts w:ascii="Times New Roman" w:hAnsi="Times New Roman"/>
                <w:sz w:val="26"/>
                <w:szCs w:val="26"/>
              </w:rPr>
            </w:pPr>
            <w:r>
              <w:rPr>
                <w:rFonts w:ascii="Times New Roman" w:hAnsi="Times New Roman"/>
                <w:sz w:val="26"/>
                <w:szCs w:val="26"/>
              </w:rPr>
              <w:t>Centre Park Historic District, Inc.</w:t>
            </w:r>
          </w:p>
          <w:p w14:paraId="481F3820" w14:textId="77777777" w:rsidR="0073505C" w:rsidRDefault="0073505C" w:rsidP="00725885">
            <w:pPr>
              <w:spacing w:line="240" w:lineRule="auto"/>
              <w:ind w:firstLine="0"/>
              <w:rPr>
                <w:rFonts w:ascii="Times New Roman" w:hAnsi="Times New Roman"/>
                <w:sz w:val="26"/>
                <w:szCs w:val="26"/>
              </w:rPr>
            </w:pPr>
          </w:p>
          <w:p w14:paraId="70B8FA17" w14:textId="77777777" w:rsidR="0073505C" w:rsidRDefault="0073505C" w:rsidP="00725885">
            <w:pPr>
              <w:spacing w:line="240" w:lineRule="auto"/>
              <w:ind w:left="720" w:firstLine="0"/>
              <w:rPr>
                <w:rFonts w:ascii="Times New Roman" w:hAnsi="Times New Roman"/>
                <w:sz w:val="26"/>
                <w:szCs w:val="26"/>
              </w:rPr>
            </w:pPr>
            <w:r>
              <w:rPr>
                <w:rFonts w:ascii="Times New Roman" w:hAnsi="Times New Roman"/>
                <w:sz w:val="26"/>
                <w:szCs w:val="26"/>
              </w:rPr>
              <w:t>v.</w:t>
            </w:r>
          </w:p>
          <w:p w14:paraId="035F35BA" w14:textId="77777777" w:rsidR="0073505C" w:rsidRDefault="0073505C" w:rsidP="00725885">
            <w:pPr>
              <w:spacing w:line="240" w:lineRule="auto"/>
              <w:ind w:firstLine="0"/>
              <w:rPr>
                <w:rFonts w:ascii="Times New Roman" w:hAnsi="Times New Roman"/>
                <w:sz w:val="26"/>
                <w:szCs w:val="26"/>
              </w:rPr>
            </w:pPr>
          </w:p>
          <w:p w14:paraId="769CCD4D" w14:textId="77777777" w:rsidR="0073505C" w:rsidRDefault="0073505C" w:rsidP="00725885">
            <w:pPr>
              <w:spacing w:line="240" w:lineRule="auto"/>
              <w:ind w:firstLine="0"/>
              <w:rPr>
                <w:rFonts w:ascii="Times New Roman" w:hAnsi="Times New Roman"/>
                <w:sz w:val="26"/>
                <w:szCs w:val="26"/>
              </w:rPr>
            </w:pPr>
            <w:r>
              <w:rPr>
                <w:rFonts w:ascii="Times New Roman" w:hAnsi="Times New Roman"/>
                <w:sz w:val="26"/>
                <w:szCs w:val="26"/>
              </w:rPr>
              <w:t>UGI Utilities, Inc.</w:t>
            </w:r>
          </w:p>
          <w:p w14:paraId="787CEDAB" w14:textId="77777777" w:rsidR="0073505C" w:rsidRDefault="0073505C" w:rsidP="00725885">
            <w:pPr>
              <w:spacing w:line="240" w:lineRule="auto"/>
              <w:ind w:firstLine="0"/>
              <w:rPr>
                <w:rFonts w:ascii="Times New Roman" w:hAnsi="Times New Roman"/>
                <w:sz w:val="26"/>
                <w:szCs w:val="26"/>
              </w:rPr>
            </w:pPr>
          </w:p>
          <w:p w14:paraId="6BB6AC22" w14:textId="77777777" w:rsidR="00E438E3" w:rsidRDefault="0073505C" w:rsidP="00725885">
            <w:pPr>
              <w:spacing w:line="240" w:lineRule="auto"/>
              <w:ind w:firstLine="0"/>
              <w:rPr>
                <w:rFonts w:ascii="Times New Roman" w:hAnsi="Times New Roman"/>
                <w:sz w:val="26"/>
                <w:szCs w:val="26"/>
              </w:rPr>
            </w:pPr>
            <w:r>
              <w:rPr>
                <w:rFonts w:ascii="Times New Roman" w:hAnsi="Times New Roman"/>
                <w:sz w:val="26"/>
                <w:szCs w:val="26"/>
              </w:rPr>
              <w:t xml:space="preserve">City of Reading </w:t>
            </w:r>
          </w:p>
          <w:p w14:paraId="59F68DA9" w14:textId="77777777" w:rsidR="0073505C" w:rsidRDefault="0073505C" w:rsidP="00725885">
            <w:pPr>
              <w:spacing w:line="240" w:lineRule="auto"/>
              <w:ind w:firstLine="0"/>
              <w:rPr>
                <w:rFonts w:ascii="Times New Roman" w:hAnsi="Times New Roman"/>
                <w:sz w:val="26"/>
                <w:szCs w:val="26"/>
              </w:rPr>
            </w:pPr>
          </w:p>
          <w:p w14:paraId="62A5693B" w14:textId="77777777" w:rsidR="0073505C" w:rsidRDefault="0073505C" w:rsidP="00725885">
            <w:pPr>
              <w:spacing w:line="240" w:lineRule="auto"/>
              <w:ind w:left="720" w:firstLine="0"/>
              <w:rPr>
                <w:rFonts w:ascii="Times New Roman" w:hAnsi="Times New Roman"/>
                <w:sz w:val="26"/>
                <w:szCs w:val="26"/>
              </w:rPr>
            </w:pPr>
            <w:r>
              <w:rPr>
                <w:rFonts w:ascii="Times New Roman" w:hAnsi="Times New Roman"/>
                <w:sz w:val="26"/>
                <w:szCs w:val="26"/>
              </w:rPr>
              <w:t>v.</w:t>
            </w:r>
          </w:p>
          <w:p w14:paraId="7EC2D84B" w14:textId="77777777" w:rsidR="0073505C" w:rsidRDefault="0073505C" w:rsidP="00725885">
            <w:pPr>
              <w:spacing w:line="240" w:lineRule="auto"/>
              <w:ind w:left="720" w:firstLine="0"/>
              <w:rPr>
                <w:rFonts w:ascii="Times New Roman" w:hAnsi="Times New Roman"/>
                <w:sz w:val="26"/>
                <w:szCs w:val="26"/>
              </w:rPr>
            </w:pPr>
          </w:p>
          <w:p w14:paraId="13F0A99D" w14:textId="77777777" w:rsidR="0073505C" w:rsidRPr="00E438E3" w:rsidRDefault="0073505C" w:rsidP="00725885">
            <w:pPr>
              <w:spacing w:line="240" w:lineRule="auto"/>
              <w:ind w:firstLine="0"/>
              <w:rPr>
                <w:rFonts w:ascii="Times New Roman" w:hAnsi="Times New Roman"/>
                <w:sz w:val="26"/>
                <w:szCs w:val="26"/>
              </w:rPr>
            </w:pPr>
            <w:r>
              <w:rPr>
                <w:rFonts w:ascii="Times New Roman" w:hAnsi="Times New Roman"/>
                <w:sz w:val="26"/>
                <w:szCs w:val="26"/>
              </w:rPr>
              <w:t>UGI Utilities, Inc.</w:t>
            </w:r>
          </w:p>
        </w:tc>
        <w:tc>
          <w:tcPr>
            <w:tcW w:w="4428" w:type="dxa"/>
          </w:tcPr>
          <w:p w14:paraId="12A7A2F6" w14:textId="77777777" w:rsidR="00E438E3" w:rsidRDefault="00362C8C" w:rsidP="00725885">
            <w:pPr>
              <w:spacing w:line="240" w:lineRule="auto"/>
              <w:ind w:firstLine="0"/>
              <w:jc w:val="right"/>
              <w:rPr>
                <w:rFonts w:ascii="Times New Roman" w:hAnsi="Times New Roman"/>
                <w:sz w:val="26"/>
                <w:szCs w:val="26"/>
              </w:rPr>
            </w:pPr>
            <w:r>
              <w:rPr>
                <w:rFonts w:ascii="Times New Roman" w:hAnsi="Times New Roman"/>
                <w:sz w:val="26"/>
                <w:szCs w:val="26"/>
              </w:rPr>
              <w:t xml:space="preserve">  </w:t>
            </w:r>
            <w:r w:rsidR="0073505C">
              <w:rPr>
                <w:rFonts w:ascii="Times New Roman" w:hAnsi="Times New Roman"/>
                <w:sz w:val="26"/>
                <w:szCs w:val="26"/>
              </w:rPr>
              <w:t>C-2015-2516051</w:t>
            </w:r>
          </w:p>
          <w:p w14:paraId="44237050" w14:textId="77777777" w:rsidR="0073505C" w:rsidRDefault="0073505C" w:rsidP="00725885">
            <w:pPr>
              <w:spacing w:line="240" w:lineRule="auto"/>
              <w:ind w:firstLine="0"/>
              <w:jc w:val="right"/>
              <w:rPr>
                <w:rFonts w:ascii="Times New Roman" w:hAnsi="Times New Roman"/>
                <w:sz w:val="26"/>
                <w:szCs w:val="26"/>
              </w:rPr>
            </w:pPr>
          </w:p>
          <w:p w14:paraId="1E9888B4" w14:textId="77777777" w:rsidR="0073505C" w:rsidRDefault="0073505C" w:rsidP="00725885">
            <w:pPr>
              <w:spacing w:line="240" w:lineRule="auto"/>
              <w:ind w:firstLine="0"/>
              <w:jc w:val="right"/>
              <w:rPr>
                <w:rFonts w:ascii="Times New Roman" w:hAnsi="Times New Roman"/>
                <w:sz w:val="26"/>
                <w:szCs w:val="26"/>
              </w:rPr>
            </w:pPr>
          </w:p>
          <w:p w14:paraId="5CC11A7C" w14:textId="77777777" w:rsidR="0073505C" w:rsidRDefault="0073505C" w:rsidP="00725885">
            <w:pPr>
              <w:spacing w:line="240" w:lineRule="auto"/>
              <w:ind w:firstLine="0"/>
              <w:jc w:val="right"/>
              <w:rPr>
                <w:rFonts w:ascii="Times New Roman" w:hAnsi="Times New Roman"/>
                <w:sz w:val="26"/>
                <w:szCs w:val="26"/>
              </w:rPr>
            </w:pPr>
          </w:p>
          <w:p w14:paraId="7721F09E" w14:textId="77777777" w:rsidR="0073505C" w:rsidRDefault="0073505C" w:rsidP="00725885">
            <w:pPr>
              <w:spacing w:line="240" w:lineRule="auto"/>
              <w:ind w:firstLine="0"/>
              <w:jc w:val="right"/>
              <w:rPr>
                <w:rFonts w:ascii="Times New Roman" w:hAnsi="Times New Roman"/>
                <w:sz w:val="26"/>
                <w:szCs w:val="26"/>
              </w:rPr>
            </w:pPr>
          </w:p>
          <w:p w14:paraId="6C18DAFA" w14:textId="77777777" w:rsidR="0073505C" w:rsidRDefault="0073505C" w:rsidP="00725885">
            <w:pPr>
              <w:spacing w:line="240" w:lineRule="auto"/>
              <w:ind w:firstLine="0"/>
              <w:jc w:val="right"/>
              <w:rPr>
                <w:rFonts w:ascii="Times New Roman" w:hAnsi="Times New Roman"/>
                <w:sz w:val="26"/>
                <w:szCs w:val="26"/>
              </w:rPr>
            </w:pPr>
          </w:p>
          <w:p w14:paraId="10959326" w14:textId="77777777" w:rsidR="0073505C" w:rsidRPr="00E438E3" w:rsidRDefault="0073505C" w:rsidP="00725885">
            <w:pPr>
              <w:spacing w:line="240" w:lineRule="auto"/>
              <w:ind w:firstLine="0"/>
              <w:jc w:val="right"/>
              <w:rPr>
                <w:rFonts w:ascii="Times New Roman" w:hAnsi="Times New Roman"/>
                <w:sz w:val="26"/>
                <w:szCs w:val="26"/>
              </w:rPr>
            </w:pPr>
            <w:r>
              <w:rPr>
                <w:rFonts w:ascii="Times New Roman" w:hAnsi="Times New Roman"/>
                <w:sz w:val="26"/>
                <w:szCs w:val="26"/>
              </w:rPr>
              <w:t>C-2016-2530475</w:t>
            </w:r>
          </w:p>
        </w:tc>
      </w:tr>
      <w:tr w:rsidR="00E438E3" w:rsidRPr="00E438E3" w14:paraId="091B5F0E" w14:textId="77777777" w:rsidTr="00AD4AE9">
        <w:tc>
          <w:tcPr>
            <w:tcW w:w="5058" w:type="dxa"/>
          </w:tcPr>
          <w:p w14:paraId="4A4BC862" w14:textId="77777777" w:rsidR="00E438E3" w:rsidRPr="00E438E3" w:rsidRDefault="00E438E3" w:rsidP="00725885">
            <w:pPr>
              <w:spacing w:line="240" w:lineRule="auto"/>
              <w:rPr>
                <w:rFonts w:ascii="Times New Roman" w:hAnsi="Times New Roman"/>
                <w:sz w:val="26"/>
                <w:szCs w:val="26"/>
              </w:rPr>
            </w:pPr>
          </w:p>
        </w:tc>
        <w:tc>
          <w:tcPr>
            <w:tcW w:w="4428" w:type="dxa"/>
          </w:tcPr>
          <w:p w14:paraId="58532766" w14:textId="77777777" w:rsidR="00E438E3" w:rsidRPr="00E438E3" w:rsidRDefault="00E438E3" w:rsidP="00725885">
            <w:pPr>
              <w:spacing w:line="240" w:lineRule="auto"/>
              <w:ind w:firstLine="0"/>
              <w:rPr>
                <w:rFonts w:ascii="Times New Roman" w:hAnsi="Times New Roman"/>
                <w:sz w:val="26"/>
                <w:szCs w:val="26"/>
              </w:rPr>
            </w:pPr>
          </w:p>
        </w:tc>
      </w:tr>
      <w:tr w:rsidR="00E438E3" w:rsidRPr="00E438E3" w14:paraId="3B9367A8" w14:textId="77777777" w:rsidTr="00AD4AE9">
        <w:tc>
          <w:tcPr>
            <w:tcW w:w="5058" w:type="dxa"/>
          </w:tcPr>
          <w:p w14:paraId="7A1A5E3F" w14:textId="77777777" w:rsidR="00E438E3" w:rsidRPr="00E438E3" w:rsidRDefault="00E438E3" w:rsidP="00725885">
            <w:pPr>
              <w:spacing w:line="240" w:lineRule="auto"/>
              <w:ind w:firstLine="0"/>
              <w:rPr>
                <w:rFonts w:ascii="Times New Roman" w:hAnsi="Times New Roman"/>
                <w:sz w:val="26"/>
                <w:szCs w:val="26"/>
              </w:rPr>
            </w:pPr>
          </w:p>
        </w:tc>
        <w:tc>
          <w:tcPr>
            <w:tcW w:w="4428" w:type="dxa"/>
          </w:tcPr>
          <w:p w14:paraId="609E7FA3" w14:textId="77777777" w:rsidR="00E438E3" w:rsidRPr="00E438E3" w:rsidRDefault="00E438E3" w:rsidP="00725885">
            <w:pPr>
              <w:spacing w:line="240" w:lineRule="auto"/>
              <w:ind w:firstLine="0"/>
              <w:rPr>
                <w:rFonts w:ascii="Times New Roman" w:hAnsi="Times New Roman"/>
                <w:sz w:val="26"/>
                <w:szCs w:val="26"/>
              </w:rPr>
            </w:pPr>
          </w:p>
        </w:tc>
      </w:tr>
    </w:tbl>
    <w:p w14:paraId="20FC70E6" w14:textId="77777777" w:rsidR="00E438E3" w:rsidRPr="00E438E3" w:rsidRDefault="00E438E3" w:rsidP="00725885">
      <w:pPr>
        <w:spacing w:line="240" w:lineRule="auto"/>
        <w:ind w:firstLine="0"/>
        <w:jc w:val="center"/>
        <w:rPr>
          <w:b/>
          <w:sz w:val="26"/>
          <w:szCs w:val="26"/>
        </w:rPr>
      </w:pPr>
      <w:r w:rsidRPr="00E438E3">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8C2EF9" w14:paraId="52E93762" w14:textId="77777777" w:rsidTr="00AD4AE9">
        <w:tc>
          <w:tcPr>
            <w:tcW w:w="5058" w:type="dxa"/>
          </w:tcPr>
          <w:p w14:paraId="0F83EB5E" w14:textId="77777777" w:rsidR="008C2EF9" w:rsidRPr="008C2EF9" w:rsidRDefault="008C2EF9" w:rsidP="00725885">
            <w:pPr>
              <w:spacing w:line="240" w:lineRule="auto"/>
              <w:ind w:firstLine="0"/>
              <w:rPr>
                <w:rFonts w:ascii="Times New Roman" w:hAnsi="Times New Roman"/>
                <w:sz w:val="26"/>
                <w:szCs w:val="26"/>
              </w:rPr>
            </w:pPr>
          </w:p>
        </w:tc>
      </w:tr>
      <w:tr w:rsidR="00AC4D78" w:rsidRPr="008C2EF9" w14:paraId="5D730EF5" w14:textId="77777777" w:rsidTr="00AD4AE9">
        <w:tc>
          <w:tcPr>
            <w:tcW w:w="5058" w:type="dxa"/>
          </w:tcPr>
          <w:p w14:paraId="57FE9A52" w14:textId="77777777" w:rsidR="00AC4D78" w:rsidRPr="008C2EF9" w:rsidRDefault="00AC4D78" w:rsidP="00725885">
            <w:pPr>
              <w:spacing w:line="240" w:lineRule="auto"/>
              <w:ind w:firstLine="0"/>
              <w:rPr>
                <w:sz w:val="26"/>
                <w:szCs w:val="26"/>
              </w:rPr>
            </w:pPr>
          </w:p>
        </w:tc>
      </w:tr>
    </w:tbl>
    <w:p w14:paraId="2211BEAC" w14:textId="77777777" w:rsidR="00A32B3D" w:rsidRDefault="00A32B3D" w:rsidP="00A32B3D">
      <w:pPr>
        <w:spacing w:line="240" w:lineRule="auto"/>
        <w:ind w:firstLine="0"/>
        <w:rPr>
          <w:b/>
          <w:sz w:val="26"/>
        </w:rPr>
        <w:sectPr w:rsidR="00A32B3D" w:rsidSect="00A32B3D">
          <w:footerReference w:type="even" r:id="rId8"/>
          <w:footerReference w:type="default" r:id="rId9"/>
          <w:footerReference w:type="first" r:id="rId10"/>
          <w:pgSz w:w="12240" w:h="15840"/>
          <w:pgMar w:top="1440" w:right="1440" w:bottom="1440" w:left="1440" w:header="720" w:footer="720" w:gutter="0"/>
          <w:cols w:space="720"/>
          <w:docGrid w:linePitch="360"/>
        </w:sectPr>
      </w:pPr>
    </w:p>
    <w:sdt>
      <w:sdtPr>
        <w:rPr>
          <w:rFonts w:eastAsia="Calibri"/>
          <w:sz w:val="26"/>
          <w:szCs w:val="26"/>
        </w:rPr>
        <w:id w:val="1714537157"/>
        <w:docPartObj>
          <w:docPartGallery w:val="Table of Contents"/>
          <w:docPartUnique/>
        </w:docPartObj>
      </w:sdtPr>
      <w:sdtEndPr>
        <w:rPr>
          <w:rFonts w:eastAsia="Times New Roman"/>
        </w:rPr>
      </w:sdtEndPr>
      <w:sdtContent>
        <w:p w14:paraId="1DCC9504" w14:textId="77777777" w:rsidR="006F5872" w:rsidRPr="006F5872" w:rsidRDefault="006F5872" w:rsidP="006F5872">
          <w:pPr>
            <w:spacing w:line="240" w:lineRule="auto"/>
            <w:ind w:firstLine="0"/>
            <w:jc w:val="center"/>
            <w:rPr>
              <w:rFonts w:eastAsia="Calibri"/>
              <w:sz w:val="26"/>
              <w:szCs w:val="26"/>
              <w:u w:val="single"/>
            </w:rPr>
          </w:pPr>
          <w:r w:rsidRPr="006F5872">
            <w:rPr>
              <w:rFonts w:eastAsia="Calibri"/>
              <w:sz w:val="26"/>
              <w:szCs w:val="26"/>
              <w:u w:val="single"/>
            </w:rPr>
            <w:t>Table of Contents</w:t>
          </w:r>
        </w:p>
        <w:p w14:paraId="4C7D8DB3" w14:textId="77777777" w:rsidR="006F5872" w:rsidRPr="006F5872" w:rsidRDefault="006F5872" w:rsidP="006F5872">
          <w:pPr>
            <w:spacing w:line="240" w:lineRule="auto"/>
            <w:ind w:firstLine="0"/>
            <w:jc w:val="center"/>
            <w:rPr>
              <w:rFonts w:eastAsia="Calibri"/>
              <w:sz w:val="26"/>
              <w:szCs w:val="26"/>
            </w:rPr>
          </w:pPr>
        </w:p>
        <w:p w14:paraId="07B1DE4D" w14:textId="6A473E12" w:rsidR="006F5872" w:rsidRPr="00A72B99" w:rsidRDefault="006F5872" w:rsidP="00A72B99">
          <w:pPr>
            <w:pStyle w:val="ListParagraph"/>
            <w:numPr>
              <w:ilvl w:val="0"/>
              <w:numId w:val="25"/>
            </w:numPr>
            <w:spacing w:after="100" w:line="259" w:lineRule="auto"/>
            <w:ind w:left="360" w:hanging="360"/>
            <w:rPr>
              <w:sz w:val="26"/>
              <w:szCs w:val="26"/>
            </w:rPr>
          </w:pPr>
          <w:r w:rsidRPr="00A72B99">
            <w:rPr>
              <w:sz w:val="26"/>
              <w:szCs w:val="26"/>
            </w:rPr>
            <w:t>History of the Proceeding</w:t>
          </w:r>
          <w:r w:rsidRPr="00C83DA7">
            <w:ptab w:relativeTo="margin" w:alignment="right" w:leader="dot"/>
          </w:r>
          <w:r w:rsidRPr="00A72B99">
            <w:rPr>
              <w:sz w:val="26"/>
              <w:szCs w:val="26"/>
            </w:rPr>
            <w:t>1</w:t>
          </w:r>
        </w:p>
        <w:p w14:paraId="4DA9F462" w14:textId="2126E6C8" w:rsidR="006F5872" w:rsidRPr="00C83DA7" w:rsidRDefault="006F5872" w:rsidP="00A72B99">
          <w:pPr>
            <w:spacing w:after="100" w:line="259" w:lineRule="auto"/>
            <w:ind w:left="360" w:hanging="360"/>
            <w:rPr>
              <w:sz w:val="26"/>
              <w:szCs w:val="26"/>
            </w:rPr>
          </w:pPr>
          <w:r w:rsidRPr="00C83DA7">
            <w:rPr>
              <w:sz w:val="26"/>
              <w:szCs w:val="26"/>
            </w:rPr>
            <w:t>II.  Discussion</w:t>
          </w:r>
          <w:r w:rsidRPr="00C83DA7">
            <w:rPr>
              <w:sz w:val="26"/>
              <w:szCs w:val="26"/>
            </w:rPr>
            <w:ptab w:relativeTo="margin" w:alignment="right" w:leader="dot"/>
          </w:r>
          <w:r w:rsidR="00F878B5" w:rsidRPr="00C83DA7">
            <w:rPr>
              <w:sz w:val="26"/>
              <w:szCs w:val="26"/>
            </w:rPr>
            <w:t>3</w:t>
          </w:r>
        </w:p>
        <w:p w14:paraId="0C11273A" w14:textId="77777777" w:rsidR="006F5872" w:rsidRPr="00C83DA7" w:rsidRDefault="006F5872" w:rsidP="00A72B99">
          <w:pPr>
            <w:spacing w:after="100" w:line="259" w:lineRule="auto"/>
            <w:ind w:left="720" w:hanging="360"/>
            <w:rPr>
              <w:sz w:val="26"/>
              <w:szCs w:val="26"/>
            </w:rPr>
          </w:pPr>
          <w:r w:rsidRPr="00C83DA7">
            <w:rPr>
              <w:sz w:val="26"/>
              <w:szCs w:val="26"/>
            </w:rPr>
            <w:t>A.   Legal Standards</w:t>
          </w:r>
          <w:r w:rsidRPr="00C83DA7">
            <w:rPr>
              <w:sz w:val="26"/>
              <w:szCs w:val="26"/>
            </w:rPr>
            <w:ptab w:relativeTo="margin" w:alignment="right" w:leader="dot"/>
          </w:r>
          <w:r w:rsidR="00F878B5" w:rsidRPr="00C83DA7">
            <w:rPr>
              <w:sz w:val="26"/>
              <w:szCs w:val="26"/>
            </w:rPr>
            <w:t>3</w:t>
          </w:r>
        </w:p>
        <w:p w14:paraId="091A8476" w14:textId="77777777" w:rsidR="006F5872" w:rsidRPr="00C83DA7" w:rsidRDefault="006F5872" w:rsidP="00A72B99">
          <w:pPr>
            <w:spacing w:after="100" w:line="259" w:lineRule="auto"/>
            <w:ind w:left="1080" w:hanging="360"/>
            <w:rPr>
              <w:sz w:val="26"/>
              <w:szCs w:val="26"/>
            </w:rPr>
          </w:pPr>
          <w:r w:rsidRPr="00C83DA7">
            <w:rPr>
              <w:sz w:val="26"/>
              <w:szCs w:val="26"/>
            </w:rPr>
            <w:t>1.   General Legal Standards</w:t>
          </w:r>
          <w:r w:rsidRPr="00C83DA7">
            <w:rPr>
              <w:sz w:val="26"/>
              <w:szCs w:val="26"/>
            </w:rPr>
            <w:ptab w:relativeTo="margin" w:alignment="right" w:leader="dot"/>
          </w:r>
          <w:r w:rsidR="00F878B5" w:rsidRPr="00C83DA7">
            <w:rPr>
              <w:sz w:val="26"/>
              <w:szCs w:val="26"/>
            </w:rPr>
            <w:t>3</w:t>
          </w:r>
        </w:p>
        <w:p w14:paraId="595852AC" w14:textId="77777777" w:rsidR="006F5872" w:rsidRPr="00C83DA7" w:rsidRDefault="006F5872" w:rsidP="00A72B99">
          <w:pPr>
            <w:spacing w:after="100" w:line="259" w:lineRule="auto"/>
            <w:ind w:left="1080" w:hanging="360"/>
            <w:rPr>
              <w:sz w:val="26"/>
              <w:szCs w:val="26"/>
            </w:rPr>
          </w:pPr>
          <w:r w:rsidRPr="00C83DA7">
            <w:rPr>
              <w:sz w:val="26"/>
              <w:szCs w:val="26"/>
            </w:rPr>
            <w:t>2.   The Commission’s Meter Location Requirements</w:t>
          </w:r>
          <w:r w:rsidRPr="00C83DA7">
            <w:rPr>
              <w:sz w:val="26"/>
              <w:szCs w:val="26"/>
            </w:rPr>
            <w:ptab w:relativeTo="margin" w:alignment="right" w:leader="dot"/>
          </w:r>
          <w:r w:rsidR="00F878B5" w:rsidRPr="00C83DA7">
            <w:rPr>
              <w:sz w:val="26"/>
              <w:szCs w:val="26"/>
            </w:rPr>
            <w:t>5</w:t>
          </w:r>
        </w:p>
        <w:p w14:paraId="2C6865FB" w14:textId="77777777" w:rsidR="006F5872" w:rsidRPr="00C83DA7" w:rsidRDefault="006F5872" w:rsidP="00A72B99">
          <w:pPr>
            <w:spacing w:after="100" w:line="259" w:lineRule="auto"/>
            <w:ind w:left="720" w:hanging="360"/>
            <w:rPr>
              <w:sz w:val="26"/>
              <w:szCs w:val="26"/>
            </w:rPr>
          </w:pPr>
          <w:r w:rsidRPr="00C83DA7">
            <w:rPr>
              <w:sz w:val="26"/>
              <w:szCs w:val="26"/>
            </w:rPr>
            <w:t>B.   The Placement of Meters in Historic Districts</w:t>
          </w:r>
          <w:r w:rsidRPr="00C83DA7">
            <w:rPr>
              <w:sz w:val="26"/>
              <w:szCs w:val="26"/>
            </w:rPr>
            <w:ptab w:relativeTo="margin" w:alignment="right" w:leader="dot"/>
          </w:r>
          <w:r w:rsidR="00F878B5" w:rsidRPr="00C83DA7">
            <w:rPr>
              <w:sz w:val="26"/>
              <w:szCs w:val="26"/>
            </w:rPr>
            <w:t>8</w:t>
          </w:r>
        </w:p>
        <w:p w14:paraId="3C1D0B53" w14:textId="77777777" w:rsidR="006F5872" w:rsidRPr="00C83DA7" w:rsidRDefault="006F5872" w:rsidP="00A72B99">
          <w:pPr>
            <w:spacing w:after="100" w:line="259" w:lineRule="auto"/>
            <w:ind w:left="1080" w:hanging="360"/>
            <w:rPr>
              <w:sz w:val="26"/>
              <w:szCs w:val="26"/>
            </w:rPr>
          </w:pPr>
          <w:r w:rsidRPr="00C83DA7">
            <w:rPr>
              <w:sz w:val="26"/>
              <w:szCs w:val="26"/>
            </w:rPr>
            <w:t>1.   Positions of the Parties</w:t>
          </w:r>
          <w:r w:rsidRPr="00C83DA7">
            <w:rPr>
              <w:sz w:val="26"/>
              <w:szCs w:val="26"/>
            </w:rPr>
            <w:ptab w:relativeTo="margin" w:alignment="right" w:leader="dot"/>
          </w:r>
          <w:r w:rsidR="00F878B5" w:rsidRPr="00C83DA7">
            <w:rPr>
              <w:sz w:val="26"/>
              <w:szCs w:val="26"/>
            </w:rPr>
            <w:t>8</w:t>
          </w:r>
        </w:p>
        <w:p w14:paraId="41485162" w14:textId="24A7D693" w:rsidR="006F5872" w:rsidRPr="00C83DA7" w:rsidRDefault="006F5872" w:rsidP="00A72B99">
          <w:pPr>
            <w:spacing w:after="100" w:line="259" w:lineRule="auto"/>
            <w:ind w:left="1080" w:hanging="360"/>
            <w:rPr>
              <w:sz w:val="26"/>
              <w:szCs w:val="26"/>
            </w:rPr>
          </w:pPr>
          <w:r w:rsidRPr="00C83DA7">
            <w:rPr>
              <w:sz w:val="26"/>
              <w:szCs w:val="26"/>
            </w:rPr>
            <w:t>2.   Initial Decision</w:t>
          </w:r>
          <w:r w:rsidRPr="00C83DA7">
            <w:rPr>
              <w:sz w:val="26"/>
              <w:szCs w:val="26"/>
            </w:rPr>
            <w:ptab w:relativeTo="margin" w:alignment="right" w:leader="dot"/>
          </w:r>
          <w:r w:rsidR="00A72B99">
            <w:rPr>
              <w:sz w:val="26"/>
              <w:szCs w:val="26"/>
            </w:rPr>
            <w:t>9</w:t>
          </w:r>
        </w:p>
        <w:p w14:paraId="0E66FB77" w14:textId="77777777" w:rsidR="006F5872" w:rsidRPr="00C83DA7" w:rsidRDefault="006F5872" w:rsidP="00A72B99">
          <w:pPr>
            <w:spacing w:after="100" w:line="259" w:lineRule="auto"/>
            <w:ind w:left="1080" w:hanging="360"/>
            <w:rPr>
              <w:sz w:val="26"/>
              <w:szCs w:val="26"/>
            </w:rPr>
          </w:pPr>
          <w:r w:rsidRPr="00C83DA7">
            <w:rPr>
              <w:sz w:val="26"/>
              <w:szCs w:val="26"/>
            </w:rPr>
            <w:t>3.   Exceptions and Replies</w:t>
          </w:r>
          <w:r w:rsidRPr="00C83DA7">
            <w:rPr>
              <w:sz w:val="26"/>
              <w:szCs w:val="26"/>
            </w:rPr>
            <w:ptab w:relativeTo="margin" w:alignment="right" w:leader="dot"/>
          </w:r>
          <w:r w:rsidRPr="00C83DA7">
            <w:rPr>
              <w:sz w:val="26"/>
              <w:szCs w:val="26"/>
            </w:rPr>
            <w:t>1</w:t>
          </w:r>
          <w:r w:rsidR="00F878B5" w:rsidRPr="00C83DA7">
            <w:rPr>
              <w:sz w:val="26"/>
              <w:szCs w:val="26"/>
            </w:rPr>
            <w:t>3</w:t>
          </w:r>
        </w:p>
        <w:p w14:paraId="1FC9B60F" w14:textId="6C982426" w:rsidR="006F5872" w:rsidRPr="00C83DA7" w:rsidRDefault="006F5872" w:rsidP="00A72B99">
          <w:pPr>
            <w:spacing w:after="100" w:line="259" w:lineRule="auto"/>
            <w:ind w:left="1440" w:hanging="360"/>
            <w:rPr>
              <w:sz w:val="26"/>
              <w:szCs w:val="26"/>
            </w:rPr>
          </w:pPr>
          <w:r w:rsidRPr="00C83DA7">
            <w:rPr>
              <w:sz w:val="26"/>
              <w:szCs w:val="26"/>
            </w:rPr>
            <w:t>a.   UGI’s Exception No. 1, the City’s Reply, and Disposition</w:t>
          </w:r>
          <w:r w:rsidRPr="00C83DA7">
            <w:rPr>
              <w:sz w:val="26"/>
              <w:szCs w:val="26"/>
            </w:rPr>
            <w:ptab w:relativeTo="margin" w:alignment="right" w:leader="dot"/>
          </w:r>
          <w:r w:rsidRPr="00C83DA7">
            <w:rPr>
              <w:sz w:val="26"/>
              <w:szCs w:val="26"/>
            </w:rPr>
            <w:t>1</w:t>
          </w:r>
          <w:r w:rsidR="00F878B5" w:rsidRPr="00C83DA7">
            <w:rPr>
              <w:sz w:val="26"/>
              <w:szCs w:val="26"/>
            </w:rPr>
            <w:t>3</w:t>
          </w:r>
        </w:p>
        <w:p w14:paraId="185A2F46" w14:textId="10BF8785" w:rsidR="006F5872" w:rsidRPr="00C83DA7" w:rsidRDefault="006F5872" w:rsidP="00A72B99">
          <w:pPr>
            <w:spacing w:after="100" w:line="259" w:lineRule="auto"/>
            <w:ind w:left="1800" w:hanging="360"/>
            <w:rPr>
              <w:sz w:val="26"/>
              <w:szCs w:val="26"/>
            </w:rPr>
          </w:pPr>
          <w:r w:rsidRPr="00C83DA7">
            <w:rPr>
              <w:sz w:val="26"/>
              <w:szCs w:val="26"/>
            </w:rPr>
            <w:t>1.   UGI’s Exception</w:t>
          </w:r>
          <w:r w:rsidRPr="00C83DA7">
            <w:rPr>
              <w:sz w:val="26"/>
              <w:szCs w:val="26"/>
            </w:rPr>
            <w:ptab w:relativeTo="margin" w:alignment="right" w:leader="dot"/>
          </w:r>
          <w:r w:rsidRPr="00C83DA7">
            <w:rPr>
              <w:sz w:val="26"/>
              <w:szCs w:val="26"/>
            </w:rPr>
            <w:t>1</w:t>
          </w:r>
          <w:r w:rsidR="00F878B5" w:rsidRPr="00C83DA7">
            <w:rPr>
              <w:sz w:val="26"/>
              <w:szCs w:val="26"/>
            </w:rPr>
            <w:t>3</w:t>
          </w:r>
        </w:p>
        <w:p w14:paraId="56D45164" w14:textId="182C77A0" w:rsidR="006F5872" w:rsidRPr="00C83DA7" w:rsidRDefault="006F5872" w:rsidP="00A72B99">
          <w:pPr>
            <w:spacing w:after="100" w:line="240" w:lineRule="auto"/>
            <w:ind w:left="1800" w:hanging="360"/>
            <w:rPr>
              <w:rFonts w:eastAsia="Calibri"/>
              <w:sz w:val="26"/>
              <w:szCs w:val="26"/>
            </w:rPr>
          </w:pPr>
          <w:r w:rsidRPr="00C83DA7">
            <w:rPr>
              <w:rFonts w:eastAsia="Calibri"/>
              <w:sz w:val="26"/>
              <w:szCs w:val="26"/>
            </w:rPr>
            <w:t>2.   The City’s Replies</w:t>
          </w:r>
          <w:r w:rsidRPr="00C83DA7">
            <w:rPr>
              <w:rFonts w:eastAsia="Calibri"/>
              <w:sz w:val="26"/>
              <w:szCs w:val="26"/>
            </w:rPr>
            <w:ptab w:relativeTo="margin" w:alignment="right" w:leader="dot"/>
          </w:r>
          <w:r w:rsidRPr="00C83DA7">
            <w:rPr>
              <w:rFonts w:eastAsia="Calibri"/>
              <w:sz w:val="26"/>
              <w:szCs w:val="26"/>
            </w:rPr>
            <w:t>17</w:t>
          </w:r>
        </w:p>
        <w:p w14:paraId="2A4355AD" w14:textId="7CA64155" w:rsidR="006F5872" w:rsidRPr="00C83DA7" w:rsidRDefault="006F5872" w:rsidP="00A72B99">
          <w:pPr>
            <w:spacing w:after="100" w:line="240" w:lineRule="auto"/>
            <w:ind w:left="1800" w:hanging="360"/>
            <w:rPr>
              <w:rFonts w:eastAsia="Calibri"/>
              <w:sz w:val="26"/>
              <w:szCs w:val="26"/>
            </w:rPr>
          </w:pPr>
          <w:r w:rsidRPr="00C83DA7">
            <w:rPr>
              <w:rFonts w:eastAsia="Calibri"/>
              <w:sz w:val="26"/>
              <w:szCs w:val="26"/>
            </w:rPr>
            <w:t>3.   Disposition</w:t>
          </w:r>
          <w:r w:rsidRPr="00C83DA7">
            <w:rPr>
              <w:rFonts w:eastAsia="Calibri"/>
              <w:sz w:val="26"/>
              <w:szCs w:val="26"/>
            </w:rPr>
            <w:ptab w:relativeTo="margin" w:alignment="right" w:leader="dot"/>
          </w:r>
          <w:r w:rsidR="00F878B5" w:rsidRPr="00C83DA7">
            <w:rPr>
              <w:rFonts w:eastAsia="Calibri"/>
              <w:sz w:val="26"/>
              <w:szCs w:val="26"/>
            </w:rPr>
            <w:t>19</w:t>
          </w:r>
        </w:p>
        <w:p w14:paraId="4593704C" w14:textId="77777777" w:rsidR="00A72B99" w:rsidRDefault="006F5872" w:rsidP="00A72B99">
          <w:pPr>
            <w:spacing w:after="100" w:line="259" w:lineRule="auto"/>
            <w:ind w:left="1440" w:hanging="360"/>
            <w:rPr>
              <w:sz w:val="26"/>
              <w:szCs w:val="26"/>
            </w:rPr>
          </w:pPr>
          <w:r w:rsidRPr="00C83DA7">
            <w:rPr>
              <w:sz w:val="26"/>
              <w:szCs w:val="26"/>
            </w:rPr>
            <w:t>b.   The City’s Exception Nos. 3, 8, 10, and 17, UGI’s Replies, and</w:t>
          </w:r>
        </w:p>
        <w:p w14:paraId="743A9A59" w14:textId="4447E67B" w:rsidR="006F5872" w:rsidRPr="00C83DA7" w:rsidRDefault="00A72B99" w:rsidP="00A72B99">
          <w:pPr>
            <w:spacing w:after="100" w:line="259" w:lineRule="auto"/>
            <w:ind w:left="1440" w:firstLine="0"/>
            <w:rPr>
              <w:sz w:val="26"/>
              <w:szCs w:val="26"/>
            </w:rPr>
          </w:pPr>
          <w:r>
            <w:rPr>
              <w:sz w:val="26"/>
              <w:szCs w:val="26"/>
            </w:rPr>
            <w:t xml:space="preserve"> </w:t>
          </w:r>
          <w:r w:rsidR="006F5872" w:rsidRPr="00C83DA7">
            <w:rPr>
              <w:sz w:val="26"/>
              <w:szCs w:val="26"/>
            </w:rPr>
            <w:t>Disposition</w:t>
          </w:r>
          <w:r w:rsidR="006F5872" w:rsidRPr="00C83DA7">
            <w:rPr>
              <w:sz w:val="26"/>
              <w:szCs w:val="26"/>
            </w:rPr>
            <w:ptab w:relativeTo="margin" w:alignment="right" w:leader="dot"/>
          </w:r>
          <w:r w:rsidR="006F5872" w:rsidRPr="00C83DA7">
            <w:rPr>
              <w:sz w:val="26"/>
              <w:szCs w:val="26"/>
            </w:rPr>
            <w:t>2</w:t>
          </w:r>
          <w:r w:rsidR="00F878B5" w:rsidRPr="00C83DA7">
            <w:rPr>
              <w:sz w:val="26"/>
              <w:szCs w:val="26"/>
            </w:rPr>
            <w:t>5</w:t>
          </w:r>
        </w:p>
        <w:p w14:paraId="074033A2" w14:textId="083217C2" w:rsidR="006F5872" w:rsidRPr="00C83DA7" w:rsidRDefault="00A72B99" w:rsidP="00A72B99">
          <w:pPr>
            <w:spacing w:after="100" w:line="259" w:lineRule="auto"/>
            <w:ind w:left="1800" w:hanging="360"/>
            <w:rPr>
              <w:sz w:val="26"/>
              <w:szCs w:val="26"/>
            </w:rPr>
          </w:pPr>
          <w:r>
            <w:rPr>
              <w:sz w:val="26"/>
              <w:szCs w:val="26"/>
            </w:rPr>
            <w:t>1</w:t>
          </w:r>
          <w:r w:rsidR="006F5872" w:rsidRPr="00C83DA7">
            <w:rPr>
              <w:sz w:val="26"/>
              <w:szCs w:val="26"/>
            </w:rPr>
            <w:t>.   The City’s Exceptions</w:t>
          </w:r>
          <w:r w:rsidR="006F5872" w:rsidRPr="00C83DA7">
            <w:rPr>
              <w:sz w:val="26"/>
              <w:szCs w:val="26"/>
            </w:rPr>
            <w:ptab w:relativeTo="margin" w:alignment="right" w:leader="dot"/>
          </w:r>
          <w:r w:rsidR="006F5872" w:rsidRPr="00C83DA7">
            <w:rPr>
              <w:sz w:val="26"/>
              <w:szCs w:val="26"/>
            </w:rPr>
            <w:t>2</w:t>
          </w:r>
          <w:r w:rsidR="00F878B5" w:rsidRPr="00C83DA7">
            <w:rPr>
              <w:sz w:val="26"/>
              <w:szCs w:val="26"/>
            </w:rPr>
            <w:t>5</w:t>
          </w:r>
        </w:p>
        <w:p w14:paraId="45098586" w14:textId="0EC503A7" w:rsidR="006F5872" w:rsidRPr="00C83DA7" w:rsidRDefault="006F5872" w:rsidP="00A72B99">
          <w:pPr>
            <w:spacing w:after="100" w:line="240" w:lineRule="auto"/>
            <w:ind w:left="1800" w:hanging="360"/>
            <w:rPr>
              <w:rFonts w:eastAsia="Calibri"/>
              <w:sz w:val="26"/>
              <w:szCs w:val="26"/>
            </w:rPr>
          </w:pPr>
          <w:r w:rsidRPr="00C83DA7">
            <w:rPr>
              <w:rFonts w:eastAsia="Calibri"/>
              <w:sz w:val="26"/>
              <w:szCs w:val="26"/>
            </w:rPr>
            <w:t>2.   UGI’s Replies</w:t>
          </w:r>
          <w:r w:rsidRPr="00C83DA7">
            <w:rPr>
              <w:rFonts w:eastAsia="Calibri"/>
              <w:sz w:val="26"/>
              <w:szCs w:val="26"/>
            </w:rPr>
            <w:ptab w:relativeTo="margin" w:alignment="right" w:leader="dot"/>
          </w:r>
          <w:r w:rsidRPr="00C83DA7">
            <w:rPr>
              <w:rFonts w:eastAsia="Calibri"/>
              <w:sz w:val="26"/>
              <w:szCs w:val="26"/>
            </w:rPr>
            <w:t>2</w:t>
          </w:r>
          <w:r w:rsidR="005E3ED7" w:rsidRPr="00C83DA7">
            <w:rPr>
              <w:rFonts w:eastAsia="Calibri"/>
              <w:sz w:val="26"/>
              <w:szCs w:val="26"/>
            </w:rPr>
            <w:t>8</w:t>
          </w:r>
        </w:p>
        <w:p w14:paraId="19543DF3" w14:textId="7503B60A" w:rsidR="006F5872" w:rsidRPr="00C83DA7" w:rsidRDefault="006F5872" w:rsidP="00A72B99">
          <w:pPr>
            <w:spacing w:after="100" w:line="240" w:lineRule="auto"/>
            <w:ind w:left="1800" w:hanging="360"/>
            <w:rPr>
              <w:rFonts w:eastAsia="Calibri"/>
              <w:sz w:val="26"/>
              <w:szCs w:val="26"/>
            </w:rPr>
          </w:pPr>
          <w:r w:rsidRPr="00C83DA7">
            <w:rPr>
              <w:rFonts w:eastAsia="Calibri"/>
              <w:sz w:val="26"/>
              <w:szCs w:val="26"/>
            </w:rPr>
            <w:t>3.   Disposition</w:t>
          </w:r>
          <w:r w:rsidRPr="00C83DA7">
            <w:rPr>
              <w:rFonts w:eastAsia="Calibri"/>
              <w:sz w:val="26"/>
              <w:szCs w:val="26"/>
            </w:rPr>
            <w:ptab w:relativeTo="margin" w:alignment="right" w:leader="dot"/>
          </w:r>
          <w:r w:rsidRPr="00C83DA7">
            <w:rPr>
              <w:rFonts w:eastAsia="Calibri"/>
              <w:sz w:val="26"/>
              <w:szCs w:val="26"/>
            </w:rPr>
            <w:t>30</w:t>
          </w:r>
        </w:p>
        <w:p w14:paraId="4FD945B4" w14:textId="3BFDE55A" w:rsidR="006F5872" w:rsidRPr="00C83DA7" w:rsidRDefault="006F5872" w:rsidP="00A72B99">
          <w:pPr>
            <w:spacing w:after="100" w:line="259" w:lineRule="auto"/>
            <w:ind w:left="1440" w:hanging="360"/>
            <w:rPr>
              <w:sz w:val="26"/>
              <w:szCs w:val="26"/>
            </w:rPr>
          </w:pPr>
          <w:r w:rsidRPr="00C83DA7">
            <w:rPr>
              <w:sz w:val="26"/>
              <w:szCs w:val="26"/>
            </w:rPr>
            <w:t>c.   The City’s Exception Nos. 1 and 9, UGI’s Replies, and Disposition</w:t>
          </w:r>
          <w:r w:rsidRPr="00C83DA7">
            <w:rPr>
              <w:sz w:val="26"/>
              <w:szCs w:val="26"/>
            </w:rPr>
            <w:ptab w:relativeTo="margin" w:alignment="right" w:leader="dot"/>
          </w:r>
          <w:r w:rsidRPr="00C83DA7">
            <w:rPr>
              <w:sz w:val="26"/>
              <w:szCs w:val="26"/>
            </w:rPr>
            <w:t>3</w:t>
          </w:r>
          <w:r w:rsidR="00F878B5" w:rsidRPr="00C83DA7">
            <w:rPr>
              <w:sz w:val="26"/>
              <w:szCs w:val="26"/>
            </w:rPr>
            <w:t>2</w:t>
          </w:r>
        </w:p>
        <w:p w14:paraId="5D53ED98" w14:textId="6E02B8B9" w:rsidR="006F5872" w:rsidRPr="00C83DA7" w:rsidRDefault="006F5872" w:rsidP="00A72B99">
          <w:pPr>
            <w:spacing w:after="100" w:line="259" w:lineRule="auto"/>
            <w:ind w:left="1890" w:hanging="450"/>
            <w:rPr>
              <w:sz w:val="26"/>
              <w:szCs w:val="26"/>
            </w:rPr>
          </w:pPr>
          <w:r w:rsidRPr="00C83DA7">
            <w:rPr>
              <w:sz w:val="26"/>
              <w:szCs w:val="26"/>
            </w:rPr>
            <w:t>1.   The City’s Exceptions</w:t>
          </w:r>
          <w:r w:rsidRPr="00C83DA7">
            <w:rPr>
              <w:sz w:val="26"/>
              <w:szCs w:val="26"/>
            </w:rPr>
            <w:ptab w:relativeTo="margin" w:alignment="right" w:leader="dot"/>
          </w:r>
          <w:r w:rsidRPr="00C83DA7">
            <w:rPr>
              <w:sz w:val="26"/>
              <w:szCs w:val="26"/>
            </w:rPr>
            <w:t>3</w:t>
          </w:r>
          <w:r w:rsidR="00F878B5" w:rsidRPr="00C83DA7">
            <w:rPr>
              <w:sz w:val="26"/>
              <w:szCs w:val="26"/>
            </w:rPr>
            <w:t>2</w:t>
          </w:r>
        </w:p>
        <w:p w14:paraId="77CECCF0" w14:textId="517FE2FB" w:rsidR="006F5872" w:rsidRPr="00C83DA7" w:rsidRDefault="006F5872" w:rsidP="00A72B99">
          <w:pPr>
            <w:spacing w:after="100" w:line="240" w:lineRule="auto"/>
            <w:ind w:left="1890" w:hanging="450"/>
            <w:rPr>
              <w:rFonts w:eastAsia="Calibri"/>
              <w:sz w:val="26"/>
              <w:szCs w:val="26"/>
            </w:rPr>
          </w:pPr>
          <w:r w:rsidRPr="00C83DA7">
            <w:rPr>
              <w:rFonts w:eastAsia="Calibri"/>
              <w:sz w:val="26"/>
              <w:szCs w:val="26"/>
            </w:rPr>
            <w:t>2.   UGI’s Replies</w:t>
          </w:r>
          <w:r w:rsidRPr="00C83DA7">
            <w:rPr>
              <w:rFonts w:eastAsia="Calibri"/>
              <w:sz w:val="26"/>
              <w:szCs w:val="26"/>
            </w:rPr>
            <w:ptab w:relativeTo="margin" w:alignment="right" w:leader="dot"/>
          </w:r>
          <w:r w:rsidRPr="00C83DA7">
            <w:rPr>
              <w:rFonts w:eastAsia="Calibri"/>
              <w:sz w:val="26"/>
              <w:szCs w:val="26"/>
            </w:rPr>
            <w:t>3</w:t>
          </w:r>
          <w:r w:rsidR="00F878B5" w:rsidRPr="00C83DA7">
            <w:rPr>
              <w:rFonts w:eastAsia="Calibri"/>
              <w:sz w:val="26"/>
              <w:szCs w:val="26"/>
            </w:rPr>
            <w:t>3</w:t>
          </w:r>
        </w:p>
        <w:p w14:paraId="53990288" w14:textId="396A0CEC" w:rsidR="006F5872" w:rsidRPr="00C83DA7" w:rsidRDefault="006F5872" w:rsidP="00A72B99">
          <w:pPr>
            <w:spacing w:after="100" w:line="240" w:lineRule="auto"/>
            <w:ind w:left="1890" w:hanging="450"/>
            <w:rPr>
              <w:rFonts w:eastAsia="Calibri"/>
              <w:sz w:val="26"/>
              <w:szCs w:val="26"/>
            </w:rPr>
          </w:pPr>
          <w:r w:rsidRPr="00C83DA7">
            <w:rPr>
              <w:rFonts w:eastAsia="Calibri"/>
              <w:sz w:val="26"/>
              <w:szCs w:val="26"/>
            </w:rPr>
            <w:t>3.   Disposition</w:t>
          </w:r>
          <w:r w:rsidRPr="00C83DA7">
            <w:rPr>
              <w:rFonts w:eastAsia="Calibri"/>
              <w:sz w:val="26"/>
              <w:szCs w:val="26"/>
            </w:rPr>
            <w:ptab w:relativeTo="margin" w:alignment="right" w:leader="dot"/>
          </w:r>
          <w:r w:rsidRPr="00C83DA7">
            <w:rPr>
              <w:rFonts w:eastAsia="Calibri"/>
              <w:sz w:val="26"/>
              <w:szCs w:val="26"/>
            </w:rPr>
            <w:t>34</w:t>
          </w:r>
        </w:p>
        <w:p w14:paraId="3002F240" w14:textId="5499FD09" w:rsidR="006F5872" w:rsidRPr="00C83DA7" w:rsidRDefault="006F5872" w:rsidP="00A72B99">
          <w:pPr>
            <w:spacing w:after="100" w:line="259" w:lineRule="auto"/>
            <w:ind w:left="1440" w:hanging="360"/>
            <w:rPr>
              <w:sz w:val="26"/>
              <w:szCs w:val="26"/>
            </w:rPr>
          </w:pPr>
          <w:r w:rsidRPr="00C83DA7">
            <w:rPr>
              <w:sz w:val="26"/>
              <w:szCs w:val="26"/>
            </w:rPr>
            <w:t>d.   The City’s Exception No. 2, UGI’s Reply, and Disposition</w:t>
          </w:r>
          <w:r w:rsidRPr="00C83DA7">
            <w:rPr>
              <w:sz w:val="26"/>
              <w:szCs w:val="26"/>
            </w:rPr>
            <w:ptab w:relativeTo="margin" w:alignment="right" w:leader="dot"/>
          </w:r>
          <w:r w:rsidRPr="00C83DA7">
            <w:rPr>
              <w:sz w:val="26"/>
              <w:szCs w:val="26"/>
            </w:rPr>
            <w:t>36</w:t>
          </w:r>
        </w:p>
        <w:p w14:paraId="7C1448BA" w14:textId="1FEC430E" w:rsidR="006F5872" w:rsidRPr="00C83DA7" w:rsidRDefault="006F5872" w:rsidP="00A72B99">
          <w:pPr>
            <w:spacing w:after="100" w:line="259" w:lineRule="auto"/>
            <w:ind w:left="1890" w:hanging="450"/>
            <w:rPr>
              <w:sz w:val="26"/>
              <w:szCs w:val="26"/>
            </w:rPr>
          </w:pPr>
          <w:r w:rsidRPr="00C83DA7">
            <w:rPr>
              <w:sz w:val="26"/>
              <w:szCs w:val="26"/>
            </w:rPr>
            <w:t>1.   The City’s Exception</w:t>
          </w:r>
          <w:r w:rsidRPr="00C83DA7">
            <w:rPr>
              <w:sz w:val="26"/>
              <w:szCs w:val="26"/>
            </w:rPr>
            <w:ptab w:relativeTo="margin" w:alignment="right" w:leader="dot"/>
          </w:r>
          <w:r w:rsidRPr="00C83DA7">
            <w:rPr>
              <w:sz w:val="26"/>
              <w:szCs w:val="26"/>
            </w:rPr>
            <w:t>36</w:t>
          </w:r>
        </w:p>
        <w:p w14:paraId="313712B7" w14:textId="49C54C4A" w:rsidR="006F5872" w:rsidRPr="00C83DA7" w:rsidRDefault="006F5872" w:rsidP="00A72B99">
          <w:pPr>
            <w:spacing w:after="100" w:line="240" w:lineRule="auto"/>
            <w:ind w:left="1890" w:hanging="450"/>
            <w:rPr>
              <w:rFonts w:eastAsia="Calibri"/>
              <w:sz w:val="26"/>
              <w:szCs w:val="26"/>
            </w:rPr>
          </w:pPr>
          <w:r w:rsidRPr="00C83DA7">
            <w:rPr>
              <w:rFonts w:eastAsia="Calibri"/>
              <w:sz w:val="26"/>
              <w:szCs w:val="26"/>
            </w:rPr>
            <w:t>2.   UGI’s Reply</w:t>
          </w:r>
          <w:r w:rsidRPr="00C83DA7">
            <w:rPr>
              <w:rFonts w:eastAsia="Calibri"/>
              <w:sz w:val="26"/>
              <w:szCs w:val="26"/>
            </w:rPr>
            <w:ptab w:relativeTo="margin" w:alignment="right" w:leader="dot"/>
          </w:r>
          <w:r w:rsidRPr="00C83DA7">
            <w:rPr>
              <w:rFonts w:eastAsia="Calibri"/>
              <w:sz w:val="26"/>
              <w:szCs w:val="26"/>
            </w:rPr>
            <w:t>37</w:t>
          </w:r>
        </w:p>
        <w:p w14:paraId="28D5B5CC" w14:textId="44839B82" w:rsidR="006F5872" w:rsidRPr="00C83DA7" w:rsidRDefault="006F5872" w:rsidP="00A72B99">
          <w:pPr>
            <w:spacing w:after="100" w:line="240" w:lineRule="auto"/>
            <w:ind w:left="1890" w:hanging="450"/>
            <w:rPr>
              <w:rFonts w:eastAsia="Calibri"/>
              <w:sz w:val="26"/>
              <w:szCs w:val="26"/>
            </w:rPr>
          </w:pPr>
          <w:r w:rsidRPr="00C83DA7">
            <w:rPr>
              <w:rFonts w:eastAsia="Calibri"/>
              <w:sz w:val="26"/>
              <w:szCs w:val="26"/>
            </w:rPr>
            <w:t>3.   Disposition</w:t>
          </w:r>
          <w:r w:rsidRPr="00C83DA7">
            <w:rPr>
              <w:rFonts w:eastAsia="Calibri"/>
              <w:sz w:val="26"/>
              <w:szCs w:val="26"/>
            </w:rPr>
            <w:ptab w:relativeTo="margin" w:alignment="right" w:leader="dot"/>
          </w:r>
          <w:r w:rsidR="00A72B99">
            <w:rPr>
              <w:rFonts w:eastAsia="Calibri"/>
              <w:sz w:val="26"/>
              <w:szCs w:val="26"/>
            </w:rPr>
            <w:t>37</w:t>
          </w:r>
        </w:p>
        <w:p w14:paraId="29AC193E" w14:textId="6AE2C3B8" w:rsidR="006F5872" w:rsidRPr="00C83DA7" w:rsidRDefault="006F5872" w:rsidP="00A72B99">
          <w:pPr>
            <w:spacing w:after="100" w:line="259" w:lineRule="auto"/>
            <w:ind w:left="810" w:hanging="450"/>
            <w:rPr>
              <w:sz w:val="26"/>
              <w:szCs w:val="26"/>
            </w:rPr>
          </w:pPr>
          <w:r w:rsidRPr="00C83DA7">
            <w:rPr>
              <w:sz w:val="26"/>
              <w:szCs w:val="26"/>
            </w:rPr>
            <w:t>C.   Fiduciary Duties to the Public Trust</w:t>
          </w:r>
          <w:r w:rsidRPr="00C83DA7">
            <w:rPr>
              <w:sz w:val="26"/>
              <w:szCs w:val="26"/>
            </w:rPr>
            <w:ptab w:relativeTo="margin" w:alignment="right" w:leader="dot"/>
          </w:r>
          <w:r w:rsidRPr="00C83DA7">
            <w:rPr>
              <w:sz w:val="26"/>
              <w:szCs w:val="26"/>
            </w:rPr>
            <w:t>3</w:t>
          </w:r>
          <w:r w:rsidR="00A72B99">
            <w:rPr>
              <w:sz w:val="26"/>
              <w:szCs w:val="26"/>
            </w:rPr>
            <w:t>8</w:t>
          </w:r>
        </w:p>
        <w:p w14:paraId="4A5139F6" w14:textId="51CE1E09" w:rsidR="006F5872" w:rsidRPr="00C83DA7" w:rsidRDefault="006F5872" w:rsidP="00A72B99">
          <w:pPr>
            <w:spacing w:after="100" w:line="259" w:lineRule="auto"/>
            <w:ind w:left="1080" w:hanging="360"/>
            <w:rPr>
              <w:sz w:val="26"/>
              <w:szCs w:val="26"/>
            </w:rPr>
          </w:pPr>
          <w:r w:rsidRPr="00C83DA7">
            <w:rPr>
              <w:sz w:val="26"/>
              <w:szCs w:val="26"/>
            </w:rPr>
            <w:t>1.   Positions of the Parties</w:t>
          </w:r>
          <w:r w:rsidRPr="00C83DA7">
            <w:rPr>
              <w:sz w:val="26"/>
              <w:szCs w:val="26"/>
            </w:rPr>
            <w:ptab w:relativeTo="margin" w:alignment="right" w:leader="dot"/>
          </w:r>
          <w:r w:rsidRPr="00C83DA7">
            <w:rPr>
              <w:sz w:val="26"/>
              <w:szCs w:val="26"/>
            </w:rPr>
            <w:t>3</w:t>
          </w:r>
          <w:r w:rsidR="00A72B99">
            <w:rPr>
              <w:sz w:val="26"/>
              <w:szCs w:val="26"/>
            </w:rPr>
            <w:t>8</w:t>
          </w:r>
        </w:p>
        <w:p w14:paraId="2929756D" w14:textId="741ECBBE" w:rsidR="006F5872" w:rsidRPr="00C83DA7" w:rsidRDefault="006F5872" w:rsidP="00A72B99">
          <w:pPr>
            <w:spacing w:after="100" w:line="259" w:lineRule="auto"/>
            <w:ind w:left="1080" w:hanging="360"/>
            <w:rPr>
              <w:sz w:val="26"/>
              <w:szCs w:val="26"/>
            </w:rPr>
          </w:pPr>
          <w:r w:rsidRPr="00C83DA7">
            <w:rPr>
              <w:sz w:val="26"/>
              <w:szCs w:val="26"/>
            </w:rPr>
            <w:t>2.   Initial Decision</w:t>
          </w:r>
          <w:r w:rsidRPr="00C83DA7">
            <w:rPr>
              <w:sz w:val="26"/>
              <w:szCs w:val="26"/>
            </w:rPr>
            <w:ptab w:relativeTo="margin" w:alignment="right" w:leader="dot"/>
          </w:r>
          <w:r w:rsidRPr="00C83DA7">
            <w:rPr>
              <w:sz w:val="26"/>
              <w:szCs w:val="26"/>
            </w:rPr>
            <w:t>4</w:t>
          </w:r>
          <w:r w:rsidR="00276CBD" w:rsidRPr="00C83DA7">
            <w:rPr>
              <w:sz w:val="26"/>
              <w:szCs w:val="26"/>
            </w:rPr>
            <w:t>0</w:t>
          </w:r>
        </w:p>
        <w:p w14:paraId="368A8F05" w14:textId="565F1AF8" w:rsidR="006F5872" w:rsidRPr="00C83DA7" w:rsidRDefault="006F5872" w:rsidP="00A72B99">
          <w:pPr>
            <w:spacing w:after="100" w:line="259" w:lineRule="auto"/>
            <w:ind w:left="1080" w:hanging="360"/>
            <w:rPr>
              <w:sz w:val="26"/>
              <w:szCs w:val="26"/>
            </w:rPr>
          </w:pPr>
          <w:r w:rsidRPr="00C83DA7">
            <w:rPr>
              <w:sz w:val="26"/>
              <w:szCs w:val="26"/>
            </w:rPr>
            <w:lastRenderedPageBreak/>
            <w:t>3.   Exceptions, Replies, and Disposition</w:t>
          </w:r>
          <w:r w:rsidRPr="00C83DA7">
            <w:rPr>
              <w:sz w:val="26"/>
              <w:szCs w:val="26"/>
            </w:rPr>
            <w:ptab w:relativeTo="margin" w:alignment="right" w:leader="dot"/>
          </w:r>
          <w:r w:rsidRPr="00C83DA7">
            <w:rPr>
              <w:sz w:val="26"/>
              <w:szCs w:val="26"/>
            </w:rPr>
            <w:t>4</w:t>
          </w:r>
          <w:r w:rsidR="00A72B99">
            <w:rPr>
              <w:sz w:val="26"/>
              <w:szCs w:val="26"/>
            </w:rPr>
            <w:t>0</w:t>
          </w:r>
        </w:p>
        <w:p w14:paraId="7C9D8409" w14:textId="105958D5" w:rsidR="006F5872" w:rsidRPr="00C83DA7" w:rsidRDefault="006F5872" w:rsidP="00A72B99">
          <w:pPr>
            <w:spacing w:after="100" w:line="259" w:lineRule="auto"/>
            <w:ind w:left="1440" w:hanging="360"/>
            <w:rPr>
              <w:sz w:val="26"/>
              <w:szCs w:val="26"/>
            </w:rPr>
          </w:pPr>
          <w:r w:rsidRPr="00C83DA7">
            <w:rPr>
              <w:sz w:val="26"/>
              <w:szCs w:val="26"/>
            </w:rPr>
            <w:t>a.   CPHD’s Exception No. 1</w:t>
          </w:r>
          <w:r w:rsidRPr="00C83DA7">
            <w:rPr>
              <w:sz w:val="26"/>
              <w:szCs w:val="26"/>
            </w:rPr>
            <w:ptab w:relativeTo="margin" w:alignment="right" w:leader="dot"/>
          </w:r>
          <w:r w:rsidRPr="00C83DA7">
            <w:rPr>
              <w:sz w:val="26"/>
              <w:szCs w:val="26"/>
            </w:rPr>
            <w:t>4</w:t>
          </w:r>
          <w:r w:rsidR="00A72B99">
            <w:rPr>
              <w:sz w:val="26"/>
              <w:szCs w:val="26"/>
            </w:rPr>
            <w:t>0</w:t>
          </w:r>
        </w:p>
        <w:p w14:paraId="41DF4993" w14:textId="7A23F843" w:rsidR="006F5872" w:rsidRPr="00C83DA7" w:rsidRDefault="006F5872" w:rsidP="00A72B99">
          <w:pPr>
            <w:spacing w:after="100" w:line="240" w:lineRule="auto"/>
            <w:ind w:left="1440" w:hanging="360"/>
            <w:rPr>
              <w:rFonts w:eastAsia="Calibri"/>
              <w:sz w:val="26"/>
              <w:szCs w:val="26"/>
            </w:rPr>
          </w:pPr>
          <w:r w:rsidRPr="00C83DA7">
            <w:rPr>
              <w:rFonts w:eastAsia="Calibri"/>
              <w:sz w:val="26"/>
              <w:szCs w:val="26"/>
            </w:rPr>
            <w:t>b.   UGI’s Reply</w:t>
          </w:r>
          <w:r w:rsidRPr="00C83DA7">
            <w:rPr>
              <w:rFonts w:eastAsia="Calibri"/>
              <w:sz w:val="26"/>
              <w:szCs w:val="26"/>
            </w:rPr>
            <w:ptab w:relativeTo="margin" w:alignment="right" w:leader="dot"/>
          </w:r>
          <w:r w:rsidRPr="00C83DA7">
            <w:rPr>
              <w:rFonts w:eastAsia="Calibri"/>
              <w:sz w:val="26"/>
              <w:szCs w:val="26"/>
            </w:rPr>
            <w:t>4</w:t>
          </w:r>
          <w:r w:rsidR="005E3ED7" w:rsidRPr="00C83DA7">
            <w:rPr>
              <w:rFonts w:eastAsia="Calibri"/>
              <w:sz w:val="26"/>
              <w:szCs w:val="26"/>
            </w:rPr>
            <w:t>3</w:t>
          </w:r>
        </w:p>
        <w:p w14:paraId="2E16736E" w14:textId="3FAAE1D1" w:rsidR="006F5872" w:rsidRPr="00C83DA7" w:rsidRDefault="006F5872" w:rsidP="00A72B99">
          <w:pPr>
            <w:ind w:left="1440" w:hanging="360"/>
            <w:rPr>
              <w:rFonts w:eastAsia="Calibri"/>
              <w:sz w:val="26"/>
              <w:szCs w:val="26"/>
            </w:rPr>
          </w:pPr>
          <w:r w:rsidRPr="00C83DA7">
            <w:rPr>
              <w:rFonts w:eastAsia="Calibri"/>
              <w:sz w:val="26"/>
              <w:szCs w:val="26"/>
            </w:rPr>
            <w:t>c.   Disposition</w:t>
          </w:r>
          <w:r w:rsidRPr="00C83DA7">
            <w:rPr>
              <w:rFonts w:eastAsia="Calibri"/>
              <w:sz w:val="26"/>
              <w:szCs w:val="26"/>
            </w:rPr>
            <w:ptab w:relativeTo="margin" w:alignment="right" w:leader="dot"/>
          </w:r>
          <w:r w:rsidRPr="00C83DA7">
            <w:rPr>
              <w:rFonts w:eastAsia="Calibri"/>
              <w:sz w:val="26"/>
              <w:szCs w:val="26"/>
            </w:rPr>
            <w:t>4</w:t>
          </w:r>
          <w:r w:rsidR="00F878B5" w:rsidRPr="00C83DA7">
            <w:rPr>
              <w:rFonts w:eastAsia="Calibri"/>
              <w:sz w:val="26"/>
              <w:szCs w:val="26"/>
            </w:rPr>
            <w:t>3</w:t>
          </w:r>
        </w:p>
        <w:p w14:paraId="2E57136F" w14:textId="77777777" w:rsidR="006F5872" w:rsidRPr="00C83DA7" w:rsidRDefault="006F5872" w:rsidP="00A72B99">
          <w:pPr>
            <w:spacing w:after="100" w:line="259" w:lineRule="auto"/>
            <w:ind w:left="720" w:hanging="360"/>
            <w:rPr>
              <w:sz w:val="26"/>
              <w:szCs w:val="26"/>
            </w:rPr>
          </w:pPr>
          <w:r w:rsidRPr="00C83DA7">
            <w:rPr>
              <w:sz w:val="26"/>
              <w:szCs w:val="26"/>
            </w:rPr>
            <w:t>D.   The Proximity of Meter Placements to City Streets</w:t>
          </w:r>
          <w:r w:rsidRPr="00C83DA7">
            <w:rPr>
              <w:sz w:val="26"/>
              <w:szCs w:val="26"/>
            </w:rPr>
            <w:ptab w:relativeTo="margin" w:alignment="right" w:leader="dot"/>
          </w:r>
          <w:r w:rsidRPr="00C83DA7">
            <w:rPr>
              <w:sz w:val="26"/>
              <w:szCs w:val="26"/>
            </w:rPr>
            <w:t>4</w:t>
          </w:r>
          <w:r w:rsidR="00F878B5" w:rsidRPr="00C83DA7">
            <w:rPr>
              <w:sz w:val="26"/>
              <w:szCs w:val="26"/>
            </w:rPr>
            <w:t>6</w:t>
          </w:r>
        </w:p>
        <w:p w14:paraId="5D91664F" w14:textId="77777777" w:rsidR="006F5872" w:rsidRPr="00C83DA7" w:rsidRDefault="006F5872" w:rsidP="00A72B99">
          <w:pPr>
            <w:spacing w:after="100" w:line="259" w:lineRule="auto"/>
            <w:ind w:left="1080" w:hanging="360"/>
            <w:rPr>
              <w:sz w:val="26"/>
              <w:szCs w:val="26"/>
            </w:rPr>
          </w:pPr>
          <w:r w:rsidRPr="00C83DA7">
            <w:rPr>
              <w:sz w:val="26"/>
              <w:szCs w:val="26"/>
            </w:rPr>
            <w:t>1.   Positions of the Parties</w:t>
          </w:r>
          <w:r w:rsidRPr="00C83DA7">
            <w:rPr>
              <w:sz w:val="26"/>
              <w:szCs w:val="26"/>
            </w:rPr>
            <w:ptab w:relativeTo="margin" w:alignment="right" w:leader="dot"/>
          </w:r>
          <w:r w:rsidRPr="00C83DA7">
            <w:rPr>
              <w:sz w:val="26"/>
              <w:szCs w:val="26"/>
            </w:rPr>
            <w:t>4</w:t>
          </w:r>
          <w:r w:rsidR="00F878B5" w:rsidRPr="00C83DA7">
            <w:rPr>
              <w:sz w:val="26"/>
              <w:szCs w:val="26"/>
            </w:rPr>
            <w:t>6</w:t>
          </w:r>
        </w:p>
        <w:p w14:paraId="2E0ECE80" w14:textId="77777777" w:rsidR="006F5872" w:rsidRPr="00C83DA7" w:rsidRDefault="006F5872" w:rsidP="00A72B99">
          <w:pPr>
            <w:spacing w:after="100" w:line="259" w:lineRule="auto"/>
            <w:ind w:left="1080" w:hanging="360"/>
            <w:rPr>
              <w:sz w:val="26"/>
              <w:szCs w:val="26"/>
            </w:rPr>
          </w:pPr>
          <w:r w:rsidRPr="00C83DA7">
            <w:rPr>
              <w:sz w:val="26"/>
              <w:szCs w:val="26"/>
            </w:rPr>
            <w:t>2.   Initial Decision</w:t>
          </w:r>
          <w:r w:rsidRPr="00C83DA7">
            <w:rPr>
              <w:sz w:val="26"/>
              <w:szCs w:val="26"/>
            </w:rPr>
            <w:ptab w:relativeTo="margin" w:alignment="right" w:leader="dot"/>
          </w:r>
          <w:r w:rsidRPr="00C83DA7">
            <w:rPr>
              <w:sz w:val="26"/>
              <w:szCs w:val="26"/>
            </w:rPr>
            <w:t>50</w:t>
          </w:r>
        </w:p>
        <w:p w14:paraId="0914CA43" w14:textId="77777777" w:rsidR="006F5872" w:rsidRPr="00C83DA7" w:rsidRDefault="006F5872" w:rsidP="00A72B99">
          <w:pPr>
            <w:spacing w:after="100" w:line="259" w:lineRule="auto"/>
            <w:ind w:left="1080" w:hanging="360"/>
            <w:rPr>
              <w:sz w:val="26"/>
              <w:szCs w:val="26"/>
            </w:rPr>
          </w:pPr>
          <w:r w:rsidRPr="00C83DA7">
            <w:rPr>
              <w:sz w:val="26"/>
              <w:szCs w:val="26"/>
            </w:rPr>
            <w:t>3.   Exceptions, Replies, and Disposition</w:t>
          </w:r>
          <w:r w:rsidRPr="00C83DA7">
            <w:rPr>
              <w:sz w:val="26"/>
              <w:szCs w:val="26"/>
            </w:rPr>
            <w:ptab w:relativeTo="margin" w:alignment="right" w:leader="dot"/>
          </w:r>
          <w:r w:rsidRPr="00C83DA7">
            <w:rPr>
              <w:sz w:val="26"/>
              <w:szCs w:val="26"/>
            </w:rPr>
            <w:t>51</w:t>
          </w:r>
        </w:p>
        <w:p w14:paraId="7DA023EF" w14:textId="09823AA3" w:rsidR="006F5872" w:rsidRPr="00C83DA7" w:rsidRDefault="006F5872" w:rsidP="00A72B99">
          <w:pPr>
            <w:spacing w:after="100" w:line="259" w:lineRule="auto"/>
            <w:ind w:left="1440" w:hanging="360"/>
            <w:rPr>
              <w:sz w:val="26"/>
              <w:szCs w:val="26"/>
            </w:rPr>
          </w:pPr>
          <w:r w:rsidRPr="00C83DA7">
            <w:rPr>
              <w:sz w:val="26"/>
              <w:szCs w:val="26"/>
            </w:rPr>
            <w:t xml:space="preserve"> a.   The City’s Exceptions Nos. 4, 5, 6, 7, 12, 13, 14, 16, and 18</w:t>
          </w:r>
          <w:r w:rsidRPr="00C83DA7">
            <w:rPr>
              <w:sz w:val="26"/>
              <w:szCs w:val="26"/>
            </w:rPr>
            <w:ptab w:relativeTo="margin" w:alignment="right" w:leader="dot"/>
          </w:r>
          <w:r w:rsidRPr="00C83DA7">
            <w:rPr>
              <w:sz w:val="26"/>
              <w:szCs w:val="26"/>
            </w:rPr>
            <w:t>51</w:t>
          </w:r>
        </w:p>
        <w:p w14:paraId="038F7F7D" w14:textId="2A9238BA" w:rsidR="006F5872" w:rsidRPr="00C83DA7" w:rsidRDefault="00A72B99" w:rsidP="00A72B99">
          <w:pPr>
            <w:spacing w:after="100" w:line="240" w:lineRule="auto"/>
            <w:ind w:left="1440" w:hanging="360"/>
            <w:rPr>
              <w:rFonts w:eastAsia="Calibri"/>
              <w:sz w:val="26"/>
              <w:szCs w:val="26"/>
            </w:rPr>
          </w:pPr>
          <w:r>
            <w:rPr>
              <w:rFonts w:eastAsia="Calibri"/>
              <w:sz w:val="26"/>
              <w:szCs w:val="26"/>
            </w:rPr>
            <w:t xml:space="preserve"> </w:t>
          </w:r>
          <w:r w:rsidR="006F5872" w:rsidRPr="00C83DA7">
            <w:rPr>
              <w:rFonts w:eastAsia="Calibri"/>
              <w:sz w:val="26"/>
              <w:szCs w:val="26"/>
            </w:rPr>
            <w:t>b.   UGI’s Repl</w:t>
          </w:r>
          <w:r w:rsidR="00806D12" w:rsidRPr="00C83DA7">
            <w:rPr>
              <w:rFonts w:eastAsia="Calibri"/>
              <w:sz w:val="26"/>
              <w:szCs w:val="26"/>
            </w:rPr>
            <w:t>ies</w:t>
          </w:r>
          <w:r w:rsidR="006F5872" w:rsidRPr="00C83DA7">
            <w:rPr>
              <w:rFonts w:eastAsia="Calibri"/>
              <w:sz w:val="26"/>
              <w:szCs w:val="26"/>
            </w:rPr>
            <w:ptab w:relativeTo="margin" w:alignment="right" w:leader="dot"/>
          </w:r>
          <w:r w:rsidR="006F5872" w:rsidRPr="00C83DA7">
            <w:rPr>
              <w:rFonts w:eastAsia="Calibri"/>
              <w:sz w:val="26"/>
              <w:szCs w:val="26"/>
            </w:rPr>
            <w:t>5</w:t>
          </w:r>
          <w:r w:rsidR="00F878B5" w:rsidRPr="00C83DA7">
            <w:rPr>
              <w:rFonts w:eastAsia="Calibri"/>
              <w:sz w:val="26"/>
              <w:szCs w:val="26"/>
            </w:rPr>
            <w:t>3</w:t>
          </w:r>
        </w:p>
        <w:p w14:paraId="331A9509" w14:textId="28116E08" w:rsidR="006F5872" w:rsidRPr="00C83DA7" w:rsidRDefault="00A72B99" w:rsidP="00A72B99">
          <w:pPr>
            <w:ind w:left="1440" w:hanging="360"/>
            <w:rPr>
              <w:rFonts w:eastAsia="Calibri"/>
              <w:sz w:val="26"/>
              <w:szCs w:val="26"/>
            </w:rPr>
          </w:pPr>
          <w:r>
            <w:rPr>
              <w:rFonts w:eastAsia="Calibri"/>
              <w:sz w:val="26"/>
              <w:szCs w:val="26"/>
            </w:rPr>
            <w:t xml:space="preserve"> </w:t>
          </w:r>
          <w:r w:rsidR="006F5872" w:rsidRPr="00C83DA7">
            <w:rPr>
              <w:rFonts w:eastAsia="Calibri"/>
              <w:sz w:val="26"/>
              <w:szCs w:val="26"/>
            </w:rPr>
            <w:t>c.   Disposition</w:t>
          </w:r>
          <w:r w:rsidR="006F5872" w:rsidRPr="00C83DA7">
            <w:rPr>
              <w:rFonts w:eastAsia="Calibri"/>
              <w:sz w:val="26"/>
              <w:szCs w:val="26"/>
            </w:rPr>
            <w:ptab w:relativeTo="margin" w:alignment="right" w:leader="dot"/>
          </w:r>
          <w:r w:rsidR="006F5872" w:rsidRPr="00C83DA7">
            <w:rPr>
              <w:rFonts w:eastAsia="Calibri"/>
              <w:sz w:val="26"/>
              <w:szCs w:val="26"/>
            </w:rPr>
            <w:t>5</w:t>
          </w:r>
          <w:r w:rsidR="00F878B5" w:rsidRPr="00C83DA7">
            <w:rPr>
              <w:rFonts w:eastAsia="Calibri"/>
              <w:sz w:val="26"/>
              <w:szCs w:val="26"/>
            </w:rPr>
            <w:t>6</w:t>
          </w:r>
        </w:p>
        <w:p w14:paraId="1DD43DB5" w14:textId="77777777" w:rsidR="006F5872" w:rsidRPr="00C83DA7" w:rsidRDefault="006F5872" w:rsidP="00A72B99">
          <w:pPr>
            <w:spacing w:after="100" w:line="259" w:lineRule="auto"/>
            <w:ind w:left="720" w:hanging="360"/>
            <w:rPr>
              <w:sz w:val="26"/>
              <w:szCs w:val="26"/>
            </w:rPr>
          </w:pPr>
          <w:r w:rsidRPr="00C83DA7">
            <w:rPr>
              <w:sz w:val="26"/>
              <w:szCs w:val="26"/>
            </w:rPr>
            <w:t>E.   Civil Penalty / Other Relief</w:t>
          </w:r>
          <w:r w:rsidRPr="00C83DA7">
            <w:rPr>
              <w:sz w:val="26"/>
              <w:szCs w:val="26"/>
            </w:rPr>
            <w:ptab w:relativeTo="margin" w:alignment="right" w:leader="dot"/>
          </w:r>
          <w:r w:rsidRPr="00C83DA7">
            <w:rPr>
              <w:sz w:val="26"/>
              <w:szCs w:val="26"/>
            </w:rPr>
            <w:t>6</w:t>
          </w:r>
          <w:r w:rsidR="005E3ED7" w:rsidRPr="00C83DA7">
            <w:rPr>
              <w:sz w:val="26"/>
              <w:szCs w:val="26"/>
            </w:rPr>
            <w:t>4</w:t>
          </w:r>
        </w:p>
        <w:p w14:paraId="72500E82" w14:textId="77777777" w:rsidR="006F5872" w:rsidRPr="00C83DA7" w:rsidRDefault="006F5872" w:rsidP="00A72B99">
          <w:pPr>
            <w:spacing w:after="100" w:line="259" w:lineRule="auto"/>
            <w:ind w:left="1080" w:hanging="360"/>
            <w:rPr>
              <w:sz w:val="26"/>
              <w:szCs w:val="26"/>
            </w:rPr>
          </w:pPr>
          <w:r w:rsidRPr="00C83DA7">
            <w:rPr>
              <w:sz w:val="26"/>
              <w:szCs w:val="26"/>
            </w:rPr>
            <w:t>1.   Positions of the Parties</w:t>
          </w:r>
          <w:r w:rsidRPr="00C83DA7">
            <w:rPr>
              <w:sz w:val="26"/>
              <w:szCs w:val="26"/>
            </w:rPr>
            <w:ptab w:relativeTo="margin" w:alignment="right" w:leader="dot"/>
          </w:r>
          <w:r w:rsidRPr="00C83DA7">
            <w:rPr>
              <w:sz w:val="26"/>
              <w:szCs w:val="26"/>
            </w:rPr>
            <w:t>6</w:t>
          </w:r>
          <w:r w:rsidR="005E3ED7" w:rsidRPr="00C83DA7">
            <w:rPr>
              <w:sz w:val="26"/>
              <w:szCs w:val="26"/>
            </w:rPr>
            <w:t>4</w:t>
          </w:r>
        </w:p>
        <w:p w14:paraId="0449958E" w14:textId="77777777" w:rsidR="006F5872" w:rsidRPr="00C83DA7" w:rsidRDefault="006F5872" w:rsidP="00A72B99">
          <w:pPr>
            <w:spacing w:after="100" w:line="259" w:lineRule="auto"/>
            <w:ind w:left="1080" w:hanging="360"/>
            <w:rPr>
              <w:sz w:val="26"/>
              <w:szCs w:val="26"/>
            </w:rPr>
          </w:pPr>
          <w:r w:rsidRPr="00C83DA7">
            <w:rPr>
              <w:sz w:val="26"/>
              <w:szCs w:val="26"/>
            </w:rPr>
            <w:t>2.   Initial Decision</w:t>
          </w:r>
          <w:r w:rsidRPr="00C83DA7">
            <w:rPr>
              <w:sz w:val="26"/>
              <w:szCs w:val="26"/>
            </w:rPr>
            <w:ptab w:relativeTo="margin" w:alignment="right" w:leader="dot"/>
          </w:r>
          <w:r w:rsidRPr="00C83DA7">
            <w:rPr>
              <w:sz w:val="26"/>
              <w:szCs w:val="26"/>
            </w:rPr>
            <w:t>6</w:t>
          </w:r>
          <w:r w:rsidR="005E3ED7" w:rsidRPr="00C83DA7">
            <w:rPr>
              <w:sz w:val="26"/>
              <w:szCs w:val="26"/>
            </w:rPr>
            <w:t>5</w:t>
          </w:r>
        </w:p>
        <w:p w14:paraId="15FB13AC" w14:textId="77777777" w:rsidR="006F5872" w:rsidRPr="00C83DA7" w:rsidRDefault="006F5872" w:rsidP="00A72B99">
          <w:pPr>
            <w:spacing w:after="100" w:line="259" w:lineRule="auto"/>
            <w:ind w:left="1080" w:hanging="360"/>
            <w:rPr>
              <w:sz w:val="26"/>
              <w:szCs w:val="26"/>
            </w:rPr>
          </w:pPr>
          <w:r w:rsidRPr="00C83DA7">
            <w:rPr>
              <w:sz w:val="26"/>
              <w:szCs w:val="26"/>
            </w:rPr>
            <w:t>3.   Exceptions, Replies, and Disposition</w:t>
          </w:r>
          <w:r w:rsidRPr="00C83DA7">
            <w:rPr>
              <w:sz w:val="26"/>
              <w:szCs w:val="26"/>
            </w:rPr>
            <w:ptab w:relativeTo="margin" w:alignment="right" w:leader="dot"/>
          </w:r>
          <w:r w:rsidRPr="00C83DA7">
            <w:rPr>
              <w:sz w:val="26"/>
              <w:szCs w:val="26"/>
            </w:rPr>
            <w:t>6</w:t>
          </w:r>
          <w:r w:rsidR="005E3ED7" w:rsidRPr="00C83DA7">
            <w:rPr>
              <w:sz w:val="26"/>
              <w:szCs w:val="26"/>
            </w:rPr>
            <w:t>7</w:t>
          </w:r>
        </w:p>
        <w:p w14:paraId="5C2E71F8" w14:textId="6F39167D" w:rsidR="006F5872" w:rsidRPr="00C83DA7" w:rsidRDefault="006F5872" w:rsidP="00A72B99">
          <w:pPr>
            <w:spacing w:after="100" w:line="259" w:lineRule="auto"/>
            <w:ind w:left="1440" w:hanging="360"/>
            <w:rPr>
              <w:sz w:val="26"/>
              <w:szCs w:val="26"/>
            </w:rPr>
          </w:pPr>
          <w:r w:rsidRPr="00C83DA7">
            <w:rPr>
              <w:sz w:val="26"/>
              <w:szCs w:val="26"/>
            </w:rPr>
            <w:t xml:space="preserve"> a.   The City’s Exceptions Nos. 11 and 15</w:t>
          </w:r>
          <w:r w:rsidRPr="00C83DA7">
            <w:rPr>
              <w:sz w:val="26"/>
              <w:szCs w:val="26"/>
            </w:rPr>
            <w:ptab w:relativeTo="margin" w:alignment="right" w:leader="dot"/>
          </w:r>
          <w:r w:rsidRPr="00C83DA7">
            <w:rPr>
              <w:sz w:val="26"/>
              <w:szCs w:val="26"/>
            </w:rPr>
            <w:t>6</w:t>
          </w:r>
          <w:r w:rsidR="005E3ED7" w:rsidRPr="00C83DA7">
            <w:rPr>
              <w:sz w:val="26"/>
              <w:szCs w:val="26"/>
            </w:rPr>
            <w:t>7</w:t>
          </w:r>
        </w:p>
        <w:p w14:paraId="7CD711AE" w14:textId="7733EE24" w:rsidR="006F5872" w:rsidRPr="00C83DA7" w:rsidRDefault="00A72B99" w:rsidP="00A72B99">
          <w:pPr>
            <w:spacing w:after="100" w:line="240" w:lineRule="auto"/>
            <w:ind w:left="1440" w:hanging="360"/>
            <w:rPr>
              <w:rFonts w:eastAsia="Calibri"/>
              <w:sz w:val="26"/>
              <w:szCs w:val="26"/>
            </w:rPr>
          </w:pPr>
          <w:r>
            <w:rPr>
              <w:rFonts w:eastAsia="Calibri"/>
              <w:sz w:val="26"/>
              <w:szCs w:val="26"/>
            </w:rPr>
            <w:t xml:space="preserve"> </w:t>
          </w:r>
          <w:r w:rsidR="006F5872" w:rsidRPr="00C83DA7">
            <w:rPr>
              <w:rFonts w:eastAsia="Calibri"/>
              <w:sz w:val="26"/>
              <w:szCs w:val="26"/>
            </w:rPr>
            <w:t>b.   UGI’s Repl</w:t>
          </w:r>
          <w:r w:rsidR="001D164E" w:rsidRPr="00C83DA7">
            <w:rPr>
              <w:rFonts w:eastAsia="Calibri"/>
              <w:sz w:val="26"/>
              <w:szCs w:val="26"/>
            </w:rPr>
            <w:t>ies</w:t>
          </w:r>
          <w:r w:rsidR="006F5872" w:rsidRPr="00C83DA7">
            <w:rPr>
              <w:rFonts w:eastAsia="Calibri"/>
              <w:sz w:val="26"/>
              <w:szCs w:val="26"/>
            </w:rPr>
            <w:ptab w:relativeTo="margin" w:alignment="right" w:leader="dot"/>
          </w:r>
          <w:r w:rsidR="006F5872" w:rsidRPr="00C83DA7">
            <w:rPr>
              <w:rFonts w:eastAsia="Calibri"/>
              <w:sz w:val="26"/>
              <w:szCs w:val="26"/>
            </w:rPr>
            <w:t>6</w:t>
          </w:r>
          <w:r w:rsidR="00F878B5" w:rsidRPr="00C83DA7">
            <w:rPr>
              <w:rFonts w:eastAsia="Calibri"/>
              <w:sz w:val="26"/>
              <w:szCs w:val="26"/>
            </w:rPr>
            <w:t>8</w:t>
          </w:r>
        </w:p>
        <w:p w14:paraId="61CE3133" w14:textId="287D3627" w:rsidR="006F5872" w:rsidRPr="00C83DA7" w:rsidRDefault="00A72B99" w:rsidP="00A72B99">
          <w:pPr>
            <w:ind w:left="1440" w:hanging="360"/>
            <w:rPr>
              <w:rFonts w:eastAsia="Calibri"/>
              <w:sz w:val="26"/>
              <w:szCs w:val="26"/>
            </w:rPr>
          </w:pPr>
          <w:r>
            <w:rPr>
              <w:rFonts w:eastAsia="Calibri"/>
              <w:sz w:val="26"/>
              <w:szCs w:val="26"/>
            </w:rPr>
            <w:t xml:space="preserve"> </w:t>
          </w:r>
          <w:r w:rsidR="006F5872" w:rsidRPr="00C83DA7">
            <w:rPr>
              <w:rFonts w:eastAsia="Calibri"/>
              <w:sz w:val="26"/>
              <w:szCs w:val="26"/>
            </w:rPr>
            <w:t>c.   Disposition</w:t>
          </w:r>
          <w:r w:rsidR="006F5872" w:rsidRPr="00C83DA7">
            <w:rPr>
              <w:rFonts w:eastAsia="Calibri"/>
              <w:sz w:val="26"/>
              <w:szCs w:val="26"/>
            </w:rPr>
            <w:ptab w:relativeTo="margin" w:alignment="right" w:leader="dot"/>
          </w:r>
          <w:r w:rsidR="006F5872" w:rsidRPr="00C83DA7">
            <w:rPr>
              <w:rFonts w:eastAsia="Calibri"/>
              <w:sz w:val="26"/>
              <w:szCs w:val="26"/>
            </w:rPr>
            <w:t>7</w:t>
          </w:r>
          <w:r w:rsidR="00F878B5" w:rsidRPr="00C83DA7">
            <w:rPr>
              <w:rFonts w:eastAsia="Calibri"/>
              <w:sz w:val="26"/>
              <w:szCs w:val="26"/>
            </w:rPr>
            <w:t>1</w:t>
          </w:r>
        </w:p>
        <w:p w14:paraId="15936A4C" w14:textId="6411005D" w:rsidR="006F5872" w:rsidRPr="006F5872" w:rsidRDefault="006F5872" w:rsidP="006F5872">
          <w:pPr>
            <w:spacing w:after="100" w:line="259" w:lineRule="auto"/>
            <w:ind w:firstLine="0"/>
            <w:rPr>
              <w:sz w:val="26"/>
              <w:szCs w:val="26"/>
            </w:rPr>
          </w:pPr>
          <w:r w:rsidRPr="00C83DA7">
            <w:rPr>
              <w:sz w:val="26"/>
              <w:szCs w:val="26"/>
            </w:rPr>
            <w:t>III.   Conclusion</w:t>
          </w:r>
          <w:r w:rsidRPr="00C83DA7">
            <w:rPr>
              <w:sz w:val="26"/>
              <w:szCs w:val="26"/>
            </w:rPr>
            <w:ptab w:relativeTo="margin" w:alignment="right" w:leader="dot"/>
          </w:r>
          <w:r w:rsidRPr="00C83DA7">
            <w:rPr>
              <w:sz w:val="26"/>
              <w:szCs w:val="26"/>
            </w:rPr>
            <w:t>7</w:t>
          </w:r>
          <w:r w:rsidR="00F878B5" w:rsidRPr="00C83DA7">
            <w:rPr>
              <w:sz w:val="26"/>
              <w:szCs w:val="26"/>
            </w:rPr>
            <w:t>7</w:t>
          </w:r>
        </w:p>
      </w:sdtContent>
    </w:sdt>
    <w:p w14:paraId="5361B482" w14:textId="77777777" w:rsidR="006F5872" w:rsidRDefault="006F5872" w:rsidP="006F5872">
      <w:pPr>
        <w:rPr>
          <w:sz w:val="26"/>
        </w:rPr>
      </w:pPr>
    </w:p>
    <w:p w14:paraId="6656C354" w14:textId="77777777" w:rsidR="006F5872" w:rsidRPr="006F5872" w:rsidRDefault="006F5872" w:rsidP="006F5872">
      <w:pPr>
        <w:rPr>
          <w:sz w:val="26"/>
        </w:rPr>
        <w:sectPr w:rsidR="006F5872" w:rsidRPr="006F5872" w:rsidSect="008E1AD5">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29906122" w14:textId="77777777" w:rsidR="009078DF" w:rsidRDefault="009078DF" w:rsidP="00725885">
      <w:pPr>
        <w:tabs>
          <w:tab w:val="left" w:pos="-720"/>
        </w:tabs>
        <w:suppressAutoHyphens/>
        <w:ind w:firstLine="0"/>
        <w:rPr>
          <w:sz w:val="26"/>
        </w:rPr>
      </w:pPr>
      <w:r>
        <w:rPr>
          <w:b/>
          <w:sz w:val="26"/>
        </w:rPr>
        <w:lastRenderedPageBreak/>
        <w:t>BY THE COMMISSION:</w:t>
      </w:r>
    </w:p>
    <w:p w14:paraId="22EB133F" w14:textId="77777777" w:rsidR="009078DF" w:rsidRDefault="009078DF" w:rsidP="00725885">
      <w:pPr>
        <w:ind w:firstLine="0"/>
        <w:rPr>
          <w:sz w:val="26"/>
          <w:szCs w:val="26"/>
        </w:rPr>
      </w:pPr>
    </w:p>
    <w:p w14:paraId="2F4E0CB6" w14:textId="4EF12CA6" w:rsidR="003E22FC" w:rsidRPr="0074338E" w:rsidRDefault="009078DF" w:rsidP="008E1AD5">
      <w:pPr>
        <w:rPr>
          <w:b/>
          <w:bCs/>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0B3D42">
        <w:rPr>
          <w:sz w:val="26"/>
          <w:szCs w:val="26"/>
        </w:rPr>
        <w:t xml:space="preserve">are the </w:t>
      </w:r>
      <w:r w:rsidR="000A3CF0">
        <w:rPr>
          <w:sz w:val="26"/>
          <w:szCs w:val="26"/>
        </w:rPr>
        <w:t xml:space="preserve">following: the </w:t>
      </w:r>
      <w:r w:rsidR="000B3D42">
        <w:rPr>
          <w:sz w:val="26"/>
          <w:szCs w:val="26"/>
        </w:rPr>
        <w:t>Excepti</w:t>
      </w:r>
      <w:r w:rsidR="000068E0">
        <w:rPr>
          <w:sz w:val="26"/>
          <w:szCs w:val="26"/>
        </w:rPr>
        <w:t xml:space="preserve">ons of </w:t>
      </w:r>
      <w:r w:rsidR="000A3CF0">
        <w:rPr>
          <w:sz w:val="26"/>
          <w:szCs w:val="26"/>
        </w:rPr>
        <w:t xml:space="preserve">Centre Park Historic </w:t>
      </w:r>
      <w:r w:rsidR="00B96185">
        <w:rPr>
          <w:sz w:val="26"/>
          <w:szCs w:val="26"/>
        </w:rPr>
        <w:t xml:space="preserve"> </w:t>
      </w:r>
      <w:r w:rsidR="000A3CF0">
        <w:rPr>
          <w:sz w:val="26"/>
          <w:szCs w:val="26"/>
        </w:rPr>
        <w:t>District</w:t>
      </w:r>
      <w:r w:rsidR="00F366FC">
        <w:rPr>
          <w:sz w:val="26"/>
          <w:szCs w:val="26"/>
        </w:rPr>
        <w:t xml:space="preserve"> (CPHD)</w:t>
      </w:r>
      <w:r w:rsidR="000A3CF0">
        <w:rPr>
          <w:sz w:val="26"/>
          <w:szCs w:val="26"/>
        </w:rPr>
        <w:t>,</w:t>
      </w:r>
      <w:r w:rsidR="00B96185">
        <w:rPr>
          <w:rStyle w:val="FootnoteReference"/>
          <w:sz w:val="26"/>
          <w:szCs w:val="26"/>
        </w:rPr>
        <w:footnoteReference w:id="1"/>
      </w:r>
      <w:r w:rsidR="000A3CF0">
        <w:rPr>
          <w:sz w:val="26"/>
          <w:szCs w:val="26"/>
        </w:rPr>
        <w:t xml:space="preserve"> filed on March 15, 2019; the Exceptions of the City of Reading</w:t>
      </w:r>
      <w:r w:rsidR="00F366FC">
        <w:rPr>
          <w:sz w:val="26"/>
          <w:szCs w:val="26"/>
        </w:rPr>
        <w:t xml:space="preserve"> (the City)</w:t>
      </w:r>
      <w:r w:rsidR="000A3CF0">
        <w:rPr>
          <w:sz w:val="26"/>
          <w:szCs w:val="26"/>
        </w:rPr>
        <w:t xml:space="preserve">, filed on March 18, 2019; and the Exceptions of </w:t>
      </w:r>
      <w:r w:rsidR="000068E0">
        <w:rPr>
          <w:sz w:val="26"/>
          <w:szCs w:val="26"/>
        </w:rPr>
        <w:t>UGI</w:t>
      </w:r>
      <w:r w:rsidR="00A427C8">
        <w:rPr>
          <w:sz w:val="26"/>
          <w:szCs w:val="26"/>
        </w:rPr>
        <w:t xml:space="preserve"> Utilities, Inc.</w:t>
      </w:r>
      <w:r w:rsidR="00F366FC">
        <w:rPr>
          <w:sz w:val="26"/>
          <w:szCs w:val="26"/>
        </w:rPr>
        <w:t xml:space="preserve"> (UGI</w:t>
      </w:r>
      <w:r w:rsidR="00A929EB">
        <w:rPr>
          <w:sz w:val="26"/>
          <w:szCs w:val="26"/>
        </w:rPr>
        <w:t>,</w:t>
      </w:r>
      <w:r w:rsidR="00F366FC">
        <w:rPr>
          <w:sz w:val="26"/>
          <w:szCs w:val="26"/>
        </w:rPr>
        <w:t xml:space="preserve"> Company</w:t>
      </w:r>
      <w:r w:rsidR="00A929EB">
        <w:rPr>
          <w:sz w:val="26"/>
          <w:szCs w:val="26"/>
        </w:rPr>
        <w:t>, or Respondent</w:t>
      </w:r>
      <w:r w:rsidR="00F366FC">
        <w:rPr>
          <w:sz w:val="26"/>
          <w:szCs w:val="26"/>
        </w:rPr>
        <w:t>)</w:t>
      </w:r>
      <w:r w:rsidR="000068E0">
        <w:rPr>
          <w:sz w:val="26"/>
          <w:szCs w:val="26"/>
        </w:rPr>
        <w:t xml:space="preserve">, filed on </w:t>
      </w:r>
      <w:r w:rsidR="00A427C8">
        <w:rPr>
          <w:sz w:val="26"/>
          <w:szCs w:val="26"/>
        </w:rPr>
        <w:t>March 18, 2019</w:t>
      </w:r>
      <w:r w:rsidR="000068E0">
        <w:rPr>
          <w:sz w:val="26"/>
          <w:szCs w:val="26"/>
        </w:rPr>
        <w:t>, to the Initial Decision (I.D.</w:t>
      </w:r>
      <w:r w:rsidR="00F147D7">
        <w:rPr>
          <w:sz w:val="26"/>
          <w:szCs w:val="26"/>
        </w:rPr>
        <w:t xml:space="preserve"> or Initial Decision</w:t>
      </w:r>
      <w:r w:rsidR="000068E0">
        <w:rPr>
          <w:sz w:val="26"/>
          <w:szCs w:val="26"/>
        </w:rPr>
        <w:t xml:space="preserve">) of Administrative Law Judge Mary D. Long, </w:t>
      </w:r>
      <w:r w:rsidR="00F366FC">
        <w:rPr>
          <w:sz w:val="26"/>
          <w:szCs w:val="26"/>
        </w:rPr>
        <w:t>serv</w:t>
      </w:r>
      <w:r w:rsidR="000068E0">
        <w:rPr>
          <w:sz w:val="26"/>
          <w:szCs w:val="26"/>
        </w:rPr>
        <w:t xml:space="preserve">ed on </w:t>
      </w:r>
      <w:r w:rsidR="00F366FC">
        <w:rPr>
          <w:sz w:val="26"/>
          <w:szCs w:val="26"/>
        </w:rPr>
        <w:t>February 26</w:t>
      </w:r>
      <w:r w:rsidR="000068E0">
        <w:rPr>
          <w:sz w:val="26"/>
          <w:szCs w:val="26"/>
        </w:rPr>
        <w:t>, 201</w:t>
      </w:r>
      <w:r w:rsidR="00F366FC">
        <w:rPr>
          <w:sz w:val="26"/>
          <w:szCs w:val="26"/>
        </w:rPr>
        <w:t>9</w:t>
      </w:r>
      <w:r w:rsidR="000068E0">
        <w:rPr>
          <w:sz w:val="26"/>
          <w:szCs w:val="26"/>
        </w:rPr>
        <w:t xml:space="preserve">.  </w:t>
      </w:r>
      <w:r w:rsidR="000B3D42">
        <w:rPr>
          <w:sz w:val="26"/>
          <w:szCs w:val="26"/>
        </w:rPr>
        <w:t>T</w:t>
      </w:r>
      <w:r w:rsidR="00AD64F9">
        <w:rPr>
          <w:sz w:val="26"/>
          <w:szCs w:val="26"/>
        </w:rPr>
        <w:t xml:space="preserve">he City </w:t>
      </w:r>
      <w:r w:rsidR="00F366FC">
        <w:rPr>
          <w:sz w:val="26"/>
          <w:szCs w:val="26"/>
        </w:rPr>
        <w:t xml:space="preserve">and UGI </w:t>
      </w:r>
      <w:r w:rsidR="00AD64F9">
        <w:rPr>
          <w:sz w:val="26"/>
          <w:szCs w:val="26"/>
        </w:rPr>
        <w:t>filed Replies to Exceptions on</w:t>
      </w:r>
      <w:r w:rsidR="0074338E">
        <w:rPr>
          <w:sz w:val="26"/>
          <w:szCs w:val="26"/>
        </w:rPr>
        <w:t xml:space="preserve"> March 28, 2019</w:t>
      </w:r>
      <w:r w:rsidR="00AD64F9" w:rsidRPr="007300AC">
        <w:rPr>
          <w:sz w:val="26"/>
          <w:szCs w:val="26"/>
        </w:rPr>
        <w:t>.</w:t>
      </w:r>
      <w:r w:rsidR="009F1BCB">
        <w:rPr>
          <w:rStyle w:val="FootnoteReference"/>
          <w:sz w:val="26"/>
          <w:szCs w:val="26"/>
        </w:rPr>
        <w:footnoteReference w:id="2"/>
      </w:r>
      <w:r w:rsidR="00AD64F9" w:rsidRPr="007300AC">
        <w:rPr>
          <w:sz w:val="26"/>
          <w:szCs w:val="26"/>
        </w:rPr>
        <w:t xml:space="preserve">  </w:t>
      </w:r>
      <w:r w:rsidR="00892E92">
        <w:rPr>
          <w:sz w:val="26"/>
        </w:rPr>
        <w:t>Based on our review of the record, the Parties’ filings, and the applicable law, we shall: (1) grant, in part, and deny, in part the City’s Exceptions</w:t>
      </w:r>
      <w:r w:rsidR="00E40174">
        <w:rPr>
          <w:sz w:val="26"/>
        </w:rPr>
        <w:t xml:space="preserve">; </w:t>
      </w:r>
      <w:r w:rsidR="00892E92">
        <w:rPr>
          <w:sz w:val="26"/>
        </w:rPr>
        <w:t>(2) deny UGI’s Exceptions</w:t>
      </w:r>
      <w:r w:rsidR="00E40174">
        <w:rPr>
          <w:sz w:val="26"/>
        </w:rPr>
        <w:t xml:space="preserve">; </w:t>
      </w:r>
      <w:r w:rsidR="00892E92">
        <w:rPr>
          <w:sz w:val="26"/>
        </w:rPr>
        <w:t>(3) grant, in part, and deny, in part, CPHD’s Exceptions</w:t>
      </w:r>
      <w:r w:rsidR="00E40174">
        <w:rPr>
          <w:sz w:val="26"/>
        </w:rPr>
        <w:t xml:space="preserve">; </w:t>
      </w:r>
      <w:r w:rsidR="00C821FB">
        <w:rPr>
          <w:sz w:val="26"/>
        </w:rPr>
        <w:t>(</w:t>
      </w:r>
      <w:r w:rsidR="00C03ECB">
        <w:rPr>
          <w:sz w:val="26"/>
        </w:rPr>
        <w:t>4</w:t>
      </w:r>
      <w:r w:rsidR="00C821FB">
        <w:rPr>
          <w:sz w:val="26"/>
        </w:rPr>
        <w:t>)</w:t>
      </w:r>
      <w:r w:rsidR="00892E92">
        <w:rPr>
          <w:sz w:val="26"/>
        </w:rPr>
        <w:t xml:space="preserve"> modify the Initial Decision, as set forth in this Opinion and Order and the Ordering Paragraphs below</w:t>
      </w:r>
      <w:r w:rsidR="00E40174">
        <w:rPr>
          <w:sz w:val="26"/>
        </w:rPr>
        <w:t xml:space="preserve">; </w:t>
      </w:r>
      <w:r w:rsidR="00C821FB">
        <w:rPr>
          <w:sz w:val="26"/>
        </w:rPr>
        <w:t>and (</w:t>
      </w:r>
      <w:r w:rsidR="00C03ECB">
        <w:rPr>
          <w:sz w:val="26"/>
        </w:rPr>
        <w:t>5</w:t>
      </w:r>
      <w:r w:rsidR="00C821FB">
        <w:rPr>
          <w:sz w:val="26"/>
        </w:rPr>
        <w:t>) direct UGI to comply with the remedy detailed herein</w:t>
      </w:r>
      <w:r w:rsidR="00892E92">
        <w:rPr>
          <w:sz w:val="26"/>
        </w:rPr>
        <w:t>.</w:t>
      </w:r>
      <w:r w:rsidR="00C821FB">
        <w:rPr>
          <w:sz w:val="26"/>
        </w:rPr>
        <w:t xml:space="preserve"> </w:t>
      </w:r>
      <w:r w:rsidR="003F4198" w:rsidRPr="0074338E">
        <w:rPr>
          <w:b/>
          <w:bCs/>
          <w:sz w:val="26"/>
          <w:szCs w:val="26"/>
        </w:rPr>
        <w:t xml:space="preserve"> </w:t>
      </w:r>
    </w:p>
    <w:p w14:paraId="604A7E21" w14:textId="77777777" w:rsidR="009F1BCB" w:rsidRDefault="009F1BCB" w:rsidP="008E1AD5">
      <w:pPr>
        <w:ind w:firstLine="0"/>
        <w:jc w:val="center"/>
        <w:rPr>
          <w:b/>
          <w:sz w:val="26"/>
          <w:szCs w:val="26"/>
        </w:rPr>
      </w:pPr>
    </w:p>
    <w:p w14:paraId="24D593ED" w14:textId="77777777" w:rsidR="00EB5FEB" w:rsidRPr="00672118" w:rsidRDefault="003C3B2D" w:rsidP="008E1AD5">
      <w:pPr>
        <w:ind w:firstLine="0"/>
        <w:jc w:val="center"/>
        <w:rPr>
          <w:color w:val="000000"/>
          <w:sz w:val="26"/>
          <w:szCs w:val="26"/>
        </w:rPr>
      </w:pPr>
      <w:r>
        <w:rPr>
          <w:b/>
          <w:sz w:val="26"/>
          <w:szCs w:val="26"/>
        </w:rPr>
        <w:t>I.</w:t>
      </w:r>
      <w:r>
        <w:rPr>
          <w:b/>
          <w:sz w:val="26"/>
          <w:szCs w:val="26"/>
        </w:rPr>
        <w:tab/>
      </w:r>
      <w:r w:rsidR="009078DF" w:rsidRPr="00672118">
        <w:rPr>
          <w:b/>
          <w:sz w:val="26"/>
          <w:szCs w:val="26"/>
        </w:rPr>
        <w:t>History of the Proceeding</w:t>
      </w:r>
    </w:p>
    <w:p w14:paraId="3098C011" w14:textId="77777777" w:rsidR="00EB5FEB" w:rsidRPr="00EB5FEB" w:rsidRDefault="00EB5FEB" w:rsidP="008E1AD5">
      <w:pPr>
        <w:ind w:firstLine="0"/>
        <w:rPr>
          <w:color w:val="000000"/>
          <w:sz w:val="26"/>
          <w:szCs w:val="26"/>
        </w:rPr>
      </w:pPr>
    </w:p>
    <w:p w14:paraId="6F0D2543" w14:textId="77777777" w:rsidR="0048559E" w:rsidRDefault="00415ACE" w:rsidP="008E1AD5">
      <w:pPr>
        <w:pStyle w:val="FootnoteText"/>
        <w:ind w:firstLine="0"/>
        <w:rPr>
          <w:sz w:val="26"/>
        </w:rPr>
      </w:pPr>
      <w:r>
        <w:rPr>
          <w:sz w:val="26"/>
        </w:rPr>
        <w:tab/>
      </w:r>
      <w:r>
        <w:rPr>
          <w:sz w:val="26"/>
        </w:rPr>
        <w:tab/>
      </w:r>
      <w:r w:rsidR="0048559E" w:rsidRPr="0048559E">
        <w:rPr>
          <w:sz w:val="26"/>
        </w:rPr>
        <w:t xml:space="preserve">On November 25, 2015, CPHD filed a </w:t>
      </w:r>
      <w:r w:rsidR="0048559E">
        <w:rPr>
          <w:sz w:val="26"/>
        </w:rPr>
        <w:t>F</w:t>
      </w:r>
      <w:r w:rsidR="0048559E" w:rsidRPr="0048559E">
        <w:rPr>
          <w:sz w:val="26"/>
        </w:rPr>
        <w:t xml:space="preserve">ormal </w:t>
      </w:r>
      <w:r w:rsidR="0048559E">
        <w:rPr>
          <w:sz w:val="26"/>
        </w:rPr>
        <w:t>C</w:t>
      </w:r>
      <w:r w:rsidR="0048559E" w:rsidRPr="0048559E">
        <w:rPr>
          <w:sz w:val="26"/>
        </w:rPr>
        <w:t>omplaint</w:t>
      </w:r>
      <w:r w:rsidR="0048559E">
        <w:rPr>
          <w:sz w:val="26"/>
        </w:rPr>
        <w:t>,</w:t>
      </w:r>
      <w:r w:rsidR="0048559E" w:rsidRPr="0048559E">
        <w:rPr>
          <w:sz w:val="26"/>
        </w:rPr>
        <w:t xml:space="preserve"> alleg</w:t>
      </w:r>
      <w:r w:rsidR="0048559E">
        <w:rPr>
          <w:sz w:val="26"/>
        </w:rPr>
        <w:t>ing</w:t>
      </w:r>
      <w:r w:rsidR="0048559E" w:rsidRPr="0048559E">
        <w:rPr>
          <w:sz w:val="26"/>
        </w:rPr>
        <w:t xml:space="preserve"> that UGI violated </w:t>
      </w:r>
      <w:r w:rsidR="00181213">
        <w:rPr>
          <w:sz w:val="26"/>
        </w:rPr>
        <w:t xml:space="preserve">Section 59.18 of </w:t>
      </w:r>
      <w:r w:rsidR="0048559E" w:rsidRPr="0048559E">
        <w:rPr>
          <w:sz w:val="26"/>
        </w:rPr>
        <w:t xml:space="preserve">the Commission’s </w:t>
      </w:r>
      <w:r w:rsidR="00181213">
        <w:rPr>
          <w:sz w:val="26"/>
        </w:rPr>
        <w:t>R</w:t>
      </w:r>
      <w:r w:rsidR="0048559E" w:rsidRPr="0048559E">
        <w:rPr>
          <w:sz w:val="26"/>
        </w:rPr>
        <w:t>egulation</w:t>
      </w:r>
      <w:r w:rsidR="00181213">
        <w:rPr>
          <w:sz w:val="26"/>
        </w:rPr>
        <w:t xml:space="preserve">s, 52 Pa. Code </w:t>
      </w:r>
      <w:r w:rsidR="00181213" w:rsidRPr="0048559E">
        <w:rPr>
          <w:sz w:val="26"/>
        </w:rPr>
        <w:t>§</w:t>
      </w:r>
      <w:r w:rsidR="00181213">
        <w:rPr>
          <w:sz w:val="26"/>
        </w:rPr>
        <w:t xml:space="preserve"> 59.18,</w:t>
      </w:r>
      <w:r w:rsidR="0048559E" w:rsidRPr="0048559E">
        <w:rPr>
          <w:sz w:val="26"/>
        </w:rPr>
        <w:t xml:space="preserve"> </w:t>
      </w:r>
      <w:r w:rsidR="00181213">
        <w:rPr>
          <w:sz w:val="26"/>
        </w:rPr>
        <w:t xml:space="preserve">by failing to consider inside meter placement in all designated historic districts in Reading, Pennsylvania. </w:t>
      </w:r>
      <w:r w:rsidR="002104D8">
        <w:rPr>
          <w:sz w:val="26"/>
        </w:rPr>
        <w:t xml:space="preserve"> </w:t>
      </w:r>
      <w:r w:rsidR="003A3B7E">
        <w:rPr>
          <w:sz w:val="26"/>
        </w:rPr>
        <w:t xml:space="preserve">On December 15, 2015, </w:t>
      </w:r>
      <w:r w:rsidR="0048559E" w:rsidRPr="0048559E">
        <w:rPr>
          <w:sz w:val="26"/>
        </w:rPr>
        <w:t xml:space="preserve">UGI filed an </w:t>
      </w:r>
      <w:r w:rsidR="003A3B7E">
        <w:rPr>
          <w:sz w:val="26"/>
        </w:rPr>
        <w:t>A</w:t>
      </w:r>
      <w:r w:rsidR="0048559E" w:rsidRPr="0048559E">
        <w:rPr>
          <w:sz w:val="26"/>
        </w:rPr>
        <w:t xml:space="preserve">nswer denying the material allegations </w:t>
      </w:r>
      <w:r w:rsidR="003A3B7E">
        <w:rPr>
          <w:sz w:val="26"/>
        </w:rPr>
        <w:t>in</w:t>
      </w:r>
      <w:r w:rsidR="0048559E" w:rsidRPr="0048559E">
        <w:rPr>
          <w:sz w:val="26"/>
        </w:rPr>
        <w:t xml:space="preserve"> the </w:t>
      </w:r>
      <w:r w:rsidR="003A3B7E">
        <w:rPr>
          <w:sz w:val="26"/>
        </w:rPr>
        <w:t>C</w:t>
      </w:r>
      <w:r w:rsidR="0048559E" w:rsidRPr="0048559E">
        <w:rPr>
          <w:sz w:val="26"/>
        </w:rPr>
        <w:t>omplaint</w:t>
      </w:r>
      <w:r w:rsidR="002104D8">
        <w:rPr>
          <w:sz w:val="26"/>
        </w:rPr>
        <w:t xml:space="preserve"> and</w:t>
      </w:r>
      <w:r w:rsidR="003A3B7E">
        <w:rPr>
          <w:sz w:val="26"/>
        </w:rPr>
        <w:t xml:space="preserve"> averr</w:t>
      </w:r>
      <w:r w:rsidR="002104D8">
        <w:rPr>
          <w:sz w:val="26"/>
        </w:rPr>
        <w:t>ing</w:t>
      </w:r>
      <w:r w:rsidR="0048559E" w:rsidRPr="0048559E">
        <w:rPr>
          <w:sz w:val="26"/>
        </w:rPr>
        <w:t xml:space="preserve"> that Section 59.18 grants </w:t>
      </w:r>
      <w:r w:rsidR="004E16F1">
        <w:rPr>
          <w:sz w:val="26"/>
        </w:rPr>
        <w:t>the Company</w:t>
      </w:r>
      <w:r w:rsidR="0048559E" w:rsidRPr="0048559E">
        <w:rPr>
          <w:sz w:val="26"/>
        </w:rPr>
        <w:t xml:space="preserve"> discretion in the placement of meters in historic areas.</w:t>
      </w:r>
    </w:p>
    <w:p w14:paraId="665B7A6B" w14:textId="77777777" w:rsidR="00237312" w:rsidRPr="0048559E" w:rsidRDefault="00237312" w:rsidP="008E1AD5">
      <w:pPr>
        <w:pStyle w:val="FootnoteText"/>
        <w:ind w:firstLine="0"/>
        <w:rPr>
          <w:sz w:val="26"/>
        </w:rPr>
      </w:pPr>
    </w:p>
    <w:p w14:paraId="5E74371B" w14:textId="154AB0E7" w:rsidR="00A541B0" w:rsidRPr="002104D8" w:rsidRDefault="0048559E" w:rsidP="008E1AD5">
      <w:pPr>
        <w:rPr>
          <w:b/>
          <w:bCs/>
          <w:sz w:val="26"/>
        </w:rPr>
      </w:pPr>
      <w:r w:rsidRPr="0048559E">
        <w:rPr>
          <w:sz w:val="26"/>
        </w:rPr>
        <w:lastRenderedPageBreak/>
        <w:t xml:space="preserve">On February 17, 2016, the City filed a </w:t>
      </w:r>
      <w:r w:rsidR="00374391">
        <w:rPr>
          <w:sz w:val="26"/>
        </w:rPr>
        <w:t>F</w:t>
      </w:r>
      <w:r w:rsidRPr="0048559E">
        <w:rPr>
          <w:sz w:val="26"/>
        </w:rPr>
        <w:t xml:space="preserve">ormal </w:t>
      </w:r>
      <w:r w:rsidR="00374391">
        <w:rPr>
          <w:sz w:val="26"/>
        </w:rPr>
        <w:t>C</w:t>
      </w:r>
      <w:r w:rsidRPr="0048559E">
        <w:rPr>
          <w:sz w:val="26"/>
        </w:rPr>
        <w:t>omplaint against UGI, challenging UGI’s placement of meters in historic districts</w:t>
      </w:r>
      <w:r w:rsidR="00374391">
        <w:rPr>
          <w:sz w:val="26"/>
        </w:rPr>
        <w:t>, in violation of Section 59.18,</w:t>
      </w:r>
      <w:r w:rsidRPr="0048559E">
        <w:rPr>
          <w:sz w:val="26"/>
        </w:rPr>
        <w:t xml:space="preserve"> as well as the outside placement of meters in unsafe locations in </w:t>
      </w:r>
      <w:r w:rsidR="00A541B0">
        <w:rPr>
          <w:sz w:val="26"/>
        </w:rPr>
        <w:t xml:space="preserve">historic districts and </w:t>
      </w:r>
      <w:r w:rsidRPr="0048559E">
        <w:rPr>
          <w:sz w:val="26"/>
        </w:rPr>
        <w:t>other districts of the city</w:t>
      </w:r>
      <w:r w:rsidR="00A541B0">
        <w:rPr>
          <w:sz w:val="26"/>
        </w:rPr>
        <w:t>, in violation of Section 59.18 and 49 C.F.R. § 192.353</w:t>
      </w:r>
      <w:r w:rsidRPr="0048559E">
        <w:rPr>
          <w:sz w:val="26"/>
        </w:rPr>
        <w:t xml:space="preserve">.  On March 14, 2016, UGI filed an </w:t>
      </w:r>
      <w:r w:rsidR="00A541B0">
        <w:rPr>
          <w:sz w:val="26"/>
        </w:rPr>
        <w:t>A</w:t>
      </w:r>
      <w:r w:rsidRPr="0048559E">
        <w:rPr>
          <w:sz w:val="26"/>
        </w:rPr>
        <w:t xml:space="preserve">nswer denying the material allegations of the </w:t>
      </w:r>
      <w:r w:rsidR="005D54F9">
        <w:rPr>
          <w:sz w:val="26"/>
        </w:rPr>
        <w:t>C</w:t>
      </w:r>
      <w:r w:rsidRPr="0048559E">
        <w:rPr>
          <w:sz w:val="26"/>
        </w:rPr>
        <w:t>omplaint</w:t>
      </w:r>
      <w:r w:rsidR="00A541B0">
        <w:rPr>
          <w:sz w:val="26"/>
        </w:rPr>
        <w:t>, as well</w:t>
      </w:r>
      <w:r w:rsidRPr="0048559E">
        <w:rPr>
          <w:sz w:val="26"/>
        </w:rPr>
        <w:t xml:space="preserve"> </w:t>
      </w:r>
      <w:r w:rsidR="00A541B0">
        <w:rPr>
          <w:sz w:val="26"/>
        </w:rPr>
        <w:t>as</w:t>
      </w:r>
      <w:r w:rsidRPr="0048559E">
        <w:rPr>
          <w:sz w:val="26"/>
        </w:rPr>
        <w:t xml:space="preserve"> </w:t>
      </w:r>
      <w:r w:rsidR="00A541B0">
        <w:rPr>
          <w:sz w:val="26"/>
        </w:rPr>
        <w:t>P</w:t>
      </w:r>
      <w:r w:rsidRPr="0048559E">
        <w:rPr>
          <w:sz w:val="26"/>
        </w:rPr>
        <w:t xml:space="preserve">reliminary </w:t>
      </w:r>
      <w:r w:rsidR="00A541B0">
        <w:rPr>
          <w:sz w:val="26"/>
        </w:rPr>
        <w:t>O</w:t>
      </w:r>
      <w:r w:rsidRPr="0048559E">
        <w:rPr>
          <w:sz w:val="26"/>
        </w:rPr>
        <w:t xml:space="preserve">bjections seeking dismissal of the </w:t>
      </w:r>
      <w:r w:rsidR="00A541B0">
        <w:rPr>
          <w:sz w:val="26"/>
        </w:rPr>
        <w:t>C</w:t>
      </w:r>
      <w:r w:rsidRPr="0048559E">
        <w:rPr>
          <w:sz w:val="26"/>
        </w:rPr>
        <w:t>omplaint.</w:t>
      </w:r>
    </w:p>
    <w:p w14:paraId="2B72F7A7" w14:textId="77777777" w:rsidR="00564606" w:rsidRDefault="00564606" w:rsidP="008E1AD5">
      <w:pPr>
        <w:rPr>
          <w:sz w:val="26"/>
        </w:rPr>
      </w:pPr>
    </w:p>
    <w:p w14:paraId="74938A45" w14:textId="6D71442A" w:rsidR="00B46DCB" w:rsidRDefault="00A541B0" w:rsidP="008E1AD5">
      <w:pPr>
        <w:rPr>
          <w:sz w:val="26"/>
        </w:rPr>
      </w:pPr>
      <w:r>
        <w:rPr>
          <w:sz w:val="26"/>
        </w:rPr>
        <w:t xml:space="preserve">In its Preliminary Objections, UGI argued that the City’s Complaint should be dismissed because it requested relief that could not be granted in a complaint proceeding by </w:t>
      </w:r>
      <w:r w:rsidR="00897206">
        <w:rPr>
          <w:sz w:val="26"/>
        </w:rPr>
        <w:t>asking</w:t>
      </w:r>
      <w:r>
        <w:rPr>
          <w:sz w:val="26"/>
        </w:rPr>
        <w:t xml:space="preserve"> the Commission </w:t>
      </w:r>
      <w:r w:rsidR="00897206">
        <w:rPr>
          <w:sz w:val="26"/>
        </w:rPr>
        <w:t xml:space="preserve">to </w:t>
      </w:r>
      <w:r>
        <w:rPr>
          <w:sz w:val="26"/>
        </w:rPr>
        <w:t>impose new rules and standards concerning meter location that do not currently exist under the Commission’s Regulations.</w:t>
      </w:r>
      <w:r w:rsidR="008814B6">
        <w:rPr>
          <w:sz w:val="26"/>
        </w:rPr>
        <w:t xml:space="preserve">  </w:t>
      </w:r>
      <w:r w:rsidR="00BE38F3">
        <w:rPr>
          <w:sz w:val="26"/>
        </w:rPr>
        <w:t>B</w:t>
      </w:r>
      <w:r w:rsidR="0048559E" w:rsidRPr="0048559E">
        <w:rPr>
          <w:sz w:val="26"/>
        </w:rPr>
        <w:t xml:space="preserve">y </w:t>
      </w:r>
      <w:r w:rsidR="00200F12">
        <w:rPr>
          <w:sz w:val="26"/>
        </w:rPr>
        <w:t>I</w:t>
      </w:r>
      <w:r w:rsidR="0048559E" w:rsidRPr="0048559E">
        <w:rPr>
          <w:sz w:val="26"/>
        </w:rPr>
        <w:t xml:space="preserve">nterim </w:t>
      </w:r>
      <w:r w:rsidR="00200F12">
        <w:rPr>
          <w:sz w:val="26"/>
        </w:rPr>
        <w:t>O</w:t>
      </w:r>
      <w:r w:rsidR="0048559E" w:rsidRPr="0048559E">
        <w:rPr>
          <w:sz w:val="26"/>
        </w:rPr>
        <w:t xml:space="preserve">rder dated March 29, 2016, </w:t>
      </w:r>
      <w:r w:rsidR="00D75320">
        <w:rPr>
          <w:sz w:val="26"/>
        </w:rPr>
        <w:t>ALJ</w:t>
      </w:r>
      <w:r w:rsidR="00200F12">
        <w:rPr>
          <w:sz w:val="26"/>
        </w:rPr>
        <w:t xml:space="preserve"> Long denied UGI’s</w:t>
      </w:r>
      <w:r w:rsidR="0048559E" w:rsidRPr="0048559E">
        <w:rPr>
          <w:sz w:val="26"/>
        </w:rPr>
        <w:t xml:space="preserve"> </w:t>
      </w:r>
      <w:r w:rsidR="00200F12">
        <w:rPr>
          <w:sz w:val="26"/>
        </w:rPr>
        <w:t>P</w:t>
      </w:r>
      <w:r w:rsidR="0048559E" w:rsidRPr="0048559E">
        <w:rPr>
          <w:sz w:val="26"/>
        </w:rPr>
        <w:t xml:space="preserve">reliminary </w:t>
      </w:r>
      <w:r w:rsidR="00200F12">
        <w:rPr>
          <w:sz w:val="26"/>
        </w:rPr>
        <w:t>O</w:t>
      </w:r>
      <w:r w:rsidR="0048559E" w:rsidRPr="0048559E">
        <w:rPr>
          <w:sz w:val="26"/>
        </w:rPr>
        <w:t>bjections</w:t>
      </w:r>
      <w:r w:rsidR="008814B6">
        <w:rPr>
          <w:sz w:val="26"/>
        </w:rPr>
        <w:t xml:space="preserve">, finding that the </w:t>
      </w:r>
      <w:r w:rsidR="00200F12">
        <w:rPr>
          <w:sz w:val="26"/>
        </w:rPr>
        <w:t>City’s Complaint challenges UGI’s application of a Commission Regulation and whether UGI’s actions in the placement of meters in the City complied with the Regulation.</w:t>
      </w:r>
    </w:p>
    <w:p w14:paraId="5B2C79A4" w14:textId="77777777" w:rsidR="004E16F1" w:rsidRDefault="004E16F1" w:rsidP="008E1AD5">
      <w:pPr>
        <w:rPr>
          <w:sz w:val="26"/>
        </w:rPr>
      </w:pPr>
    </w:p>
    <w:p w14:paraId="54437D17" w14:textId="77777777" w:rsidR="0048559E" w:rsidRPr="0048559E" w:rsidRDefault="00200F12" w:rsidP="008E1AD5">
      <w:pPr>
        <w:rPr>
          <w:sz w:val="26"/>
        </w:rPr>
      </w:pPr>
      <w:r>
        <w:rPr>
          <w:sz w:val="26"/>
        </w:rPr>
        <w:t>By Prehearing Order dated March 30, 2016, t</w:t>
      </w:r>
      <w:r w:rsidR="0048559E" w:rsidRPr="0048559E">
        <w:rPr>
          <w:sz w:val="26"/>
        </w:rPr>
        <w:t xml:space="preserve">he </w:t>
      </w:r>
      <w:r w:rsidR="00C37F37">
        <w:rPr>
          <w:sz w:val="26"/>
        </w:rPr>
        <w:t xml:space="preserve">ALJ consolidated the </w:t>
      </w:r>
      <w:r>
        <w:rPr>
          <w:sz w:val="26"/>
        </w:rPr>
        <w:t>C</w:t>
      </w:r>
      <w:r w:rsidR="0048559E" w:rsidRPr="0048559E">
        <w:rPr>
          <w:sz w:val="26"/>
        </w:rPr>
        <w:t xml:space="preserve">omplaints of CPHD and the City </w:t>
      </w:r>
      <w:r w:rsidR="00C37F37">
        <w:rPr>
          <w:sz w:val="26"/>
        </w:rPr>
        <w:t>(collectively, the City Parties</w:t>
      </w:r>
      <w:r w:rsidR="004E16F1">
        <w:rPr>
          <w:sz w:val="26"/>
        </w:rPr>
        <w:t xml:space="preserve"> or the Complainants</w:t>
      </w:r>
      <w:r w:rsidR="00C37F37">
        <w:rPr>
          <w:sz w:val="26"/>
        </w:rPr>
        <w:t>)</w:t>
      </w:r>
      <w:r w:rsidR="0048559E" w:rsidRPr="0048559E">
        <w:rPr>
          <w:sz w:val="26"/>
        </w:rPr>
        <w:t>.</w:t>
      </w:r>
    </w:p>
    <w:p w14:paraId="3C22C681" w14:textId="77777777" w:rsidR="003A3B7E" w:rsidRDefault="0048559E" w:rsidP="008E1AD5">
      <w:pPr>
        <w:rPr>
          <w:sz w:val="26"/>
        </w:rPr>
      </w:pPr>
      <w:r w:rsidRPr="0048559E">
        <w:rPr>
          <w:sz w:val="26"/>
        </w:rPr>
        <w:tab/>
      </w:r>
    </w:p>
    <w:p w14:paraId="1D2612F7" w14:textId="1490C435" w:rsidR="00B95CE4" w:rsidRDefault="00C37F37" w:rsidP="008E1AD5">
      <w:pPr>
        <w:rPr>
          <w:sz w:val="26"/>
        </w:rPr>
      </w:pPr>
      <w:r>
        <w:rPr>
          <w:sz w:val="26"/>
        </w:rPr>
        <w:t xml:space="preserve">By Prehearing Order </w:t>
      </w:r>
      <w:r w:rsidR="00B95CE4">
        <w:rPr>
          <w:sz w:val="26"/>
        </w:rPr>
        <w:t>dated March 21, 2017, th</w:t>
      </w:r>
      <w:r>
        <w:rPr>
          <w:sz w:val="26"/>
        </w:rPr>
        <w:t xml:space="preserve">e ALJ </w:t>
      </w:r>
      <w:r w:rsidR="00B95CE4">
        <w:rPr>
          <w:sz w:val="26"/>
        </w:rPr>
        <w:t xml:space="preserve">directed the City Parties to produce spreadsheets containing a list of disputed meters </w:t>
      </w:r>
      <w:r w:rsidR="004E16F1">
        <w:rPr>
          <w:sz w:val="26"/>
        </w:rPr>
        <w:t>t</w:t>
      </w:r>
      <w:r w:rsidR="00B95CE4">
        <w:rPr>
          <w:sz w:val="26"/>
        </w:rPr>
        <w:t>h</w:t>
      </w:r>
      <w:r w:rsidR="004E16F1">
        <w:rPr>
          <w:sz w:val="26"/>
        </w:rPr>
        <w:t>at</w:t>
      </w:r>
      <w:r w:rsidR="00B95CE4">
        <w:rPr>
          <w:sz w:val="26"/>
        </w:rPr>
        <w:t xml:space="preserve"> included the date the City issued a permit </w:t>
      </w:r>
      <w:r w:rsidR="00076194">
        <w:rPr>
          <w:sz w:val="26"/>
        </w:rPr>
        <w:t xml:space="preserve">and the date each meter was relocated or installed </w:t>
      </w:r>
      <w:r w:rsidR="00B95CE4">
        <w:rPr>
          <w:sz w:val="26"/>
        </w:rPr>
        <w:t xml:space="preserve">(Stipulated Spreadsheets).  </w:t>
      </w:r>
      <w:r>
        <w:rPr>
          <w:sz w:val="26"/>
        </w:rPr>
        <w:t>By Prehearing Order dated April 19, 2017, t</w:t>
      </w:r>
      <w:r w:rsidR="00076194">
        <w:rPr>
          <w:sz w:val="26"/>
        </w:rPr>
        <w:t xml:space="preserve">he ALJ </w:t>
      </w:r>
      <w:r>
        <w:rPr>
          <w:sz w:val="26"/>
        </w:rPr>
        <w:t xml:space="preserve">clarified that UGI was </w:t>
      </w:r>
      <w:r w:rsidR="00076194">
        <w:rPr>
          <w:sz w:val="26"/>
        </w:rPr>
        <w:t xml:space="preserve">directed </w:t>
      </w:r>
      <w:r w:rsidR="00E84343">
        <w:rPr>
          <w:sz w:val="26"/>
        </w:rPr>
        <w:t>to provide the dates of service line installation f</w:t>
      </w:r>
      <w:r w:rsidR="00692220">
        <w:rPr>
          <w:sz w:val="26"/>
        </w:rPr>
        <w:t>or</w:t>
      </w:r>
      <w:r w:rsidR="00E84343">
        <w:rPr>
          <w:sz w:val="26"/>
        </w:rPr>
        <w:t xml:space="preserve"> the contested meters</w:t>
      </w:r>
      <w:r w:rsidR="00076194">
        <w:rPr>
          <w:sz w:val="26"/>
        </w:rPr>
        <w:t xml:space="preserve"> and the City Parties </w:t>
      </w:r>
      <w:r>
        <w:rPr>
          <w:sz w:val="26"/>
        </w:rPr>
        <w:t>could</w:t>
      </w:r>
      <w:r w:rsidR="00076194">
        <w:rPr>
          <w:sz w:val="26"/>
        </w:rPr>
        <w:t xml:space="preserve"> stipulate or object to UGI’s service line installation data</w:t>
      </w:r>
      <w:r w:rsidR="00B95CE4">
        <w:rPr>
          <w:sz w:val="26"/>
        </w:rPr>
        <w:t>.</w:t>
      </w:r>
    </w:p>
    <w:p w14:paraId="58B247E0" w14:textId="77777777" w:rsidR="00B95CE4" w:rsidRDefault="00B95CE4" w:rsidP="008E1AD5">
      <w:pPr>
        <w:rPr>
          <w:sz w:val="26"/>
        </w:rPr>
      </w:pPr>
    </w:p>
    <w:p w14:paraId="4A7C346A" w14:textId="4892F6D4" w:rsidR="00834E81" w:rsidRDefault="002719DB" w:rsidP="008E1AD5">
      <w:pPr>
        <w:rPr>
          <w:sz w:val="26"/>
        </w:rPr>
      </w:pPr>
      <w:r>
        <w:rPr>
          <w:sz w:val="26"/>
        </w:rPr>
        <w:t>O</w:t>
      </w:r>
      <w:r w:rsidR="00B95CE4">
        <w:rPr>
          <w:sz w:val="26"/>
        </w:rPr>
        <w:t>n July 6, 2017,</w:t>
      </w:r>
      <w:r w:rsidR="00E84343">
        <w:rPr>
          <w:sz w:val="26"/>
        </w:rPr>
        <w:t xml:space="preserve"> UGI filed a Motion for Summary Judgment </w:t>
      </w:r>
      <w:r w:rsidR="00777A68">
        <w:rPr>
          <w:sz w:val="26"/>
        </w:rPr>
        <w:t>(Motion)</w:t>
      </w:r>
      <w:r w:rsidR="00555C95">
        <w:rPr>
          <w:sz w:val="26"/>
        </w:rPr>
        <w:t xml:space="preserve">, </w:t>
      </w:r>
      <w:r w:rsidR="00E84343">
        <w:rPr>
          <w:sz w:val="26"/>
        </w:rPr>
        <w:t xml:space="preserve">requesting that the above-captioned Complaints be dismissed, in whole or </w:t>
      </w:r>
      <w:r w:rsidR="004E16F1">
        <w:rPr>
          <w:sz w:val="26"/>
        </w:rPr>
        <w:t xml:space="preserve">in </w:t>
      </w:r>
      <w:r w:rsidR="00E84343">
        <w:rPr>
          <w:sz w:val="26"/>
        </w:rPr>
        <w:t>part.</w:t>
      </w:r>
      <w:r w:rsidR="00FC7A48">
        <w:rPr>
          <w:sz w:val="26"/>
        </w:rPr>
        <w:t xml:space="preserve"> </w:t>
      </w:r>
      <w:r w:rsidR="004A39A8">
        <w:rPr>
          <w:sz w:val="26"/>
        </w:rPr>
        <w:t xml:space="preserve"> </w:t>
      </w:r>
      <w:r w:rsidR="00B82120">
        <w:rPr>
          <w:sz w:val="26"/>
        </w:rPr>
        <w:t xml:space="preserve">In </w:t>
      </w:r>
      <w:r w:rsidR="004A39A8">
        <w:rPr>
          <w:sz w:val="26"/>
        </w:rPr>
        <w:t>an</w:t>
      </w:r>
      <w:r w:rsidR="00B82120">
        <w:rPr>
          <w:sz w:val="26"/>
        </w:rPr>
        <w:t xml:space="preserve"> Initial Decision, </w:t>
      </w:r>
      <w:r w:rsidR="004A39A8">
        <w:rPr>
          <w:sz w:val="26"/>
        </w:rPr>
        <w:t>served</w:t>
      </w:r>
      <w:r w:rsidR="00B82120">
        <w:rPr>
          <w:sz w:val="26"/>
        </w:rPr>
        <w:t xml:space="preserve"> September 7, 2017</w:t>
      </w:r>
      <w:r w:rsidR="0076143D">
        <w:rPr>
          <w:sz w:val="26"/>
        </w:rPr>
        <w:t xml:space="preserve"> (September 2017 Initial Decision)</w:t>
      </w:r>
      <w:r w:rsidR="00B82120">
        <w:rPr>
          <w:sz w:val="26"/>
        </w:rPr>
        <w:t xml:space="preserve">, the ALJ </w:t>
      </w:r>
      <w:r w:rsidR="00B82120">
        <w:rPr>
          <w:sz w:val="26"/>
        </w:rPr>
        <w:lastRenderedPageBreak/>
        <w:t>granted the Motion, in part.</w:t>
      </w:r>
      <w:r w:rsidR="00A84B23">
        <w:rPr>
          <w:sz w:val="26"/>
        </w:rPr>
        <w:t xml:space="preserve">  </w:t>
      </w:r>
      <w:r w:rsidR="00E62413">
        <w:rPr>
          <w:sz w:val="26"/>
        </w:rPr>
        <w:t xml:space="preserve">The ALJ dismissed </w:t>
      </w:r>
      <w:r w:rsidR="001A3ED0">
        <w:rPr>
          <w:sz w:val="26"/>
        </w:rPr>
        <w:t xml:space="preserve">the City Parties’ claim that 337 meters and meter infrastructures violated Section 59.18(a)(8)(i), which prohibits the placement of meters “[b]eneath or in front of windows or other building openings that may directly obstruct emergency fire exits.”  </w:t>
      </w:r>
      <w:r w:rsidR="00277800">
        <w:rPr>
          <w:sz w:val="26"/>
        </w:rPr>
        <w:t>T</w:t>
      </w:r>
      <w:r w:rsidR="00A84B23">
        <w:rPr>
          <w:sz w:val="26"/>
        </w:rPr>
        <w:t xml:space="preserve">he Parties </w:t>
      </w:r>
      <w:r w:rsidR="00277800">
        <w:rPr>
          <w:sz w:val="26"/>
        </w:rPr>
        <w:t xml:space="preserve">subsequently </w:t>
      </w:r>
      <w:r w:rsidR="00A84B23">
        <w:rPr>
          <w:sz w:val="26"/>
        </w:rPr>
        <w:t>filed Exceptions and Replies</w:t>
      </w:r>
      <w:r w:rsidR="007F2B0A">
        <w:rPr>
          <w:sz w:val="26"/>
        </w:rPr>
        <w:t xml:space="preserve"> to Exceptions</w:t>
      </w:r>
      <w:r w:rsidR="00A84B23">
        <w:rPr>
          <w:sz w:val="26"/>
        </w:rPr>
        <w:t>.</w:t>
      </w:r>
      <w:r w:rsidR="00277800">
        <w:rPr>
          <w:sz w:val="26"/>
        </w:rPr>
        <w:t xml:space="preserve">  By Order entered </w:t>
      </w:r>
      <w:r w:rsidR="00E95D65">
        <w:rPr>
          <w:sz w:val="26"/>
        </w:rPr>
        <w:t xml:space="preserve">December 21, 2017, the Commission denied the Exceptions and adopted the </w:t>
      </w:r>
      <w:r w:rsidR="0076143D">
        <w:rPr>
          <w:sz w:val="26"/>
        </w:rPr>
        <w:t xml:space="preserve">September 2017 </w:t>
      </w:r>
      <w:r w:rsidR="009012DF">
        <w:rPr>
          <w:sz w:val="26"/>
        </w:rPr>
        <w:t>Initial Decision.</w:t>
      </w:r>
    </w:p>
    <w:p w14:paraId="19F3B0C2" w14:textId="77777777" w:rsidR="00277800" w:rsidRDefault="00277800" w:rsidP="008E1AD5">
      <w:pPr>
        <w:rPr>
          <w:sz w:val="26"/>
        </w:rPr>
      </w:pPr>
    </w:p>
    <w:p w14:paraId="34D0CBAF" w14:textId="1D70DF66" w:rsidR="002E4783" w:rsidRDefault="00633B86" w:rsidP="008E1AD5">
      <w:pPr>
        <w:rPr>
          <w:sz w:val="26"/>
        </w:rPr>
      </w:pPr>
      <w:r>
        <w:rPr>
          <w:sz w:val="26"/>
        </w:rPr>
        <w:t xml:space="preserve">Evidentiary hearings were held on August 22 and 23, 2018.  </w:t>
      </w:r>
      <w:r w:rsidR="004609DF">
        <w:rPr>
          <w:sz w:val="26"/>
        </w:rPr>
        <w:t>The hearings and prehearing conferences generated a transcript of 440 pages.  The record consists of the various testimony and accompanying exhibits of the Parties.</w:t>
      </w:r>
    </w:p>
    <w:p w14:paraId="4922BDCF" w14:textId="77777777" w:rsidR="004609DF" w:rsidRDefault="004609DF" w:rsidP="008E1AD5">
      <w:pPr>
        <w:rPr>
          <w:sz w:val="26"/>
        </w:rPr>
      </w:pPr>
      <w:r>
        <w:rPr>
          <w:sz w:val="26"/>
        </w:rPr>
        <w:t xml:space="preserve"> </w:t>
      </w:r>
    </w:p>
    <w:p w14:paraId="54D881BE" w14:textId="0E370F7E" w:rsidR="002310E4" w:rsidRDefault="004609DF" w:rsidP="008E1AD5">
      <w:pPr>
        <w:spacing w:before="10" w:line="414" w:lineRule="exact"/>
        <w:ind w:right="72"/>
        <w:textAlignment w:val="baseline"/>
        <w:rPr>
          <w:color w:val="000000"/>
          <w:sz w:val="26"/>
          <w:szCs w:val="26"/>
        </w:rPr>
      </w:pPr>
      <w:r>
        <w:rPr>
          <w:sz w:val="26"/>
        </w:rPr>
        <w:t>CPHD and the City filed Main Briefs on October 18, 2018</w:t>
      </w:r>
      <w:r w:rsidRPr="00BF1B95">
        <w:rPr>
          <w:sz w:val="26"/>
          <w:szCs w:val="26"/>
        </w:rPr>
        <w:t xml:space="preserve">.  </w:t>
      </w:r>
      <w:r w:rsidR="002310E4" w:rsidRPr="00BF1B95">
        <w:rPr>
          <w:color w:val="000000"/>
          <w:sz w:val="26"/>
          <w:szCs w:val="26"/>
        </w:rPr>
        <w:t xml:space="preserve">UGI filed </w:t>
      </w:r>
      <w:r w:rsidR="00BF1B95">
        <w:rPr>
          <w:color w:val="000000"/>
          <w:sz w:val="26"/>
          <w:szCs w:val="26"/>
        </w:rPr>
        <w:t>a</w:t>
      </w:r>
      <w:r w:rsidR="002310E4" w:rsidRPr="00BF1B95">
        <w:rPr>
          <w:color w:val="000000"/>
          <w:sz w:val="26"/>
          <w:szCs w:val="26"/>
        </w:rPr>
        <w:t xml:space="preserve"> </w:t>
      </w:r>
      <w:r w:rsidR="00BF1B95">
        <w:rPr>
          <w:color w:val="000000"/>
          <w:sz w:val="26"/>
          <w:szCs w:val="26"/>
        </w:rPr>
        <w:t>Reply</w:t>
      </w:r>
      <w:r w:rsidR="002310E4" w:rsidRPr="00BF1B95">
        <w:rPr>
          <w:color w:val="000000"/>
          <w:sz w:val="26"/>
          <w:szCs w:val="26"/>
        </w:rPr>
        <w:t xml:space="preserve"> </w:t>
      </w:r>
      <w:r w:rsidR="00BF1B95">
        <w:rPr>
          <w:color w:val="000000"/>
          <w:sz w:val="26"/>
          <w:szCs w:val="26"/>
        </w:rPr>
        <w:t>B</w:t>
      </w:r>
      <w:r w:rsidR="002310E4" w:rsidRPr="00BF1B95">
        <w:rPr>
          <w:color w:val="000000"/>
          <w:sz w:val="26"/>
          <w:szCs w:val="26"/>
        </w:rPr>
        <w:t xml:space="preserve">rief on November 16, 2018. </w:t>
      </w:r>
      <w:r w:rsidR="004E16F1">
        <w:rPr>
          <w:color w:val="000000"/>
          <w:sz w:val="26"/>
          <w:szCs w:val="26"/>
        </w:rPr>
        <w:t xml:space="preserve"> </w:t>
      </w:r>
      <w:r w:rsidR="00BF1B95">
        <w:rPr>
          <w:color w:val="000000"/>
          <w:sz w:val="26"/>
          <w:szCs w:val="26"/>
        </w:rPr>
        <w:t>CPHD filed a Reply Brief on December 6, 2018, and t</w:t>
      </w:r>
      <w:r w:rsidR="002310E4" w:rsidRPr="00BF1B95">
        <w:rPr>
          <w:color w:val="000000"/>
          <w:sz w:val="26"/>
          <w:szCs w:val="26"/>
        </w:rPr>
        <w:t>he C</w:t>
      </w:r>
      <w:r w:rsidR="00BF1B95">
        <w:rPr>
          <w:color w:val="000000"/>
          <w:sz w:val="26"/>
          <w:szCs w:val="26"/>
        </w:rPr>
        <w:t>ity</w:t>
      </w:r>
      <w:r w:rsidR="002310E4" w:rsidRPr="00BF1B95">
        <w:rPr>
          <w:color w:val="000000"/>
          <w:sz w:val="26"/>
          <w:szCs w:val="26"/>
        </w:rPr>
        <w:t xml:space="preserve"> filed </w:t>
      </w:r>
      <w:r w:rsidR="00BF1B95">
        <w:rPr>
          <w:color w:val="000000"/>
          <w:sz w:val="26"/>
          <w:szCs w:val="26"/>
        </w:rPr>
        <w:t>a R</w:t>
      </w:r>
      <w:r w:rsidR="002310E4" w:rsidRPr="00BF1B95">
        <w:rPr>
          <w:color w:val="000000"/>
          <w:sz w:val="26"/>
          <w:szCs w:val="26"/>
        </w:rPr>
        <w:t xml:space="preserve">eply </w:t>
      </w:r>
      <w:r w:rsidR="00BF1B95">
        <w:rPr>
          <w:color w:val="000000"/>
          <w:sz w:val="26"/>
          <w:szCs w:val="26"/>
        </w:rPr>
        <w:t>B</w:t>
      </w:r>
      <w:r w:rsidR="002310E4" w:rsidRPr="00BF1B95">
        <w:rPr>
          <w:color w:val="000000"/>
          <w:sz w:val="26"/>
          <w:szCs w:val="26"/>
        </w:rPr>
        <w:t xml:space="preserve">rief on December 7, 2018. </w:t>
      </w:r>
      <w:r w:rsidR="00BF1B95">
        <w:rPr>
          <w:color w:val="000000"/>
          <w:sz w:val="26"/>
          <w:szCs w:val="26"/>
        </w:rPr>
        <w:t xml:space="preserve"> </w:t>
      </w:r>
      <w:r w:rsidR="004F49A9">
        <w:rPr>
          <w:color w:val="000000"/>
          <w:sz w:val="26"/>
          <w:szCs w:val="26"/>
        </w:rPr>
        <w:t xml:space="preserve">The record was closed by </w:t>
      </w:r>
      <w:r w:rsidR="002310E4" w:rsidRPr="00BF1B95">
        <w:rPr>
          <w:color w:val="000000"/>
          <w:sz w:val="26"/>
          <w:szCs w:val="26"/>
        </w:rPr>
        <w:t>interim order dated December 11, 2018.</w:t>
      </w:r>
    </w:p>
    <w:p w14:paraId="10F6442C" w14:textId="77777777" w:rsidR="00A84CF6" w:rsidRDefault="00A84CF6" w:rsidP="008E1AD5">
      <w:pPr>
        <w:spacing w:before="10" w:line="414" w:lineRule="exact"/>
        <w:ind w:right="72"/>
        <w:textAlignment w:val="baseline"/>
        <w:rPr>
          <w:color w:val="000000"/>
          <w:sz w:val="26"/>
          <w:szCs w:val="26"/>
        </w:rPr>
      </w:pPr>
    </w:p>
    <w:p w14:paraId="52A1FFE9" w14:textId="715A1A87" w:rsidR="00A84CF6" w:rsidRPr="00BF1B95" w:rsidRDefault="008550A5" w:rsidP="008E1AD5">
      <w:pPr>
        <w:spacing w:before="10"/>
        <w:ind w:right="72"/>
        <w:textAlignment w:val="baseline"/>
        <w:rPr>
          <w:color w:val="000000"/>
          <w:sz w:val="26"/>
          <w:szCs w:val="26"/>
        </w:rPr>
      </w:pPr>
      <w:r>
        <w:rPr>
          <w:color w:val="000000"/>
          <w:sz w:val="26"/>
          <w:szCs w:val="26"/>
        </w:rPr>
        <w:t xml:space="preserve">In the Initial Decision served on February 26, 2019, ALJ Long granted, in part, and dismissed, in part, the Complaints of the City and CPHD.  </w:t>
      </w:r>
      <w:r w:rsidR="00533C90">
        <w:rPr>
          <w:color w:val="000000"/>
          <w:sz w:val="26"/>
          <w:szCs w:val="26"/>
        </w:rPr>
        <w:t>The Parties filed Exceptions and Replies to Exceptions as previously noted.</w:t>
      </w:r>
    </w:p>
    <w:p w14:paraId="2BE362C4" w14:textId="77777777" w:rsidR="00555C95" w:rsidRDefault="00555C95" w:rsidP="008E1AD5">
      <w:pPr>
        <w:rPr>
          <w:sz w:val="26"/>
        </w:rPr>
      </w:pPr>
    </w:p>
    <w:p w14:paraId="4D50B9DE" w14:textId="77777777" w:rsidR="00D6672E" w:rsidRPr="0078257E" w:rsidRDefault="003C3B2D" w:rsidP="008E1AD5">
      <w:pPr>
        <w:keepNext/>
        <w:keepLines/>
        <w:adjustRightInd w:val="0"/>
        <w:ind w:firstLine="0"/>
        <w:jc w:val="center"/>
        <w:rPr>
          <w:b/>
          <w:sz w:val="26"/>
          <w:szCs w:val="26"/>
        </w:rPr>
      </w:pPr>
      <w:r>
        <w:rPr>
          <w:b/>
          <w:sz w:val="26"/>
          <w:szCs w:val="26"/>
        </w:rPr>
        <w:t>II.</w:t>
      </w:r>
      <w:r>
        <w:rPr>
          <w:b/>
          <w:sz w:val="26"/>
          <w:szCs w:val="26"/>
        </w:rPr>
        <w:tab/>
      </w:r>
      <w:r w:rsidR="00736427" w:rsidRPr="0078257E">
        <w:rPr>
          <w:b/>
          <w:sz w:val="26"/>
          <w:szCs w:val="26"/>
        </w:rPr>
        <w:t>Discussion</w:t>
      </w:r>
    </w:p>
    <w:p w14:paraId="2CF74A1F" w14:textId="77777777" w:rsidR="00F211B8" w:rsidRDefault="00F211B8" w:rsidP="008E1AD5">
      <w:pPr>
        <w:keepNext/>
        <w:keepLines/>
        <w:ind w:firstLine="0"/>
        <w:jc w:val="center"/>
        <w:rPr>
          <w:b/>
          <w:sz w:val="26"/>
          <w:szCs w:val="26"/>
        </w:rPr>
      </w:pPr>
    </w:p>
    <w:p w14:paraId="25E36440" w14:textId="77777777" w:rsidR="005E403E" w:rsidRPr="005E403E" w:rsidRDefault="005E403E" w:rsidP="008E1AD5">
      <w:pPr>
        <w:ind w:firstLine="0"/>
        <w:rPr>
          <w:b/>
          <w:bCs/>
          <w:sz w:val="26"/>
          <w:szCs w:val="26"/>
        </w:rPr>
      </w:pPr>
      <w:r w:rsidRPr="005E403E">
        <w:rPr>
          <w:b/>
          <w:bCs/>
          <w:sz w:val="26"/>
          <w:szCs w:val="26"/>
        </w:rPr>
        <w:t>A.</w:t>
      </w:r>
      <w:r w:rsidRPr="005E403E">
        <w:rPr>
          <w:b/>
          <w:bCs/>
          <w:sz w:val="26"/>
          <w:szCs w:val="26"/>
        </w:rPr>
        <w:tab/>
        <w:t>Legal Standards</w:t>
      </w:r>
    </w:p>
    <w:p w14:paraId="1F89AEB0" w14:textId="77777777" w:rsidR="005E403E" w:rsidRDefault="005E403E" w:rsidP="008E1AD5">
      <w:pPr>
        <w:rPr>
          <w:sz w:val="26"/>
          <w:szCs w:val="26"/>
        </w:rPr>
      </w:pPr>
    </w:p>
    <w:p w14:paraId="7FFF5BB1" w14:textId="77777777" w:rsidR="005E403E" w:rsidRPr="005E403E" w:rsidRDefault="005E403E" w:rsidP="008E1AD5">
      <w:pPr>
        <w:ind w:firstLine="720"/>
        <w:rPr>
          <w:b/>
          <w:bCs/>
          <w:sz w:val="26"/>
          <w:szCs w:val="26"/>
        </w:rPr>
      </w:pPr>
      <w:r w:rsidRPr="005E403E">
        <w:rPr>
          <w:b/>
          <w:bCs/>
          <w:sz w:val="26"/>
          <w:szCs w:val="26"/>
        </w:rPr>
        <w:t xml:space="preserve">1.  </w:t>
      </w:r>
      <w:r w:rsidR="008B0BBA">
        <w:rPr>
          <w:b/>
          <w:bCs/>
          <w:sz w:val="26"/>
          <w:szCs w:val="26"/>
        </w:rPr>
        <w:tab/>
      </w:r>
      <w:r w:rsidRPr="005E403E">
        <w:rPr>
          <w:b/>
          <w:bCs/>
          <w:sz w:val="26"/>
          <w:szCs w:val="26"/>
        </w:rPr>
        <w:t xml:space="preserve">General </w:t>
      </w:r>
      <w:r>
        <w:rPr>
          <w:b/>
          <w:bCs/>
          <w:sz w:val="26"/>
          <w:szCs w:val="26"/>
        </w:rPr>
        <w:t xml:space="preserve">Legal Standards </w:t>
      </w:r>
    </w:p>
    <w:p w14:paraId="026D99A1" w14:textId="77777777" w:rsidR="005E403E" w:rsidRDefault="005E403E" w:rsidP="008E1AD5">
      <w:pPr>
        <w:rPr>
          <w:sz w:val="26"/>
          <w:szCs w:val="26"/>
        </w:rPr>
      </w:pPr>
    </w:p>
    <w:p w14:paraId="41AB6093" w14:textId="77777777" w:rsidR="008B0BBA" w:rsidRDefault="008B0BBA" w:rsidP="008E1AD5">
      <w:pPr>
        <w:rPr>
          <w:sz w:val="26"/>
          <w:szCs w:val="26"/>
        </w:rPr>
      </w:pPr>
      <w:r w:rsidRPr="00AE0D2B">
        <w:rPr>
          <w:sz w:val="26"/>
          <w:szCs w:val="26"/>
        </w:rPr>
        <w:t>As the proponent of a rule or order, the Complainant</w:t>
      </w:r>
      <w:r w:rsidR="00AC3008">
        <w:rPr>
          <w:sz w:val="26"/>
          <w:szCs w:val="26"/>
        </w:rPr>
        <w:t>s</w:t>
      </w:r>
      <w:r w:rsidRPr="00AE0D2B">
        <w:rPr>
          <w:sz w:val="26"/>
          <w:szCs w:val="26"/>
        </w:rPr>
        <w:t xml:space="preserve"> in this proceeding bear the burden of proof pursuant to Section 332(a) of the Public Utility Code (Code).  66 Pa. C.S. § 332(a).  To establish a sufficient case and satisfy the burden of proof, the </w:t>
      </w:r>
      <w:r w:rsidRPr="00AE0D2B">
        <w:rPr>
          <w:sz w:val="26"/>
          <w:szCs w:val="26"/>
        </w:rPr>
        <w:lastRenderedPageBreak/>
        <w:t>Complainant</w:t>
      </w:r>
      <w:r w:rsidR="00AC3008">
        <w:rPr>
          <w:sz w:val="26"/>
          <w:szCs w:val="26"/>
        </w:rPr>
        <w:t>s</w:t>
      </w:r>
      <w:r w:rsidRPr="00AE0D2B">
        <w:rPr>
          <w:sz w:val="26"/>
          <w:szCs w:val="26"/>
        </w:rPr>
        <w:t xml:space="preserve"> must show that the Respondent is responsible or accountable for the problem described in the Complaint.  </w:t>
      </w:r>
      <w:r w:rsidRPr="00AE0D2B">
        <w:rPr>
          <w:i/>
          <w:sz w:val="26"/>
          <w:szCs w:val="26"/>
        </w:rPr>
        <w:t>Patterson v. The Bell Telephone Company of Pennsylvania</w:t>
      </w:r>
      <w:r w:rsidRPr="00AE0D2B">
        <w:rPr>
          <w:sz w:val="26"/>
          <w:szCs w:val="26"/>
        </w:rPr>
        <w:t xml:space="preserve">, 72 Pa. P.U.C. 196 (1990).  Such a showing must be by a preponderance of the evidence.  </w:t>
      </w:r>
      <w:r w:rsidRPr="00AE0D2B">
        <w:rPr>
          <w:i/>
          <w:iCs/>
          <w:sz w:val="26"/>
          <w:szCs w:val="26"/>
        </w:rPr>
        <w:t>Samuel J. Lansberry, Inc. v. Pa. PUC</w:t>
      </w:r>
      <w:r w:rsidRPr="00AE0D2B">
        <w:rPr>
          <w:sz w:val="26"/>
          <w:szCs w:val="26"/>
        </w:rPr>
        <w:t xml:space="preserve">, 578 A.2d 600 (Pa. Cmwlth. 1990), </w:t>
      </w:r>
      <w:r w:rsidRPr="00AE0D2B">
        <w:rPr>
          <w:i/>
          <w:sz w:val="26"/>
          <w:szCs w:val="26"/>
        </w:rPr>
        <w:t>alloc. denied,</w:t>
      </w:r>
      <w:r w:rsidRPr="00AE0D2B">
        <w:rPr>
          <w:sz w:val="26"/>
          <w:szCs w:val="26"/>
        </w:rPr>
        <w:t xml:space="preserve"> 529 Pa. 654, 602 A.2d 863 (1992).  That is, the Complainants</w:t>
      </w:r>
      <w:r w:rsidR="00AC3008">
        <w:rPr>
          <w:sz w:val="26"/>
          <w:szCs w:val="26"/>
        </w:rPr>
        <w:t>’</w:t>
      </w:r>
      <w:r w:rsidRPr="00AE0D2B">
        <w:rPr>
          <w:sz w:val="26"/>
          <w:szCs w:val="26"/>
        </w:rPr>
        <w:t xml:space="preserve"> evidence must be more convincing, by even the smallest amount, than that presented by the Respondent.  </w:t>
      </w:r>
      <w:r w:rsidRPr="00AE0D2B">
        <w:rPr>
          <w:i/>
          <w:sz w:val="26"/>
          <w:szCs w:val="26"/>
        </w:rPr>
        <w:t>Se-Ling Hosiery, Inc. v. Margulies</w:t>
      </w:r>
      <w:r w:rsidRPr="00AE0D2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i/>
          <w:sz w:val="26"/>
          <w:szCs w:val="26"/>
        </w:rPr>
        <w:t>Norfolk &amp; Western Ry. Co. v. Pa. PUC</w:t>
      </w:r>
      <w:r w:rsidRPr="008E1AD5">
        <w:rPr>
          <w:iCs/>
          <w:sz w:val="26"/>
          <w:szCs w:val="26"/>
        </w:rPr>
        <w:t>,</w:t>
      </w:r>
      <w:r w:rsidRPr="00AE0D2B">
        <w:rPr>
          <w:i/>
          <w:sz w:val="26"/>
          <w:szCs w:val="26"/>
        </w:rPr>
        <w:t xml:space="preserve"> </w:t>
      </w:r>
      <w:r w:rsidRPr="00AE0D2B">
        <w:rPr>
          <w:sz w:val="26"/>
          <w:szCs w:val="26"/>
        </w:rPr>
        <w:t>489 Pa. 109, 413 A.2d 1037 (1980).</w:t>
      </w:r>
    </w:p>
    <w:p w14:paraId="66A4ABE3" w14:textId="77777777" w:rsidR="00D46EFF" w:rsidRDefault="00D46EFF" w:rsidP="008E1AD5">
      <w:pPr>
        <w:rPr>
          <w:sz w:val="26"/>
          <w:szCs w:val="26"/>
        </w:rPr>
      </w:pPr>
    </w:p>
    <w:p w14:paraId="322BA203" w14:textId="5DF9A892" w:rsidR="00B37BB9" w:rsidRDefault="008B0BBA" w:rsidP="008E1AD5">
      <w:pPr>
        <w:rPr>
          <w:sz w:val="26"/>
        </w:rPr>
      </w:pPr>
      <w:r w:rsidRPr="00AE0D2B">
        <w:rPr>
          <w:sz w:val="26"/>
        </w:rPr>
        <w:t xml:space="preserve">Upon the presentation by </w:t>
      </w:r>
      <w:r w:rsidR="00AC3008">
        <w:rPr>
          <w:sz w:val="26"/>
        </w:rPr>
        <w:t>the</w:t>
      </w:r>
      <w:r w:rsidRPr="00AE0D2B">
        <w:rPr>
          <w:sz w:val="26"/>
        </w:rPr>
        <w:t xml:space="preserve"> </w:t>
      </w:r>
      <w:r w:rsidR="00A929EB">
        <w:rPr>
          <w:sz w:val="26"/>
        </w:rPr>
        <w:t>C</w:t>
      </w:r>
      <w:r w:rsidRPr="00AE0D2B">
        <w:rPr>
          <w:sz w:val="26"/>
        </w:rPr>
        <w:t>omplainant</w:t>
      </w:r>
      <w:r w:rsidR="00AC3008">
        <w:rPr>
          <w:sz w:val="26"/>
        </w:rPr>
        <w:t>s</w:t>
      </w:r>
      <w:r w:rsidRPr="00AE0D2B">
        <w:rPr>
          <w:sz w:val="26"/>
        </w:rPr>
        <w:t xml:space="preserve"> of evidence sufficient to initially satisfy the burden of proof, the burden of going forward with the evidence to rebut the evidence of the </w:t>
      </w:r>
      <w:r w:rsidR="00A929EB">
        <w:rPr>
          <w:sz w:val="26"/>
        </w:rPr>
        <w:t>C</w:t>
      </w:r>
      <w:r w:rsidRPr="00AE0D2B">
        <w:rPr>
          <w:sz w:val="26"/>
        </w:rPr>
        <w:t>omplainant</w:t>
      </w:r>
      <w:r w:rsidR="00AC3008">
        <w:rPr>
          <w:sz w:val="26"/>
        </w:rPr>
        <w:t>s</w:t>
      </w:r>
      <w:r w:rsidRPr="00AE0D2B">
        <w:rPr>
          <w:sz w:val="26"/>
        </w:rPr>
        <w:t xml:space="preserve"> shifts to the </w:t>
      </w:r>
      <w:r w:rsidR="00A929EB">
        <w:rPr>
          <w:sz w:val="26"/>
        </w:rPr>
        <w:t>R</w:t>
      </w:r>
      <w:r w:rsidRPr="00AE0D2B">
        <w:rPr>
          <w:sz w:val="26"/>
        </w:rPr>
        <w:t xml:space="preserve">espondent.  If the evidence presented by the </w:t>
      </w:r>
      <w:r w:rsidR="00A929EB">
        <w:rPr>
          <w:sz w:val="26"/>
        </w:rPr>
        <w:t>R</w:t>
      </w:r>
      <w:r w:rsidRPr="00AE0D2B">
        <w:rPr>
          <w:sz w:val="26"/>
        </w:rPr>
        <w:t xml:space="preserve">espondent is of co-equal value or “weight,” the burden of proof has not been satisfied. </w:t>
      </w:r>
      <w:r w:rsidR="00A929EB">
        <w:rPr>
          <w:sz w:val="26"/>
        </w:rPr>
        <w:t xml:space="preserve"> </w:t>
      </w:r>
      <w:r w:rsidRPr="00AE0D2B">
        <w:rPr>
          <w:sz w:val="26"/>
        </w:rPr>
        <w:t xml:space="preserve">The </w:t>
      </w:r>
      <w:r w:rsidR="00A929EB">
        <w:rPr>
          <w:sz w:val="26"/>
        </w:rPr>
        <w:t>C</w:t>
      </w:r>
      <w:r w:rsidRPr="00AE0D2B">
        <w:rPr>
          <w:sz w:val="26"/>
        </w:rPr>
        <w:t>omplainant</w:t>
      </w:r>
      <w:r w:rsidR="00AC3008">
        <w:rPr>
          <w:sz w:val="26"/>
        </w:rPr>
        <w:t>s</w:t>
      </w:r>
      <w:r w:rsidRPr="00AE0D2B">
        <w:rPr>
          <w:sz w:val="26"/>
        </w:rPr>
        <w:t xml:space="preserve"> now ha</w:t>
      </w:r>
      <w:r w:rsidR="00AC3008">
        <w:rPr>
          <w:sz w:val="26"/>
        </w:rPr>
        <w:t>ve</w:t>
      </w:r>
      <w:r w:rsidRPr="00AE0D2B">
        <w:rPr>
          <w:sz w:val="26"/>
        </w:rPr>
        <w:t xml:space="preserve"> to provide some additional evidence to rebut that of the </w:t>
      </w:r>
      <w:r w:rsidR="009A1BA9">
        <w:rPr>
          <w:sz w:val="26"/>
        </w:rPr>
        <w:t>R</w:t>
      </w:r>
      <w:r w:rsidR="009A1BA9" w:rsidRPr="00AE0D2B">
        <w:rPr>
          <w:sz w:val="26"/>
        </w:rPr>
        <w:t>espondent</w:t>
      </w:r>
      <w:r w:rsidRPr="00AE0D2B">
        <w:rPr>
          <w:sz w:val="26"/>
        </w:rPr>
        <w:t xml:space="preserve">. </w:t>
      </w:r>
      <w:r w:rsidRPr="00AE0D2B">
        <w:rPr>
          <w:iCs/>
          <w:sz w:val="26"/>
        </w:rPr>
        <w:t xml:space="preserve"> </w:t>
      </w:r>
      <w:hyperlink r:id="rId13" w:history="1">
        <w:r w:rsidRPr="00AE0D2B">
          <w:rPr>
            <w:rFonts w:ascii="Times New (W1)" w:hAnsi="Times New (W1)"/>
            <w:i/>
            <w:iCs/>
            <w:sz w:val="26"/>
          </w:rPr>
          <w:t>Burleson v. Pa. PUC</w:t>
        </w:r>
        <w:r w:rsidRPr="008E1AD5">
          <w:rPr>
            <w:rFonts w:ascii="Times New (W1)" w:hAnsi="Times New (W1)"/>
            <w:sz w:val="26"/>
          </w:rPr>
          <w:t xml:space="preserve">, </w:t>
        </w:r>
        <w:r w:rsidRPr="00AE0D2B">
          <w:rPr>
            <w:rFonts w:ascii="Times New (W1)" w:hAnsi="Times New (W1)"/>
            <w:iCs/>
            <w:sz w:val="26"/>
          </w:rPr>
          <w:t xml:space="preserve">443 A.2d 1373 (Pa. Cmwlth. 1982), </w:t>
        </w:r>
        <w:r w:rsidRPr="00AE0D2B">
          <w:rPr>
            <w:rFonts w:ascii="Times New (W1)" w:hAnsi="Times New (W1)"/>
            <w:i/>
            <w:iCs/>
            <w:sz w:val="26"/>
          </w:rPr>
          <w:t>aff’d</w:t>
        </w:r>
        <w:r w:rsidRPr="008E1AD5">
          <w:rPr>
            <w:rFonts w:ascii="Times New (W1)" w:hAnsi="Times New (W1)"/>
            <w:sz w:val="26"/>
          </w:rPr>
          <w:t xml:space="preserve">, </w:t>
        </w:r>
        <w:r w:rsidRPr="00AE0D2B">
          <w:rPr>
            <w:rFonts w:ascii="Times New (W1)" w:hAnsi="Times New (W1)"/>
            <w:iCs/>
            <w:sz w:val="26"/>
          </w:rPr>
          <w:t>501 Pa. 433, 461 A.2d 1234 (1983).</w:t>
        </w:r>
      </w:hyperlink>
      <w:r>
        <w:rPr>
          <w:rFonts w:ascii="Times New (W1)" w:hAnsi="Times New (W1)"/>
          <w:iCs/>
          <w:sz w:val="26"/>
        </w:rPr>
        <w:t xml:space="preserve">  </w:t>
      </w:r>
      <w:r w:rsidRPr="00AE0D2B">
        <w:rPr>
          <w:sz w:val="26"/>
        </w:rPr>
        <w:t xml:space="preserve">While the burden of going forward with the evidence may shift back and forth during a proceeding, the burden of proof never shifts. </w:t>
      </w:r>
      <w:r>
        <w:rPr>
          <w:sz w:val="26"/>
        </w:rPr>
        <w:t xml:space="preserve"> </w:t>
      </w:r>
      <w:r w:rsidRPr="00AE0D2B">
        <w:rPr>
          <w:sz w:val="26"/>
        </w:rPr>
        <w:t xml:space="preserve">The burden of proof always remains on the party seeking affirmative relief from the </w:t>
      </w:r>
    </w:p>
    <w:p w14:paraId="4EF32475" w14:textId="77777777" w:rsidR="008B0BBA" w:rsidRDefault="008B0BBA" w:rsidP="008E1AD5">
      <w:pPr>
        <w:ind w:firstLine="0"/>
        <w:rPr>
          <w:sz w:val="26"/>
        </w:rPr>
      </w:pPr>
      <w:r w:rsidRPr="00AE0D2B">
        <w:rPr>
          <w:sz w:val="26"/>
        </w:rPr>
        <w:t xml:space="preserve">Commission.  </w:t>
      </w:r>
      <w:r w:rsidRPr="00AE0D2B">
        <w:rPr>
          <w:i/>
          <w:sz w:val="26"/>
        </w:rPr>
        <w:t>Milkie v. Pa. PUC</w:t>
      </w:r>
      <w:r w:rsidRPr="008E1AD5">
        <w:rPr>
          <w:iCs/>
          <w:sz w:val="26"/>
        </w:rPr>
        <w:t>,</w:t>
      </w:r>
      <w:r w:rsidRPr="00AE0D2B">
        <w:rPr>
          <w:i/>
          <w:sz w:val="26"/>
        </w:rPr>
        <w:t xml:space="preserve"> </w:t>
      </w:r>
      <w:r w:rsidRPr="00AE0D2B">
        <w:rPr>
          <w:sz w:val="26"/>
        </w:rPr>
        <w:t>768 A.2d 1217 (Pa. Cmwlth. 2001).</w:t>
      </w:r>
      <w:r w:rsidR="00AC3008">
        <w:rPr>
          <w:rStyle w:val="FootnoteReference"/>
          <w:sz w:val="26"/>
        </w:rPr>
        <w:footnoteReference w:id="3"/>
      </w:r>
    </w:p>
    <w:p w14:paraId="50FA2D59" w14:textId="77777777" w:rsidR="000C7CAE" w:rsidRDefault="000C7CAE" w:rsidP="008E1AD5">
      <w:pPr>
        <w:rPr>
          <w:sz w:val="26"/>
        </w:rPr>
      </w:pPr>
      <w:r>
        <w:rPr>
          <w:sz w:val="26"/>
        </w:rPr>
        <w:lastRenderedPageBreak/>
        <w:t>In the Initial Decision, ALJ Long made fifty-eight Findings of Fact, I.D. at </w:t>
      </w:r>
      <w:r w:rsidR="00C22C16">
        <w:rPr>
          <w:sz w:val="26"/>
        </w:rPr>
        <w:t>8</w:t>
      </w:r>
      <w:r>
        <w:rPr>
          <w:sz w:val="26"/>
        </w:rPr>
        <w:t>-</w:t>
      </w:r>
      <w:r w:rsidR="00C22C16">
        <w:rPr>
          <w:sz w:val="26"/>
        </w:rPr>
        <w:t>16</w:t>
      </w:r>
      <w:r>
        <w:rPr>
          <w:sz w:val="26"/>
        </w:rPr>
        <w:t xml:space="preserve">, and reached </w:t>
      </w:r>
      <w:r w:rsidR="00C22C16">
        <w:rPr>
          <w:sz w:val="26"/>
        </w:rPr>
        <w:t>t</w:t>
      </w:r>
      <w:r>
        <w:rPr>
          <w:sz w:val="26"/>
        </w:rPr>
        <w:t>en Conclusions of Law, I.D. at 3</w:t>
      </w:r>
      <w:r w:rsidR="00C22C16">
        <w:rPr>
          <w:sz w:val="26"/>
        </w:rPr>
        <w:t>6</w:t>
      </w:r>
      <w:r>
        <w:rPr>
          <w:sz w:val="26"/>
        </w:rPr>
        <w:t>-</w:t>
      </w:r>
      <w:r w:rsidR="00C22C16">
        <w:rPr>
          <w:sz w:val="26"/>
        </w:rPr>
        <w:t>37</w:t>
      </w:r>
      <w:r>
        <w:rPr>
          <w:sz w:val="26"/>
        </w:rPr>
        <w:t>.  We shall adopt and incorporate herein by reference the ALJ’s Findings of Fact and Conclusions of Law unless they are either expressly or by necessary implication overruled or modified by this Opinion and Order.</w:t>
      </w:r>
    </w:p>
    <w:p w14:paraId="28AA978F" w14:textId="77777777" w:rsidR="00B37BB9" w:rsidRDefault="00B37BB9" w:rsidP="008E1AD5">
      <w:pPr>
        <w:rPr>
          <w:sz w:val="26"/>
        </w:rPr>
      </w:pPr>
    </w:p>
    <w:p w14:paraId="338515D4" w14:textId="77777777" w:rsidR="000C7CAE" w:rsidRDefault="000C7CAE" w:rsidP="008E1AD5">
      <w:pPr>
        <w:keepNext/>
        <w:keepLines/>
        <w:contextualSpacing/>
        <w:rPr>
          <w:sz w:val="26"/>
          <w:szCs w:val="26"/>
        </w:rPr>
      </w:pPr>
      <w:r w:rsidRPr="00AE0D2B">
        <w:rPr>
          <w:sz w:val="26"/>
          <w:szCs w:val="26"/>
        </w:rPr>
        <w:t xml:space="preserve">Before addressing the Exceptions, we note that any issue or Exception that we do not specifically </w:t>
      </w:r>
      <w:r>
        <w:rPr>
          <w:sz w:val="26"/>
          <w:szCs w:val="26"/>
        </w:rPr>
        <w:t>address</w:t>
      </w:r>
      <w:r w:rsidRPr="00AE0D2B">
        <w:rPr>
          <w:sz w:val="26"/>
          <w:szCs w:val="26"/>
        </w:rPr>
        <w:t xml:space="preserve"> shall be deemed to have been duly considered and denied without further discussion.  </w:t>
      </w:r>
      <w:r>
        <w:rPr>
          <w:sz w:val="26"/>
          <w:szCs w:val="26"/>
        </w:rPr>
        <w:t>It is well settled that we are not</w:t>
      </w:r>
      <w:r w:rsidRPr="00AE0D2B">
        <w:rPr>
          <w:sz w:val="26"/>
          <w:szCs w:val="26"/>
        </w:rPr>
        <w:t xml:space="preserve"> required to consider</w:t>
      </w:r>
      <w:r>
        <w:rPr>
          <w:sz w:val="26"/>
          <w:szCs w:val="26"/>
        </w:rPr>
        <w:t>,</w:t>
      </w:r>
      <w:r w:rsidRPr="00AE0D2B">
        <w:rPr>
          <w:sz w:val="26"/>
          <w:szCs w:val="26"/>
        </w:rPr>
        <w:t xml:space="preserve"> expressly or at length</w:t>
      </w:r>
      <w:r>
        <w:rPr>
          <w:sz w:val="26"/>
          <w:szCs w:val="26"/>
        </w:rPr>
        <w:t>,</w:t>
      </w:r>
      <w:r w:rsidRPr="00AE0D2B">
        <w:rPr>
          <w:sz w:val="26"/>
          <w:szCs w:val="26"/>
        </w:rPr>
        <w:t xml:space="preserve"> each contention or argument raised by the parties.  </w:t>
      </w:r>
      <w:hyperlink r:id="rId14" w:history="1">
        <w:r w:rsidRPr="00AE0D2B">
          <w:rPr>
            <w:i/>
            <w:iCs/>
            <w:color w:val="000000"/>
            <w:sz w:val="26"/>
            <w:szCs w:val="26"/>
          </w:rPr>
          <w:t xml:space="preserve">Consolidated Rail Corp. v. Pa. PUC, </w:t>
        </w:r>
        <w:r w:rsidRPr="00AE0D2B">
          <w:rPr>
            <w:color w:val="000000"/>
            <w:sz w:val="26"/>
            <w:szCs w:val="26"/>
          </w:rPr>
          <w:t>625 A.2d 741 (Pa. Cmwlth. 1993);</w:t>
        </w:r>
      </w:hyperlink>
      <w:r w:rsidRPr="00AE0D2B">
        <w:rPr>
          <w:color w:val="000000"/>
          <w:sz w:val="26"/>
          <w:szCs w:val="26"/>
        </w:rPr>
        <w:t xml:space="preserve"> </w:t>
      </w:r>
      <w:r w:rsidRPr="00AE0D2B">
        <w:rPr>
          <w:i/>
          <w:color w:val="000000"/>
          <w:sz w:val="26"/>
          <w:szCs w:val="26"/>
        </w:rPr>
        <w:t xml:space="preserve">also </w:t>
      </w:r>
      <w:r w:rsidRPr="00AE0D2B">
        <w:rPr>
          <w:i/>
          <w:iCs/>
          <w:color w:val="000000"/>
          <w:sz w:val="26"/>
          <w:szCs w:val="26"/>
        </w:rPr>
        <w:t xml:space="preserve">see, generally, </w:t>
      </w:r>
      <w:hyperlink r:id="rId15" w:history="1">
        <w:r w:rsidRPr="00AE0D2B">
          <w:rPr>
            <w:i/>
            <w:iCs/>
            <w:color w:val="000000"/>
            <w:sz w:val="26"/>
            <w:szCs w:val="26"/>
          </w:rPr>
          <w:t>University of Pennsylvania v. Pa. PUC</w:t>
        </w:r>
        <w:r w:rsidRPr="00AE0D2B">
          <w:rPr>
            <w:color w:val="000000"/>
            <w:sz w:val="26"/>
            <w:szCs w:val="26"/>
          </w:rPr>
          <w:t>, 485 A.2d 1217 (Pa. Cmwlth. 1984).</w:t>
        </w:r>
      </w:hyperlink>
    </w:p>
    <w:p w14:paraId="13A3276E" w14:textId="77777777" w:rsidR="008B0BBA" w:rsidRDefault="008B0BBA" w:rsidP="008E1AD5">
      <w:pPr>
        <w:rPr>
          <w:sz w:val="26"/>
          <w:szCs w:val="26"/>
        </w:rPr>
      </w:pPr>
    </w:p>
    <w:p w14:paraId="752C7063" w14:textId="77777777" w:rsidR="005B7579" w:rsidRPr="00303DDC" w:rsidRDefault="008A29D6" w:rsidP="008E1AD5">
      <w:pPr>
        <w:ind w:firstLine="720"/>
        <w:rPr>
          <w:b/>
          <w:bCs/>
          <w:color w:val="000000"/>
          <w:sz w:val="26"/>
          <w:szCs w:val="26"/>
        </w:rPr>
      </w:pPr>
      <w:r w:rsidRPr="00303DDC">
        <w:rPr>
          <w:b/>
          <w:bCs/>
          <w:color w:val="000000"/>
          <w:sz w:val="26"/>
          <w:szCs w:val="26"/>
        </w:rPr>
        <w:t>2.</w:t>
      </w:r>
      <w:r w:rsidRPr="00303DDC">
        <w:rPr>
          <w:b/>
          <w:bCs/>
          <w:color w:val="000000"/>
          <w:sz w:val="26"/>
          <w:szCs w:val="26"/>
        </w:rPr>
        <w:tab/>
      </w:r>
      <w:r w:rsidR="00303DDC" w:rsidRPr="00303DDC">
        <w:rPr>
          <w:b/>
          <w:bCs/>
          <w:color w:val="000000"/>
          <w:sz w:val="26"/>
          <w:szCs w:val="26"/>
        </w:rPr>
        <w:t>The Commission’s Meter Location Requirements</w:t>
      </w:r>
    </w:p>
    <w:p w14:paraId="44E08678" w14:textId="77777777" w:rsidR="005B7579" w:rsidRDefault="005B7579" w:rsidP="008E1AD5">
      <w:pPr>
        <w:rPr>
          <w:color w:val="000000"/>
          <w:sz w:val="26"/>
          <w:szCs w:val="26"/>
        </w:rPr>
      </w:pPr>
    </w:p>
    <w:p w14:paraId="749370D9" w14:textId="77777777" w:rsidR="00563628" w:rsidRDefault="005F0D8A" w:rsidP="008E1AD5">
      <w:pPr>
        <w:pStyle w:val="FootnoteText"/>
        <w:ind w:firstLine="0"/>
        <w:rPr>
          <w:sz w:val="26"/>
        </w:rPr>
      </w:pPr>
      <w:r>
        <w:rPr>
          <w:sz w:val="26"/>
        </w:rPr>
        <w:tab/>
      </w:r>
      <w:r>
        <w:rPr>
          <w:sz w:val="26"/>
        </w:rPr>
        <w:tab/>
      </w:r>
      <w:r w:rsidR="005212BD">
        <w:rPr>
          <w:sz w:val="26"/>
        </w:rPr>
        <w:t>The Commission amended its meter location Regulations, effective September 13, 2014, to address meter placement and location and general requirements for new service lines</w:t>
      </w:r>
      <w:r w:rsidR="00830C6C">
        <w:rPr>
          <w:sz w:val="26"/>
        </w:rPr>
        <w:t xml:space="preserve"> and to coincide with the federal standards that the Commission has adopted</w:t>
      </w:r>
      <w:r w:rsidR="005212BD">
        <w:rPr>
          <w:sz w:val="26"/>
        </w:rPr>
        <w:t>.</w:t>
      </w:r>
      <w:r w:rsidR="0031051A">
        <w:rPr>
          <w:rStyle w:val="FootnoteReference"/>
          <w:sz w:val="26"/>
        </w:rPr>
        <w:footnoteReference w:id="4"/>
      </w:r>
      <w:r w:rsidR="005212BD">
        <w:rPr>
          <w:sz w:val="26"/>
        </w:rPr>
        <w:t xml:space="preserve">  </w:t>
      </w:r>
      <w:r w:rsidR="005212BD" w:rsidRPr="00830C6C">
        <w:rPr>
          <w:i/>
          <w:iCs/>
          <w:sz w:val="26"/>
        </w:rPr>
        <w:t xml:space="preserve">See </w:t>
      </w:r>
      <w:r w:rsidR="00830C6C" w:rsidRPr="00830C6C">
        <w:rPr>
          <w:i/>
          <w:iCs/>
          <w:sz w:val="26"/>
        </w:rPr>
        <w:t>Rulemaking Re Amendment to 52 Pa. Code § 59.18 Meter Location: Final Rulemaking Order</w:t>
      </w:r>
      <w:r w:rsidR="00830C6C">
        <w:rPr>
          <w:i/>
          <w:iCs/>
          <w:sz w:val="26"/>
        </w:rPr>
        <w:t xml:space="preserve"> (Final Rulemaking Order</w:t>
      </w:r>
      <w:r w:rsidR="00830C6C">
        <w:rPr>
          <w:sz w:val="26"/>
        </w:rPr>
        <w:t>)</w:t>
      </w:r>
      <w:r w:rsidR="00830C6C" w:rsidRPr="00830C6C">
        <w:rPr>
          <w:i/>
          <w:iCs/>
          <w:sz w:val="26"/>
        </w:rPr>
        <w:t xml:space="preserve">, </w:t>
      </w:r>
      <w:r w:rsidR="00830C6C" w:rsidRPr="00830C6C">
        <w:rPr>
          <w:sz w:val="26"/>
        </w:rPr>
        <w:t>Docket No. L-2009-2107155</w:t>
      </w:r>
      <w:r w:rsidR="00830C6C">
        <w:rPr>
          <w:sz w:val="26"/>
        </w:rPr>
        <w:t xml:space="preserve"> (Order entered May 23, 2014). </w:t>
      </w:r>
      <w:r w:rsidR="005212BD">
        <w:rPr>
          <w:sz w:val="26"/>
        </w:rPr>
        <w:t xml:space="preserve"> </w:t>
      </w:r>
      <w:r w:rsidR="00563628">
        <w:rPr>
          <w:sz w:val="26"/>
        </w:rPr>
        <w:t xml:space="preserve">In this proceeding, we are addressing some issues of first impression based on the new regulatory language in 52 Pa. Code § 59.18.  </w:t>
      </w:r>
      <w:r w:rsidR="00F276BA">
        <w:rPr>
          <w:sz w:val="26"/>
        </w:rPr>
        <w:t xml:space="preserve">There are two </w:t>
      </w:r>
      <w:r w:rsidR="003201A0">
        <w:rPr>
          <w:sz w:val="26"/>
        </w:rPr>
        <w:t xml:space="preserve">main </w:t>
      </w:r>
      <w:r w:rsidR="00F276BA">
        <w:rPr>
          <w:sz w:val="26"/>
        </w:rPr>
        <w:t>issues before us: (1) whether UGI considered inside locations for meters in historic districts as required by Section 59.18(d)</w:t>
      </w:r>
      <w:r w:rsidR="00F479FE">
        <w:rPr>
          <w:sz w:val="26"/>
        </w:rPr>
        <w:t>(1)(ii)</w:t>
      </w:r>
      <w:r w:rsidR="00F276BA">
        <w:rPr>
          <w:sz w:val="26"/>
        </w:rPr>
        <w:t xml:space="preserve"> of our Regulations</w:t>
      </w:r>
      <w:r w:rsidR="00C51A60">
        <w:rPr>
          <w:sz w:val="26"/>
        </w:rPr>
        <w:t>,</w:t>
      </w:r>
      <w:r w:rsidR="00F276BA">
        <w:rPr>
          <w:sz w:val="26"/>
        </w:rPr>
        <w:t xml:space="preserve"> 52 Pa. Code </w:t>
      </w:r>
    </w:p>
    <w:p w14:paraId="575D2B11" w14:textId="50793498" w:rsidR="003C16A4" w:rsidRDefault="00F276BA" w:rsidP="008E1AD5">
      <w:pPr>
        <w:pStyle w:val="FootnoteText"/>
        <w:ind w:firstLine="0"/>
        <w:rPr>
          <w:sz w:val="26"/>
        </w:rPr>
      </w:pPr>
      <w:r>
        <w:rPr>
          <w:sz w:val="26"/>
        </w:rPr>
        <w:lastRenderedPageBreak/>
        <w:t>§ 59.18(d)</w:t>
      </w:r>
      <w:r w:rsidR="00F479FE">
        <w:rPr>
          <w:sz w:val="26"/>
        </w:rPr>
        <w:t>(1)(ii)</w:t>
      </w:r>
      <w:r w:rsidR="00E40174">
        <w:rPr>
          <w:sz w:val="26"/>
        </w:rPr>
        <w:t>;</w:t>
      </w:r>
      <w:r>
        <w:rPr>
          <w:sz w:val="26"/>
        </w:rPr>
        <w:t xml:space="preserve"> and (2) whether </w:t>
      </w:r>
      <w:r w:rsidR="00A25457">
        <w:rPr>
          <w:sz w:val="26"/>
        </w:rPr>
        <w:t>UGI</w:t>
      </w:r>
      <w:r w:rsidR="00A85004">
        <w:rPr>
          <w:sz w:val="26"/>
        </w:rPr>
        <w:t>’s outsi</w:t>
      </w:r>
      <w:bookmarkStart w:id="0" w:name="_Hlk20995962"/>
      <w:r w:rsidR="00A25457">
        <w:rPr>
          <w:sz w:val="26"/>
        </w:rPr>
        <w:t xml:space="preserve">de </w:t>
      </w:r>
      <w:r w:rsidR="00A85004">
        <w:rPr>
          <w:sz w:val="26"/>
        </w:rPr>
        <w:t xml:space="preserve">location of meters complied with the safety standards in </w:t>
      </w:r>
      <w:bookmarkEnd w:id="0"/>
      <w:r w:rsidR="00A25457">
        <w:rPr>
          <w:sz w:val="26"/>
        </w:rPr>
        <w:t xml:space="preserve">Section 59.18(a)(5) </w:t>
      </w:r>
      <w:r w:rsidR="00F479FE">
        <w:rPr>
          <w:sz w:val="26"/>
        </w:rPr>
        <w:t xml:space="preserve">and (b)(1) </w:t>
      </w:r>
      <w:r w:rsidR="00A25457">
        <w:rPr>
          <w:sz w:val="26"/>
        </w:rPr>
        <w:t>of our Regulations, 52 Pa. Code</w:t>
      </w:r>
    </w:p>
    <w:p w14:paraId="2C4A1D4B" w14:textId="4F54FDD5" w:rsidR="005B7579" w:rsidRDefault="00A25457" w:rsidP="008E1AD5">
      <w:pPr>
        <w:pStyle w:val="FootnoteText"/>
        <w:ind w:firstLine="0"/>
        <w:rPr>
          <w:sz w:val="26"/>
        </w:rPr>
      </w:pPr>
      <w:r>
        <w:rPr>
          <w:sz w:val="26"/>
        </w:rPr>
        <w:t>§ 59.18</w:t>
      </w:r>
      <w:r w:rsidR="00F479FE">
        <w:rPr>
          <w:sz w:val="26"/>
        </w:rPr>
        <w:t>(a)(5),(b)(1),</w:t>
      </w:r>
      <w:r w:rsidR="00C51A60">
        <w:rPr>
          <w:sz w:val="26"/>
        </w:rPr>
        <w:t xml:space="preserve"> and </w:t>
      </w:r>
      <w:r w:rsidR="0047505A">
        <w:rPr>
          <w:sz w:val="26"/>
        </w:rPr>
        <w:t>49 C.F.R</w:t>
      </w:r>
      <w:r w:rsidR="00563628">
        <w:rPr>
          <w:sz w:val="26"/>
        </w:rPr>
        <w:t>.</w:t>
      </w:r>
      <w:r w:rsidR="0047505A">
        <w:rPr>
          <w:sz w:val="26"/>
        </w:rPr>
        <w:t xml:space="preserve"> § 192.353(a).</w:t>
      </w:r>
      <w:r w:rsidR="00DF3A62">
        <w:rPr>
          <w:rStyle w:val="FootnoteReference"/>
          <w:sz w:val="26"/>
        </w:rPr>
        <w:footnoteReference w:id="5"/>
      </w:r>
      <w:r w:rsidR="00563628">
        <w:rPr>
          <w:sz w:val="26"/>
        </w:rPr>
        <w:t xml:space="preserve">  These provisions</w:t>
      </w:r>
      <w:r w:rsidR="005F7744">
        <w:rPr>
          <w:sz w:val="26"/>
        </w:rPr>
        <w:t>, and other relevant provisions in this proceeding,</w:t>
      </w:r>
      <w:r w:rsidR="00563628">
        <w:rPr>
          <w:sz w:val="26"/>
        </w:rPr>
        <w:t xml:space="preserve"> provide the following, in pertinent part:</w:t>
      </w:r>
    </w:p>
    <w:p w14:paraId="32529239" w14:textId="0A9AAAED" w:rsidR="0043446C" w:rsidRPr="008B05DE" w:rsidRDefault="008B05DE" w:rsidP="008E1AD5">
      <w:pPr>
        <w:spacing w:before="100" w:beforeAutospacing="1" w:after="100" w:afterAutospacing="1" w:line="240" w:lineRule="auto"/>
        <w:ind w:left="1440" w:right="1440" w:firstLine="0"/>
        <w:rPr>
          <w:b/>
          <w:bCs/>
          <w:sz w:val="26"/>
        </w:rPr>
      </w:pPr>
      <w:r w:rsidRPr="008B05DE">
        <w:rPr>
          <w:b/>
          <w:bCs/>
          <w:sz w:val="26"/>
        </w:rPr>
        <w:t>§ 59.18.  Meter, regulator and service line location.</w:t>
      </w:r>
    </w:p>
    <w:p w14:paraId="24C07597" w14:textId="6A9BF1B4" w:rsidR="0043446C" w:rsidRDefault="008B05DE" w:rsidP="008E1AD5">
      <w:pPr>
        <w:spacing w:before="100" w:beforeAutospacing="1" w:after="100" w:afterAutospacing="1" w:line="240" w:lineRule="auto"/>
        <w:ind w:left="1440" w:right="1440" w:firstLine="0"/>
        <w:rPr>
          <w:sz w:val="26"/>
        </w:rPr>
      </w:pPr>
      <w:r>
        <w:rPr>
          <w:sz w:val="26"/>
        </w:rPr>
        <w:t xml:space="preserve">(a)  </w:t>
      </w:r>
      <w:r w:rsidRPr="008B05DE">
        <w:rPr>
          <w:i/>
          <w:iCs/>
          <w:sz w:val="26"/>
        </w:rPr>
        <w:t>General requirements for meter and regulator location</w:t>
      </w:r>
      <w:r>
        <w:rPr>
          <w:sz w:val="26"/>
        </w:rPr>
        <w:t>.</w:t>
      </w:r>
    </w:p>
    <w:p w14:paraId="066BF661" w14:textId="7B947BA6" w:rsidR="00E25BCB" w:rsidRDefault="007776F6" w:rsidP="008E1AD5">
      <w:pPr>
        <w:spacing w:before="100" w:beforeAutospacing="1" w:after="100" w:afterAutospacing="1" w:line="240" w:lineRule="auto"/>
        <w:ind w:left="1440" w:right="1440" w:firstLine="0"/>
        <w:rPr>
          <w:sz w:val="26"/>
        </w:rPr>
      </w:pPr>
      <w:r>
        <w:rPr>
          <w:sz w:val="26"/>
        </w:rPr>
        <w:t xml:space="preserve">      </w:t>
      </w:r>
      <w:r w:rsidR="00E25BCB">
        <w:rPr>
          <w:sz w:val="26"/>
        </w:rPr>
        <w:t xml:space="preserve">(1) </w:t>
      </w:r>
      <w:r w:rsidR="005712CF">
        <w:rPr>
          <w:sz w:val="26"/>
        </w:rPr>
        <w:t xml:space="preserve"> </w:t>
      </w:r>
      <w:r w:rsidR="00E25BCB">
        <w:rPr>
          <w:sz w:val="26"/>
        </w:rPr>
        <w:t>Unless otherwise allowed or required in this section, meters and regulators must be located outside and aboveground.</w:t>
      </w:r>
    </w:p>
    <w:p w14:paraId="76D79684" w14:textId="77777777" w:rsidR="005712CF" w:rsidRDefault="005712CF" w:rsidP="008E1AD5">
      <w:pPr>
        <w:tabs>
          <w:tab w:val="left" w:pos="1800"/>
        </w:tabs>
        <w:spacing w:before="100" w:beforeAutospacing="1" w:after="100" w:afterAutospacing="1" w:line="240" w:lineRule="auto"/>
        <w:ind w:left="1440" w:right="1440" w:firstLine="0"/>
        <w:rPr>
          <w:sz w:val="26"/>
        </w:rPr>
      </w:pPr>
      <w:r>
        <w:rPr>
          <w:sz w:val="26"/>
        </w:rPr>
        <w:tab/>
        <w:t>(2)  Except in the case of an emergency, a utility shall provide written notice to a utility customer by first class mail or by personal delivery at least 30 days prior to relocating and subsequently installing a meter or regulator outside the customer’s building … .</w:t>
      </w:r>
    </w:p>
    <w:p w14:paraId="47B63765" w14:textId="04100E2F" w:rsidR="005712CF" w:rsidRDefault="005712CF" w:rsidP="008E1AD5">
      <w:pPr>
        <w:tabs>
          <w:tab w:val="left" w:pos="1800"/>
        </w:tabs>
        <w:spacing w:before="100" w:beforeAutospacing="1" w:after="100" w:afterAutospacing="1" w:line="240" w:lineRule="auto"/>
        <w:ind w:left="1440" w:right="1440" w:firstLine="0"/>
        <w:rPr>
          <w:sz w:val="26"/>
        </w:rPr>
      </w:pPr>
      <w:r>
        <w:rPr>
          <w:sz w:val="26"/>
        </w:rPr>
        <w:tab/>
        <w:t>(3)  The written notice must inform the customer and building owner of the equipment that the utility proposes to relocate, the planned new location and how to contact the utility to provide supplemental information that the utility may not have, such as the building’s historic status.  The written notice must include contact information for the Commission’s Bureau of Consumer Services.</w:t>
      </w:r>
    </w:p>
    <w:p w14:paraId="3477F7D5" w14:textId="77777777" w:rsidR="00E25BCB" w:rsidRPr="00415ACE" w:rsidRDefault="00E25BCB" w:rsidP="008E1AD5">
      <w:pPr>
        <w:spacing w:before="100" w:beforeAutospacing="1" w:after="100" w:afterAutospacing="1" w:line="240" w:lineRule="auto"/>
        <w:ind w:left="1440" w:right="1440" w:firstLine="0"/>
        <w:jc w:val="center"/>
        <w:rPr>
          <w:sz w:val="26"/>
        </w:rPr>
      </w:pPr>
      <w:r>
        <w:rPr>
          <w:sz w:val="26"/>
        </w:rPr>
        <w:t>***</w:t>
      </w:r>
    </w:p>
    <w:p w14:paraId="796B6D8F" w14:textId="76FCDEF6" w:rsidR="006117B5" w:rsidRDefault="00E25BCB" w:rsidP="008E1AD5">
      <w:pPr>
        <w:tabs>
          <w:tab w:val="left" w:pos="1800"/>
        </w:tabs>
        <w:spacing w:before="100" w:beforeAutospacing="1" w:after="100" w:afterAutospacing="1" w:line="240" w:lineRule="auto"/>
        <w:ind w:left="1440" w:right="1440" w:firstLine="0"/>
        <w:rPr>
          <w:sz w:val="26"/>
        </w:rPr>
      </w:pPr>
      <w:r>
        <w:rPr>
          <w:sz w:val="26"/>
        </w:rPr>
        <w:tab/>
      </w:r>
      <w:r w:rsidR="007776F6">
        <w:rPr>
          <w:sz w:val="26"/>
        </w:rPr>
        <w:t>(5)  When selecting a meter or service regulator location, a utility shall consider potential damage by outside forces.</w:t>
      </w:r>
    </w:p>
    <w:p w14:paraId="2956F638" w14:textId="77777777" w:rsidR="00555CB5" w:rsidRPr="00415ACE" w:rsidRDefault="00555CB5" w:rsidP="008E1AD5">
      <w:pPr>
        <w:spacing w:before="100" w:beforeAutospacing="1" w:after="100" w:afterAutospacing="1" w:line="240" w:lineRule="auto"/>
        <w:ind w:left="1440" w:right="1440" w:firstLine="0"/>
        <w:jc w:val="center"/>
        <w:rPr>
          <w:sz w:val="26"/>
        </w:rPr>
      </w:pPr>
      <w:r>
        <w:rPr>
          <w:sz w:val="26"/>
        </w:rPr>
        <w:lastRenderedPageBreak/>
        <w:t>***</w:t>
      </w:r>
    </w:p>
    <w:p w14:paraId="08309225" w14:textId="77777777" w:rsidR="006117B5" w:rsidRPr="006117B5" w:rsidRDefault="006117B5" w:rsidP="008E1AD5">
      <w:pPr>
        <w:tabs>
          <w:tab w:val="left" w:pos="1440"/>
        </w:tabs>
        <w:spacing w:line="240" w:lineRule="auto"/>
        <w:ind w:left="1440" w:right="1440" w:hanging="360"/>
        <w:contextualSpacing/>
        <w:rPr>
          <w:sz w:val="26"/>
          <w:szCs w:val="26"/>
        </w:rPr>
      </w:pPr>
      <w:r>
        <w:rPr>
          <w:sz w:val="26"/>
          <w:szCs w:val="26"/>
        </w:rPr>
        <w:tab/>
      </w:r>
      <w:r w:rsidRPr="006117B5">
        <w:rPr>
          <w:sz w:val="26"/>
          <w:szCs w:val="26"/>
        </w:rPr>
        <w:t>(b)</w:t>
      </w:r>
      <w:r w:rsidRPr="006117B5">
        <w:rPr>
          <w:sz w:val="26"/>
          <w:szCs w:val="26"/>
        </w:rPr>
        <w:tab/>
      </w:r>
      <w:r>
        <w:rPr>
          <w:sz w:val="26"/>
          <w:szCs w:val="26"/>
        </w:rPr>
        <w:t xml:space="preserve"> </w:t>
      </w:r>
      <w:r w:rsidRPr="006117B5">
        <w:rPr>
          <w:i/>
          <w:iCs/>
          <w:sz w:val="26"/>
          <w:szCs w:val="26"/>
        </w:rPr>
        <w:t>Outside meter or service regulator locations</w:t>
      </w:r>
      <w:r w:rsidRPr="006117B5">
        <w:rPr>
          <w:sz w:val="26"/>
          <w:szCs w:val="26"/>
        </w:rPr>
        <w:t>.  Outside meters or service regulators shall be installed in one of the following locations:</w:t>
      </w:r>
    </w:p>
    <w:p w14:paraId="4A635A13" w14:textId="77777777" w:rsidR="006117B5" w:rsidRPr="006117B5" w:rsidRDefault="006117B5" w:rsidP="008E1AD5">
      <w:pPr>
        <w:tabs>
          <w:tab w:val="left" w:pos="1800"/>
        </w:tabs>
        <w:spacing w:line="240" w:lineRule="auto"/>
        <w:ind w:left="1800" w:right="1440" w:hanging="360"/>
        <w:contextualSpacing/>
        <w:rPr>
          <w:sz w:val="26"/>
          <w:szCs w:val="26"/>
        </w:rPr>
      </w:pPr>
    </w:p>
    <w:p w14:paraId="6083736D" w14:textId="77777777" w:rsidR="006117B5" w:rsidRPr="006117B5" w:rsidRDefault="006117B5" w:rsidP="008E1AD5">
      <w:pPr>
        <w:tabs>
          <w:tab w:val="left" w:pos="1800"/>
        </w:tabs>
        <w:spacing w:line="240" w:lineRule="auto"/>
        <w:ind w:left="1440" w:right="1440" w:firstLine="0"/>
        <w:contextualSpacing/>
        <w:rPr>
          <w:sz w:val="26"/>
          <w:szCs w:val="26"/>
        </w:rPr>
      </w:pPr>
      <w:r>
        <w:rPr>
          <w:sz w:val="26"/>
          <w:szCs w:val="26"/>
        </w:rPr>
        <w:tab/>
        <w:t xml:space="preserve">(1)  </w:t>
      </w:r>
      <w:r w:rsidRPr="006117B5">
        <w:rPr>
          <w:sz w:val="26"/>
          <w:szCs w:val="26"/>
        </w:rPr>
        <w:t>When feasible and practical to do so, aboveground in a protected location adjacent to the building served, or as close as possible to the point where a production or transmission line is tapped.</w:t>
      </w:r>
    </w:p>
    <w:p w14:paraId="2DF00559" w14:textId="77777777" w:rsidR="00ED6172" w:rsidRPr="00415ACE" w:rsidRDefault="00ED6172" w:rsidP="008E1AD5">
      <w:pPr>
        <w:spacing w:before="100" w:beforeAutospacing="1" w:after="100" w:afterAutospacing="1" w:line="240" w:lineRule="auto"/>
        <w:ind w:left="1440" w:right="1440" w:firstLine="0"/>
        <w:jc w:val="center"/>
        <w:rPr>
          <w:sz w:val="26"/>
        </w:rPr>
      </w:pPr>
      <w:r>
        <w:rPr>
          <w:sz w:val="26"/>
        </w:rPr>
        <w:t>***</w:t>
      </w:r>
    </w:p>
    <w:p w14:paraId="6C09FE9F" w14:textId="5E0284EB" w:rsidR="005B7579" w:rsidRPr="00415ACE" w:rsidRDefault="005B7579" w:rsidP="008E1AD5">
      <w:pPr>
        <w:spacing w:before="100" w:beforeAutospacing="1" w:after="100" w:afterAutospacing="1" w:line="240" w:lineRule="auto"/>
        <w:ind w:left="1440" w:right="1440" w:firstLine="0"/>
        <w:rPr>
          <w:sz w:val="26"/>
        </w:rPr>
      </w:pPr>
      <w:r w:rsidRPr="00415ACE">
        <w:rPr>
          <w:sz w:val="26"/>
        </w:rPr>
        <w:t>(d)  </w:t>
      </w:r>
      <w:r w:rsidRPr="00415ACE">
        <w:rPr>
          <w:i/>
          <w:iCs/>
          <w:sz w:val="26"/>
        </w:rPr>
        <w:t>Inside meter locations.</w:t>
      </w:r>
    </w:p>
    <w:p w14:paraId="567A0B0D" w14:textId="21B20776" w:rsidR="005B7579" w:rsidRPr="00415ACE" w:rsidRDefault="007776F6" w:rsidP="008E1AD5">
      <w:pPr>
        <w:tabs>
          <w:tab w:val="left" w:pos="1800"/>
        </w:tabs>
        <w:spacing w:before="100" w:beforeAutospacing="1" w:after="100" w:afterAutospacing="1" w:line="240" w:lineRule="auto"/>
        <w:ind w:left="1440" w:right="1440" w:firstLine="0"/>
        <w:rPr>
          <w:sz w:val="26"/>
        </w:rPr>
      </w:pPr>
      <w:r>
        <w:rPr>
          <w:sz w:val="26"/>
        </w:rPr>
        <w:t xml:space="preserve">     </w:t>
      </w:r>
      <w:r w:rsidR="00ED6172">
        <w:rPr>
          <w:sz w:val="26"/>
        </w:rPr>
        <w:tab/>
      </w:r>
      <w:r w:rsidR="005B7579" w:rsidRPr="00415ACE">
        <w:rPr>
          <w:sz w:val="26"/>
        </w:rPr>
        <w:t>(1)  Inside meter locations shall be considered only when:</w:t>
      </w:r>
    </w:p>
    <w:p w14:paraId="2306E424" w14:textId="77777777" w:rsidR="005B7579" w:rsidRPr="00415ACE" w:rsidRDefault="005B7579" w:rsidP="008E1AD5">
      <w:pPr>
        <w:spacing w:before="100" w:beforeAutospacing="1" w:after="100" w:afterAutospacing="1" w:line="240" w:lineRule="auto"/>
        <w:ind w:left="1440" w:right="1440" w:firstLine="0"/>
        <w:jc w:val="center"/>
        <w:rPr>
          <w:sz w:val="26"/>
        </w:rPr>
      </w:pPr>
      <w:r>
        <w:rPr>
          <w:sz w:val="26"/>
        </w:rPr>
        <w:t>***</w:t>
      </w:r>
    </w:p>
    <w:p w14:paraId="5A6AFA90" w14:textId="45D4F669" w:rsidR="005B7579" w:rsidRPr="00415ACE" w:rsidRDefault="005B7579" w:rsidP="008E1AD5">
      <w:pPr>
        <w:tabs>
          <w:tab w:val="left" w:pos="2160"/>
        </w:tabs>
        <w:spacing w:before="100" w:beforeAutospacing="1" w:after="100" w:afterAutospacing="1" w:line="240" w:lineRule="auto"/>
        <w:ind w:left="1440" w:right="1440" w:firstLine="0"/>
        <w:rPr>
          <w:sz w:val="26"/>
        </w:rPr>
      </w:pPr>
      <w:r w:rsidRPr="00415ACE">
        <w:rPr>
          <w:sz w:val="26"/>
        </w:rPr>
        <w:t>     </w:t>
      </w:r>
      <w:r w:rsidR="007776F6">
        <w:rPr>
          <w:sz w:val="26"/>
        </w:rPr>
        <w:tab/>
      </w:r>
      <w:r w:rsidRPr="00415ACE">
        <w:rPr>
          <w:sz w:val="26"/>
        </w:rPr>
        <w:t>(ii)</w:t>
      </w:r>
      <w:r w:rsidR="005B349E">
        <w:rPr>
          <w:sz w:val="26"/>
        </w:rPr>
        <w:tab/>
      </w:r>
      <w:r w:rsidRPr="00415ACE">
        <w:rPr>
          <w:sz w:val="26"/>
        </w:rPr>
        <w:t>A meter is located in a building that meets one of the following criteria:</w:t>
      </w:r>
    </w:p>
    <w:p w14:paraId="551B5D13" w14:textId="15FDEAFF" w:rsidR="005B7579" w:rsidRPr="00415ACE" w:rsidRDefault="005B7579" w:rsidP="008E1AD5">
      <w:pPr>
        <w:tabs>
          <w:tab w:val="left" w:pos="2160"/>
          <w:tab w:val="left" w:pos="2880"/>
        </w:tabs>
        <w:spacing w:before="100" w:beforeAutospacing="1" w:after="100" w:afterAutospacing="1" w:line="240" w:lineRule="auto"/>
        <w:ind w:left="1440" w:right="1440" w:firstLine="0"/>
        <w:rPr>
          <w:sz w:val="26"/>
        </w:rPr>
      </w:pPr>
      <w:r w:rsidRPr="00415ACE">
        <w:rPr>
          <w:sz w:val="26"/>
        </w:rPr>
        <w:t>       </w:t>
      </w:r>
      <w:r w:rsidR="007776F6">
        <w:rPr>
          <w:sz w:val="26"/>
        </w:rPr>
        <w:tab/>
        <w:t xml:space="preserve"> </w:t>
      </w:r>
      <w:r w:rsidR="00ED6172">
        <w:rPr>
          <w:sz w:val="26"/>
        </w:rPr>
        <w:tab/>
      </w:r>
      <w:r w:rsidRPr="00415ACE">
        <w:rPr>
          <w:sz w:val="26"/>
        </w:rPr>
        <w:t>(A) </w:t>
      </w:r>
      <w:r w:rsidR="00973760">
        <w:rPr>
          <w:sz w:val="26"/>
        </w:rPr>
        <w:t xml:space="preserve"> </w:t>
      </w:r>
      <w:r w:rsidRPr="00415ACE">
        <w:rPr>
          <w:sz w:val="26"/>
        </w:rPr>
        <w:t>A building is listed in the National Register of Historic Places or the customer or building owner notifies the utility that the building is eligible to be listed in the National Register of Historic Places and the eligibility can be readily confirmed by the utility.</w:t>
      </w:r>
    </w:p>
    <w:p w14:paraId="15CE77EC" w14:textId="492CEBBD" w:rsidR="005B7579" w:rsidRPr="00415ACE" w:rsidRDefault="00973760" w:rsidP="008E1AD5">
      <w:pPr>
        <w:tabs>
          <w:tab w:val="left" w:pos="2160"/>
          <w:tab w:val="left" w:pos="2880"/>
        </w:tabs>
        <w:spacing w:before="100" w:beforeAutospacing="1" w:after="100" w:afterAutospacing="1" w:line="240" w:lineRule="auto"/>
        <w:ind w:left="1440" w:right="1440" w:firstLine="0"/>
        <w:rPr>
          <w:sz w:val="26"/>
        </w:rPr>
      </w:pPr>
      <w:r>
        <w:rPr>
          <w:sz w:val="26"/>
        </w:rPr>
        <w:t xml:space="preserve">     </w:t>
      </w:r>
      <w:r>
        <w:rPr>
          <w:sz w:val="26"/>
        </w:rPr>
        <w:tab/>
        <w:t xml:space="preserve">     </w:t>
      </w:r>
      <w:r w:rsidR="005B349E">
        <w:rPr>
          <w:sz w:val="26"/>
        </w:rPr>
        <w:tab/>
      </w:r>
      <w:r w:rsidR="005B7579" w:rsidRPr="00415ACE">
        <w:rPr>
          <w:sz w:val="26"/>
        </w:rPr>
        <w:t>(B)  A building is located within a historic district that is listed in the National Register of Historic Places or the customer or building owner notifies the utility that the historic district is eligible to be listed in the National Register of Historic Places and the eligibility can be readily confirmed by the utility.</w:t>
      </w:r>
    </w:p>
    <w:p w14:paraId="2CDB604B" w14:textId="5B5C86DA" w:rsidR="005B7579" w:rsidRPr="00415ACE" w:rsidRDefault="005B7579" w:rsidP="008E1AD5">
      <w:pPr>
        <w:tabs>
          <w:tab w:val="left" w:pos="2880"/>
        </w:tabs>
        <w:spacing w:before="100" w:beforeAutospacing="1" w:after="100" w:afterAutospacing="1" w:line="240" w:lineRule="auto"/>
        <w:ind w:left="1440" w:right="1440" w:firstLine="0"/>
        <w:rPr>
          <w:sz w:val="26"/>
        </w:rPr>
      </w:pPr>
      <w:r w:rsidRPr="00415ACE">
        <w:rPr>
          <w:sz w:val="26"/>
        </w:rPr>
        <w:t>       </w:t>
      </w:r>
      <w:r w:rsidR="00973760">
        <w:rPr>
          <w:sz w:val="26"/>
        </w:rPr>
        <w:tab/>
        <w:t xml:space="preserve"> </w:t>
      </w:r>
      <w:r w:rsidRPr="00415ACE">
        <w:rPr>
          <w:sz w:val="26"/>
        </w:rPr>
        <w:t>(C)  A building has been designated as historic under the act of June 13, 1961 (P. L. 282, No. 167) (53 P. S. §§ 8001</w:t>
      </w:r>
      <w:r>
        <w:rPr>
          <w:sz w:val="26"/>
        </w:rPr>
        <w:t>-</w:t>
      </w:r>
      <w:r w:rsidRPr="00415ACE">
        <w:rPr>
          <w:sz w:val="26"/>
        </w:rPr>
        <w:t>8006), known as the Pennsylvania Historic District Act, the Pennsylvania Municipalities Planning Code (53 P.S.</w:t>
      </w:r>
      <w:r>
        <w:rPr>
          <w:sz w:val="26"/>
        </w:rPr>
        <w:t xml:space="preserve"> </w:t>
      </w:r>
      <w:r w:rsidRPr="00415ACE">
        <w:rPr>
          <w:sz w:val="26"/>
        </w:rPr>
        <w:t>§§ 10101</w:t>
      </w:r>
      <w:r>
        <w:rPr>
          <w:sz w:val="26"/>
        </w:rPr>
        <w:t>-</w:t>
      </w:r>
      <w:r w:rsidRPr="00415ACE">
        <w:rPr>
          <w:sz w:val="26"/>
        </w:rPr>
        <w:t>11202) or a municipal home rule charter.</w:t>
      </w:r>
    </w:p>
    <w:p w14:paraId="7709E2A0" w14:textId="07AE4732" w:rsidR="005B7579" w:rsidRDefault="005B7579" w:rsidP="008E1AD5">
      <w:pPr>
        <w:spacing w:line="240" w:lineRule="auto"/>
        <w:ind w:left="1440" w:right="1440" w:firstLine="0"/>
        <w:rPr>
          <w:sz w:val="26"/>
        </w:rPr>
      </w:pPr>
      <w:r w:rsidRPr="00415ACE">
        <w:rPr>
          <w:sz w:val="26"/>
        </w:rPr>
        <w:t>       </w:t>
      </w:r>
      <w:r w:rsidR="00973760">
        <w:rPr>
          <w:sz w:val="26"/>
        </w:rPr>
        <w:tab/>
        <w:t xml:space="preserve">     </w:t>
      </w:r>
      <w:r w:rsidR="005B349E">
        <w:rPr>
          <w:sz w:val="26"/>
        </w:rPr>
        <w:tab/>
      </w:r>
      <w:r w:rsidRPr="00415ACE">
        <w:rPr>
          <w:sz w:val="26"/>
        </w:rPr>
        <w:t xml:space="preserve">(D)  A building is located within a locally designated historic district or is eligible for the listing, or a </w:t>
      </w:r>
      <w:r w:rsidRPr="00415ACE">
        <w:rPr>
          <w:sz w:val="26"/>
        </w:rPr>
        <w:lastRenderedPageBreak/>
        <w:t>building is individually designated under a local ordinance as a historic landmark or is eligible for the listing.</w:t>
      </w:r>
    </w:p>
    <w:p w14:paraId="51481BF8" w14:textId="77777777" w:rsidR="005B7579" w:rsidRDefault="005B7579" w:rsidP="008E1AD5">
      <w:pPr>
        <w:spacing w:line="240" w:lineRule="auto"/>
        <w:ind w:left="1440" w:right="1440" w:firstLine="0"/>
        <w:rPr>
          <w:sz w:val="26"/>
        </w:rPr>
      </w:pPr>
    </w:p>
    <w:p w14:paraId="5665DF12" w14:textId="77777777" w:rsidR="007E24C4" w:rsidRDefault="007E24C4" w:rsidP="008E1AD5">
      <w:pPr>
        <w:rPr>
          <w:sz w:val="26"/>
          <w:szCs w:val="26"/>
        </w:rPr>
      </w:pPr>
    </w:p>
    <w:p w14:paraId="1D2B978C" w14:textId="43EDEF27" w:rsidR="006C0A9A" w:rsidRPr="006C0A9A" w:rsidRDefault="006C0A9A" w:rsidP="008E1AD5">
      <w:pPr>
        <w:rPr>
          <w:sz w:val="26"/>
          <w:szCs w:val="26"/>
        </w:rPr>
      </w:pPr>
      <w:r w:rsidRPr="006C0A9A">
        <w:rPr>
          <w:sz w:val="26"/>
          <w:szCs w:val="26"/>
        </w:rPr>
        <w:t xml:space="preserve">Additionally, under the relevant Code of </w:t>
      </w:r>
      <w:r w:rsidR="00CC5397">
        <w:rPr>
          <w:sz w:val="26"/>
          <w:szCs w:val="26"/>
        </w:rPr>
        <w:t>Federal Regulations</w:t>
      </w:r>
      <w:r w:rsidRPr="006C0A9A">
        <w:rPr>
          <w:sz w:val="26"/>
          <w:szCs w:val="26"/>
        </w:rPr>
        <w:t xml:space="preserve"> provisions, 49 C.F.R. </w:t>
      </w:r>
      <w:r w:rsidRPr="006C0399">
        <w:rPr>
          <w:sz w:val="26"/>
          <w:szCs w:val="26"/>
        </w:rPr>
        <w:t>§ 192.353</w:t>
      </w:r>
      <w:r w:rsidRPr="006C0A9A">
        <w:rPr>
          <w:sz w:val="26"/>
          <w:szCs w:val="26"/>
        </w:rPr>
        <w:t>(a) provides the following:</w:t>
      </w:r>
    </w:p>
    <w:p w14:paraId="2C619FD1" w14:textId="77777777" w:rsidR="006C0A9A" w:rsidRDefault="006C0A9A" w:rsidP="008E1AD5">
      <w:pPr>
        <w:spacing w:line="240" w:lineRule="auto"/>
        <w:ind w:left="1440" w:right="1440" w:firstLine="0"/>
        <w:rPr>
          <w:b/>
          <w:bCs/>
          <w:sz w:val="26"/>
          <w:szCs w:val="26"/>
        </w:rPr>
      </w:pPr>
    </w:p>
    <w:p w14:paraId="383CD31E" w14:textId="77777777" w:rsidR="006C0A9A" w:rsidRPr="006C0399" w:rsidRDefault="006C0A9A" w:rsidP="008E1AD5">
      <w:pPr>
        <w:spacing w:line="240" w:lineRule="auto"/>
        <w:ind w:left="1440" w:right="1440" w:firstLine="0"/>
        <w:rPr>
          <w:b/>
          <w:bCs/>
          <w:sz w:val="26"/>
          <w:szCs w:val="26"/>
        </w:rPr>
      </w:pPr>
      <w:r w:rsidRPr="006C0399">
        <w:rPr>
          <w:b/>
          <w:bCs/>
          <w:sz w:val="26"/>
          <w:szCs w:val="26"/>
        </w:rPr>
        <w:t>Customer meters and regulators: Location.</w:t>
      </w:r>
    </w:p>
    <w:p w14:paraId="107BF699" w14:textId="77777777" w:rsidR="006C0A9A" w:rsidRPr="006C0399" w:rsidRDefault="006C0A9A" w:rsidP="008E1AD5">
      <w:pPr>
        <w:spacing w:line="240" w:lineRule="auto"/>
        <w:ind w:left="1440" w:right="1440" w:firstLine="0"/>
        <w:rPr>
          <w:b/>
          <w:bCs/>
          <w:sz w:val="26"/>
          <w:szCs w:val="26"/>
        </w:rPr>
      </w:pPr>
    </w:p>
    <w:p w14:paraId="7EB0171B" w14:textId="77777777" w:rsidR="006C0A9A" w:rsidRDefault="007B7EEB" w:rsidP="008E1AD5">
      <w:pPr>
        <w:tabs>
          <w:tab w:val="left" w:pos="1440"/>
        </w:tabs>
        <w:spacing w:line="240" w:lineRule="auto"/>
        <w:ind w:left="1440" w:right="1440" w:firstLine="0"/>
        <w:contextualSpacing/>
        <w:rPr>
          <w:sz w:val="26"/>
          <w:szCs w:val="26"/>
        </w:rPr>
      </w:pPr>
      <w:r>
        <w:rPr>
          <w:sz w:val="26"/>
          <w:szCs w:val="26"/>
        </w:rPr>
        <w:t xml:space="preserve">(a)  </w:t>
      </w:r>
      <w:r w:rsidR="006C0A9A" w:rsidRPr="006C0399">
        <w:rPr>
          <w:sz w:val="26"/>
          <w:szCs w:val="26"/>
        </w:rPr>
        <w:t>Each meter and service regulator, whether inside or outside a building, must be installed in a readily accessible location and be protected from corrosion and other damage, including, if installed outside a building, vehicular damage that may be anticipated.  However, the upstream regulator in a series may be buried.</w:t>
      </w:r>
    </w:p>
    <w:p w14:paraId="44736A9C" w14:textId="77777777" w:rsidR="00DB3A4E" w:rsidRPr="006C0399" w:rsidRDefault="00DB3A4E" w:rsidP="008E1AD5">
      <w:pPr>
        <w:tabs>
          <w:tab w:val="left" w:pos="1440"/>
        </w:tabs>
        <w:spacing w:line="240" w:lineRule="auto"/>
        <w:ind w:left="1440" w:right="1440" w:firstLine="0"/>
        <w:contextualSpacing/>
        <w:rPr>
          <w:sz w:val="26"/>
          <w:szCs w:val="26"/>
        </w:rPr>
      </w:pPr>
    </w:p>
    <w:p w14:paraId="1ACDA9A2" w14:textId="77777777" w:rsidR="005B7579" w:rsidRPr="00415ACE" w:rsidRDefault="005B7579" w:rsidP="008E1AD5">
      <w:pPr>
        <w:spacing w:line="240" w:lineRule="auto"/>
        <w:ind w:left="1440" w:right="1440" w:firstLine="0"/>
        <w:rPr>
          <w:sz w:val="26"/>
        </w:rPr>
      </w:pPr>
    </w:p>
    <w:p w14:paraId="5EF15FDA" w14:textId="19FC8888" w:rsidR="005B7579" w:rsidRDefault="00327DA7" w:rsidP="008E1AD5">
      <w:pPr>
        <w:ind w:firstLine="0"/>
        <w:rPr>
          <w:b/>
          <w:bCs/>
          <w:color w:val="000000"/>
          <w:sz w:val="26"/>
          <w:szCs w:val="26"/>
        </w:rPr>
      </w:pPr>
      <w:r>
        <w:rPr>
          <w:b/>
          <w:bCs/>
          <w:color w:val="000000"/>
          <w:sz w:val="26"/>
          <w:szCs w:val="26"/>
        </w:rPr>
        <w:t>B.</w:t>
      </w:r>
      <w:r>
        <w:rPr>
          <w:b/>
          <w:bCs/>
          <w:color w:val="000000"/>
          <w:sz w:val="26"/>
          <w:szCs w:val="26"/>
        </w:rPr>
        <w:tab/>
      </w:r>
      <w:r w:rsidR="00EE759F">
        <w:rPr>
          <w:b/>
          <w:bCs/>
          <w:color w:val="000000"/>
          <w:sz w:val="26"/>
          <w:szCs w:val="26"/>
        </w:rPr>
        <w:t>The Placement of Meters in Historic Districts</w:t>
      </w:r>
    </w:p>
    <w:p w14:paraId="6CF70A48" w14:textId="77777777" w:rsidR="00EE759F" w:rsidRDefault="00EE759F" w:rsidP="008E1AD5">
      <w:pPr>
        <w:ind w:firstLine="0"/>
        <w:rPr>
          <w:b/>
          <w:bCs/>
          <w:color w:val="000000"/>
          <w:sz w:val="26"/>
          <w:szCs w:val="26"/>
        </w:rPr>
      </w:pPr>
    </w:p>
    <w:p w14:paraId="5C524F0F" w14:textId="77777777" w:rsidR="00E57580" w:rsidRDefault="00EE759F" w:rsidP="008E1AD5">
      <w:pPr>
        <w:ind w:firstLine="0"/>
        <w:rPr>
          <w:b/>
          <w:bCs/>
          <w:color w:val="000000"/>
          <w:sz w:val="26"/>
          <w:szCs w:val="26"/>
        </w:rPr>
      </w:pPr>
      <w:r>
        <w:rPr>
          <w:b/>
          <w:bCs/>
          <w:color w:val="000000"/>
          <w:sz w:val="26"/>
          <w:szCs w:val="26"/>
        </w:rPr>
        <w:tab/>
      </w:r>
      <w:r w:rsidR="00D877D9">
        <w:rPr>
          <w:b/>
          <w:bCs/>
          <w:color w:val="000000"/>
          <w:sz w:val="26"/>
          <w:szCs w:val="26"/>
        </w:rPr>
        <w:t>1.</w:t>
      </w:r>
      <w:r w:rsidR="00D877D9">
        <w:rPr>
          <w:b/>
          <w:bCs/>
          <w:color w:val="000000"/>
          <w:sz w:val="26"/>
          <w:szCs w:val="26"/>
        </w:rPr>
        <w:tab/>
      </w:r>
      <w:r w:rsidR="00E57580">
        <w:rPr>
          <w:b/>
          <w:bCs/>
          <w:color w:val="000000"/>
          <w:sz w:val="26"/>
          <w:szCs w:val="26"/>
        </w:rPr>
        <w:t xml:space="preserve">Positions of the Parties </w:t>
      </w:r>
    </w:p>
    <w:p w14:paraId="5CAFE9A9" w14:textId="77777777" w:rsidR="00E57580" w:rsidRDefault="00E57580" w:rsidP="008E1AD5">
      <w:pPr>
        <w:ind w:firstLine="0"/>
        <w:rPr>
          <w:b/>
          <w:bCs/>
          <w:color w:val="000000"/>
          <w:sz w:val="26"/>
          <w:szCs w:val="26"/>
        </w:rPr>
      </w:pPr>
      <w:r>
        <w:rPr>
          <w:b/>
          <w:bCs/>
          <w:color w:val="000000"/>
          <w:sz w:val="26"/>
          <w:szCs w:val="26"/>
        </w:rPr>
        <w:tab/>
      </w:r>
    </w:p>
    <w:p w14:paraId="63A3D1DB" w14:textId="73AE1E2B" w:rsidR="00CC553F" w:rsidRDefault="005316AD" w:rsidP="008E1AD5">
      <w:pPr>
        <w:ind w:firstLine="0"/>
        <w:rPr>
          <w:color w:val="000000"/>
          <w:sz w:val="26"/>
          <w:szCs w:val="26"/>
        </w:rPr>
      </w:pPr>
      <w:r>
        <w:rPr>
          <w:b/>
          <w:bCs/>
          <w:color w:val="000000"/>
          <w:sz w:val="26"/>
          <w:szCs w:val="26"/>
        </w:rPr>
        <w:tab/>
      </w:r>
      <w:r>
        <w:rPr>
          <w:b/>
          <w:bCs/>
          <w:color w:val="000000"/>
          <w:sz w:val="26"/>
          <w:szCs w:val="26"/>
        </w:rPr>
        <w:tab/>
      </w:r>
      <w:r w:rsidR="00BC6E10">
        <w:rPr>
          <w:color w:val="000000"/>
          <w:sz w:val="26"/>
          <w:szCs w:val="26"/>
        </w:rPr>
        <w:t>The City argue</w:t>
      </w:r>
      <w:r w:rsidR="00C6004D">
        <w:rPr>
          <w:color w:val="000000"/>
          <w:sz w:val="26"/>
          <w:szCs w:val="26"/>
        </w:rPr>
        <w:t>d</w:t>
      </w:r>
      <w:r w:rsidR="00BC6E10">
        <w:rPr>
          <w:color w:val="000000"/>
          <w:sz w:val="26"/>
          <w:szCs w:val="26"/>
        </w:rPr>
        <w:t xml:space="preserve"> that the record does not support UGI’s assertion that meters located outside are safer than meters located inside, or UGI’s related assertion that Section 59.18 requires meters and regulators to be located outside and aboveground.  City M.B. at 21-27.  </w:t>
      </w:r>
      <w:r w:rsidR="00C6004D">
        <w:rPr>
          <w:color w:val="000000"/>
          <w:sz w:val="26"/>
          <w:szCs w:val="26"/>
        </w:rPr>
        <w:t xml:space="preserve">The City averred that the record demonstrates that UGI failed to consider inside meter placements in historic districts despite the plain language in Section 59.18 requiring the Company to do so.  </w:t>
      </w:r>
      <w:r w:rsidR="00C6004D" w:rsidRPr="00C6004D">
        <w:rPr>
          <w:i/>
          <w:iCs/>
          <w:color w:val="000000"/>
          <w:sz w:val="26"/>
          <w:szCs w:val="26"/>
        </w:rPr>
        <w:t>Id</w:t>
      </w:r>
      <w:r w:rsidR="00C6004D">
        <w:rPr>
          <w:color w:val="000000"/>
          <w:sz w:val="26"/>
          <w:szCs w:val="26"/>
        </w:rPr>
        <w:t xml:space="preserve">. at 28.  The City asserted that UGI makes the determination that a meter located inside in a historic district must be relocated outside at the time the Company sends its thirty day notice </w:t>
      </w:r>
      <w:r w:rsidR="00F65712">
        <w:rPr>
          <w:color w:val="000000"/>
          <w:sz w:val="26"/>
          <w:szCs w:val="26"/>
        </w:rPr>
        <w:t xml:space="preserve">to customers </w:t>
      </w:r>
      <w:r w:rsidR="00C6004D">
        <w:rPr>
          <w:color w:val="000000"/>
          <w:sz w:val="26"/>
          <w:szCs w:val="26"/>
        </w:rPr>
        <w:t xml:space="preserve">and, therefore, makes the determination before engaging in any “consideration” of inside meter locations.  </w:t>
      </w:r>
      <w:r w:rsidR="00D52EC1" w:rsidRPr="00D52EC1">
        <w:rPr>
          <w:i/>
          <w:iCs/>
          <w:color w:val="000000"/>
          <w:sz w:val="26"/>
          <w:szCs w:val="26"/>
        </w:rPr>
        <w:t>Id</w:t>
      </w:r>
      <w:r w:rsidR="00D52EC1">
        <w:rPr>
          <w:color w:val="000000"/>
          <w:sz w:val="26"/>
          <w:szCs w:val="26"/>
        </w:rPr>
        <w:t>. at 30-32.</w:t>
      </w:r>
      <w:r w:rsidR="00B81DF6">
        <w:rPr>
          <w:color w:val="000000"/>
          <w:sz w:val="26"/>
          <w:szCs w:val="26"/>
        </w:rPr>
        <w:t xml:space="preserve">  The City also cited to testimony indicating that meters were placed inside in only about 2.5% (35 out of 1377) of the properties</w:t>
      </w:r>
      <w:r w:rsidR="00F65712">
        <w:rPr>
          <w:color w:val="000000"/>
          <w:sz w:val="26"/>
          <w:szCs w:val="26"/>
        </w:rPr>
        <w:t xml:space="preserve"> in historic districts</w:t>
      </w:r>
      <w:r w:rsidR="00B81DF6">
        <w:rPr>
          <w:color w:val="000000"/>
          <w:sz w:val="26"/>
          <w:szCs w:val="26"/>
        </w:rPr>
        <w:t xml:space="preserve">.  </w:t>
      </w:r>
      <w:r w:rsidR="00B81DF6" w:rsidRPr="00B81DF6">
        <w:rPr>
          <w:i/>
          <w:iCs/>
          <w:color w:val="000000"/>
          <w:sz w:val="26"/>
          <w:szCs w:val="26"/>
        </w:rPr>
        <w:t>Id</w:t>
      </w:r>
      <w:r w:rsidR="00B81DF6">
        <w:rPr>
          <w:color w:val="000000"/>
          <w:sz w:val="26"/>
          <w:szCs w:val="26"/>
        </w:rPr>
        <w:t>. at 32 (citing City St. 1 at 19).</w:t>
      </w:r>
    </w:p>
    <w:p w14:paraId="630ED887" w14:textId="4DC4D3F6" w:rsidR="005316AD" w:rsidRDefault="00CC553F" w:rsidP="008E1AD5">
      <w:pPr>
        <w:ind w:firstLine="0"/>
        <w:rPr>
          <w:color w:val="000000"/>
          <w:sz w:val="26"/>
          <w:szCs w:val="26"/>
        </w:rPr>
      </w:pPr>
      <w:r>
        <w:rPr>
          <w:color w:val="000000"/>
          <w:sz w:val="26"/>
          <w:szCs w:val="26"/>
        </w:rPr>
        <w:lastRenderedPageBreak/>
        <w:tab/>
      </w:r>
      <w:r>
        <w:rPr>
          <w:color w:val="000000"/>
          <w:sz w:val="26"/>
          <w:szCs w:val="26"/>
        </w:rPr>
        <w:tab/>
      </w:r>
      <w:r w:rsidR="001671A1">
        <w:rPr>
          <w:color w:val="000000"/>
          <w:sz w:val="26"/>
          <w:szCs w:val="26"/>
        </w:rPr>
        <w:t xml:space="preserve">UGI’s position </w:t>
      </w:r>
      <w:r w:rsidR="006007A3">
        <w:rPr>
          <w:color w:val="000000"/>
          <w:sz w:val="26"/>
          <w:szCs w:val="26"/>
        </w:rPr>
        <w:t>has been</w:t>
      </w:r>
      <w:r w:rsidR="001671A1">
        <w:rPr>
          <w:color w:val="000000"/>
          <w:sz w:val="26"/>
          <w:szCs w:val="26"/>
        </w:rPr>
        <w:t xml:space="preserve"> that the Company has the discretion to require outside meter locations in all service locations, including historic districts, because gas safety concerns </w:t>
      </w:r>
      <w:r w:rsidR="00AE3175">
        <w:rPr>
          <w:color w:val="000000"/>
          <w:sz w:val="26"/>
          <w:szCs w:val="26"/>
        </w:rPr>
        <w:t xml:space="preserve">are more important than </w:t>
      </w:r>
      <w:r w:rsidR="001671A1">
        <w:rPr>
          <w:color w:val="000000"/>
          <w:sz w:val="26"/>
          <w:szCs w:val="26"/>
        </w:rPr>
        <w:t xml:space="preserve">aesthetic concerns.  UGI R.B. at 20-21.  </w:t>
      </w:r>
      <w:r w:rsidR="00AB761A">
        <w:rPr>
          <w:color w:val="000000"/>
          <w:sz w:val="26"/>
          <w:szCs w:val="26"/>
        </w:rPr>
        <w:t>UGI noted that it took steps to address the Complainants’ and customers’ concerns, including, among other things, modifications to its G</w:t>
      </w:r>
      <w:r w:rsidR="00E37B86">
        <w:rPr>
          <w:color w:val="000000"/>
          <w:sz w:val="26"/>
          <w:szCs w:val="26"/>
        </w:rPr>
        <w:t xml:space="preserve">as </w:t>
      </w:r>
      <w:r w:rsidR="00AB761A">
        <w:rPr>
          <w:color w:val="000000"/>
          <w:sz w:val="26"/>
          <w:szCs w:val="26"/>
        </w:rPr>
        <w:t>O</w:t>
      </w:r>
      <w:r w:rsidR="00E37B86">
        <w:rPr>
          <w:color w:val="000000"/>
          <w:sz w:val="26"/>
          <w:szCs w:val="26"/>
        </w:rPr>
        <w:t xml:space="preserve">perations </w:t>
      </w:r>
      <w:r w:rsidR="00AB761A">
        <w:rPr>
          <w:color w:val="000000"/>
          <w:sz w:val="26"/>
          <w:szCs w:val="26"/>
        </w:rPr>
        <w:t>M</w:t>
      </w:r>
      <w:r w:rsidR="00E37B86">
        <w:rPr>
          <w:color w:val="000000"/>
          <w:sz w:val="26"/>
          <w:szCs w:val="26"/>
        </w:rPr>
        <w:t>anual (GOM)</w:t>
      </w:r>
      <w:r w:rsidR="00AB761A">
        <w:rPr>
          <w:color w:val="000000"/>
          <w:sz w:val="26"/>
          <w:szCs w:val="26"/>
        </w:rPr>
        <w:t>, effective July 31, 2016, to include more specific requirements regarding meter protection</w:t>
      </w:r>
      <w:r w:rsidR="00CC3980">
        <w:rPr>
          <w:color w:val="000000"/>
          <w:sz w:val="26"/>
          <w:szCs w:val="26"/>
        </w:rPr>
        <w:t xml:space="preserve">, the </w:t>
      </w:r>
      <w:r w:rsidR="00AB761A">
        <w:rPr>
          <w:color w:val="000000"/>
          <w:sz w:val="26"/>
          <w:szCs w:val="26"/>
        </w:rPr>
        <w:t xml:space="preserve">Americans with Disabilities Act sidewalk width compliance and additional guidance and consideration for meters located in historic districts.  </w:t>
      </w:r>
      <w:r w:rsidR="00AB761A" w:rsidRPr="00AB761A">
        <w:rPr>
          <w:i/>
          <w:iCs/>
          <w:color w:val="000000"/>
          <w:sz w:val="26"/>
          <w:szCs w:val="26"/>
        </w:rPr>
        <w:t>Id</w:t>
      </w:r>
      <w:r w:rsidR="00AB761A">
        <w:rPr>
          <w:color w:val="000000"/>
          <w:sz w:val="26"/>
          <w:szCs w:val="26"/>
        </w:rPr>
        <w:t xml:space="preserve">. at 22.  UGI also noted that Company personnel have met with homeowners and interested parties to discuss meter placements in advance of meter relocations and that UGI has developed a website for customers requesting reconsideration of inside meter placement.  </w:t>
      </w:r>
      <w:r w:rsidR="00AB761A" w:rsidRPr="00AB761A">
        <w:rPr>
          <w:i/>
          <w:iCs/>
          <w:color w:val="000000"/>
          <w:sz w:val="26"/>
          <w:szCs w:val="26"/>
        </w:rPr>
        <w:t>Id</w:t>
      </w:r>
      <w:r w:rsidR="00AB761A">
        <w:rPr>
          <w:color w:val="000000"/>
          <w:sz w:val="26"/>
          <w:szCs w:val="26"/>
        </w:rPr>
        <w:t>. at 23.</w:t>
      </w:r>
      <w:r w:rsidR="00B81DF6">
        <w:rPr>
          <w:color w:val="000000"/>
          <w:sz w:val="26"/>
          <w:szCs w:val="26"/>
        </w:rPr>
        <w:t xml:space="preserve">  UGI argued that the City </w:t>
      </w:r>
      <w:r w:rsidR="00AE2F9B">
        <w:rPr>
          <w:color w:val="000000"/>
          <w:sz w:val="26"/>
          <w:szCs w:val="26"/>
        </w:rPr>
        <w:t>did not meet its burden of proving that the Company violated Section 59.18 and</w:t>
      </w:r>
      <w:r w:rsidR="00E37B86">
        <w:rPr>
          <w:color w:val="000000"/>
          <w:sz w:val="26"/>
          <w:szCs w:val="26"/>
        </w:rPr>
        <w:t xml:space="preserve"> noted that</w:t>
      </w:r>
      <w:r w:rsidR="00AE2F9B">
        <w:rPr>
          <w:color w:val="000000"/>
          <w:sz w:val="26"/>
          <w:szCs w:val="26"/>
        </w:rPr>
        <w:t xml:space="preserve"> </w:t>
      </w:r>
      <w:r w:rsidR="005D74EC">
        <w:rPr>
          <w:color w:val="000000"/>
          <w:sz w:val="26"/>
          <w:szCs w:val="26"/>
        </w:rPr>
        <w:t xml:space="preserve">its witness, Christopher </w:t>
      </w:r>
      <w:r w:rsidR="00AE2F9B">
        <w:rPr>
          <w:color w:val="000000"/>
          <w:sz w:val="26"/>
          <w:szCs w:val="26"/>
        </w:rPr>
        <w:t>Brown</w:t>
      </w:r>
      <w:r w:rsidR="005D74EC">
        <w:rPr>
          <w:color w:val="000000"/>
          <w:sz w:val="26"/>
          <w:szCs w:val="26"/>
        </w:rPr>
        <w:t>, a UGI Senior Director of Operations,</w:t>
      </w:r>
      <w:r w:rsidR="00AE2F9B">
        <w:rPr>
          <w:color w:val="000000"/>
          <w:sz w:val="26"/>
          <w:szCs w:val="26"/>
        </w:rPr>
        <w:t xml:space="preserve"> testified that UGI </w:t>
      </w:r>
      <w:r w:rsidR="00E37B86">
        <w:rPr>
          <w:color w:val="000000"/>
          <w:sz w:val="26"/>
          <w:szCs w:val="26"/>
        </w:rPr>
        <w:t xml:space="preserve">has </w:t>
      </w:r>
      <w:r w:rsidR="00AE2F9B">
        <w:rPr>
          <w:color w:val="000000"/>
          <w:sz w:val="26"/>
          <w:szCs w:val="26"/>
        </w:rPr>
        <w:t xml:space="preserve">considered inside meter locations by analyzing the potential meter locations on the outside of buildings, whether the meter would block a distinguishing exterior feature, the ways in which customers can mitigate the aesthetic impact of the meter, and the relative safety of an outside versus inside meter placement.  </w:t>
      </w:r>
      <w:r w:rsidR="00AE2F9B" w:rsidRPr="00AE2F9B">
        <w:rPr>
          <w:i/>
          <w:iCs/>
          <w:color w:val="000000"/>
          <w:sz w:val="26"/>
          <w:szCs w:val="26"/>
        </w:rPr>
        <w:t>Id</w:t>
      </w:r>
      <w:r w:rsidR="00AE2F9B">
        <w:rPr>
          <w:color w:val="000000"/>
          <w:sz w:val="26"/>
          <w:szCs w:val="26"/>
        </w:rPr>
        <w:t>. at 31-32 (citing Tr. at 410-412; UGI St. 1 a</w:t>
      </w:r>
      <w:r w:rsidR="00C0307E">
        <w:rPr>
          <w:color w:val="000000"/>
          <w:sz w:val="26"/>
          <w:szCs w:val="26"/>
        </w:rPr>
        <w:t>t</w:t>
      </w:r>
      <w:r w:rsidR="00AE2F9B">
        <w:rPr>
          <w:color w:val="000000"/>
          <w:sz w:val="26"/>
          <w:szCs w:val="26"/>
        </w:rPr>
        <w:t xml:space="preserve"> 30, 34; UGI Exh. CB-5).</w:t>
      </w:r>
    </w:p>
    <w:p w14:paraId="130465ED" w14:textId="77777777" w:rsidR="008E1AD5" w:rsidRPr="00BC6E10" w:rsidRDefault="008E1AD5" w:rsidP="008E1AD5">
      <w:pPr>
        <w:ind w:firstLine="0"/>
        <w:rPr>
          <w:color w:val="000000"/>
          <w:sz w:val="26"/>
          <w:szCs w:val="26"/>
        </w:rPr>
      </w:pPr>
    </w:p>
    <w:p w14:paraId="4704E0D6" w14:textId="518B354E" w:rsidR="00EE759F" w:rsidRDefault="00E57580" w:rsidP="008E1AD5">
      <w:pPr>
        <w:ind w:firstLine="0"/>
        <w:rPr>
          <w:b/>
          <w:bCs/>
          <w:color w:val="000000"/>
          <w:sz w:val="26"/>
          <w:szCs w:val="26"/>
        </w:rPr>
      </w:pPr>
      <w:r>
        <w:rPr>
          <w:b/>
          <w:bCs/>
          <w:color w:val="000000"/>
          <w:sz w:val="26"/>
          <w:szCs w:val="26"/>
        </w:rPr>
        <w:tab/>
      </w:r>
      <w:r w:rsidR="00D877D9">
        <w:rPr>
          <w:b/>
          <w:bCs/>
          <w:color w:val="000000"/>
          <w:sz w:val="26"/>
          <w:szCs w:val="26"/>
        </w:rPr>
        <w:t>2.</w:t>
      </w:r>
      <w:r w:rsidR="00D877D9">
        <w:rPr>
          <w:b/>
          <w:bCs/>
          <w:color w:val="000000"/>
          <w:sz w:val="26"/>
          <w:szCs w:val="26"/>
        </w:rPr>
        <w:tab/>
      </w:r>
      <w:r w:rsidR="007206D6">
        <w:rPr>
          <w:b/>
          <w:bCs/>
          <w:color w:val="000000"/>
          <w:sz w:val="26"/>
          <w:szCs w:val="26"/>
        </w:rPr>
        <w:t>Initial Decision</w:t>
      </w:r>
    </w:p>
    <w:p w14:paraId="21325806" w14:textId="77777777" w:rsidR="001009B5" w:rsidRDefault="0027215F" w:rsidP="008E1AD5">
      <w:pPr>
        <w:ind w:firstLine="0"/>
        <w:rPr>
          <w:b/>
          <w:bCs/>
          <w:color w:val="000000"/>
          <w:sz w:val="26"/>
          <w:szCs w:val="26"/>
        </w:rPr>
      </w:pPr>
      <w:r>
        <w:rPr>
          <w:b/>
          <w:bCs/>
          <w:color w:val="000000"/>
          <w:sz w:val="26"/>
          <w:szCs w:val="26"/>
        </w:rPr>
        <w:tab/>
      </w:r>
      <w:r>
        <w:rPr>
          <w:b/>
          <w:bCs/>
          <w:color w:val="000000"/>
          <w:sz w:val="26"/>
          <w:szCs w:val="26"/>
        </w:rPr>
        <w:tab/>
      </w:r>
    </w:p>
    <w:p w14:paraId="23678F56" w14:textId="74BA0E73" w:rsidR="00E73417" w:rsidRDefault="001009B5" w:rsidP="008E1AD5">
      <w:pPr>
        <w:ind w:firstLine="0"/>
        <w:rPr>
          <w:color w:val="000000"/>
          <w:sz w:val="26"/>
        </w:rPr>
      </w:pPr>
      <w:r>
        <w:rPr>
          <w:b/>
          <w:bCs/>
          <w:color w:val="000000"/>
          <w:sz w:val="26"/>
          <w:szCs w:val="26"/>
        </w:rPr>
        <w:tab/>
      </w:r>
      <w:r>
        <w:rPr>
          <w:b/>
          <w:bCs/>
          <w:color w:val="000000"/>
          <w:sz w:val="26"/>
          <w:szCs w:val="26"/>
        </w:rPr>
        <w:tab/>
      </w:r>
      <w:r w:rsidR="009C3784" w:rsidRPr="009C3784">
        <w:rPr>
          <w:color w:val="000000"/>
          <w:sz w:val="26"/>
          <w:szCs w:val="26"/>
        </w:rPr>
        <w:t>B</w:t>
      </w:r>
      <w:r w:rsidR="009C3784">
        <w:rPr>
          <w:color w:val="000000"/>
          <w:sz w:val="26"/>
          <w:szCs w:val="26"/>
        </w:rPr>
        <w:t xml:space="preserve">ased on the record in this case, the ALJ sustained the Complaints to the extent that </w:t>
      </w:r>
      <w:bookmarkStart w:id="1" w:name="_Hlk19710192"/>
      <w:r w:rsidR="009C3784">
        <w:rPr>
          <w:color w:val="000000"/>
          <w:sz w:val="26"/>
          <w:szCs w:val="26"/>
        </w:rPr>
        <w:t>UGI’s meter placement policy from 2014 until 2016 failed to conform to the requirements of Section 59.18(d)</w:t>
      </w:r>
      <w:r w:rsidR="003C3B2D">
        <w:rPr>
          <w:color w:val="000000"/>
          <w:sz w:val="26"/>
          <w:szCs w:val="26"/>
        </w:rPr>
        <w:t>(1)</w:t>
      </w:r>
      <w:r w:rsidR="009C3784">
        <w:rPr>
          <w:color w:val="000000"/>
          <w:sz w:val="26"/>
          <w:szCs w:val="26"/>
        </w:rPr>
        <w:t>(ii)</w:t>
      </w:r>
      <w:bookmarkEnd w:id="1"/>
      <w:r w:rsidR="009C3784">
        <w:rPr>
          <w:color w:val="000000"/>
          <w:sz w:val="26"/>
          <w:szCs w:val="26"/>
        </w:rPr>
        <w:t xml:space="preserve">.  </w:t>
      </w:r>
      <w:r w:rsidR="007258C2">
        <w:rPr>
          <w:color w:val="000000"/>
          <w:sz w:val="26"/>
          <w:szCs w:val="26"/>
        </w:rPr>
        <w:t xml:space="preserve">I.D. at 28.  </w:t>
      </w:r>
      <w:r w:rsidR="0027215F">
        <w:rPr>
          <w:color w:val="000000"/>
          <w:sz w:val="26"/>
          <w:szCs w:val="26"/>
        </w:rPr>
        <w:t>The ALJ initially stated that t</w:t>
      </w:r>
      <w:r w:rsidR="00B821B8" w:rsidRPr="00DF6D60">
        <w:rPr>
          <w:color w:val="000000"/>
          <w:sz w:val="26"/>
        </w:rPr>
        <w:t xml:space="preserve">he pivotal question is what factors a utility must evaluate in order to appropriately “consider” indoor meter placement. </w:t>
      </w:r>
      <w:r w:rsidR="0027215F">
        <w:rPr>
          <w:color w:val="000000"/>
          <w:sz w:val="26"/>
        </w:rPr>
        <w:t xml:space="preserve"> The ALJ also stated that because </w:t>
      </w:r>
      <w:r w:rsidR="00B821B8" w:rsidRPr="00DF6D60">
        <w:rPr>
          <w:color w:val="000000"/>
          <w:sz w:val="26"/>
        </w:rPr>
        <w:t xml:space="preserve">Section 59.18 does not </w:t>
      </w:r>
      <w:r w:rsidR="0027215F">
        <w:rPr>
          <w:color w:val="000000"/>
          <w:sz w:val="26"/>
        </w:rPr>
        <w:t>contain</w:t>
      </w:r>
      <w:r w:rsidR="00B821B8" w:rsidRPr="00DF6D60">
        <w:rPr>
          <w:color w:val="000000"/>
          <w:sz w:val="26"/>
        </w:rPr>
        <w:t xml:space="preserve"> specific guidance</w:t>
      </w:r>
      <w:r w:rsidR="0027215F">
        <w:rPr>
          <w:color w:val="000000"/>
          <w:sz w:val="26"/>
        </w:rPr>
        <w:t xml:space="preserve">, </w:t>
      </w:r>
      <w:r w:rsidR="00B821B8" w:rsidRPr="00DF6D60">
        <w:rPr>
          <w:color w:val="000000"/>
          <w:sz w:val="26"/>
        </w:rPr>
        <w:t xml:space="preserve">it is appropriate to </w:t>
      </w:r>
      <w:r w:rsidR="0027215F">
        <w:rPr>
          <w:color w:val="000000"/>
          <w:sz w:val="26"/>
        </w:rPr>
        <w:t xml:space="preserve">engage in </w:t>
      </w:r>
      <w:r w:rsidR="00B821B8" w:rsidRPr="00DF6D60">
        <w:rPr>
          <w:color w:val="000000"/>
          <w:sz w:val="26"/>
        </w:rPr>
        <w:t xml:space="preserve">statutory construction to ascertain the </w:t>
      </w:r>
      <w:r w:rsidR="0027215F">
        <w:rPr>
          <w:color w:val="000000"/>
          <w:sz w:val="26"/>
        </w:rPr>
        <w:t xml:space="preserve">Commission’s </w:t>
      </w:r>
      <w:r w:rsidR="00B821B8" w:rsidRPr="00DF6D60">
        <w:rPr>
          <w:color w:val="000000"/>
          <w:sz w:val="26"/>
        </w:rPr>
        <w:t xml:space="preserve">intent </w:t>
      </w:r>
      <w:r w:rsidR="0027215F">
        <w:rPr>
          <w:color w:val="000000"/>
          <w:sz w:val="26"/>
        </w:rPr>
        <w:t>regarding</w:t>
      </w:r>
      <w:r w:rsidR="00B821B8" w:rsidRPr="00DF6D60">
        <w:rPr>
          <w:color w:val="000000"/>
          <w:sz w:val="26"/>
        </w:rPr>
        <w:t xml:space="preserve"> the type and amount of consideration a utility must </w:t>
      </w:r>
      <w:r w:rsidR="0027215F">
        <w:rPr>
          <w:color w:val="000000"/>
          <w:sz w:val="26"/>
        </w:rPr>
        <w:t xml:space="preserve">give </w:t>
      </w:r>
      <w:r w:rsidR="00B821B8" w:rsidRPr="00DF6D60">
        <w:rPr>
          <w:color w:val="000000"/>
          <w:sz w:val="26"/>
        </w:rPr>
        <w:t xml:space="preserve">to the indoor placement of meters located in historic districts. </w:t>
      </w:r>
      <w:r w:rsidR="00A16056">
        <w:rPr>
          <w:color w:val="000000"/>
          <w:sz w:val="26"/>
        </w:rPr>
        <w:t xml:space="preserve"> I.D. at 19-</w:t>
      </w:r>
      <w:r w:rsidR="00A16056">
        <w:rPr>
          <w:color w:val="000000"/>
          <w:sz w:val="26"/>
        </w:rPr>
        <w:lastRenderedPageBreak/>
        <w:t>20 (citing 1 Pa. C.S. §§ 1921(c), 1922(1)).  The ALJ continued that it was proper to first consider the plain language of the Regulation and then determined that when</w:t>
      </w:r>
      <w:r w:rsidR="00B821B8" w:rsidRPr="00DF6D60">
        <w:rPr>
          <w:color w:val="000000"/>
          <w:sz w:val="26"/>
        </w:rPr>
        <w:t xml:space="preserve"> reading the </w:t>
      </w:r>
      <w:r w:rsidR="003C3B2D">
        <w:rPr>
          <w:color w:val="000000"/>
          <w:sz w:val="26"/>
        </w:rPr>
        <w:t>R</w:t>
      </w:r>
      <w:r w:rsidR="00B821B8" w:rsidRPr="00DF6D60">
        <w:rPr>
          <w:color w:val="000000"/>
          <w:sz w:val="26"/>
        </w:rPr>
        <w:t xml:space="preserve">egulation as a whole, it </w:t>
      </w:r>
      <w:r w:rsidR="00A16056">
        <w:rPr>
          <w:color w:val="000000"/>
          <w:sz w:val="26"/>
        </w:rPr>
        <w:t>wa</w:t>
      </w:r>
      <w:r w:rsidR="00B821B8" w:rsidRPr="00DF6D60">
        <w:rPr>
          <w:color w:val="000000"/>
          <w:sz w:val="26"/>
        </w:rPr>
        <w:t>s clear that the Commission intended a utility to evaluate</w:t>
      </w:r>
      <w:r w:rsidR="003C3B2D">
        <w:rPr>
          <w:color w:val="000000"/>
          <w:sz w:val="26"/>
        </w:rPr>
        <w:t>, on a case-by-case basis,</w:t>
      </w:r>
      <w:r w:rsidR="00B821B8" w:rsidRPr="00DF6D60">
        <w:rPr>
          <w:color w:val="000000"/>
          <w:sz w:val="26"/>
        </w:rPr>
        <w:t xml:space="preserve"> whether a meter associated with a building in a historic district should be left inside.</w:t>
      </w:r>
      <w:r w:rsidR="00A16056">
        <w:rPr>
          <w:color w:val="000000"/>
          <w:sz w:val="26"/>
        </w:rPr>
        <w:t xml:space="preserve">  </w:t>
      </w:r>
      <w:r w:rsidR="00E73417">
        <w:rPr>
          <w:color w:val="000000"/>
          <w:sz w:val="26"/>
        </w:rPr>
        <w:t>I.D. at 20.</w:t>
      </w:r>
    </w:p>
    <w:p w14:paraId="56F28FB6" w14:textId="77777777" w:rsidR="00B821B8" w:rsidRPr="00DF6D60" w:rsidRDefault="00E73417" w:rsidP="008E1AD5">
      <w:pPr>
        <w:ind w:firstLine="0"/>
        <w:rPr>
          <w:color w:val="000000"/>
          <w:sz w:val="26"/>
        </w:rPr>
      </w:pPr>
      <w:r>
        <w:rPr>
          <w:color w:val="000000"/>
          <w:sz w:val="26"/>
        </w:rPr>
        <w:t xml:space="preserve"> </w:t>
      </w:r>
    </w:p>
    <w:p w14:paraId="32801F2C" w14:textId="126B610E" w:rsidR="00B821B8" w:rsidRPr="00DF6D60" w:rsidRDefault="00E73417" w:rsidP="008E1AD5">
      <w:pPr>
        <w:tabs>
          <w:tab w:val="left" w:pos="720"/>
        </w:tabs>
        <w:textAlignment w:val="baseline"/>
        <w:rPr>
          <w:color w:val="000000"/>
          <w:sz w:val="26"/>
        </w:rPr>
      </w:pPr>
      <w:r>
        <w:rPr>
          <w:color w:val="000000"/>
          <w:sz w:val="26"/>
        </w:rPr>
        <w:t xml:space="preserve">The ALJ explained that while </w:t>
      </w:r>
      <w:r w:rsidR="00B821B8" w:rsidRPr="00DF6D60">
        <w:rPr>
          <w:color w:val="000000"/>
          <w:sz w:val="26"/>
        </w:rPr>
        <w:t>Section 59.18 sets forth the general requirement that all “meters and regulators must be located outside and aboveground</w:t>
      </w:r>
      <w:r>
        <w:rPr>
          <w:color w:val="000000"/>
          <w:sz w:val="26"/>
        </w:rPr>
        <w:t>,</w:t>
      </w:r>
      <w:r w:rsidR="00B821B8" w:rsidRPr="00DF6D60">
        <w:rPr>
          <w:color w:val="000000"/>
          <w:sz w:val="26"/>
        </w:rPr>
        <w:t xml:space="preserve">” </w:t>
      </w:r>
      <w:r>
        <w:rPr>
          <w:color w:val="000000"/>
          <w:sz w:val="26"/>
        </w:rPr>
        <w:t xml:space="preserve">the Regulation </w:t>
      </w:r>
      <w:r w:rsidR="00B821B8" w:rsidRPr="00DF6D60">
        <w:rPr>
          <w:color w:val="000000"/>
          <w:sz w:val="26"/>
        </w:rPr>
        <w:t>also recognizes that there are situations where the placement of a meter outside and aboveground is not appropriate</w:t>
      </w:r>
      <w:r>
        <w:rPr>
          <w:color w:val="000000"/>
          <w:sz w:val="26"/>
        </w:rPr>
        <w:t xml:space="preserve"> and provides for exceptions to the general rule</w:t>
      </w:r>
      <w:r w:rsidR="00B821B8" w:rsidRPr="00DF6D60">
        <w:rPr>
          <w:color w:val="000000"/>
          <w:sz w:val="26"/>
        </w:rPr>
        <w:t xml:space="preserve">. </w:t>
      </w:r>
      <w:r>
        <w:rPr>
          <w:color w:val="000000"/>
          <w:sz w:val="26"/>
        </w:rPr>
        <w:t xml:space="preserve"> </w:t>
      </w:r>
      <w:r w:rsidRPr="00E73417">
        <w:rPr>
          <w:i/>
          <w:iCs/>
          <w:color w:val="000000"/>
          <w:sz w:val="26"/>
        </w:rPr>
        <w:t>Id</w:t>
      </w:r>
      <w:r>
        <w:rPr>
          <w:color w:val="000000"/>
          <w:sz w:val="26"/>
        </w:rPr>
        <w:t xml:space="preserve">. (citing </w:t>
      </w:r>
      <w:r w:rsidRPr="00DF6D60">
        <w:rPr>
          <w:color w:val="000000"/>
          <w:spacing w:val="-5"/>
          <w:sz w:val="26"/>
        </w:rPr>
        <w:t>52 Pa.</w:t>
      </w:r>
      <w:r>
        <w:rPr>
          <w:color w:val="000000"/>
          <w:spacing w:val="-5"/>
          <w:sz w:val="26"/>
        </w:rPr>
        <w:t xml:space="preserve"> </w:t>
      </w:r>
      <w:r w:rsidRPr="00DF6D60">
        <w:rPr>
          <w:color w:val="000000"/>
          <w:spacing w:val="-5"/>
          <w:sz w:val="26"/>
        </w:rPr>
        <w:t>Code § 59.18(a)(1)</w:t>
      </w:r>
      <w:r>
        <w:rPr>
          <w:color w:val="000000"/>
          <w:spacing w:val="-5"/>
          <w:sz w:val="26"/>
        </w:rPr>
        <w:t xml:space="preserve">).  </w:t>
      </w:r>
      <w:r w:rsidR="006004F4">
        <w:rPr>
          <w:color w:val="000000"/>
          <w:spacing w:val="-5"/>
          <w:sz w:val="26"/>
        </w:rPr>
        <w:t xml:space="preserve">For example, Section 59.18(d) allows meters in historic districts to be placed in an inside location.  </w:t>
      </w:r>
      <w:r>
        <w:rPr>
          <w:color w:val="000000"/>
          <w:spacing w:val="-5"/>
          <w:sz w:val="26"/>
        </w:rPr>
        <w:t>The ALJ thus concluded that a</w:t>
      </w:r>
      <w:r w:rsidR="00B821B8" w:rsidRPr="00DF6D60">
        <w:rPr>
          <w:color w:val="000000"/>
          <w:sz w:val="26"/>
        </w:rPr>
        <w:t xml:space="preserve"> determination of an alternate meter placement necessarily must be made on an individual basis. </w:t>
      </w:r>
      <w:r w:rsidR="001009B5">
        <w:rPr>
          <w:color w:val="000000"/>
          <w:sz w:val="26"/>
        </w:rPr>
        <w:t xml:space="preserve"> I.D. at 20.  The ALJ also explained that t</w:t>
      </w:r>
      <w:r w:rsidR="00B821B8" w:rsidRPr="00DF6D60">
        <w:rPr>
          <w:color w:val="000000"/>
          <w:sz w:val="26"/>
        </w:rPr>
        <w:t xml:space="preserve">he notice requirements </w:t>
      </w:r>
      <w:r w:rsidR="001009B5">
        <w:rPr>
          <w:color w:val="000000"/>
          <w:sz w:val="26"/>
        </w:rPr>
        <w:t>f</w:t>
      </w:r>
      <w:r w:rsidR="00B821B8" w:rsidRPr="00DF6D60">
        <w:rPr>
          <w:color w:val="000000"/>
          <w:sz w:val="26"/>
        </w:rPr>
        <w:t>o</w:t>
      </w:r>
      <w:r w:rsidR="001009B5">
        <w:rPr>
          <w:color w:val="000000"/>
          <w:sz w:val="26"/>
        </w:rPr>
        <w:t>r</w:t>
      </w:r>
      <w:r w:rsidR="00B821B8" w:rsidRPr="00DF6D60">
        <w:rPr>
          <w:color w:val="000000"/>
          <w:sz w:val="26"/>
        </w:rPr>
        <w:t xml:space="preserve"> customers affected by meter relocations support a</w:t>
      </w:r>
      <w:r w:rsidR="001009B5">
        <w:rPr>
          <w:color w:val="000000"/>
          <w:sz w:val="26"/>
        </w:rPr>
        <w:t xml:space="preserve"> regulatory</w:t>
      </w:r>
      <w:r w:rsidR="00B821B8" w:rsidRPr="00DF6D60">
        <w:rPr>
          <w:color w:val="000000"/>
          <w:sz w:val="26"/>
        </w:rPr>
        <w:t xml:space="preserve"> interpretation </w:t>
      </w:r>
      <w:r w:rsidR="001009B5">
        <w:rPr>
          <w:color w:val="000000"/>
          <w:sz w:val="26"/>
        </w:rPr>
        <w:t>that</w:t>
      </w:r>
      <w:r w:rsidR="00B821B8" w:rsidRPr="00DF6D60">
        <w:rPr>
          <w:color w:val="000000"/>
          <w:sz w:val="26"/>
        </w:rPr>
        <w:t xml:space="preserve"> a utility </w:t>
      </w:r>
      <w:r w:rsidR="003C3B2D">
        <w:rPr>
          <w:color w:val="000000"/>
          <w:sz w:val="26"/>
        </w:rPr>
        <w:t xml:space="preserve">is required </w:t>
      </w:r>
      <w:r w:rsidR="00B821B8" w:rsidRPr="00DF6D60">
        <w:rPr>
          <w:color w:val="000000"/>
          <w:sz w:val="26"/>
        </w:rPr>
        <w:t xml:space="preserve">to consider the exception to outdoor </w:t>
      </w:r>
      <w:r w:rsidR="001009B5">
        <w:rPr>
          <w:color w:val="000000"/>
          <w:sz w:val="26"/>
        </w:rPr>
        <w:t xml:space="preserve">meter </w:t>
      </w:r>
      <w:r w:rsidR="00B821B8" w:rsidRPr="00DF6D60">
        <w:rPr>
          <w:color w:val="000000"/>
          <w:sz w:val="26"/>
        </w:rPr>
        <w:t xml:space="preserve">placement in historic districts on an individual basis. </w:t>
      </w:r>
      <w:r w:rsidR="001009B5">
        <w:rPr>
          <w:color w:val="000000"/>
          <w:sz w:val="26"/>
        </w:rPr>
        <w:t xml:space="preserve"> I.D. at 21.  </w:t>
      </w:r>
      <w:r w:rsidR="009A1BA9">
        <w:rPr>
          <w:color w:val="000000"/>
          <w:sz w:val="26"/>
        </w:rPr>
        <w:t xml:space="preserve">The </w:t>
      </w:r>
      <w:r w:rsidR="001009B5">
        <w:rPr>
          <w:color w:val="000000"/>
          <w:sz w:val="26"/>
        </w:rPr>
        <w:t xml:space="preserve">ALJ stated that since </w:t>
      </w:r>
      <w:r w:rsidR="00B821B8" w:rsidRPr="00DF6D60">
        <w:rPr>
          <w:color w:val="000000"/>
          <w:sz w:val="26"/>
        </w:rPr>
        <w:t xml:space="preserve">Section 59.18(a)(3) requires that </w:t>
      </w:r>
      <w:r w:rsidR="001009B5">
        <w:rPr>
          <w:color w:val="000000"/>
          <w:sz w:val="26"/>
        </w:rPr>
        <w:t xml:space="preserve">a utility must provide </w:t>
      </w:r>
      <w:r w:rsidR="00B821B8" w:rsidRPr="00DF6D60">
        <w:rPr>
          <w:color w:val="000000"/>
          <w:sz w:val="26"/>
        </w:rPr>
        <w:t xml:space="preserve">written notice </w:t>
      </w:r>
      <w:r w:rsidR="001009B5">
        <w:rPr>
          <w:color w:val="000000"/>
          <w:sz w:val="26"/>
        </w:rPr>
        <w:t>which</w:t>
      </w:r>
      <w:r w:rsidR="00B821B8" w:rsidRPr="00DF6D60">
        <w:rPr>
          <w:color w:val="000000"/>
          <w:sz w:val="26"/>
        </w:rPr>
        <w:t xml:space="preserve"> inform</w:t>
      </w:r>
      <w:r w:rsidR="001009B5">
        <w:rPr>
          <w:color w:val="000000"/>
          <w:sz w:val="26"/>
        </w:rPr>
        <w:t>s</w:t>
      </w:r>
      <w:r w:rsidR="00B821B8" w:rsidRPr="00DF6D60">
        <w:rPr>
          <w:color w:val="000000"/>
          <w:sz w:val="26"/>
        </w:rPr>
        <w:t xml:space="preserve"> the customer “how to contact the utility to provide supplemental information that the utility may not have</w:t>
      </w:r>
      <w:r w:rsidR="00B821B8" w:rsidRPr="00DF6D60">
        <w:rPr>
          <w:i/>
          <w:color w:val="000000"/>
          <w:sz w:val="26"/>
        </w:rPr>
        <w:t xml:space="preserve">, </w:t>
      </w:r>
      <w:r w:rsidR="00B821B8" w:rsidRPr="001009B5">
        <w:rPr>
          <w:iCs/>
          <w:color w:val="000000"/>
          <w:sz w:val="26"/>
        </w:rPr>
        <w:t>such as the building</w:t>
      </w:r>
      <w:r w:rsidR="001009B5">
        <w:rPr>
          <w:iCs/>
          <w:color w:val="000000"/>
          <w:sz w:val="26"/>
        </w:rPr>
        <w:t>’</w:t>
      </w:r>
      <w:r w:rsidR="00B821B8" w:rsidRPr="001009B5">
        <w:rPr>
          <w:iCs/>
          <w:color w:val="000000"/>
          <w:sz w:val="26"/>
        </w:rPr>
        <w:t>s historic status</w:t>
      </w:r>
      <w:r w:rsidR="001009B5">
        <w:rPr>
          <w:iCs/>
          <w:color w:val="000000"/>
          <w:sz w:val="26"/>
        </w:rPr>
        <w:t>,</w:t>
      </w:r>
      <w:r w:rsidR="00B821B8" w:rsidRPr="00DF6D60">
        <w:rPr>
          <w:color w:val="000000"/>
          <w:sz w:val="26"/>
        </w:rPr>
        <w:t xml:space="preserve">” </w:t>
      </w:r>
      <w:r w:rsidR="001009B5">
        <w:rPr>
          <w:color w:val="000000"/>
          <w:sz w:val="26"/>
        </w:rPr>
        <w:t>it</w:t>
      </w:r>
      <w:r w:rsidR="00B821B8" w:rsidRPr="00DF6D60">
        <w:rPr>
          <w:color w:val="000000"/>
          <w:sz w:val="26"/>
        </w:rPr>
        <w:t xml:space="preserve"> would be </w:t>
      </w:r>
      <w:r w:rsidR="001009B5">
        <w:rPr>
          <w:color w:val="000000"/>
          <w:sz w:val="26"/>
        </w:rPr>
        <w:t>unnecessary</w:t>
      </w:r>
      <w:r w:rsidR="00B821B8" w:rsidRPr="00DF6D60">
        <w:rPr>
          <w:color w:val="000000"/>
          <w:sz w:val="26"/>
        </w:rPr>
        <w:t xml:space="preserve"> for a customer to provide a utility with supplemental information if a utility could </w:t>
      </w:r>
      <w:r w:rsidR="001009B5">
        <w:rPr>
          <w:color w:val="000000"/>
          <w:sz w:val="26"/>
        </w:rPr>
        <w:t>establish</w:t>
      </w:r>
      <w:r w:rsidR="00B821B8" w:rsidRPr="00DF6D60">
        <w:rPr>
          <w:color w:val="000000"/>
          <w:sz w:val="26"/>
        </w:rPr>
        <w:t xml:space="preserve"> a policy that all meters must be placed outside regardless of their location.</w:t>
      </w:r>
      <w:r w:rsidR="001009B5">
        <w:rPr>
          <w:color w:val="000000"/>
          <w:sz w:val="26"/>
        </w:rPr>
        <w:t xml:space="preserve">  </w:t>
      </w:r>
      <w:r w:rsidR="001009B5" w:rsidRPr="001009B5">
        <w:rPr>
          <w:i/>
          <w:iCs/>
          <w:color w:val="000000"/>
          <w:sz w:val="26"/>
        </w:rPr>
        <w:t>Id</w:t>
      </w:r>
      <w:r w:rsidR="001009B5">
        <w:rPr>
          <w:color w:val="000000"/>
          <w:sz w:val="26"/>
        </w:rPr>
        <w:t>. (citing 52 Pa. Code § 59.18(a)(3)).</w:t>
      </w:r>
      <w:r w:rsidR="00182465">
        <w:rPr>
          <w:color w:val="000000"/>
          <w:sz w:val="26"/>
        </w:rPr>
        <w:t xml:space="preserve">  </w:t>
      </w:r>
      <w:r w:rsidR="007F49EB">
        <w:rPr>
          <w:color w:val="000000"/>
          <w:sz w:val="26"/>
        </w:rPr>
        <w:t>The ALJ further explained that s</w:t>
      </w:r>
      <w:r w:rsidR="00B821B8" w:rsidRPr="00DF6D60">
        <w:rPr>
          <w:color w:val="000000"/>
          <w:sz w:val="26"/>
        </w:rPr>
        <w:t xml:space="preserve">upport </w:t>
      </w:r>
      <w:r w:rsidR="007F49EB">
        <w:rPr>
          <w:color w:val="000000"/>
          <w:sz w:val="26"/>
        </w:rPr>
        <w:t xml:space="preserve">for this interpretation </w:t>
      </w:r>
      <w:r w:rsidR="00B821B8" w:rsidRPr="00DF6D60">
        <w:rPr>
          <w:color w:val="000000"/>
          <w:sz w:val="26"/>
        </w:rPr>
        <w:t xml:space="preserve">is found in the regulatory history set forth in the Commission’s </w:t>
      </w:r>
      <w:r w:rsidR="007F49EB">
        <w:rPr>
          <w:color w:val="000000"/>
          <w:sz w:val="26"/>
        </w:rPr>
        <w:t xml:space="preserve">Section 59.18 </w:t>
      </w:r>
      <w:r w:rsidR="00B821B8" w:rsidRPr="00DF6D60">
        <w:rPr>
          <w:color w:val="000000"/>
          <w:sz w:val="26"/>
        </w:rPr>
        <w:t xml:space="preserve">implementation orders. </w:t>
      </w:r>
      <w:r w:rsidR="007F49EB">
        <w:rPr>
          <w:color w:val="000000"/>
          <w:sz w:val="26"/>
        </w:rPr>
        <w:t xml:space="preserve"> </w:t>
      </w:r>
      <w:r w:rsidR="00621380">
        <w:rPr>
          <w:color w:val="000000"/>
          <w:sz w:val="26"/>
        </w:rPr>
        <w:t>The ALJ stated that t</w:t>
      </w:r>
      <w:r w:rsidR="00B821B8" w:rsidRPr="00DF6D60">
        <w:rPr>
          <w:color w:val="000000"/>
          <w:sz w:val="26"/>
        </w:rPr>
        <w:t xml:space="preserve">he Commission clearly expected a utility, once aware of a building’s historic status, to be aware of and to consider restrictions </w:t>
      </w:r>
      <w:r w:rsidR="00621380">
        <w:rPr>
          <w:color w:val="000000"/>
          <w:sz w:val="26"/>
        </w:rPr>
        <w:t>t</w:t>
      </w:r>
      <w:r w:rsidR="00B821B8" w:rsidRPr="00DF6D60">
        <w:rPr>
          <w:color w:val="000000"/>
          <w:sz w:val="26"/>
        </w:rPr>
        <w:t>h</w:t>
      </w:r>
      <w:r w:rsidR="00621380">
        <w:rPr>
          <w:color w:val="000000"/>
          <w:sz w:val="26"/>
        </w:rPr>
        <w:t>at</w:t>
      </w:r>
      <w:r w:rsidR="00B821B8" w:rsidRPr="00DF6D60">
        <w:rPr>
          <w:color w:val="000000"/>
          <w:sz w:val="26"/>
        </w:rPr>
        <w:t xml:space="preserve"> may be in place to protect the historic features of </w:t>
      </w:r>
      <w:r w:rsidR="00621380">
        <w:rPr>
          <w:color w:val="000000"/>
          <w:sz w:val="26"/>
        </w:rPr>
        <w:t>a</w:t>
      </w:r>
      <w:r w:rsidR="00B821B8" w:rsidRPr="00DF6D60">
        <w:rPr>
          <w:color w:val="000000"/>
          <w:sz w:val="26"/>
        </w:rPr>
        <w:t xml:space="preserve"> </w:t>
      </w:r>
      <w:r w:rsidR="00621380">
        <w:rPr>
          <w:color w:val="000000"/>
          <w:sz w:val="26"/>
        </w:rPr>
        <w:t xml:space="preserve">building.  </w:t>
      </w:r>
      <w:r w:rsidR="0090137A">
        <w:rPr>
          <w:color w:val="000000"/>
          <w:sz w:val="26"/>
        </w:rPr>
        <w:t xml:space="preserve">I.D. at 21 (citing </w:t>
      </w:r>
      <w:r w:rsidR="0090137A" w:rsidRPr="0090137A">
        <w:rPr>
          <w:i/>
          <w:iCs/>
          <w:color w:val="000000"/>
          <w:sz w:val="26"/>
        </w:rPr>
        <w:t>Final Rulemaking Order</w:t>
      </w:r>
      <w:r w:rsidR="0090137A">
        <w:rPr>
          <w:color w:val="000000"/>
          <w:sz w:val="26"/>
        </w:rPr>
        <w:t xml:space="preserve"> at 30-31).</w:t>
      </w:r>
    </w:p>
    <w:p w14:paraId="78389D98" w14:textId="41EC14C2" w:rsidR="00B821B8" w:rsidRPr="008E1AD5" w:rsidRDefault="002912DD" w:rsidP="008E1AD5">
      <w:pPr>
        <w:spacing w:before="315" w:after="308" w:line="413" w:lineRule="exact"/>
        <w:textAlignment w:val="baseline"/>
        <w:rPr>
          <w:color w:val="000000"/>
          <w:sz w:val="26"/>
        </w:rPr>
      </w:pPr>
      <w:r w:rsidRPr="008E1AD5">
        <w:rPr>
          <w:color w:val="000000"/>
          <w:sz w:val="26"/>
        </w:rPr>
        <w:lastRenderedPageBreak/>
        <w:t>In evaluating the record in this case, the ALJ found that UGI’s initial approach to the implementation of Section 59.18</w:t>
      </w:r>
      <w:r w:rsidR="00F958C1" w:rsidRPr="008E1AD5">
        <w:rPr>
          <w:color w:val="000000"/>
          <w:sz w:val="26"/>
        </w:rPr>
        <w:t xml:space="preserve">, </w:t>
      </w:r>
      <w:r w:rsidR="003E4A9B" w:rsidRPr="008E1AD5">
        <w:rPr>
          <w:color w:val="000000"/>
          <w:sz w:val="26"/>
        </w:rPr>
        <w:t>from 2014 through 2016</w:t>
      </w:r>
      <w:r w:rsidR="00F958C1" w:rsidRPr="008E1AD5">
        <w:rPr>
          <w:color w:val="000000"/>
          <w:sz w:val="26"/>
        </w:rPr>
        <w:t>,</w:t>
      </w:r>
      <w:r w:rsidR="003E4A9B" w:rsidRPr="008E1AD5">
        <w:rPr>
          <w:color w:val="000000"/>
          <w:sz w:val="26"/>
        </w:rPr>
        <w:t xml:space="preserve"> </w:t>
      </w:r>
      <w:r w:rsidRPr="008E1AD5">
        <w:rPr>
          <w:color w:val="000000"/>
          <w:sz w:val="26"/>
        </w:rPr>
        <w:t xml:space="preserve">ignored the mandate to consider inside meter placement as set forth in subsection (d) and did not make any provision for a case-by case consideration of inside meter placement.  </w:t>
      </w:r>
      <w:r w:rsidR="00135F25" w:rsidRPr="008E1AD5">
        <w:rPr>
          <w:color w:val="000000"/>
          <w:sz w:val="26"/>
        </w:rPr>
        <w:t>I.D. at 23.</w:t>
      </w:r>
      <w:r w:rsidRPr="008E1AD5">
        <w:rPr>
          <w:color w:val="000000"/>
          <w:sz w:val="26"/>
        </w:rPr>
        <w:t xml:space="preserve">  </w:t>
      </w:r>
      <w:r w:rsidR="00135F25" w:rsidRPr="008E1AD5">
        <w:rPr>
          <w:color w:val="000000"/>
          <w:sz w:val="26"/>
        </w:rPr>
        <w:t xml:space="preserve">The ALJ cited to </w:t>
      </w:r>
      <w:r w:rsidR="00F958C1" w:rsidRPr="008E1AD5">
        <w:rPr>
          <w:color w:val="000000"/>
          <w:sz w:val="26"/>
        </w:rPr>
        <w:t>Mr.</w:t>
      </w:r>
      <w:r w:rsidR="00B821B8" w:rsidRPr="008E1AD5">
        <w:rPr>
          <w:color w:val="000000"/>
          <w:sz w:val="26"/>
        </w:rPr>
        <w:t xml:space="preserve"> Brown</w:t>
      </w:r>
      <w:r w:rsidR="00135F25" w:rsidRPr="008E1AD5">
        <w:rPr>
          <w:color w:val="000000"/>
          <w:sz w:val="26"/>
        </w:rPr>
        <w:t>’s testimony as</w:t>
      </w:r>
      <w:r w:rsidR="00B821B8" w:rsidRPr="008E1AD5">
        <w:rPr>
          <w:color w:val="000000"/>
          <w:sz w:val="26"/>
        </w:rPr>
        <w:t xml:space="preserve"> </w:t>
      </w:r>
      <w:r w:rsidR="00135F25" w:rsidRPr="008E1AD5">
        <w:rPr>
          <w:color w:val="000000"/>
          <w:sz w:val="26"/>
        </w:rPr>
        <w:t>evidence</w:t>
      </w:r>
      <w:r w:rsidR="00B821B8" w:rsidRPr="008E1AD5">
        <w:rPr>
          <w:color w:val="000000"/>
          <w:sz w:val="26"/>
        </w:rPr>
        <w:t xml:space="preserve"> that, in initially creating a policy to implement Section 59.18, UGI did not establish any explicit procedures to consider the protection of historic resources or the indoor placement of meters in historic districts in any meaningful way</w:t>
      </w:r>
      <w:r w:rsidR="00135F25" w:rsidRPr="008E1AD5">
        <w:rPr>
          <w:color w:val="000000"/>
          <w:sz w:val="26"/>
        </w:rPr>
        <w:t>.  The ALJ noted that</w:t>
      </w:r>
      <w:r w:rsidR="00B821B8" w:rsidRPr="008E1AD5">
        <w:rPr>
          <w:color w:val="000000"/>
          <w:sz w:val="26"/>
        </w:rPr>
        <w:t xml:space="preserve"> Mr. Brown explained that UGI’s initial policy to implement Section 59.18 was to require outside meter locations in all service locations, including historic districts</w:t>
      </w:r>
      <w:r w:rsidR="00135F25" w:rsidRPr="008E1AD5">
        <w:rPr>
          <w:color w:val="000000"/>
          <w:sz w:val="26"/>
        </w:rPr>
        <w:t xml:space="preserve">, and that UGI believed that </w:t>
      </w:r>
      <w:r w:rsidR="00B821B8" w:rsidRPr="008E1AD5">
        <w:rPr>
          <w:color w:val="000000"/>
          <w:sz w:val="26"/>
        </w:rPr>
        <w:t>the indoor placement of meters would elevate aesthetic concerns over safety issues.</w:t>
      </w:r>
      <w:r w:rsidR="00135F25" w:rsidRPr="008E1AD5">
        <w:rPr>
          <w:color w:val="000000"/>
          <w:sz w:val="26"/>
        </w:rPr>
        <w:t xml:space="preserve">  I.D. at 22 (citing UGI St. 1 at 20).</w:t>
      </w:r>
      <w:r w:rsidR="00B821B8" w:rsidRPr="008E1AD5">
        <w:rPr>
          <w:color w:val="000000"/>
          <w:sz w:val="26"/>
        </w:rPr>
        <w:t xml:space="preserve"> </w:t>
      </w:r>
      <w:r w:rsidR="00135F25" w:rsidRPr="008E1AD5">
        <w:rPr>
          <w:color w:val="000000"/>
          <w:sz w:val="26"/>
        </w:rPr>
        <w:t xml:space="preserve"> </w:t>
      </w:r>
      <w:r w:rsidR="00977B37" w:rsidRPr="008E1AD5">
        <w:rPr>
          <w:color w:val="000000"/>
          <w:sz w:val="26"/>
        </w:rPr>
        <w:t xml:space="preserve">The ALJ </w:t>
      </w:r>
      <w:r w:rsidR="00F958C1" w:rsidRPr="008E1AD5">
        <w:rPr>
          <w:color w:val="000000"/>
          <w:sz w:val="26"/>
        </w:rPr>
        <w:t>also</w:t>
      </w:r>
      <w:r w:rsidR="00977B37" w:rsidRPr="008E1AD5">
        <w:rPr>
          <w:color w:val="000000"/>
          <w:sz w:val="26"/>
        </w:rPr>
        <w:t xml:space="preserve"> noted that </w:t>
      </w:r>
      <w:r w:rsidR="00B821B8" w:rsidRPr="008E1AD5">
        <w:rPr>
          <w:color w:val="000000"/>
          <w:sz w:val="26"/>
        </w:rPr>
        <w:t>UGI continued to rely on its GOM,</w:t>
      </w:r>
      <w:r w:rsidR="00977B37" w:rsidRPr="008E1AD5">
        <w:rPr>
          <w:color w:val="000000"/>
          <w:sz w:val="26"/>
        </w:rPr>
        <w:t xml:space="preserve"> </w:t>
      </w:r>
      <w:r w:rsidR="00B821B8" w:rsidRPr="008E1AD5">
        <w:rPr>
          <w:color w:val="000000"/>
          <w:sz w:val="26"/>
        </w:rPr>
        <w:t>which had been in place since 2011</w:t>
      </w:r>
      <w:r w:rsidR="00977B37" w:rsidRPr="008E1AD5">
        <w:rPr>
          <w:color w:val="000000"/>
          <w:sz w:val="26"/>
        </w:rPr>
        <w:t xml:space="preserve"> and</w:t>
      </w:r>
      <w:r w:rsidR="00B821B8" w:rsidRPr="008E1AD5">
        <w:rPr>
          <w:color w:val="000000"/>
          <w:sz w:val="26"/>
        </w:rPr>
        <w:t xml:space="preserve"> </w:t>
      </w:r>
      <w:r w:rsidR="009A1BA9" w:rsidRPr="008E1AD5">
        <w:rPr>
          <w:color w:val="000000"/>
          <w:sz w:val="26"/>
        </w:rPr>
        <w:t xml:space="preserve">which </w:t>
      </w:r>
      <w:r w:rsidR="00B821B8" w:rsidRPr="008E1AD5">
        <w:rPr>
          <w:color w:val="000000"/>
          <w:sz w:val="26"/>
        </w:rPr>
        <w:t>reflected the Company’s policy that as meters are replaced if a meter is located inside, it will be relocated outside.</w:t>
      </w:r>
      <w:r w:rsidR="00977B37" w:rsidRPr="008E1AD5">
        <w:rPr>
          <w:color w:val="000000"/>
          <w:sz w:val="26"/>
        </w:rPr>
        <w:t xml:space="preserve">  I.D. at 22-23 (citing </w:t>
      </w:r>
      <w:r w:rsidR="006D2868" w:rsidRPr="008E1AD5">
        <w:rPr>
          <w:color w:val="000000"/>
          <w:sz w:val="26"/>
        </w:rPr>
        <w:t>UGI Exh. CB-4, Section 35.10.10).</w:t>
      </w:r>
    </w:p>
    <w:p w14:paraId="2F02BC6B" w14:textId="14065416" w:rsidR="00B821B8" w:rsidRPr="00DF6D60" w:rsidRDefault="00FB779A" w:rsidP="008E1AD5">
      <w:pPr>
        <w:spacing w:before="425" w:line="413" w:lineRule="exact"/>
        <w:ind w:right="72"/>
        <w:textAlignment w:val="baseline"/>
        <w:rPr>
          <w:color w:val="000000"/>
          <w:sz w:val="26"/>
        </w:rPr>
      </w:pPr>
      <w:r>
        <w:rPr>
          <w:color w:val="000000"/>
          <w:sz w:val="26"/>
        </w:rPr>
        <w:t>The ALJ determined that UGI’s policy</w:t>
      </w:r>
      <w:r w:rsidR="009A1BA9">
        <w:rPr>
          <w:color w:val="000000"/>
          <w:sz w:val="26"/>
        </w:rPr>
        <w:t>,</w:t>
      </w:r>
      <w:r>
        <w:rPr>
          <w:color w:val="000000"/>
          <w:sz w:val="26"/>
        </w:rPr>
        <w:t xml:space="preserve"> </w:t>
      </w:r>
      <w:r w:rsidR="0090451E">
        <w:rPr>
          <w:color w:val="000000"/>
          <w:sz w:val="26"/>
        </w:rPr>
        <w:t>which</w:t>
      </w:r>
      <w:r>
        <w:rPr>
          <w:color w:val="000000"/>
          <w:sz w:val="26"/>
        </w:rPr>
        <w:t xml:space="preserve"> created a </w:t>
      </w:r>
      <w:r w:rsidRPr="00DF6D60">
        <w:rPr>
          <w:color w:val="000000"/>
          <w:sz w:val="26"/>
        </w:rPr>
        <w:t>general rule but d</w:t>
      </w:r>
      <w:r>
        <w:rPr>
          <w:color w:val="000000"/>
          <w:sz w:val="26"/>
        </w:rPr>
        <w:t>id</w:t>
      </w:r>
      <w:r w:rsidRPr="00DF6D60">
        <w:rPr>
          <w:color w:val="000000"/>
          <w:sz w:val="26"/>
        </w:rPr>
        <w:t xml:space="preserve"> not account for the exceptions that may apply to individual meters, </w:t>
      </w:r>
      <w:r>
        <w:rPr>
          <w:color w:val="000000"/>
          <w:sz w:val="26"/>
        </w:rPr>
        <w:t xml:space="preserve">was </w:t>
      </w:r>
      <w:r w:rsidRPr="00DF6D60">
        <w:rPr>
          <w:color w:val="000000"/>
          <w:sz w:val="26"/>
        </w:rPr>
        <w:t xml:space="preserve">not a reasonable interpretation of the </w:t>
      </w:r>
      <w:r>
        <w:rPr>
          <w:color w:val="000000"/>
          <w:sz w:val="26"/>
        </w:rPr>
        <w:t>R</w:t>
      </w:r>
      <w:r w:rsidRPr="00DF6D60">
        <w:rPr>
          <w:color w:val="000000"/>
          <w:sz w:val="26"/>
        </w:rPr>
        <w:t>egulation</w:t>
      </w:r>
      <w:r>
        <w:rPr>
          <w:color w:val="000000"/>
          <w:sz w:val="26"/>
        </w:rPr>
        <w:t xml:space="preserve"> which </w:t>
      </w:r>
      <w:r w:rsidR="00B821B8" w:rsidRPr="00DF6D60">
        <w:rPr>
          <w:color w:val="000000"/>
          <w:sz w:val="26"/>
        </w:rPr>
        <w:t>contain</w:t>
      </w:r>
      <w:r>
        <w:rPr>
          <w:color w:val="000000"/>
          <w:sz w:val="26"/>
        </w:rPr>
        <w:t>s</w:t>
      </w:r>
      <w:r w:rsidR="00B821B8" w:rsidRPr="00DF6D60">
        <w:rPr>
          <w:color w:val="000000"/>
          <w:sz w:val="26"/>
        </w:rPr>
        <w:t xml:space="preserve"> a general rule </w:t>
      </w:r>
      <w:r>
        <w:rPr>
          <w:color w:val="000000"/>
          <w:sz w:val="26"/>
        </w:rPr>
        <w:t>as well as</w:t>
      </w:r>
      <w:r w:rsidR="00B821B8" w:rsidRPr="00DF6D60">
        <w:rPr>
          <w:color w:val="000000"/>
          <w:sz w:val="26"/>
        </w:rPr>
        <w:t xml:space="preserve"> exceptions to the general rule</w:t>
      </w:r>
      <w:r>
        <w:rPr>
          <w:color w:val="000000"/>
          <w:sz w:val="26"/>
        </w:rPr>
        <w:t xml:space="preserve">.  The ALJ reasoned that UGI’s </w:t>
      </w:r>
      <w:r w:rsidR="00B821B8" w:rsidRPr="00DF6D60">
        <w:rPr>
          <w:color w:val="000000"/>
          <w:sz w:val="26"/>
        </w:rPr>
        <w:t>policy that all meters must be relocated outside</w:t>
      </w:r>
      <w:r w:rsidR="0090451E">
        <w:rPr>
          <w:color w:val="000000"/>
          <w:sz w:val="26"/>
        </w:rPr>
        <w:t>,</w:t>
      </w:r>
      <w:r w:rsidR="00B821B8" w:rsidRPr="00DF6D60">
        <w:rPr>
          <w:color w:val="000000"/>
          <w:sz w:val="26"/>
        </w:rPr>
        <w:t xml:space="preserve"> without any consideration of whether the meter is located in a historic district</w:t>
      </w:r>
      <w:r w:rsidR="0090451E">
        <w:rPr>
          <w:color w:val="000000"/>
          <w:sz w:val="26"/>
        </w:rPr>
        <w:t>,</w:t>
      </w:r>
      <w:r w:rsidR="00B821B8" w:rsidRPr="00DF6D60">
        <w:rPr>
          <w:color w:val="000000"/>
          <w:sz w:val="26"/>
        </w:rPr>
        <w:t xml:space="preserve"> ignores the </w:t>
      </w:r>
      <w:r>
        <w:rPr>
          <w:color w:val="000000"/>
          <w:sz w:val="26"/>
        </w:rPr>
        <w:t>R</w:t>
      </w:r>
      <w:r w:rsidR="00B821B8" w:rsidRPr="00DF6D60">
        <w:rPr>
          <w:color w:val="000000"/>
          <w:sz w:val="26"/>
        </w:rPr>
        <w:t>egulation</w:t>
      </w:r>
      <w:r>
        <w:rPr>
          <w:color w:val="000000"/>
          <w:sz w:val="26"/>
        </w:rPr>
        <w:t>’s meaning</w:t>
      </w:r>
      <w:r w:rsidR="00B821B8" w:rsidRPr="00DF6D60">
        <w:rPr>
          <w:color w:val="000000"/>
          <w:sz w:val="26"/>
        </w:rPr>
        <w:t>.</w:t>
      </w:r>
      <w:r>
        <w:rPr>
          <w:color w:val="000000"/>
          <w:sz w:val="26"/>
        </w:rPr>
        <w:t xml:space="preserve">  </w:t>
      </w:r>
      <w:r w:rsidR="00490388">
        <w:rPr>
          <w:color w:val="000000"/>
          <w:sz w:val="26"/>
        </w:rPr>
        <w:t>The ALJ also reasoned that “c</w:t>
      </w:r>
      <w:r w:rsidR="00B821B8" w:rsidRPr="00DF6D60">
        <w:rPr>
          <w:color w:val="000000"/>
          <w:sz w:val="26"/>
        </w:rPr>
        <w:t xml:space="preserve">onsidering the indoor placement of meters in historic districts is not simply a matter of </w:t>
      </w:r>
      <w:r w:rsidR="00490388">
        <w:rPr>
          <w:color w:val="000000"/>
          <w:sz w:val="26"/>
        </w:rPr>
        <w:t>‘</w:t>
      </w:r>
      <w:r w:rsidR="00B821B8" w:rsidRPr="00DF6D60">
        <w:rPr>
          <w:color w:val="000000"/>
          <w:sz w:val="26"/>
        </w:rPr>
        <w:t>aesthetics.</w:t>
      </w:r>
      <w:r w:rsidR="00490388">
        <w:rPr>
          <w:color w:val="000000"/>
          <w:sz w:val="26"/>
        </w:rPr>
        <w:t>’”</w:t>
      </w:r>
      <w:r w:rsidR="00B821B8" w:rsidRPr="00DF6D60">
        <w:rPr>
          <w:color w:val="000000"/>
          <w:sz w:val="26"/>
        </w:rPr>
        <w:t xml:space="preserve">  </w:t>
      </w:r>
      <w:r w:rsidR="00EA16C1">
        <w:rPr>
          <w:color w:val="000000"/>
          <w:sz w:val="26"/>
        </w:rPr>
        <w:t xml:space="preserve">I.D. at 23.  </w:t>
      </w:r>
      <w:r w:rsidR="00490388">
        <w:rPr>
          <w:color w:val="000000"/>
          <w:sz w:val="26"/>
        </w:rPr>
        <w:t>Rather, the ALJ found that a</w:t>
      </w:r>
      <w:r w:rsidR="00B821B8" w:rsidRPr="00DF6D60">
        <w:rPr>
          <w:color w:val="000000"/>
          <w:sz w:val="26"/>
        </w:rPr>
        <w:t xml:space="preserve"> careful reading of the Commission’s </w:t>
      </w:r>
      <w:r w:rsidR="0090451E">
        <w:rPr>
          <w:color w:val="000000"/>
          <w:sz w:val="26"/>
        </w:rPr>
        <w:t>rulemaking</w:t>
      </w:r>
      <w:r w:rsidR="00B821B8" w:rsidRPr="00DF6D60">
        <w:rPr>
          <w:color w:val="000000"/>
          <w:sz w:val="26"/>
        </w:rPr>
        <w:t xml:space="preserve"> orders shows that the Commission recognized that historic areas have special needs</w:t>
      </w:r>
      <w:r w:rsidR="00490388">
        <w:rPr>
          <w:color w:val="000000"/>
          <w:sz w:val="26"/>
        </w:rPr>
        <w:t xml:space="preserve"> and w</w:t>
      </w:r>
      <w:r w:rsidR="00B821B8" w:rsidRPr="00DF6D60">
        <w:rPr>
          <w:color w:val="000000"/>
          <w:sz w:val="26"/>
        </w:rPr>
        <w:t xml:space="preserve">hile the Commission did not want to force a utility to comply with </w:t>
      </w:r>
      <w:r w:rsidR="00490388">
        <w:rPr>
          <w:color w:val="000000"/>
          <w:sz w:val="26"/>
        </w:rPr>
        <w:t xml:space="preserve">historic district </w:t>
      </w:r>
      <w:r w:rsidR="00B821B8" w:rsidRPr="00DF6D60">
        <w:rPr>
          <w:color w:val="000000"/>
          <w:sz w:val="26"/>
        </w:rPr>
        <w:t xml:space="preserve">restrictions in </w:t>
      </w:r>
      <w:r w:rsidR="00490388">
        <w:rPr>
          <w:color w:val="000000"/>
          <w:sz w:val="26"/>
        </w:rPr>
        <w:t xml:space="preserve">instances where safety was an issue, </w:t>
      </w:r>
      <w:r w:rsidR="00B821B8" w:rsidRPr="00DF6D60">
        <w:rPr>
          <w:color w:val="000000"/>
          <w:sz w:val="26"/>
        </w:rPr>
        <w:t>the Commission</w:t>
      </w:r>
      <w:r w:rsidR="00490388">
        <w:rPr>
          <w:color w:val="000000"/>
          <w:sz w:val="26"/>
        </w:rPr>
        <w:t xml:space="preserve"> </w:t>
      </w:r>
      <w:r w:rsidR="00B821B8" w:rsidRPr="00DF6D60">
        <w:rPr>
          <w:color w:val="000000"/>
          <w:sz w:val="26"/>
        </w:rPr>
        <w:t xml:space="preserve">did not intend for a utility to ignore the historic status of </w:t>
      </w:r>
      <w:r w:rsidR="00490388">
        <w:rPr>
          <w:color w:val="000000"/>
          <w:sz w:val="26"/>
        </w:rPr>
        <w:t>a</w:t>
      </w:r>
      <w:r w:rsidR="00B821B8" w:rsidRPr="00DF6D60">
        <w:rPr>
          <w:color w:val="000000"/>
          <w:sz w:val="26"/>
        </w:rPr>
        <w:t xml:space="preserve"> building. </w:t>
      </w:r>
      <w:r w:rsidR="00490388">
        <w:rPr>
          <w:color w:val="000000"/>
          <w:sz w:val="26"/>
        </w:rPr>
        <w:t xml:space="preserve"> </w:t>
      </w:r>
      <w:r w:rsidR="00EA16C1" w:rsidRPr="00EA16C1">
        <w:rPr>
          <w:i/>
          <w:iCs/>
          <w:color w:val="000000"/>
          <w:sz w:val="26"/>
        </w:rPr>
        <w:t>Id</w:t>
      </w:r>
      <w:r w:rsidR="00EA16C1">
        <w:rPr>
          <w:color w:val="000000"/>
          <w:sz w:val="26"/>
        </w:rPr>
        <w:t xml:space="preserve">. at 23-24.  </w:t>
      </w:r>
      <w:r w:rsidR="00490388">
        <w:rPr>
          <w:color w:val="000000"/>
          <w:sz w:val="26"/>
        </w:rPr>
        <w:t xml:space="preserve">The ALJ stated that, otherwise, </w:t>
      </w:r>
      <w:r w:rsidR="00B821B8" w:rsidRPr="00DF6D60">
        <w:rPr>
          <w:color w:val="000000"/>
          <w:sz w:val="26"/>
        </w:rPr>
        <w:t xml:space="preserve">the Commission would not have </w:t>
      </w:r>
      <w:r w:rsidR="00490388">
        <w:rPr>
          <w:color w:val="000000"/>
          <w:sz w:val="26"/>
        </w:rPr>
        <w:t xml:space="preserve">allowed for </w:t>
      </w:r>
      <w:r w:rsidR="00B821B8" w:rsidRPr="00DF6D60">
        <w:rPr>
          <w:color w:val="000000"/>
          <w:sz w:val="26"/>
        </w:rPr>
        <w:t xml:space="preserve">an </w:t>
      </w:r>
      <w:r w:rsidR="00490388">
        <w:rPr>
          <w:color w:val="000000"/>
          <w:sz w:val="26"/>
        </w:rPr>
        <w:t xml:space="preserve">inside location </w:t>
      </w:r>
      <w:r w:rsidR="00B821B8" w:rsidRPr="00DF6D60">
        <w:rPr>
          <w:color w:val="000000"/>
          <w:sz w:val="26"/>
        </w:rPr>
        <w:t xml:space="preserve">exception </w:t>
      </w:r>
      <w:r w:rsidR="00490388">
        <w:rPr>
          <w:color w:val="000000"/>
          <w:sz w:val="26"/>
        </w:rPr>
        <w:t>for meters in historic buildings</w:t>
      </w:r>
      <w:r w:rsidR="00B821B8" w:rsidRPr="00DF6D60">
        <w:rPr>
          <w:color w:val="000000"/>
          <w:sz w:val="26"/>
        </w:rPr>
        <w:t>.</w:t>
      </w:r>
      <w:r w:rsidR="00EA16C1">
        <w:rPr>
          <w:color w:val="000000"/>
          <w:sz w:val="26"/>
        </w:rPr>
        <w:t xml:space="preserve">  </w:t>
      </w:r>
      <w:r w:rsidR="009017D9" w:rsidRPr="009017D9">
        <w:rPr>
          <w:i/>
          <w:iCs/>
          <w:color w:val="000000"/>
          <w:sz w:val="26"/>
        </w:rPr>
        <w:t>Id</w:t>
      </w:r>
      <w:r w:rsidR="009017D9">
        <w:rPr>
          <w:color w:val="000000"/>
          <w:sz w:val="26"/>
        </w:rPr>
        <w:t>. at 24.</w:t>
      </w:r>
    </w:p>
    <w:p w14:paraId="17031370" w14:textId="40598336" w:rsidR="00B821B8" w:rsidRPr="00DF6D60" w:rsidRDefault="003E4A9B" w:rsidP="008E1AD5">
      <w:pPr>
        <w:spacing w:before="371" w:line="415" w:lineRule="exact"/>
        <w:textAlignment w:val="baseline"/>
        <w:rPr>
          <w:color w:val="000000"/>
          <w:spacing w:val="1"/>
          <w:sz w:val="26"/>
        </w:rPr>
      </w:pPr>
      <w:r>
        <w:rPr>
          <w:color w:val="000000"/>
          <w:spacing w:val="1"/>
          <w:sz w:val="26"/>
        </w:rPr>
        <w:lastRenderedPageBreak/>
        <w:t>The ALJ additionally found that t</w:t>
      </w:r>
      <w:r w:rsidR="00B821B8" w:rsidRPr="00DF6D60">
        <w:rPr>
          <w:color w:val="000000"/>
          <w:spacing w:val="1"/>
          <w:sz w:val="26"/>
        </w:rPr>
        <w:t xml:space="preserve">he notice letters </w:t>
      </w:r>
      <w:r w:rsidR="00A7576B">
        <w:rPr>
          <w:color w:val="000000"/>
          <w:spacing w:val="1"/>
          <w:sz w:val="26"/>
        </w:rPr>
        <w:t xml:space="preserve">UGI </w:t>
      </w:r>
      <w:r w:rsidR="00B821B8" w:rsidRPr="00DF6D60">
        <w:rPr>
          <w:color w:val="000000"/>
          <w:spacing w:val="1"/>
          <w:sz w:val="26"/>
        </w:rPr>
        <w:t xml:space="preserve">sent to customers  </w:t>
      </w:r>
      <w:r w:rsidR="00A7576B">
        <w:rPr>
          <w:color w:val="000000"/>
          <w:spacing w:val="1"/>
          <w:sz w:val="26"/>
        </w:rPr>
        <w:t xml:space="preserve">were </w:t>
      </w:r>
      <w:r w:rsidR="00B821B8" w:rsidRPr="00DF6D60">
        <w:rPr>
          <w:color w:val="000000"/>
          <w:spacing w:val="1"/>
          <w:sz w:val="26"/>
        </w:rPr>
        <w:t xml:space="preserve">not </w:t>
      </w:r>
      <w:r w:rsidR="00A7576B">
        <w:rPr>
          <w:color w:val="000000"/>
          <w:spacing w:val="1"/>
          <w:sz w:val="26"/>
        </w:rPr>
        <w:t>consistent</w:t>
      </w:r>
      <w:r w:rsidR="00B821B8" w:rsidRPr="00DF6D60">
        <w:rPr>
          <w:color w:val="000000"/>
          <w:spacing w:val="1"/>
          <w:sz w:val="26"/>
        </w:rPr>
        <w:t xml:space="preserve"> </w:t>
      </w:r>
      <w:r w:rsidR="00A7576B">
        <w:rPr>
          <w:color w:val="000000"/>
          <w:spacing w:val="1"/>
          <w:sz w:val="26"/>
        </w:rPr>
        <w:t xml:space="preserve">with </w:t>
      </w:r>
      <w:r w:rsidR="00B821B8" w:rsidRPr="00DF6D60">
        <w:rPr>
          <w:color w:val="000000"/>
          <w:spacing w:val="1"/>
          <w:sz w:val="26"/>
        </w:rPr>
        <w:t>the Commission’s mandate</w:t>
      </w:r>
      <w:r w:rsidR="00A7576B">
        <w:rPr>
          <w:color w:val="000000"/>
          <w:spacing w:val="1"/>
          <w:sz w:val="26"/>
        </w:rPr>
        <w:t xml:space="preserve"> in Section 59.18</w:t>
      </w:r>
      <w:r w:rsidR="00B821B8" w:rsidRPr="00DF6D60">
        <w:rPr>
          <w:color w:val="000000"/>
          <w:spacing w:val="1"/>
          <w:sz w:val="26"/>
        </w:rPr>
        <w:t xml:space="preserve">. </w:t>
      </w:r>
      <w:r w:rsidR="00A7576B">
        <w:rPr>
          <w:color w:val="000000"/>
          <w:spacing w:val="1"/>
          <w:sz w:val="26"/>
        </w:rPr>
        <w:t xml:space="preserve"> </w:t>
      </w:r>
      <w:r w:rsidR="00D62433">
        <w:rPr>
          <w:color w:val="000000"/>
          <w:spacing w:val="1"/>
          <w:sz w:val="26"/>
        </w:rPr>
        <w:t xml:space="preserve">The ALJ stated that </w:t>
      </w:r>
      <w:r w:rsidR="00B821B8" w:rsidRPr="00DF6D60">
        <w:rPr>
          <w:color w:val="000000"/>
          <w:spacing w:val="1"/>
          <w:sz w:val="26"/>
        </w:rPr>
        <w:t xml:space="preserve">Section 59.18(a)(3) requires that the </w:t>
      </w:r>
      <w:r w:rsidR="00D62433">
        <w:rPr>
          <w:color w:val="000000"/>
          <w:spacing w:val="1"/>
          <w:sz w:val="26"/>
        </w:rPr>
        <w:t>thirty</w:t>
      </w:r>
      <w:r w:rsidR="00B821B8" w:rsidRPr="00DF6D60">
        <w:rPr>
          <w:color w:val="000000"/>
          <w:spacing w:val="1"/>
          <w:sz w:val="26"/>
        </w:rPr>
        <w:t>-day notice letters include “how to contact the utility to provide supplemental information that the utility may not have</w:t>
      </w:r>
      <w:r w:rsidR="00B821B8" w:rsidRPr="00D62433">
        <w:rPr>
          <w:iCs/>
          <w:color w:val="000000"/>
          <w:spacing w:val="1"/>
          <w:sz w:val="26"/>
        </w:rPr>
        <w:t>, such as the building</w:t>
      </w:r>
      <w:r w:rsidR="00D62433">
        <w:rPr>
          <w:iCs/>
          <w:color w:val="000000"/>
          <w:spacing w:val="1"/>
          <w:sz w:val="26"/>
        </w:rPr>
        <w:t>’</w:t>
      </w:r>
      <w:r w:rsidR="00B821B8" w:rsidRPr="00D62433">
        <w:rPr>
          <w:iCs/>
          <w:color w:val="000000"/>
          <w:spacing w:val="1"/>
          <w:sz w:val="26"/>
        </w:rPr>
        <w:t>s historic status</w:t>
      </w:r>
      <w:r w:rsidR="00B821B8" w:rsidRPr="00DF6D60">
        <w:rPr>
          <w:i/>
          <w:color w:val="000000"/>
          <w:spacing w:val="1"/>
          <w:sz w:val="26"/>
        </w:rPr>
        <w:t>.</w:t>
      </w:r>
      <w:r w:rsidR="00B821B8" w:rsidRPr="00DF6D60">
        <w:rPr>
          <w:color w:val="000000"/>
          <w:spacing w:val="1"/>
          <w:sz w:val="26"/>
        </w:rPr>
        <w:t xml:space="preserve">” </w:t>
      </w:r>
      <w:r w:rsidR="00D62433">
        <w:rPr>
          <w:color w:val="000000"/>
          <w:spacing w:val="1"/>
          <w:sz w:val="26"/>
        </w:rPr>
        <w:t xml:space="preserve"> The ALJ concluded that UGI’s customer </w:t>
      </w:r>
      <w:r w:rsidR="00B821B8" w:rsidRPr="00DF6D60">
        <w:rPr>
          <w:color w:val="000000"/>
          <w:spacing w:val="1"/>
          <w:sz w:val="26"/>
        </w:rPr>
        <w:t>notices provided a telephone number for UGI’s call center, but did not inform customers that they could provide supplemental information, such as the building’s historic status</w:t>
      </w:r>
      <w:r w:rsidR="009B0127">
        <w:rPr>
          <w:color w:val="000000"/>
          <w:spacing w:val="1"/>
          <w:sz w:val="26"/>
        </w:rPr>
        <w:t>,</w:t>
      </w:r>
      <w:r w:rsidR="00B821B8" w:rsidRPr="00DF6D60">
        <w:rPr>
          <w:color w:val="000000"/>
          <w:spacing w:val="1"/>
          <w:sz w:val="26"/>
        </w:rPr>
        <w:t xml:space="preserve"> and seek reconsideration of outside meter placement.</w:t>
      </w:r>
      <w:r w:rsidR="009B0127">
        <w:rPr>
          <w:color w:val="000000"/>
          <w:spacing w:val="1"/>
          <w:sz w:val="26"/>
        </w:rPr>
        <w:t xml:space="preserve">  I.D. at 24.</w:t>
      </w:r>
    </w:p>
    <w:p w14:paraId="6C0D7CDC" w14:textId="77777777" w:rsidR="00E83356" w:rsidRDefault="007258C2" w:rsidP="008E1AD5">
      <w:pPr>
        <w:spacing w:before="448" w:line="415" w:lineRule="exact"/>
        <w:textAlignment w:val="baseline"/>
        <w:rPr>
          <w:color w:val="000000"/>
          <w:sz w:val="26"/>
        </w:rPr>
      </w:pPr>
      <w:r>
        <w:rPr>
          <w:color w:val="000000"/>
          <w:spacing w:val="-1"/>
          <w:sz w:val="26"/>
        </w:rPr>
        <w:t>Otherwise, the ALJ found that the Complainants have failed to sustain their burden of proving that UGI violated Section 59.18(d)</w:t>
      </w:r>
      <w:r w:rsidR="007E65E8">
        <w:rPr>
          <w:color w:val="000000"/>
          <w:spacing w:val="-1"/>
          <w:sz w:val="26"/>
        </w:rPr>
        <w:t>(1)</w:t>
      </w:r>
      <w:r>
        <w:rPr>
          <w:color w:val="000000"/>
          <w:spacing w:val="-1"/>
          <w:sz w:val="26"/>
        </w:rPr>
        <w:t xml:space="preserve">(ii).  </w:t>
      </w:r>
      <w:r w:rsidR="007E3A9C">
        <w:rPr>
          <w:color w:val="000000"/>
          <w:spacing w:val="-1"/>
          <w:sz w:val="26"/>
        </w:rPr>
        <w:t>I.D. at 28.  The ALJ stated that U</w:t>
      </w:r>
      <w:r w:rsidR="00B821B8" w:rsidRPr="00DF6D60">
        <w:rPr>
          <w:color w:val="000000"/>
          <w:spacing w:val="-1"/>
          <w:sz w:val="26"/>
        </w:rPr>
        <w:t xml:space="preserve">GI’s implementation of Section 59.18 </w:t>
      </w:r>
      <w:r w:rsidR="007E3A9C">
        <w:rPr>
          <w:color w:val="000000"/>
          <w:spacing w:val="-1"/>
          <w:sz w:val="26"/>
        </w:rPr>
        <w:t>h</w:t>
      </w:r>
      <w:r w:rsidR="00B821B8" w:rsidRPr="00DF6D60">
        <w:rPr>
          <w:color w:val="000000"/>
          <w:spacing w:val="-1"/>
          <w:sz w:val="26"/>
        </w:rPr>
        <w:t>as evolved</w:t>
      </w:r>
      <w:r w:rsidR="007E3A9C">
        <w:rPr>
          <w:color w:val="000000"/>
          <w:spacing w:val="-1"/>
          <w:sz w:val="26"/>
        </w:rPr>
        <w:t xml:space="preserve">, as </w:t>
      </w:r>
      <w:r w:rsidR="00B821B8" w:rsidRPr="00DF6D60">
        <w:rPr>
          <w:color w:val="000000"/>
          <w:spacing w:val="-1"/>
          <w:sz w:val="26"/>
        </w:rPr>
        <w:t>UGI revised its GOM in July 2016</w:t>
      </w:r>
      <w:r w:rsidR="007E3A9C">
        <w:rPr>
          <w:color w:val="000000"/>
          <w:spacing w:val="-1"/>
          <w:sz w:val="26"/>
        </w:rPr>
        <w:t xml:space="preserve"> to include</w:t>
      </w:r>
      <w:r w:rsidR="00B821B8" w:rsidRPr="00DF6D60">
        <w:rPr>
          <w:color w:val="000000"/>
          <w:spacing w:val="-1"/>
          <w:sz w:val="26"/>
        </w:rPr>
        <w:t xml:space="preserve"> special provisions for meter relocations in historic districts that permit consideration of indoor </w:t>
      </w:r>
      <w:r w:rsidR="007E3A9C">
        <w:rPr>
          <w:color w:val="000000"/>
          <w:spacing w:val="-1"/>
          <w:sz w:val="26"/>
        </w:rPr>
        <w:t xml:space="preserve">meter </w:t>
      </w:r>
      <w:r w:rsidR="00B821B8" w:rsidRPr="00DF6D60">
        <w:rPr>
          <w:color w:val="000000"/>
          <w:spacing w:val="-1"/>
          <w:sz w:val="26"/>
        </w:rPr>
        <w:t>placement for meter</w:t>
      </w:r>
      <w:r w:rsidR="007E65E8">
        <w:rPr>
          <w:color w:val="000000"/>
          <w:spacing w:val="-1"/>
          <w:sz w:val="26"/>
        </w:rPr>
        <w:t>s</w:t>
      </w:r>
      <w:r w:rsidR="007E3A9C">
        <w:rPr>
          <w:color w:val="000000"/>
          <w:spacing w:val="-1"/>
          <w:sz w:val="26"/>
        </w:rPr>
        <w:t xml:space="preserve"> as well as</w:t>
      </w:r>
      <w:r w:rsidR="00B821B8" w:rsidRPr="00DF6D60">
        <w:rPr>
          <w:color w:val="000000"/>
          <w:spacing w:val="-1"/>
          <w:sz w:val="26"/>
        </w:rPr>
        <w:t xml:space="preserve"> </w:t>
      </w:r>
      <w:r w:rsidR="007E65E8">
        <w:rPr>
          <w:color w:val="000000"/>
          <w:spacing w:val="-1"/>
          <w:sz w:val="26"/>
        </w:rPr>
        <w:t xml:space="preserve">meter </w:t>
      </w:r>
      <w:r w:rsidR="00B821B8" w:rsidRPr="00DF6D60">
        <w:rPr>
          <w:color w:val="000000"/>
          <w:spacing w:val="-1"/>
          <w:sz w:val="26"/>
        </w:rPr>
        <w:t>relocation</w:t>
      </w:r>
      <w:r w:rsidR="007E65E8">
        <w:rPr>
          <w:color w:val="000000"/>
          <w:spacing w:val="-1"/>
          <w:sz w:val="26"/>
        </w:rPr>
        <w:t>s</w:t>
      </w:r>
      <w:r w:rsidR="00B821B8" w:rsidRPr="00DF6D60">
        <w:rPr>
          <w:color w:val="000000"/>
          <w:spacing w:val="-1"/>
          <w:sz w:val="26"/>
        </w:rPr>
        <w:t xml:space="preserve"> if a building is subsequently reclassified as a historic building.</w:t>
      </w:r>
      <w:r w:rsidR="007E3A9C">
        <w:rPr>
          <w:color w:val="000000"/>
          <w:spacing w:val="-1"/>
          <w:sz w:val="26"/>
        </w:rPr>
        <w:t xml:space="preserve">  I.D. at 24 (citing UGI Exh. CB-5</w:t>
      </w:r>
      <w:r w:rsidR="007E65E8">
        <w:rPr>
          <w:color w:val="000000"/>
          <w:spacing w:val="-1"/>
          <w:sz w:val="26"/>
        </w:rPr>
        <w:t xml:space="preserve">, </w:t>
      </w:r>
      <w:r w:rsidR="007E3A9C">
        <w:rPr>
          <w:color w:val="000000"/>
          <w:spacing w:val="-1"/>
          <w:sz w:val="26"/>
        </w:rPr>
        <w:t>Sections 5.0 and 7.0).</w:t>
      </w:r>
      <w:r w:rsidR="00D61F4A">
        <w:rPr>
          <w:color w:val="000000"/>
          <w:spacing w:val="-1"/>
          <w:sz w:val="26"/>
        </w:rPr>
        <w:t xml:space="preserve">  The ALJ also noted Mr. Brown’s testimony that </w:t>
      </w:r>
      <w:r w:rsidR="00B821B8" w:rsidRPr="00DF6D60">
        <w:rPr>
          <w:color w:val="000000"/>
          <w:sz w:val="26"/>
        </w:rPr>
        <w:t xml:space="preserve">UGI revised its </w:t>
      </w:r>
      <w:r w:rsidR="00D61F4A">
        <w:rPr>
          <w:color w:val="000000"/>
          <w:sz w:val="26"/>
        </w:rPr>
        <w:t>thirty</w:t>
      </w:r>
      <w:r w:rsidR="00B821B8" w:rsidRPr="00DF6D60">
        <w:rPr>
          <w:color w:val="000000"/>
          <w:sz w:val="26"/>
        </w:rPr>
        <w:t>-day notice letter to provide more information for propert</w:t>
      </w:r>
      <w:r w:rsidR="00D61F4A">
        <w:rPr>
          <w:color w:val="000000"/>
          <w:sz w:val="26"/>
        </w:rPr>
        <w:t>y owners</w:t>
      </w:r>
      <w:r w:rsidR="00B821B8" w:rsidRPr="00DF6D60">
        <w:rPr>
          <w:color w:val="000000"/>
          <w:sz w:val="26"/>
        </w:rPr>
        <w:t xml:space="preserve"> in historic districts</w:t>
      </w:r>
      <w:r w:rsidR="00D61F4A">
        <w:rPr>
          <w:color w:val="000000"/>
          <w:sz w:val="26"/>
        </w:rPr>
        <w:t>, as follows</w:t>
      </w:r>
      <w:r w:rsidR="00B821B8" w:rsidRPr="00DF6D60">
        <w:rPr>
          <w:color w:val="000000"/>
          <w:sz w:val="26"/>
        </w:rPr>
        <w:t>:</w:t>
      </w:r>
    </w:p>
    <w:p w14:paraId="5C7C0792" w14:textId="77777777" w:rsidR="00B821B8" w:rsidRPr="00DF6D60" w:rsidRDefault="00B821B8" w:rsidP="008E1AD5">
      <w:pPr>
        <w:spacing w:before="448" w:line="240" w:lineRule="auto"/>
        <w:ind w:left="1440" w:right="1660" w:firstLine="0"/>
        <w:textAlignment w:val="baseline"/>
        <w:rPr>
          <w:color w:val="000000"/>
          <w:sz w:val="26"/>
        </w:rPr>
      </w:pPr>
      <w:r w:rsidRPr="00DF6D60">
        <w:rPr>
          <w:color w:val="000000"/>
          <w:sz w:val="26"/>
        </w:rPr>
        <w:t xml:space="preserve">As part of this project, </w:t>
      </w:r>
      <w:r w:rsidRPr="00DF6D60">
        <w:rPr>
          <w:b/>
          <w:color w:val="000000"/>
          <w:sz w:val="26"/>
        </w:rPr>
        <w:t xml:space="preserve">UGI intends to move natural gas meter sets located inside of residences to a position outside the dwelling, but if your property is located in a federal, state or local historic area you may request that UGI reconsider the decision to relocate your meter. </w:t>
      </w:r>
      <w:r w:rsidR="00C4500E">
        <w:rPr>
          <w:b/>
          <w:color w:val="000000"/>
          <w:sz w:val="26"/>
        </w:rPr>
        <w:t xml:space="preserve"> </w:t>
      </w:r>
      <w:r w:rsidRPr="00DF6D60">
        <w:rPr>
          <w:color w:val="000000"/>
          <w:sz w:val="26"/>
        </w:rPr>
        <w:t>Your request c</w:t>
      </w:r>
      <w:r w:rsidR="00463D0F">
        <w:rPr>
          <w:color w:val="000000"/>
          <w:sz w:val="26"/>
        </w:rPr>
        <w:t>an</w:t>
      </w:r>
      <w:r w:rsidRPr="00DF6D60">
        <w:rPr>
          <w:color w:val="000000"/>
          <w:sz w:val="26"/>
        </w:rPr>
        <w:t xml:space="preserve"> be made online </w:t>
      </w:r>
      <w:r w:rsidR="00CD1975">
        <w:rPr>
          <w:color w:val="000000"/>
          <w:sz w:val="26"/>
        </w:rPr>
        <w:t xml:space="preserve">by visiting </w:t>
      </w:r>
      <w:r w:rsidR="00CD1975" w:rsidRPr="00CD1975">
        <w:rPr>
          <w:b/>
          <w:bCs/>
          <w:color w:val="000000"/>
          <w:sz w:val="26"/>
        </w:rPr>
        <w:t>www.ugi.com</w:t>
      </w:r>
      <w:r w:rsidR="00CD1975">
        <w:rPr>
          <w:color w:val="000000"/>
          <w:sz w:val="26"/>
        </w:rPr>
        <w:t>,</w:t>
      </w:r>
      <w:r w:rsidRPr="00DF6D60">
        <w:rPr>
          <w:color w:val="000000"/>
          <w:sz w:val="26"/>
        </w:rPr>
        <w:t xml:space="preserve"> and clicking on the </w:t>
      </w:r>
      <w:r w:rsidR="00CD1975">
        <w:rPr>
          <w:color w:val="000000"/>
          <w:sz w:val="26"/>
        </w:rPr>
        <w:t>“C</w:t>
      </w:r>
      <w:r w:rsidRPr="00DF6D60">
        <w:rPr>
          <w:color w:val="000000"/>
          <w:sz w:val="26"/>
        </w:rPr>
        <w:t>ommunity</w:t>
      </w:r>
      <w:r w:rsidR="00CD1975">
        <w:rPr>
          <w:color w:val="000000"/>
          <w:sz w:val="26"/>
        </w:rPr>
        <w:t>”</w:t>
      </w:r>
      <w:r w:rsidRPr="00DF6D60">
        <w:rPr>
          <w:color w:val="000000"/>
          <w:sz w:val="26"/>
        </w:rPr>
        <w:t xml:space="preserve"> tab at the top of the page</w:t>
      </w:r>
      <w:r w:rsidR="00CD1975">
        <w:rPr>
          <w:color w:val="000000"/>
          <w:sz w:val="26"/>
        </w:rPr>
        <w:t xml:space="preserve"> …</w:t>
      </w:r>
      <w:r w:rsidRPr="00DF6D60">
        <w:rPr>
          <w:color w:val="000000"/>
          <w:sz w:val="26"/>
        </w:rPr>
        <w:t xml:space="preserve"> Once the form is submitted, you will receive a confirmation of submission of your reconsideration request.</w:t>
      </w:r>
    </w:p>
    <w:p w14:paraId="1D3B4B6D" w14:textId="65764E12" w:rsidR="00B821B8" w:rsidRPr="00DF6D60" w:rsidRDefault="00C4500E" w:rsidP="008E1AD5">
      <w:pPr>
        <w:spacing w:before="286" w:line="414" w:lineRule="exact"/>
        <w:ind w:right="72" w:firstLine="0"/>
        <w:textAlignment w:val="baseline"/>
        <w:rPr>
          <w:color w:val="000000"/>
          <w:sz w:val="26"/>
        </w:rPr>
      </w:pPr>
      <w:r>
        <w:rPr>
          <w:color w:val="000000"/>
          <w:sz w:val="26"/>
        </w:rPr>
        <w:t xml:space="preserve">I.D. at 25 (citing UGI Exh. CB-16 (emphasis in original); Tr. at 344-45).  </w:t>
      </w:r>
      <w:r w:rsidR="001F0615">
        <w:rPr>
          <w:color w:val="000000"/>
          <w:sz w:val="26"/>
        </w:rPr>
        <w:t>The ALJ observed that t</w:t>
      </w:r>
      <w:r w:rsidR="00B821B8" w:rsidRPr="00DF6D60">
        <w:rPr>
          <w:color w:val="000000"/>
          <w:sz w:val="26"/>
        </w:rPr>
        <w:t xml:space="preserve">here is no language in the </w:t>
      </w:r>
      <w:r w:rsidR="001F0615">
        <w:rPr>
          <w:color w:val="000000"/>
          <w:sz w:val="26"/>
        </w:rPr>
        <w:t>R</w:t>
      </w:r>
      <w:r w:rsidR="00B821B8" w:rsidRPr="00DF6D60">
        <w:rPr>
          <w:color w:val="000000"/>
          <w:sz w:val="26"/>
        </w:rPr>
        <w:t xml:space="preserve">egulation </w:t>
      </w:r>
      <w:r w:rsidR="001F0615">
        <w:rPr>
          <w:color w:val="000000"/>
          <w:sz w:val="26"/>
        </w:rPr>
        <w:t>t</w:t>
      </w:r>
      <w:r w:rsidR="00B821B8" w:rsidRPr="00DF6D60">
        <w:rPr>
          <w:color w:val="000000"/>
          <w:sz w:val="26"/>
        </w:rPr>
        <w:t>h</w:t>
      </w:r>
      <w:r w:rsidR="001F0615">
        <w:rPr>
          <w:color w:val="000000"/>
          <w:sz w:val="26"/>
        </w:rPr>
        <w:t>at</w:t>
      </w:r>
      <w:r w:rsidR="00B821B8" w:rsidRPr="00DF6D60">
        <w:rPr>
          <w:color w:val="000000"/>
          <w:sz w:val="26"/>
        </w:rPr>
        <w:t xml:space="preserve"> mandates at </w:t>
      </w:r>
      <w:r w:rsidR="009A1BA9">
        <w:rPr>
          <w:color w:val="000000"/>
          <w:sz w:val="26"/>
        </w:rPr>
        <w:t>which</w:t>
      </w:r>
      <w:r w:rsidR="009A1BA9" w:rsidRPr="00DF6D60">
        <w:rPr>
          <w:color w:val="000000"/>
          <w:sz w:val="26"/>
        </w:rPr>
        <w:t xml:space="preserve"> </w:t>
      </w:r>
      <w:r w:rsidR="00B821B8" w:rsidRPr="00DF6D60">
        <w:rPr>
          <w:color w:val="000000"/>
          <w:sz w:val="26"/>
        </w:rPr>
        <w:t xml:space="preserve">point in the relocation timeline a utility must consider an indoor meter </w:t>
      </w:r>
      <w:r w:rsidR="001F0615">
        <w:rPr>
          <w:color w:val="000000"/>
          <w:sz w:val="26"/>
        </w:rPr>
        <w:t xml:space="preserve">placement </w:t>
      </w:r>
      <w:r w:rsidR="00B821B8" w:rsidRPr="00DF6D60">
        <w:rPr>
          <w:color w:val="000000"/>
          <w:sz w:val="26"/>
        </w:rPr>
        <w:t xml:space="preserve">for a historic property. </w:t>
      </w:r>
      <w:r w:rsidR="001F0615">
        <w:rPr>
          <w:color w:val="000000"/>
          <w:sz w:val="26"/>
        </w:rPr>
        <w:t xml:space="preserve"> </w:t>
      </w:r>
      <w:r w:rsidR="00B821B8" w:rsidRPr="00DF6D60">
        <w:rPr>
          <w:color w:val="000000"/>
          <w:sz w:val="26"/>
        </w:rPr>
        <w:t xml:space="preserve">The </w:t>
      </w:r>
      <w:r w:rsidR="001F0615">
        <w:rPr>
          <w:color w:val="000000"/>
          <w:sz w:val="26"/>
        </w:rPr>
        <w:t>ALJ also observed that the R</w:t>
      </w:r>
      <w:r w:rsidR="00B821B8" w:rsidRPr="00DF6D60">
        <w:rPr>
          <w:color w:val="000000"/>
          <w:sz w:val="26"/>
        </w:rPr>
        <w:t xml:space="preserve">egulation requires utilities to include a </w:t>
      </w:r>
      <w:r w:rsidR="00B821B8" w:rsidRPr="00DF6D60">
        <w:rPr>
          <w:color w:val="000000"/>
          <w:sz w:val="26"/>
        </w:rPr>
        <w:lastRenderedPageBreak/>
        <w:t xml:space="preserve">prompt for customers to provide the utility with information regarding the historic </w:t>
      </w:r>
      <w:r w:rsidR="001F0615">
        <w:rPr>
          <w:color w:val="000000"/>
          <w:sz w:val="26"/>
        </w:rPr>
        <w:t>status</w:t>
      </w:r>
      <w:r w:rsidR="00B821B8" w:rsidRPr="00DF6D60">
        <w:rPr>
          <w:color w:val="000000"/>
          <w:sz w:val="26"/>
        </w:rPr>
        <w:t xml:space="preserve"> of their property. </w:t>
      </w:r>
      <w:r w:rsidR="001F0615">
        <w:rPr>
          <w:color w:val="000000"/>
          <w:sz w:val="26"/>
        </w:rPr>
        <w:t xml:space="preserve"> The ALJ found that f</w:t>
      </w:r>
      <w:r w:rsidR="00B821B8" w:rsidRPr="00DF6D60">
        <w:rPr>
          <w:color w:val="000000"/>
          <w:sz w:val="26"/>
        </w:rPr>
        <w:t>rom a logistic and resource management standpoint, relying on the customer to provide the relevant information is a sensible approach</w:t>
      </w:r>
      <w:r w:rsidR="001F0615">
        <w:rPr>
          <w:color w:val="000000"/>
          <w:sz w:val="26"/>
        </w:rPr>
        <w:t>, as the</w:t>
      </w:r>
      <w:r w:rsidR="00B821B8" w:rsidRPr="00DF6D60">
        <w:rPr>
          <w:color w:val="000000"/>
          <w:sz w:val="26"/>
        </w:rPr>
        <w:t xml:space="preserve"> customer is in the best position to provide information regarding the historic nature of the property and any restrictions on exterior improvements that may apply. </w:t>
      </w:r>
      <w:r w:rsidR="001F0615">
        <w:rPr>
          <w:color w:val="000000"/>
          <w:sz w:val="26"/>
        </w:rPr>
        <w:t xml:space="preserve"> The ALJ concluded that when the Regulation </w:t>
      </w:r>
      <w:r w:rsidR="007E65E8">
        <w:rPr>
          <w:color w:val="000000"/>
          <w:sz w:val="26"/>
        </w:rPr>
        <w:t>i</w:t>
      </w:r>
      <w:r w:rsidR="001F0615">
        <w:rPr>
          <w:color w:val="000000"/>
          <w:sz w:val="26"/>
        </w:rPr>
        <w:t xml:space="preserve">s read </w:t>
      </w:r>
      <w:r w:rsidR="00B821B8" w:rsidRPr="00DF6D60">
        <w:rPr>
          <w:color w:val="000000"/>
          <w:sz w:val="26"/>
        </w:rPr>
        <w:t xml:space="preserve">as a whole, this interpretation </w:t>
      </w:r>
      <w:r w:rsidR="001F0615">
        <w:rPr>
          <w:color w:val="000000"/>
          <w:sz w:val="26"/>
        </w:rPr>
        <w:t xml:space="preserve">of the timing of the utility’s consideration </w:t>
      </w:r>
      <w:r w:rsidR="007E65E8">
        <w:rPr>
          <w:color w:val="000000"/>
          <w:sz w:val="26"/>
        </w:rPr>
        <w:t>i</w:t>
      </w:r>
      <w:r w:rsidR="00B821B8" w:rsidRPr="00DF6D60">
        <w:rPr>
          <w:color w:val="000000"/>
          <w:sz w:val="26"/>
        </w:rPr>
        <w:t xml:space="preserve">s </w:t>
      </w:r>
      <w:r w:rsidR="001F0615">
        <w:rPr>
          <w:color w:val="000000"/>
          <w:sz w:val="26"/>
        </w:rPr>
        <w:t>consistent</w:t>
      </w:r>
      <w:r w:rsidR="00B821B8" w:rsidRPr="00DF6D60">
        <w:rPr>
          <w:color w:val="000000"/>
          <w:sz w:val="26"/>
        </w:rPr>
        <w:t xml:space="preserve"> with other provisions of the </w:t>
      </w:r>
      <w:r w:rsidR="001F0615">
        <w:rPr>
          <w:color w:val="000000"/>
          <w:sz w:val="26"/>
        </w:rPr>
        <w:t>R</w:t>
      </w:r>
      <w:r w:rsidR="00B821B8" w:rsidRPr="00DF6D60">
        <w:rPr>
          <w:color w:val="000000"/>
          <w:sz w:val="26"/>
        </w:rPr>
        <w:t>egulation.</w:t>
      </w:r>
      <w:r w:rsidR="001F0615">
        <w:rPr>
          <w:color w:val="000000"/>
          <w:sz w:val="26"/>
        </w:rPr>
        <w:t xml:space="preserve">  </w:t>
      </w:r>
      <w:r w:rsidR="00E828A1">
        <w:rPr>
          <w:color w:val="000000"/>
          <w:sz w:val="26"/>
        </w:rPr>
        <w:t>I.D. at 25.</w:t>
      </w:r>
    </w:p>
    <w:p w14:paraId="06C950D8" w14:textId="77777777" w:rsidR="00B821B8" w:rsidRPr="00DF6D60" w:rsidRDefault="00B821B8" w:rsidP="008E1AD5">
      <w:pPr>
        <w:ind w:firstLine="0"/>
        <w:rPr>
          <w:b/>
          <w:bCs/>
          <w:color w:val="000000"/>
          <w:sz w:val="26"/>
          <w:szCs w:val="26"/>
        </w:rPr>
      </w:pPr>
    </w:p>
    <w:p w14:paraId="742F2371" w14:textId="069E03CD" w:rsidR="007206D6" w:rsidRDefault="007206D6" w:rsidP="008E1AD5">
      <w:pPr>
        <w:tabs>
          <w:tab w:val="left" w:pos="720"/>
        </w:tabs>
        <w:ind w:firstLine="0"/>
        <w:rPr>
          <w:b/>
          <w:bCs/>
          <w:color w:val="000000"/>
          <w:sz w:val="26"/>
          <w:szCs w:val="26"/>
        </w:rPr>
      </w:pPr>
      <w:r>
        <w:rPr>
          <w:b/>
          <w:bCs/>
          <w:color w:val="000000"/>
          <w:sz w:val="26"/>
          <w:szCs w:val="26"/>
        </w:rPr>
        <w:tab/>
      </w:r>
      <w:r w:rsidR="00D877D9">
        <w:rPr>
          <w:b/>
          <w:bCs/>
          <w:color w:val="000000"/>
          <w:sz w:val="26"/>
          <w:szCs w:val="26"/>
        </w:rPr>
        <w:t>3.</w:t>
      </w:r>
      <w:r w:rsidR="00D877D9">
        <w:rPr>
          <w:b/>
          <w:bCs/>
          <w:color w:val="000000"/>
          <w:sz w:val="26"/>
          <w:szCs w:val="26"/>
        </w:rPr>
        <w:tab/>
      </w:r>
      <w:r>
        <w:rPr>
          <w:b/>
          <w:bCs/>
          <w:color w:val="000000"/>
          <w:sz w:val="26"/>
          <w:szCs w:val="26"/>
        </w:rPr>
        <w:t>Exceptions and Replies</w:t>
      </w:r>
    </w:p>
    <w:p w14:paraId="4F6F9000" w14:textId="77777777" w:rsidR="007206D6" w:rsidRDefault="007206D6" w:rsidP="008E1AD5">
      <w:pPr>
        <w:ind w:firstLine="0"/>
        <w:rPr>
          <w:b/>
          <w:bCs/>
          <w:color w:val="000000"/>
          <w:sz w:val="26"/>
          <w:szCs w:val="26"/>
        </w:rPr>
      </w:pPr>
    </w:p>
    <w:p w14:paraId="05F423D9" w14:textId="01F86346" w:rsidR="007E1793" w:rsidRDefault="005C154F" w:rsidP="008E1AD5">
      <w:pPr>
        <w:ind w:firstLine="720"/>
        <w:textAlignment w:val="baseline"/>
        <w:rPr>
          <w:b/>
          <w:bCs/>
          <w:sz w:val="26"/>
        </w:rPr>
      </w:pPr>
      <w:r>
        <w:rPr>
          <w:b/>
          <w:bCs/>
          <w:color w:val="000000"/>
          <w:sz w:val="26"/>
          <w:szCs w:val="26"/>
        </w:rPr>
        <w:tab/>
      </w:r>
      <w:r w:rsidR="007E1793">
        <w:rPr>
          <w:b/>
          <w:bCs/>
          <w:color w:val="000000"/>
          <w:sz w:val="26"/>
          <w:szCs w:val="26"/>
        </w:rPr>
        <w:t>a.</w:t>
      </w:r>
      <w:r w:rsidR="007E1793">
        <w:rPr>
          <w:b/>
          <w:bCs/>
          <w:color w:val="000000"/>
          <w:sz w:val="26"/>
          <w:szCs w:val="26"/>
        </w:rPr>
        <w:tab/>
      </w:r>
      <w:r w:rsidR="007E1793">
        <w:rPr>
          <w:b/>
          <w:bCs/>
          <w:sz w:val="26"/>
        </w:rPr>
        <w:t>UGI’s Exception No. 1</w:t>
      </w:r>
      <w:r w:rsidR="005D4B8C">
        <w:rPr>
          <w:b/>
          <w:bCs/>
          <w:sz w:val="26"/>
        </w:rPr>
        <w:t>,</w:t>
      </w:r>
      <w:r w:rsidR="00B97DE7">
        <w:rPr>
          <w:b/>
          <w:bCs/>
          <w:sz w:val="26"/>
        </w:rPr>
        <w:t xml:space="preserve"> the City’s Replies</w:t>
      </w:r>
      <w:r w:rsidR="005D4B8C">
        <w:rPr>
          <w:b/>
          <w:bCs/>
          <w:sz w:val="26"/>
        </w:rPr>
        <w:t>, and Disposition</w:t>
      </w:r>
    </w:p>
    <w:p w14:paraId="020FF921" w14:textId="77777777" w:rsidR="007E1793" w:rsidRDefault="007E1793" w:rsidP="008E1AD5">
      <w:pPr>
        <w:ind w:firstLine="720"/>
        <w:textAlignment w:val="baseline"/>
        <w:rPr>
          <w:b/>
          <w:bCs/>
          <w:sz w:val="26"/>
        </w:rPr>
      </w:pPr>
    </w:p>
    <w:p w14:paraId="39D50A6E" w14:textId="31052A01" w:rsidR="00B97DE7" w:rsidRDefault="00B97DE7" w:rsidP="008E1AD5">
      <w:pPr>
        <w:tabs>
          <w:tab w:val="left" w:pos="2160"/>
        </w:tabs>
        <w:ind w:firstLine="720"/>
        <w:textAlignment w:val="baseline"/>
        <w:rPr>
          <w:b/>
          <w:bCs/>
          <w:sz w:val="26"/>
        </w:rPr>
      </w:pPr>
      <w:r>
        <w:rPr>
          <w:b/>
          <w:bCs/>
          <w:sz w:val="26"/>
        </w:rPr>
        <w:tab/>
        <w:t>1.</w:t>
      </w:r>
      <w:r>
        <w:rPr>
          <w:b/>
          <w:bCs/>
          <w:sz w:val="26"/>
        </w:rPr>
        <w:tab/>
        <w:t>UGI’s Exception</w:t>
      </w:r>
    </w:p>
    <w:p w14:paraId="3CFDF495" w14:textId="77777777" w:rsidR="00B97DE7" w:rsidRDefault="00B97DE7" w:rsidP="008E1AD5">
      <w:pPr>
        <w:ind w:firstLine="720"/>
        <w:textAlignment w:val="baseline"/>
        <w:rPr>
          <w:b/>
          <w:bCs/>
          <w:sz w:val="26"/>
        </w:rPr>
      </w:pPr>
    </w:p>
    <w:p w14:paraId="759CC1B5" w14:textId="7081E17F" w:rsidR="007E1793" w:rsidRDefault="00B97DE7" w:rsidP="008E1AD5">
      <w:pPr>
        <w:ind w:firstLine="720"/>
        <w:textAlignment w:val="baseline"/>
        <w:rPr>
          <w:color w:val="000000"/>
          <w:sz w:val="26"/>
        </w:rPr>
      </w:pPr>
      <w:r>
        <w:rPr>
          <w:b/>
          <w:bCs/>
          <w:sz w:val="26"/>
        </w:rPr>
        <w:tab/>
      </w:r>
      <w:r w:rsidR="007E1793">
        <w:rPr>
          <w:sz w:val="26"/>
        </w:rPr>
        <w:t>UGI argues that the ALJ erred in concluding in Conclusion of Law N</w:t>
      </w:r>
      <w:r w:rsidR="003E1724">
        <w:rPr>
          <w:sz w:val="26"/>
        </w:rPr>
        <w:t>o.</w:t>
      </w:r>
      <w:r w:rsidR="007E1793">
        <w:rPr>
          <w:sz w:val="26"/>
        </w:rPr>
        <w:t xml:space="preserve"> 6 that the Company’s meter installation and relocation policy from 2014 to 2016 failed to comply with Section 59.18.  Conclusion of Law N</w:t>
      </w:r>
      <w:r w:rsidR="003E1724">
        <w:rPr>
          <w:sz w:val="26"/>
        </w:rPr>
        <w:t>o.</w:t>
      </w:r>
      <w:r w:rsidR="007E1793">
        <w:rPr>
          <w:sz w:val="26"/>
        </w:rPr>
        <w:t xml:space="preserve"> 6 provides the following:  “The Complainants met their burden of proving that UGI’s policy failed to conform to the amendments to 52 Pa. Code § 59.18, from 2014 until 2016.”  UGI avers that the ALJ incorrectly concluded that </w:t>
      </w:r>
      <w:r w:rsidR="007E1793" w:rsidRPr="003D4B17">
        <w:rPr>
          <w:color w:val="000000"/>
          <w:spacing w:val="-2"/>
          <w:sz w:val="26"/>
        </w:rPr>
        <w:t>the Commission</w:t>
      </w:r>
      <w:r w:rsidR="007E1793">
        <w:rPr>
          <w:color w:val="000000"/>
          <w:spacing w:val="-2"/>
          <w:sz w:val="26"/>
        </w:rPr>
        <w:t>’s</w:t>
      </w:r>
      <w:r w:rsidR="007E1793" w:rsidRPr="003D4B17">
        <w:rPr>
          <w:color w:val="000000"/>
          <w:spacing w:val="-2"/>
          <w:sz w:val="26"/>
        </w:rPr>
        <w:t xml:space="preserve"> revisions to 52 Pa. Code § 59.18 </w:t>
      </w:r>
      <w:r w:rsidR="007E1793" w:rsidRPr="004C3642">
        <w:rPr>
          <w:color w:val="000000"/>
          <w:spacing w:val="-2"/>
          <w:sz w:val="26"/>
        </w:rPr>
        <w:t xml:space="preserve">required </w:t>
      </w:r>
      <w:r w:rsidR="00D20993">
        <w:rPr>
          <w:color w:val="000000"/>
          <w:spacing w:val="-2"/>
          <w:sz w:val="26"/>
        </w:rPr>
        <w:t>natural gas distribution companies (</w:t>
      </w:r>
      <w:r w:rsidR="007E1793" w:rsidRPr="003D4B17">
        <w:rPr>
          <w:color w:val="000000"/>
          <w:spacing w:val="-2"/>
          <w:sz w:val="26"/>
        </w:rPr>
        <w:t>NGDCs</w:t>
      </w:r>
      <w:r w:rsidR="00D20993">
        <w:rPr>
          <w:color w:val="000000"/>
          <w:spacing w:val="-2"/>
          <w:sz w:val="26"/>
        </w:rPr>
        <w:t>)</w:t>
      </w:r>
      <w:r w:rsidR="007E1793" w:rsidRPr="003D4B17">
        <w:rPr>
          <w:color w:val="000000"/>
          <w:spacing w:val="-2"/>
          <w:sz w:val="26"/>
        </w:rPr>
        <w:t xml:space="preserve"> to establish separate meter placement rules for historic districts. </w:t>
      </w:r>
      <w:r w:rsidR="007E1793">
        <w:rPr>
          <w:color w:val="000000"/>
          <w:spacing w:val="-2"/>
          <w:sz w:val="26"/>
        </w:rPr>
        <w:t xml:space="preserve"> UGI Exc. at 1.  UGI states that </w:t>
      </w:r>
      <w:r w:rsidR="007E1793" w:rsidRPr="003D4B17">
        <w:rPr>
          <w:color w:val="000000"/>
          <w:spacing w:val="-2"/>
          <w:sz w:val="26"/>
        </w:rPr>
        <w:t xml:space="preserve">in </w:t>
      </w:r>
      <w:r w:rsidR="007E1793">
        <w:rPr>
          <w:color w:val="000000"/>
          <w:spacing w:val="-2"/>
          <w:sz w:val="26"/>
        </w:rPr>
        <w:t>the</w:t>
      </w:r>
      <w:r w:rsidR="007E1793" w:rsidRPr="003D4B17">
        <w:rPr>
          <w:color w:val="000000"/>
          <w:spacing w:val="-2"/>
          <w:sz w:val="26"/>
        </w:rPr>
        <w:t xml:space="preserve"> </w:t>
      </w:r>
      <w:r w:rsidR="007E1793" w:rsidRPr="003D4B17">
        <w:rPr>
          <w:i/>
          <w:color w:val="000000"/>
          <w:spacing w:val="-2"/>
          <w:sz w:val="26"/>
        </w:rPr>
        <w:t>Final Rulemaking Order,</w:t>
      </w:r>
      <w:r w:rsidR="007E1793">
        <w:rPr>
          <w:i/>
          <w:color w:val="000000"/>
          <w:spacing w:val="-2"/>
          <w:sz w:val="26"/>
        </w:rPr>
        <w:t xml:space="preserve"> </w:t>
      </w:r>
      <w:r w:rsidR="007E1793" w:rsidRPr="003D4B17">
        <w:rPr>
          <w:color w:val="000000"/>
          <w:spacing w:val="-2"/>
          <w:sz w:val="26"/>
        </w:rPr>
        <w:t>the Commission rejected recommendations by the Independent Regulatory Review Commission, the Pennsylvania Historical and Museum Commission, and several other advocates for historical resources that the</w:t>
      </w:r>
      <w:r w:rsidR="007E1793">
        <w:rPr>
          <w:color w:val="000000"/>
          <w:spacing w:val="-2"/>
          <w:sz w:val="26"/>
        </w:rPr>
        <w:t xml:space="preserve"> </w:t>
      </w:r>
      <w:r w:rsidR="007E1793" w:rsidRPr="003D4B17">
        <w:rPr>
          <w:color w:val="000000"/>
          <w:spacing w:val="-2"/>
          <w:sz w:val="26"/>
        </w:rPr>
        <w:t>Commission establish such a requirement and implement more specific standards.</w:t>
      </w:r>
      <w:r w:rsidR="007E1793">
        <w:rPr>
          <w:color w:val="000000"/>
          <w:spacing w:val="-2"/>
          <w:sz w:val="26"/>
        </w:rPr>
        <w:t xml:space="preserve"> </w:t>
      </w:r>
      <w:r w:rsidR="007E1793" w:rsidRPr="003D4B17">
        <w:rPr>
          <w:color w:val="000000"/>
          <w:spacing w:val="-2"/>
          <w:sz w:val="26"/>
        </w:rPr>
        <w:t xml:space="preserve"> </w:t>
      </w:r>
      <w:r w:rsidR="007E1793" w:rsidRPr="004C1051">
        <w:rPr>
          <w:i/>
          <w:iCs/>
          <w:color w:val="000000"/>
          <w:spacing w:val="-2"/>
          <w:sz w:val="26"/>
        </w:rPr>
        <w:t>Id</w:t>
      </w:r>
      <w:r w:rsidR="007E1793">
        <w:rPr>
          <w:color w:val="000000"/>
          <w:spacing w:val="-2"/>
          <w:sz w:val="26"/>
        </w:rPr>
        <w:t xml:space="preserve">. at 3 (citing </w:t>
      </w:r>
      <w:r w:rsidR="007E1793" w:rsidRPr="003D4B17">
        <w:rPr>
          <w:i/>
          <w:color w:val="000000"/>
          <w:spacing w:val="-2"/>
          <w:sz w:val="26"/>
        </w:rPr>
        <w:t xml:space="preserve">Final Rulemaking Order </w:t>
      </w:r>
      <w:r w:rsidR="007E1793" w:rsidRPr="003D4B17">
        <w:rPr>
          <w:color w:val="000000"/>
          <w:spacing w:val="-2"/>
          <w:sz w:val="26"/>
        </w:rPr>
        <w:t>at 30; UGI St.</w:t>
      </w:r>
      <w:r w:rsidR="008E1AD5">
        <w:rPr>
          <w:color w:val="000000"/>
          <w:spacing w:val="-2"/>
          <w:sz w:val="26"/>
        </w:rPr>
        <w:t> </w:t>
      </w:r>
      <w:r w:rsidR="007E1793" w:rsidRPr="003D4B17">
        <w:rPr>
          <w:color w:val="000000"/>
          <w:spacing w:val="-2"/>
          <w:sz w:val="26"/>
        </w:rPr>
        <w:t xml:space="preserve">1 </w:t>
      </w:r>
      <w:r w:rsidR="007E1793">
        <w:rPr>
          <w:color w:val="000000"/>
          <w:spacing w:val="-2"/>
          <w:sz w:val="26"/>
        </w:rPr>
        <w:t>at</w:t>
      </w:r>
      <w:r w:rsidR="007E1793" w:rsidRPr="003D4B17">
        <w:rPr>
          <w:color w:val="000000"/>
          <w:spacing w:val="-2"/>
          <w:sz w:val="26"/>
        </w:rPr>
        <w:t xml:space="preserve"> 16-17.) </w:t>
      </w:r>
      <w:r w:rsidR="007E1793">
        <w:rPr>
          <w:color w:val="000000"/>
          <w:spacing w:val="-2"/>
          <w:sz w:val="26"/>
        </w:rPr>
        <w:t xml:space="preserve"> UGI believes that the language in the </w:t>
      </w:r>
      <w:r w:rsidR="007E1793" w:rsidRPr="004C1051">
        <w:rPr>
          <w:i/>
          <w:iCs/>
          <w:color w:val="000000"/>
          <w:spacing w:val="-2"/>
          <w:sz w:val="26"/>
        </w:rPr>
        <w:t>Final Rulemaking Order</w:t>
      </w:r>
      <w:r w:rsidR="007E1793">
        <w:rPr>
          <w:color w:val="000000"/>
          <w:spacing w:val="-2"/>
          <w:sz w:val="26"/>
        </w:rPr>
        <w:t xml:space="preserve"> </w:t>
      </w:r>
      <w:r w:rsidR="007E1793" w:rsidRPr="003D4B17">
        <w:rPr>
          <w:color w:val="000000"/>
          <w:spacing w:val="-2"/>
          <w:sz w:val="26"/>
        </w:rPr>
        <w:t>demonstrates the Commission</w:t>
      </w:r>
      <w:r w:rsidR="007E1793">
        <w:rPr>
          <w:color w:val="000000"/>
          <w:spacing w:val="-2"/>
          <w:sz w:val="26"/>
        </w:rPr>
        <w:t>’s</w:t>
      </w:r>
      <w:r w:rsidR="007E1793" w:rsidRPr="003D4B17">
        <w:rPr>
          <w:color w:val="000000"/>
          <w:spacing w:val="-2"/>
          <w:sz w:val="26"/>
        </w:rPr>
        <w:t xml:space="preserve"> </w:t>
      </w:r>
      <w:r w:rsidR="007E1793">
        <w:rPr>
          <w:color w:val="000000"/>
          <w:spacing w:val="-2"/>
          <w:sz w:val="26"/>
        </w:rPr>
        <w:t>clear</w:t>
      </w:r>
      <w:r w:rsidR="007E1793" w:rsidRPr="003D4B17">
        <w:rPr>
          <w:color w:val="000000"/>
          <w:spacing w:val="-2"/>
          <w:sz w:val="26"/>
        </w:rPr>
        <w:t xml:space="preserve"> determination </w:t>
      </w:r>
      <w:r w:rsidR="007E1793" w:rsidRPr="008F0687">
        <w:rPr>
          <w:color w:val="000000"/>
          <w:spacing w:val="-2"/>
          <w:sz w:val="26"/>
        </w:rPr>
        <w:t>not to mandate</w:t>
      </w:r>
      <w:r w:rsidR="007E1793" w:rsidRPr="003D4B17">
        <w:rPr>
          <w:color w:val="000000"/>
          <w:spacing w:val="-2"/>
          <w:sz w:val="26"/>
        </w:rPr>
        <w:t xml:space="preserve"> such standards and, </w:t>
      </w:r>
      <w:r w:rsidR="007E1793" w:rsidRPr="003D4B17">
        <w:rPr>
          <w:color w:val="000000"/>
          <w:spacing w:val="-2"/>
          <w:sz w:val="26"/>
        </w:rPr>
        <w:lastRenderedPageBreak/>
        <w:t>instead, to adhere to its public policy determination that the risks</w:t>
      </w:r>
      <w:r w:rsidR="007E1793">
        <w:rPr>
          <w:color w:val="000000"/>
          <w:spacing w:val="-2"/>
          <w:sz w:val="26"/>
        </w:rPr>
        <w:t xml:space="preserve"> </w:t>
      </w:r>
      <w:r w:rsidR="007E1793" w:rsidRPr="003D4B17">
        <w:rPr>
          <w:color w:val="000000"/>
          <w:sz w:val="26"/>
        </w:rPr>
        <w:t xml:space="preserve">associated with </w:t>
      </w:r>
      <w:r w:rsidR="004C7518">
        <w:rPr>
          <w:color w:val="000000"/>
          <w:sz w:val="26"/>
        </w:rPr>
        <w:t>inside</w:t>
      </w:r>
      <w:r w:rsidR="007E1793" w:rsidRPr="003D4B17">
        <w:rPr>
          <w:color w:val="000000"/>
          <w:sz w:val="26"/>
        </w:rPr>
        <w:t xml:space="preserve"> meters create a need to have </w:t>
      </w:r>
      <w:r w:rsidR="007E1793">
        <w:rPr>
          <w:color w:val="000000"/>
          <w:sz w:val="26"/>
        </w:rPr>
        <w:t>most</w:t>
      </w:r>
      <w:r w:rsidR="007E1793" w:rsidRPr="003D4B17">
        <w:rPr>
          <w:color w:val="000000"/>
          <w:sz w:val="26"/>
        </w:rPr>
        <w:t xml:space="preserve"> meters and regulator</w:t>
      </w:r>
      <w:r w:rsidR="007E1793">
        <w:rPr>
          <w:color w:val="000000"/>
          <w:sz w:val="26"/>
        </w:rPr>
        <w:t>s</w:t>
      </w:r>
      <w:r w:rsidR="007E1793" w:rsidRPr="003D4B17">
        <w:rPr>
          <w:color w:val="000000"/>
          <w:sz w:val="26"/>
        </w:rPr>
        <w:t xml:space="preserve"> moved to outside locations. </w:t>
      </w:r>
      <w:r w:rsidR="007E1793">
        <w:rPr>
          <w:color w:val="000000"/>
          <w:sz w:val="26"/>
        </w:rPr>
        <w:t xml:space="preserve"> UGI Exc. at 3-4 (citing </w:t>
      </w:r>
      <w:r w:rsidR="007E1793" w:rsidRPr="003D4B17">
        <w:rPr>
          <w:i/>
          <w:color w:val="000000"/>
          <w:sz w:val="26"/>
        </w:rPr>
        <w:t xml:space="preserve">Final Rulemaking Order </w:t>
      </w:r>
      <w:r w:rsidR="007E1793" w:rsidRPr="003D4B17">
        <w:rPr>
          <w:color w:val="000000"/>
          <w:sz w:val="26"/>
        </w:rPr>
        <w:t>at 5-6</w:t>
      </w:r>
      <w:r w:rsidR="007E1793">
        <w:rPr>
          <w:color w:val="000000"/>
          <w:sz w:val="26"/>
        </w:rPr>
        <w:t>)</w:t>
      </w:r>
      <w:r w:rsidR="007E1793" w:rsidRPr="003D4B17">
        <w:rPr>
          <w:color w:val="000000"/>
          <w:sz w:val="26"/>
        </w:rPr>
        <w:t>.</w:t>
      </w:r>
      <w:r w:rsidR="007E1793">
        <w:rPr>
          <w:color w:val="000000"/>
          <w:sz w:val="26"/>
        </w:rPr>
        <w:t xml:space="preserve">  UGI asserts that t</w:t>
      </w:r>
      <w:r w:rsidR="007E1793" w:rsidRPr="003D4B17">
        <w:rPr>
          <w:color w:val="000000"/>
          <w:sz w:val="26"/>
        </w:rPr>
        <w:t>he Commission</w:t>
      </w:r>
      <w:r w:rsidR="007E1793">
        <w:rPr>
          <w:color w:val="000000"/>
          <w:sz w:val="26"/>
        </w:rPr>
        <w:t>’</w:t>
      </w:r>
      <w:r w:rsidR="007E1793" w:rsidRPr="003D4B17">
        <w:rPr>
          <w:color w:val="000000"/>
          <w:sz w:val="26"/>
        </w:rPr>
        <w:t xml:space="preserve">s </w:t>
      </w:r>
      <w:r w:rsidR="007E1793" w:rsidRPr="00802714">
        <w:rPr>
          <w:color w:val="000000"/>
          <w:sz w:val="26"/>
        </w:rPr>
        <w:t>authorization</w:t>
      </w:r>
      <w:r w:rsidR="007E1793" w:rsidRPr="003D4B17">
        <w:rPr>
          <w:color w:val="000000"/>
          <w:sz w:val="26"/>
        </w:rPr>
        <w:t xml:space="preserve"> of NGDCs to </w:t>
      </w:r>
      <w:r w:rsidR="007E1793">
        <w:rPr>
          <w:color w:val="000000"/>
          <w:sz w:val="26"/>
        </w:rPr>
        <w:t>“</w:t>
      </w:r>
      <w:r w:rsidR="007E1793" w:rsidRPr="003D4B17">
        <w:rPr>
          <w:color w:val="000000"/>
          <w:sz w:val="26"/>
        </w:rPr>
        <w:t>consider</w:t>
      </w:r>
      <w:r w:rsidR="007E1793">
        <w:rPr>
          <w:color w:val="000000"/>
          <w:sz w:val="26"/>
        </w:rPr>
        <w:t>”</w:t>
      </w:r>
      <w:r w:rsidR="007E1793" w:rsidRPr="003D4B17">
        <w:rPr>
          <w:color w:val="000000"/>
          <w:sz w:val="26"/>
        </w:rPr>
        <w:t xml:space="preserve"> inside meter placements under Section 59.18(d)(1) in historic districts </w:t>
      </w:r>
      <w:r w:rsidR="007E1793">
        <w:rPr>
          <w:color w:val="000000"/>
          <w:sz w:val="26"/>
        </w:rPr>
        <w:t xml:space="preserve">is </w:t>
      </w:r>
      <w:r w:rsidR="007E1793" w:rsidRPr="003D4B17">
        <w:rPr>
          <w:color w:val="000000"/>
          <w:sz w:val="26"/>
        </w:rPr>
        <w:t xml:space="preserve">simply </w:t>
      </w:r>
      <w:r w:rsidR="007E1793">
        <w:rPr>
          <w:color w:val="000000"/>
          <w:sz w:val="26"/>
        </w:rPr>
        <w:t xml:space="preserve">a </w:t>
      </w:r>
      <w:r w:rsidR="007E1793" w:rsidRPr="003D4B17">
        <w:rPr>
          <w:color w:val="000000"/>
          <w:sz w:val="26"/>
        </w:rPr>
        <w:t>reflect</w:t>
      </w:r>
      <w:r w:rsidR="007E1793">
        <w:rPr>
          <w:color w:val="000000"/>
          <w:sz w:val="26"/>
        </w:rPr>
        <w:t>ion of</w:t>
      </w:r>
      <w:r w:rsidR="007E1793" w:rsidRPr="003D4B17">
        <w:rPr>
          <w:color w:val="000000"/>
          <w:sz w:val="26"/>
        </w:rPr>
        <w:t xml:space="preserve"> the Commission</w:t>
      </w:r>
      <w:r w:rsidR="007E1793">
        <w:rPr>
          <w:color w:val="000000"/>
          <w:sz w:val="26"/>
        </w:rPr>
        <w:t>’</w:t>
      </w:r>
      <w:r w:rsidR="007E1793" w:rsidRPr="003D4B17">
        <w:rPr>
          <w:color w:val="000000"/>
          <w:sz w:val="26"/>
        </w:rPr>
        <w:t>s decision to permit the existing tariff provisions of certain NGDCs to remain effect</w:t>
      </w:r>
      <w:r w:rsidR="007E1793">
        <w:rPr>
          <w:color w:val="000000"/>
          <w:sz w:val="26"/>
        </w:rPr>
        <w:t>ive</w:t>
      </w:r>
      <w:r w:rsidR="007E1793" w:rsidRPr="003D4B17">
        <w:rPr>
          <w:color w:val="000000"/>
          <w:sz w:val="26"/>
        </w:rPr>
        <w:t xml:space="preserve">. </w:t>
      </w:r>
      <w:r w:rsidR="007E1793">
        <w:rPr>
          <w:color w:val="000000"/>
          <w:sz w:val="26"/>
        </w:rPr>
        <w:t xml:space="preserve"> UGI Exc. at 5.  UGI points to the Commission’s investigation into meter placement, which revealed that the majority of NGDCs’ tariffs include language </w:t>
      </w:r>
      <w:r w:rsidR="00D20993">
        <w:rPr>
          <w:color w:val="000000"/>
          <w:sz w:val="26"/>
        </w:rPr>
        <w:t xml:space="preserve">that </w:t>
      </w:r>
      <w:r w:rsidR="007E1793">
        <w:rPr>
          <w:color w:val="000000"/>
          <w:sz w:val="26"/>
        </w:rPr>
        <w:t>contain</w:t>
      </w:r>
      <w:r w:rsidR="00D20993">
        <w:rPr>
          <w:color w:val="000000"/>
          <w:sz w:val="26"/>
        </w:rPr>
        <w:t>s</w:t>
      </w:r>
      <w:r w:rsidR="007E1793">
        <w:rPr>
          <w:color w:val="000000"/>
          <w:sz w:val="26"/>
        </w:rPr>
        <w:t xml:space="preserve"> exceptions to outside siting and allow</w:t>
      </w:r>
      <w:r w:rsidR="00D20993">
        <w:rPr>
          <w:color w:val="000000"/>
          <w:sz w:val="26"/>
        </w:rPr>
        <w:t>s</w:t>
      </w:r>
      <w:r w:rsidR="007E1793">
        <w:rPr>
          <w:color w:val="000000"/>
          <w:sz w:val="26"/>
        </w:rPr>
        <w:t xml:space="preserve"> for inside meter and regulator sets based on historic area prohibitions and areas with high amounts of vandalism.  </w:t>
      </w:r>
      <w:r w:rsidR="007E1793" w:rsidRPr="00E46838">
        <w:rPr>
          <w:i/>
          <w:iCs/>
          <w:color w:val="000000"/>
          <w:sz w:val="26"/>
        </w:rPr>
        <w:t>Id</w:t>
      </w:r>
      <w:r w:rsidR="007E1793">
        <w:rPr>
          <w:color w:val="000000"/>
          <w:sz w:val="26"/>
        </w:rPr>
        <w:t xml:space="preserve">. at 4 (citing </w:t>
      </w:r>
      <w:r w:rsidR="007E1793" w:rsidRPr="00E46838">
        <w:rPr>
          <w:i/>
          <w:iCs/>
          <w:color w:val="000000"/>
          <w:sz w:val="26"/>
        </w:rPr>
        <w:t>Final Rulemaking Order</w:t>
      </w:r>
      <w:r w:rsidR="007E1793">
        <w:rPr>
          <w:color w:val="000000"/>
          <w:sz w:val="26"/>
        </w:rPr>
        <w:t xml:space="preserve"> at 5, 8).</w:t>
      </w:r>
    </w:p>
    <w:p w14:paraId="19C024D5" w14:textId="77777777" w:rsidR="007E1793" w:rsidRDefault="007E1793" w:rsidP="008E1AD5">
      <w:pPr>
        <w:ind w:firstLine="720"/>
        <w:textAlignment w:val="baseline"/>
        <w:rPr>
          <w:color w:val="000000"/>
          <w:sz w:val="26"/>
        </w:rPr>
      </w:pPr>
    </w:p>
    <w:p w14:paraId="7B51BE64" w14:textId="7677811A" w:rsidR="007E1793" w:rsidRDefault="007E1793" w:rsidP="008E1AD5">
      <w:pPr>
        <w:ind w:firstLine="720"/>
        <w:textAlignment w:val="baseline"/>
        <w:rPr>
          <w:color w:val="000000"/>
          <w:sz w:val="26"/>
        </w:rPr>
      </w:pPr>
      <w:r>
        <w:rPr>
          <w:color w:val="000000"/>
          <w:sz w:val="26"/>
        </w:rPr>
        <w:tab/>
        <w:t xml:space="preserve">UGI continues that the </w:t>
      </w:r>
      <w:r w:rsidRPr="00E46838">
        <w:rPr>
          <w:i/>
          <w:iCs/>
          <w:color w:val="000000"/>
          <w:sz w:val="26"/>
        </w:rPr>
        <w:t>Final Rulemaking Order</w:t>
      </w:r>
      <w:r>
        <w:rPr>
          <w:color w:val="000000"/>
          <w:sz w:val="26"/>
        </w:rPr>
        <w:t xml:space="preserve"> </w:t>
      </w:r>
      <w:r w:rsidRPr="003D4B17">
        <w:rPr>
          <w:color w:val="000000"/>
          <w:sz w:val="26"/>
        </w:rPr>
        <w:t>does not reflect the Commission</w:t>
      </w:r>
      <w:r>
        <w:rPr>
          <w:color w:val="000000"/>
          <w:sz w:val="26"/>
        </w:rPr>
        <w:t>’</w:t>
      </w:r>
      <w:r w:rsidRPr="003D4B17">
        <w:rPr>
          <w:color w:val="000000"/>
          <w:sz w:val="26"/>
        </w:rPr>
        <w:t xml:space="preserve">s endorsement of separate standards for historic districts and buildings or any requirement </w:t>
      </w:r>
      <w:r w:rsidR="004F5560">
        <w:rPr>
          <w:color w:val="000000"/>
          <w:sz w:val="26"/>
        </w:rPr>
        <w:t>that</w:t>
      </w:r>
      <w:r w:rsidRPr="003D4B17">
        <w:rPr>
          <w:color w:val="000000"/>
          <w:sz w:val="26"/>
        </w:rPr>
        <w:t xml:space="preserve"> NGDCs</w:t>
      </w:r>
      <w:r w:rsidR="004F5560">
        <w:rPr>
          <w:color w:val="000000"/>
          <w:sz w:val="26"/>
        </w:rPr>
        <w:t>, such as UGI,</w:t>
      </w:r>
      <w:r w:rsidRPr="003D4B17">
        <w:rPr>
          <w:color w:val="000000"/>
          <w:sz w:val="26"/>
        </w:rPr>
        <w:t xml:space="preserve"> </w:t>
      </w:r>
      <w:r w:rsidR="004F5560">
        <w:rPr>
          <w:color w:val="000000"/>
          <w:sz w:val="26"/>
        </w:rPr>
        <w:t>that do</w:t>
      </w:r>
      <w:r w:rsidRPr="003D4B17">
        <w:rPr>
          <w:color w:val="000000"/>
          <w:sz w:val="26"/>
        </w:rPr>
        <w:t xml:space="preserve"> </w:t>
      </w:r>
      <w:r w:rsidR="004F5560">
        <w:rPr>
          <w:color w:val="000000"/>
          <w:sz w:val="26"/>
        </w:rPr>
        <w:t xml:space="preserve">not </w:t>
      </w:r>
      <w:r w:rsidRPr="003D4B17">
        <w:rPr>
          <w:color w:val="000000"/>
          <w:sz w:val="26"/>
        </w:rPr>
        <w:t>hav</w:t>
      </w:r>
      <w:r w:rsidR="004F5560">
        <w:rPr>
          <w:color w:val="000000"/>
          <w:sz w:val="26"/>
        </w:rPr>
        <w:t>e</w:t>
      </w:r>
      <w:r w:rsidRPr="003D4B17">
        <w:rPr>
          <w:color w:val="000000"/>
          <w:sz w:val="26"/>
        </w:rPr>
        <w:t xml:space="preserve"> separate standards</w:t>
      </w:r>
      <w:r w:rsidR="004F5560">
        <w:rPr>
          <w:color w:val="000000"/>
          <w:sz w:val="26"/>
        </w:rPr>
        <w:t xml:space="preserve"> must</w:t>
      </w:r>
      <w:r w:rsidRPr="003D4B17">
        <w:rPr>
          <w:color w:val="000000"/>
          <w:sz w:val="26"/>
        </w:rPr>
        <w:t xml:space="preserve"> adopt them.</w:t>
      </w:r>
      <w:r>
        <w:rPr>
          <w:color w:val="000000"/>
          <w:sz w:val="26"/>
        </w:rPr>
        <w:t xml:space="preserve">  UGI Exc. at 5.  UGI states that, i</w:t>
      </w:r>
      <w:r w:rsidRPr="003D4B17">
        <w:rPr>
          <w:color w:val="000000"/>
          <w:sz w:val="26"/>
        </w:rPr>
        <w:t>nstead, the Commission firmly and exp</w:t>
      </w:r>
      <w:r>
        <w:rPr>
          <w:color w:val="000000"/>
          <w:sz w:val="26"/>
        </w:rPr>
        <w:t>ressly</w:t>
      </w:r>
      <w:r w:rsidRPr="003D4B17">
        <w:rPr>
          <w:color w:val="000000"/>
          <w:sz w:val="26"/>
        </w:rPr>
        <w:t xml:space="preserve"> rejected several commenters</w:t>
      </w:r>
      <w:r>
        <w:rPr>
          <w:color w:val="000000"/>
          <w:sz w:val="26"/>
        </w:rPr>
        <w:t>’</w:t>
      </w:r>
      <w:r w:rsidRPr="003D4B17">
        <w:rPr>
          <w:color w:val="000000"/>
          <w:sz w:val="26"/>
        </w:rPr>
        <w:t xml:space="preserve"> recommendations </w:t>
      </w:r>
      <w:r>
        <w:rPr>
          <w:color w:val="000000"/>
          <w:sz w:val="26"/>
        </w:rPr>
        <w:t>that</w:t>
      </w:r>
      <w:r w:rsidRPr="003D4B17">
        <w:rPr>
          <w:color w:val="000000"/>
          <w:sz w:val="26"/>
        </w:rPr>
        <w:t xml:space="preserve"> the Commission establish separate mandatory standards for evaluating meter placements in historic districts</w:t>
      </w:r>
      <w:r w:rsidR="0069047E">
        <w:rPr>
          <w:color w:val="000000"/>
          <w:sz w:val="26"/>
        </w:rPr>
        <w:t>.</w:t>
      </w:r>
      <w:r w:rsidR="00576D1C">
        <w:rPr>
          <w:color w:val="000000"/>
          <w:sz w:val="26"/>
        </w:rPr>
        <w:t xml:space="preserve">  </w:t>
      </w:r>
      <w:r>
        <w:rPr>
          <w:iCs/>
          <w:color w:val="000000"/>
          <w:sz w:val="26"/>
        </w:rPr>
        <w:t xml:space="preserve">UGI Exc. at 7 (citing </w:t>
      </w:r>
      <w:r w:rsidRPr="003D4B17">
        <w:rPr>
          <w:i/>
          <w:color w:val="000000"/>
          <w:sz w:val="26"/>
        </w:rPr>
        <w:t xml:space="preserve">Final Rulemaking Order </w:t>
      </w:r>
      <w:r w:rsidRPr="003D4B17">
        <w:rPr>
          <w:color w:val="000000"/>
          <w:sz w:val="26"/>
        </w:rPr>
        <w:t xml:space="preserve">at 30-31, 43, 45-46). </w:t>
      </w:r>
      <w:r>
        <w:rPr>
          <w:color w:val="000000"/>
          <w:sz w:val="26"/>
        </w:rPr>
        <w:t xml:space="preserve"> </w:t>
      </w:r>
      <w:r w:rsidRPr="003D4B17">
        <w:rPr>
          <w:color w:val="000000"/>
          <w:sz w:val="26"/>
        </w:rPr>
        <w:t>Thus,</w:t>
      </w:r>
      <w:r>
        <w:rPr>
          <w:color w:val="000000"/>
          <w:sz w:val="26"/>
        </w:rPr>
        <w:t xml:space="preserve"> UGI contends that the</w:t>
      </w:r>
      <w:r w:rsidRPr="003D4B17">
        <w:rPr>
          <w:color w:val="000000"/>
          <w:sz w:val="26"/>
        </w:rPr>
        <w:t xml:space="preserve"> </w:t>
      </w:r>
      <w:r w:rsidRPr="003D4B17">
        <w:rPr>
          <w:i/>
          <w:color w:val="000000"/>
          <w:sz w:val="26"/>
        </w:rPr>
        <w:t xml:space="preserve">Final Rulemaking Order </w:t>
      </w:r>
      <w:r w:rsidRPr="003D4B17">
        <w:rPr>
          <w:color w:val="000000"/>
          <w:sz w:val="26"/>
        </w:rPr>
        <w:t xml:space="preserve">clearly states that the general rule requiring outside meter placement applies to </w:t>
      </w:r>
      <w:r>
        <w:rPr>
          <w:color w:val="000000"/>
          <w:sz w:val="26"/>
        </w:rPr>
        <w:t xml:space="preserve">both </w:t>
      </w:r>
      <w:r w:rsidRPr="003D4B17">
        <w:rPr>
          <w:color w:val="000000"/>
          <w:sz w:val="26"/>
        </w:rPr>
        <w:t>historic and non-historic districts, unless outside meter placement is otherwise prohibited or not feasible under the Commission</w:t>
      </w:r>
      <w:r>
        <w:rPr>
          <w:color w:val="000000"/>
          <w:sz w:val="26"/>
        </w:rPr>
        <w:t>’</w:t>
      </w:r>
      <w:r w:rsidRPr="003D4B17">
        <w:rPr>
          <w:color w:val="000000"/>
          <w:sz w:val="26"/>
        </w:rPr>
        <w:t xml:space="preserve">s </w:t>
      </w:r>
      <w:r>
        <w:rPr>
          <w:color w:val="000000"/>
          <w:sz w:val="26"/>
        </w:rPr>
        <w:t>R</w:t>
      </w:r>
      <w:r w:rsidRPr="003D4B17">
        <w:rPr>
          <w:color w:val="000000"/>
          <w:sz w:val="26"/>
        </w:rPr>
        <w:t>egulations.</w:t>
      </w:r>
      <w:r>
        <w:rPr>
          <w:color w:val="000000"/>
          <w:sz w:val="26"/>
        </w:rPr>
        <w:t xml:space="preserve">  UGI Exc. at 7.</w:t>
      </w:r>
    </w:p>
    <w:p w14:paraId="0A01F951" w14:textId="77777777" w:rsidR="007E1793" w:rsidRPr="003D4B17" w:rsidRDefault="007E1793" w:rsidP="008E1AD5">
      <w:pPr>
        <w:ind w:right="40" w:firstLine="0"/>
        <w:textAlignment w:val="baseline"/>
        <w:rPr>
          <w:i/>
          <w:color w:val="000000"/>
          <w:sz w:val="26"/>
        </w:rPr>
      </w:pPr>
    </w:p>
    <w:p w14:paraId="08C65CFD" w14:textId="61A0C5F1" w:rsidR="007E1793" w:rsidRPr="003D4B17" w:rsidRDefault="007E1793" w:rsidP="008E1AD5">
      <w:pPr>
        <w:ind w:right="43" w:firstLine="720"/>
        <w:textAlignment w:val="baseline"/>
        <w:rPr>
          <w:color w:val="000000"/>
          <w:sz w:val="26"/>
        </w:rPr>
      </w:pPr>
      <w:r>
        <w:rPr>
          <w:color w:val="000000"/>
          <w:sz w:val="26"/>
        </w:rPr>
        <w:tab/>
        <w:t xml:space="preserve">Additionally, UGI avers that the ALJ’s decision is inconsistent with the Commonwealth Court’s holding in </w:t>
      </w:r>
      <w:r w:rsidRPr="003D4B17">
        <w:rPr>
          <w:i/>
          <w:color w:val="000000"/>
          <w:sz w:val="26"/>
        </w:rPr>
        <w:t>UGI Utilities, Inc. v. City of Reading</w:t>
      </w:r>
      <w:r>
        <w:rPr>
          <w:i/>
          <w:color w:val="000000"/>
          <w:sz w:val="26"/>
        </w:rPr>
        <w:t xml:space="preserve"> </w:t>
      </w:r>
      <w:r>
        <w:rPr>
          <w:iCs/>
          <w:color w:val="000000"/>
          <w:sz w:val="26"/>
        </w:rPr>
        <w:t>(</w:t>
      </w:r>
      <w:r w:rsidRPr="006A18F9">
        <w:rPr>
          <w:i/>
          <w:color w:val="000000"/>
          <w:sz w:val="26"/>
        </w:rPr>
        <w:t>City of Reading</w:t>
      </w:r>
      <w:r>
        <w:rPr>
          <w:iCs/>
          <w:color w:val="000000"/>
          <w:sz w:val="26"/>
        </w:rPr>
        <w:t>)</w:t>
      </w:r>
      <w:r w:rsidRPr="003D4B17">
        <w:rPr>
          <w:i/>
          <w:color w:val="000000"/>
          <w:sz w:val="26"/>
        </w:rPr>
        <w:t xml:space="preserve">, </w:t>
      </w:r>
      <w:r w:rsidRPr="003D4B17">
        <w:rPr>
          <w:color w:val="000000"/>
          <w:sz w:val="26"/>
        </w:rPr>
        <w:t xml:space="preserve">179 A.3d 624 (Pa. Cmwlth. 2017). </w:t>
      </w:r>
      <w:r>
        <w:rPr>
          <w:color w:val="000000"/>
          <w:sz w:val="26"/>
        </w:rPr>
        <w:t xml:space="preserve"> UGI states that while</w:t>
      </w:r>
      <w:r w:rsidRPr="003D4B17">
        <w:rPr>
          <w:color w:val="000000"/>
          <w:sz w:val="26"/>
        </w:rPr>
        <w:t xml:space="preserve"> the Commission expressed uncertainty in </w:t>
      </w:r>
      <w:r>
        <w:rPr>
          <w:color w:val="000000"/>
          <w:sz w:val="26"/>
        </w:rPr>
        <w:t>the</w:t>
      </w:r>
      <w:r w:rsidRPr="003D4B17">
        <w:rPr>
          <w:color w:val="000000"/>
          <w:sz w:val="26"/>
        </w:rPr>
        <w:t xml:space="preserve"> </w:t>
      </w:r>
      <w:r w:rsidRPr="003D4B17">
        <w:rPr>
          <w:i/>
          <w:color w:val="000000"/>
          <w:sz w:val="26"/>
        </w:rPr>
        <w:t xml:space="preserve">Final Rulemaking Order </w:t>
      </w:r>
      <w:r>
        <w:rPr>
          <w:iCs/>
          <w:color w:val="000000"/>
          <w:sz w:val="26"/>
        </w:rPr>
        <w:t>regarding</w:t>
      </w:r>
      <w:r w:rsidRPr="003D4B17">
        <w:rPr>
          <w:color w:val="000000"/>
          <w:sz w:val="26"/>
        </w:rPr>
        <w:t xml:space="preserve"> the applicability of local zoning restrictions on meter placements in historic districts, any such ambiguity </w:t>
      </w:r>
      <w:r>
        <w:rPr>
          <w:color w:val="000000"/>
          <w:sz w:val="26"/>
        </w:rPr>
        <w:t xml:space="preserve">has </w:t>
      </w:r>
      <w:r w:rsidR="00963A7D">
        <w:rPr>
          <w:color w:val="000000"/>
          <w:sz w:val="26"/>
        </w:rPr>
        <w:t xml:space="preserve">since </w:t>
      </w:r>
      <w:r>
        <w:rPr>
          <w:color w:val="000000"/>
          <w:sz w:val="26"/>
        </w:rPr>
        <w:t>been</w:t>
      </w:r>
      <w:r w:rsidRPr="003D4B17">
        <w:rPr>
          <w:color w:val="000000"/>
          <w:sz w:val="26"/>
        </w:rPr>
        <w:t xml:space="preserve"> resolved </w:t>
      </w:r>
      <w:r>
        <w:rPr>
          <w:color w:val="000000"/>
          <w:sz w:val="26"/>
        </w:rPr>
        <w:t>i</w:t>
      </w:r>
      <w:r w:rsidRPr="003D4B17">
        <w:rPr>
          <w:color w:val="000000"/>
          <w:sz w:val="26"/>
        </w:rPr>
        <w:t xml:space="preserve">n </w:t>
      </w:r>
      <w:r w:rsidRPr="003D4B17">
        <w:rPr>
          <w:i/>
          <w:color w:val="000000"/>
          <w:sz w:val="26"/>
        </w:rPr>
        <w:t>City of Reading</w:t>
      </w:r>
      <w:r w:rsidRPr="003D4B17">
        <w:rPr>
          <w:color w:val="000000"/>
          <w:sz w:val="26"/>
        </w:rPr>
        <w:t xml:space="preserve">. </w:t>
      </w:r>
      <w:r>
        <w:rPr>
          <w:color w:val="000000"/>
          <w:sz w:val="26"/>
        </w:rPr>
        <w:t xml:space="preserve"> UGI submitted that </w:t>
      </w:r>
      <w:r w:rsidRPr="003D4B17">
        <w:rPr>
          <w:color w:val="000000"/>
          <w:sz w:val="26"/>
        </w:rPr>
        <w:t xml:space="preserve">the Commonwealth Court </w:t>
      </w:r>
      <w:r w:rsidRPr="003D4B17">
        <w:rPr>
          <w:color w:val="000000"/>
          <w:sz w:val="26"/>
        </w:rPr>
        <w:lastRenderedPageBreak/>
        <w:t>found that local regulation of meter placement is preempted by the Commission</w:t>
      </w:r>
      <w:r>
        <w:rPr>
          <w:color w:val="000000"/>
          <w:sz w:val="26"/>
        </w:rPr>
        <w:t>’</w:t>
      </w:r>
      <w:r w:rsidRPr="003D4B17">
        <w:rPr>
          <w:color w:val="000000"/>
          <w:sz w:val="26"/>
        </w:rPr>
        <w:t>s exclusive jurisdiction</w:t>
      </w:r>
      <w:r>
        <w:rPr>
          <w:color w:val="000000"/>
          <w:sz w:val="26"/>
        </w:rPr>
        <w:t>; that UGI was not required to install</w:t>
      </w:r>
      <w:r w:rsidRPr="003D4B17">
        <w:rPr>
          <w:color w:val="000000"/>
          <w:sz w:val="26"/>
        </w:rPr>
        <w:t xml:space="preserve"> meters </w:t>
      </w:r>
      <w:r>
        <w:rPr>
          <w:color w:val="000000"/>
          <w:sz w:val="26"/>
        </w:rPr>
        <w:t xml:space="preserve">inside in </w:t>
      </w:r>
      <w:r w:rsidRPr="003D4B17">
        <w:rPr>
          <w:color w:val="000000"/>
          <w:sz w:val="26"/>
        </w:rPr>
        <w:t>historic districts under the Commission</w:t>
      </w:r>
      <w:r>
        <w:rPr>
          <w:color w:val="000000"/>
          <w:sz w:val="26"/>
        </w:rPr>
        <w:t>’</w:t>
      </w:r>
      <w:r w:rsidRPr="003D4B17">
        <w:rPr>
          <w:color w:val="000000"/>
          <w:sz w:val="26"/>
        </w:rPr>
        <w:t xml:space="preserve">s revised </w:t>
      </w:r>
      <w:r>
        <w:rPr>
          <w:color w:val="000000"/>
          <w:sz w:val="26"/>
        </w:rPr>
        <w:t>Section</w:t>
      </w:r>
      <w:r w:rsidRPr="003D4B17">
        <w:rPr>
          <w:color w:val="000000"/>
          <w:sz w:val="26"/>
        </w:rPr>
        <w:t xml:space="preserve"> 59.18</w:t>
      </w:r>
      <w:r>
        <w:rPr>
          <w:color w:val="000000"/>
          <w:sz w:val="26"/>
        </w:rPr>
        <w:t>;</w:t>
      </w:r>
      <w:r w:rsidRPr="003D4B17">
        <w:rPr>
          <w:color w:val="000000"/>
          <w:sz w:val="26"/>
        </w:rPr>
        <w:t xml:space="preserve"> and that the Commission  fulfilled its obligations under the Pennsylvania Constitution in promulgating its </w:t>
      </w:r>
      <w:r>
        <w:rPr>
          <w:color w:val="000000"/>
          <w:sz w:val="26"/>
        </w:rPr>
        <w:t>R</w:t>
      </w:r>
      <w:r w:rsidRPr="003D4B17">
        <w:rPr>
          <w:color w:val="000000"/>
          <w:sz w:val="26"/>
        </w:rPr>
        <w:t>egulation.</w:t>
      </w:r>
      <w:r>
        <w:rPr>
          <w:color w:val="000000"/>
          <w:sz w:val="26"/>
        </w:rPr>
        <w:t xml:space="preserve">  UGI Exc. at 7.</w:t>
      </w:r>
    </w:p>
    <w:p w14:paraId="3CEA111B" w14:textId="77777777" w:rsidR="007E1793" w:rsidRDefault="007E1793" w:rsidP="008E1AD5">
      <w:pPr>
        <w:rPr>
          <w:sz w:val="26"/>
        </w:rPr>
      </w:pPr>
    </w:p>
    <w:p w14:paraId="7A9EFF50" w14:textId="0C98EBCF" w:rsidR="007E1793" w:rsidRPr="003D4B17" w:rsidRDefault="007E1793" w:rsidP="008E1AD5">
      <w:pPr>
        <w:ind w:right="40" w:firstLine="720"/>
        <w:textAlignment w:val="baseline"/>
        <w:rPr>
          <w:color w:val="000000"/>
          <w:sz w:val="26"/>
        </w:rPr>
      </w:pPr>
      <w:r>
        <w:rPr>
          <w:color w:val="000000"/>
          <w:sz w:val="26"/>
        </w:rPr>
        <w:tab/>
        <w:t xml:space="preserve">Further, UGI argues that the ALJ </w:t>
      </w:r>
      <w:r w:rsidRPr="003D4B17">
        <w:rPr>
          <w:color w:val="000000"/>
          <w:sz w:val="26"/>
        </w:rPr>
        <w:t>incorrectly relie</w:t>
      </w:r>
      <w:r>
        <w:rPr>
          <w:color w:val="000000"/>
          <w:sz w:val="26"/>
        </w:rPr>
        <w:t>d</w:t>
      </w:r>
      <w:r w:rsidRPr="003D4B17">
        <w:rPr>
          <w:color w:val="000000"/>
          <w:sz w:val="26"/>
        </w:rPr>
        <w:t xml:space="preserve"> on the </w:t>
      </w:r>
      <w:r>
        <w:rPr>
          <w:color w:val="000000"/>
          <w:sz w:val="26"/>
        </w:rPr>
        <w:t>thirty</w:t>
      </w:r>
      <w:r w:rsidRPr="003D4B17">
        <w:rPr>
          <w:color w:val="000000"/>
          <w:sz w:val="26"/>
        </w:rPr>
        <w:t xml:space="preserve">-day notice provisions of 52 Pa. Code § 59.18(a) </w:t>
      </w:r>
      <w:r>
        <w:rPr>
          <w:color w:val="000000"/>
          <w:sz w:val="26"/>
        </w:rPr>
        <w:t xml:space="preserve">to support the </w:t>
      </w:r>
      <w:r w:rsidRPr="003D4B17">
        <w:rPr>
          <w:color w:val="000000"/>
          <w:sz w:val="26"/>
        </w:rPr>
        <w:t>conclusion that the Commission requires NGDCs to establish separate meter installation standards for historic districts.</w:t>
      </w:r>
      <w:r>
        <w:rPr>
          <w:color w:val="000000"/>
          <w:sz w:val="26"/>
        </w:rPr>
        <w:t xml:space="preserve">  UGI Exc. at 8</w:t>
      </w:r>
      <w:r w:rsidRPr="003D4B17">
        <w:rPr>
          <w:color w:val="000000"/>
          <w:sz w:val="26"/>
        </w:rPr>
        <w:t xml:space="preserve"> </w:t>
      </w:r>
      <w:r>
        <w:rPr>
          <w:color w:val="000000"/>
          <w:spacing w:val="-1"/>
          <w:sz w:val="26"/>
        </w:rPr>
        <w:t xml:space="preserve">(citing </w:t>
      </w:r>
      <w:r w:rsidRPr="003D4B17">
        <w:rPr>
          <w:color w:val="000000"/>
          <w:spacing w:val="-1"/>
          <w:sz w:val="26"/>
        </w:rPr>
        <w:t>52 Pa. Code § 59.18(a)(2)</w:t>
      </w:r>
      <w:r>
        <w:rPr>
          <w:color w:val="000000"/>
          <w:spacing w:val="-1"/>
          <w:sz w:val="26"/>
        </w:rPr>
        <w:t>,</w:t>
      </w:r>
      <w:r w:rsidRPr="003D4B17">
        <w:rPr>
          <w:color w:val="000000"/>
          <w:spacing w:val="-1"/>
          <w:sz w:val="26"/>
        </w:rPr>
        <w:t>(3)).</w:t>
      </w:r>
      <w:r>
        <w:rPr>
          <w:color w:val="000000"/>
          <w:spacing w:val="-1"/>
          <w:sz w:val="26"/>
        </w:rPr>
        <w:t xml:space="preserve">  UGI avers that based on</w:t>
      </w:r>
      <w:r w:rsidRPr="003D4B17">
        <w:rPr>
          <w:color w:val="000000"/>
          <w:sz w:val="26"/>
        </w:rPr>
        <w:t xml:space="preserve"> the plain wording of Section 59.18(a)(2)</w:t>
      </w:r>
      <w:r>
        <w:rPr>
          <w:color w:val="000000"/>
          <w:sz w:val="26"/>
        </w:rPr>
        <w:t xml:space="preserve"> and </w:t>
      </w:r>
      <w:r w:rsidRPr="003D4B17">
        <w:rPr>
          <w:color w:val="000000"/>
          <w:sz w:val="26"/>
        </w:rPr>
        <w:t>(3)</w:t>
      </w:r>
      <w:r>
        <w:rPr>
          <w:color w:val="000000"/>
          <w:sz w:val="26"/>
        </w:rPr>
        <w:t>,</w:t>
      </w:r>
      <w:r w:rsidRPr="003D4B17">
        <w:rPr>
          <w:color w:val="000000"/>
          <w:sz w:val="26"/>
        </w:rPr>
        <w:t xml:space="preserve"> the NGDCs</w:t>
      </w:r>
      <w:r>
        <w:rPr>
          <w:color w:val="000000"/>
          <w:sz w:val="26"/>
        </w:rPr>
        <w:t>’</w:t>
      </w:r>
      <w:r w:rsidRPr="003D4B17">
        <w:rPr>
          <w:color w:val="000000"/>
          <w:sz w:val="26"/>
        </w:rPr>
        <w:t xml:space="preserve"> notice is not required to include a listing of potential reconsideration standards applicable to </w:t>
      </w:r>
      <w:r w:rsidR="004C7518">
        <w:rPr>
          <w:color w:val="000000"/>
          <w:sz w:val="26"/>
        </w:rPr>
        <w:t xml:space="preserve">meter installation in </w:t>
      </w:r>
      <w:r w:rsidRPr="003D4B17">
        <w:rPr>
          <w:color w:val="000000"/>
          <w:sz w:val="26"/>
        </w:rPr>
        <w:t xml:space="preserve">historic districts. </w:t>
      </w:r>
      <w:r>
        <w:rPr>
          <w:color w:val="000000"/>
          <w:sz w:val="26"/>
        </w:rPr>
        <w:t xml:space="preserve"> UGI submits that the Regulation </w:t>
      </w:r>
      <w:r w:rsidRPr="003D4B17">
        <w:rPr>
          <w:color w:val="000000"/>
          <w:sz w:val="26"/>
        </w:rPr>
        <w:t>simply cites, as an example, the type of information that a customer might provide to a utility because, in certain instances, such information might be relevant to a utility when it is installing or relocating its facilities.</w:t>
      </w:r>
      <w:r>
        <w:rPr>
          <w:color w:val="000000"/>
          <w:sz w:val="26"/>
        </w:rPr>
        <w:t xml:space="preserve">  UGI Exc. at 8.</w:t>
      </w:r>
    </w:p>
    <w:p w14:paraId="40B59D58" w14:textId="77777777" w:rsidR="007E1793" w:rsidRDefault="007E1793" w:rsidP="008E1AD5">
      <w:pPr>
        <w:spacing w:before="2" w:after="177"/>
        <w:ind w:right="40" w:firstLine="864"/>
        <w:textAlignment w:val="baseline"/>
        <w:rPr>
          <w:color w:val="000000"/>
          <w:spacing w:val="-1"/>
          <w:sz w:val="26"/>
        </w:rPr>
      </w:pPr>
      <w:r>
        <w:rPr>
          <w:color w:val="000000"/>
          <w:spacing w:val="-1"/>
          <w:sz w:val="26"/>
        </w:rPr>
        <w:tab/>
      </w:r>
    </w:p>
    <w:p w14:paraId="1262076C" w14:textId="317AD491" w:rsidR="007E1793" w:rsidRDefault="007E1793" w:rsidP="008E1AD5">
      <w:pPr>
        <w:spacing w:before="2" w:after="177"/>
        <w:ind w:right="40" w:firstLine="864"/>
        <w:textAlignment w:val="baseline"/>
        <w:rPr>
          <w:color w:val="000000"/>
          <w:sz w:val="26"/>
        </w:rPr>
      </w:pPr>
      <w:r>
        <w:rPr>
          <w:color w:val="000000"/>
          <w:spacing w:val="-1"/>
          <w:sz w:val="26"/>
        </w:rPr>
        <w:tab/>
        <w:t xml:space="preserve">UGI states that the </w:t>
      </w:r>
      <w:r w:rsidRPr="003D4B17">
        <w:rPr>
          <w:color w:val="000000"/>
          <w:spacing w:val="-1"/>
          <w:sz w:val="26"/>
        </w:rPr>
        <w:t xml:space="preserve">record shows that prior to the adoption of the revised </w:t>
      </w:r>
      <w:r>
        <w:rPr>
          <w:color w:val="000000"/>
          <w:spacing w:val="-1"/>
          <w:sz w:val="26"/>
        </w:rPr>
        <w:t>Section 59.18</w:t>
      </w:r>
      <w:r w:rsidRPr="003D4B17">
        <w:rPr>
          <w:color w:val="000000"/>
          <w:spacing w:val="-1"/>
          <w:sz w:val="26"/>
        </w:rPr>
        <w:t xml:space="preserve"> in 2014, UGI incorporated meter location standards into its GOM in 2011,</w:t>
      </w:r>
      <w:r>
        <w:rPr>
          <w:color w:val="000000"/>
          <w:spacing w:val="-1"/>
          <w:sz w:val="26"/>
        </w:rPr>
        <w:t xml:space="preserve"> </w:t>
      </w:r>
      <w:r w:rsidRPr="003D4B17">
        <w:rPr>
          <w:color w:val="000000"/>
          <w:sz w:val="26"/>
        </w:rPr>
        <w:t xml:space="preserve">which generally required </w:t>
      </w:r>
      <w:r>
        <w:rPr>
          <w:color w:val="000000"/>
          <w:sz w:val="26"/>
        </w:rPr>
        <w:t xml:space="preserve">that </w:t>
      </w:r>
      <w:r w:rsidRPr="003D4B17">
        <w:rPr>
          <w:color w:val="000000"/>
          <w:sz w:val="26"/>
        </w:rPr>
        <w:t xml:space="preserve">meters and regulators be installed in outside locations and that management approval be obtained for inside locations. </w:t>
      </w:r>
      <w:r>
        <w:rPr>
          <w:color w:val="000000"/>
          <w:sz w:val="26"/>
        </w:rPr>
        <w:t xml:space="preserve"> </w:t>
      </w:r>
      <w:r w:rsidRPr="005653D6">
        <w:rPr>
          <w:i/>
          <w:iCs/>
          <w:color w:val="000000"/>
          <w:sz w:val="26"/>
        </w:rPr>
        <w:t>Id</w:t>
      </w:r>
      <w:r>
        <w:rPr>
          <w:color w:val="000000"/>
          <w:sz w:val="26"/>
        </w:rPr>
        <w:t xml:space="preserve">. at 8-9 </w:t>
      </w:r>
      <w:r w:rsidRPr="00273A28">
        <w:rPr>
          <w:iCs/>
          <w:color w:val="000000"/>
          <w:sz w:val="26"/>
        </w:rPr>
        <w:t>(</w:t>
      </w:r>
      <w:r>
        <w:rPr>
          <w:iCs/>
          <w:color w:val="000000"/>
          <w:sz w:val="26"/>
        </w:rPr>
        <w:t>citing</w:t>
      </w:r>
      <w:r w:rsidRPr="003D4B17">
        <w:rPr>
          <w:i/>
          <w:color w:val="000000"/>
          <w:sz w:val="26"/>
        </w:rPr>
        <w:t xml:space="preserve"> </w:t>
      </w:r>
      <w:r w:rsidRPr="003D4B17">
        <w:rPr>
          <w:color w:val="000000"/>
          <w:sz w:val="26"/>
        </w:rPr>
        <w:t>UGI Exh</w:t>
      </w:r>
      <w:r>
        <w:rPr>
          <w:color w:val="000000"/>
          <w:sz w:val="26"/>
        </w:rPr>
        <w:t>.</w:t>
      </w:r>
      <w:r w:rsidRPr="003D4B17">
        <w:rPr>
          <w:color w:val="000000"/>
          <w:sz w:val="26"/>
        </w:rPr>
        <w:t xml:space="preserve"> 4, Section 5.0)</w:t>
      </w:r>
      <w:r>
        <w:rPr>
          <w:color w:val="000000"/>
          <w:sz w:val="26"/>
        </w:rPr>
        <w:t>.</w:t>
      </w:r>
      <w:r w:rsidRPr="003D4B17">
        <w:rPr>
          <w:color w:val="000000"/>
          <w:sz w:val="26"/>
        </w:rPr>
        <w:t xml:space="preserve"> </w:t>
      </w:r>
      <w:r>
        <w:rPr>
          <w:color w:val="000000"/>
          <w:sz w:val="26"/>
        </w:rPr>
        <w:t xml:space="preserve"> UGI also states that while it did not adopt </w:t>
      </w:r>
      <w:r w:rsidRPr="003D4B17">
        <w:rPr>
          <w:color w:val="000000"/>
          <w:sz w:val="26"/>
        </w:rPr>
        <w:t xml:space="preserve">separate rules for historic districts, as the </w:t>
      </w:r>
      <w:r>
        <w:rPr>
          <w:color w:val="000000"/>
          <w:sz w:val="26"/>
        </w:rPr>
        <w:t>ALJ</w:t>
      </w:r>
      <w:r w:rsidRPr="003D4B17">
        <w:rPr>
          <w:color w:val="000000"/>
          <w:sz w:val="26"/>
        </w:rPr>
        <w:t xml:space="preserve"> correctly noted, </w:t>
      </w:r>
      <w:r w:rsidR="00CC3980">
        <w:rPr>
          <w:color w:val="000000"/>
          <w:sz w:val="26"/>
        </w:rPr>
        <w:t xml:space="preserve">its </w:t>
      </w:r>
      <w:r w:rsidRPr="003D4B17">
        <w:rPr>
          <w:color w:val="000000"/>
          <w:sz w:val="26"/>
        </w:rPr>
        <w:t xml:space="preserve">field personnel still gave individualized consideration </w:t>
      </w:r>
      <w:r>
        <w:rPr>
          <w:color w:val="000000"/>
          <w:sz w:val="26"/>
        </w:rPr>
        <w:t>to</w:t>
      </w:r>
      <w:r w:rsidRPr="003D4B17">
        <w:rPr>
          <w:color w:val="000000"/>
          <w:sz w:val="26"/>
        </w:rPr>
        <w:t xml:space="preserve"> each customer</w:t>
      </w:r>
      <w:r>
        <w:rPr>
          <w:color w:val="000000"/>
          <w:sz w:val="26"/>
        </w:rPr>
        <w:t>’</w:t>
      </w:r>
      <w:r w:rsidRPr="003D4B17">
        <w:rPr>
          <w:color w:val="000000"/>
          <w:sz w:val="26"/>
        </w:rPr>
        <w:t xml:space="preserve">s circumstances. </w:t>
      </w:r>
      <w:r>
        <w:rPr>
          <w:color w:val="000000"/>
          <w:sz w:val="26"/>
        </w:rPr>
        <w:t xml:space="preserve"> UGI Exc. at 9 (citing </w:t>
      </w:r>
      <w:r w:rsidRPr="003D4B17">
        <w:rPr>
          <w:color w:val="000000"/>
          <w:sz w:val="26"/>
        </w:rPr>
        <w:t>I</w:t>
      </w:r>
      <w:r>
        <w:rPr>
          <w:color w:val="000000"/>
          <w:sz w:val="26"/>
        </w:rPr>
        <w:t>.</w:t>
      </w:r>
      <w:r w:rsidRPr="003D4B17">
        <w:rPr>
          <w:color w:val="000000"/>
          <w:sz w:val="26"/>
        </w:rPr>
        <w:t>D</w:t>
      </w:r>
      <w:r>
        <w:rPr>
          <w:color w:val="000000"/>
          <w:sz w:val="26"/>
        </w:rPr>
        <w:t>.</w:t>
      </w:r>
      <w:r w:rsidRPr="003D4B17">
        <w:rPr>
          <w:color w:val="000000"/>
          <w:sz w:val="26"/>
        </w:rPr>
        <w:t xml:space="preserve"> at 14-15, 32-33</w:t>
      </w:r>
      <w:r>
        <w:rPr>
          <w:color w:val="000000"/>
          <w:sz w:val="26"/>
        </w:rPr>
        <w:t>)</w:t>
      </w:r>
      <w:r w:rsidRPr="003D4B17">
        <w:rPr>
          <w:color w:val="000000"/>
          <w:sz w:val="26"/>
        </w:rPr>
        <w:t xml:space="preserve">. </w:t>
      </w:r>
      <w:r>
        <w:rPr>
          <w:color w:val="000000"/>
          <w:sz w:val="26"/>
        </w:rPr>
        <w:t xml:space="preserve"> The Company further stated that </w:t>
      </w:r>
      <w:r w:rsidRPr="003D4B17">
        <w:rPr>
          <w:color w:val="000000"/>
          <w:sz w:val="26"/>
        </w:rPr>
        <w:t xml:space="preserve">although </w:t>
      </w:r>
      <w:r>
        <w:rPr>
          <w:color w:val="000000"/>
          <w:sz w:val="26"/>
        </w:rPr>
        <w:t>it</w:t>
      </w:r>
      <w:r w:rsidRPr="003D4B17">
        <w:rPr>
          <w:color w:val="000000"/>
          <w:sz w:val="26"/>
        </w:rPr>
        <w:t xml:space="preserve"> subsequently amended its </w:t>
      </w:r>
      <w:r>
        <w:rPr>
          <w:color w:val="000000"/>
          <w:sz w:val="26"/>
        </w:rPr>
        <w:t>thirty</w:t>
      </w:r>
      <w:r w:rsidRPr="003D4B17">
        <w:rPr>
          <w:color w:val="000000"/>
          <w:sz w:val="26"/>
        </w:rPr>
        <w:t xml:space="preserve">-day notice letter, its initial notice letter </w:t>
      </w:r>
      <w:r w:rsidR="005B0495">
        <w:rPr>
          <w:color w:val="000000"/>
          <w:sz w:val="26"/>
        </w:rPr>
        <w:t>nevertheless</w:t>
      </w:r>
      <w:r w:rsidRPr="003D4B17">
        <w:rPr>
          <w:color w:val="000000"/>
          <w:sz w:val="26"/>
        </w:rPr>
        <w:t xml:space="preserve"> provided all of the information required </w:t>
      </w:r>
      <w:r>
        <w:rPr>
          <w:color w:val="000000"/>
          <w:sz w:val="26"/>
        </w:rPr>
        <w:t>by</w:t>
      </w:r>
      <w:r w:rsidRPr="003D4B17">
        <w:rPr>
          <w:color w:val="000000"/>
          <w:sz w:val="26"/>
        </w:rPr>
        <w:t xml:space="preserve"> 52 Pa. Code § 59.18(a)(2)</w:t>
      </w:r>
      <w:r>
        <w:rPr>
          <w:color w:val="000000"/>
          <w:sz w:val="26"/>
        </w:rPr>
        <w:t xml:space="preserve"> and </w:t>
      </w:r>
      <w:r w:rsidRPr="003D4B17">
        <w:rPr>
          <w:color w:val="000000"/>
          <w:sz w:val="26"/>
        </w:rPr>
        <w:t xml:space="preserve">(3), including the required contact information for the </w:t>
      </w:r>
      <w:r w:rsidRPr="003D4B17">
        <w:rPr>
          <w:color w:val="000000"/>
          <w:sz w:val="26"/>
        </w:rPr>
        <w:lastRenderedPageBreak/>
        <w:t>Commission</w:t>
      </w:r>
      <w:r>
        <w:rPr>
          <w:color w:val="000000"/>
          <w:sz w:val="26"/>
        </w:rPr>
        <w:t>’</w:t>
      </w:r>
      <w:r w:rsidRPr="003D4B17">
        <w:rPr>
          <w:color w:val="000000"/>
          <w:sz w:val="26"/>
        </w:rPr>
        <w:t>s Bureau of Consumer Services and for the Company</w:t>
      </w:r>
      <w:r>
        <w:rPr>
          <w:color w:val="000000"/>
          <w:sz w:val="26"/>
        </w:rPr>
        <w:t>’</w:t>
      </w:r>
      <w:r w:rsidRPr="003D4B17">
        <w:rPr>
          <w:color w:val="000000"/>
          <w:sz w:val="26"/>
        </w:rPr>
        <w:t xml:space="preserve">s personnel involved in the project. </w:t>
      </w:r>
      <w:r w:rsidR="005B0495">
        <w:rPr>
          <w:color w:val="000000"/>
          <w:sz w:val="26"/>
        </w:rPr>
        <w:t xml:space="preserve"> </w:t>
      </w:r>
      <w:r>
        <w:rPr>
          <w:color w:val="000000"/>
          <w:sz w:val="26"/>
        </w:rPr>
        <w:t xml:space="preserve">UGI Exc. at 9 </w:t>
      </w:r>
      <w:r w:rsidRPr="0055463A">
        <w:rPr>
          <w:iCs/>
          <w:color w:val="000000"/>
          <w:sz w:val="26"/>
        </w:rPr>
        <w:t>(</w:t>
      </w:r>
      <w:r>
        <w:rPr>
          <w:iCs/>
          <w:color w:val="000000"/>
          <w:sz w:val="26"/>
        </w:rPr>
        <w:t>citing</w:t>
      </w:r>
      <w:r w:rsidRPr="003D4B17">
        <w:rPr>
          <w:i/>
          <w:color w:val="000000"/>
          <w:sz w:val="26"/>
        </w:rPr>
        <w:t xml:space="preserve"> </w:t>
      </w:r>
      <w:r w:rsidR="005B0495">
        <w:rPr>
          <w:iCs/>
          <w:color w:val="000000"/>
          <w:sz w:val="26"/>
        </w:rPr>
        <w:t>City</w:t>
      </w:r>
      <w:r w:rsidRPr="003D4B17">
        <w:rPr>
          <w:color w:val="000000"/>
          <w:sz w:val="26"/>
        </w:rPr>
        <w:t xml:space="preserve"> Exhs</w:t>
      </w:r>
      <w:r>
        <w:rPr>
          <w:color w:val="000000"/>
          <w:sz w:val="26"/>
        </w:rPr>
        <w:t>.</w:t>
      </w:r>
      <w:r w:rsidRPr="003D4B17">
        <w:rPr>
          <w:color w:val="000000"/>
          <w:sz w:val="26"/>
        </w:rPr>
        <w:t xml:space="preserve"> JS-10 and JS-12.)</w:t>
      </w:r>
      <w:r w:rsidR="003B551A">
        <w:rPr>
          <w:color w:val="000000"/>
          <w:sz w:val="26"/>
        </w:rPr>
        <w:t>.</w:t>
      </w:r>
    </w:p>
    <w:p w14:paraId="55C37487" w14:textId="77777777" w:rsidR="007E1793" w:rsidRPr="003D4B17" w:rsidRDefault="007E1793" w:rsidP="008E1AD5">
      <w:pPr>
        <w:ind w:right="40" w:firstLine="0"/>
        <w:textAlignment w:val="baseline"/>
        <w:rPr>
          <w:color w:val="000000"/>
          <w:sz w:val="26"/>
        </w:rPr>
      </w:pPr>
    </w:p>
    <w:p w14:paraId="465A4505" w14:textId="49EAF0AA" w:rsidR="007E1793" w:rsidRDefault="007E1793" w:rsidP="008E1AD5">
      <w:pPr>
        <w:ind w:right="40" w:firstLine="864"/>
        <w:textAlignment w:val="baseline"/>
        <w:rPr>
          <w:color w:val="000000"/>
          <w:sz w:val="26"/>
        </w:rPr>
      </w:pPr>
      <w:r>
        <w:rPr>
          <w:color w:val="000000"/>
          <w:sz w:val="26"/>
        </w:rPr>
        <w:tab/>
        <w:t>UGI continues that a</w:t>
      </w:r>
      <w:r w:rsidRPr="003D4B17">
        <w:rPr>
          <w:color w:val="000000"/>
          <w:sz w:val="26"/>
        </w:rPr>
        <w:t>fter the Commission</w:t>
      </w:r>
      <w:r>
        <w:rPr>
          <w:color w:val="000000"/>
          <w:sz w:val="26"/>
        </w:rPr>
        <w:t>’</w:t>
      </w:r>
      <w:r w:rsidRPr="003D4B17">
        <w:rPr>
          <w:color w:val="000000"/>
          <w:sz w:val="26"/>
        </w:rPr>
        <w:t xml:space="preserve">s revised </w:t>
      </w:r>
      <w:r>
        <w:rPr>
          <w:color w:val="000000"/>
          <w:sz w:val="26"/>
        </w:rPr>
        <w:t>R</w:t>
      </w:r>
      <w:r w:rsidRPr="003D4B17">
        <w:rPr>
          <w:color w:val="000000"/>
          <w:sz w:val="26"/>
        </w:rPr>
        <w:t xml:space="preserve">egulation became effective on September 13, 2014, UGI initially did not adopt separate meter installation standards for historic districts, </w:t>
      </w:r>
      <w:r>
        <w:rPr>
          <w:color w:val="000000"/>
          <w:sz w:val="26"/>
        </w:rPr>
        <w:t xml:space="preserve">averring that </w:t>
      </w:r>
      <w:r w:rsidR="005B0495">
        <w:rPr>
          <w:color w:val="000000"/>
          <w:sz w:val="26"/>
        </w:rPr>
        <w:t>Section 59.18</w:t>
      </w:r>
      <w:r w:rsidRPr="003D4B17">
        <w:rPr>
          <w:color w:val="000000"/>
          <w:sz w:val="26"/>
        </w:rPr>
        <w:t xml:space="preserve"> </w:t>
      </w:r>
      <w:r>
        <w:rPr>
          <w:color w:val="000000"/>
          <w:sz w:val="26"/>
        </w:rPr>
        <w:t>did</w:t>
      </w:r>
      <w:r w:rsidRPr="003D4B17">
        <w:rPr>
          <w:color w:val="000000"/>
          <w:sz w:val="26"/>
        </w:rPr>
        <w:t xml:space="preserve"> </w:t>
      </w:r>
      <w:r>
        <w:rPr>
          <w:color w:val="000000"/>
          <w:sz w:val="26"/>
        </w:rPr>
        <w:t xml:space="preserve">not </w:t>
      </w:r>
      <w:r w:rsidRPr="003D4B17">
        <w:rPr>
          <w:color w:val="000000"/>
          <w:sz w:val="26"/>
        </w:rPr>
        <w:t xml:space="preserve">require it to do so. </w:t>
      </w:r>
      <w:r>
        <w:rPr>
          <w:color w:val="000000"/>
          <w:sz w:val="26"/>
        </w:rPr>
        <w:t xml:space="preserve"> UGI Exc. at 9.  UGI states that </w:t>
      </w:r>
      <w:r w:rsidRPr="003D4B17">
        <w:rPr>
          <w:color w:val="000000"/>
          <w:sz w:val="26"/>
        </w:rPr>
        <w:t xml:space="preserve">in developing its initial implementation strategy, </w:t>
      </w:r>
      <w:r>
        <w:rPr>
          <w:color w:val="000000"/>
          <w:sz w:val="26"/>
        </w:rPr>
        <w:t>it</w:t>
      </w:r>
      <w:r w:rsidRPr="003D4B17">
        <w:rPr>
          <w:color w:val="000000"/>
          <w:sz w:val="26"/>
        </w:rPr>
        <w:t xml:space="preserve"> excluded local historic areas from consideration of inside meter placement because there was no central registry defining where such districts were located</w:t>
      </w:r>
      <w:r>
        <w:rPr>
          <w:color w:val="000000"/>
          <w:sz w:val="26"/>
        </w:rPr>
        <w:t xml:space="preserve">.  UGI also states that because it </w:t>
      </w:r>
      <w:r w:rsidRPr="003D4B17">
        <w:rPr>
          <w:color w:val="000000"/>
          <w:sz w:val="26"/>
        </w:rPr>
        <w:t xml:space="preserve">was </w:t>
      </w:r>
      <w:r>
        <w:rPr>
          <w:color w:val="000000"/>
          <w:sz w:val="26"/>
        </w:rPr>
        <w:t>un</w:t>
      </w:r>
      <w:r w:rsidRPr="003D4B17">
        <w:rPr>
          <w:color w:val="000000"/>
          <w:sz w:val="26"/>
        </w:rPr>
        <w:t xml:space="preserve">able to locate a resource </w:t>
      </w:r>
      <w:r>
        <w:rPr>
          <w:color w:val="000000"/>
          <w:sz w:val="26"/>
        </w:rPr>
        <w:t>t</w:t>
      </w:r>
      <w:r w:rsidRPr="003D4B17">
        <w:rPr>
          <w:color w:val="000000"/>
          <w:sz w:val="26"/>
        </w:rPr>
        <w:t>h</w:t>
      </w:r>
      <w:r>
        <w:rPr>
          <w:color w:val="000000"/>
          <w:sz w:val="26"/>
        </w:rPr>
        <w:t>at</w:t>
      </w:r>
      <w:r w:rsidRPr="003D4B17">
        <w:rPr>
          <w:color w:val="000000"/>
          <w:sz w:val="26"/>
        </w:rPr>
        <w:t xml:space="preserve"> listed the boundaries of federal historic districts</w:t>
      </w:r>
      <w:r>
        <w:rPr>
          <w:color w:val="000000"/>
          <w:sz w:val="26"/>
        </w:rPr>
        <w:t xml:space="preserve">, the Company </w:t>
      </w:r>
      <w:r w:rsidRPr="003D4B17">
        <w:rPr>
          <w:color w:val="000000"/>
          <w:sz w:val="26"/>
        </w:rPr>
        <w:t xml:space="preserve">initially exercised its discretion by considering and rejecting inside meter placements in non-federal historic districts and adopted standards for making meter placement in federal historic districts that did not differ from non-historic districts. </w:t>
      </w:r>
      <w:r>
        <w:rPr>
          <w:color w:val="000000"/>
          <w:sz w:val="26"/>
        </w:rPr>
        <w:t xml:space="preserve"> </w:t>
      </w:r>
      <w:r w:rsidRPr="00986136">
        <w:rPr>
          <w:i/>
          <w:iCs/>
          <w:color w:val="000000"/>
          <w:sz w:val="26"/>
        </w:rPr>
        <w:t>Id</w:t>
      </w:r>
      <w:r>
        <w:rPr>
          <w:color w:val="000000"/>
          <w:sz w:val="26"/>
        </w:rPr>
        <w:t xml:space="preserve">. </w:t>
      </w:r>
      <w:r w:rsidRPr="003D4B17">
        <w:rPr>
          <w:color w:val="000000"/>
          <w:sz w:val="26"/>
        </w:rPr>
        <w:t>(</w:t>
      </w:r>
      <w:r>
        <w:rPr>
          <w:color w:val="000000"/>
          <w:sz w:val="26"/>
        </w:rPr>
        <w:t xml:space="preserve">citing </w:t>
      </w:r>
      <w:r w:rsidRPr="003D4B17">
        <w:rPr>
          <w:color w:val="000000"/>
          <w:sz w:val="26"/>
        </w:rPr>
        <w:t>UGI St. 1</w:t>
      </w:r>
      <w:r>
        <w:rPr>
          <w:color w:val="000000"/>
          <w:sz w:val="26"/>
        </w:rPr>
        <w:t xml:space="preserve"> at</w:t>
      </w:r>
      <w:r w:rsidRPr="003D4B17">
        <w:rPr>
          <w:color w:val="000000"/>
          <w:sz w:val="26"/>
        </w:rPr>
        <w:t xml:space="preserve"> 20.)</w:t>
      </w:r>
      <w:r w:rsidR="003B551A">
        <w:rPr>
          <w:color w:val="000000"/>
          <w:sz w:val="26"/>
        </w:rPr>
        <w:t>.</w:t>
      </w:r>
      <w:r w:rsidRPr="003D4B17">
        <w:rPr>
          <w:color w:val="000000"/>
          <w:sz w:val="26"/>
        </w:rPr>
        <w:t xml:space="preserve"> </w:t>
      </w:r>
      <w:r>
        <w:rPr>
          <w:color w:val="000000"/>
          <w:sz w:val="26"/>
        </w:rPr>
        <w:t xml:space="preserve"> </w:t>
      </w:r>
      <w:r>
        <w:rPr>
          <w:color w:val="000000"/>
          <w:spacing w:val="-2"/>
          <w:sz w:val="26"/>
        </w:rPr>
        <w:t>UGI acknowledges that it subsequently</w:t>
      </w:r>
      <w:r w:rsidRPr="003D4B17">
        <w:rPr>
          <w:color w:val="000000"/>
          <w:spacing w:val="-2"/>
          <w:sz w:val="26"/>
        </w:rPr>
        <w:t xml:space="preserve"> developed a separate standard for making meter placement decisions in historic districts, which it</w:t>
      </w:r>
      <w:r>
        <w:rPr>
          <w:color w:val="000000"/>
          <w:spacing w:val="-2"/>
          <w:sz w:val="26"/>
        </w:rPr>
        <w:t xml:space="preserve"> </w:t>
      </w:r>
      <w:r w:rsidRPr="003D4B17">
        <w:rPr>
          <w:color w:val="000000"/>
          <w:sz w:val="26"/>
        </w:rPr>
        <w:t xml:space="preserve">incorporated into its GOM in 2016, and </w:t>
      </w:r>
      <w:r>
        <w:rPr>
          <w:color w:val="000000"/>
          <w:sz w:val="26"/>
        </w:rPr>
        <w:t>the Company</w:t>
      </w:r>
      <w:r w:rsidRPr="003D4B17">
        <w:rPr>
          <w:color w:val="000000"/>
          <w:sz w:val="26"/>
        </w:rPr>
        <w:t xml:space="preserve"> applied that standard to local, state, and federal historic districts. </w:t>
      </w:r>
      <w:r>
        <w:rPr>
          <w:color w:val="000000"/>
          <w:sz w:val="26"/>
        </w:rPr>
        <w:t xml:space="preserve"> </w:t>
      </w:r>
      <w:r w:rsidRPr="007E063F">
        <w:rPr>
          <w:i/>
          <w:iCs/>
          <w:color w:val="000000"/>
          <w:sz w:val="26"/>
        </w:rPr>
        <w:t>Id</w:t>
      </w:r>
      <w:r>
        <w:rPr>
          <w:color w:val="000000"/>
          <w:sz w:val="26"/>
        </w:rPr>
        <w:t xml:space="preserve">. at 9-10. </w:t>
      </w:r>
      <w:r w:rsidRPr="007E063F">
        <w:rPr>
          <w:iCs/>
          <w:color w:val="000000"/>
          <w:sz w:val="26"/>
        </w:rPr>
        <w:t>(</w:t>
      </w:r>
      <w:r>
        <w:rPr>
          <w:iCs/>
          <w:color w:val="000000"/>
          <w:sz w:val="26"/>
        </w:rPr>
        <w:t>citing</w:t>
      </w:r>
      <w:r w:rsidRPr="007E063F">
        <w:rPr>
          <w:iCs/>
          <w:color w:val="000000"/>
          <w:sz w:val="26"/>
        </w:rPr>
        <w:t xml:space="preserve"> </w:t>
      </w:r>
      <w:r w:rsidRPr="003D4B17">
        <w:rPr>
          <w:color w:val="000000"/>
          <w:sz w:val="26"/>
        </w:rPr>
        <w:t>UGI St. 1</w:t>
      </w:r>
      <w:r>
        <w:rPr>
          <w:color w:val="000000"/>
          <w:sz w:val="26"/>
        </w:rPr>
        <w:t xml:space="preserve"> at</w:t>
      </w:r>
      <w:r w:rsidRPr="003D4B17">
        <w:rPr>
          <w:color w:val="000000"/>
          <w:sz w:val="26"/>
        </w:rPr>
        <w:t xml:space="preserve"> 33-34.)</w:t>
      </w:r>
      <w:r w:rsidR="003B551A">
        <w:rPr>
          <w:color w:val="000000"/>
          <w:sz w:val="26"/>
        </w:rPr>
        <w:t>.</w:t>
      </w:r>
      <w:r w:rsidRPr="003D4B17">
        <w:rPr>
          <w:color w:val="000000"/>
          <w:sz w:val="26"/>
        </w:rPr>
        <w:t xml:space="preserve"> </w:t>
      </w:r>
      <w:r>
        <w:rPr>
          <w:color w:val="000000"/>
          <w:sz w:val="26"/>
        </w:rPr>
        <w:t xml:space="preserve"> </w:t>
      </w:r>
      <w:r w:rsidRPr="003D4B17">
        <w:rPr>
          <w:color w:val="000000"/>
          <w:sz w:val="26"/>
        </w:rPr>
        <w:t xml:space="preserve">The Company </w:t>
      </w:r>
      <w:r>
        <w:rPr>
          <w:color w:val="000000"/>
          <w:sz w:val="26"/>
        </w:rPr>
        <w:t>submits that it al</w:t>
      </w:r>
      <w:r w:rsidRPr="003D4B17">
        <w:rPr>
          <w:color w:val="000000"/>
          <w:sz w:val="26"/>
        </w:rPr>
        <w:t xml:space="preserve">so voluntarily modified its </w:t>
      </w:r>
      <w:r>
        <w:rPr>
          <w:color w:val="000000"/>
          <w:sz w:val="26"/>
        </w:rPr>
        <w:t>thirty</w:t>
      </w:r>
      <w:r w:rsidRPr="003D4B17">
        <w:rPr>
          <w:color w:val="000000"/>
          <w:sz w:val="26"/>
        </w:rPr>
        <w:t xml:space="preserve">-day notice to state that customers can request reconsideration of meter placement decisions based on historic status through, among other ways, a new web-based portal. </w:t>
      </w:r>
      <w:r>
        <w:rPr>
          <w:color w:val="000000"/>
          <w:sz w:val="26"/>
        </w:rPr>
        <w:t xml:space="preserve"> UGI Exc. at 10 </w:t>
      </w:r>
      <w:r w:rsidRPr="003D4B17">
        <w:rPr>
          <w:color w:val="000000"/>
          <w:sz w:val="26"/>
        </w:rPr>
        <w:t>(</w:t>
      </w:r>
      <w:r>
        <w:rPr>
          <w:color w:val="000000"/>
          <w:sz w:val="26"/>
        </w:rPr>
        <w:t xml:space="preserve">citing </w:t>
      </w:r>
      <w:r w:rsidRPr="003D4B17">
        <w:rPr>
          <w:color w:val="000000"/>
          <w:sz w:val="26"/>
        </w:rPr>
        <w:t xml:space="preserve">Tr. </w:t>
      </w:r>
      <w:r>
        <w:rPr>
          <w:color w:val="000000"/>
          <w:sz w:val="26"/>
        </w:rPr>
        <w:t xml:space="preserve">at </w:t>
      </w:r>
      <w:r w:rsidRPr="003D4B17">
        <w:rPr>
          <w:color w:val="000000"/>
          <w:sz w:val="26"/>
        </w:rPr>
        <w:t>344-35; UGI Exh</w:t>
      </w:r>
      <w:r>
        <w:rPr>
          <w:color w:val="000000"/>
          <w:sz w:val="26"/>
        </w:rPr>
        <w:t>.</w:t>
      </w:r>
      <w:r w:rsidRPr="003D4B17">
        <w:rPr>
          <w:color w:val="000000"/>
          <w:sz w:val="26"/>
        </w:rPr>
        <w:t xml:space="preserve"> CB-16.)</w:t>
      </w:r>
      <w:r w:rsidR="003B551A">
        <w:rPr>
          <w:color w:val="000000"/>
          <w:sz w:val="26"/>
        </w:rPr>
        <w:t>.</w:t>
      </w:r>
      <w:r>
        <w:rPr>
          <w:color w:val="000000"/>
          <w:sz w:val="26"/>
        </w:rPr>
        <w:t xml:space="preserve">  UGI argues that its</w:t>
      </w:r>
      <w:r w:rsidRPr="003D4B17">
        <w:rPr>
          <w:color w:val="000000"/>
          <w:sz w:val="26"/>
        </w:rPr>
        <w:t xml:space="preserve"> policies and customer notices, both before and after its voluntary implementation of separate standards for considering </w:t>
      </w:r>
      <w:r w:rsidR="005B0495">
        <w:rPr>
          <w:color w:val="000000"/>
          <w:sz w:val="26"/>
        </w:rPr>
        <w:t xml:space="preserve">inside </w:t>
      </w:r>
      <w:r w:rsidRPr="003D4B17">
        <w:rPr>
          <w:color w:val="000000"/>
          <w:sz w:val="26"/>
        </w:rPr>
        <w:t>meter placements in historic districts, fully complied with the requirements in 52 Pa. Code § 59.18.</w:t>
      </w:r>
    </w:p>
    <w:p w14:paraId="1016B2D3" w14:textId="77777777" w:rsidR="00066198" w:rsidRDefault="00066198" w:rsidP="008E1AD5">
      <w:pPr>
        <w:ind w:right="40" w:firstLine="864"/>
        <w:textAlignment w:val="baseline"/>
        <w:rPr>
          <w:color w:val="000000"/>
          <w:sz w:val="26"/>
        </w:rPr>
      </w:pPr>
    </w:p>
    <w:p w14:paraId="51D7129B" w14:textId="33B52584" w:rsidR="007E1793" w:rsidRPr="00176449" w:rsidRDefault="004E6F2F" w:rsidP="008E1AD5">
      <w:pPr>
        <w:keepNext/>
        <w:keepLines/>
        <w:tabs>
          <w:tab w:val="left" w:pos="720"/>
        </w:tabs>
        <w:ind w:firstLine="720"/>
        <w:textAlignment w:val="baseline"/>
        <w:rPr>
          <w:b/>
          <w:bCs/>
          <w:sz w:val="26"/>
        </w:rPr>
      </w:pPr>
      <w:r>
        <w:rPr>
          <w:b/>
          <w:bCs/>
          <w:sz w:val="26"/>
        </w:rPr>
        <w:lastRenderedPageBreak/>
        <w:tab/>
      </w:r>
      <w:r>
        <w:rPr>
          <w:b/>
          <w:bCs/>
          <w:sz w:val="26"/>
        </w:rPr>
        <w:tab/>
      </w:r>
      <w:r w:rsidR="00B97DE7">
        <w:rPr>
          <w:b/>
          <w:bCs/>
          <w:sz w:val="26"/>
        </w:rPr>
        <w:t>2.</w:t>
      </w:r>
      <w:r w:rsidR="00B97DE7">
        <w:rPr>
          <w:b/>
          <w:bCs/>
          <w:sz w:val="26"/>
        </w:rPr>
        <w:tab/>
      </w:r>
      <w:r w:rsidR="007E1793" w:rsidRPr="00176449">
        <w:rPr>
          <w:b/>
          <w:bCs/>
          <w:sz w:val="26"/>
        </w:rPr>
        <w:t>The City’s Repl</w:t>
      </w:r>
      <w:r w:rsidR="007E1793">
        <w:rPr>
          <w:b/>
          <w:bCs/>
          <w:sz w:val="26"/>
        </w:rPr>
        <w:t>ies</w:t>
      </w:r>
    </w:p>
    <w:p w14:paraId="42F1A8DD" w14:textId="77777777" w:rsidR="007E1793" w:rsidRDefault="007E1793" w:rsidP="008E1AD5">
      <w:pPr>
        <w:keepNext/>
        <w:keepLines/>
        <w:ind w:firstLine="720"/>
        <w:textAlignment w:val="baseline"/>
        <w:rPr>
          <w:sz w:val="26"/>
        </w:rPr>
      </w:pPr>
      <w:r>
        <w:rPr>
          <w:sz w:val="26"/>
        </w:rPr>
        <w:tab/>
      </w:r>
      <w:r>
        <w:rPr>
          <w:sz w:val="26"/>
        </w:rPr>
        <w:tab/>
      </w:r>
    </w:p>
    <w:p w14:paraId="4BE7F6FC" w14:textId="476D05E8" w:rsidR="007E1793" w:rsidRDefault="007E1793" w:rsidP="008E1AD5">
      <w:pPr>
        <w:keepNext/>
        <w:keepLines/>
        <w:ind w:firstLine="720"/>
        <w:textAlignment w:val="baseline"/>
        <w:rPr>
          <w:sz w:val="26"/>
        </w:rPr>
      </w:pPr>
      <w:r>
        <w:rPr>
          <w:sz w:val="26"/>
        </w:rPr>
        <w:tab/>
        <w:t xml:space="preserve">In its Replies to Exceptions, the City avers that the ALJ’s findings and conclusions regarding UGI’s meter installation and relocation policy from 2014 to 2016 are well-reasoned and supported by substantial evidence.  City R. Exc. at 1, 2.  The City states that the express language of </w:t>
      </w:r>
      <w:r w:rsidR="00B7591C">
        <w:rPr>
          <w:sz w:val="26"/>
        </w:rPr>
        <w:t>Section 59.18</w:t>
      </w:r>
      <w:r>
        <w:rPr>
          <w:sz w:val="26"/>
        </w:rPr>
        <w:t xml:space="preserve"> mandates that a utility must consider inside placements for meters located in historic districts, and UGI, by its own admission, deliberately failed to follow </w:t>
      </w:r>
      <w:r w:rsidR="00B7591C">
        <w:rPr>
          <w:sz w:val="26"/>
        </w:rPr>
        <w:t>the Regulation</w:t>
      </w:r>
      <w:r>
        <w:rPr>
          <w:sz w:val="26"/>
        </w:rPr>
        <w:t xml:space="preserve">’s requirements.  </w:t>
      </w:r>
      <w:r w:rsidRPr="002C138A">
        <w:rPr>
          <w:i/>
          <w:iCs/>
          <w:sz w:val="26"/>
        </w:rPr>
        <w:t>Id</w:t>
      </w:r>
      <w:r>
        <w:rPr>
          <w:sz w:val="26"/>
        </w:rPr>
        <w:t xml:space="preserve">. at 2 (citing I.D. at 33, UGI Exc. at 3).  The City asserts that UGI should be assessed civil penalties for its intentional violations and that UGI’s after-the-fact revisions to its GOM and permitting customers to seek reconsideration do not absolve the Company of its deliberate actions.  City R. Exc. at 2-3.  The City submits that the Regulation requires consideration and proper customer notice, and the record in this case demonstrates that UGI did not consider inside meter placements or provide sufficient customer notice in the City’s historic districts between 2014 and 2016.  </w:t>
      </w:r>
      <w:r w:rsidRPr="003401B3">
        <w:rPr>
          <w:i/>
          <w:iCs/>
          <w:sz w:val="26"/>
        </w:rPr>
        <w:t>Id</w:t>
      </w:r>
      <w:r>
        <w:rPr>
          <w:sz w:val="26"/>
        </w:rPr>
        <w:t xml:space="preserve">. at 4.  The City argues that, instead, UGI chose to enforce an absolute company policy of moving meters outside without consideration and without supplemental information that UGI did not have regarding each building’s historic status.  </w:t>
      </w:r>
      <w:r w:rsidRPr="003401B3">
        <w:rPr>
          <w:i/>
          <w:iCs/>
          <w:sz w:val="26"/>
        </w:rPr>
        <w:t>Id</w:t>
      </w:r>
      <w:r>
        <w:rPr>
          <w:sz w:val="26"/>
        </w:rPr>
        <w:t>. (citing City Exhs. JS-10, JS-11, and JS-12).</w:t>
      </w:r>
    </w:p>
    <w:p w14:paraId="1CFAED14" w14:textId="77777777" w:rsidR="007E1793" w:rsidRDefault="007E1793" w:rsidP="008E1AD5">
      <w:pPr>
        <w:ind w:firstLine="720"/>
        <w:textAlignment w:val="baseline"/>
        <w:rPr>
          <w:sz w:val="26"/>
        </w:rPr>
      </w:pPr>
    </w:p>
    <w:p w14:paraId="6165CF56" w14:textId="3C885DAA" w:rsidR="007E1793" w:rsidRDefault="007E1793" w:rsidP="008E1AD5">
      <w:pPr>
        <w:ind w:firstLine="720"/>
        <w:textAlignment w:val="baseline"/>
        <w:rPr>
          <w:sz w:val="26"/>
        </w:rPr>
      </w:pPr>
      <w:r>
        <w:rPr>
          <w:sz w:val="26"/>
        </w:rPr>
        <w:tab/>
        <w:t>The City states that UGI’s discretion is governed by the clear language of Section 59.18 and that UGI and other NGDCs do not have complete, unfettered discretion concerning meter placements in historic districts.  City R. Exc. at 4.  The City avers that the Regulation determines the parameters, and safety is the basis for the decision on meter and regulator location.  The City observes that even though the governing Regulation has changed, what was safe previously under the Regulation</w:t>
      </w:r>
      <w:r w:rsidR="00B7591C">
        <w:rPr>
          <w:sz w:val="26"/>
        </w:rPr>
        <w:t xml:space="preserve"> -</w:t>
      </w:r>
      <w:r>
        <w:rPr>
          <w:sz w:val="26"/>
        </w:rPr>
        <w:t xml:space="preserve"> allowing inside or outside locations </w:t>
      </w:r>
      <w:r w:rsidR="00B7591C">
        <w:rPr>
          <w:sz w:val="26"/>
        </w:rPr>
        <w:t xml:space="preserve">- </w:t>
      </w:r>
      <w:r>
        <w:rPr>
          <w:sz w:val="26"/>
        </w:rPr>
        <w:t xml:space="preserve">is not necessarily unsafe under the new Regulation.  </w:t>
      </w:r>
      <w:r w:rsidRPr="001B743C">
        <w:rPr>
          <w:i/>
          <w:iCs/>
          <w:sz w:val="26"/>
        </w:rPr>
        <w:t>Id</w:t>
      </w:r>
      <w:r>
        <w:rPr>
          <w:sz w:val="26"/>
        </w:rPr>
        <w:t>. at 5.</w:t>
      </w:r>
    </w:p>
    <w:p w14:paraId="19D0037E" w14:textId="77777777" w:rsidR="007E1793" w:rsidRDefault="007E1793" w:rsidP="008E1AD5">
      <w:pPr>
        <w:ind w:firstLine="720"/>
        <w:textAlignment w:val="baseline"/>
        <w:rPr>
          <w:sz w:val="26"/>
        </w:rPr>
      </w:pPr>
    </w:p>
    <w:p w14:paraId="5C22A5CE" w14:textId="567E0811" w:rsidR="007E1793" w:rsidRDefault="007E1793" w:rsidP="008E1AD5">
      <w:pPr>
        <w:rPr>
          <w:sz w:val="26"/>
        </w:rPr>
      </w:pPr>
      <w:r w:rsidRPr="00A91D0D">
        <w:rPr>
          <w:sz w:val="26"/>
        </w:rPr>
        <w:lastRenderedPageBreak/>
        <w:t xml:space="preserve">Additionally, the City emphasizes that it is the language of the Regulation that controls and not UGI’s speculative assertions of Commission authorizations based on UGI’s carefully chosen excerpts from the </w:t>
      </w:r>
      <w:r w:rsidRPr="00A91D0D">
        <w:rPr>
          <w:i/>
          <w:iCs/>
          <w:sz w:val="26"/>
        </w:rPr>
        <w:t>Final Rulemaking Order</w:t>
      </w:r>
      <w:r w:rsidRPr="00A91D0D">
        <w:rPr>
          <w:sz w:val="26"/>
        </w:rPr>
        <w:t xml:space="preserve">.  </w:t>
      </w:r>
      <w:r w:rsidRPr="00A91D0D">
        <w:rPr>
          <w:i/>
          <w:iCs/>
          <w:sz w:val="26"/>
        </w:rPr>
        <w:t>Id</w:t>
      </w:r>
      <w:r w:rsidRPr="00A91D0D">
        <w:rPr>
          <w:sz w:val="26"/>
        </w:rPr>
        <w:t xml:space="preserve">.  The City argues that contrary to UGI’s assertion, the Commission, did endorse a “separate standard” in order to provide “clear direction” when dealing with historic districts and buildings.  The City avers that Section 59.18 must be read as a whole, and </w:t>
      </w:r>
      <w:r w:rsidR="00B7591C">
        <w:rPr>
          <w:sz w:val="26"/>
        </w:rPr>
        <w:t xml:space="preserve">the </w:t>
      </w:r>
      <w:r w:rsidRPr="00A91D0D">
        <w:rPr>
          <w:sz w:val="26"/>
        </w:rPr>
        <w:t xml:space="preserve">express language of </w:t>
      </w:r>
      <w:r w:rsidR="00B7591C">
        <w:rPr>
          <w:sz w:val="26"/>
        </w:rPr>
        <w:t>the Regulation,</w:t>
      </w:r>
      <w:r w:rsidRPr="00A91D0D">
        <w:rPr>
          <w:sz w:val="26"/>
        </w:rPr>
        <w:t xml:space="preserve"> specifically subsection (d)(1), unequivocally requires different treatment for historic districts.  The City submits that 52 Pa. Code § 59.18 provides clear and unambiguous guidance on meter placements and requires that if an outside meter is not going to become available because of certain restrictions, then an inside meter location </w:t>
      </w:r>
      <w:r w:rsidRPr="00A91D0D">
        <w:rPr>
          <w:bCs/>
          <w:iCs/>
          <w:sz w:val="26"/>
        </w:rPr>
        <w:t>must be considered.</w:t>
      </w:r>
      <w:r w:rsidRPr="00A91D0D">
        <w:rPr>
          <w:sz w:val="26"/>
        </w:rPr>
        <w:t xml:space="preserve">  The City contends that UGI’s discretion under the Regulation does not excuse its failure to conform to the Regulation’s requirements.</w:t>
      </w:r>
      <w:r>
        <w:rPr>
          <w:sz w:val="26"/>
        </w:rPr>
        <w:t xml:space="preserve">  </w:t>
      </w:r>
      <w:r w:rsidRPr="00A91D0D">
        <w:rPr>
          <w:i/>
          <w:iCs/>
          <w:sz w:val="26"/>
        </w:rPr>
        <w:t>Id</w:t>
      </w:r>
      <w:r>
        <w:rPr>
          <w:sz w:val="26"/>
        </w:rPr>
        <w:t xml:space="preserve">. at 6.  The City asserts that the ALJ correctly concluded that the City met its burden of proof because UGI’s actions in this proceeding showed that the Company failed to follow the requirements in Section 59.18 concerning its meter installations and relocations in the City’s historic districts.  </w:t>
      </w:r>
      <w:r w:rsidRPr="00DF3372">
        <w:rPr>
          <w:sz w:val="26"/>
        </w:rPr>
        <w:t>According to the City, it took nearly two years after the amendments to Section 59.18 became effective and well after the City and CPHD had filed their Complaints for UGI to incorporate the Regulation’s requirements into its GOM and even longer for UGI to update its customer notices and practices.</w:t>
      </w:r>
      <w:r>
        <w:rPr>
          <w:sz w:val="26"/>
        </w:rPr>
        <w:t xml:space="preserve">  </w:t>
      </w:r>
      <w:r w:rsidRPr="00635D5B">
        <w:rPr>
          <w:i/>
          <w:iCs/>
          <w:sz w:val="26"/>
        </w:rPr>
        <w:t>Id</w:t>
      </w:r>
      <w:r>
        <w:rPr>
          <w:sz w:val="26"/>
        </w:rPr>
        <w:t>. at 7.</w:t>
      </w:r>
    </w:p>
    <w:p w14:paraId="383FB00B" w14:textId="77777777" w:rsidR="007E1793" w:rsidRDefault="007E1793" w:rsidP="008E1AD5">
      <w:pPr>
        <w:rPr>
          <w:sz w:val="26"/>
        </w:rPr>
      </w:pPr>
    </w:p>
    <w:p w14:paraId="7E517886" w14:textId="3C084EB1" w:rsidR="007E1793" w:rsidRDefault="007E1793" w:rsidP="008E1AD5">
      <w:pPr>
        <w:rPr>
          <w:sz w:val="26"/>
        </w:rPr>
      </w:pPr>
      <w:r>
        <w:rPr>
          <w:sz w:val="26"/>
        </w:rPr>
        <w:t xml:space="preserve">Further, the City states that while UGI may have modified its GOM in 2016, this does not change the fact that UGI did not comply with </w:t>
      </w:r>
      <w:r w:rsidR="00B7591C">
        <w:rPr>
          <w:sz w:val="26"/>
        </w:rPr>
        <w:t xml:space="preserve">the </w:t>
      </w:r>
      <w:r>
        <w:rPr>
          <w:sz w:val="26"/>
        </w:rPr>
        <w:t>thirty-day advance notice provisions in Section 59.18(a)(2) and (3), which became effective in September 2014.  The City argues that UGI did not provide the requisite notice at least thirty days before the relocation to inform the customer of the planned new location and how to contact the utility with other information</w:t>
      </w:r>
      <w:r w:rsidR="00B7591C">
        <w:rPr>
          <w:sz w:val="26"/>
        </w:rPr>
        <w:t>,</w:t>
      </w:r>
      <w:r>
        <w:rPr>
          <w:sz w:val="26"/>
        </w:rPr>
        <w:t xml:space="preserve"> such as the building’s historic status.  </w:t>
      </w:r>
      <w:r w:rsidRPr="0076376F">
        <w:rPr>
          <w:i/>
          <w:iCs/>
          <w:sz w:val="26"/>
        </w:rPr>
        <w:t>Id</w:t>
      </w:r>
      <w:r>
        <w:rPr>
          <w:sz w:val="26"/>
        </w:rPr>
        <w:t xml:space="preserve">. at 8.  The City avers that </w:t>
      </w:r>
      <w:r w:rsidRPr="00F43DBF">
        <w:rPr>
          <w:sz w:val="26"/>
        </w:rPr>
        <w:t xml:space="preserve">UGI’s actions between 2014 and 2016 </w:t>
      </w:r>
      <w:r>
        <w:rPr>
          <w:sz w:val="26"/>
        </w:rPr>
        <w:t>completely</w:t>
      </w:r>
      <w:r w:rsidRPr="00F43DBF">
        <w:rPr>
          <w:sz w:val="26"/>
        </w:rPr>
        <w:t xml:space="preserve"> ignored </w:t>
      </w:r>
      <w:r>
        <w:rPr>
          <w:sz w:val="26"/>
        </w:rPr>
        <w:t>Section</w:t>
      </w:r>
      <w:r w:rsidRPr="00F43DBF">
        <w:rPr>
          <w:sz w:val="26"/>
        </w:rPr>
        <w:t xml:space="preserve"> 59.18(d)(1)</w:t>
      </w:r>
      <w:r>
        <w:rPr>
          <w:sz w:val="26"/>
        </w:rPr>
        <w:t>,</w:t>
      </w:r>
      <w:r w:rsidRPr="00F43DBF">
        <w:rPr>
          <w:sz w:val="26"/>
        </w:rPr>
        <w:t xml:space="preserve"> which requires that inside meter locations shall be considered in historic district</w:t>
      </w:r>
      <w:r>
        <w:rPr>
          <w:sz w:val="26"/>
        </w:rPr>
        <w:t>s, and that</w:t>
      </w:r>
      <w:r w:rsidRPr="00F43DBF">
        <w:rPr>
          <w:sz w:val="26"/>
        </w:rPr>
        <w:t xml:space="preserve"> Section 59.18(a)(2) and (a)(3) cannot be read in isolation from Section </w:t>
      </w:r>
      <w:r w:rsidRPr="00F43DBF">
        <w:rPr>
          <w:sz w:val="26"/>
        </w:rPr>
        <w:lastRenderedPageBreak/>
        <w:t>59.18(d)(1).</w:t>
      </w:r>
      <w:r>
        <w:rPr>
          <w:sz w:val="26"/>
        </w:rPr>
        <w:t xml:space="preserve">  The City also avers that </w:t>
      </w:r>
      <w:r w:rsidRPr="00F43DBF">
        <w:rPr>
          <w:sz w:val="26"/>
        </w:rPr>
        <w:t>UGI’s initial notice letter</w:t>
      </w:r>
      <w:r>
        <w:rPr>
          <w:sz w:val="26"/>
        </w:rPr>
        <w:t>s</w:t>
      </w:r>
      <w:r w:rsidRPr="00F43DBF">
        <w:rPr>
          <w:sz w:val="26"/>
        </w:rPr>
        <w:t xml:space="preserve"> did not provide all of the </w:t>
      </w:r>
      <w:r>
        <w:rPr>
          <w:sz w:val="26"/>
        </w:rPr>
        <w:t>r</w:t>
      </w:r>
      <w:r w:rsidRPr="00F43DBF">
        <w:rPr>
          <w:sz w:val="26"/>
        </w:rPr>
        <w:t xml:space="preserve">elevant information required </w:t>
      </w:r>
      <w:r>
        <w:rPr>
          <w:sz w:val="26"/>
        </w:rPr>
        <w:t>by</w:t>
      </w:r>
      <w:r w:rsidRPr="00F43DBF">
        <w:rPr>
          <w:sz w:val="26"/>
        </w:rPr>
        <w:t xml:space="preserve"> 52 Pa. Code § 59.18(a)(2)</w:t>
      </w:r>
      <w:r>
        <w:rPr>
          <w:sz w:val="26"/>
        </w:rPr>
        <w:t xml:space="preserve"> and </w:t>
      </w:r>
      <w:r w:rsidRPr="00F43DBF">
        <w:rPr>
          <w:sz w:val="26"/>
        </w:rPr>
        <w:t xml:space="preserve">(3) </w:t>
      </w:r>
      <w:r>
        <w:rPr>
          <w:sz w:val="26"/>
        </w:rPr>
        <w:t xml:space="preserve">and </w:t>
      </w:r>
      <w:r w:rsidRPr="00F43DBF">
        <w:rPr>
          <w:sz w:val="26"/>
        </w:rPr>
        <w:t xml:space="preserve">served </w:t>
      </w:r>
      <w:r>
        <w:rPr>
          <w:sz w:val="26"/>
        </w:rPr>
        <w:t xml:space="preserve">merely </w:t>
      </w:r>
      <w:r w:rsidRPr="00F43DBF">
        <w:rPr>
          <w:sz w:val="26"/>
        </w:rPr>
        <w:t xml:space="preserve">as an after-the-fact notice </w:t>
      </w:r>
      <w:r>
        <w:rPr>
          <w:sz w:val="26"/>
        </w:rPr>
        <w:t xml:space="preserve">that </w:t>
      </w:r>
      <w:r w:rsidRPr="00F43DBF">
        <w:rPr>
          <w:sz w:val="26"/>
        </w:rPr>
        <w:t>did not provide enough information for a historic district customer to make an informed decision or to challenge the meter placement.</w:t>
      </w:r>
      <w:r>
        <w:rPr>
          <w:sz w:val="26"/>
        </w:rPr>
        <w:t xml:space="preserve">  City R. Exc. at 9.</w:t>
      </w:r>
    </w:p>
    <w:p w14:paraId="1689A76A" w14:textId="77777777" w:rsidR="00761CEB" w:rsidRDefault="00761CEB" w:rsidP="008E1AD5">
      <w:pPr>
        <w:rPr>
          <w:sz w:val="26"/>
        </w:rPr>
      </w:pPr>
    </w:p>
    <w:p w14:paraId="39E8555D" w14:textId="25BF9FF7" w:rsidR="007E1793" w:rsidRDefault="00B14FC6" w:rsidP="008E1AD5">
      <w:pPr>
        <w:rPr>
          <w:b/>
          <w:bCs/>
          <w:sz w:val="26"/>
        </w:rPr>
      </w:pPr>
      <w:r>
        <w:rPr>
          <w:b/>
          <w:bCs/>
          <w:sz w:val="26"/>
        </w:rPr>
        <w:tab/>
      </w:r>
      <w:r w:rsidR="00B97DE7">
        <w:rPr>
          <w:b/>
          <w:bCs/>
          <w:sz w:val="26"/>
        </w:rPr>
        <w:t>3.</w:t>
      </w:r>
      <w:r w:rsidR="00B97DE7">
        <w:rPr>
          <w:b/>
          <w:bCs/>
          <w:sz w:val="26"/>
        </w:rPr>
        <w:tab/>
      </w:r>
      <w:r w:rsidR="007E1793">
        <w:rPr>
          <w:b/>
          <w:bCs/>
          <w:sz w:val="26"/>
        </w:rPr>
        <w:t>Disposition</w:t>
      </w:r>
    </w:p>
    <w:p w14:paraId="211FB20B" w14:textId="77777777" w:rsidR="007E1793" w:rsidRDefault="007E1793" w:rsidP="008E1AD5">
      <w:pPr>
        <w:rPr>
          <w:b/>
          <w:bCs/>
          <w:sz w:val="26"/>
        </w:rPr>
      </w:pPr>
    </w:p>
    <w:p w14:paraId="57FE20FE" w14:textId="27BF491F" w:rsidR="00946911" w:rsidRPr="003A5030" w:rsidRDefault="007E1793" w:rsidP="008E1AD5">
      <w:pPr>
        <w:rPr>
          <w:sz w:val="26"/>
        </w:rPr>
      </w:pPr>
      <w:r>
        <w:rPr>
          <w:sz w:val="26"/>
        </w:rPr>
        <w:t xml:space="preserve">Based on our review of the record and the Parties’ positions, we find the ALJ’s conclusion that </w:t>
      </w:r>
      <w:r>
        <w:rPr>
          <w:color w:val="000000"/>
          <w:sz w:val="26"/>
          <w:szCs w:val="26"/>
        </w:rPr>
        <w:t xml:space="preserve">UGI’s meter placement practices from 2014 until 2016 failed to conform to the consideration requirements </w:t>
      </w:r>
      <w:r w:rsidR="0022790C">
        <w:rPr>
          <w:color w:val="000000"/>
          <w:sz w:val="26"/>
          <w:szCs w:val="26"/>
        </w:rPr>
        <w:t>in</w:t>
      </w:r>
      <w:r>
        <w:rPr>
          <w:color w:val="000000"/>
          <w:sz w:val="26"/>
          <w:szCs w:val="26"/>
        </w:rPr>
        <w:t xml:space="preserve"> Section 59.18(d)(1)(ii) is sound and well-reasoned.  </w:t>
      </w:r>
      <w:r w:rsidR="00CB3EFF">
        <w:rPr>
          <w:color w:val="000000"/>
          <w:sz w:val="26"/>
          <w:szCs w:val="26"/>
        </w:rPr>
        <w:t>Consideration is a clear requirement under our Regulation, as</w:t>
      </w:r>
      <w:r w:rsidR="00575D6E">
        <w:rPr>
          <w:color w:val="000000"/>
          <w:sz w:val="26"/>
          <w:szCs w:val="26"/>
        </w:rPr>
        <w:t xml:space="preserve"> t</w:t>
      </w:r>
      <w:r w:rsidR="00575D6E" w:rsidRPr="008C3D56">
        <w:rPr>
          <w:sz w:val="26"/>
        </w:rPr>
        <w:t xml:space="preserve">he express language of </w:t>
      </w:r>
      <w:r w:rsidR="00CB3EFF">
        <w:rPr>
          <w:sz w:val="26"/>
        </w:rPr>
        <w:t>Section 59.18</w:t>
      </w:r>
      <w:r w:rsidR="00575D6E">
        <w:rPr>
          <w:sz w:val="26"/>
        </w:rPr>
        <w:t xml:space="preserve"> </w:t>
      </w:r>
      <w:r w:rsidR="00CB3EFF">
        <w:rPr>
          <w:sz w:val="26"/>
        </w:rPr>
        <w:t xml:space="preserve">states </w:t>
      </w:r>
      <w:r w:rsidR="00575D6E" w:rsidRPr="008C3D56">
        <w:rPr>
          <w:sz w:val="26"/>
        </w:rPr>
        <w:t xml:space="preserve">that NGDCs </w:t>
      </w:r>
      <w:r w:rsidR="00575D6E" w:rsidRPr="008C3D56">
        <w:rPr>
          <w:b/>
          <w:bCs/>
          <w:sz w:val="26"/>
        </w:rPr>
        <w:t xml:space="preserve">shall </w:t>
      </w:r>
      <w:r w:rsidR="00575D6E" w:rsidRPr="008C3D56">
        <w:rPr>
          <w:sz w:val="26"/>
        </w:rPr>
        <w:t xml:space="preserve">consider inside meter locations in historic districts.  52 Pa. Code § 59.18(d)(1)(ii).  </w:t>
      </w:r>
      <w:r>
        <w:rPr>
          <w:color w:val="000000"/>
          <w:sz w:val="26"/>
          <w:szCs w:val="26"/>
        </w:rPr>
        <w:t xml:space="preserve">In construing and interpreting </w:t>
      </w:r>
      <w:r w:rsidR="00575D6E">
        <w:rPr>
          <w:color w:val="000000"/>
          <w:sz w:val="26"/>
          <w:szCs w:val="26"/>
        </w:rPr>
        <w:t xml:space="preserve">administrative regulations, such as </w:t>
      </w:r>
      <w:r>
        <w:rPr>
          <w:color w:val="000000"/>
          <w:sz w:val="26"/>
          <w:szCs w:val="26"/>
        </w:rPr>
        <w:t>Section 59.18, the</w:t>
      </w:r>
      <w:r>
        <w:rPr>
          <w:sz w:val="26"/>
          <w:szCs w:val="26"/>
          <w:lang w:val="en"/>
        </w:rPr>
        <w:t xml:space="preserve"> rules of statutory construction and interpretation</w:t>
      </w:r>
      <w:r w:rsidR="00575D6E">
        <w:rPr>
          <w:sz w:val="26"/>
          <w:szCs w:val="26"/>
          <w:lang w:val="en"/>
        </w:rPr>
        <w:t xml:space="preserve"> apply</w:t>
      </w:r>
      <w:r>
        <w:rPr>
          <w:sz w:val="26"/>
          <w:szCs w:val="26"/>
          <w:lang w:val="en"/>
        </w:rPr>
        <w:t xml:space="preserve">.  </w:t>
      </w:r>
      <w:r w:rsidRPr="00367B26">
        <w:rPr>
          <w:i/>
          <w:iCs/>
          <w:sz w:val="26"/>
          <w:szCs w:val="26"/>
          <w:lang w:val="en"/>
        </w:rPr>
        <w:t>Energy Conservation Council of Pennsylvania v. Pa. PUC</w:t>
      </w:r>
      <w:r>
        <w:rPr>
          <w:sz w:val="26"/>
          <w:szCs w:val="26"/>
          <w:lang w:val="en"/>
        </w:rPr>
        <w:t xml:space="preserve">, 995 A.2d 465 (Pa. Cmwlth. 2010).  </w:t>
      </w:r>
      <w:r w:rsidRPr="005A4969">
        <w:rPr>
          <w:sz w:val="26"/>
          <w:szCs w:val="26"/>
          <w:lang w:val="en"/>
        </w:rPr>
        <w:t xml:space="preserve">When interpreting a statute </w:t>
      </w:r>
      <w:r>
        <w:rPr>
          <w:sz w:val="26"/>
          <w:szCs w:val="26"/>
          <w:lang w:val="en"/>
        </w:rPr>
        <w:t>or regulation</w:t>
      </w:r>
      <w:r w:rsidR="009A1BA9">
        <w:rPr>
          <w:sz w:val="26"/>
          <w:szCs w:val="26"/>
          <w:lang w:val="en"/>
        </w:rPr>
        <w:t>,</w:t>
      </w:r>
      <w:r>
        <w:rPr>
          <w:sz w:val="26"/>
          <w:szCs w:val="26"/>
          <w:lang w:val="en"/>
        </w:rPr>
        <w:t xml:space="preserve"> </w:t>
      </w:r>
      <w:r w:rsidRPr="005A4969">
        <w:rPr>
          <w:sz w:val="26"/>
          <w:szCs w:val="26"/>
          <w:lang w:val="en"/>
        </w:rPr>
        <w:t>the Statutory Construction Act</w:t>
      </w:r>
      <w:r w:rsidR="009A1BA9">
        <w:rPr>
          <w:sz w:val="26"/>
          <w:szCs w:val="26"/>
          <w:lang w:val="en"/>
        </w:rPr>
        <w:t xml:space="preserve"> provides</w:t>
      </w:r>
      <w:r w:rsidRPr="005A4969">
        <w:rPr>
          <w:sz w:val="26"/>
          <w:szCs w:val="26"/>
          <w:lang w:val="en"/>
        </w:rPr>
        <w:t>, “</w:t>
      </w:r>
      <w:r>
        <w:rPr>
          <w:sz w:val="26"/>
          <w:szCs w:val="26"/>
          <w:lang w:val="en"/>
        </w:rPr>
        <w:t>[w]</w:t>
      </w:r>
      <w:r w:rsidRPr="005A4969">
        <w:rPr>
          <w:sz w:val="26"/>
          <w:szCs w:val="26"/>
          <w:lang w:val="en"/>
        </w:rPr>
        <w:t xml:space="preserve">hen the words of a statute are clear and free from all ambiguity, the letter of it is not to be disregarded under the pretext of pursuing its spirit.”  1 Pa. C.S. § 1921(b).  </w:t>
      </w:r>
      <w:r w:rsidR="009A1BA9">
        <w:rPr>
          <w:sz w:val="26"/>
          <w:szCs w:val="26"/>
          <w:lang w:val="en"/>
        </w:rPr>
        <w:t xml:space="preserve">Under a clear reading of the Commission </w:t>
      </w:r>
      <w:r w:rsidR="00D67C49">
        <w:rPr>
          <w:sz w:val="26"/>
          <w:szCs w:val="26"/>
          <w:lang w:val="en"/>
        </w:rPr>
        <w:t>R</w:t>
      </w:r>
      <w:r w:rsidR="009A1BA9">
        <w:rPr>
          <w:sz w:val="26"/>
          <w:szCs w:val="26"/>
          <w:lang w:val="en"/>
        </w:rPr>
        <w:t>egulation</w:t>
      </w:r>
      <w:r w:rsidR="00CB3EFF">
        <w:rPr>
          <w:sz w:val="26"/>
          <w:szCs w:val="26"/>
          <w:lang w:val="en"/>
        </w:rPr>
        <w:t>, c</w:t>
      </w:r>
      <w:r w:rsidRPr="008C3D56">
        <w:rPr>
          <w:sz w:val="26"/>
        </w:rPr>
        <w:t xml:space="preserve">onsideration is a mandate </w:t>
      </w:r>
      <w:r w:rsidR="00CB3EFF">
        <w:rPr>
          <w:sz w:val="26"/>
        </w:rPr>
        <w:t>as well as an intentionally</w:t>
      </w:r>
      <w:r w:rsidRPr="008C3D56">
        <w:rPr>
          <w:sz w:val="26"/>
        </w:rPr>
        <w:t xml:space="preserve"> expressed exception to the general rule under Section 5</w:t>
      </w:r>
      <w:r w:rsidR="00814260">
        <w:rPr>
          <w:sz w:val="26"/>
        </w:rPr>
        <w:t>9</w:t>
      </w:r>
      <w:r w:rsidRPr="008C3D56">
        <w:rPr>
          <w:sz w:val="26"/>
        </w:rPr>
        <w:t>.18(a)(1) that meters and regulators must be located outside.</w:t>
      </w:r>
      <w:r w:rsidR="00946911">
        <w:rPr>
          <w:sz w:val="26"/>
        </w:rPr>
        <w:t xml:space="preserve">  We also agree with the ALJ that, when the Regulation is viewed as a whole, consideration of inside meters must be given on an individual case-by-case basis.  The language in Section 59.18(d)(1)(ii) refers to consideration of inside meters within an individual building located within a historic district, and the language in Section 59.18(a)(2) and (3) mandates that a utility provide notice of meter relocations to an individual customer or building owner and request information, such as information regarding the building’s historic status.</w:t>
      </w:r>
    </w:p>
    <w:p w14:paraId="217B94CD" w14:textId="7064FCE8" w:rsidR="007E1793" w:rsidRPr="003A5030" w:rsidRDefault="00946911" w:rsidP="008E1AD5">
      <w:pPr>
        <w:rPr>
          <w:sz w:val="26"/>
        </w:rPr>
      </w:pPr>
      <w:r>
        <w:rPr>
          <w:sz w:val="26"/>
        </w:rPr>
        <w:lastRenderedPageBreak/>
        <w:t>T</w:t>
      </w:r>
      <w:r w:rsidR="00814260">
        <w:rPr>
          <w:sz w:val="26"/>
        </w:rPr>
        <w:t>he term “consider” is not defined in our Regulation; however, i</w:t>
      </w:r>
      <w:r w:rsidR="007E1793" w:rsidRPr="003A5030">
        <w:rPr>
          <w:sz w:val="26"/>
        </w:rPr>
        <w:t xml:space="preserve">n examining the plain language of </w:t>
      </w:r>
      <w:r w:rsidR="007E1793">
        <w:rPr>
          <w:sz w:val="26"/>
        </w:rPr>
        <w:t xml:space="preserve">a </w:t>
      </w:r>
      <w:r w:rsidR="007E1793" w:rsidRPr="003A5030">
        <w:rPr>
          <w:sz w:val="26"/>
        </w:rPr>
        <w:t>statute or</w:t>
      </w:r>
      <w:r w:rsidR="007E1793">
        <w:rPr>
          <w:sz w:val="26"/>
        </w:rPr>
        <w:t xml:space="preserve"> </w:t>
      </w:r>
      <w:r w:rsidR="007E1793" w:rsidRPr="003A5030">
        <w:rPr>
          <w:sz w:val="26"/>
        </w:rPr>
        <w:t xml:space="preserve">regulation, </w:t>
      </w:r>
      <w:r w:rsidR="007E1793">
        <w:rPr>
          <w:sz w:val="26"/>
        </w:rPr>
        <w:t>we</w:t>
      </w:r>
      <w:r w:rsidR="007E1793" w:rsidRPr="003A5030">
        <w:rPr>
          <w:sz w:val="26"/>
        </w:rPr>
        <w:t xml:space="preserve"> must</w:t>
      </w:r>
      <w:r w:rsidR="007E1793">
        <w:rPr>
          <w:sz w:val="26"/>
        </w:rPr>
        <w:t xml:space="preserve"> </w:t>
      </w:r>
      <w:r w:rsidR="007E1793" w:rsidRPr="003A5030">
        <w:rPr>
          <w:sz w:val="26"/>
        </w:rPr>
        <w:t xml:space="preserve">construe </w:t>
      </w:r>
      <w:r w:rsidR="007E1793">
        <w:rPr>
          <w:sz w:val="26"/>
        </w:rPr>
        <w:t xml:space="preserve">regulatory undefined </w:t>
      </w:r>
      <w:r w:rsidR="007E1793" w:rsidRPr="003A5030">
        <w:rPr>
          <w:sz w:val="26"/>
        </w:rPr>
        <w:t xml:space="preserve">words and phrases according to </w:t>
      </w:r>
      <w:r w:rsidR="007E1793">
        <w:rPr>
          <w:sz w:val="26"/>
        </w:rPr>
        <w:t xml:space="preserve">the </w:t>
      </w:r>
      <w:r w:rsidR="007E1793" w:rsidRPr="003A5030">
        <w:rPr>
          <w:sz w:val="26"/>
        </w:rPr>
        <w:t>rules of grammar and according to their</w:t>
      </w:r>
      <w:r w:rsidR="007E1793">
        <w:rPr>
          <w:sz w:val="26"/>
        </w:rPr>
        <w:t xml:space="preserve"> </w:t>
      </w:r>
      <w:r w:rsidR="007E1793" w:rsidRPr="003A5030">
        <w:rPr>
          <w:sz w:val="26"/>
        </w:rPr>
        <w:t>common and approved usage</w:t>
      </w:r>
      <w:r w:rsidR="007E1793">
        <w:rPr>
          <w:sz w:val="26"/>
        </w:rPr>
        <w:t>, and may use standard dictionary definitions to do so</w:t>
      </w:r>
      <w:r w:rsidR="007E1793" w:rsidRPr="003A5030">
        <w:rPr>
          <w:sz w:val="26"/>
        </w:rPr>
        <w:t xml:space="preserve">. </w:t>
      </w:r>
      <w:r w:rsidR="007E1793">
        <w:rPr>
          <w:sz w:val="26"/>
        </w:rPr>
        <w:t xml:space="preserve"> </w:t>
      </w:r>
      <w:r w:rsidR="007E1793" w:rsidRPr="003A5030">
        <w:rPr>
          <w:sz w:val="26"/>
        </w:rPr>
        <w:t xml:space="preserve">1 Pa. C.S. § 1903(a); </w:t>
      </w:r>
      <w:r w:rsidR="007E1793" w:rsidRPr="003A5030">
        <w:rPr>
          <w:i/>
          <w:iCs/>
          <w:sz w:val="26"/>
        </w:rPr>
        <w:t xml:space="preserve">SugarHouse HSP Gaming, L.P. </w:t>
      </w:r>
      <w:r w:rsidR="007E1793" w:rsidRPr="00814260">
        <w:rPr>
          <w:i/>
          <w:iCs/>
          <w:sz w:val="26"/>
          <w:szCs w:val="23"/>
        </w:rPr>
        <w:t>v</w:t>
      </w:r>
      <w:r w:rsidR="007E1793" w:rsidRPr="003A5030">
        <w:rPr>
          <w:sz w:val="26"/>
          <w:szCs w:val="23"/>
        </w:rPr>
        <w:t>.</w:t>
      </w:r>
      <w:r w:rsidR="007E1793">
        <w:rPr>
          <w:sz w:val="26"/>
          <w:szCs w:val="23"/>
        </w:rPr>
        <w:t xml:space="preserve"> </w:t>
      </w:r>
      <w:r w:rsidR="007E1793" w:rsidRPr="003A5030">
        <w:rPr>
          <w:i/>
          <w:iCs/>
          <w:sz w:val="26"/>
        </w:rPr>
        <w:t>Pennsylvania Gaming Control Bd</w:t>
      </w:r>
      <w:r>
        <w:rPr>
          <w:i/>
          <w:iCs/>
          <w:sz w:val="26"/>
        </w:rPr>
        <w:t>.</w:t>
      </w:r>
      <w:r w:rsidR="007E1793" w:rsidRPr="008E1AD5">
        <w:rPr>
          <w:sz w:val="26"/>
        </w:rPr>
        <w:t>,</w:t>
      </w:r>
      <w:r w:rsidR="007E1793" w:rsidRPr="003A5030">
        <w:rPr>
          <w:i/>
          <w:iCs/>
          <w:sz w:val="26"/>
        </w:rPr>
        <w:t xml:space="preserve"> </w:t>
      </w:r>
      <w:r w:rsidR="007E1793" w:rsidRPr="003A5030">
        <w:rPr>
          <w:sz w:val="26"/>
        </w:rPr>
        <w:t>640 Pa. 169, 162 A.3d 353, 376 (2017)</w:t>
      </w:r>
      <w:r w:rsidR="007E1793">
        <w:rPr>
          <w:sz w:val="26"/>
        </w:rPr>
        <w:t>.</w:t>
      </w:r>
      <w:r w:rsidR="00814260">
        <w:rPr>
          <w:sz w:val="26"/>
        </w:rPr>
        <w:t xml:space="preserve"> </w:t>
      </w:r>
      <w:r>
        <w:rPr>
          <w:sz w:val="26"/>
        </w:rPr>
        <w:t xml:space="preserve"> </w:t>
      </w:r>
      <w:r w:rsidR="007E1793">
        <w:rPr>
          <w:sz w:val="26"/>
        </w:rPr>
        <w:t>T</w:t>
      </w:r>
      <w:r w:rsidR="007E1793" w:rsidRPr="003A5030">
        <w:rPr>
          <w:sz w:val="26"/>
        </w:rPr>
        <w:t xml:space="preserve">he term </w:t>
      </w:r>
      <w:r w:rsidR="007E1793">
        <w:rPr>
          <w:sz w:val="26"/>
        </w:rPr>
        <w:t>“</w:t>
      </w:r>
      <w:r w:rsidR="007E1793" w:rsidRPr="003A5030">
        <w:rPr>
          <w:sz w:val="26"/>
        </w:rPr>
        <w:t>consider</w:t>
      </w:r>
      <w:r w:rsidR="007E1793">
        <w:rPr>
          <w:sz w:val="26"/>
        </w:rPr>
        <w:t>”</w:t>
      </w:r>
      <w:r w:rsidR="007E1793" w:rsidRPr="003A5030">
        <w:rPr>
          <w:sz w:val="26"/>
        </w:rPr>
        <w:t xml:space="preserve"> ordinarily means </w:t>
      </w:r>
      <w:r w:rsidR="007E1793">
        <w:rPr>
          <w:sz w:val="26"/>
        </w:rPr>
        <w:t>“</w:t>
      </w:r>
      <w:r w:rsidR="007E1793" w:rsidRPr="003A5030">
        <w:rPr>
          <w:sz w:val="26"/>
        </w:rPr>
        <w:t>to</w:t>
      </w:r>
      <w:r w:rsidR="007E1793">
        <w:rPr>
          <w:sz w:val="26"/>
        </w:rPr>
        <w:t xml:space="preserve"> </w:t>
      </w:r>
      <w:r w:rsidR="007E1793" w:rsidRPr="003A5030">
        <w:rPr>
          <w:sz w:val="26"/>
        </w:rPr>
        <w:t>think about carefully</w:t>
      </w:r>
      <w:r>
        <w:rPr>
          <w:sz w:val="26"/>
        </w:rPr>
        <w:t>,</w:t>
      </w:r>
      <w:r w:rsidR="007E1793">
        <w:rPr>
          <w:sz w:val="26"/>
        </w:rPr>
        <w:t>”</w:t>
      </w:r>
      <w:r w:rsidR="007E1793" w:rsidRPr="003A5030">
        <w:rPr>
          <w:sz w:val="26"/>
        </w:rPr>
        <w:t xml:space="preserve"> especially </w:t>
      </w:r>
      <w:r w:rsidR="007E1793">
        <w:rPr>
          <w:sz w:val="26"/>
        </w:rPr>
        <w:t>“</w:t>
      </w:r>
      <w:r w:rsidR="007E1793" w:rsidRPr="003A5030">
        <w:rPr>
          <w:sz w:val="26"/>
        </w:rPr>
        <w:t>with re</w:t>
      </w:r>
      <w:r w:rsidR="007E1793">
        <w:rPr>
          <w:sz w:val="26"/>
        </w:rPr>
        <w:t>gard</w:t>
      </w:r>
      <w:r w:rsidR="007E1793" w:rsidRPr="003A5030">
        <w:rPr>
          <w:sz w:val="26"/>
        </w:rPr>
        <w:t xml:space="preserve"> to taking some action,</w:t>
      </w:r>
      <w:r w:rsidR="007E1793">
        <w:rPr>
          <w:sz w:val="26"/>
        </w:rPr>
        <w:t>”</w:t>
      </w:r>
      <w:r w:rsidR="007E1793" w:rsidRPr="003A5030">
        <w:rPr>
          <w:sz w:val="26"/>
        </w:rPr>
        <w:t xml:space="preserve"> or to </w:t>
      </w:r>
      <w:r w:rsidR="007E1793">
        <w:rPr>
          <w:sz w:val="26"/>
        </w:rPr>
        <w:t>“</w:t>
      </w:r>
      <w:r w:rsidR="007E1793" w:rsidRPr="003A5030">
        <w:rPr>
          <w:sz w:val="26"/>
        </w:rPr>
        <w:t>take into account</w:t>
      </w:r>
      <w:r w:rsidR="007E1793">
        <w:rPr>
          <w:sz w:val="26"/>
        </w:rPr>
        <w:t>.”</w:t>
      </w:r>
      <w:r w:rsidR="007E1793" w:rsidRPr="003A5030">
        <w:rPr>
          <w:sz w:val="26"/>
        </w:rPr>
        <w:t xml:space="preserve"> </w:t>
      </w:r>
      <w:r w:rsidR="007E1793">
        <w:rPr>
          <w:sz w:val="26"/>
        </w:rPr>
        <w:t xml:space="preserve"> </w:t>
      </w:r>
      <w:r w:rsidR="007E1793" w:rsidRPr="003A5030">
        <w:rPr>
          <w:i/>
          <w:iCs/>
          <w:sz w:val="26"/>
        </w:rPr>
        <w:t>Merriam-Webster</w:t>
      </w:r>
      <w:r w:rsidR="007E1793">
        <w:rPr>
          <w:i/>
          <w:iCs/>
          <w:sz w:val="26"/>
        </w:rPr>
        <w:t>’s</w:t>
      </w:r>
      <w:r w:rsidR="007E1793" w:rsidRPr="003A5030">
        <w:rPr>
          <w:i/>
          <w:iCs/>
          <w:sz w:val="26"/>
        </w:rPr>
        <w:t xml:space="preserve"> Collegiate Dictionary </w:t>
      </w:r>
      <w:r w:rsidR="007E1793" w:rsidRPr="003A5030">
        <w:rPr>
          <w:sz w:val="26"/>
        </w:rPr>
        <w:t>at 265-66 (11th ed. 2007).</w:t>
      </w:r>
    </w:p>
    <w:p w14:paraId="1D0844DB" w14:textId="77777777" w:rsidR="007E1793" w:rsidRDefault="007E1793" w:rsidP="008E1AD5">
      <w:pPr>
        <w:ind w:firstLine="720"/>
        <w:textAlignment w:val="baseline"/>
        <w:rPr>
          <w:sz w:val="26"/>
        </w:rPr>
      </w:pPr>
    </w:p>
    <w:p w14:paraId="61464ADE" w14:textId="602A41EF" w:rsidR="007E1793" w:rsidRDefault="003C1C19" w:rsidP="008E1AD5">
      <w:pPr>
        <w:rPr>
          <w:sz w:val="26"/>
        </w:rPr>
      </w:pPr>
      <w:r>
        <w:rPr>
          <w:sz w:val="26"/>
          <w:szCs w:val="26"/>
          <w:lang w:val="en"/>
        </w:rPr>
        <w:t>While</w:t>
      </w:r>
      <w:r w:rsidR="007E1793">
        <w:rPr>
          <w:sz w:val="26"/>
          <w:szCs w:val="26"/>
          <w:lang w:val="en"/>
        </w:rPr>
        <w:t xml:space="preserve"> the Regulation is clear that individual “consideration” is mandated, the Regulation does not provide guidance regarding the type and extent of </w:t>
      </w:r>
      <w:r>
        <w:rPr>
          <w:sz w:val="26"/>
          <w:szCs w:val="26"/>
          <w:lang w:val="en"/>
        </w:rPr>
        <w:t>actions</w:t>
      </w:r>
      <w:r w:rsidR="007E1793">
        <w:rPr>
          <w:sz w:val="26"/>
          <w:szCs w:val="26"/>
          <w:lang w:val="en"/>
        </w:rPr>
        <w:t xml:space="preserve"> an NGDC is required to </w:t>
      </w:r>
      <w:r>
        <w:rPr>
          <w:sz w:val="26"/>
          <w:szCs w:val="26"/>
          <w:lang w:val="en"/>
        </w:rPr>
        <w:t>engage in</w:t>
      </w:r>
      <w:r w:rsidR="007E1793">
        <w:rPr>
          <w:sz w:val="26"/>
          <w:szCs w:val="26"/>
          <w:lang w:val="en"/>
        </w:rPr>
        <w:t xml:space="preserve"> </w:t>
      </w:r>
      <w:r>
        <w:rPr>
          <w:sz w:val="26"/>
          <w:szCs w:val="26"/>
          <w:lang w:val="en"/>
        </w:rPr>
        <w:t xml:space="preserve">in order to constitute consideration </w:t>
      </w:r>
      <w:r w:rsidR="007E1793">
        <w:rPr>
          <w:sz w:val="26"/>
          <w:szCs w:val="26"/>
          <w:lang w:val="en"/>
        </w:rPr>
        <w:t>o</w:t>
      </w:r>
      <w:r>
        <w:rPr>
          <w:sz w:val="26"/>
          <w:szCs w:val="26"/>
          <w:lang w:val="en"/>
        </w:rPr>
        <w:t>f</w:t>
      </w:r>
      <w:r w:rsidR="007E1793">
        <w:rPr>
          <w:sz w:val="26"/>
          <w:szCs w:val="26"/>
          <w:lang w:val="en"/>
        </w:rPr>
        <w:t xml:space="preserve"> inside meter placement in historic districts.  </w:t>
      </w:r>
      <w:r w:rsidR="007E1793" w:rsidRPr="005A4969">
        <w:rPr>
          <w:sz w:val="26"/>
          <w:szCs w:val="26"/>
          <w:lang w:val="en"/>
        </w:rPr>
        <w:t xml:space="preserve">When the words of a statute are not explicit, we may consider other matters in ascertaining legislative intent, including, among other things, the occasion and necessity for the statute, the circumstances under which it was enacted, the object to be attained, the former law, including other statutes on the same or similar subjects, and legislative and administrative interpretations of the statute.  1 Pa. C.S. § 1921(c).  </w:t>
      </w:r>
      <w:r w:rsidR="007E1793">
        <w:rPr>
          <w:sz w:val="26"/>
        </w:rPr>
        <w:t xml:space="preserve">Statutory language is considered ambiguous when a pertinent provision is susceptible to more than one reasonable interpretation or when the language is vague, uncertain, or indefinite.  </w:t>
      </w:r>
      <w:r w:rsidR="007E1793" w:rsidRPr="00E31667">
        <w:rPr>
          <w:i/>
          <w:sz w:val="26"/>
        </w:rPr>
        <w:t>Adams Outdoor Advertising, L.P. v. Zoning Hearing Bd</w:t>
      </w:r>
      <w:r w:rsidR="007E1793">
        <w:rPr>
          <w:i/>
          <w:sz w:val="26"/>
        </w:rPr>
        <w:t>.</w:t>
      </w:r>
      <w:r w:rsidR="007E1793" w:rsidRPr="00E31667">
        <w:rPr>
          <w:i/>
          <w:sz w:val="26"/>
        </w:rPr>
        <w:t xml:space="preserve"> of Smithfield Twp</w:t>
      </w:r>
      <w:r w:rsidR="007E1793">
        <w:rPr>
          <w:i/>
          <w:sz w:val="26"/>
        </w:rPr>
        <w:t>.</w:t>
      </w:r>
      <w:r w:rsidR="007E1793">
        <w:rPr>
          <w:sz w:val="26"/>
        </w:rPr>
        <w:t xml:space="preserve">, 909 A.2d 469, 483 (Pa. Cmwlth. 2006); </w:t>
      </w:r>
      <w:r w:rsidR="007E1793" w:rsidRPr="00E31667">
        <w:rPr>
          <w:i/>
          <w:sz w:val="26"/>
        </w:rPr>
        <w:t>Barash v. Pa. PUC</w:t>
      </w:r>
      <w:r w:rsidR="007E1793">
        <w:rPr>
          <w:sz w:val="26"/>
        </w:rPr>
        <w:t xml:space="preserve">, 516 Pa. 142, 532 A.2d 325, 332 (1987).  Here, the type and amount of consideration that is required under Section 59.18(d)(1)(ii) is uncertain, and the Parties’ positions are on opposite ends of the spectrum regarding the meaning of consideration within the Regulation.  </w:t>
      </w:r>
      <w:r w:rsidR="007E1793">
        <w:rPr>
          <w:color w:val="000000"/>
          <w:sz w:val="26"/>
        </w:rPr>
        <w:t xml:space="preserve">UGI argues that it has the discretion to determine the location of meters, and </w:t>
      </w:r>
      <w:r w:rsidR="007E1793" w:rsidRPr="003D4B17">
        <w:rPr>
          <w:color w:val="000000"/>
          <w:sz w:val="26"/>
        </w:rPr>
        <w:t xml:space="preserve">the general rule </w:t>
      </w:r>
      <w:r w:rsidR="007E1793">
        <w:rPr>
          <w:color w:val="000000"/>
          <w:sz w:val="26"/>
        </w:rPr>
        <w:t xml:space="preserve">under the Regulation </w:t>
      </w:r>
      <w:r w:rsidR="007E1793" w:rsidRPr="003D4B17">
        <w:rPr>
          <w:color w:val="000000"/>
          <w:sz w:val="26"/>
        </w:rPr>
        <w:t xml:space="preserve">requiring outside meter placement applies to </w:t>
      </w:r>
      <w:r w:rsidR="007E1793">
        <w:rPr>
          <w:color w:val="000000"/>
          <w:sz w:val="26"/>
        </w:rPr>
        <w:t xml:space="preserve">both </w:t>
      </w:r>
      <w:r w:rsidR="007E1793" w:rsidRPr="003D4B17">
        <w:rPr>
          <w:color w:val="000000"/>
          <w:sz w:val="26"/>
        </w:rPr>
        <w:t>historic and non-historic districts, unless outside meter placement is otherwise prohibited or not feasible under the Commission</w:t>
      </w:r>
      <w:r w:rsidR="007E1793">
        <w:rPr>
          <w:color w:val="000000"/>
          <w:sz w:val="26"/>
        </w:rPr>
        <w:t>’</w:t>
      </w:r>
      <w:r w:rsidR="007E1793" w:rsidRPr="003D4B17">
        <w:rPr>
          <w:color w:val="000000"/>
          <w:sz w:val="26"/>
        </w:rPr>
        <w:t xml:space="preserve">s </w:t>
      </w:r>
      <w:r w:rsidR="007E1793">
        <w:rPr>
          <w:color w:val="000000"/>
          <w:sz w:val="26"/>
        </w:rPr>
        <w:t>R</w:t>
      </w:r>
      <w:r w:rsidR="007E1793" w:rsidRPr="003D4B17">
        <w:rPr>
          <w:color w:val="000000"/>
          <w:sz w:val="26"/>
        </w:rPr>
        <w:t>egulations</w:t>
      </w:r>
      <w:r w:rsidR="007E1793">
        <w:rPr>
          <w:color w:val="000000"/>
          <w:sz w:val="26"/>
        </w:rPr>
        <w:t xml:space="preserve">.  On the other hand, the City argues that </w:t>
      </w:r>
      <w:r w:rsidR="007E1793">
        <w:rPr>
          <w:sz w:val="26"/>
          <w:szCs w:val="26"/>
        </w:rPr>
        <w:t xml:space="preserve">UGI should be required to relocate all meters in historic districts that have been </w:t>
      </w:r>
      <w:r w:rsidR="007E1793">
        <w:rPr>
          <w:sz w:val="26"/>
          <w:szCs w:val="26"/>
        </w:rPr>
        <w:lastRenderedPageBreak/>
        <w:t>placed outside to inside locations, except where UGI establishes a greater safety risk than in similarly situated historic properties.</w:t>
      </w:r>
    </w:p>
    <w:p w14:paraId="60B30129" w14:textId="77777777" w:rsidR="007E1793" w:rsidRDefault="007E1793" w:rsidP="008E1AD5">
      <w:pPr>
        <w:rPr>
          <w:sz w:val="26"/>
        </w:rPr>
      </w:pPr>
    </w:p>
    <w:p w14:paraId="4E406BEB" w14:textId="67F20E27" w:rsidR="007E1793" w:rsidRDefault="007E1793" w:rsidP="008E1AD5">
      <w:pPr>
        <w:rPr>
          <w:sz w:val="26"/>
          <w:szCs w:val="26"/>
        </w:rPr>
      </w:pPr>
      <w:r>
        <w:rPr>
          <w:sz w:val="26"/>
        </w:rPr>
        <w:t xml:space="preserve">Accordingly, we find it appropriate to </w:t>
      </w:r>
      <w:r w:rsidR="009A1BA9">
        <w:rPr>
          <w:sz w:val="26"/>
        </w:rPr>
        <w:t xml:space="preserve">refer </w:t>
      </w:r>
      <w:r w:rsidR="00D67C49">
        <w:rPr>
          <w:sz w:val="26"/>
        </w:rPr>
        <w:t xml:space="preserve">to </w:t>
      </w:r>
      <w:r w:rsidR="003877D8">
        <w:rPr>
          <w:sz w:val="26"/>
        </w:rPr>
        <w:t>the discussion of</w:t>
      </w:r>
      <w:r>
        <w:rPr>
          <w:sz w:val="26"/>
        </w:rPr>
        <w:t xml:space="preserve"> Section 59.18 </w:t>
      </w:r>
      <w:r w:rsidR="003877D8">
        <w:rPr>
          <w:sz w:val="26"/>
        </w:rPr>
        <w:t xml:space="preserve">in our </w:t>
      </w:r>
      <w:r>
        <w:rPr>
          <w:sz w:val="26"/>
        </w:rPr>
        <w:t xml:space="preserve">implementation orders regarding our intention in promulgating the Regulation.  In promulgating Section 59.18, the Commission confirmed that a utility shall consider inside meter placement in historic districts with regard to individual properties (through notification to the customers or property owners), and that this </w:t>
      </w:r>
      <w:r w:rsidR="00F43666">
        <w:rPr>
          <w:sz w:val="26"/>
        </w:rPr>
        <w:t xml:space="preserve">consideration </w:t>
      </w:r>
      <w:r>
        <w:rPr>
          <w:sz w:val="26"/>
        </w:rPr>
        <w:t>is an exception to the general rule that meters be located outside.  We stated the following:</w:t>
      </w:r>
    </w:p>
    <w:p w14:paraId="1878F109" w14:textId="77777777" w:rsidR="007E1793" w:rsidRDefault="007E1793" w:rsidP="008E1AD5">
      <w:pPr>
        <w:rPr>
          <w:sz w:val="26"/>
          <w:szCs w:val="26"/>
        </w:rPr>
      </w:pPr>
    </w:p>
    <w:p w14:paraId="72C3B7DD" w14:textId="4C15CC5A" w:rsidR="007E1793" w:rsidRPr="00B74658" w:rsidRDefault="007E1793" w:rsidP="008E1AD5">
      <w:pPr>
        <w:spacing w:line="240" w:lineRule="auto"/>
        <w:ind w:left="1440" w:right="1440" w:firstLine="0"/>
        <w:rPr>
          <w:sz w:val="26"/>
          <w:szCs w:val="26"/>
        </w:rPr>
      </w:pPr>
      <w:r>
        <w:rPr>
          <w:sz w:val="26"/>
          <w:szCs w:val="26"/>
        </w:rPr>
        <w:t>T</w:t>
      </w:r>
      <w:r w:rsidRPr="000512EE">
        <w:rPr>
          <w:sz w:val="26"/>
          <w:szCs w:val="26"/>
        </w:rPr>
        <w:t>he general rule of the regulation under paragraph (a)(1) is that meters and regulators shall be located outside unless otherwise allowed or required in the regulation.  This subsection and paragraph identifies situations where an inside meter will be considered.  We agree that the regulation does contain provisions that delegate discretion to the utility in making a determination with respect to locating an outside meter.  Although we believe that it is necessary that</w:t>
      </w:r>
      <w:r>
        <w:rPr>
          <w:sz w:val="26"/>
          <w:szCs w:val="26"/>
        </w:rPr>
        <w:t xml:space="preserve">, due to its public safety obligations, </w:t>
      </w:r>
      <w:r w:rsidRPr="000512EE">
        <w:rPr>
          <w:sz w:val="26"/>
          <w:szCs w:val="26"/>
        </w:rPr>
        <w:t>the utility be allowed to make the final decision, this decision to locate a meter inside is not without direction.  The regulation does provide, in effect, guidelines that must be followed.  If an outside meter is not going to become available because of certain restrictions, then an inside meter location must be considered, and that does not appear to us to be ambiguous.</w:t>
      </w:r>
    </w:p>
    <w:p w14:paraId="59719211" w14:textId="77777777" w:rsidR="007E1793" w:rsidRDefault="007E1793" w:rsidP="008E1AD5">
      <w:pPr>
        <w:ind w:firstLine="0"/>
        <w:rPr>
          <w:sz w:val="26"/>
        </w:rPr>
      </w:pPr>
    </w:p>
    <w:p w14:paraId="74FD8EE2" w14:textId="7B4D7EE5" w:rsidR="00F43666" w:rsidRDefault="007E1793" w:rsidP="008E1AD5">
      <w:pPr>
        <w:ind w:firstLine="0"/>
        <w:rPr>
          <w:spacing w:val="-3"/>
          <w:sz w:val="26"/>
        </w:rPr>
      </w:pPr>
      <w:r w:rsidRPr="009A2119">
        <w:rPr>
          <w:i/>
          <w:iCs/>
          <w:sz w:val="26"/>
        </w:rPr>
        <w:t>Final Rulemaking Order</w:t>
      </w:r>
      <w:r>
        <w:rPr>
          <w:sz w:val="26"/>
        </w:rPr>
        <w:t xml:space="preserve"> at 45-46; </w:t>
      </w:r>
      <w:r w:rsidR="00F43666">
        <w:rPr>
          <w:sz w:val="26"/>
        </w:rPr>
        <w:t>s</w:t>
      </w:r>
      <w:r w:rsidRPr="00697133">
        <w:rPr>
          <w:i/>
          <w:iCs/>
          <w:sz w:val="26"/>
        </w:rPr>
        <w:t>ee also Final Rulemaking Order</w:t>
      </w:r>
      <w:r>
        <w:rPr>
          <w:sz w:val="26"/>
        </w:rPr>
        <w:t xml:space="preserve"> at 30.  </w:t>
      </w:r>
      <w:r>
        <w:rPr>
          <w:spacing w:val="-3"/>
          <w:sz w:val="26"/>
        </w:rPr>
        <w:t>While the Commission has been clear that, due to a utility’s public safety obligations, utilities retain the discretion to make the final decision regarding meter location, such discretion is not unfettered</w:t>
      </w:r>
      <w:r w:rsidR="00F43666">
        <w:rPr>
          <w:spacing w:val="-3"/>
          <w:sz w:val="26"/>
        </w:rPr>
        <w:t xml:space="preserve"> for meters located within historic districts</w:t>
      </w:r>
      <w:r>
        <w:rPr>
          <w:spacing w:val="-3"/>
          <w:sz w:val="26"/>
        </w:rPr>
        <w:t>.</w:t>
      </w:r>
    </w:p>
    <w:p w14:paraId="3E5F65D8" w14:textId="77777777" w:rsidR="00F43666" w:rsidRDefault="00F43666" w:rsidP="008E1AD5">
      <w:pPr>
        <w:ind w:firstLine="0"/>
        <w:rPr>
          <w:spacing w:val="-3"/>
          <w:sz w:val="26"/>
        </w:rPr>
      </w:pPr>
    </w:p>
    <w:p w14:paraId="6CD2DF1D" w14:textId="670A0E1A" w:rsidR="007E1793" w:rsidRDefault="00F43666" w:rsidP="008E1AD5">
      <w:pPr>
        <w:ind w:firstLine="0"/>
        <w:rPr>
          <w:spacing w:val="-3"/>
          <w:sz w:val="26"/>
        </w:rPr>
      </w:pPr>
      <w:r>
        <w:rPr>
          <w:spacing w:val="-3"/>
          <w:sz w:val="26"/>
        </w:rPr>
        <w:tab/>
      </w:r>
      <w:r>
        <w:rPr>
          <w:spacing w:val="-3"/>
          <w:sz w:val="26"/>
        </w:rPr>
        <w:tab/>
      </w:r>
      <w:r w:rsidR="007E1793">
        <w:rPr>
          <w:spacing w:val="-3"/>
          <w:sz w:val="26"/>
        </w:rPr>
        <w:t>The Commission has also acknowledged a utility’s responsibility to ensure that it is providing reasonable and adequate service in making that decision.  In crafting the amendment to Section 59.18, we stated:</w:t>
      </w:r>
    </w:p>
    <w:p w14:paraId="70C65EF5" w14:textId="77777777" w:rsidR="0051725C" w:rsidRDefault="0051725C" w:rsidP="008E1AD5">
      <w:pPr>
        <w:ind w:firstLine="0"/>
        <w:rPr>
          <w:spacing w:val="-3"/>
          <w:sz w:val="26"/>
        </w:rPr>
      </w:pPr>
    </w:p>
    <w:p w14:paraId="0535CDED" w14:textId="3349119B" w:rsidR="007E1793" w:rsidRDefault="007E1793" w:rsidP="008E1AD5">
      <w:pPr>
        <w:spacing w:line="240" w:lineRule="auto"/>
        <w:ind w:left="1440" w:right="1440" w:firstLine="0"/>
        <w:rPr>
          <w:sz w:val="26"/>
        </w:rPr>
      </w:pPr>
      <w:r>
        <w:rPr>
          <w:sz w:val="26"/>
          <w:szCs w:val="26"/>
        </w:rPr>
        <w:t xml:space="preserve">[W]e further clarify that our jurisdiction over service and facilities is not confined to the distribution of energy but can include any and all acts related to that function.  </w:t>
      </w:r>
      <w:r w:rsidRPr="00517BE6">
        <w:rPr>
          <w:i/>
          <w:sz w:val="26"/>
          <w:szCs w:val="26"/>
        </w:rPr>
        <w:t>West Penn Power v. Pennsylvania Public Utility Commission</w:t>
      </w:r>
      <w:r>
        <w:rPr>
          <w:sz w:val="26"/>
          <w:szCs w:val="26"/>
        </w:rPr>
        <w:t>, 578 A.2d 75 (Pa. Cmwlth. 1990).  Therefore, we might very well find that meters located outside in a historic district are not in the public interest for a number of reasons.</w:t>
      </w:r>
    </w:p>
    <w:p w14:paraId="7C29A661" w14:textId="77777777" w:rsidR="00B37BB9" w:rsidRDefault="00B37BB9" w:rsidP="008E1AD5">
      <w:pPr>
        <w:spacing w:line="240" w:lineRule="auto"/>
        <w:ind w:left="1440" w:right="1440" w:firstLine="0"/>
        <w:rPr>
          <w:sz w:val="26"/>
        </w:rPr>
      </w:pPr>
    </w:p>
    <w:p w14:paraId="64E0DAA9" w14:textId="77777777" w:rsidR="00B37BB9" w:rsidRDefault="00B37BB9" w:rsidP="008E1AD5">
      <w:pPr>
        <w:spacing w:line="240" w:lineRule="auto"/>
        <w:ind w:left="1440" w:right="1440" w:firstLine="0"/>
        <w:rPr>
          <w:sz w:val="26"/>
        </w:rPr>
      </w:pPr>
    </w:p>
    <w:p w14:paraId="21317650" w14:textId="77777777" w:rsidR="007E1793" w:rsidRDefault="007E1793" w:rsidP="008E1AD5">
      <w:pPr>
        <w:ind w:firstLine="0"/>
        <w:rPr>
          <w:i/>
          <w:sz w:val="26"/>
        </w:rPr>
      </w:pPr>
      <w:r w:rsidRPr="00637A61">
        <w:rPr>
          <w:i/>
          <w:spacing w:val="-3"/>
          <w:sz w:val="26"/>
        </w:rPr>
        <w:t>Advance Notice of</w:t>
      </w:r>
      <w:r>
        <w:rPr>
          <w:spacing w:val="-3"/>
          <w:sz w:val="26"/>
        </w:rPr>
        <w:t xml:space="preserve"> </w:t>
      </w:r>
      <w:r w:rsidRPr="00F84C7E">
        <w:rPr>
          <w:i/>
          <w:sz w:val="26"/>
        </w:rPr>
        <w:t xml:space="preserve">Final Rulemaking Order: Rulemaking Re Amendment to </w:t>
      </w:r>
    </w:p>
    <w:p w14:paraId="0194AAA4" w14:textId="15352953" w:rsidR="007E1793" w:rsidRDefault="007E1793" w:rsidP="008E1AD5">
      <w:pPr>
        <w:ind w:firstLine="0"/>
        <w:rPr>
          <w:sz w:val="26"/>
        </w:rPr>
      </w:pPr>
      <w:r w:rsidRPr="00F84C7E">
        <w:rPr>
          <w:i/>
          <w:sz w:val="26"/>
        </w:rPr>
        <w:t>52 Pa. Code § 59.18 Meter Location</w:t>
      </w:r>
      <w:r>
        <w:rPr>
          <w:sz w:val="26"/>
        </w:rPr>
        <w:t>, Attachment 1 at 43, Docket No. L-2009-2107155 (Order entered September 13, 2013);</w:t>
      </w:r>
      <w:r>
        <w:rPr>
          <w:spacing w:val="-3"/>
          <w:sz w:val="26"/>
        </w:rPr>
        <w:t xml:space="preserve"> </w:t>
      </w:r>
      <w:r w:rsidRPr="00D80B12">
        <w:rPr>
          <w:i/>
          <w:sz w:val="26"/>
        </w:rPr>
        <w:t>see also Final Rulemaking Order</w:t>
      </w:r>
      <w:r>
        <w:rPr>
          <w:sz w:val="26"/>
        </w:rPr>
        <w:t xml:space="preserve"> at 30.</w:t>
      </w:r>
    </w:p>
    <w:p w14:paraId="3F63054F" w14:textId="77777777" w:rsidR="007E1793" w:rsidRDefault="007E1793" w:rsidP="008E1AD5">
      <w:pPr>
        <w:ind w:firstLine="0"/>
        <w:rPr>
          <w:sz w:val="26"/>
        </w:rPr>
      </w:pPr>
    </w:p>
    <w:p w14:paraId="54CF7639" w14:textId="337F099A" w:rsidR="007E1793" w:rsidRDefault="007E1793" w:rsidP="008E1AD5">
      <w:pPr>
        <w:rPr>
          <w:sz w:val="26"/>
        </w:rPr>
      </w:pPr>
      <w:r>
        <w:rPr>
          <w:sz w:val="26"/>
        </w:rPr>
        <w:t>We declined to develop requirements for relocating meters outside that applied specifically in historic districts, but we stated that NGDCs would be responsible for determining if</w:t>
      </w:r>
      <w:r w:rsidRPr="004372A1">
        <w:rPr>
          <w:sz w:val="26"/>
          <w:szCs w:val="26"/>
        </w:rPr>
        <w:t xml:space="preserve"> </w:t>
      </w:r>
      <w:r w:rsidRPr="000512EE">
        <w:rPr>
          <w:sz w:val="26"/>
          <w:szCs w:val="26"/>
        </w:rPr>
        <w:t>gas line improvements and meter location projects are located in historic areas</w:t>
      </w:r>
      <w:r>
        <w:rPr>
          <w:sz w:val="26"/>
        </w:rPr>
        <w:t>.  We stated as follows:</w:t>
      </w:r>
    </w:p>
    <w:p w14:paraId="35F75BCC" w14:textId="77777777" w:rsidR="00C96819" w:rsidRDefault="00C96819" w:rsidP="008E1AD5">
      <w:pPr>
        <w:spacing w:line="240" w:lineRule="auto"/>
        <w:ind w:left="1440" w:right="1440" w:firstLine="0"/>
        <w:rPr>
          <w:sz w:val="26"/>
          <w:szCs w:val="26"/>
        </w:rPr>
      </w:pPr>
    </w:p>
    <w:p w14:paraId="6D897AF2" w14:textId="2BA0387B" w:rsidR="007E1793" w:rsidRDefault="007E1793" w:rsidP="008E1AD5">
      <w:pPr>
        <w:spacing w:line="240" w:lineRule="auto"/>
        <w:ind w:left="1440" w:right="1440" w:firstLine="0"/>
        <w:rPr>
          <w:sz w:val="26"/>
          <w:szCs w:val="26"/>
        </w:rPr>
      </w:pPr>
      <w:r w:rsidRPr="000512EE">
        <w:rPr>
          <w:sz w:val="26"/>
          <w:szCs w:val="26"/>
        </w:rPr>
        <w:t>The recommendation has been made that the regulations should develop requirements for relocating meters and regulators outside in locally designated historic districts and provide alternatives for typical historic building types.  As we just indicated, we do have a number of guidelines for relocating meters outside which would apply to outside meters in locally designated historic districts.  We do</w:t>
      </w:r>
      <w:r>
        <w:rPr>
          <w:sz w:val="26"/>
          <w:szCs w:val="26"/>
        </w:rPr>
        <w:t xml:space="preserve"> believe</w:t>
      </w:r>
      <w:r w:rsidRPr="000512EE">
        <w:rPr>
          <w:sz w:val="26"/>
          <w:szCs w:val="26"/>
        </w:rPr>
        <w:t>, however, that the utility</w:t>
      </w:r>
      <w:r>
        <w:rPr>
          <w:sz w:val="26"/>
          <w:szCs w:val="26"/>
        </w:rPr>
        <w:t>,</w:t>
      </w:r>
      <w:r w:rsidRPr="000512EE">
        <w:rPr>
          <w:sz w:val="26"/>
          <w:szCs w:val="26"/>
        </w:rPr>
        <w:t xml:space="preserve"> in applying the regulation</w:t>
      </w:r>
      <w:r>
        <w:rPr>
          <w:sz w:val="26"/>
          <w:szCs w:val="26"/>
        </w:rPr>
        <w:t>,</w:t>
      </w:r>
      <w:r w:rsidRPr="000512EE">
        <w:rPr>
          <w:sz w:val="26"/>
          <w:szCs w:val="26"/>
        </w:rPr>
        <w:t xml:space="preserve"> has an obligation to </w:t>
      </w:r>
      <w:bookmarkStart w:id="2" w:name="_Hlk19887960"/>
      <w:r w:rsidRPr="000512EE">
        <w:rPr>
          <w:sz w:val="26"/>
          <w:szCs w:val="26"/>
        </w:rPr>
        <w:t>know whether gas line improvements and meter location projects are located in historic areas</w:t>
      </w:r>
      <w:bookmarkEnd w:id="2"/>
      <w:r w:rsidRPr="000512EE">
        <w:rPr>
          <w:sz w:val="26"/>
          <w:szCs w:val="26"/>
        </w:rPr>
        <w:t>.  This is a burden that any property owner or contractor would probably have in undertaking exterior improvements in an historic district, since the local municipality may require prior approval before a building permit is issued.</w:t>
      </w:r>
    </w:p>
    <w:p w14:paraId="4E3E8DF3" w14:textId="77777777" w:rsidR="007E1793" w:rsidRDefault="007E1793" w:rsidP="008E1AD5">
      <w:pPr>
        <w:spacing w:line="240" w:lineRule="auto"/>
        <w:ind w:left="1440" w:right="1440" w:firstLine="0"/>
        <w:rPr>
          <w:sz w:val="26"/>
          <w:szCs w:val="26"/>
        </w:rPr>
      </w:pPr>
    </w:p>
    <w:p w14:paraId="50D87CD1" w14:textId="77777777" w:rsidR="003B551A" w:rsidRDefault="003B551A" w:rsidP="008E1AD5">
      <w:pPr>
        <w:ind w:firstLine="0"/>
        <w:rPr>
          <w:i/>
          <w:iCs/>
          <w:sz w:val="26"/>
          <w:szCs w:val="26"/>
        </w:rPr>
      </w:pPr>
    </w:p>
    <w:p w14:paraId="1C393A17" w14:textId="3CA390DD" w:rsidR="00C96819" w:rsidRDefault="007E1793" w:rsidP="008E1AD5">
      <w:pPr>
        <w:ind w:firstLine="0"/>
        <w:rPr>
          <w:sz w:val="26"/>
          <w:szCs w:val="26"/>
        </w:rPr>
      </w:pPr>
      <w:r w:rsidRPr="00B64388">
        <w:rPr>
          <w:i/>
          <w:iCs/>
          <w:sz w:val="26"/>
          <w:szCs w:val="26"/>
        </w:rPr>
        <w:t>Final Rulemaking Order</w:t>
      </w:r>
      <w:r>
        <w:rPr>
          <w:sz w:val="26"/>
          <w:szCs w:val="26"/>
        </w:rPr>
        <w:t xml:space="preserve"> at 31.</w:t>
      </w:r>
    </w:p>
    <w:p w14:paraId="5A7647DD" w14:textId="77777777" w:rsidR="007E1793" w:rsidRDefault="007E1793" w:rsidP="008E1AD5">
      <w:pPr>
        <w:ind w:firstLine="0"/>
        <w:rPr>
          <w:sz w:val="26"/>
          <w:szCs w:val="26"/>
        </w:rPr>
      </w:pPr>
      <w:r>
        <w:rPr>
          <w:sz w:val="26"/>
          <w:szCs w:val="26"/>
        </w:rPr>
        <w:t xml:space="preserve"> </w:t>
      </w:r>
    </w:p>
    <w:p w14:paraId="06AFDC61" w14:textId="69F94161" w:rsidR="007E1793" w:rsidRDefault="007E1793" w:rsidP="008E1AD5">
      <w:pPr>
        <w:autoSpaceDE w:val="0"/>
        <w:autoSpaceDN w:val="0"/>
        <w:adjustRightInd w:val="0"/>
        <w:ind w:firstLine="0"/>
        <w:rPr>
          <w:color w:val="000000"/>
          <w:sz w:val="26"/>
          <w:szCs w:val="26"/>
        </w:rPr>
      </w:pPr>
      <w:r>
        <w:rPr>
          <w:sz w:val="26"/>
        </w:rPr>
        <w:lastRenderedPageBreak/>
        <w:t xml:space="preserve"> </w:t>
      </w:r>
      <w:r w:rsidRPr="008C3D56">
        <w:rPr>
          <w:sz w:val="26"/>
        </w:rPr>
        <w:t xml:space="preserve">  </w:t>
      </w:r>
      <w:r>
        <w:rPr>
          <w:sz w:val="26"/>
        </w:rPr>
        <w:tab/>
      </w:r>
      <w:r>
        <w:rPr>
          <w:sz w:val="26"/>
        </w:rPr>
        <w:tab/>
        <w:t xml:space="preserve">In applying these consideration </w:t>
      </w:r>
      <w:r w:rsidR="00A56E76">
        <w:rPr>
          <w:sz w:val="26"/>
        </w:rPr>
        <w:t>requirements</w:t>
      </w:r>
      <w:r>
        <w:rPr>
          <w:sz w:val="26"/>
        </w:rPr>
        <w:t xml:space="preserve"> to the facts in this case, we conclude that the City Parties met their burden of proving that UGI did not give proper consideration to inside </w:t>
      </w:r>
      <w:r>
        <w:rPr>
          <w:color w:val="000000"/>
          <w:sz w:val="26"/>
          <w:szCs w:val="26"/>
        </w:rPr>
        <w:t xml:space="preserve">meter placements in historic districts, as required by Section 59.18(d)(ii), from 2014 until 2016.  The City established a </w:t>
      </w:r>
      <w:r w:rsidRPr="0083109C">
        <w:rPr>
          <w:i/>
          <w:iCs/>
          <w:color w:val="000000"/>
          <w:sz w:val="26"/>
          <w:szCs w:val="26"/>
        </w:rPr>
        <w:t>prima facie</w:t>
      </w:r>
      <w:r>
        <w:rPr>
          <w:color w:val="000000"/>
          <w:sz w:val="26"/>
          <w:szCs w:val="26"/>
        </w:rPr>
        <w:t xml:space="preserve"> case to demonstrate that UGI failed to provide the consideration the Commission intended in promulgating Section 59.18.  The City’s witness, Mr. Slifko</w:t>
      </w:r>
      <w:r w:rsidR="00A56E76">
        <w:rPr>
          <w:color w:val="000000"/>
          <w:sz w:val="26"/>
          <w:szCs w:val="26"/>
        </w:rPr>
        <w:t>,</w:t>
      </w:r>
      <w:r>
        <w:rPr>
          <w:color w:val="000000"/>
          <w:sz w:val="26"/>
          <w:szCs w:val="26"/>
        </w:rPr>
        <w:t xml:space="preserve"> </w:t>
      </w:r>
      <w:r w:rsidR="00E60CB3">
        <w:rPr>
          <w:color w:val="000000"/>
          <w:sz w:val="26"/>
          <w:szCs w:val="26"/>
        </w:rPr>
        <w:t xml:space="preserve">formerly </w:t>
      </w:r>
      <w:r w:rsidR="00A56E76">
        <w:rPr>
          <w:color w:val="000000"/>
          <w:sz w:val="26"/>
          <w:szCs w:val="26"/>
        </w:rPr>
        <w:t xml:space="preserve">Vice President of Reading City Council, </w:t>
      </w:r>
      <w:r>
        <w:rPr>
          <w:color w:val="000000"/>
          <w:sz w:val="26"/>
          <w:szCs w:val="26"/>
        </w:rPr>
        <w:t>testi</w:t>
      </w:r>
      <w:r w:rsidR="00A56E76">
        <w:rPr>
          <w:color w:val="000000"/>
          <w:sz w:val="26"/>
          <w:szCs w:val="26"/>
        </w:rPr>
        <w:t>fied</w:t>
      </w:r>
      <w:r>
        <w:rPr>
          <w:color w:val="000000"/>
          <w:sz w:val="26"/>
          <w:szCs w:val="26"/>
        </w:rPr>
        <w:t xml:space="preserve"> that out of the 1377 properties the City surveyed, only about thirty-five meters were placed inside, and in several of those instances, there was no space outside for meter placement.  Reading St. 1 at 18-19.  The City also presented evidence  of </w:t>
      </w:r>
      <w:r w:rsidR="00A56E76">
        <w:rPr>
          <w:color w:val="000000"/>
          <w:sz w:val="26"/>
          <w:szCs w:val="26"/>
        </w:rPr>
        <w:t xml:space="preserve">the </w:t>
      </w:r>
      <w:r>
        <w:rPr>
          <w:color w:val="000000"/>
          <w:sz w:val="26"/>
          <w:szCs w:val="26"/>
        </w:rPr>
        <w:t xml:space="preserve">standard thirty-day notification letters that UGI sent to customers residing in historic districts within the City, including customers in CPHD, before beginning a project.  One letter dated September 24, 2015, explained that UGI would be performing maintenance work on the natural gas facilities near the customer’s property and informed the customer that “if the meter and regulator are inside, we will need to move them outside due to company policy.”  City Exh. JS-10.  A second letter dated </w:t>
      </w:r>
      <w:bookmarkStart w:id="3" w:name="_Hlk20137382"/>
      <w:r>
        <w:rPr>
          <w:color w:val="000000"/>
          <w:sz w:val="26"/>
          <w:szCs w:val="26"/>
        </w:rPr>
        <w:t>January 30, 2017</w:t>
      </w:r>
      <w:bookmarkEnd w:id="3"/>
      <w:r>
        <w:rPr>
          <w:color w:val="000000"/>
          <w:sz w:val="26"/>
          <w:szCs w:val="26"/>
        </w:rPr>
        <w:t xml:space="preserve">, explained that UGI would be performing work on the natural gas facilities serving the customer’s residence and that if the customer’s “natural gas meter set is located inside the building where you live, it will be moved to a position outside the dwelling.”  City Exh. JS-12.  The City provided sufficient evidence to show that UGI was making a determination to move meters outside in historic districts without </w:t>
      </w:r>
      <w:r w:rsidR="00A61159">
        <w:rPr>
          <w:color w:val="000000"/>
          <w:sz w:val="26"/>
          <w:szCs w:val="26"/>
        </w:rPr>
        <w:t xml:space="preserve">first </w:t>
      </w:r>
      <w:r>
        <w:rPr>
          <w:color w:val="000000"/>
          <w:sz w:val="26"/>
          <w:szCs w:val="26"/>
        </w:rPr>
        <w:t xml:space="preserve">carefully thinking about placing meters in inside locations in historic districts </w:t>
      </w:r>
      <w:r w:rsidR="00A61159">
        <w:rPr>
          <w:color w:val="000000"/>
          <w:sz w:val="26"/>
          <w:szCs w:val="26"/>
        </w:rPr>
        <w:t>and without first discussing the inside location of meters with property owners or customers</w:t>
      </w:r>
      <w:r w:rsidR="006810EA">
        <w:rPr>
          <w:color w:val="000000"/>
          <w:sz w:val="26"/>
          <w:szCs w:val="26"/>
        </w:rPr>
        <w:t xml:space="preserve"> in historic districts</w:t>
      </w:r>
      <w:r>
        <w:rPr>
          <w:color w:val="000000"/>
          <w:sz w:val="26"/>
          <w:szCs w:val="26"/>
        </w:rPr>
        <w:t>.</w:t>
      </w:r>
    </w:p>
    <w:p w14:paraId="23A628B7" w14:textId="77777777" w:rsidR="003B551A" w:rsidRDefault="003B551A" w:rsidP="008E1AD5">
      <w:pPr>
        <w:autoSpaceDE w:val="0"/>
        <w:autoSpaceDN w:val="0"/>
        <w:adjustRightInd w:val="0"/>
        <w:ind w:firstLine="0"/>
        <w:rPr>
          <w:color w:val="000000"/>
          <w:sz w:val="26"/>
          <w:szCs w:val="26"/>
        </w:rPr>
      </w:pPr>
    </w:p>
    <w:p w14:paraId="3874C627" w14:textId="1A4E10F0" w:rsidR="007E1793" w:rsidRDefault="007E1793" w:rsidP="008E1AD5">
      <w:pPr>
        <w:autoSpaceDE w:val="0"/>
        <w:autoSpaceDN w:val="0"/>
        <w:adjustRightInd w:val="0"/>
        <w:ind w:firstLine="0"/>
        <w:rPr>
          <w:sz w:val="26"/>
        </w:rPr>
      </w:pPr>
      <w:r>
        <w:rPr>
          <w:color w:val="000000"/>
          <w:sz w:val="26"/>
          <w:szCs w:val="26"/>
        </w:rPr>
        <w:tab/>
      </w:r>
      <w:r>
        <w:rPr>
          <w:color w:val="000000"/>
          <w:sz w:val="26"/>
          <w:szCs w:val="26"/>
        </w:rPr>
        <w:tab/>
        <w:t xml:space="preserve">UGI did not provide sufficient evidence to rebut the City’s </w:t>
      </w:r>
      <w:r w:rsidR="00DC0B6E">
        <w:rPr>
          <w:color w:val="000000"/>
          <w:sz w:val="26"/>
          <w:szCs w:val="26"/>
        </w:rPr>
        <w:t>evidence</w:t>
      </w:r>
      <w:r>
        <w:rPr>
          <w:color w:val="000000"/>
          <w:sz w:val="26"/>
          <w:szCs w:val="26"/>
        </w:rPr>
        <w:t xml:space="preserve"> and, in fact, admitted that the Company did not initially give consideration to locating meters inside in historic districts</w:t>
      </w:r>
      <w:r w:rsidR="00DC0B6E">
        <w:rPr>
          <w:color w:val="000000"/>
          <w:sz w:val="26"/>
          <w:szCs w:val="26"/>
        </w:rPr>
        <w:t xml:space="preserve"> and did not treat meter location in historic districts any differently than meter location in other areas</w:t>
      </w:r>
      <w:r>
        <w:rPr>
          <w:color w:val="000000"/>
          <w:sz w:val="26"/>
          <w:szCs w:val="26"/>
        </w:rPr>
        <w:t xml:space="preserve">.  UGI’s witness Mr. Brown stated that the Company “initially exercised its discretion by considering and rejecting inside meter </w:t>
      </w:r>
      <w:r>
        <w:rPr>
          <w:color w:val="000000"/>
          <w:sz w:val="26"/>
          <w:szCs w:val="26"/>
        </w:rPr>
        <w:lastRenderedPageBreak/>
        <w:t>placements in non-federal historic districts and adopted standards for making meter placement in federal historic districts that did not differ from non-historic districts.”  Mr. Brown explained that this approach was reflected in the Company’s initial GOM rules and communications.  UGI St. 1 at 20.  UGI also provided evidence of the two versions of its GOM, one version that was effective from July 5, 2011, to July 30, 2016, and a revised, current version that has been effective since July 31, 2016.  UGI Exhs. CB-4 and CB-5.  Mr. Brown stated that the prior version of the Company’s GOM included a preference for outside meter locations and an inside meter location would only be considered with approval from the Manager of Engineering.  UGI St. 1 at 34.  The language in that GOM specifically provided as follows:  “Inside meter sets locations should only be considered when an acceptable outside location is not available, suitable or when protection from ambient temperatures is necessary to avoid meter freezing.  Inside meter locations require prior approval of the Manager of Engineering.”  UGI Exh. CB-4, Section 5.1.</w:t>
      </w:r>
    </w:p>
    <w:p w14:paraId="72E29F8E" w14:textId="77777777" w:rsidR="007E1793" w:rsidRDefault="007E1793" w:rsidP="008E1AD5">
      <w:pPr>
        <w:autoSpaceDE w:val="0"/>
        <w:autoSpaceDN w:val="0"/>
        <w:adjustRightInd w:val="0"/>
        <w:ind w:firstLine="0"/>
        <w:rPr>
          <w:sz w:val="26"/>
        </w:rPr>
      </w:pPr>
    </w:p>
    <w:p w14:paraId="7B0FFF2C" w14:textId="3FEC93D7" w:rsidR="007E1793" w:rsidRPr="00F878B5" w:rsidRDefault="007E1793" w:rsidP="008E1AD5">
      <w:pPr>
        <w:rPr>
          <w:sz w:val="26"/>
          <w:szCs w:val="26"/>
          <w:u w:val="single"/>
        </w:rPr>
      </w:pPr>
      <w:r>
        <w:rPr>
          <w:sz w:val="26"/>
        </w:rPr>
        <w:t xml:space="preserve">Under the circumstances, UGI did not comply with the mandate in our Regulation that </w:t>
      </w:r>
      <w:r w:rsidRPr="008C3D56">
        <w:rPr>
          <w:sz w:val="26"/>
        </w:rPr>
        <w:t xml:space="preserve">NGDCs </w:t>
      </w:r>
      <w:r w:rsidRPr="008C3D56">
        <w:rPr>
          <w:b/>
          <w:bCs/>
          <w:sz w:val="26"/>
        </w:rPr>
        <w:t xml:space="preserve">shall </w:t>
      </w:r>
      <w:r w:rsidRPr="008C3D56">
        <w:rPr>
          <w:sz w:val="26"/>
        </w:rPr>
        <w:t>consider inside meter locations in historic districts.  52 Pa. Code § 59.18(d)(1)(ii).</w:t>
      </w:r>
      <w:r>
        <w:rPr>
          <w:sz w:val="26"/>
        </w:rPr>
        <w:t xml:space="preserve">  Although the Regulation </w:t>
      </w:r>
      <w:r w:rsidR="00EB0D24">
        <w:rPr>
          <w:sz w:val="26"/>
        </w:rPr>
        <w:t>expressly</w:t>
      </w:r>
      <w:r>
        <w:rPr>
          <w:sz w:val="26"/>
        </w:rPr>
        <w:t xml:space="preserve"> states that all utilities must comply with the Regulation beginning on September 13, 2014, UGI continued to follow its prior GOM, which did not include any mention of consideration of inside meter locations in historic districts, until July 31, 2016.  </w:t>
      </w:r>
      <w:r>
        <w:rPr>
          <w:sz w:val="26"/>
          <w:szCs w:val="26"/>
        </w:rPr>
        <w:t>The Company was candid about applying the same meter location standards to all properties, whether they were located in historic or non-historic districts.  UGI presented some testimony indicating that it had met with customers to discuss the meter location projects, often through the Company’s construction foreman and construction supervisors, prior to the start of a project; however, the Company did not provide specific information regarding the time frames of these discussions, how many customers it h</w:t>
      </w:r>
      <w:r w:rsidR="00EB0D24">
        <w:rPr>
          <w:sz w:val="26"/>
          <w:szCs w:val="26"/>
        </w:rPr>
        <w:t>a</w:t>
      </w:r>
      <w:r>
        <w:rPr>
          <w:sz w:val="26"/>
          <w:szCs w:val="26"/>
        </w:rPr>
        <w:t xml:space="preserve">d discussions with, or whether the historic status of the properties was a part of these discussions.  </w:t>
      </w:r>
      <w:r w:rsidRPr="006859AC">
        <w:rPr>
          <w:i/>
          <w:iCs/>
          <w:sz w:val="26"/>
          <w:szCs w:val="26"/>
        </w:rPr>
        <w:t>See</w:t>
      </w:r>
      <w:r>
        <w:rPr>
          <w:sz w:val="26"/>
          <w:szCs w:val="26"/>
        </w:rPr>
        <w:t xml:space="preserve"> UGI St. 1 at 30-31; Tr. at 249-250, 285-286, 342.  Under the circumstances, we cannot conclude that UGI provided </w:t>
      </w:r>
      <w:r>
        <w:rPr>
          <w:sz w:val="26"/>
          <w:szCs w:val="26"/>
        </w:rPr>
        <w:lastRenderedPageBreak/>
        <w:t xml:space="preserve">individual consideration to properties within historic districts, and we shall deny UGI’s Exception on this issue.  In reaching our conclusion, we emphasize that it is based on the evidence before us that each Party </w:t>
      </w:r>
      <w:r w:rsidR="00633B9B">
        <w:rPr>
          <w:sz w:val="26"/>
          <w:szCs w:val="26"/>
        </w:rPr>
        <w:t xml:space="preserve">has </w:t>
      </w:r>
      <w:r>
        <w:rPr>
          <w:sz w:val="26"/>
          <w:szCs w:val="26"/>
        </w:rPr>
        <w:t>presented, and we are not establishing herein any new standards not already contained in the Regulation.</w:t>
      </w:r>
    </w:p>
    <w:p w14:paraId="2FBD2D1A" w14:textId="77777777" w:rsidR="005C154F" w:rsidRDefault="00A64D30" w:rsidP="008E1AD5">
      <w:pPr>
        <w:ind w:firstLine="0"/>
        <w:rPr>
          <w:b/>
          <w:bCs/>
          <w:color w:val="000000"/>
          <w:sz w:val="26"/>
          <w:szCs w:val="26"/>
        </w:rPr>
      </w:pPr>
      <w:r>
        <w:rPr>
          <w:b/>
          <w:bCs/>
          <w:color w:val="000000"/>
          <w:sz w:val="26"/>
          <w:szCs w:val="26"/>
        </w:rPr>
        <w:tab/>
      </w:r>
      <w:r>
        <w:rPr>
          <w:b/>
          <w:bCs/>
          <w:color w:val="000000"/>
          <w:sz w:val="26"/>
          <w:szCs w:val="26"/>
        </w:rPr>
        <w:tab/>
      </w:r>
    </w:p>
    <w:p w14:paraId="07780A80" w14:textId="77777777" w:rsidR="00A64D30" w:rsidRDefault="005C154F" w:rsidP="008E1AD5">
      <w:pPr>
        <w:spacing w:line="240" w:lineRule="auto"/>
        <w:ind w:firstLine="0"/>
        <w:rPr>
          <w:b/>
          <w:bCs/>
          <w:color w:val="000000"/>
          <w:sz w:val="26"/>
          <w:szCs w:val="26"/>
        </w:rPr>
      </w:pPr>
      <w:r>
        <w:rPr>
          <w:b/>
          <w:bCs/>
          <w:color w:val="000000"/>
          <w:sz w:val="26"/>
          <w:szCs w:val="26"/>
        </w:rPr>
        <w:tab/>
      </w:r>
      <w:r>
        <w:rPr>
          <w:b/>
          <w:bCs/>
          <w:color w:val="000000"/>
          <w:sz w:val="26"/>
          <w:szCs w:val="26"/>
        </w:rPr>
        <w:tab/>
      </w:r>
      <w:r w:rsidR="0088418C">
        <w:rPr>
          <w:b/>
          <w:bCs/>
          <w:color w:val="000000"/>
          <w:sz w:val="26"/>
          <w:szCs w:val="26"/>
        </w:rPr>
        <w:t>b.</w:t>
      </w:r>
      <w:r w:rsidR="0088418C">
        <w:rPr>
          <w:b/>
          <w:bCs/>
          <w:color w:val="000000"/>
          <w:sz w:val="26"/>
          <w:szCs w:val="26"/>
        </w:rPr>
        <w:tab/>
      </w:r>
      <w:r w:rsidR="00A64D30">
        <w:rPr>
          <w:b/>
          <w:bCs/>
          <w:color w:val="000000"/>
          <w:sz w:val="26"/>
          <w:szCs w:val="26"/>
        </w:rPr>
        <w:t>The City’s Exceptions Nos. 3, 8, 10, and 17</w:t>
      </w:r>
      <w:r w:rsidR="0051725C">
        <w:rPr>
          <w:b/>
          <w:bCs/>
          <w:color w:val="000000"/>
          <w:sz w:val="26"/>
          <w:szCs w:val="26"/>
        </w:rPr>
        <w:t>,</w:t>
      </w:r>
      <w:r w:rsidR="0088418C">
        <w:rPr>
          <w:b/>
          <w:bCs/>
          <w:color w:val="000000"/>
          <w:sz w:val="26"/>
          <w:szCs w:val="26"/>
        </w:rPr>
        <w:t xml:space="preserve"> UGI’s Replies</w:t>
      </w:r>
      <w:r w:rsidR="0051725C">
        <w:rPr>
          <w:b/>
          <w:bCs/>
          <w:color w:val="000000"/>
          <w:sz w:val="26"/>
          <w:szCs w:val="26"/>
        </w:rPr>
        <w:t xml:space="preserve">, and </w:t>
      </w:r>
      <w:r w:rsidR="0051725C">
        <w:rPr>
          <w:b/>
          <w:bCs/>
          <w:color w:val="000000"/>
          <w:sz w:val="26"/>
          <w:szCs w:val="26"/>
        </w:rPr>
        <w:tab/>
      </w:r>
      <w:r w:rsidR="0051725C">
        <w:rPr>
          <w:b/>
          <w:bCs/>
          <w:color w:val="000000"/>
          <w:sz w:val="26"/>
          <w:szCs w:val="26"/>
        </w:rPr>
        <w:tab/>
      </w:r>
      <w:r w:rsidR="0051725C">
        <w:rPr>
          <w:b/>
          <w:bCs/>
          <w:color w:val="000000"/>
          <w:sz w:val="26"/>
          <w:szCs w:val="26"/>
        </w:rPr>
        <w:tab/>
      </w:r>
      <w:r w:rsidR="0051725C">
        <w:rPr>
          <w:b/>
          <w:bCs/>
          <w:color w:val="000000"/>
          <w:sz w:val="26"/>
          <w:szCs w:val="26"/>
        </w:rPr>
        <w:tab/>
        <w:t>Disposition</w:t>
      </w:r>
    </w:p>
    <w:p w14:paraId="233791FD" w14:textId="77777777" w:rsidR="00A64D30" w:rsidRDefault="00A64D30" w:rsidP="008E1AD5">
      <w:pPr>
        <w:ind w:firstLine="0"/>
        <w:rPr>
          <w:b/>
          <w:bCs/>
          <w:color w:val="000000"/>
          <w:sz w:val="26"/>
          <w:szCs w:val="26"/>
        </w:rPr>
      </w:pPr>
    </w:p>
    <w:p w14:paraId="25E8674F" w14:textId="71F071F9" w:rsidR="0088418C" w:rsidRDefault="0088418C" w:rsidP="008E1AD5">
      <w:pPr>
        <w:ind w:firstLine="0"/>
        <w:rPr>
          <w:b/>
          <w:bCs/>
          <w:color w:val="000000"/>
          <w:sz w:val="26"/>
          <w:szCs w:val="26"/>
        </w:rPr>
      </w:pPr>
      <w:r>
        <w:rPr>
          <w:b/>
          <w:bCs/>
          <w:color w:val="000000"/>
          <w:sz w:val="26"/>
          <w:szCs w:val="26"/>
        </w:rPr>
        <w:tab/>
      </w:r>
      <w:r>
        <w:rPr>
          <w:b/>
          <w:bCs/>
          <w:color w:val="000000"/>
          <w:sz w:val="26"/>
          <w:szCs w:val="26"/>
        </w:rPr>
        <w:tab/>
      </w:r>
      <w:r>
        <w:rPr>
          <w:b/>
          <w:bCs/>
          <w:color w:val="000000"/>
          <w:sz w:val="26"/>
          <w:szCs w:val="26"/>
        </w:rPr>
        <w:tab/>
        <w:t>1.</w:t>
      </w:r>
      <w:r>
        <w:rPr>
          <w:b/>
          <w:bCs/>
          <w:color w:val="000000"/>
          <w:sz w:val="26"/>
          <w:szCs w:val="26"/>
        </w:rPr>
        <w:tab/>
        <w:t>The City’s Exceptions</w:t>
      </w:r>
    </w:p>
    <w:p w14:paraId="5FD017B7" w14:textId="77777777" w:rsidR="0088418C" w:rsidRDefault="0088418C" w:rsidP="008E1AD5">
      <w:pPr>
        <w:ind w:firstLine="0"/>
        <w:rPr>
          <w:b/>
          <w:bCs/>
          <w:color w:val="000000"/>
          <w:sz w:val="26"/>
          <w:szCs w:val="26"/>
        </w:rPr>
      </w:pPr>
    </w:p>
    <w:p w14:paraId="4D2AB566" w14:textId="3051599D" w:rsidR="001A3C26" w:rsidRDefault="00A64D30" w:rsidP="008E1AD5">
      <w:pPr>
        <w:pStyle w:val="Default"/>
        <w:tabs>
          <w:tab w:val="left" w:pos="720"/>
        </w:tabs>
        <w:spacing w:line="360" w:lineRule="auto"/>
        <w:rPr>
          <w:color w:val="auto"/>
          <w:sz w:val="26"/>
        </w:rPr>
      </w:pPr>
      <w:r>
        <w:rPr>
          <w:b/>
          <w:bCs/>
          <w:sz w:val="26"/>
          <w:szCs w:val="26"/>
        </w:rPr>
        <w:tab/>
      </w:r>
      <w:r>
        <w:rPr>
          <w:b/>
          <w:bCs/>
          <w:sz w:val="26"/>
          <w:szCs w:val="26"/>
        </w:rPr>
        <w:tab/>
      </w:r>
      <w:r w:rsidR="007A7B89">
        <w:rPr>
          <w:sz w:val="26"/>
          <w:szCs w:val="26"/>
        </w:rPr>
        <w:t xml:space="preserve">In </w:t>
      </w:r>
      <w:r w:rsidR="003E1724">
        <w:rPr>
          <w:sz w:val="26"/>
          <w:szCs w:val="26"/>
        </w:rPr>
        <w:t>its</w:t>
      </w:r>
      <w:r w:rsidR="007A7B89">
        <w:rPr>
          <w:sz w:val="26"/>
          <w:szCs w:val="26"/>
        </w:rPr>
        <w:t xml:space="preserve"> Exception Number 3, the City objects to </w:t>
      </w:r>
      <w:r w:rsidR="007A7B89" w:rsidRPr="007A7B89">
        <w:rPr>
          <w:color w:val="auto"/>
          <w:sz w:val="26"/>
        </w:rPr>
        <w:t xml:space="preserve">Findings of Fact </w:t>
      </w:r>
      <w:r w:rsidR="007A7B89">
        <w:rPr>
          <w:color w:val="auto"/>
          <w:sz w:val="26"/>
        </w:rPr>
        <w:t xml:space="preserve">Nos. </w:t>
      </w:r>
      <w:r w:rsidR="007A7B89" w:rsidRPr="007A7B89">
        <w:rPr>
          <w:color w:val="auto"/>
          <w:sz w:val="26"/>
        </w:rPr>
        <w:t xml:space="preserve">45 and 46 </w:t>
      </w:r>
      <w:r w:rsidR="007A7B89">
        <w:rPr>
          <w:color w:val="auto"/>
          <w:sz w:val="26"/>
        </w:rPr>
        <w:t>on the basis that they are</w:t>
      </w:r>
      <w:r w:rsidR="007A7B89" w:rsidRPr="007A7B89">
        <w:rPr>
          <w:color w:val="auto"/>
          <w:sz w:val="26"/>
        </w:rPr>
        <w:t xml:space="preserve"> inconsistent and must be corrected to clarify which facts current</w:t>
      </w:r>
      <w:r w:rsidR="007A7B89">
        <w:rPr>
          <w:color w:val="auto"/>
          <w:sz w:val="26"/>
        </w:rPr>
        <w:t>ly</w:t>
      </w:r>
      <w:r w:rsidR="007A7B89" w:rsidRPr="007A7B89">
        <w:rPr>
          <w:color w:val="auto"/>
          <w:sz w:val="26"/>
        </w:rPr>
        <w:t xml:space="preserve"> appl</w:t>
      </w:r>
      <w:r w:rsidR="007A7B89">
        <w:rPr>
          <w:color w:val="auto"/>
          <w:sz w:val="26"/>
        </w:rPr>
        <w:t>y</w:t>
      </w:r>
      <w:r w:rsidR="007A7B89" w:rsidRPr="007A7B89">
        <w:rPr>
          <w:color w:val="auto"/>
          <w:sz w:val="26"/>
        </w:rPr>
        <w:t xml:space="preserve"> and which facts are historic</w:t>
      </w:r>
      <w:r w:rsidR="007A7B89">
        <w:rPr>
          <w:color w:val="auto"/>
          <w:sz w:val="26"/>
        </w:rPr>
        <w:t>al</w:t>
      </w:r>
      <w:r w:rsidR="007A7B89" w:rsidRPr="007A7B89">
        <w:rPr>
          <w:color w:val="auto"/>
          <w:sz w:val="26"/>
        </w:rPr>
        <w:t xml:space="preserve">.  </w:t>
      </w:r>
      <w:r w:rsidR="001A3C26">
        <w:rPr>
          <w:color w:val="auto"/>
          <w:sz w:val="26"/>
        </w:rPr>
        <w:t>These Findings of Fact state the following:</w:t>
      </w:r>
    </w:p>
    <w:p w14:paraId="7A7DF5CC" w14:textId="77777777" w:rsidR="001A3C26" w:rsidRDefault="001A3C26" w:rsidP="008E1AD5">
      <w:pPr>
        <w:pStyle w:val="Default"/>
        <w:tabs>
          <w:tab w:val="left" w:pos="720"/>
        </w:tabs>
        <w:spacing w:line="360" w:lineRule="auto"/>
        <w:rPr>
          <w:color w:val="auto"/>
          <w:sz w:val="26"/>
        </w:rPr>
      </w:pPr>
    </w:p>
    <w:p w14:paraId="4D4B9AF4" w14:textId="77777777" w:rsidR="001A3C26" w:rsidRDefault="001A3C26" w:rsidP="008E1AD5">
      <w:pPr>
        <w:pStyle w:val="Default"/>
        <w:tabs>
          <w:tab w:val="left" w:pos="1440"/>
        </w:tabs>
        <w:ind w:left="1440" w:right="1440"/>
        <w:rPr>
          <w:color w:val="auto"/>
          <w:sz w:val="26"/>
        </w:rPr>
      </w:pPr>
      <w:r>
        <w:rPr>
          <w:color w:val="auto"/>
          <w:sz w:val="26"/>
        </w:rPr>
        <w:tab/>
        <w:t>45.</w:t>
      </w:r>
      <w:r>
        <w:rPr>
          <w:color w:val="auto"/>
          <w:sz w:val="26"/>
        </w:rPr>
        <w:tab/>
        <w:t>The letter also provided the customer with an option to request reconsideration of his or her meter location by contacting UGI by phone or completing a meter reconsideration request form on UGI’s website.</w:t>
      </w:r>
      <w:r w:rsidR="00832ABA">
        <w:rPr>
          <w:color w:val="auto"/>
          <w:sz w:val="26"/>
        </w:rPr>
        <w:t xml:space="preserve">  (UGI St. 1 at 26).</w:t>
      </w:r>
      <w:r>
        <w:rPr>
          <w:color w:val="auto"/>
          <w:sz w:val="26"/>
        </w:rPr>
        <w:t xml:space="preserve"> </w:t>
      </w:r>
    </w:p>
    <w:p w14:paraId="6884689E" w14:textId="77777777" w:rsidR="001A3C26" w:rsidRDefault="001A3C26" w:rsidP="008E1AD5">
      <w:pPr>
        <w:pStyle w:val="Default"/>
        <w:tabs>
          <w:tab w:val="left" w:pos="1440"/>
        </w:tabs>
        <w:ind w:left="1440" w:right="1440"/>
        <w:rPr>
          <w:color w:val="auto"/>
          <w:sz w:val="26"/>
        </w:rPr>
      </w:pPr>
    </w:p>
    <w:p w14:paraId="3AAE5768" w14:textId="431C6557" w:rsidR="001A3C26" w:rsidRDefault="001A3C26" w:rsidP="008E1AD5">
      <w:pPr>
        <w:pStyle w:val="Default"/>
        <w:tabs>
          <w:tab w:val="left" w:pos="1440"/>
        </w:tabs>
        <w:ind w:left="1440" w:right="1440"/>
        <w:rPr>
          <w:color w:val="auto"/>
          <w:sz w:val="26"/>
        </w:rPr>
      </w:pPr>
      <w:r>
        <w:rPr>
          <w:color w:val="auto"/>
          <w:sz w:val="26"/>
        </w:rPr>
        <w:tab/>
        <w:t>46.</w:t>
      </w:r>
      <w:r>
        <w:rPr>
          <w:color w:val="auto"/>
          <w:sz w:val="26"/>
        </w:rPr>
        <w:tab/>
        <w:t xml:space="preserve">The Company’s current customer notification letters state, in pertinent part, “As part of this project, </w:t>
      </w:r>
      <w:r w:rsidRPr="00AA45C6">
        <w:rPr>
          <w:b/>
          <w:bCs/>
          <w:color w:val="auto"/>
          <w:sz w:val="26"/>
        </w:rPr>
        <w:t xml:space="preserve">UGI intends to move natural gas meter sets located inside of residences to a position outside the dwelling, but if your property is located in a federal, state or local historic area you may request that UGI reconsider the decision to relocate your meter. </w:t>
      </w:r>
      <w:r>
        <w:rPr>
          <w:color w:val="auto"/>
          <w:sz w:val="26"/>
        </w:rPr>
        <w:t xml:space="preserve"> Your request could be made online at UGI.com and clicking on the community tab at the top of the page.”</w:t>
      </w:r>
      <w:r w:rsidR="00832ABA">
        <w:rPr>
          <w:color w:val="auto"/>
          <w:sz w:val="26"/>
        </w:rPr>
        <w:t xml:space="preserve">  (UGI Exh. CB-16) (emphasis in original).</w:t>
      </w:r>
    </w:p>
    <w:p w14:paraId="4D5BFABC" w14:textId="77777777" w:rsidR="001A3C26" w:rsidRDefault="001A3C26" w:rsidP="008E1AD5">
      <w:pPr>
        <w:pStyle w:val="Default"/>
        <w:tabs>
          <w:tab w:val="left" w:pos="1440"/>
        </w:tabs>
        <w:spacing w:line="360" w:lineRule="auto"/>
        <w:ind w:left="1440" w:right="1440"/>
        <w:rPr>
          <w:color w:val="auto"/>
          <w:sz w:val="26"/>
        </w:rPr>
      </w:pPr>
    </w:p>
    <w:p w14:paraId="5CAEE2D9" w14:textId="77777777" w:rsidR="007A7B89" w:rsidRPr="007A7B89" w:rsidRDefault="003172DE" w:rsidP="008E1AD5">
      <w:pPr>
        <w:pStyle w:val="Default"/>
        <w:tabs>
          <w:tab w:val="left" w:pos="720"/>
        </w:tabs>
        <w:spacing w:line="360" w:lineRule="auto"/>
        <w:rPr>
          <w:color w:val="auto"/>
          <w:sz w:val="26"/>
        </w:rPr>
      </w:pPr>
      <w:bookmarkStart w:id="4" w:name="_Hlk20148626"/>
      <w:r>
        <w:rPr>
          <w:color w:val="auto"/>
          <w:sz w:val="26"/>
        </w:rPr>
        <w:t xml:space="preserve">The City states that </w:t>
      </w:r>
      <w:r w:rsidR="007A7B89" w:rsidRPr="007A7B89">
        <w:rPr>
          <w:color w:val="auto"/>
          <w:sz w:val="26"/>
        </w:rPr>
        <w:t xml:space="preserve">Finding of Fact </w:t>
      </w:r>
      <w:r>
        <w:rPr>
          <w:color w:val="auto"/>
          <w:sz w:val="26"/>
        </w:rPr>
        <w:t xml:space="preserve">No. </w:t>
      </w:r>
      <w:r w:rsidR="007A7B89" w:rsidRPr="007A7B89">
        <w:rPr>
          <w:color w:val="auto"/>
          <w:sz w:val="26"/>
        </w:rPr>
        <w:t>45</w:t>
      </w:r>
      <w:r>
        <w:rPr>
          <w:color w:val="auto"/>
          <w:sz w:val="26"/>
        </w:rPr>
        <w:t xml:space="preserve">, which refers to the thirty-day notice letters UGI sent to customers in </w:t>
      </w:r>
      <w:r w:rsidR="009C1CDE">
        <w:rPr>
          <w:color w:val="auto"/>
          <w:sz w:val="26"/>
        </w:rPr>
        <w:t>the City</w:t>
      </w:r>
      <w:r>
        <w:rPr>
          <w:color w:val="auto"/>
          <w:sz w:val="26"/>
        </w:rPr>
        <w:t>’s historic districts after the revision of Section 59.18 in September of 2014</w:t>
      </w:r>
      <w:r w:rsidR="005F39D0">
        <w:rPr>
          <w:color w:val="auto"/>
          <w:sz w:val="26"/>
        </w:rPr>
        <w:t>,</w:t>
      </w:r>
      <w:r>
        <w:rPr>
          <w:color w:val="auto"/>
          <w:sz w:val="26"/>
        </w:rPr>
        <w:t xml:space="preserve"> did not </w:t>
      </w:r>
      <w:r w:rsidR="007A7B89" w:rsidRPr="007A7B89">
        <w:rPr>
          <w:color w:val="auto"/>
          <w:sz w:val="26"/>
        </w:rPr>
        <w:t xml:space="preserve">provide </w:t>
      </w:r>
      <w:r>
        <w:rPr>
          <w:color w:val="auto"/>
          <w:sz w:val="26"/>
        </w:rPr>
        <w:t>UGI’s</w:t>
      </w:r>
      <w:r w:rsidR="007A7B89" w:rsidRPr="007A7B89">
        <w:rPr>
          <w:color w:val="auto"/>
          <w:sz w:val="26"/>
        </w:rPr>
        <w:t xml:space="preserve"> customer</w:t>
      </w:r>
      <w:r>
        <w:rPr>
          <w:color w:val="auto"/>
          <w:sz w:val="26"/>
        </w:rPr>
        <w:t>s</w:t>
      </w:r>
      <w:r w:rsidR="007A7B89" w:rsidRPr="007A7B89">
        <w:rPr>
          <w:color w:val="auto"/>
          <w:sz w:val="26"/>
        </w:rPr>
        <w:t xml:space="preserve"> with an option to request reconsideration of </w:t>
      </w:r>
      <w:r w:rsidR="005F39D0">
        <w:rPr>
          <w:color w:val="auto"/>
          <w:sz w:val="26"/>
        </w:rPr>
        <w:t>their</w:t>
      </w:r>
      <w:r w:rsidR="007A7B89" w:rsidRPr="007A7B89">
        <w:rPr>
          <w:color w:val="auto"/>
          <w:sz w:val="26"/>
        </w:rPr>
        <w:t xml:space="preserve"> meter location</w:t>
      </w:r>
      <w:r>
        <w:rPr>
          <w:color w:val="auto"/>
          <w:sz w:val="26"/>
        </w:rPr>
        <w:t>.</w:t>
      </w:r>
      <w:r w:rsidR="007A7B89" w:rsidRPr="007A7B89">
        <w:rPr>
          <w:color w:val="auto"/>
          <w:sz w:val="26"/>
        </w:rPr>
        <w:t xml:space="preserve">  </w:t>
      </w:r>
      <w:bookmarkEnd w:id="4"/>
      <w:r w:rsidR="005F39D0">
        <w:rPr>
          <w:color w:val="auto"/>
          <w:sz w:val="26"/>
        </w:rPr>
        <w:t xml:space="preserve">City Exc. at 4.  </w:t>
      </w:r>
      <w:r>
        <w:rPr>
          <w:color w:val="auto"/>
          <w:sz w:val="26"/>
        </w:rPr>
        <w:t xml:space="preserve">Rather, the City avers that </w:t>
      </w:r>
      <w:r w:rsidR="007A7B89" w:rsidRPr="007A7B89">
        <w:rPr>
          <w:color w:val="auto"/>
          <w:sz w:val="26"/>
        </w:rPr>
        <w:t xml:space="preserve">such </w:t>
      </w:r>
      <w:r w:rsidR="007A7B89" w:rsidRPr="007A7B89">
        <w:rPr>
          <w:color w:val="auto"/>
          <w:sz w:val="26"/>
        </w:rPr>
        <w:lastRenderedPageBreak/>
        <w:t xml:space="preserve">language was omitted from the various </w:t>
      </w:r>
      <w:r>
        <w:rPr>
          <w:color w:val="auto"/>
          <w:sz w:val="26"/>
        </w:rPr>
        <w:t>thirty</w:t>
      </w:r>
      <w:r w:rsidR="007A7B89" w:rsidRPr="007A7B89">
        <w:rPr>
          <w:color w:val="auto"/>
          <w:sz w:val="26"/>
        </w:rPr>
        <w:t xml:space="preserve">-day notice letters </w:t>
      </w:r>
      <w:r>
        <w:rPr>
          <w:color w:val="auto"/>
          <w:sz w:val="26"/>
        </w:rPr>
        <w:t xml:space="preserve">UGI </w:t>
      </w:r>
      <w:r w:rsidR="007A7B89" w:rsidRPr="007A7B89">
        <w:rPr>
          <w:color w:val="auto"/>
          <w:sz w:val="26"/>
        </w:rPr>
        <w:t xml:space="preserve">sent to customers in </w:t>
      </w:r>
      <w:r>
        <w:rPr>
          <w:color w:val="auto"/>
          <w:sz w:val="26"/>
        </w:rPr>
        <w:t>the City’s</w:t>
      </w:r>
      <w:r w:rsidR="007A7B89" w:rsidRPr="007A7B89">
        <w:rPr>
          <w:color w:val="auto"/>
          <w:sz w:val="26"/>
        </w:rPr>
        <w:t xml:space="preserve"> historic district for more than three years after </w:t>
      </w:r>
      <w:r w:rsidR="005F39D0">
        <w:rPr>
          <w:color w:val="auto"/>
          <w:sz w:val="26"/>
        </w:rPr>
        <w:t xml:space="preserve">the </w:t>
      </w:r>
      <w:r w:rsidR="007A7B89" w:rsidRPr="007A7B89">
        <w:rPr>
          <w:color w:val="auto"/>
          <w:sz w:val="26"/>
        </w:rPr>
        <w:t xml:space="preserve">amended Section 59.18 </w:t>
      </w:r>
      <w:r w:rsidR="005F39D0">
        <w:rPr>
          <w:color w:val="auto"/>
          <w:sz w:val="26"/>
        </w:rPr>
        <w:t>became effective and was not used until UGI revised its customer notification letter in October 2017</w:t>
      </w:r>
      <w:r w:rsidR="007A7B89" w:rsidRPr="007A7B89">
        <w:rPr>
          <w:color w:val="auto"/>
          <w:sz w:val="26"/>
        </w:rPr>
        <w:t>.</w:t>
      </w:r>
      <w:r w:rsidR="005F39D0">
        <w:rPr>
          <w:color w:val="auto"/>
          <w:sz w:val="26"/>
        </w:rPr>
        <w:t xml:space="preserve">  </w:t>
      </w:r>
      <w:r w:rsidR="005F39D0" w:rsidRPr="005F39D0">
        <w:rPr>
          <w:i/>
          <w:iCs/>
          <w:color w:val="auto"/>
          <w:sz w:val="26"/>
        </w:rPr>
        <w:t>Id</w:t>
      </w:r>
      <w:r w:rsidR="005F39D0">
        <w:rPr>
          <w:color w:val="auto"/>
          <w:sz w:val="26"/>
        </w:rPr>
        <w:t>. (citing City Exhs. JS-10, JS-11, and JS-12).</w:t>
      </w:r>
      <w:r w:rsidR="007A7B89" w:rsidRPr="007A7B89">
        <w:rPr>
          <w:color w:val="auto"/>
          <w:sz w:val="26"/>
        </w:rPr>
        <w:t xml:space="preserve">  </w:t>
      </w:r>
      <w:r w:rsidR="005F39D0">
        <w:rPr>
          <w:color w:val="auto"/>
          <w:sz w:val="26"/>
        </w:rPr>
        <w:t xml:space="preserve">The City observes that as ALJ </w:t>
      </w:r>
      <w:r w:rsidR="007A7B89" w:rsidRPr="007A7B89">
        <w:rPr>
          <w:color w:val="auto"/>
          <w:sz w:val="26"/>
        </w:rPr>
        <w:t xml:space="preserve">Long </w:t>
      </w:r>
      <w:r w:rsidR="005F39D0">
        <w:rPr>
          <w:color w:val="auto"/>
          <w:sz w:val="26"/>
        </w:rPr>
        <w:t xml:space="preserve">stated </w:t>
      </w:r>
      <w:r w:rsidR="007A7B89" w:rsidRPr="007A7B89">
        <w:rPr>
          <w:color w:val="auto"/>
          <w:sz w:val="26"/>
        </w:rPr>
        <w:t xml:space="preserve">in her discussion of the notice letters, the initial customer notice letters (those used between September 2014 and October 2017) provided a telephone number for UGI’s call center, </w:t>
      </w:r>
      <w:r w:rsidR="007A7B89" w:rsidRPr="005F39D0">
        <w:rPr>
          <w:bCs/>
          <w:color w:val="auto"/>
          <w:sz w:val="26"/>
        </w:rPr>
        <w:t>but did not inform customers that they could provide supplemental information, such as the building’s historic status</w:t>
      </w:r>
      <w:r w:rsidR="005F39D0">
        <w:rPr>
          <w:bCs/>
          <w:color w:val="auto"/>
          <w:sz w:val="26"/>
        </w:rPr>
        <w:t>,</w:t>
      </w:r>
      <w:r w:rsidR="007A7B89" w:rsidRPr="005F39D0">
        <w:rPr>
          <w:bCs/>
          <w:color w:val="auto"/>
          <w:sz w:val="26"/>
        </w:rPr>
        <w:t xml:space="preserve"> and seek reconsideration of outside meter placement.</w:t>
      </w:r>
      <w:r w:rsidR="007A7B89" w:rsidRPr="007A7B89">
        <w:rPr>
          <w:color w:val="auto"/>
          <w:sz w:val="26"/>
        </w:rPr>
        <w:t xml:space="preserve"> </w:t>
      </w:r>
      <w:r w:rsidR="005F39D0">
        <w:rPr>
          <w:color w:val="auto"/>
          <w:sz w:val="26"/>
        </w:rPr>
        <w:t xml:space="preserve"> City Exc. at 4-5 (citing </w:t>
      </w:r>
      <w:r w:rsidR="007A7B89" w:rsidRPr="007A7B89">
        <w:rPr>
          <w:color w:val="auto"/>
          <w:sz w:val="26"/>
        </w:rPr>
        <w:t>I.D. at 24</w:t>
      </w:r>
      <w:r w:rsidR="005F39D0">
        <w:rPr>
          <w:color w:val="auto"/>
          <w:sz w:val="26"/>
        </w:rPr>
        <w:t>)</w:t>
      </w:r>
      <w:r w:rsidR="007A7B89" w:rsidRPr="007A7B89">
        <w:rPr>
          <w:color w:val="auto"/>
          <w:sz w:val="26"/>
        </w:rPr>
        <w:t xml:space="preserve">.  </w:t>
      </w:r>
      <w:r w:rsidR="005F39D0">
        <w:rPr>
          <w:color w:val="auto"/>
          <w:sz w:val="26"/>
        </w:rPr>
        <w:t xml:space="preserve">Accordingly, the City requests that </w:t>
      </w:r>
      <w:r w:rsidR="007A7B89" w:rsidRPr="007A7B89">
        <w:rPr>
          <w:color w:val="auto"/>
          <w:sz w:val="26"/>
        </w:rPr>
        <w:t xml:space="preserve">Finding of Fact </w:t>
      </w:r>
      <w:r w:rsidR="00A11EF2">
        <w:rPr>
          <w:color w:val="auto"/>
          <w:sz w:val="26"/>
        </w:rPr>
        <w:t xml:space="preserve">No. </w:t>
      </w:r>
      <w:r w:rsidR="007A7B89" w:rsidRPr="007A7B89">
        <w:rPr>
          <w:color w:val="auto"/>
          <w:sz w:val="26"/>
        </w:rPr>
        <w:t xml:space="preserve">45 be </w:t>
      </w:r>
      <w:r w:rsidR="005F39D0">
        <w:rPr>
          <w:color w:val="auto"/>
          <w:sz w:val="26"/>
        </w:rPr>
        <w:t xml:space="preserve">modified </w:t>
      </w:r>
      <w:r w:rsidR="007A7B89" w:rsidRPr="007A7B89">
        <w:rPr>
          <w:color w:val="auto"/>
          <w:sz w:val="26"/>
        </w:rPr>
        <w:t xml:space="preserve">to state </w:t>
      </w:r>
      <w:r w:rsidR="005F39D0">
        <w:rPr>
          <w:color w:val="auto"/>
          <w:sz w:val="26"/>
        </w:rPr>
        <w:t>the following</w:t>
      </w:r>
      <w:r w:rsidR="007A7B89" w:rsidRPr="007A7B89">
        <w:rPr>
          <w:color w:val="auto"/>
          <w:sz w:val="26"/>
        </w:rPr>
        <w:t>:</w:t>
      </w:r>
    </w:p>
    <w:p w14:paraId="3C4195E5" w14:textId="77777777" w:rsidR="005F39D0" w:rsidRDefault="005F39D0" w:rsidP="008E1AD5">
      <w:pPr>
        <w:pStyle w:val="Default"/>
        <w:ind w:left="1440" w:right="720"/>
        <w:jc w:val="both"/>
        <w:rPr>
          <w:color w:val="auto"/>
          <w:sz w:val="26"/>
        </w:rPr>
      </w:pPr>
    </w:p>
    <w:p w14:paraId="3B203DB8" w14:textId="77777777" w:rsidR="007A7B89" w:rsidRPr="007A7B89" w:rsidRDefault="007A7B89" w:rsidP="008E1AD5">
      <w:pPr>
        <w:pStyle w:val="Default"/>
        <w:tabs>
          <w:tab w:val="left" w:pos="1440"/>
        </w:tabs>
        <w:ind w:left="1440" w:right="1440"/>
        <w:rPr>
          <w:color w:val="auto"/>
          <w:sz w:val="26"/>
        </w:rPr>
      </w:pPr>
      <w:r w:rsidRPr="007A7B89">
        <w:rPr>
          <w:color w:val="auto"/>
          <w:sz w:val="26"/>
        </w:rPr>
        <w:t xml:space="preserve">45.  The letter </w:t>
      </w:r>
      <w:r w:rsidRPr="007A7B89">
        <w:rPr>
          <w:b/>
          <w:color w:val="auto"/>
          <w:sz w:val="26"/>
          <w:u w:val="single"/>
        </w:rPr>
        <w:t>failed to provide</w:t>
      </w:r>
      <w:r w:rsidRPr="007A7B89">
        <w:rPr>
          <w:color w:val="auto"/>
          <w:sz w:val="26"/>
        </w:rPr>
        <w:t xml:space="preserve"> the customer with an option to request reconsideration of his or her meter location by contacting UGI by phone or completing a meter reconsideration request form on UGI’s website.</w:t>
      </w:r>
    </w:p>
    <w:p w14:paraId="5EEC9947" w14:textId="77777777" w:rsidR="007A7B89" w:rsidRPr="007A7B89" w:rsidRDefault="007A7B89" w:rsidP="008E1AD5">
      <w:pPr>
        <w:pStyle w:val="Default"/>
        <w:ind w:left="1440" w:right="720"/>
        <w:jc w:val="both"/>
        <w:rPr>
          <w:color w:val="auto"/>
          <w:sz w:val="26"/>
        </w:rPr>
      </w:pPr>
    </w:p>
    <w:p w14:paraId="35C1260A" w14:textId="336896D8" w:rsidR="007D03C0" w:rsidRDefault="0060629A" w:rsidP="008E1AD5">
      <w:pPr>
        <w:pStyle w:val="Default"/>
        <w:tabs>
          <w:tab w:val="left" w:pos="720"/>
        </w:tabs>
        <w:spacing w:line="360" w:lineRule="auto"/>
        <w:rPr>
          <w:color w:val="auto"/>
          <w:sz w:val="26"/>
        </w:rPr>
      </w:pPr>
      <w:r>
        <w:rPr>
          <w:color w:val="auto"/>
          <w:sz w:val="26"/>
        </w:rPr>
        <w:t xml:space="preserve">The City also requested that Finding of Fact No. 46 be modified to clarify </w:t>
      </w:r>
      <w:r w:rsidR="007A7B89" w:rsidRPr="007A7B89">
        <w:rPr>
          <w:color w:val="auto"/>
          <w:sz w:val="26"/>
        </w:rPr>
        <w:t xml:space="preserve">the October 2017 date </w:t>
      </w:r>
      <w:r>
        <w:rPr>
          <w:color w:val="auto"/>
          <w:sz w:val="26"/>
        </w:rPr>
        <w:t xml:space="preserve">that </w:t>
      </w:r>
      <w:r w:rsidR="007A7B89" w:rsidRPr="007A7B89">
        <w:rPr>
          <w:color w:val="auto"/>
          <w:sz w:val="26"/>
        </w:rPr>
        <w:t xml:space="preserve">the </w:t>
      </w:r>
      <w:r w:rsidR="00A11EF2">
        <w:rPr>
          <w:color w:val="auto"/>
          <w:sz w:val="26"/>
        </w:rPr>
        <w:t xml:space="preserve">Company’s </w:t>
      </w:r>
      <w:r w:rsidR="007A7B89" w:rsidRPr="007A7B89">
        <w:rPr>
          <w:color w:val="auto"/>
          <w:sz w:val="26"/>
        </w:rPr>
        <w:t xml:space="preserve">current customer notification letter went into effect.  </w:t>
      </w:r>
      <w:r w:rsidR="00CB1D40">
        <w:rPr>
          <w:color w:val="auto"/>
          <w:sz w:val="26"/>
        </w:rPr>
        <w:t>City Exc. at 5.</w:t>
      </w:r>
    </w:p>
    <w:p w14:paraId="4DDD2107" w14:textId="77777777" w:rsidR="007D03C0" w:rsidRDefault="007D03C0" w:rsidP="008E1AD5">
      <w:pPr>
        <w:pStyle w:val="Default"/>
        <w:tabs>
          <w:tab w:val="left" w:pos="720"/>
        </w:tabs>
        <w:spacing w:line="360" w:lineRule="auto"/>
        <w:rPr>
          <w:color w:val="auto"/>
          <w:sz w:val="26"/>
        </w:rPr>
      </w:pPr>
    </w:p>
    <w:p w14:paraId="3748E9C0" w14:textId="4E6FA6F2" w:rsidR="00AF4126" w:rsidRDefault="007D03C0" w:rsidP="008E1AD5">
      <w:pPr>
        <w:tabs>
          <w:tab w:val="left" w:pos="720"/>
        </w:tabs>
        <w:rPr>
          <w:sz w:val="26"/>
        </w:rPr>
      </w:pPr>
      <w:r w:rsidRPr="00AF4126">
        <w:rPr>
          <w:sz w:val="26"/>
        </w:rPr>
        <w:t xml:space="preserve">In its Exception Number 8, the City contests the ALJ’s finding that utilities should be required to make a case-by-case decision regarding whether to locate a meter outside or inside.  </w:t>
      </w:r>
      <w:r w:rsidR="000E7661">
        <w:rPr>
          <w:sz w:val="26"/>
        </w:rPr>
        <w:t>The City believes that t</w:t>
      </w:r>
      <w:r w:rsidR="00AF4126" w:rsidRPr="00AF4126">
        <w:rPr>
          <w:sz w:val="26"/>
        </w:rPr>
        <w:t xml:space="preserve">he starting point should be that inside </w:t>
      </w:r>
      <w:r w:rsidR="000E7661">
        <w:rPr>
          <w:sz w:val="26"/>
        </w:rPr>
        <w:t xml:space="preserve">meter </w:t>
      </w:r>
      <w:r w:rsidR="00AF4126" w:rsidRPr="00AF4126">
        <w:rPr>
          <w:sz w:val="26"/>
        </w:rPr>
        <w:t xml:space="preserve">placement is more appropriate </w:t>
      </w:r>
      <w:r w:rsidR="000E7661">
        <w:rPr>
          <w:sz w:val="26"/>
        </w:rPr>
        <w:t>in</w:t>
      </w:r>
      <w:r w:rsidR="00AF4126" w:rsidRPr="00AF4126">
        <w:rPr>
          <w:sz w:val="26"/>
        </w:rPr>
        <w:t xml:space="preserve"> the historic district as a whole.  </w:t>
      </w:r>
      <w:r w:rsidR="000E7661" w:rsidRPr="000E7661">
        <w:rPr>
          <w:i/>
          <w:iCs/>
          <w:sz w:val="26"/>
        </w:rPr>
        <w:t>Id</w:t>
      </w:r>
      <w:r w:rsidR="000E7661">
        <w:rPr>
          <w:sz w:val="26"/>
        </w:rPr>
        <w:t>. at 7.  The City states that i</w:t>
      </w:r>
      <w:r w:rsidR="00AF4126" w:rsidRPr="00AF4126">
        <w:rPr>
          <w:sz w:val="26"/>
        </w:rPr>
        <w:t>nside meter placement was considered safe under the previous</w:t>
      </w:r>
      <w:r w:rsidR="00FB4E8F">
        <w:rPr>
          <w:sz w:val="26"/>
        </w:rPr>
        <w:t xml:space="preserve"> Section 59.18</w:t>
      </w:r>
      <w:r w:rsidR="00AF4126" w:rsidRPr="00AF4126">
        <w:rPr>
          <w:sz w:val="26"/>
        </w:rPr>
        <w:t xml:space="preserve"> before </w:t>
      </w:r>
      <w:r w:rsidR="00FB4E8F">
        <w:rPr>
          <w:sz w:val="26"/>
        </w:rPr>
        <w:t>it</w:t>
      </w:r>
      <w:r w:rsidR="00AF4126" w:rsidRPr="00AF4126">
        <w:rPr>
          <w:sz w:val="26"/>
        </w:rPr>
        <w:t xml:space="preserve"> was amended and, as UGI witness </w:t>
      </w:r>
      <w:r w:rsidR="00FB4E8F">
        <w:rPr>
          <w:sz w:val="26"/>
        </w:rPr>
        <w:t xml:space="preserve">Mr. </w:t>
      </w:r>
      <w:r w:rsidR="00AF4126" w:rsidRPr="00AF4126">
        <w:rPr>
          <w:sz w:val="26"/>
        </w:rPr>
        <w:t xml:space="preserve">Brown admitted, the change in </w:t>
      </w:r>
      <w:r w:rsidR="00FB4E8F">
        <w:rPr>
          <w:sz w:val="26"/>
        </w:rPr>
        <w:t xml:space="preserve">the </w:t>
      </w:r>
      <w:r w:rsidR="000E7661">
        <w:rPr>
          <w:sz w:val="26"/>
        </w:rPr>
        <w:t>R</w:t>
      </w:r>
      <w:r w:rsidR="00AF4126" w:rsidRPr="00AF4126">
        <w:rPr>
          <w:sz w:val="26"/>
        </w:rPr>
        <w:t>egulation did not mean a placement was safe one day and not the next.</w:t>
      </w:r>
      <w:r w:rsidR="000E7661">
        <w:rPr>
          <w:sz w:val="26"/>
        </w:rPr>
        <w:t xml:space="preserve">  </w:t>
      </w:r>
      <w:r w:rsidR="000E7661" w:rsidRPr="00FB4E8F">
        <w:rPr>
          <w:i/>
          <w:iCs/>
          <w:sz w:val="26"/>
        </w:rPr>
        <w:t>Id</w:t>
      </w:r>
      <w:r w:rsidR="000E7661">
        <w:rPr>
          <w:sz w:val="26"/>
        </w:rPr>
        <w:t>. at 7-8 (</w:t>
      </w:r>
      <w:r w:rsidR="008A2166">
        <w:rPr>
          <w:sz w:val="26"/>
        </w:rPr>
        <w:t>citing Tr. at 373).</w:t>
      </w:r>
    </w:p>
    <w:p w14:paraId="033C4D49" w14:textId="77777777" w:rsidR="00463D0F" w:rsidRDefault="00463D0F" w:rsidP="008E1AD5">
      <w:pPr>
        <w:tabs>
          <w:tab w:val="left" w:pos="720"/>
        </w:tabs>
        <w:rPr>
          <w:sz w:val="26"/>
        </w:rPr>
      </w:pPr>
    </w:p>
    <w:p w14:paraId="3B6D9787" w14:textId="26B13851" w:rsidR="006C13C0" w:rsidRDefault="004B3E05" w:rsidP="008E1AD5">
      <w:pPr>
        <w:tabs>
          <w:tab w:val="left" w:pos="720"/>
        </w:tabs>
        <w:rPr>
          <w:sz w:val="26"/>
        </w:rPr>
      </w:pPr>
      <w:r w:rsidRPr="009F2B91">
        <w:rPr>
          <w:sz w:val="26"/>
        </w:rPr>
        <w:t>In the City’s Exception Number 10, it disagrees with the ALJ’s conclusion that the City Parties have failed to satisfy their burden of proving that UGI violated Section 59.18(d)</w:t>
      </w:r>
      <w:r w:rsidR="00E92951">
        <w:rPr>
          <w:sz w:val="26"/>
        </w:rPr>
        <w:t>(1)</w:t>
      </w:r>
      <w:r w:rsidRPr="009F2B91">
        <w:rPr>
          <w:sz w:val="26"/>
        </w:rPr>
        <w:t xml:space="preserve">(ii) after 2016.  </w:t>
      </w:r>
      <w:r w:rsidR="00DA3F38">
        <w:rPr>
          <w:sz w:val="26"/>
        </w:rPr>
        <w:t>The City avers that</w:t>
      </w:r>
      <w:r w:rsidRPr="009F2B91">
        <w:rPr>
          <w:sz w:val="26"/>
        </w:rPr>
        <w:t xml:space="preserve"> </w:t>
      </w:r>
      <w:r w:rsidR="006C13C0" w:rsidRPr="009F2B91">
        <w:rPr>
          <w:sz w:val="26"/>
        </w:rPr>
        <w:t xml:space="preserve">even assuming UGI’s approach to </w:t>
      </w:r>
      <w:r w:rsidR="006C13C0" w:rsidRPr="009F2B91">
        <w:rPr>
          <w:sz w:val="26"/>
        </w:rPr>
        <w:lastRenderedPageBreak/>
        <w:t xml:space="preserve">meter placements in </w:t>
      </w:r>
      <w:r w:rsidR="00DA3F38">
        <w:rPr>
          <w:sz w:val="26"/>
        </w:rPr>
        <w:t>the City’s</w:t>
      </w:r>
      <w:r w:rsidR="006C13C0" w:rsidRPr="009F2B91">
        <w:rPr>
          <w:sz w:val="26"/>
        </w:rPr>
        <w:t xml:space="preserve"> historic districts evolved, UGI was </w:t>
      </w:r>
      <w:r w:rsidR="00DA3F38">
        <w:rPr>
          <w:sz w:val="26"/>
        </w:rPr>
        <w:t>nevertheless</w:t>
      </w:r>
      <w:r w:rsidR="006C13C0" w:rsidRPr="009F2B91">
        <w:rPr>
          <w:sz w:val="26"/>
        </w:rPr>
        <w:t xml:space="preserve"> in violation of Section 59.18 until at least October 2017.  </w:t>
      </w:r>
      <w:r w:rsidR="004B63AB">
        <w:rPr>
          <w:sz w:val="26"/>
        </w:rPr>
        <w:t xml:space="preserve">City Exc. at 8.  </w:t>
      </w:r>
      <w:r w:rsidR="00DA3F38">
        <w:rPr>
          <w:sz w:val="26"/>
        </w:rPr>
        <w:t xml:space="preserve">The City contends that </w:t>
      </w:r>
      <w:r w:rsidR="006C13C0" w:rsidRPr="009F2B91">
        <w:rPr>
          <w:sz w:val="26"/>
        </w:rPr>
        <w:t>UGI’s “after-the-fact” revisions to its GOM</w:t>
      </w:r>
      <w:r w:rsidR="00DA3F38">
        <w:rPr>
          <w:sz w:val="26"/>
        </w:rPr>
        <w:t>,</w:t>
      </w:r>
      <w:r w:rsidR="006C13C0" w:rsidRPr="009F2B91">
        <w:rPr>
          <w:sz w:val="26"/>
        </w:rPr>
        <w:t xml:space="preserve"> which </w:t>
      </w:r>
      <w:r w:rsidR="00DA3F38">
        <w:rPr>
          <w:sz w:val="26"/>
        </w:rPr>
        <w:t>became</w:t>
      </w:r>
      <w:r w:rsidR="006C13C0" w:rsidRPr="009F2B91">
        <w:rPr>
          <w:sz w:val="26"/>
        </w:rPr>
        <w:t xml:space="preserve"> effect</w:t>
      </w:r>
      <w:r w:rsidR="00DA3F38">
        <w:rPr>
          <w:sz w:val="26"/>
        </w:rPr>
        <w:t>ive on</w:t>
      </w:r>
      <w:r w:rsidR="006C13C0" w:rsidRPr="009F2B91">
        <w:rPr>
          <w:sz w:val="26"/>
        </w:rPr>
        <w:t xml:space="preserve"> July 31, 2016</w:t>
      </w:r>
      <w:r w:rsidR="00DA3F38">
        <w:rPr>
          <w:sz w:val="26"/>
        </w:rPr>
        <w:t>,</w:t>
      </w:r>
      <w:r w:rsidR="006C13C0" w:rsidRPr="009F2B91">
        <w:rPr>
          <w:sz w:val="26"/>
        </w:rPr>
        <w:t xml:space="preserve"> failed to cure UGI’s violations because Section 59.18 and other pertinent </w:t>
      </w:r>
      <w:r w:rsidR="00DA3F38">
        <w:rPr>
          <w:sz w:val="26"/>
        </w:rPr>
        <w:t>R</w:t>
      </w:r>
      <w:r w:rsidR="006C13C0" w:rsidRPr="009F2B91">
        <w:rPr>
          <w:sz w:val="26"/>
        </w:rPr>
        <w:t xml:space="preserve">egulations </w:t>
      </w:r>
      <w:r w:rsidR="00AE3175">
        <w:rPr>
          <w:sz w:val="26"/>
        </w:rPr>
        <w:t>take precedence over</w:t>
      </w:r>
      <w:r w:rsidR="00AE3175" w:rsidRPr="009F2B91">
        <w:rPr>
          <w:sz w:val="26"/>
        </w:rPr>
        <w:t xml:space="preserve"> </w:t>
      </w:r>
      <w:r w:rsidR="006C13C0" w:rsidRPr="009F2B91">
        <w:rPr>
          <w:sz w:val="26"/>
        </w:rPr>
        <w:t xml:space="preserve">the GOM regardless of the version in use.  </w:t>
      </w:r>
      <w:r w:rsidR="004B63AB" w:rsidRPr="004B63AB">
        <w:rPr>
          <w:i/>
          <w:iCs/>
          <w:sz w:val="26"/>
        </w:rPr>
        <w:t>Id</w:t>
      </w:r>
      <w:r w:rsidR="004B63AB">
        <w:rPr>
          <w:sz w:val="26"/>
        </w:rPr>
        <w:t xml:space="preserve">. at 8-9.  </w:t>
      </w:r>
      <w:r w:rsidR="00DA3F38">
        <w:rPr>
          <w:sz w:val="26"/>
        </w:rPr>
        <w:t>The City states that a</w:t>
      </w:r>
      <w:r w:rsidR="006C13C0" w:rsidRPr="009F2B91">
        <w:rPr>
          <w:sz w:val="26"/>
        </w:rPr>
        <w:t xml:space="preserve"> c</w:t>
      </w:r>
      <w:r w:rsidR="00DA3F38">
        <w:rPr>
          <w:sz w:val="26"/>
        </w:rPr>
        <w:t>areful</w:t>
      </w:r>
      <w:r w:rsidR="006C13C0" w:rsidRPr="009F2B91">
        <w:rPr>
          <w:sz w:val="26"/>
        </w:rPr>
        <w:t xml:space="preserve"> reading of UGI’s revised policy </w:t>
      </w:r>
      <w:r w:rsidR="00DA3F38">
        <w:rPr>
          <w:sz w:val="26"/>
        </w:rPr>
        <w:t>shows</w:t>
      </w:r>
      <w:r w:rsidR="006C13C0" w:rsidRPr="009F2B91">
        <w:rPr>
          <w:sz w:val="26"/>
        </w:rPr>
        <w:t xml:space="preserve"> that </w:t>
      </w:r>
      <w:r w:rsidR="00DA3F38">
        <w:rPr>
          <w:sz w:val="26"/>
        </w:rPr>
        <w:t xml:space="preserve">the Company’s </w:t>
      </w:r>
      <w:r w:rsidR="006C13C0" w:rsidRPr="009F2B91">
        <w:rPr>
          <w:sz w:val="26"/>
        </w:rPr>
        <w:t xml:space="preserve">consideration of inside meter placements is merely an afterthought, only permitted if there are “no practical alternatives” available to place a meter outdoors </w:t>
      </w:r>
      <w:r w:rsidR="006C13C0" w:rsidRPr="00DA3F38">
        <w:rPr>
          <w:bCs/>
          <w:sz w:val="26"/>
        </w:rPr>
        <w:t>and</w:t>
      </w:r>
      <w:r w:rsidR="006C13C0" w:rsidRPr="009F2B91">
        <w:rPr>
          <w:sz w:val="26"/>
        </w:rPr>
        <w:t xml:space="preserve"> the property owner makes a written request.</w:t>
      </w:r>
      <w:r w:rsidR="00817001">
        <w:rPr>
          <w:sz w:val="26"/>
        </w:rPr>
        <w:t xml:space="preserve">  </w:t>
      </w:r>
      <w:r w:rsidR="00817001" w:rsidRPr="00817001">
        <w:rPr>
          <w:i/>
          <w:iCs/>
          <w:sz w:val="26"/>
        </w:rPr>
        <w:t>Id</w:t>
      </w:r>
      <w:r w:rsidR="00817001">
        <w:rPr>
          <w:sz w:val="26"/>
        </w:rPr>
        <w:t>. at 9 (citing UGI Exh. CB-5 at 2-3).</w:t>
      </w:r>
      <w:r w:rsidR="006C13C0" w:rsidRPr="009F2B91">
        <w:rPr>
          <w:sz w:val="26"/>
        </w:rPr>
        <w:t xml:space="preserve"> </w:t>
      </w:r>
      <w:r w:rsidR="00DA3F38">
        <w:rPr>
          <w:sz w:val="26"/>
        </w:rPr>
        <w:t xml:space="preserve"> </w:t>
      </w:r>
      <w:r w:rsidR="00AF74A2">
        <w:rPr>
          <w:sz w:val="26"/>
        </w:rPr>
        <w:t>The City posits that a</w:t>
      </w:r>
      <w:r w:rsidR="006C13C0" w:rsidRPr="009F2B91">
        <w:rPr>
          <w:sz w:val="26"/>
        </w:rPr>
        <w:t xml:space="preserve"> written request is difficult to make when </w:t>
      </w:r>
      <w:r w:rsidR="00E92951">
        <w:rPr>
          <w:sz w:val="26"/>
        </w:rPr>
        <w:t xml:space="preserve">UGI has already determined </w:t>
      </w:r>
      <w:r w:rsidR="006C13C0" w:rsidRPr="009F2B91">
        <w:rPr>
          <w:sz w:val="26"/>
        </w:rPr>
        <w:t xml:space="preserve">the location of the meter </w:t>
      </w:r>
      <w:r w:rsidR="00AF74A2">
        <w:rPr>
          <w:sz w:val="26"/>
        </w:rPr>
        <w:t>and</w:t>
      </w:r>
      <w:r w:rsidR="006C13C0" w:rsidRPr="009F2B91">
        <w:rPr>
          <w:sz w:val="26"/>
        </w:rPr>
        <w:t xml:space="preserve"> the customer receives a notice letter that fails to provide information </w:t>
      </w:r>
      <w:r w:rsidR="00E92951">
        <w:rPr>
          <w:sz w:val="26"/>
        </w:rPr>
        <w:t>about</w:t>
      </w:r>
      <w:r w:rsidR="006C13C0" w:rsidRPr="009F2B91">
        <w:rPr>
          <w:sz w:val="26"/>
        </w:rPr>
        <w:t xml:space="preserve"> how to challenge th</w:t>
      </w:r>
      <w:r w:rsidR="00E92951">
        <w:rPr>
          <w:sz w:val="26"/>
        </w:rPr>
        <w:t>e Company’s</w:t>
      </w:r>
      <w:r w:rsidR="006C13C0" w:rsidRPr="009F2B91">
        <w:rPr>
          <w:sz w:val="26"/>
        </w:rPr>
        <w:t xml:space="preserve"> determination or request inside meter placement.</w:t>
      </w:r>
      <w:r w:rsidR="00AF74A2">
        <w:rPr>
          <w:sz w:val="26"/>
        </w:rPr>
        <w:t xml:space="preserve">  City Exc. at 9 (citing City Exhs. JS-10, JS-11, and JS-12).</w:t>
      </w:r>
      <w:r w:rsidR="00672CB1">
        <w:rPr>
          <w:sz w:val="26"/>
        </w:rPr>
        <w:t xml:space="preserve">  The City further asserts that the City Parties </w:t>
      </w:r>
      <w:r w:rsidR="006C13C0" w:rsidRPr="009F2B91">
        <w:rPr>
          <w:sz w:val="26"/>
        </w:rPr>
        <w:t>offered e</w:t>
      </w:r>
      <w:r w:rsidR="00672CB1">
        <w:rPr>
          <w:sz w:val="26"/>
        </w:rPr>
        <w:t>vidence</w:t>
      </w:r>
      <w:r w:rsidR="006C13C0" w:rsidRPr="009F2B91">
        <w:rPr>
          <w:sz w:val="26"/>
        </w:rPr>
        <w:t xml:space="preserve"> </w:t>
      </w:r>
      <w:r w:rsidR="00672CB1">
        <w:rPr>
          <w:sz w:val="26"/>
        </w:rPr>
        <w:t xml:space="preserve">during the hearing of instances </w:t>
      </w:r>
      <w:r w:rsidR="006C13C0" w:rsidRPr="009F2B91">
        <w:rPr>
          <w:sz w:val="26"/>
        </w:rPr>
        <w:t>where UGI placed a meter in error by failing to consider an exterior restriction or other historic feature</w:t>
      </w:r>
      <w:r w:rsidR="00672CB1">
        <w:rPr>
          <w:sz w:val="26"/>
        </w:rPr>
        <w:t xml:space="preserve"> and </w:t>
      </w:r>
      <w:r w:rsidR="00802B61">
        <w:rPr>
          <w:sz w:val="26"/>
        </w:rPr>
        <w:t xml:space="preserve">by </w:t>
      </w:r>
      <w:r w:rsidR="00672CB1">
        <w:rPr>
          <w:sz w:val="26"/>
        </w:rPr>
        <w:t>failing to consider the preservation of specific historic assets</w:t>
      </w:r>
      <w:r w:rsidR="006C13C0" w:rsidRPr="009F2B91">
        <w:rPr>
          <w:sz w:val="26"/>
        </w:rPr>
        <w:t>.</w:t>
      </w:r>
      <w:r w:rsidR="00672CB1">
        <w:rPr>
          <w:sz w:val="26"/>
        </w:rPr>
        <w:t xml:space="preserve">  </w:t>
      </w:r>
      <w:r w:rsidR="00802B61">
        <w:rPr>
          <w:sz w:val="26"/>
        </w:rPr>
        <w:t>City Exc. at 9 (citing City Exh. JS-16; City M.B. at 33-34</w:t>
      </w:r>
      <w:r w:rsidR="00B86B5D">
        <w:rPr>
          <w:sz w:val="26"/>
        </w:rPr>
        <w:t>)</w:t>
      </w:r>
      <w:r w:rsidR="006C13C0" w:rsidRPr="009F2B91">
        <w:rPr>
          <w:sz w:val="26"/>
        </w:rPr>
        <w:t>.</w:t>
      </w:r>
    </w:p>
    <w:p w14:paraId="765ADDC0" w14:textId="77777777" w:rsidR="00D8652D" w:rsidRDefault="00D8652D" w:rsidP="008E1AD5">
      <w:pPr>
        <w:tabs>
          <w:tab w:val="left" w:pos="720"/>
        </w:tabs>
        <w:rPr>
          <w:sz w:val="26"/>
        </w:rPr>
      </w:pPr>
    </w:p>
    <w:p w14:paraId="16F9F913" w14:textId="77CA4993" w:rsidR="00D8652D" w:rsidRDefault="00D8652D" w:rsidP="008E1AD5">
      <w:pPr>
        <w:tabs>
          <w:tab w:val="left" w:pos="720"/>
        </w:tabs>
        <w:ind w:firstLine="720"/>
        <w:rPr>
          <w:sz w:val="26"/>
        </w:rPr>
      </w:pPr>
      <w:r>
        <w:rPr>
          <w:sz w:val="26"/>
        </w:rPr>
        <w:tab/>
      </w:r>
      <w:r w:rsidRPr="002A2C83">
        <w:rPr>
          <w:sz w:val="26"/>
        </w:rPr>
        <w:t>In its Exception Number 1</w:t>
      </w:r>
      <w:r w:rsidR="00CD38A7" w:rsidRPr="002A2C83">
        <w:rPr>
          <w:sz w:val="26"/>
        </w:rPr>
        <w:t>7</w:t>
      </w:r>
      <w:r w:rsidRPr="002A2C83">
        <w:rPr>
          <w:sz w:val="26"/>
        </w:rPr>
        <w:t>, the City</w:t>
      </w:r>
      <w:r w:rsidR="00CD38A7" w:rsidRPr="002A2C83">
        <w:rPr>
          <w:sz w:val="26"/>
        </w:rPr>
        <w:t xml:space="preserve"> </w:t>
      </w:r>
      <w:r w:rsidR="002A2C83" w:rsidRPr="002A2C83">
        <w:rPr>
          <w:sz w:val="26"/>
        </w:rPr>
        <w:t>objects to Conclusion of Law N</w:t>
      </w:r>
      <w:r w:rsidR="00BE69D6">
        <w:rPr>
          <w:sz w:val="26"/>
        </w:rPr>
        <w:t>o.</w:t>
      </w:r>
      <w:r w:rsidR="002A2C83" w:rsidRPr="002A2C83">
        <w:rPr>
          <w:sz w:val="26"/>
        </w:rPr>
        <w:t xml:space="preserve"> 7 regarding the date by which UGI’s practices conformed to the Section 59.18 amendments.  </w:t>
      </w:r>
      <w:r w:rsidR="002A2C83">
        <w:rPr>
          <w:sz w:val="26"/>
        </w:rPr>
        <w:t>Conclusion of Law N</w:t>
      </w:r>
      <w:r w:rsidR="00BE69D6">
        <w:rPr>
          <w:sz w:val="26"/>
        </w:rPr>
        <w:t>o.</w:t>
      </w:r>
      <w:r w:rsidR="002A2C83">
        <w:rPr>
          <w:sz w:val="26"/>
        </w:rPr>
        <w:t xml:space="preserve"> 7 provides the following:  “The Complainants failed to meet their burden of proving that UGI’s policy after 2016 failed to conform to the amendments to 52 Pa. Code § 59.18.</w:t>
      </w:r>
      <w:r w:rsidR="00404ACC">
        <w:rPr>
          <w:sz w:val="26"/>
        </w:rPr>
        <w:t>”</w:t>
      </w:r>
      <w:r w:rsidR="002A2C83">
        <w:rPr>
          <w:sz w:val="26"/>
        </w:rPr>
        <w:t xml:space="preserve">  </w:t>
      </w:r>
      <w:r w:rsidR="0010134B">
        <w:rPr>
          <w:sz w:val="26"/>
        </w:rPr>
        <w:t xml:space="preserve">The </w:t>
      </w:r>
      <w:r w:rsidR="002A2C83" w:rsidRPr="002A2C83">
        <w:rPr>
          <w:sz w:val="26"/>
        </w:rPr>
        <w:t xml:space="preserve">City </w:t>
      </w:r>
      <w:r w:rsidR="0010134B">
        <w:rPr>
          <w:sz w:val="26"/>
        </w:rPr>
        <w:t>avers that</w:t>
      </w:r>
      <w:r w:rsidR="002A2C83" w:rsidRPr="002A2C83">
        <w:rPr>
          <w:sz w:val="26"/>
        </w:rPr>
        <w:t xml:space="preserve"> even with the two Complaints </w:t>
      </w:r>
      <w:r w:rsidR="0010134B">
        <w:rPr>
          <w:sz w:val="26"/>
        </w:rPr>
        <w:t>in this proceeding filed against it</w:t>
      </w:r>
      <w:r w:rsidR="002A2C83" w:rsidRPr="002A2C83">
        <w:rPr>
          <w:sz w:val="26"/>
        </w:rPr>
        <w:t xml:space="preserve">, UGI did not change its practices </w:t>
      </w:r>
      <w:r w:rsidR="0010134B">
        <w:rPr>
          <w:sz w:val="26"/>
        </w:rPr>
        <w:t>concerning</w:t>
      </w:r>
      <w:r w:rsidR="002A2C83" w:rsidRPr="002A2C83">
        <w:rPr>
          <w:sz w:val="26"/>
        </w:rPr>
        <w:t xml:space="preserve"> the </w:t>
      </w:r>
      <w:r w:rsidR="00855886">
        <w:rPr>
          <w:sz w:val="26"/>
        </w:rPr>
        <w:t>thirty-</w:t>
      </w:r>
      <w:r w:rsidR="002A2C83" w:rsidRPr="002A2C83">
        <w:rPr>
          <w:sz w:val="26"/>
        </w:rPr>
        <w:t>day notice letter until October 2017</w:t>
      </w:r>
      <w:r w:rsidR="00855886">
        <w:rPr>
          <w:sz w:val="26"/>
        </w:rPr>
        <w:t>.</w:t>
      </w:r>
      <w:r w:rsidR="002A2C83" w:rsidRPr="002A2C83">
        <w:rPr>
          <w:sz w:val="26"/>
        </w:rPr>
        <w:t xml:space="preserve">  </w:t>
      </w:r>
      <w:r w:rsidR="00855886">
        <w:rPr>
          <w:sz w:val="26"/>
        </w:rPr>
        <w:t>The City asserts that t</w:t>
      </w:r>
      <w:r w:rsidR="002A2C83" w:rsidRPr="002A2C83">
        <w:rPr>
          <w:sz w:val="26"/>
        </w:rPr>
        <w:t xml:space="preserve">he 2016 date in Conclusion of Law </w:t>
      </w:r>
      <w:r w:rsidR="00855886">
        <w:rPr>
          <w:sz w:val="26"/>
        </w:rPr>
        <w:t>N</w:t>
      </w:r>
      <w:r w:rsidR="00BE69D6">
        <w:rPr>
          <w:sz w:val="26"/>
        </w:rPr>
        <w:t>o.</w:t>
      </w:r>
      <w:r w:rsidR="00855886">
        <w:rPr>
          <w:sz w:val="26"/>
        </w:rPr>
        <w:t xml:space="preserve"> 7</w:t>
      </w:r>
      <w:r w:rsidR="002A2C83" w:rsidRPr="002A2C83">
        <w:rPr>
          <w:sz w:val="26"/>
        </w:rPr>
        <w:t xml:space="preserve"> is </w:t>
      </w:r>
      <w:r w:rsidR="00855886">
        <w:rPr>
          <w:sz w:val="26"/>
        </w:rPr>
        <w:t>in</w:t>
      </w:r>
      <w:r w:rsidR="002A2C83" w:rsidRPr="002A2C83">
        <w:rPr>
          <w:sz w:val="26"/>
        </w:rPr>
        <w:t>correct and</w:t>
      </w:r>
      <w:r w:rsidR="002A2C83" w:rsidRPr="00855886">
        <w:rPr>
          <w:sz w:val="26"/>
        </w:rPr>
        <w:t>, at a minimum,</w:t>
      </w:r>
      <w:r w:rsidR="002A2C83" w:rsidRPr="002A2C83">
        <w:rPr>
          <w:sz w:val="26"/>
        </w:rPr>
        <w:t xml:space="preserve"> should be October 2017.</w:t>
      </w:r>
    </w:p>
    <w:p w14:paraId="0ED51E27" w14:textId="77777777" w:rsidR="00463D0F" w:rsidRPr="002A2C83" w:rsidRDefault="00463D0F" w:rsidP="008E1AD5">
      <w:pPr>
        <w:tabs>
          <w:tab w:val="left" w:pos="720"/>
        </w:tabs>
        <w:ind w:firstLine="720"/>
        <w:rPr>
          <w:sz w:val="26"/>
        </w:rPr>
      </w:pPr>
    </w:p>
    <w:p w14:paraId="20F28640" w14:textId="03782C7A" w:rsidR="00835DF3" w:rsidRPr="00791C03" w:rsidRDefault="004E4AAE" w:rsidP="008E1AD5">
      <w:pPr>
        <w:keepNext/>
        <w:keepLines/>
        <w:tabs>
          <w:tab w:val="left" w:pos="720"/>
        </w:tabs>
        <w:rPr>
          <w:b/>
          <w:bCs/>
          <w:sz w:val="26"/>
        </w:rPr>
      </w:pPr>
      <w:r>
        <w:rPr>
          <w:b/>
          <w:bCs/>
          <w:sz w:val="26"/>
        </w:rPr>
        <w:lastRenderedPageBreak/>
        <w:tab/>
        <w:t>2.</w:t>
      </w:r>
      <w:r w:rsidR="00F878B5">
        <w:rPr>
          <w:b/>
          <w:bCs/>
          <w:sz w:val="26"/>
        </w:rPr>
        <w:tab/>
      </w:r>
      <w:r w:rsidR="008A6EB7" w:rsidRPr="00791C03">
        <w:rPr>
          <w:b/>
          <w:bCs/>
          <w:sz w:val="26"/>
        </w:rPr>
        <w:t>UGI’s Replies</w:t>
      </w:r>
    </w:p>
    <w:p w14:paraId="1315150D" w14:textId="77777777" w:rsidR="007A7B89" w:rsidRPr="009F2B91" w:rsidRDefault="007D03C0" w:rsidP="008E1AD5">
      <w:pPr>
        <w:pStyle w:val="Default"/>
        <w:keepNext/>
        <w:keepLines/>
        <w:tabs>
          <w:tab w:val="left" w:pos="720"/>
        </w:tabs>
        <w:spacing w:line="360" w:lineRule="auto"/>
        <w:rPr>
          <w:color w:val="auto"/>
          <w:sz w:val="26"/>
        </w:rPr>
      </w:pPr>
      <w:r w:rsidRPr="009F2B91">
        <w:rPr>
          <w:color w:val="auto"/>
          <w:sz w:val="26"/>
        </w:rPr>
        <w:t xml:space="preserve"> </w:t>
      </w:r>
      <w:r w:rsidR="00CB1D40" w:rsidRPr="009F2B91">
        <w:rPr>
          <w:color w:val="auto"/>
          <w:sz w:val="26"/>
        </w:rPr>
        <w:t xml:space="preserve">  </w:t>
      </w:r>
      <w:r w:rsidR="007A7B89" w:rsidRPr="009F2B91">
        <w:rPr>
          <w:color w:val="auto"/>
          <w:sz w:val="26"/>
        </w:rPr>
        <w:t xml:space="preserve"> </w:t>
      </w:r>
    </w:p>
    <w:p w14:paraId="2AD5585C" w14:textId="51DBDD6E" w:rsidR="00EE55B7" w:rsidRDefault="00A64D30" w:rsidP="008E1AD5">
      <w:pPr>
        <w:keepNext/>
        <w:keepLines/>
        <w:ind w:firstLine="720"/>
        <w:textAlignment w:val="baseline"/>
        <w:rPr>
          <w:sz w:val="26"/>
        </w:rPr>
      </w:pPr>
      <w:r w:rsidRPr="009F2B91">
        <w:rPr>
          <w:b/>
          <w:bCs/>
          <w:sz w:val="26"/>
          <w:szCs w:val="26"/>
        </w:rPr>
        <w:t xml:space="preserve"> </w:t>
      </w:r>
      <w:r w:rsidR="00791C03">
        <w:rPr>
          <w:b/>
          <w:bCs/>
          <w:sz w:val="26"/>
          <w:szCs w:val="26"/>
        </w:rPr>
        <w:tab/>
      </w:r>
      <w:r w:rsidR="00B97874">
        <w:rPr>
          <w:sz w:val="26"/>
        </w:rPr>
        <w:t>In response, UGI states that the ALJ</w:t>
      </w:r>
      <w:r w:rsidR="00EE55B7" w:rsidRPr="00311EFB">
        <w:rPr>
          <w:sz w:val="26"/>
        </w:rPr>
        <w:t xml:space="preserve"> correctly held that UGI</w:t>
      </w:r>
      <w:r w:rsidR="00B97874">
        <w:rPr>
          <w:sz w:val="26"/>
        </w:rPr>
        <w:t>’</w:t>
      </w:r>
      <w:r w:rsidR="00EE55B7" w:rsidRPr="00311EFB">
        <w:rPr>
          <w:sz w:val="26"/>
        </w:rPr>
        <w:t>s meter installation and relocation policy in its revised GOM, which became effective July 31, 2016, complies with the Commission</w:t>
      </w:r>
      <w:r w:rsidR="00B97874">
        <w:rPr>
          <w:sz w:val="26"/>
        </w:rPr>
        <w:t>’</w:t>
      </w:r>
      <w:r w:rsidR="00EE55B7" w:rsidRPr="00311EFB">
        <w:rPr>
          <w:sz w:val="26"/>
        </w:rPr>
        <w:t xml:space="preserve">s </w:t>
      </w:r>
      <w:r w:rsidR="00B97874">
        <w:rPr>
          <w:sz w:val="26"/>
        </w:rPr>
        <w:t>R</w:t>
      </w:r>
      <w:r w:rsidR="00EE55B7" w:rsidRPr="00311EFB">
        <w:rPr>
          <w:sz w:val="26"/>
        </w:rPr>
        <w:t xml:space="preserve">egulations. </w:t>
      </w:r>
      <w:r w:rsidR="00B97874">
        <w:rPr>
          <w:sz w:val="26"/>
        </w:rPr>
        <w:t xml:space="preserve"> UGI avers that its revised GOM included </w:t>
      </w:r>
      <w:r w:rsidR="00EE55B7" w:rsidRPr="00311EFB">
        <w:rPr>
          <w:sz w:val="26"/>
        </w:rPr>
        <w:t>substantial changes</w:t>
      </w:r>
      <w:r w:rsidR="00B97874">
        <w:rPr>
          <w:sz w:val="26"/>
        </w:rPr>
        <w:t>,</w:t>
      </w:r>
      <w:r w:rsidR="00EE55B7" w:rsidRPr="00311EFB">
        <w:rPr>
          <w:sz w:val="26"/>
        </w:rPr>
        <w:t xml:space="preserve"> includ</w:t>
      </w:r>
      <w:r w:rsidR="00B97874">
        <w:rPr>
          <w:sz w:val="26"/>
        </w:rPr>
        <w:t>ing</w:t>
      </w:r>
      <w:r w:rsidR="00EE55B7" w:rsidRPr="00311EFB">
        <w:rPr>
          <w:sz w:val="26"/>
        </w:rPr>
        <w:t xml:space="preserve"> additional guidance and consideration for meters located within historic districts. </w:t>
      </w:r>
      <w:r w:rsidR="00B97874">
        <w:rPr>
          <w:sz w:val="26"/>
        </w:rPr>
        <w:t xml:space="preserve"> </w:t>
      </w:r>
      <w:r w:rsidR="00EE55B7" w:rsidRPr="00311EFB">
        <w:rPr>
          <w:spacing w:val="-1"/>
          <w:sz w:val="26"/>
        </w:rPr>
        <w:t xml:space="preserve">UGI </w:t>
      </w:r>
      <w:r w:rsidR="00B97874">
        <w:rPr>
          <w:spacing w:val="-1"/>
          <w:sz w:val="26"/>
        </w:rPr>
        <w:t xml:space="preserve">indicates that it </w:t>
      </w:r>
      <w:r w:rsidR="00EE55B7" w:rsidRPr="00311EFB">
        <w:rPr>
          <w:spacing w:val="-1"/>
          <w:sz w:val="26"/>
        </w:rPr>
        <w:t xml:space="preserve">has followed this policy when installing or relocating meters, </w:t>
      </w:r>
      <w:r w:rsidR="00B97874">
        <w:rPr>
          <w:spacing w:val="-1"/>
          <w:sz w:val="26"/>
        </w:rPr>
        <w:t xml:space="preserve">and this policy </w:t>
      </w:r>
      <w:r w:rsidR="00EE55B7" w:rsidRPr="00311EFB">
        <w:rPr>
          <w:spacing w:val="-1"/>
          <w:sz w:val="26"/>
        </w:rPr>
        <w:t xml:space="preserve">includes consideration of inside meter locations in historic districts and for historic buildings. </w:t>
      </w:r>
      <w:r w:rsidR="00B97874">
        <w:rPr>
          <w:spacing w:val="-1"/>
          <w:sz w:val="26"/>
        </w:rPr>
        <w:t xml:space="preserve"> UGI also indicates that s</w:t>
      </w:r>
      <w:r w:rsidR="00EE55B7" w:rsidRPr="00311EFB">
        <w:rPr>
          <w:spacing w:val="-1"/>
          <w:sz w:val="26"/>
        </w:rPr>
        <w:t xml:space="preserve">uch consideration includes analyzing the potential locations on the outside of the building for the meter, whether the meter would block a distinguishing exterior feature, the ways in which the customer can mitigate the aesthetic impact of the meter, and the relative safety of an outside versus inside meter placement. </w:t>
      </w:r>
      <w:r w:rsidR="00866A65">
        <w:rPr>
          <w:spacing w:val="-1"/>
          <w:sz w:val="26"/>
        </w:rPr>
        <w:t xml:space="preserve"> UGI R. Exc. at 4.</w:t>
      </w:r>
      <w:r w:rsidR="00B97874">
        <w:rPr>
          <w:spacing w:val="-1"/>
          <w:sz w:val="26"/>
        </w:rPr>
        <w:t xml:space="preserve"> </w:t>
      </w:r>
      <w:r w:rsidR="00866A65">
        <w:rPr>
          <w:spacing w:val="-1"/>
          <w:sz w:val="26"/>
        </w:rPr>
        <w:t xml:space="preserve"> </w:t>
      </w:r>
      <w:r w:rsidR="00B97874">
        <w:rPr>
          <w:spacing w:val="-1"/>
          <w:sz w:val="26"/>
        </w:rPr>
        <w:t>UGI notes, h</w:t>
      </w:r>
      <w:r w:rsidR="00EE55B7" w:rsidRPr="00311EFB">
        <w:rPr>
          <w:spacing w:val="-1"/>
          <w:sz w:val="26"/>
        </w:rPr>
        <w:t xml:space="preserve">owever, </w:t>
      </w:r>
      <w:r w:rsidR="00B97874">
        <w:rPr>
          <w:spacing w:val="-1"/>
          <w:sz w:val="26"/>
        </w:rPr>
        <w:t xml:space="preserve">that </w:t>
      </w:r>
      <w:r w:rsidR="00EE55B7" w:rsidRPr="00311EFB">
        <w:rPr>
          <w:spacing w:val="-1"/>
          <w:sz w:val="26"/>
        </w:rPr>
        <w:t>because the Company places a</w:t>
      </w:r>
      <w:r w:rsidR="00B97874">
        <w:rPr>
          <w:spacing w:val="-1"/>
          <w:sz w:val="26"/>
        </w:rPr>
        <w:t xml:space="preserve"> </w:t>
      </w:r>
      <w:r w:rsidR="00EE55B7" w:rsidRPr="00311EFB">
        <w:rPr>
          <w:sz w:val="26"/>
        </w:rPr>
        <w:t xml:space="preserve">priority on gas safety, the Company has </w:t>
      </w:r>
      <w:r w:rsidR="00493A07">
        <w:rPr>
          <w:sz w:val="26"/>
        </w:rPr>
        <w:t>mainly</w:t>
      </w:r>
      <w:r w:rsidR="00EE55B7" w:rsidRPr="00311EFB">
        <w:rPr>
          <w:sz w:val="26"/>
        </w:rPr>
        <w:t xml:space="preserve"> installed or relocated meters outside. </w:t>
      </w:r>
      <w:r w:rsidR="00493A07">
        <w:rPr>
          <w:sz w:val="26"/>
        </w:rPr>
        <w:t xml:space="preserve"> </w:t>
      </w:r>
      <w:r w:rsidR="00866A65" w:rsidRPr="00866A65">
        <w:rPr>
          <w:i/>
          <w:iCs/>
          <w:sz w:val="26"/>
        </w:rPr>
        <w:t>Id</w:t>
      </w:r>
      <w:r w:rsidR="00866A65">
        <w:rPr>
          <w:sz w:val="26"/>
        </w:rPr>
        <w:t xml:space="preserve">. at 4-5 </w:t>
      </w:r>
      <w:r w:rsidR="00EE55B7" w:rsidRPr="00311EFB">
        <w:rPr>
          <w:sz w:val="26"/>
        </w:rPr>
        <w:t>(</w:t>
      </w:r>
      <w:r w:rsidR="00866A65">
        <w:rPr>
          <w:sz w:val="26"/>
        </w:rPr>
        <w:t xml:space="preserve">citing </w:t>
      </w:r>
      <w:r w:rsidR="00EE55B7" w:rsidRPr="00311EFB">
        <w:rPr>
          <w:sz w:val="26"/>
        </w:rPr>
        <w:t>UGI St. 1</w:t>
      </w:r>
      <w:r w:rsidR="00866A65">
        <w:rPr>
          <w:sz w:val="26"/>
        </w:rPr>
        <w:t xml:space="preserve"> at</w:t>
      </w:r>
      <w:r w:rsidR="00EE55B7" w:rsidRPr="00311EFB">
        <w:rPr>
          <w:sz w:val="26"/>
        </w:rPr>
        <w:t xml:space="preserve"> 18)</w:t>
      </w:r>
      <w:r w:rsidR="00866A65">
        <w:rPr>
          <w:sz w:val="26"/>
        </w:rPr>
        <w:t xml:space="preserve">.  UGI states that </w:t>
      </w:r>
      <w:r w:rsidR="00EE55B7" w:rsidRPr="00311EFB">
        <w:rPr>
          <w:sz w:val="26"/>
        </w:rPr>
        <w:t xml:space="preserve">there is </w:t>
      </w:r>
      <w:r w:rsidR="00866A65">
        <w:rPr>
          <w:sz w:val="26"/>
        </w:rPr>
        <w:t>more</w:t>
      </w:r>
      <w:r w:rsidR="00EE55B7" w:rsidRPr="00311EFB">
        <w:rPr>
          <w:sz w:val="26"/>
        </w:rPr>
        <w:t xml:space="preserve"> risk </w:t>
      </w:r>
      <w:r w:rsidR="00866A65">
        <w:rPr>
          <w:sz w:val="26"/>
        </w:rPr>
        <w:t xml:space="preserve">involved </w:t>
      </w:r>
      <w:r w:rsidR="00EE55B7" w:rsidRPr="00311EFB">
        <w:rPr>
          <w:sz w:val="26"/>
        </w:rPr>
        <w:t>when placing a meter inside a building</w:t>
      </w:r>
      <w:r w:rsidR="00866A65">
        <w:rPr>
          <w:sz w:val="26"/>
        </w:rPr>
        <w:t xml:space="preserve">; however, the Company </w:t>
      </w:r>
      <w:r w:rsidR="00EE55B7" w:rsidRPr="00311EFB">
        <w:rPr>
          <w:sz w:val="26"/>
        </w:rPr>
        <w:t>still considers inside meter locations when determining where to install or relocate a meter</w:t>
      </w:r>
      <w:r w:rsidR="00866A65">
        <w:rPr>
          <w:sz w:val="26"/>
        </w:rPr>
        <w:t>, consistent with the Commission’s Regulations</w:t>
      </w:r>
      <w:r w:rsidR="00EE55B7" w:rsidRPr="00311EFB">
        <w:rPr>
          <w:sz w:val="26"/>
        </w:rPr>
        <w:t>.</w:t>
      </w:r>
      <w:r w:rsidR="00866A65">
        <w:rPr>
          <w:sz w:val="26"/>
        </w:rPr>
        <w:t xml:space="preserve">  UGI R. Exc. at 5.</w:t>
      </w:r>
    </w:p>
    <w:p w14:paraId="55AB8395" w14:textId="77777777" w:rsidR="00866A65" w:rsidRPr="00311EFB" w:rsidRDefault="00866A65" w:rsidP="008E1AD5">
      <w:pPr>
        <w:ind w:firstLine="720"/>
        <w:textAlignment w:val="baseline"/>
        <w:rPr>
          <w:sz w:val="26"/>
        </w:rPr>
      </w:pPr>
    </w:p>
    <w:p w14:paraId="2FE3D3E1" w14:textId="4CCD3287" w:rsidR="00EE55B7" w:rsidRPr="00311EFB" w:rsidRDefault="00866A65" w:rsidP="008E1AD5">
      <w:pPr>
        <w:ind w:right="72" w:firstLine="720"/>
        <w:textAlignment w:val="baseline"/>
        <w:rPr>
          <w:sz w:val="26"/>
        </w:rPr>
      </w:pPr>
      <w:r>
        <w:rPr>
          <w:sz w:val="26"/>
        </w:rPr>
        <w:tab/>
        <w:t xml:space="preserve">UGI </w:t>
      </w:r>
      <w:r w:rsidR="00122D93">
        <w:rPr>
          <w:sz w:val="26"/>
        </w:rPr>
        <w:t xml:space="preserve">also </w:t>
      </w:r>
      <w:r>
        <w:rPr>
          <w:sz w:val="26"/>
        </w:rPr>
        <w:t xml:space="preserve">argues that the </w:t>
      </w:r>
      <w:r w:rsidRPr="00311EFB">
        <w:rPr>
          <w:sz w:val="26"/>
        </w:rPr>
        <w:t>record demonstrates that UGI considered inside meter locations for historic buildings and buildings in historic districts as required by Section 59.18(d)(1)(ii).</w:t>
      </w:r>
      <w:r>
        <w:rPr>
          <w:sz w:val="26"/>
        </w:rPr>
        <w:t xml:space="preserve">  UGI avers that it</w:t>
      </w:r>
      <w:r w:rsidR="00EE55B7" w:rsidRPr="00311EFB">
        <w:rPr>
          <w:sz w:val="26"/>
        </w:rPr>
        <w:t xml:space="preserve"> has worked with individual customers to find less obtrusive locations for the meter</w:t>
      </w:r>
      <w:r w:rsidR="00A51C31">
        <w:rPr>
          <w:sz w:val="26"/>
        </w:rPr>
        <w:t xml:space="preserve"> in order</w:t>
      </w:r>
      <w:r w:rsidR="00EE55B7" w:rsidRPr="00311EFB">
        <w:rPr>
          <w:sz w:val="26"/>
        </w:rPr>
        <w:t xml:space="preserve"> to mitigate aesthetic concerns</w:t>
      </w:r>
      <w:r>
        <w:rPr>
          <w:sz w:val="26"/>
        </w:rPr>
        <w:t xml:space="preserve"> and in some </w:t>
      </w:r>
      <w:r w:rsidR="00EE55B7" w:rsidRPr="00311EFB">
        <w:rPr>
          <w:sz w:val="26"/>
        </w:rPr>
        <w:t>situations whe</w:t>
      </w:r>
      <w:r>
        <w:rPr>
          <w:sz w:val="26"/>
        </w:rPr>
        <w:t>re</w:t>
      </w:r>
      <w:r w:rsidR="00EE55B7" w:rsidRPr="00311EFB">
        <w:rPr>
          <w:sz w:val="26"/>
        </w:rPr>
        <w:t xml:space="preserve"> there </w:t>
      </w:r>
      <w:r>
        <w:rPr>
          <w:sz w:val="26"/>
        </w:rPr>
        <w:t>were</w:t>
      </w:r>
      <w:r w:rsidR="00EE55B7" w:rsidRPr="00311EFB">
        <w:rPr>
          <w:sz w:val="26"/>
        </w:rPr>
        <w:t xml:space="preserve"> no practical and feasible locations for the meters outside or when the meter would obstruct a distinguishing exterior feature, the Company has exercised its discretion to leave meters inside. </w:t>
      </w:r>
      <w:r>
        <w:rPr>
          <w:sz w:val="26"/>
        </w:rPr>
        <w:t xml:space="preserve"> </w:t>
      </w:r>
      <w:r w:rsidRPr="00866A65">
        <w:rPr>
          <w:i/>
          <w:iCs/>
          <w:sz w:val="26"/>
        </w:rPr>
        <w:t>Id</w:t>
      </w:r>
      <w:r>
        <w:rPr>
          <w:sz w:val="26"/>
        </w:rPr>
        <w:t>.</w:t>
      </w:r>
    </w:p>
    <w:p w14:paraId="52443607" w14:textId="77777777" w:rsidR="0061221C" w:rsidRDefault="0061221C" w:rsidP="008E1AD5">
      <w:pPr>
        <w:ind w:right="72" w:firstLine="720"/>
        <w:textAlignment w:val="baseline"/>
        <w:rPr>
          <w:spacing w:val="-1"/>
          <w:sz w:val="26"/>
        </w:rPr>
      </w:pPr>
    </w:p>
    <w:p w14:paraId="1DD99BD6" w14:textId="39EB809A" w:rsidR="00EE55B7" w:rsidRDefault="00122D93" w:rsidP="008E1AD5">
      <w:pPr>
        <w:textAlignment w:val="baseline"/>
        <w:rPr>
          <w:sz w:val="26"/>
        </w:rPr>
      </w:pPr>
      <w:r>
        <w:rPr>
          <w:spacing w:val="-1"/>
          <w:sz w:val="26"/>
        </w:rPr>
        <w:t xml:space="preserve">UGI agrees with the ALJ’s conclusion that </w:t>
      </w:r>
      <w:r w:rsidR="00EE55B7" w:rsidRPr="00311EFB">
        <w:rPr>
          <w:spacing w:val="-1"/>
          <w:sz w:val="26"/>
        </w:rPr>
        <w:t xml:space="preserve">NGDCs </w:t>
      </w:r>
      <w:r>
        <w:rPr>
          <w:spacing w:val="-1"/>
          <w:sz w:val="26"/>
        </w:rPr>
        <w:t xml:space="preserve">are not required to conduct a </w:t>
      </w:r>
      <w:r w:rsidR="00EE55B7" w:rsidRPr="00311EFB">
        <w:rPr>
          <w:spacing w:val="-1"/>
          <w:sz w:val="26"/>
        </w:rPr>
        <w:t xml:space="preserve">case-by-case analysis of whether to install the meter outside or inside </w:t>
      </w:r>
      <w:r w:rsidR="002634EA">
        <w:rPr>
          <w:spacing w:val="-1"/>
          <w:sz w:val="26"/>
        </w:rPr>
        <w:t xml:space="preserve">of </w:t>
      </w:r>
      <w:r w:rsidR="00EE55B7" w:rsidRPr="00311EFB">
        <w:rPr>
          <w:spacing w:val="-1"/>
          <w:sz w:val="26"/>
        </w:rPr>
        <w:t xml:space="preserve">the </w:t>
      </w:r>
      <w:r w:rsidR="00EE55B7" w:rsidRPr="00311EFB">
        <w:rPr>
          <w:spacing w:val="-1"/>
          <w:sz w:val="26"/>
        </w:rPr>
        <w:lastRenderedPageBreak/>
        <w:t xml:space="preserve">building before contacting the customer. </w:t>
      </w:r>
      <w:r w:rsidR="00A51C31">
        <w:rPr>
          <w:spacing w:val="-1"/>
          <w:sz w:val="26"/>
        </w:rPr>
        <w:t xml:space="preserve"> </w:t>
      </w:r>
      <w:r w:rsidR="00F340A0">
        <w:rPr>
          <w:spacing w:val="-1"/>
          <w:sz w:val="26"/>
        </w:rPr>
        <w:t xml:space="preserve">UGI also believes that </w:t>
      </w:r>
      <w:r w:rsidR="00EE55B7" w:rsidRPr="00311EFB">
        <w:rPr>
          <w:spacing w:val="-1"/>
          <w:sz w:val="26"/>
        </w:rPr>
        <w:t>the timing of the consideration, whether it is before or after the customer is initially contacted, is in</w:t>
      </w:r>
      <w:r w:rsidR="00F340A0">
        <w:rPr>
          <w:spacing w:val="-1"/>
          <w:sz w:val="26"/>
        </w:rPr>
        <w:t xml:space="preserve">significant, as the important aspect is </w:t>
      </w:r>
      <w:r w:rsidR="00EE55B7" w:rsidRPr="00311EFB">
        <w:rPr>
          <w:spacing w:val="-1"/>
          <w:sz w:val="26"/>
        </w:rPr>
        <w:t xml:space="preserve">whether the NGDC considers the inside meter location before installing the meter. </w:t>
      </w:r>
      <w:r w:rsidR="00F340A0">
        <w:rPr>
          <w:spacing w:val="-1"/>
          <w:sz w:val="26"/>
        </w:rPr>
        <w:t xml:space="preserve"> UGI avers that it </w:t>
      </w:r>
      <w:r w:rsidR="00F340A0" w:rsidRPr="00311EFB">
        <w:rPr>
          <w:sz w:val="26"/>
        </w:rPr>
        <w:t xml:space="preserve">properly considered inside meter locations </w:t>
      </w:r>
      <w:r w:rsidR="00F340A0">
        <w:rPr>
          <w:sz w:val="26"/>
        </w:rPr>
        <w:t>as required by</w:t>
      </w:r>
      <w:r w:rsidR="00F340A0" w:rsidRPr="00311EFB">
        <w:rPr>
          <w:sz w:val="26"/>
        </w:rPr>
        <w:t xml:space="preserve"> the Commission</w:t>
      </w:r>
      <w:r w:rsidR="00F340A0">
        <w:rPr>
          <w:sz w:val="26"/>
        </w:rPr>
        <w:t>’</w:t>
      </w:r>
      <w:r w:rsidR="00F340A0" w:rsidRPr="00311EFB">
        <w:rPr>
          <w:sz w:val="26"/>
        </w:rPr>
        <w:t xml:space="preserve">s </w:t>
      </w:r>
      <w:r w:rsidR="00F340A0">
        <w:rPr>
          <w:sz w:val="26"/>
        </w:rPr>
        <w:t>R</w:t>
      </w:r>
      <w:r w:rsidR="00F340A0" w:rsidRPr="00311EFB">
        <w:rPr>
          <w:sz w:val="26"/>
        </w:rPr>
        <w:t>egulations.</w:t>
      </w:r>
      <w:r w:rsidR="008824C3">
        <w:rPr>
          <w:sz w:val="26"/>
        </w:rPr>
        <w:t xml:space="preserve">  </w:t>
      </w:r>
      <w:r w:rsidR="0093624F" w:rsidRPr="0093624F">
        <w:rPr>
          <w:i/>
          <w:iCs/>
          <w:sz w:val="26"/>
        </w:rPr>
        <w:t>Id</w:t>
      </w:r>
      <w:r w:rsidR="0093624F">
        <w:rPr>
          <w:sz w:val="26"/>
        </w:rPr>
        <w:t xml:space="preserve">.  </w:t>
      </w:r>
      <w:r w:rsidR="008824C3">
        <w:rPr>
          <w:sz w:val="26"/>
        </w:rPr>
        <w:t>UGI submits that it</w:t>
      </w:r>
      <w:r w:rsidR="00EE55B7" w:rsidRPr="00311EFB">
        <w:rPr>
          <w:spacing w:val="-1"/>
          <w:sz w:val="26"/>
        </w:rPr>
        <w:t xml:space="preserve"> has followed its revised </w:t>
      </w:r>
      <w:r w:rsidR="008824C3">
        <w:rPr>
          <w:spacing w:val="-1"/>
          <w:sz w:val="26"/>
        </w:rPr>
        <w:t xml:space="preserve">GOM </w:t>
      </w:r>
      <w:r w:rsidR="00EE55B7" w:rsidRPr="00311EFB">
        <w:rPr>
          <w:spacing w:val="-1"/>
          <w:sz w:val="26"/>
        </w:rPr>
        <w:t>that provide</w:t>
      </w:r>
      <w:r w:rsidR="008824C3">
        <w:rPr>
          <w:spacing w:val="-1"/>
          <w:sz w:val="26"/>
        </w:rPr>
        <w:t>s</w:t>
      </w:r>
      <w:r w:rsidR="00EE55B7" w:rsidRPr="00311EFB">
        <w:rPr>
          <w:spacing w:val="-1"/>
          <w:sz w:val="26"/>
        </w:rPr>
        <w:t xml:space="preserve"> additional guidance and consideration for meters located within historic districts</w:t>
      </w:r>
      <w:r w:rsidR="00A51C31">
        <w:rPr>
          <w:spacing w:val="-1"/>
          <w:sz w:val="26"/>
        </w:rPr>
        <w:t>,</w:t>
      </w:r>
      <w:r w:rsidR="00EE55B7" w:rsidRPr="00311EFB">
        <w:rPr>
          <w:spacing w:val="-1"/>
          <w:sz w:val="26"/>
        </w:rPr>
        <w:t xml:space="preserve"> and </w:t>
      </w:r>
      <w:r w:rsidR="008824C3">
        <w:rPr>
          <w:spacing w:val="-1"/>
          <w:sz w:val="26"/>
        </w:rPr>
        <w:t>it</w:t>
      </w:r>
      <w:r w:rsidR="00EE55B7" w:rsidRPr="00311EFB">
        <w:rPr>
          <w:spacing w:val="-1"/>
          <w:sz w:val="26"/>
        </w:rPr>
        <w:t xml:space="preserve"> has worked with individual customers in trying to find mutually-acceptable locations for the meters</w:t>
      </w:r>
      <w:r w:rsidR="00A51C31">
        <w:rPr>
          <w:spacing w:val="-1"/>
          <w:sz w:val="26"/>
        </w:rPr>
        <w:t>,</w:t>
      </w:r>
      <w:r w:rsidR="00EE55B7" w:rsidRPr="00311EFB">
        <w:rPr>
          <w:spacing w:val="-1"/>
          <w:sz w:val="26"/>
        </w:rPr>
        <w:t xml:space="preserve"> both before and after its</w:t>
      </w:r>
      <w:r w:rsidR="008824C3">
        <w:rPr>
          <w:spacing w:val="-1"/>
          <w:sz w:val="26"/>
        </w:rPr>
        <w:t xml:space="preserve"> </w:t>
      </w:r>
      <w:r w:rsidR="00EE55B7" w:rsidRPr="00311EFB">
        <w:rPr>
          <w:sz w:val="26"/>
        </w:rPr>
        <w:t>voluntary revision of its GOM in 2016.</w:t>
      </w:r>
      <w:r w:rsidR="0093624F">
        <w:rPr>
          <w:sz w:val="26"/>
        </w:rPr>
        <w:t xml:space="preserve">  </w:t>
      </w:r>
      <w:r w:rsidR="0093624F" w:rsidRPr="0093624F">
        <w:rPr>
          <w:i/>
          <w:iCs/>
          <w:sz w:val="26"/>
        </w:rPr>
        <w:t>Id</w:t>
      </w:r>
      <w:r w:rsidR="0093624F">
        <w:rPr>
          <w:sz w:val="26"/>
        </w:rPr>
        <w:t>. at 5-6.</w:t>
      </w:r>
    </w:p>
    <w:p w14:paraId="403C2CCB" w14:textId="77777777" w:rsidR="008824C3" w:rsidRPr="00311EFB" w:rsidRDefault="008824C3" w:rsidP="008E1AD5">
      <w:pPr>
        <w:textAlignment w:val="baseline"/>
        <w:rPr>
          <w:sz w:val="26"/>
        </w:rPr>
      </w:pPr>
    </w:p>
    <w:p w14:paraId="5F8F4F98" w14:textId="1AB16E63" w:rsidR="00EE55B7" w:rsidRPr="00311EFB" w:rsidRDefault="008824C3" w:rsidP="008E1AD5">
      <w:pPr>
        <w:ind w:firstLine="720"/>
        <w:textAlignment w:val="baseline"/>
        <w:rPr>
          <w:sz w:val="26"/>
        </w:rPr>
      </w:pPr>
      <w:r>
        <w:rPr>
          <w:sz w:val="26"/>
        </w:rPr>
        <w:tab/>
      </w:r>
      <w:r w:rsidR="002402FE">
        <w:rPr>
          <w:sz w:val="26"/>
        </w:rPr>
        <w:t>Additionally, UGI contends that t</w:t>
      </w:r>
      <w:r w:rsidR="00EE55B7" w:rsidRPr="00311EFB">
        <w:rPr>
          <w:sz w:val="26"/>
        </w:rPr>
        <w:t>he City</w:t>
      </w:r>
      <w:r w:rsidR="002402FE">
        <w:rPr>
          <w:sz w:val="26"/>
        </w:rPr>
        <w:t xml:space="preserve"> failed to</w:t>
      </w:r>
      <w:r w:rsidR="00EE55B7" w:rsidRPr="00311EFB">
        <w:rPr>
          <w:sz w:val="26"/>
        </w:rPr>
        <w:t xml:space="preserve"> establish that UGI placed any meters in front of distinguishing exterior features</w:t>
      </w:r>
      <w:r w:rsidR="0093624F">
        <w:rPr>
          <w:sz w:val="26"/>
        </w:rPr>
        <w:t xml:space="preserve"> </w:t>
      </w:r>
      <w:r w:rsidR="00731B77">
        <w:rPr>
          <w:sz w:val="26"/>
        </w:rPr>
        <w:t xml:space="preserve">in derogation </w:t>
      </w:r>
      <w:r w:rsidR="0093624F">
        <w:rPr>
          <w:sz w:val="26"/>
        </w:rPr>
        <w:t>o</w:t>
      </w:r>
      <w:r w:rsidR="00731B77">
        <w:rPr>
          <w:sz w:val="26"/>
        </w:rPr>
        <w:t>f</w:t>
      </w:r>
      <w:r w:rsidR="0093624F">
        <w:rPr>
          <w:sz w:val="26"/>
        </w:rPr>
        <w:t xml:space="preserve"> the Com</w:t>
      </w:r>
      <w:r w:rsidR="00EE55B7" w:rsidRPr="00311EFB">
        <w:rPr>
          <w:sz w:val="26"/>
        </w:rPr>
        <w:t>pany</w:t>
      </w:r>
      <w:r w:rsidR="0093624F">
        <w:rPr>
          <w:sz w:val="26"/>
        </w:rPr>
        <w:t>’</w:t>
      </w:r>
      <w:r w:rsidR="00EE55B7" w:rsidRPr="00311EFB">
        <w:rPr>
          <w:sz w:val="26"/>
        </w:rPr>
        <w:t xml:space="preserve">s revised GOM. </w:t>
      </w:r>
      <w:r w:rsidR="0093624F">
        <w:rPr>
          <w:sz w:val="26"/>
        </w:rPr>
        <w:t xml:space="preserve"> </w:t>
      </w:r>
      <w:r w:rsidR="00731B77">
        <w:rPr>
          <w:sz w:val="26"/>
        </w:rPr>
        <w:t xml:space="preserve">UGI states that the </w:t>
      </w:r>
      <w:r w:rsidR="00EE55B7" w:rsidRPr="00311EFB">
        <w:rPr>
          <w:sz w:val="26"/>
        </w:rPr>
        <w:t xml:space="preserve">City alleged that UGI placed meters in front of distinguishing exterior features on buildings on the 300 block of North Fifth Street, as shown by the pictures in </w:t>
      </w:r>
      <w:r w:rsidR="00B919DE">
        <w:rPr>
          <w:sz w:val="26"/>
        </w:rPr>
        <w:t xml:space="preserve">the </w:t>
      </w:r>
      <w:r w:rsidR="00731B77">
        <w:rPr>
          <w:sz w:val="26"/>
        </w:rPr>
        <w:t>City</w:t>
      </w:r>
      <w:r w:rsidR="00B919DE">
        <w:rPr>
          <w:sz w:val="26"/>
        </w:rPr>
        <w:t>’s</w:t>
      </w:r>
      <w:r w:rsidR="00EE55B7" w:rsidRPr="00311EFB">
        <w:rPr>
          <w:sz w:val="26"/>
        </w:rPr>
        <w:t xml:space="preserve"> Exhibit JS-16. </w:t>
      </w:r>
      <w:r w:rsidR="00731B77">
        <w:rPr>
          <w:sz w:val="26"/>
        </w:rPr>
        <w:t xml:space="preserve"> UGI avers that </w:t>
      </w:r>
      <w:r w:rsidR="00EE55B7" w:rsidRPr="00311EFB">
        <w:rPr>
          <w:sz w:val="26"/>
        </w:rPr>
        <w:t>the City failed to examine which version of the GOM was in effect at that time</w:t>
      </w:r>
      <w:r w:rsidR="00731B77">
        <w:rPr>
          <w:sz w:val="26"/>
        </w:rPr>
        <w:t xml:space="preserve">, as the </w:t>
      </w:r>
      <w:r w:rsidR="00EE55B7" w:rsidRPr="00311EFB">
        <w:rPr>
          <w:sz w:val="26"/>
        </w:rPr>
        <w:t xml:space="preserve">provision instructing Company personnel not to install meters in front of </w:t>
      </w:r>
      <w:r w:rsidR="00731B77">
        <w:rPr>
          <w:sz w:val="26"/>
        </w:rPr>
        <w:t>“</w:t>
      </w:r>
      <w:r w:rsidR="00EE55B7" w:rsidRPr="00311EFB">
        <w:rPr>
          <w:sz w:val="26"/>
        </w:rPr>
        <w:t>distinguishing exterior features</w:t>
      </w:r>
      <w:r w:rsidR="00731B77">
        <w:rPr>
          <w:sz w:val="26"/>
        </w:rPr>
        <w:t>”</w:t>
      </w:r>
      <w:r w:rsidR="00EE55B7" w:rsidRPr="00311EFB">
        <w:rPr>
          <w:sz w:val="26"/>
        </w:rPr>
        <w:t xml:space="preserve"> was only added as part of the GOM revisions effective on July 31, 2016. </w:t>
      </w:r>
      <w:r w:rsidR="00A51C31">
        <w:rPr>
          <w:sz w:val="26"/>
        </w:rPr>
        <w:t xml:space="preserve"> </w:t>
      </w:r>
      <w:r w:rsidR="00B919DE">
        <w:rPr>
          <w:sz w:val="26"/>
        </w:rPr>
        <w:t xml:space="preserve">UGI continues that </w:t>
      </w:r>
      <w:r w:rsidR="00EE55B7" w:rsidRPr="00311EFB">
        <w:rPr>
          <w:sz w:val="26"/>
        </w:rPr>
        <w:t xml:space="preserve"> none of the meters shown in </w:t>
      </w:r>
      <w:r w:rsidR="00B919DE">
        <w:rPr>
          <w:sz w:val="26"/>
        </w:rPr>
        <w:t xml:space="preserve">the City’s </w:t>
      </w:r>
      <w:r w:rsidR="00EE55B7" w:rsidRPr="00311EFB">
        <w:rPr>
          <w:sz w:val="26"/>
        </w:rPr>
        <w:t>Exhibit JS-16 were installed or relocated after the revised GOM became effective.</w:t>
      </w:r>
      <w:r w:rsidR="00B919DE">
        <w:rPr>
          <w:sz w:val="26"/>
        </w:rPr>
        <w:t xml:space="preserve">  </w:t>
      </w:r>
      <w:r w:rsidR="00D60669" w:rsidRPr="00D60669">
        <w:rPr>
          <w:i/>
          <w:iCs/>
          <w:sz w:val="26"/>
        </w:rPr>
        <w:t>Id</w:t>
      </w:r>
      <w:r w:rsidR="00D60669">
        <w:rPr>
          <w:sz w:val="26"/>
        </w:rPr>
        <w:t>. at 6.</w:t>
      </w:r>
    </w:p>
    <w:p w14:paraId="17ED70FC" w14:textId="77777777" w:rsidR="00F92270" w:rsidRDefault="00F92270" w:rsidP="008E1AD5">
      <w:pPr>
        <w:ind w:firstLine="720"/>
        <w:textAlignment w:val="baseline"/>
        <w:rPr>
          <w:sz w:val="26"/>
        </w:rPr>
      </w:pPr>
    </w:p>
    <w:p w14:paraId="0B142334" w14:textId="77777777" w:rsidR="00C06EC8" w:rsidRDefault="00F92270" w:rsidP="008E1AD5">
      <w:pPr>
        <w:ind w:firstLine="720"/>
        <w:textAlignment w:val="baseline"/>
        <w:rPr>
          <w:sz w:val="26"/>
        </w:rPr>
      </w:pPr>
      <w:r>
        <w:rPr>
          <w:sz w:val="26"/>
        </w:rPr>
        <w:tab/>
        <w:t xml:space="preserve">Further, UGI asserts that the </w:t>
      </w:r>
      <w:r w:rsidR="00EE55B7" w:rsidRPr="00311EFB">
        <w:rPr>
          <w:sz w:val="26"/>
        </w:rPr>
        <w:t>City</w:t>
      </w:r>
      <w:r>
        <w:rPr>
          <w:sz w:val="26"/>
        </w:rPr>
        <w:t>’</w:t>
      </w:r>
      <w:r w:rsidR="00EE55B7" w:rsidRPr="00311EFB">
        <w:rPr>
          <w:sz w:val="26"/>
        </w:rPr>
        <w:t>s argument that UGI</w:t>
      </w:r>
      <w:r>
        <w:rPr>
          <w:sz w:val="26"/>
        </w:rPr>
        <w:t>’</w:t>
      </w:r>
      <w:r w:rsidR="00EE55B7" w:rsidRPr="00311EFB">
        <w:rPr>
          <w:sz w:val="26"/>
        </w:rPr>
        <w:t xml:space="preserve">s </w:t>
      </w:r>
      <w:r>
        <w:rPr>
          <w:sz w:val="26"/>
        </w:rPr>
        <w:t>thirty</w:t>
      </w:r>
      <w:r w:rsidR="00EE55B7" w:rsidRPr="00311EFB">
        <w:rPr>
          <w:sz w:val="26"/>
        </w:rPr>
        <w:t>-day notice letter failed to comply with the Commission</w:t>
      </w:r>
      <w:r>
        <w:rPr>
          <w:sz w:val="26"/>
        </w:rPr>
        <w:t>’</w:t>
      </w:r>
      <w:r w:rsidR="00EE55B7" w:rsidRPr="00311EFB">
        <w:rPr>
          <w:sz w:val="26"/>
        </w:rPr>
        <w:t xml:space="preserve">s </w:t>
      </w:r>
      <w:r>
        <w:rPr>
          <w:sz w:val="26"/>
        </w:rPr>
        <w:t>R</w:t>
      </w:r>
      <w:r w:rsidR="00EE55B7" w:rsidRPr="00311EFB">
        <w:rPr>
          <w:sz w:val="26"/>
        </w:rPr>
        <w:t xml:space="preserve">egulations since October 1, 2017, </w:t>
      </w:r>
      <w:r>
        <w:rPr>
          <w:sz w:val="26"/>
        </w:rPr>
        <w:t>lacks</w:t>
      </w:r>
      <w:r w:rsidR="00EE55B7" w:rsidRPr="00311EFB">
        <w:rPr>
          <w:sz w:val="26"/>
        </w:rPr>
        <w:t xml:space="preserve"> merit. </w:t>
      </w:r>
      <w:r>
        <w:rPr>
          <w:sz w:val="26"/>
        </w:rPr>
        <w:t xml:space="preserve"> </w:t>
      </w:r>
      <w:r w:rsidRPr="00F92270">
        <w:rPr>
          <w:i/>
          <w:iCs/>
          <w:sz w:val="26"/>
        </w:rPr>
        <w:t>Id</w:t>
      </w:r>
      <w:r>
        <w:rPr>
          <w:sz w:val="26"/>
        </w:rPr>
        <w:t>.  T</w:t>
      </w:r>
      <w:r w:rsidR="00EE55B7" w:rsidRPr="00311EFB">
        <w:rPr>
          <w:sz w:val="26"/>
        </w:rPr>
        <w:t xml:space="preserve">he Company </w:t>
      </w:r>
      <w:r>
        <w:rPr>
          <w:sz w:val="26"/>
        </w:rPr>
        <w:t xml:space="preserve">states that while it </w:t>
      </w:r>
      <w:r w:rsidR="00EE55B7" w:rsidRPr="00311EFB">
        <w:rPr>
          <w:sz w:val="26"/>
        </w:rPr>
        <w:t>revise</w:t>
      </w:r>
      <w:r>
        <w:rPr>
          <w:sz w:val="26"/>
        </w:rPr>
        <w:t>d</w:t>
      </w:r>
      <w:r w:rsidR="00EE55B7" w:rsidRPr="00311EFB">
        <w:rPr>
          <w:sz w:val="26"/>
        </w:rPr>
        <w:t xml:space="preserve"> its </w:t>
      </w:r>
      <w:r>
        <w:rPr>
          <w:sz w:val="26"/>
        </w:rPr>
        <w:t>thirty</w:t>
      </w:r>
      <w:r w:rsidR="00EE55B7" w:rsidRPr="00311EFB">
        <w:rPr>
          <w:sz w:val="26"/>
        </w:rPr>
        <w:t xml:space="preserve">-day notice letter effective October 1, 2017, its prior letter </w:t>
      </w:r>
      <w:r>
        <w:rPr>
          <w:sz w:val="26"/>
        </w:rPr>
        <w:t>also</w:t>
      </w:r>
      <w:r w:rsidR="00EE55B7" w:rsidRPr="00311EFB">
        <w:rPr>
          <w:sz w:val="26"/>
        </w:rPr>
        <w:t xml:space="preserve"> complied with the Commission</w:t>
      </w:r>
      <w:r>
        <w:rPr>
          <w:sz w:val="26"/>
        </w:rPr>
        <w:t>’</w:t>
      </w:r>
      <w:r w:rsidR="00EE55B7" w:rsidRPr="00311EFB">
        <w:rPr>
          <w:sz w:val="26"/>
        </w:rPr>
        <w:t xml:space="preserve">s </w:t>
      </w:r>
      <w:r>
        <w:rPr>
          <w:sz w:val="26"/>
        </w:rPr>
        <w:t>R</w:t>
      </w:r>
      <w:r w:rsidR="00EE55B7" w:rsidRPr="00311EFB">
        <w:rPr>
          <w:sz w:val="26"/>
        </w:rPr>
        <w:t xml:space="preserve">egulations </w:t>
      </w:r>
      <w:r>
        <w:rPr>
          <w:sz w:val="26"/>
        </w:rPr>
        <w:t>because it contained</w:t>
      </w:r>
      <w:r w:rsidR="00EE55B7" w:rsidRPr="00311EFB">
        <w:rPr>
          <w:sz w:val="26"/>
        </w:rPr>
        <w:t xml:space="preserve"> the information required under 52 Pa. Code § 59.18(a)(2)</w:t>
      </w:r>
      <w:r>
        <w:rPr>
          <w:sz w:val="26"/>
        </w:rPr>
        <w:t>,</w:t>
      </w:r>
      <w:r w:rsidR="00EE55B7" w:rsidRPr="00311EFB">
        <w:rPr>
          <w:sz w:val="26"/>
        </w:rPr>
        <w:t>(3), including the required contact information for the Commission</w:t>
      </w:r>
      <w:r>
        <w:rPr>
          <w:sz w:val="26"/>
        </w:rPr>
        <w:t>’</w:t>
      </w:r>
      <w:r w:rsidR="00EE55B7" w:rsidRPr="00311EFB">
        <w:rPr>
          <w:sz w:val="26"/>
        </w:rPr>
        <w:t>s Bureau of Consumer Services and for the Company</w:t>
      </w:r>
      <w:r>
        <w:rPr>
          <w:sz w:val="26"/>
        </w:rPr>
        <w:t>’</w:t>
      </w:r>
      <w:r w:rsidR="00EE55B7" w:rsidRPr="00311EFB">
        <w:rPr>
          <w:sz w:val="26"/>
        </w:rPr>
        <w:t xml:space="preserve">s personnel involved in the project. </w:t>
      </w:r>
      <w:r w:rsidR="005A6F10">
        <w:rPr>
          <w:sz w:val="26"/>
        </w:rPr>
        <w:t xml:space="preserve"> </w:t>
      </w:r>
      <w:r w:rsidR="005A6F10" w:rsidRPr="005A6F10">
        <w:rPr>
          <w:i/>
          <w:iCs/>
          <w:sz w:val="26"/>
        </w:rPr>
        <w:t>Id</w:t>
      </w:r>
      <w:r w:rsidR="005A6F10">
        <w:rPr>
          <w:sz w:val="26"/>
        </w:rPr>
        <w:t xml:space="preserve">. at 7 </w:t>
      </w:r>
      <w:r w:rsidR="00EE55B7" w:rsidRPr="005A6F10">
        <w:rPr>
          <w:iCs/>
          <w:sz w:val="26"/>
        </w:rPr>
        <w:t>(</w:t>
      </w:r>
      <w:r w:rsidR="005A6F10">
        <w:rPr>
          <w:iCs/>
          <w:sz w:val="26"/>
        </w:rPr>
        <w:t>citing</w:t>
      </w:r>
      <w:r w:rsidR="00EE55B7" w:rsidRPr="005A6F10">
        <w:rPr>
          <w:iCs/>
          <w:sz w:val="26"/>
        </w:rPr>
        <w:t xml:space="preserve"> </w:t>
      </w:r>
      <w:r w:rsidR="005A6F10">
        <w:rPr>
          <w:iCs/>
          <w:sz w:val="26"/>
        </w:rPr>
        <w:t>City</w:t>
      </w:r>
      <w:r w:rsidR="00EE55B7" w:rsidRPr="00311EFB">
        <w:rPr>
          <w:sz w:val="26"/>
        </w:rPr>
        <w:t xml:space="preserve"> Exhs</w:t>
      </w:r>
      <w:r w:rsidR="005A6F10">
        <w:rPr>
          <w:sz w:val="26"/>
        </w:rPr>
        <w:t>.</w:t>
      </w:r>
      <w:r w:rsidR="00EE55B7" w:rsidRPr="00311EFB">
        <w:rPr>
          <w:sz w:val="26"/>
        </w:rPr>
        <w:t xml:space="preserve"> JS-10 and JS-12)</w:t>
      </w:r>
      <w:r w:rsidR="005A6F10">
        <w:rPr>
          <w:sz w:val="26"/>
        </w:rPr>
        <w:t>.</w:t>
      </w:r>
    </w:p>
    <w:p w14:paraId="2CE9862A" w14:textId="77777777" w:rsidR="0044212C" w:rsidRPr="00EB482D" w:rsidRDefault="00F878B5" w:rsidP="008E1AD5">
      <w:pPr>
        <w:tabs>
          <w:tab w:val="left" w:pos="2160"/>
        </w:tabs>
        <w:ind w:firstLine="720"/>
        <w:textAlignment w:val="baseline"/>
        <w:rPr>
          <w:b/>
          <w:bCs/>
          <w:sz w:val="26"/>
        </w:rPr>
      </w:pPr>
      <w:r>
        <w:rPr>
          <w:sz w:val="26"/>
        </w:rPr>
        <w:lastRenderedPageBreak/>
        <w:tab/>
      </w:r>
      <w:r w:rsidR="00A71C1A" w:rsidRPr="00A71C1A">
        <w:rPr>
          <w:b/>
          <w:bCs/>
          <w:sz w:val="26"/>
        </w:rPr>
        <w:t>3.</w:t>
      </w:r>
      <w:r>
        <w:rPr>
          <w:sz w:val="26"/>
        </w:rPr>
        <w:tab/>
      </w:r>
      <w:r w:rsidR="00EB482D" w:rsidRPr="00EB482D">
        <w:rPr>
          <w:b/>
          <w:bCs/>
          <w:sz w:val="26"/>
        </w:rPr>
        <w:t>Disposition</w:t>
      </w:r>
    </w:p>
    <w:p w14:paraId="15CCB461" w14:textId="77777777" w:rsidR="0044212C" w:rsidRDefault="0044212C" w:rsidP="008E1AD5">
      <w:pPr>
        <w:ind w:firstLine="720"/>
        <w:textAlignment w:val="baseline"/>
        <w:rPr>
          <w:sz w:val="26"/>
        </w:rPr>
      </w:pPr>
    </w:p>
    <w:p w14:paraId="6930ACC6" w14:textId="77777777" w:rsidR="004C3436" w:rsidRDefault="00EB482D" w:rsidP="008E1AD5">
      <w:pPr>
        <w:ind w:firstLine="720"/>
        <w:textAlignment w:val="baseline"/>
        <w:rPr>
          <w:color w:val="000000"/>
          <w:sz w:val="26"/>
          <w:szCs w:val="26"/>
        </w:rPr>
      </w:pPr>
      <w:r>
        <w:rPr>
          <w:sz w:val="26"/>
        </w:rPr>
        <w:tab/>
      </w:r>
      <w:r w:rsidR="000B41C6">
        <w:rPr>
          <w:sz w:val="26"/>
        </w:rPr>
        <w:t xml:space="preserve">Based on our review of the record and the Parties’ positions, we agree with the ALJ’s conclusion that the </w:t>
      </w:r>
      <w:r w:rsidR="000B41C6" w:rsidRPr="009F2B91">
        <w:rPr>
          <w:sz w:val="26"/>
        </w:rPr>
        <w:t>City Parties have failed to satisfy their burden of proving that UGI violated Section 59.18(d)</w:t>
      </w:r>
      <w:r w:rsidR="003F0A56">
        <w:rPr>
          <w:sz w:val="26"/>
        </w:rPr>
        <w:t>(1)</w:t>
      </w:r>
      <w:r w:rsidR="000B41C6" w:rsidRPr="009F2B91">
        <w:rPr>
          <w:sz w:val="26"/>
        </w:rPr>
        <w:t>(ii) after 2016.</w:t>
      </w:r>
      <w:r w:rsidR="000B41C6">
        <w:rPr>
          <w:sz w:val="26"/>
        </w:rPr>
        <w:t xml:space="preserve">  </w:t>
      </w:r>
      <w:r w:rsidR="003F0A56">
        <w:rPr>
          <w:sz w:val="26"/>
        </w:rPr>
        <w:t>O</w:t>
      </w:r>
      <w:r w:rsidR="00FB6D9B">
        <w:rPr>
          <w:sz w:val="26"/>
        </w:rPr>
        <w:t xml:space="preserve">ne piece of evidence the City Parties produced to demonstrate that UGI was in violation of the Regulation after </w:t>
      </w:r>
      <w:r w:rsidR="003670B2">
        <w:rPr>
          <w:sz w:val="26"/>
        </w:rPr>
        <w:t xml:space="preserve">2016 </w:t>
      </w:r>
      <w:r w:rsidR="00FD2E3E">
        <w:rPr>
          <w:sz w:val="26"/>
        </w:rPr>
        <w:t>was</w:t>
      </w:r>
      <w:r w:rsidR="003670B2">
        <w:rPr>
          <w:sz w:val="26"/>
        </w:rPr>
        <w:t xml:space="preserve"> UGI</w:t>
      </w:r>
      <w:r w:rsidR="003F0A56">
        <w:rPr>
          <w:sz w:val="26"/>
        </w:rPr>
        <w:t>’s</w:t>
      </w:r>
      <w:r w:rsidR="003670B2">
        <w:rPr>
          <w:sz w:val="26"/>
        </w:rPr>
        <w:t xml:space="preserve"> </w:t>
      </w:r>
      <w:r w:rsidR="003670B2">
        <w:rPr>
          <w:color w:val="000000"/>
          <w:sz w:val="26"/>
          <w:szCs w:val="26"/>
        </w:rPr>
        <w:t>January 30, 2017</w:t>
      </w:r>
      <w:r w:rsidR="005367F6">
        <w:rPr>
          <w:color w:val="000000"/>
          <w:sz w:val="26"/>
          <w:szCs w:val="26"/>
        </w:rPr>
        <w:t xml:space="preserve"> thirty-day notification letter</w:t>
      </w:r>
      <w:r w:rsidR="003F0A56">
        <w:rPr>
          <w:color w:val="000000"/>
          <w:sz w:val="26"/>
          <w:szCs w:val="26"/>
        </w:rPr>
        <w:t>,</w:t>
      </w:r>
      <w:r w:rsidR="005367F6">
        <w:rPr>
          <w:color w:val="000000"/>
          <w:sz w:val="26"/>
          <w:szCs w:val="26"/>
        </w:rPr>
        <w:t xml:space="preserve"> discussed above</w:t>
      </w:r>
      <w:r w:rsidR="003670B2">
        <w:rPr>
          <w:color w:val="000000"/>
          <w:sz w:val="26"/>
          <w:szCs w:val="26"/>
        </w:rPr>
        <w:t>.  City Exh. JS-12.</w:t>
      </w:r>
      <w:r w:rsidR="005367F6">
        <w:rPr>
          <w:color w:val="000000"/>
          <w:sz w:val="26"/>
          <w:szCs w:val="26"/>
        </w:rPr>
        <w:t xml:space="preserve">  In this instance, UGI presented sufficient evidence to rebut that of the City.  </w:t>
      </w:r>
      <w:r w:rsidR="003B50A8">
        <w:rPr>
          <w:color w:val="000000"/>
          <w:sz w:val="26"/>
          <w:szCs w:val="26"/>
        </w:rPr>
        <w:t xml:space="preserve">UGI presented evidence that it revised its GOM, effective July 31, 2016, to include additional guidance and consideration for meters located in historic districts.  </w:t>
      </w:r>
      <w:r w:rsidR="008F5181">
        <w:rPr>
          <w:color w:val="000000"/>
          <w:sz w:val="26"/>
          <w:szCs w:val="26"/>
        </w:rPr>
        <w:t>The revised GOM</w:t>
      </w:r>
      <w:r w:rsidR="00FD2E3E">
        <w:rPr>
          <w:color w:val="000000"/>
          <w:sz w:val="26"/>
          <w:szCs w:val="26"/>
        </w:rPr>
        <w:t xml:space="preserve"> provides that in historic districts, the Company should “attempt to locate meters in unobtrusive locations to </w:t>
      </w:r>
      <w:bookmarkStart w:id="5" w:name="_Hlk20142654"/>
      <w:r w:rsidR="00FD2E3E">
        <w:rPr>
          <w:color w:val="000000"/>
          <w:sz w:val="26"/>
          <w:szCs w:val="26"/>
        </w:rPr>
        <w:t>avoid placing meters in front of distinguishing exterior features of historic properties.</w:t>
      </w:r>
      <w:r w:rsidR="00013824">
        <w:rPr>
          <w:color w:val="000000"/>
          <w:sz w:val="26"/>
          <w:szCs w:val="26"/>
        </w:rPr>
        <w:t>”</w:t>
      </w:r>
      <w:bookmarkEnd w:id="5"/>
      <w:r w:rsidR="008F5181">
        <w:rPr>
          <w:color w:val="000000"/>
          <w:sz w:val="26"/>
          <w:szCs w:val="26"/>
        </w:rPr>
        <w:t xml:space="preserve">  </w:t>
      </w:r>
      <w:r w:rsidR="00FD2E3E">
        <w:rPr>
          <w:color w:val="000000"/>
          <w:sz w:val="26"/>
          <w:szCs w:val="26"/>
        </w:rPr>
        <w:t xml:space="preserve">When such unobtrusive locations are not available, the Company may install an indoor meter in a building within a historic district.  </w:t>
      </w:r>
      <w:r w:rsidR="008F5181">
        <w:rPr>
          <w:color w:val="000000"/>
          <w:sz w:val="26"/>
          <w:szCs w:val="26"/>
        </w:rPr>
        <w:t>UGI St. 1 at 34</w:t>
      </w:r>
      <w:r w:rsidR="00FD2E3E">
        <w:rPr>
          <w:color w:val="000000"/>
          <w:sz w:val="26"/>
          <w:szCs w:val="26"/>
        </w:rPr>
        <w:t>; UGI Exh. CB-5.</w:t>
      </w:r>
      <w:r w:rsidR="004C3436">
        <w:rPr>
          <w:color w:val="000000"/>
          <w:sz w:val="26"/>
          <w:szCs w:val="26"/>
        </w:rPr>
        <w:t xml:space="preserve">  UGI also revised its thirty day </w:t>
      </w:r>
      <w:r w:rsidR="003F0A56">
        <w:rPr>
          <w:color w:val="000000"/>
          <w:sz w:val="26"/>
          <w:szCs w:val="26"/>
        </w:rPr>
        <w:t xml:space="preserve">customer </w:t>
      </w:r>
      <w:r w:rsidR="004C3436">
        <w:rPr>
          <w:color w:val="000000"/>
          <w:sz w:val="26"/>
          <w:szCs w:val="26"/>
        </w:rPr>
        <w:t>noti</w:t>
      </w:r>
      <w:r w:rsidR="003F0A56">
        <w:rPr>
          <w:color w:val="000000"/>
          <w:sz w:val="26"/>
          <w:szCs w:val="26"/>
        </w:rPr>
        <w:t>fication</w:t>
      </w:r>
      <w:r w:rsidR="004C3436">
        <w:rPr>
          <w:color w:val="000000"/>
          <w:sz w:val="26"/>
          <w:szCs w:val="26"/>
        </w:rPr>
        <w:t xml:space="preserve"> letter</w:t>
      </w:r>
      <w:r w:rsidR="003F0A56">
        <w:rPr>
          <w:color w:val="000000"/>
          <w:sz w:val="26"/>
          <w:szCs w:val="26"/>
        </w:rPr>
        <w:t>s</w:t>
      </w:r>
      <w:r w:rsidR="005A2628">
        <w:rPr>
          <w:color w:val="000000"/>
          <w:sz w:val="26"/>
          <w:szCs w:val="26"/>
        </w:rPr>
        <w:t>, effective October 2017</w:t>
      </w:r>
      <w:r w:rsidR="003F0A56">
        <w:rPr>
          <w:color w:val="000000"/>
          <w:sz w:val="26"/>
          <w:szCs w:val="26"/>
        </w:rPr>
        <w:t>.</w:t>
      </w:r>
      <w:r w:rsidR="005A2628">
        <w:rPr>
          <w:color w:val="000000"/>
          <w:sz w:val="26"/>
          <w:szCs w:val="26"/>
        </w:rPr>
        <w:t xml:space="preserve"> </w:t>
      </w:r>
      <w:r w:rsidR="003F0A56">
        <w:rPr>
          <w:color w:val="000000"/>
          <w:sz w:val="26"/>
          <w:szCs w:val="26"/>
        </w:rPr>
        <w:t xml:space="preserve"> </w:t>
      </w:r>
      <w:r w:rsidR="003F0A56">
        <w:rPr>
          <w:sz w:val="26"/>
        </w:rPr>
        <w:t>Tr. at 344.</w:t>
      </w:r>
      <w:r w:rsidR="004C3436">
        <w:rPr>
          <w:color w:val="000000"/>
          <w:sz w:val="26"/>
          <w:szCs w:val="26"/>
        </w:rPr>
        <w:t xml:space="preserve">  The current version of the letter provides the following:</w:t>
      </w:r>
    </w:p>
    <w:p w14:paraId="0B612956" w14:textId="77777777" w:rsidR="004C3436" w:rsidRDefault="004C3436" w:rsidP="008E1AD5">
      <w:pPr>
        <w:ind w:firstLine="720"/>
        <w:textAlignment w:val="baseline"/>
        <w:rPr>
          <w:color w:val="000000"/>
          <w:sz w:val="26"/>
          <w:szCs w:val="26"/>
        </w:rPr>
      </w:pPr>
    </w:p>
    <w:p w14:paraId="297B6FF5" w14:textId="7E6FF20D" w:rsidR="0044212C" w:rsidRDefault="004C3436" w:rsidP="008E1AD5">
      <w:pPr>
        <w:spacing w:line="240" w:lineRule="auto"/>
        <w:ind w:left="1440" w:right="1440" w:firstLine="0"/>
        <w:textAlignment w:val="baseline"/>
        <w:rPr>
          <w:sz w:val="26"/>
        </w:rPr>
      </w:pPr>
      <w:r>
        <w:rPr>
          <w:color w:val="000000"/>
          <w:sz w:val="26"/>
          <w:szCs w:val="26"/>
        </w:rPr>
        <w:t xml:space="preserve">As part of this project, </w:t>
      </w:r>
      <w:r w:rsidRPr="00A3326A">
        <w:rPr>
          <w:b/>
          <w:bCs/>
          <w:color w:val="000000"/>
          <w:sz w:val="26"/>
          <w:szCs w:val="26"/>
        </w:rPr>
        <w:t>UGI intends to move natural gas meter sets located inside of residences to a position outside the dwelling, but if your property is located in a federal, state or local historic area you may request that UGI reconsider the decision to relocate your meter.</w:t>
      </w:r>
    </w:p>
    <w:p w14:paraId="7F82C7D1" w14:textId="77777777" w:rsidR="00EB482D" w:rsidRDefault="00EB482D" w:rsidP="008E1AD5">
      <w:pPr>
        <w:ind w:firstLine="720"/>
        <w:textAlignment w:val="baseline"/>
        <w:rPr>
          <w:sz w:val="26"/>
        </w:rPr>
      </w:pPr>
    </w:p>
    <w:p w14:paraId="57389782" w14:textId="27A5E70B" w:rsidR="007A4071" w:rsidRDefault="00A3326A" w:rsidP="008E1AD5">
      <w:pPr>
        <w:ind w:firstLine="0"/>
        <w:textAlignment w:val="baseline"/>
        <w:rPr>
          <w:sz w:val="26"/>
        </w:rPr>
      </w:pPr>
      <w:r>
        <w:rPr>
          <w:sz w:val="26"/>
        </w:rPr>
        <w:t>UGI Exh. CB-16 (emphasis in original).</w:t>
      </w:r>
      <w:r w:rsidR="00D674F0">
        <w:rPr>
          <w:sz w:val="26"/>
        </w:rPr>
        <w:t xml:space="preserve">  Consistent with the revised thirty-day notification letter, UGI developed a website which is referenced in the letter as a means for customers seeking reconsideration of meter placement to communicate this preference to the Company.  </w:t>
      </w:r>
      <w:r w:rsidR="00D674F0" w:rsidRPr="00D674F0">
        <w:rPr>
          <w:i/>
          <w:iCs/>
          <w:sz w:val="26"/>
        </w:rPr>
        <w:t>Id</w:t>
      </w:r>
      <w:r w:rsidR="00D674F0">
        <w:rPr>
          <w:sz w:val="26"/>
        </w:rPr>
        <w:t>.; UGI St. 1 at 36.</w:t>
      </w:r>
    </w:p>
    <w:p w14:paraId="3119365C" w14:textId="77777777" w:rsidR="007A4071" w:rsidRDefault="007A4071" w:rsidP="008E1AD5">
      <w:pPr>
        <w:ind w:firstLine="0"/>
        <w:textAlignment w:val="baseline"/>
        <w:rPr>
          <w:sz w:val="26"/>
        </w:rPr>
      </w:pPr>
    </w:p>
    <w:p w14:paraId="2F4742FC" w14:textId="229D5076" w:rsidR="006012DE" w:rsidRDefault="007A4071" w:rsidP="008E1AD5">
      <w:pPr>
        <w:ind w:firstLine="0"/>
        <w:textAlignment w:val="baseline"/>
        <w:rPr>
          <w:sz w:val="26"/>
        </w:rPr>
      </w:pPr>
      <w:r>
        <w:rPr>
          <w:sz w:val="26"/>
        </w:rPr>
        <w:tab/>
      </w:r>
      <w:r>
        <w:rPr>
          <w:sz w:val="26"/>
        </w:rPr>
        <w:tab/>
        <w:t>B</w:t>
      </w:r>
      <w:r w:rsidR="00DD6B67">
        <w:rPr>
          <w:sz w:val="26"/>
        </w:rPr>
        <w:t xml:space="preserve">ased on the Company’s </w:t>
      </w:r>
      <w:r w:rsidR="00D27284">
        <w:rPr>
          <w:sz w:val="26"/>
        </w:rPr>
        <w:t>revised</w:t>
      </w:r>
      <w:r w:rsidR="00DD6B67">
        <w:rPr>
          <w:sz w:val="26"/>
        </w:rPr>
        <w:t xml:space="preserve"> procedures and the content of the revised thirty-day noti</w:t>
      </w:r>
      <w:r w:rsidR="003F0A56">
        <w:rPr>
          <w:sz w:val="26"/>
        </w:rPr>
        <w:t>fication</w:t>
      </w:r>
      <w:r w:rsidR="00DD6B67">
        <w:rPr>
          <w:sz w:val="26"/>
        </w:rPr>
        <w:t xml:space="preserve"> letter, </w:t>
      </w:r>
      <w:r w:rsidR="00D223C1">
        <w:rPr>
          <w:sz w:val="26"/>
        </w:rPr>
        <w:t xml:space="preserve">we cannot conclude that </w:t>
      </w:r>
      <w:r w:rsidR="00DD6B67">
        <w:rPr>
          <w:sz w:val="26"/>
        </w:rPr>
        <w:t xml:space="preserve">the Company </w:t>
      </w:r>
      <w:r w:rsidR="00D223C1">
        <w:rPr>
          <w:sz w:val="26"/>
        </w:rPr>
        <w:t xml:space="preserve">is not currently </w:t>
      </w:r>
      <w:r w:rsidR="00DD6B67">
        <w:rPr>
          <w:sz w:val="26"/>
        </w:rPr>
        <w:lastRenderedPageBreak/>
        <w:t xml:space="preserve">accounting for the inside placement of meters in historic districts prior to relocating the customers’ meters.  </w:t>
      </w:r>
      <w:r w:rsidR="009E5A9C">
        <w:rPr>
          <w:sz w:val="26"/>
        </w:rPr>
        <w:t xml:space="preserve">We </w:t>
      </w:r>
      <w:r w:rsidR="00D223C1">
        <w:rPr>
          <w:sz w:val="26"/>
        </w:rPr>
        <w:t xml:space="preserve">also </w:t>
      </w:r>
      <w:r w:rsidR="00BD0BF3">
        <w:rPr>
          <w:sz w:val="26"/>
        </w:rPr>
        <w:t>can</w:t>
      </w:r>
      <w:r w:rsidR="009E5A9C">
        <w:rPr>
          <w:sz w:val="26"/>
        </w:rPr>
        <w:t>not</w:t>
      </w:r>
      <w:r w:rsidR="00BD0BF3">
        <w:rPr>
          <w:sz w:val="26"/>
        </w:rPr>
        <w:t xml:space="preserve"> impute requirement</w:t>
      </w:r>
      <w:r w:rsidR="00D27284">
        <w:rPr>
          <w:sz w:val="26"/>
        </w:rPr>
        <w:t>s</w:t>
      </w:r>
      <w:r w:rsidR="00BD0BF3">
        <w:rPr>
          <w:sz w:val="26"/>
        </w:rPr>
        <w:t xml:space="preserve"> </w:t>
      </w:r>
      <w:r w:rsidR="009E5A9C">
        <w:rPr>
          <w:sz w:val="26"/>
        </w:rPr>
        <w:t xml:space="preserve">within the context of this complaint proceeding </w:t>
      </w:r>
      <w:r w:rsidR="00BD0BF3">
        <w:rPr>
          <w:sz w:val="26"/>
        </w:rPr>
        <w:t xml:space="preserve">that </w:t>
      </w:r>
      <w:r w:rsidR="00D27284">
        <w:rPr>
          <w:sz w:val="26"/>
        </w:rPr>
        <w:t>are not contained in the Regulation or the Commission’s rulemaking orders, such as the specific timing of the consideration or when customer contact should occur.</w:t>
      </w:r>
    </w:p>
    <w:p w14:paraId="5BE19609" w14:textId="77777777" w:rsidR="006012DE" w:rsidRDefault="006012DE" w:rsidP="008E1AD5">
      <w:pPr>
        <w:ind w:firstLine="0"/>
        <w:textAlignment w:val="baseline"/>
        <w:rPr>
          <w:sz w:val="26"/>
        </w:rPr>
      </w:pPr>
    </w:p>
    <w:p w14:paraId="7845C4F6" w14:textId="40A620ED" w:rsidR="009C60CE" w:rsidRDefault="006012DE" w:rsidP="008E1AD5">
      <w:pPr>
        <w:ind w:firstLine="0"/>
        <w:textAlignment w:val="baseline"/>
        <w:rPr>
          <w:sz w:val="26"/>
        </w:rPr>
      </w:pPr>
      <w:r>
        <w:rPr>
          <w:sz w:val="26"/>
        </w:rPr>
        <w:tab/>
      </w:r>
      <w:r>
        <w:rPr>
          <w:sz w:val="26"/>
        </w:rPr>
        <w:tab/>
      </w:r>
      <w:r w:rsidR="00C00BFF">
        <w:rPr>
          <w:sz w:val="26"/>
        </w:rPr>
        <w:t xml:space="preserve">In response to UGI’s evidence regarding its revised policy to </w:t>
      </w:r>
      <w:r w:rsidR="00C00BFF">
        <w:rPr>
          <w:color w:val="000000"/>
          <w:sz w:val="26"/>
          <w:szCs w:val="26"/>
        </w:rPr>
        <w:t xml:space="preserve">avoid placing meters in front of distinguishing exterior features of historic properties, the City argues that it presented evidence </w:t>
      </w:r>
      <w:r w:rsidR="002353E6">
        <w:rPr>
          <w:color w:val="000000"/>
          <w:sz w:val="26"/>
          <w:szCs w:val="26"/>
        </w:rPr>
        <w:t xml:space="preserve">in the form of pictures </w:t>
      </w:r>
      <w:r w:rsidR="00C00BFF">
        <w:rPr>
          <w:color w:val="000000"/>
          <w:sz w:val="26"/>
          <w:szCs w:val="26"/>
        </w:rPr>
        <w:t xml:space="preserve">to show that the Company did not follow this policy and did place meters in front of </w:t>
      </w:r>
      <w:r w:rsidR="003715AD">
        <w:rPr>
          <w:color w:val="000000"/>
          <w:sz w:val="26"/>
          <w:szCs w:val="26"/>
        </w:rPr>
        <w:t>distinguishing exterior features of historic properties</w:t>
      </w:r>
      <w:r w:rsidR="002353E6">
        <w:rPr>
          <w:color w:val="000000"/>
          <w:sz w:val="26"/>
          <w:szCs w:val="26"/>
        </w:rPr>
        <w:t>, such as ornamental iron works and a historical plaque</w:t>
      </w:r>
      <w:r w:rsidR="003715AD">
        <w:rPr>
          <w:color w:val="000000"/>
          <w:sz w:val="26"/>
          <w:szCs w:val="26"/>
        </w:rPr>
        <w:t>.</w:t>
      </w:r>
      <w:r w:rsidR="002353E6">
        <w:rPr>
          <w:color w:val="000000"/>
          <w:sz w:val="26"/>
          <w:szCs w:val="26"/>
        </w:rPr>
        <w:t xml:space="preserve">  </w:t>
      </w:r>
      <w:r w:rsidR="00C9000D">
        <w:rPr>
          <w:color w:val="000000"/>
          <w:sz w:val="26"/>
          <w:szCs w:val="26"/>
        </w:rPr>
        <w:t xml:space="preserve">Tr. at 395-398; City Exh. JS-16.  </w:t>
      </w:r>
      <w:r w:rsidR="00517C5F">
        <w:rPr>
          <w:color w:val="000000"/>
          <w:sz w:val="26"/>
          <w:szCs w:val="26"/>
        </w:rPr>
        <w:t>Upon review, we find that the City did not present evidence to establish that the exterior features in question were</w:t>
      </w:r>
      <w:r w:rsidR="00407E00">
        <w:rPr>
          <w:color w:val="000000"/>
          <w:sz w:val="26"/>
          <w:szCs w:val="26"/>
        </w:rPr>
        <w:t>, in fact,</w:t>
      </w:r>
      <w:r w:rsidR="00517C5F">
        <w:rPr>
          <w:color w:val="000000"/>
          <w:sz w:val="26"/>
          <w:szCs w:val="26"/>
        </w:rPr>
        <w:t xml:space="preserve"> historical assets or that </w:t>
      </w:r>
      <w:r w:rsidR="005A2628">
        <w:rPr>
          <w:color w:val="000000"/>
          <w:sz w:val="26"/>
          <w:szCs w:val="26"/>
        </w:rPr>
        <w:t xml:space="preserve">UGI was not following </w:t>
      </w:r>
      <w:r w:rsidR="005A2628" w:rsidRPr="002B4038">
        <w:rPr>
          <w:color w:val="000000"/>
          <w:sz w:val="26"/>
          <w:szCs w:val="26"/>
        </w:rPr>
        <w:t>its policies in place at the time.</w:t>
      </w:r>
      <w:r w:rsidR="005A2628">
        <w:rPr>
          <w:color w:val="000000"/>
          <w:sz w:val="26"/>
          <w:szCs w:val="26"/>
        </w:rPr>
        <w:t xml:space="preserve">  </w:t>
      </w:r>
      <w:r w:rsidR="002B4038">
        <w:rPr>
          <w:color w:val="000000"/>
          <w:sz w:val="26"/>
          <w:szCs w:val="26"/>
        </w:rPr>
        <w:t xml:space="preserve">Tr. at 425.  </w:t>
      </w:r>
      <w:r w:rsidR="005A2628">
        <w:rPr>
          <w:color w:val="000000"/>
          <w:sz w:val="26"/>
          <w:szCs w:val="26"/>
        </w:rPr>
        <w:t xml:space="preserve">The City did not </w:t>
      </w:r>
      <w:r w:rsidR="00407E00">
        <w:rPr>
          <w:color w:val="000000"/>
          <w:sz w:val="26"/>
          <w:szCs w:val="26"/>
        </w:rPr>
        <w:t xml:space="preserve">otherwise </w:t>
      </w:r>
      <w:r w:rsidR="005A2628">
        <w:rPr>
          <w:color w:val="000000"/>
          <w:sz w:val="26"/>
          <w:szCs w:val="26"/>
        </w:rPr>
        <w:t xml:space="preserve">establish that UGI </w:t>
      </w:r>
      <w:r w:rsidR="00517C5F">
        <w:rPr>
          <w:color w:val="000000"/>
          <w:sz w:val="26"/>
          <w:szCs w:val="26"/>
        </w:rPr>
        <w:t xml:space="preserve">violated the Code or any Commission Regulation or Order </w:t>
      </w:r>
      <w:r w:rsidR="009B4D50">
        <w:rPr>
          <w:color w:val="000000"/>
          <w:sz w:val="26"/>
          <w:szCs w:val="26"/>
        </w:rPr>
        <w:t xml:space="preserve">by its actions after 2016.  </w:t>
      </w:r>
      <w:r>
        <w:rPr>
          <w:sz w:val="26"/>
        </w:rPr>
        <w:t>We find that based on the record as a whole,</w:t>
      </w:r>
      <w:r w:rsidR="001543C0">
        <w:rPr>
          <w:sz w:val="26"/>
        </w:rPr>
        <w:t xml:space="preserve"> particularly the July 2016 effective date of UGI’s revised GOM,</w:t>
      </w:r>
      <w:r>
        <w:rPr>
          <w:sz w:val="26"/>
        </w:rPr>
        <w:t xml:space="preserve"> the City has not met its burden of proving that UGI violated Section 59.18(d)</w:t>
      </w:r>
      <w:r w:rsidR="009B4D50">
        <w:rPr>
          <w:sz w:val="26"/>
        </w:rPr>
        <w:t>(1)</w:t>
      </w:r>
      <w:r>
        <w:rPr>
          <w:sz w:val="26"/>
        </w:rPr>
        <w:t>(ii) after 2016</w:t>
      </w:r>
      <w:r w:rsidR="004133C8">
        <w:rPr>
          <w:sz w:val="26"/>
        </w:rPr>
        <w:t>.</w:t>
      </w:r>
      <w:r w:rsidR="005C739D">
        <w:rPr>
          <w:sz w:val="26"/>
        </w:rPr>
        <w:t xml:space="preserve">  Accordingly, we shall deny the City’s Exceptions Nos. 8, 10, and 17.</w:t>
      </w:r>
    </w:p>
    <w:p w14:paraId="27A20E93" w14:textId="77777777" w:rsidR="00A3326A" w:rsidRDefault="00A3326A" w:rsidP="008E1AD5">
      <w:pPr>
        <w:ind w:firstLine="0"/>
        <w:textAlignment w:val="baseline"/>
        <w:rPr>
          <w:sz w:val="26"/>
        </w:rPr>
      </w:pPr>
      <w:r>
        <w:rPr>
          <w:sz w:val="26"/>
        </w:rPr>
        <w:t xml:space="preserve">  </w:t>
      </w:r>
    </w:p>
    <w:p w14:paraId="0F15E4F6" w14:textId="4049F5C5" w:rsidR="00F47F1E" w:rsidRDefault="001543C0" w:rsidP="008E1AD5">
      <w:pPr>
        <w:ind w:firstLine="0"/>
        <w:textAlignment w:val="baseline"/>
        <w:rPr>
          <w:sz w:val="26"/>
        </w:rPr>
      </w:pPr>
      <w:r>
        <w:rPr>
          <w:sz w:val="26"/>
        </w:rPr>
        <w:tab/>
      </w:r>
      <w:r>
        <w:rPr>
          <w:sz w:val="26"/>
        </w:rPr>
        <w:tab/>
        <w:t>We will, however, grant the City’s Exception No. 3 for record clarification purposes.</w:t>
      </w:r>
      <w:r w:rsidR="00F47F1E">
        <w:rPr>
          <w:sz w:val="26"/>
        </w:rPr>
        <w:t xml:space="preserve">  In Finding of Fact No. 45, it appears that the ALJ is referring to the thirty-day noti</w:t>
      </w:r>
      <w:r w:rsidR="00881B04">
        <w:rPr>
          <w:sz w:val="26"/>
        </w:rPr>
        <w:t>fication</w:t>
      </w:r>
      <w:r w:rsidR="00F47F1E">
        <w:rPr>
          <w:sz w:val="26"/>
        </w:rPr>
        <w:t xml:space="preserve"> letters UGI sent to customers in the City’s historic districts after the revision of Section 59.18 in September of 2014</w:t>
      </w:r>
      <w:r w:rsidR="00881B04">
        <w:rPr>
          <w:sz w:val="26"/>
        </w:rPr>
        <w:t xml:space="preserve"> and before October 2017</w:t>
      </w:r>
      <w:r w:rsidR="00F47F1E">
        <w:rPr>
          <w:sz w:val="26"/>
        </w:rPr>
        <w:t xml:space="preserve">.  These </w:t>
      </w:r>
      <w:r w:rsidR="00881B04">
        <w:rPr>
          <w:sz w:val="26"/>
        </w:rPr>
        <w:t xml:space="preserve">initial </w:t>
      </w:r>
      <w:r w:rsidR="00F47F1E">
        <w:rPr>
          <w:sz w:val="26"/>
        </w:rPr>
        <w:t xml:space="preserve">thirty-day letters did not </w:t>
      </w:r>
      <w:r w:rsidR="00F47F1E" w:rsidRPr="007A7B89">
        <w:rPr>
          <w:sz w:val="26"/>
        </w:rPr>
        <w:t xml:space="preserve">provide </w:t>
      </w:r>
      <w:r w:rsidR="00F47F1E">
        <w:rPr>
          <w:sz w:val="26"/>
        </w:rPr>
        <w:t>UGI’s</w:t>
      </w:r>
      <w:r w:rsidR="00F47F1E" w:rsidRPr="007A7B89">
        <w:rPr>
          <w:sz w:val="26"/>
        </w:rPr>
        <w:t xml:space="preserve"> customer</w:t>
      </w:r>
      <w:r w:rsidR="00F47F1E">
        <w:rPr>
          <w:sz w:val="26"/>
        </w:rPr>
        <w:t>s</w:t>
      </w:r>
      <w:r w:rsidR="00F47F1E" w:rsidRPr="007A7B89">
        <w:rPr>
          <w:sz w:val="26"/>
        </w:rPr>
        <w:t xml:space="preserve"> with an option to request reconsideration of </w:t>
      </w:r>
      <w:r w:rsidR="00F47F1E">
        <w:rPr>
          <w:sz w:val="26"/>
        </w:rPr>
        <w:t>their</w:t>
      </w:r>
      <w:r w:rsidR="00F47F1E" w:rsidRPr="007A7B89">
        <w:rPr>
          <w:sz w:val="26"/>
        </w:rPr>
        <w:t xml:space="preserve"> meter location</w:t>
      </w:r>
      <w:r w:rsidR="00F47F1E">
        <w:rPr>
          <w:sz w:val="26"/>
        </w:rPr>
        <w:t>.  Accordingly, we shall modify Finding of Fact No. 45 to read as follows:</w:t>
      </w:r>
    </w:p>
    <w:p w14:paraId="55FD76C0" w14:textId="77777777" w:rsidR="00F47F1E" w:rsidRDefault="00F47F1E" w:rsidP="008E1AD5">
      <w:pPr>
        <w:ind w:firstLine="0"/>
        <w:textAlignment w:val="baseline"/>
        <w:rPr>
          <w:sz w:val="26"/>
        </w:rPr>
      </w:pPr>
    </w:p>
    <w:p w14:paraId="77C1853B" w14:textId="227C083B" w:rsidR="00ED624E" w:rsidRDefault="00F47F1E" w:rsidP="008E1AD5">
      <w:pPr>
        <w:spacing w:line="240" w:lineRule="auto"/>
        <w:ind w:left="1440" w:right="1440" w:firstLine="0"/>
        <w:textAlignment w:val="baseline"/>
        <w:rPr>
          <w:sz w:val="26"/>
        </w:rPr>
      </w:pPr>
      <w:r>
        <w:rPr>
          <w:sz w:val="26"/>
        </w:rPr>
        <w:t>45.</w:t>
      </w:r>
      <w:r>
        <w:rPr>
          <w:sz w:val="26"/>
        </w:rPr>
        <w:tab/>
        <w:t xml:space="preserve">The letter did not provide the customer with an option to request reconsideration of his or her meter location by </w:t>
      </w:r>
      <w:r>
        <w:rPr>
          <w:sz w:val="26"/>
        </w:rPr>
        <w:lastRenderedPageBreak/>
        <w:t xml:space="preserve">contacting UGI by phone or completing a meter reconsideration request form on UGI’s website.  </w:t>
      </w:r>
      <w:r w:rsidR="00ED624E">
        <w:rPr>
          <w:sz w:val="26"/>
        </w:rPr>
        <w:t>City Exhs. JS-10 and JS-12.</w:t>
      </w:r>
    </w:p>
    <w:p w14:paraId="56210E56" w14:textId="77777777" w:rsidR="00463D0F" w:rsidRDefault="00463D0F" w:rsidP="008E1AD5">
      <w:pPr>
        <w:spacing w:line="240" w:lineRule="auto"/>
        <w:ind w:left="1440" w:right="1440" w:firstLine="0"/>
        <w:textAlignment w:val="baseline"/>
        <w:rPr>
          <w:sz w:val="26"/>
        </w:rPr>
      </w:pPr>
    </w:p>
    <w:p w14:paraId="4D2FD448" w14:textId="77777777" w:rsidR="00B37BB9" w:rsidRDefault="00B37BB9" w:rsidP="008E1AD5">
      <w:pPr>
        <w:textAlignment w:val="baseline"/>
        <w:rPr>
          <w:sz w:val="26"/>
        </w:rPr>
      </w:pPr>
    </w:p>
    <w:p w14:paraId="3EEF9C3B" w14:textId="77777777" w:rsidR="00EC32F5" w:rsidRDefault="00ED624E" w:rsidP="008E1AD5">
      <w:pPr>
        <w:textAlignment w:val="baseline"/>
        <w:rPr>
          <w:sz w:val="26"/>
        </w:rPr>
      </w:pPr>
      <w:r>
        <w:rPr>
          <w:sz w:val="26"/>
        </w:rPr>
        <w:t xml:space="preserve">We will additionally modify Finding of Fact No. 46 to reflect that </w:t>
      </w:r>
      <w:r w:rsidR="00EC32F5">
        <w:rPr>
          <w:sz w:val="26"/>
        </w:rPr>
        <w:t>the Company’s current thirty-day notification letter was revised in October 2017.</w:t>
      </w:r>
      <w:r w:rsidR="00F47F1E">
        <w:rPr>
          <w:sz w:val="26"/>
        </w:rPr>
        <w:t xml:space="preserve"> </w:t>
      </w:r>
      <w:r w:rsidR="00EC32F5">
        <w:rPr>
          <w:sz w:val="26"/>
        </w:rPr>
        <w:t xml:space="preserve"> </w:t>
      </w:r>
      <w:r w:rsidR="00EC32F5" w:rsidRPr="00EC32F5">
        <w:rPr>
          <w:i/>
          <w:iCs/>
          <w:sz w:val="26"/>
        </w:rPr>
        <w:t>See</w:t>
      </w:r>
      <w:r w:rsidR="00EC32F5">
        <w:rPr>
          <w:sz w:val="26"/>
        </w:rPr>
        <w:t xml:space="preserve"> </w:t>
      </w:r>
      <w:bookmarkStart w:id="6" w:name="_Hlk20819588"/>
      <w:r w:rsidR="00EC32F5">
        <w:rPr>
          <w:sz w:val="26"/>
        </w:rPr>
        <w:t>Tr. at 344</w:t>
      </w:r>
      <w:bookmarkEnd w:id="6"/>
      <w:r w:rsidR="00EC32F5">
        <w:rPr>
          <w:sz w:val="26"/>
        </w:rPr>
        <w:t>.  Finding of Fact No. 46 will read as follows:</w:t>
      </w:r>
    </w:p>
    <w:p w14:paraId="0949679E" w14:textId="77777777" w:rsidR="00EC32F5" w:rsidRDefault="00EC32F5" w:rsidP="008E1AD5">
      <w:pPr>
        <w:spacing w:line="240" w:lineRule="auto"/>
        <w:textAlignment w:val="baseline"/>
        <w:rPr>
          <w:sz w:val="26"/>
        </w:rPr>
      </w:pPr>
    </w:p>
    <w:p w14:paraId="6018C641" w14:textId="456C7C6A" w:rsidR="00CB18D6" w:rsidRDefault="00CB18D6" w:rsidP="008E1AD5">
      <w:pPr>
        <w:spacing w:line="240" w:lineRule="auto"/>
        <w:ind w:left="1440" w:right="1440" w:firstLine="0"/>
        <w:textAlignment w:val="baseline"/>
        <w:rPr>
          <w:sz w:val="26"/>
        </w:rPr>
      </w:pPr>
      <w:bookmarkStart w:id="7" w:name="_Hlk21343041"/>
      <w:bookmarkStart w:id="8" w:name="_Hlk21337787"/>
      <w:r>
        <w:rPr>
          <w:color w:val="000000"/>
          <w:sz w:val="26"/>
          <w:szCs w:val="26"/>
        </w:rPr>
        <w:t>46.</w:t>
      </w:r>
      <w:r>
        <w:rPr>
          <w:color w:val="000000"/>
          <w:sz w:val="26"/>
          <w:szCs w:val="26"/>
        </w:rPr>
        <w:tab/>
        <w:t xml:space="preserve">The Company’s current customer notification letters, revised in October 2017, state, in pertinent part, “As part of this project, </w:t>
      </w:r>
      <w:r w:rsidRPr="00A3326A">
        <w:rPr>
          <w:b/>
          <w:bCs/>
          <w:color w:val="000000"/>
          <w:sz w:val="26"/>
          <w:szCs w:val="26"/>
        </w:rPr>
        <w:t>UGI intends to move natural gas meter sets located inside of residences to a position outside the dwelling, but if your property is located in a federal, state or local historic area you may request that UGI reconsider the decision to relocate your meter.</w:t>
      </w:r>
      <w:r>
        <w:rPr>
          <w:b/>
          <w:bCs/>
          <w:color w:val="000000"/>
          <w:sz w:val="26"/>
          <w:szCs w:val="26"/>
        </w:rPr>
        <w:t xml:space="preserve">  </w:t>
      </w:r>
      <w:r>
        <w:rPr>
          <w:color w:val="000000"/>
          <w:sz w:val="26"/>
          <w:szCs w:val="26"/>
        </w:rPr>
        <w:t>Your request c</w:t>
      </w:r>
      <w:r w:rsidR="00463D0F">
        <w:rPr>
          <w:color w:val="000000"/>
          <w:sz w:val="26"/>
          <w:szCs w:val="26"/>
        </w:rPr>
        <w:t>an</w:t>
      </w:r>
      <w:r>
        <w:rPr>
          <w:color w:val="000000"/>
          <w:sz w:val="26"/>
          <w:szCs w:val="26"/>
        </w:rPr>
        <w:t xml:space="preserve"> be made online </w:t>
      </w:r>
      <w:r w:rsidR="00463D0F">
        <w:rPr>
          <w:color w:val="000000"/>
          <w:sz w:val="26"/>
          <w:szCs w:val="26"/>
        </w:rPr>
        <w:t>by visiting</w:t>
      </w:r>
      <w:r>
        <w:rPr>
          <w:color w:val="000000"/>
          <w:sz w:val="26"/>
          <w:szCs w:val="26"/>
        </w:rPr>
        <w:t xml:space="preserve"> </w:t>
      </w:r>
      <w:r w:rsidR="00463D0F" w:rsidRPr="00CD1975">
        <w:rPr>
          <w:b/>
          <w:bCs/>
          <w:color w:val="000000"/>
          <w:sz w:val="26"/>
        </w:rPr>
        <w:t>www.ugi.com</w:t>
      </w:r>
      <w:r w:rsidR="00463D0F">
        <w:rPr>
          <w:color w:val="000000"/>
          <w:sz w:val="26"/>
        </w:rPr>
        <w:t>,</w:t>
      </w:r>
      <w:r w:rsidR="00463D0F" w:rsidRPr="00DF6D60">
        <w:rPr>
          <w:color w:val="000000"/>
          <w:sz w:val="26"/>
        </w:rPr>
        <w:t xml:space="preserve"> and clicking on the </w:t>
      </w:r>
      <w:r w:rsidR="00463D0F">
        <w:rPr>
          <w:color w:val="000000"/>
          <w:sz w:val="26"/>
        </w:rPr>
        <w:t>“C</w:t>
      </w:r>
      <w:r w:rsidR="00463D0F" w:rsidRPr="00DF6D60">
        <w:rPr>
          <w:color w:val="000000"/>
          <w:sz w:val="26"/>
        </w:rPr>
        <w:t>ommunity</w:t>
      </w:r>
      <w:r w:rsidR="00463D0F">
        <w:rPr>
          <w:color w:val="000000"/>
          <w:sz w:val="26"/>
        </w:rPr>
        <w:t>”</w:t>
      </w:r>
      <w:r w:rsidR="00463D0F" w:rsidRPr="00DF6D60">
        <w:rPr>
          <w:color w:val="000000"/>
          <w:sz w:val="26"/>
        </w:rPr>
        <w:t xml:space="preserve"> tab </w:t>
      </w:r>
      <w:r w:rsidR="00463D0F">
        <w:rPr>
          <w:color w:val="000000"/>
          <w:sz w:val="26"/>
        </w:rPr>
        <w:t>a</w:t>
      </w:r>
      <w:r>
        <w:rPr>
          <w:color w:val="000000"/>
          <w:sz w:val="26"/>
          <w:szCs w:val="26"/>
        </w:rPr>
        <w:t>t the top of the page.”  (UGI Ex</w:t>
      </w:r>
      <w:r w:rsidR="00463D0F">
        <w:rPr>
          <w:color w:val="000000"/>
          <w:sz w:val="26"/>
          <w:szCs w:val="26"/>
        </w:rPr>
        <w:t>h</w:t>
      </w:r>
      <w:r>
        <w:rPr>
          <w:color w:val="000000"/>
          <w:sz w:val="26"/>
          <w:szCs w:val="26"/>
        </w:rPr>
        <w:t>. CB-16 (emphasis in original)</w:t>
      </w:r>
    </w:p>
    <w:bookmarkEnd w:id="7"/>
    <w:p w14:paraId="317A8BBF" w14:textId="43B82066" w:rsidR="00A3326A" w:rsidRDefault="00A3326A" w:rsidP="008E1AD5">
      <w:pPr>
        <w:spacing w:line="240" w:lineRule="auto"/>
        <w:textAlignment w:val="baseline"/>
        <w:rPr>
          <w:sz w:val="26"/>
        </w:rPr>
      </w:pPr>
    </w:p>
    <w:bookmarkEnd w:id="8"/>
    <w:p w14:paraId="454FF9F3" w14:textId="77777777" w:rsidR="00B37BB9" w:rsidRDefault="00A3326A" w:rsidP="008E1AD5">
      <w:pPr>
        <w:ind w:firstLine="0"/>
        <w:textAlignment w:val="baseline"/>
        <w:rPr>
          <w:sz w:val="26"/>
        </w:rPr>
      </w:pPr>
      <w:r>
        <w:rPr>
          <w:sz w:val="26"/>
        </w:rPr>
        <w:t xml:space="preserve">  </w:t>
      </w:r>
    </w:p>
    <w:p w14:paraId="2834B7C5" w14:textId="6E816B01" w:rsidR="00C06EC8" w:rsidRPr="00121ABF" w:rsidRDefault="00D629BB" w:rsidP="008E1AD5">
      <w:pPr>
        <w:keepNext/>
        <w:spacing w:line="240" w:lineRule="auto"/>
        <w:ind w:firstLine="0"/>
        <w:textAlignment w:val="baseline"/>
        <w:rPr>
          <w:b/>
          <w:bCs/>
          <w:sz w:val="26"/>
        </w:rPr>
      </w:pPr>
      <w:r>
        <w:rPr>
          <w:sz w:val="26"/>
        </w:rPr>
        <w:tab/>
      </w:r>
      <w:r w:rsidR="00060407">
        <w:rPr>
          <w:sz w:val="26"/>
        </w:rPr>
        <w:tab/>
      </w:r>
      <w:r w:rsidR="007C7369" w:rsidRPr="007C7369">
        <w:rPr>
          <w:b/>
          <w:bCs/>
          <w:sz w:val="26"/>
        </w:rPr>
        <w:t>c.</w:t>
      </w:r>
      <w:r w:rsidR="007C7369">
        <w:rPr>
          <w:sz w:val="26"/>
        </w:rPr>
        <w:tab/>
      </w:r>
      <w:r w:rsidR="00121ABF" w:rsidRPr="00121ABF">
        <w:rPr>
          <w:b/>
          <w:bCs/>
          <w:sz w:val="26"/>
        </w:rPr>
        <w:t>The City’s Exception</w:t>
      </w:r>
      <w:r w:rsidR="00195585">
        <w:rPr>
          <w:b/>
          <w:bCs/>
          <w:sz w:val="26"/>
        </w:rPr>
        <w:t>s</w:t>
      </w:r>
      <w:r w:rsidR="00121ABF" w:rsidRPr="00121ABF">
        <w:rPr>
          <w:b/>
          <w:bCs/>
          <w:sz w:val="26"/>
        </w:rPr>
        <w:t xml:space="preserve"> No</w:t>
      </w:r>
      <w:r w:rsidR="00195585">
        <w:rPr>
          <w:b/>
          <w:bCs/>
          <w:sz w:val="26"/>
        </w:rPr>
        <w:t>s</w:t>
      </w:r>
      <w:r w:rsidR="00121ABF" w:rsidRPr="00121ABF">
        <w:rPr>
          <w:b/>
          <w:bCs/>
          <w:sz w:val="26"/>
        </w:rPr>
        <w:t xml:space="preserve">. </w:t>
      </w:r>
      <w:r w:rsidR="00480760">
        <w:rPr>
          <w:b/>
          <w:bCs/>
          <w:sz w:val="26"/>
        </w:rPr>
        <w:t>1</w:t>
      </w:r>
      <w:r w:rsidR="007C7369">
        <w:rPr>
          <w:b/>
          <w:bCs/>
          <w:sz w:val="26"/>
        </w:rPr>
        <w:t xml:space="preserve"> </w:t>
      </w:r>
      <w:r w:rsidR="00195585">
        <w:rPr>
          <w:b/>
          <w:bCs/>
          <w:sz w:val="26"/>
        </w:rPr>
        <w:t>and 9</w:t>
      </w:r>
      <w:r w:rsidR="00060407">
        <w:rPr>
          <w:b/>
          <w:bCs/>
          <w:sz w:val="26"/>
        </w:rPr>
        <w:t>,</w:t>
      </w:r>
      <w:r w:rsidR="00195585">
        <w:rPr>
          <w:b/>
          <w:bCs/>
          <w:sz w:val="26"/>
        </w:rPr>
        <w:t xml:space="preserve"> </w:t>
      </w:r>
      <w:r w:rsidR="007C7369">
        <w:rPr>
          <w:b/>
          <w:bCs/>
          <w:sz w:val="26"/>
        </w:rPr>
        <w:t>UGI’s Repl</w:t>
      </w:r>
      <w:r w:rsidR="00195585">
        <w:rPr>
          <w:b/>
          <w:bCs/>
          <w:sz w:val="26"/>
        </w:rPr>
        <w:t>ies</w:t>
      </w:r>
      <w:r w:rsidR="00060407">
        <w:rPr>
          <w:b/>
          <w:bCs/>
          <w:sz w:val="26"/>
        </w:rPr>
        <w:t xml:space="preserve">, and </w:t>
      </w:r>
      <w:r w:rsidR="00060407">
        <w:rPr>
          <w:b/>
          <w:bCs/>
          <w:sz w:val="26"/>
        </w:rPr>
        <w:tab/>
      </w:r>
      <w:r w:rsidR="00060407">
        <w:rPr>
          <w:b/>
          <w:bCs/>
          <w:sz w:val="26"/>
        </w:rPr>
        <w:tab/>
      </w:r>
      <w:r w:rsidR="00060407">
        <w:rPr>
          <w:b/>
          <w:bCs/>
          <w:sz w:val="26"/>
        </w:rPr>
        <w:tab/>
      </w:r>
      <w:r w:rsidR="00060407">
        <w:rPr>
          <w:b/>
          <w:bCs/>
          <w:sz w:val="26"/>
        </w:rPr>
        <w:tab/>
      </w:r>
      <w:r w:rsidR="00060407">
        <w:rPr>
          <w:b/>
          <w:bCs/>
          <w:sz w:val="26"/>
        </w:rPr>
        <w:tab/>
        <w:t>Disposition</w:t>
      </w:r>
    </w:p>
    <w:p w14:paraId="097AC7E7" w14:textId="77777777" w:rsidR="00121ABF" w:rsidRDefault="00121ABF" w:rsidP="008E1AD5">
      <w:pPr>
        <w:keepNext/>
        <w:ind w:firstLine="720"/>
        <w:textAlignment w:val="baseline"/>
        <w:rPr>
          <w:sz w:val="26"/>
        </w:rPr>
      </w:pPr>
    </w:p>
    <w:p w14:paraId="46539966" w14:textId="26F8DC69" w:rsidR="009D2D5D" w:rsidRPr="009D2D5D" w:rsidRDefault="009D2D5D" w:rsidP="008E1AD5">
      <w:pPr>
        <w:pStyle w:val="Default"/>
        <w:keepNext/>
        <w:tabs>
          <w:tab w:val="left" w:pos="720"/>
          <w:tab w:val="left" w:pos="2160"/>
        </w:tabs>
        <w:spacing w:line="360" w:lineRule="auto"/>
        <w:rPr>
          <w:b/>
          <w:bCs/>
          <w:sz w:val="26"/>
        </w:rPr>
      </w:pPr>
      <w:r>
        <w:rPr>
          <w:sz w:val="26"/>
        </w:rPr>
        <w:tab/>
      </w:r>
      <w:r>
        <w:rPr>
          <w:sz w:val="26"/>
        </w:rPr>
        <w:tab/>
      </w:r>
      <w:r w:rsidRPr="009D2D5D">
        <w:rPr>
          <w:b/>
          <w:bCs/>
          <w:sz w:val="26"/>
        </w:rPr>
        <w:t>1.</w:t>
      </w:r>
      <w:r w:rsidRPr="009D2D5D">
        <w:rPr>
          <w:b/>
          <w:bCs/>
          <w:sz w:val="26"/>
        </w:rPr>
        <w:tab/>
      </w:r>
      <w:r w:rsidR="004A493E">
        <w:rPr>
          <w:b/>
          <w:bCs/>
          <w:sz w:val="26"/>
        </w:rPr>
        <w:t>The City’s Exception</w:t>
      </w:r>
      <w:r w:rsidR="00321C69">
        <w:rPr>
          <w:b/>
          <w:bCs/>
          <w:sz w:val="26"/>
        </w:rPr>
        <w:t>s</w:t>
      </w:r>
    </w:p>
    <w:p w14:paraId="1030A58A" w14:textId="77777777" w:rsidR="009D2D5D" w:rsidRDefault="009D2D5D" w:rsidP="008E1AD5">
      <w:pPr>
        <w:pStyle w:val="Default"/>
        <w:keepNext/>
        <w:tabs>
          <w:tab w:val="left" w:pos="720"/>
        </w:tabs>
        <w:spacing w:line="360" w:lineRule="auto"/>
        <w:rPr>
          <w:sz w:val="26"/>
        </w:rPr>
      </w:pPr>
    </w:p>
    <w:p w14:paraId="354B5D8D" w14:textId="28054EEE" w:rsidR="00521563" w:rsidRDefault="009D2D5D" w:rsidP="008E1AD5">
      <w:pPr>
        <w:pStyle w:val="Default"/>
        <w:keepNext/>
        <w:tabs>
          <w:tab w:val="left" w:pos="720"/>
        </w:tabs>
        <w:spacing w:line="360" w:lineRule="auto"/>
        <w:rPr>
          <w:color w:val="auto"/>
          <w:sz w:val="26"/>
        </w:rPr>
      </w:pPr>
      <w:r>
        <w:rPr>
          <w:sz w:val="26"/>
        </w:rPr>
        <w:tab/>
      </w:r>
      <w:r>
        <w:rPr>
          <w:sz w:val="26"/>
        </w:rPr>
        <w:tab/>
      </w:r>
      <w:r w:rsidR="006E41DA" w:rsidRPr="00AB2D65">
        <w:rPr>
          <w:color w:val="auto"/>
          <w:sz w:val="26"/>
        </w:rPr>
        <w:t>In its Exception</w:t>
      </w:r>
      <w:r w:rsidR="002A16C6">
        <w:rPr>
          <w:color w:val="auto"/>
          <w:sz w:val="26"/>
        </w:rPr>
        <w:t xml:space="preserve"> No. 1</w:t>
      </w:r>
      <w:r w:rsidR="006E41DA" w:rsidRPr="00AB2D65">
        <w:rPr>
          <w:color w:val="auto"/>
          <w:sz w:val="26"/>
        </w:rPr>
        <w:t>, the City objects to Finding of Fact No. 20, which states that “[i]n UGI’s view, it is not appropriate to ‘elevate aesthetic concerns over public safety considerations.</w:t>
      </w:r>
      <w:r w:rsidR="00C95067">
        <w:rPr>
          <w:color w:val="auto"/>
          <w:sz w:val="26"/>
        </w:rPr>
        <w:t>’</w:t>
      </w:r>
      <w:r w:rsidR="006E41DA" w:rsidRPr="00AB2D65">
        <w:rPr>
          <w:color w:val="auto"/>
          <w:sz w:val="26"/>
        </w:rPr>
        <w:t xml:space="preserve">”  </w:t>
      </w:r>
      <w:r w:rsidR="00AB2D65" w:rsidRPr="00AB2D65">
        <w:rPr>
          <w:color w:val="auto"/>
          <w:sz w:val="26"/>
        </w:rPr>
        <w:t xml:space="preserve">The City </w:t>
      </w:r>
      <w:r w:rsidR="00AB2D65">
        <w:rPr>
          <w:color w:val="auto"/>
          <w:sz w:val="26"/>
        </w:rPr>
        <w:t xml:space="preserve">explains that its </w:t>
      </w:r>
      <w:r w:rsidR="00AB2D65" w:rsidRPr="00AB2D65">
        <w:rPr>
          <w:color w:val="auto"/>
          <w:sz w:val="26"/>
        </w:rPr>
        <w:t xml:space="preserve">position </w:t>
      </w:r>
      <w:r w:rsidR="00AB2D65">
        <w:rPr>
          <w:color w:val="auto"/>
          <w:sz w:val="26"/>
        </w:rPr>
        <w:t xml:space="preserve">is </w:t>
      </w:r>
      <w:r w:rsidR="00AB2D65" w:rsidRPr="00AB2D65">
        <w:rPr>
          <w:color w:val="auto"/>
          <w:sz w:val="26"/>
        </w:rPr>
        <w:t xml:space="preserve">that safety </w:t>
      </w:r>
      <w:r w:rsidR="00AE3175">
        <w:rPr>
          <w:color w:val="auto"/>
          <w:sz w:val="26"/>
        </w:rPr>
        <w:t>is more important than</w:t>
      </w:r>
      <w:r w:rsidR="00AE3175" w:rsidRPr="00AB2D65">
        <w:rPr>
          <w:color w:val="auto"/>
          <w:sz w:val="26"/>
        </w:rPr>
        <w:t xml:space="preserve"> </w:t>
      </w:r>
      <w:r w:rsidR="00AB2D65" w:rsidRPr="00AB2D65">
        <w:rPr>
          <w:color w:val="auto"/>
          <w:sz w:val="26"/>
        </w:rPr>
        <w:t>aesthetics</w:t>
      </w:r>
      <w:r w:rsidR="00AB2D65">
        <w:rPr>
          <w:color w:val="auto"/>
          <w:sz w:val="26"/>
        </w:rPr>
        <w:t>,</w:t>
      </w:r>
      <w:r w:rsidR="00AB2D65" w:rsidRPr="00AB2D65">
        <w:rPr>
          <w:color w:val="auto"/>
          <w:sz w:val="26"/>
        </w:rPr>
        <w:t xml:space="preserve"> and </w:t>
      </w:r>
      <w:r w:rsidR="00AB2D65">
        <w:rPr>
          <w:color w:val="auto"/>
          <w:sz w:val="26"/>
        </w:rPr>
        <w:t>it st</w:t>
      </w:r>
      <w:r w:rsidR="00AB2D65" w:rsidRPr="00AB2D65">
        <w:rPr>
          <w:color w:val="auto"/>
          <w:sz w:val="26"/>
        </w:rPr>
        <w:t>ated this more than a half dozen times in its Reply Brief.</w:t>
      </w:r>
      <w:r w:rsidR="00AB2D65">
        <w:rPr>
          <w:color w:val="auto"/>
          <w:sz w:val="26"/>
        </w:rPr>
        <w:t xml:space="preserve">  City Exc. at 3 (citing City R.B. at 3, 4, 6, 9, 14, 17, and 23).</w:t>
      </w:r>
      <w:r w:rsidR="00AB2D65" w:rsidRPr="00AB2D65">
        <w:rPr>
          <w:color w:val="auto"/>
          <w:sz w:val="26"/>
        </w:rPr>
        <w:t xml:space="preserve">  </w:t>
      </w:r>
      <w:r w:rsidR="006C1890">
        <w:rPr>
          <w:color w:val="auto"/>
          <w:sz w:val="26"/>
        </w:rPr>
        <w:t xml:space="preserve">The City argues, however, that </w:t>
      </w:r>
      <w:r w:rsidR="00AB2D65" w:rsidRPr="00AB2D65">
        <w:rPr>
          <w:color w:val="auto"/>
          <w:sz w:val="26"/>
        </w:rPr>
        <w:t xml:space="preserve">there is no record evidence that outside meters are safer than inside meters.  </w:t>
      </w:r>
      <w:r w:rsidR="006C1890">
        <w:rPr>
          <w:color w:val="auto"/>
          <w:sz w:val="26"/>
        </w:rPr>
        <w:t>The City also argues that t</w:t>
      </w:r>
      <w:r w:rsidR="00AB2D65" w:rsidRPr="00AB2D65">
        <w:rPr>
          <w:color w:val="auto"/>
          <w:sz w:val="26"/>
        </w:rPr>
        <w:t>he further a meter is from the street, the safer its location</w:t>
      </w:r>
      <w:r w:rsidR="006C1890">
        <w:rPr>
          <w:color w:val="auto"/>
          <w:sz w:val="26"/>
        </w:rPr>
        <w:t xml:space="preserve">, and </w:t>
      </w:r>
      <w:r w:rsidR="006C1890">
        <w:rPr>
          <w:color w:val="auto"/>
          <w:sz w:val="26"/>
        </w:rPr>
        <w:lastRenderedPageBreak/>
        <w:t>the i</w:t>
      </w:r>
      <w:r w:rsidR="00AB2D65" w:rsidRPr="00AB2D65">
        <w:rPr>
          <w:color w:val="auto"/>
          <w:sz w:val="26"/>
        </w:rPr>
        <w:t xml:space="preserve">ncreased use of bollards would also enhance safety for meters located on sidewalks close to City </w:t>
      </w:r>
      <w:r w:rsidR="006C1890">
        <w:rPr>
          <w:color w:val="auto"/>
          <w:sz w:val="26"/>
        </w:rPr>
        <w:t>s</w:t>
      </w:r>
      <w:r w:rsidR="00AB2D65" w:rsidRPr="00AB2D65">
        <w:rPr>
          <w:color w:val="auto"/>
          <w:sz w:val="26"/>
        </w:rPr>
        <w:t>treets.</w:t>
      </w:r>
      <w:r w:rsidR="006C1890">
        <w:rPr>
          <w:color w:val="auto"/>
          <w:sz w:val="26"/>
        </w:rPr>
        <w:t xml:space="preserve">  City Exc. at 3.</w:t>
      </w:r>
    </w:p>
    <w:p w14:paraId="2750A977" w14:textId="77777777" w:rsidR="00060407" w:rsidRDefault="00060407" w:rsidP="008E1AD5">
      <w:pPr>
        <w:pStyle w:val="Default"/>
        <w:tabs>
          <w:tab w:val="left" w:pos="720"/>
        </w:tabs>
        <w:spacing w:line="360" w:lineRule="auto"/>
        <w:rPr>
          <w:color w:val="auto"/>
          <w:sz w:val="26"/>
        </w:rPr>
      </w:pPr>
    </w:p>
    <w:p w14:paraId="5C81F965" w14:textId="6EB1D401" w:rsidR="007C02CC" w:rsidRPr="007C02CC" w:rsidRDefault="007C02CC" w:rsidP="008E1AD5">
      <w:pPr>
        <w:rPr>
          <w:sz w:val="26"/>
          <w:szCs w:val="26"/>
        </w:rPr>
      </w:pPr>
      <w:r w:rsidRPr="007C02CC">
        <w:rPr>
          <w:sz w:val="26"/>
          <w:szCs w:val="26"/>
        </w:rPr>
        <w:t xml:space="preserve">In its Exception No. 9, the City contends that the ALJ’s finding that “leaving a meter inside a historic home creates a liability and enforcement risk to UGI should an accident occur” is without legal and evidentiary support.  City Exc. at 8 (citing I.D. at 28).  The City asserts that outside meters are not safer, and therefore, </w:t>
      </w:r>
      <w:r w:rsidR="00A73FB0">
        <w:rPr>
          <w:sz w:val="26"/>
          <w:szCs w:val="26"/>
        </w:rPr>
        <w:t xml:space="preserve">inside meters </w:t>
      </w:r>
      <w:r w:rsidRPr="007C02CC">
        <w:rPr>
          <w:sz w:val="26"/>
          <w:szCs w:val="26"/>
        </w:rPr>
        <w:t xml:space="preserve">do not </w:t>
      </w:r>
      <w:r w:rsidR="00A73FB0">
        <w:rPr>
          <w:sz w:val="26"/>
          <w:szCs w:val="26"/>
        </w:rPr>
        <w:t>necessarily</w:t>
      </w:r>
      <w:r w:rsidRPr="007C02CC">
        <w:rPr>
          <w:sz w:val="26"/>
          <w:szCs w:val="26"/>
        </w:rPr>
        <w:t xml:space="preserve"> increas</w:t>
      </w:r>
      <w:r w:rsidR="00A73FB0">
        <w:rPr>
          <w:sz w:val="26"/>
          <w:szCs w:val="26"/>
        </w:rPr>
        <w:t>e</w:t>
      </w:r>
      <w:r w:rsidRPr="007C02CC">
        <w:rPr>
          <w:sz w:val="26"/>
          <w:szCs w:val="26"/>
        </w:rPr>
        <w:t xml:space="preserve"> UGI’s </w:t>
      </w:r>
      <w:r w:rsidR="00A73FB0">
        <w:rPr>
          <w:sz w:val="26"/>
          <w:szCs w:val="26"/>
        </w:rPr>
        <w:t xml:space="preserve">liability and </w:t>
      </w:r>
      <w:r w:rsidRPr="007C02CC">
        <w:rPr>
          <w:sz w:val="26"/>
          <w:szCs w:val="26"/>
        </w:rPr>
        <w:t xml:space="preserve">enforcement risk.  </w:t>
      </w:r>
      <w:r w:rsidRPr="007C02CC">
        <w:rPr>
          <w:i/>
          <w:iCs/>
          <w:sz w:val="26"/>
          <w:szCs w:val="26"/>
        </w:rPr>
        <w:t>Id.</w:t>
      </w:r>
    </w:p>
    <w:p w14:paraId="01497641" w14:textId="77777777" w:rsidR="00F878B5" w:rsidRDefault="004E1CF0" w:rsidP="008E1AD5">
      <w:pPr>
        <w:pStyle w:val="Default"/>
        <w:tabs>
          <w:tab w:val="left" w:pos="720"/>
        </w:tabs>
        <w:spacing w:line="360" w:lineRule="auto"/>
        <w:rPr>
          <w:color w:val="auto"/>
          <w:sz w:val="26"/>
        </w:rPr>
      </w:pPr>
      <w:r>
        <w:rPr>
          <w:color w:val="auto"/>
          <w:sz w:val="26"/>
        </w:rPr>
        <w:tab/>
      </w:r>
      <w:r>
        <w:rPr>
          <w:color w:val="auto"/>
          <w:sz w:val="26"/>
        </w:rPr>
        <w:tab/>
      </w:r>
      <w:r w:rsidR="00B2641F">
        <w:rPr>
          <w:color w:val="auto"/>
          <w:sz w:val="26"/>
        </w:rPr>
        <w:tab/>
      </w:r>
    </w:p>
    <w:p w14:paraId="7A4A57ED" w14:textId="77777777" w:rsidR="004E1CF0" w:rsidRDefault="00F878B5" w:rsidP="008E1AD5">
      <w:pPr>
        <w:pStyle w:val="Default"/>
        <w:tabs>
          <w:tab w:val="left" w:pos="720"/>
        </w:tabs>
        <w:spacing w:line="360" w:lineRule="auto"/>
        <w:rPr>
          <w:b/>
          <w:bCs/>
          <w:color w:val="auto"/>
          <w:sz w:val="26"/>
        </w:rPr>
      </w:pPr>
      <w:r>
        <w:rPr>
          <w:color w:val="auto"/>
          <w:sz w:val="26"/>
        </w:rPr>
        <w:tab/>
      </w:r>
      <w:r>
        <w:rPr>
          <w:color w:val="auto"/>
          <w:sz w:val="26"/>
        </w:rPr>
        <w:tab/>
      </w:r>
      <w:r>
        <w:rPr>
          <w:color w:val="auto"/>
          <w:sz w:val="26"/>
        </w:rPr>
        <w:tab/>
      </w:r>
      <w:r w:rsidR="00B2641F" w:rsidRPr="00B2641F">
        <w:rPr>
          <w:b/>
          <w:bCs/>
          <w:color w:val="auto"/>
          <w:sz w:val="26"/>
        </w:rPr>
        <w:t>2.</w:t>
      </w:r>
      <w:r w:rsidR="00B2641F">
        <w:rPr>
          <w:color w:val="auto"/>
          <w:sz w:val="26"/>
        </w:rPr>
        <w:tab/>
      </w:r>
      <w:r w:rsidR="004E1CF0" w:rsidRPr="004E1CF0">
        <w:rPr>
          <w:b/>
          <w:bCs/>
          <w:color w:val="auto"/>
          <w:sz w:val="26"/>
        </w:rPr>
        <w:t>UGI’s Repl</w:t>
      </w:r>
      <w:r w:rsidR="00647000">
        <w:rPr>
          <w:b/>
          <w:bCs/>
          <w:color w:val="auto"/>
          <w:sz w:val="26"/>
        </w:rPr>
        <w:t>ies</w:t>
      </w:r>
      <w:r w:rsidR="004E1CF0" w:rsidRPr="004E1CF0">
        <w:rPr>
          <w:b/>
          <w:bCs/>
          <w:color w:val="auto"/>
          <w:sz w:val="26"/>
        </w:rPr>
        <w:t xml:space="preserve"> </w:t>
      </w:r>
    </w:p>
    <w:p w14:paraId="111C27C5" w14:textId="77777777" w:rsidR="009A6900" w:rsidRDefault="009A6900" w:rsidP="008E1AD5">
      <w:pPr>
        <w:pStyle w:val="Default"/>
        <w:tabs>
          <w:tab w:val="left" w:pos="720"/>
        </w:tabs>
        <w:spacing w:line="360" w:lineRule="auto"/>
        <w:rPr>
          <w:b/>
          <w:bCs/>
          <w:color w:val="auto"/>
          <w:sz w:val="26"/>
        </w:rPr>
      </w:pPr>
    </w:p>
    <w:p w14:paraId="002E7B93" w14:textId="371F1882" w:rsidR="009A6900" w:rsidRDefault="009A6900" w:rsidP="008E1AD5">
      <w:pPr>
        <w:pStyle w:val="Default"/>
        <w:tabs>
          <w:tab w:val="left" w:pos="720"/>
        </w:tabs>
        <w:spacing w:line="360" w:lineRule="auto"/>
        <w:rPr>
          <w:color w:val="auto"/>
          <w:sz w:val="26"/>
        </w:rPr>
      </w:pPr>
      <w:r>
        <w:rPr>
          <w:color w:val="auto"/>
          <w:sz w:val="26"/>
        </w:rPr>
        <w:tab/>
      </w:r>
      <w:r>
        <w:rPr>
          <w:color w:val="auto"/>
          <w:sz w:val="26"/>
        </w:rPr>
        <w:tab/>
        <w:t>In response</w:t>
      </w:r>
      <w:r w:rsidR="007D1815">
        <w:rPr>
          <w:color w:val="auto"/>
          <w:sz w:val="26"/>
        </w:rPr>
        <w:t xml:space="preserve"> to the City’s Exception No. 1</w:t>
      </w:r>
      <w:r>
        <w:rPr>
          <w:color w:val="auto"/>
          <w:sz w:val="26"/>
        </w:rPr>
        <w:t xml:space="preserve">, UGI states that the City </w:t>
      </w:r>
      <w:r w:rsidRPr="009A6900">
        <w:rPr>
          <w:color w:val="auto"/>
          <w:sz w:val="26"/>
        </w:rPr>
        <w:t>is elevating aesthetic concerns over safety</w:t>
      </w:r>
      <w:r>
        <w:rPr>
          <w:color w:val="auto"/>
          <w:sz w:val="26"/>
        </w:rPr>
        <w:t xml:space="preserve"> because the </w:t>
      </w:r>
      <w:r w:rsidRPr="009A6900">
        <w:rPr>
          <w:color w:val="auto"/>
          <w:sz w:val="26"/>
        </w:rPr>
        <w:t>City</w:t>
      </w:r>
      <w:r>
        <w:rPr>
          <w:color w:val="auto"/>
          <w:sz w:val="26"/>
        </w:rPr>
        <w:t>’</w:t>
      </w:r>
      <w:r w:rsidRPr="009A6900">
        <w:rPr>
          <w:color w:val="auto"/>
          <w:sz w:val="26"/>
        </w:rPr>
        <w:t xml:space="preserve">s requested relief would require UGI to relocate most, if not all, of the outside meters to inside locations, regardless of the safety impacts. </w:t>
      </w:r>
      <w:r>
        <w:rPr>
          <w:color w:val="auto"/>
          <w:sz w:val="26"/>
        </w:rPr>
        <w:t xml:space="preserve"> UGI R. Exc. at 20.  UGI states that i</w:t>
      </w:r>
      <w:r w:rsidRPr="009A6900">
        <w:rPr>
          <w:color w:val="auto"/>
          <w:sz w:val="26"/>
        </w:rPr>
        <w:t xml:space="preserve">f the City valued safety over aesthetics, it would defer to the decisions of the entities, UGI and the </w:t>
      </w:r>
      <w:r>
        <w:rPr>
          <w:color w:val="auto"/>
          <w:sz w:val="26"/>
        </w:rPr>
        <w:t>Commission</w:t>
      </w:r>
      <w:r w:rsidRPr="009A6900">
        <w:rPr>
          <w:color w:val="auto"/>
          <w:sz w:val="26"/>
        </w:rPr>
        <w:t>, wh</w:t>
      </w:r>
      <w:r>
        <w:rPr>
          <w:color w:val="auto"/>
          <w:sz w:val="26"/>
        </w:rPr>
        <w:t>ich</w:t>
      </w:r>
      <w:r w:rsidRPr="009A6900">
        <w:rPr>
          <w:color w:val="auto"/>
          <w:sz w:val="26"/>
        </w:rPr>
        <w:t xml:space="preserve"> Mr. Slifko admitted are more qualified to balance safety and aesthetic concerns. </w:t>
      </w:r>
      <w:r>
        <w:rPr>
          <w:color w:val="auto"/>
          <w:sz w:val="26"/>
        </w:rPr>
        <w:t xml:space="preserve"> </w:t>
      </w:r>
      <w:r w:rsidRPr="009A6900">
        <w:rPr>
          <w:i/>
          <w:iCs/>
          <w:color w:val="auto"/>
          <w:sz w:val="26"/>
        </w:rPr>
        <w:t>Id</w:t>
      </w:r>
      <w:r>
        <w:rPr>
          <w:color w:val="auto"/>
          <w:sz w:val="26"/>
        </w:rPr>
        <w:t xml:space="preserve">. </w:t>
      </w:r>
      <w:r w:rsidRPr="009A6900">
        <w:rPr>
          <w:color w:val="auto"/>
          <w:sz w:val="26"/>
        </w:rPr>
        <w:t>(</w:t>
      </w:r>
      <w:r>
        <w:rPr>
          <w:color w:val="auto"/>
          <w:sz w:val="26"/>
        </w:rPr>
        <w:t xml:space="preserve">citing </w:t>
      </w:r>
      <w:r w:rsidRPr="009A6900">
        <w:rPr>
          <w:color w:val="auto"/>
          <w:sz w:val="26"/>
        </w:rPr>
        <w:t xml:space="preserve">Tr. </w:t>
      </w:r>
      <w:r>
        <w:rPr>
          <w:color w:val="auto"/>
          <w:sz w:val="26"/>
        </w:rPr>
        <w:t xml:space="preserve">at </w:t>
      </w:r>
      <w:r w:rsidRPr="009A6900">
        <w:rPr>
          <w:color w:val="auto"/>
          <w:sz w:val="26"/>
        </w:rPr>
        <w:t>172-73.)</w:t>
      </w:r>
      <w:r w:rsidR="000201F8">
        <w:rPr>
          <w:color w:val="auto"/>
          <w:sz w:val="26"/>
        </w:rPr>
        <w:t>.</w:t>
      </w:r>
    </w:p>
    <w:p w14:paraId="12476310" w14:textId="77777777" w:rsidR="000C01B0" w:rsidRDefault="000C01B0" w:rsidP="008E1AD5">
      <w:pPr>
        <w:pStyle w:val="Default"/>
        <w:tabs>
          <w:tab w:val="left" w:pos="720"/>
        </w:tabs>
        <w:spacing w:line="360" w:lineRule="auto"/>
        <w:rPr>
          <w:color w:val="auto"/>
          <w:sz w:val="26"/>
        </w:rPr>
      </w:pPr>
    </w:p>
    <w:p w14:paraId="57B01A2E" w14:textId="3EFC0DAA" w:rsidR="00884F81" w:rsidRPr="00884F81" w:rsidRDefault="000C01B0" w:rsidP="008E1AD5">
      <w:pPr>
        <w:rPr>
          <w:rFonts w:asciiTheme="minorHAnsi" w:eastAsiaTheme="minorHAnsi" w:hAnsiTheme="minorHAnsi" w:cstheme="minorBidi"/>
          <w:sz w:val="22"/>
          <w:szCs w:val="22"/>
        </w:rPr>
      </w:pPr>
      <w:r>
        <w:rPr>
          <w:sz w:val="26"/>
        </w:rPr>
        <w:t xml:space="preserve">In reply to the City’s Exception No. 9, </w:t>
      </w:r>
      <w:r w:rsidR="00884F81" w:rsidRPr="00884F81">
        <w:rPr>
          <w:sz w:val="26"/>
          <w:szCs w:val="26"/>
        </w:rPr>
        <w:t xml:space="preserve">UGI argues that, contrary to the City’s assertions, it has advanced the Commission’s most important goal, public safety, by placing meters and regulators in outside locations, thus minimizing the chances of releasing gas in confined indoor spaces. </w:t>
      </w:r>
      <w:r w:rsidR="00853ECE">
        <w:rPr>
          <w:sz w:val="26"/>
          <w:szCs w:val="26"/>
        </w:rPr>
        <w:t xml:space="preserve"> </w:t>
      </w:r>
      <w:r w:rsidR="00884F81" w:rsidRPr="00884F81">
        <w:rPr>
          <w:sz w:val="26"/>
          <w:szCs w:val="26"/>
        </w:rPr>
        <w:t>Given its public safety obligations under Section 1501 of the Code, UGI maintains that it is unquestionable that UGI would face liability and enforcement risk due to its decisions on where to install the meters.  UGI R. Exc. at 12 (citing to 66 Pa. C.S. § 1501).  UGI a</w:t>
      </w:r>
      <w:r w:rsidR="007F5B3D">
        <w:rPr>
          <w:sz w:val="26"/>
          <w:szCs w:val="26"/>
        </w:rPr>
        <w:t>v</w:t>
      </w:r>
      <w:r w:rsidR="00884F81" w:rsidRPr="00884F81">
        <w:rPr>
          <w:sz w:val="26"/>
          <w:szCs w:val="26"/>
        </w:rPr>
        <w:t>e</w:t>
      </w:r>
      <w:r w:rsidR="007F5B3D">
        <w:rPr>
          <w:sz w:val="26"/>
          <w:szCs w:val="26"/>
        </w:rPr>
        <w:t>r</w:t>
      </w:r>
      <w:r w:rsidR="00884F81" w:rsidRPr="00884F81">
        <w:rPr>
          <w:sz w:val="26"/>
          <w:szCs w:val="26"/>
        </w:rPr>
        <w:t xml:space="preserve">s that both the Commission and the Commonwealth Court credited an NGDC’s public safety obligations </w:t>
      </w:r>
      <w:r w:rsidR="00D318BD">
        <w:rPr>
          <w:sz w:val="26"/>
          <w:szCs w:val="26"/>
        </w:rPr>
        <w:t>as</w:t>
      </w:r>
      <w:r w:rsidR="00884F81" w:rsidRPr="00884F81">
        <w:rPr>
          <w:sz w:val="26"/>
          <w:szCs w:val="26"/>
        </w:rPr>
        <w:t xml:space="preserve"> the reason why meter location</w:t>
      </w:r>
      <w:r w:rsidR="00D318BD">
        <w:rPr>
          <w:sz w:val="26"/>
          <w:szCs w:val="26"/>
        </w:rPr>
        <w:t xml:space="preserve"> determinations</w:t>
      </w:r>
      <w:r w:rsidR="00884F81" w:rsidRPr="00884F81">
        <w:rPr>
          <w:sz w:val="26"/>
          <w:szCs w:val="26"/>
        </w:rPr>
        <w:t xml:space="preserve"> are </w:t>
      </w:r>
      <w:r w:rsidR="00D318BD">
        <w:rPr>
          <w:sz w:val="26"/>
          <w:szCs w:val="26"/>
        </w:rPr>
        <w:t>within an NGDC’s</w:t>
      </w:r>
      <w:r w:rsidR="00884F81" w:rsidRPr="00884F81">
        <w:rPr>
          <w:sz w:val="26"/>
          <w:szCs w:val="26"/>
        </w:rPr>
        <w:t xml:space="preserve"> discretion.  UGI R. Exc. at 12 (citing </w:t>
      </w:r>
      <w:r w:rsidR="00884F81" w:rsidRPr="00884F81">
        <w:rPr>
          <w:i/>
          <w:iCs/>
          <w:sz w:val="26"/>
          <w:szCs w:val="26"/>
        </w:rPr>
        <w:t>Final Rulemaking Order</w:t>
      </w:r>
      <w:r w:rsidR="00884F81" w:rsidRPr="00884F81">
        <w:rPr>
          <w:sz w:val="26"/>
          <w:szCs w:val="26"/>
        </w:rPr>
        <w:t xml:space="preserve"> at 45-46; </w:t>
      </w:r>
      <w:r w:rsidR="00884F81" w:rsidRPr="00884F81">
        <w:rPr>
          <w:i/>
          <w:iCs/>
          <w:sz w:val="26"/>
          <w:szCs w:val="26"/>
        </w:rPr>
        <w:t>City of Reading</w:t>
      </w:r>
      <w:r w:rsidR="00884F81" w:rsidRPr="00884F81">
        <w:rPr>
          <w:sz w:val="26"/>
          <w:szCs w:val="26"/>
        </w:rPr>
        <w:t xml:space="preserve">, 179 A.3d at 630).  UGI, </w:t>
      </w:r>
      <w:r w:rsidR="00884F81" w:rsidRPr="00884F81">
        <w:rPr>
          <w:sz w:val="26"/>
          <w:szCs w:val="26"/>
        </w:rPr>
        <w:lastRenderedPageBreak/>
        <w:t>therefore, explains that it would presumably carry the risk of potential liability in the event it exercised its discretion to permit an inside meter location and a catastrophe were to occur.</w:t>
      </w:r>
    </w:p>
    <w:p w14:paraId="19E935DB" w14:textId="77777777" w:rsidR="00412392" w:rsidRDefault="000C01B0" w:rsidP="008E1AD5">
      <w:pPr>
        <w:pStyle w:val="Default"/>
        <w:tabs>
          <w:tab w:val="left" w:pos="720"/>
        </w:tabs>
        <w:spacing w:line="360" w:lineRule="auto"/>
        <w:rPr>
          <w:color w:val="auto"/>
          <w:sz w:val="26"/>
        </w:rPr>
      </w:pPr>
      <w:r>
        <w:rPr>
          <w:color w:val="auto"/>
          <w:sz w:val="26"/>
        </w:rPr>
        <w:t xml:space="preserve"> </w:t>
      </w:r>
      <w:r w:rsidR="00646431">
        <w:rPr>
          <w:color w:val="auto"/>
          <w:sz w:val="26"/>
        </w:rPr>
        <w:tab/>
      </w:r>
      <w:r w:rsidR="00646431">
        <w:rPr>
          <w:color w:val="auto"/>
          <w:sz w:val="26"/>
        </w:rPr>
        <w:tab/>
      </w:r>
      <w:r w:rsidR="00B65FDD">
        <w:rPr>
          <w:color w:val="auto"/>
          <w:sz w:val="26"/>
        </w:rPr>
        <w:tab/>
      </w:r>
    </w:p>
    <w:p w14:paraId="22C3C1C4" w14:textId="77777777" w:rsidR="00646431" w:rsidRDefault="00412392" w:rsidP="008E1AD5">
      <w:pPr>
        <w:pStyle w:val="Default"/>
        <w:tabs>
          <w:tab w:val="left" w:pos="720"/>
        </w:tabs>
        <w:spacing w:line="360" w:lineRule="auto"/>
        <w:rPr>
          <w:b/>
          <w:bCs/>
          <w:color w:val="auto"/>
          <w:sz w:val="26"/>
        </w:rPr>
      </w:pPr>
      <w:r>
        <w:rPr>
          <w:color w:val="auto"/>
          <w:sz w:val="26"/>
        </w:rPr>
        <w:tab/>
      </w:r>
      <w:r>
        <w:rPr>
          <w:color w:val="auto"/>
          <w:sz w:val="26"/>
        </w:rPr>
        <w:tab/>
      </w:r>
      <w:r>
        <w:rPr>
          <w:color w:val="auto"/>
          <w:sz w:val="26"/>
        </w:rPr>
        <w:tab/>
      </w:r>
      <w:r w:rsidR="00B65FDD" w:rsidRPr="00B65FDD">
        <w:rPr>
          <w:b/>
          <w:bCs/>
          <w:color w:val="auto"/>
          <w:sz w:val="26"/>
        </w:rPr>
        <w:t>3.</w:t>
      </w:r>
      <w:r w:rsidR="00B65FDD">
        <w:rPr>
          <w:color w:val="auto"/>
          <w:sz w:val="26"/>
        </w:rPr>
        <w:tab/>
      </w:r>
      <w:r w:rsidR="00646431">
        <w:rPr>
          <w:b/>
          <w:bCs/>
          <w:color w:val="auto"/>
          <w:sz w:val="26"/>
        </w:rPr>
        <w:t>Disposition</w:t>
      </w:r>
    </w:p>
    <w:p w14:paraId="4AED4050" w14:textId="77777777" w:rsidR="00646431" w:rsidRDefault="00646431" w:rsidP="008E1AD5">
      <w:pPr>
        <w:pStyle w:val="Default"/>
        <w:tabs>
          <w:tab w:val="left" w:pos="720"/>
        </w:tabs>
        <w:spacing w:line="360" w:lineRule="auto"/>
        <w:rPr>
          <w:b/>
          <w:bCs/>
          <w:color w:val="auto"/>
          <w:sz w:val="26"/>
        </w:rPr>
      </w:pPr>
    </w:p>
    <w:p w14:paraId="0AC91B2D" w14:textId="26B4468E" w:rsidR="006015B0" w:rsidRDefault="005C428C" w:rsidP="008E1AD5">
      <w:pPr>
        <w:pStyle w:val="Default"/>
        <w:tabs>
          <w:tab w:val="left" w:pos="720"/>
        </w:tabs>
        <w:spacing w:line="360" w:lineRule="auto"/>
        <w:rPr>
          <w:color w:val="auto"/>
          <w:sz w:val="26"/>
        </w:rPr>
      </w:pPr>
      <w:r>
        <w:rPr>
          <w:b/>
          <w:bCs/>
          <w:color w:val="auto"/>
          <w:sz w:val="26"/>
        </w:rPr>
        <w:tab/>
      </w:r>
      <w:r>
        <w:rPr>
          <w:b/>
          <w:bCs/>
          <w:color w:val="auto"/>
          <w:sz w:val="26"/>
        </w:rPr>
        <w:tab/>
      </w:r>
      <w:r w:rsidR="0016687F" w:rsidRPr="0016687F">
        <w:rPr>
          <w:color w:val="auto"/>
          <w:sz w:val="26"/>
        </w:rPr>
        <w:t>Upon</w:t>
      </w:r>
      <w:r w:rsidR="0016687F">
        <w:rPr>
          <w:color w:val="auto"/>
          <w:sz w:val="26"/>
        </w:rPr>
        <w:t xml:space="preserve"> review</w:t>
      </w:r>
      <w:r w:rsidR="0016687F" w:rsidRPr="0016687F">
        <w:rPr>
          <w:color w:val="auto"/>
          <w:sz w:val="26"/>
        </w:rPr>
        <w:t xml:space="preserve">, </w:t>
      </w:r>
      <w:r w:rsidR="0016687F">
        <w:rPr>
          <w:color w:val="auto"/>
          <w:sz w:val="26"/>
        </w:rPr>
        <w:t xml:space="preserve">we shall grant the City’s Exception No. 1 and deny the City’s Exception No. 9.  </w:t>
      </w:r>
      <w:r w:rsidR="003E605E" w:rsidRPr="003E605E">
        <w:rPr>
          <w:color w:val="auto"/>
          <w:sz w:val="26"/>
        </w:rPr>
        <w:t>While</w:t>
      </w:r>
      <w:r w:rsidR="0016687F">
        <w:rPr>
          <w:color w:val="auto"/>
          <w:sz w:val="26"/>
        </w:rPr>
        <w:t xml:space="preserve"> </w:t>
      </w:r>
      <w:r w:rsidR="003E605E">
        <w:rPr>
          <w:color w:val="auto"/>
          <w:sz w:val="26"/>
        </w:rPr>
        <w:t xml:space="preserve">the ALJ’s description of UGI’s viewpoint in Finding of Fact No. 20 is an accurate representation of UGI’s position, we do not find it appropriate to include this statement as a Finding of Fact under the circumstances, because this statement is not </w:t>
      </w:r>
      <w:r w:rsidR="00B65FDD">
        <w:rPr>
          <w:color w:val="auto"/>
          <w:sz w:val="26"/>
        </w:rPr>
        <w:t>fully</w:t>
      </w:r>
      <w:r w:rsidR="003E605E">
        <w:rPr>
          <w:color w:val="auto"/>
          <w:sz w:val="26"/>
        </w:rPr>
        <w:t xml:space="preserve"> consistent with the City’s position and</w:t>
      </w:r>
      <w:r w:rsidR="000201F8">
        <w:rPr>
          <w:color w:val="auto"/>
          <w:sz w:val="26"/>
        </w:rPr>
        <w:t>/</w:t>
      </w:r>
      <w:r w:rsidR="00803514">
        <w:rPr>
          <w:color w:val="auto"/>
          <w:sz w:val="26"/>
        </w:rPr>
        <w:t>or</w:t>
      </w:r>
      <w:r w:rsidR="003E605E">
        <w:rPr>
          <w:color w:val="auto"/>
          <w:sz w:val="26"/>
        </w:rPr>
        <w:t xml:space="preserve"> with the intent of Section 59.18.</w:t>
      </w:r>
      <w:r w:rsidR="00E76A9C">
        <w:rPr>
          <w:color w:val="auto"/>
          <w:sz w:val="26"/>
        </w:rPr>
        <w:t xml:space="preserve">  </w:t>
      </w:r>
      <w:r w:rsidR="004A3D40">
        <w:rPr>
          <w:color w:val="auto"/>
          <w:sz w:val="26"/>
        </w:rPr>
        <w:t xml:space="preserve">The City has acknowledged throughout the proceeding that aesthetic concerns do not </w:t>
      </w:r>
      <w:r w:rsidR="00AE3175">
        <w:rPr>
          <w:color w:val="auto"/>
          <w:sz w:val="26"/>
        </w:rPr>
        <w:t>transcend</w:t>
      </w:r>
      <w:r w:rsidR="00AE3175" w:rsidDel="00AE3175">
        <w:rPr>
          <w:color w:val="auto"/>
          <w:sz w:val="26"/>
        </w:rPr>
        <w:t xml:space="preserve"> </w:t>
      </w:r>
      <w:r w:rsidR="004A3D40">
        <w:rPr>
          <w:color w:val="auto"/>
          <w:sz w:val="26"/>
        </w:rPr>
        <w:t>safety concerns, while also averring that the Regulation permits the indoor location of meters in historic districts for more than just aesthetic</w:t>
      </w:r>
      <w:r w:rsidR="005C3FCA">
        <w:rPr>
          <w:color w:val="auto"/>
          <w:sz w:val="26"/>
        </w:rPr>
        <w:t>-based</w:t>
      </w:r>
      <w:r w:rsidR="004A3D40">
        <w:rPr>
          <w:color w:val="auto"/>
          <w:sz w:val="26"/>
        </w:rPr>
        <w:t xml:space="preserve"> reasons.</w:t>
      </w:r>
    </w:p>
    <w:p w14:paraId="60244637" w14:textId="77777777" w:rsidR="006015B0" w:rsidRDefault="006015B0" w:rsidP="008E1AD5">
      <w:pPr>
        <w:pStyle w:val="Default"/>
        <w:tabs>
          <w:tab w:val="left" w:pos="720"/>
        </w:tabs>
        <w:spacing w:line="360" w:lineRule="auto"/>
        <w:rPr>
          <w:color w:val="auto"/>
          <w:sz w:val="26"/>
        </w:rPr>
      </w:pPr>
    </w:p>
    <w:p w14:paraId="6AA6A703" w14:textId="4B89204A" w:rsidR="009A7722" w:rsidRDefault="006015B0" w:rsidP="008E1AD5">
      <w:pPr>
        <w:pStyle w:val="Default"/>
        <w:tabs>
          <w:tab w:val="left" w:pos="720"/>
        </w:tabs>
        <w:spacing w:line="360" w:lineRule="auto"/>
        <w:rPr>
          <w:color w:val="auto"/>
          <w:sz w:val="26"/>
        </w:rPr>
      </w:pPr>
      <w:r>
        <w:rPr>
          <w:color w:val="auto"/>
          <w:sz w:val="26"/>
        </w:rPr>
        <w:tab/>
      </w:r>
      <w:r>
        <w:rPr>
          <w:color w:val="auto"/>
          <w:sz w:val="26"/>
        </w:rPr>
        <w:tab/>
      </w:r>
      <w:r w:rsidR="00526A5B">
        <w:rPr>
          <w:color w:val="auto"/>
          <w:sz w:val="26"/>
        </w:rPr>
        <w:t xml:space="preserve">Certainly, both our Regulation and </w:t>
      </w:r>
      <w:r w:rsidR="00C21412">
        <w:rPr>
          <w:color w:val="auto"/>
          <w:sz w:val="26"/>
        </w:rPr>
        <w:t>49 C.F.R. § 192.353</w:t>
      </w:r>
      <w:r w:rsidR="00526A5B">
        <w:rPr>
          <w:color w:val="auto"/>
          <w:sz w:val="26"/>
        </w:rPr>
        <w:t xml:space="preserve"> permit the inside location of meters</w:t>
      </w:r>
      <w:r w:rsidR="00C21412">
        <w:rPr>
          <w:color w:val="auto"/>
          <w:sz w:val="26"/>
        </w:rPr>
        <w:t xml:space="preserve">, but safety is a </w:t>
      </w:r>
      <w:r w:rsidR="00641E36">
        <w:rPr>
          <w:color w:val="auto"/>
          <w:sz w:val="26"/>
        </w:rPr>
        <w:t>significant concern</w:t>
      </w:r>
      <w:r w:rsidR="00C21412">
        <w:rPr>
          <w:color w:val="auto"/>
          <w:sz w:val="26"/>
        </w:rPr>
        <w:t xml:space="preserve"> in determining where to locate a meter, whether it be inside or outside.  In making outside meters the general rule when promulgating Section 59.18, we noted the data showing that Pennsylvania has experienced sixty-five reportable incidents</w:t>
      </w:r>
      <w:r w:rsidR="001B3B20">
        <w:rPr>
          <w:rStyle w:val="FootnoteReference"/>
          <w:color w:val="auto"/>
          <w:sz w:val="26"/>
        </w:rPr>
        <w:footnoteReference w:id="6"/>
      </w:r>
      <w:r w:rsidR="00C21412">
        <w:rPr>
          <w:color w:val="auto"/>
          <w:sz w:val="26"/>
        </w:rPr>
        <w:t xml:space="preserve"> associated with inside meter sets and inside regulators over the last forty years.  </w:t>
      </w:r>
      <w:r w:rsidR="00C21412" w:rsidRPr="00C21412">
        <w:rPr>
          <w:i/>
          <w:iCs/>
          <w:color w:val="auto"/>
          <w:sz w:val="26"/>
        </w:rPr>
        <w:t>Final Rulemaking Order</w:t>
      </w:r>
      <w:r w:rsidR="00C21412">
        <w:rPr>
          <w:color w:val="auto"/>
          <w:sz w:val="26"/>
        </w:rPr>
        <w:t xml:space="preserve"> at 5, 8.</w:t>
      </w:r>
      <w:r w:rsidR="00186950">
        <w:rPr>
          <w:color w:val="auto"/>
          <w:sz w:val="26"/>
        </w:rPr>
        <w:t xml:space="preserve">  </w:t>
      </w:r>
      <w:r>
        <w:rPr>
          <w:color w:val="auto"/>
          <w:sz w:val="26"/>
        </w:rPr>
        <w:t xml:space="preserve">Our Regulation and the federal regulation also encompass safety concerns with outside meter locations, such as </w:t>
      </w:r>
      <w:r>
        <w:rPr>
          <w:sz w:val="26"/>
        </w:rPr>
        <w:t xml:space="preserve">potential damage by outside forces </w:t>
      </w:r>
      <w:r w:rsidR="00372744">
        <w:rPr>
          <w:sz w:val="26"/>
        </w:rPr>
        <w:t xml:space="preserve">and vehicular damage.  </w:t>
      </w:r>
      <w:r w:rsidR="001B3108">
        <w:rPr>
          <w:color w:val="auto"/>
          <w:sz w:val="26"/>
        </w:rPr>
        <w:t xml:space="preserve">We do not find it necessary in the context of this proceeding to make any determinations regarding whether inside or outside meter locations are safer, as there are safety concerns associated with both inside and outside meter locations. </w:t>
      </w:r>
      <w:r w:rsidR="00641E36">
        <w:rPr>
          <w:color w:val="auto"/>
          <w:sz w:val="26"/>
        </w:rPr>
        <w:t xml:space="preserve"> We do, however, conclude that the ALJ’s statement that</w:t>
      </w:r>
      <w:r w:rsidR="001B3108">
        <w:rPr>
          <w:color w:val="auto"/>
          <w:sz w:val="26"/>
        </w:rPr>
        <w:t xml:space="preserve"> </w:t>
      </w:r>
      <w:r w:rsidR="00C21412">
        <w:rPr>
          <w:color w:val="auto"/>
          <w:sz w:val="26"/>
        </w:rPr>
        <w:t xml:space="preserve">   </w:t>
      </w:r>
      <w:r w:rsidR="001F6C9D" w:rsidRPr="007C02CC">
        <w:rPr>
          <w:sz w:val="26"/>
          <w:szCs w:val="26"/>
        </w:rPr>
        <w:lastRenderedPageBreak/>
        <w:t xml:space="preserve">“leaving a meter inside a historic home creates a liability and enforcement risk to UGI should an accident occur” is </w:t>
      </w:r>
      <w:r w:rsidR="00641E36">
        <w:rPr>
          <w:sz w:val="26"/>
          <w:szCs w:val="26"/>
        </w:rPr>
        <w:t>legally sound</w:t>
      </w:r>
      <w:r w:rsidR="001F6C9D" w:rsidRPr="007C02CC">
        <w:rPr>
          <w:sz w:val="26"/>
          <w:szCs w:val="26"/>
        </w:rPr>
        <w:t>.</w:t>
      </w:r>
      <w:r w:rsidR="00641E36">
        <w:rPr>
          <w:sz w:val="26"/>
          <w:szCs w:val="26"/>
        </w:rPr>
        <w:t xml:space="preserve">  </w:t>
      </w:r>
      <w:r w:rsidR="0084648F">
        <w:rPr>
          <w:sz w:val="26"/>
          <w:szCs w:val="26"/>
        </w:rPr>
        <w:t xml:space="preserve">Like all regulated NGDCs, UGI is responsible for providing safe and reasonable service under Section 1501 of the Code and for complying with our gas safety regulations and the federal gas safety regulations.  This Commission has the authority to, among other things, conduct investigations and bring enforcement proceedings, which may result in the imposition of penalties, against NGDCs that we find are not in compliance with the Code, applicable regulations, and Commission Orders. </w:t>
      </w:r>
      <w:r w:rsidR="00587116">
        <w:rPr>
          <w:sz w:val="26"/>
          <w:szCs w:val="26"/>
        </w:rPr>
        <w:t xml:space="preserve"> While UGI’s liability and enforcement risks are not limited to accidents that occur with respect to inside meters, these types of potential accidents fall within the realm of accidents for which an NGDC would be subject to liability and enforcement risks.</w:t>
      </w:r>
    </w:p>
    <w:p w14:paraId="166201AC" w14:textId="77777777" w:rsidR="009A7722" w:rsidRDefault="009A7722" w:rsidP="008E1AD5">
      <w:pPr>
        <w:pStyle w:val="Default"/>
        <w:tabs>
          <w:tab w:val="left" w:pos="720"/>
        </w:tabs>
        <w:spacing w:line="360" w:lineRule="auto"/>
        <w:rPr>
          <w:color w:val="auto"/>
          <w:sz w:val="26"/>
        </w:rPr>
      </w:pPr>
    </w:p>
    <w:p w14:paraId="48E6E652" w14:textId="53ECE606" w:rsidR="005C428C" w:rsidRPr="003E605E" w:rsidRDefault="009A7722" w:rsidP="008E1AD5">
      <w:pPr>
        <w:ind w:firstLine="0"/>
        <w:rPr>
          <w:sz w:val="26"/>
        </w:rPr>
      </w:pPr>
      <w:r>
        <w:rPr>
          <w:sz w:val="26"/>
        </w:rPr>
        <w:tab/>
      </w:r>
      <w:r>
        <w:rPr>
          <w:sz w:val="26"/>
        </w:rPr>
        <w:tab/>
      </w:r>
      <w:r w:rsidR="00291387">
        <w:rPr>
          <w:sz w:val="26"/>
        </w:rPr>
        <w:t>W</w:t>
      </w:r>
      <w:r w:rsidR="00054A6C">
        <w:rPr>
          <w:sz w:val="26"/>
        </w:rPr>
        <w:t xml:space="preserve">hile we were </w:t>
      </w:r>
      <w:r w:rsidR="00054A6C">
        <w:rPr>
          <w:spacing w:val="-3"/>
          <w:sz w:val="26"/>
        </w:rPr>
        <w:t xml:space="preserve">clear </w:t>
      </w:r>
      <w:r w:rsidR="00291387">
        <w:rPr>
          <w:spacing w:val="-3"/>
          <w:sz w:val="26"/>
        </w:rPr>
        <w:t xml:space="preserve">in promulgating Section 59.18 </w:t>
      </w:r>
      <w:r w:rsidR="00054A6C">
        <w:rPr>
          <w:spacing w:val="-3"/>
          <w:sz w:val="26"/>
        </w:rPr>
        <w:t xml:space="preserve">that utilities retain the discretion to make the final decision regarding meter location due to their public safety obligations, </w:t>
      </w:r>
      <w:r w:rsidR="00291387">
        <w:rPr>
          <w:spacing w:val="-3"/>
          <w:sz w:val="26"/>
        </w:rPr>
        <w:t xml:space="preserve">we were also clear that </w:t>
      </w:r>
      <w:r w:rsidR="00054A6C">
        <w:rPr>
          <w:spacing w:val="-3"/>
          <w:sz w:val="26"/>
        </w:rPr>
        <w:t xml:space="preserve">such discretion is not unfettered.  We acknowledged a utility’s responsibility to ensure that it is providing reasonable and adequate service in making that decision.  Our intent was to go beyond any aesthetic concerns that may be present in historic districts and, in fact, we declined to establish any </w:t>
      </w:r>
      <w:r w:rsidR="00AC7A73">
        <w:rPr>
          <w:spacing w:val="-3"/>
          <w:sz w:val="26"/>
        </w:rPr>
        <w:t xml:space="preserve">solely </w:t>
      </w:r>
      <w:r w:rsidR="00054A6C">
        <w:rPr>
          <w:spacing w:val="-3"/>
          <w:sz w:val="26"/>
        </w:rPr>
        <w:t>aesthetic standards within the Regulation.</w:t>
      </w:r>
      <w:r w:rsidR="00FF0925">
        <w:rPr>
          <w:spacing w:val="-3"/>
          <w:sz w:val="26"/>
        </w:rPr>
        <w:t xml:space="preserve">  </w:t>
      </w:r>
      <w:r w:rsidR="00FF0925" w:rsidRPr="00FF0925">
        <w:rPr>
          <w:i/>
          <w:iCs/>
          <w:spacing w:val="-3"/>
          <w:sz w:val="26"/>
        </w:rPr>
        <w:t>See</w:t>
      </w:r>
      <w:r w:rsidR="00FF0925">
        <w:rPr>
          <w:spacing w:val="-3"/>
          <w:sz w:val="26"/>
        </w:rPr>
        <w:t xml:space="preserve"> </w:t>
      </w:r>
      <w:r w:rsidR="00FF0925" w:rsidRPr="00B64388">
        <w:rPr>
          <w:i/>
          <w:iCs/>
          <w:sz w:val="26"/>
          <w:szCs w:val="26"/>
        </w:rPr>
        <w:t>Final Rulemaking Order</w:t>
      </w:r>
      <w:r w:rsidR="00FF0925">
        <w:rPr>
          <w:sz w:val="26"/>
          <w:szCs w:val="26"/>
        </w:rPr>
        <w:t xml:space="preserve"> at 30-31.  </w:t>
      </w:r>
      <w:r w:rsidR="00F70C09">
        <w:rPr>
          <w:spacing w:val="-3"/>
          <w:sz w:val="26"/>
        </w:rPr>
        <w:t>Additionally, a</w:t>
      </w:r>
      <w:r w:rsidR="00054A6C">
        <w:rPr>
          <w:spacing w:val="-3"/>
          <w:sz w:val="26"/>
        </w:rPr>
        <w:t xml:space="preserve">s we </w:t>
      </w:r>
      <w:r w:rsidR="00291387">
        <w:rPr>
          <w:spacing w:val="-3"/>
          <w:sz w:val="26"/>
        </w:rPr>
        <w:t xml:space="preserve">will </w:t>
      </w:r>
      <w:r w:rsidR="00054A6C">
        <w:rPr>
          <w:spacing w:val="-3"/>
          <w:sz w:val="26"/>
        </w:rPr>
        <w:t xml:space="preserve">discuss in greater detail </w:t>
      </w:r>
      <w:r w:rsidR="00291387">
        <w:rPr>
          <w:spacing w:val="-3"/>
          <w:sz w:val="26"/>
        </w:rPr>
        <w:t>herein</w:t>
      </w:r>
      <w:r w:rsidR="00054A6C">
        <w:rPr>
          <w:spacing w:val="-3"/>
          <w:sz w:val="26"/>
        </w:rPr>
        <w:t xml:space="preserve">, based on recent Commonwealth Court decisions in </w:t>
      </w:r>
      <w:r w:rsidR="00054A6C" w:rsidRPr="00054A6C">
        <w:rPr>
          <w:i/>
          <w:iCs/>
          <w:spacing w:val="-3"/>
          <w:sz w:val="26"/>
        </w:rPr>
        <w:t>Pa. Environmental Defense F</w:t>
      </w:r>
      <w:r w:rsidR="00A3377D">
        <w:rPr>
          <w:i/>
          <w:iCs/>
          <w:spacing w:val="-3"/>
          <w:sz w:val="26"/>
        </w:rPr>
        <w:t>oundation v. Commonwealth</w:t>
      </w:r>
      <w:r w:rsidR="0017320C">
        <w:rPr>
          <w:i/>
          <w:iCs/>
          <w:spacing w:val="-3"/>
          <w:sz w:val="26"/>
        </w:rPr>
        <w:t xml:space="preserve"> </w:t>
      </w:r>
      <w:r w:rsidR="0017320C">
        <w:rPr>
          <w:spacing w:val="-3"/>
          <w:sz w:val="26"/>
        </w:rPr>
        <w:t>(</w:t>
      </w:r>
      <w:r w:rsidR="0017320C" w:rsidRPr="00274A27">
        <w:rPr>
          <w:i/>
          <w:iCs/>
          <w:sz w:val="26"/>
          <w:szCs w:val="26"/>
        </w:rPr>
        <w:t>PEDF II</w:t>
      </w:r>
      <w:r w:rsidR="0017320C">
        <w:rPr>
          <w:sz w:val="26"/>
          <w:szCs w:val="26"/>
        </w:rPr>
        <w:t>)</w:t>
      </w:r>
      <w:r w:rsidR="00A3377D">
        <w:rPr>
          <w:spacing w:val="-3"/>
          <w:sz w:val="26"/>
        </w:rPr>
        <w:t>, 640 Pa. 55, 161 A.3d 911</w:t>
      </w:r>
      <w:r w:rsidR="00274A27">
        <w:rPr>
          <w:spacing w:val="-3"/>
          <w:sz w:val="26"/>
        </w:rPr>
        <w:t xml:space="preserve"> (2017)</w:t>
      </w:r>
      <w:bookmarkStart w:id="9" w:name="_Hlk20996143"/>
      <w:r w:rsidR="00054A6C">
        <w:rPr>
          <w:spacing w:val="-3"/>
          <w:sz w:val="26"/>
        </w:rPr>
        <w:t xml:space="preserve"> </w:t>
      </w:r>
      <w:bookmarkEnd w:id="9"/>
      <w:r w:rsidR="00054A6C">
        <w:rPr>
          <w:spacing w:val="-3"/>
          <w:sz w:val="26"/>
        </w:rPr>
        <w:t xml:space="preserve">and </w:t>
      </w:r>
      <w:r w:rsidR="00054A6C" w:rsidRPr="00054A6C">
        <w:rPr>
          <w:i/>
          <w:iCs/>
          <w:spacing w:val="-3"/>
          <w:sz w:val="26"/>
        </w:rPr>
        <w:t>City of Reading</w:t>
      </w:r>
      <w:r w:rsidR="00054A6C">
        <w:rPr>
          <w:spacing w:val="-3"/>
          <w:sz w:val="26"/>
        </w:rPr>
        <w:t xml:space="preserve">, </w:t>
      </w:r>
      <w:r w:rsidR="00F70C09">
        <w:rPr>
          <w:spacing w:val="-3"/>
          <w:sz w:val="26"/>
        </w:rPr>
        <w:t xml:space="preserve">consideration of the </w:t>
      </w:r>
      <w:r w:rsidR="0017320C">
        <w:rPr>
          <w:spacing w:val="-3"/>
          <w:sz w:val="26"/>
        </w:rPr>
        <w:t>inside l</w:t>
      </w:r>
      <w:r w:rsidR="00F70C09">
        <w:rPr>
          <w:spacing w:val="-3"/>
          <w:sz w:val="26"/>
        </w:rPr>
        <w:t xml:space="preserve">ocation of meters within historic districts is consistent with </w:t>
      </w:r>
      <w:r w:rsidR="00DB0D18">
        <w:rPr>
          <w:spacing w:val="-3"/>
          <w:sz w:val="26"/>
        </w:rPr>
        <w:t xml:space="preserve">our responsibility to </w:t>
      </w:r>
      <w:r w:rsidR="00F70C09">
        <w:rPr>
          <w:spacing w:val="-3"/>
          <w:sz w:val="26"/>
        </w:rPr>
        <w:t>protect historic resources under Article 1, Section 27 of the Pennsylvania Constitution.</w:t>
      </w:r>
      <w:r w:rsidR="00625EB9">
        <w:rPr>
          <w:spacing w:val="-3"/>
          <w:sz w:val="26"/>
        </w:rPr>
        <w:t xml:space="preserve">  For these reasons, we shall grant the City’s Exception </w:t>
      </w:r>
      <w:r w:rsidR="00BC7A6D">
        <w:rPr>
          <w:spacing w:val="-3"/>
          <w:sz w:val="26"/>
        </w:rPr>
        <w:t xml:space="preserve">No. 1 </w:t>
      </w:r>
      <w:r w:rsidR="00625EB9">
        <w:rPr>
          <w:spacing w:val="-3"/>
          <w:sz w:val="26"/>
        </w:rPr>
        <w:t>and remove Finding of Fact No. 20 from the Initial Decision.</w:t>
      </w:r>
      <w:r w:rsidR="006308F7">
        <w:rPr>
          <w:spacing w:val="-3"/>
          <w:sz w:val="26"/>
        </w:rPr>
        <w:t xml:space="preserve">  We shall also deny the City’s Exception No. 9.</w:t>
      </w:r>
    </w:p>
    <w:p w14:paraId="5D1EB287" w14:textId="77777777" w:rsidR="00646431" w:rsidRPr="00646431" w:rsidRDefault="00646431" w:rsidP="008E1AD5">
      <w:pPr>
        <w:pStyle w:val="Default"/>
        <w:tabs>
          <w:tab w:val="left" w:pos="720"/>
        </w:tabs>
        <w:spacing w:line="360" w:lineRule="auto"/>
        <w:rPr>
          <w:b/>
          <w:bCs/>
          <w:color w:val="auto"/>
          <w:sz w:val="26"/>
        </w:rPr>
      </w:pPr>
    </w:p>
    <w:p w14:paraId="7DB3BD9B" w14:textId="77777777" w:rsidR="00AB2D65" w:rsidRPr="00521563" w:rsidRDefault="009A6900" w:rsidP="008E1AD5">
      <w:pPr>
        <w:pStyle w:val="Default"/>
        <w:keepNext/>
        <w:keepLines/>
        <w:tabs>
          <w:tab w:val="left" w:pos="720"/>
        </w:tabs>
        <w:spacing w:line="360" w:lineRule="auto"/>
        <w:rPr>
          <w:b/>
          <w:bCs/>
          <w:color w:val="auto"/>
          <w:sz w:val="26"/>
        </w:rPr>
      </w:pPr>
      <w:r>
        <w:rPr>
          <w:b/>
          <w:bCs/>
          <w:color w:val="auto"/>
          <w:sz w:val="26"/>
        </w:rPr>
        <w:lastRenderedPageBreak/>
        <w:tab/>
      </w:r>
      <w:r w:rsidR="00B37BB9">
        <w:rPr>
          <w:b/>
          <w:bCs/>
          <w:color w:val="auto"/>
          <w:sz w:val="26"/>
        </w:rPr>
        <w:tab/>
      </w:r>
      <w:r w:rsidR="00316CA4" w:rsidRPr="00316CA4">
        <w:rPr>
          <w:b/>
          <w:bCs/>
          <w:color w:val="auto"/>
          <w:sz w:val="26"/>
        </w:rPr>
        <w:t>d.</w:t>
      </w:r>
      <w:r w:rsidR="00316CA4">
        <w:rPr>
          <w:color w:val="auto"/>
          <w:sz w:val="26"/>
        </w:rPr>
        <w:tab/>
      </w:r>
      <w:r w:rsidR="00521563" w:rsidRPr="00521563">
        <w:rPr>
          <w:b/>
          <w:bCs/>
          <w:color w:val="auto"/>
          <w:sz w:val="26"/>
        </w:rPr>
        <w:t>The City’s Exception No. 2</w:t>
      </w:r>
      <w:r w:rsidR="00791B37">
        <w:rPr>
          <w:b/>
          <w:bCs/>
          <w:color w:val="auto"/>
          <w:sz w:val="26"/>
        </w:rPr>
        <w:t>,</w:t>
      </w:r>
      <w:r w:rsidR="000E7B1F">
        <w:rPr>
          <w:b/>
          <w:bCs/>
          <w:color w:val="auto"/>
          <w:sz w:val="26"/>
        </w:rPr>
        <w:t xml:space="preserve"> UGI’s Reply</w:t>
      </w:r>
      <w:r w:rsidR="00791B37">
        <w:rPr>
          <w:b/>
          <w:bCs/>
          <w:color w:val="auto"/>
          <w:sz w:val="26"/>
        </w:rPr>
        <w:t>, and Disposition</w:t>
      </w:r>
    </w:p>
    <w:p w14:paraId="737DD7F8" w14:textId="77777777" w:rsidR="006E41DA" w:rsidRDefault="006E41DA" w:rsidP="008E1AD5">
      <w:pPr>
        <w:keepNext/>
        <w:keepLines/>
        <w:ind w:firstLine="720"/>
        <w:textAlignment w:val="baseline"/>
        <w:rPr>
          <w:sz w:val="26"/>
        </w:rPr>
      </w:pPr>
    </w:p>
    <w:p w14:paraId="3DD33E41" w14:textId="7C08E18C" w:rsidR="000E7B1F" w:rsidRPr="000E7B1F" w:rsidRDefault="000E7B1F" w:rsidP="008E1AD5">
      <w:pPr>
        <w:pStyle w:val="Default"/>
        <w:keepNext/>
        <w:keepLines/>
        <w:tabs>
          <w:tab w:val="left" w:pos="720"/>
        </w:tabs>
        <w:spacing w:line="360" w:lineRule="auto"/>
        <w:rPr>
          <w:b/>
          <w:bCs/>
          <w:sz w:val="26"/>
        </w:rPr>
      </w:pPr>
      <w:r>
        <w:rPr>
          <w:sz w:val="26"/>
        </w:rPr>
        <w:tab/>
      </w:r>
      <w:r>
        <w:rPr>
          <w:sz w:val="26"/>
        </w:rPr>
        <w:tab/>
      </w:r>
      <w:r>
        <w:rPr>
          <w:sz w:val="26"/>
        </w:rPr>
        <w:tab/>
      </w:r>
      <w:r w:rsidRPr="000E7B1F">
        <w:rPr>
          <w:b/>
          <w:bCs/>
          <w:sz w:val="26"/>
        </w:rPr>
        <w:t>1.</w:t>
      </w:r>
      <w:r w:rsidRPr="000E7B1F">
        <w:rPr>
          <w:b/>
          <w:bCs/>
          <w:sz w:val="26"/>
        </w:rPr>
        <w:tab/>
        <w:t>The City’s Exception</w:t>
      </w:r>
    </w:p>
    <w:p w14:paraId="6C081283" w14:textId="77777777" w:rsidR="000E7B1F" w:rsidRDefault="000E7B1F" w:rsidP="008E1AD5">
      <w:pPr>
        <w:pStyle w:val="Default"/>
        <w:keepNext/>
        <w:keepLines/>
        <w:tabs>
          <w:tab w:val="left" w:pos="720"/>
        </w:tabs>
        <w:spacing w:line="360" w:lineRule="auto"/>
        <w:rPr>
          <w:sz w:val="26"/>
        </w:rPr>
      </w:pPr>
    </w:p>
    <w:p w14:paraId="0CBB0FB3" w14:textId="77777777" w:rsidR="00B246EA" w:rsidRDefault="000E7B1F" w:rsidP="008E1AD5">
      <w:pPr>
        <w:pStyle w:val="Default"/>
        <w:keepNext/>
        <w:keepLines/>
        <w:tabs>
          <w:tab w:val="left" w:pos="720"/>
        </w:tabs>
        <w:spacing w:line="360" w:lineRule="auto"/>
        <w:rPr>
          <w:color w:val="auto"/>
          <w:sz w:val="26"/>
        </w:rPr>
      </w:pPr>
      <w:r>
        <w:rPr>
          <w:sz w:val="26"/>
        </w:rPr>
        <w:tab/>
      </w:r>
      <w:r>
        <w:rPr>
          <w:sz w:val="26"/>
        </w:rPr>
        <w:tab/>
      </w:r>
      <w:r w:rsidR="005A25EB">
        <w:rPr>
          <w:sz w:val="26"/>
        </w:rPr>
        <w:t xml:space="preserve">The City excepts to </w:t>
      </w:r>
      <w:r w:rsidR="005A25EB" w:rsidRPr="005A25EB">
        <w:rPr>
          <w:color w:val="auto"/>
          <w:sz w:val="26"/>
        </w:rPr>
        <w:t>Findings of Fact N</w:t>
      </w:r>
      <w:r w:rsidR="00974909">
        <w:rPr>
          <w:color w:val="auto"/>
          <w:sz w:val="26"/>
        </w:rPr>
        <w:t>o</w:t>
      </w:r>
      <w:r w:rsidR="00B246EA">
        <w:rPr>
          <w:color w:val="auto"/>
          <w:sz w:val="26"/>
        </w:rPr>
        <w:t>s</w:t>
      </w:r>
      <w:r w:rsidR="00974909">
        <w:rPr>
          <w:color w:val="auto"/>
          <w:sz w:val="26"/>
        </w:rPr>
        <w:t>.</w:t>
      </w:r>
      <w:r w:rsidR="005A25EB" w:rsidRPr="005A25EB">
        <w:rPr>
          <w:color w:val="auto"/>
          <w:sz w:val="26"/>
        </w:rPr>
        <w:t xml:space="preserve"> 31 and 32 </w:t>
      </w:r>
      <w:r w:rsidR="005A25EB">
        <w:rPr>
          <w:color w:val="auto"/>
          <w:sz w:val="26"/>
        </w:rPr>
        <w:t xml:space="preserve">on the basis that they </w:t>
      </w:r>
      <w:r w:rsidR="005A25EB" w:rsidRPr="005A25EB">
        <w:rPr>
          <w:color w:val="auto"/>
          <w:sz w:val="26"/>
        </w:rPr>
        <w:t xml:space="preserve">contain third party out-of-court statements “being offered to prove the truth of the matter asserted” and should </w:t>
      </w:r>
      <w:r w:rsidR="005A25EB">
        <w:rPr>
          <w:color w:val="auto"/>
          <w:sz w:val="26"/>
        </w:rPr>
        <w:t xml:space="preserve">therefore </w:t>
      </w:r>
      <w:r w:rsidR="005A25EB" w:rsidRPr="005A25EB">
        <w:rPr>
          <w:color w:val="auto"/>
          <w:sz w:val="26"/>
        </w:rPr>
        <w:t>be stricken as inadmissible hearsay.</w:t>
      </w:r>
      <w:r w:rsidR="005A25EB">
        <w:rPr>
          <w:color w:val="auto"/>
          <w:sz w:val="26"/>
        </w:rPr>
        <w:t xml:space="preserve">  City Exc. at 3 (citing Pa. R.E. 801).</w:t>
      </w:r>
      <w:r w:rsidR="005A25EB" w:rsidRPr="005A25EB">
        <w:rPr>
          <w:color w:val="auto"/>
          <w:sz w:val="26"/>
        </w:rPr>
        <w:t xml:space="preserve">  </w:t>
      </w:r>
      <w:r w:rsidR="00B246EA">
        <w:rPr>
          <w:color w:val="auto"/>
          <w:sz w:val="26"/>
        </w:rPr>
        <w:t>Findings of Fact N</w:t>
      </w:r>
      <w:r w:rsidR="00B5764C">
        <w:rPr>
          <w:color w:val="auto"/>
          <w:sz w:val="26"/>
        </w:rPr>
        <w:t>o</w:t>
      </w:r>
      <w:r w:rsidR="00B246EA">
        <w:rPr>
          <w:color w:val="auto"/>
          <w:sz w:val="26"/>
        </w:rPr>
        <w:t>s</w:t>
      </w:r>
      <w:r w:rsidR="00B5764C">
        <w:rPr>
          <w:color w:val="auto"/>
          <w:sz w:val="26"/>
        </w:rPr>
        <w:t>.</w:t>
      </w:r>
      <w:r w:rsidR="00B246EA">
        <w:rPr>
          <w:color w:val="auto"/>
          <w:sz w:val="26"/>
        </w:rPr>
        <w:t xml:space="preserve"> 31 and 32 provide the following:</w:t>
      </w:r>
    </w:p>
    <w:p w14:paraId="7F55ECE9" w14:textId="77777777" w:rsidR="00791B37" w:rsidRDefault="00791B37" w:rsidP="008E1AD5">
      <w:pPr>
        <w:pStyle w:val="Default"/>
        <w:tabs>
          <w:tab w:val="left" w:pos="720"/>
        </w:tabs>
        <w:spacing w:line="360" w:lineRule="auto"/>
        <w:rPr>
          <w:color w:val="auto"/>
          <w:sz w:val="26"/>
        </w:rPr>
      </w:pPr>
    </w:p>
    <w:p w14:paraId="1E6EB144" w14:textId="77777777" w:rsidR="00596CD3" w:rsidRDefault="00B246EA" w:rsidP="008E1AD5">
      <w:pPr>
        <w:pStyle w:val="Default"/>
        <w:tabs>
          <w:tab w:val="left" w:pos="720"/>
        </w:tabs>
        <w:ind w:left="1440" w:right="1440"/>
        <w:rPr>
          <w:color w:val="auto"/>
          <w:sz w:val="26"/>
        </w:rPr>
      </w:pPr>
      <w:r>
        <w:rPr>
          <w:color w:val="auto"/>
          <w:sz w:val="26"/>
        </w:rPr>
        <w:t>31.</w:t>
      </w:r>
      <w:r>
        <w:rPr>
          <w:color w:val="auto"/>
          <w:sz w:val="26"/>
        </w:rPr>
        <w:tab/>
        <w:t xml:space="preserve">At this meeting, UGI explained its meter placement policy, and according to Mr. Brown, </w:t>
      </w:r>
      <w:r w:rsidR="00596CD3">
        <w:rPr>
          <w:color w:val="auto"/>
          <w:sz w:val="26"/>
        </w:rPr>
        <w:t xml:space="preserve">PUC SD representatives confirmed that they believed UGI’s policies to be consistent with the intent of the Commission’s Regulations.  (UGI St. 1 at 22).  </w:t>
      </w:r>
    </w:p>
    <w:p w14:paraId="179332AE" w14:textId="77777777" w:rsidR="00596CD3" w:rsidRDefault="00596CD3" w:rsidP="008E1AD5">
      <w:pPr>
        <w:pStyle w:val="Default"/>
        <w:tabs>
          <w:tab w:val="left" w:pos="720"/>
        </w:tabs>
        <w:spacing w:line="360" w:lineRule="auto"/>
        <w:rPr>
          <w:color w:val="auto"/>
          <w:sz w:val="26"/>
        </w:rPr>
      </w:pPr>
    </w:p>
    <w:p w14:paraId="050C00CD" w14:textId="77777777" w:rsidR="00B246EA" w:rsidRDefault="00596CD3" w:rsidP="008E1AD5">
      <w:pPr>
        <w:pStyle w:val="Default"/>
        <w:tabs>
          <w:tab w:val="left" w:pos="720"/>
        </w:tabs>
        <w:ind w:left="1440" w:right="1440"/>
        <w:rPr>
          <w:color w:val="auto"/>
          <w:sz w:val="26"/>
        </w:rPr>
      </w:pPr>
      <w:r>
        <w:rPr>
          <w:color w:val="auto"/>
          <w:sz w:val="26"/>
        </w:rPr>
        <w:t>32.</w:t>
      </w:r>
      <w:r>
        <w:rPr>
          <w:color w:val="auto"/>
          <w:sz w:val="26"/>
        </w:rPr>
        <w:tab/>
        <w:t>According to Mr. Brown, Hans Bell indicated that UGI would continue to apply its understanding of the Commission’s meter placement policy subject to a modification for distinguishing architectural characteristics after PUC SD review.  (UGI St. 1 at 22).</w:t>
      </w:r>
      <w:r w:rsidR="00B246EA">
        <w:rPr>
          <w:color w:val="auto"/>
          <w:sz w:val="26"/>
        </w:rPr>
        <w:t xml:space="preserve"> </w:t>
      </w:r>
    </w:p>
    <w:p w14:paraId="388765CE" w14:textId="77777777" w:rsidR="00B246EA" w:rsidRDefault="00B246EA" w:rsidP="008E1AD5">
      <w:pPr>
        <w:pStyle w:val="Default"/>
        <w:tabs>
          <w:tab w:val="left" w:pos="720"/>
        </w:tabs>
        <w:spacing w:line="360" w:lineRule="auto"/>
        <w:rPr>
          <w:color w:val="auto"/>
          <w:sz w:val="26"/>
        </w:rPr>
      </w:pPr>
    </w:p>
    <w:p w14:paraId="3D59658E" w14:textId="7BC1A673" w:rsidR="00791B37" w:rsidRDefault="005A25EB" w:rsidP="008E1AD5">
      <w:pPr>
        <w:pStyle w:val="Default"/>
        <w:tabs>
          <w:tab w:val="left" w:pos="720"/>
        </w:tabs>
        <w:spacing w:line="360" w:lineRule="auto"/>
        <w:rPr>
          <w:color w:val="auto"/>
          <w:sz w:val="26"/>
        </w:rPr>
      </w:pPr>
      <w:r>
        <w:rPr>
          <w:color w:val="auto"/>
          <w:sz w:val="26"/>
        </w:rPr>
        <w:t>The City avers that e</w:t>
      </w:r>
      <w:r w:rsidRPr="005A25EB">
        <w:rPr>
          <w:color w:val="auto"/>
          <w:sz w:val="26"/>
        </w:rPr>
        <w:t>ven if admissible, it is well established that hearsay evidence may only support a finding of fact if it is corroborated by competent evidence of record and that findings based solely on hearsay are not controlling.</w:t>
      </w:r>
      <w:r w:rsidR="00A6140B">
        <w:rPr>
          <w:color w:val="auto"/>
          <w:sz w:val="26"/>
        </w:rPr>
        <w:t xml:space="preserve">  City Exc. at 3-4 (citing </w:t>
      </w:r>
      <w:r w:rsidR="00A6140B" w:rsidRPr="00D0258A">
        <w:rPr>
          <w:i/>
          <w:iCs/>
          <w:color w:val="auto"/>
          <w:sz w:val="26"/>
        </w:rPr>
        <w:t>Frompovich v. PECO Energy Co</w:t>
      </w:r>
      <w:r w:rsidR="00A6140B">
        <w:rPr>
          <w:color w:val="auto"/>
          <w:sz w:val="26"/>
        </w:rPr>
        <w:t>.</w:t>
      </w:r>
      <w:r w:rsidR="004B6AF6">
        <w:rPr>
          <w:color w:val="auto"/>
          <w:sz w:val="26"/>
        </w:rPr>
        <w:t xml:space="preserve"> (</w:t>
      </w:r>
      <w:r w:rsidR="004B6AF6" w:rsidRPr="004B6AF6">
        <w:rPr>
          <w:i/>
          <w:iCs/>
          <w:color w:val="auto"/>
          <w:sz w:val="26"/>
        </w:rPr>
        <w:t>Frompovich</w:t>
      </w:r>
      <w:r w:rsidR="004B6AF6">
        <w:rPr>
          <w:color w:val="auto"/>
          <w:sz w:val="26"/>
        </w:rPr>
        <w:t>)</w:t>
      </w:r>
      <w:r w:rsidR="00A6140B">
        <w:rPr>
          <w:color w:val="auto"/>
          <w:sz w:val="26"/>
        </w:rPr>
        <w:t xml:space="preserve">, Docket No. C-2015-2474602 (Order entered May 3, 2018); </w:t>
      </w:r>
      <w:r w:rsidR="00A6140B" w:rsidRPr="00D0258A">
        <w:rPr>
          <w:i/>
          <w:iCs/>
          <w:color w:val="auto"/>
          <w:sz w:val="26"/>
        </w:rPr>
        <w:t>Walker v. Unemployment Comp. Bd. of Review</w:t>
      </w:r>
      <w:r w:rsidR="00A6140B">
        <w:rPr>
          <w:color w:val="auto"/>
          <w:sz w:val="26"/>
        </w:rPr>
        <w:t>, 367 A.2d 366, 370 (Pa. Cmwlth. 1976).</w:t>
      </w:r>
      <w:r w:rsidRPr="005A25EB">
        <w:rPr>
          <w:i/>
          <w:color w:val="auto"/>
          <w:sz w:val="26"/>
        </w:rPr>
        <w:t xml:space="preserve">  </w:t>
      </w:r>
      <w:r w:rsidR="00A41A1C">
        <w:rPr>
          <w:iCs/>
          <w:color w:val="auto"/>
          <w:sz w:val="26"/>
        </w:rPr>
        <w:t>The City submits that the ALJ cites to</w:t>
      </w:r>
      <w:r w:rsidRPr="005A25EB">
        <w:rPr>
          <w:color w:val="auto"/>
          <w:sz w:val="26"/>
        </w:rPr>
        <w:t xml:space="preserve"> hearsay statements in Findings of Fact </w:t>
      </w:r>
      <w:r w:rsidR="00A41A1C">
        <w:rPr>
          <w:color w:val="auto"/>
          <w:sz w:val="26"/>
        </w:rPr>
        <w:t xml:space="preserve">Numbers </w:t>
      </w:r>
      <w:r w:rsidRPr="005A25EB">
        <w:rPr>
          <w:color w:val="auto"/>
          <w:sz w:val="26"/>
        </w:rPr>
        <w:t xml:space="preserve">31 and 32 without any competent corroborating evidence.  </w:t>
      </w:r>
      <w:r w:rsidR="00A41A1C">
        <w:rPr>
          <w:color w:val="auto"/>
          <w:sz w:val="26"/>
        </w:rPr>
        <w:t xml:space="preserve">For instance, the City states that there </w:t>
      </w:r>
      <w:r w:rsidRPr="005A25EB">
        <w:rPr>
          <w:color w:val="auto"/>
          <w:sz w:val="26"/>
        </w:rPr>
        <w:t xml:space="preserve">is no record evidence </w:t>
      </w:r>
      <w:r w:rsidR="00A41A1C">
        <w:rPr>
          <w:color w:val="auto"/>
          <w:sz w:val="26"/>
        </w:rPr>
        <w:t>regarding the opinions of the Commission’s</w:t>
      </w:r>
      <w:r w:rsidRPr="005A25EB">
        <w:rPr>
          <w:color w:val="auto"/>
          <w:sz w:val="26"/>
        </w:rPr>
        <w:t xml:space="preserve"> </w:t>
      </w:r>
      <w:r w:rsidR="00A41A1C">
        <w:rPr>
          <w:color w:val="auto"/>
          <w:sz w:val="26"/>
        </w:rPr>
        <w:t>Gas</w:t>
      </w:r>
      <w:r w:rsidRPr="005A25EB">
        <w:rPr>
          <w:color w:val="auto"/>
          <w:sz w:val="26"/>
        </w:rPr>
        <w:t xml:space="preserve"> Safety Division and the Commission’s Bureau of Investigation </w:t>
      </w:r>
      <w:r w:rsidR="00A41A1C">
        <w:rPr>
          <w:color w:val="auto"/>
          <w:sz w:val="26"/>
        </w:rPr>
        <w:t>and</w:t>
      </w:r>
      <w:r w:rsidRPr="005A25EB">
        <w:rPr>
          <w:color w:val="auto"/>
          <w:sz w:val="26"/>
        </w:rPr>
        <w:t xml:space="preserve"> Enforcement</w:t>
      </w:r>
      <w:r w:rsidR="00A41A1C">
        <w:rPr>
          <w:color w:val="auto"/>
          <w:sz w:val="26"/>
        </w:rPr>
        <w:t xml:space="preserve"> (I&amp;E) because I&amp;E</w:t>
      </w:r>
      <w:r w:rsidRPr="005A25EB">
        <w:rPr>
          <w:color w:val="auto"/>
          <w:sz w:val="26"/>
        </w:rPr>
        <w:t xml:space="preserve"> withdrew from participation in this proceeding before UGI </w:t>
      </w:r>
      <w:r w:rsidR="005302C2">
        <w:rPr>
          <w:color w:val="auto"/>
          <w:sz w:val="26"/>
        </w:rPr>
        <w:t xml:space="preserve">made its </w:t>
      </w:r>
      <w:r w:rsidRPr="005A25EB">
        <w:rPr>
          <w:color w:val="auto"/>
          <w:sz w:val="26"/>
        </w:rPr>
        <w:t xml:space="preserve">assertion.  </w:t>
      </w:r>
      <w:r w:rsidR="00A41A1C">
        <w:rPr>
          <w:color w:val="auto"/>
          <w:sz w:val="26"/>
        </w:rPr>
        <w:t>City Exc. at 4.</w:t>
      </w:r>
    </w:p>
    <w:p w14:paraId="0BFF7EB9" w14:textId="4F1B8DE0" w:rsidR="009A6900" w:rsidRDefault="009A6900" w:rsidP="008E1AD5">
      <w:pPr>
        <w:ind w:firstLine="720"/>
        <w:textAlignment w:val="baseline"/>
        <w:rPr>
          <w:b/>
          <w:bCs/>
          <w:sz w:val="26"/>
        </w:rPr>
      </w:pPr>
      <w:r>
        <w:rPr>
          <w:sz w:val="26"/>
        </w:rPr>
        <w:lastRenderedPageBreak/>
        <w:tab/>
      </w:r>
      <w:r w:rsidR="005302C2">
        <w:rPr>
          <w:sz w:val="26"/>
        </w:rPr>
        <w:tab/>
      </w:r>
      <w:r w:rsidR="005302C2" w:rsidRPr="005302C2">
        <w:rPr>
          <w:b/>
          <w:bCs/>
          <w:sz w:val="26"/>
        </w:rPr>
        <w:t>2.</w:t>
      </w:r>
      <w:r w:rsidR="005302C2">
        <w:rPr>
          <w:sz w:val="26"/>
        </w:rPr>
        <w:tab/>
      </w:r>
      <w:r w:rsidRPr="009A6900">
        <w:rPr>
          <w:b/>
          <w:bCs/>
          <w:sz w:val="26"/>
        </w:rPr>
        <w:t>UGI’s Repl</w:t>
      </w:r>
      <w:r w:rsidR="005302C2">
        <w:rPr>
          <w:b/>
          <w:bCs/>
          <w:sz w:val="26"/>
        </w:rPr>
        <w:t>y</w:t>
      </w:r>
    </w:p>
    <w:p w14:paraId="63AD38D3" w14:textId="77777777" w:rsidR="003A569B" w:rsidRDefault="003A569B" w:rsidP="008E1AD5">
      <w:pPr>
        <w:ind w:firstLine="720"/>
        <w:textAlignment w:val="baseline"/>
        <w:rPr>
          <w:b/>
          <w:bCs/>
          <w:sz w:val="26"/>
        </w:rPr>
      </w:pPr>
      <w:r>
        <w:rPr>
          <w:b/>
          <w:bCs/>
          <w:sz w:val="26"/>
        </w:rPr>
        <w:tab/>
      </w:r>
    </w:p>
    <w:p w14:paraId="0769EAA5" w14:textId="4DF7A575" w:rsidR="00210D6C" w:rsidRDefault="003A569B" w:rsidP="008E1AD5">
      <w:pPr>
        <w:ind w:firstLine="720"/>
        <w:textAlignment w:val="baseline"/>
        <w:rPr>
          <w:sz w:val="26"/>
        </w:rPr>
      </w:pPr>
      <w:r>
        <w:rPr>
          <w:b/>
          <w:bCs/>
          <w:sz w:val="26"/>
        </w:rPr>
        <w:tab/>
      </w:r>
      <w:r w:rsidR="00372EC5">
        <w:rPr>
          <w:sz w:val="26"/>
        </w:rPr>
        <w:t xml:space="preserve">In </w:t>
      </w:r>
      <w:r w:rsidR="005302C2">
        <w:rPr>
          <w:sz w:val="26"/>
        </w:rPr>
        <w:t>reply</w:t>
      </w:r>
      <w:r w:rsidR="00372EC5">
        <w:rPr>
          <w:sz w:val="26"/>
        </w:rPr>
        <w:t>, UGI argues that because the City Parties did not</w:t>
      </w:r>
      <w:r w:rsidRPr="003A569B">
        <w:rPr>
          <w:sz w:val="26"/>
        </w:rPr>
        <w:t xml:space="preserve"> object to this testimony (Tr. </w:t>
      </w:r>
      <w:r w:rsidR="00372EC5">
        <w:rPr>
          <w:sz w:val="26"/>
        </w:rPr>
        <w:t xml:space="preserve">at </w:t>
      </w:r>
      <w:r w:rsidRPr="003A569B">
        <w:rPr>
          <w:sz w:val="26"/>
        </w:rPr>
        <w:t>432-33)</w:t>
      </w:r>
      <w:r w:rsidR="00372EC5">
        <w:rPr>
          <w:sz w:val="26"/>
        </w:rPr>
        <w:t xml:space="preserve">, </w:t>
      </w:r>
      <w:r w:rsidRPr="003A569B">
        <w:rPr>
          <w:sz w:val="26"/>
        </w:rPr>
        <w:t>even if the testimony is hearsay, it can support a finding of fact if it is corroborated by any competent evidence in the record.</w:t>
      </w:r>
      <w:r w:rsidR="00372EC5">
        <w:rPr>
          <w:sz w:val="26"/>
        </w:rPr>
        <w:t xml:space="preserve">  UGI R. Exc. at 21 (citing </w:t>
      </w:r>
      <w:r w:rsidR="00372EC5" w:rsidRPr="00372EC5">
        <w:rPr>
          <w:i/>
          <w:iCs/>
          <w:sz w:val="26"/>
        </w:rPr>
        <w:t>Walker</w:t>
      </w:r>
      <w:r w:rsidR="00372EC5">
        <w:rPr>
          <w:sz w:val="26"/>
        </w:rPr>
        <w:t xml:space="preserve"> at 370).  UGI states that the Commission’s </w:t>
      </w:r>
      <w:r w:rsidR="005302C2">
        <w:rPr>
          <w:sz w:val="26"/>
        </w:rPr>
        <w:t>Gas Safety Division’s</w:t>
      </w:r>
      <w:r w:rsidRPr="003A569B">
        <w:rPr>
          <w:sz w:val="26"/>
        </w:rPr>
        <w:t xml:space="preserve"> statements are corroborated by the undisputed facts that </w:t>
      </w:r>
      <w:r w:rsidR="00372EC5">
        <w:rPr>
          <w:sz w:val="26"/>
        </w:rPr>
        <w:t>the</w:t>
      </w:r>
      <w:r w:rsidRPr="003A569B">
        <w:rPr>
          <w:sz w:val="26"/>
        </w:rPr>
        <w:t xml:space="preserve"> </w:t>
      </w:r>
      <w:bookmarkStart w:id="10" w:name="_Hlk20834639"/>
      <w:r w:rsidR="005302C2">
        <w:rPr>
          <w:sz w:val="26"/>
        </w:rPr>
        <w:t xml:space="preserve">Gas Safety Division </w:t>
      </w:r>
      <w:bookmarkEnd w:id="10"/>
      <w:r w:rsidRPr="003A569B">
        <w:rPr>
          <w:sz w:val="26"/>
        </w:rPr>
        <w:t xml:space="preserve">inspectors did walking tours with the City and UGI (Finding of Fact </w:t>
      </w:r>
      <w:r w:rsidR="00AD2A6F">
        <w:rPr>
          <w:sz w:val="26"/>
        </w:rPr>
        <w:t xml:space="preserve">No. </w:t>
      </w:r>
      <w:r w:rsidRPr="003A569B">
        <w:rPr>
          <w:sz w:val="26"/>
        </w:rPr>
        <w:t xml:space="preserve">27), UGI involved </w:t>
      </w:r>
      <w:r w:rsidR="005302C2">
        <w:rPr>
          <w:sz w:val="26"/>
        </w:rPr>
        <w:t>Gas Safety Division</w:t>
      </w:r>
      <w:r w:rsidRPr="003A569B">
        <w:rPr>
          <w:sz w:val="26"/>
        </w:rPr>
        <w:t xml:space="preserve"> inspectors in reviewing certain meter placement decisions (Finding of Fact </w:t>
      </w:r>
      <w:r w:rsidR="00AD2A6F">
        <w:rPr>
          <w:sz w:val="26"/>
        </w:rPr>
        <w:t xml:space="preserve">No. </w:t>
      </w:r>
      <w:r w:rsidRPr="003A569B">
        <w:rPr>
          <w:sz w:val="26"/>
        </w:rPr>
        <w:t>28), and it was UGI</w:t>
      </w:r>
      <w:r w:rsidR="00AD2A6F">
        <w:rPr>
          <w:sz w:val="26"/>
        </w:rPr>
        <w:t>’</w:t>
      </w:r>
      <w:r w:rsidRPr="003A569B">
        <w:rPr>
          <w:sz w:val="26"/>
        </w:rPr>
        <w:t xml:space="preserve">s understanding based on those reviews that the </w:t>
      </w:r>
      <w:r w:rsidR="005302C2">
        <w:rPr>
          <w:sz w:val="26"/>
        </w:rPr>
        <w:t xml:space="preserve">Gas Safety Division </w:t>
      </w:r>
      <w:r w:rsidRPr="003A569B">
        <w:rPr>
          <w:sz w:val="26"/>
        </w:rPr>
        <w:t>supported UGI</w:t>
      </w:r>
      <w:r w:rsidR="00372EC5">
        <w:rPr>
          <w:sz w:val="26"/>
        </w:rPr>
        <w:t>’</w:t>
      </w:r>
      <w:r w:rsidRPr="003A569B">
        <w:rPr>
          <w:sz w:val="26"/>
        </w:rPr>
        <w:t>s implementation policies and meter placement considerations and that no remedial action was required</w:t>
      </w:r>
      <w:r w:rsidR="00372EC5">
        <w:rPr>
          <w:sz w:val="26"/>
        </w:rPr>
        <w:t xml:space="preserve">.  UGI R. Exc. at 21 (citing </w:t>
      </w:r>
      <w:r w:rsidRPr="003A569B">
        <w:rPr>
          <w:sz w:val="26"/>
        </w:rPr>
        <w:t>Finding</w:t>
      </w:r>
      <w:r w:rsidR="00372EC5">
        <w:rPr>
          <w:sz w:val="26"/>
        </w:rPr>
        <w:t>s</w:t>
      </w:r>
      <w:r w:rsidRPr="003A569B">
        <w:rPr>
          <w:sz w:val="26"/>
        </w:rPr>
        <w:t xml:space="preserve"> of Fact </w:t>
      </w:r>
      <w:r w:rsidR="00372EC5">
        <w:rPr>
          <w:sz w:val="26"/>
        </w:rPr>
        <w:t xml:space="preserve">Nos. 27, 28, and </w:t>
      </w:r>
      <w:r w:rsidRPr="003A569B">
        <w:rPr>
          <w:sz w:val="26"/>
        </w:rPr>
        <w:t xml:space="preserve">29). </w:t>
      </w:r>
      <w:r w:rsidR="00372EC5">
        <w:rPr>
          <w:sz w:val="26"/>
        </w:rPr>
        <w:t xml:space="preserve"> UGI also states that </w:t>
      </w:r>
      <w:r w:rsidRPr="003A569B">
        <w:rPr>
          <w:sz w:val="26"/>
        </w:rPr>
        <w:t xml:space="preserve">City witness </w:t>
      </w:r>
      <w:r w:rsidR="005302C2">
        <w:rPr>
          <w:sz w:val="26"/>
        </w:rPr>
        <w:t xml:space="preserve">Mr. </w:t>
      </w:r>
      <w:r w:rsidRPr="003A569B">
        <w:rPr>
          <w:sz w:val="26"/>
        </w:rPr>
        <w:t xml:space="preserve">Slifko testified that he </w:t>
      </w:r>
      <w:r w:rsidR="00372EC5">
        <w:rPr>
          <w:sz w:val="26"/>
        </w:rPr>
        <w:t xml:space="preserve">did not </w:t>
      </w:r>
      <w:r w:rsidRPr="003A569B">
        <w:rPr>
          <w:sz w:val="26"/>
        </w:rPr>
        <w:t>kn</w:t>
      </w:r>
      <w:r w:rsidR="00372EC5">
        <w:rPr>
          <w:sz w:val="26"/>
        </w:rPr>
        <w:t xml:space="preserve">ow of any </w:t>
      </w:r>
      <w:r w:rsidRPr="003A569B">
        <w:rPr>
          <w:sz w:val="26"/>
        </w:rPr>
        <w:t xml:space="preserve">informal or formal complaints the Commission </w:t>
      </w:r>
      <w:r w:rsidR="005302C2">
        <w:rPr>
          <w:sz w:val="26"/>
        </w:rPr>
        <w:t xml:space="preserve">filed </w:t>
      </w:r>
      <w:r w:rsidRPr="003A569B">
        <w:rPr>
          <w:sz w:val="26"/>
        </w:rPr>
        <w:t xml:space="preserve">against UGI for </w:t>
      </w:r>
      <w:r w:rsidR="00372EC5">
        <w:rPr>
          <w:sz w:val="26"/>
        </w:rPr>
        <w:t>the Company’s</w:t>
      </w:r>
      <w:r w:rsidRPr="003A569B">
        <w:rPr>
          <w:sz w:val="26"/>
        </w:rPr>
        <w:t xml:space="preserve"> meter location practices in the City or in CPHD. </w:t>
      </w:r>
      <w:r w:rsidR="00372EC5">
        <w:rPr>
          <w:sz w:val="26"/>
        </w:rPr>
        <w:t xml:space="preserve"> UGI R. Exc. at 21 (citing </w:t>
      </w:r>
      <w:r w:rsidRPr="003A569B">
        <w:rPr>
          <w:sz w:val="26"/>
        </w:rPr>
        <w:t xml:space="preserve">Tr. </w:t>
      </w:r>
      <w:r w:rsidR="00372EC5">
        <w:rPr>
          <w:sz w:val="26"/>
        </w:rPr>
        <w:t xml:space="preserve">at </w:t>
      </w:r>
      <w:r w:rsidRPr="003A569B">
        <w:rPr>
          <w:sz w:val="26"/>
        </w:rPr>
        <w:t xml:space="preserve">173.) </w:t>
      </w:r>
      <w:r w:rsidR="00372EC5">
        <w:rPr>
          <w:sz w:val="26"/>
        </w:rPr>
        <w:t xml:space="preserve"> </w:t>
      </w:r>
      <w:r w:rsidR="00BB2ACA">
        <w:rPr>
          <w:sz w:val="26"/>
        </w:rPr>
        <w:t xml:space="preserve">UGI continues that </w:t>
      </w:r>
      <w:r w:rsidRPr="003A569B">
        <w:rPr>
          <w:sz w:val="26"/>
        </w:rPr>
        <w:t>Hans Bell</w:t>
      </w:r>
      <w:r w:rsidR="00BB2ACA">
        <w:rPr>
          <w:sz w:val="26"/>
        </w:rPr>
        <w:t>’s statements</w:t>
      </w:r>
      <w:r w:rsidRPr="003A569B">
        <w:rPr>
          <w:sz w:val="26"/>
        </w:rPr>
        <w:t xml:space="preserve"> at the meeting in 2015</w:t>
      </w:r>
      <w:r w:rsidR="00BB2ACA">
        <w:rPr>
          <w:sz w:val="26"/>
        </w:rPr>
        <w:t xml:space="preserve"> were</w:t>
      </w:r>
      <w:r w:rsidRPr="003A569B">
        <w:rPr>
          <w:sz w:val="26"/>
        </w:rPr>
        <w:t xml:space="preserve"> merely </w:t>
      </w:r>
      <w:r w:rsidR="00BB2ACA">
        <w:rPr>
          <w:sz w:val="26"/>
        </w:rPr>
        <w:t>reflecting</w:t>
      </w:r>
      <w:r w:rsidRPr="003A569B">
        <w:rPr>
          <w:sz w:val="26"/>
        </w:rPr>
        <w:t xml:space="preserve"> the Company</w:t>
      </w:r>
      <w:r w:rsidR="00BB2ACA">
        <w:rPr>
          <w:sz w:val="26"/>
        </w:rPr>
        <w:t>’</w:t>
      </w:r>
      <w:r w:rsidRPr="003A569B">
        <w:rPr>
          <w:sz w:val="26"/>
        </w:rPr>
        <w:t xml:space="preserve">s intent </w:t>
      </w:r>
      <w:r w:rsidR="00BB2ACA">
        <w:rPr>
          <w:sz w:val="26"/>
        </w:rPr>
        <w:t>and were</w:t>
      </w:r>
      <w:r w:rsidRPr="003A569B">
        <w:rPr>
          <w:sz w:val="26"/>
        </w:rPr>
        <w:t xml:space="preserve"> not hearsay. </w:t>
      </w:r>
      <w:r w:rsidR="00BB2ACA">
        <w:rPr>
          <w:sz w:val="26"/>
        </w:rPr>
        <w:t xml:space="preserve"> UGI R. Exc. at 22 (citing </w:t>
      </w:r>
      <w:r w:rsidRPr="003A569B">
        <w:rPr>
          <w:sz w:val="26"/>
        </w:rPr>
        <w:t>Pa.</w:t>
      </w:r>
      <w:r w:rsidR="00BB2ACA">
        <w:rPr>
          <w:sz w:val="26"/>
        </w:rPr>
        <w:t xml:space="preserve"> </w:t>
      </w:r>
      <w:r w:rsidRPr="003A569B">
        <w:rPr>
          <w:sz w:val="26"/>
        </w:rPr>
        <w:t>R.E. 803(3)</w:t>
      </w:r>
      <w:r w:rsidR="00BB2ACA">
        <w:rPr>
          <w:sz w:val="26"/>
        </w:rPr>
        <w:t>)</w:t>
      </w:r>
      <w:r w:rsidRPr="003A569B">
        <w:rPr>
          <w:sz w:val="26"/>
        </w:rPr>
        <w:t xml:space="preserve">. </w:t>
      </w:r>
      <w:r w:rsidR="00BB2ACA">
        <w:rPr>
          <w:sz w:val="26"/>
        </w:rPr>
        <w:t xml:space="preserve"> UGI avers that </w:t>
      </w:r>
      <w:r w:rsidRPr="003A569B">
        <w:rPr>
          <w:sz w:val="26"/>
        </w:rPr>
        <w:t xml:space="preserve">the City fails to mention that </w:t>
      </w:r>
      <w:r w:rsidR="005302C2">
        <w:rPr>
          <w:sz w:val="26"/>
        </w:rPr>
        <w:t xml:space="preserve">the </w:t>
      </w:r>
      <w:r w:rsidR="00BB2ACA">
        <w:rPr>
          <w:sz w:val="26"/>
        </w:rPr>
        <w:t>City’s</w:t>
      </w:r>
      <w:r w:rsidRPr="003A569B">
        <w:rPr>
          <w:sz w:val="26"/>
        </w:rPr>
        <w:t xml:space="preserve"> own written testimony states </w:t>
      </w:r>
      <w:r w:rsidR="00BB2ACA">
        <w:rPr>
          <w:sz w:val="26"/>
        </w:rPr>
        <w:t xml:space="preserve">that </w:t>
      </w:r>
      <w:r w:rsidRPr="003A569B">
        <w:rPr>
          <w:sz w:val="26"/>
        </w:rPr>
        <w:t>Mr. Bell was present at the meeting and expressed the Company</w:t>
      </w:r>
      <w:r w:rsidR="00BB2ACA">
        <w:rPr>
          <w:sz w:val="26"/>
        </w:rPr>
        <w:t>’</w:t>
      </w:r>
      <w:r w:rsidRPr="003A569B">
        <w:rPr>
          <w:sz w:val="26"/>
        </w:rPr>
        <w:t>s intent to relocate meters outside in the City</w:t>
      </w:r>
      <w:r w:rsidR="00BB2ACA">
        <w:rPr>
          <w:sz w:val="26"/>
        </w:rPr>
        <w:t>’</w:t>
      </w:r>
      <w:r w:rsidRPr="003A569B">
        <w:rPr>
          <w:sz w:val="26"/>
        </w:rPr>
        <w:t xml:space="preserve">s historic districts. </w:t>
      </w:r>
      <w:r w:rsidR="00BB2ACA">
        <w:rPr>
          <w:sz w:val="26"/>
        </w:rPr>
        <w:t xml:space="preserve"> UGI R. Exc. at 22 (citing</w:t>
      </w:r>
      <w:r w:rsidRPr="003A569B">
        <w:rPr>
          <w:i/>
          <w:sz w:val="26"/>
        </w:rPr>
        <w:t xml:space="preserve"> </w:t>
      </w:r>
      <w:r w:rsidRPr="003A569B">
        <w:rPr>
          <w:sz w:val="26"/>
        </w:rPr>
        <w:t xml:space="preserve">Reading St. 2 </w:t>
      </w:r>
      <w:r w:rsidR="00BB2ACA">
        <w:rPr>
          <w:sz w:val="26"/>
        </w:rPr>
        <w:t>at</w:t>
      </w:r>
      <w:r w:rsidRPr="003A569B">
        <w:rPr>
          <w:sz w:val="26"/>
        </w:rPr>
        <w:t xml:space="preserve"> 15; Reading St. 4</w:t>
      </w:r>
      <w:r w:rsidR="00BB2ACA">
        <w:rPr>
          <w:sz w:val="26"/>
        </w:rPr>
        <w:t xml:space="preserve"> at</w:t>
      </w:r>
      <w:r w:rsidRPr="003A569B">
        <w:rPr>
          <w:sz w:val="26"/>
        </w:rPr>
        <w:t xml:space="preserve"> 5)</w:t>
      </w:r>
      <w:r w:rsidR="00BB2ACA">
        <w:rPr>
          <w:sz w:val="26"/>
        </w:rPr>
        <w:t>.</w:t>
      </w:r>
    </w:p>
    <w:p w14:paraId="30935D4F" w14:textId="206F7771" w:rsidR="00BA6E56" w:rsidRDefault="00BA6E56" w:rsidP="008E1AD5">
      <w:pPr>
        <w:ind w:firstLine="720"/>
        <w:textAlignment w:val="baseline"/>
        <w:rPr>
          <w:sz w:val="26"/>
        </w:rPr>
      </w:pPr>
    </w:p>
    <w:p w14:paraId="689FD358" w14:textId="06E79423" w:rsidR="004F1D28" w:rsidRDefault="004F1D28" w:rsidP="008E1AD5">
      <w:pPr>
        <w:ind w:firstLine="720"/>
        <w:textAlignment w:val="baseline"/>
        <w:rPr>
          <w:b/>
          <w:bCs/>
          <w:sz w:val="26"/>
        </w:rPr>
      </w:pPr>
      <w:r>
        <w:rPr>
          <w:sz w:val="26"/>
        </w:rPr>
        <w:tab/>
      </w:r>
      <w:r w:rsidR="00E91459">
        <w:rPr>
          <w:sz w:val="26"/>
        </w:rPr>
        <w:tab/>
      </w:r>
      <w:r w:rsidR="00E91459" w:rsidRPr="00E91459">
        <w:rPr>
          <w:b/>
          <w:bCs/>
          <w:sz w:val="26"/>
        </w:rPr>
        <w:t>3.</w:t>
      </w:r>
      <w:r w:rsidR="00E91459">
        <w:rPr>
          <w:sz w:val="26"/>
        </w:rPr>
        <w:tab/>
      </w:r>
      <w:r w:rsidRPr="004F1D28">
        <w:rPr>
          <w:b/>
          <w:bCs/>
          <w:sz w:val="26"/>
        </w:rPr>
        <w:t>Disposition</w:t>
      </w:r>
    </w:p>
    <w:p w14:paraId="567BB800" w14:textId="77777777" w:rsidR="004F1D28" w:rsidRDefault="004F1D28" w:rsidP="008E1AD5">
      <w:pPr>
        <w:ind w:firstLine="720"/>
        <w:textAlignment w:val="baseline"/>
        <w:rPr>
          <w:b/>
          <w:bCs/>
          <w:sz w:val="26"/>
        </w:rPr>
      </w:pPr>
    </w:p>
    <w:p w14:paraId="634EBA74" w14:textId="7D2ABA15" w:rsidR="00466D13" w:rsidRDefault="004F1D28" w:rsidP="008E1AD5">
      <w:pPr>
        <w:ind w:firstLine="720"/>
        <w:textAlignment w:val="baseline"/>
        <w:rPr>
          <w:sz w:val="26"/>
        </w:rPr>
      </w:pPr>
      <w:r>
        <w:rPr>
          <w:b/>
          <w:bCs/>
          <w:sz w:val="26"/>
        </w:rPr>
        <w:tab/>
      </w:r>
      <w:r w:rsidR="002970D2" w:rsidRPr="002970D2">
        <w:rPr>
          <w:sz w:val="26"/>
        </w:rPr>
        <w:t>Based on</w:t>
      </w:r>
      <w:r w:rsidR="002970D2">
        <w:rPr>
          <w:sz w:val="26"/>
        </w:rPr>
        <w:t xml:space="preserve"> our review of </w:t>
      </w:r>
      <w:r w:rsidR="00060101">
        <w:rPr>
          <w:sz w:val="26"/>
        </w:rPr>
        <w:t>the record,</w:t>
      </w:r>
      <w:r w:rsidR="002970D2">
        <w:rPr>
          <w:sz w:val="26"/>
        </w:rPr>
        <w:t xml:space="preserve"> we will remove Finding of Fact </w:t>
      </w:r>
      <w:r w:rsidR="00B74CE5">
        <w:rPr>
          <w:sz w:val="26"/>
        </w:rPr>
        <w:t xml:space="preserve">No. 31 </w:t>
      </w:r>
      <w:r w:rsidR="002970D2">
        <w:rPr>
          <w:sz w:val="26"/>
        </w:rPr>
        <w:t xml:space="preserve">from the Initial Decision </w:t>
      </w:r>
      <w:r w:rsidR="00526770">
        <w:rPr>
          <w:sz w:val="26"/>
        </w:rPr>
        <w:t>because</w:t>
      </w:r>
      <w:r w:rsidR="002970D2">
        <w:rPr>
          <w:sz w:val="26"/>
        </w:rPr>
        <w:t xml:space="preserve"> </w:t>
      </w:r>
      <w:r w:rsidR="00B74CE5">
        <w:rPr>
          <w:sz w:val="26"/>
        </w:rPr>
        <w:t>it is</w:t>
      </w:r>
      <w:r w:rsidR="002970D2">
        <w:rPr>
          <w:sz w:val="26"/>
        </w:rPr>
        <w:t xml:space="preserve"> based on </w:t>
      </w:r>
      <w:r w:rsidR="009F7F86">
        <w:rPr>
          <w:sz w:val="26"/>
        </w:rPr>
        <w:t>hearsay.  The record portions the ALJ</w:t>
      </w:r>
      <w:r w:rsidR="002970D2" w:rsidRPr="002970D2">
        <w:rPr>
          <w:sz w:val="26"/>
        </w:rPr>
        <w:t xml:space="preserve"> </w:t>
      </w:r>
      <w:r w:rsidR="009F7F86">
        <w:rPr>
          <w:sz w:val="26"/>
        </w:rPr>
        <w:t>relied on in reaching th</w:t>
      </w:r>
      <w:r w:rsidR="00B74CE5">
        <w:rPr>
          <w:sz w:val="26"/>
        </w:rPr>
        <w:t>is</w:t>
      </w:r>
      <w:r w:rsidR="009F7F86">
        <w:rPr>
          <w:sz w:val="26"/>
        </w:rPr>
        <w:t xml:space="preserve"> Finding of Fact </w:t>
      </w:r>
      <w:r w:rsidR="00B75324">
        <w:rPr>
          <w:sz w:val="26"/>
        </w:rPr>
        <w:t xml:space="preserve">involve purported statements Gas Safety Division representatives made during a meeting that was organized by Pennsylvania State Senator Judy Schwank in 2015 and attended by representatives from the Gas Safety </w:t>
      </w:r>
      <w:r w:rsidR="00B75324">
        <w:rPr>
          <w:sz w:val="26"/>
        </w:rPr>
        <w:lastRenderedPageBreak/>
        <w:t xml:space="preserve">Division, the City, and CPHD.  </w:t>
      </w:r>
      <w:r w:rsidR="00B74CE5">
        <w:rPr>
          <w:sz w:val="26"/>
        </w:rPr>
        <w:t xml:space="preserve">UGI St. 1 at 22.  </w:t>
      </w:r>
      <w:r w:rsidR="00AE7EBD">
        <w:rPr>
          <w:sz w:val="26"/>
        </w:rPr>
        <w:t>Under t</w:t>
      </w:r>
      <w:r w:rsidR="00AE7EBD">
        <w:rPr>
          <w:color w:val="000000"/>
          <w:sz w:val="26"/>
          <w:szCs w:val="26"/>
        </w:rPr>
        <w:t xml:space="preserve">he </w:t>
      </w:r>
      <w:r w:rsidR="00AE7EBD" w:rsidRPr="006475CC">
        <w:rPr>
          <w:i/>
          <w:color w:val="000000"/>
          <w:sz w:val="26"/>
          <w:szCs w:val="26"/>
        </w:rPr>
        <w:t>Walker/Chapman</w:t>
      </w:r>
      <w:r w:rsidR="00AE7EBD">
        <w:rPr>
          <w:color w:val="000000"/>
          <w:sz w:val="26"/>
          <w:szCs w:val="26"/>
        </w:rPr>
        <w:t xml:space="preserve"> rule, </w:t>
      </w:r>
      <w:r w:rsidR="00AE7EBD">
        <w:rPr>
          <w:sz w:val="26"/>
          <w:szCs w:val="26"/>
        </w:rPr>
        <w:t>simple hearsay evidence may support an agency’s finding of fact</w:t>
      </w:r>
      <w:r w:rsidR="00AE7EBD" w:rsidRPr="00E24302">
        <w:rPr>
          <w:sz w:val="26"/>
          <w:szCs w:val="26"/>
        </w:rPr>
        <w:t xml:space="preserve"> </w:t>
      </w:r>
      <w:r w:rsidR="00AE7EBD">
        <w:rPr>
          <w:sz w:val="26"/>
          <w:szCs w:val="26"/>
        </w:rPr>
        <w:t>so long as the hearsay</w:t>
      </w:r>
      <w:r w:rsidR="00AE7EBD">
        <w:rPr>
          <w:color w:val="212121"/>
          <w:sz w:val="26"/>
          <w:szCs w:val="26"/>
        </w:rPr>
        <w:t xml:space="preserve"> is admitted into the record without objection and is corroborated by competent evidence in the record.  </w:t>
      </w:r>
      <w:r w:rsidR="00AE7EBD" w:rsidRPr="00055921">
        <w:rPr>
          <w:i/>
          <w:color w:val="212121"/>
          <w:sz w:val="26"/>
          <w:szCs w:val="26"/>
        </w:rPr>
        <w:t xml:space="preserve">See </w:t>
      </w:r>
      <w:r w:rsidR="00AE7EBD" w:rsidRPr="007157C6">
        <w:rPr>
          <w:i/>
          <w:sz w:val="26"/>
          <w:szCs w:val="26"/>
        </w:rPr>
        <w:t xml:space="preserve">Walker </w:t>
      </w:r>
      <w:r w:rsidR="004B6AF6">
        <w:rPr>
          <w:iCs/>
          <w:sz w:val="26"/>
          <w:szCs w:val="26"/>
        </w:rPr>
        <w:t xml:space="preserve">at </w:t>
      </w:r>
      <w:r w:rsidR="00AE7EBD">
        <w:rPr>
          <w:sz w:val="26"/>
          <w:szCs w:val="26"/>
        </w:rPr>
        <w:t>370</w:t>
      </w:r>
      <w:r w:rsidR="004B6AF6">
        <w:rPr>
          <w:sz w:val="26"/>
          <w:szCs w:val="26"/>
        </w:rPr>
        <w:t xml:space="preserve">; </w:t>
      </w:r>
      <w:r w:rsidR="004B6AF6" w:rsidRPr="004B6AF6">
        <w:rPr>
          <w:i/>
          <w:iCs/>
          <w:sz w:val="26"/>
          <w:szCs w:val="26"/>
        </w:rPr>
        <w:t>Frompovich</w:t>
      </w:r>
      <w:r w:rsidR="004B6AF6">
        <w:rPr>
          <w:sz w:val="26"/>
          <w:szCs w:val="26"/>
        </w:rPr>
        <w:t xml:space="preserve"> at</w:t>
      </w:r>
      <w:r w:rsidR="00533467">
        <w:rPr>
          <w:sz w:val="26"/>
          <w:szCs w:val="26"/>
        </w:rPr>
        <w:t xml:space="preserve"> 17-18.</w:t>
      </w:r>
      <w:r w:rsidR="00060101">
        <w:rPr>
          <w:sz w:val="26"/>
          <w:szCs w:val="26"/>
        </w:rPr>
        <w:t xml:space="preserve">  </w:t>
      </w:r>
      <w:r w:rsidR="00244E9D">
        <w:rPr>
          <w:sz w:val="26"/>
          <w:szCs w:val="26"/>
        </w:rPr>
        <w:t xml:space="preserve">In this case, there is no evidence in the record to corroborate that </w:t>
      </w:r>
      <w:r w:rsidR="00E91459">
        <w:rPr>
          <w:sz w:val="26"/>
          <w:szCs w:val="26"/>
        </w:rPr>
        <w:t>Gas Safety Division</w:t>
      </w:r>
      <w:r w:rsidR="00244E9D">
        <w:rPr>
          <w:sz w:val="26"/>
        </w:rPr>
        <w:t xml:space="preserve"> representatives confirmed they believed </w:t>
      </w:r>
      <w:r w:rsidR="004F04AE">
        <w:rPr>
          <w:sz w:val="26"/>
        </w:rPr>
        <w:t xml:space="preserve">that </w:t>
      </w:r>
      <w:r w:rsidR="00244E9D">
        <w:rPr>
          <w:sz w:val="26"/>
        </w:rPr>
        <w:t xml:space="preserve">UGI’s policies were consistent with the Commission’s Regulations.  </w:t>
      </w:r>
      <w:r w:rsidR="000231EC">
        <w:rPr>
          <w:sz w:val="26"/>
        </w:rPr>
        <w:t>As the City noted, t</w:t>
      </w:r>
      <w:r w:rsidR="00EC076F">
        <w:rPr>
          <w:sz w:val="26"/>
        </w:rPr>
        <w:t xml:space="preserve">he Commission’s I&amp;E withdrew from this proceeding on February 2, 2018, </w:t>
      </w:r>
      <w:r w:rsidR="00176322">
        <w:rPr>
          <w:sz w:val="26"/>
        </w:rPr>
        <w:t>prior to the hearing and the admission of testimony in this matter</w:t>
      </w:r>
      <w:r w:rsidR="000231EC">
        <w:rPr>
          <w:sz w:val="26"/>
        </w:rPr>
        <w:t>, and</w:t>
      </w:r>
      <w:r w:rsidR="00E91459">
        <w:rPr>
          <w:sz w:val="26"/>
        </w:rPr>
        <w:t>,</w:t>
      </w:r>
      <w:r w:rsidR="000231EC">
        <w:rPr>
          <w:sz w:val="26"/>
        </w:rPr>
        <w:t xml:space="preserve"> therefore, did not present testimony on this issue</w:t>
      </w:r>
      <w:r w:rsidR="00176322">
        <w:rPr>
          <w:sz w:val="26"/>
        </w:rPr>
        <w:t>.</w:t>
      </w:r>
      <w:r w:rsidR="000231EC">
        <w:rPr>
          <w:sz w:val="26"/>
        </w:rPr>
        <w:t xml:space="preserve">  The evidence that UGI cites as corroboration, such as the fact that </w:t>
      </w:r>
      <w:r w:rsidR="00E91459">
        <w:rPr>
          <w:sz w:val="26"/>
        </w:rPr>
        <w:t>Gas Safety Division</w:t>
      </w:r>
      <w:r w:rsidR="000231EC">
        <w:rPr>
          <w:sz w:val="26"/>
        </w:rPr>
        <w:t xml:space="preserve"> representatives and City officials did walking tours in the City to observe UGI’s actions,</w:t>
      </w:r>
      <w:r w:rsidR="00FC2E9A">
        <w:rPr>
          <w:sz w:val="26"/>
        </w:rPr>
        <w:t xml:space="preserve"> is insufficient to corroborate that </w:t>
      </w:r>
      <w:r w:rsidR="0050688B">
        <w:rPr>
          <w:sz w:val="26"/>
        </w:rPr>
        <w:t>Commission</w:t>
      </w:r>
      <w:r w:rsidR="00FC2E9A">
        <w:rPr>
          <w:sz w:val="26"/>
        </w:rPr>
        <w:t xml:space="preserve"> </w:t>
      </w:r>
      <w:r w:rsidR="0050688B">
        <w:rPr>
          <w:sz w:val="26"/>
        </w:rPr>
        <w:t>Gas Safety Division</w:t>
      </w:r>
      <w:r w:rsidR="00FC2E9A">
        <w:rPr>
          <w:sz w:val="26"/>
        </w:rPr>
        <w:t xml:space="preserve"> representatives made statements </w:t>
      </w:r>
      <w:r w:rsidR="00F87841">
        <w:rPr>
          <w:sz w:val="26"/>
        </w:rPr>
        <w:t>expressing</w:t>
      </w:r>
      <w:r w:rsidR="00FC2E9A">
        <w:rPr>
          <w:sz w:val="26"/>
        </w:rPr>
        <w:t xml:space="preserve"> that the Company’s policies were consistent with the intent of the Commission’s Regulations.</w:t>
      </w:r>
    </w:p>
    <w:p w14:paraId="5E53E7E7" w14:textId="77777777" w:rsidR="00466D13" w:rsidRDefault="00466D13" w:rsidP="008E1AD5">
      <w:pPr>
        <w:ind w:firstLine="720"/>
        <w:textAlignment w:val="baseline"/>
        <w:rPr>
          <w:sz w:val="26"/>
        </w:rPr>
      </w:pPr>
    </w:p>
    <w:p w14:paraId="53F47B1C" w14:textId="18130BD0" w:rsidR="00395788" w:rsidRDefault="00466D13" w:rsidP="008E1AD5">
      <w:pPr>
        <w:ind w:firstLine="720"/>
        <w:textAlignment w:val="baseline"/>
        <w:rPr>
          <w:sz w:val="26"/>
        </w:rPr>
      </w:pPr>
      <w:r>
        <w:rPr>
          <w:sz w:val="26"/>
        </w:rPr>
        <w:tab/>
        <w:t>We will permit Finding of Fact No. 32 to remain in the Initial Decision.</w:t>
      </w:r>
      <w:r w:rsidR="00B73FD3">
        <w:rPr>
          <w:sz w:val="26"/>
        </w:rPr>
        <w:t xml:space="preserve">  The statement by Mr. Bell may not be considered hearsay under </w:t>
      </w:r>
      <w:r w:rsidR="00B73FD3" w:rsidRPr="003A569B">
        <w:rPr>
          <w:sz w:val="26"/>
        </w:rPr>
        <w:t>Pa.</w:t>
      </w:r>
      <w:r w:rsidR="00B73FD3">
        <w:rPr>
          <w:sz w:val="26"/>
        </w:rPr>
        <w:t xml:space="preserve"> </w:t>
      </w:r>
      <w:r w:rsidR="00B73FD3" w:rsidRPr="003A569B">
        <w:rPr>
          <w:sz w:val="26"/>
        </w:rPr>
        <w:t>R.E. 803(3)</w:t>
      </w:r>
      <w:r w:rsidR="00B73FD3">
        <w:rPr>
          <w:sz w:val="26"/>
        </w:rPr>
        <w:t xml:space="preserve"> to the extent that it addresses the Company’s intent to pursue moving meters outside in historic districts.  Mr. Bell’s statement is also corroborated by </w:t>
      </w:r>
      <w:r w:rsidR="003334DD">
        <w:rPr>
          <w:sz w:val="26"/>
        </w:rPr>
        <w:t xml:space="preserve">Mr. Slifko’s testimony and Mr. </w:t>
      </w:r>
      <w:r w:rsidR="002A54AA">
        <w:rPr>
          <w:sz w:val="26"/>
        </w:rPr>
        <w:t xml:space="preserve">Lauter’s testimony confirming that Mr. Bell stated UGI would continue to pursue outside meter placements.  </w:t>
      </w:r>
      <w:r w:rsidR="002A54AA" w:rsidRPr="003A569B">
        <w:rPr>
          <w:sz w:val="26"/>
        </w:rPr>
        <w:t xml:space="preserve">Reading St. 2 </w:t>
      </w:r>
      <w:r w:rsidR="002A54AA">
        <w:rPr>
          <w:sz w:val="26"/>
        </w:rPr>
        <w:t>at</w:t>
      </w:r>
      <w:r w:rsidR="002A54AA" w:rsidRPr="003A569B">
        <w:rPr>
          <w:sz w:val="26"/>
        </w:rPr>
        <w:t xml:space="preserve"> 15; Reading St. 4</w:t>
      </w:r>
      <w:r w:rsidR="002A54AA">
        <w:rPr>
          <w:sz w:val="26"/>
        </w:rPr>
        <w:t xml:space="preserve"> at</w:t>
      </w:r>
      <w:r w:rsidR="002A54AA" w:rsidRPr="003A569B">
        <w:rPr>
          <w:sz w:val="26"/>
        </w:rPr>
        <w:t xml:space="preserve"> 5</w:t>
      </w:r>
      <w:r w:rsidR="002A54AA">
        <w:rPr>
          <w:sz w:val="26"/>
        </w:rPr>
        <w:t>.  For these reasons, we shall grant, in part, the City’s Exception.</w:t>
      </w:r>
    </w:p>
    <w:p w14:paraId="6523B41E" w14:textId="77777777" w:rsidR="00B34FCC" w:rsidRDefault="00B34FCC" w:rsidP="008E1AD5">
      <w:pPr>
        <w:ind w:firstLine="720"/>
        <w:textAlignment w:val="baseline"/>
        <w:rPr>
          <w:sz w:val="26"/>
        </w:rPr>
      </w:pPr>
    </w:p>
    <w:p w14:paraId="25C1BFA9" w14:textId="77777777" w:rsidR="00367409" w:rsidRDefault="00367409" w:rsidP="008E1AD5">
      <w:pPr>
        <w:ind w:firstLine="90"/>
        <w:rPr>
          <w:b/>
          <w:bCs/>
          <w:sz w:val="26"/>
          <w:szCs w:val="26"/>
        </w:rPr>
      </w:pPr>
      <w:r>
        <w:rPr>
          <w:b/>
          <w:bCs/>
          <w:sz w:val="26"/>
          <w:szCs w:val="26"/>
        </w:rPr>
        <w:t>C.</w:t>
      </w:r>
      <w:r>
        <w:rPr>
          <w:b/>
          <w:bCs/>
          <w:sz w:val="26"/>
          <w:szCs w:val="26"/>
        </w:rPr>
        <w:tab/>
        <w:t>Fiduciary Duties to the Public Trust</w:t>
      </w:r>
    </w:p>
    <w:p w14:paraId="14E28B4B" w14:textId="77777777" w:rsidR="00367409" w:rsidRDefault="00367409" w:rsidP="008E1AD5">
      <w:pPr>
        <w:rPr>
          <w:b/>
          <w:bCs/>
          <w:sz w:val="26"/>
          <w:szCs w:val="26"/>
        </w:rPr>
      </w:pPr>
    </w:p>
    <w:p w14:paraId="52066801" w14:textId="77777777" w:rsidR="00367409" w:rsidRDefault="00367409" w:rsidP="008E1AD5">
      <w:pPr>
        <w:ind w:firstLine="720"/>
        <w:rPr>
          <w:b/>
          <w:bCs/>
          <w:sz w:val="26"/>
          <w:szCs w:val="26"/>
        </w:rPr>
      </w:pPr>
      <w:r>
        <w:rPr>
          <w:b/>
          <w:bCs/>
          <w:sz w:val="26"/>
          <w:szCs w:val="26"/>
        </w:rPr>
        <w:t>1.</w:t>
      </w:r>
      <w:r>
        <w:rPr>
          <w:b/>
          <w:bCs/>
          <w:sz w:val="26"/>
          <w:szCs w:val="26"/>
        </w:rPr>
        <w:tab/>
        <w:t>Positions of the Parties</w:t>
      </w:r>
    </w:p>
    <w:p w14:paraId="5AD0CB33" w14:textId="77777777" w:rsidR="00367409" w:rsidRDefault="00367409" w:rsidP="008E1AD5">
      <w:pPr>
        <w:rPr>
          <w:b/>
          <w:bCs/>
          <w:sz w:val="26"/>
          <w:szCs w:val="26"/>
        </w:rPr>
      </w:pPr>
    </w:p>
    <w:p w14:paraId="17103F64" w14:textId="77777777" w:rsidR="00367409" w:rsidRPr="00124FFF" w:rsidRDefault="00367409" w:rsidP="008E1AD5">
      <w:pPr>
        <w:rPr>
          <w:sz w:val="26"/>
          <w:szCs w:val="26"/>
        </w:rPr>
      </w:pPr>
      <w:r w:rsidRPr="00124FFF">
        <w:rPr>
          <w:sz w:val="26"/>
          <w:szCs w:val="26"/>
        </w:rPr>
        <w:t xml:space="preserve">CPHD argued that following the decision of the Pennsylvania Supreme Court in </w:t>
      </w:r>
      <w:r w:rsidRPr="00D36048">
        <w:rPr>
          <w:i/>
          <w:iCs/>
          <w:sz w:val="26"/>
          <w:szCs w:val="26"/>
        </w:rPr>
        <w:t>PEDF II</w:t>
      </w:r>
      <w:r w:rsidRPr="00124FFF">
        <w:rPr>
          <w:sz w:val="26"/>
          <w:szCs w:val="26"/>
        </w:rPr>
        <w:t xml:space="preserve">, all instrumentalities of the Commonwealth have a public trust duty to protect the environmental, natural and historic resources of the Commonwealth.  CPHD </w:t>
      </w:r>
      <w:r w:rsidRPr="00124FFF">
        <w:rPr>
          <w:sz w:val="26"/>
          <w:szCs w:val="26"/>
        </w:rPr>
        <w:lastRenderedPageBreak/>
        <w:t xml:space="preserve">M.B. </w:t>
      </w:r>
      <w:r w:rsidRPr="00124FFF">
        <w:rPr>
          <w:i/>
          <w:iCs/>
          <w:sz w:val="26"/>
          <w:szCs w:val="26"/>
        </w:rPr>
        <w:t>passim</w:t>
      </w:r>
      <w:r w:rsidRPr="00124FFF">
        <w:rPr>
          <w:sz w:val="26"/>
          <w:szCs w:val="26"/>
        </w:rPr>
        <w:t>.  CPHD aver</w:t>
      </w:r>
      <w:r>
        <w:rPr>
          <w:sz w:val="26"/>
          <w:szCs w:val="26"/>
        </w:rPr>
        <w:t>red</w:t>
      </w:r>
      <w:r w:rsidRPr="00124FFF">
        <w:rPr>
          <w:sz w:val="26"/>
          <w:szCs w:val="26"/>
        </w:rPr>
        <w:t xml:space="preserve"> that it, as well as the City, are instrumentalities of the Commonwealth and are therefore trustees, like the Commission, and are </w:t>
      </w:r>
      <w:r>
        <w:rPr>
          <w:sz w:val="26"/>
          <w:szCs w:val="26"/>
        </w:rPr>
        <w:t>therefore</w:t>
      </w:r>
      <w:r w:rsidRPr="00124FFF">
        <w:rPr>
          <w:sz w:val="26"/>
          <w:szCs w:val="26"/>
        </w:rPr>
        <w:t xml:space="preserve"> burdened with the duties of providence, loyalty, and impartiality to the </w:t>
      </w:r>
      <w:r>
        <w:rPr>
          <w:sz w:val="26"/>
          <w:szCs w:val="26"/>
        </w:rPr>
        <w:t>corpus of the trust</w:t>
      </w:r>
      <w:r w:rsidRPr="00124FFF">
        <w:rPr>
          <w:sz w:val="26"/>
          <w:szCs w:val="26"/>
        </w:rPr>
        <w:t xml:space="preserve">.  </w:t>
      </w:r>
      <w:r>
        <w:rPr>
          <w:sz w:val="26"/>
          <w:szCs w:val="26"/>
        </w:rPr>
        <w:t>CPHD M.B.</w:t>
      </w:r>
      <w:r w:rsidRPr="00124FFF">
        <w:rPr>
          <w:sz w:val="26"/>
          <w:szCs w:val="26"/>
        </w:rPr>
        <w:t xml:space="preserve"> at 12.  </w:t>
      </w:r>
      <w:r>
        <w:rPr>
          <w:sz w:val="26"/>
          <w:szCs w:val="26"/>
        </w:rPr>
        <w:t>CPHD explained that t</w:t>
      </w:r>
      <w:r w:rsidRPr="00124FFF">
        <w:rPr>
          <w:sz w:val="26"/>
          <w:szCs w:val="26"/>
        </w:rPr>
        <w:t>he</w:t>
      </w:r>
      <w:r>
        <w:rPr>
          <w:sz w:val="26"/>
          <w:szCs w:val="26"/>
        </w:rPr>
        <w:t xml:space="preserve"> </w:t>
      </w:r>
      <w:r w:rsidRPr="00124FFF">
        <w:rPr>
          <w:sz w:val="26"/>
          <w:szCs w:val="26"/>
        </w:rPr>
        <w:t xml:space="preserve">duties </w:t>
      </w:r>
      <w:r>
        <w:rPr>
          <w:sz w:val="26"/>
          <w:szCs w:val="26"/>
        </w:rPr>
        <w:t xml:space="preserve">imposed by the </w:t>
      </w:r>
      <w:r w:rsidRPr="00124FFF">
        <w:rPr>
          <w:sz w:val="26"/>
          <w:szCs w:val="26"/>
        </w:rPr>
        <w:t>Environmental Rights Amendment (ERA)</w:t>
      </w:r>
      <w:r>
        <w:rPr>
          <w:sz w:val="26"/>
          <w:szCs w:val="26"/>
        </w:rPr>
        <w:t>, consistent with</w:t>
      </w:r>
      <w:r w:rsidRPr="00124FFF">
        <w:rPr>
          <w:sz w:val="26"/>
          <w:szCs w:val="26"/>
        </w:rPr>
        <w:t xml:space="preserve"> </w:t>
      </w:r>
      <w:r w:rsidRPr="0016732D">
        <w:rPr>
          <w:i/>
          <w:iCs/>
          <w:sz w:val="26"/>
          <w:szCs w:val="26"/>
        </w:rPr>
        <w:t>PEDF II</w:t>
      </w:r>
      <w:r>
        <w:rPr>
          <w:i/>
          <w:iCs/>
          <w:sz w:val="26"/>
          <w:szCs w:val="26"/>
        </w:rPr>
        <w:t>,</w:t>
      </w:r>
      <w:r w:rsidRPr="00124FFF">
        <w:rPr>
          <w:sz w:val="26"/>
          <w:szCs w:val="26"/>
        </w:rPr>
        <w:t xml:space="preserve"> require</w:t>
      </w:r>
      <w:r>
        <w:rPr>
          <w:sz w:val="26"/>
          <w:szCs w:val="26"/>
        </w:rPr>
        <w:t xml:space="preserve"> all instrumentalities of the </w:t>
      </w:r>
      <w:r w:rsidRPr="00124FFF">
        <w:rPr>
          <w:sz w:val="26"/>
          <w:szCs w:val="26"/>
        </w:rPr>
        <w:t>Commonwealth to exercise such care and skill as a man of ordinary prudence would exercise in dealing with his own property,</w:t>
      </w:r>
      <w:r>
        <w:rPr>
          <w:sz w:val="26"/>
          <w:szCs w:val="26"/>
        </w:rPr>
        <w:t xml:space="preserve"> </w:t>
      </w:r>
      <w:r w:rsidRPr="00124FFF">
        <w:rPr>
          <w:sz w:val="26"/>
          <w:szCs w:val="26"/>
        </w:rPr>
        <w:t>to manage the corpus of the trust to accomplish the trus</w:t>
      </w:r>
      <w:r>
        <w:rPr>
          <w:sz w:val="26"/>
          <w:szCs w:val="26"/>
        </w:rPr>
        <w:t>t’</w:t>
      </w:r>
      <w:r w:rsidRPr="00124FFF">
        <w:rPr>
          <w:sz w:val="26"/>
          <w:szCs w:val="26"/>
        </w:rPr>
        <w:t>s purpose for the benefit of the trust</w:t>
      </w:r>
      <w:r>
        <w:rPr>
          <w:sz w:val="26"/>
          <w:szCs w:val="26"/>
        </w:rPr>
        <w:t>’</w:t>
      </w:r>
      <w:r w:rsidRPr="00124FFF">
        <w:rPr>
          <w:sz w:val="26"/>
          <w:szCs w:val="26"/>
        </w:rPr>
        <w:t>s beneficiaries, and to manage the trust so as to give all of the beneficiaries due regard for their respective interests in light of the purposes of the trust.</w:t>
      </w:r>
      <w:r>
        <w:rPr>
          <w:sz w:val="26"/>
          <w:szCs w:val="26"/>
        </w:rPr>
        <w:t xml:space="preserve">  </w:t>
      </w:r>
      <w:r>
        <w:rPr>
          <w:i/>
          <w:iCs/>
          <w:sz w:val="26"/>
          <w:szCs w:val="26"/>
        </w:rPr>
        <w:t>Id.</w:t>
      </w:r>
    </w:p>
    <w:p w14:paraId="655CAD54" w14:textId="77777777" w:rsidR="00367409" w:rsidRPr="00124FFF" w:rsidRDefault="00367409" w:rsidP="008E1AD5">
      <w:pPr>
        <w:rPr>
          <w:sz w:val="26"/>
          <w:szCs w:val="26"/>
        </w:rPr>
      </w:pPr>
    </w:p>
    <w:p w14:paraId="2F724CBA" w14:textId="77777777" w:rsidR="00367409" w:rsidRDefault="00367409" w:rsidP="008E1AD5">
      <w:pPr>
        <w:rPr>
          <w:sz w:val="26"/>
          <w:szCs w:val="26"/>
        </w:rPr>
      </w:pPr>
      <w:r w:rsidRPr="00124FFF">
        <w:rPr>
          <w:sz w:val="26"/>
          <w:szCs w:val="26"/>
        </w:rPr>
        <w:t>However, CPHD recognize</w:t>
      </w:r>
      <w:r>
        <w:rPr>
          <w:sz w:val="26"/>
          <w:szCs w:val="26"/>
        </w:rPr>
        <w:t>d</w:t>
      </w:r>
      <w:r w:rsidRPr="00124FFF">
        <w:rPr>
          <w:sz w:val="26"/>
          <w:szCs w:val="26"/>
        </w:rPr>
        <w:t xml:space="preserve"> that the Commission has preempted the field of public utility regulation.  Additionally, while CPHD d</w:t>
      </w:r>
      <w:r>
        <w:rPr>
          <w:sz w:val="26"/>
          <w:szCs w:val="26"/>
        </w:rPr>
        <w:t>id</w:t>
      </w:r>
      <w:r w:rsidRPr="00124FFF">
        <w:rPr>
          <w:sz w:val="26"/>
          <w:szCs w:val="26"/>
        </w:rPr>
        <w:t xml:space="preserve"> not contend that 52 Pa. Code § 59.18 is unconstitutional, CPHD contend</w:t>
      </w:r>
      <w:r>
        <w:rPr>
          <w:sz w:val="26"/>
          <w:szCs w:val="26"/>
        </w:rPr>
        <w:t>ed</w:t>
      </w:r>
      <w:r w:rsidRPr="00124FFF">
        <w:rPr>
          <w:sz w:val="26"/>
          <w:szCs w:val="26"/>
        </w:rPr>
        <w:t xml:space="preserve"> that the “consideration” that UGI currently engage</w:t>
      </w:r>
      <w:r>
        <w:rPr>
          <w:sz w:val="26"/>
          <w:szCs w:val="26"/>
        </w:rPr>
        <w:t>s</w:t>
      </w:r>
      <w:r w:rsidRPr="00124FFF">
        <w:rPr>
          <w:sz w:val="26"/>
          <w:szCs w:val="26"/>
        </w:rPr>
        <w:t xml:space="preserve"> in is superficial at best</w:t>
      </w:r>
      <w:r>
        <w:rPr>
          <w:sz w:val="26"/>
          <w:szCs w:val="26"/>
        </w:rPr>
        <w:t>,</w:t>
      </w:r>
      <w:r w:rsidRPr="00124FFF">
        <w:rPr>
          <w:sz w:val="26"/>
          <w:szCs w:val="26"/>
        </w:rPr>
        <w:t xml:space="preserve"> and the Commission needs to provide clarification or change the </w:t>
      </w:r>
      <w:r>
        <w:rPr>
          <w:sz w:val="26"/>
          <w:szCs w:val="26"/>
        </w:rPr>
        <w:t>R</w:t>
      </w:r>
      <w:r w:rsidRPr="00124FFF">
        <w:rPr>
          <w:sz w:val="26"/>
          <w:szCs w:val="26"/>
        </w:rPr>
        <w:t xml:space="preserve">egulation to allow instrumentalities of the Commonwealth to satisfy their </w:t>
      </w:r>
      <w:r>
        <w:rPr>
          <w:sz w:val="26"/>
          <w:szCs w:val="26"/>
        </w:rPr>
        <w:t>duties</w:t>
      </w:r>
      <w:r w:rsidRPr="00124FFF">
        <w:rPr>
          <w:sz w:val="26"/>
          <w:szCs w:val="26"/>
        </w:rPr>
        <w:t xml:space="preserve"> under the ERA</w:t>
      </w:r>
      <w:r>
        <w:rPr>
          <w:sz w:val="26"/>
          <w:szCs w:val="26"/>
        </w:rPr>
        <w:t>,</w:t>
      </w:r>
      <w:r w:rsidRPr="00124FFF">
        <w:rPr>
          <w:sz w:val="26"/>
          <w:szCs w:val="26"/>
        </w:rPr>
        <w:t xml:space="preserve"> Pa. Const. Art. 1 § 27.  </w:t>
      </w:r>
      <w:r>
        <w:rPr>
          <w:sz w:val="26"/>
          <w:szCs w:val="26"/>
        </w:rPr>
        <w:t>CPHD M.B.</w:t>
      </w:r>
      <w:r w:rsidRPr="00124FFF">
        <w:rPr>
          <w:sz w:val="26"/>
          <w:szCs w:val="26"/>
        </w:rPr>
        <w:t xml:space="preserve"> at 15.  Since the Commission preempts any action in </w:t>
      </w:r>
      <w:r>
        <w:rPr>
          <w:sz w:val="26"/>
          <w:szCs w:val="26"/>
        </w:rPr>
        <w:t xml:space="preserve">the field of </w:t>
      </w:r>
      <w:r w:rsidRPr="00124FFF">
        <w:rPr>
          <w:sz w:val="26"/>
          <w:szCs w:val="26"/>
        </w:rPr>
        <w:t>public utilit</w:t>
      </w:r>
      <w:r>
        <w:rPr>
          <w:sz w:val="26"/>
          <w:szCs w:val="26"/>
        </w:rPr>
        <w:t>y regulation</w:t>
      </w:r>
      <w:r w:rsidRPr="00124FFF">
        <w:rPr>
          <w:sz w:val="26"/>
          <w:szCs w:val="26"/>
        </w:rPr>
        <w:t>, CPHD argue</w:t>
      </w:r>
      <w:r>
        <w:rPr>
          <w:sz w:val="26"/>
          <w:szCs w:val="26"/>
        </w:rPr>
        <w:t>d</w:t>
      </w:r>
      <w:r w:rsidRPr="00124FFF">
        <w:rPr>
          <w:sz w:val="26"/>
          <w:szCs w:val="26"/>
        </w:rPr>
        <w:t xml:space="preserve"> that the Commission has a duty to ensure that municipalities have the ability to satisfy their obligation to the Public Trust and that the Commission’s failure to do so is a dereliction of its duty.  </w:t>
      </w:r>
      <w:r w:rsidRPr="00124FFF">
        <w:rPr>
          <w:i/>
          <w:iCs/>
          <w:sz w:val="26"/>
          <w:szCs w:val="26"/>
        </w:rPr>
        <w:t>Id</w:t>
      </w:r>
      <w:r w:rsidRPr="00124FFF">
        <w:rPr>
          <w:sz w:val="26"/>
          <w:szCs w:val="26"/>
        </w:rPr>
        <w:t>. at 15-17.</w:t>
      </w:r>
    </w:p>
    <w:p w14:paraId="4EF653E9" w14:textId="77777777" w:rsidR="00367409" w:rsidRPr="00893351" w:rsidRDefault="00367409" w:rsidP="008E1AD5">
      <w:pPr>
        <w:rPr>
          <w:sz w:val="26"/>
          <w:szCs w:val="26"/>
        </w:rPr>
      </w:pPr>
    </w:p>
    <w:p w14:paraId="5AFDF167" w14:textId="77777777" w:rsidR="00367409" w:rsidRDefault="00367409" w:rsidP="008E1AD5">
      <w:pPr>
        <w:rPr>
          <w:sz w:val="26"/>
          <w:szCs w:val="26"/>
        </w:rPr>
      </w:pPr>
      <w:r>
        <w:rPr>
          <w:sz w:val="26"/>
          <w:szCs w:val="26"/>
        </w:rPr>
        <w:t xml:space="preserve">UGI’s position was that CPHD’s argument is critically flawed as CPHD does not contend that </w:t>
      </w:r>
      <w:r w:rsidRPr="00124FFF">
        <w:rPr>
          <w:sz w:val="26"/>
          <w:szCs w:val="26"/>
        </w:rPr>
        <w:t>52 Pa. Code § 59.18 is unconstitutional</w:t>
      </w:r>
      <w:r>
        <w:rPr>
          <w:sz w:val="26"/>
          <w:szCs w:val="26"/>
        </w:rPr>
        <w:t xml:space="preserve">.  UGI R.B. at 41.  UGI stated that since Section 59.18 is not unconstitutional, the Commission has complied with its duties as a public trustee under the ERA.  </w:t>
      </w:r>
      <w:r>
        <w:rPr>
          <w:i/>
          <w:iCs/>
          <w:sz w:val="26"/>
          <w:szCs w:val="26"/>
        </w:rPr>
        <w:t>Id.</w:t>
      </w:r>
      <w:r>
        <w:rPr>
          <w:sz w:val="26"/>
          <w:szCs w:val="26"/>
        </w:rPr>
        <w:t xml:space="preserve"> at 41-42.  UGI contended that CPHD’s narrow reading of the Court’s decision in </w:t>
      </w:r>
      <w:r w:rsidRPr="00B15525">
        <w:rPr>
          <w:i/>
          <w:iCs/>
          <w:sz w:val="26"/>
          <w:szCs w:val="26"/>
        </w:rPr>
        <w:t>City of Reading</w:t>
      </w:r>
      <w:r>
        <w:rPr>
          <w:sz w:val="26"/>
          <w:szCs w:val="26"/>
        </w:rPr>
        <w:t xml:space="preserve"> - that Section 59.18 only preempts local regulation of meter locations - was erroneous because the Commission’s </w:t>
      </w:r>
      <w:r>
        <w:rPr>
          <w:sz w:val="26"/>
          <w:szCs w:val="26"/>
        </w:rPr>
        <w:lastRenderedPageBreak/>
        <w:t xml:space="preserve">fiduciary duties under the ERA have been resolved based on the finding in </w:t>
      </w:r>
      <w:r w:rsidRPr="00BA38DE">
        <w:rPr>
          <w:i/>
          <w:iCs/>
          <w:sz w:val="26"/>
          <w:szCs w:val="26"/>
        </w:rPr>
        <w:t>City of Reading</w:t>
      </w:r>
      <w:r>
        <w:rPr>
          <w:sz w:val="26"/>
          <w:szCs w:val="26"/>
        </w:rPr>
        <w:t xml:space="preserve"> that Section 59.18 is constitutional.  </w:t>
      </w:r>
      <w:r>
        <w:rPr>
          <w:i/>
          <w:iCs/>
          <w:sz w:val="26"/>
          <w:szCs w:val="26"/>
        </w:rPr>
        <w:t>Id</w:t>
      </w:r>
      <w:r>
        <w:rPr>
          <w:sz w:val="26"/>
          <w:szCs w:val="26"/>
        </w:rPr>
        <w:t>. at 43.</w:t>
      </w:r>
    </w:p>
    <w:p w14:paraId="5B22DB80" w14:textId="77777777" w:rsidR="00367409" w:rsidRDefault="00367409" w:rsidP="008E1AD5">
      <w:pPr>
        <w:rPr>
          <w:sz w:val="26"/>
          <w:szCs w:val="26"/>
        </w:rPr>
      </w:pPr>
    </w:p>
    <w:p w14:paraId="634BAA98" w14:textId="77777777" w:rsidR="00367409" w:rsidRPr="00F0697E" w:rsidRDefault="00367409" w:rsidP="008E1AD5">
      <w:pPr>
        <w:rPr>
          <w:sz w:val="26"/>
          <w:szCs w:val="26"/>
        </w:rPr>
      </w:pPr>
      <w:r>
        <w:rPr>
          <w:sz w:val="26"/>
          <w:szCs w:val="26"/>
        </w:rPr>
        <w:t xml:space="preserve">In CPHD’s Reply Brief, CPHD argued that UGI misinterpreted its argument and that since historical preservation is now an actual obligation for instrumentalities of the Commonwealth, the Commission’s method of regulating UGI remained untested under </w:t>
      </w:r>
      <w:r w:rsidRPr="00BA38DE">
        <w:rPr>
          <w:i/>
          <w:iCs/>
          <w:sz w:val="26"/>
          <w:szCs w:val="26"/>
        </w:rPr>
        <w:t>PEDF II</w:t>
      </w:r>
      <w:r>
        <w:rPr>
          <w:sz w:val="26"/>
          <w:szCs w:val="26"/>
        </w:rPr>
        <w:t xml:space="preserve">.  CPHD R.B. at 4.  CPHD further averred that in light of </w:t>
      </w:r>
      <w:r w:rsidRPr="00BA38DE">
        <w:rPr>
          <w:i/>
          <w:iCs/>
          <w:sz w:val="26"/>
          <w:szCs w:val="26"/>
        </w:rPr>
        <w:t>PEDF II</w:t>
      </w:r>
      <w:r>
        <w:rPr>
          <w:sz w:val="26"/>
          <w:szCs w:val="26"/>
        </w:rPr>
        <w:t xml:space="preserve"> and other cases, all instrumentalities have new duties and the Commission must clarify the implementation of Section 59.18 and communicate the level of “consideration” that NGDCs must engage in.</w:t>
      </w:r>
    </w:p>
    <w:p w14:paraId="68DC750A" w14:textId="77777777" w:rsidR="00367409" w:rsidRDefault="00367409" w:rsidP="008E1AD5">
      <w:pPr>
        <w:rPr>
          <w:b/>
          <w:bCs/>
          <w:sz w:val="26"/>
          <w:szCs w:val="26"/>
        </w:rPr>
      </w:pPr>
    </w:p>
    <w:p w14:paraId="6C82E915" w14:textId="77777777" w:rsidR="00367409" w:rsidRDefault="00367409" w:rsidP="008E1AD5">
      <w:pPr>
        <w:keepNext/>
        <w:ind w:firstLine="720"/>
        <w:rPr>
          <w:b/>
          <w:bCs/>
          <w:sz w:val="26"/>
          <w:szCs w:val="26"/>
        </w:rPr>
      </w:pPr>
      <w:r>
        <w:rPr>
          <w:b/>
          <w:bCs/>
          <w:sz w:val="26"/>
          <w:szCs w:val="26"/>
        </w:rPr>
        <w:t>2.</w:t>
      </w:r>
      <w:r>
        <w:rPr>
          <w:b/>
          <w:bCs/>
          <w:sz w:val="26"/>
          <w:szCs w:val="26"/>
        </w:rPr>
        <w:tab/>
        <w:t>Initial Decision</w:t>
      </w:r>
    </w:p>
    <w:p w14:paraId="7534AC68" w14:textId="77777777" w:rsidR="00367409" w:rsidRDefault="00367409" w:rsidP="008E1AD5">
      <w:pPr>
        <w:keepNext/>
        <w:rPr>
          <w:b/>
          <w:bCs/>
          <w:sz w:val="26"/>
          <w:szCs w:val="26"/>
        </w:rPr>
      </w:pPr>
    </w:p>
    <w:p w14:paraId="00C713A3" w14:textId="77777777" w:rsidR="00367409" w:rsidRPr="00484F57" w:rsidRDefault="00367409" w:rsidP="008E1AD5">
      <w:pPr>
        <w:keepNext/>
        <w:rPr>
          <w:sz w:val="26"/>
          <w:szCs w:val="26"/>
        </w:rPr>
      </w:pPr>
      <w:r>
        <w:rPr>
          <w:sz w:val="26"/>
          <w:szCs w:val="26"/>
        </w:rPr>
        <w:t xml:space="preserve">In considering the Parties’ arguments, the ALJ noted that CPHD’s argument that Section 59.18 may not provide sufficient guidance to utilities or customers is not without merit, but it would be improper to interpret a regulation in a certain manner when there is no evidence to support that interpretation.  I.D. at 27-28.  The ALJ observed that the relief CPHD is seeking would be found through the Commission’s rulemaking function and not in its judicial capacity.  To address CPHD’s constitutional argument, the ALJ determined that the Commonwealth Court already decided in </w:t>
      </w:r>
      <w:r w:rsidRPr="00484F57">
        <w:rPr>
          <w:i/>
          <w:iCs/>
          <w:sz w:val="26"/>
          <w:szCs w:val="26"/>
        </w:rPr>
        <w:t>City of Reading</w:t>
      </w:r>
      <w:r>
        <w:rPr>
          <w:i/>
          <w:iCs/>
          <w:sz w:val="26"/>
          <w:szCs w:val="26"/>
        </w:rPr>
        <w:t xml:space="preserve"> </w:t>
      </w:r>
      <w:r w:rsidRPr="003404ED">
        <w:rPr>
          <w:sz w:val="26"/>
          <w:szCs w:val="26"/>
        </w:rPr>
        <w:t>t</w:t>
      </w:r>
      <w:r>
        <w:rPr>
          <w:sz w:val="26"/>
          <w:szCs w:val="26"/>
        </w:rPr>
        <w:t>hat Section 59.18 is constitutional, and the ALJ did not address the fiduciary duty argument CPHD raised.  I.D. at 27.</w:t>
      </w:r>
    </w:p>
    <w:p w14:paraId="7048FF72" w14:textId="77777777" w:rsidR="00367409" w:rsidRDefault="00367409" w:rsidP="008E1AD5">
      <w:pPr>
        <w:rPr>
          <w:b/>
          <w:bCs/>
          <w:sz w:val="26"/>
          <w:szCs w:val="26"/>
        </w:rPr>
      </w:pPr>
    </w:p>
    <w:p w14:paraId="3B7CB133" w14:textId="77777777" w:rsidR="00367409" w:rsidRDefault="00367409" w:rsidP="008E1AD5">
      <w:pPr>
        <w:ind w:firstLine="720"/>
        <w:rPr>
          <w:b/>
          <w:bCs/>
          <w:sz w:val="26"/>
          <w:szCs w:val="26"/>
        </w:rPr>
      </w:pPr>
      <w:r>
        <w:rPr>
          <w:b/>
          <w:bCs/>
          <w:sz w:val="26"/>
          <w:szCs w:val="26"/>
        </w:rPr>
        <w:t xml:space="preserve">3. </w:t>
      </w:r>
      <w:r>
        <w:rPr>
          <w:b/>
          <w:bCs/>
          <w:sz w:val="26"/>
          <w:szCs w:val="26"/>
        </w:rPr>
        <w:tab/>
        <w:t>Exceptions</w:t>
      </w:r>
      <w:r w:rsidR="00555B6A">
        <w:rPr>
          <w:b/>
          <w:bCs/>
          <w:sz w:val="26"/>
          <w:szCs w:val="26"/>
        </w:rPr>
        <w:t>,</w:t>
      </w:r>
      <w:r>
        <w:rPr>
          <w:b/>
          <w:bCs/>
          <w:sz w:val="26"/>
          <w:szCs w:val="26"/>
        </w:rPr>
        <w:t xml:space="preserve"> Replies</w:t>
      </w:r>
      <w:r w:rsidR="00555B6A">
        <w:rPr>
          <w:b/>
          <w:bCs/>
          <w:sz w:val="26"/>
          <w:szCs w:val="26"/>
        </w:rPr>
        <w:t>, and Disposition</w:t>
      </w:r>
    </w:p>
    <w:p w14:paraId="39A6CF6A" w14:textId="77777777" w:rsidR="00367409" w:rsidRDefault="00367409" w:rsidP="008E1AD5">
      <w:pPr>
        <w:rPr>
          <w:b/>
          <w:bCs/>
          <w:sz w:val="26"/>
          <w:szCs w:val="26"/>
        </w:rPr>
      </w:pPr>
    </w:p>
    <w:p w14:paraId="4F6FDFD6" w14:textId="77777777" w:rsidR="00367409" w:rsidRDefault="00367409" w:rsidP="008E1AD5">
      <w:pPr>
        <w:rPr>
          <w:b/>
          <w:bCs/>
          <w:sz w:val="26"/>
          <w:szCs w:val="26"/>
        </w:rPr>
      </w:pPr>
      <w:r>
        <w:rPr>
          <w:b/>
          <w:bCs/>
          <w:sz w:val="26"/>
          <w:szCs w:val="26"/>
        </w:rPr>
        <w:t>a.</w:t>
      </w:r>
      <w:r>
        <w:rPr>
          <w:b/>
          <w:bCs/>
          <w:sz w:val="26"/>
          <w:szCs w:val="26"/>
        </w:rPr>
        <w:tab/>
        <w:t>CPHD’s Exception No. 1</w:t>
      </w:r>
    </w:p>
    <w:p w14:paraId="11EAF5C7" w14:textId="77777777" w:rsidR="00367409" w:rsidRDefault="00367409" w:rsidP="008E1AD5">
      <w:pPr>
        <w:rPr>
          <w:b/>
          <w:bCs/>
          <w:sz w:val="26"/>
          <w:szCs w:val="26"/>
        </w:rPr>
      </w:pPr>
    </w:p>
    <w:p w14:paraId="7DE38F62" w14:textId="77777777" w:rsidR="00367409" w:rsidRDefault="00367409" w:rsidP="008E1AD5">
      <w:pPr>
        <w:rPr>
          <w:sz w:val="26"/>
          <w:szCs w:val="26"/>
        </w:rPr>
      </w:pPr>
      <w:r>
        <w:rPr>
          <w:sz w:val="26"/>
          <w:szCs w:val="26"/>
        </w:rPr>
        <w:t xml:space="preserve">In its only Exception, CPHD objects to Findings of Fact Nos. 47, 51, 52, and 53, and Conclusions of Law Nos. 4, 6, 7, and 9 on the basis that the ALJ improperly </w:t>
      </w:r>
      <w:r>
        <w:rPr>
          <w:sz w:val="26"/>
          <w:szCs w:val="26"/>
        </w:rPr>
        <w:lastRenderedPageBreak/>
        <w:t xml:space="preserve">applied the standards articulated by the Pennsylvania Supreme Court in </w:t>
      </w:r>
      <w:r w:rsidRPr="004C7699">
        <w:rPr>
          <w:i/>
          <w:iCs/>
          <w:sz w:val="26"/>
          <w:szCs w:val="26"/>
        </w:rPr>
        <w:t>PEDF II</w:t>
      </w:r>
      <w:r>
        <w:rPr>
          <w:sz w:val="26"/>
          <w:szCs w:val="26"/>
        </w:rPr>
        <w:t>.  These Findings of Fact state the following:</w:t>
      </w:r>
    </w:p>
    <w:p w14:paraId="1E00965E" w14:textId="77777777" w:rsidR="00367409" w:rsidRDefault="00367409" w:rsidP="008E1AD5">
      <w:pPr>
        <w:rPr>
          <w:sz w:val="26"/>
          <w:szCs w:val="26"/>
        </w:rPr>
      </w:pPr>
    </w:p>
    <w:p w14:paraId="1795600E" w14:textId="77777777" w:rsidR="00367409" w:rsidRDefault="00367409" w:rsidP="008E1AD5">
      <w:pPr>
        <w:spacing w:line="240" w:lineRule="auto"/>
        <w:ind w:left="1440" w:right="1440" w:firstLine="720"/>
        <w:rPr>
          <w:sz w:val="26"/>
          <w:szCs w:val="26"/>
        </w:rPr>
      </w:pPr>
      <w:r>
        <w:rPr>
          <w:sz w:val="26"/>
          <w:szCs w:val="26"/>
        </w:rPr>
        <w:t>47.</w:t>
      </w:r>
      <w:r>
        <w:rPr>
          <w:sz w:val="26"/>
          <w:szCs w:val="26"/>
        </w:rPr>
        <w:tab/>
      </w:r>
      <w:r w:rsidRPr="00740D9D">
        <w:rPr>
          <w:sz w:val="26"/>
          <w:szCs w:val="26"/>
        </w:rPr>
        <w:t>Company personnel have met on several occasions with homeowners and interested parties to discuss the outside meter placement locations in advance of the Company</w:t>
      </w:r>
      <w:r>
        <w:rPr>
          <w:sz w:val="26"/>
          <w:szCs w:val="26"/>
        </w:rPr>
        <w:t>’</w:t>
      </w:r>
      <w:r w:rsidRPr="00740D9D">
        <w:rPr>
          <w:sz w:val="26"/>
          <w:szCs w:val="26"/>
        </w:rPr>
        <w:t>s work. (Brown, UGI St. 1 at 36)</w:t>
      </w:r>
    </w:p>
    <w:p w14:paraId="5892ACA3" w14:textId="77777777" w:rsidR="00367409" w:rsidRDefault="00367409" w:rsidP="008E1AD5">
      <w:pPr>
        <w:spacing w:line="240" w:lineRule="auto"/>
        <w:ind w:left="1440" w:right="1440"/>
        <w:rPr>
          <w:sz w:val="26"/>
          <w:szCs w:val="26"/>
        </w:rPr>
      </w:pPr>
    </w:p>
    <w:p w14:paraId="0DF5C1DC" w14:textId="77777777" w:rsidR="00367409" w:rsidRDefault="00367409" w:rsidP="008E1AD5">
      <w:pPr>
        <w:spacing w:line="240" w:lineRule="auto"/>
        <w:ind w:left="1440" w:right="1440" w:firstLine="0"/>
        <w:jc w:val="center"/>
        <w:rPr>
          <w:sz w:val="26"/>
          <w:szCs w:val="26"/>
        </w:rPr>
      </w:pPr>
      <w:r w:rsidRPr="00302F9E">
        <w:rPr>
          <w:sz w:val="26"/>
          <w:szCs w:val="26"/>
        </w:rPr>
        <w:t>* * *</w:t>
      </w:r>
    </w:p>
    <w:p w14:paraId="281AC3D4" w14:textId="77777777" w:rsidR="00367409" w:rsidRDefault="00367409" w:rsidP="008E1AD5">
      <w:pPr>
        <w:spacing w:line="240" w:lineRule="auto"/>
        <w:ind w:left="1440" w:right="1440"/>
        <w:rPr>
          <w:sz w:val="26"/>
          <w:szCs w:val="26"/>
        </w:rPr>
      </w:pPr>
    </w:p>
    <w:p w14:paraId="25D76A9E" w14:textId="77777777" w:rsidR="00367409" w:rsidRDefault="00367409" w:rsidP="008E1AD5">
      <w:pPr>
        <w:spacing w:line="240" w:lineRule="auto"/>
        <w:ind w:left="1440" w:right="1440" w:firstLine="720"/>
        <w:rPr>
          <w:sz w:val="26"/>
          <w:szCs w:val="26"/>
        </w:rPr>
      </w:pPr>
      <w:r>
        <w:rPr>
          <w:sz w:val="26"/>
          <w:szCs w:val="26"/>
        </w:rPr>
        <w:t>51.</w:t>
      </w:r>
      <w:r>
        <w:rPr>
          <w:sz w:val="26"/>
          <w:szCs w:val="26"/>
        </w:rPr>
        <w:tab/>
      </w:r>
      <w:r w:rsidRPr="00740D9D">
        <w:rPr>
          <w:sz w:val="26"/>
          <w:szCs w:val="26"/>
        </w:rPr>
        <w:t>As needed, UGI will relocate the gas service line from the front of the building at its cost to ensure the service line is installed perpendicular to the main and to avoid distinguishing features of the home. (Brown, UGI St. 1 at 36)</w:t>
      </w:r>
    </w:p>
    <w:p w14:paraId="5421F7A1" w14:textId="77777777" w:rsidR="00367409" w:rsidRDefault="00367409" w:rsidP="008E1AD5">
      <w:pPr>
        <w:spacing w:line="240" w:lineRule="auto"/>
        <w:ind w:left="1440" w:right="1440"/>
        <w:rPr>
          <w:sz w:val="26"/>
          <w:szCs w:val="26"/>
        </w:rPr>
      </w:pPr>
    </w:p>
    <w:p w14:paraId="3625B939" w14:textId="77777777" w:rsidR="00367409" w:rsidRDefault="00367409" w:rsidP="008E1AD5">
      <w:pPr>
        <w:spacing w:line="240" w:lineRule="auto"/>
        <w:ind w:left="1440" w:right="1440" w:firstLine="720"/>
        <w:rPr>
          <w:sz w:val="26"/>
          <w:szCs w:val="26"/>
        </w:rPr>
      </w:pPr>
      <w:r>
        <w:rPr>
          <w:sz w:val="26"/>
          <w:szCs w:val="26"/>
        </w:rPr>
        <w:t>52.</w:t>
      </w:r>
      <w:r>
        <w:rPr>
          <w:sz w:val="26"/>
          <w:szCs w:val="26"/>
        </w:rPr>
        <w:tab/>
      </w:r>
      <w:r w:rsidRPr="00740D9D">
        <w:rPr>
          <w:sz w:val="26"/>
          <w:szCs w:val="26"/>
        </w:rPr>
        <w:t>UGI does not consult any historical preservation rules, regulations, guidelines or other materials when deciding whether there is a distinguishing exterior feature on a historic property. (N.T. 396-97)</w:t>
      </w:r>
    </w:p>
    <w:p w14:paraId="603FA276" w14:textId="77777777" w:rsidR="00367409" w:rsidRDefault="00367409" w:rsidP="008E1AD5">
      <w:pPr>
        <w:spacing w:line="240" w:lineRule="auto"/>
        <w:ind w:left="1440" w:right="1440"/>
        <w:rPr>
          <w:sz w:val="26"/>
          <w:szCs w:val="26"/>
        </w:rPr>
      </w:pPr>
    </w:p>
    <w:p w14:paraId="04487225" w14:textId="77777777" w:rsidR="00367409" w:rsidRDefault="00367409" w:rsidP="008E1AD5">
      <w:pPr>
        <w:spacing w:line="240" w:lineRule="auto"/>
        <w:ind w:left="1440" w:right="1440" w:firstLine="720"/>
        <w:rPr>
          <w:sz w:val="26"/>
          <w:szCs w:val="26"/>
        </w:rPr>
      </w:pPr>
      <w:r>
        <w:rPr>
          <w:sz w:val="26"/>
          <w:szCs w:val="26"/>
        </w:rPr>
        <w:t>53.</w:t>
      </w:r>
      <w:r>
        <w:rPr>
          <w:sz w:val="26"/>
          <w:szCs w:val="26"/>
        </w:rPr>
        <w:tab/>
      </w:r>
      <w:r w:rsidRPr="00740D9D">
        <w:rPr>
          <w:sz w:val="26"/>
          <w:szCs w:val="26"/>
        </w:rPr>
        <w:t>Rather, UGI relies on the customer to provide its personnel with information regarding the historic features of the property. (N.T 397)</w:t>
      </w:r>
    </w:p>
    <w:p w14:paraId="6A4FB0C8" w14:textId="77777777" w:rsidR="00367409" w:rsidRDefault="00367409" w:rsidP="008E1AD5">
      <w:pPr>
        <w:spacing w:line="240" w:lineRule="auto"/>
        <w:ind w:left="1440" w:right="1440"/>
        <w:rPr>
          <w:sz w:val="26"/>
          <w:szCs w:val="26"/>
        </w:rPr>
      </w:pPr>
    </w:p>
    <w:p w14:paraId="0E3DE378" w14:textId="77777777" w:rsidR="00367409" w:rsidRDefault="00367409" w:rsidP="008E1AD5">
      <w:pPr>
        <w:rPr>
          <w:sz w:val="26"/>
          <w:szCs w:val="26"/>
        </w:rPr>
      </w:pPr>
      <w:r>
        <w:rPr>
          <w:sz w:val="26"/>
          <w:szCs w:val="26"/>
        </w:rPr>
        <w:t>The Conclusions of Law state the following:</w:t>
      </w:r>
    </w:p>
    <w:p w14:paraId="774C1AE7" w14:textId="77777777" w:rsidR="003C0A2C" w:rsidRDefault="003C0A2C" w:rsidP="008E1AD5">
      <w:pPr>
        <w:spacing w:line="240" w:lineRule="auto"/>
        <w:ind w:left="1440" w:right="1440" w:firstLine="720"/>
        <w:rPr>
          <w:sz w:val="26"/>
          <w:szCs w:val="26"/>
        </w:rPr>
      </w:pPr>
    </w:p>
    <w:p w14:paraId="3DB1057B" w14:textId="77777777" w:rsidR="00367409" w:rsidRDefault="00367409" w:rsidP="008E1AD5">
      <w:pPr>
        <w:spacing w:line="240" w:lineRule="auto"/>
        <w:ind w:left="1440" w:right="1440" w:firstLine="720"/>
        <w:rPr>
          <w:sz w:val="26"/>
          <w:szCs w:val="26"/>
        </w:rPr>
      </w:pPr>
      <w:r>
        <w:rPr>
          <w:sz w:val="26"/>
          <w:szCs w:val="26"/>
        </w:rPr>
        <w:t>4.</w:t>
      </w:r>
      <w:r>
        <w:rPr>
          <w:sz w:val="26"/>
          <w:szCs w:val="26"/>
        </w:rPr>
        <w:tab/>
      </w:r>
      <w:r w:rsidRPr="00302F9E">
        <w:rPr>
          <w:sz w:val="26"/>
          <w:szCs w:val="26"/>
        </w:rPr>
        <w:t>Under 52 Pa.</w:t>
      </w:r>
      <w:r>
        <w:rPr>
          <w:sz w:val="26"/>
          <w:szCs w:val="26"/>
        </w:rPr>
        <w:t xml:space="preserve"> </w:t>
      </w:r>
      <w:r w:rsidRPr="00302F9E">
        <w:rPr>
          <w:sz w:val="26"/>
          <w:szCs w:val="26"/>
        </w:rPr>
        <w:t>Code § 59.18, consideration must be given to inside meter locations in historic districts and other locations when there is potential damage from outside forces.</w:t>
      </w:r>
    </w:p>
    <w:p w14:paraId="4B2C195F" w14:textId="77777777" w:rsidR="00367409" w:rsidRDefault="00367409" w:rsidP="008E1AD5">
      <w:pPr>
        <w:spacing w:line="240" w:lineRule="auto"/>
        <w:ind w:left="1440" w:right="1440"/>
        <w:rPr>
          <w:sz w:val="26"/>
          <w:szCs w:val="26"/>
        </w:rPr>
      </w:pPr>
    </w:p>
    <w:p w14:paraId="75D63B9B" w14:textId="77777777" w:rsidR="00367409" w:rsidRDefault="00367409" w:rsidP="008E1AD5">
      <w:pPr>
        <w:spacing w:line="240" w:lineRule="auto"/>
        <w:ind w:left="1440" w:right="1440" w:firstLine="0"/>
        <w:jc w:val="center"/>
        <w:rPr>
          <w:sz w:val="26"/>
          <w:szCs w:val="26"/>
        </w:rPr>
      </w:pPr>
      <w:r w:rsidRPr="00302F9E">
        <w:rPr>
          <w:sz w:val="26"/>
          <w:szCs w:val="26"/>
        </w:rPr>
        <w:t>* * *</w:t>
      </w:r>
    </w:p>
    <w:p w14:paraId="36B9B14E" w14:textId="77777777" w:rsidR="00367409" w:rsidRDefault="00367409" w:rsidP="008E1AD5">
      <w:pPr>
        <w:spacing w:line="240" w:lineRule="auto"/>
        <w:ind w:left="1440" w:right="1440"/>
        <w:jc w:val="center"/>
        <w:rPr>
          <w:sz w:val="26"/>
          <w:szCs w:val="26"/>
        </w:rPr>
      </w:pPr>
    </w:p>
    <w:p w14:paraId="0CD3CAE4" w14:textId="77777777" w:rsidR="00367409" w:rsidRDefault="00367409" w:rsidP="008E1AD5">
      <w:pPr>
        <w:spacing w:line="240" w:lineRule="auto"/>
        <w:ind w:left="1440" w:right="1440" w:firstLine="720"/>
        <w:rPr>
          <w:sz w:val="26"/>
          <w:szCs w:val="26"/>
        </w:rPr>
      </w:pPr>
      <w:r>
        <w:rPr>
          <w:sz w:val="26"/>
          <w:szCs w:val="26"/>
        </w:rPr>
        <w:t>6.</w:t>
      </w:r>
      <w:r>
        <w:rPr>
          <w:sz w:val="26"/>
          <w:szCs w:val="26"/>
        </w:rPr>
        <w:tab/>
      </w:r>
      <w:r w:rsidRPr="00302F9E">
        <w:rPr>
          <w:sz w:val="26"/>
          <w:szCs w:val="26"/>
        </w:rPr>
        <w:t>The Complainants met their burden of proving that UGI’s policy failed to conform to the amendments to 52 Pa.</w:t>
      </w:r>
      <w:r>
        <w:rPr>
          <w:sz w:val="26"/>
          <w:szCs w:val="26"/>
        </w:rPr>
        <w:t xml:space="preserve"> </w:t>
      </w:r>
      <w:r w:rsidRPr="00302F9E">
        <w:rPr>
          <w:sz w:val="26"/>
          <w:szCs w:val="26"/>
        </w:rPr>
        <w:t>Code § 59.18, from 2014 until 2016.</w:t>
      </w:r>
    </w:p>
    <w:p w14:paraId="341B403B" w14:textId="77777777" w:rsidR="00367409" w:rsidRDefault="00367409" w:rsidP="008E1AD5">
      <w:pPr>
        <w:spacing w:line="240" w:lineRule="auto"/>
        <w:ind w:left="1440" w:right="1440"/>
        <w:jc w:val="center"/>
        <w:rPr>
          <w:sz w:val="26"/>
          <w:szCs w:val="26"/>
        </w:rPr>
      </w:pPr>
    </w:p>
    <w:p w14:paraId="147BE224" w14:textId="77777777" w:rsidR="00367409" w:rsidRDefault="00367409" w:rsidP="008E1AD5">
      <w:pPr>
        <w:spacing w:line="240" w:lineRule="auto"/>
        <w:ind w:left="1440" w:right="1440" w:firstLine="720"/>
        <w:rPr>
          <w:sz w:val="26"/>
          <w:szCs w:val="26"/>
        </w:rPr>
      </w:pPr>
      <w:r>
        <w:rPr>
          <w:sz w:val="26"/>
          <w:szCs w:val="26"/>
        </w:rPr>
        <w:t>7.</w:t>
      </w:r>
      <w:r>
        <w:rPr>
          <w:sz w:val="26"/>
          <w:szCs w:val="26"/>
        </w:rPr>
        <w:tab/>
      </w:r>
      <w:r w:rsidRPr="00302F9E">
        <w:rPr>
          <w:sz w:val="26"/>
          <w:szCs w:val="26"/>
        </w:rPr>
        <w:t>The Complainants failed to meet their burden of proving that UGI’s policy after 2016 failed to conform to the amendments to 52 Pa.</w:t>
      </w:r>
      <w:r>
        <w:rPr>
          <w:sz w:val="26"/>
          <w:szCs w:val="26"/>
        </w:rPr>
        <w:t xml:space="preserve"> </w:t>
      </w:r>
      <w:r w:rsidRPr="00302F9E">
        <w:rPr>
          <w:sz w:val="26"/>
          <w:szCs w:val="26"/>
        </w:rPr>
        <w:t>Code § 59.18.</w:t>
      </w:r>
    </w:p>
    <w:p w14:paraId="6F9F3639" w14:textId="77777777" w:rsidR="00367409" w:rsidRDefault="00367409" w:rsidP="008E1AD5">
      <w:pPr>
        <w:spacing w:line="240" w:lineRule="auto"/>
        <w:ind w:left="1440" w:right="1440"/>
        <w:rPr>
          <w:sz w:val="26"/>
          <w:szCs w:val="26"/>
        </w:rPr>
      </w:pPr>
    </w:p>
    <w:p w14:paraId="49F01CEC" w14:textId="77777777" w:rsidR="00367409" w:rsidRDefault="00367409" w:rsidP="008E1AD5">
      <w:pPr>
        <w:spacing w:line="240" w:lineRule="auto"/>
        <w:ind w:left="1440" w:right="1440" w:firstLine="0"/>
        <w:jc w:val="center"/>
        <w:rPr>
          <w:sz w:val="26"/>
          <w:szCs w:val="26"/>
        </w:rPr>
      </w:pPr>
      <w:r w:rsidRPr="00302F9E">
        <w:rPr>
          <w:sz w:val="26"/>
          <w:szCs w:val="26"/>
        </w:rPr>
        <w:lastRenderedPageBreak/>
        <w:t>* * *</w:t>
      </w:r>
    </w:p>
    <w:p w14:paraId="1B925916" w14:textId="77777777" w:rsidR="00367409" w:rsidRDefault="00367409" w:rsidP="008E1AD5">
      <w:pPr>
        <w:spacing w:line="240" w:lineRule="auto"/>
        <w:ind w:left="1440" w:right="1440"/>
        <w:jc w:val="center"/>
        <w:rPr>
          <w:sz w:val="26"/>
          <w:szCs w:val="26"/>
        </w:rPr>
      </w:pPr>
    </w:p>
    <w:p w14:paraId="5870622E" w14:textId="77777777" w:rsidR="00367409" w:rsidRDefault="00367409" w:rsidP="008E1AD5">
      <w:pPr>
        <w:spacing w:line="240" w:lineRule="auto"/>
        <w:ind w:left="1440" w:right="1440" w:firstLine="720"/>
        <w:rPr>
          <w:sz w:val="26"/>
          <w:szCs w:val="26"/>
        </w:rPr>
      </w:pPr>
      <w:r>
        <w:rPr>
          <w:sz w:val="26"/>
          <w:szCs w:val="26"/>
        </w:rPr>
        <w:t>9.</w:t>
      </w:r>
      <w:r>
        <w:rPr>
          <w:sz w:val="26"/>
          <w:szCs w:val="26"/>
        </w:rPr>
        <w:tab/>
      </w:r>
      <w:r w:rsidRPr="00302F9E">
        <w:rPr>
          <w:sz w:val="26"/>
          <w:szCs w:val="26"/>
        </w:rPr>
        <w:t>The Complainants failed to meet their burden of proving that UGI violated 52 Pa.</w:t>
      </w:r>
      <w:r>
        <w:rPr>
          <w:sz w:val="26"/>
          <w:szCs w:val="26"/>
        </w:rPr>
        <w:t xml:space="preserve"> </w:t>
      </w:r>
      <w:r w:rsidRPr="00302F9E">
        <w:rPr>
          <w:sz w:val="26"/>
          <w:szCs w:val="26"/>
        </w:rPr>
        <w:t>Code § 59.18(a)(5).</w:t>
      </w:r>
    </w:p>
    <w:p w14:paraId="6A735999" w14:textId="77777777" w:rsidR="00367409" w:rsidRDefault="00367409" w:rsidP="008E1AD5">
      <w:pPr>
        <w:spacing w:line="240" w:lineRule="auto"/>
        <w:rPr>
          <w:sz w:val="26"/>
          <w:szCs w:val="26"/>
        </w:rPr>
      </w:pPr>
    </w:p>
    <w:p w14:paraId="66412915" w14:textId="77777777" w:rsidR="003C2143" w:rsidRDefault="003C2143" w:rsidP="008E1AD5">
      <w:pPr>
        <w:rPr>
          <w:sz w:val="26"/>
          <w:szCs w:val="26"/>
        </w:rPr>
      </w:pPr>
    </w:p>
    <w:p w14:paraId="6CD1F70C" w14:textId="77777777" w:rsidR="00367409" w:rsidRDefault="00367409" w:rsidP="008E1AD5">
      <w:pPr>
        <w:rPr>
          <w:sz w:val="26"/>
          <w:szCs w:val="26"/>
        </w:rPr>
      </w:pPr>
      <w:r>
        <w:rPr>
          <w:sz w:val="26"/>
          <w:szCs w:val="26"/>
        </w:rPr>
        <w:t xml:space="preserve">CPHD’s position </w:t>
      </w:r>
      <w:r w:rsidR="00555B6A">
        <w:rPr>
          <w:sz w:val="26"/>
          <w:szCs w:val="26"/>
        </w:rPr>
        <w:t xml:space="preserve">is </w:t>
      </w:r>
      <w:r>
        <w:rPr>
          <w:sz w:val="26"/>
          <w:szCs w:val="26"/>
        </w:rPr>
        <w:t xml:space="preserve">that the Commonwealth Court’s decision in </w:t>
      </w:r>
      <w:r w:rsidRPr="00B24447">
        <w:rPr>
          <w:i/>
          <w:iCs/>
          <w:sz w:val="26"/>
          <w:szCs w:val="26"/>
        </w:rPr>
        <w:t>PEDF II</w:t>
      </w:r>
      <w:r>
        <w:rPr>
          <w:sz w:val="26"/>
          <w:szCs w:val="26"/>
        </w:rPr>
        <w:t xml:space="preserve"> places an affirmative duty on </w:t>
      </w:r>
      <w:r w:rsidRPr="00BF0CEF">
        <w:rPr>
          <w:i/>
          <w:iCs/>
          <w:sz w:val="26"/>
          <w:szCs w:val="26"/>
        </w:rPr>
        <w:t>every</w:t>
      </w:r>
      <w:r>
        <w:rPr>
          <w:sz w:val="26"/>
          <w:szCs w:val="26"/>
        </w:rPr>
        <w:t xml:space="preserve"> instrumentality of the Commonwealth to protect, as a trustee, the environmental, natural, and historical resources of the Commonwealth.  CPHD Exc. at 1 (citing Penn Const. art. 1 sec. 27; </w:t>
      </w:r>
      <w:r>
        <w:rPr>
          <w:i/>
          <w:iCs/>
          <w:sz w:val="26"/>
          <w:szCs w:val="26"/>
        </w:rPr>
        <w:t>PEDF II</w:t>
      </w:r>
      <w:r>
        <w:rPr>
          <w:sz w:val="26"/>
          <w:szCs w:val="26"/>
        </w:rPr>
        <w:t xml:space="preserve">) (emphasis added).  CPHD submits that as the preemptive regulator of public utilities, it is the Commission’s duty to determine how the City and CPHD fulfill their independent role in implementing </w:t>
      </w:r>
      <w:r w:rsidRPr="00B24447">
        <w:rPr>
          <w:i/>
          <w:iCs/>
          <w:sz w:val="26"/>
          <w:szCs w:val="26"/>
        </w:rPr>
        <w:t>PEDF II</w:t>
      </w:r>
      <w:r>
        <w:rPr>
          <w:sz w:val="26"/>
          <w:szCs w:val="26"/>
        </w:rPr>
        <w:t>.  CPHD Exc. at 2.</w:t>
      </w:r>
    </w:p>
    <w:p w14:paraId="4DFF8131" w14:textId="77777777" w:rsidR="00367409" w:rsidRDefault="00367409" w:rsidP="008E1AD5">
      <w:pPr>
        <w:rPr>
          <w:sz w:val="26"/>
          <w:szCs w:val="26"/>
        </w:rPr>
      </w:pPr>
    </w:p>
    <w:p w14:paraId="5E0C1C20" w14:textId="2DB8F950" w:rsidR="00367409" w:rsidRDefault="00367409" w:rsidP="008E1AD5">
      <w:pPr>
        <w:rPr>
          <w:sz w:val="26"/>
          <w:szCs w:val="26"/>
        </w:rPr>
      </w:pPr>
      <w:r>
        <w:rPr>
          <w:sz w:val="26"/>
          <w:szCs w:val="26"/>
        </w:rPr>
        <w:t xml:space="preserve">Furthermore, CPHD contends that the ALJ’s Initial Decision was in error due to a narrow interpretation of 52 Pa. Code § 59.18.  CPHD argues that the correct interpretation of the word “consider” requires more than the changes that UGI made to its customer notification process and, in fact, requires that both the City and CPHD be included in the process and UGI be required to notify customers who may live in historical districts of the sovereign historical guidance available.  CPHD Exc. at 2-3.  Lastly, CPHD states that while the Commission’s regulatory framework preempts local historic ordinances, the local bodies, namely the City and CPHD, should not be precluded from participation in the decisions regarding meter locations.  </w:t>
      </w:r>
      <w:r>
        <w:rPr>
          <w:i/>
          <w:iCs/>
          <w:sz w:val="26"/>
          <w:szCs w:val="26"/>
        </w:rPr>
        <w:t>Id.</w:t>
      </w:r>
      <w:r>
        <w:rPr>
          <w:sz w:val="26"/>
          <w:szCs w:val="26"/>
        </w:rPr>
        <w:t xml:space="preserve"> at 4.  CPHD asserts that the ALJ’s decision was contrary to the Pennsylvania Constitution and </w:t>
      </w:r>
      <w:r w:rsidRPr="002077D9">
        <w:rPr>
          <w:i/>
          <w:iCs/>
          <w:sz w:val="26"/>
          <w:szCs w:val="26"/>
        </w:rPr>
        <w:t>PEDF II</w:t>
      </w:r>
      <w:r>
        <w:rPr>
          <w:sz w:val="26"/>
          <w:szCs w:val="26"/>
        </w:rPr>
        <w:t xml:space="preserve"> because it did not contain a discussion regarding how the City and CPHD are to fulfill their constitutional duties within the framework of Section 59.18.  </w:t>
      </w:r>
      <w:r w:rsidRPr="00533219">
        <w:rPr>
          <w:i/>
          <w:iCs/>
          <w:sz w:val="26"/>
          <w:szCs w:val="26"/>
        </w:rPr>
        <w:t>Id</w:t>
      </w:r>
      <w:r>
        <w:rPr>
          <w:sz w:val="26"/>
          <w:szCs w:val="26"/>
        </w:rPr>
        <w:t>. at 4-5.</w:t>
      </w:r>
    </w:p>
    <w:p w14:paraId="119FE3F9" w14:textId="77777777" w:rsidR="00367409" w:rsidRDefault="00367409" w:rsidP="008E1AD5">
      <w:pPr>
        <w:rPr>
          <w:sz w:val="26"/>
          <w:szCs w:val="26"/>
        </w:rPr>
      </w:pPr>
    </w:p>
    <w:p w14:paraId="3DF993F6" w14:textId="77777777" w:rsidR="00367409" w:rsidRPr="00254281" w:rsidRDefault="00367409" w:rsidP="005442C3">
      <w:pPr>
        <w:keepNext/>
        <w:keepLines/>
        <w:rPr>
          <w:b/>
          <w:bCs/>
          <w:sz w:val="26"/>
          <w:szCs w:val="26"/>
        </w:rPr>
      </w:pPr>
      <w:r>
        <w:rPr>
          <w:b/>
          <w:bCs/>
          <w:sz w:val="26"/>
          <w:szCs w:val="26"/>
        </w:rPr>
        <w:lastRenderedPageBreak/>
        <w:t>b.</w:t>
      </w:r>
      <w:r>
        <w:rPr>
          <w:b/>
          <w:bCs/>
          <w:sz w:val="26"/>
          <w:szCs w:val="26"/>
        </w:rPr>
        <w:tab/>
      </w:r>
      <w:r w:rsidRPr="00254281">
        <w:rPr>
          <w:b/>
          <w:bCs/>
          <w:sz w:val="26"/>
          <w:szCs w:val="26"/>
        </w:rPr>
        <w:t>UGI</w:t>
      </w:r>
      <w:r>
        <w:rPr>
          <w:b/>
          <w:bCs/>
          <w:sz w:val="26"/>
          <w:szCs w:val="26"/>
        </w:rPr>
        <w:t>’s</w:t>
      </w:r>
      <w:r w:rsidRPr="00254281">
        <w:rPr>
          <w:b/>
          <w:bCs/>
          <w:sz w:val="26"/>
          <w:szCs w:val="26"/>
        </w:rPr>
        <w:t xml:space="preserve"> Repl</w:t>
      </w:r>
      <w:r>
        <w:rPr>
          <w:b/>
          <w:bCs/>
          <w:sz w:val="26"/>
          <w:szCs w:val="26"/>
        </w:rPr>
        <w:t>y</w:t>
      </w:r>
    </w:p>
    <w:p w14:paraId="2AAE094E" w14:textId="77777777" w:rsidR="00367409" w:rsidRDefault="00367409" w:rsidP="005442C3">
      <w:pPr>
        <w:keepNext/>
        <w:keepLines/>
        <w:rPr>
          <w:sz w:val="26"/>
          <w:szCs w:val="26"/>
        </w:rPr>
      </w:pPr>
    </w:p>
    <w:p w14:paraId="48A4FDFE" w14:textId="1E428725" w:rsidR="00367409" w:rsidRDefault="00367409" w:rsidP="005442C3">
      <w:pPr>
        <w:keepNext/>
        <w:keepLines/>
        <w:rPr>
          <w:sz w:val="26"/>
          <w:szCs w:val="26"/>
        </w:rPr>
      </w:pPr>
      <w:r>
        <w:rPr>
          <w:sz w:val="26"/>
          <w:szCs w:val="26"/>
        </w:rPr>
        <w:t>In reply, UGI argues that since CPHD failed to assert that 52 Pa. Code</w:t>
      </w:r>
      <w:r w:rsidR="005442C3">
        <w:rPr>
          <w:sz w:val="26"/>
          <w:szCs w:val="26"/>
        </w:rPr>
        <w:t xml:space="preserve"> </w:t>
      </w:r>
      <w:r>
        <w:rPr>
          <w:sz w:val="26"/>
          <w:szCs w:val="26"/>
        </w:rPr>
        <w:t xml:space="preserve">§ 59.18 is unconstitutional, there is no additional requirement for the Commission to take further action to protect historic resources, including allowing the City and CPHD to provide input on the Company’s meter placement decisions.  UGI R. Exc. at 23.  Moreover, UGI argues that CPHD would have no grounds for making such a claim as the Commonwealth Court in </w:t>
      </w:r>
      <w:r w:rsidRPr="007C31B9">
        <w:rPr>
          <w:i/>
          <w:iCs/>
          <w:sz w:val="26"/>
          <w:szCs w:val="26"/>
        </w:rPr>
        <w:t>City of Reading</w:t>
      </w:r>
      <w:r>
        <w:rPr>
          <w:sz w:val="26"/>
          <w:szCs w:val="26"/>
        </w:rPr>
        <w:t xml:space="preserve"> has already decided that 52 Pa. Code § 59.18 is in compliance with the ERA.  </w:t>
      </w:r>
      <w:r w:rsidRPr="00EA1C08">
        <w:rPr>
          <w:i/>
          <w:iCs/>
          <w:sz w:val="26"/>
          <w:szCs w:val="26"/>
        </w:rPr>
        <w:t>Id</w:t>
      </w:r>
      <w:r>
        <w:rPr>
          <w:sz w:val="26"/>
          <w:szCs w:val="26"/>
        </w:rPr>
        <w:t xml:space="preserve">. at 24.  UGI reasoned that </w:t>
      </w:r>
      <w:r>
        <w:rPr>
          <w:i/>
          <w:iCs/>
          <w:sz w:val="26"/>
          <w:szCs w:val="26"/>
        </w:rPr>
        <w:t>City of Reading</w:t>
      </w:r>
      <w:r>
        <w:rPr>
          <w:sz w:val="26"/>
          <w:szCs w:val="26"/>
        </w:rPr>
        <w:t xml:space="preserve"> has settled the question by determining that the Commission’s Regulation that requires NGDCs to “consider” inside meter locations in historic districts, but ultimately gives NGDCs the final decision on where to install meters, satisfies the Commission’s public trustee duties.  </w:t>
      </w:r>
      <w:r>
        <w:rPr>
          <w:i/>
          <w:iCs/>
          <w:sz w:val="26"/>
          <w:szCs w:val="26"/>
        </w:rPr>
        <w:t>Id</w:t>
      </w:r>
      <w:r>
        <w:rPr>
          <w:sz w:val="26"/>
          <w:szCs w:val="26"/>
        </w:rPr>
        <w:t xml:space="preserve">.  Lastly, UGI contends that the Commission has no responsibility for enabling the City and CPHD to meet their perceived obligations under the ERA, because the Commission is only tasked with fulfilling its duties as a public trustee and not with guiding municipal entities that are outside of its jurisdiction.  </w:t>
      </w:r>
      <w:r>
        <w:rPr>
          <w:i/>
          <w:iCs/>
          <w:sz w:val="26"/>
          <w:szCs w:val="26"/>
        </w:rPr>
        <w:t>Id.</w:t>
      </w:r>
      <w:r>
        <w:rPr>
          <w:sz w:val="26"/>
          <w:szCs w:val="26"/>
        </w:rPr>
        <w:t xml:space="preserve"> at 24-25.</w:t>
      </w:r>
    </w:p>
    <w:p w14:paraId="7CB0D236" w14:textId="77777777" w:rsidR="00367409" w:rsidRDefault="00367409" w:rsidP="008E1AD5">
      <w:pPr>
        <w:rPr>
          <w:b/>
          <w:bCs/>
          <w:sz w:val="26"/>
          <w:szCs w:val="26"/>
        </w:rPr>
      </w:pPr>
      <w:r>
        <w:rPr>
          <w:b/>
          <w:bCs/>
          <w:sz w:val="26"/>
          <w:szCs w:val="26"/>
        </w:rPr>
        <w:tab/>
      </w:r>
      <w:r>
        <w:rPr>
          <w:b/>
          <w:bCs/>
          <w:sz w:val="26"/>
          <w:szCs w:val="26"/>
        </w:rPr>
        <w:tab/>
      </w:r>
    </w:p>
    <w:p w14:paraId="267D52C3" w14:textId="77777777" w:rsidR="00367409" w:rsidRDefault="00367409" w:rsidP="008E1AD5">
      <w:pPr>
        <w:rPr>
          <w:b/>
          <w:bCs/>
          <w:sz w:val="26"/>
          <w:szCs w:val="26"/>
        </w:rPr>
      </w:pPr>
      <w:r>
        <w:rPr>
          <w:b/>
          <w:bCs/>
          <w:sz w:val="26"/>
          <w:szCs w:val="26"/>
        </w:rPr>
        <w:t>c.</w:t>
      </w:r>
      <w:r>
        <w:rPr>
          <w:b/>
          <w:bCs/>
          <w:sz w:val="26"/>
          <w:szCs w:val="26"/>
        </w:rPr>
        <w:tab/>
        <w:t>Disposition</w:t>
      </w:r>
    </w:p>
    <w:p w14:paraId="30DCC11B" w14:textId="77777777" w:rsidR="00367409" w:rsidRDefault="00367409" w:rsidP="008E1AD5">
      <w:pPr>
        <w:rPr>
          <w:b/>
          <w:bCs/>
          <w:sz w:val="26"/>
          <w:szCs w:val="26"/>
        </w:rPr>
      </w:pPr>
    </w:p>
    <w:p w14:paraId="48C40FBA" w14:textId="0E58BB15" w:rsidR="00367409" w:rsidRDefault="00806D12" w:rsidP="008E1AD5">
      <w:pPr>
        <w:ind w:firstLine="0"/>
        <w:rPr>
          <w:sz w:val="26"/>
          <w:szCs w:val="26"/>
        </w:rPr>
      </w:pPr>
      <w:r>
        <w:rPr>
          <w:sz w:val="26"/>
          <w:szCs w:val="26"/>
        </w:rPr>
        <w:tab/>
      </w:r>
      <w:r>
        <w:rPr>
          <w:sz w:val="26"/>
          <w:szCs w:val="26"/>
        </w:rPr>
        <w:tab/>
      </w:r>
      <w:r w:rsidR="00367409">
        <w:rPr>
          <w:sz w:val="26"/>
          <w:szCs w:val="26"/>
        </w:rPr>
        <w:t>Based on our review of the record and the Parties’ positions, we find that the ERA does impose obligations on each instrumentality of the Commonwealth, including CPHD and the City, but, because the Commission preempts the field of public utility regulation, the constitutional duties that CPHD raise</w:t>
      </w:r>
      <w:r w:rsidR="003C0A2C">
        <w:rPr>
          <w:sz w:val="26"/>
          <w:szCs w:val="26"/>
        </w:rPr>
        <w:t>s</w:t>
      </w:r>
      <w:r w:rsidR="00367409">
        <w:rPr>
          <w:sz w:val="26"/>
          <w:szCs w:val="26"/>
        </w:rPr>
        <w:t xml:space="preserve"> do not </w:t>
      </w:r>
      <w:r w:rsidR="00AE3175">
        <w:rPr>
          <w:sz w:val="26"/>
          <w:szCs w:val="26"/>
        </w:rPr>
        <w:t>surpass</w:t>
      </w:r>
      <w:r w:rsidR="00AE3175" w:rsidDel="00AE3175">
        <w:rPr>
          <w:sz w:val="26"/>
          <w:szCs w:val="26"/>
        </w:rPr>
        <w:t xml:space="preserve"> </w:t>
      </w:r>
      <w:r w:rsidR="00367409">
        <w:rPr>
          <w:sz w:val="26"/>
          <w:szCs w:val="26"/>
        </w:rPr>
        <w:t>all other legal concerns, namely the safety of the public.  CPHD’s argument relies primarily upon two interpretations of the jurisprudence before us</w:t>
      </w:r>
      <w:r w:rsidR="003C0A2C">
        <w:rPr>
          <w:sz w:val="26"/>
          <w:szCs w:val="26"/>
        </w:rPr>
        <w:t>:</w:t>
      </w:r>
      <w:r w:rsidR="00367409">
        <w:rPr>
          <w:sz w:val="26"/>
          <w:szCs w:val="26"/>
        </w:rPr>
        <w:t xml:space="preserve"> first, that in promulgating 52 Pa. Code§ 59.18, the Commission satisfied its constitutional </w:t>
      </w:r>
      <w:r w:rsidR="003C0A2C">
        <w:rPr>
          <w:sz w:val="26"/>
          <w:szCs w:val="26"/>
        </w:rPr>
        <w:t>duty</w:t>
      </w:r>
      <w:r w:rsidR="00367409">
        <w:rPr>
          <w:sz w:val="26"/>
          <w:szCs w:val="26"/>
        </w:rPr>
        <w:t xml:space="preserve"> under the ERA, but has failed to provide proper guidance to utilities and instrumentalities of the Commonwealth</w:t>
      </w:r>
      <w:r w:rsidR="003C0A2C">
        <w:rPr>
          <w:sz w:val="26"/>
          <w:szCs w:val="26"/>
        </w:rPr>
        <w:t>;</w:t>
      </w:r>
      <w:r w:rsidR="00367409">
        <w:rPr>
          <w:sz w:val="26"/>
          <w:szCs w:val="26"/>
        </w:rPr>
        <w:t xml:space="preserve"> and second, that the Commission has a responsibility, as the preemptive authority of public </w:t>
      </w:r>
      <w:r w:rsidR="00367409">
        <w:rPr>
          <w:sz w:val="26"/>
          <w:szCs w:val="26"/>
        </w:rPr>
        <w:lastRenderedPageBreak/>
        <w:t>utilit</w:t>
      </w:r>
      <w:r w:rsidR="003C0A2C">
        <w:rPr>
          <w:sz w:val="26"/>
          <w:szCs w:val="26"/>
        </w:rPr>
        <w:t>y regulation</w:t>
      </w:r>
      <w:r w:rsidR="00367409">
        <w:rPr>
          <w:sz w:val="26"/>
          <w:szCs w:val="26"/>
        </w:rPr>
        <w:t xml:space="preserve">, to determine the role of instrumentalities of the Commonwealth in satisfying their </w:t>
      </w:r>
      <w:r w:rsidR="003C0A2C">
        <w:rPr>
          <w:sz w:val="26"/>
          <w:szCs w:val="26"/>
        </w:rPr>
        <w:t>duties</w:t>
      </w:r>
      <w:r w:rsidR="00367409">
        <w:rPr>
          <w:sz w:val="26"/>
          <w:szCs w:val="26"/>
        </w:rPr>
        <w:t xml:space="preserve"> under </w:t>
      </w:r>
      <w:r w:rsidR="00367409" w:rsidRPr="003C0A2C">
        <w:rPr>
          <w:i/>
          <w:iCs/>
          <w:sz w:val="26"/>
          <w:szCs w:val="26"/>
        </w:rPr>
        <w:t>PEDF II</w:t>
      </w:r>
      <w:r w:rsidR="00367409">
        <w:rPr>
          <w:sz w:val="26"/>
          <w:szCs w:val="26"/>
        </w:rPr>
        <w:t>.</w:t>
      </w:r>
    </w:p>
    <w:p w14:paraId="249C3062" w14:textId="77777777" w:rsidR="00367409" w:rsidRDefault="00367409" w:rsidP="008E1AD5">
      <w:pPr>
        <w:rPr>
          <w:sz w:val="26"/>
          <w:szCs w:val="26"/>
        </w:rPr>
      </w:pPr>
    </w:p>
    <w:p w14:paraId="16F8E2F7" w14:textId="77777777" w:rsidR="00367409" w:rsidRDefault="00367409" w:rsidP="008E1AD5">
      <w:pPr>
        <w:rPr>
          <w:sz w:val="26"/>
          <w:szCs w:val="26"/>
        </w:rPr>
      </w:pPr>
      <w:r>
        <w:rPr>
          <w:sz w:val="26"/>
          <w:szCs w:val="26"/>
        </w:rPr>
        <w:t xml:space="preserve">The Commonwealth Court determined in </w:t>
      </w:r>
      <w:r w:rsidRPr="00C44B7C">
        <w:rPr>
          <w:i/>
          <w:iCs/>
          <w:sz w:val="26"/>
          <w:szCs w:val="26"/>
        </w:rPr>
        <w:t>PEDF II</w:t>
      </w:r>
      <w:r>
        <w:rPr>
          <w:sz w:val="26"/>
          <w:szCs w:val="26"/>
        </w:rPr>
        <w:t xml:space="preserve"> that the ERA was not merely an aspirational goal for the Commonwealth to aspire to, but instead a responsibility of every instrumentality of the Commonwealth to “conserve and maintain” the public natural resources of the Commonwealth.  </w:t>
      </w:r>
      <w:r w:rsidR="00C44B7C" w:rsidRPr="00C44B7C">
        <w:rPr>
          <w:i/>
          <w:iCs/>
          <w:sz w:val="26"/>
          <w:szCs w:val="26"/>
        </w:rPr>
        <w:t>PEDF II</w:t>
      </w:r>
      <w:r w:rsidR="00C44B7C">
        <w:rPr>
          <w:sz w:val="26"/>
          <w:szCs w:val="26"/>
        </w:rPr>
        <w:t>,</w:t>
      </w:r>
      <w:r w:rsidR="00C44B7C" w:rsidRPr="00081728">
        <w:rPr>
          <w:i/>
          <w:iCs/>
          <w:sz w:val="26"/>
          <w:szCs w:val="26"/>
        </w:rPr>
        <w:t xml:space="preserve"> </w:t>
      </w:r>
      <w:r w:rsidR="00C44B7C">
        <w:rPr>
          <w:sz w:val="26"/>
          <w:szCs w:val="26"/>
        </w:rPr>
        <w:t>161</w:t>
      </w:r>
      <w:r w:rsidRPr="00081728">
        <w:rPr>
          <w:sz w:val="26"/>
          <w:szCs w:val="26"/>
        </w:rPr>
        <w:t xml:space="preserve"> A.3d </w:t>
      </w:r>
      <w:r w:rsidR="00C44B7C">
        <w:rPr>
          <w:sz w:val="26"/>
          <w:szCs w:val="26"/>
        </w:rPr>
        <w:t>at</w:t>
      </w:r>
      <w:r>
        <w:rPr>
          <w:sz w:val="26"/>
          <w:szCs w:val="26"/>
        </w:rPr>
        <w:t xml:space="preserve"> 932.  The ERA is also clear that the public natural resources of the Commonwealth include the historical values of the environment.  </w:t>
      </w:r>
      <w:r w:rsidRPr="00124FFF">
        <w:rPr>
          <w:sz w:val="26"/>
          <w:szCs w:val="26"/>
        </w:rPr>
        <w:t>Pa. Const. Art. 1 § 27.</w:t>
      </w:r>
      <w:r>
        <w:rPr>
          <w:sz w:val="26"/>
          <w:szCs w:val="26"/>
        </w:rPr>
        <w:t xml:space="preserve">  Taken together, this leads to the conclusion that the instrumentalities of the Commonwealth have a duty to everyone in the Commonwealth, present and future, to protect the environment with prudence, loyalty, and impartiality.  The duty of prudence requires all instrumentalities of the </w:t>
      </w:r>
      <w:r w:rsidR="00C44B7C">
        <w:rPr>
          <w:sz w:val="26"/>
          <w:szCs w:val="26"/>
        </w:rPr>
        <w:t>C</w:t>
      </w:r>
      <w:r>
        <w:rPr>
          <w:sz w:val="26"/>
          <w:szCs w:val="26"/>
        </w:rPr>
        <w:t xml:space="preserve">ommonwealth to exercise ordinary skill, prudence, and caution in managing the corpus of the trust.  </w:t>
      </w:r>
      <w:r w:rsidRPr="00565D31">
        <w:rPr>
          <w:i/>
          <w:iCs/>
          <w:sz w:val="26"/>
          <w:szCs w:val="26"/>
        </w:rPr>
        <w:t>Robinson Twp., Washington Cty. v. Com</w:t>
      </w:r>
      <w:r w:rsidRPr="00277DC0">
        <w:rPr>
          <w:sz w:val="26"/>
          <w:szCs w:val="26"/>
        </w:rPr>
        <w:t>.</w:t>
      </w:r>
      <w:r w:rsidR="00277DC0" w:rsidRPr="00277DC0">
        <w:rPr>
          <w:sz w:val="26"/>
          <w:szCs w:val="26"/>
        </w:rPr>
        <w:t xml:space="preserve"> (</w:t>
      </w:r>
      <w:r w:rsidR="00277DC0">
        <w:rPr>
          <w:i/>
          <w:iCs/>
          <w:sz w:val="26"/>
          <w:szCs w:val="26"/>
        </w:rPr>
        <w:t>Robinson</w:t>
      </w:r>
      <w:r w:rsidR="001B1128">
        <w:rPr>
          <w:i/>
          <w:iCs/>
          <w:sz w:val="26"/>
          <w:szCs w:val="26"/>
        </w:rPr>
        <w:t xml:space="preserve"> Twp.</w:t>
      </w:r>
      <w:r w:rsidR="00277DC0">
        <w:rPr>
          <w:sz w:val="26"/>
          <w:szCs w:val="26"/>
        </w:rPr>
        <w:t>)</w:t>
      </w:r>
      <w:r w:rsidRPr="00565D31">
        <w:rPr>
          <w:sz w:val="26"/>
          <w:szCs w:val="26"/>
        </w:rPr>
        <w:t>, 623 Pa. 564, 655</w:t>
      </w:r>
      <w:r>
        <w:rPr>
          <w:sz w:val="26"/>
          <w:szCs w:val="26"/>
        </w:rPr>
        <w:t xml:space="preserve"> </w:t>
      </w:r>
      <w:r w:rsidRPr="00565D31">
        <w:rPr>
          <w:sz w:val="26"/>
          <w:szCs w:val="26"/>
        </w:rPr>
        <w:t>(2013)</w:t>
      </w:r>
      <w:r>
        <w:rPr>
          <w:sz w:val="26"/>
          <w:szCs w:val="26"/>
        </w:rPr>
        <w:t xml:space="preserve"> (citing </w:t>
      </w:r>
      <w:r w:rsidRPr="000402FF">
        <w:rPr>
          <w:i/>
          <w:iCs/>
          <w:sz w:val="26"/>
          <w:szCs w:val="26"/>
        </w:rPr>
        <w:t>Lang v. Com., Dep</w:t>
      </w:r>
      <w:r w:rsidR="00277DC0">
        <w:rPr>
          <w:i/>
          <w:iCs/>
          <w:sz w:val="26"/>
          <w:szCs w:val="26"/>
        </w:rPr>
        <w:t>’</w:t>
      </w:r>
      <w:r w:rsidRPr="000402FF">
        <w:rPr>
          <w:i/>
          <w:iCs/>
          <w:sz w:val="26"/>
          <w:szCs w:val="26"/>
        </w:rPr>
        <w:t>t of Pub. Welfare</w:t>
      </w:r>
      <w:r w:rsidRPr="000402FF">
        <w:rPr>
          <w:sz w:val="26"/>
          <w:szCs w:val="26"/>
        </w:rPr>
        <w:t>, 515 Pa. 428, 440 (1987)</w:t>
      </w:r>
      <w:r>
        <w:rPr>
          <w:sz w:val="26"/>
          <w:szCs w:val="26"/>
        </w:rPr>
        <w:t xml:space="preserve">).  The duty of loyalty requires all instrumentalities of the Commonwealth to administer the trust solely for the beneficiary’s interest and not their own.  </w:t>
      </w:r>
      <w:r w:rsidRPr="00565D31">
        <w:rPr>
          <w:i/>
          <w:iCs/>
          <w:sz w:val="26"/>
          <w:szCs w:val="26"/>
        </w:rPr>
        <w:t>Robinson</w:t>
      </w:r>
      <w:r w:rsidR="001B1128">
        <w:rPr>
          <w:i/>
          <w:iCs/>
          <w:sz w:val="26"/>
          <w:szCs w:val="26"/>
        </w:rPr>
        <w:t xml:space="preserve"> Twp.</w:t>
      </w:r>
      <w:r>
        <w:rPr>
          <w:sz w:val="26"/>
          <w:szCs w:val="26"/>
        </w:rPr>
        <w:t xml:space="preserve">, </w:t>
      </w:r>
      <w:r w:rsidRPr="00565D31">
        <w:rPr>
          <w:sz w:val="26"/>
          <w:szCs w:val="26"/>
        </w:rPr>
        <w:t>623 Pa.</w:t>
      </w:r>
      <w:r>
        <w:rPr>
          <w:sz w:val="26"/>
          <w:szCs w:val="26"/>
        </w:rPr>
        <w:t xml:space="preserve"> </w:t>
      </w:r>
      <w:r w:rsidR="00277DC0">
        <w:rPr>
          <w:sz w:val="26"/>
          <w:szCs w:val="26"/>
        </w:rPr>
        <w:t xml:space="preserve">at </w:t>
      </w:r>
      <w:r>
        <w:rPr>
          <w:sz w:val="26"/>
          <w:szCs w:val="26"/>
        </w:rPr>
        <w:t xml:space="preserve">655 (citing </w:t>
      </w:r>
      <w:r w:rsidRPr="008D6880">
        <w:rPr>
          <w:i/>
          <w:iCs/>
          <w:sz w:val="26"/>
          <w:szCs w:val="26"/>
        </w:rPr>
        <w:t>In re Hamill</w:t>
      </w:r>
      <w:r w:rsidR="00277DC0">
        <w:rPr>
          <w:i/>
          <w:iCs/>
          <w:sz w:val="26"/>
          <w:szCs w:val="26"/>
        </w:rPr>
        <w:t>’</w:t>
      </w:r>
      <w:r w:rsidRPr="008D6880">
        <w:rPr>
          <w:i/>
          <w:iCs/>
          <w:sz w:val="26"/>
          <w:szCs w:val="26"/>
        </w:rPr>
        <w:t>s Estate</w:t>
      </w:r>
      <w:r w:rsidRPr="008D6880">
        <w:rPr>
          <w:sz w:val="26"/>
          <w:szCs w:val="26"/>
        </w:rPr>
        <w:t>, 487 Pa. 592, 598 (1980)</w:t>
      </w:r>
      <w:r w:rsidR="00277DC0">
        <w:rPr>
          <w:sz w:val="26"/>
          <w:szCs w:val="26"/>
        </w:rPr>
        <w:t>)</w:t>
      </w:r>
      <w:r>
        <w:rPr>
          <w:sz w:val="26"/>
          <w:szCs w:val="26"/>
        </w:rPr>
        <w:t xml:space="preserve">.  The duty of impartiality requires all instrumentalities of the Commonwealth to </w:t>
      </w:r>
      <w:r w:rsidRPr="00595ED8">
        <w:rPr>
          <w:sz w:val="26"/>
          <w:szCs w:val="26"/>
        </w:rPr>
        <w:t>treat all equitably</w:t>
      </w:r>
      <w:r w:rsidR="00277DC0">
        <w:rPr>
          <w:sz w:val="26"/>
          <w:szCs w:val="26"/>
        </w:rPr>
        <w:t>,</w:t>
      </w:r>
      <w:r w:rsidRPr="00595ED8">
        <w:rPr>
          <w:sz w:val="26"/>
          <w:szCs w:val="26"/>
        </w:rPr>
        <w:t xml:space="preserve"> considering the purposes of the trust.</w:t>
      </w:r>
      <w:r>
        <w:rPr>
          <w:sz w:val="26"/>
          <w:szCs w:val="26"/>
        </w:rPr>
        <w:t xml:space="preserve">  </w:t>
      </w:r>
      <w:r>
        <w:rPr>
          <w:i/>
          <w:iCs/>
          <w:sz w:val="26"/>
          <w:szCs w:val="26"/>
        </w:rPr>
        <w:t>Id</w:t>
      </w:r>
      <w:r>
        <w:rPr>
          <w:sz w:val="26"/>
          <w:szCs w:val="26"/>
        </w:rPr>
        <w:t>. at 659.</w:t>
      </w:r>
    </w:p>
    <w:p w14:paraId="6527DC85" w14:textId="77777777" w:rsidR="00367409" w:rsidRDefault="00367409" w:rsidP="008E1AD5">
      <w:pPr>
        <w:rPr>
          <w:sz w:val="26"/>
          <w:szCs w:val="26"/>
        </w:rPr>
      </w:pPr>
    </w:p>
    <w:p w14:paraId="4543BC66" w14:textId="5AC3FE35" w:rsidR="00561C8D" w:rsidRDefault="00367409" w:rsidP="008E1AD5">
      <w:pPr>
        <w:rPr>
          <w:sz w:val="26"/>
          <w:szCs w:val="26"/>
        </w:rPr>
      </w:pPr>
      <w:r>
        <w:rPr>
          <w:sz w:val="26"/>
          <w:szCs w:val="26"/>
        </w:rPr>
        <w:t>While these duties are undisputedly required of the Commission, the Parties dispute whether the Commission sufficiently satisfied its duties to the public trust by implementing 52 Pa. Code § 59.18, and whether the City and CPHD have the same duties.  In addressing the first issue, we find that we have satisf</w:t>
      </w:r>
      <w:r w:rsidR="00277DC0">
        <w:rPr>
          <w:sz w:val="26"/>
          <w:szCs w:val="26"/>
        </w:rPr>
        <w:t>ied</w:t>
      </w:r>
      <w:r>
        <w:rPr>
          <w:sz w:val="26"/>
          <w:szCs w:val="26"/>
        </w:rPr>
        <w:t xml:space="preserve"> our obligations under the ERA</w:t>
      </w:r>
      <w:r w:rsidR="00277DC0">
        <w:rPr>
          <w:sz w:val="26"/>
          <w:szCs w:val="26"/>
        </w:rPr>
        <w:t xml:space="preserve"> in promulgating Section 59.18</w:t>
      </w:r>
      <w:r>
        <w:rPr>
          <w:sz w:val="26"/>
          <w:szCs w:val="26"/>
        </w:rPr>
        <w:t xml:space="preserve">.  </w:t>
      </w:r>
      <w:r w:rsidR="00EC21F1">
        <w:rPr>
          <w:sz w:val="26"/>
          <w:szCs w:val="26"/>
        </w:rPr>
        <w:t xml:space="preserve">Our decision is supported by </w:t>
      </w:r>
      <w:r w:rsidR="00EC21F1" w:rsidRPr="00EC21F1">
        <w:rPr>
          <w:i/>
          <w:iCs/>
          <w:sz w:val="26"/>
          <w:szCs w:val="26"/>
        </w:rPr>
        <w:t>City of Reading</w:t>
      </w:r>
      <w:r w:rsidR="00EC21F1">
        <w:rPr>
          <w:sz w:val="26"/>
          <w:szCs w:val="26"/>
        </w:rPr>
        <w:t>, in which the Commonwealth Court ruled that</w:t>
      </w:r>
      <w:r w:rsidR="00D55A26">
        <w:rPr>
          <w:sz w:val="26"/>
          <w:szCs w:val="26"/>
        </w:rPr>
        <w:t>: (1)</w:t>
      </w:r>
      <w:r w:rsidR="00EC21F1">
        <w:rPr>
          <w:sz w:val="26"/>
          <w:szCs w:val="26"/>
        </w:rPr>
        <w:t xml:space="preserve"> </w:t>
      </w:r>
      <w:r w:rsidR="00D55A26">
        <w:rPr>
          <w:sz w:val="26"/>
          <w:szCs w:val="26"/>
        </w:rPr>
        <w:t xml:space="preserve">the Code vests the Commission with exclusive authority over the regulation of public utilities, and local ordinances that conflict with Commission Regulations or Orders are preempted; and (2) Section 59.18 is </w:t>
      </w:r>
      <w:r w:rsidR="00D55A26">
        <w:rPr>
          <w:sz w:val="26"/>
          <w:szCs w:val="26"/>
        </w:rPr>
        <w:lastRenderedPageBreak/>
        <w:t xml:space="preserve">constitutional because it “takes into account the interest in protection of historic resources by providing for consideration of indoor meter placement in historic districts.”  </w:t>
      </w:r>
      <w:r w:rsidR="00D55A26" w:rsidRPr="00704D31">
        <w:rPr>
          <w:i/>
          <w:iCs/>
          <w:sz w:val="26"/>
          <w:szCs w:val="26"/>
        </w:rPr>
        <w:t>City of Reading</w:t>
      </w:r>
      <w:r w:rsidR="00D55A26">
        <w:rPr>
          <w:sz w:val="26"/>
          <w:szCs w:val="26"/>
        </w:rPr>
        <w:t xml:space="preserve">, 179 A. 3d at 628, </w:t>
      </w:r>
      <w:r w:rsidR="00084DCD">
        <w:rPr>
          <w:sz w:val="26"/>
          <w:szCs w:val="26"/>
        </w:rPr>
        <w:t xml:space="preserve">631-632.  </w:t>
      </w:r>
      <w:r w:rsidR="00CC73F3">
        <w:rPr>
          <w:sz w:val="26"/>
          <w:szCs w:val="26"/>
        </w:rPr>
        <w:t>We have provided guidance in our Regulation and rulemaking orders regarding consideration of inside meter placement in historic districts</w:t>
      </w:r>
      <w:r w:rsidR="00F36FD0">
        <w:rPr>
          <w:sz w:val="26"/>
          <w:szCs w:val="26"/>
        </w:rPr>
        <w:t>,</w:t>
      </w:r>
      <w:r w:rsidR="00CC73F3">
        <w:rPr>
          <w:sz w:val="26"/>
          <w:szCs w:val="26"/>
        </w:rPr>
        <w:t xml:space="preserve"> and we are </w:t>
      </w:r>
      <w:r w:rsidR="007F0336">
        <w:rPr>
          <w:sz w:val="26"/>
          <w:szCs w:val="26"/>
        </w:rPr>
        <w:t xml:space="preserve">cognizant of our duties </w:t>
      </w:r>
      <w:r w:rsidR="00F36FD0">
        <w:rPr>
          <w:sz w:val="26"/>
          <w:szCs w:val="26"/>
        </w:rPr>
        <w:t xml:space="preserve">under the ERA </w:t>
      </w:r>
      <w:r w:rsidR="007F0336">
        <w:rPr>
          <w:sz w:val="26"/>
          <w:szCs w:val="26"/>
        </w:rPr>
        <w:t xml:space="preserve">to </w:t>
      </w:r>
      <w:r w:rsidR="00F36FD0">
        <w:rPr>
          <w:sz w:val="26"/>
          <w:szCs w:val="26"/>
        </w:rPr>
        <w:t>preserve the historical aspects of the environment.</w:t>
      </w:r>
    </w:p>
    <w:p w14:paraId="529F65FA" w14:textId="77777777" w:rsidR="00561C8D" w:rsidRDefault="00561C8D" w:rsidP="008E1AD5">
      <w:pPr>
        <w:rPr>
          <w:sz w:val="26"/>
          <w:szCs w:val="26"/>
        </w:rPr>
      </w:pPr>
    </w:p>
    <w:p w14:paraId="48180841" w14:textId="7FEF19F9" w:rsidR="00367409" w:rsidRDefault="00561C8D" w:rsidP="008E1AD5">
      <w:pPr>
        <w:rPr>
          <w:sz w:val="26"/>
          <w:szCs w:val="26"/>
        </w:rPr>
      </w:pPr>
      <w:r>
        <w:rPr>
          <w:sz w:val="26"/>
          <w:szCs w:val="26"/>
        </w:rPr>
        <w:t>With respect to the second issue, CPHD c</w:t>
      </w:r>
      <w:r w:rsidR="00367409">
        <w:rPr>
          <w:sz w:val="26"/>
          <w:szCs w:val="26"/>
        </w:rPr>
        <w:t xml:space="preserve">ontends that the ALJ erred in her decision on the basis that preemption is not the same as preclusion and that because of their duties to the public trust, the City and CPHD deserve a “seat at the table” in UGI’s “consideration” of inside meter placement.  On this point, we can only partially agree with CPHD.  The Courts have been clear that all instrumentalities of the Commonwealth have an affirmative duty to protect the public trust with prudence, loyalty, and impartiality.  </w:t>
      </w:r>
      <w:r w:rsidR="00367409">
        <w:rPr>
          <w:i/>
          <w:iCs/>
          <w:sz w:val="26"/>
          <w:szCs w:val="26"/>
        </w:rPr>
        <w:t>See</w:t>
      </w:r>
      <w:r w:rsidR="00367409">
        <w:rPr>
          <w:sz w:val="26"/>
          <w:szCs w:val="26"/>
        </w:rPr>
        <w:t xml:space="preserve">, </w:t>
      </w:r>
      <w:r w:rsidR="00367409">
        <w:rPr>
          <w:i/>
          <w:iCs/>
          <w:sz w:val="26"/>
          <w:szCs w:val="26"/>
        </w:rPr>
        <w:t>PEDF II</w:t>
      </w:r>
      <w:r w:rsidR="00367409" w:rsidRPr="00213C60">
        <w:rPr>
          <w:sz w:val="26"/>
          <w:szCs w:val="26"/>
        </w:rPr>
        <w:t xml:space="preserve">, </w:t>
      </w:r>
      <w:r w:rsidR="001B1128">
        <w:rPr>
          <w:sz w:val="26"/>
          <w:szCs w:val="26"/>
        </w:rPr>
        <w:t xml:space="preserve">161 </w:t>
      </w:r>
      <w:r w:rsidR="00367409" w:rsidRPr="00213C60">
        <w:rPr>
          <w:sz w:val="26"/>
          <w:szCs w:val="26"/>
        </w:rPr>
        <w:t xml:space="preserve">A.3d </w:t>
      </w:r>
      <w:r w:rsidR="001B1128">
        <w:rPr>
          <w:sz w:val="26"/>
          <w:szCs w:val="26"/>
        </w:rPr>
        <w:t>at</w:t>
      </w:r>
      <w:r w:rsidR="00367409" w:rsidRPr="00213C60">
        <w:rPr>
          <w:sz w:val="26"/>
          <w:szCs w:val="26"/>
        </w:rPr>
        <w:t xml:space="preserve"> 932</w:t>
      </w:r>
      <w:r w:rsidR="00367409">
        <w:rPr>
          <w:sz w:val="26"/>
          <w:szCs w:val="26"/>
        </w:rPr>
        <w:t xml:space="preserve"> n.23.  Therefore, CPHD is correct that it</w:t>
      </w:r>
      <w:r w:rsidR="0085272E">
        <w:rPr>
          <w:sz w:val="26"/>
          <w:szCs w:val="26"/>
        </w:rPr>
        <w:t>,</w:t>
      </w:r>
      <w:r w:rsidR="00367409">
        <w:rPr>
          <w:sz w:val="26"/>
          <w:szCs w:val="26"/>
        </w:rPr>
        <w:t xml:space="preserve"> the City</w:t>
      </w:r>
      <w:r w:rsidR="0085272E">
        <w:rPr>
          <w:sz w:val="26"/>
          <w:szCs w:val="26"/>
        </w:rPr>
        <w:t>, and the Commission</w:t>
      </w:r>
      <w:r w:rsidR="00367409">
        <w:rPr>
          <w:sz w:val="26"/>
          <w:szCs w:val="26"/>
        </w:rPr>
        <w:t xml:space="preserve"> have an affirmative duty to protect all facets of the environment under the ERA, including the historical values of an area.</w:t>
      </w:r>
    </w:p>
    <w:p w14:paraId="5D0176AF" w14:textId="77777777" w:rsidR="00367409" w:rsidRDefault="00367409" w:rsidP="008E1AD5">
      <w:pPr>
        <w:rPr>
          <w:sz w:val="26"/>
          <w:szCs w:val="26"/>
        </w:rPr>
      </w:pPr>
    </w:p>
    <w:p w14:paraId="1C3305F2" w14:textId="14460D17" w:rsidR="00DA7C07" w:rsidRDefault="00367409" w:rsidP="008E1AD5">
      <w:pPr>
        <w:rPr>
          <w:sz w:val="26"/>
          <w:szCs w:val="26"/>
        </w:rPr>
      </w:pPr>
      <w:r>
        <w:rPr>
          <w:sz w:val="26"/>
          <w:szCs w:val="26"/>
        </w:rPr>
        <w:t xml:space="preserve">However, we must depart from CPHD’s interpretation of the law at this point.  The Commonwealth Court in </w:t>
      </w:r>
      <w:r>
        <w:rPr>
          <w:i/>
          <w:iCs/>
          <w:sz w:val="26"/>
          <w:szCs w:val="26"/>
        </w:rPr>
        <w:t>Delaware Riverkeeper</w:t>
      </w:r>
      <w:r>
        <w:rPr>
          <w:sz w:val="26"/>
          <w:szCs w:val="26"/>
        </w:rPr>
        <w:t xml:space="preserve"> stated that even though the Township had a constitutional duty to protect public natural resources, an intent to protect public natural resources does not </w:t>
      </w:r>
      <w:r w:rsidR="00AE3175">
        <w:rPr>
          <w:sz w:val="26"/>
          <w:szCs w:val="26"/>
        </w:rPr>
        <w:t>exceed</w:t>
      </w:r>
      <w:r w:rsidR="00AE3175" w:rsidDel="00AE3175">
        <w:rPr>
          <w:sz w:val="26"/>
          <w:szCs w:val="26"/>
        </w:rPr>
        <w:t xml:space="preserve"> </w:t>
      </w:r>
      <w:r>
        <w:rPr>
          <w:sz w:val="26"/>
          <w:szCs w:val="26"/>
        </w:rPr>
        <w:t xml:space="preserve">all other legal concerns raised by a party.  </w:t>
      </w:r>
      <w:r w:rsidRPr="006A24C8">
        <w:rPr>
          <w:i/>
          <w:iCs/>
          <w:sz w:val="26"/>
          <w:szCs w:val="26"/>
        </w:rPr>
        <w:t>Delaware Riverkeeper Network v. Sunoco Pipeline L.P.</w:t>
      </w:r>
      <w:r w:rsidRPr="006A24C8">
        <w:rPr>
          <w:sz w:val="26"/>
          <w:szCs w:val="26"/>
        </w:rPr>
        <w:t xml:space="preserve">, 179 A.3d 670, </w:t>
      </w:r>
      <w:r>
        <w:rPr>
          <w:sz w:val="26"/>
          <w:szCs w:val="26"/>
        </w:rPr>
        <w:t>695-</w:t>
      </w:r>
      <w:r w:rsidRPr="006A24C8">
        <w:rPr>
          <w:sz w:val="26"/>
          <w:szCs w:val="26"/>
        </w:rPr>
        <w:t>696 (Pa. C</w:t>
      </w:r>
      <w:r>
        <w:rPr>
          <w:sz w:val="26"/>
          <w:szCs w:val="26"/>
        </w:rPr>
        <w:t>mwlth. 2018</w:t>
      </w:r>
      <w:r w:rsidRPr="006A24C8">
        <w:rPr>
          <w:sz w:val="26"/>
          <w:szCs w:val="26"/>
        </w:rPr>
        <w:t>)</w:t>
      </w:r>
      <w:r>
        <w:rPr>
          <w:sz w:val="26"/>
          <w:szCs w:val="26"/>
        </w:rPr>
        <w:t xml:space="preserve">.  </w:t>
      </w:r>
      <w:r w:rsidR="00DA7C07">
        <w:rPr>
          <w:sz w:val="26"/>
          <w:szCs w:val="26"/>
        </w:rPr>
        <w:t xml:space="preserve">Additionally, the ERA does not stand for the proposition that the landscape of the Commonwealth must remain stagnant, as the Pennsylvania Supreme Court has consistently held that decisions made by the Commonwealth must only, on balance, reasonably account for the environmental features of the affected locale.  </w:t>
      </w:r>
      <w:r w:rsidR="00DA7C07" w:rsidRPr="00A213DE">
        <w:rPr>
          <w:i/>
          <w:iCs/>
          <w:sz w:val="26"/>
          <w:szCs w:val="26"/>
        </w:rPr>
        <w:t>Robinson Twp.</w:t>
      </w:r>
      <w:r w:rsidR="00DA7C07">
        <w:rPr>
          <w:i/>
          <w:iCs/>
          <w:sz w:val="26"/>
          <w:szCs w:val="26"/>
        </w:rPr>
        <w:t xml:space="preserve"> </w:t>
      </w:r>
      <w:r w:rsidR="00DA7C07">
        <w:rPr>
          <w:sz w:val="26"/>
          <w:szCs w:val="26"/>
        </w:rPr>
        <w:t xml:space="preserve">(citing </w:t>
      </w:r>
      <w:r w:rsidR="00DA7C07" w:rsidRPr="00A056EC">
        <w:rPr>
          <w:sz w:val="26"/>
          <w:szCs w:val="26"/>
        </w:rPr>
        <w:t xml:space="preserve">John C. Dernbach, </w:t>
      </w:r>
      <w:r w:rsidR="00DA7C07" w:rsidRPr="00A056EC">
        <w:rPr>
          <w:i/>
          <w:iCs/>
          <w:sz w:val="26"/>
          <w:szCs w:val="26"/>
        </w:rPr>
        <w:t>Taking the Pennsylvania Constitution Seriously When It Protects the Environment: Part II—Environmental Rights and Public Trust</w:t>
      </w:r>
      <w:r w:rsidR="00DA7C07" w:rsidRPr="00A056EC">
        <w:rPr>
          <w:sz w:val="26"/>
          <w:szCs w:val="26"/>
        </w:rPr>
        <w:t>, 104 Dickinson L. Rev. 97, 17–20 (1999)</w:t>
      </w:r>
      <w:r w:rsidR="00DA7C07">
        <w:rPr>
          <w:sz w:val="26"/>
          <w:szCs w:val="26"/>
        </w:rPr>
        <w:t>).</w:t>
      </w:r>
    </w:p>
    <w:p w14:paraId="4D82B124" w14:textId="6320542A" w:rsidR="00367409" w:rsidRPr="006A24C8" w:rsidRDefault="00DA7C07" w:rsidP="008E1AD5">
      <w:pPr>
        <w:rPr>
          <w:sz w:val="26"/>
          <w:szCs w:val="26"/>
        </w:rPr>
      </w:pPr>
      <w:r>
        <w:rPr>
          <w:sz w:val="26"/>
          <w:szCs w:val="26"/>
        </w:rPr>
        <w:lastRenderedPageBreak/>
        <w:t>A</w:t>
      </w:r>
      <w:r w:rsidR="0085272E">
        <w:rPr>
          <w:sz w:val="26"/>
          <w:szCs w:val="26"/>
        </w:rPr>
        <w:t xml:space="preserve">s the preemptive regulator in the field of public utilities, </w:t>
      </w:r>
      <w:r w:rsidR="00367409">
        <w:rPr>
          <w:sz w:val="26"/>
          <w:szCs w:val="26"/>
        </w:rPr>
        <w:t xml:space="preserve">we </w:t>
      </w:r>
      <w:r w:rsidR="00770B98">
        <w:rPr>
          <w:sz w:val="26"/>
          <w:szCs w:val="26"/>
        </w:rPr>
        <w:t xml:space="preserve">have </w:t>
      </w:r>
      <w:r>
        <w:rPr>
          <w:sz w:val="26"/>
          <w:szCs w:val="26"/>
        </w:rPr>
        <w:t>a</w:t>
      </w:r>
      <w:r w:rsidR="00770B98">
        <w:rPr>
          <w:sz w:val="26"/>
          <w:szCs w:val="26"/>
        </w:rPr>
        <w:t xml:space="preserve"> duty to ensure </w:t>
      </w:r>
      <w:r w:rsidR="00367409">
        <w:rPr>
          <w:sz w:val="26"/>
          <w:szCs w:val="26"/>
        </w:rPr>
        <w:t xml:space="preserve">public safety </w:t>
      </w:r>
      <w:r w:rsidR="0085272E">
        <w:rPr>
          <w:sz w:val="26"/>
          <w:szCs w:val="26"/>
        </w:rPr>
        <w:t xml:space="preserve">as well as to protect the public historical resources.  Within these duties, we find it proper </w:t>
      </w:r>
      <w:r w:rsidR="00770B98">
        <w:rPr>
          <w:sz w:val="26"/>
          <w:szCs w:val="26"/>
        </w:rPr>
        <w:t xml:space="preserve">to </w:t>
      </w:r>
      <w:r w:rsidR="0085272E">
        <w:rPr>
          <w:sz w:val="26"/>
          <w:szCs w:val="26"/>
        </w:rPr>
        <w:t xml:space="preserve">permit </w:t>
      </w:r>
      <w:r w:rsidR="00367409">
        <w:rPr>
          <w:sz w:val="26"/>
          <w:szCs w:val="26"/>
        </w:rPr>
        <w:t xml:space="preserve">NGDCs </w:t>
      </w:r>
      <w:r w:rsidR="0085272E">
        <w:rPr>
          <w:sz w:val="26"/>
          <w:szCs w:val="26"/>
        </w:rPr>
        <w:t xml:space="preserve">to evaluate safety concerns in locating meters and to </w:t>
      </w:r>
      <w:r w:rsidR="00367409">
        <w:rPr>
          <w:sz w:val="26"/>
          <w:szCs w:val="26"/>
        </w:rPr>
        <w:t xml:space="preserve">contact their customers regarding </w:t>
      </w:r>
      <w:r w:rsidR="0085272E">
        <w:rPr>
          <w:sz w:val="26"/>
          <w:szCs w:val="26"/>
        </w:rPr>
        <w:t xml:space="preserve">the </w:t>
      </w:r>
      <w:r w:rsidR="00367409">
        <w:rPr>
          <w:sz w:val="26"/>
          <w:szCs w:val="26"/>
        </w:rPr>
        <w:t>historical status of propert</w:t>
      </w:r>
      <w:r w:rsidR="007B7057">
        <w:rPr>
          <w:sz w:val="26"/>
          <w:szCs w:val="26"/>
        </w:rPr>
        <w:t>ies</w:t>
      </w:r>
      <w:r w:rsidR="0085272E">
        <w:rPr>
          <w:sz w:val="26"/>
          <w:szCs w:val="26"/>
        </w:rPr>
        <w:t xml:space="preserve"> when they are conducting </w:t>
      </w:r>
      <w:r w:rsidR="007B7057">
        <w:rPr>
          <w:sz w:val="26"/>
          <w:szCs w:val="26"/>
        </w:rPr>
        <w:t>projects involving the relocation of meters, because the NGDCs are in the best position to do so</w:t>
      </w:r>
      <w:r w:rsidR="00367409">
        <w:rPr>
          <w:sz w:val="26"/>
          <w:szCs w:val="26"/>
        </w:rPr>
        <w:t>.</w:t>
      </w:r>
      <w:r w:rsidR="00770B98">
        <w:rPr>
          <w:sz w:val="26"/>
          <w:szCs w:val="26"/>
        </w:rPr>
        <w:t xml:space="preserve">  Nevertheless, we maintain our regulatory responsibility of ensuring that the NGDCs are </w:t>
      </w:r>
      <w:r>
        <w:rPr>
          <w:sz w:val="26"/>
          <w:szCs w:val="26"/>
        </w:rPr>
        <w:t xml:space="preserve">properly </w:t>
      </w:r>
      <w:r w:rsidR="00770B98">
        <w:rPr>
          <w:sz w:val="26"/>
          <w:szCs w:val="26"/>
        </w:rPr>
        <w:t xml:space="preserve">carrying out their duties </w:t>
      </w:r>
      <w:r>
        <w:rPr>
          <w:sz w:val="26"/>
          <w:szCs w:val="26"/>
        </w:rPr>
        <w:t>by</w:t>
      </w:r>
      <w:r w:rsidR="00770B98">
        <w:rPr>
          <w:sz w:val="26"/>
          <w:szCs w:val="26"/>
        </w:rPr>
        <w:t xml:space="preserve"> providing adequate, safe, and reasonable service under the Code and </w:t>
      </w:r>
      <w:r>
        <w:rPr>
          <w:sz w:val="26"/>
          <w:szCs w:val="26"/>
        </w:rPr>
        <w:t>by</w:t>
      </w:r>
      <w:r w:rsidR="00770B98">
        <w:rPr>
          <w:sz w:val="26"/>
          <w:szCs w:val="26"/>
        </w:rPr>
        <w:t xml:space="preserve"> considering the inside placement of meters in historic districts. </w:t>
      </w:r>
      <w:r w:rsidR="000373F5">
        <w:rPr>
          <w:sz w:val="26"/>
          <w:szCs w:val="26"/>
        </w:rPr>
        <w:t xml:space="preserve"> We do not view the law a</w:t>
      </w:r>
      <w:r w:rsidR="00E83E62">
        <w:rPr>
          <w:sz w:val="26"/>
          <w:szCs w:val="26"/>
        </w:rPr>
        <w:t>s</w:t>
      </w:r>
      <w:r w:rsidR="000373F5">
        <w:rPr>
          <w:sz w:val="26"/>
          <w:szCs w:val="26"/>
        </w:rPr>
        <w:t xml:space="preserve"> requiring us to direct municipalities that are outside of our regulatory jurisdiction </w:t>
      </w:r>
      <w:r>
        <w:rPr>
          <w:sz w:val="26"/>
          <w:szCs w:val="26"/>
        </w:rPr>
        <w:t>o</w:t>
      </w:r>
      <w:r w:rsidR="000373F5">
        <w:rPr>
          <w:sz w:val="26"/>
          <w:szCs w:val="26"/>
        </w:rPr>
        <w:t>n how to execute their responsibilities under the ERA.</w:t>
      </w:r>
      <w:r>
        <w:rPr>
          <w:sz w:val="26"/>
          <w:szCs w:val="26"/>
        </w:rPr>
        <w:t xml:space="preserve">  </w:t>
      </w:r>
      <w:r w:rsidR="00367409">
        <w:rPr>
          <w:sz w:val="26"/>
          <w:szCs w:val="26"/>
        </w:rPr>
        <w:t xml:space="preserve">Therefore, in the instances where UGI gave proper consideration to inside meter placement in conformance with Section 59.18, we cannot find that a violation of the ERA has occurred.  </w:t>
      </w:r>
      <w:r>
        <w:rPr>
          <w:sz w:val="26"/>
          <w:szCs w:val="26"/>
        </w:rPr>
        <w:t xml:space="preserve">For these reasons, </w:t>
      </w:r>
      <w:r w:rsidR="00367409">
        <w:rPr>
          <w:sz w:val="26"/>
          <w:szCs w:val="26"/>
        </w:rPr>
        <w:t xml:space="preserve">we shall </w:t>
      </w:r>
      <w:r w:rsidR="00F1417F">
        <w:rPr>
          <w:sz w:val="26"/>
          <w:szCs w:val="26"/>
        </w:rPr>
        <w:t>grant</w:t>
      </w:r>
      <w:r w:rsidR="00367409">
        <w:rPr>
          <w:sz w:val="26"/>
          <w:szCs w:val="26"/>
        </w:rPr>
        <w:t xml:space="preserve"> CPHD’s </w:t>
      </w:r>
      <w:r w:rsidR="00F1417F">
        <w:rPr>
          <w:sz w:val="26"/>
          <w:szCs w:val="26"/>
        </w:rPr>
        <w:t xml:space="preserve">Exception, in part, to the extent that CPHD </w:t>
      </w:r>
      <w:r w:rsidR="00367409">
        <w:rPr>
          <w:sz w:val="26"/>
          <w:szCs w:val="26"/>
        </w:rPr>
        <w:t xml:space="preserve">and the </w:t>
      </w:r>
      <w:r w:rsidR="00F1417F">
        <w:rPr>
          <w:sz w:val="26"/>
          <w:szCs w:val="26"/>
        </w:rPr>
        <w:t>City</w:t>
      </w:r>
      <w:r w:rsidR="00367409">
        <w:rPr>
          <w:sz w:val="26"/>
          <w:szCs w:val="26"/>
        </w:rPr>
        <w:t xml:space="preserve"> have affirmative duties under the ERA</w:t>
      </w:r>
      <w:r w:rsidR="00F1417F">
        <w:rPr>
          <w:sz w:val="26"/>
          <w:szCs w:val="26"/>
        </w:rPr>
        <w:t>,</w:t>
      </w:r>
      <w:r w:rsidR="00367409">
        <w:rPr>
          <w:sz w:val="26"/>
          <w:szCs w:val="26"/>
        </w:rPr>
        <w:t xml:space="preserve"> but </w:t>
      </w:r>
      <w:r w:rsidR="00F1417F">
        <w:rPr>
          <w:sz w:val="26"/>
          <w:szCs w:val="26"/>
        </w:rPr>
        <w:t xml:space="preserve">we </w:t>
      </w:r>
      <w:r w:rsidR="00367409">
        <w:rPr>
          <w:sz w:val="26"/>
          <w:szCs w:val="26"/>
        </w:rPr>
        <w:t>shall deny the remainder of i</w:t>
      </w:r>
      <w:r w:rsidR="00F1417F">
        <w:rPr>
          <w:sz w:val="26"/>
          <w:szCs w:val="26"/>
        </w:rPr>
        <w:t>ts</w:t>
      </w:r>
      <w:r w:rsidR="00367409">
        <w:rPr>
          <w:sz w:val="26"/>
          <w:szCs w:val="26"/>
        </w:rPr>
        <w:t xml:space="preserve"> Exception.</w:t>
      </w:r>
    </w:p>
    <w:p w14:paraId="29D29A4E" w14:textId="77777777" w:rsidR="00B34FCC" w:rsidRDefault="00B34FCC" w:rsidP="008E1AD5">
      <w:pPr>
        <w:ind w:firstLine="0"/>
        <w:textAlignment w:val="baseline"/>
        <w:rPr>
          <w:b/>
          <w:bCs/>
          <w:sz w:val="26"/>
        </w:rPr>
      </w:pPr>
      <w:r w:rsidRPr="00B34FCC">
        <w:rPr>
          <w:b/>
          <w:bCs/>
          <w:sz w:val="26"/>
        </w:rPr>
        <w:tab/>
      </w:r>
    </w:p>
    <w:p w14:paraId="0F766F37" w14:textId="77777777" w:rsidR="006C0399" w:rsidRPr="006C0399" w:rsidRDefault="006C0399" w:rsidP="008E1AD5">
      <w:pPr>
        <w:keepNext/>
        <w:keepLines/>
        <w:ind w:left="720" w:hanging="720"/>
        <w:contextualSpacing/>
        <w:outlineLvl w:val="1"/>
        <w:rPr>
          <w:b/>
          <w:bCs/>
          <w:sz w:val="26"/>
          <w:szCs w:val="26"/>
        </w:rPr>
      </w:pPr>
      <w:bookmarkStart w:id="11" w:name="_Toc527361413"/>
      <w:bookmarkStart w:id="12" w:name="_Hlk525544619"/>
      <w:r w:rsidRPr="006C0399">
        <w:rPr>
          <w:b/>
          <w:bCs/>
          <w:sz w:val="26"/>
          <w:szCs w:val="26"/>
        </w:rPr>
        <w:t>D.</w:t>
      </w:r>
      <w:r w:rsidRPr="006C0399">
        <w:rPr>
          <w:b/>
          <w:bCs/>
          <w:sz w:val="26"/>
          <w:szCs w:val="26"/>
        </w:rPr>
        <w:tab/>
        <w:t>The Proximity of Meter Placements to City Streets</w:t>
      </w:r>
    </w:p>
    <w:p w14:paraId="4D955264" w14:textId="77777777" w:rsidR="006C0399" w:rsidRPr="006C0399" w:rsidRDefault="006C0399" w:rsidP="008E1AD5">
      <w:pPr>
        <w:keepNext/>
        <w:keepLines/>
        <w:ind w:left="720" w:firstLine="0"/>
        <w:contextualSpacing/>
        <w:outlineLvl w:val="1"/>
        <w:rPr>
          <w:b/>
          <w:bCs/>
          <w:sz w:val="26"/>
          <w:szCs w:val="26"/>
        </w:rPr>
      </w:pPr>
    </w:p>
    <w:p w14:paraId="7486B61E" w14:textId="2EDE97FD" w:rsidR="006C0399" w:rsidRPr="006C0399" w:rsidRDefault="001B405A" w:rsidP="008E1AD5">
      <w:pPr>
        <w:keepNext/>
        <w:keepLines/>
        <w:ind w:left="1440" w:hanging="720"/>
        <w:contextualSpacing/>
        <w:outlineLvl w:val="2"/>
        <w:rPr>
          <w:b/>
          <w:bCs/>
          <w:sz w:val="26"/>
          <w:szCs w:val="26"/>
        </w:rPr>
      </w:pPr>
      <w:r>
        <w:rPr>
          <w:b/>
          <w:bCs/>
          <w:sz w:val="26"/>
          <w:szCs w:val="26"/>
        </w:rPr>
        <w:t>1.</w:t>
      </w:r>
      <w:r>
        <w:rPr>
          <w:b/>
          <w:bCs/>
          <w:sz w:val="26"/>
          <w:szCs w:val="26"/>
        </w:rPr>
        <w:tab/>
      </w:r>
      <w:r w:rsidR="006C0399" w:rsidRPr="006C0399">
        <w:rPr>
          <w:b/>
          <w:bCs/>
          <w:sz w:val="26"/>
          <w:szCs w:val="26"/>
        </w:rPr>
        <w:t>Positions of the Parties</w:t>
      </w:r>
    </w:p>
    <w:p w14:paraId="6F059D66" w14:textId="77777777" w:rsidR="006C0399" w:rsidRPr="006C0399" w:rsidRDefault="006C0399" w:rsidP="008E1AD5">
      <w:pPr>
        <w:ind w:firstLine="0"/>
        <w:rPr>
          <w:sz w:val="26"/>
          <w:szCs w:val="26"/>
        </w:rPr>
      </w:pPr>
    </w:p>
    <w:p w14:paraId="45743FAD" w14:textId="2C7980B4" w:rsidR="006C0399" w:rsidRPr="006C0399" w:rsidRDefault="006C0399" w:rsidP="008E1AD5">
      <w:pPr>
        <w:rPr>
          <w:sz w:val="26"/>
          <w:szCs w:val="26"/>
        </w:rPr>
      </w:pPr>
      <w:r w:rsidRPr="006C0399">
        <w:rPr>
          <w:sz w:val="26"/>
          <w:szCs w:val="26"/>
        </w:rPr>
        <w:t>In their briefs, the City, CPHD and UGI all recognize</w:t>
      </w:r>
      <w:r w:rsidR="006C0A9A">
        <w:rPr>
          <w:sz w:val="26"/>
          <w:szCs w:val="26"/>
        </w:rPr>
        <w:t>d</w:t>
      </w:r>
      <w:r w:rsidRPr="006C0399">
        <w:rPr>
          <w:sz w:val="26"/>
          <w:szCs w:val="26"/>
        </w:rPr>
        <w:t xml:space="preserve"> the importance of safety and regard</w:t>
      </w:r>
      <w:r w:rsidR="00201FC7">
        <w:rPr>
          <w:sz w:val="26"/>
          <w:szCs w:val="26"/>
        </w:rPr>
        <w:t>ed</w:t>
      </w:r>
      <w:r w:rsidRPr="006C0399">
        <w:rPr>
          <w:sz w:val="26"/>
          <w:szCs w:val="26"/>
        </w:rPr>
        <w:t xml:space="preserve"> it as the primary concern when selecting meter locations.  City M.B. at 21; City R.B. at 3; CPHD M.B. at 3-4, 30; CPHD R.B. at 3; </w:t>
      </w:r>
      <w:r w:rsidR="006831CE">
        <w:rPr>
          <w:sz w:val="26"/>
          <w:szCs w:val="26"/>
        </w:rPr>
        <w:t xml:space="preserve">and </w:t>
      </w:r>
      <w:r w:rsidRPr="006C0399">
        <w:rPr>
          <w:sz w:val="26"/>
          <w:szCs w:val="26"/>
        </w:rPr>
        <w:t xml:space="preserve">UGI R.B. at 12.  However, as previously indicated, the primary disagreement between the City Parties and the Company </w:t>
      </w:r>
      <w:r w:rsidR="006C0A9A">
        <w:rPr>
          <w:sz w:val="26"/>
          <w:szCs w:val="26"/>
        </w:rPr>
        <w:t>wa</w:t>
      </w:r>
      <w:r w:rsidRPr="006C0399">
        <w:rPr>
          <w:sz w:val="26"/>
          <w:szCs w:val="26"/>
        </w:rPr>
        <w:t xml:space="preserve">s triggered by their diverging interpretations of the Commission’s requirements under 52 Pa. Code § 59.18.  </w:t>
      </w:r>
      <w:r w:rsidR="006C0A9A">
        <w:rPr>
          <w:sz w:val="26"/>
          <w:szCs w:val="26"/>
        </w:rPr>
        <w:t>I</w:t>
      </w:r>
      <w:r w:rsidRPr="006C0399">
        <w:rPr>
          <w:sz w:val="26"/>
          <w:szCs w:val="26"/>
        </w:rPr>
        <w:t xml:space="preserve">n addition to the City Parties’ contention that UGI has not given appropriate consideration to the inside placement of meters in designated historic districts, in violation of 52 Pa. Code § 59.18(d)(1), the City Parties also challenged UGI’s meter relocations on the basis that the exterior meters are </w:t>
      </w:r>
      <w:r w:rsidRPr="006C0399">
        <w:rPr>
          <w:sz w:val="26"/>
          <w:szCs w:val="26"/>
        </w:rPr>
        <w:lastRenderedPageBreak/>
        <w:t xml:space="preserve">dangerously close to city streets, both within and outside of historic districts, </w:t>
      </w:r>
      <w:r w:rsidR="00042288">
        <w:rPr>
          <w:sz w:val="26"/>
          <w:szCs w:val="26"/>
        </w:rPr>
        <w:t xml:space="preserve">in violation of </w:t>
      </w:r>
      <w:r w:rsidRPr="006C0399">
        <w:rPr>
          <w:sz w:val="26"/>
          <w:szCs w:val="26"/>
        </w:rPr>
        <w:t>52 Pa. Code § 59.18</w:t>
      </w:r>
      <w:r w:rsidR="00042288">
        <w:rPr>
          <w:sz w:val="26"/>
          <w:szCs w:val="26"/>
        </w:rPr>
        <w:t>(a)(5) and (b)(1)</w:t>
      </w:r>
      <w:r w:rsidRPr="006C0399">
        <w:rPr>
          <w:sz w:val="26"/>
          <w:szCs w:val="26"/>
        </w:rPr>
        <w:t xml:space="preserve"> and 49 C.F.R. § 192.353(a).</w:t>
      </w:r>
      <w:r w:rsidR="0032478A">
        <w:rPr>
          <w:sz w:val="26"/>
          <w:szCs w:val="26"/>
        </w:rPr>
        <w:t xml:space="preserve">  Under these </w:t>
      </w:r>
      <w:r w:rsidR="00201FC7">
        <w:rPr>
          <w:sz w:val="26"/>
          <w:szCs w:val="26"/>
        </w:rPr>
        <w:t>R</w:t>
      </w:r>
      <w:r w:rsidR="0032478A">
        <w:rPr>
          <w:sz w:val="26"/>
          <w:szCs w:val="26"/>
        </w:rPr>
        <w:t xml:space="preserve">egulations, </w:t>
      </w:r>
      <w:r w:rsidRPr="006C0399">
        <w:rPr>
          <w:sz w:val="26"/>
          <w:szCs w:val="26"/>
        </w:rPr>
        <w:t xml:space="preserve">when placing a meter outside, the Company </w:t>
      </w:r>
      <w:r w:rsidR="0032478A">
        <w:rPr>
          <w:sz w:val="26"/>
          <w:szCs w:val="26"/>
        </w:rPr>
        <w:t xml:space="preserve">must </w:t>
      </w:r>
      <w:r w:rsidRPr="006C0399">
        <w:rPr>
          <w:sz w:val="26"/>
          <w:szCs w:val="26"/>
        </w:rPr>
        <w:t>“consider potential damage by outside forces,” place the meter “[w]hen feasible and practical to do so aboveground in a protected location,” and protect the meter “from corrosion and other damage,” including “vehicular damage that may be anticipated.”</w:t>
      </w:r>
    </w:p>
    <w:p w14:paraId="17BB9FCD" w14:textId="77777777" w:rsidR="006C0399" w:rsidRPr="006C0399" w:rsidRDefault="006C0399" w:rsidP="008E1AD5">
      <w:pPr>
        <w:rPr>
          <w:sz w:val="26"/>
          <w:szCs w:val="26"/>
        </w:rPr>
      </w:pPr>
    </w:p>
    <w:p w14:paraId="13EE27AF" w14:textId="4C4B5148" w:rsidR="006C0399" w:rsidRPr="006C0399" w:rsidRDefault="006C0399" w:rsidP="008E1AD5">
      <w:pPr>
        <w:rPr>
          <w:sz w:val="26"/>
          <w:szCs w:val="26"/>
        </w:rPr>
      </w:pPr>
      <w:r w:rsidRPr="006C0399">
        <w:rPr>
          <w:sz w:val="26"/>
          <w:szCs w:val="26"/>
        </w:rPr>
        <w:t>In general, the City alleged that UGI has placed meters too close to street curbs.  City M.B. at 36-38.  From the City’s perspective, the City of Reading “is a densely built up city with properties consisting mainly of row houses and semi-detached homes, mostly with tiny front yards, and located very close to the street.”  City M.B. at 36.  Thus, according to the City, “inside meters are safer than outside meters, especially in the environment of Reading, Pennsylvania,” and the Commission’s policy direction should reflect that conclusion.  City M.B. at 42-43.</w:t>
      </w:r>
    </w:p>
    <w:p w14:paraId="32751E7F" w14:textId="77777777" w:rsidR="006C0399" w:rsidRPr="006C0399" w:rsidRDefault="006C0399" w:rsidP="008E1AD5">
      <w:pPr>
        <w:rPr>
          <w:sz w:val="26"/>
          <w:szCs w:val="26"/>
        </w:rPr>
      </w:pPr>
    </w:p>
    <w:p w14:paraId="521FB146" w14:textId="77777777" w:rsidR="006C0399" w:rsidRPr="006C0399" w:rsidRDefault="006C0399" w:rsidP="008E1AD5">
      <w:pPr>
        <w:rPr>
          <w:sz w:val="26"/>
          <w:szCs w:val="26"/>
        </w:rPr>
      </w:pPr>
      <w:r w:rsidRPr="006C0399">
        <w:rPr>
          <w:sz w:val="26"/>
          <w:szCs w:val="26"/>
        </w:rPr>
        <w:t>Pertaining to their safety concerns regarding exterior meter locations, the City Parties requested the following in their requests for relief:</w:t>
      </w:r>
    </w:p>
    <w:p w14:paraId="24E09AAE" w14:textId="77777777" w:rsidR="00214C57" w:rsidRDefault="00214C57" w:rsidP="008E1AD5">
      <w:pPr>
        <w:autoSpaceDE w:val="0"/>
        <w:autoSpaceDN w:val="0"/>
        <w:adjustRightInd w:val="0"/>
        <w:spacing w:line="240" w:lineRule="auto"/>
        <w:ind w:left="1440" w:right="1440" w:firstLine="0"/>
        <w:rPr>
          <w:sz w:val="26"/>
          <w:szCs w:val="23"/>
        </w:rPr>
      </w:pPr>
    </w:p>
    <w:p w14:paraId="579ACD4A" w14:textId="77777777" w:rsidR="006C0399" w:rsidRPr="006C0399" w:rsidRDefault="006C0399" w:rsidP="008E1AD5">
      <w:pPr>
        <w:autoSpaceDE w:val="0"/>
        <w:autoSpaceDN w:val="0"/>
        <w:adjustRightInd w:val="0"/>
        <w:spacing w:line="240" w:lineRule="auto"/>
        <w:ind w:left="1440" w:right="1440" w:firstLine="0"/>
        <w:rPr>
          <w:sz w:val="26"/>
          <w:szCs w:val="23"/>
        </w:rPr>
      </w:pPr>
      <w:r w:rsidRPr="006C0399">
        <w:rPr>
          <w:sz w:val="26"/>
          <w:szCs w:val="23"/>
        </w:rPr>
        <w:t xml:space="preserve">(3) </w:t>
      </w:r>
      <w:r w:rsidRPr="006C0399">
        <w:rPr>
          <w:sz w:val="26"/>
          <w:szCs w:val="23"/>
        </w:rPr>
        <w:tab/>
        <w:t>We further request, when determining meter locations, that UGI – as part of its mandated consideration of “potential damage by outside forces”, and as part of its requirement that meters be “protected from ... vehicular damage that may be</w:t>
      </w:r>
    </w:p>
    <w:p w14:paraId="68C2860B" w14:textId="77777777" w:rsidR="006C0399" w:rsidRPr="006C0399" w:rsidRDefault="006C0399" w:rsidP="008E1AD5">
      <w:pPr>
        <w:autoSpaceDE w:val="0"/>
        <w:autoSpaceDN w:val="0"/>
        <w:adjustRightInd w:val="0"/>
        <w:spacing w:line="240" w:lineRule="auto"/>
        <w:ind w:left="1440" w:right="1440" w:firstLine="0"/>
        <w:rPr>
          <w:sz w:val="26"/>
          <w:szCs w:val="23"/>
        </w:rPr>
      </w:pPr>
      <w:r w:rsidRPr="006C0399">
        <w:rPr>
          <w:sz w:val="26"/>
          <w:szCs w:val="23"/>
        </w:rPr>
        <w:t>anticipated” – be prohibited from installing any outside meter within 10' of a City street, unless placed within a buried vault.</w:t>
      </w:r>
    </w:p>
    <w:p w14:paraId="099D3EFF" w14:textId="77777777" w:rsidR="0028723D" w:rsidRDefault="0028723D" w:rsidP="008E1AD5">
      <w:pPr>
        <w:ind w:right="1440" w:firstLine="0"/>
        <w:rPr>
          <w:sz w:val="26"/>
          <w:szCs w:val="23"/>
        </w:rPr>
      </w:pPr>
    </w:p>
    <w:p w14:paraId="70867ECC" w14:textId="77777777" w:rsidR="006C0399" w:rsidRPr="006C0399" w:rsidRDefault="006C0399" w:rsidP="008E1AD5">
      <w:pPr>
        <w:ind w:right="1440" w:firstLine="0"/>
        <w:rPr>
          <w:sz w:val="26"/>
          <w:szCs w:val="23"/>
        </w:rPr>
      </w:pPr>
      <w:r w:rsidRPr="006C0399">
        <w:rPr>
          <w:sz w:val="26"/>
          <w:szCs w:val="23"/>
        </w:rPr>
        <w:t>CPHD Complaint at ¶ 5.</w:t>
      </w:r>
    </w:p>
    <w:p w14:paraId="72BB40DB" w14:textId="77777777" w:rsidR="00214C57" w:rsidRDefault="00214C57" w:rsidP="008E1AD5">
      <w:pPr>
        <w:autoSpaceDE w:val="0"/>
        <w:autoSpaceDN w:val="0"/>
        <w:adjustRightInd w:val="0"/>
        <w:spacing w:line="240" w:lineRule="auto"/>
        <w:ind w:left="1440" w:right="1440" w:firstLine="0"/>
        <w:rPr>
          <w:sz w:val="26"/>
          <w:szCs w:val="23"/>
        </w:rPr>
      </w:pPr>
    </w:p>
    <w:p w14:paraId="14B40F5E" w14:textId="77777777" w:rsidR="006C0399" w:rsidRPr="006C0399" w:rsidRDefault="006C0399" w:rsidP="008E1AD5">
      <w:pPr>
        <w:autoSpaceDE w:val="0"/>
        <w:autoSpaceDN w:val="0"/>
        <w:adjustRightInd w:val="0"/>
        <w:spacing w:line="240" w:lineRule="auto"/>
        <w:ind w:left="1440" w:right="1440" w:firstLine="0"/>
        <w:rPr>
          <w:sz w:val="26"/>
          <w:szCs w:val="23"/>
        </w:rPr>
      </w:pPr>
      <w:r w:rsidRPr="006C0399">
        <w:rPr>
          <w:sz w:val="26"/>
          <w:szCs w:val="23"/>
        </w:rPr>
        <w:t xml:space="preserve">a. </w:t>
      </w:r>
      <w:r w:rsidRPr="006C0399">
        <w:rPr>
          <w:sz w:val="26"/>
          <w:szCs w:val="23"/>
        </w:rPr>
        <w:tab/>
        <w:t>That where a building facade is within 15 feet or less of a City street and no parking lane separates the lane of travel from the sidewalk, UGI shall install gas meters on the inside of buildings and their associated exterior gas regulators</w:t>
      </w:r>
    </w:p>
    <w:p w14:paraId="5ABE3BB9" w14:textId="77777777" w:rsidR="006C0399" w:rsidRPr="006C0399" w:rsidRDefault="006C0399" w:rsidP="008E1AD5">
      <w:pPr>
        <w:autoSpaceDE w:val="0"/>
        <w:autoSpaceDN w:val="0"/>
        <w:adjustRightInd w:val="0"/>
        <w:spacing w:line="240" w:lineRule="auto"/>
        <w:ind w:left="1440" w:right="1440" w:firstLine="0"/>
        <w:rPr>
          <w:sz w:val="26"/>
          <w:szCs w:val="23"/>
        </w:rPr>
      </w:pPr>
      <w:r w:rsidRPr="006C0399">
        <w:rPr>
          <w:sz w:val="26"/>
          <w:szCs w:val="23"/>
        </w:rPr>
        <w:lastRenderedPageBreak/>
        <w:t>in as protected a location as possible on the exterior of the building.  Alternatively, UGI may install both meter and regulator outside of the building in a buried vault.</w:t>
      </w:r>
    </w:p>
    <w:p w14:paraId="4F061959" w14:textId="77777777" w:rsidR="006C0399" w:rsidRPr="006C0399" w:rsidRDefault="006C0399" w:rsidP="008E1AD5">
      <w:pPr>
        <w:autoSpaceDE w:val="0"/>
        <w:autoSpaceDN w:val="0"/>
        <w:adjustRightInd w:val="0"/>
        <w:spacing w:line="240" w:lineRule="auto"/>
        <w:ind w:left="1440" w:right="1440" w:firstLine="0"/>
        <w:rPr>
          <w:sz w:val="26"/>
          <w:szCs w:val="23"/>
        </w:rPr>
      </w:pPr>
    </w:p>
    <w:p w14:paraId="38074FD0" w14:textId="77777777" w:rsidR="006C0399" w:rsidRPr="006C0399" w:rsidRDefault="006C0399" w:rsidP="008E1AD5">
      <w:pPr>
        <w:autoSpaceDE w:val="0"/>
        <w:autoSpaceDN w:val="0"/>
        <w:adjustRightInd w:val="0"/>
        <w:spacing w:line="240" w:lineRule="auto"/>
        <w:ind w:left="1440" w:right="1440" w:firstLine="0"/>
        <w:rPr>
          <w:sz w:val="26"/>
          <w:szCs w:val="23"/>
        </w:rPr>
      </w:pPr>
      <w:r w:rsidRPr="006C0399">
        <w:rPr>
          <w:sz w:val="26"/>
          <w:szCs w:val="23"/>
        </w:rPr>
        <w:t xml:space="preserve">b. </w:t>
      </w:r>
      <w:r w:rsidRPr="006C0399">
        <w:rPr>
          <w:sz w:val="26"/>
          <w:szCs w:val="23"/>
        </w:rPr>
        <w:tab/>
        <w:t>Where UGI has already located exterior gas meters within 15 feet or less of a City street and no parking lane separates the lane of travel from the sidewalk, those meters shall be relocated to the inside of the building or placed in a buried vault.</w:t>
      </w:r>
    </w:p>
    <w:p w14:paraId="0B8DA84C" w14:textId="77777777" w:rsidR="006C0399" w:rsidRPr="006C0399" w:rsidRDefault="006C0399" w:rsidP="008E1AD5">
      <w:pPr>
        <w:ind w:left="1440" w:right="1440" w:firstLine="0"/>
        <w:rPr>
          <w:sz w:val="26"/>
          <w:szCs w:val="23"/>
        </w:rPr>
      </w:pPr>
    </w:p>
    <w:p w14:paraId="547E14E5" w14:textId="007A1379" w:rsidR="006C0399" w:rsidRPr="006C0399" w:rsidRDefault="006C0399" w:rsidP="008E1AD5">
      <w:pPr>
        <w:ind w:right="1440" w:firstLine="0"/>
        <w:rPr>
          <w:sz w:val="26"/>
          <w:szCs w:val="23"/>
        </w:rPr>
      </w:pPr>
      <w:r w:rsidRPr="006C0399">
        <w:rPr>
          <w:sz w:val="26"/>
          <w:szCs w:val="23"/>
        </w:rPr>
        <w:t>City Complaint at ¶ 65.</w:t>
      </w:r>
    </w:p>
    <w:p w14:paraId="03F47242" w14:textId="77777777" w:rsidR="006C0399" w:rsidRPr="006C0399" w:rsidRDefault="006C0399" w:rsidP="008E1AD5">
      <w:pPr>
        <w:ind w:right="1440" w:firstLine="0"/>
        <w:rPr>
          <w:sz w:val="26"/>
          <w:szCs w:val="23"/>
        </w:rPr>
      </w:pPr>
    </w:p>
    <w:p w14:paraId="53CFF204" w14:textId="6649B40A" w:rsidR="006C0399" w:rsidRPr="006C0399" w:rsidRDefault="006C0399" w:rsidP="008E1AD5">
      <w:pPr>
        <w:rPr>
          <w:sz w:val="26"/>
          <w:szCs w:val="23"/>
        </w:rPr>
      </w:pPr>
      <w:r w:rsidRPr="006C0399">
        <w:rPr>
          <w:sz w:val="26"/>
          <w:szCs w:val="26"/>
        </w:rPr>
        <w:t xml:space="preserve">CPHD requested that UGI “be prohibited from installing any outside meter within 10’ of a City street unless placed in a buried vault.”  CPHD Complaint at </w:t>
      </w:r>
      <w:r w:rsidRPr="006C0399">
        <w:rPr>
          <w:sz w:val="26"/>
          <w:szCs w:val="23"/>
        </w:rPr>
        <w:t xml:space="preserve">¶ 5.  Similarly, the City proposed that “where a building façade is within 15 feet or less of a City street and no parking lane separates the lane of travel from the sidewalk,” UGI shall install or relocate gas meters to </w:t>
      </w:r>
      <w:r w:rsidR="00214C57">
        <w:rPr>
          <w:sz w:val="26"/>
          <w:szCs w:val="23"/>
        </w:rPr>
        <w:t xml:space="preserve">the </w:t>
      </w:r>
      <w:r w:rsidRPr="006C0399">
        <w:rPr>
          <w:sz w:val="26"/>
          <w:szCs w:val="23"/>
        </w:rPr>
        <w:t xml:space="preserve">inside </w:t>
      </w:r>
      <w:r w:rsidR="00214C57">
        <w:rPr>
          <w:sz w:val="26"/>
          <w:szCs w:val="23"/>
        </w:rPr>
        <w:t xml:space="preserve">of </w:t>
      </w:r>
      <w:r w:rsidRPr="006C0399">
        <w:rPr>
          <w:sz w:val="26"/>
          <w:szCs w:val="23"/>
        </w:rPr>
        <w:t xml:space="preserve">buildings.  City Complaint at ¶ 65.  Therefore, per the City’s request, going forward UGI would be </w:t>
      </w:r>
      <w:r w:rsidR="00214C57">
        <w:rPr>
          <w:sz w:val="26"/>
          <w:szCs w:val="23"/>
        </w:rPr>
        <w:t>required</w:t>
      </w:r>
      <w:r w:rsidRPr="006C0399">
        <w:rPr>
          <w:sz w:val="26"/>
          <w:szCs w:val="23"/>
        </w:rPr>
        <w:t xml:space="preserve"> to place a gas meter inside the building or in a buried vault any time the building’s façade is within 15 feet of the street curb.  City M.B. at 38.  </w:t>
      </w:r>
      <w:r w:rsidR="00214C57">
        <w:rPr>
          <w:sz w:val="26"/>
          <w:szCs w:val="23"/>
        </w:rPr>
        <w:t>Additionally</w:t>
      </w:r>
      <w:r w:rsidRPr="006C0399">
        <w:rPr>
          <w:sz w:val="26"/>
          <w:szCs w:val="23"/>
        </w:rPr>
        <w:t xml:space="preserve">, UGI would </w:t>
      </w:r>
      <w:r w:rsidR="00214C57">
        <w:rPr>
          <w:sz w:val="26"/>
          <w:szCs w:val="23"/>
        </w:rPr>
        <w:t>h</w:t>
      </w:r>
      <w:r w:rsidRPr="006C0399">
        <w:rPr>
          <w:sz w:val="26"/>
          <w:szCs w:val="23"/>
        </w:rPr>
        <w:t>ave to relocate any outside meters that were installed since September 13, 2014</w:t>
      </w:r>
      <w:r w:rsidR="00214C57">
        <w:rPr>
          <w:sz w:val="26"/>
          <w:szCs w:val="23"/>
        </w:rPr>
        <w:t>,</w:t>
      </w:r>
      <w:r w:rsidRPr="006C0399">
        <w:rPr>
          <w:sz w:val="26"/>
          <w:szCs w:val="23"/>
        </w:rPr>
        <w:t xml:space="preserve"> the date amended Section 59.18 became effective</w:t>
      </w:r>
      <w:r w:rsidR="00214C57">
        <w:rPr>
          <w:sz w:val="26"/>
          <w:szCs w:val="23"/>
        </w:rPr>
        <w:t>,</w:t>
      </w:r>
      <w:r w:rsidRPr="006C0399">
        <w:rPr>
          <w:sz w:val="26"/>
          <w:szCs w:val="23"/>
        </w:rPr>
        <w:t xml:space="preserve"> and are within 15 feet of the street curb to the inside of the building or in a buried vault.  City M.B. at 38; City M.B., Appendix C.</w:t>
      </w:r>
    </w:p>
    <w:p w14:paraId="6B846B74" w14:textId="77777777" w:rsidR="006C0399" w:rsidRPr="006C0399" w:rsidRDefault="006C0399" w:rsidP="008E1AD5">
      <w:pPr>
        <w:ind w:firstLine="0"/>
        <w:rPr>
          <w:sz w:val="26"/>
          <w:szCs w:val="26"/>
        </w:rPr>
      </w:pPr>
    </w:p>
    <w:p w14:paraId="521B1F79" w14:textId="77777777" w:rsidR="006C0399" w:rsidRPr="006C0399" w:rsidRDefault="006C0399" w:rsidP="008E1AD5">
      <w:pPr>
        <w:rPr>
          <w:sz w:val="26"/>
          <w:szCs w:val="26"/>
        </w:rPr>
      </w:pPr>
      <w:r w:rsidRPr="006C0399">
        <w:rPr>
          <w:sz w:val="26"/>
          <w:szCs w:val="26"/>
        </w:rPr>
        <w:t xml:space="preserve">As set forth in its prepared testimony and Reply Brief, UGI indicated that, to the extent that any relief is granted in this proceeding, it should be limited to the additional commitments </w:t>
      </w:r>
      <w:r w:rsidR="00BF6A0B">
        <w:rPr>
          <w:sz w:val="26"/>
          <w:szCs w:val="26"/>
        </w:rPr>
        <w:t xml:space="preserve">UGI </w:t>
      </w:r>
      <w:r w:rsidRPr="006C0399">
        <w:rPr>
          <w:sz w:val="26"/>
          <w:szCs w:val="26"/>
        </w:rPr>
        <w:t>proposed in Mr. Brown’s prepared testimony, offered in response to the City Parties’ concerns about outside meter placements.  UGI St. 1 at 66-67; UGI R.B. at 54-56.  Maintaining that its actions have been in full compliance with the Commission’s Regulations, UGI indicated its willingness to adopt the following additional commitments, so long as the Commission specifically declare</w:t>
      </w:r>
      <w:r w:rsidR="00BF6A0B">
        <w:rPr>
          <w:sz w:val="26"/>
          <w:szCs w:val="26"/>
        </w:rPr>
        <w:t>d</w:t>
      </w:r>
      <w:r w:rsidRPr="006C0399">
        <w:rPr>
          <w:sz w:val="26"/>
          <w:szCs w:val="26"/>
        </w:rPr>
        <w:t xml:space="preserve"> the new standard as being safe and reasonable:</w:t>
      </w:r>
    </w:p>
    <w:p w14:paraId="30D0BC43" w14:textId="77777777" w:rsidR="006C0399" w:rsidRPr="006C0399" w:rsidRDefault="006C0399" w:rsidP="008E1AD5">
      <w:pPr>
        <w:numPr>
          <w:ilvl w:val="0"/>
          <w:numId w:val="23"/>
        </w:numPr>
        <w:spacing w:line="240" w:lineRule="auto"/>
        <w:ind w:right="1440"/>
        <w:contextualSpacing/>
        <w:rPr>
          <w:sz w:val="26"/>
          <w:szCs w:val="26"/>
        </w:rPr>
      </w:pPr>
      <w:r w:rsidRPr="006C0399">
        <w:rPr>
          <w:sz w:val="26"/>
          <w:szCs w:val="26"/>
        </w:rPr>
        <w:lastRenderedPageBreak/>
        <w:t>UGI would be willing to convene a stakeholder panel consisting of members selected by the City to represent neighborhood interests to perform pre-construction project walkthroughs during the planning phase of UGI infrastructure and betterment work planned for historic districts.  The stakeholder panel would provide input on meter location decisions on a nonbinding advisory basis.</w:t>
      </w:r>
    </w:p>
    <w:p w14:paraId="52D310B5" w14:textId="77777777" w:rsidR="006C0399" w:rsidRPr="006C0399" w:rsidRDefault="006C0399" w:rsidP="008E1AD5">
      <w:pPr>
        <w:spacing w:line="240" w:lineRule="auto"/>
        <w:ind w:left="1800" w:right="1440" w:firstLine="0"/>
        <w:contextualSpacing/>
        <w:rPr>
          <w:sz w:val="26"/>
          <w:szCs w:val="26"/>
        </w:rPr>
      </w:pPr>
    </w:p>
    <w:p w14:paraId="0634DCB4" w14:textId="77777777" w:rsidR="006C0399" w:rsidRPr="006C0399" w:rsidRDefault="006C0399" w:rsidP="008E1AD5">
      <w:pPr>
        <w:numPr>
          <w:ilvl w:val="0"/>
          <w:numId w:val="23"/>
        </w:numPr>
        <w:spacing w:line="240" w:lineRule="auto"/>
        <w:ind w:right="1440"/>
        <w:contextualSpacing/>
        <w:rPr>
          <w:sz w:val="26"/>
          <w:szCs w:val="26"/>
        </w:rPr>
      </w:pPr>
      <w:r w:rsidRPr="006C0399">
        <w:rPr>
          <w:sz w:val="26"/>
          <w:szCs w:val="26"/>
        </w:rPr>
        <w:t>At meter locations identified by the City as presenting a safety risk, UGI would undertake an additional follow-up review, and if it determines, in its sole discretion, that a meter relocation is necessary and appropriate to mitigate a safety risk, UGI will relocate the meter at its expense.</w:t>
      </w:r>
    </w:p>
    <w:p w14:paraId="35039CEA" w14:textId="77777777" w:rsidR="006C0399" w:rsidRPr="006C0399" w:rsidRDefault="006C0399" w:rsidP="008E1AD5">
      <w:pPr>
        <w:spacing w:line="240" w:lineRule="auto"/>
        <w:ind w:right="1440" w:firstLine="0"/>
        <w:rPr>
          <w:sz w:val="26"/>
          <w:szCs w:val="26"/>
        </w:rPr>
      </w:pPr>
    </w:p>
    <w:p w14:paraId="66A78756" w14:textId="77777777" w:rsidR="006C0399" w:rsidRPr="006C0399" w:rsidRDefault="006C0399" w:rsidP="008E1AD5">
      <w:pPr>
        <w:spacing w:line="240" w:lineRule="auto"/>
        <w:ind w:left="1800" w:right="1440" w:hanging="360"/>
        <w:rPr>
          <w:sz w:val="26"/>
          <w:szCs w:val="26"/>
        </w:rPr>
      </w:pPr>
      <w:r w:rsidRPr="006C0399">
        <w:rPr>
          <w:sz w:val="26"/>
          <w:szCs w:val="26"/>
        </w:rPr>
        <w:t xml:space="preserve">3. </w:t>
      </w:r>
      <w:r w:rsidRPr="006C0399">
        <w:rPr>
          <w:sz w:val="26"/>
          <w:szCs w:val="26"/>
        </w:rPr>
        <w:tab/>
        <w:t>In historic districts, UGI will continue to follow its existing written standards that permit the location of certain meters in inside locations with the regulator placed outside where the only practical outside location would cover a distinguishing architectural feature.  In addition, on a forward going basis, UGI would apply a new standard for historic districts that would call for inside meter locations with an outside regulator where, unless the customer requests an outside meter placement and the Company, in its sole discretion, agrees to that request:</w:t>
      </w:r>
    </w:p>
    <w:p w14:paraId="43FFCF46" w14:textId="77777777" w:rsidR="006C0399" w:rsidRPr="006C0399" w:rsidRDefault="006C0399" w:rsidP="008E1AD5">
      <w:pPr>
        <w:spacing w:line="240" w:lineRule="auto"/>
        <w:ind w:left="1440" w:right="1440" w:firstLine="0"/>
        <w:rPr>
          <w:sz w:val="26"/>
          <w:szCs w:val="26"/>
        </w:rPr>
      </w:pPr>
    </w:p>
    <w:p w14:paraId="47BF92E3" w14:textId="77777777" w:rsidR="006C0399" w:rsidRDefault="006C0399" w:rsidP="008E1AD5">
      <w:pPr>
        <w:spacing w:line="240" w:lineRule="auto"/>
        <w:ind w:left="2160" w:right="1440" w:hanging="360"/>
        <w:rPr>
          <w:sz w:val="26"/>
          <w:szCs w:val="26"/>
        </w:rPr>
      </w:pPr>
      <w:r w:rsidRPr="006C0399">
        <w:rPr>
          <w:sz w:val="26"/>
          <w:szCs w:val="26"/>
        </w:rPr>
        <w:t xml:space="preserve">a) </w:t>
      </w:r>
      <w:r w:rsidRPr="006C0399">
        <w:rPr>
          <w:sz w:val="26"/>
          <w:szCs w:val="26"/>
        </w:rPr>
        <w:tab/>
        <w:t>The outermost building wall is immediately appurtenant to the sidewalk (typically as is the case of rowhomes);</w:t>
      </w:r>
    </w:p>
    <w:p w14:paraId="1B72DBDE" w14:textId="77777777" w:rsidR="00201FC7" w:rsidRPr="006C0399" w:rsidRDefault="00201FC7" w:rsidP="008E1AD5">
      <w:pPr>
        <w:spacing w:line="240" w:lineRule="auto"/>
        <w:ind w:left="2160" w:right="1440" w:hanging="360"/>
        <w:rPr>
          <w:sz w:val="26"/>
          <w:szCs w:val="26"/>
        </w:rPr>
      </w:pPr>
    </w:p>
    <w:p w14:paraId="20699F7A" w14:textId="77777777" w:rsidR="006C0399" w:rsidRDefault="006C0399" w:rsidP="008E1AD5">
      <w:pPr>
        <w:spacing w:line="240" w:lineRule="auto"/>
        <w:ind w:left="2160" w:right="1440" w:hanging="360"/>
        <w:rPr>
          <w:sz w:val="26"/>
          <w:szCs w:val="26"/>
        </w:rPr>
      </w:pPr>
      <w:r w:rsidRPr="006C0399">
        <w:rPr>
          <w:sz w:val="26"/>
          <w:szCs w:val="26"/>
        </w:rPr>
        <w:t xml:space="preserve">b) </w:t>
      </w:r>
      <w:r w:rsidRPr="006C0399">
        <w:rPr>
          <w:sz w:val="26"/>
          <w:szCs w:val="26"/>
        </w:rPr>
        <w:tab/>
        <w:t>The distance between the street facing edge of the curb or edge of pavement is less than 10 feet from the building wall;</w:t>
      </w:r>
    </w:p>
    <w:p w14:paraId="0F17DE45" w14:textId="77777777" w:rsidR="00201FC7" w:rsidRPr="006C0399" w:rsidRDefault="00201FC7" w:rsidP="008E1AD5">
      <w:pPr>
        <w:spacing w:line="240" w:lineRule="auto"/>
        <w:ind w:left="2160" w:right="1440" w:hanging="360"/>
        <w:rPr>
          <w:sz w:val="26"/>
          <w:szCs w:val="26"/>
        </w:rPr>
      </w:pPr>
    </w:p>
    <w:p w14:paraId="21B6B377" w14:textId="77777777" w:rsidR="006C0399" w:rsidRDefault="006C0399" w:rsidP="008E1AD5">
      <w:pPr>
        <w:spacing w:line="240" w:lineRule="auto"/>
        <w:ind w:left="2160" w:right="1440" w:hanging="360"/>
        <w:rPr>
          <w:sz w:val="26"/>
          <w:szCs w:val="26"/>
        </w:rPr>
      </w:pPr>
      <w:r w:rsidRPr="006C0399">
        <w:rPr>
          <w:sz w:val="26"/>
          <w:szCs w:val="26"/>
        </w:rPr>
        <w:t xml:space="preserve">c) </w:t>
      </w:r>
      <w:r w:rsidRPr="006C0399">
        <w:rPr>
          <w:sz w:val="26"/>
          <w:szCs w:val="26"/>
        </w:rPr>
        <w:tab/>
        <w:t>There is not a location on the side of the building to place the meter; and</w:t>
      </w:r>
    </w:p>
    <w:p w14:paraId="790FB11F" w14:textId="77777777" w:rsidR="00201FC7" w:rsidRPr="006C0399" w:rsidRDefault="00201FC7" w:rsidP="008E1AD5">
      <w:pPr>
        <w:spacing w:line="240" w:lineRule="auto"/>
        <w:ind w:left="2160" w:right="1440" w:hanging="360"/>
        <w:rPr>
          <w:sz w:val="26"/>
          <w:szCs w:val="26"/>
        </w:rPr>
      </w:pPr>
    </w:p>
    <w:p w14:paraId="6A0AEABF" w14:textId="77777777" w:rsidR="006C0399" w:rsidRPr="006C0399" w:rsidRDefault="006C0399" w:rsidP="008E1AD5">
      <w:pPr>
        <w:spacing w:line="240" w:lineRule="auto"/>
        <w:ind w:left="2160" w:right="1440" w:hanging="360"/>
        <w:rPr>
          <w:sz w:val="26"/>
          <w:szCs w:val="26"/>
        </w:rPr>
      </w:pPr>
      <w:r w:rsidRPr="006C0399">
        <w:rPr>
          <w:sz w:val="26"/>
          <w:szCs w:val="26"/>
        </w:rPr>
        <w:t xml:space="preserve">d) </w:t>
      </w:r>
      <w:r w:rsidRPr="006C0399">
        <w:rPr>
          <w:sz w:val="26"/>
          <w:szCs w:val="26"/>
        </w:rPr>
        <w:tab/>
        <w:t xml:space="preserve">There is not an outside location affording meter protection, such as a corner at a wall or stair.  </w:t>
      </w:r>
    </w:p>
    <w:p w14:paraId="078D11BA" w14:textId="77777777" w:rsidR="005442C3" w:rsidRDefault="005442C3" w:rsidP="008E1AD5">
      <w:pPr>
        <w:ind w:right="1440" w:firstLine="0"/>
        <w:rPr>
          <w:sz w:val="26"/>
          <w:szCs w:val="26"/>
        </w:rPr>
      </w:pPr>
    </w:p>
    <w:p w14:paraId="08E32C93" w14:textId="11E7E01A" w:rsidR="006C0399" w:rsidRDefault="006C0399" w:rsidP="008E1AD5">
      <w:pPr>
        <w:ind w:right="1440" w:firstLine="0"/>
        <w:rPr>
          <w:sz w:val="26"/>
          <w:szCs w:val="26"/>
        </w:rPr>
      </w:pPr>
      <w:r w:rsidRPr="006C0399">
        <w:rPr>
          <w:sz w:val="26"/>
          <w:szCs w:val="26"/>
        </w:rPr>
        <w:t>UGI St. 1 at 66-67.</w:t>
      </w:r>
    </w:p>
    <w:p w14:paraId="0E31AB0B" w14:textId="77777777" w:rsidR="00201FC7" w:rsidRPr="006C0399" w:rsidRDefault="00201FC7" w:rsidP="008E1AD5">
      <w:pPr>
        <w:ind w:right="1440" w:firstLine="0"/>
        <w:rPr>
          <w:sz w:val="26"/>
          <w:szCs w:val="26"/>
        </w:rPr>
      </w:pPr>
    </w:p>
    <w:p w14:paraId="227B7BD9" w14:textId="348CCE7C" w:rsidR="006C0399" w:rsidRPr="006C0399" w:rsidRDefault="006C0399" w:rsidP="008E1AD5">
      <w:pPr>
        <w:ind w:firstLine="1350"/>
        <w:rPr>
          <w:sz w:val="26"/>
          <w:szCs w:val="26"/>
        </w:rPr>
      </w:pPr>
      <w:r w:rsidRPr="006C0399">
        <w:rPr>
          <w:sz w:val="26"/>
          <w:szCs w:val="26"/>
        </w:rPr>
        <w:lastRenderedPageBreak/>
        <w:t xml:space="preserve">The City did not view these additional commitments as sufficient to address its concerns.  City M.B. at 43.  The City’s rejection of the Company’s proposal is based on the following concerns: (1) the nonbinding nature of the “input” from the stakeholder’s panel in Paragraph 1; (2) sole discretion to determine whether a relocation were necessary for Paragraph 2’s safety risks would lie with UGI; and (3) the situations and locations listed for Paragraph 3’s new standards for historic districts are too limited.  City M.B. </w:t>
      </w:r>
      <w:r w:rsidR="00E11E19">
        <w:rPr>
          <w:sz w:val="26"/>
          <w:szCs w:val="26"/>
        </w:rPr>
        <w:t xml:space="preserve">at </w:t>
      </w:r>
      <w:r w:rsidRPr="006C0399">
        <w:rPr>
          <w:sz w:val="26"/>
          <w:szCs w:val="26"/>
        </w:rPr>
        <w:t>42-43.</w:t>
      </w:r>
    </w:p>
    <w:p w14:paraId="764AE5CE" w14:textId="77777777" w:rsidR="006C0399" w:rsidRPr="006C0399" w:rsidRDefault="006C0399" w:rsidP="008E1AD5">
      <w:pPr>
        <w:ind w:firstLine="0"/>
        <w:rPr>
          <w:sz w:val="26"/>
          <w:szCs w:val="26"/>
        </w:rPr>
      </w:pPr>
    </w:p>
    <w:p w14:paraId="325F15F5" w14:textId="18DA2ABD" w:rsidR="006C0399" w:rsidRPr="006C0399" w:rsidRDefault="00412517" w:rsidP="008E1AD5">
      <w:pPr>
        <w:keepNext/>
        <w:keepLines/>
        <w:ind w:left="1440" w:hanging="720"/>
        <w:contextualSpacing/>
        <w:outlineLvl w:val="2"/>
        <w:rPr>
          <w:b/>
          <w:bCs/>
          <w:sz w:val="26"/>
          <w:szCs w:val="26"/>
        </w:rPr>
      </w:pPr>
      <w:r>
        <w:rPr>
          <w:b/>
          <w:bCs/>
          <w:sz w:val="26"/>
          <w:szCs w:val="26"/>
        </w:rPr>
        <w:t>2.</w:t>
      </w:r>
      <w:r>
        <w:rPr>
          <w:b/>
          <w:bCs/>
          <w:sz w:val="26"/>
          <w:szCs w:val="26"/>
        </w:rPr>
        <w:tab/>
      </w:r>
      <w:r w:rsidR="006C0399" w:rsidRPr="006C0399">
        <w:rPr>
          <w:b/>
          <w:bCs/>
          <w:sz w:val="26"/>
          <w:szCs w:val="26"/>
        </w:rPr>
        <w:t>Initial Decision</w:t>
      </w:r>
    </w:p>
    <w:p w14:paraId="04DA373E" w14:textId="77777777" w:rsidR="006C0399" w:rsidRPr="006C0399" w:rsidRDefault="006C0399" w:rsidP="008E1AD5">
      <w:pPr>
        <w:ind w:firstLine="0"/>
        <w:rPr>
          <w:sz w:val="26"/>
          <w:szCs w:val="26"/>
        </w:rPr>
      </w:pPr>
    </w:p>
    <w:p w14:paraId="4285F3D4" w14:textId="7C6EDE42" w:rsidR="00BF2BB6" w:rsidRDefault="006C0399" w:rsidP="008E1AD5">
      <w:pPr>
        <w:rPr>
          <w:sz w:val="26"/>
          <w:szCs w:val="26"/>
        </w:rPr>
      </w:pPr>
      <w:r w:rsidRPr="006C0399">
        <w:rPr>
          <w:sz w:val="26"/>
          <w:szCs w:val="26"/>
        </w:rPr>
        <w:t xml:space="preserve">After reviewing the applicable law and the positions of the Parties, the ALJ found that the City Parties failed to sustain their burden of proving that </w:t>
      </w:r>
      <w:bookmarkStart w:id="13" w:name="_Hlk21080772"/>
      <w:r w:rsidRPr="006C0399">
        <w:rPr>
          <w:sz w:val="26"/>
          <w:szCs w:val="26"/>
        </w:rPr>
        <w:t xml:space="preserve">UGI </w:t>
      </w:r>
      <w:r w:rsidR="00E90BCF">
        <w:rPr>
          <w:sz w:val="26"/>
          <w:szCs w:val="26"/>
        </w:rPr>
        <w:t xml:space="preserve">placed meters in locations where damage by vehicles could reasonably be anticipated or that UGI otherwise violated the applicable Commission or </w:t>
      </w:r>
      <w:r w:rsidR="00CC5397">
        <w:rPr>
          <w:sz w:val="26"/>
          <w:szCs w:val="26"/>
        </w:rPr>
        <w:t>Federal Regulations</w:t>
      </w:r>
      <w:bookmarkEnd w:id="13"/>
      <w:r w:rsidR="00E90BCF">
        <w:rPr>
          <w:sz w:val="26"/>
          <w:szCs w:val="26"/>
        </w:rPr>
        <w:t xml:space="preserve">.  </w:t>
      </w:r>
      <w:r w:rsidRPr="006C0399">
        <w:rPr>
          <w:sz w:val="26"/>
          <w:szCs w:val="26"/>
        </w:rPr>
        <w:t>I.D. at 35</w:t>
      </w:r>
      <w:r w:rsidR="00E90BCF">
        <w:rPr>
          <w:sz w:val="26"/>
          <w:szCs w:val="26"/>
        </w:rPr>
        <w:t>, 36</w:t>
      </w:r>
      <w:r w:rsidRPr="006C0399">
        <w:rPr>
          <w:sz w:val="26"/>
          <w:szCs w:val="26"/>
        </w:rPr>
        <w:t>.</w:t>
      </w:r>
      <w:r w:rsidR="000D73E7">
        <w:rPr>
          <w:sz w:val="26"/>
          <w:szCs w:val="26"/>
        </w:rPr>
        <w:t xml:space="preserve">  The ALJ concluded that the Complainants’ argument that meters placed less than 15 feet from the street were inherently unsafe was based on an arbitrary distance Mr. Slifko calculated after reviewing newspaper reports of incidents where cars struck gas meters.  </w:t>
      </w:r>
      <w:r w:rsidR="000D73E7" w:rsidRPr="000D73E7">
        <w:rPr>
          <w:i/>
          <w:iCs/>
          <w:sz w:val="26"/>
          <w:szCs w:val="26"/>
        </w:rPr>
        <w:t>Id</w:t>
      </w:r>
      <w:r w:rsidR="000D73E7">
        <w:rPr>
          <w:sz w:val="26"/>
          <w:szCs w:val="26"/>
        </w:rPr>
        <w:t xml:space="preserve">. at 34-35.  The ALJ reasoned that Mr. Slifko was not an engineer and the City did not present any expert testimony to support is claim or reference any industry standard regarding the safe distance of a meter from the street.  </w:t>
      </w:r>
      <w:r w:rsidR="000D73E7" w:rsidRPr="000D73E7">
        <w:rPr>
          <w:i/>
          <w:iCs/>
          <w:sz w:val="26"/>
          <w:szCs w:val="26"/>
        </w:rPr>
        <w:t>Id</w:t>
      </w:r>
      <w:r w:rsidR="000D73E7">
        <w:rPr>
          <w:sz w:val="26"/>
          <w:szCs w:val="26"/>
        </w:rPr>
        <w:t>. at 35.</w:t>
      </w:r>
    </w:p>
    <w:p w14:paraId="27E7EF99" w14:textId="77777777" w:rsidR="00BF2BB6" w:rsidRDefault="00BF2BB6" w:rsidP="008E1AD5">
      <w:pPr>
        <w:rPr>
          <w:sz w:val="26"/>
          <w:szCs w:val="26"/>
        </w:rPr>
      </w:pPr>
    </w:p>
    <w:p w14:paraId="07DF836C" w14:textId="44519545" w:rsidR="006C0399" w:rsidRDefault="006C0399" w:rsidP="008E1AD5">
      <w:pPr>
        <w:rPr>
          <w:sz w:val="26"/>
          <w:szCs w:val="26"/>
        </w:rPr>
      </w:pPr>
      <w:r w:rsidRPr="006C0399">
        <w:rPr>
          <w:sz w:val="26"/>
          <w:szCs w:val="26"/>
        </w:rPr>
        <w:t xml:space="preserve">The ALJ concluded that the City’s </w:t>
      </w:r>
      <w:r w:rsidR="00F525F5">
        <w:rPr>
          <w:sz w:val="26"/>
          <w:szCs w:val="26"/>
        </w:rPr>
        <w:t>position was</w:t>
      </w:r>
      <w:r w:rsidR="00DF5730">
        <w:rPr>
          <w:sz w:val="26"/>
          <w:szCs w:val="26"/>
        </w:rPr>
        <w:t xml:space="preserve"> based on</w:t>
      </w:r>
      <w:r w:rsidRPr="006C0399">
        <w:rPr>
          <w:sz w:val="26"/>
          <w:szCs w:val="26"/>
        </w:rPr>
        <w:t xml:space="preserve"> </w:t>
      </w:r>
      <w:r w:rsidR="00F525F5">
        <w:rPr>
          <w:sz w:val="26"/>
          <w:szCs w:val="26"/>
        </w:rPr>
        <w:t xml:space="preserve">Mr. Slifko’s </w:t>
      </w:r>
      <w:r w:rsidRPr="006C0399">
        <w:rPr>
          <w:sz w:val="26"/>
          <w:szCs w:val="26"/>
        </w:rPr>
        <w:t>personal opinions</w:t>
      </w:r>
      <w:r w:rsidR="00F525F5">
        <w:rPr>
          <w:sz w:val="26"/>
          <w:szCs w:val="26"/>
        </w:rPr>
        <w:t xml:space="preserve"> and assertions, and, therefore, the City’s evidence</w:t>
      </w:r>
      <w:r w:rsidRPr="006C0399">
        <w:rPr>
          <w:sz w:val="26"/>
          <w:szCs w:val="26"/>
        </w:rPr>
        <w:t xml:space="preserve"> d</w:t>
      </w:r>
      <w:r w:rsidR="00F525F5">
        <w:rPr>
          <w:sz w:val="26"/>
          <w:szCs w:val="26"/>
        </w:rPr>
        <w:t>id</w:t>
      </w:r>
      <w:r w:rsidRPr="006C0399">
        <w:rPr>
          <w:sz w:val="26"/>
          <w:szCs w:val="26"/>
        </w:rPr>
        <w:t xml:space="preserve"> not rise to the level of substantial evidence</w:t>
      </w:r>
      <w:r w:rsidR="00F525F5">
        <w:rPr>
          <w:sz w:val="26"/>
          <w:szCs w:val="26"/>
        </w:rPr>
        <w:t xml:space="preserve"> to demonstrate that UGI placed meters in dangerous locations</w:t>
      </w:r>
      <w:r w:rsidRPr="006C0399">
        <w:rPr>
          <w:sz w:val="26"/>
          <w:szCs w:val="26"/>
        </w:rPr>
        <w:t xml:space="preserve">.  </w:t>
      </w:r>
      <w:r w:rsidRPr="00DF5730">
        <w:rPr>
          <w:i/>
          <w:iCs/>
          <w:sz w:val="26"/>
          <w:szCs w:val="26"/>
        </w:rPr>
        <w:t>I</w:t>
      </w:r>
      <w:r w:rsidR="00DF5730" w:rsidRPr="00DF5730">
        <w:rPr>
          <w:i/>
          <w:iCs/>
          <w:sz w:val="26"/>
          <w:szCs w:val="26"/>
        </w:rPr>
        <w:t>d</w:t>
      </w:r>
      <w:r w:rsidR="00DF5730">
        <w:rPr>
          <w:sz w:val="26"/>
          <w:szCs w:val="26"/>
        </w:rPr>
        <w:t>.</w:t>
      </w:r>
      <w:r w:rsidRPr="006C0399">
        <w:rPr>
          <w:sz w:val="26"/>
          <w:szCs w:val="26"/>
        </w:rPr>
        <w:t xml:space="preserve"> (citing </w:t>
      </w:r>
      <w:r w:rsidRPr="006C0399">
        <w:rPr>
          <w:i/>
          <w:iCs/>
          <w:sz w:val="26"/>
          <w:szCs w:val="26"/>
        </w:rPr>
        <w:t>Commonwealth, Bureau of Corrections v. City of Pittsburgh</w:t>
      </w:r>
      <w:r w:rsidRPr="006C0399">
        <w:rPr>
          <w:sz w:val="26"/>
          <w:szCs w:val="26"/>
        </w:rPr>
        <w:t>, 5</w:t>
      </w:r>
      <w:r w:rsidR="00F525F5">
        <w:rPr>
          <w:sz w:val="26"/>
          <w:szCs w:val="26"/>
        </w:rPr>
        <w:t>3</w:t>
      </w:r>
      <w:r w:rsidRPr="006C0399">
        <w:rPr>
          <w:sz w:val="26"/>
          <w:szCs w:val="26"/>
        </w:rPr>
        <w:t>2 A.2d 12 (Pa. 1987) (</w:t>
      </w:r>
      <w:r w:rsidRPr="006C0399">
        <w:rPr>
          <w:i/>
          <w:iCs/>
          <w:sz w:val="26"/>
          <w:szCs w:val="26"/>
        </w:rPr>
        <w:t>City of Pittsburgh</w:t>
      </w:r>
      <w:r w:rsidRPr="006C0399">
        <w:rPr>
          <w:sz w:val="26"/>
          <w:szCs w:val="26"/>
        </w:rPr>
        <w:t>).</w:t>
      </w:r>
      <w:r w:rsidR="00BF2BB6">
        <w:rPr>
          <w:sz w:val="26"/>
          <w:szCs w:val="26"/>
        </w:rPr>
        <w:t xml:space="preserve">  </w:t>
      </w:r>
      <w:r w:rsidRPr="006C0399">
        <w:rPr>
          <w:sz w:val="26"/>
          <w:szCs w:val="26"/>
        </w:rPr>
        <w:t xml:space="preserve">The ALJ </w:t>
      </w:r>
      <w:r w:rsidR="00BF2BB6">
        <w:rPr>
          <w:sz w:val="26"/>
          <w:szCs w:val="26"/>
        </w:rPr>
        <w:t>also reasoned</w:t>
      </w:r>
      <w:r w:rsidRPr="006C0399">
        <w:rPr>
          <w:sz w:val="26"/>
          <w:szCs w:val="26"/>
        </w:rPr>
        <w:t xml:space="preserve"> that “[a]necdotal evidence that vehicles are involved in accidents where the vehicle drives up onto a sidewalk and hits or nearly hits a meter is not sufficient to sustain the Complainants’ burden of proof.” </w:t>
      </w:r>
      <w:r w:rsidR="00BF2BB6">
        <w:rPr>
          <w:sz w:val="26"/>
          <w:szCs w:val="26"/>
        </w:rPr>
        <w:t xml:space="preserve"> I.D. at 36.</w:t>
      </w:r>
    </w:p>
    <w:p w14:paraId="2D898B3D" w14:textId="6BE818AD" w:rsidR="006C0399" w:rsidRPr="006C0399" w:rsidRDefault="006C0399" w:rsidP="008E1AD5">
      <w:pPr>
        <w:keepNext/>
        <w:keepLines/>
        <w:ind w:left="1440" w:hanging="720"/>
        <w:contextualSpacing/>
        <w:outlineLvl w:val="2"/>
        <w:rPr>
          <w:b/>
          <w:bCs/>
          <w:sz w:val="26"/>
          <w:szCs w:val="26"/>
        </w:rPr>
      </w:pPr>
      <w:r w:rsidRPr="006C0399">
        <w:rPr>
          <w:b/>
          <w:bCs/>
          <w:sz w:val="26"/>
          <w:szCs w:val="26"/>
        </w:rPr>
        <w:lastRenderedPageBreak/>
        <w:t>3.</w:t>
      </w:r>
      <w:r w:rsidRPr="006C0399">
        <w:rPr>
          <w:b/>
          <w:bCs/>
          <w:sz w:val="26"/>
          <w:szCs w:val="26"/>
        </w:rPr>
        <w:tab/>
        <w:t>Exceptions</w:t>
      </w:r>
      <w:r w:rsidR="00112462">
        <w:rPr>
          <w:b/>
          <w:bCs/>
          <w:sz w:val="26"/>
          <w:szCs w:val="26"/>
        </w:rPr>
        <w:t>,</w:t>
      </w:r>
      <w:r w:rsidR="00205DDE">
        <w:rPr>
          <w:b/>
          <w:bCs/>
          <w:sz w:val="26"/>
          <w:szCs w:val="26"/>
        </w:rPr>
        <w:t xml:space="preserve"> </w:t>
      </w:r>
      <w:r w:rsidRPr="006C0399">
        <w:rPr>
          <w:b/>
          <w:bCs/>
          <w:sz w:val="26"/>
          <w:szCs w:val="26"/>
        </w:rPr>
        <w:t>Replies</w:t>
      </w:r>
      <w:r w:rsidR="00112462">
        <w:rPr>
          <w:b/>
          <w:bCs/>
          <w:sz w:val="26"/>
          <w:szCs w:val="26"/>
        </w:rPr>
        <w:t>, and Disposition</w:t>
      </w:r>
    </w:p>
    <w:p w14:paraId="10AF7177" w14:textId="77777777" w:rsidR="006C0399" w:rsidRPr="006C0399" w:rsidRDefault="006C0399" w:rsidP="008E1AD5">
      <w:pPr>
        <w:keepNext/>
        <w:keepLines/>
        <w:ind w:left="720" w:firstLine="0"/>
        <w:contextualSpacing/>
        <w:outlineLvl w:val="1"/>
        <w:rPr>
          <w:b/>
          <w:bCs/>
          <w:sz w:val="26"/>
          <w:szCs w:val="26"/>
        </w:rPr>
      </w:pPr>
    </w:p>
    <w:p w14:paraId="35A08E97" w14:textId="77777777" w:rsidR="006C0399" w:rsidRPr="006C0399" w:rsidRDefault="00715D10" w:rsidP="008E1AD5">
      <w:pPr>
        <w:keepNext/>
        <w:keepLines/>
        <w:ind w:left="2160" w:hanging="720"/>
        <w:contextualSpacing/>
        <w:outlineLvl w:val="3"/>
        <w:rPr>
          <w:b/>
          <w:bCs/>
          <w:sz w:val="26"/>
          <w:szCs w:val="26"/>
        </w:rPr>
      </w:pPr>
      <w:bookmarkStart w:id="14" w:name="_Hlk20586339"/>
      <w:r>
        <w:rPr>
          <w:b/>
          <w:bCs/>
          <w:sz w:val="26"/>
          <w:szCs w:val="26"/>
        </w:rPr>
        <w:t>a.</w:t>
      </w:r>
      <w:r>
        <w:rPr>
          <w:b/>
          <w:bCs/>
          <w:sz w:val="26"/>
          <w:szCs w:val="26"/>
        </w:rPr>
        <w:tab/>
      </w:r>
      <w:r w:rsidR="006C0399" w:rsidRPr="006C0399">
        <w:rPr>
          <w:b/>
          <w:bCs/>
          <w:sz w:val="26"/>
          <w:szCs w:val="26"/>
        </w:rPr>
        <w:t>The City’s Exception</w:t>
      </w:r>
      <w:r>
        <w:rPr>
          <w:b/>
          <w:bCs/>
          <w:sz w:val="26"/>
          <w:szCs w:val="26"/>
        </w:rPr>
        <w:t>s</w:t>
      </w:r>
      <w:r w:rsidR="006C0399" w:rsidRPr="006C0399">
        <w:rPr>
          <w:b/>
          <w:bCs/>
          <w:sz w:val="26"/>
          <w:szCs w:val="26"/>
        </w:rPr>
        <w:t xml:space="preserve"> Nos. 4, 5, 6, 7</w:t>
      </w:r>
      <w:r w:rsidR="00416439">
        <w:rPr>
          <w:b/>
          <w:bCs/>
          <w:sz w:val="26"/>
          <w:szCs w:val="26"/>
        </w:rPr>
        <w:t xml:space="preserve">, </w:t>
      </w:r>
      <w:r w:rsidR="00416439" w:rsidRPr="006C0399">
        <w:rPr>
          <w:b/>
          <w:bCs/>
          <w:sz w:val="26"/>
          <w:szCs w:val="26"/>
        </w:rPr>
        <w:t>12, 13, 14, 16, and 18</w:t>
      </w:r>
    </w:p>
    <w:bookmarkEnd w:id="14"/>
    <w:p w14:paraId="6B8AFEB6" w14:textId="77777777" w:rsidR="006C0399" w:rsidRPr="006C0399" w:rsidRDefault="006C0399" w:rsidP="008E1AD5">
      <w:pPr>
        <w:spacing w:line="240" w:lineRule="auto"/>
        <w:ind w:firstLine="0"/>
        <w:rPr>
          <w:sz w:val="26"/>
          <w:szCs w:val="26"/>
        </w:rPr>
      </w:pPr>
    </w:p>
    <w:p w14:paraId="4E5A6D60" w14:textId="77777777" w:rsidR="009077CC" w:rsidRPr="006C0399" w:rsidRDefault="006C0399" w:rsidP="008E1AD5">
      <w:pPr>
        <w:rPr>
          <w:sz w:val="26"/>
          <w:szCs w:val="26"/>
        </w:rPr>
      </w:pPr>
      <w:r w:rsidRPr="006C0399">
        <w:rPr>
          <w:sz w:val="26"/>
          <w:szCs w:val="26"/>
        </w:rPr>
        <w:t>In its fourth, fifth, sixth, and seventh Exceptions, the City claims that the Initial Decision contains multiple Findings of Fact that are either not supported by the record evidence, are misleading, or are under-inclusive in not setting forth findings that the City believes would weigh in the City Parties’ favor.  The City specifically challenges Findings of Fact Nos. 54, 55, 56, 57, and 58.  City Exc. at 5-7.</w:t>
      </w:r>
      <w:r w:rsidR="009077CC">
        <w:rPr>
          <w:sz w:val="26"/>
          <w:szCs w:val="26"/>
        </w:rPr>
        <w:t xml:space="preserve">  </w:t>
      </w:r>
      <w:r w:rsidR="009077CC" w:rsidRPr="006C0399">
        <w:rPr>
          <w:sz w:val="26"/>
          <w:szCs w:val="26"/>
        </w:rPr>
        <w:t>The pertinent Findings of Fact are set forth below:</w:t>
      </w:r>
    </w:p>
    <w:p w14:paraId="7E22CD05" w14:textId="77777777" w:rsidR="009077CC" w:rsidRPr="006C0399" w:rsidRDefault="009077CC" w:rsidP="008E1AD5">
      <w:pPr>
        <w:rPr>
          <w:sz w:val="26"/>
          <w:szCs w:val="26"/>
        </w:rPr>
      </w:pPr>
    </w:p>
    <w:p w14:paraId="18202E28" w14:textId="77777777" w:rsidR="009077CC" w:rsidRPr="006C0399" w:rsidRDefault="009077CC" w:rsidP="008E1AD5">
      <w:pPr>
        <w:spacing w:line="240" w:lineRule="auto"/>
        <w:ind w:left="1440" w:right="1440" w:firstLine="720"/>
        <w:rPr>
          <w:sz w:val="26"/>
          <w:szCs w:val="26"/>
        </w:rPr>
      </w:pPr>
      <w:r w:rsidRPr="006C0399">
        <w:rPr>
          <w:sz w:val="26"/>
          <w:szCs w:val="26"/>
        </w:rPr>
        <w:t>54.</w:t>
      </w:r>
      <w:r w:rsidRPr="006C0399">
        <w:rPr>
          <w:sz w:val="26"/>
          <w:szCs w:val="26"/>
        </w:rPr>
        <w:tab/>
        <w:t>UGI has been selective in the placement of meters and avoids locations where vehicular damage may be reasonably anticipated.  (Brown, UGI St. 1 at 37)</w:t>
      </w:r>
    </w:p>
    <w:p w14:paraId="25977964" w14:textId="77777777" w:rsidR="009077CC" w:rsidRPr="006C0399" w:rsidRDefault="009077CC" w:rsidP="008E1AD5">
      <w:pPr>
        <w:spacing w:line="240" w:lineRule="auto"/>
        <w:ind w:left="1440" w:right="1440" w:firstLine="0"/>
        <w:rPr>
          <w:sz w:val="26"/>
          <w:szCs w:val="26"/>
        </w:rPr>
      </w:pPr>
    </w:p>
    <w:p w14:paraId="3F18C865" w14:textId="77777777" w:rsidR="009077CC" w:rsidRPr="006C0399" w:rsidRDefault="009077CC" w:rsidP="008E1AD5">
      <w:pPr>
        <w:spacing w:line="240" w:lineRule="auto"/>
        <w:ind w:left="1440" w:right="1440" w:firstLine="720"/>
        <w:rPr>
          <w:sz w:val="26"/>
          <w:szCs w:val="26"/>
        </w:rPr>
      </w:pPr>
      <w:r w:rsidRPr="006C0399">
        <w:rPr>
          <w:sz w:val="26"/>
          <w:szCs w:val="26"/>
        </w:rPr>
        <w:t>55.</w:t>
      </w:r>
      <w:r w:rsidRPr="006C0399">
        <w:rPr>
          <w:sz w:val="26"/>
          <w:szCs w:val="26"/>
        </w:rPr>
        <w:tab/>
        <w:t>By doing so, UGI avoids the need for the installation of bollards or other forms of supplemental meter protection that could be viewed as more obtrusive and taking away from distinguishing historical building features.  (Brown, UGI St. 1 at 37)</w:t>
      </w:r>
    </w:p>
    <w:p w14:paraId="34CCA714" w14:textId="77777777" w:rsidR="009077CC" w:rsidRPr="006C0399" w:rsidRDefault="009077CC" w:rsidP="008E1AD5">
      <w:pPr>
        <w:spacing w:line="240" w:lineRule="auto"/>
        <w:ind w:left="1440" w:right="1440" w:firstLine="720"/>
        <w:rPr>
          <w:sz w:val="26"/>
          <w:szCs w:val="26"/>
        </w:rPr>
      </w:pPr>
    </w:p>
    <w:p w14:paraId="2A3282AF" w14:textId="77777777" w:rsidR="009077CC" w:rsidRPr="006C0399" w:rsidRDefault="009077CC" w:rsidP="008E1AD5">
      <w:pPr>
        <w:spacing w:line="240" w:lineRule="auto"/>
        <w:ind w:left="1440" w:right="1440" w:firstLine="720"/>
        <w:rPr>
          <w:sz w:val="26"/>
          <w:szCs w:val="26"/>
        </w:rPr>
      </w:pPr>
      <w:r w:rsidRPr="006C0399">
        <w:rPr>
          <w:sz w:val="26"/>
          <w:szCs w:val="26"/>
        </w:rPr>
        <w:t>56.</w:t>
      </w:r>
      <w:r w:rsidRPr="006C0399">
        <w:rPr>
          <w:sz w:val="26"/>
          <w:szCs w:val="26"/>
        </w:rPr>
        <w:tab/>
        <w:t>The last “incident” report to the Pipeline and Hazardous Materials Safety Administration (PHMSA) within the United States Department of Transportation (DOT) related to vehicular damage to outdoor meter sets occurred in 1981.  (Brown, UGI St. 1 at 48)</w:t>
      </w:r>
    </w:p>
    <w:p w14:paraId="6ECC33EF" w14:textId="77777777" w:rsidR="009077CC" w:rsidRPr="006C0399" w:rsidRDefault="009077CC" w:rsidP="008E1AD5">
      <w:pPr>
        <w:spacing w:line="240" w:lineRule="auto"/>
        <w:ind w:left="1440" w:right="1440" w:firstLine="720"/>
        <w:rPr>
          <w:sz w:val="26"/>
          <w:szCs w:val="26"/>
        </w:rPr>
      </w:pPr>
    </w:p>
    <w:p w14:paraId="2AF15927" w14:textId="77777777" w:rsidR="009077CC" w:rsidRPr="006C0399" w:rsidRDefault="009077CC" w:rsidP="008E1AD5">
      <w:pPr>
        <w:spacing w:line="240" w:lineRule="auto"/>
        <w:ind w:left="1440" w:right="1440" w:firstLine="720"/>
        <w:rPr>
          <w:sz w:val="26"/>
          <w:szCs w:val="26"/>
        </w:rPr>
      </w:pPr>
      <w:r w:rsidRPr="006C0399">
        <w:rPr>
          <w:sz w:val="26"/>
          <w:szCs w:val="26"/>
        </w:rPr>
        <w:t>57.</w:t>
      </w:r>
      <w:r w:rsidRPr="006C0399">
        <w:rPr>
          <w:sz w:val="26"/>
          <w:szCs w:val="26"/>
        </w:rPr>
        <w:tab/>
        <w:t>The City’s proposal that meters should be placed 15 feet or more from the street is based solely on Mr. Slifko’s analysis of news reports of accidents where a car has struck a meter. (N.T. 207-208)</w:t>
      </w:r>
    </w:p>
    <w:p w14:paraId="07F5F46E" w14:textId="77777777" w:rsidR="009077CC" w:rsidRPr="006C0399" w:rsidRDefault="009077CC" w:rsidP="008E1AD5">
      <w:pPr>
        <w:spacing w:line="240" w:lineRule="auto"/>
        <w:ind w:left="1440" w:right="1440" w:firstLine="720"/>
        <w:rPr>
          <w:sz w:val="26"/>
          <w:szCs w:val="26"/>
        </w:rPr>
      </w:pPr>
    </w:p>
    <w:p w14:paraId="01AEC97A" w14:textId="77777777" w:rsidR="009077CC" w:rsidRDefault="009077CC" w:rsidP="008E1AD5">
      <w:pPr>
        <w:ind w:left="1440" w:right="1440" w:firstLine="720"/>
        <w:rPr>
          <w:sz w:val="26"/>
          <w:szCs w:val="26"/>
        </w:rPr>
      </w:pPr>
      <w:r w:rsidRPr="006C0399">
        <w:rPr>
          <w:sz w:val="26"/>
          <w:szCs w:val="26"/>
        </w:rPr>
        <w:t>58.</w:t>
      </w:r>
      <w:r w:rsidRPr="006C0399">
        <w:rPr>
          <w:sz w:val="26"/>
          <w:szCs w:val="26"/>
        </w:rPr>
        <w:tab/>
        <w:t>Mr. Slifko is not an engineer.  (N.T. 169)</w:t>
      </w:r>
    </w:p>
    <w:p w14:paraId="602D3C5B" w14:textId="77777777" w:rsidR="003C2143" w:rsidRPr="006C0399" w:rsidRDefault="003C2143" w:rsidP="008E1AD5">
      <w:pPr>
        <w:spacing w:line="240" w:lineRule="auto"/>
        <w:ind w:left="1440" w:right="1440" w:firstLine="720"/>
        <w:rPr>
          <w:sz w:val="26"/>
          <w:szCs w:val="26"/>
        </w:rPr>
      </w:pPr>
    </w:p>
    <w:p w14:paraId="427148D3" w14:textId="77777777" w:rsidR="009077CC" w:rsidRPr="006C0399" w:rsidRDefault="009077CC" w:rsidP="008E1AD5">
      <w:pPr>
        <w:ind w:firstLine="0"/>
        <w:rPr>
          <w:sz w:val="26"/>
          <w:szCs w:val="26"/>
        </w:rPr>
      </w:pPr>
      <w:r w:rsidRPr="006C0399">
        <w:rPr>
          <w:sz w:val="26"/>
          <w:szCs w:val="26"/>
        </w:rPr>
        <w:t>I.D. at 15-16.</w:t>
      </w:r>
    </w:p>
    <w:p w14:paraId="0F03915C" w14:textId="77777777" w:rsidR="00F721AD" w:rsidRDefault="006C0399" w:rsidP="008E1AD5">
      <w:pPr>
        <w:rPr>
          <w:sz w:val="26"/>
          <w:szCs w:val="26"/>
        </w:rPr>
      </w:pPr>
      <w:r w:rsidRPr="006C0399">
        <w:rPr>
          <w:sz w:val="26"/>
          <w:szCs w:val="26"/>
        </w:rPr>
        <w:t xml:space="preserve">  </w:t>
      </w:r>
    </w:p>
    <w:p w14:paraId="16EC2D92" w14:textId="4207A666" w:rsidR="006C0399" w:rsidRPr="006C0399" w:rsidRDefault="00F721AD" w:rsidP="008E1AD5">
      <w:pPr>
        <w:rPr>
          <w:sz w:val="26"/>
          <w:szCs w:val="26"/>
        </w:rPr>
      </w:pPr>
      <w:r>
        <w:rPr>
          <w:sz w:val="26"/>
          <w:szCs w:val="26"/>
        </w:rPr>
        <w:lastRenderedPageBreak/>
        <w:t>T</w:t>
      </w:r>
      <w:r w:rsidR="006C0399" w:rsidRPr="006C0399">
        <w:rPr>
          <w:sz w:val="26"/>
          <w:szCs w:val="26"/>
        </w:rPr>
        <w:t xml:space="preserve">he City’s argument is not merely </w:t>
      </w:r>
      <w:r>
        <w:rPr>
          <w:sz w:val="26"/>
          <w:szCs w:val="26"/>
        </w:rPr>
        <w:t xml:space="preserve">based on </w:t>
      </w:r>
      <w:r w:rsidR="006C0399" w:rsidRPr="006C0399">
        <w:rPr>
          <w:sz w:val="26"/>
          <w:szCs w:val="26"/>
        </w:rPr>
        <w:t xml:space="preserve">the evidence </w:t>
      </w:r>
      <w:r>
        <w:rPr>
          <w:sz w:val="26"/>
          <w:szCs w:val="26"/>
        </w:rPr>
        <w:t xml:space="preserve">the ALJ </w:t>
      </w:r>
      <w:r w:rsidR="006C0399" w:rsidRPr="006C0399">
        <w:rPr>
          <w:sz w:val="26"/>
          <w:szCs w:val="26"/>
        </w:rPr>
        <w:t xml:space="preserve">relied on  but is </w:t>
      </w:r>
      <w:r>
        <w:rPr>
          <w:sz w:val="26"/>
          <w:szCs w:val="26"/>
        </w:rPr>
        <w:t xml:space="preserve">also based on </w:t>
      </w:r>
      <w:r w:rsidR="006C0399" w:rsidRPr="006C0399">
        <w:rPr>
          <w:sz w:val="26"/>
          <w:szCs w:val="26"/>
        </w:rPr>
        <w:t>the conclusions that the ALJ reached upon reviewing the evidence, which the City also challenge</w:t>
      </w:r>
      <w:r w:rsidR="00EB3AA1">
        <w:rPr>
          <w:sz w:val="26"/>
          <w:szCs w:val="26"/>
        </w:rPr>
        <w:t>s</w:t>
      </w:r>
      <w:r w:rsidR="006C0399" w:rsidRPr="006C0399">
        <w:rPr>
          <w:sz w:val="26"/>
          <w:szCs w:val="26"/>
        </w:rPr>
        <w:t>, as set forth in its Exception</w:t>
      </w:r>
      <w:r w:rsidR="00EB3AA1">
        <w:rPr>
          <w:sz w:val="26"/>
          <w:szCs w:val="26"/>
        </w:rPr>
        <w:t>s</w:t>
      </w:r>
      <w:r w:rsidR="006C0399" w:rsidRPr="006C0399">
        <w:rPr>
          <w:sz w:val="26"/>
          <w:szCs w:val="26"/>
        </w:rPr>
        <w:t xml:space="preserve"> Nos. 12, 13, 14, 16, and 18.</w:t>
      </w:r>
    </w:p>
    <w:p w14:paraId="7D9D07E3" w14:textId="77777777" w:rsidR="006C0399" w:rsidRPr="006C0399" w:rsidRDefault="006C0399" w:rsidP="008E1AD5">
      <w:pPr>
        <w:ind w:firstLine="0"/>
        <w:rPr>
          <w:sz w:val="26"/>
          <w:szCs w:val="26"/>
        </w:rPr>
      </w:pPr>
    </w:p>
    <w:p w14:paraId="0C44851B" w14:textId="3A877324" w:rsidR="00A64104" w:rsidRDefault="006C0399" w:rsidP="008E1AD5">
      <w:pPr>
        <w:rPr>
          <w:sz w:val="26"/>
          <w:szCs w:val="26"/>
        </w:rPr>
      </w:pPr>
      <w:r w:rsidRPr="006C0399">
        <w:rPr>
          <w:sz w:val="26"/>
          <w:szCs w:val="26"/>
        </w:rPr>
        <w:t xml:space="preserve">In its eighteenth Exception, the City argues that Conclusion of Law No. 9, finding that the City Parties have failed to meet their burden of proving that UGI violated 52 Pa. Code § 59.18(a)(5), is unsupported by the record.  City Exc. at 19-20.  The City </w:t>
      </w:r>
      <w:r w:rsidR="00BA5AD0">
        <w:rPr>
          <w:sz w:val="26"/>
          <w:szCs w:val="26"/>
        </w:rPr>
        <w:t xml:space="preserve">also </w:t>
      </w:r>
      <w:r w:rsidRPr="006C0399">
        <w:rPr>
          <w:sz w:val="26"/>
          <w:szCs w:val="26"/>
        </w:rPr>
        <w:t xml:space="preserve">addresses Conclusion of Law No. 9 in </w:t>
      </w:r>
      <w:r w:rsidR="00BA5AD0">
        <w:rPr>
          <w:sz w:val="26"/>
          <w:szCs w:val="26"/>
        </w:rPr>
        <w:t xml:space="preserve">its </w:t>
      </w:r>
      <w:r w:rsidRPr="006C0399">
        <w:rPr>
          <w:sz w:val="26"/>
          <w:szCs w:val="26"/>
        </w:rPr>
        <w:t>Exception</w:t>
      </w:r>
      <w:r w:rsidR="00BA5AD0">
        <w:rPr>
          <w:sz w:val="26"/>
          <w:szCs w:val="26"/>
        </w:rPr>
        <w:t>s</w:t>
      </w:r>
      <w:r w:rsidRPr="006C0399">
        <w:rPr>
          <w:sz w:val="26"/>
          <w:szCs w:val="26"/>
        </w:rPr>
        <w:t xml:space="preserve"> Nos. 12, 13, 14 and 16.  City Exc. at 14-19.  Similarly, the City’s sixteenth Exception, in which the City challenges the ALJ’s conclusion that the City Parties failed to prove that UGI has installed meters in outside locations that are not protected from reasonably anticipated damage, </w:t>
      </w:r>
      <w:r w:rsidR="00ED6A89">
        <w:rPr>
          <w:sz w:val="26"/>
          <w:szCs w:val="26"/>
        </w:rPr>
        <w:t>is related to</w:t>
      </w:r>
      <w:r w:rsidRPr="006C0399">
        <w:rPr>
          <w:sz w:val="26"/>
          <w:szCs w:val="26"/>
        </w:rPr>
        <w:t xml:space="preserve"> the City’s challenges to the ALJ’s Initial Decision contained in the City’s Exception</w:t>
      </w:r>
      <w:r w:rsidR="00ED6A89">
        <w:rPr>
          <w:sz w:val="26"/>
          <w:szCs w:val="26"/>
        </w:rPr>
        <w:t>s</w:t>
      </w:r>
      <w:r w:rsidRPr="006C0399">
        <w:rPr>
          <w:sz w:val="26"/>
          <w:szCs w:val="26"/>
        </w:rPr>
        <w:t xml:space="preserve"> Nos. 12, 13 and 14, as well as the City’s objections to the Findings of Fact contained in the City’s Exception</w:t>
      </w:r>
      <w:r w:rsidR="00C16F2B">
        <w:rPr>
          <w:sz w:val="26"/>
          <w:szCs w:val="26"/>
        </w:rPr>
        <w:t>s</w:t>
      </w:r>
      <w:r w:rsidRPr="006C0399">
        <w:rPr>
          <w:sz w:val="26"/>
          <w:szCs w:val="26"/>
        </w:rPr>
        <w:t xml:space="preserve"> Nos. 4, 5, 6, and 7.</w:t>
      </w:r>
    </w:p>
    <w:p w14:paraId="3BB3172E" w14:textId="77777777" w:rsidR="00A64104" w:rsidRDefault="00A64104" w:rsidP="008E1AD5">
      <w:pPr>
        <w:rPr>
          <w:sz w:val="26"/>
          <w:szCs w:val="26"/>
        </w:rPr>
      </w:pPr>
    </w:p>
    <w:p w14:paraId="608D064B" w14:textId="79590EFB" w:rsidR="003C16A4" w:rsidRDefault="006C0399" w:rsidP="008E1AD5">
      <w:pPr>
        <w:rPr>
          <w:sz w:val="26"/>
          <w:szCs w:val="26"/>
        </w:rPr>
      </w:pPr>
      <w:r w:rsidRPr="006C0399">
        <w:rPr>
          <w:sz w:val="26"/>
          <w:szCs w:val="26"/>
        </w:rPr>
        <w:t>In its Exception</w:t>
      </w:r>
      <w:r w:rsidR="00D25407">
        <w:rPr>
          <w:sz w:val="26"/>
          <w:szCs w:val="26"/>
        </w:rPr>
        <w:t>s</w:t>
      </w:r>
      <w:r w:rsidRPr="006C0399">
        <w:rPr>
          <w:sz w:val="26"/>
          <w:szCs w:val="26"/>
        </w:rPr>
        <w:t xml:space="preserve"> Nos. 12, 13, 14, 16, and 18</w:t>
      </w:r>
      <w:r w:rsidR="00D25407">
        <w:rPr>
          <w:sz w:val="26"/>
          <w:szCs w:val="26"/>
        </w:rPr>
        <w:t>,</w:t>
      </w:r>
      <w:r w:rsidRPr="006C0399">
        <w:rPr>
          <w:sz w:val="26"/>
          <w:szCs w:val="26"/>
        </w:rPr>
        <w:t xml:space="preserve"> the City challenges the ALJ’s conclusion that the City Parties have failed to prove that UGI has installed meters in outside locations that are not protected from reasonably anticipated damage.  City Exc. at 14-20.  Specifically, the City </w:t>
      </w:r>
      <w:r w:rsidR="00263898">
        <w:rPr>
          <w:sz w:val="26"/>
          <w:szCs w:val="26"/>
        </w:rPr>
        <w:t>contends</w:t>
      </w:r>
      <w:r w:rsidRPr="006C0399">
        <w:rPr>
          <w:sz w:val="26"/>
          <w:szCs w:val="26"/>
        </w:rPr>
        <w:t xml:space="preserve"> that: (1) UGI has not sustained its burden of </w:t>
      </w:r>
      <w:r w:rsidR="00263898">
        <w:rPr>
          <w:sz w:val="26"/>
          <w:szCs w:val="26"/>
        </w:rPr>
        <w:t>showing it</w:t>
      </w:r>
      <w:r w:rsidRPr="006C0399">
        <w:rPr>
          <w:sz w:val="26"/>
          <w:szCs w:val="26"/>
        </w:rPr>
        <w:t xml:space="preserve"> complied with Commission Regulation 52 Pa. Code § 59.18(a)(5) or federal regulation 49 C.F.R § 192.353(a);</w:t>
      </w:r>
      <w:r w:rsidRPr="00D25407">
        <w:rPr>
          <w:sz w:val="26"/>
          <w:szCs w:val="26"/>
          <w:vertAlign w:val="superscript"/>
        </w:rPr>
        <w:footnoteReference w:id="7"/>
      </w:r>
      <w:r w:rsidRPr="006C0399">
        <w:rPr>
          <w:sz w:val="26"/>
          <w:szCs w:val="26"/>
        </w:rPr>
        <w:t xml:space="preserve"> (2) the ALJ’s finding that “[t]he Complainants offered no credible evidence to support their claim that UGI placed meters where ‘vehicular damage may be anticipated’</w:t>
      </w:r>
      <w:r w:rsidR="00263898">
        <w:rPr>
          <w:sz w:val="26"/>
          <w:szCs w:val="26"/>
        </w:rPr>
        <w:t>”</w:t>
      </w:r>
      <w:r w:rsidRPr="006C0399">
        <w:rPr>
          <w:sz w:val="26"/>
          <w:szCs w:val="26"/>
        </w:rPr>
        <w:t xml:space="preserve"> ignores “significant pictorial evidence” introduced by the City; and (3) the ALJ’s rejection of the City’s proposal to have meters located at least 15 feet from the curb marginalizes Mr. Slifko’s testimony and ignores pictorial evidence and UGI’s “ten foot rule” proposed in Mr. Brown’s prepared direct testimony.</w:t>
      </w:r>
      <w:r w:rsidR="006511E8">
        <w:rPr>
          <w:sz w:val="26"/>
          <w:szCs w:val="26"/>
        </w:rPr>
        <w:t xml:space="preserve">  </w:t>
      </w:r>
      <w:r w:rsidR="00B94DED">
        <w:rPr>
          <w:sz w:val="26"/>
          <w:szCs w:val="26"/>
        </w:rPr>
        <w:t xml:space="preserve">City Exc. at </w:t>
      </w:r>
      <w:r w:rsidR="00B94DED">
        <w:rPr>
          <w:sz w:val="26"/>
          <w:szCs w:val="26"/>
        </w:rPr>
        <w:lastRenderedPageBreak/>
        <w:t xml:space="preserve">14 (citing </w:t>
      </w:r>
      <w:r w:rsidR="00B94DED" w:rsidRPr="00A924E2">
        <w:rPr>
          <w:sz w:val="26"/>
          <w:szCs w:val="26"/>
        </w:rPr>
        <w:t>City Exhs. JS-16, JS-22, JS-25, ML-1, and ML-3)</w:t>
      </w:r>
      <w:r w:rsidR="00B94DED">
        <w:rPr>
          <w:sz w:val="26"/>
          <w:szCs w:val="26"/>
        </w:rPr>
        <w:t xml:space="preserve">, </w:t>
      </w:r>
      <w:r w:rsidR="006A5AFD">
        <w:rPr>
          <w:sz w:val="26"/>
          <w:szCs w:val="26"/>
        </w:rPr>
        <w:t xml:space="preserve">City Exc. at </w:t>
      </w:r>
      <w:r w:rsidR="00B94DED">
        <w:rPr>
          <w:sz w:val="26"/>
          <w:szCs w:val="26"/>
        </w:rPr>
        <w:t xml:space="preserve">15-17 (citing </w:t>
      </w:r>
      <w:r w:rsidR="00B94DED" w:rsidRPr="00B70EEF">
        <w:rPr>
          <w:sz w:val="26"/>
          <w:szCs w:val="26"/>
        </w:rPr>
        <w:t>UGI St. 1 at 66-67</w:t>
      </w:r>
      <w:r w:rsidR="00B94DED">
        <w:rPr>
          <w:sz w:val="26"/>
          <w:szCs w:val="26"/>
        </w:rPr>
        <w:t>)</w:t>
      </w:r>
      <w:r w:rsidR="00B94DED" w:rsidRPr="00A924E2">
        <w:rPr>
          <w:sz w:val="26"/>
          <w:szCs w:val="26"/>
        </w:rPr>
        <w:t>.</w:t>
      </w:r>
    </w:p>
    <w:p w14:paraId="1D374922" w14:textId="77777777" w:rsidR="003C16A4" w:rsidRDefault="003C16A4" w:rsidP="008E1AD5">
      <w:pPr>
        <w:rPr>
          <w:sz w:val="26"/>
          <w:szCs w:val="26"/>
        </w:rPr>
      </w:pPr>
    </w:p>
    <w:p w14:paraId="6CFD67AE" w14:textId="68A0AA64" w:rsidR="00EB10D5" w:rsidRDefault="00B94DED" w:rsidP="008E1AD5">
      <w:r w:rsidRPr="00330DAA">
        <w:rPr>
          <w:sz w:val="26"/>
          <w:szCs w:val="26"/>
        </w:rPr>
        <w:t xml:space="preserve">The City argues that Mr. Slifko’s testimony about the safety of inside versus outside meters should be given more weight than the testimony of UGI’s witness, Mr. Brown, because Mr. Slifko was Vice President of City Council </w:t>
      </w:r>
      <w:r w:rsidR="006A5AFD">
        <w:rPr>
          <w:sz w:val="26"/>
          <w:szCs w:val="26"/>
        </w:rPr>
        <w:t xml:space="preserve">and </w:t>
      </w:r>
      <w:r w:rsidRPr="00330DAA">
        <w:rPr>
          <w:sz w:val="26"/>
          <w:szCs w:val="26"/>
        </w:rPr>
        <w:t>a long</w:t>
      </w:r>
      <w:r w:rsidR="006A5AFD">
        <w:rPr>
          <w:sz w:val="26"/>
          <w:szCs w:val="26"/>
        </w:rPr>
        <w:t>-</w:t>
      </w:r>
      <w:r w:rsidRPr="00330DAA">
        <w:rPr>
          <w:sz w:val="26"/>
          <w:szCs w:val="26"/>
        </w:rPr>
        <w:t xml:space="preserve">time Reading resident </w:t>
      </w:r>
      <w:r w:rsidR="00B03D82">
        <w:rPr>
          <w:sz w:val="26"/>
          <w:szCs w:val="26"/>
        </w:rPr>
        <w:t xml:space="preserve">with </w:t>
      </w:r>
      <w:r w:rsidR="006A5AFD">
        <w:rPr>
          <w:sz w:val="26"/>
          <w:szCs w:val="26"/>
        </w:rPr>
        <w:t>significant</w:t>
      </w:r>
      <w:r w:rsidRPr="00330DAA">
        <w:rPr>
          <w:sz w:val="26"/>
          <w:szCs w:val="26"/>
        </w:rPr>
        <w:t xml:space="preserve"> knowledge </w:t>
      </w:r>
      <w:r w:rsidR="006A5AFD">
        <w:rPr>
          <w:sz w:val="26"/>
          <w:szCs w:val="26"/>
        </w:rPr>
        <w:t>about</w:t>
      </w:r>
      <w:r w:rsidRPr="00330DAA">
        <w:rPr>
          <w:sz w:val="26"/>
          <w:szCs w:val="26"/>
        </w:rPr>
        <w:t xml:space="preserve"> the streets of </w:t>
      </w:r>
      <w:r w:rsidR="006A5AFD">
        <w:rPr>
          <w:sz w:val="26"/>
          <w:szCs w:val="26"/>
        </w:rPr>
        <w:t>the City</w:t>
      </w:r>
      <w:r w:rsidRPr="00330DAA">
        <w:rPr>
          <w:sz w:val="26"/>
          <w:szCs w:val="26"/>
        </w:rPr>
        <w:t xml:space="preserve">.  </w:t>
      </w:r>
      <w:r w:rsidR="006A5AFD">
        <w:rPr>
          <w:sz w:val="26"/>
          <w:szCs w:val="26"/>
        </w:rPr>
        <w:t>The City states that i</w:t>
      </w:r>
      <w:r w:rsidRPr="00330DAA">
        <w:rPr>
          <w:sz w:val="26"/>
          <w:szCs w:val="26"/>
        </w:rPr>
        <w:t xml:space="preserve">n addition to his law degree, Mr. Slifko also worked as a home remodeling contractor for more than </w:t>
      </w:r>
      <w:r w:rsidR="006A5AFD">
        <w:rPr>
          <w:sz w:val="26"/>
          <w:szCs w:val="26"/>
        </w:rPr>
        <w:t xml:space="preserve">thirty </w:t>
      </w:r>
      <w:r w:rsidRPr="00330DAA">
        <w:rPr>
          <w:sz w:val="26"/>
          <w:szCs w:val="26"/>
        </w:rPr>
        <w:t xml:space="preserve">years, focusing primarily on historic restoration in </w:t>
      </w:r>
      <w:r w:rsidR="006A5AFD">
        <w:rPr>
          <w:sz w:val="26"/>
          <w:szCs w:val="26"/>
        </w:rPr>
        <w:t>the City.</w:t>
      </w:r>
      <w:r w:rsidRPr="00330DAA">
        <w:rPr>
          <w:sz w:val="26"/>
          <w:szCs w:val="26"/>
        </w:rPr>
        <w:t xml:space="preserve"> </w:t>
      </w:r>
      <w:r w:rsidR="006A5AFD">
        <w:rPr>
          <w:sz w:val="26"/>
          <w:szCs w:val="26"/>
        </w:rPr>
        <w:t xml:space="preserve"> </w:t>
      </w:r>
      <w:r w:rsidRPr="00330DAA">
        <w:rPr>
          <w:sz w:val="26"/>
          <w:szCs w:val="26"/>
        </w:rPr>
        <w:t xml:space="preserve">City Exc. at 15.  </w:t>
      </w:r>
      <w:r w:rsidR="006C0399" w:rsidRPr="006C0399">
        <w:rPr>
          <w:sz w:val="26"/>
          <w:szCs w:val="26"/>
        </w:rPr>
        <w:t>The City also argue</w:t>
      </w:r>
      <w:r w:rsidR="006A5AFD">
        <w:rPr>
          <w:sz w:val="26"/>
          <w:szCs w:val="26"/>
        </w:rPr>
        <w:t>s</w:t>
      </w:r>
      <w:r w:rsidR="006C0399" w:rsidRPr="006C0399">
        <w:rPr>
          <w:sz w:val="26"/>
          <w:szCs w:val="26"/>
        </w:rPr>
        <w:t xml:space="preserve"> that UGI’s evidence regarding the number of safety incidents prior to 2018 is misleading because the meters were placed under the “old rules” where inside meter placement was standard and do not support UGI’s safety claims with respect to </w:t>
      </w:r>
      <w:r w:rsidR="006A5AFD">
        <w:rPr>
          <w:sz w:val="26"/>
          <w:szCs w:val="26"/>
        </w:rPr>
        <w:t xml:space="preserve">the </w:t>
      </w:r>
      <w:r w:rsidR="006C0399" w:rsidRPr="006C0399">
        <w:rPr>
          <w:sz w:val="26"/>
          <w:szCs w:val="26"/>
        </w:rPr>
        <w:t>outside placement of meter sets.  City Exc. at 6, 19.</w:t>
      </w:r>
      <w:r w:rsidR="00EB10D5">
        <w:rPr>
          <w:sz w:val="26"/>
          <w:szCs w:val="26"/>
        </w:rPr>
        <w:t xml:space="preserve">  The </w:t>
      </w:r>
      <w:r w:rsidR="00EB10D5" w:rsidRPr="00B70EEF">
        <w:rPr>
          <w:sz w:val="26"/>
          <w:szCs w:val="26"/>
        </w:rPr>
        <w:t xml:space="preserve">City </w:t>
      </w:r>
      <w:r w:rsidR="00EB10D5">
        <w:rPr>
          <w:sz w:val="26"/>
          <w:szCs w:val="26"/>
        </w:rPr>
        <w:t xml:space="preserve">further </w:t>
      </w:r>
      <w:r w:rsidR="00EB10D5" w:rsidRPr="00B70EEF">
        <w:rPr>
          <w:sz w:val="26"/>
          <w:szCs w:val="26"/>
        </w:rPr>
        <w:t>argues that its 15-foot proposal is based on substantial pictorial evidence and common sense rooted in safety</w:t>
      </w:r>
      <w:r w:rsidR="00EB10D5">
        <w:rPr>
          <w:sz w:val="26"/>
          <w:szCs w:val="26"/>
        </w:rPr>
        <w:t>,</w:t>
      </w:r>
      <w:r w:rsidR="00EB10D5" w:rsidRPr="00B70EEF">
        <w:rPr>
          <w:sz w:val="26"/>
          <w:szCs w:val="26"/>
        </w:rPr>
        <w:t xml:space="preserve"> not just </w:t>
      </w:r>
      <w:r w:rsidR="00EB10D5">
        <w:rPr>
          <w:sz w:val="26"/>
          <w:szCs w:val="26"/>
        </w:rPr>
        <w:t xml:space="preserve">on </w:t>
      </w:r>
      <w:r w:rsidR="00EB10D5" w:rsidRPr="00B70EEF">
        <w:rPr>
          <w:sz w:val="26"/>
          <w:szCs w:val="26"/>
        </w:rPr>
        <w:t>Mr. Slifko’s analysis of news reports.  City Exc. at 7.</w:t>
      </w:r>
    </w:p>
    <w:p w14:paraId="507F5F3E" w14:textId="77777777" w:rsidR="0028723D" w:rsidRDefault="006C0399" w:rsidP="008E1AD5">
      <w:pPr>
        <w:pStyle w:val="FootnoteText"/>
        <w:keepNext/>
        <w:keepLines/>
        <w:ind w:firstLine="720"/>
        <w:rPr>
          <w:sz w:val="26"/>
          <w:szCs w:val="26"/>
        </w:rPr>
      </w:pPr>
      <w:r w:rsidRPr="006C0399">
        <w:rPr>
          <w:sz w:val="26"/>
          <w:szCs w:val="26"/>
        </w:rPr>
        <w:t xml:space="preserve">  </w:t>
      </w:r>
      <w:r w:rsidR="0028723D">
        <w:rPr>
          <w:sz w:val="26"/>
          <w:szCs w:val="26"/>
        </w:rPr>
        <w:tab/>
      </w:r>
    </w:p>
    <w:p w14:paraId="4175B00E" w14:textId="76B5BE3A" w:rsidR="00112462" w:rsidRPr="00112462" w:rsidRDefault="0028723D" w:rsidP="008E1AD5">
      <w:pPr>
        <w:pStyle w:val="FootnoteText"/>
        <w:keepNext/>
        <w:keepLines/>
        <w:ind w:firstLine="720"/>
        <w:rPr>
          <w:b/>
          <w:bCs/>
          <w:sz w:val="26"/>
          <w:szCs w:val="26"/>
        </w:rPr>
      </w:pPr>
      <w:r>
        <w:rPr>
          <w:sz w:val="26"/>
          <w:szCs w:val="26"/>
        </w:rPr>
        <w:tab/>
      </w:r>
      <w:r w:rsidR="00112462" w:rsidRPr="00112462">
        <w:rPr>
          <w:b/>
          <w:bCs/>
          <w:sz w:val="26"/>
          <w:szCs w:val="26"/>
        </w:rPr>
        <w:t>b.</w:t>
      </w:r>
      <w:r w:rsidR="00112462" w:rsidRPr="00112462">
        <w:rPr>
          <w:b/>
          <w:bCs/>
          <w:sz w:val="26"/>
          <w:szCs w:val="26"/>
        </w:rPr>
        <w:tab/>
        <w:t>UGI’s Replies</w:t>
      </w:r>
    </w:p>
    <w:p w14:paraId="5AEFDD74" w14:textId="77777777" w:rsidR="0028723D" w:rsidRDefault="0028723D" w:rsidP="008E1AD5">
      <w:pPr>
        <w:rPr>
          <w:sz w:val="26"/>
          <w:szCs w:val="26"/>
        </w:rPr>
      </w:pPr>
    </w:p>
    <w:p w14:paraId="3F0F9936" w14:textId="354FB999" w:rsidR="006C0399" w:rsidRPr="006C0399" w:rsidRDefault="006C0399" w:rsidP="008E1AD5">
      <w:pPr>
        <w:rPr>
          <w:sz w:val="26"/>
          <w:szCs w:val="26"/>
        </w:rPr>
      </w:pPr>
      <w:r w:rsidRPr="006C0399">
        <w:rPr>
          <w:sz w:val="26"/>
          <w:szCs w:val="26"/>
        </w:rPr>
        <w:t xml:space="preserve">In its Replies to Exceptions, citing to Section 332(a) of the Code, </w:t>
      </w:r>
      <w:r w:rsidR="009E4F4A">
        <w:rPr>
          <w:sz w:val="26"/>
          <w:szCs w:val="26"/>
        </w:rPr>
        <w:t xml:space="preserve">66 Pa. C.S. § 332(a), </w:t>
      </w:r>
      <w:r w:rsidRPr="006C0399">
        <w:rPr>
          <w:sz w:val="26"/>
          <w:szCs w:val="26"/>
        </w:rPr>
        <w:t xml:space="preserve">UGI asserts that the Company </w:t>
      </w:r>
      <w:r w:rsidR="00C07DCD">
        <w:rPr>
          <w:sz w:val="26"/>
          <w:szCs w:val="26"/>
        </w:rPr>
        <w:t>does not have</w:t>
      </w:r>
      <w:r w:rsidRPr="006C0399">
        <w:rPr>
          <w:sz w:val="26"/>
          <w:szCs w:val="26"/>
        </w:rPr>
        <w:t xml:space="preserve"> the burden to demonstrate compliance in this case, but the City Parties have the burden of proving that UGI failed to comply with the Commission’s Regulations.  UGI R. Exc. at 22-23.  Therefore, UGI maintains that the City Parties’ evidence is inadequate to establish that UGI has violated 52 Pa. Code § 59.18(a)(5) and (b)(1) and 49 C.F.R. § 192.353(a)</w:t>
      </w:r>
      <w:r w:rsidR="009E3595">
        <w:rPr>
          <w:sz w:val="26"/>
          <w:szCs w:val="26"/>
        </w:rPr>
        <w:t>.</w:t>
      </w:r>
      <w:r w:rsidRPr="006C0399">
        <w:rPr>
          <w:sz w:val="26"/>
          <w:szCs w:val="26"/>
        </w:rPr>
        <w:t xml:space="preserve">  UGI R. Exc. at 8.  UGI’s Repl</w:t>
      </w:r>
      <w:r w:rsidR="009E3595">
        <w:rPr>
          <w:sz w:val="26"/>
          <w:szCs w:val="26"/>
        </w:rPr>
        <w:t>ies to</w:t>
      </w:r>
      <w:r w:rsidRPr="006C0399">
        <w:rPr>
          <w:sz w:val="26"/>
          <w:szCs w:val="26"/>
        </w:rPr>
        <w:t xml:space="preserve"> Exceptions on this matter are structured to respond to four main allegations put forth by the City: (1) that any meters within 15 feet of a street curb are in violation of the Commission’s Regulations because they are not protected from vehicular damage that may be reasonably anticipated; (2) that the City’s 15-foot rule should be </w:t>
      </w:r>
      <w:r w:rsidRPr="006C0399">
        <w:rPr>
          <w:sz w:val="26"/>
          <w:szCs w:val="26"/>
        </w:rPr>
        <w:lastRenderedPageBreak/>
        <w:t>utilized because it is supported by pictures of outside meter sets, analysis of news reports, and “common sense;” (3) that UGI witness Brown’s testimony about the safety of gas meters should be given less weight than City witness Slifko’s testimony; and (4) UGI’s evidence about the number of safety incidents involving inside meter sets should be disregard</w:t>
      </w:r>
      <w:r w:rsidR="009E3595">
        <w:rPr>
          <w:sz w:val="26"/>
          <w:szCs w:val="26"/>
        </w:rPr>
        <w:t>ed</w:t>
      </w:r>
      <w:r w:rsidRPr="006C0399">
        <w:rPr>
          <w:sz w:val="26"/>
          <w:szCs w:val="26"/>
        </w:rPr>
        <w:t xml:space="preserve"> because it predates 2018.  UGI R. Exc. at 8.</w:t>
      </w:r>
    </w:p>
    <w:p w14:paraId="54757FF0" w14:textId="77777777" w:rsidR="006C0399" w:rsidRPr="006C0399" w:rsidRDefault="006C0399" w:rsidP="008E1AD5">
      <w:pPr>
        <w:rPr>
          <w:sz w:val="26"/>
          <w:szCs w:val="26"/>
        </w:rPr>
      </w:pPr>
    </w:p>
    <w:p w14:paraId="3AB9F36E" w14:textId="77777777" w:rsidR="006C0399" w:rsidRPr="006C0399" w:rsidRDefault="006C0399" w:rsidP="008E1AD5">
      <w:pPr>
        <w:rPr>
          <w:sz w:val="26"/>
          <w:szCs w:val="26"/>
        </w:rPr>
      </w:pPr>
      <w:r w:rsidRPr="006C0399">
        <w:rPr>
          <w:sz w:val="26"/>
          <w:szCs w:val="26"/>
        </w:rPr>
        <w:t xml:space="preserve">UGI first reiterates its contention that a violation of the Commission’s Regulations cannot be established based on a non-existent standard, noting that nothing in the Commission’s Regulations or </w:t>
      </w:r>
      <w:r w:rsidR="00CC5397">
        <w:rPr>
          <w:sz w:val="26"/>
          <w:szCs w:val="26"/>
        </w:rPr>
        <w:t>Federal Regulations</w:t>
      </w:r>
      <w:r w:rsidRPr="006C0399">
        <w:rPr>
          <w:sz w:val="26"/>
          <w:szCs w:val="26"/>
        </w:rPr>
        <w:t xml:space="preserve"> requires a gas utility to install or relocate meters inside buildings where a building façade is within 15 feet or less of a City street and no parking lane separates the lane of travel from the sidewalk.  UGI R. Exc. at 8-9 (citing UGI R.B. at 38).  UGI further argues that the City’s attempt to rely on UGI’s proposed additional commitments, which incorporated a distance of 10 feet, as support for the City’s 15-foot rule should be rejected.  UGI R. Exc. at 9 (citing City Exc. at 16-17).  UGI explains that under its proposed alternative standard, which UGI was only willing to adopt if the Commission specifically declared it safe and reasonable, the distance of 10 feet between the meter and the curb would not be sole</w:t>
      </w:r>
      <w:r w:rsidR="004B375B">
        <w:rPr>
          <w:sz w:val="26"/>
          <w:szCs w:val="26"/>
        </w:rPr>
        <w:t>l</w:t>
      </w:r>
      <w:r w:rsidRPr="006C0399">
        <w:rPr>
          <w:sz w:val="26"/>
          <w:szCs w:val="26"/>
        </w:rPr>
        <w:t>y determinative of whether the meter would be placed inside.  UGI R. Exc. at 9 (citing UGI R.B. at 55-56).</w:t>
      </w:r>
    </w:p>
    <w:p w14:paraId="0ABC8341" w14:textId="77777777" w:rsidR="006C0399" w:rsidRPr="006C0399" w:rsidRDefault="006C0399" w:rsidP="008E1AD5">
      <w:pPr>
        <w:rPr>
          <w:sz w:val="26"/>
          <w:szCs w:val="26"/>
        </w:rPr>
      </w:pPr>
    </w:p>
    <w:p w14:paraId="7D04023E" w14:textId="406923FB" w:rsidR="003C16A4" w:rsidRDefault="006C0399" w:rsidP="008E1AD5">
      <w:pPr>
        <w:rPr>
          <w:sz w:val="26"/>
          <w:szCs w:val="26"/>
        </w:rPr>
      </w:pPr>
      <w:r w:rsidRPr="006C0399">
        <w:rPr>
          <w:sz w:val="26"/>
          <w:szCs w:val="26"/>
        </w:rPr>
        <w:t xml:space="preserve">Second, UGI refutes the City’s position that an opinion, such as meters within 15 feet of the curb are unsafe, can be substantiated by pictures of outside meter sets, analysis of news reports, and common sense, agreeing with the ALJ’s determination that the </w:t>
      </w:r>
      <w:bookmarkStart w:id="15" w:name="_Hlk20919456"/>
      <w:r w:rsidRPr="006C0399">
        <w:rPr>
          <w:sz w:val="26"/>
          <w:szCs w:val="26"/>
        </w:rPr>
        <w:t xml:space="preserve">City’s requested relief on this matter is merely supported by bald assertions, unsubstantiated lay opinion and speculation, and is akin to the testimony offered in the </w:t>
      </w:r>
      <w:r w:rsidRPr="006C0399">
        <w:rPr>
          <w:i/>
          <w:iCs/>
          <w:sz w:val="26"/>
          <w:szCs w:val="26"/>
        </w:rPr>
        <w:t>City of Pittsburgh</w:t>
      </w:r>
      <w:r w:rsidRPr="006C0399">
        <w:rPr>
          <w:sz w:val="26"/>
          <w:szCs w:val="26"/>
        </w:rPr>
        <w:t>, where the Pennsylvania Supreme Court found that such opinions and speculation do not constitute substantial evidence</w:t>
      </w:r>
      <w:bookmarkEnd w:id="15"/>
      <w:r w:rsidRPr="006C0399">
        <w:rPr>
          <w:sz w:val="26"/>
          <w:szCs w:val="26"/>
        </w:rPr>
        <w:t>.  UGI R. Exc. at 9 (citing I.D. at 34</w:t>
      </w:r>
      <w:r w:rsidR="005442C3">
        <w:rPr>
          <w:sz w:val="26"/>
          <w:szCs w:val="26"/>
        </w:rPr>
        <w:noBreakHyphen/>
      </w:r>
      <w:r w:rsidRPr="006C0399">
        <w:rPr>
          <w:sz w:val="26"/>
          <w:szCs w:val="26"/>
        </w:rPr>
        <w:t>35).</w:t>
      </w:r>
    </w:p>
    <w:p w14:paraId="1DD6F61E" w14:textId="77777777" w:rsidR="003C16A4" w:rsidRDefault="003C16A4" w:rsidP="008E1AD5">
      <w:pPr>
        <w:rPr>
          <w:sz w:val="26"/>
          <w:szCs w:val="26"/>
        </w:rPr>
      </w:pPr>
    </w:p>
    <w:p w14:paraId="5AAC9E76" w14:textId="0180B331" w:rsidR="006C0399" w:rsidRPr="006C0399" w:rsidRDefault="006C0399" w:rsidP="008E1AD5">
      <w:pPr>
        <w:rPr>
          <w:sz w:val="26"/>
          <w:szCs w:val="26"/>
        </w:rPr>
      </w:pPr>
      <w:r w:rsidRPr="006C0399">
        <w:rPr>
          <w:sz w:val="26"/>
          <w:szCs w:val="26"/>
        </w:rPr>
        <w:lastRenderedPageBreak/>
        <w:t xml:space="preserve">Third, UGI indicates that the City’s Exceptions do not demonstrate that the ALJ was incorrect in her weighing of the testimony.  UGI R. Exc. at 10.  UGI explains that although Mr. Slifko may have been a Reading resident, his testimony offered no expert evidence that from a safety management perspective, cars driving recklessly up onto a sidewalk should be anticipated.  </w:t>
      </w:r>
      <w:r w:rsidR="0069760A" w:rsidRPr="00242D26">
        <w:rPr>
          <w:sz w:val="26"/>
          <w:szCs w:val="26"/>
        </w:rPr>
        <w:t xml:space="preserve">UGI </w:t>
      </w:r>
      <w:r w:rsidR="0069760A">
        <w:rPr>
          <w:sz w:val="26"/>
          <w:szCs w:val="26"/>
        </w:rPr>
        <w:t>av</w:t>
      </w:r>
      <w:r w:rsidR="0069760A" w:rsidRPr="00242D26">
        <w:rPr>
          <w:sz w:val="26"/>
          <w:szCs w:val="26"/>
        </w:rPr>
        <w:t>e</w:t>
      </w:r>
      <w:r w:rsidR="0069760A">
        <w:rPr>
          <w:sz w:val="26"/>
          <w:szCs w:val="26"/>
        </w:rPr>
        <w:t>r</w:t>
      </w:r>
      <w:r w:rsidR="0069760A" w:rsidRPr="00242D26">
        <w:rPr>
          <w:sz w:val="26"/>
          <w:szCs w:val="26"/>
        </w:rPr>
        <w:t>s that Mr. Slifko did not have an engineering degree, never worked for a utility, and had no work experience or education related to the safety of natural gas pipelines, regulators, or meters.</w:t>
      </w:r>
      <w:r w:rsidR="0069760A">
        <w:rPr>
          <w:sz w:val="26"/>
          <w:szCs w:val="26"/>
        </w:rPr>
        <w:t xml:space="preserve"> </w:t>
      </w:r>
      <w:r w:rsidR="0069760A" w:rsidRPr="00242D26">
        <w:rPr>
          <w:sz w:val="26"/>
          <w:szCs w:val="26"/>
        </w:rPr>
        <w:t xml:space="preserve"> </w:t>
      </w:r>
      <w:r w:rsidR="0069760A">
        <w:rPr>
          <w:sz w:val="26"/>
          <w:szCs w:val="26"/>
        </w:rPr>
        <w:t xml:space="preserve">Additionally, </w:t>
      </w:r>
      <w:r w:rsidR="002033C7">
        <w:rPr>
          <w:sz w:val="26"/>
          <w:szCs w:val="26"/>
        </w:rPr>
        <w:t xml:space="preserve">according to UGI, </w:t>
      </w:r>
      <w:r w:rsidR="0069760A">
        <w:rPr>
          <w:sz w:val="26"/>
          <w:szCs w:val="26"/>
        </w:rPr>
        <w:t>Mr. Slifko stated at the hearing that he “do[es] not have safety knowledge.”  UGI R. Exc. at 10 (citing Tr. at 169, 175).</w:t>
      </w:r>
      <w:r w:rsidR="002033C7">
        <w:rPr>
          <w:sz w:val="26"/>
          <w:szCs w:val="26"/>
        </w:rPr>
        <w:t xml:space="preserve">  </w:t>
      </w:r>
      <w:r w:rsidRPr="006C0399">
        <w:rPr>
          <w:sz w:val="26"/>
          <w:szCs w:val="26"/>
        </w:rPr>
        <w:t xml:space="preserve">In contrast, UGI submits that its witness, Mr. Brown, in addition to overseeing and enforcing UGI’s safety standards for Company employees and those communities served by the Company in his role as Senior Director – Operations South Region, has a Bachelor’s of Science Degree in Civil Engineering and has been working in the natural gas and propane industries for the past </w:t>
      </w:r>
      <w:r w:rsidR="002033C7">
        <w:rPr>
          <w:sz w:val="26"/>
          <w:szCs w:val="26"/>
        </w:rPr>
        <w:t>twenty-two</w:t>
      </w:r>
      <w:r w:rsidRPr="006C0399">
        <w:rPr>
          <w:sz w:val="26"/>
          <w:szCs w:val="26"/>
        </w:rPr>
        <w:t xml:space="preserve"> years.  UGI R. Exc. at 10 (citing Tr. at 303-304; UGI St. 1 at 2).</w:t>
      </w:r>
    </w:p>
    <w:p w14:paraId="2B47EC3C" w14:textId="77777777" w:rsidR="0020337E" w:rsidRDefault="0020337E" w:rsidP="008E1AD5">
      <w:pPr>
        <w:rPr>
          <w:sz w:val="26"/>
          <w:szCs w:val="26"/>
        </w:rPr>
      </w:pPr>
    </w:p>
    <w:p w14:paraId="013E8BB3" w14:textId="41670A09" w:rsidR="006C0399" w:rsidRPr="006C0399" w:rsidRDefault="006C0399" w:rsidP="008E1AD5">
      <w:pPr>
        <w:rPr>
          <w:sz w:val="26"/>
          <w:szCs w:val="26"/>
        </w:rPr>
      </w:pPr>
      <w:r w:rsidRPr="006C0399">
        <w:rPr>
          <w:sz w:val="26"/>
          <w:szCs w:val="26"/>
        </w:rPr>
        <w:t xml:space="preserve">Fourth, UGI argues that the City’s contention that the Company’s DOT data is misleading lacks evidentiary support.  UGI. R. Exc. at 10-11.  UGI avers that the undisputed record evidence, demonstrating the relative safety between inside and outside meter sets, should not be overlooked.  UGI explains that, based on Company records, the last reported DOT incident related to outdoor meter sets caused by vehicular damage occurred in 1981, and within that same time period, UGI has had </w:t>
      </w:r>
      <w:r w:rsidR="00C93C0B">
        <w:rPr>
          <w:sz w:val="26"/>
          <w:szCs w:val="26"/>
        </w:rPr>
        <w:t>eleven</w:t>
      </w:r>
      <w:r w:rsidRPr="006C0399">
        <w:rPr>
          <w:sz w:val="26"/>
          <w:szCs w:val="26"/>
        </w:rPr>
        <w:t xml:space="preserve"> DOT reportable incidents related to inside meters.  Of those </w:t>
      </w:r>
      <w:r w:rsidR="00C93C0B">
        <w:rPr>
          <w:sz w:val="26"/>
          <w:szCs w:val="26"/>
        </w:rPr>
        <w:t>eleven</w:t>
      </w:r>
      <w:r w:rsidRPr="006C0399">
        <w:rPr>
          <w:sz w:val="26"/>
          <w:szCs w:val="26"/>
        </w:rPr>
        <w:t xml:space="preserve"> incidents, </w:t>
      </w:r>
      <w:r w:rsidR="00C93C0B">
        <w:rPr>
          <w:sz w:val="26"/>
          <w:szCs w:val="26"/>
        </w:rPr>
        <w:t>seven</w:t>
      </w:r>
      <w:r w:rsidRPr="006C0399">
        <w:rPr>
          <w:sz w:val="26"/>
          <w:szCs w:val="26"/>
        </w:rPr>
        <w:t xml:space="preserve"> resulted in an explosion and </w:t>
      </w:r>
      <w:r w:rsidR="00C93C0B">
        <w:rPr>
          <w:sz w:val="26"/>
          <w:szCs w:val="26"/>
        </w:rPr>
        <w:t>one</w:t>
      </w:r>
      <w:r w:rsidRPr="006C0399">
        <w:rPr>
          <w:sz w:val="26"/>
          <w:szCs w:val="26"/>
        </w:rPr>
        <w:t xml:space="preserve"> resulted in the loss of life.  UGI R. Exc. at 11 (citing UGI R.B. at 26).</w:t>
      </w:r>
    </w:p>
    <w:p w14:paraId="5781F398" w14:textId="77777777" w:rsidR="006C0399" w:rsidRPr="006C0399" w:rsidRDefault="006C0399" w:rsidP="008E1AD5">
      <w:pPr>
        <w:rPr>
          <w:sz w:val="26"/>
          <w:szCs w:val="26"/>
        </w:rPr>
      </w:pPr>
    </w:p>
    <w:p w14:paraId="2F6AF672" w14:textId="77777777" w:rsidR="006C0399" w:rsidRPr="006C0399" w:rsidRDefault="006C0399" w:rsidP="008E1AD5">
      <w:pPr>
        <w:rPr>
          <w:sz w:val="26"/>
          <w:szCs w:val="26"/>
        </w:rPr>
      </w:pPr>
      <w:r w:rsidRPr="006C0399">
        <w:rPr>
          <w:sz w:val="26"/>
          <w:szCs w:val="26"/>
        </w:rPr>
        <w:t xml:space="preserve">UGI </w:t>
      </w:r>
      <w:r w:rsidR="00C93C0B">
        <w:rPr>
          <w:sz w:val="26"/>
          <w:szCs w:val="26"/>
        </w:rPr>
        <w:t xml:space="preserve">also </w:t>
      </w:r>
      <w:r w:rsidRPr="006C0399">
        <w:rPr>
          <w:sz w:val="26"/>
          <w:szCs w:val="26"/>
        </w:rPr>
        <w:t xml:space="preserve">cites to portions of the Commission’s </w:t>
      </w:r>
      <w:r w:rsidRPr="006C0399">
        <w:rPr>
          <w:i/>
          <w:iCs/>
          <w:sz w:val="26"/>
          <w:szCs w:val="26"/>
        </w:rPr>
        <w:t xml:space="preserve">Final Rulemaking Order </w:t>
      </w:r>
      <w:r w:rsidRPr="006C0399">
        <w:rPr>
          <w:sz w:val="26"/>
          <w:szCs w:val="26"/>
        </w:rPr>
        <w:t>in support of purported safety concerns with inside meters:</w:t>
      </w:r>
    </w:p>
    <w:p w14:paraId="357D4BC1" w14:textId="77777777" w:rsidR="006C0399" w:rsidRPr="006C0399" w:rsidRDefault="006C0399" w:rsidP="008E1AD5">
      <w:pPr>
        <w:rPr>
          <w:sz w:val="26"/>
          <w:szCs w:val="26"/>
        </w:rPr>
      </w:pPr>
    </w:p>
    <w:p w14:paraId="22D00AE0" w14:textId="77777777" w:rsidR="006C0399" w:rsidRPr="006C0399" w:rsidRDefault="006C0399" w:rsidP="008E1AD5">
      <w:pPr>
        <w:spacing w:line="240" w:lineRule="auto"/>
        <w:ind w:left="1440" w:right="1440" w:firstLine="0"/>
        <w:rPr>
          <w:sz w:val="26"/>
          <w:szCs w:val="26"/>
        </w:rPr>
      </w:pPr>
      <w:r w:rsidRPr="006C0399">
        <w:rPr>
          <w:sz w:val="26"/>
          <w:szCs w:val="26"/>
        </w:rPr>
        <w:t xml:space="preserve">The Commission is also concerned about the number of reportable incidents resulting, at least partially, from locating </w:t>
      </w:r>
      <w:r w:rsidRPr="006C0399">
        <w:rPr>
          <w:sz w:val="26"/>
          <w:szCs w:val="26"/>
        </w:rPr>
        <w:lastRenderedPageBreak/>
        <w:t>meters and regulators inside structures.  The gas distribution utilities reported more than 4,000 leaks occurring on inside meter sets over a five year period.  The number of reportable incidents (65) over the past forty years, however, is more alarming.  While it appears from the data that the inside meter and regulators were not always the primary factor for accidents, locating meters and regulators inside certainly contributed to these incidents through a release of natura</w:t>
      </w:r>
      <w:r w:rsidR="003B332B">
        <w:rPr>
          <w:sz w:val="26"/>
          <w:szCs w:val="26"/>
        </w:rPr>
        <w:t>l</w:t>
      </w:r>
      <w:r w:rsidRPr="006C0399">
        <w:rPr>
          <w:sz w:val="26"/>
          <w:szCs w:val="26"/>
        </w:rPr>
        <w:t xml:space="preserve"> gas. . . .  By not having access to the meter sets, the NGDCs</w:t>
      </w:r>
    </w:p>
    <w:p w14:paraId="223DEC19" w14:textId="28F8CDB2" w:rsidR="006C0399" w:rsidRPr="006C0399" w:rsidRDefault="006C0399" w:rsidP="008E1AD5">
      <w:pPr>
        <w:spacing w:line="240" w:lineRule="auto"/>
        <w:ind w:left="1440" w:right="1440" w:firstLine="0"/>
        <w:rPr>
          <w:sz w:val="26"/>
          <w:szCs w:val="26"/>
        </w:rPr>
      </w:pPr>
      <w:r w:rsidRPr="006C0399">
        <w:rPr>
          <w:sz w:val="26"/>
          <w:szCs w:val="26"/>
        </w:rPr>
        <w:t xml:space="preserve">cannot comply with the state and </w:t>
      </w:r>
      <w:r w:rsidR="00CC5397">
        <w:rPr>
          <w:sz w:val="26"/>
          <w:szCs w:val="26"/>
        </w:rPr>
        <w:t>Federal Regulations</w:t>
      </w:r>
      <w:r w:rsidRPr="006C0399">
        <w:rPr>
          <w:sz w:val="26"/>
          <w:szCs w:val="26"/>
        </w:rPr>
        <w:t xml:space="preserve"> and cannot detect inside leaks.</w:t>
      </w:r>
    </w:p>
    <w:p w14:paraId="3C9741D1" w14:textId="77777777" w:rsidR="006C0399" w:rsidRPr="006C0399" w:rsidRDefault="006C0399" w:rsidP="008E1AD5">
      <w:pPr>
        <w:spacing w:line="240" w:lineRule="auto"/>
        <w:ind w:left="1440" w:right="1440" w:firstLine="0"/>
        <w:rPr>
          <w:sz w:val="26"/>
          <w:szCs w:val="26"/>
        </w:rPr>
      </w:pPr>
    </w:p>
    <w:p w14:paraId="11C4B463" w14:textId="77777777" w:rsidR="006C0399" w:rsidRPr="006C0399" w:rsidRDefault="006C0399" w:rsidP="008E1AD5">
      <w:pPr>
        <w:spacing w:line="240" w:lineRule="auto"/>
        <w:ind w:left="1440" w:right="1440" w:firstLine="0"/>
        <w:rPr>
          <w:sz w:val="26"/>
          <w:szCs w:val="26"/>
        </w:rPr>
      </w:pPr>
      <w:r w:rsidRPr="006C0399">
        <w:rPr>
          <w:sz w:val="26"/>
          <w:szCs w:val="26"/>
        </w:rPr>
        <w:t>The state has experienced several gas explosions related to steel service lines being struck and pulled up from their stable position and subsequently pulling the service line from the inside meter set.  Plastic service lines with inside meter sets do not pull away since the excavation equipment usually severs the line immediately after being struck.  The combination of steel service line and inside meter set is a high risk factor for natural gas incidents.</w:t>
      </w:r>
    </w:p>
    <w:p w14:paraId="4248FC0D" w14:textId="77777777" w:rsidR="006C0399" w:rsidRPr="006C0399" w:rsidRDefault="006C0399" w:rsidP="008E1AD5">
      <w:pPr>
        <w:ind w:firstLine="0"/>
        <w:rPr>
          <w:sz w:val="26"/>
          <w:szCs w:val="26"/>
        </w:rPr>
      </w:pPr>
    </w:p>
    <w:p w14:paraId="04FA6082" w14:textId="77777777" w:rsidR="006C0399" w:rsidRPr="006C0399" w:rsidRDefault="006C0399" w:rsidP="008E1AD5">
      <w:pPr>
        <w:ind w:firstLine="0"/>
        <w:rPr>
          <w:sz w:val="26"/>
          <w:szCs w:val="26"/>
        </w:rPr>
      </w:pPr>
      <w:r w:rsidRPr="006C0399">
        <w:rPr>
          <w:sz w:val="26"/>
          <w:szCs w:val="26"/>
        </w:rPr>
        <w:t xml:space="preserve">UGI R. Exc. at 11 (citing </w:t>
      </w:r>
      <w:r w:rsidRPr="006C0399">
        <w:rPr>
          <w:i/>
          <w:iCs/>
          <w:sz w:val="26"/>
          <w:szCs w:val="26"/>
        </w:rPr>
        <w:t>Final Rulemaking Order</w:t>
      </w:r>
      <w:r w:rsidRPr="006C0399">
        <w:rPr>
          <w:sz w:val="26"/>
          <w:szCs w:val="26"/>
        </w:rPr>
        <w:t xml:space="preserve"> at 5-6 (footnote omitted)).</w:t>
      </w:r>
    </w:p>
    <w:p w14:paraId="14551047" w14:textId="77777777" w:rsidR="006C0399" w:rsidRPr="006C0399" w:rsidRDefault="006C0399" w:rsidP="008E1AD5">
      <w:pPr>
        <w:rPr>
          <w:sz w:val="26"/>
          <w:szCs w:val="26"/>
        </w:rPr>
      </w:pPr>
    </w:p>
    <w:p w14:paraId="1E5E3E59" w14:textId="77777777" w:rsidR="006C0399" w:rsidRPr="006C0399" w:rsidRDefault="00112462" w:rsidP="008E1AD5">
      <w:pPr>
        <w:keepNext/>
        <w:keepLines/>
        <w:ind w:left="2160" w:hanging="720"/>
        <w:contextualSpacing/>
        <w:outlineLvl w:val="3"/>
        <w:rPr>
          <w:b/>
          <w:bCs/>
          <w:sz w:val="26"/>
          <w:szCs w:val="26"/>
        </w:rPr>
      </w:pPr>
      <w:r>
        <w:rPr>
          <w:b/>
          <w:bCs/>
          <w:sz w:val="26"/>
          <w:szCs w:val="26"/>
        </w:rPr>
        <w:t>c.</w:t>
      </w:r>
      <w:r>
        <w:rPr>
          <w:b/>
          <w:bCs/>
          <w:sz w:val="26"/>
          <w:szCs w:val="26"/>
        </w:rPr>
        <w:tab/>
      </w:r>
      <w:r w:rsidR="006C0399" w:rsidRPr="006C0399">
        <w:rPr>
          <w:b/>
          <w:bCs/>
          <w:sz w:val="26"/>
          <w:szCs w:val="26"/>
        </w:rPr>
        <w:t>Disposition</w:t>
      </w:r>
    </w:p>
    <w:p w14:paraId="208AABE8" w14:textId="77777777" w:rsidR="006C0399" w:rsidRPr="006C0399" w:rsidRDefault="006C0399" w:rsidP="008E1AD5">
      <w:pPr>
        <w:rPr>
          <w:sz w:val="26"/>
          <w:szCs w:val="26"/>
        </w:rPr>
      </w:pPr>
    </w:p>
    <w:p w14:paraId="02F1B961" w14:textId="27CD27E4" w:rsidR="003C2143" w:rsidRDefault="006C0399" w:rsidP="008E1AD5">
      <w:pPr>
        <w:rPr>
          <w:sz w:val="26"/>
          <w:szCs w:val="26"/>
        </w:rPr>
      </w:pPr>
      <w:r w:rsidRPr="006C0399">
        <w:rPr>
          <w:sz w:val="26"/>
          <w:szCs w:val="26"/>
        </w:rPr>
        <w:t>Based on our review of the positions of the Parties, the evidentiary record, and the applicable law, we shall deny the City’s Exception</w:t>
      </w:r>
      <w:r w:rsidR="00D23A2F">
        <w:rPr>
          <w:sz w:val="26"/>
          <w:szCs w:val="26"/>
        </w:rPr>
        <w:t>s</w:t>
      </w:r>
      <w:r w:rsidRPr="006C0399">
        <w:rPr>
          <w:sz w:val="26"/>
          <w:szCs w:val="26"/>
        </w:rPr>
        <w:t xml:space="preserve"> Nos. 4, 5, 6, 7, 12, 13, 14, 16, and 18</w:t>
      </w:r>
      <w:r w:rsidR="00D23A2F">
        <w:rPr>
          <w:sz w:val="26"/>
          <w:szCs w:val="26"/>
        </w:rPr>
        <w:t>,</w:t>
      </w:r>
      <w:r w:rsidRPr="006C0399">
        <w:rPr>
          <w:sz w:val="26"/>
          <w:szCs w:val="26"/>
        </w:rPr>
        <w:t xml:space="preserve"> consistent with the following discussion.  Regarding the City’s Exception</w:t>
      </w:r>
      <w:r w:rsidR="00D23A2F">
        <w:rPr>
          <w:sz w:val="26"/>
          <w:szCs w:val="26"/>
        </w:rPr>
        <w:t>s</w:t>
      </w:r>
      <w:r w:rsidRPr="006C0399">
        <w:rPr>
          <w:sz w:val="26"/>
          <w:szCs w:val="26"/>
        </w:rPr>
        <w:t xml:space="preserve"> Nos. 4, 5, 6, and 7, we find that it is within the province of the ALJ to elicit testimony, to assess the facts, and to adopt those which support a fair and reasoned resolution of the controversy.  </w:t>
      </w:r>
      <w:r w:rsidR="009B5C3D" w:rsidRPr="009B5C3D">
        <w:rPr>
          <w:i/>
          <w:iCs/>
          <w:sz w:val="26"/>
          <w:szCs w:val="26"/>
        </w:rPr>
        <w:t>See</w:t>
      </w:r>
      <w:r w:rsidR="009B5C3D">
        <w:rPr>
          <w:sz w:val="26"/>
          <w:szCs w:val="26"/>
        </w:rPr>
        <w:t xml:space="preserve"> 52 Pa. Code § 5.483.  </w:t>
      </w:r>
      <w:r w:rsidRPr="006C0399">
        <w:rPr>
          <w:sz w:val="26"/>
          <w:szCs w:val="26"/>
        </w:rPr>
        <w:t xml:space="preserve">The Findings of Fact </w:t>
      </w:r>
      <w:r w:rsidR="00C9558B">
        <w:rPr>
          <w:sz w:val="26"/>
          <w:szCs w:val="26"/>
        </w:rPr>
        <w:t xml:space="preserve">the ALJ </w:t>
      </w:r>
      <w:r w:rsidRPr="006C0399">
        <w:rPr>
          <w:sz w:val="26"/>
          <w:szCs w:val="26"/>
        </w:rPr>
        <w:t xml:space="preserve">relied on </w:t>
      </w:r>
      <w:r w:rsidR="00C9558B">
        <w:rPr>
          <w:sz w:val="26"/>
          <w:szCs w:val="26"/>
        </w:rPr>
        <w:t>are</w:t>
      </w:r>
      <w:r w:rsidRPr="006C0399">
        <w:rPr>
          <w:sz w:val="26"/>
          <w:szCs w:val="26"/>
        </w:rPr>
        <w:t xml:space="preserve"> </w:t>
      </w:r>
      <w:r w:rsidR="00C9558B">
        <w:rPr>
          <w:sz w:val="26"/>
          <w:szCs w:val="26"/>
        </w:rPr>
        <w:t>supported by substantial evidence in the record</w:t>
      </w:r>
      <w:r w:rsidR="00B6756F">
        <w:rPr>
          <w:sz w:val="26"/>
          <w:szCs w:val="26"/>
        </w:rPr>
        <w:t>, as discussed below</w:t>
      </w:r>
      <w:r w:rsidR="00C9558B">
        <w:rPr>
          <w:sz w:val="26"/>
          <w:szCs w:val="26"/>
        </w:rPr>
        <w:t>.</w:t>
      </w:r>
    </w:p>
    <w:p w14:paraId="0E616667" w14:textId="1EEA64E6" w:rsidR="006C0399" w:rsidRPr="006C0399" w:rsidRDefault="006C0399" w:rsidP="008E1AD5">
      <w:pPr>
        <w:rPr>
          <w:sz w:val="26"/>
          <w:szCs w:val="26"/>
        </w:rPr>
      </w:pPr>
    </w:p>
    <w:p w14:paraId="49A23EAF" w14:textId="77777777" w:rsidR="0010283F" w:rsidRDefault="006C0399" w:rsidP="008E1AD5">
      <w:pPr>
        <w:rPr>
          <w:sz w:val="26"/>
          <w:szCs w:val="23"/>
        </w:rPr>
      </w:pPr>
      <w:r w:rsidRPr="006C0399">
        <w:rPr>
          <w:sz w:val="26"/>
        </w:rPr>
        <w:t xml:space="preserve">We agree with the ALJ that the City did not satisfy its burden of </w:t>
      </w:r>
      <w:r w:rsidR="009D1223">
        <w:rPr>
          <w:sz w:val="26"/>
        </w:rPr>
        <w:t>proving</w:t>
      </w:r>
      <w:r w:rsidR="00720BEE">
        <w:rPr>
          <w:sz w:val="26"/>
        </w:rPr>
        <w:t>, based on the evidence that the Parties presented in this proceeding,</w:t>
      </w:r>
      <w:r w:rsidRPr="006C0399">
        <w:rPr>
          <w:sz w:val="26"/>
        </w:rPr>
        <w:t xml:space="preserve"> that </w:t>
      </w:r>
      <w:r w:rsidR="009D1223" w:rsidRPr="006C0399">
        <w:rPr>
          <w:sz w:val="26"/>
          <w:szCs w:val="26"/>
        </w:rPr>
        <w:t xml:space="preserve">UGI </w:t>
      </w:r>
      <w:r w:rsidR="009D1223">
        <w:rPr>
          <w:sz w:val="26"/>
          <w:szCs w:val="26"/>
        </w:rPr>
        <w:t xml:space="preserve">placed </w:t>
      </w:r>
      <w:r w:rsidR="009D1223">
        <w:rPr>
          <w:sz w:val="26"/>
          <w:szCs w:val="26"/>
        </w:rPr>
        <w:lastRenderedPageBreak/>
        <w:t xml:space="preserve">meters in locations where damage by vehicles could reasonably be anticipated or that UGI otherwise violated the applicable Commission or </w:t>
      </w:r>
      <w:r w:rsidR="00CC5397">
        <w:rPr>
          <w:sz w:val="26"/>
          <w:szCs w:val="26"/>
        </w:rPr>
        <w:t>Federal Regulations</w:t>
      </w:r>
      <w:r w:rsidR="009D1223">
        <w:rPr>
          <w:sz w:val="26"/>
          <w:szCs w:val="26"/>
        </w:rPr>
        <w:t>, the Code, or a Commission Order.</w:t>
      </w:r>
      <w:r w:rsidR="009D1223" w:rsidRPr="006C0399">
        <w:rPr>
          <w:sz w:val="26"/>
        </w:rPr>
        <w:t xml:space="preserve"> </w:t>
      </w:r>
      <w:r w:rsidR="009D1223">
        <w:rPr>
          <w:sz w:val="26"/>
        </w:rPr>
        <w:t xml:space="preserve"> </w:t>
      </w:r>
      <w:r w:rsidR="00720BEE">
        <w:rPr>
          <w:sz w:val="26"/>
        </w:rPr>
        <w:t xml:space="preserve">There is not a specific requirement in the Commission’s Regulations or the </w:t>
      </w:r>
      <w:r w:rsidR="00CC5397">
        <w:rPr>
          <w:sz w:val="26"/>
        </w:rPr>
        <w:t>Federal Regulations</w:t>
      </w:r>
      <w:r w:rsidR="00720BEE">
        <w:rPr>
          <w:sz w:val="26"/>
        </w:rPr>
        <w:t xml:space="preserve"> that </w:t>
      </w:r>
      <w:r w:rsidRPr="006C0399">
        <w:rPr>
          <w:sz w:val="26"/>
        </w:rPr>
        <w:t xml:space="preserve">exterior meter sets </w:t>
      </w:r>
      <w:r w:rsidR="00720BEE">
        <w:rPr>
          <w:sz w:val="26"/>
        </w:rPr>
        <w:t xml:space="preserve">cannot be located </w:t>
      </w:r>
      <w:r w:rsidRPr="006C0399">
        <w:rPr>
          <w:sz w:val="26"/>
        </w:rPr>
        <w:t xml:space="preserve">less than 15 feet from </w:t>
      </w:r>
      <w:r w:rsidR="002A779C">
        <w:rPr>
          <w:sz w:val="26"/>
        </w:rPr>
        <w:t>C</w:t>
      </w:r>
      <w:r w:rsidRPr="006C0399">
        <w:rPr>
          <w:sz w:val="26"/>
        </w:rPr>
        <w:t>ity streets</w:t>
      </w:r>
      <w:r w:rsidR="0055142E">
        <w:rPr>
          <w:sz w:val="26"/>
        </w:rPr>
        <w:t xml:space="preserve">, and with respect to </w:t>
      </w:r>
      <w:r w:rsidR="0055142E" w:rsidRPr="006C0399">
        <w:rPr>
          <w:sz w:val="26"/>
          <w:szCs w:val="23"/>
        </w:rPr>
        <w:t xml:space="preserve">49 C.F.R. </w:t>
      </w:r>
      <w:bookmarkStart w:id="16" w:name="_Hlk21096018"/>
      <w:r w:rsidR="0055142E" w:rsidRPr="006C0399">
        <w:rPr>
          <w:sz w:val="26"/>
          <w:szCs w:val="23"/>
        </w:rPr>
        <w:t>§ 192.353</w:t>
      </w:r>
      <w:bookmarkEnd w:id="16"/>
      <w:r w:rsidR="0055142E" w:rsidRPr="006C0399">
        <w:rPr>
          <w:sz w:val="26"/>
          <w:szCs w:val="23"/>
        </w:rPr>
        <w:t>(a)</w:t>
      </w:r>
      <w:r w:rsidR="0055142E">
        <w:rPr>
          <w:sz w:val="26"/>
          <w:szCs w:val="23"/>
        </w:rPr>
        <w:t>, the NGDC has some</w:t>
      </w:r>
    </w:p>
    <w:p w14:paraId="704B9211" w14:textId="212D8A6C" w:rsidR="00720BEE" w:rsidRDefault="0055142E" w:rsidP="008E1AD5">
      <w:pPr>
        <w:ind w:firstLine="0"/>
        <w:rPr>
          <w:sz w:val="26"/>
        </w:rPr>
      </w:pPr>
      <w:r>
        <w:rPr>
          <w:sz w:val="26"/>
          <w:szCs w:val="23"/>
        </w:rPr>
        <w:t xml:space="preserve">discretion regarding </w:t>
      </w:r>
      <w:r w:rsidRPr="006C0399">
        <w:rPr>
          <w:sz w:val="26"/>
          <w:szCs w:val="26"/>
        </w:rPr>
        <w:t>vehicular damage that may be anticipated</w:t>
      </w:r>
      <w:r w:rsidR="006C0399" w:rsidRPr="006C0399">
        <w:rPr>
          <w:sz w:val="26"/>
        </w:rPr>
        <w:t>.</w:t>
      </w:r>
      <w:r w:rsidR="009910EC">
        <w:rPr>
          <w:rStyle w:val="FootnoteReference"/>
          <w:sz w:val="26"/>
        </w:rPr>
        <w:footnoteReference w:id="8"/>
      </w:r>
    </w:p>
    <w:p w14:paraId="1E2F95DB" w14:textId="77777777" w:rsidR="00720BEE" w:rsidRDefault="00720BEE" w:rsidP="008E1AD5">
      <w:pPr>
        <w:rPr>
          <w:sz w:val="26"/>
        </w:rPr>
      </w:pPr>
    </w:p>
    <w:p w14:paraId="2294B9D1" w14:textId="621D1189" w:rsidR="0082036B" w:rsidRDefault="00C031E3" w:rsidP="008E1AD5">
      <w:pPr>
        <w:rPr>
          <w:sz w:val="26"/>
          <w:szCs w:val="23"/>
        </w:rPr>
      </w:pPr>
      <w:r>
        <w:rPr>
          <w:sz w:val="26"/>
        </w:rPr>
        <w:t xml:space="preserve">In this case, we find that the City did not present a </w:t>
      </w:r>
      <w:r w:rsidRPr="00C031E3">
        <w:rPr>
          <w:i/>
          <w:iCs/>
          <w:sz w:val="26"/>
        </w:rPr>
        <w:t>prima facie</w:t>
      </w:r>
      <w:r>
        <w:rPr>
          <w:sz w:val="26"/>
        </w:rPr>
        <w:t xml:space="preserve"> case to show that UGI improperly located its outside meters and, even if it could be argued that the City did present a </w:t>
      </w:r>
      <w:r w:rsidRPr="00C031E3">
        <w:rPr>
          <w:i/>
          <w:iCs/>
          <w:sz w:val="26"/>
        </w:rPr>
        <w:t>prima facie</w:t>
      </w:r>
      <w:r>
        <w:rPr>
          <w:sz w:val="26"/>
        </w:rPr>
        <w:t xml:space="preserve"> case, UGI presented sufficient evidence to rebut that of the City.</w:t>
      </w:r>
      <w:r w:rsidR="005625C4">
        <w:rPr>
          <w:sz w:val="26"/>
        </w:rPr>
        <w:t xml:space="preserve"> </w:t>
      </w:r>
      <w:r>
        <w:rPr>
          <w:sz w:val="26"/>
        </w:rPr>
        <w:t xml:space="preserve"> </w:t>
      </w:r>
      <w:r w:rsidR="0082036B" w:rsidRPr="006C0399">
        <w:rPr>
          <w:sz w:val="26"/>
          <w:szCs w:val="23"/>
        </w:rPr>
        <w:t>In support of its claims</w:t>
      </w:r>
      <w:r w:rsidR="0082036B">
        <w:rPr>
          <w:sz w:val="26"/>
          <w:szCs w:val="23"/>
        </w:rPr>
        <w:t>,</w:t>
      </w:r>
      <w:r w:rsidR="0082036B" w:rsidRPr="006C0399">
        <w:rPr>
          <w:sz w:val="26"/>
          <w:szCs w:val="23"/>
        </w:rPr>
        <w:t xml:space="preserve"> the City relied on meter surveys performed in August 2016 and April 2017, consisting of</w:t>
      </w:r>
      <w:r w:rsidR="00AE3175">
        <w:rPr>
          <w:sz w:val="26"/>
          <w:szCs w:val="23"/>
        </w:rPr>
        <w:t>:</w:t>
      </w:r>
      <w:r w:rsidR="0082036B" w:rsidRPr="006C0399">
        <w:rPr>
          <w:sz w:val="26"/>
          <w:szCs w:val="23"/>
        </w:rPr>
        <w:t xml:space="preserve"> (1) a complete survey of all six historic districts</w:t>
      </w:r>
      <w:r w:rsidR="0082036B">
        <w:rPr>
          <w:sz w:val="26"/>
          <w:szCs w:val="23"/>
        </w:rPr>
        <w:t xml:space="preserve"> within the City</w:t>
      </w:r>
      <w:r w:rsidR="00AE3175">
        <w:rPr>
          <w:sz w:val="26"/>
          <w:szCs w:val="23"/>
        </w:rPr>
        <w:t>;</w:t>
      </w:r>
      <w:r w:rsidR="00AE3175" w:rsidRPr="006C0399">
        <w:rPr>
          <w:sz w:val="26"/>
          <w:szCs w:val="23"/>
        </w:rPr>
        <w:t xml:space="preserve"> </w:t>
      </w:r>
      <w:r w:rsidR="0082036B" w:rsidRPr="006C0399">
        <w:rPr>
          <w:sz w:val="26"/>
          <w:szCs w:val="23"/>
        </w:rPr>
        <w:t>(2) a sample survey of three streets not in historic districts</w:t>
      </w:r>
      <w:r w:rsidR="00E40174">
        <w:rPr>
          <w:sz w:val="26"/>
          <w:szCs w:val="23"/>
        </w:rPr>
        <w:t>;</w:t>
      </w:r>
      <w:r w:rsidR="00E40174" w:rsidRPr="006C0399">
        <w:rPr>
          <w:sz w:val="26"/>
          <w:szCs w:val="23"/>
        </w:rPr>
        <w:t xml:space="preserve"> </w:t>
      </w:r>
      <w:r w:rsidR="0082036B" w:rsidRPr="006C0399">
        <w:rPr>
          <w:sz w:val="26"/>
          <w:szCs w:val="23"/>
        </w:rPr>
        <w:t>and (3) a cursory “drive by” survey of all other streets in the “core” of Reading.  City St. 2 at 27-28.  Specifically, Mr. Slifko’s prepared testimony provides the following:</w:t>
      </w:r>
    </w:p>
    <w:p w14:paraId="3EA956CD" w14:textId="77777777" w:rsidR="0082036B" w:rsidRDefault="0082036B" w:rsidP="008E1AD5">
      <w:pPr>
        <w:spacing w:line="240" w:lineRule="auto"/>
        <w:ind w:left="1440" w:right="1440" w:firstLine="0"/>
        <w:rPr>
          <w:sz w:val="26"/>
          <w:szCs w:val="23"/>
        </w:rPr>
      </w:pPr>
    </w:p>
    <w:p w14:paraId="0173C214" w14:textId="77777777" w:rsidR="0082036B" w:rsidRPr="006C0399" w:rsidRDefault="0082036B" w:rsidP="008E1AD5">
      <w:pPr>
        <w:spacing w:line="240" w:lineRule="auto"/>
        <w:ind w:left="1440" w:right="1440" w:firstLine="0"/>
        <w:rPr>
          <w:sz w:val="26"/>
          <w:szCs w:val="23"/>
        </w:rPr>
      </w:pPr>
      <w:r>
        <w:rPr>
          <w:sz w:val="26"/>
          <w:szCs w:val="23"/>
        </w:rPr>
        <w:tab/>
      </w:r>
      <w:r w:rsidRPr="006C0399">
        <w:rPr>
          <w:sz w:val="26"/>
          <w:szCs w:val="23"/>
        </w:rPr>
        <w:t xml:space="preserve">I think the very high number and high percentage of outside gas meters located close to City streets shows that this </w:t>
      </w:r>
      <w:r w:rsidRPr="006C0399">
        <w:rPr>
          <w:sz w:val="26"/>
          <w:szCs w:val="23"/>
        </w:rPr>
        <w:lastRenderedPageBreak/>
        <w:t xml:space="preserve">is a real safety problem.  According to our survey of all 6 historic districts, out of </w:t>
      </w:r>
      <w:r>
        <w:rPr>
          <w:sz w:val="26"/>
          <w:szCs w:val="23"/>
        </w:rPr>
        <w:t xml:space="preserve">the </w:t>
      </w:r>
      <w:r w:rsidRPr="006C0399">
        <w:rPr>
          <w:sz w:val="26"/>
          <w:szCs w:val="23"/>
        </w:rPr>
        <w:t>total of 1487 outside meter or infrastructure placements, 645 were 15’ or less from the curb.  That means that about 43% of all placements in all the historic districts were very close to a City street.  See Summary Survey Notes, already attached as Exhibit JS 15.</w:t>
      </w:r>
    </w:p>
    <w:p w14:paraId="50E9374E" w14:textId="77777777" w:rsidR="0082036B" w:rsidRPr="006C0399" w:rsidRDefault="0082036B" w:rsidP="008E1AD5">
      <w:pPr>
        <w:spacing w:line="240" w:lineRule="auto"/>
        <w:ind w:left="1440" w:right="1440" w:firstLine="0"/>
        <w:rPr>
          <w:sz w:val="26"/>
          <w:szCs w:val="23"/>
        </w:rPr>
      </w:pPr>
    </w:p>
    <w:p w14:paraId="1DFB9477" w14:textId="77777777" w:rsidR="0082036B" w:rsidRPr="006C0399" w:rsidRDefault="0082036B" w:rsidP="008E1AD5">
      <w:pPr>
        <w:spacing w:line="240" w:lineRule="auto"/>
        <w:ind w:left="1440" w:right="1440" w:firstLine="720"/>
        <w:rPr>
          <w:sz w:val="26"/>
          <w:szCs w:val="23"/>
        </w:rPr>
      </w:pPr>
      <w:r w:rsidRPr="006C0399">
        <w:rPr>
          <w:sz w:val="26"/>
          <w:szCs w:val="23"/>
        </w:rPr>
        <w:t>Besides completely surveying the historic districts, we took a sample survey of three streets in non-historic districts, where there was a particularly high number of outside meters located close to the curb.  For this survey, we chose Cotton Street, N. 10th Street, and S. 4th Street.  On these 3 streets alone, we found 674 outside gas meters that were 15</w:t>
      </w:r>
      <w:r>
        <w:rPr>
          <w:sz w:val="26"/>
          <w:szCs w:val="23"/>
        </w:rPr>
        <w:t>’</w:t>
      </w:r>
      <w:r w:rsidRPr="006C0399">
        <w:rPr>
          <w:sz w:val="26"/>
          <w:szCs w:val="23"/>
        </w:rPr>
        <w:t>or less from the curb.  The average distance from meter to curb for these 674 properties was nine feet.  See Gas Meter Survey for three City Streets (Non-Historic), attached as Exhibit JS 23.</w:t>
      </w:r>
    </w:p>
    <w:p w14:paraId="577B521A" w14:textId="77777777" w:rsidR="0082036B" w:rsidRPr="006C0399" w:rsidRDefault="0082036B" w:rsidP="008E1AD5">
      <w:pPr>
        <w:spacing w:line="240" w:lineRule="auto"/>
        <w:ind w:left="1440" w:right="1440" w:firstLine="720"/>
        <w:rPr>
          <w:sz w:val="26"/>
          <w:szCs w:val="23"/>
        </w:rPr>
      </w:pPr>
    </w:p>
    <w:p w14:paraId="3109841E" w14:textId="77777777" w:rsidR="0082036B" w:rsidRPr="006C0399" w:rsidRDefault="0082036B" w:rsidP="008E1AD5">
      <w:pPr>
        <w:spacing w:line="240" w:lineRule="auto"/>
        <w:ind w:left="1440" w:right="1440" w:firstLine="720"/>
        <w:rPr>
          <w:sz w:val="26"/>
          <w:szCs w:val="23"/>
        </w:rPr>
      </w:pPr>
      <w:r w:rsidRPr="006C0399">
        <w:rPr>
          <w:sz w:val="26"/>
          <w:szCs w:val="23"/>
        </w:rPr>
        <w:t xml:space="preserve">In addition to the complete survey of the historic districts, and the sample survey of three streets not in historic districts, we also did a cursory, </w:t>
      </w:r>
      <w:r>
        <w:rPr>
          <w:sz w:val="26"/>
          <w:szCs w:val="23"/>
        </w:rPr>
        <w:t>“</w:t>
      </w:r>
      <w:r w:rsidRPr="006C0399">
        <w:rPr>
          <w:sz w:val="26"/>
          <w:szCs w:val="23"/>
        </w:rPr>
        <w:t>drive by</w:t>
      </w:r>
      <w:r>
        <w:rPr>
          <w:sz w:val="26"/>
          <w:szCs w:val="23"/>
        </w:rPr>
        <w:t>”</w:t>
      </w:r>
      <w:r w:rsidRPr="006C0399">
        <w:rPr>
          <w:sz w:val="26"/>
          <w:szCs w:val="23"/>
        </w:rPr>
        <w:t xml:space="preserve"> survey of all other streets in the </w:t>
      </w:r>
      <w:r>
        <w:rPr>
          <w:sz w:val="26"/>
          <w:szCs w:val="23"/>
        </w:rPr>
        <w:t>“</w:t>
      </w:r>
      <w:r w:rsidRPr="006C0399">
        <w:rPr>
          <w:sz w:val="26"/>
          <w:szCs w:val="23"/>
        </w:rPr>
        <w:t>core</w:t>
      </w:r>
      <w:r>
        <w:rPr>
          <w:sz w:val="26"/>
          <w:szCs w:val="23"/>
        </w:rPr>
        <w:t>”</w:t>
      </w:r>
      <w:r w:rsidRPr="006C0399">
        <w:rPr>
          <w:sz w:val="26"/>
          <w:szCs w:val="23"/>
        </w:rPr>
        <w:t xml:space="preserve"> of Reading (all of Reading, except the more </w:t>
      </w:r>
      <w:r>
        <w:rPr>
          <w:sz w:val="26"/>
          <w:szCs w:val="23"/>
        </w:rPr>
        <w:t>“</w:t>
      </w:r>
      <w:r w:rsidRPr="006C0399">
        <w:rPr>
          <w:sz w:val="26"/>
          <w:szCs w:val="23"/>
        </w:rPr>
        <w:t>suburban areas</w:t>
      </w:r>
      <w:r>
        <w:rPr>
          <w:sz w:val="26"/>
          <w:szCs w:val="23"/>
        </w:rPr>
        <w:t>”</w:t>
      </w:r>
      <w:r w:rsidRPr="006C0399">
        <w:rPr>
          <w:sz w:val="26"/>
          <w:szCs w:val="23"/>
        </w:rPr>
        <w:t xml:space="preserve"> of the 18th and 19th Wards, an Hessian Camp in the 16th Ward).  In this </w:t>
      </w:r>
      <w:r>
        <w:rPr>
          <w:sz w:val="26"/>
          <w:szCs w:val="23"/>
        </w:rPr>
        <w:t>“</w:t>
      </w:r>
      <w:r w:rsidRPr="006C0399">
        <w:rPr>
          <w:sz w:val="26"/>
          <w:szCs w:val="23"/>
        </w:rPr>
        <w:t>drive-by</w:t>
      </w:r>
      <w:r>
        <w:rPr>
          <w:sz w:val="26"/>
          <w:szCs w:val="23"/>
        </w:rPr>
        <w:t>”</w:t>
      </w:r>
      <w:r w:rsidRPr="006C0399">
        <w:rPr>
          <w:sz w:val="26"/>
          <w:szCs w:val="23"/>
        </w:rPr>
        <w:t xml:space="preserve"> survey, we found 144 blocks where there were at least 2 meters 15</w:t>
      </w:r>
      <w:r>
        <w:rPr>
          <w:sz w:val="26"/>
          <w:szCs w:val="23"/>
        </w:rPr>
        <w:t>’</w:t>
      </w:r>
      <w:r w:rsidRPr="006C0399">
        <w:rPr>
          <w:sz w:val="26"/>
          <w:szCs w:val="23"/>
        </w:rPr>
        <w:t xml:space="preserve"> or less from the curb.  See Drive-by Survey of All City Blocks, attached as Exhibit JS 24.</w:t>
      </w:r>
    </w:p>
    <w:p w14:paraId="551E301D" w14:textId="77777777" w:rsidR="0082036B" w:rsidRPr="006C0399" w:rsidRDefault="0082036B" w:rsidP="008E1AD5">
      <w:pPr>
        <w:spacing w:line="240" w:lineRule="auto"/>
        <w:ind w:left="1440" w:right="1440" w:firstLine="720"/>
        <w:rPr>
          <w:sz w:val="26"/>
          <w:szCs w:val="23"/>
        </w:rPr>
      </w:pPr>
    </w:p>
    <w:p w14:paraId="0228B1BD" w14:textId="77777777" w:rsidR="0082036B" w:rsidRPr="006C0399" w:rsidRDefault="0082036B" w:rsidP="008E1AD5">
      <w:pPr>
        <w:spacing w:line="240" w:lineRule="auto"/>
        <w:ind w:left="1440" w:right="1440" w:firstLine="720"/>
        <w:rPr>
          <w:sz w:val="26"/>
          <w:szCs w:val="23"/>
        </w:rPr>
      </w:pPr>
      <w:r w:rsidRPr="006C0399">
        <w:rPr>
          <w:sz w:val="26"/>
          <w:szCs w:val="23"/>
        </w:rPr>
        <w:t xml:space="preserve">In this </w:t>
      </w:r>
      <w:r>
        <w:rPr>
          <w:sz w:val="26"/>
          <w:szCs w:val="23"/>
        </w:rPr>
        <w:t>“</w:t>
      </w:r>
      <w:r w:rsidRPr="006C0399">
        <w:rPr>
          <w:sz w:val="26"/>
          <w:szCs w:val="23"/>
        </w:rPr>
        <w:t>drive-by</w:t>
      </w:r>
      <w:r>
        <w:rPr>
          <w:sz w:val="26"/>
          <w:szCs w:val="23"/>
        </w:rPr>
        <w:t>”</w:t>
      </w:r>
      <w:r w:rsidRPr="006C0399">
        <w:rPr>
          <w:sz w:val="26"/>
          <w:szCs w:val="23"/>
        </w:rPr>
        <w:t xml:space="preserve"> survey, we also noted the most egregious example of meters being close to City streets.  This was in the 1000 block of Moss Street, where there were 37 outside meters, with an average meter to curb distance of 3</w:t>
      </w:r>
      <w:r>
        <w:rPr>
          <w:sz w:val="26"/>
          <w:szCs w:val="23"/>
        </w:rPr>
        <w:t>’</w:t>
      </w:r>
      <w:r w:rsidRPr="006C0399">
        <w:rPr>
          <w:sz w:val="26"/>
          <w:szCs w:val="23"/>
        </w:rPr>
        <w:t>.  The closest meter was 2</w:t>
      </w:r>
      <w:r>
        <w:rPr>
          <w:sz w:val="26"/>
          <w:szCs w:val="23"/>
        </w:rPr>
        <w:t>’</w:t>
      </w:r>
      <w:r w:rsidRPr="006C0399">
        <w:rPr>
          <w:sz w:val="26"/>
          <w:szCs w:val="23"/>
        </w:rPr>
        <w:t xml:space="preserve"> 8</w:t>
      </w:r>
      <w:r>
        <w:rPr>
          <w:sz w:val="26"/>
          <w:szCs w:val="23"/>
        </w:rPr>
        <w:t>”</w:t>
      </w:r>
      <w:r w:rsidRPr="006C0399">
        <w:rPr>
          <w:sz w:val="26"/>
          <w:szCs w:val="23"/>
        </w:rPr>
        <w:t xml:space="preserve"> from the curb.  See Drive-by Survey, attached above as Exhibit JS 24.</w:t>
      </w:r>
    </w:p>
    <w:p w14:paraId="6E375408" w14:textId="77777777" w:rsidR="0082036B" w:rsidRPr="006C0399" w:rsidRDefault="0082036B" w:rsidP="008E1AD5">
      <w:pPr>
        <w:spacing w:line="240" w:lineRule="auto"/>
        <w:ind w:left="1440" w:right="1440" w:firstLine="720"/>
        <w:rPr>
          <w:sz w:val="26"/>
          <w:szCs w:val="23"/>
        </w:rPr>
      </w:pPr>
    </w:p>
    <w:p w14:paraId="5B9FB5D6" w14:textId="77777777" w:rsidR="0082036B" w:rsidRPr="006C0399" w:rsidRDefault="0082036B" w:rsidP="008E1AD5">
      <w:pPr>
        <w:spacing w:line="240" w:lineRule="auto"/>
        <w:ind w:left="1440" w:right="1440" w:firstLine="720"/>
        <w:rPr>
          <w:sz w:val="26"/>
          <w:szCs w:val="23"/>
        </w:rPr>
      </w:pPr>
      <w:r w:rsidRPr="006C0399">
        <w:rPr>
          <w:sz w:val="26"/>
          <w:szCs w:val="23"/>
        </w:rPr>
        <w:t>What all this survey data shows is (1) a very high number of outside meters close to City streets (645 in historic districts, plus 674 on three select non-historic streets, plus 144 blocks besides these with two or more outside meters per block), and (2) the pervasiveness throughout the City of outside meters close to the curb (</w:t>
      </w:r>
      <w:r>
        <w:rPr>
          <w:sz w:val="26"/>
          <w:szCs w:val="23"/>
        </w:rPr>
        <w:t>i</w:t>
      </w:r>
      <w:r w:rsidRPr="006C0399">
        <w:rPr>
          <w:sz w:val="26"/>
          <w:szCs w:val="23"/>
        </w:rPr>
        <w:t xml:space="preserve">n all six historic districts, plus three more select streets, plus 144 other blocks with two or more meters 15 feet or less from the curb).  Surely, this number of outside meters all within 15 feet of the street, and </w:t>
      </w:r>
      <w:r w:rsidRPr="006C0399">
        <w:rPr>
          <w:sz w:val="26"/>
          <w:szCs w:val="23"/>
        </w:rPr>
        <w:lastRenderedPageBreak/>
        <w:t>their pervasiveness throughout the City, must indicate a likelihood that sometime, somewhere in the City, there will be a vehicular accident with severe consequences to the residents.</w:t>
      </w:r>
    </w:p>
    <w:p w14:paraId="190FB81F" w14:textId="77777777" w:rsidR="0082036B" w:rsidRPr="006C0399" w:rsidRDefault="0082036B" w:rsidP="005442C3">
      <w:pPr>
        <w:ind w:firstLine="0"/>
        <w:rPr>
          <w:sz w:val="26"/>
          <w:szCs w:val="23"/>
        </w:rPr>
      </w:pPr>
    </w:p>
    <w:p w14:paraId="1813C207" w14:textId="103695A8" w:rsidR="0082036B" w:rsidRDefault="0082036B" w:rsidP="008E1AD5">
      <w:pPr>
        <w:ind w:firstLine="0"/>
        <w:rPr>
          <w:sz w:val="26"/>
          <w:szCs w:val="23"/>
        </w:rPr>
      </w:pPr>
      <w:r w:rsidRPr="006C0399">
        <w:rPr>
          <w:sz w:val="26"/>
          <w:szCs w:val="23"/>
        </w:rPr>
        <w:t>City St. 2 at 27-28.</w:t>
      </w:r>
    </w:p>
    <w:p w14:paraId="490741BC" w14:textId="77777777" w:rsidR="00EB5003" w:rsidRDefault="00EB5003" w:rsidP="008E1AD5">
      <w:pPr>
        <w:ind w:firstLine="0"/>
        <w:rPr>
          <w:sz w:val="26"/>
          <w:szCs w:val="23"/>
        </w:rPr>
      </w:pPr>
    </w:p>
    <w:p w14:paraId="3671B62B" w14:textId="77777777" w:rsidR="004A3689" w:rsidRDefault="004A3689" w:rsidP="008E1AD5">
      <w:pPr>
        <w:rPr>
          <w:sz w:val="26"/>
          <w:szCs w:val="23"/>
        </w:rPr>
      </w:pPr>
      <w:r>
        <w:rPr>
          <w:sz w:val="26"/>
          <w:szCs w:val="23"/>
        </w:rPr>
        <w:t>In response, explaining</w:t>
      </w:r>
      <w:r w:rsidR="0082036B" w:rsidRPr="006C0399">
        <w:rPr>
          <w:sz w:val="26"/>
          <w:szCs w:val="23"/>
        </w:rPr>
        <w:t xml:space="preserve"> that Section 59.33 of the Commission’s Regulations adopts the minimum safety standards for gas utilities as outlined in the </w:t>
      </w:r>
      <w:r w:rsidR="00CC5397">
        <w:rPr>
          <w:sz w:val="26"/>
          <w:szCs w:val="23"/>
        </w:rPr>
        <w:t>Federal Regulations</w:t>
      </w:r>
      <w:r w:rsidR="0082036B" w:rsidRPr="006C0399">
        <w:rPr>
          <w:sz w:val="26"/>
          <w:szCs w:val="23"/>
        </w:rPr>
        <w:t xml:space="preserve">, UGI </w:t>
      </w:r>
      <w:r w:rsidR="00707B75">
        <w:rPr>
          <w:sz w:val="26"/>
          <w:szCs w:val="23"/>
        </w:rPr>
        <w:t>state</w:t>
      </w:r>
      <w:r w:rsidR="0082036B" w:rsidRPr="006C0399">
        <w:rPr>
          <w:sz w:val="26"/>
          <w:szCs w:val="23"/>
        </w:rPr>
        <w:t xml:space="preserve">d that the restrictions on meter locations proposed by the City Parties, such as the City’s arbitrary 15-foot rule, are not included in any of these Regulations.  UGI St. 1 at 46.  UGI </w:t>
      </w:r>
      <w:r>
        <w:rPr>
          <w:sz w:val="26"/>
          <w:szCs w:val="23"/>
        </w:rPr>
        <w:t>also noted its</w:t>
      </w:r>
      <w:r w:rsidR="0082036B" w:rsidRPr="006C0399">
        <w:rPr>
          <w:sz w:val="26"/>
          <w:szCs w:val="23"/>
        </w:rPr>
        <w:t xml:space="preserve"> compliance with 52 Pa. Code </w:t>
      </w:r>
    </w:p>
    <w:p w14:paraId="4366668A" w14:textId="1917FC31" w:rsidR="0082036B" w:rsidRDefault="0082036B" w:rsidP="008E1AD5">
      <w:pPr>
        <w:ind w:firstLine="0"/>
        <w:rPr>
          <w:sz w:val="26"/>
          <w:szCs w:val="23"/>
        </w:rPr>
      </w:pPr>
      <w:r w:rsidRPr="006C0399">
        <w:rPr>
          <w:sz w:val="26"/>
          <w:szCs w:val="23"/>
        </w:rPr>
        <w:t xml:space="preserve">§ 59.19(a)(5) and (b)(1) and 49 C.F.R. § 192.353(a) by explaining that its primary concern when selecting meter locations is safety, highlighting the installments of EFVs during UGI’s betterment projects.  UGI explained that EFVs provide an additional level of protection from line strikes on the service lateral (e.g., excavation damage) as well as from damage to the meter or pressure regulator (e.g., impact from a vehicle).  UGI St. 1 at 45.  Noting the </w:t>
      </w:r>
      <w:r w:rsidR="00416982">
        <w:rPr>
          <w:sz w:val="26"/>
          <w:szCs w:val="23"/>
        </w:rPr>
        <w:t>F</w:t>
      </w:r>
      <w:r w:rsidRPr="006C0399">
        <w:rPr>
          <w:sz w:val="26"/>
          <w:szCs w:val="23"/>
        </w:rPr>
        <w:t xml:space="preserve">ederal </w:t>
      </w:r>
      <w:r w:rsidR="00416982">
        <w:rPr>
          <w:sz w:val="26"/>
          <w:szCs w:val="23"/>
        </w:rPr>
        <w:t>R</w:t>
      </w:r>
      <w:r w:rsidRPr="006C0399">
        <w:rPr>
          <w:sz w:val="26"/>
          <w:szCs w:val="23"/>
        </w:rPr>
        <w:t xml:space="preserve">egulation’s requirement of meter protection </w:t>
      </w:r>
      <w:r>
        <w:rPr>
          <w:sz w:val="26"/>
          <w:szCs w:val="23"/>
        </w:rPr>
        <w:t>for</w:t>
      </w:r>
      <w:r w:rsidRPr="006C0399">
        <w:rPr>
          <w:sz w:val="26"/>
          <w:szCs w:val="23"/>
        </w:rPr>
        <w:t xml:space="preserve"> “vehicular damage that may be anticipated,” UGI explained that its policy requires meter protection in parking lots, driveways, and roadways; that is, locations where </w:t>
      </w:r>
      <w:r w:rsidR="007836C4">
        <w:rPr>
          <w:sz w:val="26"/>
          <w:szCs w:val="23"/>
        </w:rPr>
        <w:t xml:space="preserve">UGI believes </w:t>
      </w:r>
      <w:r w:rsidRPr="006C0399">
        <w:rPr>
          <w:sz w:val="26"/>
          <w:szCs w:val="23"/>
        </w:rPr>
        <w:t xml:space="preserve">vehicular damage may be reasonably anticipated.  </w:t>
      </w:r>
      <w:r w:rsidRPr="006C0399">
        <w:rPr>
          <w:i/>
          <w:iCs/>
          <w:sz w:val="26"/>
          <w:szCs w:val="23"/>
        </w:rPr>
        <w:t>Id</w:t>
      </w:r>
      <w:r w:rsidRPr="006C0399">
        <w:rPr>
          <w:sz w:val="26"/>
          <w:szCs w:val="23"/>
        </w:rPr>
        <w:t>.</w:t>
      </w:r>
    </w:p>
    <w:p w14:paraId="4A788A95" w14:textId="77777777" w:rsidR="0082036B" w:rsidRPr="006C0399" w:rsidRDefault="0082036B" w:rsidP="008E1AD5">
      <w:pPr>
        <w:rPr>
          <w:sz w:val="26"/>
          <w:szCs w:val="23"/>
        </w:rPr>
      </w:pPr>
    </w:p>
    <w:p w14:paraId="0D6956CA" w14:textId="77777777" w:rsidR="0082036B" w:rsidRPr="006C0399" w:rsidRDefault="0082036B" w:rsidP="008E1AD5">
      <w:pPr>
        <w:rPr>
          <w:sz w:val="26"/>
          <w:szCs w:val="23"/>
        </w:rPr>
      </w:pPr>
      <w:r w:rsidRPr="006C0399">
        <w:rPr>
          <w:sz w:val="26"/>
          <w:szCs w:val="23"/>
        </w:rPr>
        <w:t xml:space="preserve">Additionally, the City based its </w:t>
      </w:r>
      <w:r w:rsidR="00A03126">
        <w:rPr>
          <w:sz w:val="26"/>
          <w:szCs w:val="23"/>
        </w:rPr>
        <w:t>case</w:t>
      </w:r>
      <w:r w:rsidRPr="006C0399">
        <w:rPr>
          <w:sz w:val="26"/>
          <w:szCs w:val="23"/>
        </w:rPr>
        <w:t xml:space="preserve"> on alleged instances where vehicles have struck meters or had “near misses” with meters in the City.  City St. 2 at 24-26.  Mr. Slifko references seven alleged incidents in </w:t>
      </w:r>
      <w:r w:rsidR="00A03126">
        <w:rPr>
          <w:sz w:val="26"/>
          <w:szCs w:val="23"/>
        </w:rPr>
        <w:t>the City</w:t>
      </w:r>
      <w:r w:rsidRPr="006C0399">
        <w:rPr>
          <w:sz w:val="26"/>
          <w:szCs w:val="23"/>
        </w:rPr>
        <w:t xml:space="preserve"> involving vehicles striking outside gas meters and two “near misses</w:t>
      </w:r>
      <w:r w:rsidR="00A03126">
        <w:rPr>
          <w:sz w:val="26"/>
          <w:szCs w:val="23"/>
        </w:rPr>
        <w:t>,</w:t>
      </w:r>
      <w:r w:rsidRPr="006C0399">
        <w:rPr>
          <w:sz w:val="26"/>
          <w:szCs w:val="23"/>
        </w:rPr>
        <w:t>” where vehicle</w:t>
      </w:r>
      <w:r w:rsidR="00A03126">
        <w:rPr>
          <w:sz w:val="26"/>
          <w:szCs w:val="23"/>
        </w:rPr>
        <w:t>s</w:t>
      </w:r>
      <w:r w:rsidRPr="006C0399">
        <w:rPr>
          <w:sz w:val="26"/>
          <w:szCs w:val="23"/>
        </w:rPr>
        <w:t xml:space="preserve"> jumped the curb and c</w:t>
      </w:r>
      <w:r w:rsidR="00A03126">
        <w:rPr>
          <w:sz w:val="26"/>
          <w:szCs w:val="23"/>
        </w:rPr>
        <w:t>ame</w:t>
      </w:r>
      <w:r w:rsidRPr="006C0399">
        <w:rPr>
          <w:sz w:val="26"/>
          <w:szCs w:val="23"/>
        </w:rPr>
        <w:t xml:space="preserve"> close to striking meter</w:t>
      </w:r>
      <w:r w:rsidR="00A03126">
        <w:rPr>
          <w:sz w:val="26"/>
          <w:szCs w:val="23"/>
        </w:rPr>
        <w:t>s</w:t>
      </w:r>
      <w:r w:rsidRPr="006C0399">
        <w:rPr>
          <w:sz w:val="26"/>
          <w:szCs w:val="23"/>
        </w:rPr>
        <w:t>.  City St. 2 at 24-26.</w:t>
      </w:r>
    </w:p>
    <w:p w14:paraId="1D334300" w14:textId="77777777" w:rsidR="0082036B" w:rsidRPr="006C0399" w:rsidRDefault="0082036B" w:rsidP="008E1AD5">
      <w:pPr>
        <w:rPr>
          <w:sz w:val="26"/>
          <w:szCs w:val="23"/>
        </w:rPr>
      </w:pPr>
    </w:p>
    <w:p w14:paraId="529E12A4" w14:textId="574157B5" w:rsidR="0082036B" w:rsidRPr="006C0399" w:rsidRDefault="0082036B" w:rsidP="008E1AD5">
      <w:pPr>
        <w:rPr>
          <w:sz w:val="26"/>
          <w:szCs w:val="23"/>
        </w:rPr>
      </w:pPr>
      <w:r w:rsidRPr="006C0399">
        <w:rPr>
          <w:sz w:val="26"/>
          <w:szCs w:val="23"/>
        </w:rPr>
        <w:t xml:space="preserve">UGI </w:t>
      </w:r>
      <w:r w:rsidR="009547AE">
        <w:rPr>
          <w:sz w:val="26"/>
          <w:szCs w:val="23"/>
        </w:rPr>
        <w:t>responded</w:t>
      </w:r>
      <w:r w:rsidRPr="006C0399">
        <w:rPr>
          <w:sz w:val="26"/>
          <w:szCs w:val="23"/>
        </w:rPr>
        <w:t xml:space="preserve"> that the alleged meter strikes and “near misses” are not evidence of outside meters being safety concerns, but to the contrary, demonstrate that </w:t>
      </w:r>
      <w:r w:rsidRPr="006C0399">
        <w:rPr>
          <w:sz w:val="26"/>
          <w:szCs w:val="23"/>
        </w:rPr>
        <w:lastRenderedPageBreak/>
        <w:t>outside meters are generally safer than inside meter sets, as releases of natural gas at outdoor locations lead to the dispersal of the gas into the atmosphere as opposed to the potential increase in natural gas concentrations to potentially dangerous levels in confined indoor locations.  UGI St. 1 at 47, 13-14, 32.</w:t>
      </w:r>
    </w:p>
    <w:p w14:paraId="153E0DE6" w14:textId="77777777" w:rsidR="0082036B" w:rsidRPr="006C0399" w:rsidRDefault="0082036B" w:rsidP="008E1AD5">
      <w:pPr>
        <w:rPr>
          <w:sz w:val="26"/>
          <w:szCs w:val="23"/>
        </w:rPr>
      </w:pPr>
    </w:p>
    <w:p w14:paraId="08A7EEC0" w14:textId="00CE94BF" w:rsidR="0082036B" w:rsidRPr="006C0399" w:rsidRDefault="009547AE" w:rsidP="008E1AD5">
      <w:pPr>
        <w:rPr>
          <w:sz w:val="26"/>
          <w:szCs w:val="23"/>
        </w:rPr>
      </w:pPr>
      <w:r>
        <w:rPr>
          <w:sz w:val="26"/>
          <w:szCs w:val="23"/>
        </w:rPr>
        <w:t>Further, t</w:t>
      </w:r>
      <w:r w:rsidR="0082036B">
        <w:rPr>
          <w:sz w:val="26"/>
          <w:szCs w:val="23"/>
        </w:rPr>
        <w:t xml:space="preserve">he City’s witness </w:t>
      </w:r>
      <w:r w:rsidR="0082036B" w:rsidRPr="006C0399">
        <w:rPr>
          <w:sz w:val="26"/>
          <w:szCs w:val="23"/>
        </w:rPr>
        <w:t xml:space="preserve">Mr. Slifko provided prepared testimony detailing recent incidents in </w:t>
      </w:r>
      <w:r>
        <w:rPr>
          <w:sz w:val="26"/>
          <w:szCs w:val="23"/>
        </w:rPr>
        <w:t>the City</w:t>
      </w:r>
      <w:r w:rsidR="0082036B" w:rsidRPr="006C0399">
        <w:rPr>
          <w:sz w:val="26"/>
          <w:szCs w:val="23"/>
        </w:rPr>
        <w:t>, and UGI witness, Mr. Brown, responded to each alleged meter strike and near miss location identified by Mr. Slifko, in turn.  UGI St. 1 at 48-50.</w:t>
      </w:r>
    </w:p>
    <w:p w14:paraId="2D7EE616" w14:textId="77777777" w:rsidR="0082036B" w:rsidRPr="006C0399" w:rsidRDefault="0082036B" w:rsidP="008E1AD5">
      <w:pPr>
        <w:rPr>
          <w:sz w:val="26"/>
          <w:szCs w:val="23"/>
        </w:rPr>
      </w:pPr>
    </w:p>
    <w:p w14:paraId="784DA584" w14:textId="102D1CA3" w:rsidR="0082036B" w:rsidRPr="006C0399" w:rsidRDefault="0082036B" w:rsidP="008E1AD5">
      <w:pPr>
        <w:rPr>
          <w:sz w:val="26"/>
          <w:szCs w:val="23"/>
        </w:rPr>
      </w:pPr>
      <w:r w:rsidRPr="006C0399">
        <w:rPr>
          <w:sz w:val="26"/>
          <w:szCs w:val="23"/>
        </w:rPr>
        <w:t xml:space="preserve">Mr. Slifko first referred to an alleged vehicle strike at “1043 Oley Street.”  City St. 2 at 25.  However, as shown by the Incident Report marked as Exhibit JS-18, this incident occurred at 1243 Oley Street on March 18, 2014.  In response, Mr. Brown </w:t>
      </w:r>
      <w:r w:rsidR="001F21D0">
        <w:rPr>
          <w:sz w:val="26"/>
          <w:szCs w:val="23"/>
        </w:rPr>
        <w:t>testified</w:t>
      </w:r>
      <w:r w:rsidRPr="006C0399">
        <w:rPr>
          <w:sz w:val="26"/>
          <w:szCs w:val="23"/>
        </w:rPr>
        <w:t xml:space="preserve"> that </w:t>
      </w:r>
      <w:r w:rsidR="001F21D0">
        <w:rPr>
          <w:sz w:val="26"/>
          <w:szCs w:val="23"/>
        </w:rPr>
        <w:t xml:space="preserve">since </w:t>
      </w:r>
      <w:r w:rsidRPr="006C0399">
        <w:rPr>
          <w:sz w:val="26"/>
          <w:szCs w:val="23"/>
        </w:rPr>
        <w:t xml:space="preserve">the Company moved the meter outside at 1243 Oley Street in 2011, both the meter installation and the vehicle strike predate the effective date of the amended Section 59.18.  Mr. Brown </w:t>
      </w:r>
      <w:r w:rsidR="001F21D0">
        <w:rPr>
          <w:sz w:val="26"/>
          <w:szCs w:val="23"/>
        </w:rPr>
        <w:t>stated</w:t>
      </w:r>
      <w:r w:rsidRPr="006C0399">
        <w:rPr>
          <w:sz w:val="26"/>
          <w:szCs w:val="23"/>
        </w:rPr>
        <w:t xml:space="preserve"> that, as seen in the picture of the meter installation attached as UGI Exh</w:t>
      </w:r>
      <w:r>
        <w:rPr>
          <w:sz w:val="26"/>
          <w:szCs w:val="23"/>
        </w:rPr>
        <w:t>ibit</w:t>
      </w:r>
      <w:r w:rsidRPr="006C0399">
        <w:rPr>
          <w:sz w:val="26"/>
          <w:szCs w:val="23"/>
        </w:rPr>
        <w:t xml:space="preserve"> CB-7, the meter was placed in a location where vehicular damage could not reasonably be anticipated.  UGI St. 1 at 48.</w:t>
      </w:r>
    </w:p>
    <w:p w14:paraId="55D3BCC0" w14:textId="77777777" w:rsidR="0082036B" w:rsidRPr="006C0399" w:rsidRDefault="0082036B" w:rsidP="008E1AD5">
      <w:pPr>
        <w:rPr>
          <w:sz w:val="26"/>
          <w:szCs w:val="23"/>
        </w:rPr>
      </w:pPr>
    </w:p>
    <w:p w14:paraId="36FCFF12" w14:textId="2DB04400" w:rsidR="0082036B" w:rsidRPr="006C0399" w:rsidRDefault="0082036B" w:rsidP="008E1AD5">
      <w:pPr>
        <w:rPr>
          <w:sz w:val="26"/>
          <w:szCs w:val="23"/>
        </w:rPr>
      </w:pPr>
      <w:r w:rsidRPr="006C0399">
        <w:rPr>
          <w:sz w:val="26"/>
          <w:szCs w:val="23"/>
        </w:rPr>
        <w:t xml:space="preserve">Second, Mr. Slifko pointed to a vehicle striking a meter at 847 Nicolls Street on April 20, 2015, which he </w:t>
      </w:r>
      <w:r w:rsidR="00E96176">
        <w:rPr>
          <w:sz w:val="26"/>
          <w:szCs w:val="23"/>
        </w:rPr>
        <w:t>stated</w:t>
      </w:r>
      <w:r w:rsidRPr="006C0399">
        <w:rPr>
          <w:sz w:val="26"/>
          <w:szCs w:val="23"/>
        </w:rPr>
        <w:t xml:space="preserve"> “was located six (6) feet from the street.”  City St. 2 at 25.  In response, Mr. Brown clarified that UGI records indicate 850 Nicolls Street was the actual address.  Mr. Brown referenced UGI Exhibit CB-8, indicating that the meter is located in a parking lot and the </w:t>
      </w:r>
      <w:r>
        <w:rPr>
          <w:sz w:val="26"/>
          <w:szCs w:val="23"/>
        </w:rPr>
        <w:t xml:space="preserve">Company </w:t>
      </w:r>
      <w:r w:rsidRPr="006C0399">
        <w:rPr>
          <w:sz w:val="26"/>
          <w:szCs w:val="23"/>
        </w:rPr>
        <w:t>install</w:t>
      </w:r>
      <w:r>
        <w:rPr>
          <w:sz w:val="26"/>
          <w:szCs w:val="23"/>
        </w:rPr>
        <w:t>ed</w:t>
      </w:r>
      <w:r w:rsidRPr="006C0399">
        <w:rPr>
          <w:sz w:val="26"/>
          <w:szCs w:val="23"/>
        </w:rPr>
        <w:t xml:space="preserve"> crash protection around the meter at 847 Nicolls Street after the incident.  Mr. Brown further explained that the service line to 850 Nicolls Street was installed in 1995 and did not have an EFV installed at the time.  After the line was struck, UGI installed a new service line protected by an EFV.  UGI St. 1 at 48-49.</w:t>
      </w:r>
    </w:p>
    <w:p w14:paraId="22D22FE8" w14:textId="77777777" w:rsidR="0082036B" w:rsidRPr="006C0399" w:rsidRDefault="0082036B" w:rsidP="008E1AD5">
      <w:pPr>
        <w:rPr>
          <w:sz w:val="26"/>
          <w:szCs w:val="23"/>
        </w:rPr>
      </w:pPr>
    </w:p>
    <w:p w14:paraId="74848D01" w14:textId="5E2D8E79" w:rsidR="0082036B" w:rsidRPr="006C0399" w:rsidRDefault="0082036B" w:rsidP="008E1AD5">
      <w:pPr>
        <w:rPr>
          <w:sz w:val="26"/>
          <w:szCs w:val="23"/>
        </w:rPr>
      </w:pPr>
      <w:r w:rsidRPr="006C0399">
        <w:rPr>
          <w:sz w:val="26"/>
          <w:szCs w:val="23"/>
        </w:rPr>
        <w:lastRenderedPageBreak/>
        <w:t xml:space="preserve">Third, at 616 Pear Street, Mr. Slifko </w:t>
      </w:r>
      <w:r w:rsidR="00E96176">
        <w:rPr>
          <w:sz w:val="26"/>
          <w:szCs w:val="23"/>
        </w:rPr>
        <w:t>testified</w:t>
      </w:r>
      <w:r w:rsidRPr="006C0399">
        <w:rPr>
          <w:sz w:val="26"/>
          <w:szCs w:val="23"/>
        </w:rPr>
        <w:t xml:space="preserve"> that “the meter was struck by a vehicle causing the gas to escape,” after which “[t]he gas company was called, and the meter was eventually moved to the front of the house.”  City St. 2 at 25.  Mr. Slifko admitted that the City Parties “have no written record of this incident, other than the notes of one of their surveyors, Anita Donatelli, who wrote down the statement of the 616 Pear Street property owner.”  </w:t>
      </w:r>
      <w:r w:rsidRPr="006C0399">
        <w:rPr>
          <w:i/>
          <w:iCs/>
          <w:sz w:val="26"/>
          <w:szCs w:val="23"/>
        </w:rPr>
        <w:t>Id</w:t>
      </w:r>
      <w:r w:rsidRPr="006C0399">
        <w:rPr>
          <w:sz w:val="26"/>
          <w:szCs w:val="23"/>
        </w:rPr>
        <w:t xml:space="preserve">.  Mr. Brown responded by </w:t>
      </w:r>
      <w:r w:rsidR="00E96176">
        <w:rPr>
          <w:sz w:val="26"/>
          <w:szCs w:val="23"/>
        </w:rPr>
        <w:t>averring</w:t>
      </w:r>
      <w:r w:rsidRPr="006C0399">
        <w:rPr>
          <w:sz w:val="26"/>
          <w:szCs w:val="23"/>
        </w:rPr>
        <w:t xml:space="preserve"> that the City’s claims and the allegations of its unnamed property owner are completely unsubstantiated, based on UGI having no record of this alleged incident.  UGI St. 1 at 49.</w:t>
      </w:r>
    </w:p>
    <w:p w14:paraId="1C224245" w14:textId="77777777" w:rsidR="0082036B" w:rsidRPr="006C0399" w:rsidRDefault="0082036B" w:rsidP="008E1AD5">
      <w:pPr>
        <w:rPr>
          <w:sz w:val="26"/>
          <w:szCs w:val="23"/>
        </w:rPr>
      </w:pPr>
    </w:p>
    <w:p w14:paraId="695521E9" w14:textId="191029CB" w:rsidR="0082036B" w:rsidRPr="006C0399" w:rsidRDefault="0082036B" w:rsidP="008E1AD5">
      <w:pPr>
        <w:rPr>
          <w:sz w:val="26"/>
          <w:szCs w:val="23"/>
        </w:rPr>
      </w:pPr>
      <w:r w:rsidRPr="006C0399">
        <w:rPr>
          <w:sz w:val="26"/>
          <w:szCs w:val="23"/>
        </w:rPr>
        <w:t xml:space="preserve">Fourth, Mr. Slifko pointed to an incident that occurred on May 20, 2018, contending that a runaway car demolished two front porches and damaged two outside gas meters at 1350 and 1352 Perkiomen Avenue.  City St. 2 at 25.  In response, Mr. Brown </w:t>
      </w:r>
      <w:r w:rsidR="00E96176">
        <w:rPr>
          <w:sz w:val="26"/>
          <w:szCs w:val="23"/>
        </w:rPr>
        <w:t>stated</w:t>
      </w:r>
      <w:r w:rsidRPr="006C0399">
        <w:rPr>
          <w:sz w:val="26"/>
          <w:szCs w:val="23"/>
        </w:rPr>
        <w:t xml:space="preserve"> that these meter strikes demonstrate that outside meters are safer generally than inside meter sets, since they were properly protected by EFVs, because they activated as designed when the meters were struck, thereby further reducing the risk of a potential ignition of natural gas at an outdoor location.  UGI St. 1 at 47.</w:t>
      </w:r>
      <w:r w:rsidRPr="008D26E8">
        <w:rPr>
          <w:sz w:val="26"/>
          <w:szCs w:val="23"/>
          <w:vertAlign w:val="superscript"/>
        </w:rPr>
        <w:footnoteReference w:id="9"/>
      </w:r>
    </w:p>
    <w:p w14:paraId="0202E77A" w14:textId="77777777" w:rsidR="00E96176" w:rsidRDefault="00E96176" w:rsidP="008E1AD5">
      <w:pPr>
        <w:rPr>
          <w:sz w:val="26"/>
          <w:szCs w:val="23"/>
        </w:rPr>
      </w:pPr>
    </w:p>
    <w:p w14:paraId="4476E227" w14:textId="1C201276" w:rsidR="0082036B" w:rsidRDefault="0082036B" w:rsidP="008E1AD5">
      <w:pPr>
        <w:rPr>
          <w:sz w:val="26"/>
          <w:szCs w:val="23"/>
        </w:rPr>
      </w:pPr>
      <w:r w:rsidRPr="006C0399">
        <w:rPr>
          <w:sz w:val="26"/>
          <w:szCs w:val="23"/>
        </w:rPr>
        <w:t xml:space="preserve">Fifth, Mr. Slifko </w:t>
      </w:r>
      <w:r w:rsidR="001A4876">
        <w:rPr>
          <w:sz w:val="26"/>
          <w:szCs w:val="23"/>
        </w:rPr>
        <w:t>state</w:t>
      </w:r>
      <w:r w:rsidRPr="006C0399">
        <w:rPr>
          <w:sz w:val="26"/>
          <w:szCs w:val="23"/>
        </w:rPr>
        <w:t>d that unnamed residents related to him that there were at least three instances where vehicles had skidded off City streets and struck a gas meter.  These accidents occurred at 1621 Cotton Street, and in the vicinity of 1261 N. 10</w:t>
      </w:r>
      <w:r>
        <w:rPr>
          <w:sz w:val="26"/>
          <w:szCs w:val="23"/>
        </w:rPr>
        <w:t>th</w:t>
      </w:r>
      <w:r w:rsidRPr="006C0399">
        <w:rPr>
          <w:sz w:val="26"/>
          <w:szCs w:val="23"/>
        </w:rPr>
        <w:t xml:space="preserve"> Street and 11</w:t>
      </w:r>
      <w:r>
        <w:rPr>
          <w:sz w:val="26"/>
          <w:szCs w:val="23"/>
        </w:rPr>
        <w:t>th</w:t>
      </w:r>
      <w:r w:rsidRPr="006C0399">
        <w:rPr>
          <w:sz w:val="26"/>
          <w:szCs w:val="23"/>
        </w:rPr>
        <w:t xml:space="preserve"> and Spring Streets.  City St. 2 at 25-26.  Mr. Slifko conceded that he “attempted to find verification of these accidents from the City Fire records,” but he “was unable to do so.”  City St. 2 at 26.  Mr. Brown’s response consisted of his </w:t>
      </w:r>
      <w:r w:rsidR="008D26E8">
        <w:rPr>
          <w:sz w:val="26"/>
          <w:szCs w:val="23"/>
        </w:rPr>
        <w:t>testimony</w:t>
      </w:r>
      <w:r w:rsidRPr="006C0399">
        <w:rPr>
          <w:sz w:val="26"/>
          <w:szCs w:val="23"/>
        </w:rPr>
        <w:t xml:space="preserve"> that </w:t>
      </w:r>
      <w:r w:rsidRPr="006C0399">
        <w:rPr>
          <w:sz w:val="26"/>
          <w:szCs w:val="23"/>
        </w:rPr>
        <w:lastRenderedPageBreak/>
        <w:t>UGI has no records of these alleged incidents, and</w:t>
      </w:r>
      <w:r>
        <w:rPr>
          <w:sz w:val="26"/>
          <w:szCs w:val="23"/>
        </w:rPr>
        <w:t>,</w:t>
      </w:r>
      <w:r w:rsidRPr="006C0399">
        <w:rPr>
          <w:sz w:val="26"/>
          <w:szCs w:val="23"/>
        </w:rPr>
        <w:t xml:space="preserve"> therefore, the allegations of the City’s unnamed residents are unfounded.  UGI St. 1 at 49.</w:t>
      </w:r>
    </w:p>
    <w:p w14:paraId="1FCEB9CE" w14:textId="77777777" w:rsidR="00497C5C" w:rsidRPr="006C0399" w:rsidRDefault="00497C5C" w:rsidP="008E1AD5">
      <w:pPr>
        <w:rPr>
          <w:sz w:val="26"/>
          <w:szCs w:val="23"/>
        </w:rPr>
      </w:pPr>
    </w:p>
    <w:p w14:paraId="58BAD0D4" w14:textId="7FB85F3C" w:rsidR="0082036B" w:rsidRPr="006C0399" w:rsidRDefault="0082036B" w:rsidP="008E1AD5">
      <w:pPr>
        <w:rPr>
          <w:sz w:val="26"/>
          <w:szCs w:val="23"/>
        </w:rPr>
      </w:pPr>
      <w:r w:rsidRPr="006C0399">
        <w:rPr>
          <w:sz w:val="26"/>
          <w:szCs w:val="23"/>
        </w:rPr>
        <w:t>Finally, Mr. Slifko made reference to two “near misses</w:t>
      </w:r>
      <w:r>
        <w:rPr>
          <w:sz w:val="26"/>
          <w:szCs w:val="23"/>
        </w:rPr>
        <w:t>,</w:t>
      </w:r>
      <w:r w:rsidRPr="006C0399">
        <w:rPr>
          <w:sz w:val="26"/>
          <w:szCs w:val="23"/>
        </w:rPr>
        <w:t>” one at 306 N. 5</w:t>
      </w:r>
      <w:r>
        <w:rPr>
          <w:sz w:val="26"/>
          <w:szCs w:val="23"/>
        </w:rPr>
        <w:t>th</w:t>
      </w:r>
      <w:r w:rsidRPr="006C0399">
        <w:rPr>
          <w:sz w:val="26"/>
          <w:szCs w:val="23"/>
        </w:rPr>
        <w:t xml:space="preserve"> Street and 834 Schuylkill Avenue.  City St. 2 at 26.  Both incidents referenced by Mr. Slifko were the result of high-speed accidents where the vehicles involved “jumped the curb.”</w:t>
      </w:r>
      <w:r w:rsidRPr="001A678E">
        <w:rPr>
          <w:sz w:val="26"/>
          <w:szCs w:val="23"/>
          <w:vertAlign w:val="superscript"/>
        </w:rPr>
        <w:footnoteReference w:id="10"/>
      </w:r>
      <w:r w:rsidRPr="001A678E">
        <w:rPr>
          <w:sz w:val="26"/>
          <w:szCs w:val="23"/>
        </w:rPr>
        <w:t xml:space="preserve"> </w:t>
      </w:r>
      <w:r w:rsidRPr="006C0399">
        <w:rPr>
          <w:sz w:val="26"/>
          <w:szCs w:val="23"/>
        </w:rPr>
        <w:t xml:space="preserve"> Mr. Brown responded that UGI has no records of these alleged near misses.  UGI St. 1 at 50.</w:t>
      </w:r>
      <w:r w:rsidR="00441FDD">
        <w:rPr>
          <w:sz w:val="26"/>
          <w:szCs w:val="23"/>
        </w:rPr>
        <w:t xml:space="preserve">  In evaluating all of the evidence, we conclude that the City </w:t>
      </w:r>
      <w:r w:rsidR="00E03877">
        <w:rPr>
          <w:sz w:val="26"/>
          <w:szCs w:val="23"/>
        </w:rPr>
        <w:t xml:space="preserve">failed to </w:t>
      </w:r>
      <w:r w:rsidR="00441FDD">
        <w:rPr>
          <w:sz w:val="26"/>
          <w:szCs w:val="23"/>
        </w:rPr>
        <w:t>satisf</w:t>
      </w:r>
      <w:r w:rsidR="00E03877">
        <w:rPr>
          <w:sz w:val="26"/>
          <w:szCs w:val="23"/>
        </w:rPr>
        <w:t>y</w:t>
      </w:r>
      <w:r w:rsidR="00441FDD">
        <w:rPr>
          <w:sz w:val="26"/>
          <w:szCs w:val="23"/>
        </w:rPr>
        <w:t xml:space="preserve"> its burden of proof on this issue.</w:t>
      </w:r>
    </w:p>
    <w:p w14:paraId="11EA2950" w14:textId="77777777" w:rsidR="005625C4" w:rsidRDefault="00C031E3" w:rsidP="008E1AD5">
      <w:pPr>
        <w:rPr>
          <w:sz w:val="26"/>
        </w:rPr>
      </w:pPr>
      <w:r>
        <w:rPr>
          <w:sz w:val="26"/>
        </w:rPr>
        <w:t xml:space="preserve"> </w:t>
      </w:r>
    </w:p>
    <w:p w14:paraId="5F3FA2CD" w14:textId="5F2A8857" w:rsidR="00BE3D68" w:rsidRPr="006C0399" w:rsidRDefault="00B7026C" w:rsidP="008E1AD5">
      <w:pPr>
        <w:rPr>
          <w:sz w:val="26"/>
          <w:szCs w:val="26"/>
        </w:rPr>
      </w:pPr>
      <w:r>
        <w:rPr>
          <w:sz w:val="26"/>
        </w:rPr>
        <w:t>Additionally, r</w:t>
      </w:r>
      <w:r w:rsidR="006C0399" w:rsidRPr="006C0399">
        <w:rPr>
          <w:sz w:val="26"/>
        </w:rPr>
        <w:t xml:space="preserve">ecognizing that Mr. Slifko’s lay opinions were based on his  personal experience as a resident of the City, pictorial evidence of the existence of outside meters within the </w:t>
      </w:r>
      <w:r w:rsidR="00AD5DC9">
        <w:rPr>
          <w:sz w:val="26"/>
        </w:rPr>
        <w:t>C</w:t>
      </w:r>
      <w:r w:rsidR="006C0399" w:rsidRPr="006C0399">
        <w:rPr>
          <w:sz w:val="26"/>
        </w:rPr>
        <w:t xml:space="preserve">ity, and reports of reckless driving, resulting in these meters occasionally being involved in accidents, we agree with the ALJ’s decision not </w:t>
      </w:r>
      <w:r w:rsidR="00AD5DC9">
        <w:rPr>
          <w:sz w:val="26"/>
        </w:rPr>
        <w:t xml:space="preserve">to </w:t>
      </w:r>
      <w:r w:rsidR="006C0399" w:rsidRPr="006C0399">
        <w:rPr>
          <w:sz w:val="26"/>
        </w:rPr>
        <w:t>qualify Mr. Slifko as an expert in safety management, capable of proffering expert testimony in support of the City’s claim or any industry standard regarding the safe distance of a meter from the street.</w:t>
      </w:r>
      <w:r w:rsidR="004A69A5">
        <w:rPr>
          <w:sz w:val="26"/>
        </w:rPr>
        <w:t xml:space="preserve">  </w:t>
      </w:r>
      <w:r w:rsidR="006D2FC0">
        <w:rPr>
          <w:i/>
          <w:iCs/>
          <w:sz w:val="26"/>
        </w:rPr>
        <w:t xml:space="preserve">See Frompovich </w:t>
      </w:r>
      <w:r w:rsidR="006D2FC0">
        <w:rPr>
          <w:sz w:val="26"/>
        </w:rPr>
        <w:t xml:space="preserve">at 33.  </w:t>
      </w:r>
      <w:r w:rsidR="006C0399" w:rsidRPr="006C0399">
        <w:rPr>
          <w:sz w:val="26"/>
        </w:rPr>
        <w:t>Pursuant to P</w:t>
      </w:r>
      <w:r w:rsidR="006D2FC0">
        <w:rPr>
          <w:sz w:val="26"/>
        </w:rPr>
        <w:t>a.</w:t>
      </w:r>
      <w:r w:rsidR="006C0399" w:rsidRPr="006C0399">
        <w:rPr>
          <w:sz w:val="26"/>
        </w:rPr>
        <w:t xml:space="preserve"> R</w:t>
      </w:r>
      <w:r w:rsidR="006D2FC0">
        <w:rPr>
          <w:sz w:val="26"/>
        </w:rPr>
        <w:t>.</w:t>
      </w:r>
      <w:r w:rsidR="006C0399" w:rsidRPr="006C0399">
        <w:rPr>
          <w:sz w:val="26"/>
        </w:rPr>
        <w:t>E</w:t>
      </w:r>
      <w:r w:rsidR="006D2FC0">
        <w:rPr>
          <w:sz w:val="26"/>
        </w:rPr>
        <w:t>.</w:t>
      </w:r>
      <w:r w:rsidR="006C0399" w:rsidRPr="006C0399">
        <w:rPr>
          <w:sz w:val="26"/>
        </w:rPr>
        <w:t xml:space="preserve"> 701, as a lay witness, Mr. Slifko’s testimony is limited to </w:t>
      </w:r>
      <w:r w:rsidR="006D2FC0">
        <w:rPr>
          <w:sz w:val="26"/>
        </w:rPr>
        <w:t xml:space="preserve">opinion </w:t>
      </w:r>
      <w:r w:rsidR="006C0399" w:rsidRPr="006C0399">
        <w:rPr>
          <w:sz w:val="26"/>
        </w:rPr>
        <w:t xml:space="preserve">not based on scientific, technical, or other </w:t>
      </w:r>
      <w:r w:rsidR="006C0399" w:rsidRPr="006C0399">
        <w:rPr>
          <w:sz w:val="26"/>
        </w:rPr>
        <w:lastRenderedPageBreak/>
        <w:t>specialized knowledge within the scope of Rule 702.</w:t>
      </w:r>
      <w:r w:rsidR="006C0399" w:rsidRPr="006D2FC0">
        <w:rPr>
          <w:sz w:val="26"/>
          <w:vertAlign w:val="superscript"/>
        </w:rPr>
        <w:footnoteReference w:id="11"/>
      </w:r>
      <w:r w:rsidR="006C0399" w:rsidRPr="006D2FC0">
        <w:rPr>
          <w:sz w:val="26"/>
        </w:rPr>
        <w:t xml:space="preserve"> </w:t>
      </w:r>
      <w:r w:rsidR="006C0399" w:rsidRPr="006C0399">
        <w:rPr>
          <w:sz w:val="26"/>
        </w:rPr>
        <w:t xml:space="preserve"> </w:t>
      </w:r>
      <w:r w:rsidR="00BE3D68">
        <w:rPr>
          <w:sz w:val="26"/>
        </w:rPr>
        <w:t>We</w:t>
      </w:r>
      <w:r w:rsidR="00BE3D68" w:rsidRPr="006C0399">
        <w:rPr>
          <w:sz w:val="26"/>
          <w:szCs w:val="26"/>
        </w:rPr>
        <w:t xml:space="preserve"> </w:t>
      </w:r>
      <w:r w:rsidR="00BE3D68">
        <w:rPr>
          <w:sz w:val="26"/>
          <w:szCs w:val="26"/>
        </w:rPr>
        <w:t xml:space="preserve">also </w:t>
      </w:r>
      <w:r w:rsidR="00BE3D68" w:rsidRPr="006C0399">
        <w:rPr>
          <w:sz w:val="26"/>
          <w:szCs w:val="26"/>
        </w:rPr>
        <w:t>concur with the ALJ’s statement that “the Complainants offered no expert evidence that, from a safety management perspective, cars driving recklessly up onto a sidewalk should be ‘anticipated.’  The mere fact that these types of accidents may occur from time-to-time does not mean that UGI’s placement of these meters is inherently dangerous.”  I.D. at 35.</w:t>
      </w:r>
    </w:p>
    <w:p w14:paraId="275569EA" w14:textId="77777777" w:rsidR="00BE3D68" w:rsidRDefault="00BE3D68" w:rsidP="008E1AD5">
      <w:pPr>
        <w:rPr>
          <w:sz w:val="26"/>
        </w:rPr>
      </w:pPr>
    </w:p>
    <w:p w14:paraId="12CD0EE0" w14:textId="77777777" w:rsidR="00497C5C" w:rsidRDefault="00355F3C" w:rsidP="008E1AD5">
      <w:pPr>
        <w:pStyle w:val="FootnoteText"/>
        <w:keepNext/>
        <w:keepLines/>
        <w:ind w:firstLine="720"/>
        <w:rPr>
          <w:sz w:val="26"/>
        </w:rPr>
      </w:pPr>
      <w:r>
        <w:rPr>
          <w:sz w:val="26"/>
        </w:rPr>
        <w:tab/>
      </w:r>
      <w:r w:rsidR="006D2FC0">
        <w:rPr>
          <w:sz w:val="26"/>
        </w:rPr>
        <w:t xml:space="preserve">In response to Mr. Slifko’s testimony, </w:t>
      </w:r>
      <w:r w:rsidR="006C0399" w:rsidRPr="006C0399">
        <w:rPr>
          <w:sz w:val="26"/>
        </w:rPr>
        <w:t xml:space="preserve">UGI’s witness, Mr. Brown, provided credible testimony </w:t>
      </w:r>
      <w:r w:rsidR="006D2FC0">
        <w:rPr>
          <w:sz w:val="26"/>
        </w:rPr>
        <w:t>regarding</w:t>
      </w:r>
      <w:r w:rsidR="006C0399" w:rsidRPr="006C0399">
        <w:rPr>
          <w:sz w:val="26"/>
        </w:rPr>
        <w:t xml:space="preserve"> the City Parties’ safety concerns</w:t>
      </w:r>
      <w:r w:rsidR="006D2FC0">
        <w:rPr>
          <w:sz w:val="26"/>
        </w:rPr>
        <w:t xml:space="preserve"> on</w:t>
      </w:r>
      <w:r w:rsidR="006C0399" w:rsidRPr="006C0399">
        <w:rPr>
          <w:sz w:val="26"/>
        </w:rPr>
        <w:t xml:space="preserve"> the placement of outside meter sets and the Company’s compliance with the relevant </w:t>
      </w:r>
      <w:r w:rsidR="004A69A5">
        <w:rPr>
          <w:sz w:val="26"/>
        </w:rPr>
        <w:t>R</w:t>
      </w:r>
      <w:r w:rsidR="006C0399" w:rsidRPr="006C0399">
        <w:rPr>
          <w:sz w:val="26"/>
        </w:rPr>
        <w:t>egulations.</w:t>
      </w:r>
      <w:r w:rsidR="00BE3D68">
        <w:rPr>
          <w:sz w:val="26"/>
        </w:rPr>
        <w:t xml:space="preserve">  </w:t>
      </w:r>
      <w:r>
        <w:rPr>
          <w:sz w:val="26"/>
        </w:rPr>
        <w:t>For example, Mr. Brown testified that a</w:t>
      </w:r>
      <w:r w:rsidRPr="007A6029">
        <w:rPr>
          <w:sz w:val="26"/>
          <w:szCs w:val="26"/>
        </w:rPr>
        <w:t xml:space="preserve">n outside </w:t>
      </w:r>
      <w:r>
        <w:rPr>
          <w:sz w:val="26"/>
          <w:szCs w:val="26"/>
        </w:rPr>
        <w:t xml:space="preserve">meter </w:t>
      </w:r>
      <w:r w:rsidRPr="007A6029">
        <w:rPr>
          <w:sz w:val="26"/>
          <w:szCs w:val="26"/>
        </w:rPr>
        <w:t xml:space="preserve">location may allow service to be shut off more quickly in an emergency situation, particularly where access cannot be obtained to a home.  </w:t>
      </w:r>
      <w:r>
        <w:rPr>
          <w:sz w:val="26"/>
          <w:szCs w:val="26"/>
        </w:rPr>
        <w:t>Mr. Brown stated that i</w:t>
      </w:r>
      <w:r w:rsidRPr="007A6029">
        <w:rPr>
          <w:sz w:val="26"/>
          <w:szCs w:val="26"/>
        </w:rPr>
        <w:t xml:space="preserve">t also permits more timely completion of the leakage surveys </w:t>
      </w:r>
      <w:r>
        <w:rPr>
          <w:sz w:val="26"/>
          <w:szCs w:val="26"/>
        </w:rPr>
        <w:t>that NGDCs are required to conduct under the Com</w:t>
      </w:r>
      <w:r w:rsidRPr="007A6029">
        <w:rPr>
          <w:sz w:val="26"/>
          <w:szCs w:val="26"/>
        </w:rPr>
        <w:t>mission</w:t>
      </w:r>
      <w:r>
        <w:rPr>
          <w:sz w:val="26"/>
          <w:szCs w:val="26"/>
        </w:rPr>
        <w:t>’s</w:t>
      </w:r>
      <w:r w:rsidRPr="007A6029">
        <w:rPr>
          <w:sz w:val="26"/>
          <w:szCs w:val="26"/>
        </w:rPr>
        <w:t xml:space="preserve"> </w:t>
      </w:r>
      <w:r>
        <w:rPr>
          <w:sz w:val="26"/>
          <w:szCs w:val="26"/>
        </w:rPr>
        <w:t>R</w:t>
      </w:r>
      <w:r w:rsidRPr="007A6029">
        <w:rPr>
          <w:sz w:val="26"/>
          <w:szCs w:val="26"/>
        </w:rPr>
        <w:t xml:space="preserve">egulations </w:t>
      </w:r>
      <w:r>
        <w:rPr>
          <w:sz w:val="26"/>
          <w:szCs w:val="26"/>
        </w:rPr>
        <w:t>at</w:t>
      </w:r>
      <w:r w:rsidRPr="007A6029">
        <w:rPr>
          <w:sz w:val="26"/>
          <w:szCs w:val="26"/>
        </w:rPr>
        <w:t xml:space="preserve"> 52 Pa. Code § 59.34.  </w:t>
      </w:r>
      <w:r w:rsidR="006B0FCA">
        <w:rPr>
          <w:sz w:val="26"/>
          <w:szCs w:val="26"/>
        </w:rPr>
        <w:t>UGI St. 1 at 31-32.</w:t>
      </w:r>
      <w:r w:rsidR="00E54566">
        <w:rPr>
          <w:sz w:val="26"/>
          <w:szCs w:val="26"/>
        </w:rPr>
        <w:t xml:space="preserve">  Based on the record, we conclude that the City did not present </w:t>
      </w:r>
      <w:r w:rsidR="00497C5C">
        <w:rPr>
          <w:sz w:val="26"/>
          <w:szCs w:val="26"/>
        </w:rPr>
        <w:t xml:space="preserve">evidence to </w:t>
      </w:r>
      <w:r w:rsidR="00E54566">
        <w:rPr>
          <w:sz w:val="26"/>
          <w:szCs w:val="26"/>
        </w:rPr>
        <w:t xml:space="preserve">satisfy its </w:t>
      </w:r>
      <w:r w:rsidR="006C0399" w:rsidRPr="006C0399">
        <w:rPr>
          <w:sz w:val="26"/>
        </w:rPr>
        <w:t>burden of pro</w:t>
      </w:r>
      <w:r w:rsidR="00E54566">
        <w:rPr>
          <w:sz w:val="26"/>
        </w:rPr>
        <w:t xml:space="preserve">ving that </w:t>
      </w:r>
      <w:r w:rsidR="006C0399" w:rsidRPr="006C0399">
        <w:rPr>
          <w:sz w:val="26"/>
        </w:rPr>
        <w:t xml:space="preserve">UGI’s placement of exterior meter sets </w:t>
      </w:r>
      <w:r w:rsidR="00E54566">
        <w:rPr>
          <w:sz w:val="26"/>
        </w:rPr>
        <w:t>violated</w:t>
      </w:r>
      <w:r w:rsidR="006C0399" w:rsidRPr="006C0399">
        <w:rPr>
          <w:sz w:val="26"/>
        </w:rPr>
        <w:t xml:space="preserve"> Section 59.18(a)(5) and (b)(1) of our Regulations </w:t>
      </w:r>
      <w:r w:rsidR="00E54566">
        <w:rPr>
          <w:sz w:val="26"/>
        </w:rPr>
        <w:t xml:space="preserve">or </w:t>
      </w:r>
      <w:r w:rsidR="006C0399" w:rsidRPr="006C0399">
        <w:rPr>
          <w:sz w:val="26"/>
        </w:rPr>
        <w:t>49 C.F.R.</w:t>
      </w:r>
      <w:r w:rsidR="00497C5C">
        <w:rPr>
          <w:sz w:val="26"/>
        </w:rPr>
        <w:t xml:space="preserve"> </w:t>
      </w:r>
    </w:p>
    <w:p w14:paraId="5FC06B2F" w14:textId="6A584749" w:rsidR="006C0399" w:rsidRDefault="006C0399" w:rsidP="008E1AD5">
      <w:pPr>
        <w:pStyle w:val="FootnoteText"/>
        <w:keepNext/>
        <w:keepLines/>
        <w:ind w:firstLine="0"/>
        <w:rPr>
          <w:sz w:val="26"/>
          <w:szCs w:val="26"/>
        </w:rPr>
      </w:pPr>
      <w:r w:rsidRPr="006C0399">
        <w:rPr>
          <w:sz w:val="26"/>
        </w:rPr>
        <w:t>§ 192.353(a).</w:t>
      </w:r>
      <w:r w:rsidR="00E63971">
        <w:rPr>
          <w:sz w:val="26"/>
        </w:rPr>
        <w:t xml:space="preserve">  For these reasons, we shall deny the </w:t>
      </w:r>
      <w:r w:rsidRPr="006C0399">
        <w:rPr>
          <w:sz w:val="26"/>
          <w:szCs w:val="26"/>
        </w:rPr>
        <w:t>City’s Exception</w:t>
      </w:r>
      <w:r w:rsidR="00E63971">
        <w:rPr>
          <w:sz w:val="26"/>
          <w:szCs w:val="26"/>
        </w:rPr>
        <w:t>s</w:t>
      </w:r>
      <w:r w:rsidRPr="006C0399">
        <w:rPr>
          <w:sz w:val="26"/>
          <w:szCs w:val="26"/>
        </w:rPr>
        <w:t xml:space="preserve"> Nos. 4, 5, 6, 7, 12, 13, 14, 16, and 18.</w:t>
      </w:r>
      <w:bookmarkEnd w:id="11"/>
      <w:bookmarkEnd w:id="12"/>
    </w:p>
    <w:p w14:paraId="1980A940" w14:textId="77777777" w:rsidR="00BA6E56" w:rsidRDefault="00BA6E56" w:rsidP="008E1AD5">
      <w:pPr>
        <w:ind w:firstLine="0"/>
        <w:textAlignment w:val="baseline"/>
        <w:rPr>
          <w:b/>
          <w:bCs/>
          <w:sz w:val="26"/>
        </w:rPr>
      </w:pPr>
    </w:p>
    <w:p w14:paraId="0E267710" w14:textId="4C1C1344" w:rsidR="00B46596" w:rsidRPr="00311EFB" w:rsidRDefault="00B34FCC" w:rsidP="005442C3">
      <w:pPr>
        <w:keepNext/>
        <w:keepLines/>
        <w:ind w:firstLine="0"/>
        <w:textAlignment w:val="baseline"/>
        <w:rPr>
          <w:b/>
          <w:bCs/>
          <w:sz w:val="26"/>
          <w:szCs w:val="26"/>
        </w:rPr>
      </w:pPr>
      <w:r>
        <w:rPr>
          <w:b/>
          <w:bCs/>
          <w:sz w:val="26"/>
        </w:rPr>
        <w:lastRenderedPageBreak/>
        <w:t>E</w:t>
      </w:r>
      <w:r w:rsidR="00C06EC8" w:rsidRPr="00C06EC8">
        <w:rPr>
          <w:b/>
          <w:bCs/>
          <w:sz w:val="26"/>
        </w:rPr>
        <w:t>.</w:t>
      </w:r>
      <w:r w:rsidR="00C06EC8" w:rsidRPr="00C06EC8">
        <w:rPr>
          <w:b/>
          <w:bCs/>
          <w:sz w:val="26"/>
        </w:rPr>
        <w:tab/>
        <w:t>Civil Penalty/Other Relief</w:t>
      </w:r>
    </w:p>
    <w:p w14:paraId="74B26C30" w14:textId="77777777" w:rsidR="00C13D61" w:rsidRDefault="00B46596" w:rsidP="005442C3">
      <w:pPr>
        <w:keepNext/>
        <w:keepLines/>
        <w:ind w:firstLine="0"/>
        <w:rPr>
          <w:b/>
          <w:bCs/>
          <w:sz w:val="26"/>
          <w:szCs w:val="26"/>
        </w:rPr>
      </w:pPr>
      <w:r w:rsidRPr="00311EFB">
        <w:rPr>
          <w:b/>
          <w:bCs/>
          <w:sz w:val="26"/>
          <w:szCs w:val="26"/>
        </w:rPr>
        <w:tab/>
      </w:r>
    </w:p>
    <w:p w14:paraId="7BED634C" w14:textId="44A531C3" w:rsidR="0015045F" w:rsidRDefault="0015045F" w:rsidP="005442C3">
      <w:pPr>
        <w:keepNext/>
        <w:keepLines/>
        <w:ind w:firstLine="0"/>
        <w:rPr>
          <w:b/>
          <w:bCs/>
          <w:sz w:val="26"/>
          <w:szCs w:val="26"/>
        </w:rPr>
      </w:pPr>
      <w:r>
        <w:rPr>
          <w:b/>
          <w:bCs/>
          <w:sz w:val="26"/>
          <w:szCs w:val="26"/>
        </w:rPr>
        <w:tab/>
      </w:r>
      <w:r w:rsidR="003965AD">
        <w:rPr>
          <w:b/>
          <w:bCs/>
          <w:sz w:val="26"/>
          <w:szCs w:val="26"/>
        </w:rPr>
        <w:t>1.</w:t>
      </w:r>
      <w:r w:rsidR="003965AD">
        <w:rPr>
          <w:b/>
          <w:bCs/>
          <w:sz w:val="26"/>
          <w:szCs w:val="26"/>
        </w:rPr>
        <w:tab/>
      </w:r>
      <w:r w:rsidR="007E0E3A">
        <w:rPr>
          <w:b/>
          <w:bCs/>
          <w:sz w:val="26"/>
          <w:szCs w:val="26"/>
        </w:rPr>
        <w:t>Positions of the Parties</w:t>
      </w:r>
    </w:p>
    <w:p w14:paraId="5D07502C" w14:textId="6387E68E" w:rsidR="0015045F" w:rsidRDefault="0015045F" w:rsidP="005442C3">
      <w:pPr>
        <w:keepNext/>
        <w:keepLines/>
        <w:ind w:firstLine="0"/>
        <w:rPr>
          <w:b/>
          <w:bCs/>
          <w:sz w:val="26"/>
          <w:szCs w:val="26"/>
        </w:rPr>
      </w:pPr>
    </w:p>
    <w:p w14:paraId="7C9B81AC" w14:textId="1072CC93" w:rsidR="00F10E36" w:rsidRDefault="005F189E" w:rsidP="005442C3">
      <w:pPr>
        <w:keepNext/>
        <w:keepLines/>
        <w:ind w:firstLine="0"/>
        <w:rPr>
          <w:sz w:val="26"/>
          <w:szCs w:val="26"/>
        </w:rPr>
      </w:pPr>
      <w:r>
        <w:rPr>
          <w:b/>
          <w:bCs/>
          <w:sz w:val="26"/>
          <w:szCs w:val="26"/>
        </w:rPr>
        <w:tab/>
      </w:r>
      <w:r w:rsidR="006404FA">
        <w:rPr>
          <w:b/>
          <w:bCs/>
          <w:sz w:val="26"/>
          <w:szCs w:val="26"/>
        </w:rPr>
        <w:tab/>
      </w:r>
      <w:r w:rsidR="006404FA">
        <w:rPr>
          <w:sz w:val="26"/>
          <w:szCs w:val="26"/>
        </w:rPr>
        <w:t>As relief in its Formal Complaint, the City asks the Commission to establish specific standards, consistent with Section 59.18(d)(1), for UGI to follow in considering the relocation of gas meters that have already been located on the outside of buildings in historic districts.  The City recommends that the Commission require UGI to relocate all meters in historic districts that have been placed outside to inside locations, except where UGI establishes a greater safety risk than in similarly situated historic properties.  The City also requests that UGI give meaningful consideration to inside meter locations in buildings within historic districts and that UGI retroactively perform an adequacy review of all outside meter placements made from September 2014 to the present</w:t>
      </w:r>
      <w:r w:rsidR="0020465D">
        <w:rPr>
          <w:sz w:val="26"/>
          <w:szCs w:val="26"/>
        </w:rPr>
        <w:t xml:space="preserve"> and explain why an inside placement creates a greater safety risk</w:t>
      </w:r>
      <w:r w:rsidR="006404FA">
        <w:rPr>
          <w:sz w:val="26"/>
          <w:szCs w:val="26"/>
        </w:rPr>
        <w:t>.  City Complaint at ¶ 53.</w:t>
      </w:r>
      <w:r w:rsidR="008E2D53">
        <w:rPr>
          <w:sz w:val="26"/>
          <w:szCs w:val="26"/>
        </w:rPr>
        <w:t xml:space="preserve">  </w:t>
      </w:r>
      <w:r w:rsidR="0020465D" w:rsidRPr="0020465D">
        <w:rPr>
          <w:i/>
          <w:iCs/>
          <w:sz w:val="26"/>
          <w:szCs w:val="26"/>
        </w:rPr>
        <w:t>See also</w:t>
      </w:r>
      <w:r w:rsidR="0020465D">
        <w:rPr>
          <w:sz w:val="26"/>
          <w:szCs w:val="26"/>
        </w:rPr>
        <w:t xml:space="preserve"> City M.B. at 34-35; City St. 2 at 21-23.  </w:t>
      </w:r>
      <w:r w:rsidR="008E2D53">
        <w:rPr>
          <w:sz w:val="26"/>
          <w:szCs w:val="26"/>
        </w:rPr>
        <w:t>The City further requested that where a building façade is within fifteen feet or less from a City street and no parking lane separates the lane of travel from the sidewalk, UGI shall install gas meters on the inside of buildings and their associated gas regulators in a protected location on the exterior of the building or, alternatively, that UGI install both the meter and regulator outside in a buried vault.  City Complaint at ¶ 65.</w:t>
      </w:r>
      <w:r w:rsidR="0020465D">
        <w:rPr>
          <w:sz w:val="26"/>
          <w:szCs w:val="26"/>
        </w:rPr>
        <w:t xml:space="preserve">  </w:t>
      </w:r>
      <w:r w:rsidR="0020465D" w:rsidRPr="0020465D">
        <w:rPr>
          <w:i/>
          <w:iCs/>
          <w:sz w:val="26"/>
          <w:szCs w:val="26"/>
        </w:rPr>
        <w:t>See also</w:t>
      </w:r>
      <w:r w:rsidR="0020465D">
        <w:rPr>
          <w:sz w:val="26"/>
          <w:szCs w:val="26"/>
        </w:rPr>
        <w:t xml:space="preserve"> City M.B. at 38; City St. 2 at 31.</w:t>
      </w:r>
    </w:p>
    <w:p w14:paraId="74CA8D94" w14:textId="77777777" w:rsidR="00F10E36" w:rsidRDefault="00F10E36" w:rsidP="008E1AD5">
      <w:pPr>
        <w:ind w:firstLine="0"/>
        <w:rPr>
          <w:sz w:val="26"/>
          <w:szCs w:val="26"/>
        </w:rPr>
      </w:pPr>
    </w:p>
    <w:p w14:paraId="19A66EC3" w14:textId="1F1EE8DD" w:rsidR="00AD4901" w:rsidRDefault="00F10E36" w:rsidP="008E1AD5">
      <w:pPr>
        <w:ind w:firstLine="0"/>
        <w:rPr>
          <w:sz w:val="26"/>
          <w:szCs w:val="26"/>
        </w:rPr>
      </w:pPr>
      <w:r>
        <w:rPr>
          <w:sz w:val="26"/>
          <w:szCs w:val="26"/>
        </w:rPr>
        <w:tab/>
      </w:r>
      <w:r w:rsidR="006404FA">
        <w:rPr>
          <w:b/>
          <w:bCs/>
          <w:sz w:val="26"/>
          <w:szCs w:val="26"/>
        </w:rPr>
        <w:tab/>
      </w:r>
      <w:r w:rsidR="005A088F">
        <w:rPr>
          <w:sz w:val="26"/>
          <w:szCs w:val="26"/>
        </w:rPr>
        <w:t xml:space="preserve">As relief in its Formal Complaint, CPHD requested that UGI give proper consideration to inside meter placement in historic districts and that UGI be prohibited from installing any outside meter within </w:t>
      </w:r>
      <w:r w:rsidR="005462A0">
        <w:rPr>
          <w:sz w:val="26"/>
          <w:szCs w:val="26"/>
        </w:rPr>
        <w:t>ten</w:t>
      </w:r>
      <w:r w:rsidR="005A088F">
        <w:rPr>
          <w:sz w:val="26"/>
          <w:szCs w:val="26"/>
        </w:rPr>
        <w:t xml:space="preserve"> feet of a City street unless the meter is placed within a buried vault.  CPHD Complaint at ¶ 5.</w:t>
      </w:r>
    </w:p>
    <w:p w14:paraId="20F3FC65" w14:textId="77777777" w:rsidR="00E07651" w:rsidRDefault="00E07651" w:rsidP="008E1AD5">
      <w:pPr>
        <w:ind w:firstLine="0"/>
        <w:rPr>
          <w:sz w:val="26"/>
          <w:szCs w:val="26"/>
        </w:rPr>
      </w:pPr>
    </w:p>
    <w:p w14:paraId="4B266218" w14:textId="48A566BC" w:rsidR="005F189E" w:rsidRDefault="00AD4901" w:rsidP="008E1AD5">
      <w:pPr>
        <w:ind w:firstLine="0"/>
        <w:rPr>
          <w:b/>
          <w:bCs/>
          <w:sz w:val="26"/>
          <w:szCs w:val="26"/>
        </w:rPr>
      </w:pPr>
      <w:r>
        <w:rPr>
          <w:sz w:val="26"/>
          <w:szCs w:val="26"/>
        </w:rPr>
        <w:tab/>
      </w:r>
      <w:r>
        <w:rPr>
          <w:sz w:val="26"/>
          <w:szCs w:val="26"/>
        </w:rPr>
        <w:tab/>
        <w:t xml:space="preserve">As set forth in more detail below, UGI objected to the City Parties’ requested relief on the grounds that the City Parties improperly raise new requests for </w:t>
      </w:r>
      <w:r>
        <w:rPr>
          <w:sz w:val="26"/>
          <w:szCs w:val="26"/>
        </w:rPr>
        <w:lastRenderedPageBreak/>
        <w:t xml:space="preserve">relief for the first time in their Main Briefs; request to impose new regulatory standards in a complaint proceeding; and request to impose new regulatory standards retroactively.  City R.B. at 46-54.  UGI also cited to additional actions the Company has taken in response to the City Parties’ concerns about outside meter placements.  </w:t>
      </w:r>
      <w:r w:rsidRPr="00AD4901">
        <w:rPr>
          <w:i/>
          <w:iCs/>
          <w:sz w:val="26"/>
          <w:szCs w:val="26"/>
        </w:rPr>
        <w:t>Id</w:t>
      </w:r>
      <w:r>
        <w:rPr>
          <w:sz w:val="26"/>
          <w:szCs w:val="26"/>
        </w:rPr>
        <w:t xml:space="preserve">. at </w:t>
      </w:r>
      <w:r w:rsidR="004C13B8">
        <w:rPr>
          <w:sz w:val="26"/>
          <w:szCs w:val="26"/>
        </w:rPr>
        <w:t>54-56.</w:t>
      </w:r>
    </w:p>
    <w:p w14:paraId="1A8DFD6D" w14:textId="77777777" w:rsidR="005A088F" w:rsidRDefault="005A088F" w:rsidP="008E1AD5">
      <w:pPr>
        <w:ind w:firstLine="0"/>
        <w:rPr>
          <w:b/>
          <w:bCs/>
          <w:sz w:val="26"/>
          <w:szCs w:val="26"/>
        </w:rPr>
      </w:pPr>
    </w:p>
    <w:p w14:paraId="543FF5BE" w14:textId="0C630BD3" w:rsidR="00C13D61" w:rsidRDefault="0015045F" w:rsidP="008E1AD5">
      <w:pPr>
        <w:ind w:firstLine="0"/>
        <w:rPr>
          <w:b/>
          <w:bCs/>
          <w:sz w:val="26"/>
          <w:szCs w:val="26"/>
        </w:rPr>
      </w:pPr>
      <w:r>
        <w:rPr>
          <w:b/>
          <w:bCs/>
          <w:sz w:val="26"/>
          <w:szCs w:val="26"/>
        </w:rPr>
        <w:tab/>
      </w:r>
      <w:r w:rsidR="00F71C0A">
        <w:rPr>
          <w:b/>
          <w:bCs/>
          <w:sz w:val="26"/>
          <w:szCs w:val="26"/>
        </w:rPr>
        <w:t>2.</w:t>
      </w:r>
      <w:r w:rsidR="00F71C0A">
        <w:rPr>
          <w:b/>
          <w:bCs/>
          <w:sz w:val="26"/>
          <w:szCs w:val="26"/>
        </w:rPr>
        <w:tab/>
      </w:r>
      <w:r w:rsidR="006659FA">
        <w:rPr>
          <w:b/>
          <w:bCs/>
          <w:sz w:val="26"/>
          <w:szCs w:val="26"/>
        </w:rPr>
        <w:t>The Initial Decision</w:t>
      </w:r>
    </w:p>
    <w:p w14:paraId="34C36E3D" w14:textId="77777777" w:rsidR="003D7F56" w:rsidRDefault="003D7F56" w:rsidP="008E1AD5">
      <w:pPr>
        <w:tabs>
          <w:tab w:val="left" w:pos="720"/>
        </w:tabs>
        <w:ind w:right="144"/>
        <w:textAlignment w:val="baseline"/>
        <w:rPr>
          <w:sz w:val="26"/>
          <w:szCs w:val="26"/>
        </w:rPr>
      </w:pPr>
    </w:p>
    <w:p w14:paraId="4868E96F" w14:textId="77777777" w:rsidR="0010283F" w:rsidRDefault="005C7487" w:rsidP="008E1AD5">
      <w:pPr>
        <w:tabs>
          <w:tab w:val="left" w:pos="720"/>
        </w:tabs>
        <w:ind w:right="144"/>
        <w:textAlignment w:val="baseline"/>
        <w:rPr>
          <w:sz w:val="26"/>
          <w:szCs w:val="26"/>
        </w:rPr>
      </w:pPr>
      <w:r w:rsidRPr="00AF5040">
        <w:rPr>
          <w:sz w:val="26"/>
          <w:szCs w:val="26"/>
        </w:rPr>
        <w:t xml:space="preserve">While the ALJ found that UGI’s initial implementation of the amended Section 59.18 violated the requirement that utilities consider inside placement of meters in historic districts, the ALJ determined that it was not appropriate to assess a civil </w:t>
      </w:r>
    </w:p>
    <w:p w14:paraId="7BD027E7" w14:textId="4EC942BE" w:rsidR="00AF5040" w:rsidRDefault="005C7487" w:rsidP="008E1AD5">
      <w:pPr>
        <w:tabs>
          <w:tab w:val="left" w:pos="720"/>
        </w:tabs>
        <w:ind w:right="144" w:firstLine="0"/>
        <w:textAlignment w:val="baseline"/>
        <w:rPr>
          <w:color w:val="000000"/>
          <w:sz w:val="26"/>
        </w:rPr>
      </w:pPr>
      <w:r w:rsidRPr="00AF5040">
        <w:rPr>
          <w:sz w:val="26"/>
          <w:szCs w:val="26"/>
        </w:rPr>
        <w:t>penalty in this case.</w:t>
      </w:r>
      <w:r w:rsidR="00F46ECD">
        <w:rPr>
          <w:rStyle w:val="FootnoteReference"/>
          <w:sz w:val="26"/>
          <w:szCs w:val="26"/>
        </w:rPr>
        <w:footnoteReference w:id="12"/>
      </w:r>
      <w:r w:rsidRPr="00AF5040">
        <w:rPr>
          <w:sz w:val="26"/>
          <w:szCs w:val="26"/>
        </w:rPr>
        <w:t xml:space="preserve">  In reaching this decision, the ALJ evaluated the facts in this case under the Commission’s Policy Statement at 52 Pa. Code § 69.1201, which sets forth ten factors the Commission may consider in evaluating whether, and to what extent, a civil penalty for violating a Commission order, regulation or statute is appropriate.  </w:t>
      </w:r>
      <w:r w:rsidR="00AF5040" w:rsidRPr="00AF5040">
        <w:rPr>
          <w:sz w:val="26"/>
          <w:szCs w:val="26"/>
        </w:rPr>
        <w:t xml:space="preserve">I.D. at 30.  The ALJ noted that </w:t>
      </w:r>
      <w:r w:rsidR="00AF5040" w:rsidRPr="00AF5040">
        <w:rPr>
          <w:sz w:val="26"/>
        </w:rPr>
        <w:t xml:space="preserve">the imposition of a civil penalty is discretionary, and the Commission is not required to assess a civil penalty.  </w:t>
      </w:r>
      <w:r w:rsidR="00AF5040" w:rsidRPr="00AF5040">
        <w:rPr>
          <w:i/>
          <w:iCs/>
          <w:sz w:val="26"/>
        </w:rPr>
        <w:t>Id</w:t>
      </w:r>
      <w:r w:rsidR="00AF5040" w:rsidRPr="00AF5040">
        <w:rPr>
          <w:sz w:val="26"/>
        </w:rPr>
        <w:t xml:space="preserve">. (citing </w:t>
      </w:r>
      <w:r w:rsidR="00AF5040" w:rsidRPr="00AF5040">
        <w:rPr>
          <w:i/>
          <w:color w:val="000000"/>
          <w:sz w:val="26"/>
        </w:rPr>
        <w:t>McCloskey v. Hidden Valley Utility Services, L.P.</w:t>
      </w:r>
      <w:r w:rsidR="00AF5040" w:rsidRPr="005442C3">
        <w:rPr>
          <w:iCs/>
          <w:color w:val="000000"/>
          <w:sz w:val="26"/>
        </w:rPr>
        <w:t>¸</w:t>
      </w:r>
      <w:r w:rsidR="00AF5040" w:rsidRPr="00AF5040">
        <w:rPr>
          <w:color w:val="000000"/>
          <w:sz w:val="26"/>
        </w:rPr>
        <w:t xml:space="preserve"> Docket No. C-2014-2447138 (Order entered May 3, 2018)</w:t>
      </w:r>
      <w:r w:rsidR="00AF5040">
        <w:rPr>
          <w:color w:val="000000"/>
          <w:sz w:val="26"/>
        </w:rPr>
        <w:t>)</w:t>
      </w:r>
      <w:r w:rsidR="00AF5040" w:rsidRPr="00AF5040">
        <w:rPr>
          <w:color w:val="000000"/>
          <w:sz w:val="26"/>
        </w:rPr>
        <w:t>.</w:t>
      </w:r>
    </w:p>
    <w:p w14:paraId="7B97CE49" w14:textId="77777777" w:rsidR="00AF5040" w:rsidRDefault="00AF5040" w:rsidP="008E1AD5">
      <w:pPr>
        <w:ind w:right="72" w:firstLine="1512"/>
        <w:textAlignment w:val="baseline"/>
        <w:rPr>
          <w:sz w:val="26"/>
        </w:rPr>
      </w:pPr>
    </w:p>
    <w:p w14:paraId="09D1D304" w14:textId="77777777" w:rsidR="00827D62" w:rsidRDefault="00DF394B" w:rsidP="008E1AD5">
      <w:pPr>
        <w:ind w:right="72" w:firstLine="1512"/>
        <w:textAlignment w:val="baseline"/>
        <w:rPr>
          <w:sz w:val="26"/>
        </w:rPr>
      </w:pPr>
      <w:r>
        <w:rPr>
          <w:sz w:val="26"/>
        </w:rPr>
        <w:t xml:space="preserve">The ALJ stated that </w:t>
      </w:r>
      <w:r w:rsidR="000A7041">
        <w:rPr>
          <w:sz w:val="26"/>
        </w:rPr>
        <w:t>w</w:t>
      </w:r>
      <w:r w:rsidR="00AF5040" w:rsidRPr="00AF5040">
        <w:rPr>
          <w:sz w:val="26"/>
        </w:rPr>
        <w:t xml:space="preserve">hile there is a retributive </w:t>
      </w:r>
      <w:r w:rsidR="000A7041">
        <w:rPr>
          <w:sz w:val="26"/>
        </w:rPr>
        <w:t>aspect to</w:t>
      </w:r>
      <w:r w:rsidR="00AF5040" w:rsidRPr="00AF5040">
        <w:rPr>
          <w:sz w:val="26"/>
        </w:rPr>
        <w:t xml:space="preserve"> assessing a penalty, the Commission often imposes penalties to deter future violation</w:t>
      </w:r>
      <w:r w:rsidR="000A7041">
        <w:rPr>
          <w:sz w:val="26"/>
        </w:rPr>
        <w:t>s</w:t>
      </w:r>
      <w:r w:rsidR="00AF5040" w:rsidRPr="00AF5040">
        <w:rPr>
          <w:sz w:val="26"/>
        </w:rPr>
        <w:t xml:space="preserve"> of the Commission’s </w:t>
      </w:r>
      <w:r w:rsidR="000A7041">
        <w:rPr>
          <w:sz w:val="26"/>
        </w:rPr>
        <w:t>R</w:t>
      </w:r>
      <w:r w:rsidR="00AF5040" w:rsidRPr="00AF5040">
        <w:rPr>
          <w:sz w:val="26"/>
        </w:rPr>
        <w:t xml:space="preserve">egulations, rather than simply </w:t>
      </w:r>
      <w:r w:rsidR="000A7041">
        <w:rPr>
          <w:sz w:val="26"/>
        </w:rPr>
        <w:t xml:space="preserve">to </w:t>
      </w:r>
      <w:r w:rsidR="00AF5040" w:rsidRPr="00AF5040">
        <w:rPr>
          <w:sz w:val="26"/>
        </w:rPr>
        <w:t>punish.</w:t>
      </w:r>
      <w:r w:rsidR="00827D62">
        <w:rPr>
          <w:sz w:val="26"/>
        </w:rPr>
        <w:t xml:space="preserve">  I.D. at 32 (citing </w:t>
      </w:r>
      <w:bookmarkStart w:id="17" w:name="_Hlk19189180"/>
      <w:r w:rsidR="00827D62">
        <w:rPr>
          <w:sz w:val="26"/>
        </w:rPr>
        <w:t xml:space="preserve">52 Pa. Code </w:t>
      </w:r>
    </w:p>
    <w:p w14:paraId="5198E3BE" w14:textId="77777777" w:rsidR="000202B7" w:rsidRDefault="00827D62" w:rsidP="008E1AD5">
      <w:pPr>
        <w:ind w:right="72" w:firstLine="0"/>
        <w:textAlignment w:val="baseline"/>
        <w:rPr>
          <w:sz w:val="26"/>
        </w:rPr>
      </w:pPr>
      <w:r>
        <w:rPr>
          <w:sz w:val="26"/>
        </w:rPr>
        <w:t>§ 69.1201(c)(8)</w:t>
      </w:r>
      <w:bookmarkEnd w:id="17"/>
      <w:r>
        <w:rPr>
          <w:sz w:val="26"/>
        </w:rPr>
        <w:t>).</w:t>
      </w:r>
      <w:r w:rsidR="00AF5040" w:rsidRPr="00AF5040">
        <w:rPr>
          <w:sz w:val="26"/>
        </w:rPr>
        <w:t xml:space="preserve"> </w:t>
      </w:r>
      <w:r>
        <w:rPr>
          <w:sz w:val="26"/>
        </w:rPr>
        <w:t xml:space="preserve"> </w:t>
      </w:r>
      <w:r w:rsidR="000202B7">
        <w:rPr>
          <w:sz w:val="26"/>
        </w:rPr>
        <w:t xml:space="preserve">The ALJ concluded that </w:t>
      </w:r>
      <w:r w:rsidR="00AF5040" w:rsidRPr="00AF5040">
        <w:rPr>
          <w:sz w:val="26"/>
        </w:rPr>
        <w:t>UGI ha</w:t>
      </w:r>
      <w:r w:rsidR="000202B7">
        <w:rPr>
          <w:sz w:val="26"/>
        </w:rPr>
        <w:t>d</w:t>
      </w:r>
      <w:r w:rsidR="00AF5040" w:rsidRPr="00AF5040">
        <w:rPr>
          <w:sz w:val="26"/>
        </w:rPr>
        <w:t xml:space="preserve"> already remed</w:t>
      </w:r>
      <w:r w:rsidR="006C5B30">
        <w:rPr>
          <w:sz w:val="26"/>
        </w:rPr>
        <w:t>ied</w:t>
      </w:r>
      <w:r w:rsidR="00AF5040" w:rsidRPr="00AF5040">
        <w:rPr>
          <w:sz w:val="26"/>
        </w:rPr>
        <w:t xml:space="preserve"> its original failure to implement the amendments to Section 59.18.</w:t>
      </w:r>
      <w:r w:rsidR="000202B7">
        <w:rPr>
          <w:sz w:val="26"/>
        </w:rPr>
        <w:t xml:space="preserve">  I.D. at 32 (citing 52 Pa. Code </w:t>
      </w:r>
    </w:p>
    <w:p w14:paraId="7165DF11" w14:textId="1A12497E" w:rsidR="00A612CD" w:rsidRDefault="000202B7" w:rsidP="008E1AD5">
      <w:pPr>
        <w:ind w:right="72" w:firstLine="0"/>
        <w:textAlignment w:val="baseline"/>
        <w:rPr>
          <w:sz w:val="26"/>
        </w:rPr>
      </w:pPr>
      <w:r>
        <w:rPr>
          <w:sz w:val="26"/>
        </w:rPr>
        <w:lastRenderedPageBreak/>
        <w:t xml:space="preserve">§ 69.1201(c)(4)). </w:t>
      </w:r>
      <w:r w:rsidR="00AF5040" w:rsidRPr="00AF5040">
        <w:rPr>
          <w:sz w:val="26"/>
        </w:rPr>
        <w:t xml:space="preserve"> </w:t>
      </w:r>
      <w:r w:rsidR="00DC456E">
        <w:rPr>
          <w:sz w:val="26"/>
        </w:rPr>
        <w:t xml:space="preserve">The ALJ observed that </w:t>
      </w:r>
      <w:r w:rsidR="00AF5040" w:rsidRPr="00AF5040">
        <w:rPr>
          <w:sz w:val="26"/>
        </w:rPr>
        <w:t xml:space="preserve">UGI revised its policy in 2016 </w:t>
      </w:r>
      <w:r w:rsidR="00DC456E">
        <w:rPr>
          <w:sz w:val="26"/>
        </w:rPr>
        <w:t>to</w:t>
      </w:r>
      <w:r w:rsidR="00AF5040" w:rsidRPr="00AF5040">
        <w:rPr>
          <w:sz w:val="26"/>
        </w:rPr>
        <w:t xml:space="preserve"> create procedures to accommodate meter relocations in historic districts</w:t>
      </w:r>
      <w:r w:rsidR="00DC456E">
        <w:rPr>
          <w:sz w:val="26"/>
        </w:rPr>
        <w:t xml:space="preserve">, revised </w:t>
      </w:r>
      <w:r w:rsidR="00AF5040" w:rsidRPr="00AF5040">
        <w:rPr>
          <w:sz w:val="26"/>
        </w:rPr>
        <w:t>its customer notification letter</w:t>
      </w:r>
      <w:r w:rsidR="006C5B30">
        <w:rPr>
          <w:sz w:val="26"/>
        </w:rPr>
        <w:t>s</w:t>
      </w:r>
      <w:r w:rsidR="00AF5040" w:rsidRPr="00AF5040">
        <w:rPr>
          <w:sz w:val="26"/>
        </w:rPr>
        <w:t xml:space="preserve"> to include language required by Section 59.18(a)(3)</w:t>
      </w:r>
      <w:r w:rsidR="00DC456E">
        <w:rPr>
          <w:sz w:val="26"/>
        </w:rPr>
        <w:t>,</w:t>
      </w:r>
      <w:r w:rsidR="00AF5040" w:rsidRPr="00AF5040">
        <w:rPr>
          <w:sz w:val="26"/>
        </w:rPr>
        <w:t xml:space="preserve"> and provided</w:t>
      </w:r>
      <w:r w:rsidR="00DC456E">
        <w:rPr>
          <w:sz w:val="26"/>
        </w:rPr>
        <w:t xml:space="preserve"> its</w:t>
      </w:r>
      <w:r w:rsidR="00AF5040" w:rsidRPr="00AF5040">
        <w:rPr>
          <w:sz w:val="26"/>
        </w:rPr>
        <w:t xml:space="preserve"> customers in historic districts </w:t>
      </w:r>
      <w:r w:rsidR="00DC456E">
        <w:rPr>
          <w:sz w:val="26"/>
        </w:rPr>
        <w:t xml:space="preserve">with </w:t>
      </w:r>
      <w:r w:rsidR="00AF5040" w:rsidRPr="00AF5040">
        <w:rPr>
          <w:sz w:val="26"/>
        </w:rPr>
        <w:t xml:space="preserve">a </w:t>
      </w:r>
      <w:r w:rsidR="00DC456E">
        <w:rPr>
          <w:sz w:val="26"/>
        </w:rPr>
        <w:t>way</w:t>
      </w:r>
      <w:r w:rsidR="00AF5040" w:rsidRPr="00AF5040">
        <w:rPr>
          <w:sz w:val="26"/>
        </w:rPr>
        <w:t xml:space="preserve"> to provide the Company with relevant information concerning their propert</w:t>
      </w:r>
      <w:r w:rsidR="00133188">
        <w:rPr>
          <w:sz w:val="26"/>
        </w:rPr>
        <w:t>ies</w:t>
      </w:r>
      <w:r w:rsidR="00AF5040" w:rsidRPr="00AF5040">
        <w:rPr>
          <w:sz w:val="26"/>
        </w:rPr>
        <w:t>.</w:t>
      </w:r>
      <w:r w:rsidR="00133188">
        <w:rPr>
          <w:sz w:val="26"/>
        </w:rPr>
        <w:t xml:space="preserve">  </w:t>
      </w:r>
      <w:r w:rsidR="002117B9">
        <w:rPr>
          <w:sz w:val="26"/>
        </w:rPr>
        <w:t xml:space="preserve">The ALJ also stated that it appeared </w:t>
      </w:r>
      <w:r w:rsidR="00AF5040" w:rsidRPr="00AF5040">
        <w:rPr>
          <w:sz w:val="26"/>
        </w:rPr>
        <w:t xml:space="preserve">that in practice, customers were </w:t>
      </w:r>
      <w:r w:rsidR="00D27D06">
        <w:rPr>
          <w:sz w:val="26"/>
        </w:rPr>
        <w:t xml:space="preserve">provided with </w:t>
      </w:r>
      <w:r w:rsidR="00AF5040" w:rsidRPr="00AF5040">
        <w:rPr>
          <w:sz w:val="26"/>
        </w:rPr>
        <w:t>an opportunity to discuss the placement of their meter</w:t>
      </w:r>
      <w:r w:rsidR="00D27D06">
        <w:rPr>
          <w:sz w:val="26"/>
        </w:rPr>
        <w:t>s</w:t>
      </w:r>
      <w:r w:rsidR="00AF5040" w:rsidRPr="00AF5040">
        <w:rPr>
          <w:sz w:val="26"/>
        </w:rPr>
        <w:t xml:space="preserve"> before a final location decision was made</w:t>
      </w:r>
      <w:r w:rsidR="00D27D06">
        <w:rPr>
          <w:sz w:val="26"/>
        </w:rPr>
        <w:t>,</w:t>
      </w:r>
      <w:r w:rsidR="00AF5040" w:rsidRPr="00AF5040">
        <w:rPr>
          <w:sz w:val="26"/>
        </w:rPr>
        <w:t xml:space="preserve"> even before the </w:t>
      </w:r>
      <w:r w:rsidR="00D27D06">
        <w:rPr>
          <w:sz w:val="26"/>
        </w:rPr>
        <w:t xml:space="preserve">Company’s </w:t>
      </w:r>
      <w:r w:rsidR="00AF5040" w:rsidRPr="00AF5040">
        <w:rPr>
          <w:sz w:val="26"/>
        </w:rPr>
        <w:t>2016 GOM revision.</w:t>
      </w:r>
      <w:r w:rsidR="00F44F50">
        <w:rPr>
          <w:sz w:val="26"/>
        </w:rPr>
        <w:t xml:space="preserve">  I.D. at 32 (citing 52 Pa. Code § 69.1201(c)(5),(10)</w:t>
      </w:r>
      <w:r w:rsidR="00755AB8">
        <w:rPr>
          <w:sz w:val="26"/>
        </w:rPr>
        <w:t>)</w:t>
      </w:r>
      <w:r w:rsidR="00F44F50">
        <w:rPr>
          <w:sz w:val="26"/>
        </w:rPr>
        <w:t>.</w:t>
      </w:r>
      <w:r w:rsidR="00AF5040" w:rsidRPr="00AF5040">
        <w:rPr>
          <w:sz w:val="26"/>
        </w:rPr>
        <w:t xml:space="preserve"> </w:t>
      </w:r>
      <w:r w:rsidR="00F44F50">
        <w:rPr>
          <w:sz w:val="26"/>
        </w:rPr>
        <w:t xml:space="preserve"> </w:t>
      </w:r>
      <w:r w:rsidR="00755AB8">
        <w:rPr>
          <w:sz w:val="26"/>
        </w:rPr>
        <w:t>The ALJ observed that w</w:t>
      </w:r>
      <w:r w:rsidR="00AF5040" w:rsidRPr="00AF5040">
        <w:rPr>
          <w:sz w:val="26"/>
        </w:rPr>
        <w:t xml:space="preserve">hile UGI’s policy approach and initial </w:t>
      </w:r>
      <w:r w:rsidR="00755AB8">
        <w:rPr>
          <w:sz w:val="26"/>
        </w:rPr>
        <w:t>thirty</w:t>
      </w:r>
      <w:r w:rsidR="00AF5040" w:rsidRPr="00AF5040">
        <w:rPr>
          <w:sz w:val="26"/>
        </w:rPr>
        <w:t>-day noti</w:t>
      </w:r>
      <w:r w:rsidR="006C5B30">
        <w:rPr>
          <w:sz w:val="26"/>
        </w:rPr>
        <w:t>fication</w:t>
      </w:r>
      <w:r w:rsidR="00AF5040" w:rsidRPr="00AF5040">
        <w:rPr>
          <w:sz w:val="26"/>
        </w:rPr>
        <w:t xml:space="preserve"> letter were not compliant with Section 59.18, there is no evidence that customers did not receive case-by-case consideration of the </w:t>
      </w:r>
      <w:r w:rsidR="00755AB8">
        <w:rPr>
          <w:sz w:val="26"/>
        </w:rPr>
        <w:t xml:space="preserve">meter </w:t>
      </w:r>
      <w:r w:rsidR="00AF5040" w:rsidRPr="00AF5040">
        <w:rPr>
          <w:sz w:val="26"/>
        </w:rPr>
        <w:t>placement</w:t>
      </w:r>
      <w:r w:rsidR="00755AB8">
        <w:rPr>
          <w:sz w:val="26"/>
        </w:rPr>
        <w:t>s</w:t>
      </w:r>
      <w:r w:rsidR="00AF5040" w:rsidRPr="00AF5040">
        <w:rPr>
          <w:sz w:val="26"/>
        </w:rPr>
        <w:t xml:space="preserve">. </w:t>
      </w:r>
      <w:r w:rsidR="00755AB8">
        <w:rPr>
          <w:sz w:val="26"/>
        </w:rPr>
        <w:t xml:space="preserve"> </w:t>
      </w:r>
      <w:r w:rsidR="009336EB">
        <w:rPr>
          <w:sz w:val="26"/>
        </w:rPr>
        <w:t xml:space="preserve">I.D. at 32.  </w:t>
      </w:r>
      <w:r w:rsidR="00755AB8">
        <w:rPr>
          <w:sz w:val="26"/>
        </w:rPr>
        <w:t xml:space="preserve">The ALJ cited to </w:t>
      </w:r>
      <w:r w:rsidR="00AF5040" w:rsidRPr="00AF5040">
        <w:rPr>
          <w:sz w:val="26"/>
        </w:rPr>
        <w:t>Mr. Brown</w:t>
      </w:r>
      <w:r w:rsidR="00755AB8">
        <w:rPr>
          <w:sz w:val="26"/>
        </w:rPr>
        <w:t>’s</w:t>
      </w:r>
      <w:r w:rsidR="00AF5040" w:rsidRPr="00AF5040">
        <w:rPr>
          <w:sz w:val="26"/>
        </w:rPr>
        <w:t xml:space="preserve"> testi</w:t>
      </w:r>
      <w:r w:rsidR="00755AB8">
        <w:rPr>
          <w:sz w:val="26"/>
        </w:rPr>
        <w:t>mony</w:t>
      </w:r>
      <w:r w:rsidR="00AF5040" w:rsidRPr="00AF5040">
        <w:rPr>
          <w:sz w:val="26"/>
        </w:rPr>
        <w:t xml:space="preserve"> that UGI personnel routinely met with customers before a meter was relocated.</w:t>
      </w:r>
      <w:r w:rsidR="009336EB">
        <w:rPr>
          <w:sz w:val="26"/>
        </w:rPr>
        <w:t xml:space="preserve">  </w:t>
      </w:r>
      <w:r w:rsidR="009336EB" w:rsidRPr="009336EB">
        <w:rPr>
          <w:i/>
          <w:iCs/>
          <w:sz w:val="26"/>
        </w:rPr>
        <w:t>Id</w:t>
      </w:r>
      <w:r w:rsidR="009336EB">
        <w:rPr>
          <w:sz w:val="26"/>
        </w:rPr>
        <w:t xml:space="preserve">. (citing UGI St. 1 at 30-31; Tr. at 249-250, 285-286, and 342). </w:t>
      </w:r>
      <w:r w:rsidR="00AF5040" w:rsidRPr="00AF5040">
        <w:rPr>
          <w:sz w:val="26"/>
        </w:rPr>
        <w:t xml:space="preserve"> </w:t>
      </w:r>
      <w:r w:rsidR="009336EB">
        <w:rPr>
          <w:sz w:val="26"/>
        </w:rPr>
        <w:t>Mr. Brown also stated that a</w:t>
      </w:r>
      <w:r w:rsidR="00AF5040" w:rsidRPr="00AF5040">
        <w:rPr>
          <w:sz w:val="26"/>
        </w:rPr>
        <w:t xml:space="preserve">lthough UGI’s policy </w:t>
      </w:r>
      <w:r w:rsidR="009336EB">
        <w:rPr>
          <w:sz w:val="26"/>
        </w:rPr>
        <w:t>provided</w:t>
      </w:r>
      <w:r w:rsidR="00AF5040" w:rsidRPr="00AF5040">
        <w:rPr>
          <w:sz w:val="26"/>
        </w:rPr>
        <w:t xml:space="preserve"> that a reconsideration request regarding a meter placement must be in writing, </w:t>
      </w:r>
      <w:r w:rsidR="009336EB">
        <w:rPr>
          <w:sz w:val="26"/>
        </w:rPr>
        <w:t xml:space="preserve">the Company </w:t>
      </w:r>
      <w:r w:rsidR="00AF5040" w:rsidRPr="00AF5040">
        <w:rPr>
          <w:sz w:val="26"/>
        </w:rPr>
        <w:t xml:space="preserve">would also meet with customers who contacted the Company by </w:t>
      </w:r>
      <w:r w:rsidR="009336EB">
        <w:rPr>
          <w:sz w:val="26"/>
        </w:rPr>
        <w:t>phone</w:t>
      </w:r>
      <w:r w:rsidR="00AF5040" w:rsidRPr="00AF5040">
        <w:rPr>
          <w:sz w:val="26"/>
        </w:rPr>
        <w:t xml:space="preserve"> or objected to </w:t>
      </w:r>
      <w:r w:rsidR="006C5B30">
        <w:rPr>
          <w:sz w:val="26"/>
        </w:rPr>
        <w:t xml:space="preserve">UGI field personnel regarding </w:t>
      </w:r>
      <w:r w:rsidR="00AF5040" w:rsidRPr="00AF5040">
        <w:rPr>
          <w:sz w:val="26"/>
        </w:rPr>
        <w:t>the meter relocation.</w:t>
      </w:r>
      <w:r w:rsidR="00045777">
        <w:rPr>
          <w:sz w:val="26"/>
        </w:rPr>
        <w:t xml:space="preserve">  I.D. at 32-33 (citing Tr. at 296-297).  </w:t>
      </w:r>
      <w:r w:rsidR="00AD301B">
        <w:rPr>
          <w:sz w:val="26"/>
        </w:rPr>
        <w:t>The ALJ continued that both Mr. Brown and Mr. Slifko stated that c</w:t>
      </w:r>
      <w:r w:rsidR="00AF5040" w:rsidRPr="00AF5040">
        <w:rPr>
          <w:sz w:val="26"/>
        </w:rPr>
        <w:t>ustomers met with UGI employees who attempted to reach a consensus with the customer</w:t>
      </w:r>
      <w:r w:rsidR="00AD301B">
        <w:rPr>
          <w:sz w:val="26"/>
        </w:rPr>
        <w:t>s</w:t>
      </w:r>
      <w:r w:rsidR="00AF5040" w:rsidRPr="00AF5040">
        <w:rPr>
          <w:sz w:val="26"/>
        </w:rPr>
        <w:t xml:space="preserve"> regarding </w:t>
      </w:r>
      <w:r w:rsidR="00AD301B">
        <w:rPr>
          <w:sz w:val="26"/>
        </w:rPr>
        <w:t>meter</w:t>
      </w:r>
      <w:r w:rsidR="00AF5040" w:rsidRPr="00AF5040">
        <w:rPr>
          <w:sz w:val="26"/>
        </w:rPr>
        <w:t xml:space="preserve"> placement</w:t>
      </w:r>
      <w:r w:rsidR="00AD301B">
        <w:rPr>
          <w:sz w:val="26"/>
        </w:rPr>
        <w:t xml:space="preserve">s, and the Company agreed to </w:t>
      </w:r>
      <w:r w:rsidR="00AF5040" w:rsidRPr="00AF5040">
        <w:rPr>
          <w:sz w:val="26"/>
        </w:rPr>
        <w:t>leave some meters inside buildings.</w:t>
      </w:r>
      <w:r w:rsidR="00AD301B">
        <w:rPr>
          <w:sz w:val="26"/>
        </w:rPr>
        <w:t xml:space="preserve">  I.D. at 33 (citing Tr. at 262-263, 386; City St. 2 at 17).</w:t>
      </w:r>
    </w:p>
    <w:p w14:paraId="6C2B705B" w14:textId="77777777" w:rsidR="00B06003" w:rsidRDefault="00B06003" w:rsidP="008E1AD5">
      <w:pPr>
        <w:ind w:right="72" w:firstLine="0"/>
        <w:textAlignment w:val="baseline"/>
        <w:rPr>
          <w:sz w:val="26"/>
        </w:rPr>
      </w:pPr>
    </w:p>
    <w:p w14:paraId="59824386" w14:textId="5E0C1E84" w:rsidR="00AF5040" w:rsidRPr="00AF5040" w:rsidRDefault="00E2591C" w:rsidP="008E1AD5">
      <w:pPr>
        <w:ind w:right="72" w:firstLine="0"/>
        <w:textAlignment w:val="baseline"/>
        <w:rPr>
          <w:sz w:val="26"/>
        </w:rPr>
      </w:pPr>
      <w:r>
        <w:rPr>
          <w:sz w:val="26"/>
        </w:rPr>
        <w:tab/>
      </w:r>
      <w:r>
        <w:rPr>
          <w:sz w:val="26"/>
        </w:rPr>
        <w:tab/>
      </w:r>
      <w:r w:rsidR="00A612CD">
        <w:rPr>
          <w:sz w:val="26"/>
        </w:rPr>
        <w:t>T</w:t>
      </w:r>
      <w:r w:rsidR="00AA6F4E">
        <w:rPr>
          <w:sz w:val="26"/>
        </w:rPr>
        <w:t xml:space="preserve">he ALJ further found that </w:t>
      </w:r>
      <w:r w:rsidR="00AF5040" w:rsidRPr="00AF5040">
        <w:rPr>
          <w:sz w:val="26"/>
        </w:rPr>
        <w:t xml:space="preserve">while UGI made an initial deliberate decision not </w:t>
      </w:r>
      <w:r w:rsidR="00AA6F4E">
        <w:rPr>
          <w:sz w:val="26"/>
        </w:rPr>
        <w:t xml:space="preserve">to </w:t>
      </w:r>
      <w:r w:rsidR="00AF5040" w:rsidRPr="00AF5040">
        <w:rPr>
          <w:sz w:val="26"/>
        </w:rPr>
        <w:t>amend its meter placement procedures, its decision was a good faith determination that it had the authority to do so.</w:t>
      </w:r>
      <w:r w:rsidR="00AA6F4E">
        <w:rPr>
          <w:sz w:val="26"/>
        </w:rPr>
        <w:t xml:space="preserve">  I.D. at 33 (citing </w:t>
      </w:r>
      <w:bookmarkStart w:id="18" w:name="_Hlk19191862"/>
      <w:r w:rsidR="00AA6F4E">
        <w:rPr>
          <w:sz w:val="26"/>
        </w:rPr>
        <w:t>52 Pa. Code § 69.1201(c)(1),(3)</w:t>
      </w:r>
      <w:bookmarkEnd w:id="18"/>
      <w:r w:rsidR="00AA6F4E">
        <w:rPr>
          <w:sz w:val="26"/>
        </w:rPr>
        <w:t xml:space="preserve">).  The ALJ averred that </w:t>
      </w:r>
      <w:r w:rsidR="00AF5040" w:rsidRPr="00AF5040">
        <w:rPr>
          <w:sz w:val="26"/>
        </w:rPr>
        <w:t>UGI</w:t>
      </w:r>
      <w:r w:rsidR="00AA6F4E">
        <w:rPr>
          <w:sz w:val="26"/>
        </w:rPr>
        <w:t xml:space="preserve"> believed that the Company</w:t>
      </w:r>
      <w:r w:rsidR="00AF5040" w:rsidRPr="00AF5040">
        <w:rPr>
          <w:sz w:val="26"/>
        </w:rPr>
        <w:t xml:space="preserve"> had the discretion to determine that it was safer to place all meters outside.</w:t>
      </w:r>
      <w:r w:rsidR="00AA6F4E">
        <w:rPr>
          <w:sz w:val="26"/>
        </w:rPr>
        <w:t xml:space="preserve">  </w:t>
      </w:r>
      <w:r w:rsidR="00EE64A6">
        <w:rPr>
          <w:sz w:val="26"/>
        </w:rPr>
        <w:t xml:space="preserve">I.D. at 33.  </w:t>
      </w:r>
      <w:r w:rsidR="00AA6F4E">
        <w:rPr>
          <w:sz w:val="26"/>
        </w:rPr>
        <w:t>The ALJ concluded that declining to ex</w:t>
      </w:r>
      <w:r w:rsidR="00AF5040" w:rsidRPr="00AA6F4E">
        <w:rPr>
          <w:spacing w:val="-1"/>
          <w:sz w:val="26"/>
        </w:rPr>
        <w:t>ercise the Commission’s enforcement</w:t>
      </w:r>
      <w:r w:rsidR="00AF5040" w:rsidRPr="00AF5040">
        <w:rPr>
          <w:spacing w:val="-1"/>
          <w:sz w:val="26"/>
        </w:rPr>
        <w:t xml:space="preserve"> discretion </w:t>
      </w:r>
      <w:r w:rsidR="00AA6F4E">
        <w:rPr>
          <w:spacing w:val="-1"/>
          <w:sz w:val="26"/>
        </w:rPr>
        <w:t>under the</w:t>
      </w:r>
      <w:r w:rsidR="00AF5040" w:rsidRPr="00AF5040">
        <w:rPr>
          <w:spacing w:val="-1"/>
          <w:sz w:val="26"/>
        </w:rPr>
        <w:t xml:space="preserve"> circumstances</w:t>
      </w:r>
      <w:r w:rsidR="00AA6F4E">
        <w:rPr>
          <w:spacing w:val="-1"/>
          <w:sz w:val="26"/>
        </w:rPr>
        <w:t xml:space="preserve"> </w:t>
      </w:r>
      <w:r w:rsidR="00AA6F4E">
        <w:rPr>
          <w:spacing w:val="-1"/>
          <w:sz w:val="26"/>
        </w:rPr>
        <w:lastRenderedPageBreak/>
        <w:t>in this case</w:t>
      </w:r>
      <w:r w:rsidR="00AF5040" w:rsidRPr="00AF5040">
        <w:rPr>
          <w:spacing w:val="-1"/>
          <w:sz w:val="26"/>
        </w:rPr>
        <w:t xml:space="preserve"> </w:t>
      </w:r>
      <w:r w:rsidR="00AA6F4E">
        <w:rPr>
          <w:spacing w:val="-1"/>
          <w:sz w:val="26"/>
        </w:rPr>
        <w:t xml:space="preserve">would </w:t>
      </w:r>
      <w:r w:rsidR="00AF5040" w:rsidRPr="00AF5040">
        <w:rPr>
          <w:spacing w:val="-1"/>
          <w:sz w:val="26"/>
        </w:rPr>
        <w:t>incentivize</w:t>
      </w:r>
      <w:r w:rsidR="00AA6F4E">
        <w:rPr>
          <w:spacing w:val="-1"/>
          <w:sz w:val="26"/>
        </w:rPr>
        <w:t xml:space="preserve"> utilities to remedy violations before the Commission orders them </w:t>
      </w:r>
      <w:r w:rsidR="00AF5040" w:rsidRPr="00AF5040">
        <w:rPr>
          <w:sz w:val="26"/>
        </w:rPr>
        <w:t>to do so</w:t>
      </w:r>
      <w:r w:rsidR="00AA6F4E">
        <w:rPr>
          <w:sz w:val="26"/>
        </w:rPr>
        <w:t xml:space="preserve">. </w:t>
      </w:r>
      <w:r w:rsidR="00EE64A6">
        <w:rPr>
          <w:sz w:val="26"/>
        </w:rPr>
        <w:t xml:space="preserve"> </w:t>
      </w:r>
      <w:r w:rsidR="00EE64A6" w:rsidRPr="00EE64A6">
        <w:rPr>
          <w:i/>
          <w:iCs/>
          <w:sz w:val="26"/>
        </w:rPr>
        <w:t>Id</w:t>
      </w:r>
      <w:r w:rsidR="00EE64A6">
        <w:rPr>
          <w:sz w:val="26"/>
        </w:rPr>
        <w:t>. (citing 52 Pa. Code § 69.1201(c)(10)).</w:t>
      </w:r>
    </w:p>
    <w:p w14:paraId="75655E3E" w14:textId="77777777" w:rsidR="00A80485" w:rsidRDefault="00A80485" w:rsidP="008E1AD5">
      <w:pPr>
        <w:ind w:firstLine="0"/>
        <w:rPr>
          <w:sz w:val="26"/>
        </w:rPr>
      </w:pPr>
    </w:p>
    <w:p w14:paraId="4CDD664F" w14:textId="7E3B52E0" w:rsidR="0016206A" w:rsidRPr="0016206A" w:rsidRDefault="0016206A" w:rsidP="008E1AD5">
      <w:pPr>
        <w:ind w:firstLine="0"/>
        <w:rPr>
          <w:b/>
          <w:bCs/>
          <w:sz w:val="26"/>
          <w:szCs w:val="26"/>
        </w:rPr>
      </w:pPr>
      <w:r>
        <w:rPr>
          <w:sz w:val="26"/>
        </w:rPr>
        <w:tab/>
      </w:r>
      <w:r w:rsidR="00AF5040" w:rsidRPr="00AF5040">
        <w:rPr>
          <w:sz w:val="26"/>
        </w:rPr>
        <w:t xml:space="preserve">  </w:t>
      </w:r>
      <w:r w:rsidRPr="0016206A">
        <w:rPr>
          <w:b/>
          <w:bCs/>
          <w:sz w:val="26"/>
        </w:rPr>
        <w:t>3.</w:t>
      </w:r>
      <w:r w:rsidRPr="0016206A">
        <w:rPr>
          <w:b/>
          <w:bCs/>
          <w:sz w:val="26"/>
        </w:rPr>
        <w:tab/>
        <w:t>Exceptions</w:t>
      </w:r>
      <w:r w:rsidR="00B06003">
        <w:rPr>
          <w:b/>
          <w:bCs/>
          <w:sz w:val="26"/>
        </w:rPr>
        <w:t>,</w:t>
      </w:r>
      <w:r w:rsidRPr="0016206A">
        <w:rPr>
          <w:b/>
          <w:bCs/>
          <w:sz w:val="26"/>
        </w:rPr>
        <w:t xml:space="preserve"> Replies</w:t>
      </w:r>
      <w:r w:rsidR="00B06003">
        <w:rPr>
          <w:b/>
          <w:bCs/>
          <w:sz w:val="26"/>
        </w:rPr>
        <w:t>, and Disposition</w:t>
      </w:r>
    </w:p>
    <w:p w14:paraId="64AAD337" w14:textId="77777777" w:rsidR="0016206A" w:rsidRDefault="0016206A" w:rsidP="008E1AD5">
      <w:pPr>
        <w:ind w:firstLine="0"/>
        <w:rPr>
          <w:b/>
          <w:bCs/>
          <w:sz w:val="26"/>
          <w:szCs w:val="26"/>
        </w:rPr>
      </w:pPr>
    </w:p>
    <w:p w14:paraId="0875E21D" w14:textId="44E748FF" w:rsidR="00CC217F" w:rsidRDefault="0016206A" w:rsidP="008E1AD5">
      <w:pPr>
        <w:ind w:firstLine="0"/>
        <w:rPr>
          <w:b/>
          <w:bCs/>
          <w:sz w:val="26"/>
          <w:szCs w:val="26"/>
        </w:rPr>
      </w:pPr>
      <w:r>
        <w:rPr>
          <w:b/>
          <w:bCs/>
          <w:sz w:val="26"/>
          <w:szCs w:val="26"/>
        </w:rPr>
        <w:tab/>
      </w:r>
      <w:r>
        <w:rPr>
          <w:b/>
          <w:bCs/>
          <w:sz w:val="26"/>
          <w:szCs w:val="26"/>
        </w:rPr>
        <w:tab/>
        <w:t>a.</w:t>
      </w:r>
      <w:r>
        <w:rPr>
          <w:b/>
          <w:bCs/>
          <w:sz w:val="26"/>
          <w:szCs w:val="26"/>
        </w:rPr>
        <w:tab/>
      </w:r>
      <w:r w:rsidR="00CC217F">
        <w:rPr>
          <w:b/>
          <w:bCs/>
          <w:sz w:val="26"/>
          <w:szCs w:val="26"/>
        </w:rPr>
        <w:t>The City’s Exceptions Nos. 11</w:t>
      </w:r>
      <w:r w:rsidR="00B04AA7">
        <w:rPr>
          <w:b/>
          <w:bCs/>
          <w:sz w:val="26"/>
          <w:szCs w:val="26"/>
        </w:rPr>
        <w:t xml:space="preserve"> and 15</w:t>
      </w:r>
    </w:p>
    <w:p w14:paraId="2D70330D" w14:textId="77777777" w:rsidR="00CC217F" w:rsidRDefault="00CC217F" w:rsidP="008E1AD5">
      <w:pPr>
        <w:ind w:firstLine="0"/>
        <w:rPr>
          <w:b/>
          <w:bCs/>
          <w:sz w:val="26"/>
          <w:szCs w:val="26"/>
        </w:rPr>
      </w:pPr>
    </w:p>
    <w:p w14:paraId="44633C42" w14:textId="77777777" w:rsidR="007041AB" w:rsidRDefault="00CC217F" w:rsidP="008E1AD5">
      <w:pPr>
        <w:ind w:firstLine="0"/>
        <w:rPr>
          <w:sz w:val="26"/>
          <w:szCs w:val="26"/>
        </w:rPr>
      </w:pPr>
      <w:r>
        <w:rPr>
          <w:b/>
          <w:bCs/>
          <w:sz w:val="26"/>
          <w:szCs w:val="26"/>
        </w:rPr>
        <w:tab/>
      </w:r>
      <w:r>
        <w:rPr>
          <w:b/>
          <w:bCs/>
          <w:sz w:val="26"/>
          <w:szCs w:val="26"/>
        </w:rPr>
        <w:tab/>
      </w:r>
      <w:r w:rsidR="000340A3">
        <w:rPr>
          <w:sz w:val="26"/>
          <w:szCs w:val="26"/>
        </w:rPr>
        <w:t>In its Exception</w:t>
      </w:r>
      <w:r w:rsidR="00154FE3">
        <w:rPr>
          <w:sz w:val="26"/>
          <w:szCs w:val="26"/>
        </w:rPr>
        <w:t>s</w:t>
      </w:r>
      <w:r w:rsidR="000340A3">
        <w:rPr>
          <w:sz w:val="26"/>
          <w:szCs w:val="26"/>
        </w:rPr>
        <w:t xml:space="preserve">, the City contests the ALJ’s decision not to impose a civil penalty or grant any substantive relief to the City Parties.  </w:t>
      </w:r>
      <w:r w:rsidR="00324391">
        <w:rPr>
          <w:sz w:val="26"/>
          <w:szCs w:val="26"/>
        </w:rPr>
        <w:t xml:space="preserve">City Exc. at 10.  The City disagrees with the ALJ’s analysis of the Commission’s Policy Statement at 52 Pa. Code </w:t>
      </w:r>
    </w:p>
    <w:p w14:paraId="2E0B9535" w14:textId="77E82E95" w:rsidR="00115958" w:rsidRPr="003F5BCE" w:rsidRDefault="00324391" w:rsidP="008E1AD5">
      <w:pPr>
        <w:ind w:firstLine="0"/>
        <w:rPr>
          <w:sz w:val="26"/>
          <w:szCs w:val="26"/>
        </w:rPr>
      </w:pPr>
      <w:r>
        <w:rPr>
          <w:sz w:val="26"/>
          <w:szCs w:val="26"/>
        </w:rPr>
        <w:t xml:space="preserve">§ 69.1201 and avers that a review of the factors and standards in the Policy Statement demonstrate that a civil penalty is appropriate for UGI’s violations of Section 59.18.  </w:t>
      </w:r>
      <w:r w:rsidR="00E84A4F" w:rsidRPr="00E84A4F">
        <w:rPr>
          <w:i/>
          <w:iCs/>
          <w:sz w:val="26"/>
          <w:szCs w:val="26"/>
        </w:rPr>
        <w:t>Id</w:t>
      </w:r>
      <w:r w:rsidR="00E84A4F">
        <w:rPr>
          <w:sz w:val="26"/>
          <w:szCs w:val="26"/>
        </w:rPr>
        <w:t xml:space="preserve">. at 11.  </w:t>
      </w:r>
      <w:r w:rsidR="00E5146E">
        <w:rPr>
          <w:sz w:val="26"/>
          <w:szCs w:val="26"/>
        </w:rPr>
        <w:t xml:space="preserve">The City states that the record shows that UGI’s actions </w:t>
      </w:r>
      <w:r w:rsidR="007A19F7">
        <w:rPr>
          <w:sz w:val="26"/>
          <w:szCs w:val="26"/>
        </w:rPr>
        <w:t xml:space="preserve">in failing to amend its meter placement procedures after Section 59.18 was amended </w:t>
      </w:r>
      <w:r w:rsidR="00E5146E">
        <w:rPr>
          <w:sz w:val="26"/>
          <w:szCs w:val="26"/>
        </w:rPr>
        <w:t>were willful, deliberate, and serious, and the resulting consequences of UGI’s actions diminishes the value of the historic assets in the City and, in some instances, may damage those assets.</w:t>
      </w:r>
      <w:r w:rsidR="00E84A4F">
        <w:rPr>
          <w:sz w:val="26"/>
          <w:szCs w:val="26"/>
        </w:rPr>
        <w:t xml:space="preserve">  </w:t>
      </w:r>
      <w:r w:rsidR="00E84A4F" w:rsidRPr="00E84A4F">
        <w:rPr>
          <w:i/>
          <w:iCs/>
          <w:sz w:val="26"/>
          <w:szCs w:val="26"/>
        </w:rPr>
        <w:t>Id</w:t>
      </w:r>
      <w:r w:rsidR="00E84A4F">
        <w:rPr>
          <w:sz w:val="26"/>
          <w:szCs w:val="26"/>
        </w:rPr>
        <w:t xml:space="preserve">. (citing </w:t>
      </w:r>
      <w:r w:rsidR="007A19F7">
        <w:rPr>
          <w:sz w:val="26"/>
          <w:szCs w:val="26"/>
        </w:rPr>
        <w:t>52 Pa. Code § 69.1201(c)(1),(2),(3)).</w:t>
      </w:r>
      <w:r w:rsidR="0066643B">
        <w:rPr>
          <w:sz w:val="26"/>
          <w:szCs w:val="26"/>
        </w:rPr>
        <w:t xml:space="preserve">  The City also states that </w:t>
      </w:r>
      <w:r w:rsidR="00115958" w:rsidRPr="003F5BCE">
        <w:rPr>
          <w:sz w:val="26"/>
          <w:szCs w:val="26"/>
        </w:rPr>
        <w:t xml:space="preserve">although UGI eventually modified its internal practices and procedures </w:t>
      </w:r>
      <w:r w:rsidR="0066643B">
        <w:rPr>
          <w:sz w:val="26"/>
          <w:szCs w:val="26"/>
        </w:rPr>
        <w:t>concerning</w:t>
      </w:r>
      <w:r w:rsidR="00115958" w:rsidRPr="003F5BCE">
        <w:rPr>
          <w:sz w:val="26"/>
          <w:szCs w:val="26"/>
        </w:rPr>
        <w:t xml:space="preserve"> consideration of inside meter placements, it took UGI nearly two years to modify its GOM procedures and more than three years to change its customer noti</w:t>
      </w:r>
      <w:r w:rsidR="007041AB">
        <w:rPr>
          <w:sz w:val="26"/>
          <w:szCs w:val="26"/>
        </w:rPr>
        <w:t>fication</w:t>
      </w:r>
      <w:r w:rsidR="00115958" w:rsidRPr="003F5BCE">
        <w:rPr>
          <w:sz w:val="26"/>
          <w:szCs w:val="26"/>
        </w:rPr>
        <w:t xml:space="preserve"> letters. </w:t>
      </w:r>
      <w:r w:rsidR="0066643B">
        <w:rPr>
          <w:sz w:val="26"/>
          <w:szCs w:val="26"/>
        </w:rPr>
        <w:t xml:space="preserve"> City Exc. at 11 (citing </w:t>
      </w:r>
      <w:r w:rsidR="00115958" w:rsidRPr="003F5BCE">
        <w:rPr>
          <w:sz w:val="26"/>
          <w:szCs w:val="26"/>
        </w:rPr>
        <w:t>52 Pa. Code § 69.1201(c)(4)</w:t>
      </w:r>
      <w:r w:rsidR="0066643B">
        <w:rPr>
          <w:sz w:val="26"/>
          <w:szCs w:val="26"/>
        </w:rPr>
        <w:t>)</w:t>
      </w:r>
      <w:r w:rsidR="00115958" w:rsidRPr="003F5BCE">
        <w:rPr>
          <w:sz w:val="26"/>
          <w:szCs w:val="26"/>
        </w:rPr>
        <w:t>.</w:t>
      </w:r>
    </w:p>
    <w:p w14:paraId="0D67D4F2" w14:textId="77777777" w:rsidR="00115958" w:rsidRPr="003F5BCE" w:rsidRDefault="00115958" w:rsidP="008E1AD5">
      <w:pPr>
        <w:pStyle w:val="ListParagraph"/>
        <w:ind w:left="0"/>
        <w:rPr>
          <w:sz w:val="26"/>
          <w:szCs w:val="26"/>
        </w:rPr>
      </w:pPr>
    </w:p>
    <w:p w14:paraId="6360EE5A" w14:textId="21500311" w:rsidR="00CD3854" w:rsidRDefault="002C1A21" w:rsidP="008E1AD5">
      <w:pPr>
        <w:tabs>
          <w:tab w:val="left" w:pos="1440"/>
        </w:tabs>
        <w:autoSpaceDE w:val="0"/>
        <w:autoSpaceDN w:val="0"/>
        <w:adjustRightInd w:val="0"/>
        <w:ind w:firstLine="0"/>
        <w:rPr>
          <w:sz w:val="26"/>
          <w:szCs w:val="26"/>
        </w:rPr>
      </w:pPr>
      <w:r>
        <w:rPr>
          <w:sz w:val="26"/>
          <w:szCs w:val="26"/>
        </w:rPr>
        <w:tab/>
        <w:t>The City continues that a</w:t>
      </w:r>
      <w:r w:rsidR="00115958" w:rsidRPr="003F5BCE">
        <w:rPr>
          <w:sz w:val="26"/>
          <w:szCs w:val="26"/>
        </w:rPr>
        <w:t>s ALJ Exh</w:t>
      </w:r>
      <w:r>
        <w:rPr>
          <w:sz w:val="26"/>
          <w:szCs w:val="26"/>
        </w:rPr>
        <w:t>ibit</w:t>
      </w:r>
      <w:r w:rsidR="00115958" w:rsidRPr="003F5BCE">
        <w:rPr>
          <w:sz w:val="26"/>
          <w:szCs w:val="26"/>
        </w:rPr>
        <w:t xml:space="preserve"> 1 </w:t>
      </w:r>
      <w:r>
        <w:rPr>
          <w:sz w:val="26"/>
          <w:szCs w:val="26"/>
        </w:rPr>
        <w:t>demonstrates</w:t>
      </w:r>
      <w:r w:rsidR="00115958" w:rsidRPr="003F5BCE">
        <w:rPr>
          <w:sz w:val="26"/>
          <w:szCs w:val="26"/>
        </w:rPr>
        <w:t xml:space="preserve">, there are nearly 900 historic district locations </w:t>
      </w:r>
      <w:r>
        <w:rPr>
          <w:sz w:val="26"/>
          <w:szCs w:val="26"/>
        </w:rPr>
        <w:t>with meters t</w:t>
      </w:r>
      <w:r w:rsidR="00115958" w:rsidRPr="003F5BCE">
        <w:rPr>
          <w:sz w:val="26"/>
          <w:szCs w:val="26"/>
        </w:rPr>
        <w:t>h</w:t>
      </w:r>
      <w:r>
        <w:rPr>
          <w:sz w:val="26"/>
          <w:szCs w:val="26"/>
        </w:rPr>
        <w:t>at</w:t>
      </w:r>
      <w:r w:rsidR="00115958" w:rsidRPr="003F5BCE">
        <w:rPr>
          <w:sz w:val="26"/>
          <w:szCs w:val="26"/>
        </w:rPr>
        <w:t xml:space="preserve"> the City </w:t>
      </w:r>
      <w:r>
        <w:rPr>
          <w:sz w:val="26"/>
          <w:szCs w:val="26"/>
        </w:rPr>
        <w:t xml:space="preserve">surveyed </w:t>
      </w:r>
      <w:r w:rsidR="00115958" w:rsidRPr="003F5BCE">
        <w:rPr>
          <w:sz w:val="26"/>
          <w:szCs w:val="26"/>
        </w:rPr>
        <w:t xml:space="preserve">and </w:t>
      </w:r>
      <w:r>
        <w:rPr>
          <w:sz w:val="26"/>
          <w:szCs w:val="26"/>
        </w:rPr>
        <w:t xml:space="preserve">that </w:t>
      </w:r>
      <w:r w:rsidR="00115958" w:rsidRPr="003F5BCE">
        <w:rPr>
          <w:sz w:val="26"/>
          <w:szCs w:val="26"/>
        </w:rPr>
        <w:t xml:space="preserve">UGI’s </w:t>
      </w:r>
      <w:r>
        <w:rPr>
          <w:sz w:val="26"/>
          <w:szCs w:val="26"/>
        </w:rPr>
        <w:t>actions impacted</w:t>
      </w:r>
      <w:r w:rsidR="00115958" w:rsidRPr="003F5BCE">
        <w:rPr>
          <w:sz w:val="26"/>
          <w:szCs w:val="26"/>
        </w:rPr>
        <w:t xml:space="preserve">.  </w:t>
      </w:r>
      <w:r>
        <w:rPr>
          <w:sz w:val="26"/>
          <w:szCs w:val="26"/>
        </w:rPr>
        <w:t xml:space="preserve">City Exc. at 11-12 (citing </w:t>
      </w:r>
      <w:r w:rsidR="00115958" w:rsidRPr="003F5BCE">
        <w:rPr>
          <w:sz w:val="26"/>
          <w:szCs w:val="26"/>
        </w:rPr>
        <w:t>52 Pa. Code § 69.1201(c)(5)</w:t>
      </w:r>
      <w:r>
        <w:rPr>
          <w:sz w:val="26"/>
          <w:szCs w:val="26"/>
        </w:rPr>
        <w:t>)</w:t>
      </w:r>
      <w:r w:rsidR="00115958" w:rsidRPr="003F5BCE">
        <w:rPr>
          <w:sz w:val="26"/>
          <w:szCs w:val="26"/>
        </w:rPr>
        <w:t>.</w:t>
      </w:r>
      <w:r w:rsidR="00731B26">
        <w:rPr>
          <w:sz w:val="26"/>
          <w:szCs w:val="26"/>
        </w:rPr>
        <w:t xml:space="preserve">  The City disagrees with the ALJ’s conclusion that </w:t>
      </w:r>
      <w:r w:rsidR="00115958" w:rsidRPr="003F5BCE">
        <w:rPr>
          <w:sz w:val="26"/>
          <w:szCs w:val="26"/>
        </w:rPr>
        <w:t xml:space="preserve">a </w:t>
      </w:r>
      <w:r w:rsidR="00731B26">
        <w:rPr>
          <w:sz w:val="26"/>
          <w:szCs w:val="26"/>
        </w:rPr>
        <w:t xml:space="preserve">civil penalty </w:t>
      </w:r>
      <w:r w:rsidR="007041AB">
        <w:rPr>
          <w:sz w:val="26"/>
          <w:szCs w:val="26"/>
        </w:rPr>
        <w:t>i</w:t>
      </w:r>
      <w:r w:rsidR="00115958" w:rsidRPr="003F5BCE">
        <w:rPr>
          <w:sz w:val="26"/>
          <w:szCs w:val="26"/>
        </w:rPr>
        <w:t>s not ne</w:t>
      </w:r>
      <w:r w:rsidR="00731B26">
        <w:rPr>
          <w:sz w:val="26"/>
          <w:szCs w:val="26"/>
        </w:rPr>
        <w:t>cessary</w:t>
      </w:r>
      <w:r w:rsidR="00115958" w:rsidRPr="003F5BCE">
        <w:rPr>
          <w:sz w:val="26"/>
          <w:szCs w:val="26"/>
        </w:rPr>
        <w:t xml:space="preserve"> to deter future violations because UGI remediated its original failure to implement the</w:t>
      </w:r>
      <w:r w:rsidR="00731B26">
        <w:rPr>
          <w:sz w:val="26"/>
          <w:szCs w:val="26"/>
        </w:rPr>
        <w:t xml:space="preserve"> Sec</w:t>
      </w:r>
      <w:r w:rsidR="00115958" w:rsidRPr="003F5BCE">
        <w:rPr>
          <w:sz w:val="26"/>
          <w:szCs w:val="26"/>
        </w:rPr>
        <w:t xml:space="preserve">tion 59.18 </w:t>
      </w:r>
      <w:r w:rsidR="00731B26">
        <w:rPr>
          <w:sz w:val="26"/>
          <w:szCs w:val="26"/>
        </w:rPr>
        <w:t>amendments</w:t>
      </w:r>
      <w:r w:rsidR="007041AB">
        <w:rPr>
          <w:sz w:val="26"/>
          <w:szCs w:val="26"/>
        </w:rPr>
        <w:t xml:space="preserve">. </w:t>
      </w:r>
      <w:r w:rsidR="00731B26">
        <w:rPr>
          <w:sz w:val="26"/>
          <w:szCs w:val="26"/>
        </w:rPr>
        <w:t xml:space="preserve">The City argues that </w:t>
      </w:r>
      <w:r w:rsidR="00115958" w:rsidRPr="003F5BCE">
        <w:rPr>
          <w:sz w:val="26"/>
          <w:szCs w:val="26"/>
        </w:rPr>
        <w:t xml:space="preserve">when </w:t>
      </w:r>
      <w:r w:rsidR="00731B26">
        <w:rPr>
          <w:sz w:val="26"/>
          <w:szCs w:val="26"/>
        </w:rPr>
        <w:t>closely examined,</w:t>
      </w:r>
      <w:r w:rsidR="00115958" w:rsidRPr="003F5BCE">
        <w:rPr>
          <w:sz w:val="26"/>
          <w:szCs w:val="26"/>
        </w:rPr>
        <w:t xml:space="preserve"> many of the</w:t>
      </w:r>
      <w:r w:rsidR="00731B26">
        <w:rPr>
          <w:sz w:val="26"/>
          <w:szCs w:val="26"/>
        </w:rPr>
        <w:t>se</w:t>
      </w:r>
      <w:r w:rsidR="00115958" w:rsidRPr="003F5BCE">
        <w:rPr>
          <w:sz w:val="26"/>
          <w:szCs w:val="26"/>
        </w:rPr>
        <w:t xml:space="preserve"> remedies are cosmetic, and most, if not all, are after the fact. </w:t>
      </w:r>
      <w:r w:rsidR="001F0523">
        <w:rPr>
          <w:sz w:val="26"/>
          <w:szCs w:val="26"/>
        </w:rPr>
        <w:t xml:space="preserve"> City Exc. at 12 (citing </w:t>
      </w:r>
      <w:r w:rsidR="00115958" w:rsidRPr="003F5BCE">
        <w:rPr>
          <w:sz w:val="26"/>
          <w:szCs w:val="26"/>
        </w:rPr>
        <w:t>52 Pa. Code § 69.1201(c)(8)</w:t>
      </w:r>
      <w:r w:rsidR="001F0523">
        <w:rPr>
          <w:sz w:val="26"/>
          <w:szCs w:val="26"/>
        </w:rPr>
        <w:t>)</w:t>
      </w:r>
      <w:r w:rsidR="00115958" w:rsidRPr="003F5BCE">
        <w:rPr>
          <w:sz w:val="26"/>
          <w:szCs w:val="26"/>
        </w:rPr>
        <w:t>.</w:t>
      </w:r>
    </w:p>
    <w:p w14:paraId="0652C96B" w14:textId="7D21D173" w:rsidR="00115958" w:rsidRPr="003F5BCE" w:rsidRDefault="00CD3854" w:rsidP="008E1AD5">
      <w:pPr>
        <w:tabs>
          <w:tab w:val="left" w:pos="1440"/>
        </w:tabs>
        <w:autoSpaceDE w:val="0"/>
        <w:autoSpaceDN w:val="0"/>
        <w:adjustRightInd w:val="0"/>
        <w:ind w:firstLine="0"/>
        <w:rPr>
          <w:sz w:val="26"/>
          <w:szCs w:val="26"/>
        </w:rPr>
      </w:pPr>
      <w:r>
        <w:rPr>
          <w:sz w:val="26"/>
          <w:szCs w:val="26"/>
        </w:rPr>
        <w:lastRenderedPageBreak/>
        <w:tab/>
      </w:r>
      <w:r w:rsidR="00EA4E84">
        <w:rPr>
          <w:sz w:val="26"/>
          <w:szCs w:val="26"/>
        </w:rPr>
        <w:t xml:space="preserve">The City believes that penalties </w:t>
      </w:r>
      <w:r w:rsidR="00115958" w:rsidRPr="003F5BCE">
        <w:rPr>
          <w:sz w:val="26"/>
          <w:szCs w:val="26"/>
        </w:rPr>
        <w:t xml:space="preserve">provide </w:t>
      </w:r>
      <w:r w:rsidR="00932A7D">
        <w:rPr>
          <w:sz w:val="26"/>
          <w:szCs w:val="26"/>
        </w:rPr>
        <w:t>the best</w:t>
      </w:r>
      <w:r w:rsidR="00EA4E84">
        <w:rPr>
          <w:sz w:val="26"/>
          <w:szCs w:val="26"/>
        </w:rPr>
        <w:t xml:space="preserve"> incentive for NGDCs to comply with the Commission’s Regulations and notes that the</w:t>
      </w:r>
      <w:r w:rsidR="00115958" w:rsidRPr="003F5BCE">
        <w:rPr>
          <w:sz w:val="26"/>
          <w:szCs w:val="26"/>
        </w:rPr>
        <w:t xml:space="preserve"> remedy can be both monetary and non-monetary (further relocation, bollards, etc.).  </w:t>
      </w:r>
      <w:r w:rsidR="00EA4E84">
        <w:rPr>
          <w:sz w:val="26"/>
          <w:szCs w:val="26"/>
        </w:rPr>
        <w:t>The City avers that e</w:t>
      </w:r>
      <w:r w:rsidR="00115958" w:rsidRPr="003F5BCE">
        <w:rPr>
          <w:sz w:val="26"/>
          <w:szCs w:val="26"/>
        </w:rPr>
        <w:t xml:space="preserve">mploying the use of bollards or other forms of supplemental meter protection may provide a less expensive alternative to </w:t>
      </w:r>
      <w:r w:rsidR="00EA4E84">
        <w:rPr>
          <w:sz w:val="26"/>
          <w:szCs w:val="26"/>
        </w:rPr>
        <w:t xml:space="preserve">meter </w:t>
      </w:r>
      <w:r w:rsidR="00115958" w:rsidRPr="003F5BCE">
        <w:rPr>
          <w:sz w:val="26"/>
          <w:szCs w:val="26"/>
        </w:rPr>
        <w:t xml:space="preserve">relocation.  </w:t>
      </w:r>
      <w:r w:rsidR="00B126FF">
        <w:rPr>
          <w:sz w:val="26"/>
          <w:szCs w:val="26"/>
        </w:rPr>
        <w:t xml:space="preserve">City Exc. at 12 (citing </w:t>
      </w:r>
      <w:r w:rsidR="00115958" w:rsidRPr="003F5BCE">
        <w:rPr>
          <w:sz w:val="26"/>
          <w:szCs w:val="26"/>
        </w:rPr>
        <w:t>52 Pa. Code § 69.1201(c)(10)</w:t>
      </w:r>
      <w:r w:rsidR="00B126FF">
        <w:rPr>
          <w:sz w:val="26"/>
          <w:szCs w:val="26"/>
        </w:rPr>
        <w:t>)</w:t>
      </w:r>
      <w:r w:rsidR="00115958" w:rsidRPr="003F5BCE">
        <w:rPr>
          <w:sz w:val="26"/>
          <w:szCs w:val="26"/>
        </w:rPr>
        <w:t>.</w:t>
      </w:r>
      <w:r w:rsidR="00932A7D">
        <w:rPr>
          <w:sz w:val="26"/>
          <w:szCs w:val="26"/>
        </w:rPr>
        <w:t xml:space="preserve">  </w:t>
      </w:r>
      <w:r w:rsidR="000F0D52">
        <w:rPr>
          <w:sz w:val="26"/>
          <w:szCs w:val="26"/>
        </w:rPr>
        <w:t xml:space="preserve">The City asserts that the Commission should impose a civil penalty here based on UGI’s “deliberate decision to not amend its meter placement procedure” as well as additional substantive relief.  The City requests that, at a minimum, </w:t>
      </w:r>
      <w:r w:rsidR="00F12AE2">
        <w:rPr>
          <w:sz w:val="26"/>
          <w:szCs w:val="26"/>
        </w:rPr>
        <w:t>UGI be ordered to reconsider every meter that was relocated in historic districts between September 13, 2014 and October 1, 2017, by meeting with the homeowner and, if necessary, relocating the meter (or installing bollards or other protection) at UGI’s sole cost where the relocated meter placement is not justified.</w:t>
      </w:r>
      <w:r w:rsidR="00000ADD">
        <w:rPr>
          <w:sz w:val="26"/>
          <w:szCs w:val="26"/>
        </w:rPr>
        <w:t xml:space="preserve">  City Exc. at 13.</w:t>
      </w:r>
      <w:r w:rsidR="000F0D93">
        <w:rPr>
          <w:sz w:val="26"/>
          <w:szCs w:val="26"/>
        </w:rPr>
        <w:t xml:space="preserve">  </w:t>
      </w:r>
      <w:r w:rsidR="000F0D93" w:rsidRPr="000F0D93">
        <w:rPr>
          <w:i/>
          <w:iCs/>
          <w:sz w:val="26"/>
          <w:szCs w:val="26"/>
        </w:rPr>
        <w:t>See also</w:t>
      </w:r>
      <w:r w:rsidR="000F0D93">
        <w:rPr>
          <w:sz w:val="26"/>
          <w:szCs w:val="26"/>
        </w:rPr>
        <w:t xml:space="preserve"> City Exc. at 17-18.</w:t>
      </w:r>
    </w:p>
    <w:p w14:paraId="3105C146" w14:textId="77777777" w:rsidR="00115958" w:rsidRPr="00012E4E" w:rsidRDefault="00115958" w:rsidP="008E1AD5">
      <w:pPr>
        <w:tabs>
          <w:tab w:val="left" w:pos="1440"/>
        </w:tabs>
        <w:jc w:val="both"/>
      </w:pPr>
    </w:p>
    <w:p w14:paraId="44D46522" w14:textId="156D1C05" w:rsidR="008C787B" w:rsidRPr="00255824" w:rsidRDefault="00115958" w:rsidP="008E1AD5">
      <w:pPr>
        <w:ind w:firstLine="0"/>
        <w:rPr>
          <w:rFonts w:ascii="Times New Roman Bold" w:hAnsi="Times New Roman Bold"/>
          <w:b/>
          <w:bCs/>
          <w:color w:val="000000"/>
          <w:sz w:val="26"/>
          <w:szCs w:val="26"/>
        </w:rPr>
      </w:pPr>
      <w:r>
        <w:tab/>
      </w:r>
      <w:r w:rsidR="006266D3">
        <w:tab/>
      </w:r>
      <w:r w:rsidR="0016206A" w:rsidRPr="0016206A">
        <w:rPr>
          <w:b/>
          <w:bCs/>
          <w:sz w:val="26"/>
          <w:szCs w:val="26"/>
        </w:rPr>
        <w:t>b.</w:t>
      </w:r>
      <w:r w:rsidR="0016206A">
        <w:tab/>
      </w:r>
      <w:r w:rsidR="0073015D" w:rsidRPr="00255824">
        <w:rPr>
          <w:rFonts w:ascii="Times New Roman Bold" w:hAnsi="Times New Roman Bold"/>
          <w:b/>
          <w:bCs/>
          <w:sz w:val="26"/>
        </w:rPr>
        <w:t>UGI’s Replies</w:t>
      </w:r>
    </w:p>
    <w:p w14:paraId="2338A6DD" w14:textId="77777777" w:rsidR="00B03323" w:rsidRDefault="00B03323" w:rsidP="008E1AD5">
      <w:pPr>
        <w:ind w:right="72" w:firstLine="720"/>
        <w:textAlignment w:val="baseline"/>
        <w:rPr>
          <w:sz w:val="26"/>
        </w:rPr>
      </w:pPr>
    </w:p>
    <w:p w14:paraId="4F663A23" w14:textId="3480399B" w:rsidR="00B03323" w:rsidRPr="000C7634" w:rsidRDefault="00B03323" w:rsidP="008E1AD5">
      <w:pPr>
        <w:ind w:right="72" w:firstLine="720"/>
        <w:textAlignment w:val="baseline"/>
        <w:rPr>
          <w:b/>
          <w:bCs/>
          <w:sz w:val="26"/>
        </w:rPr>
      </w:pPr>
      <w:r>
        <w:rPr>
          <w:sz w:val="26"/>
        </w:rPr>
        <w:tab/>
        <w:t xml:space="preserve">In reply, UGI avers that the </w:t>
      </w:r>
      <w:r w:rsidRPr="00B03323">
        <w:rPr>
          <w:sz w:val="26"/>
        </w:rPr>
        <w:t>AL</w:t>
      </w:r>
      <w:r>
        <w:rPr>
          <w:sz w:val="26"/>
        </w:rPr>
        <w:t>J</w:t>
      </w:r>
      <w:r w:rsidRPr="00B03323">
        <w:rPr>
          <w:sz w:val="26"/>
        </w:rPr>
        <w:t xml:space="preserve"> properly determined that the C</w:t>
      </w:r>
      <w:r>
        <w:rPr>
          <w:sz w:val="26"/>
        </w:rPr>
        <w:t>ity Parties</w:t>
      </w:r>
      <w:r w:rsidRPr="00B03323">
        <w:rPr>
          <w:sz w:val="26"/>
        </w:rPr>
        <w:t xml:space="preserve"> were not entitled to their requested relief and that civil penalties were not warranted</w:t>
      </w:r>
      <w:r>
        <w:rPr>
          <w:sz w:val="26"/>
        </w:rPr>
        <w:t xml:space="preserve"> for several reasons</w:t>
      </w:r>
      <w:r w:rsidRPr="00B03323">
        <w:rPr>
          <w:sz w:val="26"/>
        </w:rPr>
        <w:t>.</w:t>
      </w:r>
      <w:r>
        <w:rPr>
          <w:sz w:val="26"/>
        </w:rPr>
        <w:t xml:space="preserve">  </w:t>
      </w:r>
      <w:r w:rsidRPr="00B03323">
        <w:rPr>
          <w:spacing w:val="-2"/>
          <w:sz w:val="26"/>
        </w:rPr>
        <w:t xml:space="preserve">First, </w:t>
      </w:r>
      <w:r>
        <w:rPr>
          <w:spacing w:val="-2"/>
          <w:sz w:val="26"/>
        </w:rPr>
        <w:t xml:space="preserve">UGI states that </w:t>
      </w:r>
      <w:r w:rsidRPr="00B03323">
        <w:rPr>
          <w:spacing w:val="-2"/>
          <w:sz w:val="26"/>
        </w:rPr>
        <w:t xml:space="preserve">the requested relief would impose new regulatory standards on UGI </w:t>
      </w:r>
      <w:r>
        <w:rPr>
          <w:spacing w:val="-2"/>
          <w:sz w:val="26"/>
        </w:rPr>
        <w:t>by</w:t>
      </w:r>
      <w:r w:rsidRPr="00B03323">
        <w:rPr>
          <w:spacing w:val="-2"/>
          <w:sz w:val="26"/>
        </w:rPr>
        <w:t xml:space="preserve"> mak</w:t>
      </w:r>
      <w:r>
        <w:rPr>
          <w:spacing w:val="-2"/>
          <w:sz w:val="26"/>
        </w:rPr>
        <w:t>ing</w:t>
      </w:r>
      <w:r w:rsidRPr="00B03323">
        <w:rPr>
          <w:spacing w:val="-2"/>
          <w:sz w:val="26"/>
        </w:rPr>
        <w:t xml:space="preserve"> inside meters the rule, not the exception. </w:t>
      </w:r>
      <w:r>
        <w:rPr>
          <w:spacing w:val="-2"/>
          <w:sz w:val="26"/>
        </w:rPr>
        <w:t xml:space="preserve"> </w:t>
      </w:r>
      <w:r w:rsidR="001D504C">
        <w:rPr>
          <w:spacing w:val="-2"/>
          <w:sz w:val="26"/>
        </w:rPr>
        <w:t xml:space="preserve">UGI R. Exc. at 13.  </w:t>
      </w:r>
      <w:r w:rsidR="008A7CC3">
        <w:rPr>
          <w:spacing w:val="-2"/>
          <w:sz w:val="26"/>
        </w:rPr>
        <w:t>UGI contends that</w:t>
      </w:r>
      <w:r w:rsidRPr="00B03323">
        <w:rPr>
          <w:sz w:val="26"/>
        </w:rPr>
        <w:t xml:space="preserve"> if the C</w:t>
      </w:r>
      <w:r w:rsidR="008A7CC3">
        <w:rPr>
          <w:sz w:val="26"/>
        </w:rPr>
        <w:t>ity Parties’</w:t>
      </w:r>
      <w:r w:rsidRPr="00B03323">
        <w:rPr>
          <w:sz w:val="26"/>
        </w:rPr>
        <w:t xml:space="preserve"> relief were granted, the Company would be forced to install most, if not all, meters inside historic buildings and relocate the vast majority of outside meters for historic buildings to the interior of those buildings. </w:t>
      </w:r>
      <w:r w:rsidR="005234F6">
        <w:rPr>
          <w:sz w:val="26"/>
        </w:rPr>
        <w:t xml:space="preserve"> </w:t>
      </w:r>
      <w:r w:rsidR="001430A1">
        <w:rPr>
          <w:sz w:val="26"/>
        </w:rPr>
        <w:t xml:space="preserve">UGI believes that such relief </w:t>
      </w:r>
      <w:r w:rsidRPr="00B03323">
        <w:rPr>
          <w:sz w:val="26"/>
        </w:rPr>
        <w:t>explicitly contradicts Section 59.18(d)(1)(ii).</w:t>
      </w:r>
    </w:p>
    <w:p w14:paraId="1FD11FFE" w14:textId="77777777" w:rsidR="001430A1" w:rsidRPr="00B03323" w:rsidRDefault="001430A1" w:rsidP="008E1AD5">
      <w:pPr>
        <w:ind w:right="72" w:firstLine="720"/>
        <w:textAlignment w:val="baseline"/>
        <w:rPr>
          <w:sz w:val="26"/>
        </w:rPr>
      </w:pPr>
    </w:p>
    <w:p w14:paraId="34C50D7E" w14:textId="3AB6D630" w:rsidR="00B03323" w:rsidRPr="00DB73AE" w:rsidRDefault="005A07BD" w:rsidP="008E1AD5">
      <w:pPr>
        <w:ind w:left="72" w:right="72" w:firstLine="648"/>
        <w:textAlignment w:val="baseline"/>
        <w:rPr>
          <w:sz w:val="26"/>
        </w:rPr>
      </w:pPr>
      <w:r>
        <w:rPr>
          <w:sz w:val="26"/>
        </w:rPr>
        <w:tab/>
      </w:r>
      <w:r w:rsidR="00B03323" w:rsidRPr="00DB73AE">
        <w:rPr>
          <w:sz w:val="26"/>
        </w:rPr>
        <w:t xml:space="preserve">Second, </w:t>
      </w:r>
      <w:r w:rsidR="00DB73AE">
        <w:rPr>
          <w:sz w:val="26"/>
        </w:rPr>
        <w:t xml:space="preserve">UGI disagrees with </w:t>
      </w:r>
      <w:r w:rsidR="00B03323" w:rsidRPr="00DB73AE">
        <w:rPr>
          <w:sz w:val="26"/>
        </w:rPr>
        <w:t>the C</w:t>
      </w:r>
      <w:r w:rsidR="00DB73AE">
        <w:rPr>
          <w:sz w:val="26"/>
        </w:rPr>
        <w:t>ity’</w:t>
      </w:r>
      <w:r w:rsidR="00C33154">
        <w:rPr>
          <w:sz w:val="26"/>
        </w:rPr>
        <w:t>s</w:t>
      </w:r>
      <w:r w:rsidR="00B03323" w:rsidRPr="00DB73AE">
        <w:rPr>
          <w:sz w:val="26"/>
        </w:rPr>
        <w:t xml:space="preserve"> request that the Commission adopt </w:t>
      </w:r>
      <w:r w:rsidR="00DB73AE">
        <w:rPr>
          <w:sz w:val="26"/>
        </w:rPr>
        <w:t>a</w:t>
      </w:r>
      <w:r w:rsidR="00B03323" w:rsidRPr="00DB73AE">
        <w:rPr>
          <w:sz w:val="26"/>
        </w:rPr>
        <w:t xml:space="preserve"> </w:t>
      </w:r>
      <w:r w:rsidR="00DB73AE">
        <w:rPr>
          <w:sz w:val="26"/>
        </w:rPr>
        <w:t>fifteen</w:t>
      </w:r>
      <w:r w:rsidR="00B03323" w:rsidRPr="00DB73AE">
        <w:rPr>
          <w:sz w:val="26"/>
        </w:rPr>
        <w:t xml:space="preserve">-foot rule </w:t>
      </w:r>
      <w:r w:rsidR="00DB73AE">
        <w:rPr>
          <w:sz w:val="26"/>
        </w:rPr>
        <w:t>governing</w:t>
      </w:r>
      <w:r w:rsidR="00B03323" w:rsidRPr="00DB73AE">
        <w:rPr>
          <w:sz w:val="26"/>
        </w:rPr>
        <w:t xml:space="preserve"> the allowable distances between meters and street curbs and apply it to UGI.</w:t>
      </w:r>
      <w:r w:rsidR="00DB73AE">
        <w:rPr>
          <w:sz w:val="26"/>
        </w:rPr>
        <w:t xml:space="preserve">  </w:t>
      </w:r>
      <w:r w:rsidR="00DB73AE" w:rsidRPr="00DB73AE">
        <w:rPr>
          <w:i/>
          <w:iCs/>
          <w:sz w:val="26"/>
        </w:rPr>
        <w:t>Id</w:t>
      </w:r>
      <w:r w:rsidR="00DB73AE">
        <w:rPr>
          <w:sz w:val="26"/>
        </w:rPr>
        <w:t>. at 14.  UGI contends that there are no</w:t>
      </w:r>
      <w:r w:rsidR="00B03323" w:rsidRPr="00DB73AE">
        <w:rPr>
          <w:sz w:val="26"/>
        </w:rPr>
        <w:t xml:space="preserve"> Commission or </w:t>
      </w:r>
      <w:r w:rsidR="00CC5397">
        <w:rPr>
          <w:sz w:val="26"/>
        </w:rPr>
        <w:t>Federal Regulations</w:t>
      </w:r>
      <w:r w:rsidR="00B03323" w:rsidRPr="00DB73AE">
        <w:rPr>
          <w:sz w:val="26"/>
        </w:rPr>
        <w:t xml:space="preserve"> contain</w:t>
      </w:r>
      <w:r w:rsidR="00DB73AE">
        <w:rPr>
          <w:sz w:val="26"/>
        </w:rPr>
        <w:t>ing such a fifteen</w:t>
      </w:r>
      <w:r w:rsidR="00B03323" w:rsidRPr="00DB73AE">
        <w:rPr>
          <w:sz w:val="26"/>
        </w:rPr>
        <w:t>-foot rule</w:t>
      </w:r>
      <w:r w:rsidR="00DB73AE">
        <w:rPr>
          <w:sz w:val="26"/>
        </w:rPr>
        <w:t xml:space="preserve"> and,</w:t>
      </w:r>
      <w:r w:rsidR="00B03323" w:rsidRPr="00DB73AE">
        <w:rPr>
          <w:sz w:val="26"/>
        </w:rPr>
        <w:t xml:space="preserve"> </w:t>
      </w:r>
      <w:r w:rsidR="00DB73AE">
        <w:rPr>
          <w:sz w:val="26"/>
        </w:rPr>
        <w:t>t</w:t>
      </w:r>
      <w:r w:rsidR="00B03323" w:rsidRPr="00DB73AE">
        <w:rPr>
          <w:sz w:val="26"/>
        </w:rPr>
        <w:t xml:space="preserve">herefore, UGI would be subject to </w:t>
      </w:r>
      <w:r w:rsidR="00B03323" w:rsidRPr="00DB73AE">
        <w:rPr>
          <w:sz w:val="26"/>
        </w:rPr>
        <w:lastRenderedPageBreak/>
        <w:t>a more restrictive standard on meter location than any other NGDC operating in Pennsylvania.</w:t>
      </w:r>
      <w:r w:rsidR="00DB73AE">
        <w:rPr>
          <w:sz w:val="26"/>
        </w:rPr>
        <w:t xml:space="preserve">  </w:t>
      </w:r>
      <w:r w:rsidR="00DB73AE" w:rsidRPr="00DB73AE">
        <w:rPr>
          <w:i/>
          <w:iCs/>
          <w:sz w:val="26"/>
        </w:rPr>
        <w:t>Id</w:t>
      </w:r>
      <w:r w:rsidR="00DB73AE">
        <w:rPr>
          <w:sz w:val="26"/>
        </w:rPr>
        <w:t>. at 14-15.</w:t>
      </w:r>
    </w:p>
    <w:p w14:paraId="06A379C9" w14:textId="77777777" w:rsidR="00993569" w:rsidRPr="00DB73AE" w:rsidRDefault="00993569" w:rsidP="008E1AD5">
      <w:pPr>
        <w:textAlignment w:val="baseline"/>
        <w:rPr>
          <w:sz w:val="26"/>
        </w:rPr>
      </w:pPr>
    </w:p>
    <w:p w14:paraId="4883D3C9" w14:textId="1343B14D" w:rsidR="00C97D22" w:rsidRDefault="00D72EC6" w:rsidP="008E1AD5">
      <w:pPr>
        <w:ind w:right="72" w:firstLine="720"/>
        <w:textAlignment w:val="baseline"/>
        <w:rPr>
          <w:sz w:val="26"/>
        </w:rPr>
      </w:pPr>
      <w:r>
        <w:rPr>
          <w:sz w:val="26"/>
        </w:rPr>
        <w:tab/>
      </w:r>
      <w:r w:rsidR="00DB73AE">
        <w:rPr>
          <w:sz w:val="26"/>
        </w:rPr>
        <w:t>Third</w:t>
      </w:r>
      <w:r w:rsidR="00B03323" w:rsidRPr="00B03323">
        <w:rPr>
          <w:sz w:val="26"/>
        </w:rPr>
        <w:t xml:space="preserve">, </w:t>
      </w:r>
      <w:r w:rsidR="003A4700">
        <w:rPr>
          <w:sz w:val="26"/>
        </w:rPr>
        <w:t xml:space="preserve">UGI is concerned that </w:t>
      </w:r>
      <w:r w:rsidR="00B03323" w:rsidRPr="00B03323">
        <w:rPr>
          <w:sz w:val="26"/>
        </w:rPr>
        <w:t xml:space="preserve">applying these standards retroactively would force </w:t>
      </w:r>
      <w:r w:rsidR="003A4700">
        <w:rPr>
          <w:sz w:val="26"/>
        </w:rPr>
        <w:t>the Company</w:t>
      </w:r>
      <w:r w:rsidR="00B03323" w:rsidRPr="00B03323">
        <w:rPr>
          <w:sz w:val="26"/>
        </w:rPr>
        <w:t xml:space="preserve"> to divert labor and resources from its betterment projects and other initiatives aimed at improving the safety and integrity of </w:t>
      </w:r>
      <w:r w:rsidR="003A4700">
        <w:rPr>
          <w:sz w:val="26"/>
        </w:rPr>
        <w:t>its</w:t>
      </w:r>
      <w:r w:rsidR="00B03323" w:rsidRPr="00B03323">
        <w:rPr>
          <w:sz w:val="26"/>
        </w:rPr>
        <w:t xml:space="preserve"> natural gas distribution system based on system risks identified in the Company</w:t>
      </w:r>
      <w:r w:rsidR="003A4700">
        <w:rPr>
          <w:sz w:val="26"/>
        </w:rPr>
        <w:t>’</w:t>
      </w:r>
      <w:r w:rsidR="00B03323" w:rsidRPr="00B03323">
        <w:rPr>
          <w:sz w:val="26"/>
        </w:rPr>
        <w:t>s Distribution Integrity Management Plan.</w:t>
      </w:r>
      <w:r w:rsidR="00401A70">
        <w:rPr>
          <w:sz w:val="26"/>
        </w:rPr>
        <w:t xml:space="preserve">  UGI R. Exc. at 15.  </w:t>
      </w:r>
      <w:r w:rsidR="001D3DD6">
        <w:rPr>
          <w:sz w:val="26"/>
        </w:rPr>
        <w:t>Fourth</w:t>
      </w:r>
      <w:r w:rsidR="00B03323" w:rsidRPr="00B03323">
        <w:rPr>
          <w:spacing w:val="-2"/>
          <w:sz w:val="26"/>
        </w:rPr>
        <w:t xml:space="preserve">, the </w:t>
      </w:r>
      <w:r w:rsidR="00401A70">
        <w:rPr>
          <w:spacing w:val="-2"/>
          <w:sz w:val="26"/>
        </w:rPr>
        <w:t xml:space="preserve">Company contends that the </w:t>
      </w:r>
      <w:r w:rsidR="00B03323" w:rsidRPr="00B03323">
        <w:rPr>
          <w:spacing w:val="-2"/>
          <w:sz w:val="26"/>
        </w:rPr>
        <w:t xml:space="preserve">City </w:t>
      </w:r>
      <w:r w:rsidR="00401A70">
        <w:rPr>
          <w:spacing w:val="-2"/>
          <w:sz w:val="26"/>
        </w:rPr>
        <w:t xml:space="preserve">is improperly </w:t>
      </w:r>
      <w:r w:rsidR="00B03323" w:rsidRPr="00B03323">
        <w:rPr>
          <w:spacing w:val="-2"/>
          <w:sz w:val="26"/>
        </w:rPr>
        <w:t>attempt</w:t>
      </w:r>
      <w:r w:rsidR="001C758F">
        <w:rPr>
          <w:spacing w:val="-2"/>
          <w:sz w:val="26"/>
        </w:rPr>
        <w:t>ing</w:t>
      </w:r>
      <w:r w:rsidR="00B03323" w:rsidRPr="00B03323">
        <w:rPr>
          <w:spacing w:val="-2"/>
          <w:sz w:val="26"/>
        </w:rPr>
        <w:t xml:space="preserve"> to impose Commission regulatory standards </w:t>
      </w:r>
      <w:r w:rsidR="00401A70">
        <w:rPr>
          <w:spacing w:val="-2"/>
          <w:sz w:val="26"/>
        </w:rPr>
        <w:t xml:space="preserve">only on UGI </w:t>
      </w:r>
      <w:r w:rsidR="00B03323" w:rsidRPr="00B03323">
        <w:rPr>
          <w:spacing w:val="-2"/>
          <w:sz w:val="26"/>
        </w:rPr>
        <w:t xml:space="preserve">through this Complaint proceeding, rather than through a statewide rulemaking proceeding in which all NGDCs are able to participate. </w:t>
      </w:r>
      <w:r w:rsidR="00401A70">
        <w:rPr>
          <w:spacing w:val="-2"/>
          <w:sz w:val="26"/>
        </w:rPr>
        <w:t xml:space="preserve"> </w:t>
      </w:r>
      <w:r w:rsidR="00401A70" w:rsidRPr="00401A70">
        <w:rPr>
          <w:i/>
          <w:iCs/>
          <w:spacing w:val="-2"/>
          <w:sz w:val="26"/>
        </w:rPr>
        <w:t>Id</w:t>
      </w:r>
      <w:r w:rsidR="00401A70">
        <w:rPr>
          <w:spacing w:val="-2"/>
          <w:sz w:val="26"/>
        </w:rPr>
        <w:t xml:space="preserve">. </w:t>
      </w:r>
      <w:r w:rsidR="001C758F">
        <w:rPr>
          <w:spacing w:val="-2"/>
          <w:sz w:val="26"/>
        </w:rPr>
        <w:t>at 15-16</w:t>
      </w:r>
      <w:r w:rsidR="00401A70">
        <w:rPr>
          <w:spacing w:val="-2"/>
          <w:sz w:val="26"/>
        </w:rPr>
        <w:t xml:space="preserve"> (citing </w:t>
      </w:r>
      <w:r w:rsidR="001C758F" w:rsidRPr="00B03323">
        <w:rPr>
          <w:i/>
          <w:sz w:val="26"/>
        </w:rPr>
        <w:t xml:space="preserve">PPL Elec. Utils. Corp. v. City of Lancaster, </w:t>
      </w:r>
      <w:r w:rsidR="001C758F" w:rsidRPr="00B03323">
        <w:rPr>
          <w:sz w:val="26"/>
        </w:rPr>
        <w:t>125 A.3d 837, 853 (Pa. Cmwlth. 2015)</w:t>
      </w:r>
      <w:r w:rsidR="001C758F">
        <w:rPr>
          <w:spacing w:val="-2"/>
          <w:sz w:val="26"/>
        </w:rPr>
        <w:t>)</w:t>
      </w:r>
      <w:r w:rsidR="00B03323" w:rsidRPr="00B03323">
        <w:rPr>
          <w:spacing w:val="-2"/>
          <w:sz w:val="26"/>
        </w:rPr>
        <w:t>.</w:t>
      </w:r>
      <w:r w:rsidR="00B953D3">
        <w:rPr>
          <w:spacing w:val="-2"/>
          <w:sz w:val="26"/>
        </w:rPr>
        <w:t xml:space="preserve">  The Company also contends that if, o</w:t>
      </w:r>
      <w:r w:rsidR="00B03323" w:rsidRPr="00B03323">
        <w:rPr>
          <w:sz w:val="26"/>
        </w:rPr>
        <w:t xml:space="preserve">n the other hand, the Commission decides to prospectively adopt new regulatory standards here for all NGDCs, </w:t>
      </w:r>
      <w:r w:rsidR="00B953D3">
        <w:rPr>
          <w:sz w:val="26"/>
        </w:rPr>
        <w:t xml:space="preserve">both UGI’s and </w:t>
      </w:r>
      <w:r w:rsidR="00B03323" w:rsidRPr="00B03323">
        <w:rPr>
          <w:sz w:val="26"/>
        </w:rPr>
        <w:t>all of the other NGDCs</w:t>
      </w:r>
      <w:r w:rsidR="00B953D3">
        <w:rPr>
          <w:sz w:val="26"/>
        </w:rPr>
        <w:t>’</w:t>
      </w:r>
      <w:r w:rsidR="00B03323" w:rsidRPr="00B03323">
        <w:rPr>
          <w:sz w:val="26"/>
        </w:rPr>
        <w:t xml:space="preserve"> due process rights would be violated because they have no</w:t>
      </w:r>
      <w:r w:rsidR="00B953D3">
        <w:rPr>
          <w:sz w:val="26"/>
        </w:rPr>
        <w:t>t been provided with notice and an</w:t>
      </w:r>
      <w:r w:rsidR="00B03323" w:rsidRPr="00B03323">
        <w:rPr>
          <w:sz w:val="26"/>
        </w:rPr>
        <w:t xml:space="preserve"> opportunity to be heard. </w:t>
      </w:r>
      <w:r w:rsidR="00B953D3">
        <w:rPr>
          <w:sz w:val="26"/>
        </w:rPr>
        <w:t xml:space="preserve"> </w:t>
      </w:r>
      <w:r w:rsidR="00C97D22">
        <w:rPr>
          <w:sz w:val="26"/>
        </w:rPr>
        <w:t xml:space="preserve">UGI R. Exc. at 16 (citing </w:t>
      </w:r>
      <w:r w:rsidR="00B03323" w:rsidRPr="00B03323">
        <w:rPr>
          <w:i/>
          <w:sz w:val="26"/>
        </w:rPr>
        <w:t>Hess v. Pa. PUC</w:t>
      </w:r>
      <w:r w:rsidR="00915CFC">
        <w:rPr>
          <w:i/>
          <w:sz w:val="26"/>
        </w:rPr>
        <w:t xml:space="preserve"> </w:t>
      </w:r>
      <w:r w:rsidR="00915CFC">
        <w:rPr>
          <w:iCs/>
          <w:sz w:val="26"/>
        </w:rPr>
        <w:t>(</w:t>
      </w:r>
      <w:r w:rsidR="00915CFC" w:rsidRPr="00915CFC">
        <w:rPr>
          <w:i/>
          <w:sz w:val="26"/>
        </w:rPr>
        <w:t>Hess</w:t>
      </w:r>
      <w:r w:rsidR="00915CFC">
        <w:rPr>
          <w:iCs/>
          <w:sz w:val="26"/>
        </w:rPr>
        <w:t>)</w:t>
      </w:r>
      <w:r w:rsidR="00B03323" w:rsidRPr="00B03323">
        <w:rPr>
          <w:i/>
          <w:sz w:val="26"/>
        </w:rPr>
        <w:t xml:space="preserve">, </w:t>
      </w:r>
      <w:r w:rsidR="00B03323" w:rsidRPr="00B03323">
        <w:rPr>
          <w:sz w:val="26"/>
        </w:rPr>
        <w:t>107 A.3d 246, 266 (Pa. Cmwlth. 2014)</w:t>
      </w:r>
      <w:r w:rsidR="00C97D22">
        <w:rPr>
          <w:sz w:val="26"/>
        </w:rPr>
        <w:t>)</w:t>
      </w:r>
      <w:r w:rsidR="00B03323" w:rsidRPr="00B03323">
        <w:rPr>
          <w:sz w:val="26"/>
        </w:rPr>
        <w:t>.</w:t>
      </w:r>
    </w:p>
    <w:p w14:paraId="04608F9A" w14:textId="77777777" w:rsidR="00B03323" w:rsidRPr="00B03323" w:rsidRDefault="00B03323" w:rsidP="008E1AD5">
      <w:pPr>
        <w:ind w:right="72" w:firstLine="720"/>
        <w:textAlignment w:val="baseline"/>
        <w:rPr>
          <w:sz w:val="26"/>
        </w:rPr>
      </w:pPr>
      <w:r w:rsidRPr="00B03323">
        <w:rPr>
          <w:sz w:val="26"/>
        </w:rPr>
        <w:t xml:space="preserve"> </w:t>
      </w:r>
    </w:p>
    <w:p w14:paraId="0771C8A9" w14:textId="77777777" w:rsidR="001D3DD6" w:rsidRDefault="00C97D22" w:rsidP="008E1AD5">
      <w:pPr>
        <w:ind w:firstLine="0"/>
        <w:rPr>
          <w:spacing w:val="-1"/>
          <w:sz w:val="26"/>
        </w:rPr>
      </w:pPr>
      <w:r>
        <w:rPr>
          <w:sz w:val="26"/>
        </w:rPr>
        <w:tab/>
      </w:r>
      <w:r>
        <w:rPr>
          <w:sz w:val="26"/>
        </w:rPr>
        <w:tab/>
      </w:r>
      <w:r w:rsidR="00B03323" w:rsidRPr="00B03323">
        <w:rPr>
          <w:sz w:val="26"/>
        </w:rPr>
        <w:t>F</w:t>
      </w:r>
      <w:r w:rsidR="001D3DD6">
        <w:rPr>
          <w:sz w:val="26"/>
        </w:rPr>
        <w:t>ifth</w:t>
      </w:r>
      <w:r w:rsidR="00B03323" w:rsidRPr="00B03323">
        <w:rPr>
          <w:sz w:val="26"/>
        </w:rPr>
        <w:t xml:space="preserve">, </w:t>
      </w:r>
      <w:r w:rsidR="00285A29">
        <w:rPr>
          <w:sz w:val="26"/>
        </w:rPr>
        <w:t xml:space="preserve">UGI avers that the ALJ correctly found that </w:t>
      </w:r>
      <w:r w:rsidR="00B03323" w:rsidRPr="00B03323">
        <w:rPr>
          <w:sz w:val="26"/>
        </w:rPr>
        <w:t xml:space="preserve">the </w:t>
      </w:r>
      <w:r w:rsidR="00285A29">
        <w:rPr>
          <w:sz w:val="26"/>
        </w:rPr>
        <w:t xml:space="preserve">Commission’s Policy Statement does not </w:t>
      </w:r>
      <w:r w:rsidR="00B03323" w:rsidRPr="00B03323">
        <w:rPr>
          <w:sz w:val="26"/>
        </w:rPr>
        <w:t>support imposing civil penalties on</w:t>
      </w:r>
      <w:r w:rsidR="00B26BF8">
        <w:rPr>
          <w:sz w:val="26"/>
        </w:rPr>
        <w:t xml:space="preserve"> the Company</w:t>
      </w:r>
      <w:r w:rsidR="00B03323" w:rsidRPr="00B03323">
        <w:rPr>
          <w:sz w:val="26"/>
        </w:rPr>
        <w:t>.</w:t>
      </w:r>
      <w:r w:rsidR="00B26BF8">
        <w:rPr>
          <w:sz w:val="26"/>
        </w:rPr>
        <w:t xml:space="preserve"> </w:t>
      </w:r>
      <w:r w:rsidR="004D6ADD">
        <w:rPr>
          <w:sz w:val="26"/>
        </w:rPr>
        <w:t xml:space="preserve"> UGI states that its </w:t>
      </w:r>
      <w:r w:rsidR="00B03323" w:rsidRPr="00B03323">
        <w:rPr>
          <w:spacing w:val="-1"/>
          <w:sz w:val="26"/>
        </w:rPr>
        <w:t xml:space="preserve">conduct was not of a </w:t>
      </w:r>
      <w:r w:rsidR="004D6ADD">
        <w:rPr>
          <w:spacing w:val="-1"/>
          <w:sz w:val="26"/>
        </w:rPr>
        <w:t>serious</w:t>
      </w:r>
      <w:r w:rsidR="00B03323" w:rsidRPr="00B03323">
        <w:rPr>
          <w:spacing w:val="-1"/>
          <w:sz w:val="26"/>
        </w:rPr>
        <w:t xml:space="preserve"> nature,</w:t>
      </w:r>
      <w:r w:rsidR="004D6ADD">
        <w:rPr>
          <w:spacing w:val="-1"/>
          <w:sz w:val="26"/>
        </w:rPr>
        <w:t xml:space="preserve"> and the consequences of its conduct were not of a serious nature, </w:t>
      </w:r>
      <w:r w:rsidR="0056314B">
        <w:rPr>
          <w:spacing w:val="-1"/>
          <w:sz w:val="26"/>
        </w:rPr>
        <w:t>as</w:t>
      </w:r>
      <w:r w:rsidR="0056314B" w:rsidRPr="00B03323">
        <w:rPr>
          <w:spacing w:val="-1"/>
          <w:sz w:val="26"/>
        </w:rPr>
        <w:t xml:space="preserve"> </w:t>
      </w:r>
      <w:r w:rsidR="0056314B">
        <w:rPr>
          <w:spacing w:val="-1"/>
          <w:sz w:val="26"/>
        </w:rPr>
        <w:t xml:space="preserve">the City Parties </w:t>
      </w:r>
      <w:r w:rsidR="0056314B" w:rsidRPr="00B03323">
        <w:rPr>
          <w:spacing w:val="-1"/>
          <w:sz w:val="26"/>
        </w:rPr>
        <w:t>failed to prove that the outside meter placements were unsafe or caused any actual</w:t>
      </w:r>
      <w:r w:rsidR="0056314B">
        <w:rPr>
          <w:spacing w:val="-1"/>
          <w:sz w:val="26"/>
        </w:rPr>
        <w:t xml:space="preserve"> </w:t>
      </w:r>
      <w:r w:rsidR="0056314B" w:rsidRPr="00B03323">
        <w:rPr>
          <w:sz w:val="26"/>
        </w:rPr>
        <w:t xml:space="preserve">injury or damage. </w:t>
      </w:r>
      <w:r w:rsidR="00B03323" w:rsidRPr="00B03323">
        <w:rPr>
          <w:spacing w:val="-1"/>
          <w:sz w:val="26"/>
        </w:rPr>
        <w:t xml:space="preserve"> </w:t>
      </w:r>
      <w:r w:rsidR="0056314B">
        <w:rPr>
          <w:spacing w:val="-1"/>
          <w:sz w:val="26"/>
        </w:rPr>
        <w:t xml:space="preserve">UGI R. Exc. at 17-18 (citing 52 Pa. Code </w:t>
      </w:r>
    </w:p>
    <w:p w14:paraId="332BBA56" w14:textId="389BA39C" w:rsidR="0056314B" w:rsidRDefault="0056314B" w:rsidP="008E1AD5">
      <w:pPr>
        <w:ind w:firstLine="0"/>
        <w:rPr>
          <w:sz w:val="26"/>
        </w:rPr>
      </w:pPr>
      <w:r>
        <w:rPr>
          <w:spacing w:val="-1"/>
          <w:sz w:val="26"/>
        </w:rPr>
        <w:t>§</w:t>
      </w:r>
      <w:r w:rsidR="00B03323" w:rsidRPr="00B03323">
        <w:rPr>
          <w:i/>
          <w:spacing w:val="-1"/>
          <w:sz w:val="26"/>
        </w:rPr>
        <w:t xml:space="preserve"> </w:t>
      </w:r>
      <w:r w:rsidR="00B03323" w:rsidRPr="00B03323">
        <w:rPr>
          <w:spacing w:val="-1"/>
          <w:sz w:val="26"/>
        </w:rPr>
        <w:t>69.1201(c)(1)</w:t>
      </w:r>
      <w:r>
        <w:rPr>
          <w:spacing w:val="-1"/>
          <w:sz w:val="26"/>
        </w:rPr>
        <w:t>,(2)</w:t>
      </w:r>
      <w:r w:rsidR="00B03323" w:rsidRPr="00B03323">
        <w:rPr>
          <w:spacing w:val="-1"/>
          <w:sz w:val="26"/>
        </w:rPr>
        <w:t>.</w:t>
      </w:r>
      <w:r w:rsidRPr="0056314B">
        <w:rPr>
          <w:sz w:val="26"/>
        </w:rPr>
        <w:t xml:space="preserve"> </w:t>
      </w:r>
      <w:r>
        <w:rPr>
          <w:sz w:val="26"/>
        </w:rPr>
        <w:t xml:space="preserve"> UGI also states that </w:t>
      </w:r>
      <w:r w:rsidRPr="00B03323">
        <w:rPr>
          <w:sz w:val="26"/>
        </w:rPr>
        <w:t xml:space="preserve">to the extent </w:t>
      </w:r>
      <w:r>
        <w:rPr>
          <w:sz w:val="26"/>
        </w:rPr>
        <w:t xml:space="preserve">it </w:t>
      </w:r>
      <w:r w:rsidRPr="00B03323">
        <w:rPr>
          <w:sz w:val="26"/>
        </w:rPr>
        <w:t xml:space="preserve">is found to have violated the </w:t>
      </w:r>
      <w:r>
        <w:rPr>
          <w:sz w:val="26"/>
        </w:rPr>
        <w:t>R</w:t>
      </w:r>
      <w:r w:rsidRPr="00B03323">
        <w:rPr>
          <w:sz w:val="26"/>
        </w:rPr>
        <w:t>egulations, the Company</w:t>
      </w:r>
      <w:r>
        <w:rPr>
          <w:sz w:val="26"/>
        </w:rPr>
        <w:t>’</w:t>
      </w:r>
      <w:r w:rsidRPr="00B03323">
        <w:rPr>
          <w:sz w:val="26"/>
        </w:rPr>
        <w:t>s actions were not</w:t>
      </w:r>
      <w:r>
        <w:rPr>
          <w:sz w:val="26"/>
        </w:rPr>
        <w:t xml:space="preserve"> </w:t>
      </w:r>
      <w:r w:rsidRPr="00B03323">
        <w:rPr>
          <w:sz w:val="26"/>
        </w:rPr>
        <w:t>intentional</w:t>
      </w:r>
      <w:r>
        <w:rPr>
          <w:sz w:val="26"/>
        </w:rPr>
        <w:t xml:space="preserve"> because it </w:t>
      </w:r>
      <w:r w:rsidRPr="00B03323">
        <w:rPr>
          <w:sz w:val="26"/>
        </w:rPr>
        <w:t>has at all times strive</w:t>
      </w:r>
      <w:r>
        <w:rPr>
          <w:sz w:val="26"/>
        </w:rPr>
        <w:t>d</w:t>
      </w:r>
      <w:r w:rsidRPr="00B03323">
        <w:rPr>
          <w:sz w:val="26"/>
        </w:rPr>
        <w:t xml:space="preserve"> to </w:t>
      </w:r>
      <w:r>
        <w:rPr>
          <w:sz w:val="26"/>
        </w:rPr>
        <w:t>comply with</w:t>
      </w:r>
      <w:r w:rsidRPr="00B03323">
        <w:rPr>
          <w:sz w:val="26"/>
        </w:rPr>
        <w:t xml:space="preserve"> the Commission</w:t>
      </w:r>
      <w:r>
        <w:rPr>
          <w:sz w:val="26"/>
        </w:rPr>
        <w:t>’</w:t>
      </w:r>
      <w:r w:rsidRPr="00B03323">
        <w:rPr>
          <w:sz w:val="26"/>
        </w:rPr>
        <w:t xml:space="preserve">s </w:t>
      </w:r>
      <w:r>
        <w:rPr>
          <w:sz w:val="26"/>
        </w:rPr>
        <w:t>R</w:t>
      </w:r>
      <w:r w:rsidRPr="00B03323">
        <w:rPr>
          <w:sz w:val="26"/>
        </w:rPr>
        <w:t xml:space="preserve">egulations.  </w:t>
      </w:r>
      <w:r>
        <w:rPr>
          <w:sz w:val="26"/>
        </w:rPr>
        <w:t xml:space="preserve">UGI R. Exc. at 18 (citing </w:t>
      </w:r>
      <w:r w:rsidRPr="00B03323">
        <w:rPr>
          <w:sz w:val="26"/>
        </w:rPr>
        <w:t>52 Pa. Code § 69.1201(c)(3)</w:t>
      </w:r>
      <w:r>
        <w:rPr>
          <w:sz w:val="26"/>
        </w:rPr>
        <w:t>)</w:t>
      </w:r>
      <w:r w:rsidRPr="00B03323">
        <w:rPr>
          <w:sz w:val="26"/>
        </w:rPr>
        <w:t>.</w:t>
      </w:r>
    </w:p>
    <w:p w14:paraId="2F983EE6" w14:textId="77777777" w:rsidR="0056314B" w:rsidRPr="00B03323" w:rsidRDefault="0056314B" w:rsidP="008E1AD5">
      <w:pPr>
        <w:ind w:firstLine="0"/>
        <w:rPr>
          <w:sz w:val="26"/>
        </w:rPr>
      </w:pPr>
    </w:p>
    <w:p w14:paraId="7EB1C63B" w14:textId="77777777" w:rsidR="0056314B" w:rsidRDefault="0056314B" w:rsidP="008E1AD5">
      <w:pPr>
        <w:ind w:right="72" w:firstLine="720"/>
        <w:textAlignment w:val="baseline"/>
        <w:rPr>
          <w:sz w:val="26"/>
        </w:rPr>
      </w:pPr>
      <w:r>
        <w:rPr>
          <w:sz w:val="26"/>
        </w:rPr>
        <w:lastRenderedPageBreak/>
        <w:tab/>
      </w:r>
      <w:r w:rsidRPr="00B03323">
        <w:rPr>
          <w:sz w:val="26"/>
        </w:rPr>
        <w:t xml:space="preserve">Additionally, UGI </w:t>
      </w:r>
      <w:r>
        <w:rPr>
          <w:sz w:val="26"/>
        </w:rPr>
        <w:t xml:space="preserve">indicates that it </w:t>
      </w:r>
      <w:r w:rsidRPr="00B03323">
        <w:rPr>
          <w:sz w:val="26"/>
        </w:rPr>
        <w:t xml:space="preserve">modified its internal practices and procedures to address the conduct at issue and </w:t>
      </w:r>
      <w:r w:rsidR="001D3DD6">
        <w:rPr>
          <w:sz w:val="26"/>
        </w:rPr>
        <w:t xml:space="preserve">to </w:t>
      </w:r>
      <w:r w:rsidRPr="00B03323">
        <w:rPr>
          <w:sz w:val="26"/>
        </w:rPr>
        <w:t>prevent similar conduct in the future</w:t>
      </w:r>
      <w:r>
        <w:rPr>
          <w:sz w:val="26"/>
        </w:rPr>
        <w:t xml:space="preserve">.  </w:t>
      </w:r>
      <w:r w:rsidRPr="0056314B">
        <w:rPr>
          <w:i/>
          <w:iCs/>
          <w:sz w:val="26"/>
        </w:rPr>
        <w:t>Id</w:t>
      </w:r>
      <w:r>
        <w:rPr>
          <w:sz w:val="26"/>
        </w:rPr>
        <w:t xml:space="preserve">. (citing </w:t>
      </w:r>
      <w:r w:rsidRPr="00B03323">
        <w:rPr>
          <w:sz w:val="26"/>
        </w:rPr>
        <w:t>52 Pa. Code § 69.1201(c)(4)</w:t>
      </w:r>
      <w:r>
        <w:rPr>
          <w:sz w:val="26"/>
        </w:rPr>
        <w:t>)</w:t>
      </w:r>
      <w:r w:rsidRPr="00B03323">
        <w:rPr>
          <w:sz w:val="26"/>
        </w:rPr>
        <w:t xml:space="preserve">. </w:t>
      </w:r>
      <w:r>
        <w:rPr>
          <w:sz w:val="26"/>
        </w:rPr>
        <w:t xml:space="preserve"> UGI states that the rec</w:t>
      </w:r>
      <w:r w:rsidRPr="00B03323">
        <w:rPr>
          <w:sz w:val="26"/>
        </w:rPr>
        <w:t xml:space="preserve">ord </w:t>
      </w:r>
      <w:r>
        <w:rPr>
          <w:sz w:val="26"/>
        </w:rPr>
        <w:t>reflects</w:t>
      </w:r>
      <w:r w:rsidRPr="00B03323">
        <w:rPr>
          <w:sz w:val="26"/>
        </w:rPr>
        <w:t xml:space="preserve"> several steps </w:t>
      </w:r>
      <w:r w:rsidR="001D3DD6">
        <w:rPr>
          <w:sz w:val="26"/>
        </w:rPr>
        <w:t>the Company</w:t>
      </w:r>
      <w:r w:rsidRPr="00B03323">
        <w:rPr>
          <w:sz w:val="26"/>
        </w:rPr>
        <w:t xml:space="preserve"> took </w:t>
      </w:r>
      <w:r>
        <w:rPr>
          <w:sz w:val="26"/>
        </w:rPr>
        <w:t xml:space="preserve">in order </w:t>
      </w:r>
      <w:r w:rsidRPr="00B03323">
        <w:rPr>
          <w:sz w:val="26"/>
        </w:rPr>
        <w:t xml:space="preserve">to address the </w:t>
      </w:r>
      <w:r>
        <w:rPr>
          <w:sz w:val="26"/>
        </w:rPr>
        <w:t>City Parties’</w:t>
      </w:r>
      <w:r w:rsidRPr="00B03323">
        <w:rPr>
          <w:sz w:val="26"/>
        </w:rPr>
        <w:t xml:space="preserve"> concerns. </w:t>
      </w:r>
      <w:r>
        <w:rPr>
          <w:sz w:val="26"/>
        </w:rPr>
        <w:t xml:space="preserve"> UGI notes the following:</w:t>
      </w:r>
    </w:p>
    <w:p w14:paraId="050ECCFC" w14:textId="77777777" w:rsidR="0056314B" w:rsidRDefault="0056314B" w:rsidP="008E1AD5">
      <w:pPr>
        <w:ind w:right="72" w:firstLine="720"/>
        <w:textAlignment w:val="baseline"/>
        <w:rPr>
          <w:sz w:val="26"/>
        </w:rPr>
      </w:pPr>
    </w:p>
    <w:p w14:paraId="23DA834A" w14:textId="45E0611A" w:rsidR="0056314B" w:rsidRPr="00B03323" w:rsidRDefault="0056314B" w:rsidP="008E1AD5">
      <w:pPr>
        <w:spacing w:line="240" w:lineRule="auto"/>
        <w:ind w:left="1440" w:right="1440" w:firstLine="0"/>
        <w:textAlignment w:val="baseline"/>
        <w:rPr>
          <w:sz w:val="26"/>
        </w:rPr>
      </w:pPr>
      <w:r w:rsidRPr="00B03323">
        <w:rPr>
          <w:sz w:val="26"/>
        </w:rPr>
        <w:t>(1) UGI agreed to voluntarily modify its GOM effective July 31, 2016, to include (a) more specific requirements regarding meter protection and Americans with Disabilities Act  sidewalk width compliance and (b) additional guidance and consideration for meters located within historic districts; (2) the Company agreed to work with the City to have constituent complaints submitted to the City appropriately routed to UGI officials for response; (3) UGI personnel have met on several occasions with homeowners and interested parties to discuss the outside meter placement location in advance of the Company</w:t>
      </w:r>
      <w:r w:rsidR="00477D3C">
        <w:rPr>
          <w:sz w:val="26"/>
        </w:rPr>
        <w:t>’</w:t>
      </w:r>
      <w:r w:rsidRPr="00B03323">
        <w:rPr>
          <w:sz w:val="26"/>
        </w:rPr>
        <w:t xml:space="preserve">s work and, in the vast majority of cases, have found mutually agreed-upon locations to place an outside meter; (4) UGI developed a website for customers requesting reconsideration of inside meter placement as a means for easily communicating this preference; and (5) as part of its revisions to the GOM, customers can take steps to lessen the aesthetic impact of the outside meter, such as </w:t>
      </w:r>
      <w:r w:rsidR="00477D3C">
        <w:rPr>
          <w:sz w:val="26"/>
        </w:rPr>
        <w:t>“</w:t>
      </w:r>
      <w:r w:rsidRPr="00B03323">
        <w:rPr>
          <w:sz w:val="26"/>
        </w:rPr>
        <w:t>paint[ing] their meters to blend in with the surroundings, provided they do not paint over meter dials, regulator vents or vent lines.</w:t>
      </w:r>
      <w:r w:rsidR="00477D3C">
        <w:rPr>
          <w:sz w:val="26"/>
        </w:rPr>
        <w:t>”</w:t>
      </w:r>
    </w:p>
    <w:p w14:paraId="10EB7A03" w14:textId="505BCDAC" w:rsidR="0056314B" w:rsidRDefault="0056314B" w:rsidP="008E1AD5">
      <w:pPr>
        <w:spacing w:line="240" w:lineRule="auto"/>
        <w:ind w:left="1440" w:right="1440" w:firstLine="0"/>
        <w:rPr>
          <w:spacing w:val="-1"/>
          <w:sz w:val="26"/>
        </w:rPr>
      </w:pPr>
    </w:p>
    <w:p w14:paraId="34B48D8C" w14:textId="77777777" w:rsidR="00E94341" w:rsidRDefault="00E94341" w:rsidP="008E1AD5">
      <w:pPr>
        <w:ind w:firstLine="0"/>
        <w:rPr>
          <w:spacing w:val="-1"/>
          <w:sz w:val="26"/>
        </w:rPr>
      </w:pPr>
    </w:p>
    <w:p w14:paraId="0DA70024" w14:textId="6CEE2EC0" w:rsidR="00B03323" w:rsidRDefault="00E737C6" w:rsidP="008E1AD5">
      <w:pPr>
        <w:ind w:firstLine="0"/>
        <w:rPr>
          <w:sz w:val="26"/>
        </w:rPr>
      </w:pPr>
      <w:r>
        <w:rPr>
          <w:spacing w:val="-1"/>
          <w:sz w:val="26"/>
        </w:rPr>
        <w:t>UGI R. Exc. at 18.</w:t>
      </w:r>
      <w:r w:rsidR="00982919">
        <w:rPr>
          <w:spacing w:val="-1"/>
          <w:sz w:val="26"/>
        </w:rPr>
        <w:t xml:space="preserve">  </w:t>
      </w:r>
      <w:r>
        <w:rPr>
          <w:spacing w:val="-1"/>
          <w:sz w:val="26"/>
        </w:rPr>
        <w:t xml:space="preserve">UGI </w:t>
      </w:r>
      <w:r w:rsidR="00982919">
        <w:rPr>
          <w:spacing w:val="-1"/>
          <w:sz w:val="26"/>
        </w:rPr>
        <w:t>avers</w:t>
      </w:r>
      <w:r>
        <w:rPr>
          <w:spacing w:val="-1"/>
          <w:sz w:val="26"/>
        </w:rPr>
        <w:t xml:space="preserve"> </w:t>
      </w:r>
      <w:r w:rsidR="00982919">
        <w:rPr>
          <w:spacing w:val="-1"/>
          <w:sz w:val="26"/>
        </w:rPr>
        <w:t xml:space="preserve">that </w:t>
      </w:r>
      <w:r>
        <w:rPr>
          <w:spacing w:val="-1"/>
          <w:sz w:val="26"/>
        </w:rPr>
        <w:t>there is no</w:t>
      </w:r>
      <w:r w:rsidR="00B03323" w:rsidRPr="00B03323">
        <w:rPr>
          <w:sz w:val="26"/>
        </w:rPr>
        <w:t xml:space="preserve"> need to deter any alleged future violations, because the ALJ properly found that </w:t>
      </w:r>
      <w:r>
        <w:rPr>
          <w:sz w:val="26"/>
        </w:rPr>
        <w:t>the Company’s</w:t>
      </w:r>
      <w:r w:rsidR="00B03323" w:rsidRPr="00B03323">
        <w:rPr>
          <w:sz w:val="26"/>
        </w:rPr>
        <w:t xml:space="preserve"> current policy is consistent with the Commission</w:t>
      </w:r>
      <w:r>
        <w:rPr>
          <w:sz w:val="26"/>
        </w:rPr>
        <w:t>’</w:t>
      </w:r>
      <w:r w:rsidR="00B03323" w:rsidRPr="00B03323">
        <w:rPr>
          <w:sz w:val="26"/>
        </w:rPr>
        <w:t xml:space="preserve">s </w:t>
      </w:r>
      <w:r>
        <w:rPr>
          <w:sz w:val="26"/>
        </w:rPr>
        <w:t>R</w:t>
      </w:r>
      <w:r w:rsidR="00B03323" w:rsidRPr="00B03323">
        <w:rPr>
          <w:sz w:val="26"/>
        </w:rPr>
        <w:t xml:space="preserve">egulations. </w:t>
      </w:r>
      <w:r w:rsidR="00A161ED">
        <w:rPr>
          <w:sz w:val="26"/>
        </w:rPr>
        <w:t xml:space="preserve"> </w:t>
      </w:r>
      <w:r w:rsidR="00805F20">
        <w:rPr>
          <w:sz w:val="26"/>
        </w:rPr>
        <w:t xml:space="preserve">UGI R. Exc. at 18-19 (citing </w:t>
      </w:r>
      <w:r w:rsidR="00805F20" w:rsidRPr="00B03323">
        <w:rPr>
          <w:spacing w:val="-1"/>
          <w:sz w:val="26"/>
        </w:rPr>
        <w:t>52 Pa. Code § 69.1201</w:t>
      </w:r>
      <w:r w:rsidR="00805F20">
        <w:rPr>
          <w:spacing w:val="-1"/>
          <w:sz w:val="26"/>
        </w:rPr>
        <w:t>(c)(9)).</w:t>
      </w:r>
    </w:p>
    <w:p w14:paraId="5ABD151B" w14:textId="77777777" w:rsidR="00755455" w:rsidRDefault="00755455" w:rsidP="008E1AD5">
      <w:pPr>
        <w:ind w:firstLine="0"/>
        <w:rPr>
          <w:sz w:val="26"/>
        </w:rPr>
      </w:pPr>
    </w:p>
    <w:p w14:paraId="22DF9735" w14:textId="77777777" w:rsidR="00115958" w:rsidRDefault="00755455" w:rsidP="008E1AD5">
      <w:pPr>
        <w:ind w:firstLine="0"/>
        <w:rPr>
          <w:b/>
          <w:bCs/>
          <w:color w:val="000000"/>
          <w:sz w:val="26"/>
          <w:szCs w:val="26"/>
        </w:rPr>
      </w:pPr>
      <w:r>
        <w:rPr>
          <w:sz w:val="26"/>
        </w:rPr>
        <w:tab/>
      </w:r>
      <w:r>
        <w:rPr>
          <w:sz w:val="26"/>
        </w:rPr>
        <w:tab/>
      </w:r>
      <w:r w:rsidR="00982919">
        <w:rPr>
          <w:sz w:val="26"/>
        </w:rPr>
        <w:t>Sixth</w:t>
      </w:r>
      <w:r>
        <w:rPr>
          <w:sz w:val="26"/>
        </w:rPr>
        <w:t xml:space="preserve">, </w:t>
      </w:r>
      <w:r w:rsidR="00E368EA">
        <w:rPr>
          <w:sz w:val="26"/>
        </w:rPr>
        <w:t xml:space="preserve">UGI states that </w:t>
      </w:r>
      <w:r w:rsidR="00B03323" w:rsidRPr="00B03323">
        <w:rPr>
          <w:spacing w:val="1"/>
          <w:sz w:val="26"/>
        </w:rPr>
        <w:t xml:space="preserve">it is important to quantify the actual penalties and expenses </w:t>
      </w:r>
      <w:r w:rsidR="00E368EA">
        <w:rPr>
          <w:spacing w:val="1"/>
          <w:sz w:val="26"/>
        </w:rPr>
        <w:t xml:space="preserve">for which </w:t>
      </w:r>
      <w:r w:rsidR="00B03323" w:rsidRPr="00B03323">
        <w:rPr>
          <w:spacing w:val="1"/>
          <w:sz w:val="26"/>
        </w:rPr>
        <w:t xml:space="preserve">the City </w:t>
      </w:r>
      <w:r w:rsidR="00E368EA">
        <w:rPr>
          <w:spacing w:val="1"/>
          <w:sz w:val="26"/>
        </w:rPr>
        <w:t xml:space="preserve">believes </w:t>
      </w:r>
      <w:r w:rsidR="00B03323" w:rsidRPr="00B03323">
        <w:rPr>
          <w:spacing w:val="1"/>
          <w:sz w:val="26"/>
        </w:rPr>
        <w:t xml:space="preserve">UGI </w:t>
      </w:r>
      <w:r w:rsidR="00E368EA">
        <w:rPr>
          <w:spacing w:val="1"/>
          <w:sz w:val="26"/>
        </w:rPr>
        <w:t>should be responsible</w:t>
      </w:r>
      <w:r w:rsidR="00B03323" w:rsidRPr="00B03323">
        <w:rPr>
          <w:spacing w:val="1"/>
          <w:sz w:val="26"/>
        </w:rPr>
        <w:t xml:space="preserve">. </w:t>
      </w:r>
      <w:r w:rsidR="00E368EA">
        <w:rPr>
          <w:spacing w:val="1"/>
          <w:sz w:val="26"/>
        </w:rPr>
        <w:t xml:space="preserve"> </w:t>
      </w:r>
      <w:r w:rsidR="00412442">
        <w:rPr>
          <w:spacing w:val="1"/>
          <w:sz w:val="26"/>
        </w:rPr>
        <w:t xml:space="preserve">UGI R. Exc. at 19.  </w:t>
      </w:r>
      <w:r w:rsidR="00805F20">
        <w:rPr>
          <w:spacing w:val="1"/>
          <w:sz w:val="26"/>
        </w:rPr>
        <w:t>UGI submits that o</w:t>
      </w:r>
      <w:r w:rsidR="00B03323" w:rsidRPr="00B03323">
        <w:rPr>
          <w:spacing w:val="1"/>
          <w:sz w:val="26"/>
        </w:rPr>
        <w:t xml:space="preserve">f the 894 historic meter locations that remain in dispute, approximately 675 </w:t>
      </w:r>
      <w:r w:rsidR="00805F20">
        <w:rPr>
          <w:spacing w:val="1"/>
          <w:sz w:val="26"/>
        </w:rPr>
        <w:t xml:space="preserve">meters </w:t>
      </w:r>
      <w:r w:rsidR="00B03323" w:rsidRPr="00B03323">
        <w:rPr>
          <w:spacing w:val="1"/>
          <w:sz w:val="26"/>
        </w:rPr>
        <w:t xml:space="preserve">were relocated between September 13, 2014, and October 1, </w:t>
      </w:r>
      <w:r w:rsidR="00B03323" w:rsidRPr="00B03323">
        <w:rPr>
          <w:spacing w:val="1"/>
          <w:sz w:val="26"/>
        </w:rPr>
        <w:lastRenderedPageBreak/>
        <w:t xml:space="preserve">2017. </w:t>
      </w:r>
      <w:r w:rsidR="00805F20">
        <w:rPr>
          <w:spacing w:val="1"/>
          <w:sz w:val="26"/>
        </w:rPr>
        <w:t xml:space="preserve"> </w:t>
      </w:r>
      <w:r w:rsidR="00412442" w:rsidRPr="00412442">
        <w:rPr>
          <w:i/>
          <w:iCs/>
          <w:spacing w:val="1"/>
          <w:sz w:val="26"/>
        </w:rPr>
        <w:t>Id</w:t>
      </w:r>
      <w:r w:rsidR="00412442">
        <w:rPr>
          <w:spacing w:val="1"/>
          <w:sz w:val="26"/>
        </w:rPr>
        <w:t xml:space="preserve">.  </w:t>
      </w:r>
      <w:r w:rsidR="00B03323" w:rsidRPr="00B03323">
        <w:rPr>
          <w:spacing w:val="1"/>
          <w:sz w:val="26"/>
        </w:rPr>
        <w:t>(</w:t>
      </w:r>
      <w:r w:rsidR="00412442">
        <w:rPr>
          <w:spacing w:val="1"/>
          <w:sz w:val="26"/>
        </w:rPr>
        <w:t xml:space="preserve">citing </w:t>
      </w:r>
      <w:r w:rsidR="00B03323" w:rsidRPr="00B03323">
        <w:rPr>
          <w:spacing w:val="1"/>
          <w:sz w:val="26"/>
        </w:rPr>
        <w:t>ALJ Exh. 1.)</w:t>
      </w:r>
      <w:r w:rsidR="009B15D4">
        <w:rPr>
          <w:rStyle w:val="FootnoteReference"/>
          <w:spacing w:val="1"/>
          <w:sz w:val="26"/>
        </w:rPr>
        <w:footnoteReference w:id="13"/>
      </w:r>
      <w:r w:rsidR="00B03323" w:rsidRPr="00B03323">
        <w:rPr>
          <w:spacing w:val="1"/>
          <w:sz w:val="26"/>
        </w:rPr>
        <w:t xml:space="preserve"> </w:t>
      </w:r>
      <w:r w:rsidR="00412442">
        <w:rPr>
          <w:spacing w:val="1"/>
          <w:sz w:val="26"/>
        </w:rPr>
        <w:t xml:space="preserve"> </w:t>
      </w:r>
      <w:r w:rsidR="009F7719">
        <w:rPr>
          <w:spacing w:val="1"/>
          <w:sz w:val="26"/>
        </w:rPr>
        <w:t xml:space="preserve">UGI avers that because the </w:t>
      </w:r>
      <w:r w:rsidR="00B03323" w:rsidRPr="00B03323">
        <w:rPr>
          <w:spacing w:val="1"/>
          <w:sz w:val="26"/>
        </w:rPr>
        <w:t xml:space="preserve">City </w:t>
      </w:r>
      <w:r w:rsidR="009F7719">
        <w:rPr>
          <w:spacing w:val="1"/>
          <w:sz w:val="26"/>
        </w:rPr>
        <w:t xml:space="preserve">requests that </w:t>
      </w:r>
      <w:r w:rsidR="00B03323" w:rsidRPr="00B03323">
        <w:rPr>
          <w:spacing w:val="1"/>
          <w:sz w:val="26"/>
        </w:rPr>
        <w:t xml:space="preserve">UGI be penalized $1,000 for </w:t>
      </w:r>
      <w:r w:rsidR="009F7719">
        <w:rPr>
          <w:spacing w:val="1"/>
          <w:sz w:val="26"/>
        </w:rPr>
        <w:t>“</w:t>
      </w:r>
      <w:r w:rsidR="00B03323" w:rsidRPr="00B03323">
        <w:rPr>
          <w:spacing w:val="1"/>
          <w:sz w:val="26"/>
        </w:rPr>
        <w:t>each instance</w:t>
      </w:r>
      <w:r w:rsidR="009F7719">
        <w:rPr>
          <w:spacing w:val="1"/>
          <w:sz w:val="26"/>
        </w:rPr>
        <w:t>”</w:t>
      </w:r>
      <w:r w:rsidR="00B03323" w:rsidRPr="00B03323">
        <w:rPr>
          <w:spacing w:val="1"/>
          <w:sz w:val="26"/>
        </w:rPr>
        <w:t xml:space="preserve"> where </w:t>
      </w:r>
      <w:r w:rsidR="009F7719">
        <w:rPr>
          <w:spacing w:val="1"/>
          <w:sz w:val="26"/>
        </w:rPr>
        <w:t xml:space="preserve">UGI sent </w:t>
      </w:r>
      <w:r w:rsidR="00B03323" w:rsidRPr="00B03323">
        <w:rPr>
          <w:spacing w:val="1"/>
          <w:sz w:val="26"/>
        </w:rPr>
        <w:t xml:space="preserve">those </w:t>
      </w:r>
      <w:r w:rsidR="009F7719">
        <w:rPr>
          <w:spacing w:val="1"/>
          <w:sz w:val="26"/>
        </w:rPr>
        <w:t xml:space="preserve">customers the </w:t>
      </w:r>
      <w:r w:rsidR="00B03323" w:rsidRPr="00B03323">
        <w:rPr>
          <w:spacing w:val="1"/>
          <w:sz w:val="26"/>
        </w:rPr>
        <w:t xml:space="preserve">previous version of the </w:t>
      </w:r>
      <w:r w:rsidR="009F7719">
        <w:rPr>
          <w:spacing w:val="1"/>
          <w:sz w:val="26"/>
        </w:rPr>
        <w:t xml:space="preserve">customer notification </w:t>
      </w:r>
      <w:r w:rsidR="00B03323" w:rsidRPr="00B03323">
        <w:rPr>
          <w:spacing w:val="1"/>
          <w:sz w:val="26"/>
        </w:rPr>
        <w:t xml:space="preserve">letter, the City is asking the Commission to impose a </w:t>
      </w:r>
      <w:r w:rsidR="00B03323" w:rsidRPr="009F7719">
        <w:rPr>
          <w:spacing w:val="1"/>
          <w:sz w:val="26"/>
        </w:rPr>
        <w:t>civil penalty of approximately $675,000.</w:t>
      </w:r>
      <w:r w:rsidR="00B03323" w:rsidRPr="00B03323">
        <w:rPr>
          <w:i/>
          <w:spacing w:val="1"/>
          <w:sz w:val="26"/>
        </w:rPr>
        <w:t xml:space="preserve"> </w:t>
      </w:r>
      <w:r w:rsidR="009F7719">
        <w:rPr>
          <w:i/>
          <w:spacing w:val="1"/>
          <w:sz w:val="26"/>
        </w:rPr>
        <w:t xml:space="preserve"> </w:t>
      </w:r>
      <w:r w:rsidR="009F7719">
        <w:rPr>
          <w:iCs/>
          <w:spacing w:val="1"/>
          <w:sz w:val="26"/>
        </w:rPr>
        <w:t>UGI also avers that since r</w:t>
      </w:r>
      <w:r w:rsidR="00B03323" w:rsidRPr="00B03323">
        <w:rPr>
          <w:spacing w:val="1"/>
          <w:sz w:val="26"/>
        </w:rPr>
        <w:t xml:space="preserve">elocating an individual meter from outside back to </w:t>
      </w:r>
      <w:r w:rsidR="009F7719">
        <w:rPr>
          <w:spacing w:val="1"/>
          <w:sz w:val="26"/>
        </w:rPr>
        <w:t xml:space="preserve">the </w:t>
      </w:r>
      <w:r w:rsidR="00B03323" w:rsidRPr="00B03323">
        <w:rPr>
          <w:spacing w:val="1"/>
          <w:sz w:val="26"/>
        </w:rPr>
        <w:t xml:space="preserve">inside </w:t>
      </w:r>
      <w:r w:rsidR="009F7719">
        <w:rPr>
          <w:spacing w:val="1"/>
          <w:sz w:val="26"/>
        </w:rPr>
        <w:t xml:space="preserve">of </w:t>
      </w:r>
      <w:r w:rsidR="00B03323" w:rsidRPr="00B03323">
        <w:rPr>
          <w:spacing w:val="1"/>
          <w:sz w:val="26"/>
        </w:rPr>
        <w:t>a single property costs around $400</w:t>
      </w:r>
      <w:r w:rsidR="009F7719">
        <w:rPr>
          <w:spacing w:val="1"/>
          <w:sz w:val="26"/>
        </w:rPr>
        <w:t>,</w:t>
      </w:r>
      <w:r w:rsidR="00B03323" w:rsidRPr="00B03323">
        <w:rPr>
          <w:spacing w:val="1"/>
          <w:sz w:val="26"/>
        </w:rPr>
        <w:t xml:space="preserve">  </w:t>
      </w:r>
      <w:r w:rsidR="00B03323" w:rsidRPr="009F7719">
        <w:rPr>
          <w:spacing w:val="1"/>
          <w:sz w:val="26"/>
        </w:rPr>
        <w:t xml:space="preserve">relocating all of the 1,563 historic and non-historic meters that remain in dispute would cost UGI approximately $625,000 </w:t>
      </w:r>
      <w:r w:rsidR="00B03323" w:rsidRPr="009F7719">
        <w:rPr>
          <w:i/>
          <w:spacing w:val="1"/>
          <w:sz w:val="26"/>
        </w:rPr>
        <w:t xml:space="preserve">(i.e., </w:t>
      </w:r>
      <w:r w:rsidR="00B03323" w:rsidRPr="009F7719">
        <w:rPr>
          <w:spacing w:val="1"/>
          <w:sz w:val="26"/>
        </w:rPr>
        <w:t>400 x 1,563).</w:t>
      </w:r>
      <w:r w:rsidR="00B03323" w:rsidRPr="00B03323">
        <w:rPr>
          <w:spacing w:val="1"/>
          <w:sz w:val="26"/>
        </w:rPr>
        <w:t xml:space="preserve"> </w:t>
      </w:r>
      <w:r w:rsidR="009F7719">
        <w:rPr>
          <w:spacing w:val="1"/>
          <w:sz w:val="26"/>
        </w:rPr>
        <w:t xml:space="preserve"> </w:t>
      </w:r>
      <w:r w:rsidR="00C86B68">
        <w:rPr>
          <w:spacing w:val="1"/>
          <w:sz w:val="26"/>
        </w:rPr>
        <w:t xml:space="preserve">UGI argues that such large penalties and relief are not warranted in this case based on </w:t>
      </w:r>
      <w:r w:rsidR="00B03323" w:rsidRPr="00B03323">
        <w:rPr>
          <w:spacing w:val="1"/>
          <w:sz w:val="26"/>
        </w:rPr>
        <w:t>the Comp</w:t>
      </w:r>
      <w:r w:rsidR="00C86B68">
        <w:rPr>
          <w:spacing w:val="1"/>
          <w:sz w:val="26"/>
        </w:rPr>
        <w:t>any’s efforts to address the City Parties’</w:t>
      </w:r>
      <w:r w:rsidR="00B03323" w:rsidRPr="00B03323">
        <w:rPr>
          <w:spacing w:val="1"/>
          <w:sz w:val="26"/>
        </w:rPr>
        <w:t xml:space="preserve"> concerns, including voluntarily revising its meter installation and relocation policy and </w:t>
      </w:r>
      <w:bookmarkStart w:id="19" w:name="_Hlk20407899"/>
      <w:r w:rsidR="00B03323" w:rsidRPr="00B03323">
        <w:rPr>
          <w:spacing w:val="1"/>
          <w:sz w:val="26"/>
        </w:rPr>
        <w:t>working with individual customers to find less obtrusive locations for the outside meters</w:t>
      </w:r>
      <w:bookmarkEnd w:id="19"/>
      <w:r w:rsidR="00B03323" w:rsidRPr="00B03323">
        <w:rPr>
          <w:spacing w:val="1"/>
          <w:sz w:val="26"/>
        </w:rPr>
        <w:t>, as well as the Company</w:t>
      </w:r>
      <w:r w:rsidR="00C86B68">
        <w:rPr>
          <w:spacing w:val="1"/>
          <w:sz w:val="26"/>
        </w:rPr>
        <w:t>’</w:t>
      </w:r>
      <w:r w:rsidR="00B03323" w:rsidRPr="00B03323">
        <w:rPr>
          <w:spacing w:val="1"/>
          <w:sz w:val="26"/>
        </w:rPr>
        <w:t>s good faith efforts and intent to comply with the Commission</w:t>
      </w:r>
      <w:r w:rsidR="00C86B68">
        <w:rPr>
          <w:spacing w:val="1"/>
          <w:sz w:val="26"/>
        </w:rPr>
        <w:t>’</w:t>
      </w:r>
      <w:r w:rsidR="00B03323" w:rsidRPr="00B03323">
        <w:rPr>
          <w:spacing w:val="1"/>
          <w:sz w:val="26"/>
        </w:rPr>
        <w:t xml:space="preserve">s </w:t>
      </w:r>
      <w:r w:rsidR="00C86B68">
        <w:rPr>
          <w:spacing w:val="1"/>
          <w:sz w:val="26"/>
        </w:rPr>
        <w:t>R</w:t>
      </w:r>
      <w:r w:rsidR="00B03323" w:rsidRPr="00B03323">
        <w:rPr>
          <w:spacing w:val="1"/>
          <w:sz w:val="26"/>
        </w:rPr>
        <w:t>egulations.</w:t>
      </w:r>
      <w:r w:rsidR="00C86B68">
        <w:rPr>
          <w:spacing w:val="1"/>
          <w:sz w:val="26"/>
        </w:rPr>
        <w:t xml:space="preserve">  </w:t>
      </w:r>
      <w:r w:rsidR="006F2977">
        <w:rPr>
          <w:spacing w:val="1"/>
          <w:sz w:val="26"/>
        </w:rPr>
        <w:t xml:space="preserve">UGI R. Exc. at 19.  </w:t>
      </w:r>
      <w:r w:rsidR="00140FC8">
        <w:rPr>
          <w:spacing w:val="1"/>
          <w:sz w:val="26"/>
        </w:rPr>
        <w:t xml:space="preserve">Further, UGI contends that the </w:t>
      </w:r>
      <w:r w:rsidR="00B03323" w:rsidRPr="00B03323">
        <w:rPr>
          <w:sz w:val="26"/>
        </w:rPr>
        <w:t>City</w:t>
      </w:r>
      <w:r w:rsidR="00140FC8">
        <w:rPr>
          <w:sz w:val="26"/>
        </w:rPr>
        <w:t>’</w:t>
      </w:r>
      <w:r w:rsidR="00B03323" w:rsidRPr="00B03323">
        <w:rPr>
          <w:sz w:val="26"/>
        </w:rPr>
        <w:t xml:space="preserve">s request that UGI be penalized on a going-forward basis every time it violates the </w:t>
      </w:r>
      <w:r w:rsidR="00140FC8">
        <w:rPr>
          <w:sz w:val="26"/>
        </w:rPr>
        <w:t>R</w:t>
      </w:r>
      <w:r w:rsidR="00B03323" w:rsidRPr="00B03323">
        <w:rPr>
          <w:sz w:val="26"/>
        </w:rPr>
        <w:t>egulations and its revised GOM is premature and improper and would violate</w:t>
      </w:r>
      <w:r w:rsidR="00140FC8">
        <w:rPr>
          <w:sz w:val="26"/>
        </w:rPr>
        <w:t xml:space="preserve"> </w:t>
      </w:r>
      <w:r w:rsidR="00B03323" w:rsidRPr="00B03323">
        <w:rPr>
          <w:sz w:val="26"/>
        </w:rPr>
        <w:t>UGI</w:t>
      </w:r>
      <w:r w:rsidR="00140FC8">
        <w:rPr>
          <w:sz w:val="26"/>
        </w:rPr>
        <w:t>’</w:t>
      </w:r>
      <w:r w:rsidR="00B03323" w:rsidRPr="00B03323">
        <w:rPr>
          <w:sz w:val="26"/>
        </w:rPr>
        <w:t xml:space="preserve">s due process rights. </w:t>
      </w:r>
      <w:r w:rsidR="00140FC8">
        <w:rPr>
          <w:sz w:val="26"/>
        </w:rPr>
        <w:t xml:space="preserve"> </w:t>
      </w:r>
      <w:r w:rsidR="00140FC8" w:rsidRPr="00982919">
        <w:rPr>
          <w:i/>
          <w:iCs/>
          <w:sz w:val="26"/>
        </w:rPr>
        <w:t>Id</w:t>
      </w:r>
      <w:r w:rsidR="00140FC8">
        <w:rPr>
          <w:sz w:val="26"/>
        </w:rPr>
        <w:t xml:space="preserve">. at 19-20 (citing </w:t>
      </w:r>
      <w:r w:rsidR="00B03323" w:rsidRPr="00B03323">
        <w:rPr>
          <w:i/>
          <w:sz w:val="26"/>
        </w:rPr>
        <w:t xml:space="preserve">Hess, </w:t>
      </w:r>
      <w:r w:rsidR="00B03323" w:rsidRPr="00B03323">
        <w:rPr>
          <w:sz w:val="26"/>
        </w:rPr>
        <w:t>107 A.3d at 266</w:t>
      </w:r>
      <w:r w:rsidR="00140FC8">
        <w:rPr>
          <w:sz w:val="26"/>
        </w:rPr>
        <w:t>)</w:t>
      </w:r>
      <w:r w:rsidR="00B03323" w:rsidRPr="00B03323">
        <w:rPr>
          <w:sz w:val="26"/>
        </w:rPr>
        <w:t xml:space="preserve">. </w:t>
      </w:r>
      <w:r w:rsidR="006543D2">
        <w:rPr>
          <w:b/>
          <w:bCs/>
          <w:color w:val="000000"/>
          <w:sz w:val="26"/>
          <w:szCs w:val="26"/>
        </w:rPr>
        <w:tab/>
      </w:r>
      <w:r w:rsidR="006543D2">
        <w:rPr>
          <w:b/>
          <w:bCs/>
          <w:color w:val="000000"/>
          <w:sz w:val="26"/>
          <w:szCs w:val="26"/>
        </w:rPr>
        <w:tab/>
      </w:r>
    </w:p>
    <w:p w14:paraId="76B8A364" w14:textId="088471D7" w:rsidR="007206D6" w:rsidRPr="00327DA7" w:rsidRDefault="007206D6" w:rsidP="008E1AD5">
      <w:pPr>
        <w:ind w:firstLine="0"/>
        <w:rPr>
          <w:b/>
          <w:bCs/>
          <w:color w:val="000000"/>
          <w:sz w:val="26"/>
          <w:szCs w:val="26"/>
        </w:rPr>
      </w:pPr>
      <w:r>
        <w:rPr>
          <w:b/>
          <w:bCs/>
          <w:color w:val="000000"/>
          <w:sz w:val="26"/>
          <w:szCs w:val="26"/>
        </w:rPr>
        <w:tab/>
      </w:r>
      <w:r w:rsidR="00D93124">
        <w:rPr>
          <w:b/>
          <w:bCs/>
          <w:color w:val="000000"/>
          <w:sz w:val="26"/>
          <w:szCs w:val="26"/>
        </w:rPr>
        <w:t xml:space="preserve"> </w:t>
      </w:r>
      <w:r w:rsidR="00982919">
        <w:rPr>
          <w:b/>
          <w:bCs/>
          <w:color w:val="000000"/>
          <w:sz w:val="26"/>
          <w:szCs w:val="26"/>
        </w:rPr>
        <w:tab/>
        <w:t>c.</w:t>
      </w:r>
      <w:r w:rsidR="00982919">
        <w:rPr>
          <w:b/>
          <w:bCs/>
          <w:color w:val="000000"/>
          <w:sz w:val="26"/>
          <w:szCs w:val="26"/>
        </w:rPr>
        <w:tab/>
      </w:r>
      <w:r>
        <w:rPr>
          <w:b/>
          <w:bCs/>
          <w:color w:val="000000"/>
          <w:sz w:val="26"/>
          <w:szCs w:val="26"/>
        </w:rPr>
        <w:t>Disposition</w:t>
      </w:r>
    </w:p>
    <w:p w14:paraId="24613D0C" w14:textId="77777777" w:rsidR="005B7579" w:rsidRDefault="005B7579" w:rsidP="008E1AD5">
      <w:pPr>
        <w:rPr>
          <w:color w:val="000000"/>
          <w:sz w:val="26"/>
          <w:szCs w:val="26"/>
        </w:rPr>
      </w:pPr>
    </w:p>
    <w:p w14:paraId="416FC9CE" w14:textId="5C1002C5" w:rsidR="00794B36" w:rsidRDefault="007D2F6F" w:rsidP="008E1AD5">
      <w:pPr>
        <w:rPr>
          <w:sz w:val="26"/>
          <w:szCs w:val="26"/>
        </w:rPr>
      </w:pPr>
      <w:r>
        <w:rPr>
          <w:color w:val="000000"/>
          <w:sz w:val="26"/>
          <w:szCs w:val="26"/>
        </w:rPr>
        <w:t>As we have found UGI to be in violation of Section 59.18(d)</w:t>
      </w:r>
      <w:r w:rsidR="006A4E2E">
        <w:rPr>
          <w:color w:val="000000"/>
          <w:sz w:val="26"/>
          <w:szCs w:val="26"/>
        </w:rPr>
        <w:t xml:space="preserve">(1)(ii) </w:t>
      </w:r>
      <w:r w:rsidR="007239D0">
        <w:rPr>
          <w:color w:val="000000"/>
          <w:sz w:val="26"/>
          <w:szCs w:val="26"/>
        </w:rPr>
        <w:t>from September 13, 2014 through July 30, 2016,</w:t>
      </w:r>
      <w:r w:rsidR="006A4E2E" w:rsidRPr="00401816">
        <w:rPr>
          <w:color w:val="000000"/>
          <w:sz w:val="26"/>
          <w:szCs w:val="26"/>
        </w:rPr>
        <w:t xml:space="preserve"> </w:t>
      </w:r>
      <w:r w:rsidR="009269DC">
        <w:rPr>
          <w:color w:val="000000"/>
          <w:sz w:val="26"/>
          <w:szCs w:val="26"/>
        </w:rPr>
        <w:t>for failure to consider inside meter locations within historic districts, our remed</w:t>
      </w:r>
      <w:r w:rsidR="007239D0">
        <w:rPr>
          <w:color w:val="000000"/>
          <w:sz w:val="26"/>
          <w:szCs w:val="26"/>
        </w:rPr>
        <w:t>y</w:t>
      </w:r>
      <w:r w:rsidR="009269DC">
        <w:rPr>
          <w:color w:val="000000"/>
          <w:sz w:val="26"/>
          <w:szCs w:val="26"/>
        </w:rPr>
        <w:t xml:space="preserve"> will be limited to this particular violation during this particular time period.  </w:t>
      </w:r>
      <w:r w:rsidR="00BE497B">
        <w:rPr>
          <w:color w:val="000000"/>
          <w:sz w:val="26"/>
          <w:szCs w:val="26"/>
        </w:rPr>
        <w:t>While we agree with the ALJ that a civil penalty is not the most appropriate remedy in this case, we find that a non-monetary remedy</w:t>
      </w:r>
      <w:r w:rsidR="00460A49">
        <w:rPr>
          <w:color w:val="000000"/>
          <w:sz w:val="26"/>
          <w:szCs w:val="26"/>
        </w:rPr>
        <w:t>, as detailed below,</w:t>
      </w:r>
      <w:r w:rsidR="00BE497B">
        <w:rPr>
          <w:color w:val="000000"/>
          <w:sz w:val="26"/>
          <w:szCs w:val="26"/>
        </w:rPr>
        <w:t xml:space="preserve"> is appropriate under the circumstances.  </w:t>
      </w:r>
      <w:r w:rsidR="006B3821">
        <w:rPr>
          <w:color w:val="000000"/>
          <w:sz w:val="26"/>
          <w:szCs w:val="26"/>
        </w:rPr>
        <w:t xml:space="preserve">In reaching this conclusion, we engaged in an analysis of our Policy Statement at </w:t>
      </w:r>
      <w:r w:rsidR="006B3821" w:rsidRPr="00AF5040">
        <w:rPr>
          <w:sz w:val="26"/>
          <w:szCs w:val="26"/>
        </w:rPr>
        <w:t>52 Pa. Code § 69.1201</w:t>
      </w:r>
      <w:r w:rsidR="006B3821">
        <w:rPr>
          <w:sz w:val="26"/>
          <w:szCs w:val="26"/>
        </w:rPr>
        <w:t xml:space="preserve"> and relevant prior Commission decisions.</w:t>
      </w:r>
    </w:p>
    <w:p w14:paraId="789DB282" w14:textId="77777777" w:rsidR="00794B36" w:rsidRDefault="00794B36" w:rsidP="008E1AD5">
      <w:pPr>
        <w:rPr>
          <w:sz w:val="26"/>
          <w:szCs w:val="26"/>
        </w:rPr>
      </w:pPr>
    </w:p>
    <w:p w14:paraId="54D61ACA" w14:textId="77777777" w:rsidR="00794B36" w:rsidRPr="001763FD" w:rsidRDefault="00794B36" w:rsidP="008E1AD5">
      <w:pPr>
        <w:rPr>
          <w:color w:val="000000"/>
          <w:sz w:val="26"/>
          <w:szCs w:val="26"/>
        </w:rPr>
      </w:pPr>
      <w:r w:rsidRPr="001763FD">
        <w:rPr>
          <w:color w:val="000000"/>
          <w:sz w:val="26"/>
          <w:szCs w:val="26"/>
        </w:rPr>
        <w:lastRenderedPageBreak/>
        <w:t>Our Policy Statement s</w:t>
      </w:r>
      <w:r w:rsidR="00AC3C7B">
        <w:rPr>
          <w:color w:val="000000"/>
          <w:sz w:val="26"/>
          <w:szCs w:val="26"/>
        </w:rPr>
        <w:t>ets</w:t>
      </w:r>
      <w:r w:rsidRPr="001763FD">
        <w:rPr>
          <w:color w:val="000000"/>
          <w:sz w:val="26"/>
          <w:szCs w:val="26"/>
        </w:rPr>
        <w:t xml:space="preserve"> </w:t>
      </w:r>
      <w:r w:rsidR="00AC3C7B">
        <w:rPr>
          <w:color w:val="000000"/>
          <w:sz w:val="26"/>
          <w:szCs w:val="26"/>
        </w:rPr>
        <w:t xml:space="preserve">forth </w:t>
      </w:r>
      <w:r w:rsidRPr="001763FD">
        <w:rPr>
          <w:color w:val="000000"/>
          <w:sz w:val="26"/>
          <w:szCs w:val="26"/>
        </w:rPr>
        <w:t xml:space="preserve">the </w:t>
      </w:r>
      <w:r w:rsidR="00480525">
        <w:rPr>
          <w:color w:val="000000"/>
          <w:sz w:val="26"/>
          <w:szCs w:val="26"/>
        </w:rPr>
        <w:t xml:space="preserve">following </w:t>
      </w:r>
      <w:r w:rsidRPr="001763FD">
        <w:rPr>
          <w:color w:val="000000"/>
          <w:sz w:val="26"/>
          <w:szCs w:val="26"/>
        </w:rPr>
        <w:t>factors and standards for consideration:</w:t>
      </w:r>
    </w:p>
    <w:p w14:paraId="34CE9113" w14:textId="77777777" w:rsidR="00794B36" w:rsidRPr="001763FD" w:rsidRDefault="00794B36" w:rsidP="008E1AD5">
      <w:pPr>
        <w:rPr>
          <w:color w:val="000000"/>
          <w:sz w:val="26"/>
          <w:szCs w:val="26"/>
        </w:rPr>
      </w:pPr>
    </w:p>
    <w:p w14:paraId="73A049A2"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14:paraId="6735D3D8" w14:textId="77777777" w:rsidR="00794B36" w:rsidRPr="001763FD" w:rsidRDefault="00794B36" w:rsidP="008E1AD5">
      <w:pPr>
        <w:pStyle w:val="ListParagraph"/>
        <w:spacing w:line="240" w:lineRule="auto"/>
        <w:ind w:left="2160" w:right="1440"/>
        <w:rPr>
          <w:color w:val="000000"/>
          <w:sz w:val="26"/>
          <w:szCs w:val="26"/>
        </w:rPr>
      </w:pPr>
    </w:p>
    <w:p w14:paraId="170CF963"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Whether the resulting consequences of the conduct at issue were of a serious nature.  When consequences of a serious nature are involved, such as personal injury or property damage, the consequences may warrant a higher penalty.</w:t>
      </w:r>
    </w:p>
    <w:p w14:paraId="67C7FE5D" w14:textId="77777777" w:rsidR="00794B36" w:rsidRPr="001763FD" w:rsidRDefault="00794B36" w:rsidP="008E1AD5">
      <w:pPr>
        <w:pStyle w:val="ListParagraph"/>
        <w:spacing w:line="240" w:lineRule="auto"/>
        <w:ind w:left="2160" w:right="1440"/>
        <w:rPr>
          <w:color w:val="000000"/>
          <w:sz w:val="26"/>
          <w:szCs w:val="26"/>
        </w:rPr>
      </w:pPr>
    </w:p>
    <w:p w14:paraId="7E7626D9"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Whether the conduct at issue was deemed intentional or negligent.  This factor may only be considered in evaluating litigated cases.  When conduct has been deemed intentional, the conduct may result in a higher penalty.</w:t>
      </w:r>
    </w:p>
    <w:p w14:paraId="15BD56B5" w14:textId="77777777" w:rsidR="00794B36" w:rsidRPr="001763FD" w:rsidRDefault="00794B36" w:rsidP="008E1AD5">
      <w:pPr>
        <w:pStyle w:val="ListParagraph"/>
        <w:spacing w:line="240" w:lineRule="auto"/>
        <w:ind w:left="2160" w:right="1440"/>
        <w:rPr>
          <w:color w:val="000000"/>
          <w:sz w:val="26"/>
          <w:szCs w:val="26"/>
        </w:rPr>
      </w:pPr>
    </w:p>
    <w:p w14:paraId="1BB42B9B"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14:paraId="69F9A895" w14:textId="77777777" w:rsidR="00794B36" w:rsidRPr="001763FD" w:rsidRDefault="00794B36" w:rsidP="008E1AD5">
      <w:pPr>
        <w:pStyle w:val="ListParagraph"/>
        <w:spacing w:line="240" w:lineRule="auto"/>
        <w:ind w:left="2160" w:right="1440"/>
        <w:rPr>
          <w:color w:val="000000"/>
          <w:sz w:val="26"/>
          <w:szCs w:val="26"/>
        </w:rPr>
      </w:pPr>
    </w:p>
    <w:p w14:paraId="29C53CB7"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The number of customers affected and the duration of the violation.</w:t>
      </w:r>
    </w:p>
    <w:p w14:paraId="0EB6F121" w14:textId="77777777" w:rsidR="00794B36" w:rsidRPr="001763FD" w:rsidRDefault="00794B36" w:rsidP="008E1AD5">
      <w:pPr>
        <w:pStyle w:val="ListParagraph"/>
        <w:spacing w:line="240" w:lineRule="auto"/>
        <w:ind w:left="2160" w:right="1440"/>
        <w:rPr>
          <w:color w:val="000000"/>
          <w:sz w:val="26"/>
          <w:szCs w:val="26"/>
        </w:rPr>
      </w:pPr>
    </w:p>
    <w:p w14:paraId="1B4D3EC1"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The compliance history of the regulated entity which committed the violation.  An isolated incident from an otherwise compliant utility may result in a lower penalty, whereas frequent, recurrent violations by a utility may result in a higher penalty.</w:t>
      </w:r>
    </w:p>
    <w:p w14:paraId="7D6D3BB0" w14:textId="77777777" w:rsidR="00794B36" w:rsidRPr="001763FD" w:rsidRDefault="00794B36" w:rsidP="008E1AD5">
      <w:pPr>
        <w:pStyle w:val="ListParagraph"/>
        <w:spacing w:line="240" w:lineRule="auto"/>
        <w:ind w:left="2160" w:right="1440"/>
        <w:rPr>
          <w:color w:val="000000"/>
          <w:sz w:val="26"/>
          <w:szCs w:val="26"/>
        </w:rPr>
      </w:pPr>
    </w:p>
    <w:p w14:paraId="6297DD60"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lastRenderedPageBreak/>
        <w:t>Whether the regulated entity cooperated with the Commission</w:t>
      </w:r>
      <w:r w:rsidR="00480525">
        <w:rPr>
          <w:color w:val="000000"/>
          <w:sz w:val="26"/>
          <w:szCs w:val="26"/>
        </w:rPr>
        <w:t>’</w:t>
      </w:r>
      <w:r w:rsidRPr="001763FD">
        <w:rPr>
          <w:color w:val="000000"/>
          <w:sz w:val="26"/>
          <w:szCs w:val="26"/>
        </w:rPr>
        <w:t>s investigation.  Facts establishing bad faith, active concealment of violations, or attempts to interfere with Commission investigations may result in a higher penalty.</w:t>
      </w:r>
    </w:p>
    <w:p w14:paraId="77149140" w14:textId="77777777" w:rsidR="00794B36" w:rsidRPr="001763FD" w:rsidRDefault="00794B36" w:rsidP="008E1AD5">
      <w:pPr>
        <w:pStyle w:val="ListParagraph"/>
        <w:spacing w:line="240" w:lineRule="auto"/>
        <w:ind w:left="2160" w:right="1440"/>
        <w:rPr>
          <w:color w:val="000000"/>
          <w:sz w:val="26"/>
          <w:szCs w:val="26"/>
        </w:rPr>
      </w:pPr>
    </w:p>
    <w:p w14:paraId="6B153B3C"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The amount of the civil penalty or fine necessary to deter future violations.  The size of the utility may be considered to determine an appropriate penalty amount.</w:t>
      </w:r>
    </w:p>
    <w:p w14:paraId="288E57B9" w14:textId="77777777" w:rsidR="00794B36" w:rsidRPr="001763FD" w:rsidRDefault="00794B36" w:rsidP="008E1AD5">
      <w:pPr>
        <w:pStyle w:val="ListParagraph"/>
        <w:spacing w:line="240" w:lineRule="auto"/>
        <w:ind w:left="2160" w:right="1440"/>
        <w:rPr>
          <w:color w:val="000000"/>
          <w:sz w:val="26"/>
          <w:szCs w:val="26"/>
        </w:rPr>
      </w:pPr>
    </w:p>
    <w:p w14:paraId="77C80F79"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Past Commission decisions in similar situations.</w:t>
      </w:r>
    </w:p>
    <w:p w14:paraId="510688CC" w14:textId="77777777" w:rsidR="00794B36" w:rsidRPr="001763FD" w:rsidRDefault="00794B36" w:rsidP="008E1AD5">
      <w:pPr>
        <w:pStyle w:val="ListParagraph"/>
        <w:spacing w:line="240" w:lineRule="auto"/>
        <w:ind w:left="2160" w:right="1440"/>
        <w:rPr>
          <w:color w:val="000000"/>
          <w:sz w:val="26"/>
          <w:szCs w:val="26"/>
        </w:rPr>
      </w:pPr>
    </w:p>
    <w:p w14:paraId="02BACD0F" w14:textId="77777777" w:rsidR="00794B36" w:rsidRPr="001763FD" w:rsidRDefault="00794B36" w:rsidP="008E1AD5">
      <w:pPr>
        <w:pStyle w:val="ListParagraph"/>
        <w:numPr>
          <w:ilvl w:val="0"/>
          <w:numId w:val="19"/>
        </w:numPr>
        <w:spacing w:line="240" w:lineRule="auto"/>
        <w:ind w:right="1440"/>
        <w:contextualSpacing/>
        <w:rPr>
          <w:color w:val="000000"/>
          <w:sz w:val="26"/>
          <w:szCs w:val="26"/>
        </w:rPr>
      </w:pPr>
      <w:r w:rsidRPr="001763FD">
        <w:rPr>
          <w:color w:val="000000"/>
          <w:sz w:val="26"/>
          <w:szCs w:val="26"/>
        </w:rPr>
        <w:t>Other relevant factors.</w:t>
      </w:r>
    </w:p>
    <w:p w14:paraId="53596ED9" w14:textId="77777777" w:rsidR="00794B36" w:rsidRPr="001763FD" w:rsidRDefault="00794B36" w:rsidP="008E1AD5">
      <w:pPr>
        <w:pStyle w:val="ListParagraph"/>
        <w:rPr>
          <w:color w:val="000000"/>
          <w:sz w:val="26"/>
          <w:szCs w:val="26"/>
        </w:rPr>
      </w:pPr>
    </w:p>
    <w:p w14:paraId="28FE4FBB" w14:textId="77777777" w:rsidR="00794B36" w:rsidRPr="001763FD" w:rsidRDefault="00794B36" w:rsidP="008E1AD5">
      <w:pPr>
        <w:ind w:firstLine="0"/>
        <w:rPr>
          <w:color w:val="000000"/>
          <w:sz w:val="26"/>
          <w:szCs w:val="26"/>
        </w:rPr>
      </w:pPr>
      <w:bookmarkStart w:id="20" w:name="_Hlk20406330"/>
      <w:r w:rsidRPr="001763FD">
        <w:rPr>
          <w:color w:val="000000"/>
          <w:sz w:val="26"/>
          <w:szCs w:val="26"/>
        </w:rPr>
        <w:t>52 Pa. Code § 69.1201(c).</w:t>
      </w:r>
    </w:p>
    <w:bookmarkEnd w:id="20"/>
    <w:p w14:paraId="3F457BB2" w14:textId="77777777" w:rsidR="00794B36" w:rsidRPr="001763FD" w:rsidRDefault="00794B36" w:rsidP="008E1AD5">
      <w:pPr>
        <w:rPr>
          <w:color w:val="000000"/>
          <w:sz w:val="26"/>
          <w:szCs w:val="26"/>
        </w:rPr>
      </w:pPr>
      <w:r w:rsidRPr="001763FD">
        <w:rPr>
          <w:color w:val="000000"/>
          <w:sz w:val="26"/>
          <w:szCs w:val="26"/>
        </w:rPr>
        <w:tab/>
      </w:r>
      <w:r w:rsidRPr="001763FD">
        <w:rPr>
          <w:color w:val="000000"/>
          <w:sz w:val="26"/>
          <w:szCs w:val="26"/>
        </w:rPr>
        <w:tab/>
      </w:r>
    </w:p>
    <w:p w14:paraId="67A72F6F" w14:textId="10F77D66" w:rsidR="00115579" w:rsidRDefault="009B31E9" w:rsidP="008E1AD5">
      <w:pPr>
        <w:ind w:firstLine="0"/>
        <w:rPr>
          <w:color w:val="000000"/>
          <w:sz w:val="26"/>
          <w:szCs w:val="26"/>
        </w:rPr>
      </w:pPr>
      <w:r>
        <w:rPr>
          <w:color w:val="000000"/>
          <w:sz w:val="26"/>
          <w:szCs w:val="26"/>
        </w:rPr>
        <w:tab/>
      </w:r>
      <w:r>
        <w:rPr>
          <w:color w:val="000000"/>
          <w:sz w:val="26"/>
          <w:szCs w:val="26"/>
        </w:rPr>
        <w:tab/>
      </w:r>
      <w:r w:rsidR="004751E5">
        <w:rPr>
          <w:color w:val="000000"/>
          <w:sz w:val="26"/>
          <w:szCs w:val="26"/>
        </w:rPr>
        <w:t xml:space="preserve">In evaluating these factors, we find that UGI’s initial conduct in proceeding to install meters outside in historic districts without providing proper consideration </w:t>
      </w:r>
      <w:r w:rsidR="006A22AF">
        <w:rPr>
          <w:color w:val="000000"/>
          <w:sz w:val="26"/>
          <w:szCs w:val="26"/>
        </w:rPr>
        <w:t xml:space="preserve">under </w:t>
      </w:r>
      <w:r w:rsidR="004751E5">
        <w:rPr>
          <w:color w:val="000000"/>
          <w:sz w:val="26"/>
          <w:szCs w:val="26"/>
        </w:rPr>
        <w:t xml:space="preserve"> Section 59.18 was serious in nature.  </w:t>
      </w:r>
      <w:r w:rsidR="0091563E" w:rsidRPr="001763FD">
        <w:rPr>
          <w:color w:val="000000"/>
          <w:sz w:val="26"/>
          <w:szCs w:val="26"/>
        </w:rPr>
        <w:t>52 Pa. Code § 69.1201(c)</w:t>
      </w:r>
      <w:r w:rsidR="0091563E">
        <w:rPr>
          <w:color w:val="000000"/>
          <w:sz w:val="26"/>
          <w:szCs w:val="26"/>
        </w:rPr>
        <w:t>(1)</w:t>
      </w:r>
      <w:r w:rsidR="0091563E" w:rsidRPr="001763FD">
        <w:rPr>
          <w:color w:val="000000"/>
          <w:sz w:val="26"/>
          <w:szCs w:val="26"/>
        </w:rPr>
        <w:t>.</w:t>
      </w:r>
      <w:r w:rsidR="0091563E">
        <w:rPr>
          <w:color w:val="000000"/>
          <w:sz w:val="26"/>
          <w:szCs w:val="26"/>
        </w:rPr>
        <w:t xml:space="preserve"> </w:t>
      </w:r>
      <w:r w:rsidR="00CD7A34">
        <w:rPr>
          <w:color w:val="000000"/>
          <w:sz w:val="26"/>
          <w:szCs w:val="26"/>
        </w:rPr>
        <w:t xml:space="preserve"> </w:t>
      </w:r>
      <w:r w:rsidR="00673AF7">
        <w:rPr>
          <w:color w:val="000000"/>
          <w:sz w:val="26"/>
          <w:szCs w:val="26"/>
        </w:rPr>
        <w:t xml:space="preserve">In response to the comments of historical commissions and boards, private citizens, preservation groups, civic associations, and government entities and officials regarding the </w:t>
      </w:r>
      <w:r w:rsidR="00663C14">
        <w:rPr>
          <w:color w:val="000000"/>
          <w:sz w:val="26"/>
          <w:szCs w:val="26"/>
        </w:rPr>
        <w:t>impact</w:t>
      </w:r>
      <w:r w:rsidR="00C030D2">
        <w:rPr>
          <w:color w:val="000000"/>
          <w:sz w:val="26"/>
          <w:szCs w:val="26"/>
        </w:rPr>
        <w:t xml:space="preserve"> that outside meter placements in historic districts would have on the preservation and protection of historically significant properties, </w:t>
      </w:r>
      <w:r w:rsidR="00E47A84">
        <w:rPr>
          <w:color w:val="000000"/>
          <w:sz w:val="26"/>
          <w:szCs w:val="26"/>
        </w:rPr>
        <w:t>we</w:t>
      </w:r>
      <w:r w:rsidR="00C030D2">
        <w:rPr>
          <w:color w:val="000000"/>
          <w:sz w:val="26"/>
          <w:szCs w:val="26"/>
        </w:rPr>
        <w:t xml:space="preserve"> made a deliberate decision to mandate consideration of inside meter placements in historic districts given the unique nature of the properties involved.  </w:t>
      </w:r>
      <w:r w:rsidR="001D7B4D">
        <w:rPr>
          <w:color w:val="000000"/>
          <w:sz w:val="26"/>
          <w:szCs w:val="26"/>
        </w:rPr>
        <w:t>Additionally, a</w:t>
      </w:r>
      <w:r w:rsidR="00E47A84">
        <w:rPr>
          <w:color w:val="000000"/>
          <w:sz w:val="26"/>
          <w:szCs w:val="26"/>
        </w:rPr>
        <w:t>s we stated previously, we</w:t>
      </w:r>
      <w:r w:rsidR="00E47A84">
        <w:rPr>
          <w:sz w:val="26"/>
          <w:szCs w:val="26"/>
        </w:rPr>
        <w:t xml:space="preserve"> have an affirmative duty to protect all facets of the environment under the ERA, including the historical values of an area.</w:t>
      </w:r>
      <w:r w:rsidR="00E47A84">
        <w:rPr>
          <w:color w:val="000000"/>
          <w:sz w:val="26"/>
          <w:szCs w:val="26"/>
        </w:rPr>
        <w:t xml:space="preserve"> </w:t>
      </w:r>
      <w:r w:rsidR="001D7B4D">
        <w:rPr>
          <w:color w:val="000000"/>
          <w:sz w:val="26"/>
          <w:szCs w:val="26"/>
        </w:rPr>
        <w:t xml:space="preserve"> </w:t>
      </w:r>
      <w:r w:rsidR="00D32C7A" w:rsidRPr="00D32C7A">
        <w:rPr>
          <w:i/>
          <w:iCs/>
          <w:color w:val="000000"/>
          <w:sz w:val="26"/>
          <w:szCs w:val="26"/>
        </w:rPr>
        <w:t xml:space="preserve">See </w:t>
      </w:r>
      <w:r w:rsidR="00D62883">
        <w:rPr>
          <w:i/>
          <w:iCs/>
          <w:color w:val="000000"/>
          <w:sz w:val="26"/>
          <w:szCs w:val="26"/>
        </w:rPr>
        <w:t>PEDF II</w:t>
      </w:r>
      <w:r w:rsidR="00D62883">
        <w:rPr>
          <w:color w:val="000000"/>
          <w:sz w:val="26"/>
          <w:szCs w:val="26"/>
        </w:rPr>
        <w:t xml:space="preserve">, 640 Pa. at 91 </w:t>
      </w:r>
      <w:r w:rsidR="0065098A">
        <w:rPr>
          <w:color w:val="000000"/>
          <w:sz w:val="26"/>
          <w:szCs w:val="26"/>
        </w:rPr>
        <w:t>(the Commonwealth has a duty to prohibit the degradation, diminution, and depletion of public natural resources</w:t>
      </w:r>
      <w:r w:rsidR="00D62883">
        <w:rPr>
          <w:color w:val="000000"/>
          <w:sz w:val="26"/>
          <w:szCs w:val="26"/>
        </w:rPr>
        <w:t xml:space="preserve">).  </w:t>
      </w:r>
      <w:r w:rsidR="00E47A84">
        <w:rPr>
          <w:color w:val="000000"/>
          <w:sz w:val="26"/>
          <w:szCs w:val="26"/>
        </w:rPr>
        <w:t>Accordingly, w</w:t>
      </w:r>
      <w:r w:rsidR="008320CD">
        <w:rPr>
          <w:color w:val="000000"/>
          <w:sz w:val="26"/>
          <w:szCs w:val="26"/>
        </w:rPr>
        <w:t>e consider a violation of th</w:t>
      </w:r>
      <w:r w:rsidR="009F7E14">
        <w:rPr>
          <w:color w:val="000000"/>
          <w:sz w:val="26"/>
          <w:szCs w:val="26"/>
        </w:rPr>
        <w:t>e</w:t>
      </w:r>
      <w:r w:rsidR="008320CD">
        <w:rPr>
          <w:color w:val="000000"/>
          <w:sz w:val="26"/>
          <w:szCs w:val="26"/>
        </w:rPr>
        <w:t xml:space="preserve"> regulatory mandate in Section</w:t>
      </w:r>
      <w:r w:rsidR="00C030D2">
        <w:rPr>
          <w:color w:val="000000"/>
          <w:sz w:val="26"/>
          <w:szCs w:val="26"/>
        </w:rPr>
        <w:t xml:space="preserve"> </w:t>
      </w:r>
      <w:r w:rsidR="008320CD">
        <w:rPr>
          <w:color w:val="000000"/>
          <w:sz w:val="26"/>
          <w:szCs w:val="26"/>
        </w:rPr>
        <w:t>59.18</w:t>
      </w:r>
      <w:r w:rsidR="00D62883">
        <w:rPr>
          <w:color w:val="000000"/>
          <w:sz w:val="26"/>
          <w:szCs w:val="26"/>
        </w:rPr>
        <w:t>, which</w:t>
      </w:r>
      <w:r w:rsidR="0065098A">
        <w:rPr>
          <w:color w:val="000000"/>
          <w:sz w:val="26"/>
          <w:szCs w:val="26"/>
        </w:rPr>
        <w:t xml:space="preserve"> requir</w:t>
      </w:r>
      <w:r w:rsidR="00D62883">
        <w:rPr>
          <w:color w:val="000000"/>
          <w:sz w:val="26"/>
          <w:szCs w:val="26"/>
        </w:rPr>
        <w:t>es</w:t>
      </w:r>
      <w:r w:rsidR="0065098A">
        <w:rPr>
          <w:color w:val="000000"/>
          <w:sz w:val="26"/>
          <w:szCs w:val="26"/>
        </w:rPr>
        <w:t xml:space="preserve"> consideration of inside meters in historic districts</w:t>
      </w:r>
      <w:r w:rsidR="00D62883">
        <w:rPr>
          <w:color w:val="000000"/>
          <w:sz w:val="26"/>
          <w:szCs w:val="26"/>
        </w:rPr>
        <w:t>,</w:t>
      </w:r>
      <w:r w:rsidR="008320CD">
        <w:rPr>
          <w:color w:val="000000"/>
          <w:sz w:val="26"/>
          <w:szCs w:val="26"/>
        </w:rPr>
        <w:t xml:space="preserve"> to be serious in nature</w:t>
      </w:r>
      <w:r w:rsidR="00191903">
        <w:rPr>
          <w:color w:val="000000"/>
          <w:sz w:val="26"/>
          <w:szCs w:val="26"/>
        </w:rPr>
        <w:t xml:space="preserve"> and, thus, </w:t>
      </w:r>
      <w:r w:rsidR="003F6A26">
        <w:rPr>
          <w:color w:val="000000"/>
          <w:sz w:val="26"/>
          <w:szCs w:val="26"/>
        </w:rPr>
        <w:t xml:space="preserve">to </w:t>
      </w:r>
      <w:r w:rsidR="00191903">
        <w:rPr>
          <w:color w:val="000000"/>
          <w:sz w:val="26"/>
          <w:szCs w:val="26"/>
        </w:rPr>
        <w:t xml:space="preserve">weigh in favor of imposing a </w:t>
      </w:r>
      <w:r w:rsidR="00D15FAE">
        <w:rPr>
          <w:color w:val="000000"/>
          <w:sz w:val="26"/>
          <w:szCs w:val="26"/>
        </w:rPr>
        <w:t xml:space="preserve">higher </w:t>
      </w:r>
      <w:r w:rsidR="00191903">
        <w:rPr>
          <w:color w:val="000000"/>
          <w:sz w:val="26"/>
          <w:szCs w:val="26"/>
        </w:rPr>
        <w:t>penalty</w:t>
      </w:r>
      <w:r w:rsidR="008320CD">
        <w:rPr>
          <w:color w:val="000000"/>
          <w:sz w:val="26"/>
          <w:szCs w:val="26"/>
        </w:rPr>
        <w:t>.</w:t>
      </w:r>
    </w:p>
    <w:p w14:paraId="13D39203" w14:textId="77777777" w:rsidR="00673AF7" w:rsidRDefault="00673AF7" w:rsidP="008E1AD5">
      <w:pPr>
        <w:rPr>
          <w:color w:val="000000"/>
          <w:sz w:val="26"/>
          <w:szCs w:val="26"/>
        </w:rPr>
      </w:pPr>
    </w:p>
    <w:p w14:paraId="36954B04" w14:textId="0192781E" w:rsidR="0002210B" w:rsidRDefault="00A07F47" w:rsidP="008E1AD5">
      <w:pPr>
        <w:rPr>
          <w:color w:val="000000"/>
          <w:sz w:val="26"/>
          <w:szCs w:val="26"/>
        </w:rPr>
      </w:pPr>
      <w:r>
        <w:rPr>
          <w:color w:val="000000"/>
          <w:sz w:val="26"/>
          <w:szCs w:val="26"/>
        </w:rPr>
        <w:lastRenderedPageBreak/>
        <w:t>In this case, there is no record evidence that the resulting consequences of UGI’s conduct were serious, as there is no of evidence of damage to properties in the historic district or diminished property values based on the outdoor location of meters.</w:t>
      </w:r>
      <w:r w:rsidR="006A5325">
        <w:rPr>
          <w:color w:val="000000"/>
          <w:sz w:val="26"/>
          <w:szCs w:val="26"/>
        </w:rPr>
        <w:t xml:space="preserve">  </w:t>
      </w:r>
      <w:bookmarkStart w:id="21" w:name="_Hlk20317481"/>
      <w:r w:rsidR="006A5325" w:rsidRPr="001763FD">
        <w:rPr>
          <w:color w:val="000000"/>
          <w:sz w:val="26"/>
          <w:szCs w:val="26"/>
        </w:rPr>
        <w:t>52 Pa. Code § 69.1201(c)</w:t>
      </w:r>
      <w:r w:rsidR="006A5325">
        <w:rPr>
          <w:color w:val="000000"/>
          <w:sz w:val="26"/>
          <w:szCs w:val="26"/>
        </w:rPr>
        <w:t>(2)</w:t>
      </w:r>
      <w:bookmarkEnd w:id="21"/>
      <w:r w:rsidR="006A5325">
        <w:rPr>
          <w:color w:val="000000"/>
          <w:sz w:val="26"/>
          <w:szCs w:val="26"/>
        </w:rPr>
        <w:t xml:space="preserve">.  </w:t>
      </w:r>
      <w:r w:rsidR="00BF1A19">
        <w:rPr>
          <w:color w:val="000000"/>
          <w:sz w:val="26"/>
          <w:szCs w:val="26"/>
        </w:rPr>
        <w:t>It also does not appear</w:t>
      </w:r>
      <w:r w:rsidR="00D73ADE">
        <w:rPr>
          <w:color w:val="000000"/>
          <w:sz w:val="26"/>
          <w:szCs w:val="26"/>
        </w:rPr>
        <w:t xml:space="preserve"> that UGI was </w:t>
      </w:r>
      <w:r w:rsidR="006A22AF">
        <w:rPr>
          <w:color w:val="000000"/>
          <w:sz w:val="26"/>
          <w:szCs w:val="26"/>
        </w:rPr>
        <w:t>purposefully</w:t>
      </w:r>
      <w:r w:rsidR="00BF1A19">
        <w:rPr>
          <w:color w:val="000000"/>
          <w:sz w:val="26"/>
          <w:szCs w:val="26"/>
        </w:rPr>
        <w:t xml:space="preserve"> or blatantly</w:t>
      </w:r>
      <w:r w:rsidR="006A22AF">
        <w:rPr>
          <w:color w:val="000000"/>
          <w:sz w:val="26"/>
          <w:szCs w:val="26"/>
        </w:rPr>
        <w:t xml:space="preserve"> </w:t>
      </w:r>
      <w:r w:rsidR="00D73ADE">
        <w:rPr>
          <w:color w:val="000000"/>
          <w:sz w:val="26"/>
          <w:szCs w:val="26"/>
        </w:rPr>
        <w:t>disregarding Section 59.18</w:t>
      </w:r>
      <w:r w:rsidR="00AC0DFE">
        <w:rPr>
          <w:color w:val="000000"/>
          <w:sz w:val="26"/>
          <w:szCs w:val="26"/>
        </w:rPr>
        <w:t xml:space="preserve"> or not cooperating with the </w:t>
      </w:r>
      <w:r w:rsidR="00233DA3">
        <w:rPr>
          <w:color w:val="000000"/>
          <w:sz w:val="26"/>
          <w:szCs w:val="26"/>
        </w:rPr>
        <w:t>Commission’s Gas Safety Division</w:t>
      </w:r>
      <w:r w:rsidR="00D73ADE">
        <w:rPr>
          <w:color w:val="000000"/>
          <w:sz w:val="26"/>
          <w:szCs w:val="26"/>
        </w:rPr>
        <w:t>.</w:t>
      </w:r>
      <w:r w:rsidR="00730836">
        <w:rPr>
          <w:color w:val="000000"/>
          <w:sz w:val="26"/>
          <w:szCs w:val="26"/>
        </w:rPr>
        <w:t xml:space="preserve">  </w:t>
      </w:r>
      <w:r w:rsidR="00730836" w:rsidRPr="001763FD">
        <w:rPr>
          <w:color w:val="000000"/>
          <w:sz w:val="26"/>
          <w:szCs w:val="26"/>
        </w:rPr>
        <w:t>52 Pa. Code</w:t>
      </w:r>
      <w:r w:rsidR="00233DA3">
        <w:rPr>
          <w:color w:val="000000"/>
          <w:sz w:val="26"/>
          <w:szCs w:val="26"/>
        </w:rPr>
        <w:t xml:space="preserve"> </w:t>
      </w:r>
      <w:r w:rsidR="00730836" w:rsidRPr="001763FD">
        <w:rPr>
          <w:color w:val="000000"/>
          <w:sz w:val="26"/>
          <w:szCs w:val="26"/>
        </w:rPr>
        <w:t>§ 69.1201(c)</w:t>
      </w:r>
      <w:r w:rsidR="00730836">
        <w:rPr>
          <w:color w:val="000000"/>
          <w:sz w:val="26"/>
          <w:szCs w:val="26"/>
        </w:rPr>
        <w:t>(3).</w:t>
      </w:r>
      <w:r w:rsidR="00DB56C3">
        <w:rPr>
          <w:color w:val="000000"/>
          <w:sz w:val="26"/>
          <w:szCs w:val="26"/>
        </w:rPr>
        <w:t xml:space="preserve">  </w:t>
      </w:r>
      <w:r w:rsidR="00233DA3">
        <w:rPr>
          <w:color w:val="000000"/>
          <w:sz w:val="26"/>
          <w:szCs w:val="26"/>
        </w:rPr>
        <w:t>Gas Safety Division</w:t>
      </w:r>
      <w:r w:rsidR="00AC0DFE">
        <w:rPr>
          <w:color w:val="000000"/>
          <w:sz w:val="26"/>
          <w:szCs w:val="26"/>
        </w:rPr>
        <w:t xml:space="preserve"> representatives and City officials did walking tours in the City to observe UGI’s actions, and UGI involved </w:t>
      </w:r>
      <w:r w:rsidR="00233DA3">
        <w:rPr>
          <w:color w:val="000000"/>
          <w:sz w:val="26"/>
          <w:szCs w:val="26"/>
        </w:rPr>
        <w:t>Gas Safety Division</w:t>
      </w:r>
      <w:r w:rsidR="00AC0DFE">
        <w:rPr>
          <w:color w:val="000000"/>
          <w:sz w:val="26"/>
          <w:szCs w:val="26"/>
        </w:rPr>
        <w:t xml:space="preserve"> inspectors in reviewing certain meter placement decisions.  UGI St. 1 at 21.  </w:t>
      </w:r>
      <w:r w:rsidR="002E31AE">
        <w:rPr>
          <w:color w:val="000000"/>
          <w:sz w:val="26"/>
          <w:szCs w:val="26"/>
        </w:rPr>
        <w:t xml:space="preserve">Moreover, as this is a case of first impression, there is no indication that UGI has an unsatisfactory compliance history regarding </w:t>
      </w:r>
      <w:r w:rsidR="00233DA3">
        <w:rPr>
          <w:color w:val="000000"/>
          <w:sz w:val="26"/>
          <w:szCs w:val="26"/>
        </w:rPr>
        <w:t xml:space="preserve">the requirements in </w:t>
      </w:r>
      <w:r w:rsidR="002E31AE">
        <w:rPr>
          <w:color w:val="000000"/>
          <w:sz w:val="26"/>
          <w:szCs w:val="26"/>
        </w:rPr>
        <w:t>Section 59.18(d)(1)(ii)</w:t>
      </w:r>
      <w:r w:rsidR="00CD7A34">
        <w:rPr>
          <w:color w:val="000000"/>
          <w:sz w:val="26"/>
          <w:szCs w:val="26"/>
        </w:rPr>
        <w:t xml:space="preserve"> or that UGI has an otherwise unsatisfactory compliance history</w:t>
      </w:r>
      <w:r w:rsidR="002E31AE">
        <w:rPr>
          <w:color w:val="000000"/>
          <w:sz w:val="26"/>
          <w:szCs w:val="26"/>
        </w:rPr>
        <w:t xml:space="preserve">.  </w:t>
      </w:r>
      <w:bookmarkStart w:id="22" w:name="_Hlk20322352"/>
      <w:r w:rsidR="002E31AE" w:rsidRPr="001763FD">
        <w:rPr>
          <w:color w:val="000000"/>
          <w:sz w:val="26"/>
          <w:szCs w:val="26"/>
        </w:rPr>
        <w:t>52 Pa. Code</w:t>
      </w:r>
      <w:r w:rsidR="002E31AE">
        <w:rPr>
          <w:color w:val="000000"/>
          <w:sz w:val="26"/>
          <w:szCs w:val="26"/>
        </w:rPr>
        <w:t xml:space="preserve"> </w:t>
      </w:r>
      <w:r w:rsidR="002E31AE" w:rsidRPr="001763FD">
        <w:rPr>
          <w:color w:val="000000"/>
          <w:sz w:val="26"/>
          <w:szCs w:val="26"/>
        </w:rPr>
        <w:t>§</w:t>
      </w:r>
      <w:r w:rsidR="006A22AF">
        <w:rPr>
          <w:color w:val="000000"/>
          <w:sz w:val="26"/>
          <w:szCs w:val="26"/>
        </w:rPr>
        <w:t xml:space="preserve"> </w:t>
      </w:r>
      <w:r w:rsidR="002E31AE" w:rsidRPr="001763FD">
        <w:rPr>
          <w:color w:val="000000"/>
          <w:sz w:val="26"/>
          <w:szCs w:val="26"/>
        </w:rPr>
        <w:t>69.1201(c)</w:t>
      </w:r>
      <w:r w:rsidR="002E31AE">
        <w:rPr>
          <w:color w:val="000000"/>
          <w:sz w:val="26"/>
          <w:szCs w:val="26"/>
        </w:rPr>
        <w:t xml:space="preserve">(6).  </w:t>
      </w:r>
      <w:bookmarkEnd w:id="22"/>
      <w:r w:rsidR="00233DA3">
        <w:rPr>
          <w:color w:val="000000"/>
          <w:sz w:val="26"/>
          <w:szCs w:val="26"/>
        </w:rPr>
        <w:t>Therefore</w:t>
      </w:r>
      <w:r w:rsidR="002E31AE">
        <w:rPr>
          <w:color w:val="000000"/>
          <w:sz w:val="26"/>
          <w:szCs w:val="26"/>
        </w:rPr>
        <w:t>, t</w:t>
      </w:r>
      <w:r w:rsidR="00AC0DFE">
        <w:rPr>
          <w:color w:val="000000"/>
          <w:sz w:val="26"/>
          <w:szCs w:val="26"/>
        </w:rPr>
        <w:t xml:space="preserve">hese factors weigh in favor of imposing a </w:t>
      </w:r>
      <w:r w:rsidR="00D15FAE">
        <w:rPr>
          <w:color w:val="000000"/>
          <w:sz w:val="26"/>
          <w:szCs w:val="26"/>
        </w:rPr>
        <w:t xml:space="preserve">lower </w:t>
      </w:r>
      <w:r w:rsidR="00AC0DFE">
        <w:rPr>
          <w:color w:val="000000"/>
          <w:sz w:val="26"/>
          <w:szCs w:val="26"/>
        </w:rPr>
        <w:t>penalty.</w:t>
      </w:r>
    </w:p>
    <w:p w14:paraId="186BAEB3" w14:textId="4696C1E9" w:rsidR="00794B36" w:rsidRPr="001763FD" w:rsidRDefault="00794B36" w:rsidP="008E1AD5">
      <w:pPr>
        <w:rPr>
          <w:color w:val="000000"/>
          <w:sz w:val="26"/>
          <w:szCs w:val="26"/>
        </w:rPr>
      </w:pPr>
    </w:p>
    <w:p w14:paraId="7619BF1F" w14:textId="2099E814" w:rsidR="00F613ED" w:rsidRPr="001763FD" w:rsidRDefault="003B21FC" w:rsidP="008E1AD5">
      <w:pPr>
        <w:rPr>
          <w:color w:val="000000"/>
          <w:sz w:val="26"/>
          <w:szCs w:val="26"/>
        </w:rPr>
      </w:pPr>
      <w:r>
        <w:rPr>
          <w:color w:val="000000"/>
          <w:sz w:val="26"/>
          <w:szCs w:val="26"/>
        </w:rPr>
        <w:t xml:space="preserve">Since the Complaints in this proceeding were filed, UGI has taken </w:t>
      </w:r>
      <w:r w:rsidR="008E24F5">
        <w:rPr>
          <w:color w:val="000000"/>
          <w:sz w:val="26"/>
          <w:szCs w:val="26"/>
        </w:rPr>
        <w:t>steps to</w:t>
      </w:r>
      <w:r w:rsidR="00794B36" w:rsidRPr="001763FD">
        <w:rPr>
          <w:color w:val="000000"/>
          <w:sz w:val="26"/>
          <w:szCs w:val="26"/>
        </w:rPr>
        <w:t xml:space="preserve"> modif</w:t>
      </w:r>
      <w:r w:rsidR="008E24F5">
        <w:rPr>
          <w:color w:val="000000"/>
          <w:sz w:val="26"/>
          <w:szCs w:val="26"/>
        </w:rPr>
        <w:t>y</w:t>
      </w:r>
      <w:r w:rsidR="00794B36" w:rsidRPr="001763FD">
        <w:rPr>
          <w:color w:val="000000"/>
          <w:sz w:val="26"/>
          <w:szCs w:val="26"/>
        </w:rPr>
        <w:t xml:space="preserve"> its internal practices and procedures to address the conduct at issue and to prevent similar conduct in the future.</w:t>
      </w:r>
      <w:r w:rsidR="003E52A5">
        <w:rPr>
          <w:color w:val="000000"/>
          <w:sz w:val="26"/>
          <w:szCs w:val="26"/>
        </w:rPr>
        <w:t xml:space="preserve">  </w:t>
      </w:r>
      <w:r w:rsidR="00CD7A34" w:rsidRPr="001763FD">
        <w:rPr>
          <w:color w:val="000000"/>
          <w:sz w:val="26"/>
          <w:szCs w:val="26"/>
        </w:rPr>
        <w:t>52 Pa. Code</w:t>
      </w:r>
      <w:r w:rsidR="00CD7A34">
        <w:rPr>
          <w:color w:val="000000"/>
          <w:sz w:val="26"/>
          <w:szCs w:val="26"/>
        </w:rPr>
        <w:t xml:space="preserve"> </w:t>
      </w:r>
      <w:r w:rsidR="00CD7A34" w:rsidRPr="001763FD">
        <w:rPr>
          <w:color w:val="000000"/>
          <w:sz w:val="26"/>
          <w:szCs w:val="26"/>
        </w:rPr>
        <w:t>§ 69.1201(c)</w:t>
      </w:r>
      <w:r w:rsidR="00CD7A34">
        <w:rPr>
          <w:color w:val="000000"/>
          <w:sz w:val="26"/>
          <w:szCs w:val="26"/>
        </w:rPr>
        <w:t xml:space="preserve">(4).  </w:t>
      </w:r>
      <w:r w:rsidR="003E52A5">
        <w:rPr>
          <w:color w:val="000000"/>
          <w:sz w:val="26"/>
          <w:szCs w:val="26"/>
        </w:rPr>
        <w:t xml:space="preserve">For instance, UGI modified its </w:t>
      </w:r>
      <w:r w:rsidR="00AE6B1A" w:rsidRPr="00B03323">
        <w:rPr>
          <w:sz w:val="26"/>
        </w:rPr>
        <w:t>GOM effective</w:t>
      </w:r>
      <w:r w:rsidR="00D90FB3">
        <w:rPr>
          <w:sz w:val="26"/>
        </w:rPr>
        <w:t>,</w:t>
      </w:r>
      <w:r w:rsidR="00AE6B1A" w:rsidRPr="00B03323">
        <w:rPr>
          <w:sz w:val="26"/>
        </w:rPr>
        <w:t xml:space="preserve"> July 31, 2016, to include guidance and consideration for meters located within historic districts</w:t>
      </w:r>
      <w:r w:rsidR="003E52A5">
        <w:rPr>
          <w:sz w:val="26"/>
        </w:rPr>
        <w:t xml:space="preserve"> and modified its thirty-day </w:t>
      </w:r>
      <w:r w:rsidR="00D90FB3">
        <w:rPr>
          <w:sz w:val="26"/>
        </w:rPr>
        <w:t xml:space="preserve">customer </w:t>
      </w:r>
      <w:r w:rsidR="003E52A5">
        <w:rPr>
          <w:sz w:val="26"/>
        </w:rPr>
        <w:t>notification letter</w:t>
      </w:r>
      <w:r w:rsidR="00D90FB3">
        <w:rPr>
          <w:sz w:val="26"/>
        </w:rPr>
        <w:t>,</w:t>
      </w:r>
      <w:r w:rsidR="003E52A5">
        <w:rPr>
          <w:sz w:val="26"/>
        </w:rPr>
        <w:t xml:space="preserve"> effective</w:t>
      </w:r>
      <w:r w:rsidR="005646F7">
        <w:rPr>
          <w:sz w:val="26"/>
        </w:rPr>
        <w:t xml:space="preserve"> October 2017</w:t>
      </w:r>
      <w:r w:rsidR="00D90FB3">
        <w:rPr>
          <w:sz w:val="26"/>
        </w:rPr>
        <w:t>,</w:t>
      </w:r>
      <w:r w:rsidR="005646F7">
        <w:rPr>
          <w:sz w:val="26"/>
        </w:rPr>
        <w:t xml:space="preserve"> to permit property owners and customers in historic districts to request reconsideration of outside meter placement.</w:t>
      </w:r>
      <w:r w:rsidR="003E52A5">
        <w:rPr>
          <w:sz w:val="26"/>
        </w:rPr>
        <w:t xml:space="preserve"> </w:t>
      </w:r>
      <w:r w:rsidR="00AE6B1A" w:rsidRPr="00B03323">
        <w:rPr>
          <w:sz w:val="26"/>
        </w:rPr>
        <w:t xml:space="preserve"> </w:t>
      </w:r>
      <w:r w:rsidR="005646F7">
        <w:rPr>
          <w:sz w:val="26"/>
        </w:rPr>
        <w:t>Consistent with these revisions, UGI</w:t>
      </w:r>
      <w:r w:rsidR="005646F7" w:rsidRPr="00B03323">
        <w:rPr>
          <w:sz w:val="26"/>
        </w:rPr>
        <w:t xml:space="preserve"> developed a website for customers requesting reconsideration of meter placement as a means for easily communicating this preference and</w:t>
      </w:r>
      <w:r w:rsidR="005646F7">
        <w:rPr>
          <w:sz w:val="26"/>
        </w:rPr>
        <w:t>,</w:t>
      </w:r>
      <w:r w:rsidR="005646F7" w:rsidRPr="00B03323">
        <w:rPr>
          <w:sz w:val="26"/>
        </w:rPr>
        <w:t xml:space="preserve"> as part of its revisions to the GOM, </w:t>
      </w:r>
      <w:r w:rsidR="005646F7">
        <w:rPr>
          <w:sz w:val="26"/>
        </w:rPr>
        <w:t xml:space="preserve">permitted </w:t>
      </w:r>
      <w:r w:rsidR="005646F7" w:rsidRPr="00B03323">
        <w:rPr>
          <w:sz w:val="26"/>
        </w:rPr>
        <w:t>customers</w:t>
      </w:r>
      <w:r w:rsidR="005646F7">
        <w:rPr>
          <w:sz w:val="26"/>
        </w:rPr>
        <w:t xml:space="preserve"> to take </w:t>
      </w:r>
      <w:r w:rsidR="005646F7" w:rsidRPr="00B03323">
        <w:rPr>
          <w:sz w:val="26"/>
        </w:rPr>
        <w:t>steps to lessen the aesthetic impact of the outside meter, such as painting the meters to blend in with the surroundings</w:t>
      </w:r>
      <w:r w:rsidR="005646F7">
        <w:rPr>
          <w:sz w:val="26"/>
        </w:rPr>
        <w:t xml:space="preserve">.  The Company also indicated that it </w:t>
      </w:r>
      <w:r w:rsidR="00AE6B1A" w:rsidRPr="00B03323">
        <w:rPr>
          <w:sz w:val="26"/>
        </w:rPr>
        <w:t>agreed to work with the City to have constituent complaints submitted to the City routed to UGI officials for response</w:t>
      </w:r>
      <w:r w:rsidR="005646F7">
        <w:rPr>
          <w:sz w:val="26"/>
        </w:rPr>
        <w:t xml:space="preserve"> and that it has</w:t>
      </w:r>
      <w:r w:rsidR="00AE6B1A" w:rsidRPr="00B03323">
        <w:rPr>
          <w:sz w:val="26"/>
        </w:rPr>
        <w:t xml:space="preserve"> met </w:t>
      </w:r>
      <w:r w:rsidR="005646F7">
        <w:rPr>
          <w:sz w:val="26"/>
        </w:rPr>
        <w:t xml:space="preserve">with </w:t>
      </w:r>
      <w:r w:rsidR="00AE6B1A" w:rsidRPr="00B03323">
        <w:rPr>
          <w:sz w:val="26"/>
        </w:rPr>
        <w:t xml:space="preserve">homeowners and interested parties to discuss the outside meter placement </w:t>
      </w:r>
      <w:r w:rsidR="005646F7">
        <w:rPr>
          <w:sz w:val="26"/>
        </w:rPr>
        <w:t>prior to the</w:t>
      </w:r>
      <w:r w:rsidR="00AE6B1A" w:rsidRPr="00B03323">
        <w:rPr>
          <w:sz w:val="26"/>
        </w:rPr>
        <w:t xml:space="preserve"> Company</w:t>
      </w:r>
      <w:r w:rsidR="00AE6B1A">
        <w:rPr>
          <w:sz w:val="26"/>
        </w:rPr>
        <w:t>’</w:t>
      </w:r>
      <w:r w:rsidR="00AE6B1A" w:rsidRPr="00B03323">
        <w:rPr>
          <w:sz w:val="26"/>
        </w:rPr>
        <w:t>s work and ha</w:t>
      </w:r>
      <w:r w:rsidR="005646F7">
        <w:rPr>
          <w:sz w:val="26"/>
        </w:rPr>
        <w:t>s</w:t>
      </w:r>
      <w:r w:rsidR="00AE6B1A" w:rsidRPr="00B03323">
        <w:rPr>
          <w:sz w:val="26"/>
        </w:rPr>
        <w:t xml:space="preserve"> </w:t>
      </w:r>
      <w:r w:rsidR="00AE6B1A" w:rsidRPr="00B03323">
        <w:rPr>
          <w:sz w:val="26"/>
        </w:rPr>
        <w:lastRenderedPageBreak/>
        <w:t>found mutually agreed-upon locations to place an outside meter</w:t>
      </w:r>
      <w:r w:rsidR="005646F7">
        <w:rPr>
          <w:sz w:val="26"/>
        </w:rPr>
        <w:t xml:space="preserve">.  </w:t>
      </w:r>
      <w:r w:rsidR="00E01CD1">
        <w:rPr>
          <w:sz w:val="26"/>
        </w:rPr>
        <w:t>UGI St. 1 at 34, 36.</w:t>
      </w:r>
      <w:r w:rsidR="00F613ED">
        <w:rPr>
          <w:sz w:val="26"/>
        </w:rPr>
        <w:t xml:space="preserve">  Under the circumstances, </w:t>
      </w:r>
      <w:r w:rsidR="00F613ED" w:rsidRPr="001763FD">
        <w:rPr>
          <w:color w:val="000000"/>
          <w:sz w:val="26"/>
          <w:szCs w:val="26"/>
        </w:rPr>
        <w:t xml:space="preserve">we find </w:t>
      </w:r>
      <w:r w:rsidR="00C1316A">
        <w:rPr>
          <w:color w:val="000000"/>
          <w:sz w:val="26"/>
          <w:szCs w:val="26"/>
        </w:rPr>
        <w:t xml:space="preserve">that </w:t>
      </w:r>
      <w:r w:rsidR="00F613ED" w:rsidRPr="001763FD">
        <w:rPr>
          <w:color w:val="000000"/>
          <w:sz w:val="26"/>
          <w:szCs w:val="26"/>
        </w:rPr>
        <w:t>th</w:t>
      </w:r>
      <w:r w:rsidR="00776AE9">
        <w:rPr>
          <w:color w:val="000000"/>
          <w:sz w:val="26"/>
          <w:szCs w:val="26"/>
        </w:rPr>
        <w:t>is</w:t>
      </w:r>
      <w:r w:rsidR="00F613ED" w:rsidRPr="001763FD">
        <w:rPr>
          <w:color w:val="000000"/>
          <w:sz w:val="26"/>
          <w:szCs w:val="26"/>
        </w:rPr>
        <w:t xml:space="preserve"> factor weigh</w:t>
      </w:r>
      <w:r w:rsidR="00776AE9">
        <w:rPr>
          <w:color w:val="000000"/>
          <w:sz w:val="26"/>
          <w:szCs w:val="26"/>
        </w:rPr>
        <w:t>s</w:t>
      </w:r>
      <w:r w:rsidR="00F613ED" w:rsidRPr="001763FD">
        <w:rPr>
          <w:color w:val="000000"/>
          <w:sz w:val="26"/>
          <w:szCs w:val="26"/>
        </w:rPr>
        <w:t xml:space="preserve"> in favor of a </w:t>
      </w:r>
      <w:r w:rsidR="00D15FAE">
        <w:rPr>
          <w:color w:val="000000"/>
          <w:sz w:val="26"/>
          <w:szCs w:val="26"/>
        </w:rPr>
        <w:t xml:space="preserve">lower </w:t>
      </w:r>
      <w:r w:rsidR="00F613ED" w:rsidRPr="001763FD">
        <w:rPr>
          <w:color w:val="000000"/>
          <w:sz w:val="26"/>
          <w:szCs w:val="26"/>
        </w:rPr>
        <w:t>penalty.</w:t>
      </w:r>
    </w:p>
    <w:p w14:paraId="54C60E02" w14:textId="77777777" w:rsidR="00F613ED" w:rsidRDefault="00F613ED" w:rsidP="008E1AD5">
      <w:pPr>
        <w:rPr>
          <w:color w:val="000000"/>
          <w:sz w:val="26"/>
          <w:szCs w:val="26"/>
        </w:rPr>
      </w:pPr>
    </w:p>
    <w:p w14:paraId="4D144568" w14:textId="7CC714DD" w:rsidR="004F1F52" w:rsidRDefault="00A22DE0" w:rsidP="008E1AD5">
      <w:pPr>
        <w:rPr>
          <w:color w:val="000000"/>
          <w:sz w:val="26"/>
          <w:szCs w:val="26"/>
        </w:rPr>
      </w:pPr>
      <w:r>
        <w:rPr>
          <w:color w:val="000000"/>
          <w:sz w:val="26"/>
          <w:szCs w:val="26"/>
        </w:rPr>
        <w:t>Here</w:t>
      </w:r>
      <w:r w:rsidR="004F1F52">
        <w:rPr>
          <w:color w:val="000000"/>
          <w:sz w:val="26"/>
          <w:szCs w:val="26"/>
        </w:rPr>
        <w:t xml:space="preserve">, </w:t>
      </w:r>
      <w:r w:rsidR="00C61D51">
        <w:rPr>
          <w:color w:val="000000"/>
          <w:sz w:val="26"/>
          <w:szCs w:val="26"/>
        </w:rPr>
        <w:t xml:space="preserve">UGI’s actions affected </w:t>
      </w:r>
      <w:r w:rsidR="004F1F52">
        <w:rPr>
          <w:color w:val="000000"/>
          <w:sz w:val="26"/>
          <w:szCs w:val="26"/>
        </w:rPr>
        <w:t xml:space="preserve">a significant number of customers and property owners </w:t>
      </w:r>
      <w:r w:rsidR="00087030">
        <w:rPr>
          <w:color w:val="000000"/>
          <w:sz w:val="26"/>
          <w:szCs w:val="26"/>
        </w:rPr>
        <w:t xml:space="preserve">over a </w:t>
      </w:r>
      <w:r w:rsidR="00C61D51">
        <w:rPr>
          <w:color w:val="000000"/>
          <w:sz w:val="26"/>
          <w:szCs w:val="26"/>
        </w:rPr>
        <w:t>nearly two-year period</w:t>
      </w:r>
      <w:r w:rsidR="004F1F52">
        <w:rPr>
          <w:color w:val="000000"/>
          <w:sz w:val="26"/>
          <w:szCs w:val="26"/>
        </w:rPr>
        <w:t xml:space="preserve">.  </w:t>
      </w:r>
      <w:r w:rsidR="00376CF6">
        <w:rPr>
          <w:color w:val="000000"/>
          <w:sz w:val="26"/>
          <w:szCs w:val="26"/>
        </w:rPr>
        <w:t>Based on the record,</w:t>
      </w:r>
      <w:r w:rsidR="00C61D51">
        <w:rPr>
          <w:color w:val="000000"/>
          <w:sz w:val="26"/>
          <w:szCs w:val="26"/>
        </w:rPr>
        <w:t xml:space="preserve"> </w:t>
      </w:r>
      <w:r w:rsidR="00452EC5">
        <w:rPr>
          <w:color w:val="000000"/>
          <w:sz w:val="26"/>
          <w:szCs w:val="26"/>
        </w:rPr>
        <w:t xml:space="preserve">UGI relocated approximately 600 meters in historic districts between September 13, 2014, and July 30, 2016.  ALJ Exh. 1. </w:t>
      </w:r>
      <w:r w:rsidR="008F2D16">
        <w:rPr>
          <w:color w:val="000000"/>
          <w:sz w:val="26"/>
          <w:szCs w:val="26"/>
        </w:rPr>
        <w:t xml:space="preserve"> We find that this information weighs in favor of a higher penalty.</w:t>
      </w:r>
    </w:p>
    <w:p w14:paraId="1DB78917" w14:textId="77777777" w:rsidR="004F1F52" w:rsidRDefault="004F1F52" w:rsidP="008E1AD5">
      <w:pPr>
        <w:rPr>
          <w:color w:val="000000"/>
          <w:sz w:val="26"/>
          <w:szCs w:val="26"/>
        </w:rPr>
      </w:pPr>
    </w:p>
    <w:p w14:paraId="2512F6D2" w14:textId="77777777" w:rsidR="00A22DE0" w:rsidRDefault="00B0324D" w:rsidP="008E1AD5">
      <w:pPr>
        <w:ind w:firstLine="0"/>
        <w:rPr>
          <w:color w:val="000000"/>
          <w:sz w:val="26"/>
          <w:szCs w:val="26"/>
        </w:rPr>
      </w:pPr>
      <w:r>
        <w:rPr>
          <w:color w:val="000000"/>
          <w:sz w:val="26"/>
          <w:szCs w:val="26"/>
        </w:rPr>
        <w:tab/>
      </w:r>
      <w:r>
        <w:rPr>
          <w:color w:val="000000"/>
          <w:sz w:val="26"/>
          <w:szCs w:val="26"/>
        </w:rPr>
        <w:tab/>
      </w:r>
      <w:r w:rsidR="00794B36" w:rsidRPr="001763FD">
        <w:rPr>
          <w:color w:val="000000"/>
          <w:sz w:val="26"/>
          <w:szCs w:val="26"/>
        </w:rPr>
        <w:t>The eighth factor is the amount of the civil penalty necessary to deter future violations.  The ninth factor is past commission decisions in similar situations.  The tenth factor allows us to consider any other relevant factors.</w:t>
      </w:r>
      <w:r w:rsidR="005E18BB">
        <w:rPr>
          <w:color w:val="000000"/>
          <w:sz w:val="26"/>
          <w:szCs w:val="26"/>
        </w:rPr>
        <w:t xml:space="preserve">  </w:t>
      </w:r>
      <w:r w:rsidRPr="001763FD">
        <w:rPr>
          <w:color w:val="000000"/>
          <w:sz w:val="26"/>
          <w:szCs w:val="26"/>
        </w:rPr>
        <w:t xml:space="preserve">52 Pa. Code </w:t>
      </w:r>
    </w:p>
    <w:p w14:paraId="6393AA5B" w14:textId="7C785167" w:rsidR="007A3114" w:rsidRPr="00963C7F" w:rsidRDefault="00B0324D" w:rsidP="008E1AD5">
      <w:pPr>
        <w:ind w:firstLine="0"/>
        <w:rPr>
          <w:b/>
          <w:bCs/>
          <w:sz w:val="26"/>
          <w:szCs w:val="26"/>
        </w:rPr>
      </w:pPr>
      <w:r w:rsidRPr="001763FD">
        <w:rPr>
          <w:color w:val="000000"/>
          <w:sz w:val="26"/>
          <w:szCs w:val="26"/>
        </w:rPr>
        <w:t>§</w:t>
      </w:r>
      <w:r w:rsidR="00A22DE0">
        <w:rPr>
          <w:color w:val="000000"/>
          <w:sz w:val="26"/>
          <w:szCs w:val="26"/>
        </w:rPr>
        <w:t xml:space="preserve"> </w:t>
      </w:r>
      <w:r w:rsidR="00F57F6C">
        <w:rPr>
          <w:color w:val="000000"/>
          <w:sz w:val="26"/>
          <w:szCs w:val="26"/>
        </w:rPr>
        <w:t>6</w:t>
      </w:r>
      <w:r w:rsidRPr="001763FD">
        <w:rPr>
          <w:color w:val="000000"/>
          <w:sz w:val="26"/>
          <w:szCs w:val="26"/>
        </w:rPr>
        <w:t>9.1201(c)</w:t>
      </w:r>
      <w:r>
        <w:rPr>
          <w:color w:val="000000"/>
          <w:sz w:val="26"/>
          <w:szCs w:val="26"/>
        </w:rPr>
        <w:t>(8)</w:t>
      </w:r>
      <w:r w:rsidR="00A22DE0">
        <w:rPr>
          <w:color w:val="000000"/>
          <w:sz w:val="26"/>
          <w:szCs w:val="26"/>
        </w:rPr>
        <w:t>,</w:t>
      </w:r>
      <w:r>
        <w:rPr>
          <w:color w:val="000000"/>
          <w:sz w:val="26"/>
          <w:szCs w:val="26"/>
        </w:rPr>
        <w:t>(9)</w:t>
      </w:r>
      <w:r w:rsidR="00A22DE0">
        <w:rPr>
          <w:color w:val="000000"/>
          <w:sz w:val="26"/>
          <w:szCs w:val="26"/>
        </w:rPr>
        <w:t>,</w:t>
      </w:r>
      <w:r>
        <w:rPr>
          <w:color w:val="000000"/>
          <w:sz w:val="26"/>
          <w:szCs w:val="26"/>
        </w:rPr>
        <w:t>(10)</w:t>
      </w:r>
      <w:r w:rsidRPr="001763FD">
        <w:rPr>
          <w:color w:val="000000"/>
          <w:sz w:val="26"/>
          <w:szCs w:val="26"/>
        </w:rPr>
        <w:t>.</w:t>
      </w:r>
      <w:r>
        <w:rPr>
          <w:color w:val="000000"/>
          <w:sz w:val="26"/>
          <w:szCs w:val="26"/>
        </w:rPr>
        <w:t xml:space="preserve">  </w:t>
      </w:r>
      <w:r w:rsidR="005C7DBE">
        <w:rPr>
          <w:color w:val="000000"/>
          <w:sz w:val="26"/>
          <w:szCs w:val="26"/>
        </w:rPr>
        <w:t>In evaluating these factors based on the record in this case</w:t>
      </w:r>
      <w:r w:rsidR="00981DEF">
        <w:rPr>
          <w:color w:val="000000"/>
          <w:sz w:val="26"/>
          <w:szCs w:val="26"/>
        </w:rPr>
        <w:t xml:space="preserve"> and in exercising our discretion not to impose a monetary civil penalty</w:t>
      </w:r>
      <w:r w:rsidR="005C7DBE">
        <w:rPr>
          <w:color w:val="000000"/>
          <w:sz w:val="26"/>
          <w:szCs w:val="26"/>
        </w:rPr>
        <w:t xml:space="preserve">, we have concluded that </w:t>
      </w:r>
      <w:r w:rsidR="001F0A5B">
        <w:rPr>
          <w:color w:val="000000"/>
          <w:sz w:val="26"/>
          <w:szCs w:val="26"/>
        </w:rPr>
        <w:t>a n</w:t>
      </w:r>
      <w:r w:rsidR="005C7DBE">
        <w:rPr>
          <w:color w:val="000000"/>
          <w:sz w:val="26"/>
          <w:szCs w:val="26"/>
        </w:rPr>
        <w:t xml:space="preserve">on-monetary </w:t>
      </w:r>
      <w:r w:rsidR="001F0A5B">
        <w:rPr>
          <w:color w:val="000000"/>
          <w:sz w:val="26"/>
          <w:szCs w:val="26"/>
        </w:rPr>
        <w:t>remedy</w:t>
      </w:r>
      <w:r w:rsidR="005C7DBE">
        <w:rPr>
          <w:color w:val="000000"/>
          <w:sz w:val="26"/>
          <w:szCs w:val="26"/>
        </w:rPr>
        <w:t xml:space="preserve"> would </w:t>
      </w:r>
      <w:r w:rsidR="00981DEF">
        <w:rPr>
          <w:color w:val="000000"/>
          <w:sz w:val="26"/>
          <w:szCs w:val="26"/>
        </w:rPr>
        <w:t>provide</w:t>
      </w:r>
      <w:r w:rsidR="005C7DBE">
        <w:rPr>
          <w:color w:val="000000"/>
          <w:sz w:val="26"/>
          <w:szCs w:val="26"/>
        </w:rPr>
        <w:t xml:space="preserve"> the most appropriate remedy</w:t>
      </w:r>
      <w:r w:rsidR="00981DEF">
        <w:rPr>
          <w:color w:val="000000"/>
          <w:sz w:val="26"/>
          <w:szCs w:val="26"/>
        </w:rPr>
        <w:t xml:space="preserve"> under the circumstances</w:t>
      </w:r>
      <w:r w:rsidR="005C7DBE">
        <w:rPr>
          <w:color w:val="000000"/>
          <w:sz w:val="26"/>
          <w:szCs w:val="26"/>
        </w:rPr>
        <w:t xml:space="preserve">.  </w:t>
      </w:r>
      <w:r w:rsidR="00981DEF">
        <w:rPr>
          <w:color w:val="000000"/>
          <w:sz w:val="26"/>
          <w:szCs w:val="26"/>
        </w:rPr>
        <w:t>W</w:t>
      </w:r>
      <w:r w:rsidR="00840854">
        <w:rPr>
          <w:color w:val="000000"/>
          <w:sz w:val="26"/>
          <w:szCs w:val="26"/>
        </w:rPr>
        <w:t xml:space="preserve">e have </w:t>
      </w:r>
      <w:r w:rsidR="00981DEF">
        <w:rPr>
          <w:color w:val="000000"/>
          <w:sz w:val="26"/>
          <w:szCs w:val="26"/>
        </w:rPr>
        <w:t>in many instances</w:t>
      </w:r>
      <w:r w:rsidR="00840854">
        <w:rPr>
          <w:color w:val="000000"/>
          <w:sz w:val="26"/>
          <w:szCs w:val="26"/>
        </w:rPr>
        <w:t xml:space="preserve"> granted non-monetary remedies in the form of remedial and enforcement measures to ensure that public utilities are complying with </w:t>
      </w:r>
      <w:r w:rsidR="00D942FC">
        <w:rPr>
          <w:color w:val="000000"/>
          <w:sz w:val="26"/>
          <w:szCs w:val="26"/>
        </w:rPr>
        <w:t xml:space="preserve">the Code and </w:t>
      </w:r>
      <w:r w:rsidR="00840854">
        <w:rPr>
          <w:color w:val="000000"/>
          <w:sz w:val="26"/>
          <w:szCs w:val="26"/>
        </w:rPr>
        <w:t xml:space="preserve">our Regulations </w:t>
      </w:r>
      <w:r w:rsidR="00D942FC">
        <w:rPr>
          <w:color w:val="000000"/>
          <w:sz w:val="26"/>
          <w:szCs w:val="26"/>
        </w:rPr>
        <w:t xml:space="preserve">and Orders </w:t>
      </w:r>
      <w:r w:rsidR="00840854">
        <w:rPr>
          <w:color w:val="000000"/>
          <w:sz w:val="26"/>
          <w:szCs w:val="26"/>
        </w:rPr>
        <w:t xml:space="preserve">and to correct prior non-compliance.  </w:t>
      </w:r>
      <w:r w:rsidR="00E0722E" w:rsidRPr="00D942FC">
        <w:rPr>
          <w:i/>
          <w:iCs/>
          <w:color w:val="000000"/>
          <w:sz w:val="26"/>
          <w:szCs w:val="26"/>
        </w:rPr>
        <w:t>See</w:t>
      </w:r>
      <w:r w:rsidR="00D942FC" w:rsidRPr="00D942FC">
        <w:rPr>
          <w:i/>
          <w:iCs/>
          <w:color w:val="000000"/>
          <w:sz w:val="26"/>
          <w:szCs w:val="26"/>
        </w:rPr>
        <w:t>, e.g.</w:t>
      </w:r>
      <w:r w:rsidR="00D942FC">
        <w:rPr>
          <w:color w:val="000000"/>
          <w:sz w:val="26"/>
          <w:szCs w:val="26"/>
        </w:rPr>
        <w:t xml:space="preserve">, </w:t>
      </w:r>
      <w:r w:rsidR="00C13080" w:rsidRPr="00992AA4">
        <w:rPr>
          <w:i/>
          <w:iCs/>
          <w:color w:val="000000"/>
          <w:sz w:val="26"/>
          <w:szCs w:val="26"/>
        </w:rPr>
        <w:t>Application of Pennsylvania-American Water Company under Sections 507, 1102, and 1329 of the Public Utility Code</w:t>
      </w:r>
      <w:r w:rsidR="00C13080">
        <w:rPr>
          <w:color w:val="000000"/>
          <w:sz w:val="26"/>
          <w:szCs w:val="26"/>
        </w:rPr>
        <w:t>, Docket No. A-2018-</w:t>
      </w:r>
      <w:r w:rsidR="00992AA4">
        <w:rPr>
          <w:color w:val="000000"/>
          <w:sz w:val="26"/>
          <w:szCs w:val="26"/>
        </w:rPr>
        <w:t xml:space="preserve">3004933 </w:t>
      </w:r>
      <w:r w:rsidR="00992AA4" w:rsidRPr="00A62D44">
        <w:rPr>
          <w:color w:val="000000"/>
          <w:sz w:val="26"/>
          <w:szCs w:val="26"/>
        </w:rPr>
        <w:t>(Order entered October 3, 2019)</w:t>
      </w:r>
      <w:r w:rsidR="00992AA4">
        <w:rPr>
          <w:b/>
          <w:bCs/>
          <w:color w:val="000000"/>
          <w:sz w:val="26"/>
          <w:szCs w:val="26"/>
        </w:rPr>
        <w:t xml:space="preserve"> </w:t>
      </w:r>
      <w:r w:rsidR="00992AA4">
        <w:rPr>
          <w:color w:val="000000"/>
          <w:sz w:val="26"/>
          <w:szCs w:val="26"/>
        </w:rPr>
        <w:t xml:space="preserve">(approving settlement requiring that a second notice of settlement be sent to customers when the first notice did not contain accurate and adequate information to provide the customers with </w:t>
      </w:r>
      <w:r w:rsidR="00150F42">
        <w:rPr>
          <w:color w:val="000000"/>
          <w:sz w:val="26"/>
          <w:szCs w:val="26"/>
        </w:rPr>
        <w:t xml:space="preserve">the requisite </w:t>
      </w:r>
      <w:r w:rsidR="00992AA4">
        <w:rPr>
          <w:color w:val="000000"/>
          <w:sz w:val="26"/>
          <w:szCs w:val="26"/>
        </w:rPr>
        <w:t>notice and op</w:t>
      </w:r>
      <w:r w:rsidR="00992AA4" w:rsidRPr="00772BC3">
        <w:rPr>
          <w:color w:val="000000"/>
          <w:spacing w:val="-1"/>
          <w:sz w:val="26"/>
          <w:szCs w:val="26"/>
        </w:rPr>
        <w:t>portunity to be heard on th</w:t>
      </w:r>
      <w:r w:rsidR="00992AA4">
        <w:rPr>
          <w:color w:val="000000"/>
          <w:spacing w:val="-1"/>
          <w:sz w:val="26"/>
          <w:szCs w:val="26"/>
        </w:rPr>
        <w:t>e</w:t>
      </w:r>
      <w:r w:rsidR="00992AA4" w:rsidRPr="00772BC3">
        <w:rPr>
          <w:color w:val="000000"/>
          <w:spacing w:val="-1"/>
          <w:sz w:val="26"/>
          <w:szCs w:val="26"/>
        </w:rPr>
        <w:t xml:space="preserve"> proposed </w:t>
      </w:r>
      <w:r w:rsidR="00992AA4">
        <w:rPr>
          <w:color w:val="000000"/>
          <w:spacing w:val="-1"/>
          <w:sz w:val="26"/>
          <w:szCs w:val="26"/>
        </w:rPr>
        <w:t>s</w:t>
      </w:r>
      <w:r w:rsidR="00992AA4" w:rsidRPr="00772BC3">
        <w:rPr>
          <w:color w:val="000000"/>
          <w:spacing w:val="-1"/>
          <w:sz w:val="26"/>
          <w:szCs w:val="26"/>
        </w:rPr>
        <w:t>ettlement</w:t>
      </w:r>
      <w:r w:rsidR="00992AA4">
        <w:rPr>
          <w:color w:val="000000"/>
          <w:spacing w:val="-1"/>
          <w:sz w:val="26"/>
          <w:szCs w:val="26"/>
        </w:rPr>
        <w:t xml:space="preserve">); </w:t>
      </w:r>
      <w:r w:rsidR="00025EEB" w:rsidRPr="00025EEB">
        <w:rPr>
          <w:i/>
          <w:iCs/>
          <w:color w:val="000000"/>
          <w:spacing w:val="-1"/>
          <w:sz w:val="26"/>
          <w:szCs w:val="26"/>
        </w:rPr>
        <w:t>Pa. PUC v. Shea’s Trucking Enterprise, Inc</w:t>
      </w:r>
      <w:r w:rsidR="00025EEB">
        <w:rPr>
          <w:color w:val="000000"/>
          <w:spacing w:val="-1"/>
          <w:sz w:val="26"/>
          <w:szCs w:val="26"/>
        </w:rPr>
        <w:t>., Docket No. C-2018-2641984 (Order entered August 23, 2018) (</w:t>
      </w:r>
      <w:r w:rsidR="00A40E57">
        <w:rPr>
          <w:color w:val="000000"/>
          <w:spacing w:val="-1"/>
          <w:sz w:val="26"/>
          <w:szCs w:val="26"/>
        </w:rPr>
        <w:t xml:space="preserve">directing a public utility to pay outstanding Commission assessment balances that were not timely paid); </w:t>
      </w:r>
      <w:r w:rsidR="006768F1" w:rsidRPr="0034531E">
        <w:rPr>
          <w:i/>
          <w:iCs/>
          <w:color w:val="000000"/>
          <w:spacing w:val="-1"/>
          <w:sz w:val="26"/>
          <w:szCs w:val="26"/>
        </w:rPr>
        <w:t>Jerome v. PECO Energy Company</w:t>
      </w:r>
      <w:r w:rsidR="006768F1">
        <w:rPr>
          <w:color w:val="000000"/>
          <w:spacing w:val="-1"/>
          <w:sz w:val="26"/>
          <w:szCs w:val="26"/>
        </w:rPr>
        <w:t>, Docket No. F-2010-2196584 (Order entered July 19, 2012)</w:t>
      </w:r>
      <w:r w:rsidR="00A40E57">
        <w:rPr>
          <w:color w:val="000000"/>
          <w:spacing w:val="-1"/>
          <w:sz w:val="26"/>
          <w:szCs w:val="26"/>
        </w:rPr>
        <w:t xml:space="preserve"> </w:t>
      </w:r>
      <w:r w:rsidR="006768F1">
        <w:rPr>
          <w:color w:val="000000"/>
          <w:spacing w:val="-1"/>
          <w:sz w:val="26"/>
          <w:szCs w:val="26"/>
        </w:rPr>
        <w:t>(</w:t>
      </w:r>
      <w:r w:rsidR="006768F1" w:rsidRPr="006768F1">
        <w:rPr>
          <w:sz w:val="26"/>
          <w:szCs w:val="26"/>
        </w:rPr>
        <w:t>direct</w:t>
      </w:r>
      <w:r w:rsidR="006768F1">
        <w:rPr>
          <w:sz w:val="26"/>
          <w:szCs w:val="26"/>
        </w:rPr>
        <w:t>ing</w:t>
      </w:r>
      <w:r w:rsidR="006768F1" w:rsidRPr="006768F1">
        <w:rPr>
          <w:sz w:val="26"/>
          <w:szCs w:val="26"/>
        </w:rPr>
        <w:t xml:space="preserve"> PECO to provide a refund to the </w:t>
      </w:r>
      <w:r w:rsidR="006768F1">
        <w:rPr>
          <w:sz w:val="26"/>
          <w:szCs w:val="26"/>
        </w:rPr>
        <w:t>customer c</w:t>
      </w:r>
      <w:r w:rsidR="006768F1" w:rsidRPr="006768F1">
        <w:rPr>
          <w:sz w:val="26"/>
          <w:szCs w:val="26"/>
        </w:rPr>
        <w:t xml:space="preserve">omplainant </w:t>
      </w:r>
      <w:r w:rsidR="006768F1">
        <w:rPr>
          <w:sz w:val="26"/>
          <w:szCs w:val="26"/>
        </w:rPr>
        <w:t>to reflect</w:t>
      </w:r>
      <w:r w:rsidR="006768F1" w:rsidRPr="006768F1">
        <w:rPr>
          <w:sz w:val="26"/>
          <w:szCs w:val="26"/>
        </w:rPr>
        <w:t xml:space="preserve"> the difference between the residential rates </w:t>
      </w:r>
      <w:r w:rsidR="006768F1">
        <w:rPr>
          <w:sz w:val="26"/>
          <w:szCs w:val="26"/>
        </w:rPr>
        <w:t>that the customer</w:t>
      </w:r>
      <w:r w:rsidR="006768F1" w:rsidRPr="006768F1">
        <w:rPr>
          <w:sz w:val="26"/>
          <w:szCs w:val="26"/>
        </w:rPr>
        <w:t xml:space="preserve"> should have been charged and the commercial rates </w:t>
      </w:r>
      <w:r w:rsidR="006768F1">
        <w:rPr>
          <w:sz w:val="26"/>
          <w:szCs w:val="26"/>
        </w:rPr>
        <w:t xml:space="preserve">that </w:t>
      </w:r>
      <w:r w:rsidR="006768F1" w:rsidRPr="006768F1">
        <w:rPr>
          <w:sz w:val="26"/>
          <w:szCs w:val="26"/>
        </w:rPr>
        <w:t>th</w:t>
      </w:r>
      <w:r w:rsidR="006768F1">
        <w:rPr>
          <w:sz w:val="26"/>
          <w:szCs w:val="26"/>
        </w:rPr>
        <w:t>e</w:t>
      </w:r>
      <w:r w:rsidR="006768F1" w:rsidRPr="006768F1">
        <w:rPr>
          <w:sz w:val="26"/>
          <w:szCs w:val="26"/>
        </w:rPr>
        <w:t xml:space="preserve"> </w:t>
      </w:r>
      <w:r w:rsidR="006768F1">
        <w:rPr>
          <w:sz w:val="26"/>
          <w:szCs w:val="26"/>
        </w:rPr>
        <w:t>customer</w:t>
      </w:r>
      <w:r w:rsidR="006768F1" w:rsidRPr="006768F1">
        <w:rPr>
          <w:sz w:val="26"/>
          <w:szCs w:val="26"/>
        </w:rPr>
        <w:t xml:space="preserve"> paid</w:t>
      </w:r>
      <w:r w:rsidR="006768F1">
        <w:rPr>
          <w:sz w:val="26"/>
          <w:szCs w:val="26"/>
        </w:rPr>
        <w:t>)</w:t>
      </w:r>
      <w:r w:rsidR="00F141BC">
        <w:rPr>
          <w:sz w:val="26"/>
          <w:szCs w:val="26"/>
        </w:rPr>
        <w:t>;</w:t>
      </w:r>
      <w:r w:rsidR="00963C7F" w:rsidRPr="00963C7F">
        <w:t xml:space="preserve"> </w:t>
      </w:r>
      <w:r w:rsidR="00963C7F" w:rsidRPr="00963C7F">
        <w:rPr>
          <w:i/>
          <w:sz w:val="26"/>
          <w:szCs w:val="26"/>
        </w:rPr>
        <w:t>Pa. PUC v. UGI Utilities, Inc</w:t>
      </w:r>
      <w:r w:rsidR="00963C7F" w:rsidRPr="00963C7F">
        <w:rPr>
          <w:sz w:val="26"/>
          <w:szCs w:val="26"/>
        </w:rPr>
        <w:t xml:space="preserve">., Docket No. C-2012-2308997 </w:t>
      </w:r>
      <w:r w:rsidR="00963C7F" w:rsidRPr="00963C7F">
        <w:rPr>
          <w:sz w:val="26"/>
          <w:szCs w:val="26"/>
        </w:rPr>
        <w:lastRenderedPageBreak/>
        <w:t>(Order entered February 19, 2013)</w:t>
      </w:r>
      <w:r w:rsidR="00963C7F">
        <w:rPr>
          <w:sz w:val="26"/>
          <w:szCs w:val="26"/>
        </w:rPr>
        <w:t xml:space="preserve"> (requiring the utility to </w:t>
      </w:r>
      <w:r w:rsidR="00963C7F" w:rsidRPr="00963C7F">
        <w:rPr>
          <w:sz w:val="26"/>
          <w:szCs w:val="26"/>
        </w:rPr>
        <w:t>explore enhanced leak detection measures and file a pilot program to u</w:t>
      </w:r>
      <w:r w:rsidR="00963C7F">
        <w:rPr>
          <w:sz w:val="26"/>
          <w:szCs w:val="26"/>
        </w:rPr>
        <w:t>s</w:t>
      </w:r>
      <w:r w:rsidR="00963C7F" w:rsidRPr="00963C7F">
        <w:rPr>
          <w:sz w:val="26"/>
          <w:szCs w:val="26"/>
        </w:rPr>
        <w:t>e one or more of those enhanced leak detection measures</w:t>
      </w:r>
      <w:r w:rsidR="00963C7F">
        <w:rPr>
          <w:sz w:val="26"/>
          <w:szCs w:val="26"/>
        </w:rPr>
        <w:t xml:space="preserve"> as one remedy in response to</w:t>
      </w:r>
      <w:r w:rsidR="00963C7F" w:rsidRPr="00963C7F">
        <w:rPr>
          <w:sz w:val="26"/>
          <w:szCs w:val="26"/>
        </w:rPr>
        <w:t xml:space="preserve"> </w:t>
      </w:r>
      <w:r w:rsidR="00963C7F">
        <w:rPr>
          <w:sz w:val="26"/>
          <w:szCs w:val="26"/>
        </w:rPr>
        <w:t>a</w:t>
      </w:r>
      <w:r w:rsidR="00963C7F" w:rsidRPr="00963C7F">
        <w:rPr>
          <w:sz w:val="26"/>
          <w:szCs w:val="26"/>
        </w:rPr>
        <w:t xml:space="preserve"> </w:t>
      </w:r>
      <w:r w:rsidR="00963C7F">
        <w:rPr>
          <w:sz w:val="26"/>
          <w:szCs w:val="26"/>
        </w:rPr>
        <w:t>gas</w:t>
      </w:r>
      <w:r w:rsidR="00963C7F" w:rsidRPr="00963C7F">
        <w:rPr>
          <w:sz w:val="26"/>
          <w:szCs w:val="26"/>
        </w:rPr>
        <w:t xml:space="preserve"> explosion</w:t>
      </w:r>
      <w:r w:rsidR="00947012">
        <w:rPr>
          <w:sz w:val="26"/>
          <w:szCs w:val="26"/>
        </w:rPr>
        <w:t>).</w:t>
      </w:r>
    </w:p>
    <w:p w14:paraId="32FB5D9F" w14:textId="77777777" w:rsidR="007A3114" w:rsidRDefault="007A3114" w:rsidP="008E1AD5">
      <w:pPr>
        <w:ind w:firstLine="0"/>
        <w:rPr>
          <w:sz w:val="26"/>
          <w:szCs w:val="26"/>
        </w:rPr>
      </w:pPr>
    </w:p>
    <w:p w14:paraId="70435A33" w14:textId="2ED7C4A5" w:rsidR="00412392" w:rsidRDefault="007A3114" w:rsidP="008E1AD5">
      <w:pPr>
        <w:ind w:firstLine="0"/>
        <w:rPr>
          <w:color w:val="000000"/>
          <w:sz w:val="26"/>
          <w:szCs w:val="26"/>
        </w:rPr>
      </w:pPr>
      <w:r>
        <w:rPr>
          <w:sz w:val="26"/>
          <w:szCs w:val="26"/>
        </w:rPr>
        <w:tab/>
      </w:r>
      <w:r>
        <w:rPr>
          <w:sz w:val="26"/>
          <w:szCs w:val="26"/>
        </w:rPr>
        <w:tab/>
        <w:t xml:space="preserve">In this case, we shall direct UGI to </w:t>
      </w:r>
      <w:r w:rsidR="007D0F95">
        <w:rPr>
          <w:sz w:val="26"/>
          <w:szCs w:val="26"/>
        </w:rPr>
        <w:t xml:space="preserve">send </w:t>
      </w:r>
      <w:r w:rsidR="007376DD">
        <w:rPr>
          <w:sz w:val="26"/>
          <w:szCs w:val="26"/>
        </w:rPr>
        <w:t xml:space="preserve">a </w:t>
      </w:r>
      <w:r w:rsidR="007D0F95">
        <w:rPr>
          <w:sz w:val="26"/>
          <w:szCs w:val="26"/>
        </w:rPr>
        <w:t xml:space="preserve">letter to each of the customers/property owners </w:t>
      </w:r>
      <w:r w:rsidR="00516F1A">
        <w:rPr>
          <w:sz w:val="26"/>
          <w:szCs w:val="26"/>
        </w:rPr>
        <w:t xml:space="preserve">in historic districts </w:t>
      </w:r>
      <w:r w:rsidR="007D0F95">
        <w:rPr>
          <w:sz w:val="26"/>
          <w:szCs w:val="26"/>
        </w:rPr>
        <w:t>w</w:t>
      </w:r>
      <w:r w:rsidR="00516F1A">
        <w:rPr>
          <w:sz w:val="26"/>
          <w:szCs w:val="26"/>
        </w:rPr>
        <w:t xml:space="preserve">hose meters were located </w:t>
      </w:r>
      <w:r w:rsidR="00F90BAA">
        <w:rPr>
          <w:sz w:val="26"/>
          <w:szCs w:val="26"/>
        </w:rPr>
        <w:t xml:space="preserve">outside </w:t>
      </w:r>
      <w:r w:rsidR="00516F1A">
        <w:rPr>
          <w:sz w:val="26"/>
          <w:szCs w:val="26"/>
        </w:rPr>
        <w:t xml:space="preserve">between </w:t>
      </w:r>
      <w:r w:rsidR="008D0FEA">
        <w:rPr>
          <w:color w:val="000000"/>
          <w:sz w:val="26"/>
          <w:szCs w:val="26"/>
        </w:rPr>
        <w:t>September 13, 2014, and July 30, 2016</w:t>
      </w:r>
      <w:r w:rsidR="00E37FC6">
        <w:rPr>
          <w:color w:val="000000"/>
          <w:sz w:val="26"/>
          <w:szCs w:val="26"/>
        </w:rPr>
        <w:t xml:space="preserve">, using the addresses </w:t>
      </w:r>
      <w:r w:rsidR="006972AD">
        <w:rPr>
          <w:color w:val="000000"/>
          <w:sz w:val="26"/>
          <w:szCs w:val="26"/>
        </w:rPr>
        <w:t>listed</w:t>
      </w:r>
      <w:r w:rsidR="00E37FC6">
        <w:rPr>
          <w:color w:val="000000"/>
          <w:sz w:val="26"/>
          <w:szCs w:val="26"/>
        </w:rPr>
        <w:t xml:space="preserve"> in ALJ Exh.</w:t>
      </w:r>
    </w:p>
    <w:p w14:paraId="62E854A1" w14:textId="77777777" w:rsidR="00567725" w:rsidRDefault="00E37FC6" w:rsidP="008E1AD5">
      <w:pPr>
        <w:ind w:firstLine="0"/>
        <w:rPr>
          <w:sz w:val="26"/>
        </w:rPr>
      </w:pPr>
      <w:r>
        <w:rPr>
          <w:color w:val="000000"/>
          <w:sz w:val="26"/>
          <w:szCs w:val="26"/>
        </w:rPr>
        <w:t>1</w:t>
      </w:r>
      <w:r w:rsidR="008D0FEA">
        <w:rPr>
          <w:color w:val="000000"/>
          <w:sz w:val="26"/>
          <w:szCs w:val="26"/>
        </w:rPr>
        <w:t>.</w:t>
      </w:r>
      <w:r w:rsidR="00B759BF">
        <w:rPr>
          <w:rStyle w:val="FootnoteReference"/>
          <w:color w:val="000000"/>
          <w:sz w:val="26"/>
          <w:szCs w:val="26"/>
        </w:rPr>
        <w:footnoteReference w:id="14"/>
      </w:r>
      <w:r>
        <w:rPr>
          <w:color w:val="000000"/>
          <w:sz w:val="26"/>
          <w:szCs w:val="26"/>
        </w:rPr>
        <w:t xml:space="preserve">  </w:t>
      </w:r>
      <w:r w:rsidR="00793D7E">
        <w:rPr>
          <w:color w:val="000000"/>
          <w:sz w:val="26"/>
          <w:szCs w:val="26"/>
        </w:rPr>
        <w:t xml:space="preserve">The letter should be similar to the revised thirty-day notification letter UGI has been using since </w:t>
      </w:r>
      <w:r w:rsidR="00EE7C46">
        <w:rPr>
          <w:color w:val="000000"/>
          <w:sz w:val="26"/>
          <w:szCs w:val="26"/>
        </w:rPr>
        <w:t xml:space="preserve">October 2017 in that </w:t>
      </w:r>
      <w:r w:rsidR="00BD643B">
        <w:rPr>
          <w:color w:val="000000"/>
          <w:sz w:val="26"/>
          <w:szCs w:val="26"/>
        </w:rPr>
        <w:t>it</w:t>
      </w:r>
      <w:r w:rsidR="00EE7C46">
        <w:rPr>
          <w:color w:val="000000"/>
          <w:sz w:val="26"/>
          <w:szCs w:val="26"/>
        </w:rPr>
        <w:t xml:space="preserve"> should provide the customers/property owners with an opportunity to contact the Company by phone or </w:t>
      </w:r>
      <w:r w:rsidR="00F90BAA">
        <w:rPr>
          <w:color w:val="000000"/>
          <w:sz w:val="26"/>
          <w:szCs w:val="26"/>
        </w:rPr>
        <w:t xml:space="preserve">on </w:t>
      </w:r>
      <w:r w:rsidR="00EE7C46">
        <w:rPr>
          <w:color w:val="000000"/>
          <w:sz w:val="26"/>
          <w:szCs w:val="26"/>
        </w:rPr>
        <w:t xml:space="preserve">the Company’s website to discuss or </w:t>
      </w:r>
      <w:r w:rsidR="00F90BAA">
        <w:rPr>
          <w:color w:val="000000"/>
          <w:sz w:val="26"/>
          <w:szCs w:val="26"/>
        </w:rPr>
        <w:t xml:space="preserve">to </w:t>
      </w:r>
      <w:r w:rsidR="00EE7C46">
        <w:rPr>
          <w:color w:val="000000"/>
          <w:sz w:val="26"/>
          <w:szCs w:val="26"/>
        </w:rPr>
        <w:t>request reconsideration of the Company’s decision to relocate their meter</w:t>
      </w:r>
      <w:r w:rsidR="00F3399A">
        <w:rPr>
          <w:color w:val="000000"/>
          <w:sz w:val="26"/>
          <w:szCs w:val="26"/>
        </w:rPr>
        <w:t xml:space="preserve"> because their property is located in a historic district</w:t>
      </w:r>
      <w:r w:rsidR="00EE7C46">
        <w:rPr>
          <w:color w:val="000000"/>
          <w:sz w:val="26"/>
          <w:szCs w:val="26"/>
        </w:rPr>
        <w:t xml:space="preserve">.  </w:t>
      </w:r>
      <w:r w:rsidR="000D4244">
        <w:rPr>
          <w:color w:val="000000"/>
          <w:sz w:val="26"/>
          <w:szCs w:val="26"/>
        </w:rPr>
        <w:t xml:space="preserve">Because the Company </w:t>
      </w:r>
      <w:r w:rsidR="00EE7C46">
        <w:rPr>
          <w:color w:val="000000"/>
          <w:sz w:val="26"/>
          <w:szCs w:val="26"/>
        </w:rPr>
        <w:t xml:space="preserve">has the discretion </w:t>
      </w:r>
      <w:r w:rsidR="000D4244">
        <w:rPr>
          <w:color w:val="000000"/>
          <w:sz w:val="26"/>
          <w:szCs w:val="26"/>
        </w:rPr>
        <w:t xml:space="preserve">under our Regulation </w:t>
      </w:r>
      <w:r w:rsidR="00EE7C46">
        <w:rPr>
          <w:color w:val="000000"/>
          <w:sz w:val="26"/>
          <w:szCs w:val="26"/>
        </w:rPr>
        <w:t>to make meter placement decisions due to public safety concerns</w:t>
      </w:r>
      <w:r w:rsidR="009651CC">
        <w:rPr>
          <w:color w:val="000000"/>
          <w:sz w:val="26"/>
          <w:szCs w:val="26"/>
        </w:rPr>
        <w:t>,</w:t>
      </w:r>
      <w:r w:rsidR="00AA43C4">
        <w:rPr>
          <w:color w:val="000000"/>
          <w:sz w:val="26"/>
          <w:szCs w:val="26"/>
        </w:rPr>
        <w:t xml:space="preserve"> we are not directing the Company to move meters inside</w:t>
      </w:r>
      <w:r w:rsidR="00002284">
        <w:rPr>
          <w:color w:val="000000"/>
          <w:sz w:val="26"/>
          <w:szCs w:val="26"/>
        </w:rPr>
        <w:t>.  Rather,</w:t>
      </w:r>
      <w:r w:rsidR="00D8697B">
        <w:rPr>
          <w:color w:val="000000"/>
          <w:sz w:val="26"/>
          <w:szCs w:val="26"/>
        </w:rPr>
        <w:t xml:space="preserve"> </w:t>
      </w:r>
      <w:r w:rsidR="000D4244">
        <w:rPr>
          <w:color w:val="000000"/>
          <w:sz w:val="26"/>
          <w:szCs w:val="26"/>
        </w:rPr>
        <w:t xml:space="preserve">the purpose of our remedy is </w:t>
      </w:r>
      <w:r w:rsidR="00357E0C">
        <w:rPr>
          <w:color w:val="000000"/>
          <w:sz w:val="26"/>
          <w:szCs w:val="26"/>
        </w:rPr>
        <w:t>that</w:t>
      </w:r>
      <w:r w:rsidR="00D8697B">
        <w:rPr>
          <w:color w:val="000000"/>
          <w:sz w:val="26"/>
          <w:szCs w:val="26"/>
        </w:rPr>
        <w:t xml:space="preserve"> the Company give consideration to the inside placement of meters within these historic district locations</w:t>
      </w:r>
      <w:r w:rsidR="009651CC">
        <w:rPr>
          <w:color w:val="000000"/>
          <w:sz w:val="26"/>
          <w:szCs w:val="26"/>
        </w:rPr>
        <w:t xml:space="preserve"> </w:t>
      </w:r>
      <w:r w:rsidR="000D4244">
        <w:rPr>
          <w:color w:val="000000"/>
          <w:sz w:val="26"/>
          <w:szCs w:val="26"/>
        </w:rPr>
        <w:t>and provide notice to the customers/property owners that they may discuss the</w:t>
      </w:r>
      <w:r w:rsidR="00304F96">
        <w:rPr>
          <w:color w:val="000000"/>
          <w:sz w:val="26"/>
          <w:szCs w:val="26"/>
        </w:rPr>
        <w:t>ir meter location with the Company.</w:t>
      </w:r>
      <w:r w:rsidR="00D8697B">
        <w:rPr>
          <w:color w:val="000000"/>
          <w:sz w:val="26"/>
          <w:szCs w:val="26"/>
        </w:rPr>
        <w:t xml:space="preserve">  </w:t>
      </w:r>
      <w:r w:rsidR="00357E0C">
        <w:rPr>
          <w:color w:val="000000"/>
          <w:sz w:val="26"/>
          <w:szCs w:val="26"/>
        </w:rPr>
        <w:t xml:space="preserve">In response to contact from customers/property owners, the </w:t>
      </w:r>
      <w:r w:rsidR="003F093A">
        <w:rPr>
          <w:color w:val="000000"/>
          <w:sz w:val="26"/>
          <w:szCs w:val="26"/>
        </w:rPr>
        <w:t xml:space="preserve">Company </w:t>
      </w:r>
      <w:r w:rsidR="00357E0C">
        <w:rPr>
          <w:color w:val="000000"/>
          <w:sz w:val="26"/>
          <w:szCs w:val="26"/>
        </w:rPr>
        <w:t>may follow the procedures it testified that it is currently engaging in</w:t>
      </w:r>
      <w:r w:rsidR="00002284">
        <w:rPr>
          <w:color w:val="000000"/>
          <w:sz w:val="26"/>
          <w:szCs w:val="26"/>
        </w:rPr>
        <w:t>,</w:t>
      </w:r>
      <w:r w:rsidR="00812BE6">
        <w:rPr>
          <w:color w:val="000000"/>
          <w:sz w:val="26"/>
          <w:szCs w:val="26"/>
        </w:rPr>
        <w:t xml:space="preserve"> </w:t>
      </w:r>
      <w:r w:rsidR="00357E0C">
        <w:rPr>
          <w:color w:val="000000"/>
          <w:sz w:val="26"/>
          <w:szCs w:val="26"/>
        </w:rPr>
        <w:t>such as</w:t>
      </w:r>
      <w:r w:rsidR="009651CC">
        <w:rPr>
          <w:color w:val="000000"/>
          <w:sz w:val="26"/>
          <w:szCs w:val="26"/>
        </w:rPr>
        <w:t xml:space="preserve"> moving meters inside</w:t>
      </w:r>
      <w:r w:rsidR="00B93F6B">
        <w:rPr>
          <w:color w:val="000000"/>
          <w:sz w:val="26"/>
          <w:szCs w:val="26"/>
        </w:rPr>
        <w:t xml:space="preserve"> in certain instances</w:t>
      </w:r>
      <w:r w:rsidR="009651CC">
        <w:rPr>
          <w:color w:val="000000"/>
          <w:sz w:val="26"/>
          <w:szCs w:val="26"/>
        </w:rPr>
        <w:t>,</w:t>
      </w:r>
      <w:r w:rsidR="00002284">
        <w:rPr>
          <w:color w:val="000000"/>
          <w:sz w:val="26"/>
          <w:szCs w:val="26"/>
        </w:rPr>
        <w:t xml:space="preserve"> </w:t>
      </w:r>
      <w:r w:rsidR="00002284" w:rsidRPr="00B03323">
        <w:rPr>
          <w:spacing w:val="1"/>
          <w:sz w:val="26"/>
        </w:rPr>
        <w:t>working with individual customers to find less obtrusive locations for outside meters</w:t>
      </w:r>
      <w:r w:rsidR="009651CC">
        <w:rPr>
          <w:spacing w:val="1"/>
          <w:sz w:val="26"/>
        </w:rPr>
        <w:t>, or working with customers to</w:t>
      </w:r>
      <w:r w:rsidR="00426B75" w:rsidRPr="00426B75">
        <w:rPr>
          <w:sz w:val="26"/>
        </w:rPr>
        <w:t xml:space="preserve"> </w:t>
      </w:r>
      <w:r w:rsidR="00426B75" w:rsidRPr="00B03323">
        <w:rPr>
          <w:sz w:val="26"/>
        </w:rPr>
        <w:t>lessen the aesthetic impact of the outside meter</w:t>
      </w:r>
      <w:r w:rsidR="00567725">
        <w:rPr>
          <w:sz w:val="26"/>
        </w:rPr>
        <w:t xml:space="preserve"> by, for instance</w:t>
      </w:r>
      <w:r w:rsidR="00426B75" w:rsidRPr="00B03323">
        <w:rPr>
          <w:sz w:val="26"/>
        </w:rPr>
        <w:t xml:space="preserve">, </w:t>
      </w:r>
      <w:r w:rsidR="00426B75">
        <w:rPr>
          <w:sz w:val="26"/>
        </w:rPr>
        <w:t>permitting customers to paint their meters.</w:t>
      </w:r>
    </w:p>
    <w:p w14:paraId="531CFFA1" w14:textId="04E36C22" w:rsidR="0070292B" w:rsidRDefault="00426B75" w:rsidP="008E1AD5">
      <w:pPr>
        <w:ind w:firstLine="0"/>
        <w:rPr>
          <w:spacing w:val="1"/>
          <w:sz w:val="26"/>
        </w:rPr>
      </w:pPr>
      <w:r>
        <w:rPr>
          <w:sz w:val="26"/>
        </w:rPr>
        <w:t xml:space="preserve">  </w:t>
      </w:r>
      <w:r w:rsidR="00602DEC">
        <w:rPr>
          <w:sz w:val="26"/>
        </w:rPr>
        <w:tab/>
      </w:r>
      <w:r w:rsidR="00602DEC">
        <w:rPr>
          <w:sz w:val="26"/>
        </w:rPr>
        <w:tab/>
      </w:r>
      <w:r w:rsidR="00970027">
        <w:rPr>
          <w:spacing w:val="1"/>
          <w:sz w:val="26"/>
        </w:rPr>
        <w:t>We find that having the Company dedicate some resources to this effort</w:t>
      </w:r>
      <w:r w:rsidR="00602DEC">
        <w:rPr>
          <w:spacing w:val="1"/>
          <w:sz w:val="26"/>
        </w:rPr>
        <w:t>, along with the remedial efforts the Company is currently engaging in,</w:t>
      </w:r>
      <w:r w:rsidR="00970027">
        <w:rPr>
          <w:spacing w:val="1"/>
          <w:sz w:val="26"/>
        </w:rPr>
        <w:t xml:space="preserve"> is </w:t>
      </w:r>
      <w:r w:rsidR="00602DEC">
        <w:rPr>
          <w:spacing w:val="1"/>
          <w:sz w:val="26"/>
        </w:rPr>
        <w:t xml:space="preserve">a reasonable remedy in this case as it reflects a </w:t>
      </w:r>
      <w:r w:rsidR="00AA19E9">
        <w:rPr>
          <w:spacing w:val="1"/>
          <w:sz w:val="26"/>
        </w:rPr>
        <w:t>balanc</w:t>
      </w:r>
      <w:r w:rsidR="00602DEC">
        <w:rPr>
          <w:spacing w:val="1"/>
          <w:sz w:val="26"/>
        </w:rPr>
        <w:t>ing of</w:t>
      </w:r>
      <w:r w:rsidR="00AA19E9">
        <w:rPr>
          <w:spacing w:val="1"/>
          <w:sz w:val="26"/>
        </w:rPr>
        <w:t xml:space="preserve"> the interests </w:t>
      </w:r>
      <w:r w:rsidR="00602DEC">
        <w:rPr>
          <w:spacing w:val="1"/>
          <w:sz w:val="26"/>
        </w:rPr>
        <w:t xml:space="preserve">and positions </w:t>
      </w:r>
      <w:r w:rsidR="00AA19E9">
        <w:rPr>
          <w:spacing w:val="1"/>
          <w:sz w:val="26"/>
        </w:rPr>
        <w:t>of the Parties in this proceeding</w:t>
      </w:r>
      <w:r w:rsidR="00970027">
        <w:rPr>
          <w:spacing w:val="1"/>
          <w:sz w:val="26"/>
        </w:rPr>
        <w:t>.</w:t>
      </w:r>
      <w:r w:rsidR="005F0455">
        <w:rPr>
          <w:spacing w:val="1"/>
          <w:sz w:val="26"/>
        </w:rPr>
        <w:t xml:space="preserve">  </w:t>
      </w:r>
      <w:r w:rsidR="00602DEC">
        <w:rPr>
          <w:spacing w:val="1"/>
          <w:sz w:val="26"/>
        </w:rPr>
        <w:t xml:space="preserve">This remedy is also consistent with </w:t>
      </w:r>
      <w:r w:rsidR="00346FE7">
        <w:rPr>
          <w:spacing w:val="1"/>
          <w:sz w:val="26"/>
        </w:rPr>
        <w:t xml:space="preserve">our regulatory duties under </w:t>
      </w:r>
      <w:r w:rsidR="00346FE7">
        <w:rPr>
          <w:spacing w:val="1"/>
          <w:sz w:val="26"/>
        </w:rPr>
        <w:lastRenderedPageBreak/>
        <w:t xml:space="preserve">Section 59.18 and our constitutional duties under the ERA to ensure that proper consideration of inside meter locations is </w:t>
      </w:r>
      <w:r w:rsidR="00A34C0A">
        <w:rPr>
          <w:spacing w:val="1"/>
          <w:sz w:val="26"/>
        </w:rPr>
        <w:t>provided</w:t>
      </w:r>
      <w:r w:rsidR="00346FE7">
        <w:rPr>
          <w:spacing w:val="1"/>
          <w:sz w:val="26"/>
        </w:rPr>
        <w:t xml:space="preserve"> to</w:t>
      </w:r>
      <w:r w:rsidR="005F0455">
        <w:rPr>
          <w:spacing w:val="1"/>
          <w:sz w:val="26"/>
        </w:rPr>
        <w:t xml:space="preserve"> the approximately 600 historic district </w:t>
      </w:r>
      <w:r w:rsidR="00A34C0A">
        <w:rPr>
          <w:spacing w:val="1"/>
          <w:sz w:val="26"/>
        </w:rPr>
        <w:t xml:space="preserve">customers and </w:t>
      </w:r>
      <w:r w:rsidR="005F0455">
        <w:rPr>
          <w:spacing w:val="1"/>
          <w:sz w:val="26"/>
        </w:rPr>
        <w:t xml:space="preserve">property owners who did not </w:t>
      </w:r>
      <w:r w:rsidR="00346FE7">
        <w:rPr>
          <w:spacing w:val="1"/>
          <w:sz w:val="26"/>
        </w:rPr>
        <w:t xml:space="preserve">previously </w:t>
      </w:r>
      <w:r w:rsidR="005F0455">
        <w:rPr>
          <w:spacing w:val="1"/>
          <w:sz w:val="26"/>
        </w:rPr>
        <w:t>receive proper consideration in this case</w:t>
      </w:r>
      <w:r w:rsidR="001371E1">
        <w:rPr>
          <w:spacing w:val="1"/>
          <w:sz w:val="26"/>
        </w:rPr>
        <w:t>.</w:t>
      </w:r>
    </w:p>
    <w:p w14:paraId="1A87A978" w14:textId="77777777" w:rsidR="0070292B" w:rsidRDefault="0070292B" w:rsidP="008E1AD5">
      <w:pPr>
        <w:ind w:firstLine="0"/>
        <w:rPr>
          <w:spacing w:val="1"/>
          <w:sz w:val="26"/>
        </w:rPr>
      </w:pPr>
    </w:p>
    <w:p w14:paraId="617D1C3C" w14:textId="3DF27FA2" w:rsidR="00992AA4" w:rsidRDefault="0070292B" w:rsidP="008E1AD5">
      <w:pPr>
        <w:ind w:firstLine="0"/>
        <w:rPr>
          <w:b/>
          <w:bCs/>
          <w:color w:val="000000"/>
          <w:sz w:val="26"/>
          <w:szCs w:val="26"/>
        </w:rPr>
      </w:pPr>
      <w:r>
        <w:rPr>
          <w:spacing w:val="1"/>
          <w:sz w:val="26"/>
        </w:rPr>
        <w:tab/>
      </w:r>
      <w:r>
        <w:rPr>
          <w:spacing w:val="1"/>
          <w:sz w:val="26"/>
        </w:rPr>
        <w:tab/>
        <w:t xml:space="preserve">In complying with this remedy, </w:t>
      </w:r>
      <w:r w:rsidR="00D67715">
        <w:rPr>
          <w:spacing w:val="1"/>
          <w:sz w:val="26"/>
        </w:rPr>
        <w:t xml:space="preserve">UGI shall, within sixty (60) days of the entry </w:t>
      </w:r>
      <w:r w:rsidR="00641DB9">
        <w:rPr>
          <w:spacing w:val="1"/>
          <w:sz w:val="26"/>
        </w:rPr>
        <w:t xml:space="preserve">date </w:t>
      </w:r>
      <w:r w:rsidR="00D67715">
        <w:rPr>
          <w:spacing w:val="1"/>
          <w:sz w:val="26"/>
        </w:rPr>
        <w:t xml:space="preserve">of this Opinion and Order, send the </w:t>
      </w:r>
      <w:r w:rsidR="00641DB9">
        <w:rPr>
          <w:spacing w:val="1"/>
          <w:sz w:val="26"/>
        </w:rPr>
        <w:t xml:space="preserve">above-described </w:t>
      </w:r>
      <w:r w:rsidR="00D67715">
        <w:rPr>
          <w:spacing w:val="1"/>
          <w:sz w:val="26"/>
        </w:rPr>
        <w:t xml:space="preserve">letter to </w:t>
      </w:r>
      <w:r w:rsidR="007376DD">
        <w:rPr>
          <w:spacing w:val="1"/>
          <w:sz w:val="26"/>
        </w:rPr>
        <w:t xml:space="preserve">the addresses of </w:t>
      </w:r>
      <w:r w:rsidR="00D67715">
        <w:rPr>
          <w:spacing w:val="1"/>
          <w:sz w:val="26"/>
        </w:rPr>
        <w:t xml:space="preserve">each </w:t>
      </w:r>
      <w:r w:rsidR="00362C25">
        <w:rPr>
          <w:spacing w:val="1"/>
          <w:sz w:val="26"/>
        </w:rPr>
        <w:t>customer/</w:t>
      </w:r>
      <w:r w:rsidR="00D67715">
        <w:rPr>
          <w:spacing w:val="1"/>
          <w:sz w:val="26"/>
        </w:rPr>
        <w:t>property owner in historic districts</w:t>
      </w:r>
      <w:r w:rsidR="00362C25">
        <w:rPr>
          <w:spacing w:val="1"/>
          <w:sz w:val="26"/>
        </w:rPr>
        <w:t>, as listed in ALJ Exh. 1,</w:t>
      </w:r>
      <w:r w:rsidR="00D67715">
        <w:rPr>
          <w:spacing w:val="1"/>
          <w:sz w:val="26"/>
        </w:rPr>
        <w:t xml:space="preserve"> whose meters were relocated between </w:t>
      </w:r>
      <w:r w:rsidR="00D67715">
        <w:rPr>
          <w:color w:val="000000"/>
          <w:sz w:val="26"/>
          <w:szCs w:val="26"/>
        </w:rPr>
        <w:t xml:space="preserve">September 13, 2014, and July 30, 2016.  </w:t>
      </w:r>
      <w:r w:rsidR="00A15F2C">
        <w:rPr>
          <w:color w:val="000000"/>
          <w:sz w:val="26"/>
          <w:szCs w:val="26"/>
        </w:rPr>
        <w:t xml:space="preserve">Additionally, </w:t>
      </w:r>
      <w:r>
        <w:rPr>
          <w:spacing w:val="1"/>
          <w:sz w:val="26"/>
        </w:rPr>
        <w:t>UGI shall</w:t>
      </w:r>
      <w:r w:rsidR="00D67715">
        <w:rPr>
          <w:spacing w:val="1"/>
          <w:sz w:val="26"/>
        </w:rPr>
        <w:t>, within ninety (90)</w:t>
      </w:r>
      <w:r>
        <w:rPr>
          <w:spacing w:val="1"/>
          <w:sz w:val="26"/>
        </w:rPr>
        <w:t xml:space="preserve"> </w:t>
      </w:r>
      <w:r w:rsidR="00D67715">
        <w:rPr>
          <w:spacing w:val="1"/>
          <w:sz w:val="26"/>
        </w:rPr>
        <w:t xml:space="preserve">days of the entry </w:t>
      </w:r>
      <w:r w:rsidR="00641DB9">
        <w:rPr>
          <w:spacing w:val="1"/>
          <w:sz w:val="26"/>
        </w:rPr>
        <w:t xml:space="preserve">date </w:t>
      </w:r>
      <w:r w:rsidR="00D67715">
        <w:rPr>
          <w:spacing w:val="1"/>
          <w:sz w:val="26"/>
        </w:rPr>
        <w:t xml:space="preserve">of this Opinion and Order, </w:t>
      </w:r>
      <w:r>
        <w:rPr>
          <w:spacing w:val="1"/>
          <w:sz w:val="26"/>
        </w:rPr>
        <w:t>provide a copy of the letter that it sent to the</w:t>
      </w:r>
      <w:r w:rsidR="00A15F2C">
        <w:rPr>
          <w:spacing w:val="1"/>
          <w:sz w:val="26"/>
        </w:rPr>
        <w:t>se</w:t>
      </w:r>
      <w:r>
        <w:rPr>
          <w:spacing w:val="1"/>
          <w:sz w:val="26"/>
        </w:rPr>
        <w:t xml:space="preserve"> customers</w:t>
      </w:r>
      <w:r w:rsidR="00A15F2C">
        <w:rPr>
          <w:spacing w:val="1"/>
          <w:sz w:val="26"/>
        </w:rPr>
        <w:t>/property owners</w:t>
      </w:r>
      <w:r>
        <w:rPr>
          <w:spacing w:val="1"/>
          <w:sz w:val="26"/>
        </w:rPr>
        <w:t xml:space="preserve"> </w:t>
      </w:r>
      <w:r>
        <w:rPr>
          <w:color w:val="000000"/>
          <w:sz w:val="26"/>
          <w:szCs w:val="26"/>
        </w:rPr>
        <w:t xml:space="preserve">to the Commission and all Parties to this proceeding, along with an affidavit </w:t>
      </w:r>
      <w:r w:rsidR="00E82872">
        <w:rPr>
          <w:color w:val="000000"/>
          <w:sz w:val="26"/>
          <w:szCs w:val="26"/>
        </w:rPr>
        <w:t>attesting</w:t>
      </w:r>
      <w:r>
        <w:rPr>
          <w:color w:val="000000"/>
          <w:sz w:val="26"/>
          <w:szCs w:val="26"/>
        </w:rPr>
        <w:t xml:space="preserve"> that </w:t>
      </w:r>
      <w:r w:rsidR="00FC44D1">
        <w:rPr>
          <w:color w:val="000000"/>
          <w:sz w:val="26"/>
          <w:szCs w:val="26"/>
        </w:rPr>
        <w:t>the letter w</w:t>
      </w:r>
      <w:r w:rsidR="009E169F">
        <w:rPr>
          <w:color w:val="000000"/>
          <w:sz w:val="26"/>
          <w:szCs w:val="26"/>
        </w:rPr>
        <w:t>as</w:t>
      </w:r>
      <w:r w:rsidR="00FC44D1">
        <w:rPr>
          <w:color w:val="000000"/>
          <w:sz w:val="26"/>
          <w:szCs w:val="26"/>
        </w:rPr>
        <w:t xml:space="preserve"> sent to the </w:t>
      </w:r>
      <w:r w:rsidR="00641DB9">
        <w:rPr>
          <w:spacing w:val="1"/>
          <w:sz w:val="26"/>
        </w:rPr>
        <w:t>customers</w:t>
      </w:r>
      <w:r w:rsidR="00A15F2C">
        <w:rPr>
          <w:spacing w:val="1"/>
          <w:sz w:val="26"/>
        </w:rPr>
        <w:t>/property owners</w:t>
      </w:r>
      <w:r w:rsidR="00641DB9">
        <w:rPr>
          <w:color w:val="000000"/>
          <w:sz w:val="26"/>
          <w:szCs w:val="26"/>
        </w:rPr>
        <w:t xml:space="preserve"> at the addresses listed in ALJ Exh. 1</w:t>
      </w:r>
      <w:r w:rsidR="00FC44D1" w:rsidRPr="00A15F2C">
        <w:rPr>
          <w:color w:val="000000"/>
          <w:sz w:val="26"/>
          <w:szCs w:val="26"/>
        </w:rPr>
        <w:t>.</w:t>
      </w:r>
    </w:p>
    <w:p w14:paraId="17B11A1E" w14:textId="77777777" w:rsidR="0002210B" w:rsidRPr="00772BC3" w:rsidRDefault="0002210B" w:rsidP="008E1AD5">
      <w:pPr>
        <w:ind w:firstLine="0"/>
        <w:rPr>
          <w:color w:val="000000"/>
          <w:spacing w:val="-1"/>
          <w:sz w:val="26"/>
          <w:szCs w:val="26"/>
        </w:rPr>
      </w:pPr>
    </w:p>
    <w:p w14:paraId="0043AF18" w14:textId="77777777" w:rsidR="00AA4577" w:rsidRPr="0097174A" w:rsidRDefault="00AA4577" w:rsidP="008E1AD5">
      <w:pPr>
        <w:tabs>
          <w:tab w:val="left" w:pos="0"/>
        </w:tabs>
        <w:ind w:firstLine="0"/>
        <w:jc w:val="center"/>
        <w:textAlignment w:val="baseline"/>
        <w:rPr>
          <w:b/>
          <w:sz w:val="26"/>
        </w:rPr>
      </w:pPr>
      <w:r w:rsidRPr="0097174A">
        <w:rPr>
          <w:b/>
          <w:sz w:val="26"/>
        </w:rPr>
        <w:t>Conclusion</w:t>
      </w:r>
    </w:p>
    <w:p w14:paraId="3FA0D60E" w14:textId="77777777" w:rsidR="00130D9D" w:rsidRPr="0097174A" w:rsidRDefault="00130D9D" w:rsidP="008E1AD5">
      <w:pPr>
        <w:keepNext/>
        <w:keepLines/>
        <w:ind w:firstLine="0"/>
        <w:jc w:val="center"/>
        <w:rPr>
          <w:sz w:val="26"/>
          <w:szCs w:val="26"/>
        </w:rPr>
      </w:pPr>
    </w:p>
    <w:p w14:paraId="1840A29E" w14:textId="512A1A0A" w:rsidR="00AA4577" w:rsidRPr="003C56D5" w:rsidRDefault="004414EE" w:rsidP="008E1AD5">
      <w:pPr>
        <w:rPr>
          <w:sz w:val="26"/>
          <w:szCs w:val="26"/>
        </w:rPr>
      </w:pPr>
      <w:r>
        <w:rPr>
          <w:sz w:val="26"/>
        </w:rPr>
        <w:t>Based on our review of</w:t>
      </w:r>
      <w:r w:rsidR="00151F4E">
        <w:rPr>
          <w:sz w:val="26"/>
        </w:rPr>
        <w:t xml:space="preserve"> the </w:t>
      </w:r>
      <w:r w:rsidR="00B05323">
        <w:rPr>
          <w:sz w:val="26"/>
        </w:rPr>
        <w:t>record</w:t>
      </w:r>
      <w:r w:rsidR="007300AC">
        <w:rPr>
          <w:sz w:val="26"/>
        </w:rPr>
        <w:t>,</w:t>
      </w:r>
      <w:r w:rsidR="002A579C">
        <w:rPr>
          <w:sz w:val="26"/>
        </w:rPr>
        <w:t xml:space="preserve"> the Parties’ filings, </w:t>
      </w:r>
      <w:r w:rsidR="007300AC">
        <w:rPr>
          <w:sz w:val="26"/>
        </w:rPr>
        <w:t xml:space="preserve">and the applicable law, </w:t>
      </w:r>
      <w:r w:rsidR="00997392">
        <w:rPr>
          <w:sz w:val="26"/>
        </w:rPr>
        <w:t xml:space="preserve">we </w:t>
      </w:r>
      <w:r>
        <w:rPr>
          <w:sz w:val="26"/>
        </w:rPr>
        <w:t>shall</w:t>
      </w:r>
      <w:r w:rsidR="00B05323">
        <w:rPr>
          <w:sz w:val="26"/>
        </w:rPr>
        <w:t>: (1) grant, in part, and deny, in part</w:t>
      </w:r>
      <w:r>
        <w:rPr>
          <w:sz w:val="26"/>
        </w:rPr>
        <w:t xml:space="preserve"> </w:t>
      </w:r>
      <w:r w:rsidR="00B05323">
        <w:rPr>
          <w:sz w:val="26"/>
        </w:rPr>
        <w:t>the City’s Exceptions</w:t>
      </w:r>
      <w:r w:rsidR="00E40174">
        <w:rPr>
          <w:sz w:val="26"/>
        </w:rPr>
        <w:t xml:space="preserve">; </w:t>
      </w:r>
      <w:r w:rsidR="00B05323">
        <w:rPr>
          <w:sz w:val="26"/>
        </w:rPr>
        <w:t>(2) deny UGI’s Exceptions</w:t>
      </w:r>
      <w:r w:rsidR="00E40174">
        <w:rPr>
          <w:sz w:val="26"/>
        </w:rPr>
        <w:t xml:space="preserve">; </w:t>
      </w:r>
      <w:r w:rsidR="00B05323">
        <w:rPr>
          <w:sz w:val="26"/>
        </w:rPr>
        <w:t>(3) grant, in part, and deny, in part, CPHD’s Exceptions</w:t>
      </w:r>
      <w:r w:rsidR="00E40174">
        <w:rPr>
          <w:sz w:val="26"/>
        </w:rPr>
        <w:t xml:space="preserve">; </w:t>
      </w:r>
      <w:r w:rsidR="00F1148F">
        <w:rPr>
          <w:sz w:val="26"/>
        </w:rPr>
        <w:t>(4)</w:t>
      </w:r>
      <w:r w:rsidR="00B05323">
        <w:rPr>
          <w:sz w:val="26"/>
        </w:rPr>
        <w:t xml:space="preserve"> modify the Initial Decision, as set forth in this Opinion and Order and the Ordering Paragraphs below</w:t>
      </w:r>
      <w:r w:rsidR="00E40174">
        <w:rPr>
          <w:sz w:val="26"/>
        </w:rPr>
        <w:t xml:space="preserve">; </w:t>
      </w:r>
      <w:r w:rsidR="00F1148F">
        <w:rPr>
          <w:sz w:val="26"/>
        </w:rPr>
        <w:t xml:space="preserve">and (5) </w:t>
      </w:r>
      <w:r w:rsidR="00C03ECB">
        <w:rPr>
          <w:sz w:val="26"/>
        </w:rPr>
        <w:t>direct UGI to comply with the remedy detailed herein</w:t>
      </w:r>
      <w:r w:rsidR="00AA4577" w:rsidRPr="003C56D5">
        <w:rPr>
          <w:sz w:val="26"/>
          <w:szCs w:val="26"/>
        </w:rPr>
        <w:t xml:space="preserve">; </w:t>
      </w:r>
      <w:r w:rsidR="00AA4577" w:rsidRPr="003C56D5">
        <w:rPr>
          <w:b/>
          <w:sz w:val="26"/>
          <w:szCs w:val="26"/>
        </w:rPr>
        <w:t>THEREFORE,</w:t>
      </w:r>
    </w:p>
    <w:p w14:paraId="02AB4CDC" w14:textId="77777777" w:rsidR="007300AC" w:rsidRDefault="007300AC" w:rsidP="008E1AD5">
      <w:pPr>
        <w:ind w:firstLine="0"/>
        <w:outlineLvl w:val="0"/>
        <w:rPr>
          <w:b/>
          <w:sz w:val="26"/>
        </w:rPr>
      </w:pPr>
    </w:p>
    <w:p w14:paraId="00B05603" w14:textId="77777777" w:rsidR="00AA4577" w:rsidRDefault="007300AC" w:rsidP="008E1AD5">
      <w:pPr>
        <w:ind w:firstLine="0"/>
        <w:outlineLvl w:val="0"/>
        <w:rPr>
          <w:b/>
          <w:sz w:val="26"/>
        </w:rPr>
      </w:pPr>
      <w:r>
        <w:rPr>
          <w:b/>
          <w:sz w:val="26"/>
        </w:rPr>
        <w:tab/>
      </w:r>
      <w:r>
        <w:rPr>
          <w:b/>
          <w:sz w:val="26"/>
        </w:rPr>
        <w:tab/>
      </w:r>
      <w:r w:rsidR="00AA4577">
        <w:rPr>
          <w:b/>
          <w:sz w:val="26"/>
        </w:rPr>
        <w:t>IT IS ORDERED:</w:t>
      </w:r>
    </w:p>
    <w:p w14:paraId="07E06C84" w14:textId="77777777" w:rsidR="008B7FC5" w:rsidRDefault="008B7FC5" w:rsidP="008E1AD5">
      <w:pPr>
        <w:ind w:firstLine="0"/>
        <w:outlineLvl w:val="0"/>
        <w:rPr>
          <w:sz w:val="26"/>
        </w:rPr>
      </w:pPr>
    </w:p>
    <w:p w14:paraId="47AFA9A3" w14:textId="5735C3FA" w:rsidR="00864A7F" w:rsidRDefault="00796769" w:rsidP="008E1AD5">
      <w:pPr>
        <w:ind w:firstLine="0"/>
        <w:outlineLvl w:val="0"/>
        <w:rPr>
          <w:sz w:val="26"/>
          <w:szCs w:val="26"/>
        </w:rPr>
      </w:pPr>
      <w:r>
        <w:rPr>
          <w:sz w:val="26"/>
        </w:rPr>
        <w:tab/>
      </w:r>
      <w:r>
        <w:rPr>
          <w:sz w:val="26"/>
        </w:rPr>
        <w:tab/>
      </w:r>
      <w:r w:rsidR="00FB344E">
        <w:rPr>
          <w:sz w:val="26"/>
        </w:rPr>
        <w:t>1.</w:t>
      </w:r>
      <w:r w:rsidR="00FB344E">
        <w:rPr>
          <w:sz w:val="26"/>
        </w:rPr>
        <w:tab/>
        <w:t xml:space="preserve">That the </w:t>
      </w:r>
      <w:r w:rsidR="00864A7F">
        <w:rPr>
          <w:sz w:val="26"/>
          <w:szCs w:val="26"/>
        </w:rPr>
        <w:t>Exceptions of Centre Park Historic District, filed on March 15, 2019, are granted, in part, and denied, in part.</w:t>
      </w:r>
    </w:p>
    <w:p w14:paraId="390BA6F1" w14:textId="77777777" w:rsidR="00864A7F" w:rsidRDefault="00864A7F" w:rsidP="008E1AD5">
      <w:pPr>
        <w:ind w:firstLine="0"/>
        <w:outlineLvl w:val="0"/>
        <w:rPr>
          <w:sz w:val="26"/>
          <w:szCs w:val="26"/>
        </w:rPr>
      </w:pPr>
    </w:p>
    <w:p w14:paraId="0F10379B" w14:textId="77777777" w:rsidR="00864A7F" w:rsidRDefault="00864A7F" w:rsidP="008E1AD5">
      <w:pPr>
        <w:ind w:firstLine="0"/>
        <w:outlineLvl w:val="0"/>
        <w:rPr>
          <w:sz w:val="26"/>
          <w:szCs w:val="26"/>
        </w:rPr>
      </w:pPr>
      <w:r>
        <w:rPr>
          <w:sz w:val="26"/>
          <w:szCs w:val="26"/>
        </w:rPr>
        <w:tab/>
      </w:r>
      <w:r>
        <w:rPr>
          <w:sz w:val="26"/>
          <w:szCs w:val="26"/>
        </w:rPr>
        <w:tab/>
        <w:t>2.</w:t>
      </w:r>
      <w:r>
        <w:rPr>
          <w:sz w:val="26"/>
          <w:szCs w:val="26"/>
        </w:rPr>
        <w:tab/>
        <w:t>That the Exceptions of the City of Reading, filed on March 18, 2019, are granted, in part, and denied, in part.</w:t>
      </w:r>
    </w:p>
    <w:p w14:paraId="23D5C082" w14:textId="77777777" w:rsidR="00864A7F" w:rsidRDefault="00864A7F" w:rsidP="008E1AD5">
      <w:pPr>
        <w:ind w:firstLine="0"/>
        <w:outlineLvl w:val="0"/>
        <w:rPr>
          <w:sz w:val="26"/>
          <w:szCs w:val="26"/>
        </w:rPr>
      </w:pPr>
      <w:r>
        <w:rPr>
          <w:sz w:val="26"/>
          <w:szCs w:val="26"/>
        </w:rPr>
        <w:lastRenderedPageBreak/>
        <w:tab/>
      </w:r>
      <w:r>
        <w:rPr>
          <w:sz w:val="26"/>
          <w:szCs w:val="26"/>
        </w:rPr>
        <w:tab/>
        <w:t>3.</w:t>
      </w:r>
      <w:r>
        <w:rPr>
          <w:sz w:val="26"/>
          <w:szCs w:val="26"/>
        </w:rPr>
        <w:tab/>
        <w:t xml:space="preserve">That the Exceptions of UGI </w:t>
      </w:r>
      <w:bookmarkStart w:id="23" w:name="_Hlk21344358"/>
      <w:r>
        <w:rPr>
          <w:sz w:val="26"/>
          <w:szCs w:val="26"/>
        </w:rPr>
        <w:t>Utilities, Inc.</w:t>
      </w:r>
      <w:bookmarkEnd w:id="23"/>
      <w:r>
        <w:rPr>
          <w:sz w:val="26"/>
          <w:szCs w:val="26"/>
        </w:rPr>
        <w:t>, filed on March 18, 2019, are denied.</w:t>
      </w:r>
    </w:p>
    <w:p w14:paraId="5A471151" w14:textId="77777777" w:rsidR="00864A7F" w:rsidRDefault="00864A7F" w:rsidP="008E1AD5">
      <w:pPr>
        <w:ind w:firstLine="0"/>
        <w:outlineLvl w:val="0"/>
        <w:rPr>
          <w:sz w:val="26"/>
          <w:szCs w:val="26"/>
        </w:rPr>
      </w:pPr>
    </w:p>
    <w:p w14:paraId="73704550" w14:textId="77777777" w:rsidR="00864A7F" w:rsidRDefault="00864A7F" w:rsidP="008E1AD5">
      <w:pPr>
        <w:ind w:firstLine="0"/>
        <w:outlineLvl w:val="0"/>
        <w:rPr>
          <w:sz w:val="26"/>
          <w:szCs w:val="26"/>
        </w:rPr>
      </w:pPr>
      <w:r>
        <w:rPr>
          <w:sz w:val="26"/>
          <w:szCs w:val="26"/>
        </w:rPr>
        <w:tab/>
      </w:r>
      <w:r>
        <w:rPr>
          <w:sz w:val="26"/>
          <w:szCs w:val="26"/>
        </w:rPr>
        <w:tab/>
        <w:t>4.</w:t>
      </w:r>
      <w:r>
        <w:rPr>
          <w:sz w:val="26"/>
          <w:szCs w:val="26"/>
        </w:rPr>
        <w:tab/>
        <w:t>That the Initial Decision of Administrative Law Judge Mary D. Long, served on February 26, 2019, is modified, consistent with this Opinion and Order.</w:t>
      </w:r>
    </w:p>
    <w:p w14:paraId="351FF5B0" w14:textId="77777777" w:rsidR="00864A7F" w:rsidRDefault="00864A7F" w:rsidP="00864A7F">
      <w:pPr>
        <w:ind w:firstLine="0"/>
        <w:outlineLvl w:val="0"/>
        <w:rPr>
          <w:sz w:val="26"/>
          <w:szCs w:val="26"/>
        </w:rPr>
      </w:pPr>
    </w:p>
    <w:p w14:paraId="262142DF" w14:textId="77777777" w:rsidR="00065FB2" w:rsidRDefault="00864A7F" w:rsidP="00864A7F">
      <w:pPr>
        <w:ind w:firstLine="0"/>
        <w:outlineLvl w:val="0"/>
        <w:rPr>
          <w:sz w:val="26"/>
          <w:szCs w:val="26"/>
        </w:rPr>
      </w:pPr>
      <w:r>
        <w:rPr>
          <w:sz w:val="26"/>
          <w:szCs w:val="26"/>
        </w:rPr>
        <w:tab/>
      </w:r>
      <w:r>
        <w:rPr>
          <w:sz w:val="26"/>
          <w:szCs w:val="26"/>
        </w:rPr>
        <w:tab/>
        <w:t>5.</w:t>
      </w:r>
      <w:r>
        <w:rPr>
          <w:sz w:val="26"/>
          <w:szCs w:val="26"/>
        </w:rPr>
        <w:tab/>
      </w:r>
      <w:r w:rsidR="00065FB2">
        <w:rPr>
          <w:sz w:val="26"/>
          <w:szCs w:val="26"/>
        </w:rPr>
        <w:t>That Findings of Fact Nos. 45 and 46 in the Initial Decision of Administrative Law Judge Mary D. Long, served on February 26, 2019, are modified as follows:</w:t>
      </w:r>
    </w:p>
    <w:p w14:paraId="650F27FF" w14:textId="77777777" w:rsidR="00930BC2" w:rsidRDefault="00930BC2" w:rsidP="00864A7F">
      <w:pPr>
        <w:ind w:firstLine="0"/>
        <w:outlineLvl w:val="0"/>
        <w:rPr>
          <w:sz w:val="26"/>
          <w:szCs w:val="26"/>
        </w:rPr>
      </w:pPr>
    </w:p>
    <w:p w14:paraId="117E4A51" w14:textId="77777777" w:rsidR="00930BC2" w:rsidRDefault="00930BC2" w:rsidP="00930BC2">
      <w:pPr>
        <w:spacing w:line="240" w:lineRule="auto"/>
        <w:ind w:left="1440" w:right="1440" w:firstLine="0"/>
        <w:textAlignment w:val="baseline"/>
        <w:rPr>
          <w:sz w:val="26"/>
        </w:rPr>
      </w:pPr>
      <w:r>
        <w:rPr>
          <w:sz w:val="26"/>
        </w:rPr>
        <w:t>45.</w:t>
      </w:r>
      <w:r>
        <w:rPr>
          <w:sz w:val="26"/>
        </w:rPr>
        <w:tab/>
        <w:t xml:space="preserve">The letter did not provide the customer with an option to request reconsideration of his or her meter location by contacting UGI by phone or completing a meter reconsideration request form on UGI’s website.  City Exhs. JS-10 and JS-12.   </w:t>
      </w:r>
    </w:p>
    <w:p w14:paraId="34F5AF63" w14:textId="77777777" w:rsidR="00930BC2" w:rsidRDefault="00930BC2" w:rsidP="00930BC2">
      <w:pPr>
        <w:spacing w:line="240" w:lineRule="auto"/>
        <w:ind w:left="1440" w:right="1440" w:firstLine="0"/>
        <w:textAlignment w:val="baseline"/>
        <w:rPr>
          <w:sz w:val="26"/>
        </w:rPr>
      </w:pPr>
    </w:p>
    <w:p w14:paraId="50563803" w14:textId="04802063" w:rsidR="007B016F" w:rsidRDefault="007B016F" w:rsidP="007B016F">
      <w:pPr>
        <w:spacing w:line="240" w:lineRule="auto"/>
        <w:ind w:left="1440" w:right="1440" w:firstLine="0"/>
        <w:textAlignment w:val="baseline"/>
        <w:rPr>
          <w:sz w:val="26"/>
        </w:rPr>
      </w:pPr>
      <w:r>
        <w:rPr>
          <w:color w:val="000000"/>
          <w:sz w:val="26"/>
          <w:szCs w:val="26"/>
        </w:rPr>
        <w:t>46.</w:t>
      </w:r>
      <w:r>
        <w:rPr>
          <w:color w:val="000000"/>
          <w:sz w:val="26"/>
          <w:szCs w:val="26"/>
        </w:rPr>
        <w:tab/>
        <w:t xml:space="preserve">The Company’s current customer notification letters, revised in October 2017, state, in pertinent part, “As part of this project, </w:t>
      </w:r>
      <w:r w:rsidRPr="00A3326A">
        <w:rPr>
          <w:b/>
          <w:bCs/>
          <w:color w:val="000000"/>
          <w:sz w:val="26"/>
          <w:szCs w:val="26"/>
        </w:rPr>
        <w:t>UGI intends to move natural gas meter sets located inside of residences to a position outside the dwelling, but if your property is located in a federal, state or local historic area you may request that UGI reconsider the decision to relocate your meter.</w:t>
      </w:r>
      <w:r>
        <w:rPr>
          <w:b/>
          <w:bCs/>
          <w:color w:val="000000"/>
          <w:sz w:val="26"/>
          <w:szCs w:val="26"/>
        </w:rPr>
        <w:t xml:space="preserve">  </w:t>
      </w:r>
      <w:r>
        <w:rPr>
          <w:color w:val="000000"/>
          <w:sz w:val="26"/>
          <w:szCs w:val="26"/>
        </w:rPr>
        <w:t xml:space="preserve">Your request can be made online by visiting </w:t>
      </w:r>
      <w:r w:rsidRPr="00CD1975">
        <w:rPr>
          <w:b/>
          <w:bCs/>
          <w:color w:val="000000"/>
          <w:sz w:val="26"/>
        </w:rPr>
        <w:t>www.ugi.com</w:t>
      </w:r>
      <w:r>
        <w:rPr>
          <w:color w:val="000000"/>
          <w:sz w:val="26"/>
        </w:rPr>
        <w:t>,</w:t>
      </w:r>
      <w:r w:rsidRPr="00DF6D60">
        <w:rPr>
          <w:color w:val="000000"/>
          <w:sz w:val="26"/>
        </w:rPr>
        <w:t xml:space="preserve"> and clicking on the </w:t>
      </w:r>
      <w:r>
        <w:rPr>
          <w:color w:val="000000"/>
          <w:sz w:val="26"/>
        </w:rPr>
        <w:t>“C</w:t>
      </w:r>
      <w:r w:rsidRPr="00DF6D60">
        <w:rPr>
          <w:color w:val="000000"/>
          <w:sz w:val="26"/>
        </w:rPr>
        <w:t>ommunity</w:t>
      </w:r>
      <w:r>
        <w:rPr>
          <w:color w:val="000000"/>
          <w:sz w:val="26"/>
        </w:rPr>
        <w:t>”</w:t>
      </w:r>
      <w:r w:rsidRPr="00DF6D60">
        <w:rPr>
          <w:color w:val="000000"/>
          <w:sz w:val="26"/>
        </w:rPr>
        <w:t xml:space="preserve"> tab </w:t>
      </w:r>
      <w:r>
        <w:rPr>
          <w:color w:val="000000"/>
          <w:sz w:val="26"/>
        </w:rPr>
        <w:t>a</w:t>
      </w:r>
      <w:r>
        <w:rPr>
          <w:color w:val="000000"/>
          <w:sz w:val="26"/>
          <w:szCs w:val="26"/>
        </w:rPr>
        <w:t>t the top of the page.”  (UGI Exh. CB-16</w:t>
      </w:r>
      <w:r w:rsidR="00E83E62">
        <w:rPr>
          <w:color w:val="000000"/>
          <w:sz w:val="26"/>
          <w:szCs w:val="26"/>
        </w:rPr>
        <w:t>)</w:t>
      </w:r>
      <w:r>
        <w:rPr>
          <w:color w:val="000000"/>
          <w:sz w:val="26"/>
          <w:szCs w:val="26"/>
        </w:rPr>
        <w:t xml:space="preserve"> (emphasis in original)</w:t>
      </w:r>
    </w:p>
    <w:p w14:paraId="16AFBD22" w14:textId="77777777" w:rsidR="007B016F" w:rsidRDefault="007B016F" w:rsidP="00864A7F">
      <w:pPr>
        <w:ind w:firstLine="0"/>
        <w:outlineLvl w:val="0"/>
        <w:rPr>
          <w:color w:val="000000"/>
          <w:sz w:val="26"/>
          <w:szCs w:val="26"/>
        </w:rPr>
      </w:pPr>
    </w:p>
    <w:p w14:paraId="6EF7865C" w14:textId="281C68B0" w:rsidR="00BB60B6" w:rsidRDefault="00BB60B6" w:rsidP="00864A7F">
      <w:pPr>
        <w:ind w:firstLine="0"/>
        <w:outlineLvl w:val="0"/>
        <w:rPr>
          <w:sz w:val="26"/>
          <w:szCs w:val="26"/>
        </w:rPr>
      </w:pPr>
      <w:r>
        <w:rPr>
          <w:sz w:val="26"/>
          <w:szCs w:val="26"/>
        </w:rPr>
        <w:tab/>
      </w:r>
      <w:r>
        <w:rPr>
          <w:sz w:val="26"/>
          <w:szCs w:val="26"/>
        </w:rPr>
        <w:tab/>
        <w:t>6.</w:t>
      </w:r>
      <w:r>
        <w:rPr>
          <w:sz w:val="26"/>
          <w:szCs w:val="26"/>
        </w:rPr>
        <w:tab/>
        <w:t>That Findings of Fact Nos. 20 and 31 in the Initial Decision of Administrative Law Judge Mary D. Long, served on February 26, 2019, are removed from the Initial Decision.</w:t>
      </w:r>
    </w:p>
    <w:p w14:paraId="28EA5C6D" w14:textId="77777777" w:rsidR="00D64088" w:rsidRDefault="00D64088" w:rsidP="00864A7F">
      <w:pPr>
        <w:ind w:firstLine="0"/>
        <w:outlineLvl w:val="0"/>
        <w:rPr>
          <w:sz w:val="26"/>
          <w:szCs w:val="26"/>
        </w:rPr>
      </w:pPr>
    </w:p>
    <w:p w14:paraId="41E895BE" w14:textId="64E8FA95" w:rsidR="007376DD" w:rsidRDefault="002C12BE" w:rsidP="00864A7F">
      <w:pPr>
        <w:ind w:firstLine="0"/>
        <w:outlineLvl w:val="0"/>
        <w:rPr>
          <w:color w:val="000000"/>
          <w:sz w:val="26"/>
          <w:szCs w:val="26"/>
        </w:rPr>
      </w:pPr>
      <w:r>
        <w:rPr>
          <w:sz w:val="26"/>
          <w:szCs w:val="26"/>
        </w:rPr>
        <w:tab/>
      </w:r>
      <w:r>
        <w:rPr>
          <w:sz w:val="26"/>
          <w:szCs w:val="26"/>
        </w:rPr>
        <w:tab/>
        <w:t>7.</w:t>
      </w:r>
      <w:r>
        <w:rPr>
          <w:sz w:val="26"/>
          <w:szCs w:val="26"/>
        </w:rPr>
        <w:tab/>
        <w:t xml:space="preserve">That </w:t>
      </w:r>
      <w:r>
        <w:rPr>
          <w:spacing w:val="1"/>
          <w:sz w:val="26"/>
        </w:rPr>
        <w:t xml:space="preserve">UGI </w:t>
      </w:r>
      <w:bookmarkStart w:id="24" w:name="_Hlk21344462"/>
      <w:r>
        <w:rPr>
          <w:sz w:val="26"/>
          <w:szCs w:val="26"/>
        </w:rPr>
        <w:t>Utilities, Inc.</w:t>
      </w:r>
      <w:bookmarkEnd w:id="24"/>
      <w:r>
        <w:rPr>
          <w:sz w:val="26"/>
          <w:szCs w:val="26"/>
        </w:rPr>
        <w:t xml:space="preserve"> </w:t>
      </w:r>
      <w:r>
        <w:rPr>
          <w:spacing w:val="1"/>
          <w:sz w:val="26"/>
        </w:rPr>
        <w:t xml:space="preserve">shall, within sixty (60) days of the entry date of this Opinion and Order, send the above-described letter to the addresses of each </w:t>
      </w:r>
      <w:r>
        <w:rPr>
          <w:spacing w:val="1"/>
          <w:sz w:val="26"/>
        </w:rPr>
        <w:lastRenderedPageBreak/>
        <w:t xml:space="preserve">customer/property owner in historic districts, as listed in ALJ Exh. 1, whose meters were relocated between </w:t>
      </w:r>
      <w:r>
        <w:rPr>
          <w:color w:val="000000"/>
          <w:sz w:val="26"/>
          <w:szCs w:val="26"/>
        </w:rPr>
        <w:t>September 13, 2014, and July 30, 2016.</w:t>
      </w:r>
    </w:p>
    <w:p w14:paraId="12C57331" w14:textId="77777777" w:rsidR="007376DD" w:rsidRDefault="007376DD" w:rsidP="00864A7F">
      <w:pPr>
        <w:ind w:firstLine="0"/>
        <w:outlineLvl w:val="0"/>
        <w:rPr>
          <w:color w:val="000000"/>
          <w:sz w:val="26"/>
          <w:szCs w:val="26"/>
        </w:rPr>
      </w:pPr>
    </w:p>
    <w:p w14:paraId="3BE0D81F" w14:textId="58E20D61" w:rsidR="002C12BE" w:rsidRDefault="007376DD" w:rsidP="00864A7F">
      <w:pPr>
        <w:ind w:firstLine="0"/>
        <w:outlineLvl w:val="0"/>
        <w:rPr>
          <w:sz w:val="26"/>
          <w:szCs w:val="26"/>
        </w:rPr>
      </w:pPr>
      <w:r>
        <w:rPr>
          <w:color w:val="000000"/>
          <w:sz w:val="26"/>
          <w:szCs w:val="26"/>
        </w:rPr>
        <w:tab/>
      </w:r>
      <w:r>
        <w:rPr>
          <w:color w:val="000000"/>
          <w:sz w:val="26"/>
          <w:szCs w:val="26"/>
        </w:rPr>
        <w:tab/>
        <w:t>8.</w:t>
      </w:r>
      <w:r>
        <w:rPr>
          <w:color w:val="000000"/>
          <w:sz w:val="26"/>
          <w:szCs w:val="26"/>
        </w:rPr>
        <w:tab/>
      </w:r>
      <w:r w:rsidR="00B312CD">
        <w:rPr>
          <w:color w:val="000000"/>
          <w:sz w:val="26"/>
          <w:szCs w:val="26"/>
        </w:rPr>
        <w:t xml:space="preserve">That </w:t>
      </w:r>
      <w:r w:rsidR="002C12BE">
        <w:rPr>
          <w:spacing w:val="1"/>
          <w:sz w:val="26"/>
        </w:rPr>
        <w:t xml:space="preserve">UGI </w:t>
      </w:r>
      <w:r>
        <w:rPr>
          <w:sz w:val="26"/>
          <w:szCs w:val="26"/>
        </w:rPr>
        <w:t xml:space="preserve">Utilities, Inc. </w:t>
      </w:r>
      <w:r w:rsidR="002C12BE">
        <w:rPr>
          <w:spacing w:val="1"/>
          <w:sz w:val="26"/>
        </w:rPr>
        <w:t xml:space="preserve">shall, within ninety (90) days of the entry date of this Opinion and Order, provide a copy of the letter that it sent </w:t>
      </w:r>
      <w:r>
        <w:rPr>
          <w:spacing w:val="1"/>
          <w:sz w:val="26"/>
        </w:rPr>
        <w:t xml:space="preserve">pursuant to Ordering Paragraph No. 7, above, </w:t>
      </w:r>
      <w:r w:rsidR="002C12BE">
        <w:rPr>
          <w:color w:val="000000"/>
          <w:sz w:val="26"/>
          <w:szCs w:val="26"/>
        </w:rPr>
        <w:t>to the Commission and all Parties to this proceeding, along with an affidavit attesting that the letter w</w:t>
      </w:r>
      <w:r w:rsidR="009E169F">
        <w:rPr>
          <w:color w:val="000000"/>
          <w:sz w:val="26"/>
          <w:szCs w:val="26"/>
        </w:rPr>
        <w:t>as</w:t>
      </w:r>
      <w:r w:rsidR="002C12BE">
        <w:rPr>
          <w:color w:val="000000"/>
          <w:sz w:val="26"/>
          <w:szCs w:val="26"/>
        </w:rPr>
        <w:t xml:space="preserve"> sent to the </w:t>
      </w:r>
      <w:r w:rsidR="002C12BE">
        <w:rPr>
          <w:spacing w:val="1"/>
          <w:sz w:val="26"/>
        </w:rPr>
        <w:t>customers/property owners</w:t>
      </w:r>
      <w:r w:rsidR="002C12BE">
        <w:rPr>
          <w:color w:val="000000"/>
          <w:sz w:val="26"/>
          <w:szCs w:val="26"/>
        </w:rPr>
        <w:t xml:space="preserve"> at the addresses listed in ALJ Exh. 1</w:t>
      </w:r>
      <w:r w:rsidR="0002210B">
        <w:rPr>
          <w:color w:val="000000"/>
          <w:sz w:val="26"/>
          <w:szCs w:val="26"/>
        </w:rPr>
        <w:t>.</w:t>
      </w:r>
    </w:p>
    <w:p w14:paraId="3BCFF561" w14:textId="77777777" w:rsidR="002C12BE" w:rsidRDefault="002C12BE" w:rsidP="00864A7F">
      <w:pPr>
        <w:ind w:firstLine="0"/>
        <w:outlineLvl w:val="0"/>
        <w:rPr>
          <w:sz w:val="26"/>
          <w:szCs w:val="26"/>
        </w:rPr>
      </w:pPr>
    </w:p>
    <w:p w14:paraId="34055518" w14:textId="77777777" w:rsidR="00D64088" w:rsidRDefault="00D64088" w:rsidP="00864A7F">
      <w:pPr>
        <w:ind w:firstLine="0"/>
        <w:outlineLvl w:val="0"/>
        <w:rPr>
          <w:sz w:val="26"/>
          <w:szCs w:val="26"/>
        </w:rPr>
      </w:pPr>
      <w:r>
        <w:rPr>
          <w:sz w:val="26"/>
          <w:szCs w:val="26"/>
        </w:rPr>
        <w:tab/>
      </w:r>
      <w:r w:rsidR="00643E38">
        <w:rPr>
          <w:sz w:val="26"/>
          <w:szCs w:val="26"/>
        </w:rPr>
        <w:tab/>
        <w:t>9.</w:t>
      </w:r>
      <w:r w:rsidR="00643E38">
        <w:rPr>
          <w:sz w:val="26"/>
          <w:szCs w:val="26"/>
        </w:rPr>
        <w:tab/>
      </w:r>
      <w:r>
        <w:rPr>
          <w:sz w:val="26"/>
          <w:szCs w:val="26"/>
        </w:rPr>
        <w:t>That this proceeding at Docket Nos. C-2015-2516051 and C-2016-2530475 shall be marked closed.</w:t>
      </w:r>
    </w:p>
    <w:p w14:paraId="4B9E3ECD" w14:textId="6566E32F" w:rsidR="00864A7F" w:rsidRDefault="00065FB2" w:rsidP="00864A7F">
      <w:pPr>
        <w:ind w:firstLine="0"/>
        <w:outlineLvl w:val="0"/>
        <w:rPr>
          <w:b/>
          <w:sz w:val="26"/>
          <w:szCs w:val="26"/>
        </w:rPr>
      </w:pPr>
      <w:r>
        <w:rPr>
          <w:sz w:val="26"/>
          <w:szCs w:val="26"/>
        </w:rPr>
        <w:tab/>
      </w:r>
      <w:r>
        <w:rPr>
          <w:sz w:val="26"/>
          <w:szCs w:val="26"/>
        </w:rPr>
        <w:tab/>
      </w:r>
      <w:r w:rsidR="00864A7F">
        <w:rPr>
          <w:sz w:val="26"/>
          <w:szCs w:val="26"/>
        </w:rPr>
        <w:tab/>
      </w:r>
    </w:p>
    <w:p w14:paraId="10DC2A73" w14:textId="37267072" w:rsidR="00C16547" w:rsidRDefault="009C61B4" w:rsidP="00725885">
      <w:pPr>
        <w:spacing w:line="240" w:lineRule="auto"/>
        <w:ind w:left="3600"/>
        <w:rPr>
          <w:b/>
          <w:sz w:val="26"/>
          <w:szCs w:val="26"/>
        </w:rPr>
      </w:pPr>
      <w:r>
        <w:rPr>
          <w:noProof/>
        </w:rPr>
        <w:drawing>
          <wp:anchor distT="0" distB="0" distL="114300" distR="114300" simplePos="0" relativeHeight="251659264" behindDoc="1" locked="0" layoutInCell="1" allowOverlap="1" wp14:anchorId="0D9556C5" wp14:editId="05F30694">
            <wp:simplePos x="0" y="0"/>
            <wp:positionH relativeFrom="column">
              <wp:posOffset>3228975</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DF">
        <w:rPr>
          <w:b/>
          <w:sz w:val="26"/>
          <w:szCs w:val="26"/>
        </w:rPr>
        <w:t>BY THE C</w:t>
      </w:r>
      <w:r w:rsidR="00C16547">
        <w:rPr>
          <w:b/>
          <w:sz w:val="26"/>
          <w:szCs w:val="26"/>
        </w:rPr>
        <w:t>OMMISSIO</w:t>
      </w:r>
      <w:r w:rsidR="00160408">
        <w:rPr>
          <w:b/>
          <w:sz w:val="26"/>
          <w:szCs w:val="26"/>
        </w:rPr>
        <w:t>N</w:t>
      </w:r>
    </w:p>
    <w:p w14:paraId="6955276F" w14:textId="77777777" w:rsidR="003B2594" w:rsidRDefault="003B2594" w:rsidP="00725885">
      <w:pPr>
        <w:spacing w:line="240" w:lineRule="auto"/>
      </w:pPr>
    </w:p>
    <w:p w14:paraId="02D6CD3B" w14:textId="77777777" w:rsidR="00CB0DD3" w:rsidRDefault="00CB0DD3" w:rsidP="00725885">
      <w:pPr>
        <w:spacing w:line="240" w:lineRule="auto"/>
      </w:pPr>
    </w:p>
    <w:p w14:paraId="058C063C" w14:textId="77777777" w:rsidR="00763886" w:rsidRDefault="00763886" w:rsidP="00725885">
      <w:pPr>
        <w:spacing w:line="240" w:lineRule="auto"/>
      </w:pPr>
    </w:p>
    <w:p w14:paraId="67D7EF4F" w14:textId="77777777" w:rsidR="00CB0DD3" w:rsidRDefault="00CB0DD3" w:rsidP="00725885">
      <w:pPr>
        <w:spacing w:line="240" w:lineRule="auto"/>
      </w:pPr>
    </w:p>
    <w:p w14:paraId="62048D6B" w14:textId="77777777" w:rsidR="005D5AB8" w:rsidRDefault="00C16547" w:rsidP="00725885">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14:paraId="63B229B8" w14:textId="77777777" w:rsidR="00C16547" w:rsidRDefault="00C16547" w:rsidP="00725885">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14:paraId="44F76E9B" w14:textId="77777777" w:rsidR="00763886" w:rsidRDefault="00763886" w:rsidP="00725885">
      <w:pPr>
        <w:spacing w:line="240" w:lineRule="auto"/>
        <w:rPr>
          <w:sz w:val="26"/>
          <w:szCs w:val="26"/>
        </w:rPr>
      </w:pPr>
    </w:p>
    <w:p w14:paraId="635B0653" w14:textId="77777777" w:rsidR="009078DF" w:rsidRDefault="005D5AB8" w:rsidP="00725885">
      <w:pPr>
        <w:spacing w:line="240" w:lineRule="auto"/>
        <w:ind w:firstLine="0"/>
        <w:rPr>
          <w:sz w:val="26"/>
        </w:rPr>
      </w:pPr>
      <w:r>
        <w:rPr>
          <w:sz w:val="26"/>
        </w:rPr>
        <w:t>(SEAL)</w:t>
      </w:r>
    </w:p>
    <w:p w14:paraId="360E8C13" w14:textId="77777777" w:rsidR="00763886" w:rsidRPr="00763886" w:rsidRDefault="00763886" w:rsidP="00725885">
      <w:pPr>
        <w:spacing w:line="240" w:lineRule="auto"/>
        <w:ind w:firstLine="0"/>
        <w:rPr>
          <w:sz w:val="26"/>
        </w:rPr>
      </w:pPr>
    </w:p>
    <w:p w14:paraId="67207A49" w14:textId="7328279D" w:rsidR="00C07C32" w:rsidRDefault="00E46816" w:rsidP="00725885">
      <w:pPr>
        <w:spacing w:line="240" w:lineRule="auto"/>
        <w:ind w:firstLine="0"/>
        <w:rPr>
          <w:sz w:val="26"/>
          <w:szCs w:val="26"/>
        </w:rPr>
      </w:pPr>
      <w:r>
        <w:rPr>
          <w:sz w:val="26"/>
          <w:szCs w:val="26"/>
        </w:rPr>
        <w:t>ORDER ADOPTED:</w:t>
      </w:r>
      <w:r w:rsidR="001D0C53">
        <w:rPr>
          <w:sz w:val="26"/>
          <w:szCs w:val="26"/>
        </w:rPr>
        <w:t xml:space="preserve">  </w:t>
      </w:r>
      <w:r w:rsidR="005E5F97">
        <w:rPr>
          <w:sz w:val="26"/>
          <w:szCs w:val="26"/>
        </w:rPr>
        <w:t>October 24, 2019</w:t>
      </w:r>
    </w:p>
    <w:p w14:paraId="64002400" w14:textId="77777777" w:rsidR="001878C7" w:rsidRDefault="001878C7" w:rsidP="00725885">
      <w:pPr>
        <w:spacing w:line="240" w:lineRule="auto"/>
        <w:ind w:firstLine="0"/>
        <w:rPr>
          <w:sz w:val="26"/>
          <w:szCs w:val="26"/>
        </w:rPr>
      </w:pPr>
      <w:r>
        <w:rPr>
          <w:sz w:val="26"/>
          <w:szCs w:val="26"/>
        </w:rPr>
        <w:t xml:space="preserve"> </w:t>
      </w:r>
    </w:p>
    <w:p w14:paraId="7471F9E6" w14:textId="58210E40" w:rsidR="009078DF" w:rsidRDefault="009078DF" w:rsidP="00725885">
      <w:pPr>
        <w:spacing w:line="240" w:lineRule="auto"/>
        <w:ind w:firstLine="0"/>
        <w:rPr>
          <w:sz w:val="26"/>
          <w:szCs w:val="26"/>
        </w:rPr>
      </w:pPr>
      <w:r>
        <w:rPr>
          <w:sz w:val="26"/>
          <w:szCs w:val="26"/>
        </w:rPr>
        <w:t xml:space="preserve">ORDER ENTERED:  </w:t>
      </w:r>
      <w:r w:rsidR="009C61B4">
        <w:rPr>
          <w:sz w:val="26"/>
          <w:szCs w:val="26"/>
        </w:rPr>
        <w:t>October 24</w:t>
      </w:r>
      <w:bookmarkStart w:id="25" w:name="_GoBack"/>
      <w:bookmarkEnd w:id="25"/>
      <w:r w:rsidR="009C61B4">
        <w:rPr>
          <w:sz w:val="26"/>
          <w:szCs w:val="26"/>
        </w:rPr>
        <w:t>, 2019</w:t>
      </w:r>
    </w:p>
    <w:p w14:paraId="538CEDF4" w14:textId="77777777" w:rsidR="00C07C32" w:rsidRDefault="00C07C32" w:rsidP="00725885">
      <w:pPr>
        <w:spacing w:line="240" w:lineRule="auto"/>
        <w:ind w:firstLine="0"/>
        <w:rPr>
          <w:sz w:val="26"/>
          <w:szCs w:val="26"/>
        </w:rPr>
      </w:pPr>
    </w:p>
    <w:sectPr w:rsidR="00C07C32" w:rsidSect="00C83DA7">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378F" w14:textId="77777777" w:rsidR="00C25A6A" w:rsidRDefault="00C25A6A">
      <w:r>
        <w:separator/>
      </w:r>
    </w:p>
  </w:endnote>
  <w:endnote w:type="continuationSeparator" w:id="0">
    <w:p w14:paraId="735428F6" w14:textId="77777777" w:rsidR="00C25A6A" w:rsidRDefault="00C2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271" w14:textId="77777777" w:rsidR="008E1AD5" w:rsidRDefault="008E1A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4B927" w14:textId="77777777" w:rsidR="008E1AD5" w:rsidRDefault="008E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827613"/>
      <w:docPartObj>
        <w:docPartGallery w:val="Page Numbers (Bottom of Page)"/>
        <w:docPartUnique/>
      </w:docPartObj>
    </w:sdtPr>
    <w:sdtEndPr>
      <w:rPr>
        <w:noProof/>
      </w:rPr>
    </w:sdtEndPr>
    <w:sdtContent>
      <w:p w14:paraId="68FE201A" w14:textId="77777777" w:rsidR="008E1AD5" w:rsidRDefault="00C25A6A" w:rsidP="00240A07">
        <w:pPr>
          <w:pStyle w:val="Footer"/>
          <w:ind w:firstLine="0"/>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C8DE" w14:textId="77777777" w:rsidR="008E1AD5" w:rsidRDefault="008E1AD5" w:rsidP="00240A07">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913878"/>
      <w:docPartObj>
        <w:docPartGallery w:val="Page Numbers (Bottom of Page)"/>
        <w:docPartUnique/>
      </w:docPartObj>
    </w:sdtPr>
    <w:sdtEndPr>
      <w:rPr>
        <w:noProof/>
      </w:rPr>
    </w:sdtEndPr>
    <w:sdtContent>
      <w:p w14:paraId="128D544E" w14:textId="77777777" w:rsidR="008E1AD5" w:rsidRPr="00240A07" w:rsidRDefault="008E1AD5" w:rsidP="00240A07">
        <w:pPr>
          <w:pStyle w:val="Footer"/>
          <w:ind w:firstLine="0"/>
          <w:jc w:val="center"/>
        </w:pPr>
        <w:r w:rsidRPr="006F5872">
          <w:rPr>
            <w:sz w:val="26"/>
            <w:szCs w:val="26"/>
          </w:rPr>
          <w:fldChar w:fldCharType="begin"/>
        </w:r>
        <w:r w:rsidRPr="006F5872">
          <w:rPr>
            <w:sz w:val="26"/>
            <w:szCs w:val="26"/>
          </w:rPr>
          <w:instrText xml:space="preserve"> PAGE   \* MERGEFORMAT </w:instrText>
        </w:r>
        <w:r w:rsidRPr="006F5872">
          <w:rPr>
            <w:sz w:val="26"/>
            <w:szCs w:val="26"/>
          </w:rPr>
          <w:fldChar w:fldCharType="separate"/>
        </w:r>
        <w:r>
          <w:rPr>
            <w:noProof/>
            <w:sz w:val="26"/>
            <w:szCs w:val="26"/>
          </w:rPr>
          <w:t>II</w:t>
        </w:r>
        <w:r w:rsidRPr="006F5872">
          <w:rPr>
            <w:noProof/>
            <w:sz w:val="26"/>
            <w:szCs w:val="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983870"/>
      <w:docPartObj>
        <w:docPartGallery w:val="Page Numbers (Bottom of Page)"/>
        <w:docPartUnique/>
      </w:docPartObj>
    </w:sdtPr>
    <w:sdtEndPr>
      <w:rPr>
        <w:noProof/>
        <w:sz w:val="26"/>
        <w:szCs w:val="26"/>
      </w:rPr>
    </w:sdtEndPr>
    <w:sdtContent>
      <w:p w14:paraId="2478B676" w14:textId="77777777" w:rsidR="008E1AD5" w:rsidRPr="006F5872" w:rsidRDefault="008E1AD5" w:rsidP="00240A07">
        <w:pPr>
          <w:pStyle w:val="Footer"/>
          <w:ind w:firstLine="0"/>
          <w:jc w:val="center"/>
          <w:rPr>
            <w:sz w:val="26"/>
            <w:szCs w:val="26"/>
          </w:rPr>
        </w:pPr>
        <w:r w:rsidRPr="006F5872">
          <w:rPr>
            <w:sz w:val="26"/>
            <w:szCs w:val="26"/>
          </w:rPr>
          <w:fldChar w:fldCharType="begin"/>
        </w:r>
        <w:r w:rsidRPr="006F5872">
          <w:rPr>
            <w:sz w:val="26"/>
            <w:szCs w:val="26"/>
          </w:rPr>
          <w:instrText xml:space="preserve"> PAGE   \* MERGEFORMAT </w:instrText>
        </w:r>
        <w:r w:rsidRPr="006F5872">
          <w:rPr>
            <w:sz w:val="26"/>
            <w:szCs w:val="26"/>
          </w:rPr>
          <w:fldChar w:fldCharType="separate"/>
        </w:r>
        <w:r>
          <w:rPr>
            <w:noProof/>
            <w:sz w:val="26"/>
            <w:szCs w:val="26"/>
          </w:rPr>
          <w:t>14</w:t>
        </w:r>
        <w:r w:rsidRPr="006F5872">
          <w:rPr>
            <w:noProof/>
            <w:sz w:val="26"/>
            <w:szCs w:val="2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CC5D" w14:textId="77777777" w:rsidR="008E1AD5" w:rsidRDefault="008E1AD5" w:rsidP="00240A0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DE31A" w14:textId="77777777" w:rsidR="00C25A6A" w:rsidRDefault="00C25A6A" w:rsidP="00C83DA7">
      <w:pPr>
        <w:spacing w:line="240" w:lineRule="auto"/>
        <w:ind w:firstLine="0"/>
      </w:pPr>
      <w:r>
        <w:separator/>
      </w:r>
    </w:p>
  </w:footnote>
  <w:footnote w:type="continuationSeparator" w:id="0">
    <w:p w14:paraId="4260F47B" w14:textId="77777777" w:rsidR="00C25A6A" w:rsidRDefault="00C25A6A">
      <w:r>
        <w:continuationSeparator/>
      </w:r>
    </w:p>
  </w:footnote>
  <w:footnote w:id="1">
    <w:p w14:paraId="7CF71A90" w14:textId="4F6CE604" w:rsidR="008E1AD5" w:rsidRPr="00B96185" w:rsidRDefault="008E1AD5" w:rsidP="00DB09E4">
      <w:pPr>
        <w:pStyle w:val="FootnoteText"/>
        <w:spacing w:after="120" w:line="240" w:lineRule="auto"/>
        <w:ind w:firstLine="720"/>
        <w:rPr>
          <w:rStyle w:val="FootnoteReference"/>
          <w:sz w:val="24"/>
          <w:szCs w:val="24"/>
        </w:rPr>
      </w:pPr>
      <w:r w:rsidRPr="00B96185">
        <w:rPr>
          <w:rStyle w:val="FootnoteReference"/>
          <w:sz w:val="26"/>
        </w:rPr>
        <w:footnoteRef/>
      </w:r>
      <w:r w:rsidRPr="00B96185">
        <w:rPr>
          <w:sz w:val="26"/>
        </w:rPr>
        <w:t xml:space="preserve"> </w:t>
      </w:r>
      <w:r>
        <w:rPr>
          <w:sz w:val="26"/>
        </w:rPr>
        <w:tab/>
      </w:r>
      <w:r w:rsidRPr="00B96185">
        <w:rPr>
          <w:sz w:val="26"/>
        </w:rPr>
        <w:t>In its Exceptions, CPHD incorporates by reference the Exceptions of the City as if fully recited therein.</w:t>
      </w:r>
      <w:r w:rsidRPr="00B96185">
        <w:rPr>
          <w:rStyle w:val="FootnoteReference"/>
        </w:rPr>
        <w:t xml:space="preserve">  </w:t>
      </w:r>
    </w:p>
  </w:footnote>
  <w:footnote w:id="2">
    <w:p w14:paraId="2EC313EE" w14:textId="1FC10B8F" w:rsidR="008E1AD5" w:rsidRPr="009F1BCB" w:rsidRDefault="008E1AD5" w:rsidP="009F1BCB">
      <w:pPr>
        <w:pStyle w:val="FootnoteText"/>
        <w:spacing w:line="240" w:lineRule="auto"/>
        <w:ind w:firstLine="720"/>
        <w:rPr>
          <w:sz w:val="26"/>
        </w:rPr>
      </w:pPr>
      <w:r w:rsidRPr="009F1BCB">
        <w:rPr>
          <w:rStyle w:val="FootnoteReference"/>
          <w:sz w:val="26"/>
        </w:rPr>
        <w:footnoteRef/>
      </w:r>
      <w:r w:rsidRPr="009F1BCB">
        <w:rPr>
          <w:sz w:val="26"/>
        </w:rPr>
        <w:t xml:space="preserve"> </w:t>
      </w:r>
      <w:r>
        <w:rPr>
          <w:sz w:val="26"/>
        </w:rPr>
        <w:tab/>
      </w:r>
      <w:r w:rsidRPr="009F1BCB">
        <w:rPr>
          <w:sz w:val="26"/>
        </w:rPr>
        <w:t xml:space="preserve">The Commission’s files </w:t>
      </w:r>
      <w:r>
        <w:rPr>
          <w:sz w:val="26"/>
        </w:rPr>
        <w:t xml:space="preserve">reflect that CPHD did not file </w:t>
      </w:r>
      <w:r w:rsidRPr="009F1BCB">
        <w:rPr>
          <w:sz w:val="26"/>
        </w:rPr>
        <w:t xml:space="preserve">Replies to Exceptions </w:t>
      </w:r>
      <w:r>
        <w:rPr>
          <w:sz w:val="26"/>
        </w:rPr>
        <w:t>w</w:t>
      </w:r>
      <w:r w:rsidRPr="009F1BCB">
        <w:rPr>
          <w:sz w:val="26"/>
        </w:rPr>
        <w:t>ith the Commission’s Secretary’s Bureau.</w:t>
      </w:r>
    </w:p>
  </w:footnote>
  <w:footnote w:id="3">
    <w:p w14:paraId="0CE050A1" w14:textId="4BE53A33" w:rsidR="008E1AD5" w:rsidRPr="0026290D" w:rsidRDefault="008E1AD5" w:rsidP="0026290D">
      <w:pPr>
        <w:pStyle w:val="FootnoteText"/>
        <w:spacing w:line="240" w:lineRule="auto"/>
        <w:ind w:firstLine="720"/>
        <w:rPr>
          <w:sz w:val="26"/>
        </w:rPr>
      </w:pPr>
      <w:r w:rsidRPr="0026290D">
        <w:rPr>
          <w:rStyle w:val="FootnoteReference"/>
          <w:sz w:val="26"/>
        </w:rPr>
        <w:footnoteRef/>
      </w:r>
      <w:r w:rsidRPr="0026290D">
        <w:rPr>
          <w:sz w:val="26"/>
        </w:rPr>
        <w:t xml:space="preserve"> </w:t>
      </w:r>
      <w:r>
        <w:rPr>
          <w:sz w:val="26"/>
        </w:rPr>
        <w:tab/>
      </w:r>
      <w:r w:rsidRPr="0026290D">
        <w:rPr>
          <w:sz w:val="26"/>
        </w:rPr>
        <w:t xml:space="preserve">In this case, the City and CPHD have the burden of proving that UGI failed to comply with Section 59.18 or other Commission or </w:t>
      </w:r>
      <w:r>
        <w:rPr>
          <w:sz w:val="26"/>
        </w:rPr>
        <w:t>Federal Regulations</w:t>
      </w:r>
      <w:r w:rsidRPr="0026290D">
        <w:rPr>
          <w:sz w:val="26"/>
        </w:rPr>
        <w:t xml:space="preserve">, the Code, or a Commission Order.  In its Exceptions Nos. 3 and 12, the City appears to argue that UGI has the burden of showing it was complying with the requirements in Section 59.18.  City Exc. at 5, 14.  In its Replies, UGI avers that the City is incorrect and the City Parties have the burden to prove that UGI failed to comply with the Commission’s Regulations.  </w:t>
      </w:r>
      <w:r>
        <w:rPr>
          <w:sz w:val="26"/>
        </w:rPr>
        <w:t xml:space="preserve">UGI R. Exc. at 22-23.  </w:t>
      </w:r>
      <w:r w:rsidRPr="0026290D">
        <w:rPr>
          <w:sz w:val="26"/>
        </w:rPr>
        <w:t xml:space="preserve">Consistent with our burden of proof discussion in this Opinion and Order, the City’s arguments that UGI has the burden of proof in this proceeding are denied. </w:t>
      </w:r>
    </w:p>
  </w:footnote>
  <w:footnote w:id="4">
    <w:p w14:paraId="1481E8B0" w14:textId="77777777" w:rsidR="008E1AD5" w:rsidRPr="0031051A" w:rsidRDefault="008E1AD5" w:rsidP="00DB09E4">
      <w:pPr>
        <w:pStyle w:val="FootnoteText"/>
        <w:spacing w:after="120" w:line="240" w:lineRule="auto"/>
        <w:ind w:firstLine="0"/>
        <w:rPr>
          <w:sz w:val="26"/>
          <w:szCs w:val="26"/>
        </w:rPr>
      </w:pPr>
      <w:r>
        <w:rPr>
          <w:sz w:val="26"/>
          <w:szCs w:val="26"/>
        </w:rPr>
        <w:tab/>
      </w:r>
      <w:r w:rsidRPr="0031051A">
        <w:rPr>
          <w:rStyle w:val="FootnoteReference"/>
          <w:sz w:val="26"/>
          <w:szCs w:val="26"/>
        </w:rPr>
        <w:footnoteRef/>
      </w:r>
      <w:r w:rsidRPr="0031051A">
        <w:rPr>
          <w:sz w:val="26"/>
          <w:szCs w:val="26"/>
        </w:rPr>
        <w:t xml:space="preserve"> </w:t>
      </w:r>
      <w:r w:rsidRPr="0031051A">
        <w:rPr>
          <w:sz w:val="26"/>
          <w:szCs w:val="26"/>
        </w:rPr>
        <w:tab/>
        <w:t>Pursuant to 52 Pa. Code § 59.33(b), the Commission adopted as its “minimum safety standards for all natural gas and hazardous liquid public utilities in this Commonwealth … the pipeline safety laws as found in 49 U.S.C.A. §§ 60101</w:t>
      </w:r>
      <w:r>
        <w:rPr>
          <w:sz w:val="26"/>
          <w:szCs w:val="26"/>
        </w:rPr>
        <w:t>-</w:t>
      </w:r>
      <w:r w:rsidRPr="0031051A">
        <w:rPr>
          <w:sz w:val="26"/>
          <w:szCs w:val="26"/>
        </w:rPr>
        <w:t>60503 and as implemented at 49 CFR Parts 191</w:t>
      </w:r>
      <w:r>
        <w:rPr>
          <w:sz w:val="26"/>
          <w:szCs w:val="26"/>
        </w:rPr>
        <w:t>-</w:t>
      </w:r>
      <w:r w:rsidRPr="0031051A">
        <w:rPr>
          <w:sz w:val="26"/>
          <w:szCs w:val="26"/>
        </w:rPr>
        <w:t>193, 195 and 199, including all subsequent amendments thereto.</w:t>
      </w:r>
      <w:r>
        <w:rPr>
          <w:sz w:val="26"/>
          <w:szCs w:val="26"/>
        </w:rPr>
        <w:t>”</w:t>
      </w:r>
    </w:p>
  </w:footnote>
  <w:footnote w:id="5">
    <w:p w14:paraId="56C86441" w14:textId="169CC5D9" w:rsidR="008E1AD5" w:rsidRPr="00210046" w:rsidRDefault="008E1AD5" w:rsidP="00210046">
      <w:pPr>
        <w:pStyle w:val="FootnoteText"/>
        <w:spacing w:line="240" w:lineRule="auto"/>
        <w:ind w:firstLine="720"/>
        <w:rPr>
          <w:sz w:val="26"/>
        </w:rPr>
      </w:pPr>
      <w:r w:rsidRPr="00210046">
        <w:rPr>
          <w:rStyle w:val="FootnoteReference"/>
          <w:sz w:val="26"/>
        </w:rPr>
        <w:footnoteRef/>
      </w:r>
      <w:r w:rsidRPr="00210046">
        <w:rPr>
          <w:sz w:val="26"/>
        </w:rPr>
        <w:t xml:space="preserve"> </w:t>
      </w:r>
      <w:r>
        <w:rPr>
          <w:sz w:val="26"/>
        </w:rPr>
        <w:tab/>
      </w:r>
      <w:r w:rsidRPr="00210046">
        <w:rPr>
          <w:sz w:val="26"/>
        </w:rPr>
        <w:t xml:space="preserve">UGI was making meter </w:t>
      </w:r>
      <w:r>
        <w:rPr>
          <w:sz w:val="26"/>
        </w:rPr>
        <w:t xml:space="preserve">and regulator </w:t>
      </w:r>
      <w:r w:rsidRPr="00210046">
        <w:rPr>
          <w:sz w:val="26"/>
        </w:rPr>
        <w:t>relocations as part of its betterment projects within the City.  UGI explained that it has been replacing non-contemporary facilities in the City on an ongoing basis for many years and has increased the pace at which it has been replacing non-contemporary pipelines to meet the commitments in its Commission-approved long-term infrastructure improvement plan.</w:t>
      </w:r>
      <w:r>
        <w:rPr>
          <w:sz w:val="26"/>
        </w:rPr>
        <w:t xml:space="preserve">  UGI St. 1 at 27.  As part of these projects, UGI sends notification letters to customers informing them of the projects at least thirty days in advance of the project start date.  </w:t>
      </w:r>
      <w:r w:rsidRPr="00DD65CA">
        <w:rPr>
          <w:i/>
          <w:iCs/>
          <w:sz w:val="26"/>
        </w:rPr>
        <w:t>Id</w:t>
      </w:r>
      <w:r>
        <w:rPr>
          <w:sz w:val="26"/>
        </w:rPr>
        <w:t>. at 25.  These thirty-day notification letters are described in more detail herein.</w:t>
      </w:r>
    </w:p>
  </w:footnote>
  <w:footnote w:id="6">
    <w:p w14:paraId="60BAF3EB" w14:textId="175ECB7C" w:rsidR="008E1AD5" w:rsidRPr="001B3B20" w:rsidRDefault="008E1AD5" w:rsidP="00931078">
      <w:pPr>
        <w:pStyle w:val="FootnoteText"/>
        <w:spacing w:line="240" w:lineRule="auto"/>
        <w:ind w:firstLine="720"/>
        <w:rPr>
          <w:sz w:val="26"/>
          <w:szCs w:val="26"/>
        </w:rPr>
      </w:pPr>
      <w:r w:rsidRPr="001B3B20">
        <w:rPr>
          <w:rStyle w:val="FootnoteReference"/>
          <w:sz w:val="26"/>
          <w:szCs w:val="26"/>
        </w:rPr>
        <w:footnoteRef/>
      </w:r>
      <w:r w:rsidRPr="001B3B20">
        <w:rPr>
          <w:sz w:val="26"/>
          <w:szCs w:val="26"/>
        </w:rPr>
        <w:t xml:space="preserve"> </w:t>
      </w:r>
      <w:r>
        <w:rPr>
          <w:sz w:val="26"/>
          <w:szCs w:val="26"/>
        </w:rPr>
        <w:tab/>
      </w:r>
      <w:r w:rsidRPr="001B3B20">
        <w:rPr>
          <w:sz w:val="26"/>
          <w:szCs w:val="26"/>
        </w:rPr>
        <w:t>A reportable incident exists where there was a release of gas and (1) greater than $50,000 in damages; (2) death or injury; or (3) a significant event in the determination of the distribution utility.</w:t>
      </w:r>
      <w:r>
        <w:rPr>
          <w:sz w:val="26"/>
          <w:szCs w:val="26"/>
        </w:rPr>
        <w:t xml:space="preserve">  </w:t>
      </w:r>
      <w:r w:rsidRPr="00CD24C3">
        <w:rPr>
          <w:i/>
          <w:iCs/>
          <w:sz w:val="26"/>
          <w:szCs w:val="26"/>
        </w:rPr>
        <w:t>Final Rulemaking Order</w:t>
      </w:r>
      <w:r>
        <w:rPr>
          <w:sz w:val="26"/>
          <w:szCs w:val="26"/>
        </w:rPr>
        <w:t xml:space="preserve"> at 5, n.3.</w:t>
      </w:r>
    </w:p>
  </w:footnote>
  <w:footnote w:id="7">
    <w:p w14:paraId="7F2C6432" w14:textId="2AB1099F" w:rsidR="008E1AD5" w:rsidRPr="001D53C3" w:rsidRDefault="008E1AD5" w:rsidP="00D25407">
      <w:pPr>
        <w:pStyle w:val="FootnoteText"/>
        <w:keepNext/>
        <w:keepLines/>
        <w:spacing w:after="120" w:line="240" w:lineRule="auto"/>
        <w:ind w:firstLine="720"/>
        <w:rPr>
          <w:sz w:val="26"/>
          <w:szCs w:val="26"/>
        </w:rPr>
      </w:pPr>
      <w:r w:rsidRPr="001D53C3">
        <w:rPr>
          <w:rStyle w:val="FootnoteReference"/>
          <w:sz w:val="26"/>
          <w:szCs w:val="26"/>
        </w:rPr>
        <w:footnoteRef/>
      </w:r>
      <w:r w:rsidRPr="001D53C3">
        <w:rPr>
          <w:sz w:val="26"/>
          <w:szCs w:val="26"/>
        </w:rPr>
        <w:t xml:space="preserve"> </w:t>
      </w:r>
      <w:r>
        <w:rPr>
          <w:sz w:val="26"/>
          <w:szCs w:val="26"/>
        </w:rPr>
        <w:tab/>
      </w:r>
      <w:r w:rsidRPr="001D53C3">
        <w:rPr>
          <w:sz w:val="26"/>
          <w:szCs w:val="26"/>
        </w:rPr>
        <w:t xml:space="preserve">The City also excepts to the ALJ’s failure to include </w:t>
      </w:r>
      <w:r>
        <w:rPr>
          <w:sz w:val="26"/>
          <w:szCs w:val="26"/>
        </w:rPr>
        <w:t xml:space="preserve">UGI’s requirement to comply with </w:t>
      </w:r>
      <w:r w:rsidRPr="001D53C3">
        <w:rPr>
          <w:sz w:val="26"/>
          <w:szCs w:val="26"/>
        </w:rPr>
        <w:t>49 C.F.R. § 192.353(a) as part of the Conclusions of Law contained in her Initial Decision.  City Exc. at 14.</w:t>
      </w:r>
    </w:p>
  </w:footnote>
  <w:footnote w:id="8">
    <w:p w14:paraId="650CCC98" w14:textId="77777777" w:rsidR="008E1AD5" w:rsidRPr="006C0399" w:rsidRDefault="008E1AD5" w:rsidP="00B05A78">
      <w:pPr>
        <w:widowControl w:val="0"/>
        <w:spacing w:line="240" w:lineRule="auto"/>
        <w:rPr>
          <w:sz w:val="26"/>
        </w:rPr>
      </w:pPr>
      <w:r w:rsidRPr="009910EC">
        <w:rPr>
          <w:rStyle w:val="FootnoteReference"/>
          <w:sz w:val="26"/>
        </w:rPr>
        <w:footnoteRef/>
      </w:r>
      <w:r w:rsidRPr="009910EC">
        <w:rPr>
          <w:sz w:val="26"/>
        </w:rPr>
        <w:t xml:space="preserve"> </w:t>
      </w:r>
      <w:r>
        <w:rPr>
          <w:sz w:val="26"/>
        </w:rPr>
        <w:tab/>
        <w:t xml:space="preserve">49 C.F.R. </w:t>
      </w:r>
      <w:r w:rsidRPr="006C0399">
        <w:rPr>
          <w:sz w:val="26"/>
          <w:szCs w:val="23"/>
        </w:rPr>
        <w:t>§ 192.353</w:t>
      </w:r>
      <w:r>
        <w:rPr>
          <w:sz w:val="26"/>
          <w:szCs w:val="23"/>
        </w:rPr>
        <w:t xml:space="preserve"> was amended, effective October 15, 2003.  In amending the Regulation, the Office of Pipeline Safety (OPS) </w:t>
      </w:r>
      <w:r w:rsidRPr="006C0399">
        <w:rPr>
          <w:sz w:val="26"/>
        </w:rPr>
        <w:t>add</w:t>
      </w:r>
      <w:r>
        <w:rPr>
          <w:sz w:val="26"/>
        </w:rPr>
        <w:t>ed</w:t>
      </w:r>
      <w:r w:rsidRPr="006C0399">
        <w:rPr>
          <w:sz w:val="26"/>
        </w:rPr>
        <w:t xml:space="preserve"> a specific reference to vehicular damage</w:t>
      </w:r>
      <w:r>
        <w:rPr>
          <w:sz w:val="26"/>
        </w:rPr>
        <w:t xml:space="preserve"> in order to </w:t>
      </w:r>
      <w:r w:rsidRPr="006C0399">
        <w:rPr>
          <w:sz w:val="26"/>
        </w:rPr>
        <w:t xml:space="preserve">protect outside meters and regulators from reasonably anticipated vehicular damage.  </w:t>
      </w:r>
      <w:r>
        <w:rPr>
          <w:sz w:val="26"/>
        </w:rPr>
        <w:t xml:space="preserve">In implementing this amendment, OPS </w:t>
      </w:r>
      <w:r w:rsidRPr="006C0399">
        <w:rPr>
          <w:sz w:val="26"/>
        </w:rPr>
        <w:t>indicate</w:t>
      </w:r>
      <w:r>
        <w:rPr>
          <w:sz w:val="26"/>
        </w:rPr>
        <w:t>d</w:t>
      </w:r>
      <w:r w:rsidRPr="006C0399">
        <w:rPr>
          <w:sz w:val="26"/>
        </w:rPr>
        <w:t xml:space="preserve"> </w:t>
      </w:r>
      <w:r>
        <w:rPr>
          <w:sz w:val="26"/>
        </w:rPr>
        <w:t>the following</w:t>
      </w:r>
      <w:r w:rsidRPr="006C0399">
        <w:rPr>
          <w:sz w:val="26"/>
        </w:rPr>
        <w:t>:</w:t>
      </w:r>
    </w:p>
    <w:p w14:paraId="3711DBEE" w14:textId="77777777" w:rsidR="008E1AD5" w:rsidRDefault="008E1AD5" w:rsidP="00B05A78">
      <w:pPr>
        <w:widowControl w:val="0"/>
        <w:spacing w:line="240" w:lineRule="auto"/>
        <w:ind w:left="1440" w:right="1440" w:firstLine="0"/>
        <w:rPr>
          <w:sz w:val="26"/>
        </w:rPr>
      </w:pPr>
    </w:p>
    <w:p w14:paraId="432F04D7" w14:textId="77777777" w:rsidR="008E1AD5" w:rsidRDefault="008E1AD5" w:rsidP="00B05A78">
      <w:pPr>
        <w:widowControl w:val="0"/>
        <w:spacing w:line="240" w:lineRule="auto"/>
        <w:ind w:left="1440" w:right="1440" w:firstLine="0"/>
        <w:rPr>
          <w:sz w:val="26"/>
        </w:rPr>
      </w:pPr>
      <w:r w:rsidRPr="006C0399">
        <w:rPr>
          <w:sz w:val="26"/>
        </w:rPr>
        <w:t xml:space="preserve">[The </w:t>
      </w:r>
      <w:r>
        <w:rPr>
          <w:sz w:val="26"/>
        </w:rPr>
        <w:t>f</w:t>
      </w:r>
      <w:r w:rsidRPr="006C0399">
        <w:rPr>
          <w:sz w:val="26"/>
        </w:rPr>
        <w:t xml:space="preserve">inal </w:t>
      </w:r>
      <w:r>
        <w:rPr>
          <w:sz w:val="26"/>
        </w:rPr>
        <w:t>r</w:t>
      </w:r>
      <w:r w:rsidRPr="006C0399">
        <w:rPr>
          <w:sz w:val="26"/>
        </w:rPr>
        <w:t xml:space="preserve">ule] requires protection from vehicular damage but does not specify the type or degree of protection.  In this situation, operators have discretion to provide whatever type and degree of protection is reasonable under the circumstances.  </w:t>
      </w:r>
      <w:r>
        <w:rPr>
          <w:sz w:val="26"/>
        </w:rPr>
        <w:t>The</w:t>
      </w:r>
      <w:r w:rsidRPr="006C0399">
        <w:rPr>
          <w:sz w:val="26"/>
        </w:rPr>
        <w:t xml:space="preserve"> final rule does not change this discretion.</w:t>
      </w:r>
      <w:r>
        <w:rPr>
          <w:sz w:val="26"/>
        </w:rPr>
        <w:t xml:space="preserve">  It merely highlights the risk of vehicular damage.</w:t>
      </w:r>
    </w:p>
    <w:p w14:paraId="7DD97B9A" w14:textId="77777777" w:rsidR="008E1AD5" w:rsidRPr="006C0399" w:rsidRDefault="008E1AD5" w:rsidP="00B05A78">
      <w:pPr>
        <w:widowControl w:val="0"/>
        <w:spacing w:line="240" w:lineRule="auto"/>
        <w:ind w:left="1440" w:right="1440" w:firstLine="0"/>
        <w:rPr>
          <w:sz w:val="26"/>
        </w:rPr>
      </w:pPr>
    </w:p>
    <w:p w14:paraId="1B67B86F" w14:textId="64CAEDBA" w:rsidR="008E1AD5" w:rsidRPr="006C0399" w:rsidRDefault="008E1AD5" w:rsidP="008949FA">
      <w:pPr>
        <w:widowControl w:val="0"/>
        <w:spacing w:line="240" w:lineRule="auto"/>
        <w:ind w:firstLine="0"/>
        <w:rPr>
          <w:sz w:val="26"/>
        </w:rPr>
      </w:pPr>
      <w:r>
        <w:rPr>
          <w:i/>
          <w:iCs/>
          <w:sz w:val="26"/>
        </w:rPr>
        <w:t>Pipeline Safety: Further Regulatory Review; Gas Pipeline Safety Standards</w:t>
      </w:r>
      <w:r>
        <w:rPr>
          <w:sz w:val="26"/>
        </w:rPr>
        <w:t>, 60 Fed. Reg. 53895 (Sept. 15, 2003)</w:t>
      </w:r>
      <w:r w:rsidRPr="006C0399">
        <w:rPr>
          <w:sz w:val="26"/>
        </w:rPr>
        <w:t>.</w:t>
      </w:r>
    </w:p>
    <w:p w14:paraId="751B4CF8" w14:textId="77777777" w:rsidR="008E1AD5" w:rsidRPr="009910EC" w:rsidRDefault="008E1AD5" w:rsidP="00E976E7">
      <w:pPr>
        <w:pStyle w:val="FootnoteText"/>
        <w:spacing w:line="240" w:lineRule="auto"/>
        <w:ind w:firstLine="720"/>
        <w:rPr>
          <w:sz w:val="26"/>
        </w:rPr>
      </w:pPr>
    </w:p>
  </w:footnote>
  <w:footnote w:id="9">
    <w:p w14:paraId="3364AD59" w14:textId="580EF806" w:rsidR="008E1AD5" w:rsidRPr="00097DCB" w:rsidRDefault="008E1AD5" w:rsidP="0082036B">
      <w:pPr>
        <w:pStyle w:val="FootnoteText"/>
        <w:keepNext/>
        <w:keepLines/>
        <w:spacing w:after="120" w:line="240" w:lineRule="auto"/>
        <w:ind w:firstLine="720"/>
        <w:rPr>
          <w:sz w:val="26"/>
          <w:szCs w:val="26"/>
        </w:rPr>
      </w:pPr>
      <w:r w:rsidRPr="00097DCB">
        <w:rPr>
          <w:rStyle w:val="FootnoteReference"/>
          <w:sz w:val="26"/>
          <w:szCs w:val="26"/>
        </w:rPr>
        <w:footnoteRef/>
      </w:r>
      <w:r w:rsidRPr="00097DCB">
        <w:rPr>
          <w:sz w:val="26"/>
          <w:szCs w:val="26"/>
        </w:rPr>
        <w:t xml:space="preserve"> </w:t>
      </w:r>
      <w:r w:rsidRPr="00097DCB">
        <w:rPr>
          <w:sz w:val="26"/>
          <w:szCs w:val="26"/>
        </w:rPr>
        <w:tab/>
        <w:t xml:space="preserve">UGI indicated that the service lines involved in the other instances cited by Mr. Slifko were low pressure lines, not equipped with EFVs, that when damaged released a small amount of gas that dissipated into the outside air.  UGI St. 1 at 47.  </w:t>
      </w:r>
      <w:r>
        <w:rPr>
          <w:sz w:val="26"/>
          <w:szCs w:val="26"/>
        </w:rPr>
        <w:t>Federal Regulations</w:t>
      </w:r>
      <w:r w:rsidRPr="00097DCB">
        <w:rPr>
          <w:sz w:val="26"/>
          <w:szCs w:val="26"/>
        </w:rPr>
        <w:t xml:space="preserve"> do not require EFVs for low pressure service lines because much smaller amounts of gas are released from those lines when they are damaged.  UGI St. 1 at 47.</w:t>
      </w:r>
    </w:p>
  </w:footnote>
  <w:footnote w:id="10">
    <w:p w14:paraId="385AEE7F" w14:textId="77777777" w:rsidR="008E1AD5" w:rsidRPr="00CB1E3A" w:rsidRDefault="008E1AD5" w:rsidP="0010283F">
      <w:pPr>
        <w:pStyle w:val="FootnoteText"/>
        <w:keepNext/>
        <w:keepLines/>
        <w:spacing w:after="120" w:line="240" w:lineRule="auto"/>
        <w:ind w:firstLine="720"/>
        <w:rPr>
          <w:sz w:val="26"/>
          <w:szCs w:val="26"/>
        </w:rPr>
      </w:pPr>
      <w:r w:rsidRPr="00CB1E3A">
        <w:rPr>
          <w:rStyle w:val="FootnoteReference"/>
          <w:sz w:val="26"/>
          <w:szCs w:val="26"/>
        </w:rPr>
        <w:footnoteRef/>
      </w:r>
      <w:r w:rsidRPr="00CB1E3A">
        <w:rPr>
          <w:sz w:val="26"/>
          <w:szCs w:val="26"/>
        </w:rPr>
        <w:t xml:space="preserve"> </w:t>
      </w:r>
      <w:r>
        <w:rPr>
          <w:sz w:val="26"/>
          <w:szCs w:val="26"/>
        </w:rPr>
        <w:tab/>
      </w:r>
      <w:r w:rsidRPr="00CB1E3A">
        <w:rPr>
          <w:sz w:val="26"/>
          <w:szCs w:val="26"/>
        </w:rPr>
        <w:t xml:space="preserve">In addressing any level of protection that parking lanes may provide an outside meter from being struck by a vehicle, Mr. Slifko stated that “in many cases there are not always cars parked in the parking lane.  More importantly, when there is a high speed accident, a parked car can and does get thrown up onto the sidewalk and sometimes into the front porch.”  City St. 2 at 29-30.  </w:t>
      </w:r>
      <w:r w:rsidRPr="00E237F7">
        <w:rPr>
          <w:sz w:val="26"/>
          <w:szCs w:val="26"/>
        </w:rPr>
        <w:t>In the seven accidents that</w:t>
      </w:r>
      <w:r>
        <w:rPr>
          <w:sz w:val="26"/>
          <w:szCs w:val="26"/>
        </w:rPr>
        <w:t xml:space="preserve"> were </w:t>
      </w:r>
      <w:r w:rsidRPr="00E237F7">
        <w:rPr>
          <w:sz w:val="26"/>
          <w:szCs w:val="26"/>
        </w:rPr>
        <w:t>noted</w:t>
      </w:r>
      <w:r>
        <w:rPr>
          <w:sz w:val="26"/>
          <w:szCs w:val="26"/>
        </w:rPr>
        <w:t xml:space="preserve"> by UGI </w:t>
      </w:r>
      <w:r w:rsidRPr="00E237F7">
        <w:rPr>
          <w:sz w:val="26"/>
          <w:szCs w:val="26"/>
        </w:rPr>
        <w:t>where a gas meter was struck by a vehicle, four occurred where there was a parking lane (1043 Oley, 847 Nicolls, near 1261 N. 10</w:t>
      </w:r>
      <w:r>
        <w:rPr>
          <w:sz w:val="26"/>
          <w:szCs w:val="26"/>
        </w:rPr>
        <w:t>th</w:t>
      </w:r>
      <w:r w:rsidRPr="00E237F7">
        <w:rPr>
          <w:sz w:val="26"/>
          <w:szCs w:val="26"/>
        </w:rPr>
        <w:t>, near 11</w:t>
      </w:r>
      <w:r>
        <w:rPr>
          <w:sz w:val="26"/>
          <w:szCs w:val="26"/>
        </w:rPr>
        <w:t>th</w:t>
      </w:r>
      <w:r w:rsidRPr="00E237F7">
        <w:rPr>
          <w:sz w:val="26"/>
          <w:szCs w:val="26"/>
        </w:rPr>
        <w:t xml:space="preserve"> and Spring).  Of the two “near misses</w:t>
      </w:r>
      <w:r>
        <w:rPr>
          <w:sz w:val="26"/>
          <w:szCs w:val="26"/>
        </w:rPr>
        <w:t>,</w:t>
      </w:r>
      <w:r w:rsidRPr="00E237F7">
        <w:rPr>
          <w:sz w:val="26"/>
          <w:szCs w:val="26"/>
        </w:rPr>
        <w:t xml:space="preserve">” one of those </w:t>
      </w:r>
      <w:r>
        <w:rPr>
          <w:sz w:val="26"/>
          <w:szCs w:val="26"/>
        </w:rPr>
        <w:t xml:space="preserve">meters </w:t>
      </w:r>
      <w:r w:rsidRPr="00E237F7">
        <w:rPr>
          <w:sz w:val="26"/>
          <w:szCs w:val="26"/>
        </w:rPr>
        <w:t>was protected by a parking lane (306 N. 5</w:t>
      </w:r>
      <w:r>
        <w:rPr>
          <w:sz w:val="26"/>
          <w:szCs w:val="26"/>
        </w:rPr>
        <w:t>th</w:t>
      </w:r>
      <w:r w:rsidRPr="00E237F7">
        <w:rPr>
          <w:sz w:val="26"/>
          <w:szCs w:val="26"/>
        </w:rPr>
        <w:t xml:space="preserve"> Street).</w:t>
      </w:r>
      <w:r>
        <w:rPr>
          <w:sz w:val="26"/>
          <w:szCs w:val="26"/>
        </w:rPr>
        <w:t xml:space="preserve">  </w:t>
      </w:r>
      <w:r w:rsidRPr="00117CB4">
        <w:rPr>
          <w:i/>
          <w:iCs/>
          <w:sz w:val="26"/>
          <w:szCs w:val="26"/>
        </w:rPr>
        <w:t>Id</w:t>
      </w:r>
      <w:r>
        <w:rPr>
          <w:sz w:val="26"/>
          <w:szCs w:val="26"/>
        </w:rPr>
        <w:t>.</w:t>
      </w:r>
    </w:p>
  </w:footnote>
  <w:footnote w:id="11">
    <w:p w14:paraId="137C5CB3" w14:textId="77777777" w:rsidR="008E1AD5" w:rsidRDefault="008E1AD5" w:rsidP="006C0399">
      <w:pPr>
        <w:pStyle w:val="FootnoteText"/>
        <w:keepNext/>
        <w:keepLines/>
        <w:spacing w:after="120"/>
        <w:ind w:firstLine="720"/>
        <w:contextualSpacing/>
        <w:rPr>
          <w:sz w:val="26"/>
          <w:szCs w:val="26"/>
        </w:rPr>
      </w:pPr>
      <w:r w:rsidRPr="006628A3">
        <w:rPr>
          <w:rStyle w:val="FootnoteReference"/>
          <w:sz w:val="26"/>
          <w:szCs w:val="26"/>
        </w:rPr>
        <w:footnoteRef/>
      </w:r>
      <w:r w:rsidRPr="006628A3">
        <w:rPr>
          <w:sz w:val="26"/>
          <w:szCs w:val="26"/>
        </w:rPr>
        <w:t xml:space="preserve"> </w:t>
      </w:r>
      <w:r w:rsidRPr="006628A3">
        <w:rPr>
          <w:sz w:val="26"/>
          <w:szCs w:val="26"/>
        </w:rPr>
        <w:tab/>
      </w:r>
      <w:r>
        <w:rPr>
          <w:sz w:val="26"/>
          <w:szCs w:val="26"/>
        </w:rPr>
        <w:t xml:space="preserve">Rule </w:t>
      </w:r>
      <w:r w:rsidRPr="000F7C41">
        <w:rPr>
          <w:sz w:val="26"/>
          <w:szCs w:val="26"/>
        </w:rPr>
        <w:t>701 provides as follows:</w:t>
      </w:r>
    </w:p>
    <w:p w14:paraId="24FCFB59" w14:textId="77777777" w:rsidR="008E1AD5" w:rsidRPr="000F7C41" w:rsidRDefault="008E1AD5" w:rsidP="006D2FC0">
      <w:pPr>
        <w:pStyle w:val="FootnoteText"/>
        <w:keepNext/>
        <w:keepLines/>
        <w:spacing w:after="120" w:line="240" w:lineRule="auto"/>
        <w:ind w:left="1440" w:right="1440" w:firstLine="0"/>
        <w:contextualSpacing/>
        <w:rPr>
          <w:sz w:val="26"/>
          <w:szCs w:val="26"/>
        </w:rPr>
      </w:pPr>
      <w:r w:rsidRPr="000F7C41">
        <w:rPr>
          <w:sz w:val="26"/>
          <w:szCs w:val="26"/>
        </w:rPr>
        <w:t>If a witness is not testifying as an expert, testimony in the form of an opinion is limited to one that is: (a) rationally based on the witness’s perception; (b) helpful to clearly understanding the witness’s testimony or to determining a fact in issue: and (c) not based on a scientific, technical, or other specialized knowledge within the scope of Rule 702.</w:t>
      </w:r>
    </w:p>
    <w:p w14:paraId="18434147" w14:textId="77777777" w:rsidR="008E1AD5" w:rsidRPr="007A6029" w:rsidRDefault="008E1AD5" w:rsidP="006C0399">
      <w:pPr>
        <w:pStyle w:val="FootnoteText"/>
        <w:keepNext/>
        <w:keepLines/>
        <w:spacing w:after="120"/>
        <w:rPr>
          <w:sz w:val="26"/>
          <w:szCs w:val="26"/>
        </w:rPr>
      </w:pPr>
    </w:p>
  </w:footnote>
  <w:footnote w:id="12">
    <w:p w14:paraId="672C0041" w14:textId="77777777" w:rsidR="008E1AD5" w:rsidRPr="00F46ECD" w:rsidRDefault="008E1AD5" w:rsidP="00F46ECD">
      <w:pPr>
        <w:pStyle w:val="FootnoteText"/>
        <w:spacing w:line="240" w:lineRule="auto"/>
        <w:ind w:firstLine="720"/>
        <w:rPr>
          <w:sz w:val="26"/>
        </w:rPr>
      </w:pPr>
      <w:r w:rsidRPr="00F46ECD">
        <w:rPr>
          <w:rStyle w:val="FootnoteReference"/>
          <w:sz w:val="26"/>
        </w:rPr>
        <w:footnoteRef/>
      </w:r>
      <w:r w:rsidRPr="00F46ECD">
        <w:rPr>
          <w:sz w:val="26"/>
        </w:rPr>
        <w:t xml:space="preserve"> </w:t>
      </w:r>
      <w:r>
        <w:rPr>
          <w:sz w:val="26"/>
        </w:rPr>
        <w:tab/>
      </w:r>
      <w:r w:rsidRPr="00F46ECD">
        <w:rPr>
          <w:sz w:val="26"/>
        </w:rPr>
        <w:t xml:space="preserve">The ALJ cited to other Commission decisions in which the Commission declined to assess a civil penalty.  </w:t>
      </w:r>
      <w:r w:rsidRPr="0050385B">
        <w:rPr>
          <w:i/>
          <w:iCs/>
          <w:sz w:val="26"/>
        </w:rPr>
        <w:t>See</w:t>
      </w:r>
      <w:r w:rsidRPr="00F46ECD">
        <w:rPr>
          <w:sz w:val="26"/>
        </w:rPr>
        <w:t xml:space="preserve"> </w:t>
      </w:r>
      <w:r w:rsidRPr="00F46ECD">
        <w:rPr>
          <w:i/>
          <w:color w:val="000000"/>
          <w:sz w:val="26"/>
        </w:rPr>
        <w:t xml:space="preserve">Rounce v. PECO Energy Company, </w:t>
      </w:r>
      <w:r w:rsidRPr="00F46ECD">
        <w:rPr>
          <w:color w:val="000000"/>
          <w:sz w:val="26"/>
        </w:rPr>
        <w:t xml:space="preserve">Docket No. C-2015-2506941 (Order entered December 9, 2016); </w:t>
      </w:r>
      <w:r w:rsidRPr="00F46ECD">
        <w:rPr>
          <w:i/>
          <w:color w:val="000000"/>
          <w:sz w:val="26"/>
        </w:rPr>
        <w:t xml:space="preserve">Veverka v. Verizon Pennsylvania, LLC, </w:t>
      </w:r>
      <w:r w:rsidRPr="00F46ECD">
        <w:rPr>
          <w:color w:val="000000"/>
          <w:sz w:val="26"/>
        </w:rPr>
        <w:t xml:space="preserve">Docket No. 2016-2553290 (Final Order entered May 31, 2017); </w:t>
      </w:r>
      <w:r w:rsidRPr="00F46ECD">
        <w:rPr>
          <w:i/>
          <w:color w:val="000000"/>
          <w:sz w:val="26"/>
        </w:rPr>
        <w:t>Orr v. Peoples Natural Gas Company, LLC</w:t>
      </w:r>
      <w:r w:rsidRPr="00F46ECD">
        <w:rPr>
          <w:color w:val="000000"/>
          <w:sz w:val="26"/>
        </w:rPr>
        <w:t>, Docket No. C-2017</w:t>
      </w:r>
      <w:r w:rsidRPr="00F46ECD">
        <w:rPr>
          <w:color w:val="000000"/>
          <w:sz w:val="26"/>
        </w:rPr>
        <w:softHyphen/>
        <w:t>2583759 (Order entered December 20, 2018)</w:t>
      </w:r>
      <w:r>
        <w:rPr>
          <w:color w:val="000000"/>
          <w:sz w:val="26"/>
        </w:rPr>
        <w:t>.</w:t>
      </w:r>
    </w:p>
  </w:footnote>
  <w:footnote w:id="13">
    <w:p w14:paraId="1E12B80C" w14:textId="77777777" w:rsidR="008E1AD5" w:rsidRPr="00DE56A4" w:rsidRDefault="008E1AD5" w:rsidP="00DE56A4">
      <w:pPr>
        <w:pStyle w:val="FootnoteText"/>
        <w:ind w:firstLine="720"/>
        <w:rPr>
          <w:sz w:val="26"/>
        </w:rPr>
      </w:pPr>
      <w:r w:rsidRPr="00DE56A4">
        <w:rPr>
          <w:rStyle w:val="FootnoteReference"/>
          <w:sz w:val="26"/>
        </w:rPr>
        <w:footnoteRef/>
      </w:r>
      <w:r w:rsidRPr="00DE56A4">
        <w:rPr>
          <w:sz w:val="26"/>
        </w:rPr>
        <w:t xml:space="preserve"> </w:t>
      </w:r>
      <w:r>
        <w:rPr>
          <w:sz w:val="26"/>
        </w:rPr>
        <w:tab/>
      </w:r>
      <w:r w:rsidRPr="00DE56A4">
        <w:rPr>
          <w:sz w:val="26"/>
        </w:rPr>
        <w:t>ALJ Exh</w:t>
      </w:r>
      <w:r>
        <w:rPr>
          <w:sz w:val="26"/>
        </w:rPr>
        <w:t>ibit</w:t>
      </w:r>
      <w:r w:rsidRPr="00DE56A4">
        <w:rPr>
          <w:sz w:val="26"/>
        </w:rPr>
        <w:t xml:space="preserve"> 1 </w:t>
      </w:r>
      <w:r>
        <w:rPr>
          <w:sz w:val="26"/>
        </w:rPr>
        <w:t xml:space="preserve">is </w:t>
      </w:r>
      <w:r w:rsidRPr="00DE56A4">
        <w:rPr>
          <w:sz w:val="26"/>
        </w:rPr>
        <w:t>the Parties’ updated Stipulated Spreadsheets</w:t>
      </w:r>
      <w:r>
        <w:rPr>
          <w:sz w:val="26"/>
        </w:rPr>
        <w:t>.</w:t>
      </w:r>
    </w:p>
  </w:footnote>
  <w:footnote w:id="14">
    <w:p w14:paraId="4F2B768E" w14:textId="77777777" w:rsidR="008E1AD5" w:rsidRDefault="008E1AD5" w:rsidP="009D4B30">
      <w:pPr>
        <w:pStyle w:val="FootnoteText"/>
        <w:spacing w:line="240" w:lineRule="auto"/>
        <w:ind w:firstLine="720"/>
        <w:rPr>
          <w:sz w:val="26"/>
        </w:rPr>
      </w:pPr>
      <w:r w:rsidRPr="009D4B30">
        <w:rPr>
          <w:rStyle w:val="FootnoteReference"/>
          <w:sz w:val="26"/>
        </w:rPr>
        <w:footnoteRef/>
      </w:r>
      <w:r w:rsidRPr="009D4B30">
        <w:rPr>
          <w:sz w:val="26"/>
        </w:rPr>
        <w:t xml:space="preserve"> </w:t>
      </w:r>
      <w:r>
        <w:rPr>
          <w:sz w:val="26"/>
        </w:rPr>
        <w:tab/>
      </w:r>
      <w:r w:rsidRPr="009D4B30">
        <w:rPr>
          <w:sz w:val="26"/>
        </w:rPr>
        <w:t xml:space="preserve">This relief is consistent with enforcing our Regulation at 52 Pa. Code </w:t>
      </w:r>
    </w:p>
    <w:p w14:paraId="51700964" w14:textId="3239EB6E" w:rsidR="008E1AD5" w:rsidRPr="009D4B30" w:rsidRDefault="008E1AD5" w:rsidP="001F766D">
      <w:pPr>
        <w:pStyle w:val="FootnoteText"/>
        <w:spacing w:line="240" w:lineRule="auto"/>
        <w:ind w:firstLine="0"/>
        <w:rPr>
          <w:sz w:val="26"/>
        </w:rPr>
      </w:pPr>
      <w:r w:rsidRPr="009D4B30">
        <w:rPr>
          <w:sz w:val="26"/>
        </w:rPr>
        <w:t xml:space="preserve">§ 59.18(a)(3) and (d)(1)(ii), and is a form of relief that is reasonably contemplated within the context of this proceeding and </w:t>
      </w:r>
      <w:r>
        <w:rPr>
          <w:sz w:val="26"/>
        </w:rPr>
        <w:t xml:space="preserve">within </w:t>
      </w:r>
      <w:r w:rsidRPr="009D4B30">
        <w:rPr>
          <w:sz w:val="26"/>
        </w:rPr>
        <w:t>the relief the Complainants’ 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9C4D" w14:textId="77777777" w:rsidR="008E1AD5" w:rsidRDefault="008E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D37D24"/>
    <w:multiLevelType w:val="hybridMultilevel"/>
    <w:tmpl w:val="6BC4A202"/>
    <w:lvl w:ilvl="0" w:tplc="91025C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8DF5CDB"/>
    <w:multiLevelType w:val="hybridMultilevel"/>
    <w:tmpl w:val="40E85D44"/>
    <w:lvl w:ilvl="0" w:tplc="552C12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B44F2E"/>
    <w:multiLevelType w:val="multilevel"/>
    <w:tmpl w:val="AF4C8E5C"/>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711D3"/>
    <w:multiLevelType w:val="hybridMultilevel"/>
    <w:tmpl w:val="E2322EA0"/>
    <w:lvl w:ilvl="0" w:tplc="81CE2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5774189"/>
    <w:multiLevelType w:val="hybridMultilevel"/>
    <w:tmpl w:val="A2C4BC08"/>
    <w:lvl w:ilvl="0" w:tplc="A016D5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3"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5"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7" w15:restartNumberingAfterBreak="0">
    <w:nsid w:val="409B4AAF"/>
    <w:multiLevelType w:val="hybridMultilevel"/>
    <w:tmpl w:val="D79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23737"/>
    <w:multiLevelType w:val="hybridMultilevel"/>
    <w:tmpl w:val="E2322EA0"/>
    <w:lvl w:ilvl="0" w:tplc="81CE2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A241069"/>
    <w:multiLevelType w:val="hybridMultilevel"/>
    <w:tmpl w:val="141CF2A0"/>
    <w:lvl w:ilvl="0" w:tplc="2140E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64E57"/>
    <w:multiLevelType w:val="multilevel"/>
    <w:tmpl w:val="2A2C4EE2"/>
    <w:lvl w:ilvl="0">
      <w:start w:val="2"/>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5"/>
  </w:num>
  <w:num w:numId="2">
    <w:abstractNumId w:val="0"/>
  </w:num>
  <w:num w:numId="3">
    <w:abstractNumId w:val="16"/>
  </w:num>
  <w:num w:numId="4">
    <w:abstractNumId w:val="4"/>
  </w:num>
  <w:num w:numId="5">
    <w:abstractNumId w:val="13"/>
  </w:num>
  <w:num w:numId="6">
    <w:abstractNumId w:val="15"/>
  </w:num>
  <w:num w:numId="7">
    <w:abstractNumId w:val="19"/>
  </w:num>
  <w:num w:numId="8">
    <w:abstractNumId w:val="8"/>
  </w:num>
  <w:num w:numId="9">
    <w:abstractNumId w:val="23"/>
  </w:num>
  <w:num w:numId="10">
    <w:abstractNumId w:val="14"/>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3"/>
  </w:num>
  <w:num w:numId="16">
    <w:abstractNumId w:val="17"/>
  </w:num>
  <w:num w:numId="17">
    <w:abstractNumId w:val="22"/>
  </w:num>
  <w:num w:numId="18">
    <w:abstractNumId w:val="7"/>
  </w:num>
  <w:num w:numId="19">
    <w:abstractNumId w:val="2"/>
  </w:num>
  <w:num w:numId="20">
    <w:abstractNumId w:val="18"/>
  </w:num>
  <w:num w:numId="21">
    <w:abstractNumId w:val="6"/>
  </w:num>
  <w:num w:numId="22">
    <w:abstractNumId w:val="9"/>
  </w:num>
  <w:num w:numId="23">
    <w:abstractNumId w:val="1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B6"/>
    <w:rsid w:val="00000490"/>
    <w:rsid w:val="000004FE"/>
    <w:rsid w:val="00000ADD"/>
    <w:rsid w:val="00001119"/>
    <w:rsid w:val="00002284"/>
    <w:rsid w:val="00004994"/>
    <w:rsid w:val="00004A78"/>
    <w:rsid w:val="00005B10"/>
    <w:rsid w:val="000063BF"/>
    <w:rsid w:val="000063E8"/>
    <w:rsid w:val="000068E0"/>
    <w:rsid w:val="00006A1D"/>
    <w:rsid w:val="00006A6C"/>
    <w:rsid w:val="00006B6F"/>
    <w:rsid w:val="00007961"/>
    <w:rsid w:val="0001033D"/>
    <w:rsid w:val="00010C2C"/>
    <w:rsid w:val="000112A6"/>
    <w:rsid w:val="000125AB"/>
    <w:rsid w:val="000132CC"/>
    <w:rsid w:val="00013824"/>
    <w:rsid w:val="00013D09"/>
    <w:rsid w:val="00016778"/>
    <w:rsid w:val="00017985"/>
    <w:rsid w:val="000201F8"/>
    <w:rsid w:val="000202B7"/>
    <w:rsid w:val="00020977"/>
    <w:rsid w:val="00020AE7"/>
    <w:rsid w:val="00020F59"/>
    <w:rsid w:val="00021836"/>
    <w:rsid w:val="00021EBA"/>
    <w:rsid w:val="0002210B"/>
    <w:rsid w:val="000231EC"/>
    <w:rsid w:val="0002346D"/>
    <w:rsid w:val="00023481"/>
    <w:rsid w:val="000235D8"/>
    <w:rsid w:val="00023795"/>
    <w:rsid w:val="00023D23"/>
    <w:rsid w:val="000247BF"/>
    <w:rsid w:val="000250FE"/>
    <w:rsid w:val="00025C06"/>
    <w:rsid w:val="00025EEB"/>
    <w:rsid w:val="00027CC4"/>
    <w:rsid w:val="00030292"/>
    <w:rsid w:val="00030995"/>
    <w:rsid w:val="00031717"/>
    <w:rsid w:val="000320CA"/>
    <w:rsid w:val="00032347"/>
    <w:rsid w:val="00033D53"/>
    <w:rsid w:val="000340A3"/>
    <w:rsid w:val="000346E4"/>
    <w:rsid w:val="00034FA3"/>
    <w:rsid w:val="000357BE"/>
    <w:rsid w:val="00035D3A"/>
    <w:rsid w:val="00036A86"/>
    <w:rsid w:val="00036E93"/>
    <w:rsid w:val="00036FDF"/>
    <w:rsid w:val="000373F5"/>
    <w:rsid w:val="000403C3"/>
    <w:rsid w:val="0004057B"/>
    <w:rsid w:val="00041684"/>
    <w:rsid w:val="00041E8E"/>
    <w:rsid w:val="00042288"/>
    <w:rsid w:val="00042679"/>
    <w:rsid w:val="00043279"/>
    <w:rsid w:val="00043ABA"/>
    <w:rsid w:val="00044DF9"/>
    <w:rsid w:val="00045777"/>
    <w:rsid w:val="00046C24"/>
    <w:rsid w:val="00046D2C"/>
    <w:rsid w:val="00047550"/>
    <w:rsid w:val="0005014D"/>
    <w:rsid w:val="00050C95"/>
    <w:rsid w:val="00051048"/>
    <w:rsid w:val="000514BE"/>
    <w:rsid w:val="00051844"/>
    <w:rsid w:val="00053335"/>
    <w:rsid w:val="000537B7"/>
    <w:rsid w:val="00053BD5"/>
    <w:rsid w:val="00054A6C"/>
    <w:rsid w:val="00054FB1"/>
    <w:rsid w:val="000553E5"/>
    <w:rsid w:val="0005577B"/>
    <w:rsid w:val="00055901"/>
    <w:rsid w:val="0005740D"/>
    <w:rsid w:val="00057BD9"/>
    <w:rsid w:val="000600FF"/>
    <w:rsid w:val="00060101"/>
    <w:rsid w:val="00060407"/>
    <w:rsid w:val="00061434"/>
    <w:rsid w:val="00061F18"/>
    <w:rsid w:val="000635DA"/>
    <w:rsid w:val="0006458D"/>
    <w:rsid w:val="00064F88"/>
    <w:rsid w:val="00064FDF"/>
    <w:rsid w:val="00065FB2"/>
    <w:rsid w:val="00066198"/>
    <w:rsid w:val="000664D7"/>
    <w:rsid w:val="00070355"/>
    <w:rsid w:val="000706D0"/>
    <w:rsid w:val="0007103D"/>
    <w:rsid w:val="000715DE"/>
    <w:rsid w:val="000719AA"/>
    <w:rsid w:val="000719D6"/>
    <w:rsid w:val="00072F04"/>
    <w:rsid w:val="0007343A"/>
    <w:rsid w:val="000741D0"/>
    <w:rsid w:val="00076194"/>
    <w:rsid w:val="00076335"/>
    <w:rsid w:val="00081003"/>
    <w:rsid w:val="00083A09"/>
    <w:rsid w:val="00084BE3"/>
    <w:rsid w:val="00084DCD"/>
    <w:rsid w:val="00085A4F"/>
    <w:rsid w:val="000867DF"/>
    <w:rsid w:val="00087030"/>
    <w:rsid w:val="0008767C"/>
    <w:rsid w:val="00090BF1"/>
    <w:rsid w:val="00090D11"/>
    <w:rsid w:val="00091DD0"/>
    <w:rsid w:val="00094873"/>
    <w:rsid w:val="0009519D"/>
    <w:rsid w:val="000953EF"/>
    <w:rsid w:val="00097699"/>
    <w:rsid w:val="00097915"/>
    <w:rsid w:val="000A0390"/>
    <w:rsid w:val="000A0CF8"/>
    <w:rsid w:val="000A109C"/>
    <w:rsid w:val="000A1375"/>
    <w:rsid w:val="000A1E65"/>
    <w:rsid w:val="000A2658"/>
    <w:rsid w:val="000A297C"/>
    <w:rsid w:val="000A2B83"/>
    <w:rsid w:val="000A38A9"/>
    <w:rsid w:val="000A3A17"/>
    <w:rsid w:val="000A3CF0"/>
    <w:rsid w:val="000A51DB"/>
    <w:rsid w:val="000A5C32"/>
    <w:rsid w:val="000A6F15"/>
    <w:rsid w:val="000A7041"/>
    <w:rsid w:val="000A777B"/>
    <w:rsid w:val="000B07E6"/>
    <w:rsid w:val="000B1F4E"/>
    <w:rsid w:val="000B2CD8"/>
    <w:rsid w:val="000B2EBA"/>
    <w:rsid w:val="000B3BA4"/>
    <w:rsid w:val="000B3BE9"/>
    <w:rsid w:val="000B3D42"/>
    <w:rsid w:val="000B40F3"/>
    <w:rsid w:val="000B41C6"/>
    <w:rsid w:val="000B4595"/>
    <w:rsid w:val="000B539F"/>
    <w:rsid w:val="000B582D"/>
    <w:rsid w:val="000B5E09"/>
    <w:rsid w:val="000B5F13"/>
    <w:rsid w:val="000C01B0"/>
    <w:rsid w:val="000C047C"/>
    <w:rsid w:val="000C0F1F"/>
    <w:rsid w:val="000C2ED5"/>
    <w:rsid w:val="000C343E"/>
    <w:rsid w:val="000C3503"/>
    <w:rsid w:val="000C46BF"/>
    <w:rsid w:val="000C5552"/>
    <w:rsid w:val="000C5680"/>
    <w:rsid w:val="000C5BDF"/>
    <w:rsid w:val="000C678A"/>
    <w:rsid w:val="000C6C41"/>
    <w:rsid w:val="000C70A5"/>
    <w:rsid w:val="000C7634"/>
    <w:rsid w:val="000C7CAE"/>
    <w:rsid w:val="000D06A4"/>
    <w:rsid w:val="000D1206"/>
    <w:rsid w:val="000D1DA9"/>
    <w:rsid w:val="000D1E10"/>
    <w:rsid w:val="000D23C3"/>
    <w:rsid w:val="000D4244"/>
    <w:rsid w:val="000D57B7"/>
    <w:rsid w:val="000D59F0"/>
    <w:rsid w:val="000D6E5C"/>
    <w:rsid w:val="000D711D"/>
    <w:rsid w:val="000D73E7"/>
    <w:rsid w:val="000D74E8"/>
    <w:rsid w:val="000E0B17"/>
    <w:rsid w:val="000E19C0"/>
    <w:rsid w:val="000E1BD5"/>
    <w:rsid w:val="000E1F33"/>
    <w:rsid w:val="000E37CA"/>
    <w:rsid w:val="000E3A16"/>
    <w:rsid w:val="000E41EC"/>
    <w:rsid w:val="000E43F8"/>
    <w:rsid w:val="000E4E3B"/>
    <w:rsid w:val="000E4FBA"/>
    <w:rsid w:val="000E5232"/>
    <w:rsid w:val="000E57F9"/>
    <w:rsid w:val="000E5835"/>
    <w:rsid w:val="000E6918"/>
    <w:rsid w:val="000E694E"/>
    <w:rsid w:val="000E6AC9"/>
    <w:rsid w:val="000E6E5C"/>
    <w:rsid w:val="000E7661"/>
    <w:rsid w:val="000E7B1F"/>
    <w:rsid w:val="000F0A1C"/>
    <w:rsid w:val="000F0D52"/>
    <w:rsid w:val="000F0D93"/>
    <w:rsid w:val="000F18B7"/>
    <w:rsid w:val="000F1B49"/>
    <w:rsid w:val="000F1ED3"/>
    <w:rsid w:val="000F25F6"/>
    <w:rsid w:val="000F263E"/>
    <w:rsid w:val="000F40FF"/>
    <w:rsid w:val="000F4E20"/>
    <w:rsid w:val="000F5465"/>
    <w:rsid w:val="000F6C0E"/>
    <w:rsid w:val="000F718D"/>
    <w:rsid w:val="00100508"/>
    <w:rsid w:val="001009B5"/>
    <w:rsid w:val="0010134B"/>
    <w:rsid w:val="0010176D"/>
    <w:rsid w:val="00101836"/>
    <w:rsid w:val="0010283F"/>
    <w:rsid w:val="0010376A"/>
    <w:rsid w:val="00103965"/>
    <w:rsid w:val="00103C30"/>
    <w:rsid w:val="00103D94"/>
    <w:rsid w:val="00104046"/>
    <w:rsid w:val="00104C71"/>
    <w:rsid w:val="00104D37"/>
    <w:rsid w:val="00105035"/>
    <w:rsid w:val="00105828"/>
    <w:rsid w:val="0010631A"/>
    <w:rsid w:val="0010634E"/>
    <w:rsid w:val="00106A2F"/>
    <w:rsid w:val="00106C7F"/>
    <w:rsid w:val="00106DC0"/>
    <w:rsid w:val="0010789A"/>
    <w:rsid w:val="00107EFA"/>
    <w:rsid w:val="001107F0"/>
    <w:rsid w:val="001119D4"/>
    <w:rsid w:val="00112462"/>
    <w:rsid w:val="00112AFE"/>
    <w:rsid w:val="00112C61"/>
    <w:rsid w:val="00113195"/>
    <w:rsid w:val="00113D23"/>
    <w:rsid w:val="00113E36"/>
    <w:rsid w:val="00114294"/>
    <w:rsid w:val="00114E0D"/>
    <w:rsid w:val="00115579"/>
    <w:rsid w:val="00115958"/>
    <w:rsid w:val="00115FA0"/>
    <w:rsid w:val="00121271"/>
    <w:rsid w:val="00121A5F"/>
    <w:rsid w:val="00121ABF"/>
    <w:rsid w:val="001221C4"/>
    <w:rsid w:val="001223E8"/>
    <w:rsid w:val="001225B2"/>
    <w:rsid w:val="00122D93"/>
    <w:rsid w:val="001243F5"/>
    <w:rsid w:val="00125613"/>
    <w:rsid w:val="00125F28"/>
    <w:rsid w:val="0012601C"/>
    <w:rsid w:val="00126034"/>
    <w:rsid w:val="00127981"/>
    <w:rsid w:val="00130BE8"/>
    <w:rsid w:val="00130D9D"/>
    <w:rsid w:val="00130EFB"/>
    <w:rsid w:val="001325C4"/>
    <w:rsid w:val="00133188"/>
    <w:rsid w:val="00135F25"/>
    <w:rsid w:val="001365D1"/>
    <w:rsid w:val="001371E1"/>
    <w:rsid w:val="0013730E"/>
    <w:rsid w:val="00137A08"/>
    <w:rsid w:val="00137C40"/>
    <w:rsid w:val="00140EA0"/>
    <w:rsid w:val="00140FC8"/>
    <w:rsid w:val="00141447"/>
    <w:rsid w:val="00141810"/>
    <w:rsid w:val="00142044"/>
    <w:rsid w:val="001430A1"/>
    <w:rsid w:val="00143777"/>
    <w:rsid w:val="00143A1D"/>
    <w:rsid w:val="00144AB2"/>
    <w:rsid w:val="00144CD6"/>
    <w:rsid w:val="00145C08"/>
    <w:rsid w:val="001460B5"/>
    <w:rsid w:val="00146BCE"/>
    <w:rsid w:val="00146C9F"/>
    <w:rsid w:val="00150344"/>
    <w:rsid w:val="0015045F"/>
    <w:rsid w:val="00150F42"/>
    <w:rsid w:val="00151F4E"/>
    <w:rsid w:val="001543C0"/>
    <w:rsid w:val="00154B93"/>
    <w:rsid w:val="00154E2E"/>
    <w:rsid w:val="00154F4F"/>
    <w:rsid w:val="00154FE3"/>
    <w:rsid w:val="00155803"/>
    <w:rsid w:val="00155EC9"/>
    <w:rsid w:val="00160408"/>
    <w:rsid w:val="0016112F"/>
    <w:rsid w:val="001611E2"/>
    <w:rsid w:val="001614F8"/>
    <w:rsid w:val="0016206A"/>
    <w:rsid w:val="00162718"/>
    <w:rsid w:val="0016313B"/>
    <w:rsid w:val="00165DFF"/>
    <w:rsid w:val="0016687F"/>
    <w:rsid w:val="00166A23"/>
    <w:rsid w:val="00166D3D"/>
    <w:rsid w:val="001671A1"/>
    <w:rsid w:val="0016750C"/>
    <w:rsid w:val="001675F1"/>
    <w:rsid w:val="001676D4"/>
    <w:rsid w:val="00167EDF"/>
    <w:rsid w:val="00167F9A"/>
    <w:rsid w:val="001717BF"/>
    <w:rsid w:val="00171BE0"/>
    <w:rsid w:val="00171D79"/>
    <w:rsid w:val="00172BD2"/>
    <w:rsid w:val="0017320C"/>
    <w:rsid w:val="00174099"/>
    <w:rsid w:val="0017513F"/>
    <w:rsid w:val="00176322"/>
    <w:rsid w:val="00176449"/>
    <w:rsid w:val="0017754B"/>
    <w:rsid w:val="00177669"/>
    <w:rsid w:val="00181213"/>
    <w:rsid w:val="00181911"/>
    <w:rsid w:val="00182465"/>
    <w:rsid w:val="00183567"/>
    <w:rsid w:val="0018387E"/>
    <w:rsid w:val="0018404E"/>
    <w:rsid w:val="001840C2"/>
    <w:rsid w:val="00184177"/>
    <w:rsid w:val="001846D9"/>
    <w:rsid w:val="00184DAE"/>
    <w:rsid w:val="00186950"/>
    <w:rsid w:val="001878C7"/>
    <w:rsid w:val="001904E3"/>
    <w:rsid w:val="00190880"/>
    <w:rsid w:val="001913B0"/>
    <w:rsid w:val="00191903"/>
    <w:rsid w:val="00191905"/>
    <w:rsid w:val="00191B52"/>
    <w:rsid w:val="00191E0C"/>
    <w:rsid w:val="0019210B"/>
    <w:rsid w:val="0019281A"/>
    <w:rsid w:val="0019307C"/>
    <w:rsid w:val="0019368B"/>
    <w:rsid w:val="001948B8"/>
    <w:rsid w:val="00195585"/>
    <w:rsid w:val="001966BE"/>
    <w:rsid w:val="00196B74"/>
    <w:rsid w:val="0019753C"/>
    <w:rsid w:val="001A15C0"/>
    <w:rsid w:val="001A1A42"/>
    <w:rsid w:val="001A1ED2"/>
    <w:rsid w:val="001A1F3E"/>
    <w:rsid w:val="001A2158"/>
    <w:rsid w:val="001A3C26"/>
    <w:rsid w:val="001A3ED0"/>
    <w:rsid w:val="001A4876"/>
    <w:rsid w:val="001A49F5"/>
    <w:rsid w:val="001A5F3D"/>
    <w:rsid w:val="001A678E"/>
    <w:rsid w:val="001A6F64"/>
    <w:rsid w:val="001B1128"/>
    <w:rsid w:val="001B1607"/>
    <w:rsid w:val="001B1715"/>
    <w:rsid w:val="001B3108"/>
    <w:rsid w:val="001B3B20"/>
    <w:rsid w:val="001B405A"/>
    <w:rsid w:val="001B4508"/>
    <w:rsid w:val="001B5725"/>
    <w:rsid w:val="001B5DB5"/>
    <w:rsid w:val="001B5FE2"/>
    <w:rsid w:val="001B625E"/>
    <w:rsid w:val="001B6594"/>
    <w:rsid w:val="001B684F"/>
    <w:rsid w:val="001B6A5F"/>
    <w:rsid w:val="001B6F07"/>
    <w:rsid w:val="001B714A"/>
    <w:rsid w:val="001B743C"/>
    <w:rsid w:val="001C02C3"/>
    <w:rsid w:val="001C1708"/>
    <w:rsid w:val="001C2BB1"/>
    <w:rsid w:val="001C2D24"/>
    <w:rsid w:val="001C30AD"/>
    <w:rsid w:val="001C3CF1"/>
    <w:rsid w:val="001C3D3D"/>
    <w:rsid w:val="001C3F4B"/>
    <w:rsid w:val="001C4774"/>
    <w:rsid w:val="001C5EEE"/>
    <w:rsid w:val="001C68B4"/>
    <w:rsid w:val="001C6D3F"/>
    <w:rsid w:val="001C7262"/>
    <w:rsid w:val="001C758F"/>
    <w:rsid w:val="001C7AC9"/>
    <w:rsid w:val="001C7B39"/>
    <w:rsid w:val="001D09F9"/>
    <w:rsid w:val="001D0C53"/>
    <w:rsid w:val="001D1433"/>
    <w:rsid w:val="001D164E"/>
    <w:rsid w:val="001D2697"/>
    <w:rsid w:val="001D33D0"/>
    <w:rsid w:val="001D3DD6"/>
    <w:rsid w:val="001D4045"/>
    <w:rsid w:val="001D45E0"/>
    <w:rsid w:val="001D49CA"/>
    <w:rsid w:val="001D4EE9"/>
    <w:rsid w:val="001D504C"/>
    <w:rsid w:val="001D5B8B"/>
    <w:rsid w:val="001D68E4"/>
    <w:rsid w:val="001D795A"/>
    <w:rsid w:val="001D7B4D"/>
    <w:rsid w:val="001D7E82"/>
    <w:rsid w:val="001E080E"/>
    <w:rsid w:val="001E298E"/>
    <w:rsid w:val="001E2A4F"/>
    <w:rsid w:val="001E2AC0"/>
    <w:rsid w:val="001E3718"/>
    <w:rsid w:val="001E5D33"/>
    <w:rsid w:val="001E6071"/>
    <w:rsid w:val="001E659C"/>
    <w:rsid w:val="001E7658"/>
    <w:rsid w:val="001F0523"/>
    <w:rsid w:val="001F0615"/>
    <w:rsid w:val="001F07C6"/>
    <w:rsid w:val="001F0A53"/>
    <w:rsid w:val="001F0A5B"/>
    <w:rsid w:val="001F0C12"/>
    <w:rsid w:val="001F18A0"/>
    <w:rsid w:val="001F2140"/>
    <w:rsid w:val="001F21D0"/>
    <w:rsid w:val="001F26A4"/>
    <w:rsid w:val="001F3735"/>
    <w:rsid w:val="001F498D"/>
    <w:rsid w:val="001F665F"/>
    <w:rsid w:val="001F6C9D"/>
    <w:rsid w:val="001F72EA"/>
    <w:rsid w:val="001F766D"/>
    <w:rsid w:val="001F77AE"/>
    <w:rsid w:val="001F78C1"/>
    <w:rsid w:val="0020010E"/>
    <w:rsid w:val="002003A6"/>
    <w:rsid w:val="00200955"/>
    <w:rsid w:val="00200F12"/>
    <w:rsid w:val="00201FC7"/>
    <w:rsid w:val="00202E86"/>
    <w:rsid w:val="00202F4B"/>
    <w:rsid w:val="0020323E"/>
    <w:rsid w:val="00203344"/>
    <w:rsid w:val="0020337E"/>
    <w:rsid w:val="002033C7"/>
    <w:rsid w:val="00203645"/>
    <w:rsid w:val="0020417A"/>
    <w:rsid w:val="0020465D"/>
    <w:rsid w:val="00204CE5"/>
    <w:rsid w:val="002053B6"/>
    <w:rsid w:val="002057B2"/>
    <w:rsid w:val="00205B36"/>
    <w:rsid w:val="00205DDE"/>
    <w:rsid w:val="0020637D"/>
    <w:rsid w:val="0020682A"/>
    <w:rsid w:val="002069DD"/>
    <w:rsid w:val="00207AD5"/>
    <w:rsid w:val="00207B28"/>
    <w:rsid w:val="00207C51"/>
    <w:rsid w:val="00207F5C"/>
    <w:rsid w:val="00207FFD"/>
    <w:rsid w:val="00210046"/>
    <w:rsid w:val="002102FC"/>
    <w:rsid w:val="002104D8"/>
    <w:rsid w:val="00210D6C"/>
    <w:rsid w:val="00211584"/>
    <w:rsid w:val="002117B9"/>
    <w:rsid w:val="00211DEB"/>
    <w:rsid w:val="002120F6"/>
    <w:rsid w:val="0021224A"/>
    <w:rsid w:val="0021287A"/>
    <w:rsid w:val="00213457"/>
    <w:rsid w:val="002139E1"/>
    <w:rsid w:val="00214C57"/>
    <w:rsid w:val="00214E7A"/>
    <w:rsid w:val="00214E7F"/>
    <w:rsid w:val="00215817"/>
    <w:rsid w:val="00215885"/>
    <w:rsid w:val="00215892"/>
    <w:rsid w:val="002158EE"/>
    <w:rsid w:val="0022041B"/>
    <w:rsid w:val="002205B6"/>
    <w:rsid w:val="002210A7"/>
    <w:rsid w:val="002219F9"/>
    <w:rsid w:val="00221E58"/>
    <w:rsid w:val="00225559"/>
    <w:rsid w:val="002261D9"/>
    <w:rsid w:val="00226AD4"/>
    <w:rsid w:val="0022790C"/>
    <w:rsid w:val="00230281"/>
    <w:rsid w:val="00231099"/>
    <w:rsid w:val="002310E4"/>
    <w:rsid w:val="00231CF3"/>
    <w:rsid w:val="00232D10"/>
    <w:rsid w:val="00232DF8"/>
    <w:rsid w:val="00233DA3"/>
    <w:rsid w:val="002353D5"/>
    <w:rsid w:val="002353E6"/>
    <w:rsid w:val="00235FC5"/>
    <w:rsid w:val="00237312"/>
    <w:rsid w:val="002373CD"/>
    <w:rsid w:val="002402BB"/>
    <w:rsid w:val="002402FE"/>
    <w:rsid w:val="00240A07"/>
    <w:rsid w:val="00240C64"/>
    <w:rsid w:val="0024276C"/>
    <w:rsid w:val="00243E20"/>
    <w:rsid w:val="00244E9D"/>
    <w:rsid w:val="00245415"/>
    <w:rsid w:val="00246071"/>
    <w:rsid w:val="0024614A"/>
    <w:rsid w:val="00246B66"/>
    <w:rsid w:val="00247293"/>
    <w:rsid w:val="00250BBB"/>
    <w:rsid w:val="00251BC5"/>
    <w:rsid w:val="00252C16"/>
    <w:rsid w:val="00253895"/>
    <w:rsid w:val="002542BE"/>
    <w:rsid w:val="0025559B"/>
    <w:rsid w:val="00255824"/>
    <w:rsid w:val="00257620"/>
    <w:rsid w:val="00257DCD"/>
    <w:rsid w:val="002602E7"/>
    <w:rsid w:val="00260520"/>
    <w:rsid w:val="0026062F"/>
    <w:rsid w:val="00261E8E"/>
    <w:rsid w:val="0026237F"/>
    <w:rsid w:val="0026290D"/>
    <w:rsid w:val="002634EA"/>
    <w:rsid w:val="00263898"/>
    <w:rsid w:val="0026420B"/>
    <w:rsid w:val="002644B5"/>
    <w:rsid w:val="0026479E"/>
    <w:rsid w:val="002648FA"/>
    <w:rsid w:val="00267098"/>
    <w:rsid w:val="0026756D"/>
    <w:rsid w:val="00267903"/>
    <w:rsid w:val="00267BF1"/>
    <w:rsid w:val="002707C9"/>
    <w:rsid w:val="002719DB"/>
    <w:rsid w:val="00271A34"/>
    <w:rsid w:val="0027215F"/>
    <w:rsid w:val="00272E23"/>
    <w:rsid w:val="00272E98"/>
    <w:rsid w:val="00272F18"/>
    <w:rsid w:val="00273A28"/>
    <w:rsid w:val="00273A7B"/>
    <w:rsid w:val="00273F8C"/>
    <w:rsid w:val="0027442F"/>
    <w:rsid w:val="00274A27"/>
    <w:rsid w:val="00274BAD"/>
    <w:rsid w:val="00274E39"/>
    <w:rsid w:val="00274E87"/>
    <w:rsid w:val="00274EBE"/>
    <w:rsid w:val="0027504D"/>
    <w:rsid w:val="0027558B"/>
    <w:rsid w:val="0027622E"/>
    <w:rsid w:val="00276496"/>
    <w:rsid w:val="00276B27"/>
    <w:rsid w:val="00276CBD"/>
    <w:rsid w:val="00277360"/>
    <w:rsid w:val="00277800"/>
    <w:rsid w:val="002778CA"/>
    <w:rsid w:val="002779FC"/>
    <w:rsid w:val="00277DC0"/>
    <w:rsid w:val="002800D8"/>
    <w:rsid w:val="002800DE"/>
    <w:rsid w:val="00280912"/>
    <w:rsid w:val="00280A6D"/>
    <w:rsid w:val="00280C7C"/>
    <w:rsid w:val="00282073"/>
    <w:rsid w:val="002824CA"/>
    <w:rsid w:val="0028270A"/>
    <w:rsid w:val="00282C90"/>
    <w:rsid w:val="00282F9C"/>
    <w:rsid w:val="00285A29"/>
    <w:rsid w:val="0028723D"/>
    <w:rsid w:val="00290DF3"/>
    <w:rsid w:val="002912DD"/>
    <w:rsid w:val="0029131E"/>
    <w:rsid w:val="00291387"/>
    <w:rsid w:val="00292900"/>
    <w:rsid w:val="002946C6"/>
    <w:rsid w:val="002958D5"/>
    <w:rsid w:val="00295B19"/>
    <w:rsid w:val="00296112"/>
    <w:rsid w:val="00296ECB"/>
    <w:rsid w:val="002970D2"/>
    <w:rsid w:val="00297DA2"/>
    <w:rsid w:val="002A015C"/>
    <w:rsid w:val="002A1096"/>
    <w:rsid w:val="002A13EA"/>
    <w:rsid w:val="002A15F2"/>
    <w:rsid w:val="002A16C6"/>
    <w:rsid w:val="002A1CB7"/>
    <w:rsid w:val="002A2B3E"/>
    <w:rsid w:val="002A2C83"/>
    <w:rsid w:val="002A3231"/>
    <w:rsid w:val="002A3653"/>
    <w:rsid w:val="002A3A6B"/>
    <w:rsid w:val="002A4B28"/>
    <w:rsid w:val="002A54AA"/>
    <w:rsid w:val="002A56D1"/>
    <w:rsid w:val="002A579C"/>
    <w:rsid w:val="002A57FB"/>
    <w:rsid w:val="002A58C2"/>
    <w:rsid w:val="002A6CBC"/>
    <w:rsid w:val="002A779C"/>
    <w:rsid w:val="002B0037"/>
    <w:rsid w:val="002B064B"/>
    <w:rsid w:val="002B0A7F"/>
    <w:rsid w:val="002B1A85"/>
    <w:rsid w:val="002B25FC"/>
    <w:rsid w:val="002B2AE5"/>
    <w:rsid w:val="002B3B80"/>
    <w:rsid w:val="002B4038"/>
    <w:rsid w:val="002B4D6E"/>
    <w:rsid w:val="002C009A"/>
    <w:rsid w:val="002C07AF"/>
    <w:rsid w:val="002C0FB0"/>
    <w:rsid w:val="002C12BE"/>
    <w:rsid w:val="002C138A"/>
    <w:rsid w:val="002C1A21"/>
    <w:rsid w:val="002C24F1"/>
    <w:rsid w:val="002C2782"/>
    <w:rsid w:val="002C2FF6"/>
    <w:rsid w:val="002C4485"/>
    <w:rsid w:val="002C4D48"/>
    <w:rsid w:val="002C4F13"/>
    <w:rsid w:val="002C5763"/>
    <w:rsid w:val="002C5CDB"/>
    <w:rsid w:val="002C7171"/>
    <w:rsid w:val="002C7EE6"/>
    <w:rsid w:val="002D11A4"/>
    <w:rsid w:val="002D1455"/>
    <w:rsid w:val="002D186E"/>
    <w:rsid w:val="002D2208"/>
    <w:rsid w:val="002D2361"/>
    <w:rsid w:val="002D4137"/>
    <w:rsid w:val="002D7599"/>
    <w:rsid w:val="002E0502"/>
    <w:rsid w:val="002E0B0E"/>
    <w:rsid w:val="002E0E5D"/>
    <w:rsid w:val="002E1082"/>
    <w:rsid w:val="002E126F"/>
    <w:rsid w:val="002E1308"/>
    <w:rsid w:val="002E151E"/>
    <w:rsid w:val="002E22CB"/>
    <w:rsid w:val="002E255D"/>
    <w:rsid w:val="002E29ED"/>
    <w:rsid w:val="002E2CD7"/>
    <w:rsid w:val="002E31AE"/>
    <w:rsid w:val="002E3EBF"/>
    <w:rsid w:val="002E42C7"/>
    <w:rsid w:val="002E4783"/>
    <w:rsid w:val="002E4E2A"/>
    <w:rsid w:val="002E5519"/>
    <w:rsid w:val="002E6457"/>
    <w:rsid w:val="002E64DA"/>
    <w:rsid w:val="002E78AB"/>
    <w:rsid w:val="002E7910"/>
    <w:rsid w:val="002F0854"/>
    <w:rsid w:val="002F214D"/>
    <w:rsid w:val="002F38A3"/>
    <w:rsid w:val="002F4467"/>
    <w:rsid w:val="002F5DC1"/>
    <w:rsid w:val="002F7498"/>
    <w:rsid w:val="00301491"/>
    <w:rsid w:val="00302B83"/>
    <w:rsid w:val="00303A18"/>
    <w:rsid w:val="00303DDC"/>
    <w:rsid w:val="00304F96"/>
    <w:rsid w:val="003052C1"/>
    <w:rsid w:val="003064E7"/>
    <w:rsid w:val="00307EAD"/>
    <w:rsid w:val="00310038"/>
    <w:rsid w:val="0031013A"/>
    <w:rsid w:val="0031051A"/>
    <w:rsid w:val="00310A10"/>
    <w:rsid w:val="0031173A"/>
    <w:rsid w:val="00311E8F"/>
    <w:rsid w:val="00311EFB"/>
    <w:rsid w:val="00312040"/>
    <w:rsid w:val="00312827"/>
    <w:rsid w:val="0031368C"/>
    <w:rsid w:val="003137A0"/>
    <w:rsid w:val="0031419A"/>
    <w:rsid w:val="0031456C"/>
    <w:rsid w:val="00314DA9"/>
    <w:rsid w:val="00315A37"/>
    <w:rsid w:val="0031636D"/>
    <w:rsid w:val="003164DA"/>
    <w:rsid w:val="0031670D"/>
    <w:rsid w:val="00316CA4"/>
    <w:rsid w:val="003170E5"/>
    <w:rsid w:val="003170EA"/>
    <w:rsid w:val="003172DE"/>
    <w:rsid w:val="003177EF"/>
    <w:rsid w:val="003201A0"/>
    <w:rsid w:val="00320F56"/>
    <w:rsid w:val="00321C69"/>
    <w:rsid w:val="00322E5E"/>
    <w:rsid w:val="003232D0"/>
    <w:rsid w:val="00323448"/>
    <w:rsid w:val="00323801"/>
    <w:rsid w:val="00323A80"/>
    <w:rsid w:val="00324391"/>
    <w:rsid w:val="00324396"/>
    <w:rsid w:val="0032478A"/>
    <w:rsid w:val="00325F1C"/>
    <w:rsid w:val="00326C67"/>
    <w:rsid w:val="00327082"/>
    <w:rsid w:val="00327DA7"/>
    <w:rsid w:val="00331417"/>
    <w:rsid w:val="0033304D"/>
    <w:rsid w:val="003334DD"/>
    <w:rsid w:val="00333C68"/>
    <w:rsid w:val="00333CF8"/>
    <w:rsid w:val="00333E85"/>
    <w:rsid w:val="00333FAF"/>
    <w:rsid w:val="00334476"/>
    <w:rsid w:val="003346F0"/>
    <w:rsid w:val="00334EEA"/>
    <w:rsid w:val="003363E3"/>
    <w:rsid w:val="00336847"/>
    <w:rsid w:val="00337FA9"/>
    <w:rsid w:val="003401B3"/>
    <w:rsid w:val="00340E2E"/>
    <w:rsid w:val="00340F37"/>
    <w:rsid w:val="003411F8"/>
    <w:rsid w:val="003415C5"/>
    <w:rsid w:val="003424AD"/>
    <w:rsid w:val="00342533"/>
    <w:rsid w:val="00342A1B"/>
    <w:rsid w:val="00342C3A"/>
    <w:rsid w:val="00344C1D"/>
    <w:rsid w:val="0034531E"/>
    <w:rsid w:val="003461E0"/>
    <w:rsid w:val="00346FE7"/>
    <w:rsid w:val="00347113"/>
    <w:rsid w:val="0035047A"/>
    <w:rsid w:val="003511FE"/>
    <w:rsid w:val="00351FA7"/>
    <w:rsid w:val="00353461"/>
    <w:rsid w:val="00353F28"/>
    <w:rsid w:val="00354DE4"/>
    <w:rsid w:val="003553A5"/>
    <w:rsid w:val="00355F3C"/>
    <w:rsid w:val="00357651"/>
    <w:rsid w:val="00357AD2"/>
    <w:rsid w:val="00357E0C"/>
    <w:rsid w:val="003605AB"/>
    <w:rsid w:val="00360991"/>
    <w:rsid w:val="003612A3"/>
    <w:rsid w:val="00361942"/>
    <w:rsid w:val="003619A3"/>
    <w:rsid w:val="00361C0F"/>
    <w:rsid w:val="00361F79"/>
    <w:rsid w:val="003628E6"/>
    <w:rsid w:val="00362C25"/>
    <w:rsid w:val="00362C8C"/>
    <w:rsid w:val="00362DCD"/>
    <w:rsid w:val="0036306D"/>
    <w:rsid w:val="00363D81"/>
    <w:rsid w:val="00363FD8"/>
    <w:rsid w:val="003640FB"/>
    <w:rsid w:val="00365C3C"/>
    <w:rsid w:val="00366441"/>
    <w:rsid w:val="003665D0"/>
    <w:rsid w:val="00366CB8"/>
    <w:rsid w:val="003670B2"/>
    <w:rsid w:val="00367409"/>
    <w:rsid w:val="00367692"/>
    <w:rsid w:val="00367B26"/>
    <w:rsid w:val="00370041"/>
    <w:rsid w:val="003704CC"/>
    <w:rsid w:val="003707D2"/>
    <w:rsid w:val="003715AD"/>
    <w:rsid w:val="00371A47"/>
    <w:rsid w:val="00371C22"/>
    <w:rsid w:val="00371DD8"/>
    <w:rsid w:val="00372015"/>
    <w:rsid w:val="00372137"/>
    <w:rsid w:val="00372744"/>
    <w:rsid w:val="00372EC5"/>
    <w:rsid w:val="0037346D"/>
    <w:rsid w:val="0037370D"/>
    <w:rsid w:val="00374391"/>
    <w:rsid w:val="00375BEF"/>
    <w:rsid w:val="00375DF5"/>
    <w:rsid w:val="0037622C"/>
    <w:rsid w:val="00376ACA"/>
    <w:rsid w:val="00376C32"/>
    <w:rsid w:val="00376CF6"/>
    <w:rsid w:val="00377C5F"/>
    <w:rsid w:val="00381519"/>
    <w:rsid w:val="00381FA3"/>
    <w:rsid w:val="00383771"/>
    <w:rsid w:val="00384F41"/>
    <w:rsid w:val="003850A7"/>
    <w:rsid w:val="003865A3"/>
    <w:rsid w:val="00386992"/>
    <w:rsid w:val="003877D8"/>
    <w:rsid w:val="003879A6"/>
    <w:rsid w:val="00390421"/>
    <w:rsid w:val="003908DC"/>
    <w:rsid w:val="00390B5E"/>
    <w:rsid w:val="003917C5"/>
    <w:rsid w:val="00391C02"/>
    <w:rsid w:val="00392B40"/>
    <w:rsid w:val="00394FD8"/>
    <w:rsid w:val="00395189"/>
    <w:rsid w:val="00395616"/>
    <w:rsid w:val="00395788"/>
    <w:rsid w:val="0039587A"/>
    <w:rsid w:val="003960B8"/>
    <w:rsid w:val="003965AD"/>
    <w:rsid w:val="0039666C"/>
    <w:rsid w:val="00396E53"/>
    <w:rsid w:val="00396EB0"/>
    <w:rsid w:val="003A0377"/>
    <w:rsid w:val="003A11AE"/>
    <w:rsid w:val="003A235B"/>
    <w:rsid w:val="003A2B1B"/>
    <w:rsid w:val="003A31A3"/>
    <w:rsid w:val="003A3B7E"/>
    <w:rsid w:val="003A4700"/>
    <w:rsid w:val="003A4736"/>
    <w:rsid w:val="003A5030"/>
    <w:rsid w:val="003A569B"/>
    <w:rsid w:val="003A5BDE"/>
    <w:rsid w:val="003A5ECB"/>
    <w:rsid w:val="003A6558"/>
    <w:rsid w:val="003A6583"/>
    <w:rsid w:val="003A6686"/>
    <w:rsid w:val="003A6801"/>
    <w:rsid w:val="003A68DD"/>
    <w:rsid w:val="003A6A06"/>
    <w:rsid w:val="003B055B"/>
    <w:rsid w:val="003B21FC"/>
    <w:rsid w:val="003B2594"/>
    <w:rsid w:val="003B31F2"/>
    <w:rsid w:val="003B332B"/>
    <w:rsid w:val="003B48F2"/>
    <w:rsid w:val="003B50A8"/>
    <w:rsid w:val="003B551A"/>
    <w:rsid w:val="003B5EAD"/>
    <w:rsid w:val="003B707C"/>
    <w:rsid w:val="003B70E5"/>
    <w:rsid w:val="003B7D11"/>
    <w:rsid w:val="003C0714"/>
    <w:rsid w:val="003C0A2C"/>
    <w:rsid w:val="003C16A4"/>
    <w:rsid w:val="003C1953"/>
    <w:rsid w:val="003C1C19"/>
    <w:rsid w:val="003C2143"/>
    <w:rsid w:val="003C305C"/>
    <w:rsid w:val="003C383F"/>
    <w:rsid w:val="003C3B2D"/>
    <w:rsid w:val="003C41F4"/>
    <w:rsid w:val="003C4CD1"/>
    <w:rsid w:val="003C56D5"/>
    <w:rsid w:val="003C5B5C"/>
    <w:rsid w:val="003C5F34"/>
    <w:rsid w:val="003C7413"/>
    <w:rsid w:val="003C76DF"/>
    <w:rsid w:val="003D312D"/>
    <w:rsid w:val="003D368A"/>
    <w:rsid w:val="003D4A2A"/>
    <w:rsid w:val="003D4B17"/>
    <w:rsid w:val="003D4C38"/>
    <w:rsid w:val="003D5FB2"/>
    <w:rsid w:val="003D65E8"/>
    <w:rsid w:val="003D7119"/>
    <w:rsid w:val="003D778E"/>
    <w:rsid w:val="003D7ACF"/>
    <w:rsid w:val="003D7DF5"/>
    <w:rsid w:val="003D7F56"/>
    <w:rsid w:val="003E053E"/>
    <w:rsid w:val="003E090E"/>
    <w:rsid w:val="003E1724"/>
    <w:rsid w:val="003E1E0F"/>
    <w:rsid w:val="003E22FC"/>
    <w:rsid w:val="003E33F2"/>
    <w:rsid w:val="003E3DA8"/>
    <w:rsid w:val="003E4A2A"/>
    <w:rsid w:val="003E4A9B"/>
    <w:rsid w:val="003E52A5"/>
    <w:rsid w:val="003E54AB"/>
    <w:rsid w:val="003E605E"/>
    <w:rsid w:val="003E6607"/>
    <w:rsid w:val="003E703B"/>
    <w:rsid w:val="003E7C67"/>
    <w:rsid w:val="003F093A"/>
    <w:rsid w:val="003F09CD"/>
    <w:rsid w:val="003F0A56"/>
    <w:rsid w:val="003F18F7"/>
    <w:rsid w:val="003F2D02"/>
    <w:rsid w:val="003F32C1"/>
    <w:rsid w:val="003F3BBB"/>
    <w:rsid w:val="003F3E00"/>
    <w:rsid w:val="003F4198"/>
    <w:rsid w:val="003F49D7"/>
    <w:rsid w:val="003F4BFD"/>
    <w:rsid w:val="003F5BCE"/>
    <w:rsid w:val="003F5EC0"/>
    <w:rsid w:val="003F60CC"/>
    <w:rsid w:val="003F6A26"/>
    <w:rsid w:val="00400D1A"/>
    <w:rsid w:val="00401816"/>
    <w:rsid w:val="00401A70"/>
    <w:rsid w:val="004022D2"/>
    <w:rsid w:val="004029D4"/>
    <w:rsid w:val="004034E9"/>
    <w:rsid w:val="00404397"/>
    <w:rsid w:val="00404ACC"/>
    <w:rsid w:val="00405429"/>
    <w:rsid w:val="00405AFB"/>
    <w:rsid w:val="00406602"/>
    <w:rsid w:val="00407E00"/>
    <w:rsid w:val="004102C1"/>
    <w:rsid w:val="0041071B"/>
    <w:rsid w:val="00410C72"/>
    <w:rsid w:val="004118B7"/>
    <w:rsid w:val="00411A40"/>
    <w:rsid w:val="00412392"/>
    <w:rsid w:val="00412442"/>
    <w:rsid w:val="00412517"/>
    <w:rsid w:val="004133C8"/>
    <w:rsid w:val="00413FA6"/>
    <w:rsid w:val="00414978"/>
    <w:rsid w:val="00415ACE"/>
    <w:rsid w:val="00416439"/>
    <w:rsid w:val="0041665B"/>
    <w:rsid w:val="004166BE"/>
    <w:rsid w:val="00416982"/>
    <w:rsid w:val="00416C15"/>
    <w:rsid w:val="00416EB1"/>
    <w:rsid w:val="00417997"/>
    <w:rsid w:val="004200EA"/>
    <w:rsid w:val="00421081"/>
    <w:rsid w:val="00421CBF"/>
    <w:rsid w:val="004222A8"/>
    <w:rsid w:val="00423C60"/>
    <w:rsid w:val="00424783"/>
    <w:rsid w:val="00424DCC"/>
    <w:rsid w:val="00424E48"/>
    <w:rsid w:val="00425312"/>
    <w:rsid w:val="00425BD7"/>
    <w:rsid w:val="00426023"/>
    <w:rsid w:val="00426142"/>
    <w:rsid w:val="004261DD"/>
    <w:rsid w:val="00426B75"/>
    <w:rsid w:val="00426EFD"/>
    <w:rsid w:val="004302A5"/>
    <w:rsid w:val="00430A56"/>
    <w:rsid w:val="00431A02"/>
    <w:rsid w:val="00432195"/>
    <w:rsid w:val="004328A5"/>
    <w:rsid w:val="00433BC6"/>
    <w:rsid w:val="00433DE7"/>
    <w:rsid w:val="00434224"/>
    <w:rsid w:val="0043446C"/>
    <w:rsid w:val="00435A8D"/>
    <w:rsid w:val="00436149"/>
    <w:rsid w:val="00436DC0"/>
    <w:rsid w:val="004372A1"/>
    <w:rsid w:val="00437FB5"/>
    <w:rsid w:val="004407A8"/>
    <w:rsid w:val="004408C3"/>
    <w:rsid w:val="00440B8D"/>
    <w:rsid w:val="00440F85"/>
    <w:rsid w:val="004413F9"/>
    <w:rsid w:val="0044143E"/>
    <w:rsid w:val="004414EE"/>
    <w:rsid w:val="00441B2C"/>
    <w:rsid w:val="00441FDD"/>
    <w:rsid w:val="0044212C"/>
    <w:rsid w:val="00443A4C"/>
    <w:rsid w:val="00443D43"/>
    <w:rsid w:val="004453CA"/>
    <w:rsid w:val="004467E3"/>
    <w:rsid w:val="004479DA"/>
    <w:rsid w:val="00447C51"/>
    <w:rsid w:val="00447C84"/>
    <w:rsid w:val="00447CF8"/>
    <w:rsid w:val="00451532"/>
    <w:rsid w:val="00452EC5"/>
    <w:rsid w:val="00453A20"/>
    <w:rsid w:val="00454843"/>
    <w:rsid w:val="00454D4C"/>
    <w:rsid w:val="00455468"/>
    <w:rsid w:val="00456B20"/>
    <w:rsid w:val="00457249"/>
    <w:rsid w:val="004609DF"/>
    <w:rsid w:val="00460A49"/>
    <w:rsid w:val="00461070"/>
    <w:rsid w:val="00461B40"/>
    <w:rsid w:val="0046225A"/>
    <w:rsid w:val="004626AA"/>
    <w:rsid w:val="004626C3"/>
    <w:rsid w:val="00463D0F"/>
    <w:rsid w:val="004640E0"/>
    <w:rsid w:val="00464395"/>
    <w:rsid w:val="0046446C"/>
    <w:rsid w:val="004656B0"/>
    <w:rsid w:val="004669EE"/>
    <w:rsid w:val="00466BF0"/>
    <w:rsid w:val="00466D13"/>
    <w:rsid w:val="00470C0D"/>
    <w:rsid w:val="0047112C"/>
    <w:rsid w:val="0047325F"/>
    <w:rsid w:val="0047505A"/>
    <w:rsid w:val="004751E5"/>
    <w:rsid w:val="00475531"/>
    <w:rsid w:val="00476639"/>
    <w:rsid w:val="00476E4C"/>
    <w:rsid w:val="00476E5A"/>
    <w:rsid w:val="00476FB3"/>
    <w:rsid w:val="004776A9"/>
    <w:rsid w:val="0047795C"/>
    <w:rsid w:val="00477AF0"/>
    <w:rsid w:val="00477D3C"/>
    <w:rsid w:val="00480525"/>
    <w:rsid w:val="00480760"/>
    <w:rsid w:val="00480E72"/>
    <w:rsid w:val="00480EF7"/>
    <w:rsid w:val="0048107C"/>
    <w:rsid w:val="00481D78"/>
    <w:rsid w:val="0048439F"/>
    <w:rsid w:val="00485320"/>
    <w:rsid w:val="0048559E"/>
    <w:rsid w:val="0048640F"/>
    <w:rsid w:val="004901E9"/>
    <w:rsid w:val="00490388"/>
    <w:rsid w:val="004911E1"/>
    <w:rsid w:val="00492717"/>
    <w:rsid w:val="004931D2"/>
    <w:rsid w:val="00493A07"/>
    <w:rsid w:val="00494022"/>
    <w:rsid w:val="0049475A"/>
    <w:rsid w:val="00494A26"/>
    <w:rsid w:val="00495E2C"/>
    <w:rsid w:val="004966A7"/>
    <w:rsid w:val="004967EC"/>
    <w:rsid w:val="00497470"/>
    <w:rsid w:val="00497C5C"/>
    <w:rsid w:val="00497D85"/>
    <w:rsid w:val="004A04C4"/>
    <w:rsid w:val="004A0C01"/>
    <w:rsid w:val="004A1D20"/>
    <w:rsid w:val="004A27DB"/>
    <w:rsid w:val="004A283F"/>
    <w:rsid w:val="004A2A08"/>
    <w:rsid w:val="004A3689"/>
    <w:rsid w:val="004A39A8"/>
    <w:rsid w:val="004A3D40"/>
    <w:rsid w:val="004A412A"/>
    <w:rsid w:val="004A493E"/>
    <w:rsid w:val="004A584E"/>
    <w:rsid w:val="004A58BC"/>
    <w:rsid w:val="004A5B4E"/>
    <w:rsid w:val="004A69A5"/>
    <w:rsid w:val="004A6FBF"/>
    <w:rsid w:val="004A7455"/>
    <w:rsid w:val="004A75DD"/>
    <w:rsid w:val="004B10F8"/>
    <w:rsid w:val="004B1119"/>
    <w:rsid w:val="004B2042"/>
    <w:rsid w:val="004B24FE"/>
    <w:rsid w:val="004B2DC8"/>
    <w:rsid w:val="004B31C8"/>
    <w:rsid w:val="004B375B"/>
    <w:rsid w:val="004B3CF0"/>
    <w:rsid w:val="004B3E05"/>
    <w:rsid w:val="004B4B2E"/>
    <w:rsid w:val="004B523B"/>
    <w:rsid w:val="004B5262"/>
    <w:rsid w:val="004B5656"/>
    <w:rsid w:val="004B63AB"/>
    <w:rsid w:val="004B6819"/>
    <w:rsid w:val="004B6ABC"/>
    <w:rsid w:val="004B6AF6"/>
    <w:rsid w:val="004B700A"/>
    <w:rsid w:val="004C04CF"/>
    <w:rsid w:val="004C07EE"/>
    <w:rsid w:val="004C0816"/>
    <w:rsid w:val="004C1051"/>
    <w:rsid w:val="004C119F"/>
    <w:rsid w:val="004C13B8"/>
    <w:rsid w:val="004C181B"/>
    <w:rsid w:val="004C3018"/>
    <w:rsid w:val="004C31BA"/>
    <w:rsid w:val="004C33CF"/>
    <w:rsid w:val="004C3436"/>
    <w:rsid w:val="004C3642"/>
    <w:rsid w:val="004C3A7C"/>
    <w:rsid w:val="004C415A"/>
    <w:rsid w:val="004C5475"/>
    <w:rsid w:val="004C57A8"/>
    <w:rsid w:val="004C5ADD"/>
    <w:rsid w:val="004C5CEA"/>
    <w:rsid w:val="004C5EF2"/>
    <w:rsid w:val="004C61FE"/>
    <w:rsid w:val="004C7518"/>
    <w:rsid w:val="004D06C3"/>
    <w:rsid w:val="004D0785"/>
    <w:rsid w:val="004D096F"/>
    <w:rsid w:val="004D0B74"/>
    <w:rsid w:val="004D1344"/>
    <w:rsid w:val="004D15FF"/>
    <w:rsid w:val="004D459F"/>
    <w:rsid w:val="004D4CCD"/>
    <w:rsid w:val="004D64ED"/>
    <w:rsid w:val="004D689F"/>
    <w:rsid w:val="004D6ADD"/>
    <w:rsid w:val="004D6BFE"/>
    <w:rsid w:val="004E031E"/>
    <w:rsid w:val="004E065A"/>
    <w:rsid w:val="004E16F1"/>
    <w:rsid w:val="004E1CF0"/>
    <w:rsid w:val="004E2419"/>
    <w:rsid w:val="004E3CC9"/>
    <w:rsid w:val="004E3FEA"/>
    <w:rsid w:val="004E4310"/>
    <w:rsid w:val="004E477E"/>
    <w:rsid w:val="004E4AAE"/>
    <w:rsid w:val="004E5313"/>
    <w:rsid w:val="004E605E"/>
    <w:rsid w:val="004E655D"/>
    <w:rsid w:val="004E6CD5"/>
    <w:rsid w:val="004E6E76"/>
    <w:rsid w:val="004E6F2F"/>
    <w:rsid w:val="004E71FB"/>
    <w:rsid w:val="004E7519"/>
    <w:rsid w:val="004E781D"/>
    <w:rsid w:val="004E7A0C"/>
    <w:rsid w:val="004F04AE"/>
    <w:rsid w:val="004F110F"/>
    <w:rsid w:val="004F1C20"/>
    <w:rsid w:val="004F1D28"/>
    <w:rsid w:val="004F1F52"/>
    <w:rsid w:val="004F296C"/>
    <w:rsid w:val="004F2D39"/>
    <w:rsid w:val="004F4230"/>
    <w:rsid w:val="004F43E9"/>
    <w:rsid w:val="004F44DF"/>
    <w:rsid w:val="004F4934"/>
    <w:rsid w:val="004F49A9"/>
    <w:rsid w:val="004F4AE6"/>
    <w:rsid w:val="004F5560"/>
    <w:rsid w:val="004F5704"/>
    <w:rsid w:val="004F5D06"/>
    <w:rsid w:val="004F6331"/>
    <w:rsid w:val="004F6764"/>
    <w:rsid w:val="004F6C5D"/>
    <w:rsid w:val="00500E93"/>
    <w:rsid w:val="005011A8"/>
    <w:rsid w:val="0050187B"/>
    <w:rsid w:val="00502423"/>
    <w:rsid w:val="0050257B"/>
    <w:rsid w:val="005028F7"/>
    <w:rsid w:val="005035DE"/>
    <w:rsid w:val="0050385B"/>
    <w:rsid w:val="005044C9"/>
    <w:rsid w:val="00505C8F"/>
    <w:rsid w:val="005062F9"/>
    <w:rsid w:val="0050688B"/>
    <w:rsid w:val="00507065"/>
    <w:rsid w:val="00507382"/>
    <w:rsid w:val="00507749"/>
    <w:rsid w:val="005079DC"/>
    <w:rsid w:val="00507F0F"/>
    <w:rsid w:val="00510A90"/>
    <w:rsid w:val="00510D72"/>
    <w:rsid w:val="00511C5F"/>
    <w:rsid w:val="005128FC"/>
    <w:rsid w:val="00512E35"/>
    <w:rsid w:val="00513759"/>
    <w:rsid w:val="00516535"/>
    <w:rsid w:val="005168C4"/>
    <w:rsid w:val="00516F1A"/>
    <w:rsid w:val="0051725C"/>
    <w:rsid w:val="00517C5F"/>
    <w:rsid w:val="0052105C"/>
    <w:rsid w:val="005212BD"/>
    <w:rsid w:val="005212C4"/>
    <w:rsid w:val="00521391"/>
    <w:rsid w:val="00521563"/>
    <w:rsid w:val="005217A5"/>
    <w:rsid w:val="005220FB"/>
    <w:rsid w:val="005230EA"/>
    <w:rsid w:val="0052334F"/>
    <w:rsid w:val="005234F6"/>
    <w:rsid w:val="00523EB9"/>
    <w:rsid w:val="00526770"/>
    <w:rsid w:val="00526A5B"/>
    <w:rsid w:val="00526CD6"/>
    <w:rsid w:val="0052722B"/>
    <w:rsid w:val="00527346"/>
    <w:rsid w:val="00527422"/>
    <w:rsid w:val="00527D0E"/>
    <w:rsid w:val="005302C2"/>
    <w:rsid w:val="00530C61"/>
    <w:rsid w:val="005316AD"/>
    <w:rsid w:val="00531B93"/>
    <w:rsid w:val="0053223A"/>
    <w:rsid w:val="00532282"/>
    <w:rsid w:val="00533467"/>
    <w:rsid w:val="00533633"/>
    <w:rsid w:val="00533645"/>
    <w:rsid w:val="00533877"/>
    <w:rsid w:val="00533894"/>
    <w:rsid w:val="00533C90"/>
    <w:rsid w:val="0053426B"/>
    <w:rsid w:val="005342B1"/>
    <w:rsid w:val="00534C22"/>
    <w:rsid w:val="00535343"/>
    <w:rsid w:val="005363B8"/>
    <w:rsid w:val="005367F6"/>
    <w:rsid w:val="005367FD"/>
    <w:rsid w:val="005379C7"/>
    <w:rsid w:val="00540001"/>
    <w:rsid w:val="00540A3D"/>
    <w:rsid w:val="00541427"/>
    <w:rsid w:val="00541545"/>
    <w:rsid w:val="00541559"/>
    <w:rsid w:val="005420AB"/>
    <w:rsid w:val="0054230B"/>
    <w:rsid w:val="00542AD5"/>
    <w:rsid w:val="00543075"/>
    <w:rsid w:val="00543589"/>
    <w:rsid w:val="005442C3"/>
    <w:rsid w:val="00544BC2"/>
    <w:rsid w:val="00544E1F"/>
    <w:rsid w:val="00546201"/>
    <w:rsid w:val="005462A0"/>
    <w:rsid w:val="00546D51"/>
    <w:rsid w:val="00547416"/>
    <w:rsid w:val="0055142E"/>
    <w:rsid w:val="005517F0"/>
    <w:rsid w:val="0055199C"/>
    <w:rsid w:val="00552335"/>
    <w:rsid w:val="00552674"/>
    <w:rsid w:val="00553B02"/>
    <w:rsid w:val="00553F50"/>
    <w:rsid w:val="0055463A"/>
    <w:rsid w:val="005557F0"/>
    <w:rsid w:val="00555B6A"/>
    <w:rsid w:val="00555C95"/>
    <w:rsid w:val="00555CB5"/>
    <w:rsid w:val="005567F7"/>
    <w:rsid w:val="00556952"/>
    <w:rsid w:val="00560CE5"/>
    <w:rsid w:val="00561917"/>
    <w:rsid w:val="00561BA3"/>
    <w:rsid w:val="00561C8D"/>
    <w:rsid w:val="005625C4"/>
    <w:rsid w:val="005627A7"/>
    <w:rsid w:val="0056314B"/>
    <w:rsid w:val="0056329A"/>
    <w:rsid w:val="00563628"/>
    <w:rsid w:val="00564606"/>
    <w:rsid w:val="005646F7"/>
    <w:rsid w:val="00564E7E"/>
    <w:rsid w:val="005653D6"/>
    <w:rsid w:val="005659CE"/>
    <w:rsid w:val="00565BDF"/>
    <w:rsid w:val="005660DF"/>
    <w:rsid w:val="00566774"/>
    <w:rsid w:val="0056687C"/>
    <w:rsid w:val="00566B83"/>
    <w:rsid w:val="00567725"/>
    <w:rsid w:val="00567CE9"/>
    <w:rsid w:val="00567DE1"/>
    <w:rsid w:val="0057067D"/>
    <w:rsid w:val="0057101A"/>
    <w:rsid w:val="005712CF"/>
    <w:rsid w:val="005724A8"/>
    <w:rsid w:val="00572610"/>
    <w:rsid w:val="00572CFA"/>
    <w:rsid w:val="0057421D"/>
    <w:rsid w:val="00574511"/>
    <w:rsid w:val="00574F42"/>
    <w:rsid w:val="0057516E"/>
    <w:rsid w:val="0057534B"/>
    <w:rsid w:val="00575BF5"/>
    <w:rsid w:val="00575D6E"/>
    <w:rsid w:val="005769E2"/>
    <w:rsid w:val="00576D1C"/>
    <w:rsid w:val="00577191"/>
    <w:rsid w:val="005771C7"/>
    <w:rsid w:val="00577966"/>
    <w:rsid w:val="00580026"/>
    <w:rsid w:val="005808CA"/>
    <w:rsid w:val="00580F3D"/>
    <w:rsid w:val="00582B02"/>
    <w:rsid w:val="00582B84"/>
    <w:rsid w:val="00584539"/>
    <w:rsid w:val="00585A95"/>
    <w:rsid w:val="005865F7"/>
    <w:rsid w:val="00586769"/>
    <w:rsid w:val="00586A15"/>
    <w:rsid w:val="00586B39"/>
    <w:rsid w:val="00586CC6"/>
    <w:rsid w:val="00586D10"/>
    <w:rsid w:val="00587116"/>
    <w:rsid w:val="0059093B"/>
    <w:rsid w:val="00590985"/>
    <w:rsid w:val="005915BF"/>
    <w:rsid w:val="00592753"/>
    <w:rsid w:val="00592A89"/>
    <w:rsid w:val="00593DCE"/>
    <w:rsid w:val="00594488"/>
    <w:rsid w:val="00594F14"/>
    <w:rsid w:val="00595992"/>
    <w:rsid w:val="00596CD3"/>
    <w:rsid w:val="00597030"/>
    <w:rsid w:val="00597A7F"/>
    <w:rsid w:val="005A07BD"/>
    <w:rsid w:val="005A088F"/>
    <w:rsid w:val="005A093C"/>
    <w:rsid w:val="005A143A"/>
    <w:rsid w:val="005A15E0"/>
    <w:rsid w:val="005A1C45"/>
    <w:rsid w:val="005A1DFB"/>
    <w:rsid w:val="005A25EB"/>
    <w:rsid w:val="005A25FC"/>
    <w:rsid w:val="005A2628"/>
    <w:rsid w:val="005A2CC8"/>
    <w:rsid w:val="005A349E"/>
    <w:rsid w:val="005A359B"/>
    <w:rsid w:val="005A4454"/>
    <w:rsid w:val="005A4537"/>
    <w:rsid w:val="005A4969"/>
    <w:rsid w:val="005A5F9A"/>
    <w:rsid w:val="005A6161"/>
    <w:rsid w:val="005A6F10"/>
    <w:rsid w:val="005B0379"/>
    <w:rsid w:val="005B0495"/>
    <w:rsid w:val="005B11F9"/>
    <w:rsid w:val="005B16CC"/>
    <w:rsid w:val="005B1796"/>
    <w:rsid w:val="005B17A3"/>
    <w:rsid w:val="005B1AA1"/>
    <w:rsid w:val="005B1D53"/>
    <w:rsid w:val="005B1D6F"/>
    <w:rsid w:val="005B259E"/>
    <w:rsid w:val="005B33DE"/>
    <w:rsid w:val="005B349E"/>
    <w:rsid w:val="005B4235"/>
    <w:rsid w:val="005B4568"/>
    <w:rsid w:val="005B6859"/>
    <w:rsid w:val="005B6D42"/>
    <w:rsid w:val="005B7081"/>
    <w:rsid w:val="005B7579"/>
    <w:rsid w:val="005B788D"/>
    <w:rsid w:val="005B7CBA"/>
    <w:rsid w:val="005C0C97"/>
    <w:rsid w:val="005C14AC"/>
    <w:rsid w:val="005C154F"/>
    <w:rsid w:val="005C177A"/>
    <w:rsid w:val="005C2151"/>
    <w:rsid w:val="005C3FCA"/>
    <w:rsid w:val="005C428C"/>
    <w:rsid w:val="005C436C"/>
    <w:rsid w:val="005C4415"/>
    <w:rsid w:val="005C614C"/>
    <w:rsid w:val="005C62B4"/>
    <w:rsid w:val="005C6C58"/>
    <w:rsid w:val="005C72DD"/>
    <w:rsid w:val="005C739D"/>
    <w:rsid w:val="005C7487"/>
    <w:rsid w:val="005C754E"/>
    <w:rsid w:val="005C7DBE"/>
    <w:rsid w:val="005D0627"/>
    <w:rsid w:val="005D1FD8"/>
    <w:rsid w:val="005D2883"/>
    <w:rsid w:val="005D30F2"/>
    <w:rsid w:val="005D3B5A"/>
    <w:rsid w:val="005D4476"/>
    <w:rsid w:val="005D4B8C"/>
    <w:rsid w:val="005D4D71"/>
    <w:rsid w:val="005D54F9"/>
    <w:rsid w:val="005D5AB8"/>
    <w:rsid w:val="005D612D"/>
    <w:rsid w:val="005D6B9A"/>
    <w:rsid w:val="005D74EC"/>
    <w:rsid w:val="005E0EA4"/>
    <w:rsid w:val="005E0ED3"/>
    <w:rsid w:val="005E18BB"/>
    <w:rsid w:val="005E23DE"/>
    <w:rsid w:val="005E27E3"/>
    <w:rsid w:val="005E3267"/>
    <w:rsid w:val="005E3C7C"/>
    <w:rsid w:val="005E3ED7"/>
    <w:rsid w:val="005E403E"/>
    <w:rsid w:val="005E4853"/>
    <w:rsid w:val="005E49A7"/>
    <w:rsid w:val="005E53B6"/>
    <w:rsid w:val="005E551A"/>
    <w:rsid w:val="005E5E5F"/>
    <w:rsid w:val="005E5F97"/>
    <w:rsid w:val="005E6DB4"/>
    <w:rsid w:val="005E73AB"/>
    <w:rsid w:val="005F0455"/>
    <w:rsid w:val="005F0D8A"/>
    <w:rsid w:val="005F189E"/>
    <w:rsid w:val="005F1906"/>
    <w:rsid w:val="005F1ED5"/>
    <w:rsid w:val="005F275F"/>
    <w:rsid w:val="005F39D0"/>
    <w:rsid w:val="005F3C02"/>
    <w:rsid w:val="005F488D"/>
    <w:rsid w:val="005F5A99"/>
    <w:rsid w:val="005F65C5"/>
    <w:rsid w:val="005F7744"/>
    <w:rsid w:val="006004F4"/>
    <w:rsid w:val="006007A3"/>
    <w:rsid w:val="006012DE"/>
    <w:rsid w:val="0060148C"/>
    <w:rsid w:val="0060154E"/>
    <w:rsid w:val="006015B0"/>
    <w:rsid w:val="006017DB"/>
    <w:rsid w:val="00601A09"/>
    <w:rsid w:val="00602DEC"/>
    <w:rsid w:val="00604686"/>
    <w:rsid w:val="00604A3A"/>
    <w:rsid w:val="00604CD9"/>
    <w:rsid w:val="006059B8"/>
    <w:rsid w:val="00605DBD"/>
    <w:rsid w:val="0060629A"/>
    <w:rsid w:val="00607421"/>
    <w:rsid w:val="0060754E"/>
    <w:rsid w:val="0060772A"/>
    <w:rsid w:val="00607CF6"/>
    <w:rsid w:val="006103B0"/>
    <w:rsid w:val="006111A9"/>
    <w:rsid w:val="006117B5"/>
    <w:rsid w:val="00612205"/>
    <w:rsid w:val="0061221C"/>
    <w:rsid w:val="00612A82"/>
    <w:rsid w:val="00612BC8"/>
    <w:rsid w:val="00613489"/>
    <w:rsid w:val="00614722"/>
    <w:rsid w:val="0061504D"/>
    <w:rsid w:val="00615F9F"/>
    <w:rsid w:val="0061704B"/>
    <w:rsid w:val="006178A2"/>
    <w:rsid w:val="006202CE"/>
    <w:rsid w:val="00621380"/>
    <w:rsid w:val="00621A11"/>
    <w:rsid w:val="0062289E"/>
    <w:rsid w:val="0062380E"/>
    <w:rsid w:val="00624F34"/>
    <w:rsid w:val="00625EB9"/>
    <w:rsid w:val="006266C0"/>
    <w:rsid w:val="006266D3"/>
    <w:rsid w:val="00626CDD"/>
    <w:rsid w:val="006308F7"/>
    <w:rsid w:val="00630FC5"/>
    <w:rsid w:val="00632EF8"/>
    <w:rsid w:val="00633B86"/>
    <w:rsid w:val="00633B9B"/>
    <w:rsid w:val="00633E6F"/>
    <w:rsid w:val="00634D5E"/>
    <w:rsid w:val="00635041"/>
    <w:rsid w:val="00635D5B"/>
    <w:rsid w:val="00637A61"/>
    <w:rsid w:val="006404FA"/>
    <w:rsid w:val="00640C19"/>
    <w:rsid w:val="00641DB9"/>
    <w:rsid w:val="00641E36"/>
    <w:rsid w:val="0064323B"/>
    <w:rsid w:val="0064355B"/>
    <w:rsid w:val="00643DCE"/>
    <w:rsid w:val="00643E38"/>
    <w:rsid w:val="0064465E"/>
    <w:rsid w:val="00644AC2"/>
    <w:rsid w:val="00646431"/>
    <w:rsid w:val="00647000"/>
    <w:rsid w:val="00647004"/>
    <w:rsid w:val="006477CE"/>
    <w:rsid w:val="0064787F"/>
    <w:rsid w:val="00650223"/>
    <w:rsid w:val="0065098A"/>
    <w:rsid w:val="006511E8"/>
    <w:rsid w:val="00651633"/>
    <w:rsid w:val="00651C99"/>
    <w:rsid w:val="0065230D"/>
    <w:rsid w:val="006524A5"/>
    <w:rsid w:val="00652712"/>
    <w:rsid w:val="006533BD"/>
    <w:rsid w:val="00653F43"/>
    <w:rsid w:val="006543D2"/>
    <w:rsid w:val="00655701"/>
    <w:rsid w:val="00655A11"/>
    <w:rsid w:val="0065602A"/>
    <w:rsid w:val="00657516"/>
    <w:rsid w:val="00657679"/>
    <w:rsid w:val="00661580"/>
    <w:rsid w:val="00661956"/>
    <w:rsid w:val="00662A7F"/>
    <w:rsid w:val="00662E6B"/>
    <w:rsid w:val="00663C14"/>
    <w:rsid w:val="00663CCD"/>
    <w:rsid w:val="00664126"/>
    <w:rsid w:val="006643AC"/>
    <w:rsid w:val="006644EA"/>
    <w:rsid w:val="00665584"/>
    <w:rsid w:val="006659FA"/>
    <w:rsid w:val="00665AE3"/>
    <w:rsid w:val="00665BB5"/>
    <w:rsid w:val="00665BB7"/>
    <w:rsid w:val="0066643B"/>
    <w:rsid w:val="00667008"/>
    <w:rsid w:val="00667B97"/>
    <w:rsid w:val="00671BE3"/>
    <w:rsid w:val="00671F2C"/>
    <w:rsid w:val="00671FFC"/>
    <w:rsid w:val="00672118"/>
    <w:rsid w:val="00672353"/>
    <w:rsid w:val="00672CB1"/>
    <w:rsid w:val="006733AA"/>
    <w:rsid w:val="00673AF7"/>
    <w:rsid w:val="006757D0"/>
    <w:rsid w:val="00675B07"/>
    <w:rsid w:val="006768F1"/>
    <w:rsid w:val="0068080A"/>
    <w:rsid w:val="006810EA"/>
    <w:rsid w:val="00681647"/>
    <w:rsid w:val="006819A5"/>
    <w:rsid w:val="00681CF5"/>
    <w:rsid w:val="00682F79"/>
    <w:rsid w:val="006831CE"/>
    <w:rsid w:val="00683D2F"/>
    <w:rsid w:val="006844B8"/>
    <w:rsid w:val="0068553C"/>
    <w:rsid w:val="006856DF"/>
    <w:rsid w:val="006859AC"/>
    <w:rsid w:val="00685E19"/>
    <w:rsid w:val="00685E47"/>
    <w:rsid w:val="0068629F"/>
    <w:rsid w:val="0068770C"/>
    <w:rsid w:val="00690099"/>
    <w:rsid w:val="0069047E"/>
    <w:rsid w:val="00691400"/>
    <w:rsid w:val="00692097"/>
    <w:rsid w:val="00692220"/>
    <w:rsid w:val="00692E63"/>
    <w:rsid w:val="00693853"/>
    <w:rsid w:val="0069449B"/>
    <w:rsid w:val="00696254"/>
    <w:rsid w:val="00697133"/>
    <w:rsid w:val="006972AD"/>
    <w:rsid w:val="00697591"/>
    <w:rsid w:val="0069760A"/>
    <w:rsid w:val="00697774"/>
    <w:rsid w:val="006A18F9"/>
    <w:rsid w:val="006A1AC6"/>
    <w:rsid w:val="006A22AF"/>
    <w:rsid w:val="006A27AB"/>
    <w:rsid w:val="006A29D9"/>
    <w:rsid w:val="006A3614"/>
    <w:rsid w:val="006A371A"/>
    <w:rsid w:val="006A450C"/>
    <w:rsid w:val="006A452E"/>
    <w:rsid w:val="006A4E2E"/>
    <w:rsid w:val="006A5325"/>
    <w:rsid w:val="006A5AFD"/>
    <w:rsid w:val="006A5D77"/>
    <w:rsid w:val="006A6CD9"/>
    <w:rsid w:val="006A6EFC"/>
    <w:rsid w:val="006A7118"/>
    <w:rsid w:val="006A74F7"/>
    <w:rsid w:val="006A781F"/>
    <w:rsid w:val="006A7CD0"/>
    <w:rsid w:val="006A7CFD"/>
    <w:rsid w:val="006B0B19"/>
    <w:rsid w:val="006B0FCA"/>
    <w:rsid w:val="006B21E0"/>
    <w:rsid w:val="006B3462"/>
    <w:rsid w:val="006B3821"/>
    <w:rsid w:val="006B416F"/>
    <w:rsid w:val="006B4433"/>
    <w:rsid w:val="006B47EE"/>
    <w:rsid w:val="006B4C26"/>
    <w:rsid w:val="006B54B8"/>
    <w:rsid w:val="006B5A53"/>
    <w:rsid w:val="006B5C75"/>
    <w:rsid w:val="006B7B57"/>
    <w:rsid w:val="006C0399"/>
    <w:rsid w:val="006C0A9A"/>
    <w:rsid w:val="006C13C0"/>
    <w:rsid w:val="006C1890"/>
    <w:rsid w:val="006C1DAB"/>
    <w:rsid w:val="006C25CE"/>
    <w:rsid w:val="006C2D98"/>
    <w:rsid w:val="006C3338"/>
    <w:rsid w:val="006C486B"/>
    <w:rsid w:val="006C4A71"/>
    <w:rsid w:val="006C5315"/>
    <w:rsid w:val="006C586E"/>
    <w:rsid w:val="006C5B30"/>
    <w:rsid w:val="006C5D9D"/>
    <w:rsid w:val="006C65D2"/>
    <w:rsid w:val="006C6A2B"/>
    <w:rsid w:val="006C6ACC"/>
    <w:rsid w:val="006C7784"/>
    <w:rsid w:val="006D24EB"/>
    <w:rsid w:val="006D2526"/>
    <w:rsid w:val="006D25AC"/>
    <w:rsid w:val="006D2868"/>
    <w:rsid w:val="006D2AB0"/>
    <w:rsid w:val="006D2FC0"/>
    <w:rsid w:val="006D47AC"/>
    <w:rsid w:val="006D49DF"/>
    <w:rsid w:val="006D4F02"/>
    <w:rsid w:val="006D4F8E"/>
    <w:rsid w:val="006D55F5"/>
    <w:rsid w:val="006D5650"/>
    <w:rsid w:val="006D57AB"/>
    <w:rsid w:val="006D61A8"/>
    <w:rsid w:val="006D7857"/>
    <w:rsid w:val="006E03D8"/>
    <w:rsid w:val="006E0995"/>
    <w:rsid w:val="006E0F7E"/>
    <w:rsid w:val="006E21C3"/>
    <w:rsid w:val="006E223A"/>
    <w:rsid w:val="006E283A"/>
    <w:rsid w:val="006E2D40"/>
    <w:rsid w:val="006E3C3F"/>
    <w:rsid w:val="006E41DA"/>
    <w:rsid w:val="006E4CDE"/>
    <w:rsid w:val="006E4D90"/>
    <w:rsid w:val="006E5257"/>
    <w:rsid w:val="006E68AC"/>
    <w:rsid w:val="006E6ACB"/>
    <w:rsid w:val="006E6ADD"/>
    <w:rsid w:val="006E733E"/>
    <w:rsid w:val="006F0C9B"/>
    <w:rsid w:val="006F1331"/>
    <w:rsid w:val="006F1CBE"/>
    <w:rsid w:val="006F2977"/>
    <w:rsid w:val="006F2C21"/>
    <w:rsid w:val="006F37A7"/>
    <w:rsid w:val="006F5151"/>
    <w:rsid w:val="006F5872"/>
    <w:rsid w:val="006F59A0"/>
    <w:rsid w:val="006F6BD4"/>
    <w:rsid w:val="006F6D21"/>
    <w:rsid w:val="006F7B2E"/>
    <w:rsid w:val="007000C5"/>
    <w:rsid w:val="0070074C"/>
    <w:rsid w:val="007007D1"/>
    <w:rsid w:val="00701236"/>
    <w:rsid w:val="0070292B"/>
    <w:rsid w:val="007034D8"/>
    <w:rsid w:val="00703687"/>
    <w:rsid w:val="007041AB"/>
    <w:rsid w:val="0070423C"/>
    <w:rsid w:val="00704D31"/>
    <w:rsid w:val="00705322"/>
    <w:rsid w:val="00706038"/>
    <w:rsid w:val="0070656A"/>
    <w:rsid w:val="00707A65"/>
    <w:rsid w:val="00707B75"/>
    <w:rsid w:val="00710184"/>
    <w:rsid w:val="00710CBE"/>
    <w:rsid w:val="00711BEF"/>
    <w:rsid w:val="00711C8B"/>
    <w:rsid w:val="00712F23"/>
    <w:rsid w:val="00714ABF"/>
    <w:rsid w:val="00715D10"/>
    <w:rsid w:val="00716039"/>
    <w:rsid w:val="0071626B"/>
    <w:rsid w:val="00716A51"/>
    <w:rsid w:val="00716B28"/>
    <w:rsid w:val="00716C0D"/>
    <w:rsid w:val="007206D6"/>
    <w:rsid w:val="00720BEE"/>
    <w:rsid w:val="0072105D"/>
    <w:rsid w:val="00721B8E"/>
    <w:rsid w:val="007220BB"/>
    <w:rsid w:val="0072272B"/>
    <w:rsid w:val="007239D0"/>
    <w:rsid w:val="007246C2"/>
    <w:rsid w:val="007251A4"/>
    <w:rsid w:val="00725885"/>
    <w:rsid w:val="007258C2"/>
    <w:rsid w:val="00726E2C"/>
    <w:rsid w:val="00727D1B"/>
    <w:rsid w:val="00727DEA"/>
    <w:rsid w:val="007300AC"/>
    <w:rsid w:val="0073015D"/>
    <w:rsid w:val="00730836"/>
    <w:rsid w:val="00730F1E"/>
    <w:rsid w:val="00731B26"/>
    <w:rsid w:val="00731B77"/>
    <w:rsid w:val="00731E5E"/>
    <w:rsid w:val="007334A2"/>
    <w:rsid w:val="007338C8"/>
    <w:rsid w:val="0073417B"/>
    <w:rsid w:val="007343ED"/>
    <w:rsid w:val="00734559"/>
    <w:rsid w:val="00734C6D"/>
    <w:rsid w:val="00734CC0"/>
    <w:rsid w:val="00734E13"/>
    <w:rsid w:val="0073505C"/>
    <w:rsid w:val="0073511B"/>
    <w:rsid w:val="00735E96"/>
    <w:rsid w:val="00736427"/>
    <w:rsid w:val="007365B5"/>
    <w:rsid w:val="007376DD"/>
    <w:rsid w:val="0073797B"/>
    <w:rsid w:val="0074021E"/>
    <w:rsid w:val="00741780"/>
    <w:rsid w:val="00741824"/>
    <w:rsid w:val="0074217A"/>
    <w:rsid w:val="00742371"/>
    <w:rsid w:val="0074338E"/>
    <w:rsid w:val="00743B40"/>
    <w:rsid w:val="007448D0"/>
    <w:rsid w:val="007449FE"/>
    <w:rsid w:val="00745382"/>
    <w:rsid w:val="00745827"/>
    <w:rsid w:val="00746DA0"/>
    <w:rsid w:val="0075096F"/>
    <w:rsid w:val="00750B01"/>
    <w:rsid w:val="00752625"/>
    <w:rsid w:val="00752ABA"/>
    <w:rsid w:val="00753868"/>
    <w:rsid w:val="00753DB6"/>
    <w:rsid w:val="00754670"/>
    <w:rsid w:val="00755346"/>
    <w:rsid w:val="00755455"/>
    <w:rsid w:val="00755AB8"/>
    <w:rsid w:val="00756400"/>
    <w:rsid w:val="007566B8"/>
    <w:rsid w:val="007574DD"/>
    <w:rsid w:val="007579F8"/>
    <w:rsid w:val="00757AB2"/>
    <w:rsid w:val="00760279"/>
    <w:rsid w:val="00760C20"/>
    <w:rsid w:val="00760D27"/>
    <w:rsid w:val="007612E5"/>
    <w:rsid w:val="0076143D"/>
    <w:rsid w:val="00761A46"/>
    <w:rsid w:val="00761B31"/>
    <w:rsid w:val="00761CEB"/>
    <w:rsid w:val="007622D9"/>
    <w:rsid w:val="0076283B"/>
    <w:rsid w:val="0076289E"/>
    <w:rsid w:val="00763642"/>
    <w:rsid w:val="0076376F"/>
    <w:rsid w:val="00763886"/>
    <w:rsid w:val="00763918"/>
    <w:rsid w:val="007646A2"/>
    <w:rsid w:val="0076484B"/>
    <w:rsid w:val="00764F1E"/>
    <w:rsid w:val="0076516C"/>
    <w:rsid w:val="0076554A"/>
    <w:rsid w:val="00765B7C"/>
    <w:rsid w:val="0076670B"/>
    <w:rsid w:val="007670B3"/>
    <w:rsid w:val="007671EF"/>
    <w:rsid w:val="007672D1"/>
    <w:rsid w:val="00767441"/>
    <w:rsid w:val="00770B98"/>
    <w:rsid w:val="00771DA8"/>
    <w:rsid w:val="00771F3E"/>
    <w:rsid w:val="007723BD"/>
    <w:rsid w:val="00772CBE"/>
    <w:rsid w:val="00772D96"/>
    <w:rsid w:val="007734E4"/>
    <w:rsid w:val="007742A4"/>
    <w:rsid w:val="007744F1"/>
    <w:rsid w:val="007747E6"/>
    <w:rsid w:val="00774E8A"/>
    <w:rsid w:val="00774FE4"/>
    <w:rsid w:val="007759E8"/>
    <w:rsid w:val="00776635"/>
    <w:rsid w:val="00776AE9"/>
    <w:rsid w:val="00776F73"/>
    <w:rsid w:val="00777215"/>
    <w:rsid w:val="00777362"/>
    <w:rsid w:val="007776F6"/>
    <w:rsid w:val="00777A68"/>
    <w:rsid w:val="00777BA3"/>
    <w:rsid w:val="007801F3"/>
    <w:rsid w:val="0078074F"/>
    <w:rsid w:val="0078111B"/>
    <w:rsid w:val="00781464"/>
    <w:rsid w:val="0078257E"/>
    <w:rsid w:val="00782A46"/>
    <w:rsid w:val="00782E3F"/>
    <w:rsid w:val="00783369"/>
    <w:rsid w:val="007836C4"/>
    <w:rsid w:val="0078586A"/>
    <w:rsid w:val="00785E15"/>
    <w:rsid w:val="0078602D"/>
    <w:rsid w:val="00787595"/>
    <w:rsid w:val="00787E93"/>
    <w:rsid w:val="00790D7D"/>
    <w:rsid w:val="00791B37"/>
    <w:rsid w:val="00791C03"/>
    <w:rsid w:val="00792B9B"/>
    <w:rsid w:val="00793328"/>
    <w:rsid w:val="00793CE2"/>
    <w:rsid w:val="00793D7E"/>
    <w:rsid w:val="00794149"/>
    <w:rsid w:val="00794B36"/>
    <w:rsid w:val="00794BB8"/>
    <w:rsid w:val="00794C01"/>
    <w:rsid w:val="00795184"/>
    <w:rsid w:val="0079542C"/>
    <w:rsid w:val="00795BBC"/>
    <w:rsid w:val="00795CA6"/>
    <w:rsid w:val="00795EED"/>
    <w:rsid w:val="00796769"/>
    <w:rsid w:val="00796C34"/>
    <w:rsid w:val="007979DE"/>
    <w:rsid w:val="00797B3C"/>
    <w:rsid w:val="00797E20"/>
    <w:rsid w:val="00797F5F"/>
    <w:rsid w:val="00797F97"/>
    <w:rsid w:val="007A19F7"/>
    <w:rsid w:val="007A2854"/>
    <w:rsid w:val="007A28DF"/>
    <w:rsid w:val="007A2C89"/>
    <w:rsid w:val="007A3114"/>
    <w:rsid w:val="007A32DF"/>
    <w:rsid w:val="007A3B3D"/>
    <w:rsid w:val="007A4071"/>
    <w:rsid w:val="007A40E2"/>
    <w:rsid w:val="007A4147"/>
    <w:rsid w:val="007A49A0"/>
    <w:rsid w:val="007A64CF"/>
    <w:rsid w:val="007A6BAA"/>
    <w:rsid w:val="007A6D59"/>
    <w:rsid w:val="007A78BE"/>
    <w:rsid w:val="007A7B89"/>
    <w:rsid w:val="007A7D86"/>
    <w:rsid w:val="007B016F"/>
    <w:rsid w:val="007B02EE"/>
    <w:rsid w:val="007B0B8A"/>
    <w:rsid w:val="007B0DF1"/>
    <w:rsid w:val="007B0F9C"/>
    <w:rsid w:val="007B1F28"/>
    <w:rsid w:val="007B20CC"/>
    <w:rsid w:val="007B26F8"/>
    <w:rsid w:val="007B31E6"/>
    <w:rsid w:val="007B497B"/>
    <w:rsid w:val="007B55B0"/>
    <w:rsid w:val="007B56B4"/>
    <w:rsid w:val="007B60F7"/>
    <w:rsid w:val="007B7057"/>
    <w:rsid w:val="007B73A9"/>
    <w:rsid w:val="007B7EEB"/>
    <w:rsid w:val="007C02CC"/>
    <w:rsid w:val="007C23B0"/>
    <w:rsid w:val="007C2E04"/>
    <w:rsid w:val="007C3F38"/>
    <w:rsid w:val="007C4715"/>
    <w:rsid w:val="007C4EBB"/>
    <w:rsid w:val="007C5040"/>
    <w:rsid w:val="007C517F"/>
    <w:rsid w:val="007C53C7"/>
    <w:rsid w:val="007C5D1E"/>
    <w:rsid w:val="007C7369"/>
    <w:rsid w:val="007C7BF9"/>
    <w:rsid w:val="007D0186"/>
    <w:rsid w:val="007D03C0"/>
    <w:rsid w:val="007D0F95"/>
    <w:rsid w:val="007D1815"/>
    <w:rsid w:val="007D1ECB"/>
    <w:rsid w:val="007D2780"/>
    <w:rsid w:val="007D2996"/>
    <w:rsid w:val="007D2F6F"/>
    <w:rsid w:val="007D368B"/>
    <w:rsid w:val="007D4178"/>
    <w:rsid w:val="007D4708"/>
    <w:rsid w:val="007D505F"/>
    <w:rsid w:val="007D5808"/>
    <w:rsid w:val="007D5A47"/>
    <w:rsid w:val="007D6348"/>
    <w:rsid w:val="007D7505"/>
    <w:rsid w:val="007D7DC3"/>
    <w:rsid w:val="007E063F"/>
    <w:rsid w:val="007E0655"/>
    <w:rsid w:val="007E0E3A"/>
    <w:rsid w:val="007E1793"/>
    <w:rsid w:val="007E23E6"/>
    <w:rsid w:val="007E24C4"/>
    <w:rsid w:val="007E35F9"/>
    <w:rsid w:val="007E36B2"/>
    <w:rsid w:val="007E3A9C"/>
    <w:rsid w:val="007E45BB"/>
    <w:rsid w:val="007E5C07"/>
    <w:rsid w:val="007E65E8"/>
    <w:rsid w:val="007E701D"/>
    <w:rsid w:val="007F0336"/>
    <w:rsid w:val="007F125C"/>
    <w:rsid w:val="007F2B0A"/>
    <w:rsid w:val="007F2FF5"/>
    <w:rsid w:val="007F37BD"/>
    <w:rsid w:val="007F4843"/>
    <w:rsid w:val="007F49EB"/>
    <w:rsid w:val="007F5B3D"/>
    <w:rsid w:val="007F5C04"/>
    <w:rsid w:val="007F74F6"/>
    <w:rsid w:val="00802649"/>
    <w:rsid w:val="00802714"/>
    <w:rsid w:val="00802B61"/>
    <w:rsid w:val="00803161"/>
    <w:rsid w:val="00803514"/>
    <w:rsid w:val="008038AD"/>
    <w:rsid w:val="00804F70"/>
    <w:rsid w:val="00805351"/>
    <w:rsid w:val="008059B3"/>
    <w:rsid w:val="008059BB"/>
    <w:rsid w:val="00805A85"/>
    <w:rsid w:val="00805F20"/>
    <w:rsid w:val="008062BF"/>
    <w:rsid w:val="0080681B"/>
    <w:rsid w:val="00806C62"/>
    <w:rsid w:val="00806D12"/>
    <w:rsid w:val="00806F8E"/>
    <w:rsid w:val="00807FF9"/>
    <w:rsid w:val="00811246"/>
    <w:rsid w:val="00812A09"/>
    <w:rsid w:val="00812BE6"/>
    <w:rsid w:val="00813D3D"/>
    <w:rsid w:val="00814260"/>
    <w:rsid w:val="008148E6"/>
    <w:rsid w:val="0081534F"/>
    <w:rsid w:val="00815512"/>
    <w:rsid w:val="00815EF2"/>
    <w:rsid w:val="008160D0"/>
    <w:rsid w:val="00816BAB"/>
    <w:rsid w:val="00817001"/>
    <w:rsid w:val="00817729"/>
    <w:rsid w:val="00817915"/>
    <w:rsid w:val="0082036B"/>
    <w:rsid w:val="00820CB4"/>
    <w:rsid w:val="00821402"/>
    <w:rsid w:val="00822617"/>
    <w:rsid w:val="00822679"/>
    <w:rsid w:val="00822B3C"/>
    <w:rsid w:val="00823606"/>
    <w:rsid w:val="00823894"/>
    <w:rsid w:val="00823BF9"/>
    <w:rsid w:val="00825116"/>
    <w:rsid w:val="00825D51"/>
    <w:rsid w:val="00827387"/>
    <w:rsid w:val="00827990"/>
    <w:rsid w:val="00827D62"/>
    <w:rsid w:val="00830A85"/>
    <w:rsid w:val="00830C6C"/>
    <w:rsid w:val="00830CBD"/>
    <w:rsid w:val="0083109C"/>
    <w:rsid w:val="00831D0F"/>
    <w:rsid w:val="00832087"/>
    <w:rsid w:val="008320CD"/>
    <w:rsid w:val="00832ABA"/>
    <w:rsid w:val="0083346C"/>
    <w:rsid w:val="00834E4A"/>
    <w:rsid w:val="00834E81"/>
    <w:rsid w:val="00835527"/>
    <w:rsid w:val="008358A4"/>
    <w:rsid w:val="00835DF3"/>
    <w:rsid w:val="00836A9F"/>
    <w:rsid w:val="00836C19"/>
    <w:rsid w:val="00840854"/>
    <w:rsid w:val="00843DD5"/>
    <w:rsid w:val="00844F62"/>
    <w:rsid w:val="00845224"/>
    <w:rsid w:val="00845B00"/>
    <w:rsid w:val="00845DE1"/>
    <w:rsid w:val="0084648F"/>
    <w:rsid w:val="00847697"/>
    <w:rsid w:val="00847E98"/>
    <w:rsid w:val="008517DD"/>
    <w:rsid w:val="00851AD5"/>
    <w:rsid w:val="00851C1C"/>
    <w:rsid w:val="008522C5"/>
    <w:rsid w:val="0085272E"/>
    <w:rsid w:val="008531D0"/>
    <w:rsid w:val="00853297"/>
    <w:rsid w:val="008533A3"/>
    <w:rsid w:val="00853618"/>
    <w:rsid w:val="00853ECE"/>
    <w:rsid w:val="008544BC"/>
    <w:rsid w:val="00854C28"/>
    <w:rsid w:val="008550A5"/>
    <w:rsid w:val="00855886"/>
    <w:rsid w:val="00856437"/>
    <w:rsid w:val="00856F92"/>
    <w:rsid w:val="0086095A"/>
    <w:rsid w:val="00860C6F"/>
    <w:rsid w:val="00862A39"/>
    <w:rsid w:val="00862ECE"/>
    <w:rsid w:val="00863BFC"/>
    <w:rsid w:val="008642CB"/>
    <w:rsid w:val="00864A7F"/>
    <w:rsid w:val="00865346"/>
    <w:rsid w:val="00865C16"/>
    <w:rsid w:val="00866A65"/>
    <w:rsid w:val="00867BE8"/>
    <w:rsid w:val="00867CD9"/>
    <w:rsid w:val="00870A71"/>
    <w:rsid w:val="00874774"/>
    <w:rsid w:val="0087545E"/>
    <w:rsid w:val="008755F7"/>
    <w:rsid w:val="0087578A"/>
    <w:rsid w:val="00876A77"/>
    <w:rsid w:val="00876C95"/>
    <w:rsid w:val="008804B1"/>
    <w:rsid w:val="00880AB7"/>
    <w:rsid w:val="00880FC7"/>
    <w:rsid w:val="008814B6"/>
    <w:rsid w:val="008816A0"/>
    <w:rsid w:val="00881B04"/>
    <w:rsid w:val="008824C3"/>
    <w:rsid w:val="0088287D"/>
    <w:rsid w:val="00882E24"/>
    <w:rsid w:val="00883267"/>
    <w:rsid w:val="00883B2E"/>
    <w:rsid w:val="008840FF"/>
    <w:rsid w:val="0088418C"/>
    <w:rsid w:val="00884F81"/>
    <w:rsid w:val="00885950"/>
    <w:rsid w:val="00885BDA"/>
    <w:rsid w:val="00885EC5"/>
    <w:rsid w:val="00886622"/>
    <w:rsid w:val="00886C32"/>
    <w:rsid w:val="0088727B"/>
    <w:rsid w:val="0088731C"/>
    <w:rsid w:val="00887F51"/>
    <w:rsid w:val="0089169A"/>
    <w:rsid w:val="00891925"/>
    <w:rsid w:val="00891A21"/>
    <w:rsid w:val="00892E92"/>
    <w:rsid w:val="008937CE"/>
    <w:rsid w:val="008949FA"/>
    <w:rsid w:val="00894F28"/>
    <w:rsid w:val="0089527E"/>
    <w:rsid w:val="008957E2"/>
    <w:rsid w:val="00897206"/>
    <w:rsid w:val="0089771C"/>
    <w:rsid w:val="008A1099"/>
    <w:rsid w:val="008A17E1"/>
    <w:rsid w:val="008A200B"/>
    <w:rsid w:val="008A2166"/>
    <w:rsid w:val="008A29D6"/>
    <w:rsid w:val="008A2D98"/>
    <w:rsid w:val="008A2E70"/>
    <w:rsid w:val="008A38B0"/>
    <w:rsid w:val="008A3C74"/>
    <w:rsid w:val="008A4D2B"/>
    <w:rsid w:val="008A4E7A"/>
    <w:rsid w:val="008A534C"/>
    <w:rsid w:val="008A5AD3"/>
    <w:rsid w:val="008A5CEE"/>
    <w:rsid w:val="008A645E"/>
    <w:rsid w:val="008A6EB7"/>
    <w:rsid w:val="008A6FBA"/>
    <w:rsid w:val="008A77EE"/>
    <w:rsid w:val="008A7CC3"/>
    <w:rsid w:val="008B05DE"/>
    <w:rsid w:val="008B0B77"/>
    <w:rsid w:val="008B0BBA"/>
    <w:rsid w:val="008B1E83"/>
    <w:rsid w:val="008B1FE2"/>
    <w:rsid w:val="008B24FD"/>
    <w:rsid w:val="008B4EED"/>
    <w:rsid w:val="008B75C1"/>
    <w:rsid w:val="008B7693"/>
    <w:rsid w:val="008B7FC5"/>
    <w:rsid w:val="008C1219"/>
    <w:rsid w:val="008C195B"/>
    <w:rsid w:val="008C1A2D"/>
    <w:rsid w:val="008C22C8"/>
    <w:rsid w:val="008C2508"/>
    <w:rsid w:val="008C26CF"/>
    <w:rsid w:val="008C2A0F"/>
    <w:rsid w:val="008C2EF9"/>
    <w:rsid w:val="008C3D56"/>
    <w:rsid w:val="008C4DB3"/>
    <w:rsid w:val="008C5167"/>
    <w:rsid w:val="008C5C6B"/>
    <w:rsid w:val="008C5DE4"/>
    <w:rsid w:val="008C7287"/>
    <w:rsid w:val="008C787B"/>
    <w:rsid w:val="008C79D2"/>
    <w:rsid w:val="008D02CA"/>
    <w:rsid w:val="008D044F"/>
    <w:rsid w:val="008D0636"/>
    <w:rsid w:val="008D06B5"/>
    <w:rsid w:val="008D0FEA"/>
    <w:rsid w:val="008D25AF"/>
    <w:rsid w:val="008D26E8"/>
    <w:rsid w:val="008D2CDA"/>
    <w:rsid w:val="008D2FE9"/>
    <w:rsid w:val="008D41C6"/>
    <w:rsid w:val="008D64BD"/>
    <w:rsid w:val="008D6694"/>
    <w:rsid w:val="008D714F"/>
    <w:rsid w:val="008E0189"/>
    <w:rsid w:val="008E110C"/>
    <w:rsid w:val="008E1762"/>
    <w:rsid w:val="008E1921"/>
    <w:rsid w:val="008E1AD5"/>
    <w:rsid w:val="008E1B82"/>
    <w:rsid w:val="008E24F5"/>
    <w:rsid w:val="008E278B"/>
    <w:rsid w:val="008E2CD8"/>
    <w:rsid w:val="008E2D53"/>
    <w:rsid w:val="008E2E7E"/>
    <w:rsid w:val="008E394F"/>
    <w:rsid w:val="008E484E"/>
    <w:rsid w:val="008E5109"/>
    <w:rsid w:val="008E5C66"/>
    <w:rsid w:val="008E5C87"/>
    <w:rsid w:val="008E6856"/>
    <w:rsid w:val="008E7491"/>
    <w:rsid w:val="008F0687"/>
    <w:rsid w:val="008F0775"/>
    <w:rsid w:val="008F0C2C"/>
    <w:rsid w:val="008F13CC"/>
    <w:rsid w:val="008F1934"/>
    <w:rsid w:val="008F2D16"/>
    <w:rsid w:val="008F3343"/>
    <w:rsid w:val="008F5181"/>
    <w:rsid w:val="008F5B76"/>
    <w:rsid w:val="008F5F50"/>
    <w:rsid w:val="008F6329"/>
    <w:rsid w:val="008F703C"/>
    <w:rsid w:val="00900576"/>
    <w:rsid w:val="009012DF"/>
    <w:rsid w:val="0090137A"/>
    <w:rsid w:val="009017D9"/>
    <w:rsid w:val="00901B2A"/>
    <w:rsid w:val="00901C59"/>
    <w:rsid w:val="009030CA"/>
    <w:rsid w:val="0090451E"/>
    <w:rsid w:val="00904AE8"/>
    <w:rsid w:val="00905DF4"/>
    <w:rsid w:val="00905E8D"/>
    <w:rsid w:val="00906166"/>
    <w:rsid w:val="0090626C"/>
    <w:rsid w:val="0090642C"/>
    <w:rsid w:val="009065CE"/>
    <w:rsid w:val="00906D35"/>
    <w:rsid w:val="00906F21"/>
    <w:rsid w:val="009077CC"/>
    <w:rsid w:val="009078DF"/>
    <w:rsid w:val="00907D82"/>
    <w:rsid w:val="00910A76"/>
    <w:rsid w:val="00910BFE"/>
    <w:rsid w:val="00911344"/>
    <w:rsid w:val="00911530"/>
    <w:rsid w:val="009126C7"/>
    <w:rsid w:val="00912C73"/>
    <w:rsid w:val="00912E06"/>
    <w:rsid w:val="00913DD1"/>
    <w:rsid w:val="00914759"/>
    <w:rsid w:val="0091563E"/>
    <w:rsid w:val="0091585B"/>
    <w:rsid w:val="00915CFC"/>
    <w:rsid w:val="0091681A"/>
    <w:rsid w:val="00920AEF"/>
    <w:rsid w:val="00921AD6"/>
    <w:rsid w:val="00921AF7"/>
    <w:rsid w:val="009227A3"/>
    <w:rsid w:val="009238A9"/>
    <w:rsid w:val="00923A7D"/>
    <w:rsid w:val="009249C6"/>
    <w:rsid w:val="00925AB0"/>
    <w:rsid w:val="009269DC"/>
    <w:rsid w:val="00927177"/>
    <w:rsid w:val="009279E4"/>
    <w:rsid w:val="00930856"/>
    <w:rsid w:val="00930BC2"/>
    <w:rsid w:val="00931078"/>
    <w:rsid w:val="0093136F"/>
    <w:rsid w:val="00931F85"/>
    <w:rsid w:val="00932513"/>
    <w:rsid w:val="00932A7D"/>
    <w:rsid w:val="00932C26"/>
    <w:rsid w:val="009336EB"/>
    <w:rsid w:val="00934715"/>
    <w:rsid w:val="00934A93"/>
    <w:rsid w:val="00934E3C"/>
    <w:rsid w:val="00934EEA"/>
    <w:rsid w:val="00934F18"/>
    <w:rsid w:val="0093527A"/>
    <w:rsid w:val="0093624F"/>
    <w:rsid w:val="009367D6"/>
    <w:rsid w:val="00936805"/>
    <w:rsid w:val="009406B1"/>
    <w:rsid w:val="00941BA4"/>
    <w:rsid w:val="00942E5D"/>
    <w:rsid w:val="00943505"/>
    <w:rsid w:val="009466C8"/>
    <w:rsid w:val="00946911"/>
    <w:rsid w:val="00947012"/>
    <w:rsid w:val="009475CD"/>
    <w:rsid w:val="00947B47"/>
    <w:rsid w:val="00950415"/>
    <w:rsid w:val="009506DA"/>
    <w:rsid w:val="00950F29"/>
    <w:rsid w:val="00951C09"/>
    <w:rsid w:val="00952156"/>
    <w:rsid w:val="00952A16"/>
    <w:rsid w:val="00952F59"/>
    <w:rsid w:val="00953C00"/>
    <w:rsid w:val="00953E92"/>
    <w:rsid w:val="009547AE"/>
    <w:rsid w:val="00954C7D"/>
    <w:rsid w:val="00954F9E"/>
    <w:rsid w:val="0095503F"/>
    <w:rsid w:val="0095552D"/>
    <w:rsid w:val="00955571"/>
    <w:rsid w:val="009569B3"/>
    <w:rsid w:val="00957FA4"/>
    <w:rsid w:val="00961061"/>
    <w:rsid w:val="00962586"/>
    <w:rsid w:val="00963A7D"/>
    <w:rsid w:val="00963C7F"/>
    <w:rsid w:val="009642A2"/>
    <w:rsid w:val="00964E43"/>
    <w:rsid w:val="009651CC"/>
    <w:rsid w:val="00965C66"/>
    <w:rsid w:val="009675A1"/>
    <w:rsid w:val="00967A0E"/>
    <w:rsid w:val="00967E25"/>
    <w:rsid w:val="00970027"/>
    <w:rsid w:val="00970A06"/>
    <w:rsid w:val="0097143A"/>
    <w:rsid w:val="0097174A"/>
    <w:rsid w:val="00971895"/>
    <w:rsid w:val="009733B6"/>
    <w:rsid w:val="00973760"/>
    <w:rsid w:val="0097384B"/>
    <w:rsid w:val="00974909"/>
    <w:rsid w:val="00975A5F"/>
    <w:rsid w:val="00976DC6"/>
    <w:rsid w:val="00977688"/>
    <w:rsid w:val="0097769F"/>
    <w:rsid w:val="00977924"/>
    <w:rsid w:val="00977B37"/>
    <w:rsid w:val="009801D9"/>
    <w:rsid w:val="00981DEF"/>
    <w:rsid w:val="00982919"/>
    <w:rsid w:val="009835C6"/>
    <w:rsid w:val="0098363E"/>
    <w:rsid w:val="00983A53"/>
    <w:rsid w:val="009849B9"/>
    <w:rsid w:val="00986136"/>
    <w:rsid w:val="009862F7"/>
    <w:rsid w:val="00986581"/>
    <w:rsid w:val="00986EFE"/>
    <w:rsid w:val="00987AA3"/>
    <w:rsid w:val="00987DFF"/>
    <w:rsid w:val="00990AD5"/>
    <w:rsid w:val="00990EDB"/>
    <w:rsid w:val="009910EC"/>
    <w:rsid w:val="00991799"/>
    <w:rsid w:val="009922A9"/>
    <w:rsid w:val="009922AD"/>
    <w:rsid w:val="00992AA4"/>
    <w:rsid w:val="00992ECA"/>
    <w:rsid w:val="00992FB8"/>
    <w:rsid w:val="0099350D"/>
    <w:rsid w:val="00993569"/>
    <w:rsid w:val="009944B0"/>
    <w:rsid w:val="009968B7"/>
    <w:rsid w:val="009968EE"/>
    <w:rsid w:val="0099709B"/>
    <w:rsid w:val="00997392"/>
    <w:rsid w:val="00997B01"/>
    <w:rsid w:val="009A0A44"/>
    <w:rsid w:val="009A0B9F"/>
    <w:rsid w:val="009A0C09"/>
    <w:rsid w:val="009A161F"/>
    <w:rsid w:val="009A1BA9"/>
    <w:rsid w:val="009A2119"/>
    <w:rsid w:val="009A239A"/>
    <w:rsid w:val="009A28FD"/>
    <w:rsid w:val="009A3061"/>
    <w:rsid w:val="009A452D"/>
    <w:rsid w:val="009A49A2"/>
    <w:rsid w:val="009A527C"/>
    <w:rsid w:val="009A6900"/>
    <w:rsid w:val="009A6AF0"/>
    <w:rsid w:val="009A6C7D"/>
    <w:rsid w:val="009A7722"/>
    <w:rsid w:val="009A7C63"/>
    <w:rsid w:val="009A7EF8"/>
    <w:rsid w:val="009A7F94"/>
    <w:rsid w:val="009B000B"/>
    <w:rsid w:val="009B0127"/>
    <w:rsid w:val="009B0732"/>
    <w:rsid w:val="009B146D"/>
    <w:rsid w:val="009B15D4"/>
    <w:rsid w:val="009B2A73"/>
    <w:rsid w:val="009B31E9"/>
    <w:rsid w:val="009B4D50"/>
    <w:rsid w:val="009B5136"/>
    <w:rsid w:val="009B5C3D"/>
    <w:rsid w:val="009B607F"/>
    <w:rsid w:val="009B6752"/>
    <w:rsid w:val="009B690E"/>
    <w:rsid w:val="009B6D83"/>
    <w:rsid w:val="009B7A28"/>
    <w:rsid w:val="009C1CDE"/>
    <w:rsid w:val="009C2AB2"/>
    <w:rsid w:val="009C2B90"/>
    <w:rsid w:val="009C3784"/>
    <w:rsid w:val="009C3B3D"/>
    <w:rsid w:val="009C4F6C"/>
    <w:rsid w:val="009C5776"/>
    <w:rsid w:val="009C59C7"/>
    <w:rsid w:val="009C5E1F"/>
    <w:rsid w:val="009C60CE"/>
    <w:rsid w:val="009C617C"/>
    <w:rsid w:val="009C61B4"/>
    <w:rsid w:val="009C62DC"/>
    <w:rsid w:val="009C7AC7"/>
    <w:rsid w:val="009D08FA"/>
    <w:rsid w:val="009D1223"/>
    <w:rsid w:val="009D1730"/>
    <w:rsid w:val="009D1B05"/>
    <w:rsid w:val="009D1CAD"/>
    <w:rsid w:val="009D1D01"/>
    <w:rsid w:val="009D205B"/>
    <w:rsid w:val="009D2B78"/>
    <w:rsid w:val="009D2C46"/>
    <w:rsid w:val="009D2D5D"/>
    <w:rsid w:val="009D317B"/>
    <w:rsid w:val="009D3999"/>
    <w:rsid w:val="009D3E4E"/>
    <w:rsid w:val="009D434E"/>
    <w:rsid w:val="009D4375"/>
    <w:rsid w:val="009D4667"/>
    <w:rsid w:val="009D4B30"/>
    <w:rsid w:val="009D569F"/>
    <w:rsid w:val="009D6D4A"/>
    <w:rsid w:val="009E00EC"/>
    <w:rsid w:val="009E169F"/>
    <w:rsid w:val="009E1D8D"/>
    <w:rsid w:val="009E20C9"/>
    <w:rsid w:val="009E3295"/>
    <w:rsid w:val="009E3595"/>
    <w:rsid w:val="009E3F42"/>
    <w:rsid w:val="009E4F4A"/>
    <w:rsid w:val="009E53BB"/>
    <w:rsid w:val="009E5A9C"/>
    <w:rsid w:val="009E65B4"/>
    <w:rsid w:val="009E6BA4"/>
    <w:rsid w:val="009F0583"/>
    <w:rsid w:val="009F0C53"/>
    <w:rsid w:val="009F0CAB"/>
    <w:rsid w:val="009F1BCB"/>
    <w:rsid w:val="009F2B91"/>
    <w:rsid w:val="009F4636"/>
    <w:rsid w:val="009F468A"/>
    <w:rsid w:val="009F4833"/>
    <w:rsid w:val="009F4955"/>
    <w:rsid w:val="009F4C7D"/>
    <w:rsid w:val="009F606E"/>
    <w:rsid w:val="009F7719"/>
    <w:rsid w:val="009F7E14"/>
    <w:rsid w:val="009F7F86"/>
    <w:rsid w:val="00A01696"/>
    <w:rsid w:val="00A01909"/>
    <w:rsid w:val="00A02803"/>
    <w:rsid w:val="00A02F4D"/>
    <w:rsid w:val="00A03126"/>
    <w:rsid w:val="00A0392A"/>
    <w:rsid w:val="00A03B94"/>
    <w:rsid w:val="00A067ED"/>
    <w:rsid w:val="00A069A9"/>
    <w:rsid w:val="00A06CCC"/>
    <w:rsid w:val="00A07E97"/>
    <w:rsid w:val="00A07E9C"/>
    <w:rsid w:val="00A07F47"/>
    <w:rsid w:val="00A11EF2"/>
    <w:rsid w:val="00A12AF3"/>
    <w:rsid w:val="00A15F2C"/>
    <w:rsid w:val="00A16056"/>
    <w:rsid w:val="00A161ED"/>
    <w:rsid w:val="00A16C10"/>
    <w:rsid w:val="00A179FF"/>
    <w:rsid w:val="00A20377"/>
    <w:rsid w:val="00A2079C"/>
    <w:rsid w:val="00A20F19"/>
    <w:rsid w:val="00A20F50"/>
    <w:rsid w:val="00A22353"/>
    <w:rsid w:val="00A2264B"/>
    <w:rsid w:val="00A226C9"/>
    <w:rsid w:val="00A22DE0"/>
    <w:rsid w:val="00A2461F"/>
    <w:rsid w:val="00A25457"/>
    <w:rsid w:val="00A255B5"/>
    <w:rsid w:val="00A26562"/>
    <w:rsid w:val="00A27E16"/>
    <w:rsid w:val="00A3057B"/>
    <w:rsid w:val="00A3094A"/>
    <w:rsid w:val="00A3203A"/>
    <w:rsid w:val="00A3258A"/>
    <w:rsid w:val="00A32B3D"/>
    <w:rsid w:val="00A3326A"/>
    <w:rsid w:val="00A3377D"/>
    <w:rsid w:val="00A33A2D"/>
    <w:rsid w:val="00A34C0A"/>
    <w:rsid w:val="00A35490"/>
    <w:rsid w:val="00A35C31"/>
    <w:rsid w:val="00A36588"/>
    <w:rsid w:val="00A3690B"/>
    <w:rsid w:val="00A37D57"/>
    <w:rsid w:val="00A4045F"/>
    <w:rsid w:val="00A40E57"/>
    <w:rsid w:val="00A40FD9"/>
    <w:rsid w:val="00A413BA"/>
    <w:rsid w:val="00A41A1C"/>
    <w:rsid w:val="00A42566"/>
    <w:rsid w:val="00A427C8"/>
    <w:rsid w:val="00A427D9"/>
    <w:rsid w:val="00A44A2A"/>
    <w:rsid w:val="00A44A3E"/>
    <w:rsid w:val="00A44E47"/>
    <w:rsid w:val="00A45F91"/>
    <w:rsid w:val="00A467FD"/>
    <w:rsid w:val="00A47463"/>
    <w:rsid w:val="00A513E4"/>
    <w:rsid w:val="00A51C31"/>
    <w:rsid w:val="00A524F0"/>
    <w:rsid w:val="00A5296C"/>
    <w:rsid w:val="00A53CA0"/>
    <w:rsid w:val="00A541B0"/>
    <w:rsid w:val="00A54381"/>
    <w:rsid w:val="00A54395"/>
    <w:rsid w:val="00A559C6"/>
    <w:rsid w:val="00A55F86"/>
    <w:rsid w:val="00A568CF"/>
    <w:rsid w:val="00A56C8B"/>
    <w:rsid w:val="00A56E76"/>
    <w:rsid w:val="00A573B6"/>
    <w:rsid w:val="00A609B4"/>
    <w:rsid w:val="00A61159"/>
    <w:rsid w:val="00A612CD"/>
    <w:rsid w:val="00A6140B"/>
    <w:rsid w:val="00A61610"/>
    <w:rsid w:val="00A61E47"/>
    <w:rsid w:val="00A624D6"/>
    <w:rsid w:val="00A62B57"/>
    <w:rsid w:val="00A62D44"/>
    <w:rsid w:val="00A64104"/>
    <w:rsid w:val="00A64D30"/>
    <w:rsid w:val="00A64DF8"/>
    <w:rsid w:val="00A66A07"/>
    <w:rsid w:val="00A70661"/>
    <w:rsid w:val="00A709B8"/>
    <w:rsid w:val="00A713C7"/>
    <w:rsid w:val="00A716CB"/>
    <w:rsid w:val="00A71C1A"/>
    <w:rsid w:val="00A72B99"/>
    <w:rsid w:val="00A73626"/>
    <w:rsid w:val="00A73D8A"/>
    <w:rsid w:val="00A73F0D"/>
    <w:rsid w:val="00A73FB0"/>
    <w:rsid w:val="00A747D5"/>
    <w:rsid w:val="00A7576B"/>
    <w:rsid w:val="00A75E07"/>
    <w:rsid w:val="00A762A0"/>
    <w:rsid w:val="00A778CD"/>
    <w:rsid w:val="00A80044"/>
    <w:rsid w:val="00A80485"/>
    <w:rsid w:val="00A80698"/>
    <w:rsid w:val="00A81271"/>
    <w:rsid w:val="00A84974"/>
    <w:rsid w:val="00A84B23"/>
    <w:rsid w:val="00A84CF6"/>
    <w:rsid w:val="00A84D13"/>
    <w:rsid w:val="00A84DF8"/>
    <w:rsid w:val="00A85004"/>
    <w:rsid w:val="00A860B3"/>
    <w:rsid w:val="00A870CC"/>
    <w:rsid w:val="00A87323"/>
    <w:rsid w:val="00A90FAC"/>
    <w:rsid w:val="00A91D0D"/>
    <w:rsid w:val="00A929EB"/>
    <w:rsid w:val="00A94299"/>
    <w:rsid w:val="00A94756"/>
    <w:rsid w:val="00A94C21"/>
    <w:rsid w:val="00A968A2"/>
    <w:rsid w:val="00A96C7C"/>
    <w:rsid w:val="00A97E40"/>
    <w:rsid w:val="00AA16F8"/>
    <w:rsid w:val="00AA19E9"/>
    <w:rsid w:val="00AA2244"/>
    <w:rsid w:val="00AA2589"/>
    <w:rsid w:val="00AA343F"/>
    <w:rsid w:val="00AA3893"/>
    <w:rsid w:val="00AA4261"/>
    <w:rsid w:val="00AA43C4"/>
    <w:rsid w:val="00AA4577"/>
    <w:rsid w:val="00AA45C6"/>
    <w:rsid w:val="00AA4DB7"/>
    <w:rsid w:val="00AA5134"/>
    <w:rsid w:val="00AA52A2"/>
    <w:rsid w:val="00AA5566"/>
    <w:rsid w:val="00AA613B"/>
    <w:rsid w:val="00AA65CC"/>
    <w:rsid w:val="00AA68AF"/>
    <w:rsid w:val="00AA6F4E"/>
    <w:rsid w:val="00AB0C0A"/>
    <w:rsid w:val="00AB1D66"/>
    <w:rsid w:val="00AB229A"/>
    <w:rsid w:val="00AB2D65"/>
    <w:rsid w:val="00AB2E26"/>
    <w:rsid w:val="00AB3626"/>
    <w:rsid w:val="00AB36C3"/>
    <w:rsid w:val="00AB4118"/>
    <w:rsid w:val="00AB4970"/>
    <w:rsid w:val="00AB5002"/>
    <w:rsid w:val="00AB59DC"/>
    <w:rsid w:val="00AB709C"/>
    <w:rsid w:val="00AB761A"/>
    <w:rsid w:val="00AC0DEE"/>
    <w:rsid w:val="00AC0DFE"/>
    <w:rsid w:val="00AC163A"/>
    <w:rsid w:val="00AC22D6"/>
    <w:rsid w:val="00AC292C"/>
    <w:rsid w:val="00AC3008"/>
    <w:rsid w:val="00AC356D"/>
    <w:rsid w:val="00AC3B64"/>
    <w:rsid w:val="00AC3C7B"/>
    <w:rsid w:val="00AC4D78"/>
    <w:rsid w:val="00AC58FF"/>
    <w:rsid w:val="00AC682A"/>
    <w:rsid w:val="00AC6B7A"/>
    <w:rsid w:val="00AC6C61"/>
    <w:rsid w:val="00AC6FFE"/>
    <w:rsid w:val="00AC7479"/>
    <w:rsid w:val="00AC77DE"/>
    <w:rsid w:val="00AC7A73"/>
    <w:rsid w:val="00AD04FC"/>
    <w:rsid w:val="00AD0ADF"/>
    <w:rsid w:val="00AD0AE4"/>
    <w:rsid w:val="00AD2A6F"/>
    <w:rsid w:val="00AD301B"/>
    <w:rsid w:val="00AD3410"/>
    <w:rsid w:val="00AD401B"/>
    <w:rsid w:val="00AD4344"/>
    <w:rsid w:val="00AD4901"/>
    <w:rsid w:val="00AD4AE9"/>
    <w:rsid w:val="00AD4B0B"/>
    <w:rsid w:val="00AD4BB9"/>
    <w:rsid w:val="00AD5DC9"/>
    <w:rsid w:val="00AD64F9"/>
    <w:rsid w:val="00AD72F7"/>
    <w:rsid w:val="00AD7DC7"/>
    <w:rsid w:val="00AE013F"/>
    <w:rsid w:val="00AE1D65"/>
    <w:rsid w:val="00AE2530"/>
    <w:rsid w:val="00AE28B5"/>
    <w:rsid w:val="00AE2F9B"/>
    <w:rsid w:val="00AE3175"/>
    <w:rsid w:val="00AE4087"/>
    <w:rsid w:val="00AE45DD"/>
    <w:rsid w:val="00AE461B"/>
    <w:rsid w:val="00AE4DF5"/>
    <w:rsid w:val="00AE5D6A"/>
    <w:rsid w:val="00AE6325"/>
    <w:rsid w:val="00AE66A9"/>
    <w:rsid w:val="00AE6B1A"/>
    <w:rsid w:val="00AE6E1C"/>
    <w:rsid w:val="00AE7EBD"/>
    <w:rsid w:val="00AF12AF"/>
    <w:rsid w:val="00AF12E5"/>
    <w:rsid w:val="00AF1713"/>
    <w:rsid w:val="00AF188E"/>
    <w:rsid w:val="00AF2211"/>
    <w:rsid w:val="00AF2FD1"/>
    <w:rsid w:val="00AF323B"/>
    <w:rsid w:val="00AF4126"/>
    <w:rsid w:val="00AF479C"/>
    <w:rsid w:val="00AF5040"/>
    <w:rsid w:val="00AF5ACF"/>
    <w:rsid w:val="00AF74A2"/>
    <w:rsid w:val="00AF74DD"/>
    <w:rsid w:val="00B001FC"/>
    <w:rsid w:val="00B010A2"/>
    <w:rsid w:val="00B02EBC"/>
    <w:rsid w:val="00B0324D"/>
    <w:rsid w:val="00B03323"/>
    <w:rsid w:val="00B03752"/>
    <w:rsid w:val="00B03879"/>
    <w:rsid w:val="00B03D82"/>
    <w:rsid w:val="00B03DCC"/>
    <w:rsid w:val="00B041BF"/>
    <w:rsid w:val="00B04274"/>
    <w:rsid w:val="00B049BE"/>
    <w:rsid w:val="00B04AA7"/>
    <w:rsid w:val="00B04CE4"/>
    <w:rsid w:val="00B05323"/>
    <w:rsid w:val="00B0593C"/>
    <w:rsid w:val="00B05A78"/>
    <w:rsid w:val="00B06003"/>
    <w:rsid w:val="00B0634F"/>
    <w:rsid w:val="00B06C31"/>
    <w:rsid w:val="00B06CCB"/>
    <w:rsid w:val="00B07B76"/>
    <w:rsid w:val="00B07C4A"/>
    <w:rsid w:val="00B10B48"/>
    <w:rsid w:val="00B11E3C"/>
    <w:rsid w:val="00B12562"/>
    <w:rsid w:val="00B126FF"/>
    <w:rsid w:val="00B13399"/>
    <w:rsid w:val="00B133BD"/>
    <w:rsid w:val="00B144B7"/>
    <w:rsid w:val="00B14533"/>
    <w:rsid w:val="00B147DF"/>
    <w:rsid w:val="00B14FC6"/>
    <w:rsid w:val="00B15275"/>
    <w:rsid w:val="00B16D02"/>
    <w:rsid w:val="00B170CE"/>
    <w:rsid w:val="00B17629"/>
    <w:rsid w:val="00B178D1"/>
    <w:rsid w:val="00B20EEF"/>
    <w:rsid w:val="00B220F9"/>
    <w:rsid w:val="00B22886"/>
    <w:rsid w:val="00B238A7"/>
    <w:rsid w:val="00B238C4"/>
    <w:rsid w:val="00B23C02"/>
    <w:rsid w:val="00B23DA9"/>
    <w:rsid w:val="00B23F88"/>
    <w:rsid w:val="00B246EA"/>
    <w:rsid w:val="00B25FC1"/>
    <w:rsid w:val="00B2641F"/>
    <w:rsid w:val="00B26BF8"/>
    <w:rsid w:val="00B27018"/>
    <w:rsid w:val="00B30595"/>
    <w:rsid w:val="00B3116E"/>
    <w:rsid w:val="00B312CD"/>
    <w:rsid w:val="00B31378"/>
    <w:rsid w:val="00B322BA"/>
    <w:rsid w:val="00B33C08"/>
    <w:rsid w:val="00B34FCC"/>
    <w:rsid w:val="00B35052"/>
    <w:rsid w:val="00B35498"/>
    <w:rsid w:val="00B355CA"/>
    <w:rsid w:val="00B35E4C"/>
    <w:rsid w:val="00B3712B"/>
    <w:rsid w:val="00B371BF"/>
    <w:rsid w:val="00B37BB9"/>
    <w:rsid w:val="00B41F8D"/>
    <w:rsid w:val="00B439AE"/>
    <w:rsid w:val="00B43E02"/>
    <w:rsid w:val="00B45448"/>
    <w:rsid w:val="00B45AFE"/>
    <w:rsid w:val="00B46596"/>
    <w:rsid w:val="00B46954"/>
    <w:rsid w:val="00B46DCB"/>
    <w:rsid w:val="00B51C72"/>
    <w:rsid w:val="00B52157"/>
    <w:rsid w:val="00B52CE7"/>
    <w:rsid w:val="00B5329D"/>
    <w:rsid w:val="00B55193"/>
    <w:rsid w:val="00B55395"/>
    <w:rsid w:val="00B556D7"/>
    <w:rsid w:val="00B55DF9"/>
    <w:rsid w:val="00B566D0"/>
    <w:rsid w:val="00B5764C"/>
    <w:rsid w:val="00B6070C"/>
    <w:rsid w:val="00B60FB4"/>
    <w:rsid w:val="00B615CD"/>
    <w:rsid w:val="00B62689"/>
    <w:rsid w:val="00B62831"/>
    <w:rsid w:val="00B62890"/>
    <w:rsid w:val="00B6333B"/>
    <w:rsid w:val="00B64388"/>
    <w:rsid w:val="00B6481E"/>
    <w:rsid w:val="00B64846"/>
    <w:rsid w:val="00B65FDD"/>
    <w:rsid w:val="00B66F15"/>
    <w:rsid w:val="00B6756F"/>
    <w:rsid w:val="00B7026C"/>
    <w:rsid w:val="00B70806"/>
    <w:rsid w:val="00B7117B"/>
    <w:rsid w:val="00B721AF"/>
    <w:rsid w:val="00B72908"/>
    <w:rsid w:val="00B72B26"/>
    <w:rsid w:val="00B72E1C"/>
    <w:rsid w:val="00B73FD3"/>
    <w:rsid w:val="00B741F7"/>
    <w:rsid w:val="00B74CE5"/>
    <w:rsid w:val="00B75324"/>
    <w:rsid w:val="00B75592"/>
    <w:rsid w:val="00B75622"/>
    <w:rsid w:val="00B7591C"/>
    <w:rsid w:val="00B759BF"/>
    <w:rsid w:val="00B75DCB"/>
    <w:rsid w:val="00B76C53"/>
    <w:rsid w:val="00B7762F"/>
    <w:rsid w:val="00B7785B"/>
    <w:rsid w:val="00B77B51"/>
    <w:rsid w:val="00B77CFF"/>
    <w:rsid w:val="00B81868"/>
    <w:rsid w:val="00B81C5F"/>
    <w:rsid w:val="00B81DF6"/>
    <w:rsid w:val="00B82120"/>
    <w:rsid w:val="00B821B8"/>
    <w:rsid w:val="00B823B3"/>
    <w:rsid w:val="00B825BE"/>
    <w:rsid w:val="00B82759"/>
    <w:rsid w:val="00B8314B"/>
    <w:rsid w:val="00B834F0"/>
    <w:rsid w:val="00B83502"/>
    <w:rsid w:val="00B83E69"/>
    <w:rsid w:val="00B855CE"/>
    <w:rsid w:val="00B86B5D"/>
    <w:rsid w:val="00B87402"/>
    <w:rsid w:val="00B87751"/>
    <w:rsid w:val="00B87CAF"/>
    <w:rsid w:val="00B90A51"/>
    <w:rsid w:val="00B919DE"/>
    <w:rsid w:val="00B919FC"/>
    <w:rsid w:val="00B91B88"/>
    <w:rsid w:val="00B92191"/>
    <w:rsid w:val="00B92527"/>
    <w:rsid w:val="00B92995"/>
    <w:rsid w:val="00B92E64"/>
    <w:rsid w:val="00B92F31"/>
    <w:rsid w:val="00B93F6B"/>
    <w:rsid w:val="00B94DED"/>
    <w:rsid w:val="00B953D3"/>
    <w:rsid w:val="00B95CE4"/>
    <w:rsid w:val="00B95D3F"/>
    <w:rsid w:val="00B96185"/>
    <w:rsid w:val="00B9623F"/>
    <w:rsid w:val="00B966AC"/>
    <w:rsid w:val="00B96DE8"/>
    <w:rsid w:val="00B96E8B"/>
    <w:rsid w:val="00B970FC"/>
    <w:rsid w:val="00B970FE"/>
    <w:rsid w:val="00B97377"/>
    <w:rsid w:val="00B97874"/>
    <w:rsid w:val="00B97BD1"/>
    <w:rsid w:val="00B97CD9"/>
    <w:rsid w:val="00B97DE7"/>
    <w:rsid w:val="00BA0873"/>
    <w:rsid w:val="00BA0C31"/>
    <w:rsid w:val="00BA18E0"/>
    <w:rsid w:val="00BA1D1B"/>
    <w:rsid w:val="00BA21B7"/>
    <w:rsid w:val="00BA27DB"/>
    <w:rsid w:val="00BA2BAB"/>
    <w:rsid w:val="00BA2C09"/>
    <w:rsid w:val="00BA459F"/>
    <w:rsid w:val="00BA4F51"/>
    <w:rsid w:val="00BA564E"/>
    <w:rsid w:val="00BA5AD0"/>
    <w:rsid w:val="00BA6D9F"/>
    <w:rsid w:val="00BA6E56"/>
    <w:rsid w:val="00BA74C1"/>
    <w:rsid w:val="00BB1A0E"/>
    <w:rsid w:val="00BB2ACA"/>
    <w:rsid w:val="00BB3B2C"/>
    <w:rsid w:val="00BB3B89"/>
    <w:rsid w:val="00BB42D6"/>
    <w:rsid w:val="00BB4DF6"/>
    <w:rsid w:val="00BB51A1"/>
    <w:rsid w:val="00BB60B6"/>
    <w:rsid w:val="00BB7206"/>
    <w:rsid w:val="00BC0BBB"/>
    <w:rsid w:val="00BC1AC5"/>
    <w:rsid w:val="00BC1ED6"/>
    <w:rsid w:val="00BC1F38"/>
    <w:rsid w:val="00BC2D55"/>
    <w:rsid w:val="00BC5051"/>
    <w:rsid w:val="00BC51B4"/>
    <w:rsid w:val="00BC526E"/>
    <w:rsid w:val="00BC5B73"/>
    <w:rsid w:val="00BC62E2"/>
    <w:rsid w:val="00BC6DDB"/>
    <w:rsid w:val="00BC6E10"/>
    <w:rsid w:val="00BC7A6D"/>
    <w:rsid w:val="00BD0BF3"/>
    <w:rsid w:val="00BD1624"/>
    <w:rsid w:val="00BD2003"/>
    <w:rsid w:val="00BD2A94"/>
    <w:rsid w:val="00BD2B39"/>
    <w:rsid w:val="00BD2BE1"/>
    <w:rsid w:val="00BD3E3D"/>
    <w:rsid w:val="00BD4E22"/>
    <w:rsid w:val="00BD582C"/>
    <w:rsid w:val="00BD5F45"/>
    <w:rsid w:val="00BD643B"/>
    <w:rsid w:val="00BD658D"/>
    <w:rsid w:val="00BD659E"/>
    <w:rsid w:val="00BD689D"/>
    <w:rsid w:val="00BD6BDA"/>
    <w:rsid w:val="00BD6DEE"/>
    <w:rsid w:val="00BD7697"/>
    <w:rsid w:val="00BD77C0"/>
    <w:rsid w:val="00BD7C37"/>
    <w:rsid w:val="00BE0308"/>
    <w:rsid w:val="00BE0CFC"/>
    <w:rsid w:val="00BE1A4E"/>
    <w:rsid w:val="00BE2384"/>
    <w:rsid w:val="00BE2452"/>
    <w:rsid w:val="00BE2714"/>
    <w:rsid w:val="00BE303A"/>
    <w:rsid w:val="00BE3413"/>
    <w:rsid w:val="00BE38F3"/>
    <w:rsid w:val="00BE3D68"/>
    <w:rsid w:val="00BE3FE8"/>
    <w:rsid w:val="00BE497B"/>
    <w:rsid w:val="00BE5741"/>
    <w:rsid w:val="00BE69D6"/>
    <w:rsid w:val="00BE7536"/>
    <w:rsid w:val="00BF053D"/>
    <w:rsid w:val="00BF126F"/>
    <w:rsid w:val="00BF16AF"/>
    <w:rsid w:val="00BF1A19"/>
    <w:rsid w:val="00BF1B95"/>
    <w:rsid w:val="00BF205B"/>
    <w:rsid w:val="00BF292D"/>
    <w:rsid w:val="00BF2BB6"/>
    <w:rsid w:val="00BF39C6"/>
    <w:rsid w:val="00BF442F"/>
    <w:rsid w:val="00BF48BF"/>
    <w:rsid w:val="00BF4A34"/>
    <w:rsid w:val="00BF6A0B"/>
    <w:rsid w:val="00BF6C30"/>
    <w:rsid w:val="00BF6FC2"/>
    <w:rsid w:val="00BF739A"/>
    <w:rsid w:val="00C00BFF"/>
    <w:rsid w:val="00C00F76"/>
    <w:rsid w:val="00C0307E"/>
    <w:rsid w:val="00C030D2"/>
    <w:rsid w:val="00C031E3"/>
    <w:rsid w:val="00C03742"/>
    <w:rsid w:val="00C03ECB"/>
    <w:rsid w:val="00C03F6A"/>
    <w:rsid w:val="00C055DE"/>
    <w:rsid w:val="00C05B3B"/>
    <w:rsid w:val="00C05B71"/>
    <w:rsid w:val="00C0631A"/>
    <w:rsid w:val="00C06AF4"/>
    <w:rsid w:val="00C06E03"/>
    <w:rsid w:val="00C06E7B"/>
    <w:rsid w:val="00C06EC8"/>
    <w:rsid w:val="00C0730A"/>
    <w:rsid w:val="00C07C32"/>
    <w:rsid w:val="00C07DCD"/>
    <w:rsid w:val="00C10FDD"/>
    <w:rsid w:val="00C117E5"/>
    <w:rsid w:val="00C123B1"/>
    <w:rsid w:val="00C12B9B"/>
    <w:rsid w:val="00C13080"/>
    <w:rsid w:val="00C1316A"/>
    <w:rsid w:val="00C13D61"/>
    <w:rsid w:val="00C13DC5"/>
    <w:rsid w:val="00C14B25"/>
    <w:rsid w:val="00C14EE9"/>
    <w:rsid w:val="00C154F6"/>
    <w:rsid w:val="00C15A00"/>
    <w:rsid w:val="00C15D4D"/>
    <w:rsid w:val="00C16547"/>
    <w:rsid w:val="00C16F2B"/>
    <w:rsid w:val="00C16FF0"/>
    <w:rsid w:val="00C17974"/>
    <w:rsid w:val="00C17A88"/>
    <w:rsid w:val="00C17D5A"/>
    <w:rsid w:val="00C17D6D"/>
    <w:rsid w:val="00C20100"/>
    <w:rsid w:val="00C203DC"/>
    <w:rsid w:val="00C20527"/>
    <w:rsid w:val="00C20CE4"/>
    <w:rsid w:val="00C20CF5"/>
    <w:rsid w:val="00C21412"/>
    <w:rsid w:val="00C22124"/>
    <w:rsid w:val="00C22C16"/>
    <w:rsid w:val="00C22DB1"/>
    <w:rsid w:val="00C22F13"/>
    <w:rsid w:val="00C240A8"/>
    <w:rsid w:val="00C256F2"/>
    <w:rsid w:val="00C25A6A"/>
    <w:rsid w:val="00C27A73"/>
    <w:rsid w:val="00C30537"/>
    <w:rsid w:val="00C3131F"/>
    <w:rsid w:val="00C33154"/>
    <w:rsid w:val="00C332AA"/>
    <w:rsid w:val="00C33301"/>
    <w:rsid w:val="00C33A1E"/>
    <w:rsid w:val="00C33FF5"/>
    <w:rsid w:val="00C34572"/>
    <w:rsid w:val="00C34E8B"/>
    <w:rsid w:val="00C36866"/>
    <w:rsid w:val="00C36FBC"/>
    <w:rsid w:val="00C37F37"/>
    <w:rsid w:val="00C4070B"/>
    <w:rsid w:val="00C409BA"/>
    <w:rsid w:val="00C413BD"/>
    <w:rsid w:val="00C41596"/>
    <w:rsid w:val="00C41C24"/>
    <w:rsid w:val="00C41D72"/>
    <w:rsid w:val="00C42B42"/>
    <w:rsid w:val="00C440B2"/>
    <w:rsid w:val="00C448BF"/>
    <w:rsid w:val="00C44B7C"/>
    <w:rsid w:val="00C44D54"/>
    <w:rsid w:val="00C4500E"/>
    <w:rsid w:val="00C45AA7"/>
    <w:rsid w:val="00C45D83"/>
    <w:rsid w:val="00C4631E"/>
    <w:rsid w:val="00C463AD"/>
    <w:rsid w:val="00C468C5"/>
    <w:rsid w:val="00C46C5C"/>
    <w:rsid w:val="00C47D71"/>
    <w:rsid w:val="00C51A60"/>
    <w:rsid w:val="00C53660"/>
    <w:rsid w:val="00C53E01"/>
    <w:rsid w:val="00C54441"/>
    <w:rsid w:val="00C55D3E"/>
    <w:rsid w:val="00C55F52"/>
    <w:rsid w:val="00C56642"/>
    <w:rsid w:val="00C56A33"/>
    <w:rsid w:val="00C56CAA"/>
    <w:rsid w:val="00C5738A"/>
    <w:rsid w:val="00C575BE"/>
    <w:rsid w:val="00C5773A"/>
    <w:rsid w:val="00C57E53"/>
    <w:rsid w:val="00C6004D"/>
    <w:rsid w:val="00C60304"/>
    <w:rsid w:val="00C60D60"/>
    <w:rsid w:val="00C61D51"/>
    <w:rsid w:val="00C630FB"/>
    <w:rsid w:val="00C64526"/>
    <w:rsid w:val="00C65061"/>
    <w:rsid w:val="00C658FF"/>
    <w:rsid w:val="00C67652"/>
    <w:rsid w:val="00C67E80"/>
    <w:rsid w:val="00C70599"/>
    <w:rsid w:val="00C705AA"/>
    <w:rsid w:val="00C7085E"/>
    <w:rsid w:val="00C718A2"/>
    <w:rsid w:val="00C72A45"/>
    <w:rsid w:val="00C74972"/>
    <w:rsid w:val="00C7532B"/>
    <w:rsid w:val="00C76332"/>
    <w:rsid w:val="00C768A1"/>
    <w:rsid w:val="00C7707D"/>
    <w:rsid w:val="00C776D8"/>
    <w:rsid w:val="00C80590"/>
    <w:rsid w:val="00C80755"/>
    <w:rsid w:val="00C808FE"/>
    <w:rsid w:val="00C8103C"/>
    <w:rsid w:val="00C8157D"/>
    <w:rsid w:val="00C8179E"/>
    <w:rsid w:val="00C81B09"/>
    <w:rsid w:val="00C821FB"/>
    <w:rsid w:val="00C82323"/>
    <w:rsid w:val="00C82800"/>
    <w:rsid w:val="00C83DA7"/>
    <w:rsid w:val="00C84D80"/>
    <w:rsid w:val="00C8656F"/>
    <w:rsid w:val="00C86B68"/>
    <w:rsid w:val="00C874D7"/>
    <w:rsid w:val="00C876F9"/>
    <w:rsid w:val="00C87D3E"/>
    <w:rsid w:val="00C9000D"/>
    <w:rsid w:val="00C90169"/>
    <w:rsid w:val="00C905DC"/>
    <w:rsid w:val="00C91439"/>
    <w:rsid w:val="00C91B81"/>
    <w:rsid w:val="00C9270E"/>
    <w:rsid w:val="00C92B31"/>
    <w:rsid w:val="00C92FE6"/>
    <w:rsid w:val="00C93A1B"/>
    <w:rsid w:val="00C93C0B"/>
    <w:rsid w:val="00C942A1"/>
    <w:rsid w:val="00C945ED"/>
    <w:rsid w:val="00C95067"/>
    <w:rsid w:val="00C9558B"/>
    <w:rsid w:val="00C96146"/>
    <w:rsid w:val="00C96766"/>
    <w:rsid w:val="00C96819"/>
    <w:rsid w:val="00C96DAA"/>
    <w:rsid w:val="00C97D22"/>
    <w:rsid w:val="00CA04EB"/>
    <w:rsid w:val="00CA1684"/>
    <w:rsid w:val="00CA1713"/>
    <w:rsid w:val="00CA2356"/>
    <w:rsid w:val="00CA266F"/>
    <w:rsid w:val="00CA29FB"/>
    <w:rsid w:val="00CA307B"/>
    <w:rsid w:val="00CA370B"/>
    <w:rsid w:val="00CA39DD"/>
    <w:rsid w:val="00CA3CC2"/>
    <w:rsid w:val="00CA6485"/>
    <w:rsid w:val="00CA6764"/>
    <w:rsid w:val="00CA739E"/>
    <w:rsid w:val="00CA7813"/>
    <w:rsid w:val="00CA7985"/>
    <w:rsid w:val="00CB08F1"/>
    <w:rsid w:val="00CB0DD3"/>
    <w:rsid w:val="00CB12E8"/>
    <w:rsid w:val="00CB18D6"/>
    <w:rsid w:val="00CB1D40"/>
    <w:rsid w:val="00CB2631"/>
    <w:rsid w:val="00CB2F45"/>
    <w:rsid w:val="00CB3471"/>
    <w:rsid w:val="00CB3782"/>
    <w:rsid w:val="00CB37CA"/>
    <w:rsid w:val="00CB3EFF"/>
    <w:rsid w:val="00CB41EC"/>
    <w:rsid w:val="00CB496D"/>
    <w:rsid w:val="00CB4AED"/>
    <w:rsid w:val="00CB55F8"/>
    <w:rsid w:val="00CB6929"/>
    <w:rsid w:val="00CB6E1F"/>
    <w:rsid w:val="00CB7978"/>
    <w:rsid w:val="00CB7A83"/>
    <w:rsid w:val="00CB7E03"/>
    <w:rsid w:val="00CC0B1C"/>
    <w:rsid w:val="00CC1A43"/>
    <w:rsid w:val="00CC217F"/>
    <w:rsid w:val="00CC23FD"/>
    <w:rsid w:val="00CC3221"/>
    <w:rsid w:val="00CC327C"/>
    <w:rsid w:val="00CC3980"/>
    <w:rsid w:val="00CC5397"/>
    <w:rsid w:val="00CC553F"/>
    <w:rsid w:val="00CC5E9B"/>
    <w:rsid w:val="00CC67C2"/>
    <w:rsid w:val="00CC73F3"/>
    <w:rsid w:val="00CC7E99"/>
    <w:rsid w:val="00CD116A"/>
    <w:rsid w:val="00CD1975"/>
    <w:rsid w:val="00CD24C3"/>
    <w:rsid w:val="00CD2E55"/>
    <w:rsid w:val="00CD32BB"/>
    <w:rsid w:val="00CD35B9"/>
    <w:rsid w:val="00CD3854"/>
    <w:rsid w:val="00CD38A7"/>
    <w:rsid w:val="00CD3DE2"/>
    <w:rsid w:val="00CD5798"/>
    <w:rsid w:val="00CD582F"/>
    <w:rsid w:val="00CD62B9"/>
    <w:rsid w:val="00CD6D84"/>
    <w:rsid w:val="00CD72D7"/>
    <w:rsid w:val="00CD75B1"/>
    <w:rsid w:val="00CD77FF"/>
    <w:rsid w:val="00CD7936"/>
    <w:rsid w:val="00CD7A34"/>
    <w:rsid w:val="00CE104E"/>
    <w:rsid w:val="00CE16C4"/>
    <w:rsid w:val="00CE1703"/>
    <w:rsid w:val="00CE261C"/>
    <w:rsid w:val="00CE4555"/>
    <w:rsid w:val="00CE4BD1"/>
    <w:rsid w:val="00CE583A"/>
    <w:rsid w:val="00CE591B"/>
    <w:rsid w:val="00CE5D53"/>
    <w:rsid w:val="00CE635D"/>
    <w:rsid w:val="00CE63AC"/>
    <w:rsid w:val="00CE658B"/>
    <w:rsid w:val="00CE72A6"/>
    <w:rsid w:val="00CF2028"/>
    <w:rsid w:val="00CF2552"/>
    <w:rsid w:val="00CF2726"/>
    <w:rsid w:val="00CF2EE6"/>
    <w:rsid w:val="00CF3EEB"/>
    <w:rsid w:val="00CF4217"/>
    <w:rsid w:val="00CF4277"/>
    <w:rsid w:val="00CF4687"/>
    <w:rsid w:val="00CF46F6"/>
    <w:rsid w:val="00CF61E0"/>
    <w:rsid w:val="00CF65B2"/>
    <w:rsid w:val="00CF6A1A"/>
    <w:rsid w:val="00CF7553"/>
    <w:rsid w:val="00CF79C8"/>
    <w:rsid w:val="00D00CAC"/>
    <w:rsid w:val="00D00D0C"/>
    <w:rsid w:val="00D01711"/>
    <w:rsid w:val="00D01984"/>
    <w:rsid w:val="00D0204E"/>
    <w:rsid w:val="00D0258A"/>
    <w:rsid w:val="00D02D52"/>
    <w:rsid w:val="00D03B08"/>
    <w:rsid w:val="00D04A7E"/>
    <w:rsid w:val="00D04B2E"/>
    <w:rsid w:val="00D04ED0"/>
    <w:rsid w:val="00D05482"/>
    <w:rsid w:val="00D0589E"/>
    <w:rsid w:val="00D05F71"/>
    <w:rsid w:val="00D06C62"/>
    <w:rsid w:val="00D06EC0"/>
    <w:rsid w:val="00D06F0E"/>
    <w:rsid w:val="00D106F1"/>
    <w:rsid w:val="00D11722"/>
    <w:rsid w:val="00D117D7"/>
    <w:rsid w:val="00D13BE6"/>
    <w:rsid w:val="00D13C22"/>
    <w:rsid w:val="00D14587"/>
    <w:rsid w:val="00D14914"/>
    <w:rsid w:val="00D14CEB"/>
    <w:rsid w:val="00D154BE"/>
    <w:rsid w:val="00D1572C"/>
    <w:rsid w:val="00D15FAE"/>
    <w:rsid w:val="00D16C46"/>
    <w:rsid w:val="00D17448"/>
    <w:rsid w:val="00D20993"/>
    <w:rsid w:val="00D21A78"/>
    <w:rsid w:val="00D223C1"/>
    <w:rsid w:val="00D22EA2"/>
    <w:rsid w:val="00D234D2"/>
    <w:rsid w:val="00D2389F"/>
    <w:rsid w:val="00D23A2F"/>
    <w:rsid w:val="00D23F6F"/>
    <w:rsid w:val="00D24F62"/>
    <w:rsid w:val="00D252BB"/>
    <w:rsid w:val="00D25407"/>
    <w:rsid w:val="00D27284"/>
    <w:rsid w:val="00D27D06"/>
    <w:rsid w:val="00D302ED"/>
    <w:rsid w:val="00D30815"/>
    <w:rsid w:val="00D318BD"/>
    <w:rsid w:val="00D318FB"/>
    <w:rsid w:val="00D324C0"/>
    <w:rsid w:val="00D327D9"/>
    <w:rsid w:val="00D328A0"/>
    <w:rsid w:val="00D3291D"/>
    <w:rsid w:val="00D32C7A"/>
    <w:rsid w:val="00D32D30"/>
    <w:rsid w:val="00D3306D"/>
    <w:rsid w:val="00D334A1"/>
    <w:rsid w:val="00D33978"/>
    <w:rsid w:val="00D34542"/>
    <w:rsid w:val="00D34E06"/>
    <w:rsid w:val="00D3557F"/>
    <w:rsid w:val="00D357AD"/>
    <w:rsid w:val="00D360A8"/>
    <w:rsid w:val="00D37BD6"/>
    <w:rsid w:val="00D412E7"/>
    <w:rsid w:val="00D445AE"/>
    <w:rsid w:val="00D44BF4"/>
    <w:rsid w:val="00D44CF1"/>
    <w:rsid w:val="00D45851"/>
    <w:rsid w:val="00D45ADB"/>
    <w:rsid w:val="00D4604F"/>
    <w:rsid w:val="00D461F3"/>
    <w:rsid w:val="00D46EFF"/>
    <w:rsid w:val="00D47192"/>
    <w:rsid w:val="00D47450"/>
    <w:rsid w:val="00D5047D"/>
    <w:rsid w:val="00D50D32"/>
    <w:rsid w:val="00D51EF0"/>
    <w:rsid w:val="00D52EC1"/>
    <w:rsid w:val="00D5427B"/>
    <w:rsid w:val="00D547F0"/>
    <w:rsid w:val="00D54FEB"/>
    <w:rsid w:val="00D55520"/>
    <w:rsid w:val="00D55A26"/>
    <w:rsid w:val="00D55BCD"/>
    <w:rsid w:val="00D55CA1"/>
    <w:rsid w:val="00D55DA8"/>
    <w:rsid w:val="00D57586"/>
    <w:rsid w:val="00D60669"/>
    <w:rsid w:val="00D61C37"/>
    <w:rsid w:val="00D61F4A"/>
    <w:rsid w:val="00D62433"/>
    <w:rsid w:val="00D62883"/>
    <w:rsid w:val="00D629BB"/>
    <w:rsid w:val="00D63DE0"/>
    <w:rsid w:val="00D64088"/>
    <w:rsid w:val="00D646C8"/>
    <w:rsid w:val="00D64E67"/>
    <w:rsid w:val="00D652DC"/>
    <w:rsid w:val="00D6530F"/>
    <w:rsid w:val="00D6650F"/>
    <w:rsid w:val="00D6672E"/>
    <w:rsid w:val="00D674F0"/>
    <w:rsid w:val="00D67715"/>
    <w:rsid w:val="00D67C49"/>
    <w:rsid w:val="00D7046C"/>
    <w:rsid w:val="00D72EC6"/>
    <w:rsid w:val="00D73ADE"/>
    <w:rsid w:val="00D74A4B"/>
    <w:rsid w:val="00D74D68"/>
    <w:rsid w:val="00D75212"/>
    <w:rsid w:val="00D75320"/>
    <w:rsid w:val="00D7540B"/>
    <w:rsid w:val="00D75BE4"/>
    <w:rsid w:val="00D75F9F"/>
    <w:rsid w:val="00D7654D"/>
    <w:rsid w:val="00D76764"/>
    <w:rsid w:val="00D77221"/>
    <w:rsid w:val="00D77713"/>
    <w:rsid w:val="00D8203F"/>
    <w:rsid w:val="00D84291"/>
    <w:rsid w:val="00D84912"/>
    <w:rsid w:val="00D851A5"/>
    <w:rsid w:val="00D8526C"/>
    <w:rsid w:val="00D85683"/>
    <w:rsid w:val="00D8652D"/>
    <w:rsid w:val="00D8697B"/>
    <w:rsid w:val="00D869AC"/>
    <w:rsid w:val="00D87542"/>
    <w:rsid w:val="00D877D9"/>
    <w:rsid w:val="00D87A3E"/>
    <w:rsid w:val="00D87C38"/>
    <w:rsid w:val="00D90FB3"/>
    <w:rsid w:val="00D92836"/>
    <w:rsid w:val="00D93124"/>
    <w:rsid w:val="00D942FC"/>
    <w:rsid w:val="00D949AA"/>
    <w:rsid w:val="00D96695"/>
    <w:rsid w:val="00DA08F4"/>
    <w:rsid w:val="00DA0C61"/>
    <w:rsid w:val="00DA279E"/>
    <w:rsid w:val="00DA2C8A"/>
    <w:rsid w:val="00DA2F8C"/>
    <w:rsid w:val="00DA3453"/>
    <w:rsid w:val="00DA356C"/>
    <w:rsid w:val="00DA36F8"/>
    <w:rsid w:val="00DA3848"/>
    <w:rsid w:val="00DA3F38"/>
    <w:rsid w:val="00DA4136"/>
    <w:rsid w:val="00DA4B2D"/>
    <w:rsid w:val="00DA5D39"/>
    <w:rsid w:val="00DA630C"/>
    <w:rsid w:val="00DA678D"/>
    <w:rsid w:val="00DA7281"/>
    <w:rsid w:val="00DA7C07"/>
    <w:rsid w:val="00DB02F9"/>
    <w:rsid w:val="00DB09E4"/>
    <w:rsid w:val="00DB0D18"/>
    <w:rsid w:val="00DB1D16"/>
    <w:rsid w:val="00DB2246"/>
    <w:rsid w:val="00DB2252"/>
    <w:rsid w:val="00DB3A4E"/>
    <w:rsid w:val="00DB3F38"/>
    <w:rsid w:val="00DB4A4C"/>
    <w:rsid w:val="00DB4F03"/>
    <w:rsid w:val="00DB52F5"/>
    <w:rsid w:val="00DB55C5"/>
    <w:rsid w:val="00DB561E"/>
    <w:rsid w:val="00DB56C3"/>
    <w:rsid w:val="00DB6461"/>
    <w:rsid w:val="00DB6E46"/>
    <w:rsid w:val="00DB73AE"/>
    <w:rsid w:val="00DB7B98"/>
    <w:rsid w:val="00DC0010"/>
    <w:rsid w:val="00DC0B6E"/>
    <w:rsid w:val="00DC0C2E"/>
    <w:rsid w:val="00DC1C04"/>
    <w:rsid w:val="00DC377C"/>
    <w:rsid w:val="00DC456E"/>
    <w:rsid w:val="00DC5B05"/>
    <w:rsid w:val="00DC6FD2"/>
    <w:rsid w:val="00DC75E6"/>
    <w:rsid w:val="00DD1E22"/>
    <w:rsid w:val="00DD2C24"/>
    <w:rsid w:val="00DD2ECC"/>
    <w:rsid w:val="00DD38A8"/>
    <w:rsid w:val="00DD617B"/>
    <w:rsid w:val="00DD62E9"/>
    <w:rsid w:val="00DD65CA"/>
    <w:rsid w:val="00DD6733"/>
    <w:rsid w:val="00DD6B67"/>
    <w:rsid w:val="00DD7395"/>
    <w:rsid w:val="00DD7D31"/>
    <w:rsid w:val="00DD7F53"/>
    <w:rsid w:val="00DE0041"/>
    <w:rsid w:val="00DE02D4"/>
    <w:rsid w:val="00DE07EB"/>
    <w:rsid w:val="00DE1CCC"/>
    <w:rsid w:val="00DE2B9F"/>
    <w:rsid w:val="00DE39E7"/>
    <w:rsid w:val="00DE4147"/>
    <w:rsid w:val="00DE4F31"/>
    <w:rsid w:val="00DE519D"/>
    <w:rsid w:val="00DE5389"/>
    <w:rsid w:val="00DE56A4"/>
    <w:rsid w:val="00DE56D1"/>
    <w:rsid w:val="00DE58D3"/>
    <w:rsid w:val="00DE5D67"/>
    <w:rsid w:val="00DE5F4A"/>
    <w:rsid w:val="00DE61DC"/>
    <w:rsid w:val="00DE6A10"/>
    <w:rsid w:val="00DE7132"/>
    <w:rsid w:val="00DF01A6"/>
    <w:rsid w:val="00DF12FD"/>
    <w:rsid w:val="00DF1E36"/>
    <w:rsid w:val="00DF310E"/>
    <w:rsid w:val="00DF3372"/>
    <w:rsid w:val="00DF3541"/>
    <w:rsid w:val="00DF3872"/>
    <w:rsid w:val="00DF394B"/>
    <w:rsid w:val="00DF3A62"/>
    <w:rsid w:val="00DF3F84"/>
    <w:rsid w:val="00DF4366"/>
    <w:rsid w:val="00DF47B1"/>
    <w:rsid w:val="00DF5730"/>
    <w:rsid w:val="00DF5895"/>
    <w:rsid w:val="00DF5B15"/>
    <w:rsid w:val="00DF6206"/>
    <w:rsid w:val="00DF6D60"/>
    <w:rsid w:val="00DF6DC9"/>
    <w:rsid w:val="00DF6E4E"/>
    <w:rsid w:val="00DF715D"/>
    <w:rsid w:val="00DF74AD"/>
    <w:rsid w:val="00E000E9"/>
    <w:rsid w:val="00E001CE"/>
    <w:rsid w:val="00E00C66"/>
    <w:rsid w:val="00E00E8C"/>
    <w:rsid w:val="00E016DE"/>
    <w:rsid w:val="00E01CD1"/>
    <w:rsid w:val="00E02ED9"/>
    <w:rsid w:val="00E03292"/>
    <w:rsid w:val="00E03877"/>
    <w:rsid w:val="00E045E1"/>
    <w:rsid w:val="00E0495D"/>
    <w:rsid w:val="00E056F4"/>
    <w:rsid w:val="00E05B36"/>
    <w:rsid w:val="00E05E3E"/>
    <w:rsid w:val="00E064E3"/>
    <w:rsid w:val="00E0670B"/>
    <w:rsid w:val="00E0722E"/>
    <w:rsid w:val="00E07651"/>
    <w:rsid w:val="00E07B11"/>
    <w:rsid w:val="00E10321"/>
    <w:rsid w:val="00E11E19"/>
    <w:rsid w:val="00E11F34"/>
    <w:rsid w:val="00E122D7"/>
    <w:rsid w:val="00E13A33"/>
    <w:rsid w:val="00E14D20"/>
    <w:rsid w:val="00E14D49"/>
    <w:rsid w:val="00E1504C"/>
    <w:rsid w:val="00E154F5"/>
    <w:rsid w:val="00E1558A"/>
    <w:rsid w:val="00E15E97"/>
    <w:rsid w:val="00E1796A"/>
    <w:rsid w:val="00E17FBF"/>
    <w:rsid w:val="00E2044C"/>
    <w:rsid w:val="00E20A36"/>
    <w:rsid w:val="00E215A4"/>
    <w:rsid w:val="00E2171D"/>
    <w:rsid w:val="00E21ACC"/>
    <w:rsid w:val="00E22311"/>
    <w:rsid w:val="00E236E8"/>
    <w:rsid w:val="00E23A82"/>
    <w:rsid w:val="00E2591C"/>
    <w:rsid w:val="00E25BCB"/>
    <w:rsid w:val="00E26BBF"/>
    <w:rsid w:val="00E27FEA"/>
    <w:rsid w:val="00E314BA"/>
    <w:rsid w:val="00E3162F"/>
    <w:rsid w:val="00E31EC2"/>
    <w:rsid w:val="00E320D9"/>
    <w:rsid w:val="00E3250F"/>
    <w:rsid w:val="00E325F5"/>
    <w:rsid w:val="00E3345E"/>
    <w:rsid w:val="00E339F5"/>
    <w:rsid w:val="00E34602"/>
    <w:rsid w:val="00E3568F"/>
    <w:rsid w:val="00E36237"/>
    <w:rsid w:val="00E368EA"/>
    <w:rsid w:val="00E37450"/>
    <w:rsid w:val="00E37B86"/>
    <w:rsid w:val="00E37FC6"/>
    <w:rsid w:val="00E40174"/>
    <w:rsid w:val="00E41E07"/>
    <w:rsid w:val="00E41FF9"/>
    <w:rsid w:val="00E42654"/>
    <w:rsid w:val="00E42735"/>
    <w:rsid w:val="00E42E77"/>
    <w:rsid w:val="00E43128"/>
    <w:rsid w:val="00E434CC"/>
    <w:rsid w:val="00E438E3"/>
    <w:rsid w:val="00E43A21"/>
    <w:rsid w:val="00E44A6E"/>
    <w:rsid w:val="00E44CEF"/>
    <w:rsid w:val="00E45FAE"/>
    <w:rsid w:val="00E46816"/>
    <w:rsid w:val="00E46838"/>
    <w:rsid w:val="00E46841"/>
    <w:rsid w:val="00E46B0A"/>
    <w:rsid w:val="00E4767A"/>
    <w:rsid w:val="00E47A84"/>
    <w:rsid w:val="00E50498"/>
    <w:rsid w:val="00E5146E"/>
    <w:rsid w:val="00E51CB4"/>
    <w:rsid w:val="00E522CC"/>
    <w:rsid w:val="00E52383"/>
    <w:rsid w:val="00E537C0"/>
    <w:rsid w:val="00E54566"/>
    <w:rsid w:val="00E54F0B"/>
    <w:rsid w:val="00E55119"/>
    <w:rsid w:val="00E55BE9"/>
    <w:rsid w:val="00E55D03"/>
    <w:rsid w:val="00E56771"/>
    <w:rsid w:val="00E568E5"/>
    <w:rsid w:val="00E57580"/>
    <w:rsid w:val="00E60CB3"/>
    <w:rsid w:val="00E6188F"/>
    <w:rsid w:val="00E61FE6"/>
    <w:rsid w:val="00E62413"/>
    <w:rsid w:val="00E6248A"/>
    <w:rsid w:val="00E62493"/>
    <w:rsid w:val="00E629C0"/>
    <w:rsid w:val="00E62A82"/>
    <w:rsid w:val="00E62BDC"/>
    <w:rsid w:val="00E62E26"/>
    <w:rsid w:val="00E637BF"/>
    <w:rsid w:val="00E63868"/>
    <w:rsid w:val="00E63971"/>
    <w:rsid w:val="00E64E28"/>
    <w:rsid w:val="00E65ACA"/>
    <w:rsid w:val="00E6768F"/>
    <w:rsid w:val="00E7039E"/>
    <w:rsid w:val="00E703DB"/>
    <w:rsid w:val="00E7067D"/>
    <w:rsid w:val="00E7088E"/>
    <w:rsid w:val="00E709AB"/>
    <w:rsid w:val="00E70C6A"/>
    <w:rsid w:val="00E71168"/>
    <w:rsid w:val="00E71D37"/>
    <w:rsid w:val="00E71DF6"/>
    <w:rsid w:val="00E71FDA"/>
    <w:rsid w:val="00E7233A"/>
    <w:rsid w:val="00E724A0"/>
    <w:rsid w:val="00E72B51"/>
    <w:rsid w:val="00E73417"/>
    <w:rsid w:val="00E737C6"/>
    <w:rsid w:val="00E7482F"/>
    <w:rsid w:val="00E74E4C"/>
    <w:rsid w:val="00E754CA"/>
    <w:rsid w:val="00E76A9C"/>
    <w:rsid w:val="00E80E58"/>
    <w:rsid w:val="00E82872"/>
    <w:rsid w:val="00E828A1"/>
    <w:rsid w:val="00E829D5"/>
    <w:rsid w:val="00E82D72"/>
    <w:rsid w:val="00E83356"/>
    <w:rsid w:val="00E83E62"/>
    <w:rsid w:val="00E83F67"/>
    <w:rsid w:val="00E8402B"/>
    <w:rsid w:val="00E840B8"/>
    <w:rsid w:val="00E84343"/>
    <w:rsid w:val="00E84A4F"/>
    <w:rsid w:val="00E85542"/>
    <w:rsid w:val="00E8597B"/>
    <w:rsid w:val="00E85EFB"/>
    <w:rsid w:val="00E8654F"/>
    <w:rsid w:val="00E8732D"/>
    <w:rsid w:val="00E900C7"/>
    <w:rsid w:val="00E904D6"/>
    <w:rsid w:val="00E90BCF"/>
    <w:rsid w:val="00E91173"/>
    <w:rsid w:val="00E91459"/>
    <w:rsid w:val="00E92951"/>
    <w:rsid w:val="00E93285"/>
    <w:rsid w:val="00E94341"/>
    <w:rsid w:val="00E94A55"/>
    <w:rsid w:val="00E95B88"/>
    <w:rsid w:val="00E95D65"/>
    <w:rsid w:val="00E96176"/>
    <w:rsid w:val="00E972CF"/>
    <w:rsid w:val="00E97570"/>
    <w:rsid w:val="00E976E7"/>
    <w:rsid w:val="00E97E72"/>
    <w:rsid w:val="00EA0544"/>
    <w:rsid w:val="00EA09BA"/>
    <w:rsid w:val="00EA0C50"/>
    <w:rsid w:val="00EA11B7"/>
    <w:rsid w:val="00EA16C1"/>
    <w:rsid w:val="00EA1DE7"/>
    <w:rsid w:val="00EA21C5"/>
    <w:rsid w:val="00EA2B0B"/>
    <w:rsid w:val="00EA352C"/>
    <w:rsid w:val="00EA4933"/>
    <w:rsid w:val="00EA4A10"/>
    <w:rsid w:val="00EA4E84"/>
    <w:rsid w:val="00EA4FC0"/>
    <w:rsid w:val="00EA799D"/>
    <w:rsid w:val="00EA7C35"/>
    <w:rsid w:val="00EB0B29"/>
    <w:rsid w:val="00EB0D24"/>
    <w:rsid w:val="00EB10D5"/>
    <w:rsid w:val="00EB1A80"/>
    <w:rsid w:val="00EB1CAF"/>
    <w:rsid w:val="00EB2415"/>
    <w:rsid w:val="00EB3761"/>
    <w:rsid w:val="00EB3AA1"/>
    <w:rsid w:val="00EB46BD"/>
    <w:rsid w:val="00EB482D"/>
    <w:rsid w:val="00EB5003"/>
    <w:rsid w:val="00EB5151"/>
    <w:rsid w:val="00EB5800"/>
    <w:rsid w:val="00EB582C"/>
    <w:rsid w:val="00EB5FEB"/>
    <w:rsid w:val="00EB665B"/>
    <w:rsid w:val="00EB6AA7"/>
    <w:rsid w:val="00EB7326"/>
    <w:rsid w:val="00EB7A73"/>
    <w:rsid w:val="00EB7BE5"/>
    <w:rsid w:val="00EB7FC3"/>
    <w:rsid w:val="00EC041A"/>
    <w:rsid w:val="00EC076F"/>
    <w:rsid w:val="00EC0AAD"/>
    <w:rsid w:val="00EC21F1"/>
    <w:rsid w:val="00EC2B73"/>
    <w:rsid w:val="00EC32F5"/>
    <w:rsid w:val="00EC38F7"/>
    <w:rsid w:val="00EC3D17"/>
    <w:rsid w:val="00EC3F11"/>
    <w:rsid w:val="00EC465C"/>
    <w:rsid w:val="00EC53B7"/>
    <w:rsid w:val="00EC5E3B"/>
    <w:rsid w:val="00EC5E53"/>
    <w:rsid w:val="00EC5EBF"/>
    <w:rsid w:val="00EC7BEF"/>
    <w:rsid w:val="00ED0902"/>
    <w:rsid w:val="00ED120F"/>
    <w:rsid w:val="00ED25EE"/>
    <w:rsid w:val="00ED30FE"/>
    <w:rsid w:val="00ED4661"/>
    <w:rsid w:val="00ED4BEB"/>
    <w:rsid w:val="00ED4F6C"/>
    <w:rsid w:val="00ED5145"/>
    <w:rsid w:val="00ED528F"/>
    <w:rsid w:val="00ED6172"/>
    <w:rsid w:val="00ED624E"/>
    <w:rsid w:val="00ED6A89"/>
    <w:rsid w:val="00ED73C6"/>
    <w:rsid w:val="00ED7483"/>
    <w:rsid w:val="00EE0A8D"/>
    <w:rsid w:val="00EE1F82"/>
    <w:rsid w:val="00EE31E4"/>
    <w:rsid w:val="00EE371E"/>
    <w:rsid w:val="00EE54C9"/>
    <w:rsid w:val="00EE55B7"/>
    <w:rsid w:val="00EE6496"/>
    <w:rsid w:val="00EE64A6"/>
    <w:rsid w:val="00EE6888"/>
    <w:rsid w:val="00EE6DCD"/>
    <w:rsid w:val="00EE759F"/>
    <w:rsid w:val="00EE7B65"/>
    <w:rsid w:val="00EE7C46"/>
    <w:rsid w:val="00EF053A"/>
    <w:rsid w:val="00EF07D2"/>
    <w:rsid w:val="00EF126F"/>
    <w:rsid w:val="00EF15F0"/>
    <w:rsid w:val="00EF1E55"/>
    <w:rsid w:val="00EF1EF2"/>
    <w:rsid w:val="00EF2E4B"/>
    <w:rsid w:val="00EF3956"/>
    <w:rsid w:val="00EF4058"/>
    <w:rsid w:val="00EF4F28"/>
    <w:rsid w:val="00EF4F65"/>
    <w:rsid w:val="00EF570B"/>
    <w:rsid w:val="00EF57D7"/>
    <w:rsid w:val="00EF7BD3"/>
    <w:rsid w:val="00F02E74"/>
    <w:rsid w:val="00F040DE"/>
    <w:rsid w:val="00F04A2B"/>
    <w:rsid w:val="00F0548C"/>
    <w:rsid w:val="00F05E92"/>
    <w:rsid w:val="00F06D0E"/>
    <w:rsid w:val="00F071C6"/>
    <w:rsid w:val="00F07433"/>
    <w:rsid w:val="00F10E36"/>
    <w:rsid w:val="00F1148F"/>
    <w:rsid w:val="00F121CD"/>
    <w:rsid w:val="00F12403"/>
    <w:rsid w:val="00F12AE2"/>
    <w:rsid w:val="00F12D26"/>
    <w:rsid w:val="00F1417F"/>
    <w:rsid w:val="00F141BC"/>
    <w:rsid w:val="00F1439E"/>
    <w:rsid w:val="00F147D7"/>
    <w:rsid w:val="00F14D9B"/>
    <w:rsid w:val="00F157D6"/>
    <w:rsid w:val="00F15D8C"/>
    <w:rsid w:val="00F15DF5"/>
    <w:rsid w:val="00F1633D"/>
    <w:rsid w:val="00F1786E"/>
    <w:rsid w:val="00F179A0"/>
    <w:rsid w:val="00F211B8"/>
    <w:rsid w:val="00F21C48"/>
    <w:rsid w:val="00F21D86"/>
    <w:rsid w:val="00F22D3A"/>
    <w:rsid w:val="00F2559A"/>
    <w:rsid w:val="00F25780"/>
    <w:rsid w:val="00F26AF9"/>
    <w:rsid w:val="00F276BA"/>
    <w:rsid w:val="00F27D64"/>
    <w:rsid w:val="00F333C5"/>
    <w:rsid w:val="00F3376C"/>
    <w:rsid w:val="00F33911"/>
    <w:rsid w:val="00F3399A"/>
    <w:rsid w:val="00F340A0"/>
    <w:rsid w:val="00F340C4"/>
    <w:rsid w:val="00F34250"/>
    <w:rsid w:val="00F34779"/>
    <w:rsid w:val="00F35283"/>
    <w:rsid w:val="00F35DBC"/>
    <w:rsid w:val="00F3633F"/>
    <w:rsid w:val="00F366FC"/>
    <w:rsid w:val="00F36FD0"/>
    <w:rsid w:val="00F37604"/>
    <w:rsid w:val="00F37673"/>
    <w:rsid w:val="00F37B4A"/>
    <w:rsid w:val="00F37F3B"/>
    <w:rsid w:val="00F40823"/>
    <w:rsid w:val="00F428CD"/>
    <w:rsid w:val="00F43666"/>
    <w:rsid w:val="00F43DBF"/>
    <w:rsid w:val="00F43FA8"/>
    <w:rsid w:val="00F44840"/>
    <w:rsid w:val="00F44F50"/>
    <w:rsid w:val="00F453D5"/>
    <w:rsid w:val="00F45860"/>
    <w:rsid w:val="00F45D3F"/>
    <w:rsid w:val="00F4602B"/>
    <w:rsid w:val="00F46BB3"/>
    <w:rsid w:val="00F46D2E"/>
    <w:rsid w:val="00F46ECD"/>
    <w:rsid w:val="00F479FE"/>
    <w:rsid w:val="00F47F1E"/>
    <w:rsid w:val="00F51243"/>
    <w:rsid w:val="00F51740"/>
    <w:rsid w:val="00F51F6D"/>
    <w:rsid w:val="00F525F5"/>
    <w:rsid w:val="00F556B4"/>
    <w:rsid w:val="00F55F62"/>
    <w:rsid w:val="00F56D55"/>
    <w:rsid w:val="00F57B67"/>
    <w:rsid w:val="00F57F6C"/>
    <w:rsid w:val="00F60383"/>
    <w:rsid w:val="00F60825"/>
    <w:rsid w:val="00F612DB"/>
    <w:rsid w:val="00F613ED"/>
    <w:rsid w:val="00F65171"/>
    <w:rsid w:val="00F65712"/>
    <w:rsid w:val="00F6583E"/>
    <w:rsid w:val="00F70B7F"/>
    <w:rsid w:val="00F70C09"/>
    <w:rsid w:val="00F7112B"/>
    <w:rsid w:val="00F7129E"/>
    <w:rsid w:val="00F71C0A"/>
    <w:rsid w:val="00F721AD"/>
    <w:rsid w:val="00F72893"/>
    <w:rsid w:val="00F72CC2"/>
    <w:rsid w:val="00F7349C"/>
    <w:rsid w:val="00F747BB"/>
    <w:rsid w:val="00F7636E"/>
    <w:rsid w:val="00F77292"/>
    <w:rsid w:val="00F7765F"/>
    <w:rsid w:val="00F776D8"/>
    <w:rsid w:val="00F77741"/>
    <w:rsid w:val="00F77A29"/>
    <w:rsid w:val="00F802F9"/>
    <w:rsid w:val="00F80F71"/>
    <w:rsid w:val="00F8219F"/>
    <w:rsid w:val="00F82B15"/>
    <w:rsid w:val="00F832A2"/>
    <w:rsid w:val="00F83D5A"/>
    <w:rsid w:val="00F84367"/>
    <w:rsid w:val="00F84378"/>
    <w:rsid w:val="00F84C7E"/>
    <w:rsid w:val="00F84EB1"/>
    <w:rsid w:val="00F853FC"/>
    <w:rsid w:val="00F85655"/>
    <w:rsid w:val="00F85BD6"/>
    <w:rsid w:val="00F85C87"/>
    <w:rsid w:val="00F85F4A"/>
    <w:rsid w:val="00F873F0"/>
    <w:rsid w:val="00F87841"/>
    <w:rsid w:val="00F878B5"/>
    <w:rsid w:val="00F9012D"/>
    <w:rsid w:val="00F90BAA"/>
    <w:rsid w:val="00F9199F"/>
    <w:rsid w:val="00F92270"/>
    <w:rsid w:val="00F92BBD"/>
    <w:rsid w:val="00F9472B"/>
    <w:rsid w:val="00F958C1"/>
    <w:rsid w:val="00F96E44"/>
    <w:rsid w:val="00F97521"/>
    <w:rsid w:val="00FA1BC2"/>
    <w:rsid w:val="00FA2CC4"/>
    <w:rsid w:val="00FA2FDD"/>
    <w:rsid w:val="00FA5601"/>
    <w:rsid w:val="00FA5B04"/>
    <w:rsid w:val="00FA6608"/>
    <w:rsid w:val="00FA7C9C"/>
    <w:rsid w:val="00FB03E2"/>
    <w:rsid w:val="00FB0867"/>
    <w:rsid w:val="00FB1071"/>
    <w:rsid w:val="00FB13AB"/>
    <w:rsid w:val="00FB14D6"/>
    <w:rsid w:val="00FB291E"/>
    <w:rsid w:val="00FB31B9"/>
    <w:rsid w:val="00FB344E"/>
    <w:rsid w:val="00FB4E8F"/>
    <w:rsid w:val="00FB531C"/>
    <w:rsid w:val="00FB553B"/>
    <w:rsid w:val="00FB6180"/>
    <w:rsid w:val="00FB6D9B"/>
    <w:rsid w:val="00FB779A"/>
    <w:rsid w:val="00FB7CFC"/>
    <w:rsid w:val="00FC0908"/>
    <w:rsid w:val="00FC1040"/>
    <w:rsid w:val="00FC2078"/>
    <w:rsid w:val="00FC21B6"/>
    <w:rsid w:val="00FC2794"/>
    <w:rsid w:val="00FC2E9A"/>
    <w:rsid w:val="00FC3460"/>
    <w:rsid w:val="00FC3D39"/>
    <w:rsid w:val="00FC44D1"/>
    <w:rsid w:val="00FC5AA5"/>
    <w:rsid w:val="00FC5CAC"/>
    <w:rsid w:val="00FC6F74"/>
    <w:rsid w:val="00FC794C"/>
    <w:rsid w:val="00FC7A48"/>
    <w:rsid w:val="00FD0A33"/>
    <w:rsid w:val="00FD0C08"/>
    <w:rsid w:val="00FD116A"/>
    <w:rsid w:val="00FD14B2"/>
    <w:rsid w:val="00FD2728"/>
    <w:rsid w:val="00FD2E3E"/>
    <w:rsid w:val="00FD328E"/>
    <w:rsid w:val="00FD3D81"/>
    <w:rsid w:val="00FD45B4"/>
    <w:rsid w:val="00FD5A81"/>
    <w:rsid w:val="00FD6871"/>
    <w:rsid w:val="00FD6954"/>
    <w:rsid w:val="00FD6B3A"/>
    <w:rsid w:val="00FD7F72"/>
    <w:rsid w:val="00FE0570"/>
    <w:rsid w:val="00FE11D6"/>
    <w:rsid w:val="00FE1328"/>
    <w:rsid w:val="00FE17ED"/>
    <w:rsid w:val="00FE1B32"/>
    <w:rsid w:val="00FE3FC0"/>
    <w:rsid w:val="00FE424E"/>
    <w:rsid w:val="00FE4253"/>
    <w:rsid w:val="00FE4B71"/>
    <w:rsid w:val="00FE7A0B"/>
    <w:rsid w:val="00FE7A5C"/>
    <w:rsid w:val="00FF0907"/>
    <w:rsid w:val="00FF0925"/>
    <w:rsid w:val="00FF241F"/>
    <w:rsid w:val="00FF26CF"/>
    <w:rsid w:val="00FF2ED0"/>
    <w:rsid w:val="00FF3AF8"/>
    <w:rsid w:val="00FF4653"/>
    <w:rsid w:val="00FF46BD"/>
    <w:rsid w:val="00FF47D8"/>
    <w:rsid w:val="00FF4D59"/>
    <w:rsid w:val="00FF4FBD"/>
    <w:rsid w:val="00FF5BF5"/>
    <w:rsid w:val="00FF5D1F"/>
    <w:rsid w:val="00FF60F3"/>
    <w:rsid w:val="00FF6C7A"/>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7D91B57"/>
  <w15:docId w15:val="{9EDB06B0-F020-4A11-89A0-2E28F09E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aliases w:val="Footnote Text Char1,ALTS FOOTNOTE Char,fn Char,Footnote Text 2 Char,Footnote text Char,FOOTNOTE Char,Footnote Text Char2 Char,Footnote Text Char Char Char,Footnote Text Char1 Char Char Char,Footnote Text Char Char Char Char Char,fn,FOOTNO"/>
    <w:basedOn w:val="Normal"/>
    <w:link w:val="FootnoteTextChar"/>
    <w:uiPriority w:val="99"/>
    <w:qFormat/>
    <w:rsid w:val="00921AF7"/>
    <w:rPr>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921AF7"/>
    <w:rPr>
      <w:vertAlign w:val="superscript"/>
    </w:rPr>
  </w:style>
  <w:style w:type="paragraph" w:styleId="Footer">
    <w:name w:val="footer"/>
    <w:basedOn w:val="Normal"/>
    <w:link w:val="FooterChar"/>
    <w:uiPriority w:val="99"/>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aliases w:val="Footnote Text Char1 Char,ALTS FOOTNOTE Char Char,fn Char Char,Footnote Text 2 Char Char,Footnote text Char Char,FOOTNOTE Char Char,Footnote Text Char2 Char Char,Footnote Text Char Char Char Char,Footnote Text Char1 Char Char Char Char"/>
    <w:basedOn w:val="DefaultParagraphFont"/>
    <w:link w:val="FootnoteText"/>
    <w:uiPriority w:val="99"/>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 w:type="paragraph" w:customStyle="1" w:styleId="Default">
    <w:name w:val="Default"/>
    <w:rsid w:val="007A7B8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32B3D"/>
    <w:rPr>
      <w:sz w:val="24"/>
      <w:szCs w:val="24"/>
    </w:rPr>
  </w:style>
  <w:style w:type="character" w:styleId="LineNumber">
    <w:name w:val="line number"/>
    <w:basedOn w:val="DefaultParagraphFont"/>
    <w:semiHidden/>
    <w:unhideWhenUsed/>
    <w:rsid w:val="00A3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732364">
      <w:bodyDiv w:val="1"/>
      <w:marLeft w:val="0"/>
      <w:marRight w:val="0"/>
      <w:marTop w:val="0"/>
      <w:marBottom w:val="0"/>
      <w:divBdr>
        <w:top w:val="none" w:sz="0" w:space="0" w:color="auto"/>
        <w:left w:val="none" w:sz="0" w:space="0" w:color="auto"/>
        <w:bottom w:val="none" w:sz="0" w:space="0" w:color="auto"/>
        <w:right w:val="none" w:sz="0" w:space="0" w:color="auto"/>
      </w:divBdr>
      <w:divsChild>
        <w:div w:id="209022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220652">
      <w:bodyDiv w:val="1"/>
      <w:marLeft w:val="0"/>
      <w:marRight w:val="0"/>
      <w:marTop w:val="0"/>
      <w:marBottom w:val="0"/>
      <w:divBdr>
        <w:top w:val="none" w:sz="0" w:space="0" w:color="auto"/>
        <w:left w:val="none" w:sz="0" w:space="0" w:color="auto"/>
        <w:bottom w:val="none" w:sz="0" w:space="0" w:color="auto"/>
        <w:right w:val="none" w:sz="0" w:space="0" w:color="auto"/>
      </w:divBdr>
      <w:divsChild>
        <w:div w:id="1770924546">
          <w:marLeft w:val="0"/>
          <w:marRight w:val="0"/>
          <w:marTop w:val="0"/>
          <w:marBottom w:val="0"/>
          <w:divBdr>
            <w:top w:val="none" w:sz="0" w:space="0" w:color="auto"/>
            <w:left w:val="none" w:sz="0" w:space="0" w:color="auto"/>
            <w:bottom w:val="none" w:sz="0" w:space="0" w:color="auto"/>
            <w:right w:val="none" w:sz="0" w:space="0" w:color="auto"/>
          </w:divBdr>
          <w:divsChild>
            <w:div w:id="174734103">
              <w:marLeft w:val="0"/>
              <w:marRight w:val="0"/>
              <w:marTop w:val="0"/>
              <w:marBottom w:val="0"/>
              <w:divBdr>
                <w:top w:val="none" w:sz="0" w:space="0" w:color="auto"/>
                <w:left w:val="none" w:sz="0" w:space="0" w:color="auto"/>
                <w:bottom w:val="none" w:sz="0" w:space="0" w:color="auto"/>
                <w:right w:val="none" w:sz="0" w:space="0" w:color="auto"/>
              </w:divBdr>
              <w:divsChild>
                <w:div w:id="968977663">
                  <w:marLeft w:val="0"/>
                  <w:marRight w:val="0"/>
                  <w:marTop w:val="0"/>
                  <w:marBottom w:val="0"/>
                  <w:divBdr>
                    <w:top w:val="none" w:sz="0" w:space="0" w:color="auto"/>
                    <w:left w:val="none" w:sz="0" w:space="0" w:color="auto"/>
                    <w:bottom w:val="none" w:sz="0" w:space="0" w:color="auto"/>
                    <w:right w:val="none" w:sz="0" w:space="0" w:color="auto"/>
                  </w:divBdr>
                  <w:divsChild>
                    <w:div w:id="2079204186">
                      <w:marLeft w:val="0"/>
                      <w:marRight w:val="300"/>
                      <w:marTop w:val="0"/>
                      <w:marBottom w:val="0"/>
                      <w:divBdr>
                        <w:top w:val="none" w:sz="0" w:space="0" w:color="auto"/>
                        <w:left w:val="none" w:sz="0" w:space="0" w:color="auto"/>
                        <w:bottom w:val="none" w:sz="0" w:space="0" w:color="auto"/>
                        <w:right w:val="none" w:sz="0" w:space="0" w:color="auto"/>
                      </w:divBdr>
                      <w:divsChild>
                        <w:div w:id="443427366">
                          <w:marLeft w:val="0"/>
                          <w:marRight w:val="300"/>
                          <w:marTop w:val="0"/>
                          <w:marBottom w:val="0"/>
                          <w:divBdr>
                            <w:top w:val="none" w:sz="0" w:space="0" w:color="auto"/>
                            <w:left w:val="none" w:sz="0" w:space="0" w:color="auto"/>
                            <w:bottom w:val="none" w:sz="0" w:space="0" w:color="auto"/>
                            <w:right w:val="none" w:sz="0" w:space="0" w:color="auto"/>
                          </w:divBdr>
                          <w:divsChild>
                            <w:div w:id="493764079">
                              <w:marLeft w:val="0"/>
                              <w:marRight w:val="0"/>
                              <w:marTop w:val="0"/>
                              <w:marBottom w:val="0"/>
                              <w:divBdr>
                                <w:top w:val="none" w:sz="0" w:space="0" w:color="auto"/>
                                <w:left w:val="none" w:sz="0" w:space="0" w:color="auto"/>
                                <w:bottom w:val="none" w:sz="0" w:space="0" w:color="auto"/>
                                <w:right w:val="none" w:sz="0" w:space="0" w:color="auto"/>
                              </w:divBdr>
                              <w:divsChild>
                                <w:div w:id="1256868203">
                                  <w:marLeft w:val="0"/>
                                  <w:marRight w:val="0"/>
                                  <w:marTop w:val="0"/>
                                  <w:marBottom w:val="0"/>
                                  <w:divBdr>
                                    <w:top w:val="none" w:sz="0" w:space="0" w:color="auto"/>
                                    <w:left w:val="none" w:sz="0" w:space="0" w:color="auto"/>
                                    <w:bottom w:val="none" w:sz="0" w:space="0" w:color="auto"/>
                                    <w:right w:val="none" w:sz="0" w:space="0" w:color="auto"/>
                                  </w:divBdr>
                                  <w:divsChild>
                                    <w:div w:id="1713768027">
                                      <w:marLeft w:val="0"/>
                                      <w:marRight w:val="0"/>
                                      <w:marTop w:val="0"/>
                                      <w:marBottom w:val="0"/>
                                      <w:divBdr>
                                        <w:top w:val="none" w:sz="0" w:space="0" w:color="auto"/>
                                        <w:left w:val="none" w:sz="0" w:space="0" w:color="auto"/>
                                        <w:bottom w:val="none" w:sz="0" w:space="0" w:color="auto"/>
                                        <w:right w:val="none" w:sz="0" w:space="0" w:color="auto"/>
                                      </w:divBdr>
                                      <w:divsChild>
                                        <w:div w:id="1930501260">
                                          <w:marLeft w:val="0"/>
                                          <w:marRight w:val="0"/>
                                          <w:marTop w:val="0"/>
                                          <w:marBottom w:val="0"/>
                                          <w:divBdr>
                                            <w:top w:val="none" w:sz="0" w:space="0" w:color="auto"/>
                                            <w:left w:val="none" w:sz="0" w:space="0" w:color="auto"/>
                                            <w:bottom w:val="none" w:sz="0" w:space="0" w:color="auto"/>
                                            <w:right w:val="none" w:sz="0" w:space="0" w:color="auto"/>
                                          </w:divBdr>
                                        </w:div>
                                        <w:div w:id="701631069">
                                          <w:marLeft w:val="0"/>
                                          <w:marRight w:val="0"/>
                                          <w:marTop w:val="0"/>
                                          <w:marBottom w:val="0"/>
                                          <w:divBdr>
                                            <w:top w:val="none" w:sz="0" w:space="0" w:color="auto"/>
                                            <w:left w:val="none" w:sz="0" w:space="0" w:color="auto"/>
                                            <w:bottom w:val="none" w:sz="0" w:space="0" w:color="auto"/>
                                            <w:right w:val="none" w:sz="0" w:space="0" w:color="auto"/>
                                          </w:divBdr>
                                        </w:div>
                                        <w:div w:id="440150727">
                                          <w:marLeft w:val="0"/>
                                          <w:marRight w:val="0"/>
                                          <w:marTop w:val="0"/>
                                          <w:marBottom w:val="0"/>
                                          <w:divBdr>
                                            <w:top w:val="none" w:sz="0" w:space="0" w:color="auto"/>
                                            <w:left w:val="none" w:sz="0" w:space="0" w:color="auto"/>
                                            <w:bottom w:val="none" w:sz="0" w:space="0" w:color="auto"/>
                                            <w:right w:val="none" w:sz="0" w:space="0" w:color="auto"/>
                                          </w:divBdr>
                                        </w:div>
                                        <w:div w:id="547185475">
                                          <w:marLeft w:val="0"/>
                                          <w:marRight w:val="0"/>
                                          <w:marTop w:val="0"/>
                                          <w:marBottom w:val="0"/>
                                          <w:divBdr>
                                            <w:top w:val="none" w:sz="0" w:space="0" w:color="auto"/>
                                            <w:left w:val="none" w:sz="0" w:space="0" w:color="auto"/>
                                            <w:bottom w:val="none" w:sz="0" w:space="0" w:color="auto"/>
                                            <w:right w:val="none" w:sz="0" w:space="0" w:color="auto"/>
                                          </w:divBdr>
                                        </w:div>
                                        <w:div w:id="378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877461">
      <w:bodyDiv w:val="1"/>
      <w:marLeft w:val="0"/>
      <w:marRight w:val="0"/>
      <w:marTop w:val="0"/>
      <w:marBottom w:val="0"/>
      <w:divBdr>
        <w:top w:val="none" w:sz="0" w:space="0" w:color="auto"/>
        <w:left w:val="none" w:sz="0" w:space="0" w:color="auto"/>
        <w:bottom w:val="none" w:sz="0" w:space="0" w:color="auto"/>
        <w:right w:val="none" w:sz="0" w:space="0" w:color="auto"/>
      </w:divBdr>
      <w:divsChild>
        <w:div w:id="26222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9541">
      <w:bodyDiv w:val="1"/>
      <w:marLeft w:val="0"/>
      <w:marRight w:val="0"/>
      <w:marTop w:val="0"/>
      <w:marBottom w:val="0"/>
      <w:divBdr>
        <w:top w:val="none" w:sz="0" w:space="0" w:color="auto"/>
        <w:left w:val="none" w:sz="0" w:space="0" w:color="auto"/>
        <w:bottom w:val="none" w:sz="0" w:space="0" w:color="auto"/>
        <w:right w:val="none" w:sz="0" w:space="0" w:color="auto"/>
      </w:divBdr>
      <w:divsChild>
        <w:div w:id="1950356236">
          <w:marLeft w:val="0"/>
          <w:marRight w:val="0"/>
          <w:marTop w:val="0"/>
          <w:marBottom w:val="0"/>
          <w:divBdr>
            <w:top w:val="none" w:sz="0" w:space="0" w:color="auto"/>
            <w:left w:val="none" w:sz="0" w:space="0" w:color="auto"/>
            <w:bottom w:val="none" w:sz="0" w:space="0" w:color="auto"/>
            <w:right w:val="none" w:sz="0" w:space="0" w:color="auto"/>
          </w:divBdr>
          <w:divsChild>
            <w:div w:id="627204880">
              <w:marLeft w:val="0"/>
              <w:marRight w:val="0"/>
              <w:marTop w:val="0"/>
              <w:marBottom w:val="0"/>
              <w:divBdr>
                <w:top w:val="none" w:sz="0" w:space="0" w:color="auto"/>
                <w:left w:val="none" w:sz="0" w:space="0" w:color="auto"/>
                <w:bottom w:val="none" w:sz="0" w:space="0" w:color="auto"/>
                <w:right w:val="none" w:sz="0" w:space="0" w:color="auto"/>
              </w:divBdr>
              <w:divsChild>
                <w:div w:id="774980670">
                  <w:marLeft w:val="0"/>
                  <w:marRight w:val="0"/>
                  <w:marTop w:val="0"/>
                  <w:marBottom w:val="0"/>
                  <w:divBdr>
                    <w:top w:val="none" w:sz="0" w:space="0" w:color="auto"/>
                    <w:left w:val="none" w:sz="0" w:space="0" w:color="auto"/>
                    <w:bottom w:val="none" w:sz="0" w:space="0" w:color="auto"/>
                    <w:right w:val="none" w:sz="0" w:space="0" w:color="auto"/>
                  </w:divBdr>
                  <w:divsChild>
                    <w:div w:id="1981374452">
                      <w:marLeft w:val="0"/>
                      <w:marRight w:val="300"/>
                      <w:marTop w:val="0"/>
                      <w:marBottom w:val="0"/>
                      <w:divBdr>
                        <w:top w:val="none" w:sz="0" w:space="0" w:color="auto"/>
                        <w:left w:val="none" w:sz="0" w:space="0" w:color="auto"/>
                        <w:bottom w:val="none" w:sz="0" w:space="0" w:color="auto"/>
                        <w:right w:val="none" w:sz="0" w:space="0" w:color="auto"/>
                      </w:divBdr>
                      <w:divsChild>
                        <w:div w:id="124323216">
                          <w:marLeft w:val="0"/>
                          <w:marRight w:val="300"/>
                          <w:marTop w:val="0"/>
                          <w:marBottom w:val="0"/>
                          <w:divBdr>
                            <w:top w:val="none" w:sz="0" w:space="0" w:color="auto"/>
                            <w:left w:val="none" w:sz="0" w:space="0" w:color="auto"/>
                            <w:bottom w:val="none" w:sz="0" w:space="0" w:color="auto"/>
                            <w:right w:val="none" w:sz="0" w:space="0" w:color="auto"/>
                          </w:divBdr>
                          <w:divsChild>
                            <w:div w:id="1550606093">
                              <w:marLeft w:val="0"/>
                              <w:marRight w:val="0"/>
                              <w:marTop w:val="0"/>
                              <w:marBottom w:val="0"/>
                              <w:divBdr>
                                <w:top w:val="none" w:sz="0" w:space="0" w:color="auto"/>
                                <w:left w:val="none" w:sz="0" w:space="0" w:color="auto"/>
                                <w:bottom w:val="none" w:sz="0" w:space="0" w:color="auto"/>
                                <w:right w:val="none" w:sz="0" w:space="0" w:color="auto"/>
                              </w:divBdr>
                              <w:divsChild>
                                <w:div w:id="1345011792">
                                  <w:marLeft w:val="0"/>
                                  <w:marRight w:val="0"/>
                                  <w:marTop w:val="0"/>
                                  <w:marBottom w:val="0"/>
                                  <w:divBdr>
                                    <w:top w:val="none" w:sz="0" w:space="0" w:color="auto"/>
                                    <w:left w:val="none" w:sz="0" w:space="0" w:color="auto"/>
                                    <w:bottom w:val="none" w:sz="0" w:space="0" w:color="auto"/>
                                    <w:right w:val="none" w:sz="0" w:space="0" w:color="auto"/>
                                  </w:divBdr>
                                  <w:divsChild>
                                    <w:div w:id="822698234">
                                      <w:marLeft w:val="0"/>
                                      <w:marRight w:val="0"/>
                                      <w:marTop w:val="0"/>
                                      <w:marBottom w:val="0"/>
                                      <w:divBdr>
                                        <w:top w:val="none" w:sz="0" w:space="0" w:color="auto"/>
                                        <w:left w:val="none" w:sz="0" w:space="0" w:color="auto"/>
                                        <w:bottom w:val="none" w:sz="0" w:space="0" w:color="auto"/>
                                        <w:right w:val="none" w:sz="0" w:space="0" w:color="auto"/>
                                      </w:divBdr>
                                    </w:div>
                                    <w:div w:id="21063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530485">
      <w:bodyDiv w:val="1"/>
      <w:marLeft w:val="0"/>
      <w:marRight w:val="0"/>
      <w:marTop w:val="0"/>
      <w:marBottom w:val="0"/>
      <w:divBdr>
        <w:top w:val="none" w:sz="0" w:space="0" w:color="auto"/>
        <w:left w:val="none" w:sz="0" w:space="0" w:color="auto"/>
        <w:bottom w:val="none" w:sz="0" w:space="0" w:color="auto"/>
        <w:right w:val="none" w:sz="0" w:space="0" w:color="auto"/>
      </w:divBdr>
    </w:div>
    <w:div w:id="2122021350">
      <w:bodyDiv w:val="1"/>
      <w:marLeft w:val="0"/>
      <w:marRight w:val="0"/>
      <w:marTop w:val="0"/>
      <w:marBottom w:val="0"/>
      <w:divBdr>
        <w:top w:val="none" w:sz="0" w:space="0" w:color="auto"/>
        <w:left w:val="none" w:sz="0" w:space="0" w:color="auto"/>
        <w:bottom w:val="none" w:sz="0" w:space="0" w:color="auto"/>
        <w:right w:val="none" w:sz="0" w:space="0" w:color="auto"/>
      </w:divBdr>
      <w:divsChild>
        <w:div w:id="14609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7868-1874-420C-982D-C99D7ECA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82</Pages>
  <Words>23124</Words>
  <Characters>131807</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154622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7</cp:revision>
  <cp:lastPrinted>2019-10-09T19:28:00Z</cp:lastPrinted>
  <dcterms:created xsi:type="dcterms:W3CDTF">2019-10-10T20:50:00Z</dcterms:created>
  <dcterms:modified xsi:type="dcterms:W3CDTF">2019-10-23T18:45:00Z</dcterms:modified>
</cp:coreProperties>
</file>