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Agnes and Steve Atuahene</w:t>
      </w:r>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6ACFE4D7" w:rsidR="001B7833" w:rsidRDefault="007126C9" w:rsidP="001B7833">
      <w:r>
        <w:t>PECO Energy Company and AE</w:t>
      </w:r>
      <w:r w:rsidR="001B7833">
        <w:t>P</w:t>
      </w:r>
      <w:r>
        <w:t xml:space="preserve"> Energy Inc.</w:t>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6F682D5D" w14:textId="2D0BBEE5" w:rsidR="00B0450A" w:rsidRDefault="00F301BB" w:rsidP="006C20E6">
      <w:pPr>
        <w:keepLines/>
        <w:jc w:val="center"/>
        <w:rPr>
          <w:b/>
          <w:u w:val="single"/>
        </w:rPr>
      </w:pPr>
      <w:r>
        <w:rPr>
          <w:b/>
          <w:u w:val="single"/>
        </w:rPr>
        <w:t xml:space="preserve">INTERIM </w:t>
      </w:r>
      <w:r w:rsidR="000438C4">
        <w:rPr>
          <w:b/>
          <w:u w:val="single"/>
        </w:rPr>
        <w:t>ORDER</w:t>
      </w:r>
      <w:r w:rsidR="001B7833">
        <w:rPr>
          <w:b/>
          <w:u w:val="single"/>
        </w:rPr>
        <w:t xml:space="preserve"> </w:t>
      </w:r>
      <w:r w:rsidR="000438C4">
        <w:rPr>
          <w:b/>
          <w:u w:val="single"/>
        </w:rPr>
        <w:t>DENY</w:t>
      </w:r>
      <w:r w:rsidR="001B7833">
        <w:rPr>
          <w:b/>
          <w:u w:val="single"/>
        </w:rPr>
        <w:t xml:space="preserve">ING </w:t>
      </w:r>
      <w:r w:rsidR="007126C9">
        <w:rPr>
          <w:b/>
          <w:u w:val="single"/>
        </w:rPr>
        <w:t>RESPONDENT’S</w:t>
      </w:r>
    </w:p>
    <w:p w14:paraId="2955F92D" w14:textId="12B1EC17" w:rsidR="001B7833" w:rsidRPr="00270C7A" w:rsidRDefault="001B7833" w:rsidP="006C20E6">
      <w:pPr>
        <w:keepLines/>
        <w:jc w:val="center"/>
        <w:rPr>
          <w:b/>
          <w:u w:val="single"/>
        </w:rPr>
      </w:pPr>
      <w:r>
        <w:rPr>
          <w:b/>
          <w:u w:val="single"/>
        </w:rPr>
        <w:t xml:space="preserve">MOTION </w:t>
      </w:r>
      <w:r w:rsidR="007126C9">
        <w:rPr>
          <w:b/>
          <w:u w:val="single"/>
        </w:rPr>
        <w:t>T</w:t>
      </w:r>
      <w:r w:rsidR="00DD0187">
        <w:rPr>
          <w:b/>
          <w:u w:val="single"/>
        </w:rPr>
        <w:t xml:space="preserve">O </w:t>
      </w:r>
      <w:r w:rsidR="007126C9">
        <w:rPr>
          <w:b/>
          <w:u w:val="single"/>
        </w:rPr>
        <w:t>DISMISS</w:t>
      </w:r>
    </w:p>
    <w:p w14:paraId="0AA13CB4" w14:textId="77777777" w:rsidR="00B0450A" w:rsidRPr="00270C7A" w:rsidRDefault="00B0450A" w:rsidP="001A64C8">
      <w:pPr>
        <w:keepLines/>
        <w:spacing w:line="360" w:lineRule="auto"/>
        <w:jc w:val="center"/>
        <w:rPr>
          <w:b/>
          <w:u w:val="single"/>
        </w:rPr>
      </w:pPr>
    </w:p>
    <w:p w14:paraId="3CA0096E" w14:textId="1AC329AB" w:rsidR="00684A7F" w:rsidRPr="00182BA6" w:rsidRDefault="00684A7F" w:rsidP="00182BA6">
      <w:pPr>
        <w:keepLines/>
        <w:spacing w:line="360" w:lineRule="auto"/>
        <w:jc w:val="center"/>
        <w:rPr>
          <w:u w:val="single"/>
        </w:rPr>
      </w:pPr>
      <w:r w:rsidRPr="00182BA6">
        <w:rPr>
          <w:u w:val="single"/>
        </w:rPr>
        <w:t>HISTORY</w:t>
      </w:r>
    </w:p>
    <w:p w14:paraId="5668ECE4" w14:textId="77777777" w:rsidR="00684A7F" w:rsidRPr="00684A7F" w:rsidRDefault="00684A7F" w:rsidP="00684A7F">
      <w:pPr>
        <w:keepLines/>
        <w:spacing w:line="360" w:lineRule="auto"/>
        <w:rPr>
          <w:u w:val="single"/>
        </w:rPr>
      </w:pPr>
    </w:p>
    <w:p w14:paraId="6082D559" w14:textId="72A46367" w:rsidR="001B077E" w:rsidRDefault="00317560" w:rsidP="001B7833">
      <w:pPr>
        <w:keepLines/>
        <w:spacing w:line="360" w:lineRule="auto"/>
        <w:ind w:firstLine="1440"/>
      </w:pPr>
      <w:r w:rsidRPr="00270C7A">
        <w:t xml:space="preserve">On </w:t>
      </w:r>
      <w:r w:rsidR="007126C9">
        <w:t>September 12, 2019</w:t>
      </w:r>
      <w:r w:rsidR="000962F2" w:rsidRPr="00270C7A">
        <w:t xml:space="preserve">, </w:t>
      </w:r>
      <w:r w:rsidR="007126C9">
        <w:t xml:space="preserve">Agnes and Steve </w:t>
      </w:r>
      <w:proofErr w:type="spellStart"/>
      <w:r w:rsidR="007126C9">
        <w:t>Atuahene</w:t>
      </w:r>
      <w:proofErr w:type="spellEnd"/>
      <w:r w:rsidR="001B7833">
        <w:t xml:space="preserve"> </w:t>
      </w:r>
      <w:r w:rsidR="007B232C" w:rsidRPr="00270C7A">
        <w:t>(Complainant</w:t>
      </w:r>
      <w:r w:rsidR="004B506B">
        <w:t>s</w:t>
      </w:r>
      <w:r w:rsidR="007B232C" w:rsidRPr="00270C7A">
        <w:t xml:space="preserve">) filed a </w:t>
      </w:r>
      <w:r w:rsidR="007126C9">
        <w:t xml:space="preserve">formal </w:t>
      </w:r>
      <w:r w:rsidR="00296C41" w:rsidRPr="00270C7A">
        <w:t>C</w:t>
      </w:r>
      <w:r w:rsidR="007B232C" w:rsidRPr="00270C7A">
        <w:t>omplaint</w:t>
      </w:r>
      <w:r w:rsidR="007126C9">
        <w:t xml:space="preserve"> (Complaint)</w:t>
      </w:r>
      <w:r w:rsidR="007B232C" w:rsidRPr="00270C7A">
        <w:t xml:space="preserve"> with the </w:t>
      </w:r>
      <w:r w:rsidR="00FA2433" w:rsidRPr="00270C7A">
        <w:t xml:space="preserve">Pennsylvania Public Utility </w:t>
      </w:r>
      <w:r w:rsidR="000962F2" w:rsidRPr="00270C7A">
        <w:t xml:space="preserve">Commission </w:t>
      </w:r>
      <w:r w:rsidR="00FA2433" w:rsidRPr="00270C7A">
        <w:t xml:space="preserve">(PUC or Commission) </w:t>
      </w:r>
      <w:r w:rsidR="000962F2" w:rsidRPr="00270C7A">
        <w:t>a</w:t>
      </w:r>
      <w:r w:rsidR="007B232C" w:rsidRPr="00270C7A">
        <w:t>gains</w:t>
      </w:r>
      <w:r w:rsidR="000962F2" w:rsidRPr="00270C7A">
        <w:t>t</w:t>
      </w:r>
      <w:r w:rsidR="007B232C" w:rsidRPr="00270C7A">
        <w:t xml:space="preserve"> </w:t>
      </w:r>
      <w:r w:rsidR="001B7833">
        <w:t>P</w:t>
      </w:r>
      <w:r w:rsidR="007126C9">
        <w:t xml:space="preserve">ECO Energy Company </w:t>
      </w:r>
      <w:r w:rsidR="001B077E">
        <w:t>(P</w:t>
      </w:r>
      <w:r w:rsidR="007126C9">
        <w:t>ECO</w:t>
      </w:r>
      <w:r w:rsidR="001B077E">
        <w:t xml:space="preserve"> or Company)</w:t>
      </w:r>
      <w:r w:rsidR="007126C9">
        <w:t xml:space="preserve"> and AEP Energy Inc. (AEP), collectively Respondents</w:t>
      </w:r>
      <w:r w:rsidR="007B232C" w:rsidRPr="00270C7A">
        <w:t>.</w:t>
      </w:r>
      <w:r w:rsidR="0060004E" w:rsidRPr="00270C7A">
        <w:t xml:space="preserve">  </w:t>
      </w:r>
      <w:r w:rsidR="007B736D">
        <w:t>The Complainant</w:t>
      </w:r>
      <w:r w:rsidR="003B3A69">
        <w:t>s</w:t>
      </w:r>
      <w:r w:rsidR="007B736D">
        <w:t xml:space="preserve"> </w:t>
      </w:r>
      <w:r w:rsidR="00D26620">
        <w:t>alleged</w:t>
      </w:r>
      <w:r w:rsidR="005A04D3">
        <w:t>: (1) the utility is threatening to shut of Complainant</w:t>
      </w:r>
      <w:r w:rsidR="001A1186">
        <w:t>s’</w:t>
      </w:r>
      <w:r w:rsidR="005A04D3">
        <w:t xml:space="preserve"> service or has already shut off service; (2) </w:t>
      </w:r>
      <w:r w:rsidR="002F0C21">
        <w:t xml:space="preserve">the </w:t>
      </w:r>
      <w:r w:rsidR="005A04D3">
        <w:t xml:space="preserve">problem with meter and equipment; (3) </w:t>
      </w:r>
      <w:r w:rsidR="002F0C21">
        <w:t xml:space="preserve">the </w:t>
      </w:r>
      <w:r w:rsidR="005A04D3">
        <w:t xml:space="preserve">contract with AEP </w:t>
      </w:r>
      <w:r w:rsidR="002F0C21">
        <w:t xml:space="preserve">was </w:t>
      </w:r>
      <w:r w:rsidR="005A04D3">
        <w:t xml:space="preserve">obtained fraudulently; (4) </w:t>
      </w:r>
      <w:r w:rsidR="002F0C21">
        <w:t xml:space="preserve">the </w:t>
      </w:r>
      <w:r w:rsidR="005A04D3">
        <w:t>amounts billed as transfers for service at other properties violate Complainant</w:t>
      </w:r>
      <w:r w:rsidR="00B36377">
        <w:t>s’</w:t>
      </w:r>
      <w:r w:rsidR="005A04D3">
        <w:t xml:space="preserve"> due process rights; and (5) AEP conspired with PECO to extort monies from the Complainant</w:t>
      </w:r>
      <w:r w:rsidR="004B506B">
        <w:t>s</w:t>
      </w:r>
      <w:r w:rsidR="005A04D3">
        <w:t>.</w:t>
      </w:r>
    </w:p>
    <w:p w14:paraId="0216C5C2" w14:textId="69D10E48" w:rsidR="001B7833" w:rsidRDefault="001B7833" w:rsidP="001B7833">
      <w:pPr>
        <w:keepLines/>
        <w:spacing w:line="360" w:lineRule="auto"/>
        <w:ind w:firstLine="1440"/>
      </w:pPr>
    </w:p>
    <w:p w14:paraId="4E30545F" w14:textId="71027096" w:rsidR="00253465" w:rsidRDefault="005A04D3" w:rsidP="001B7833">
      <w:pPr>
        <w:keepLines/>
        <w:spacing w:line="360" w:lineRule="auto"/>
        <w:ind w:firstLine="1440"/>
      </w:pPr>
      <w:r>
        <w:t>The Complainant</w:t>
      </w:r>
      <w:r w:rsidR="00BD3D9A">
        <w:t>s</w:t>
      </w:r>
      <w:r>
        <w:t xml:space="preserve"> </w:t>
      </w:r>
      <w:r w:rsidR="00253465">
        <w:t xml:space="preserve">requested </w:t>
      </w:r>
      <w:r>
        <w:t xml:space="preserve">that the Commission: (1) </w:t>
      </w:r>
      <w:r w:rsidR="00253465">
        <w:t>give Complainant</w:t>
      </w:r>
      <w:r w:rsidR="002546EB">
        <w:t>s</w:t>
      </w:r>
      <w:r w:rsidR="00253465">
        <w:t xml:space="preserve"> sufficient time to </w:t>
      </w:r>
      <w:r>
        <w:t>investigate</w:t>
      </w:r>
      <w:r w:rsidR="00253465">
        <w:t>; (2) investigate functionality of meter and equipment for billing accuracy; and (3) investigate business practices of Respondents.</w:t>
      </w:r>
    </w:p>
    <w:p w14:paraId="141DC2D7" w14:textId="06BE50D9" w:rsidR="005A04D3" w:rsidRDefault="005A04D3" w:rsidP="001B7833">
      <w:pPr>
        <w:keepLines/>
        <w:spacing w:line="360" w:lineRule="auto"/>
        <w:ind w:firstLine="1440"/>
      </w:pPr>
      <w:r>
        <w:t xml:space="preserve"> </w:t>
      </w:r>
    </w:p>
    <w:p w14:paraId="20E46C7B" w14:textId="12C063F7" w:rsidR="00394EFE" w:rsidRPr="00394EFE" w:rsidRDefault="00DC39D6" w:rsidP="00394EFE">
      <w:pPr>
        <w:spacing w:line="360" w:lineRule="auto"/>
        <w:ind w:firstLine="1440"/>
      </w:pPr>
      <w:r>
        <w:t>T</w:t>
      </w:r>
      <w:r w:rsidR="003F4BF7" w:rsidRPr="00270C7A">
        <w:t xml:space="preserve">he Complaint was </w:t>
      </w:r>
      <w:r w:rsidR="006A6D08">
        <w:t xml:space="preserve">electronically </w:t>
      </w:r>
      <w:r w:rsidR="003F4BF7" w:rsidRPr="00270C7A">
        <w:t>served</w:t>
      </w:r>
      <w:r w:rsidR="006A6D08">
        <w:t xml:space="preserve"> (eServed or eService)</w:t>
      </w:r>
      <w:r w:rsidR="003F4BF7" w:rsidRPr="00270C7A">
        <w:t xml:space="preserve"> by the Commission’s Secretary on </w:t>
      </w:r>
      <w:r w:rsidR="00B6275E">
        <w:t>September 13,</w:t>
      </w:r>
      <w:r w:rsidR="00394EFE">
        <w:t xml:space="preserve"> 2019, </w:t>
      </w:r>
      <w:r w:rsidR="00CE292A" w:rsidRPr="00270C7A">
        <w:t>per</w:t>
      </w:r>
      <w:r w:rsidR="003F4BF7" w:rsidRPr="00270C7A">
        <w:t xml:space="preserve"> the audit history of the docket.</w:t>
      </w:r>
      <w:r w:rsidR="00394EFE">
        <w:t xml:space="preserve">  </w:t>
      </w:r>
      <w:r w:rsidR="00394EFE" w:rsidRPr="00394EFE">
        <w:t xml:space="preserve">The eService is pursuant to the waiver of Section 702 program, under which the Respondent waives the service requirements in 66 Pa.C.S. § 702. </w:t>
      </w:r>
    </w:p>
    <w:p w14:paraId="433FD133" w14:textId="76471B04" w:rsidR="000962F2" w:rsidRDefault="003F4BF7" w:rsidP="00D44B0F">
      <w:pPr>
        <w:keepLines/>
        <w:spacing w:line="360" w:lineRule="auto"/>
        <w:ind w:firstLine="1440"/>
      </w:pPr>
      <w:r w:rsidRPr="00270C7A">
        <w:t xml:space="preserve">  </w:t>
      </w:r>
    </w:p>
    <w:p w14:paraId="46803A98" w14:textId="18ABAAD5" w:rsidR="006A6D08" w:rsidRDefault="008C65BA" w:rsidP="006C20E6">
      <w:pPr>
        <w:keepLines/>
        <w:spacing w:line="360" w:lineRule="auto"/>
        <w:ind w:firstLine="1440"/>
      </w:pPr>
      <w:r>
        <w:lastRenderedPageBreak/>
        <w:t xml:space="preserve">On </w:t>
      </w:r>
      <w:r w:rsidR="006A6D08">
        <w:t>October 3</w:t>
      </w:r>
      <w:r>
        <w:t>, 201</w:t>
      </w:r>
      <w:r w:rsidR="006A6D08">
        <w:t>9</w:t>
      </w:r>
      <w:r>
        <w:t xml:space="preserve">, </w:t>
      </w:r>
      <w:r w:rsidR="006A6D08">
        <w:t>Angela Lorenz, Esquire, counsel for PECO, filed an Answer to the Complaint which denied all material allegations.  The Answer asserted</w:t>
      </w:r>
      <w:r w:rsidR="005D7F69">
        <w:t xml:space="preserve"> the Complaint is an appeal of a decision by the Commission’s Bureau of Consumer Services (BCS) at Case No. 003677045 wherein BCS determined that the Complainant</w:t>
      </w:r>
      <w:r w:rsidR="00A51776">
        <w:t>s</w:t>
      </w:r>
      <w:r w:rsidR="005D7F69">
        <w:t xml:space="preserve"> </w:t>
      </w:r>
      <w:r w:rsidR="00A51776">
        <w:t>are</w:t>
      </w:r>
      <w:r w:rsidR="005D7F69">
        <w:t xml:space="preserve"> responsible for an outstanding balance and has a valid account with AEP.  PECO requested that the Commission dismiss the Complaint.</w:t>
      </w:r>
    </w:p>
    <w:p w14:paraId="067FD073" w14:textId="423D1C56" w:rsidR="008C65BA" w:rsidRDefault="008C65BA" w:rsidP="006C20E6">
      <w:pPr>
        <w:keepLines/>
        <w:spacing w:line="360" w:lineRule="auto"/>
        <w:ind w:firstLine="1440"/>
      </w:pPr>
    </w:p>
    <w:p w14:paraId="57483439" w14:textId="4B74DC0B" w:rsidR="00CD197E" w:rsidRDefault="006A6D08" w:rsidP="006C20E6">
      <w:pPr>
        <w:keepLines/>
        <w:spacing w:line="360" w:lineRule="auto"/>
        <w:ind w:firstLine="1440"/>
      </w:pPr>
      <w:r>
        <w:t xml:space="preserve">On October 7, 2019, F. Mitchell Dutton, Esquire, counsel for AEP, Filed an Answer to the Complaint and a Motion to Dismiss </w:t>
      </w:r>
      <w:r w:rsidR="002F0C21">
        <w:t xml:space="preserve">(Motion) </w:t>
      </w:r>
      <w:r>
        <w:t>the Complaint</w:t>
      </w:r>
      <w:r w:rsidR="009D538C">
        <w:t xml:space="preserve"> </w:t>
      </w:r>
      <w:r>
        <w:t xml:space="preserve">for failure to state a claim upon which relief can be granted.  </w:t>
      </w:r>
      <w:r w:rsidR="009D538C">
        <w:t>In the Answer, AEP denied any fraud in the enrollment or renewal of the Complainant</w:t>
      </w:r>
      <w:r w:rsidR="005F6F71">
        <w:t>s’</w:t>
      </w:r>
      <w:r w:rsidR="009D538C">
        <w:t xml:space="preserve"> electric service account.  AEP further asserted insufficient information on the other matter asserted in the Complaint.  In the Motion, AEP asserted that the Complainant</w:t>
      </w:r>
      <w:r w:rsidR="005F6F71">
        <w:t>s’</w:t>
      </w:r>
      <w:r w:rsidR="009D538C">
        <w:t xml:space="preserve"> service account was enrolled and renewed in a contract in compliance with rules procedure and regulations of the Commission.  AEP asserted that any allegation that the AEP service </w:t>
      </w:r>
      <w:r w:rsidR="00CD197E">
        <w:t>was without notice and unauthorized by the Complainant</w:t>
      </w:r>
      <w:r w:rsidR="005F6F71">
        <w:t>s</w:t>
      </w:r>
      <w:r w:rsidR="00CD197E">
        <w:t xml:space="preserve"> or slammed is without merit, and therefore, Complaint against AEP should be dismissed.</w:t>
      </w:r>
    </w:p>
    <w:p w14:paraId="372C9E26" w14:textId="45BBEE0C" w:rsidR="00684A7F" w:rsidRDefault="00684A7F" w:rsidP="006C20E6">
      <w:pPr>
        <w:keepLines/>
        <w:spacing w:line="360" w:lineRule="auto"/>
        <w:ind w:firstLine="1440"/>
      </w:pPr>
    </w:p>
    <w:p w14:paraId="55A81ED2" w14:textId="621CA3BF" w:rsidR="00684A7F" w:rsidRDefault="00684A7F" w:rsidP="006C20E6">
      <w:pPr>
        <w:keepLines/>
        <w:spacing w:line="360" w:lineRule="auto"/>
        <w:ind w:firstLine="1440"/>
      </w:pPr>
      <w:r>
        <w:t xml:space="preserve">Pursuant to </w:t>
      </w:r>
      <w:r w:rsidR="00B829A3">
        <w:t xml:space="preserve">Title </w:t>
      </w:r>
      <w:r>
        <w:t xml:space="preserve">52 </w:t>
      </w:r>
      <w:r w:rsidR="00B829A3">
        <w:t xml:space="preserve">of the Pennsylvania Code (Commission regulations) Section 5.101(f)(1), 52 </w:t>
      </w:r>
      <w:r>
        <w:t>Pa.Code § 5.101(</w:t>
      </w:r>
      <w:r w:rsidR="00B829A3">
        <w:t>f)(1</w:t>
      </w:r>
      <w:r>
        <w:t>)</w:t>
      </w:r>
      <w:r w:rsidR="00B829A3">
        <w:t>,</w:t>
      </w:r>
      <w:r>
        <w:t xml:space="preserve"> an </w:t>
      </w:r>
      <w:r w:rsidR="00182BA6">
        <w:t>a</w:t>
      </w:r>
      <w:r>
        <w:t>nswer to the Motion</w:t>
      </w:r>
      <w:r w:rsidR="00182BA6">
        <w:t xml:space="preserve"> is to be filed within 10 days of when the Motion was served,</w:t>
      </w:r>
      <w:r w:rsidR="00B829A3">
        <w:t xml:space="preserve"> </w:t>
      </w:r>
      <w:r w:rsidR="00B829A3">
        <w:rPr>
          <w:i/>
          <w:iCs/>
        </w:rPr>
        <w:t>inf</w:t>
      </w:r>
      <w:r w:rsidR="00B829A3" w:rsidRPr="00B829A3">
        <w:rPr>
          <w:i/>
          <w:iCs/>
        </w:rPr>
        <w:t>ra</w:t>
      </w:r>
      <w:r w:rsidR="00B829A3">
        <w:t>, at 4</w:t>
      </w:r>
      <w:r w:rsidR="00B829A3" w:rsidRPr="00B829A3">
        <w:rPr>
          <w:i/>
          <w:iCs/>
        </w:rPr>
        <w:t>.</w:t>
      </w:r>
      <w:r w:rsidR="00B829A3">
        <w:t xml:space="preserve">  I</w:t>
      </w:r>
      <w:r w:rsidR="00182BA6">
        <w:t xml:space="preserve">n the instant case, </w:t>
      </w:r>
      <w:r w:rsidR="00B829A3">
        <w:t xml:space="preserve">an answer was to be filed </w:t>
      </w:r>
      <w:r w:rsidR="00182BA6">
        <w:t>on or before October 17, 2019.</w:t>
      </w:r>
      <w:r>
        <w:t xml:space="preserve"> </w:t>
      </w:r>
      <w:r w:rsidR="00182BA6">
        <w:t xml:space="preserve">  There is no record of an answer filed to the Motion.</w:t>
      </w:r>
    </w:p>
    <w:p w14:paraId="17330054" w14:textId="1AA065CB" w:rsidR="00182BA6" w:rsidRDefault="00182BA6" w:rsidP="006C20E6">
      <w:pPr>
        <w:keepLines/>
        <w:spacing w:line="360" w:lineRule="auto"/>
        <w:ind w:firstLine="1440"/>
      </w:pPr>
    </w:p>
    <w:p w14:paraId="3CE28654" w14:textId="69846F40" w:rsidR="00167440" w:rsidRDefault="00182BA6" w:rsidP="007A646F">
      <w:pPr>
        <w:keepLines/>
        <w:spacing w:line="360" w:lineRule="auto"/>
        <w:ind w:firstLine="1440"/>
      </w:pPr>
      <w:r>
        <w:t>This matter is ripe for ruling.</w:t>
      </w:r>
      <w:r>
        <w:tab/>
      </w:r>
      <w:r w:rsidR="002F0C21">
        <w:t xml:space="preserve">For the reasons set below, </w:t>
      </w:r>
      <w:r w:rsidR="00167440">
        <w:t xml:space="preserve">the undersigned </w:t>
      </w:r>
      <w:r w:rsidR="002F0C21">
        <w:t>conclude</w:t>
      </w:r>
      <w:r w:rsidR="00167440">
        <w:t>s</w:t>
      </w:r>
      <w:r w:rsidR="002F0C21">
        <w:t xml:space="preserve"> that the Motion should be denied as it does not comply with Commission regulations.  Consequently, this matter remains scheduled for hearing.</w:t>
      </w:r>
    </w:p>
    <w:p w14:paraId="18ACC870" w14:textId="77777777" w:rsidR="007A646F" w:rsidRDefault="007A646F" w:rsidP="007A646F">
      <w:pPr>
        <w:keepLines/>
        <w:spacing w:line="360" w:lineRule="auto"/>
        <w:ind w:firstLine="1440"/>
      </w:pPr>
    </w:p>
    <w:p w14:paraId="580E3022" w14:textId="0873FDE9" w:rsidR="00684A7F" w:rsidRPr="00182BA6" w:rsidRDefault="00684A7F" w:rsidP="00182BA6">
      <w:pPr>
        <w:keepLines/>
        <w:spacing w:line="360" w:lineRule="auto"/>
        <w:jc w:val="center"/>
        <w:rPr>
          <w:u w:val="single"/>
        </w:rPr>
      </w:pPr>
      <w:r w:rsidRPr="00182BA6">
        <w:rPr>
          <w:u w:val="single"/>
        </w:rPr>
        <w:t>DISCUSSION</w:t>
      </w:r>
    </w:p>
    <w:p w14:paraId="64E084A5" w14:textId="77777777" w:rsidR="00684A7F" w:rsidRPr="00684A7F" w:rsidRDefault="00684A7F" w:rsidP="00167440">
      <w:pPr>
        <w:keepLines/>
        <w:spacing w:line="360" w:lineRule="auto"/>
        <w:rPr>
          <w:u w:val="single"/>
        </w:rPr>
      </w:pPr>
    </w:p>
    <w:p w14:paraId="67383B61" w14:textId="5597836E" w:rsidR="007A646F" w:rsidRDefault="003954CF" w:rsidP="006C20E6">
      <w:pPr>
        <w:keepLines/>
        <w:spacing w:line="360" w:lineRule="auto"/>
        <w:ind w:firstLine="1440"/>
        <w:rPr>
          <w:color w:val="000000"/>
        </w:rPr>
      </w:pPr>
      <w:r w:rsidRPr="00307980">
        <w:rPr>
          <w:color w:val="000000"/>
        </w:rPr>
        <w:t>The Commission</w:t>
      </w:r>
      <w:r>
        <w:rPr>
          <w:color w:val="000000"/>
        </w:rPr>
        <w:t>’</w:t>
      </w:r>
      <w:r w:rsidRPr="00307980">
        <w:rPr>
          <w:color w:val="000000"/>
        </w:rPr>
        <w:t>s Rules of Administrative Practice and Procedure</w:t>
      </w:r>
      <w:r w:rsidR="00F301BB">
        <w:rPr>
          <w:color w:val="000000"/>
        </w:rPr>
        <w:t xml:space="preserve"> (Rules)</w:t>
      </w:r>
      <w:r w:rsidRPr="00307980">
        <w:rPr>
          <w:color w:val="000000"/>
        </w:rPr>
        <w:t>, 52</w:t>
      </w:r>
      <w:r w:rsidR="008A795F">
        <w:rPr>
          <w:color w:val="000000"/>
        </w:rPr>
        <w:t> </w:t>
      </w:r>
      <w:r w:rsidRPr="00307980">
        <w:rPr>
          <w:color w:val="000000"/>
        </w:rPr>
        <w:t>Pa.Code Chapters 1,</w:t>
      </w:r>
      <w:r>
        <w:rPr>
          <w:color w:val="000000"/>
        </w:rPr>
        <w:t xml:space="preserve"> </w:t>
      </w:r>
      <w:r w:rsidRPr="00307980">
        <w:rPr>
          <w:color w:val="000000"/>
        </w:rPr>
        <w:t xml:space="preserve">3 and 5, provide for the filing of </w:t>
      </w:r>
      <w:r>
        <w:rPr>
          <w:color w:val="000000"/>
        </w:rPr>
        <w:t>p</w:t>
      </w:r>
      <w:r w:rsidRPr="00307980">
        <w:rPr>
          <w:color w:val="000000"/>
        </w:rPr>
        <w:t xml:space="preserve">reliminary </w:t>
      </w:r>
      <w:r>
        <w:rPr>
          <w:color w:val="000000"/>
        </w:rPr>
        <w:t>o</w:t>
      </w:r>
      <w:r w:rsidRPr="00307980">
        <w:rPr>
          <w:color w:val="000000"/>
        </w:rPr>
        <w:t xml:space="preserve">bjections. </w:t>
      </w:r>
      <w:r>
        <w:rPr>
          <w:color w:val="000000"/>
        </w:rPr>
        <w:t xml:space="preserve"> </w:t>
      </w:r>
      <w:r w:rsidRPr="00307980">
        <w:rPr>
          <w:color w:val="000000"/>
        </w:rPr>
        <w:t xml:space="preserve">52 Pa.Code </w:t>
      </w:r>
    </w:p>
    <w:p w14:paraId="3AE715AE" w14:textId="547A7D2E" w:rsidR="007A646F" w:rsidRDefault="003954CF" w:rsidP="007A646F">
      <w:pPr>
        <w:keepLines/>
        <w:spacing w:line="360" w:lineRule="auto"/>
        <w:rPr>
          <w:color w:val="000000"/>
        </w:rPr>
      </w:pPr>
      <w:r w:rsidRPr="00307980">
        <w:rPr>
          <w:color w:val="000000"/>
          <w:w w:val="86"/>
        </w:rPr>
        <w:t xml:space="preserve">§ </w:t>
      </w:r>
      <w:r w:rsidRPr="00307980">
        <w:rPr>
          <w:color w:val="000000"/>
        </w:rPr>
        <w:t xml:space="preserve">5.101. </w:t>
      </w:r>
      <w:r>
        <w:rPr>
          <w:color w:val="000000"/>
        </w:rPr>
        <w:t xml:space="preserve"> </w:t>
      </w:r>
      <w:r w:rsidRPr="00307980">
        <w:rPr>
          <w:color w:val="000000"/>
        </w:rPr>
        <w:t xml:space="preserve">Commission </w:t>
      </w:r>
      <w:r>
        <w:rPr>
          <w:color w:val="000000"/>
        </w:rPr>
        <w:t>p</w:t>
      </w:r>
      <w:r w:rsidRPr="00307980">
        <w:rPr>
          <w:color w:val="000000"/>
        </w:rPr>
        <w:t xml:space="preserve">reliminary </w:t>
      </w:r>
      <w:r>
        <w:rPr>
          <w:color w:val="000000"/>
        </w:rPr>
        <w:t>o</w:t>
      </w:r>
      <w:r w:rsidRPr="00307980">
        <w:rPr>
          <w:color w:val="000000"/>
        </w:rPr>
        <w:t xml:space="preserve">bjection practice is comparable to Pennsylvania </w:t>
      </w:r>
    </w:p>
    <w:p w14:paraId="73E54CBB" w14:textId="206574E0" w:rsidR="00F301BB" w:rsidRDefault="003954CF" w:rsidP="007A646F">
      <w:pPr>
        <w:keepLines/>
        <w:spacing w:line="360" w:lineRule="auto"/>
        <w:rPr>
          <w:color w:val="000000"/>
        </w:rPr>
      </w:pPr>
      <w:r w:rsidRPr="00307980">
        <w:rPr>
          <w:color w:val="000000"/>
        </w:rPr>
        <w:lastRenderedPageBreak/>
        <w:t>civil practice respecting the filing of preliminary objections.</w:t>
      </w:r>
      <w:r>
        <w:rPr>
          <w:color w:val="000000"/>
        </w:rPr>
        <w:t xml:space="preserve"> </w:t>
      </w:r>
      <w:r w:rsidRPr="00307980">
        <w:rPr>
          <w:color w:val="000000"/>
        </w:rPr>
        <w:t xml:space="preserve"> </w:t>
      </w:r>
      <w:r w:rsidRPr="003954CF">
        <w:rPr>
          <w:i/>
          <w:color w:val="000000"/>
        </w:rPr>
        <w:t>Equitable Small Transportation Intervenors v. Equitable Gas Company</w:t>
      </w:r>
      <w:r w:rsidRPr="00307980">
        <w:rPr>
          <w:i/>
          <w:iCs/>
          <w:color w:val="000000"/>
        </w:rPr>
        <w:t xml:space="preserve">, </w:t>
      </w:r>
      <w:r w:rsidRPr="00307980">
        <w:rPr>
          <w:color w:val="000000"/>
        </w:rPr>
        <w:t>1994 Pa PUC LEXIS 69, Docket No. C-00935435 (July</w:t>
      </w:r>
      <w:r w:rsidR="008A795F">
        <w:rPr>
          <w:color w:val="000000"/>
        </w:rPr>
        <w:t> </w:t>
      </w:r>
      <w:r w:rsidRPr="00307980">
        <w:rPr>
          <w:color w:val="000000"/>
        </w:rPr>
        <w:t>18,1994).</w:t>
      </w:r>
      <w:r>
        <w:rPr>
          <w:color w:val="000000"/>
        </w:rPr>
        <w:t xml:space="preserve">  </w:t>
      </w:r>
    </w:p>
    <w:p w14:paraId="0DD18750" w14:textId="77777777" w:rsidR="007A646F" w:rsidRDefault="007A646F" w:rsidP="007A646F">
      <w:pPr>
        <w:keepLines/>
        <w:spacing w:line="360" w:lineRule="auto"/>
      </w:pPr>
    </w:p>
    <w:p w14:paraId="575D39FD" w14:textId="77777777" w:rsidR="007A646F" w:rsidRDefault="00F301BB" w:rsidP="00F301BB">
      <w:pPr>
        <w:tabs>
          <w:tab w:val="left" w:pos="-720"/>
        </w:tabs>
        <w:suppressAutoHyphens/>
        <w:spacing w:line="360" w:lineRule="auto"/>
        <w:ind w:firstLine="1440"/>
      </w:pPr>
      <w:r>
        <w:t xml:space="preserve">In its Motion, AEP averred </w:t>
      </w:r>
      <w:r w:rsidR="007A646F">
        <w:t>the legal insufficiency of the Complaint contending that the Complaint fails to state a claim upon which relief can be granted regarding AEP.  AEP requests that the Complaint be dismissed regarding AEP as a party.</w:t>
      </w:r>
    </w:p>
    <w:p w14:paraId="778872C8" w14:textId="77777777" w:rsidR="007A646F" w:rsidRDefault="007A646F" w:rsidP="00F301BB">
      <w:pPr>
        <w:tabs>
          <w:tab w:val="left" w:pos="-720"/>
        </w:tabs>
        <w:suppressAutoHyphens/>
        <w:spacing w:line="360" w:lineRule="auto"/>
        <w:ind w:firstLine="1440"/>
      </w:pPr>
    </w:p>
    <w:p w14:paraId="0805784D" w14:textId="7DA37226" w:rsidR="00F301BB" w:rsidRDefault="00F301BB" w:rsidP="00F301BB">
      <w:pPr>
        <w:tabs>
          <w:tab w:val="left" w:pos="-720"/>
        </w:tabs>
        <w:suppressAutoHyphens/>
        <w:spacing w:line="360" w:lineRule="auto"/>
        <w:ind w:firstLine="1440"/>
      </w:pPr>
      <w:r>
        <w:t>In civil practice, a preliminary objection based on legal insufficiency is referred to as a demurrer.  Preliminary objections in the form of a demurrer are sustained only in cases which are free and clear of doubt and where dismissal is clearly warranted by the record</w:t>
      </w:r>
      <w:r w:rsidR="007A646F">
        <w:t xml:space="preserve">.  </w:t>
      </w:r>
      <w:r w:rsidRPr="007A646F">
        <w:rPr>
          <w:i/>
          <w:iCs/>
        </w:rPr>
        <w:t>Community Life Support Systems, Inc., et al. v. Commonwealth of Pennsylvania,</w:t>
      </w:r>
      <w:r>
        <w:t xml:space="preserve"> 689 A.2d 1014, 1017 (Pa.Cmwlth. 1997).  Any doubt must be resolved in favor of overruling a demurrer.  </w:t>
      </w:r>
      <w:r w:rsidRPr="00F301BB">
        <w:rPr>
          <w:i/>
          <w:iCs/>
        </w:rPr>
        <w:t>Id.</w:t>
      </w:r>
      <w:r>
        <w:t xml:space="preserve">; </w:t>
      </w:r>
      <w:r>
        <w:rPr>
          <w:i/>
        </w:rPr>
        <w:t>see also</w:t>
      </w:r>
      <w:r>
        <w:t xml:space="preserve">, </w:t>
      </w:r>
      <w:r w:rsidRPr="00F301BB">
        <w:rPr>
          <w:i/>
          <w:iCs/>
        </w:rPr>
        <w:t>Hoffman v. Misericordia Hospital of Philadelphia,</w:t>
      </w:r>
      <w:r>
        <w:t xml:space="preserve"> 439 Pa. 501, 267 A.2d 867 (1970) (“the question presented by the demurrer is whether on the facts averred, the law states with certainty that no recovery is possible”).  </w:t>
      </w:r>
    </w:p>
    <w:p w14:paraId="69CAB8B6" w14:textId="77777777" w:rsidR="003954CF" w:rsidRDefault="003954CF" w:rsidP="006C20E6">
      <w:pPr>
        <w:keepLines/>
        <w:spacing w:line="360" w:lineRule="auto"/>
        <w:ind w:firstLine="1440"/>
      </w:pPr>
    </w:p>
    <w:p w14:paraId="56AA3118" w14:textId="7052BD12" w:rsidR="006977EC" w:rsidRDefault="006977EC" w:rsidP="006C20E6">
      <w:pPr>
        <w:keepLines/>
        <w:spacing w:line="360" w:lineRule="auto"/>
        <w:ind w:firstLine="1440"/>
      </w:pPr>
      <w:r>
        <w:t xml:space="preserve">A Complaint is a pleading.  See 52 Pa.Code § 5.1(a)(2).  52 Pa.Code § 5.1(b) states, “A pleading except a preliminary objection may be subject to a preliminary objection as set forth in § 5.101 (relating to preliminary objections).” </w:t>
      </w:r>
    </w:p>
    <w:p w14:paraId="312C4BC8" w14:textId="0B641565" w:rsidR="00143489" w:rsidRDefault="00143489" w:rsidP="006C20E6">
      <w:pPr>
        <w:keepLines/>
        <w:spacing w:line="360" w:lineRule="auto"/>
        <w:ind w:firstLine="1440"/>
      </w:pPr>
    </w:p>
    <w:p w14:paraId="58D45174" w14:textId="77CDAAEA" w:rsidR="00143489" w:rsidRDefault="00143489" w:rsidP="00143489">
      <w:pPr>
        <w:tabs>
          <w:tab w:val="left" w:pos="0"/>
        </w:tabs>
        <w:spacing w:line="360" w:lineRule="auto"/>
      </w:pPr>
      <w:r>
        <w:tab/>
      </w:r>
      <w:r>
        <w:tab/>
        <w:t xml:space="preserve">A preliminary objection seeking dismissal of a complaint, in whole or in part, will be granted only where relief is clearly warranted and free from doubt.  </w:t>
      </w:r>
      <w:r>
        <w:rPr>
          <w:i/>
        </w:rPr>
        <w:t>Interstate Traveller Services, Inc. v. Pa. Dept. of Environmental Resources,</w:t>
      </w:r>
      <w:r>
        <w:t xml:space="preserve"> 486 Pa. 536, 406 A.2d 1020 (1979).  The moving party may not rely on its own factual assertions but must accept for the purpose of disposition of the motion, all well-pleaded material facts of the other party, as well as every inference fairly deducible from those facts</w:t>
      </w:r>
      <w:r>
        <w:rPr>
          <w:i/>
        </w:rPr>
        <w:t>.  County of Allegheny v. Commonwealth of Pa.</w:t>
      </w:r>
      <w:r>
        <w:t xml:space="preserve">, 507 Pa. 360, 490 A.2d 402 (1985).  Therefore, in ruling on a preliminary objection, the Commission must assume, for decisional purposes only, that the factual allegations of the complaint are true.  </w:t>
      </w:r>
      <w:r>
        <w:rPr>
          <w:i/>
        </w:rPr>
        <w:t>Id</w:t>
      </w:r>
      <w:r>
        <w:t xml:space="preserve">.  The motion will be granted only if the moving party prevails as a matter of law.  </w:t>
      </w:r>
      <w:r>
        <w:rPr>
          <w:i/>
        </w:rPr>
        <w:t>Rok v. Flaherty</w:t>
      </w:r>
      <w:r>
        <w:t xml:space="preserve">, 106 Pa.Cmwlth. 570, 527 A.2d 211 (1987).  Any doubt must be </w:t>
      </w:r>
      <w:r>
        <w:lastRenderedPageBreak/>
        <w:t xml:space="preserve">resolved in favor of the non-moving party.  </w:t>
      </w:r>
      <w:r>
        <w:rPr>
          <w:i/>
        </w:rPr>
        <w:t>Dept. of Auditor General, et al. v. State Employees’ Retirement System, et al.</w:t>
      </w:r>
      <w:r>
        <w:t>, 836 A.2d 1053 (Pa.Cmwlth. 2003).</w:t>
      </w:r>
    </w:p>
    <w:p w14:paraId="2822D72F" w14:textId="5BA5E96F" w:rsidR="00F301BB" w:rsidRDefault="00F301BB" w:rsidP="00143489">
      <w:pPr>
        <w:tabs>
          <w:tab w:val="left" w:pos="0"/>
        </w:tabs>
        <w:spacing w:line="360" w:lineRule="auto"/>
      </w:pPr>
    </w:p>
    <w:p w14:paraId="5FC26503" w14:textId="79EEF1A9" w:rsidR="00D41DD6" w:rsidRDefault="00D41DD6" w:rsidP="00D41DD6">
      <w:pPr>
        <w:keepLines/>
        <w:spacing w:line="360" w:lineRule="auto"/>
        <w:ind w:firstLine="1440"/>
      </w:pPr>
      <w:r>
        <w:t xml:space="preserve">The Motion was filed in response to a pleading, the Complaint.  The Motion asserted that the pleading fails to state a claim upon which relief can be granted against AEP, which means the Complaint is legally deficient.  This is specifically recognized by 52 </w:t>
      </w:r>
      <w:proofErr w:type="spellStart"/>
      <w:r>
        <w:t>Pa.Code</w:t>
      </w:r>
      <w:proofErr w:type="spellEnd"/>
      <w:r>
        <w:t xml:space="preserve"> 5.101(a)(4), </w:t>
      </w:r>
      <w:r w:rsidR="00D57107">
        <w:rPr>
          <w:i/>
          <w:iCs/>
        </w:rPr>
        <w:t>infra.</w:t>
      </w:r>
      <w:r>
        <w:t xml:space="preserve">  52 </w:t>
      </w:r>
      <w:proofErr w:type="spellStart"/>
      <w:r>
        <w:t>Pa.Code</w:t>
      </w:r>
      <w:proofErr w:type="spellEnd"/>
      <w:r>
        <w:t xml:space="preserve"> § 5.103(a) regarding scope and content of motions states, “A request may be made by motion for relief desired, </w:t>
      </w:r>
      <w:r>
        <w:rPr>
          <w:b/>
          <w:bCs/>
        </w:rPr>
        <w:t>except as may be otherwise expressly provided in this chapter and Chapters 1 and 3…</w:t>
      </w:r>
      <w:r>
        <w:t xml:space="preserve">” (emphasis added).  Because 52 </w:t>
      </w:r>
      <w:proofErr w:type="spellStart"/>
      <w:r>
        <w:t>Pa.Code</w:t>
      </w:r>
      <w:proofErr w:type="spellEnd"/>
      <w:r>
        <w:t xml:space="preserve"> 5.101(a)(4) expressly provides for the assertion of AEP, which is that the Complaint fails to state a claim upon which relief can be granted, any pleading filed under Section 5.103(a) of the Commission’s regulations is not appropriate.  Consequently, the Motion will be treated as a Preliminary Objection under 52 </w:t>
      </w:r>
      <w:proofErr w:type="spellStart"/>
      <w:r>
        <w:t>Pa.Code</w:t>
      </w:r>
      <w:proofErr w:type="spellEnd"/>
      <w:r>
        <w:t xml:space="preserve"> § 5.101.  </w:t>
      </w:r>
    </w:p>
    <w:p w14:paraId="19958016" w14:textId="77777777" w:rsidR="00143489" w:rsidRDefault="00143489" w:rsidP="006C20E6">
      <w:pPr>
        <w:keepLines/>
        <w:spacing w:line="360" w:lineRule="auto"/>
        <w:ind w:firstLine="1440"/>
      </w:pPr>
    </w:p>
    <w:p w14:paraId="0541FA87" w14:textId="2D9B3982" w:rsidR="00CD197E" w:rsidRDefault="00CD197E" w:rsidP="006C20E6">
      <w:pPr>
        <w:keepLines/>
        <w:spacing w:line="360" w:lineRule="auto"/>
        <w:ind w:firstLine="1440"/>
      </w:pPr>
      <w:r>
        <w:t xml:space="preserve">52 Pa.Code § 5.101, </w:t>
      </w:r>
      <w:r w:rsidR="00167440">
        <w:t>p</w:t>
      </w:r>
      <w:r>
        <w:t>reliminary objections, states, in relevant part,</w:t>
      </w:r>
    </w:p>
    <w:p w14:paraId="1A1700C0" w14:textId="7F8472A1" w:rsidR="00CD197E" w:rsidRDefault="00CD197E" w:rsidP="006C20E6">
      <w:pPr>
        <w:keepLines/>
        <w:spacing w:line="360" w:lineRule="auto"/>
        <w:ind w:firstLine="1440"/>
      </w:pPr>
    </w:p>
    <w:p w14:paraId="63D34A93" w14:textId="29F4232D" w:rsidR="00CD197E" w:rsidRPr="00CD197E" w:rsidRDefault="00CD197E" w:rsidP="00CD197E">
      <w:pPr>
        <w:keepLines/>
        <w:ind w:left="1440" w:right="1440"/>
      </w:pPr>
      <w:r w:rsidRPr="00CD197E">
        <w:t>(a)  </w:t>
      </w:r>
      <w:r w:rsidRPr="00CD197E">
        <w:rPr>
          <w:i/>
          <w:iCs/>
        </w:rPr>
        <w:t>Grounds</w:t>
      </w:r>
      <w:r w:rsidRPr="00CD197E">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14:paraId="3BE0D227" w14:textId="77777777" w:rsidR="00CD197E" w:rsidRPr="00CD197E" w:rsidRDefault="00CD197E" w:rsidP="00CD197E">
      <w:pPr>
        <w:keepLines/>
        <w:ind w:left="1440" w:right="1440"/>
      </w:pPr>
      <w:r w:rsidRPr="00CD197E">
        <w:t xml:space="preserve">   (1)  Lack of Commission jurisdiction or improper service of the pleading initiating the proceeding. </w:t>
      </w:r>
    </w:p>
    <w:p w14:paraId="3AEAF976" w14:textId="77777777" w:rsidR="00CD197E" w:rsidRPr="00CD197E" w:rsidRDefault="00CD197E" w:rsidP="00CD197E">
      <w:pPr>
        <w:keepLines/>
        <w:ind w:left="1440" w:right="1440"/>
      </w:pPr>
      <w:r w:rsidRPr="00CD197E">
        <w:t xml:space="preserve">   (2)  Failure of a pleading to conform to this chapter or the inclusion of scandalous or impertinent matter. </w:t>
      </w:r>
    </w:p>
    <w:p w14:paraId="6370EECB" w14:textId="77777777" w:rsidR="00CD197E" w:rsidRPr="00CD197E" w:rsidRDefault="00CD197E" w:rsidP="00CD197E">
      <w:pPr>
        <w:keepLines/>
        <w:ind w:left="1440" w:right="1440"/>
      </w:pPr>
      <w:r w:rsidRPr="00CD197E">
        <w:t xml:space="preserve">   (3)  Insufficient specificity of a pleading. </w:t>
      </w:r>
    </w:p>
    <w:p w14:paraId="7E85D428" w14:textId="77777777" w:rsidR="00CD197E" w:rsidRPr="00CD197E" w:rsidRDefault="00CD197E" w:rsidP="00CD197E">
      <w:pPr>
        <w:keepLines/>
        <w:ind w:left="1440" w:right="1440"/>
      </w:pPr>
      <w:r w:rsidRPr="00CD197E">
        <w:t xml:space="preserve">   (4)  Legal insufficiency of a pleading. </w:t>
      </w:r>
    </w:p>
    <w:p w14:paraId="6F2910BE" w14:textId="77777777" w:rsidR="00CD197E" w:rsidRPr="00CD197E" w:rsidRDefault="00CD197E" w:rsidP="00CD197E">
      <w:pPr>
        <w:keepLines/>
        <w:ind w:left="1440" w:right="1440"/>
      </w:pPr>
      <w:r w:rsidRPr="00CD197E">
        <w:t xml:space="preserve">   (5)  Lack of capacity to sue, nonjoinder of a necessary party or misjoinder of a cause of action. </w:t>
      </w:r>
    </w:p>
    <w:p w14:paraId="15743FF0" w14:textId="77777777" w:rsidR="00CD197E" w:rsidRPr="00CD197E" w:rsidRDefault="00CD197E" w:rsidP="00CD197E">
      <w:pPr>
        <w:keepLines/>
        <w:ind w:left="1440" w:right="1440"/>
      </w:pPr>
      <w:r w:rsidRPr="00CD197E">
        <w:t xml:space="preserve">   (6)  Pendency of a prior proceeding or agreement for alternative dispute resolution. </w:t>
      </w:r>
    </w:p>
    <w:p w14:paraId="27C597DB" w14:textId="77777777" w:rsidR="00CD197E" w:rsidRPr="00CD197E" w:rsidRDefault="00CD197E" w:rsidP="00CD197E">
      <w:pPr>
        <w:keepLines/>
        <w:ind w:left="1440" w:right="1440"/>
      </w:pPr>
      <w:r w:rsidRPr="00CD197E">
        <w:t xml:space="preserve">   (7)  Standing of a party to participate in the proceeding. </w:t>
      </w:r>
    </w:p>
    <w:p w14:paraId="625F72D7" w14:textId="15F62C0C" w:rsidR="00CD197E" w:rsidRPr="00CD197E" w:rsidRDefault="00CD197E" w:rsidP="00CD197E">
      <w:pPr>
        <w:keepLines/>
        <w:ind w:left="1440" w:right="1440"/>
      </w:pPr>
      <w:r w:rsidRPr="00CD197E">
        <w:t>(b)  </w:t>
      </w:r>
      <w:r w:rsidRPr="00CD197E">
        <w:rPr>
          <w:i/>
          <w:iCs/>
        </w:rPr>
        <w:t>Notice to plead</w:t>
      </w:r>
      <w:r w:rsidRPr="00CD197E">
        <w:t xml:space="preserve">. A preliminary objection must contain a notice to plead which states that an answer to the objection shall be filed within 10 days of the date of service of the objection. </w:t>
      </w:r>
    </w:p>
    <w:p w14:paraId="02C58A7C" w14:textId="3BB960DC" w:rsidR="00CD197E" w:rsidRPr="00CD197E" w:rsidRDefault="00CD197E" w:rsidP="00CD197E">
      <w:pPr>
        <w:keepLines/>
        <w:ind w:left="1440" w:right="1440"/>
      </w:pPr>
      <w:r w:rsidRPr="00CD197E">
        <w:t>(c)  </w:t>
      </w:r>
      <w:r w:rsidRPr="00CD197E">
        <w:rPr>
          <w:i/>
          <w:iCs/>
        </w:rPr>
        <w:t>General rule</w:t>
      </w:r>
      <w:r w:rsidRPr="00CD197E">
        <w:t xml:space="preserve">. Preliminary objections shall be raised at one time. The preliminary objections must be set forth in numbered paragraphs, state with specificity the legal and factual grounds relied </w:t>
      </w:r>
      <w:r w:rsidR="008A795F" w:rsidRPr="00CD197E">
        <w:t>upon and</w:t>
      </w:r>
      <w:r w:rsidRPr="00CD197E">
        <w:t xml:space="preserve"> may be inconsistent. Two or more preliminary objections may be raised in one pleading. </w:t>
      </w:r>
    </w:p>
    <w:p w14:paraId="6F5E6B7E" w14:textId="6F943D61" w:rsidR="00CD197E" w:rsidRPr="00CD197E" w:rsidRDefault="00CD197E" w:rsidP="00CD197E">
      <w:pPr>
        <w:keepLines/>
        <w:ind w:left="1440" w:right="1440"/>
      </w:pPr>
      <w:r w:rsidRPr="00CD197E">
        <w:lastRenderedPageBreak/>
        <w:t>(d)  </w:t>
      </w:r>
      <w:r w:rsidRPr="00CD197E">
        <w:rPr>
          <w:i/>
          <w:iCs/>
        </w:rPr>
        <w:t>Time for filing and form</w:t>
      </w:r>
      <w:r w:rsidRPr="00CD197E">
        <w:t xml:space="preserve">. Preliminary objections shall be filed as a separate document and within the same 20 days provided for in § 5.61 (relating to answers to complaints, petitions, motions and preliminary objections). Except as provided for in subsection (e), the filing of preliminary objections may not eliminate the requirement to file an answer to the complaint or other initiating pleading. </w:t>
      </w:r>
    </w:p>
    <w:p w14:paraId="144EC6AD" w14:textId="2B9B5871" w:rsidR="00CD197E" w:rsidRPr="00CD197E" w:rsidRDefault="00CD197E" w:rsidP="00CD197E">
      <w:pPr>
        <w:keepLines/>
        <w:ind w:left="1440" w:right="1440"/>
      </w:pPr>
      <w:r w:rsidRPr="00CD197E">
        <w:t>(e)  </w:t>
      </w:r>
      <w:r w:rsidRPr="00CD197E">
        <w:rPr>
          <w:i/>
          <w:iCs/>
        </w:rPr>
        <w:t>Preliminary objection regarding insufficient specificity.</w:t>
      </w:r>
      <w:r w:rsidRPr="00CD197E">
        <w:t xml:space="preserve"> </w:t>
      </w:r>
    </w:p>
    <w:p w14:paraId="2D2895AB" w14:textId="77777777" w:rsidR="00CD197E" w:rsidRPr="00CD197E" w:rsidRDefault="00CD197E" w:rsidP="00CD197E">
      <w:pPr>
        <w:keepLines/>
        <w:ind w:left="1440" w:right="1440"/>
      </w:pPr>
      <w:r w:rsidRPr="00CD197E">
        <w:t xml:space="preserve">   (1)  If a preliminary objection regarding insufficient specificity in a pleading is filed, an answer is not required until further directed by the presiding officer or the Commission. </w:t>
      </w:r>
    </w:p>
    <w:p w14:paraId="09028B27" w14:textId="2503A39B" w:rsidR="00CD197E" w:rsidRPr="00CD197E" w:rsidRDefault="00CD197E" w:rsidP="00CD197E">
      <w:pPr>
        <w:keepLines/>
        <w:ind w:left="1440" w:right="1440"/>
      </w:pPr>
      <w:r w:rsidRPr="00CD197E">
        <w:t xml:space="preserve">   (2)  When an amended pleading is filed in response to a preliminary objection alleging insufficient specificity in a pleading, the preliminary motion will be deemed to be moot in accordance with § 5.91 (relating to amendment of pleadings generally). </w:t>
      </w:r>
    </w:p>
    <w:p w14:paraId="41A11C54" w14:textId="019CB4D5" w:rsidR="00CD197E" w:rsidRPr="00CD197E" w:rsidRDefault="00CD197E" w:rsidP="00CD197E">
      <w:pPr>
        <w:keepLines/>
        <w:ind w:left="1440" w:right="1440"/>
      </w:pPr>
      <w:r w:rsidRPr="00CD197E">
        <w:t>(f)  </w:t>
      </w:r>
      <w:r w:rsidRPr="00CD197E">
        <w:rPr>
          <w:i/>
          <w:iCs/>
        </w:rPr>
        <w:t>Answer to a preliminary objection.</w:t>
      </w:r>
      <w:r w:rsidRPr="00CD197E">
        <w:t xml:space="preserve"> </w:t>
      </w:r>
    </w:p>
    <w:p w14:paraId="5CC88F17" w14:textId="77777777" w:rsidR="00CD197E" w:rsidRPr="00CD197E" w:rsidRDefault="00CD197E" w:rsidP="00CD197E">
      <w:pPr>
        <w:keepLines/>
        <w:ind w:left="1440" w:right="1440"/>
      </w:pPr>
      <w:r w:rsidRPr="00CD197E">
        <w:t>   (1)  </w:t>
      </w:r>
      <w:r w:rsidRPr="00CD197E">
        <w:rPr>
          <w:i/>
          <w:iCs/>
        </w:rPr>
        <w:t>Time for filing</w:t>
      </w:r>
      <w:r w:rsidRPr="00CD197E">
        <w:t xml:space="preserve">. An answer to a preliminary objection may be filed within 10 days of date of service. </w:t>
      </w:r>
    </w:p>
    <w:p w14:paraId="152657A0" w14:textId="2C67B7A1" w:rsidR="00CD197E" w:rsidRPr="00CD197E" w:rsidRDefault="00CD197E" w:rsidP="00CD197E">
      <w:pPr>
        <w:keepLines/>
        <w:ind w:left="1440" w:right="1440"/>
      </w:pPr>
      <w:r w:rsidRPr="00CD197E">
        <w:t>   (2)  </w:t>
      </w:r>
      <w:r w:rsidRPr="00CD197E">
        <w:rPr>
          <w:i/>
          <w:iCs/>
        </w:rPr>
        <w:t>Form</w:t>
      </w:r>
      <w:r w:rsidRPr="00CD197E">
        <w:t xml:space="preserve">. The answer must be in writing and in numbered paragraphs to correspond with the preliminary </w:t>
      </w:r>
      <w:r w:rsidR="00634E6A" w:rsidRPr="00CD197E">
        <w:t>objection and</w:t>
      </w:r>
      <w:r w:rsidRPr="00CD197E">
        <w:t xml:space="preserve"> address the legal and factual grounds relied on in the preliminary objection. </w:t>
      </w:r>
    </w:p>
    <w:p w14:paraId="7AFC48AC" w14:textId="73D1F152" w:rsidR="00CD197E" w:rsidRPr="00CD197E" w:rsidRDefault="00CD197E" w:rsidP="00CD197E">
      <w:pPr>
        <w:keepLines/>
        <w:ind w:left="1440" w:right="1440"/>
      </w:pPr>
      <w:r w:rsidRPr="00CD197E">
        <w:t>(g)  </w:t>
      </w:r>
      <w:r w:rsidRPr="00CD197E">
        <w:rPr>
          <w:i/>
          <w:iCs/>
        </w:rPr>
        <w:t>Decision by presiding officer</w:t>
      </w:r>
      <w:r w:rsidRPr="00CD197E">
        <w:t xml:space="preserve">. A preliminary objection will be decided within 30 days of the assignment of the preliminary objection to the presiding officer. </w:t>
      </w:r>
    </w:p>
    <w:p w14:paraId="172E8320" w14:textId="77777777" w:rsidR="00CD197E" w:rsidRDefault="00CD197E" w:rsidP="006C20E6">
      <w:pPr>
        <w:keepLines/>
        <w:spacing w:line="360" w:lineRule="auto"/>
        <w:ind w:firstLine="1440"/>
      </w:pPr>
    </w:p>
    <w:p w14:paraId="2CF041AA" w14:textId="2A78700B" w:rsidR="00560680" w:rsidRDefault="00560680" w:rsidP="006C20E6">
      <w:pPr>
        <w:keepLines/>
        <w:spacing w:line="360" w:lineRule="auto"/>
        <w:ind w:firstLine="1440"/>
      </w:pPr>
      <w:r>
        <w:t xml:space="preserve">The Motion was filed on </w:t>
      </w:r>
      <w:r w:rsidR="00684A7F">
        <w:t>October 7, 2019.  Pursuant to 52 Pa.Code 5.101(a) a notice to plead must be contained in the motion.  52 Pa.Code 5.101(b) states, “A preliminary objection must contain a notice to plead which states that an answer to the objection shall be filed within 10 days of the date of service of the objection.”  The instant Motion does not contain such notice.</w:t>
      </w:r>
      <w:r w:rsidR="00182BA6">
        <w:rPr>
          <w:rStyle w:val="FootnoteReference"/>
        </w:rPr>
        <w:footnoteReference w:id="1"/>
      </w:r>
    </w:p>
    <w:p w14:paraId="696F1229" w14:textId="47502B3A" w:rsidR="00182BA6" w:rsidRDefault="00182BA6" w:rsidP="006C20E6">
      <w:pPr>
        <w:keepLines/>
        <w:spacing w:line="360" w:lineRule="auto"/>
        <w:ind w:firstLine="1440"/>
      </w:pPr>
    </w:p>
    <w:p w14:paraId="6997184D" w14:textId="72FF7DD6" w:rsidR="00182BA6" w:rsidRDefault="00182BA6" w:rsidP="006C20E6">
      <w:pPr>
        <w:keepLines/>
        <w:spacing w:line="360" w:lineRule="auto"/>
        <w:ind w:firstLine="1440"/>
      </w:pPr>
      <w:r>
        <w:t xml:space="preserve">The Motion fails because it does not comply with the Commission regulations at 52 </w:t>
      </w:r>
      <w:proofErr w:type="spellStart"/>
      <w:r>
        <w:t>Pa.Code</w:t>
      </w:r>
      <w:proofErr w:type="spellEnd"/>
      <w:r>
        <w:t xml:space="preserve"> § 5.101</w:t>
      </w:r>
      <w:r w:rsidR="00E86F74">
        <w:t>(a)</w:t>
      </w:r>
      <w:r w:rsidR="00D96D29">
        <w:t>&amp;</w:t>
      </w:r>
      <w:r>
        <w:t>(b).</w:t>
      </w:r>
    </w:p>
    <w:p w14:paraId="4B6BBE1C" w14:textId="77777777" w:rsidR="00602FA1" w:rsidRDefault="00602FA1">
      <w:pPr>
        <w:rPr>
          <w:u w:val="single"/>
        </w:rPr>
      </w:pPr>
      <w:r>
        <w:rPr>
          <w:u w:val="single"/>
        </w:rPr>
        <w:br w:type="page"/>
      </w:r>
    </w:p>
    <w:p w14:paraId="58374762" w14:textId="10E8BB72" w:rsidR="00575BB2" w:rsidRPr="00D6279E" w:rsidRDefault="0092486D" w:rsidP="00DD0187">
      <w:pPr>
        <w:keepLines/>
        <w:spacing w:line="360" w:lineRule="auto"/>
        <w:jc w:val="center"/>
        <w:rPr>
          <w:u w:val="single"/>
        </w:rPr>
      </w:pPr>
      <w:bookmarkStart w:id="0" w:name="_GoBack"/>
      <w:bookmarkEnd w:id="0"/>
      <w:r w:rsidRPr="00D6279E">
        <w:rPr>
          <w:u w:val="single"/>
        </w:rPr>
        <w:lastRenderedPageBreak/>
        <w:t>O</w:t>
      </w:r>
      <w:r w:rsidR="00575BB2" w:rsidRPr="00D6279E">
        <w:rPr>
          <w:u w:val="single"/>
        </w:rPr>
        <w:t>RDER</w:t>
      </w:r>
    </w:p>
    <w:p w14:paraId="5BBA6EF7" w14:textId="77777777" w:rsidR="00575BB2" w:rsidRDefault="00575BB2" w:rsidP="006C20E6">
      <w:pPr>
        <w:keepLines/>
        <w:spacing w:line="360" w:lineRule="auto"/>
        <w:jc w:val="center"/>
        <w:outlineLvl w:val="0"/>
        <w:rPr>
          <w:u w:val="single"/>
        </w:rPr>
      </w:pPr>
    </w:p>
    <w:p w14:paraId="1A3FD6F2" w14:textId="77777777" w:rsidR="00575BB2" w:rsidRPr="008A2F12" w:rsidRDefault="00575BB2" w:rsidP="006C20E6">
      <w:pPr>
        <w:keepLines/>
        <w:spacing w:line="360" w:lineRule="auto"/>
        <w:jc w:val="center"/>
        <w:outlineLvl w:val="0"/>
        <w:rPr>
          <w:u w:val="single"/>
        </w:rPr>
      </w:pPr>
    </w:p>
    <w:p w14:paraId="1E25B3E5" w14:textId="77777777" w:rsidR="00575BB2" w:rsidRPr="008A2F12" w:rsidRDefault="00575BB2" w:rsidP="006C20E6">
      <w:pPr>
        <w:keepLines/>
        <w:tabs>
          <w:tab w:val="num" w:pos="2160"/>
        </w:tabs>
        <w:spacing w:line="360" w:lineRule="auto"/>
        <w:ind w:firstLine="1440"/>
      </w:pPr>
      <w:r w:rsidRPr="008A2F12">
        <w:t>THEREFORE,</w:t>
      </w:r>
    </w:p>
    <w:p w14:paraId="27731197" w14:textId="77777777" w:rsidR="00575BB2" w:rsidRPr="008A2F12" w:rsidRDefault="00575BB2" w:rsidP="006C20E6">
      <w:pPr>
        <w:keepLines/>
        <w:tabs>
          <w:tab w:val="num" w:pos="2160"/>
        </w:tabs>
        <w:spacing w:line="360" w:lineRule="auto"/>
      </w:pPr>
    </w:p>
    <w:p w14:paraId="04768695" w14:textId="77777777" w:rsidR="00575BB2" w:rsidRPr="008A2F12" w:rsidRDefault="00575BB2" w:rsidP="006C20E6">
      <w:pPr>
        <w:keepLines/>
        <w:tabs>
          <w:tab w:val="num" w:pos="2160"/>
        </w:tabs>
        <w:spacing w:line="360" w:lineRule="auto"/>
        <w:ind w:firstLine="1440"/>
        <w:outlineLvl w:val="0"/>
      </w:pPr>
      <w:r w:rsidRPr="008A2F12">
        <w:t>IT IS ORDERED:</w:t>
      </w:r>
    </w:p>
    <w:p w14:paraId="5215A27F" w14:textId="77777777" w:rsidR="00575BB2" w:rsidRPr="008A2F12" w:rsidRDefault="00575BB2" w:rsidP="00AF1E47">
      <w:pPr>
        <w:keepLines/>
        <w:tabs>
          <w:tab w:val="num" w:pos="2160"/>
        </w:tabs>
        <w:spacing w:line="360" w:lineRule="auto"/>
        <w:ind w:firstLine="1440"/>
        <w:outlineLvl w:val="0"/>
      </w:pPr>
    </w:p>
    <w:p w14:paraId="2307CDF6" w14:textId="2106EB75" w:rsidR="00575BB2" w:rsidRPr="008A2F12" w:rsidRDefault="00575BB2" w:rsidP="00AF1E47">
      <w:pPr>
        <w:pStyle w:val="ListParagraph"/>
        <w:keepLines/>
        <w:numPr>
          <w:ilvl w:val="0"/>
          <w:numId w:val="2"/>
        </w:numPr>
        <w:spacing w:line="360" w:lineRule="auto"/>
        <w:ind w:left="0" w:firstLine="1440"/>
        <w:contextualSpacing w:val="0"/>
        <w:outlineLvl w:val="0"/>
      </w:pPr>
      <w:r w:rsidRPr="008A2F12">
        <w:t xml:space="preserve">That the </w:t>
      </w:r>
      <w:r w:rsidR="002F0C21">
        <w:t xml:space="preserve">Motion to Dismiss the formal Complaint of </w:t>
      </w:r>
      <w:r w:rsidR="00B829A3">
        <w:t xml:space="preserve">Agnes and Steve Atuahene </w:t>
      </w:r>
      <w:r w:rsidRPr="008A2F12">
        <w:t xml:space="preserve">filed by </w:t>
      </w:r>
      <w:r w:rsidR="00B829A3">
        <w:t>F. Mitchell Dutton</w:t>
      </w:r>
      <w:r w:rsidR="00AF30AD">
        <w:t xml:space="preserve">, Esquire, on behalf of </w:t>
      </w:r>
      <w:r w:rsidR="00B829A3">
        <w:t>AE</w:t>
      </w:r>
      <w:r w:rsidR="00AF30AD">
        <w:t>P</w:t>
      </w:r>
      <w:r w:rsidR="00B829A3">
        <w:t xml:space="preserve"> Energy, Inc.</w:t>
      </w:r>
      <w:r w:rsidR="006D181B">
        <w:t xml:space="preserve"> </w:t>
      </w:r>
      <w:r w:rsidRPr="008A2F12">
        <w:t xml:space="preserve">at Docket No. </w:t>
      </w:r>
      <w:r w:rsidR="009E1D65">
        <w:t>C</w:t>
      </w:r>
      <w:r w:rsidR="00D6279E" w:rsidRPr="00270C7A">
        <w:t>-201</w:t>
      </w:r>
      <w:r w:rsidR="00B829A3">
        <w:t>9</w:t>
      </w:r>
      <w:r w:rsidR="00D6279E" w:rsidRPr="00270C7A">
        <w:t>-</w:t>
      </w:r>
      <w:r w:rsidR="00CC0545">
        <w:t>30</w:t>
      </w:r>
      <w:r w:rsidR="00B829A3">
        <w:t>12904</w:t>
      </w:r>
      <w:r w:rsidRPr="008A2F12">
        <w:t xml:space="preserve"> is</w:t>
      </w:r>
      <w:r w:rsidR="009E1D65">
        <w:t xml:space="preserve"> d</w:t>
      </w:r>
      <w:r w:rsidR="00AF30AD">
        <w:t>eni</w:t>
      </w:r>
      <w:r w:rsidR="009E1D65">
        <w:t>ed</w:t>
      </w:r>
      <w:r w:rsidRPr="008A2F12">
        <w:t>.</w:t>
      </w:r>
    </w:p>
    <w:p w14:paraId="7D751873" w14:textId="77777777" w:rsidR="008D183A" w:rsidRDefault="008D183A" w:rsidP="00AF1E47">
      <w:pPr>
        <w:keepLines/>
        <w:spacing w:line="360" w:lineRule="auto"/>
      </w:pPr>
    </w:p>
    <w:p w14:paraId="08EA93B4" w14:textId="40E3A852" w:rsidR="00575BB2" w:rsidRDefault="00CE292A" w:rsidP="00AF30AD">
      <w:pPr>
        <w:keepLines/>
        <w:numPr>
          <w:ilvl w:val="0"/>
          <w:numId w:val="2"/>
        </w:numPr>
        <w:autoSpaceDE w:val="0"/>
        <w:autoSpaceDN w:val="0"/>
        <w:spacing w:line="360" w:lineRule="auto"/>
        <w:ind w:left="0" w:firstLine="1440"/>
      </w:pPr>
      <w:r>
        <w:t xml:space="preserve">That </w:t>
      </w:r>
      <w:r w:rsidR="00B829A3">
        <w:t xml:space="preserve">the initial hearing remains as </w:t>
      </w:r>
      <w:r w:rsidR="00AF30AD">
        <w:t xml:space="preserve">scheduled. </w:t>
      </w:r>
    </w:p>
    <w:p w14:paraId="2A3108EE" w14:textId="482A5768" w:rsidR="00AF1E47" w:rsidRDefault="00AF1E47" w:rsidP="006C20E6">
      <w:pPr>
        <w:keepLines/>
        <w:tabs>
          <w:tab w:val="num" w:pos="2160"/>
          <w:tab w:val="left" w:pos="5048"/>
        </w:tabs>
        <w:spacing w:line="360" w:lineRule="auto"/>
      </w:pPr>
    </w:p>
    <w:p w14:paraId="1B67FDA9" w14:textId="77777777" w:rsidR="00634E6A" w:rsidRDefault="00634E6A" w:rsidP="006C20E6">
      <w:pPr>
        <w:keepLines/>
        <w:tabs>
          <w:tab w:val="num" w:pos="2160"/>
          <w:tab w:val="left" w:pos="5048"/>
        </w:tabs>
        <w:spacing w:line="360" w:lineRule="auto"/>
      </w:pPr>
    </w:p>
    <w:p w14:paraId="36305034" w14:textId="2190D4CB" w:rsidR="00575BB2" w:rsidRPr="008A2F12" w:rsidRDefault="00575BB2" w:rsidP="006C20E6">
      <w:pPr>
        <w:keepLines/>
        <w:tabs>
          <w:tab w:val="num" w:pos="2160"/>
          <w:tab w:val="left" w:pos="5048"/>
        </w:tabs>
        <w:rPr>
          <w:u w:val="single"/>
        </w:rPr>
      </w:pPr>
      <w:r w:rsidRPr="008A2F12">
        <w:t xml:space="preserve">Date: </w:t>
      </w:r>
      <w:r w:rsidR="00B829A3">
        <w:rPr>
          <w:u w:val="single"/>
        </w:rPr>
        <w:t>Oct</w:t>
      </w:r>
      <w:r w:rsidR="00AF30AD">
        <w:rPr>
          <w:u w:val="single"/>
        </w:rPr>
        <w:t>o</w:t>
      </w:r>
      <w:r w:rsidR="001F261B">
        <w:rPr>
          <w:u w:val="single"/>
        </w:rPr>
        <w:t xml:space="preserve">ber </w:t>
      </w:r>
      <w:r w:rsidR="00B829A3">
        <w:rPr>
          <w:u w:val="single"/>
        </w:rPr>
        <w:t>28</w:t>
      </w:r>
      <w:r w:rsidRPr="008A2F12">
        <w:rPr>
          <w:u w:val="single"/>
        </w:rPr>
        <w:t>, 201</w:t>
      </w:r>
      <w:r w:rsidR="00B829A3">
        <w:rPr>
          <w:u w:val="single"/>
        </w:rPr>
        <w:t>9</w:t>
      </w:r>
      <w:r w:rsidRPr="008A2F12">
        <w:t xml:space="preserve"> </w:t>
      </w:r>
      <w:r w:rsidR="00D6279E">
        <w:tab/>
      </w:r>
      <w:r w:rsidRPr="008A2F12">
        <w:rPr>
          <w:u w:val="single"/>
        </w:rPr>
        <w:tab/>
        <w:t>/s/</w:t>
      </w:r>
      <w:r w:rsidRPr="008A2F12">
        <w:rPr>
          <w:u w:val="single"/>
        </w:rPr>
        <w:tab/>
      </w:r>
      <w:r w:rsidRPr="008A2F12">
        <w:rPr>
          <w:u w:val="single"/>
        </w:rPr>
        <w:tab/>
      </w:r>
      <w:r w:rsidRPr="008A2F12">
        <w:rPr>
          <w:u w:val="single"/>
        </w:rPr>
        <w:tab/>
      </w:r>
      <w:r w:rsidRPr="008A2F12">
        <w:rPr>
          <w:u w:val="single"/>
        </w:rPr>
        <w:tab/>
      </w:r>
      <w:r w:rsidRPr="008A2F12">
        <w:rPr>
          <w:u w:val="single"/>
        </w:rPr>
        <w:tab/>
      </w:r>
    </w:p>
    <w:p w14:paraId="7681A824" w14:textId="77777777" w:rsidR="00575BB2" w:rsidRPr="008A2F12" w:rsidRDefault="00575BB2" w:rsidP="006C20E6">
      <w:pPr>
        <w:keepLines/>
        <w:tabs>
          <w:tab w:val="num" w:pos="2160"/>
          <w:tab w:val="left" w:pos="5048"/>
        </w:tabs>
      </w:pPr>
      <w:r w:rsidRPr="008A2F12">
        <w:tab/>
      </w:r>
      <w:r w:rsidRPr="008A2F12">
        <w:tab/>
        <w:t xml:space="preserve">Angela T. Jones </w:t>
      </w:r>
    </w:p>
    <w:p w14:paraId="671C5155" w14:textId="0706C343" w:rsidR="00575BB2" w:rsidRDefault="00575BB2" w:rsidP="006C20E6">
      <w:pPr>
        <w:keepLines/>
        <w:tabs>
          <w:tab w:val="num" w:pos="2160"/>
          <w:tab w:val="left" w:pos="5048"/>
        </w:tabs>
      </w:pPr>
      <w:r w:rsidRPr="008A2F12">
        <w:tab/>
      </w:r>
      <w:r w:rsidRPr="008A2F12">
        <w:tab/>
        <w:t>Administrative Law Judge</w:t>
      </w:r>
    </w:p>
    <w:p w14:paraId="297DA8E6" w14:textId="54C544F0" w:rsidR="001A64C8" w:rsidRDefault="001A64C8">
      <w:r>
        <w:br w:type="page"/>
      </w:r>
    </w:p>
    <w:p w14:paraId="76F5A0CA" w14:textId="33873A6F" w:rsidR="001A64C8" w:rsidRDefault="00B829A3" w:rsidP="001A64C8">
      <w:pPr>
        <w:pStyle w:val="ParaTab1"/>
        <w:ind w:firstLine="0"/>
        <w:rPr>
          <w:rFonts w:ascii="Times New Roman" w:hAnsi="Times New Roman" w:cs="Times New Roman"/>
          <w:spacing w:val="-3"/>
        </w:rPr>
      </w:pPr>
      <w:r>
        <w:rPr>
          <w:rFonts w:ascii="Times New Roman" w:hAnsi="Times New Roman" w:cs="Times New Roman"/>
          <w:spacing w:val="-3"/>
        </w:rPr>
        <w:lastRenderedPageBreak/>
        <w:t>Atuahene</w:t>
      </w:r>
      <w:r w:rsidR="001A64C8">
        <w:rPr>
          <w:rFonts w:ascii="Times New Roman" w:hAnsi="Times New Roman" w:cs="Times New Roman"/>
          <w:spacing w:val="-3"/>
        </w:rPr>
        <w:t xml:space="preserve"> v. </w:t>
      </w:r>
      <w:r>
        <w:rPr>
          <w:rFonts w:ascii="Times New Roman" w:hAnsi="Times New Roman" w:cs="Times New Roman"/>
          <w:spacing w:val="-3"/>
        </w:rPr>
        <w:t>PECO &amp; AE</w:t>
      </w:r>
      <w:r w:rsidR="001A64C8">
        <w:rPr>
          <w:rFonts w:ascii="Times New Roman" w:hAnsi="Times New Roman" w:cs="Times New Roman"/>
          <w:spacing w:val="-3"/>
        </w:rPr>
        <w:t>P</w:t>
      </w:r>
      <w:r>
        <w:rPr>
          <w:rFonts w:ascii="Times New Roman" w:hAnsi="Times New Roman" w:cs="Times New Roman"/>
          <w:spacing w:val="-3"/>
        </w:rPr>
        <w:t xml:space="preserve"> Energy, Inc.</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77777777"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53ED76A3" w14:textId="43572588" w:rsidR="001A64C8" w:rsidRDefault="001A64C8" w:rsidP="001A64C8">
      <w:pPr>
        <w:pStyle w:val="ParaTab1"/>
        <w:ind w:firstLine="0"/>
        <w:rPr>
          <w:rFonts w:ascii="Times New Roman" w:hAnsi="Times New Roman" w:cs="Times New Roman"/>
          <w:spacing w:val="-3"/>
        </w:rPr>
      </w:pPr>
    </w:p>
    <w:p w14:paraId="01479865" w14:textId="32AE00D5" w:rsidR="008A795F" w:rsidRDefault="008A795F" w:rsidP="001A64C8">
      <w:pPr>
        <w:pStyle w:val="ParaTab1"/>
        <w:ind w:firstLine="0"/>
        <w:rPr>
          <w:rFonts w:ascii="Times New Roman" w:hAnsi="Times New Roman" w:cs="Times New Roman"/>
          <w:spacing w:val="-3"/>
        </w:rPr>
      </w:pPr>
    </w:p>
    <w:p w14:paraId="1D6A6D31" w14:textId="77777777" w:rsidR="008A795F" w:rsidRDefault="008A795F" w:rsidP="008A795F">
      <w:pPr>
        <w:rPr>
          <w:rFonts w:eastAsia="Microsoft Sans Serif"/>
        </w:rPr>
      </w:pPr>
      <w:r>
        <w:rPr>
          <w:rFonts w:eastAsia="Microsoft Sans Serif"/>
        </w:rPr>
        <w:t>STEVE ATUAHENE &amp; AGNES ATUAHENE</w:t>
      </w:r>
    </w:p>
    <w:p w14:paraId="16EBAAA6" w14:textId="77777777" w:rsidR="008A795F" w:rsidRDefault="008A795F" w:rsidP="008A795F">
      <w:pPr>
        <w:rPr>
          <w:rFonts w:eastAsia="Microsoft Sans Serif"/>
        </w:rPr>
      </w:pPr>
      <w:r>
        <w:rPr>
          <w:rFonts w:eastAsia="Microsoft Sans Serif"/>
        </w:rPr>
        <w:t>7500 NORTH 21ST STREET</w:t>
      </w:r>
    </w:p>
    <w:p w14:paraId="69FE5E78" w14:textId="77777777" w:rsidR="008A795F" w:rsidRDefault="008A795F" w:rsidP="008A795F">
      <w:pPr>
        <w:rPr>
          <w:rFonts w:eastAsia="Microsoft Sans Serif"/>
        </w:rPr>
      </w:pPr>
      <w:r>
        <w:rPr>
          <w:rFonts w:eastAsia="Microsoft Sans Serif"/>
        </w:rPr>
        <w:t>PHILADELPHIA PA  19138</w:t>
      </w:r>
    </w:p>
    <w:p w14:paraId="5E7B1C53" w14:textId="77777777" w:rsidR="008A795F" w:rsidRDefault="008A795F" w:rsidP="008A795F">
      <w:pPr>
        <w:rPr>
          <w:rFonts w:eastAsia="Microsoft Sans Serif"/>
          <w:b/>
          <w:bCs/>
        </w:rPr>
      </w:pPr>
      <w:r>
        <w:rPr>
          <w:rFonts w:eastAsia="Microsoft Sans Serif"/>
          <w:b/>
          <w:bCs/>
        </w:rPr>
        <w:t>267.335.3135</w:t>
      </w:r>
    </w:p>
    <w:p w14:paraId="33FA8A39" w14:textId="77777777" w:rsidR="008A795F" w:rsidRDefault="008A795F" w:rsidP="008A795F">
      <w:pPr>
        <w:rPr>
          <w:rFonts w:eastAsia="Microsoft Sans Serif"/>
        </w:rPr>
      </w:pPr>
    </w:p>
    <w:p w14:paraId="2D958007" w14:textId="77777777" w:rsidR="008A795F" w:rsidRDefault="008A795F" w:rsidP="008A795F">
      <w:pPr>
        <w:rPr>
          <w:rFonts w:eastAsia="Microsoft Sans Serif"/>
        </w:rPr>
      </w:pPr>
      <w:r>
        <w:rPr>
          <w:rFonts w:eastAsia="Microsoft Sans Serif"/>
        </w:rPr>
        <w:t>ANGELA M LORENZ ATTORNEY</w:t>
      </w:r>
    </w:p>
    <w:p w14:paraId="5B5D65C8" w14:textId="77777777" w:rsidR="008A795F" w:rsidRDefault="008A795F" w:rsidP="008A795F">
      <w:pPr>
        <w:rPr>
          <w:rFonts w:eastAsia="Microsoft Sans Serif"/>
        </w:rPr>
      </w:pPr>
      <w:r>
        <w:rPr>
          <w:rFonts w:eastAsia="Microsoft Sans Serif"/>
        </w:rPr>
        <w:t>PECO ENERGY COMPANY</w:t>
      </w:r>
    </w:p>
    <w:p w14:paraId="2916904F" w14:textId="77777777" w:rsidR="008A795F" w:rsidRDefault="008A795F" w:rsidP="008A795F">
      <w:pPr>
        <w:rPr>
          <w:rFonts w:eastAsia="Microsoft Sans Serif"/>
        </w:rPr>
      </w:pPr>
      <w:r>
        <w:rPr>
          <w:rFonts w:eastAsia="Microsoft Sans Serif"/>
        </w:rPr>
        <w:t>1880 JOHN F KENNEDY BLVD</w:t>
      </w:r>
    </w:p>
    <w:p w14:paraId="61AAFAB1" w14:textId="77777777" w:rsidR="008A795F" w:rsidRDefault="008A795F" w:rsidP="008A795F">
      <w:pPr>
        <w:rPr>
          <w:rFonts w:eastAsia="Microsoft Sans Serif"/>
        </w:rPr>
      </w:pPr>
      <w:r>
        <w:rPr>
          <w:rFonts w:eastAsia="Microsoft Sans Serif"/>
        </w:rPr>
        <w:t>SUITE 1800</w:t>
      </w:r>
    </w:p>
    <w:p w14:paraId="776049E4" w14:textId="77777777" w:rsidR="008A795F" w:rsidRDefault="008A795F" w:rsidP="008A795F">
      <w:pPr>
        <w:rPr>
          <w:rFonts w:eastAsia="Microsoft Sans Serif"/>
        </w:rPr>
      </w:pPr>
      <w:r>
        <w:rPr>
          <w:rFonts w:eastAsia="Microsoft Sans Serif"/>
        </w:rPr>
        <w:t>PHILADELPHIA PA  19103</w:t>
      </w:r>
    </w:p>
    <w:p w14:paraId="43FF97C1" w14:textId="77777777" w:rsidR="008A795F" w:rsidRDefault="008A795F" w:rsidP="008A795F">
      <w:pPr>
        <w:rPr>
          <w:rFonts w:eastAsia="Microsoft Sans Serif"/>
          <w:b/>
          <w:bCs/>
          <w:i/>
          <w:iCs/>
          <w:u w:val="single"/>
        </w:rPr>
      </w:pPr>
      <w:r>
        <w:rPr>
          <w:rFonts w:eastAsia="Microsoft Sans Serif"/>
          <w:b/>
          <w:bCs/>
        </w:rPr>
        <w:t>215.501.7847</w:t>
      </w:r>
      <w:r>
        <w:rPr>
          <w:rFonts w:eastAsia="Microsoft Sans Serif"/>
          <w:b/>
          <w:bCs/>
        </w:rPr>
        <w:br/>
      </w:r>
      <w:r>
        <w:rPr>
          <w:rFonts w:eastAsia="Microsoft Sans Serif"/>
          <w:b/>
          <w:bCs/>
          <w:i/>
          <w:iCs/>
          <w:u w:val="single"/>
        </w:rPr>
        <w:t>ACCEPTS E-SERVICE</w:t>
      </w:r>
    </w:p>
    <w:p w14:paraId="3F6D9E8E" w14:textId="77777777" w:rsidR="008A795F" w:rsidRDefault="008A795F" w:rsidP="008A795F">
      <w:pPr>
        <w:rPr>
          <w:rFonts w:eastAsia="Microsoft Sans Serif"/>
          <w:i/>
          <w:iCs/>
          <w:u w:val="single"/>
        </w:rPr>
      </w:pPr>
    </w:p>
    <w:p w14:paraId="6B688673" w14:textId="77777777" w:rsidR="008A795F" w:rsidRDefault="008A795F" w:rsidP="008A795F">
      <w:pPr>
        <w:rPr>
          <w:rFonts w:eastAsia="Microsoft Sans Serif"/>
        </w:rPr>
      </w:pPr>
      <w:r>
        <w:rPr>
          <w:rFonts w:eastAsia="Microsoft Sans Serif"/>
        </w:rPr>
        <w:t>F MITCHELL DUTTON ATTORNEY</w:t>
      </w:r>
    </w:p>
    <w:p w14:paraId="23FAD3F4" w14:textId="77777777" w:rsidR="008A795F" w:rsidRDefault="008A795F" w:rsidP="008A795F">
      <w:pPr>
        <w:rPr>
          <w:rFonts w:eastAsia="Microsoft Sans Serif"/>
        </w:rPr>
      </w:pPr>
      <w:r>
        <w:rPr>
          <w:rFonts w:eastAsia="Microsoft Sans Serif"/>
        </w:rPr>
        <w:t>AEP ENERGY INC</w:t>
      </w:r>
    </w:p>
    <w:p w14:paraId="68A1F9F3" w14:textId="77777777" w:rsidR="008A795F" w:rsidRDefault="008A795F" w:rsidP="008A795F">
      <w:pPr>
        <w:rPr>
          <w:rFonts w:eastAsia="Microsoft Sans Serif"/>
        </w:rPr>
      </w:pPr>
      <w:r>
        <w:rPr>
          <w:rFonts w:eastAsia="Microsoft Sans Serif"/>
        </w:rPr>
        <w:t>1 EASTON OVAL</w:t>
      </w:r>
    </w:p>
    <w:p w14:paraId="28FED5F7" w14:textId="77777777" w:rsidR="008A795F" w:rsidRDefault="008A795F" w:rsidP="008A795F">
      <w:pPr>
        <w:rPr>
          <w:rFonts w:eastAsia="Microsoft Sans Serif"/>
        </w:rPr>
      </w:pPr>
      <w:r>
        <w:rPr>
          <w:rFonts w:eastAsia="Microsoft Sans Serif"/>
        </w:rPr>
        <w:t>SUITE 200</w:t>
      </w:r>
    </w:p>
    <w:p w14:paraId="536333C7" w14:textId="77777777" w:rsidR="008A795F" w:rsidRDefault="008A795F" w:rsidP="008A795F">
      <w:pPr>
        <w:rPr>
          <w:rFonts w:eastAsia="Microsoft Sans Serif"/>
        </w:rPr>
      </w:pPr>
      <w:r>
        <w:rPr>
          <w:rFonts w:eastAsia="Microsoft Sans Serif"/>
        </w:rPr>
        <w:t>COLUMBUS OH  43219</w:t>
      </w:r>
    </w:p>
    <w:p w14:paraId="1FC64B56" w14:textId="77777777" w:rsidR="008A795F" w:rsidRDefault="008A795F" w:rsidP="008A795F">
      <w:pPr>
        <w:rPr>
          <w:rFonts w:eastAsia="Microsoft Sans Serif"/>
          <w:b/>
          <w:bCs/>
          <w:i/>
          <w:iCs/>
          <w:u w:val="single"/>
        </w:rPr>
      </w:pPr>
      <w:r>
        <w:rPr>
          <w:rFonts w:eastAsia="Microsoft Sans Serif"/>
          <w:b/>
          <w:bCs/>
        </w:rPr>
        <w:t>614.682.4350</w:t>
      </w:r>
      <w:r>
        <w:rPr>
          <w:rFonts w:eastAsia="Microsoft Sans Serif"/>
          <w:b/>
          <w:bCs/>
        </w:rPr>
        <w:br/>
      </w:r>
      <w:r>
        <w:rPr>
          <w:rFonts w:eastAsia="Microsoft Sans Serif"/>
          <w:b/>
          <w:bCs/>
          <w:i/>
          <w:iCs/>
          <w:u w:val="single"/>
        </w:rPr>
        <w:t>ACCEPTS E-SERVICE</w:t>
      </w:r>
    </w:p>
    <w:p w14:paraId="1544E741" w14:textId="77777777" w:rsidR="008A795F" w:rsidRDefault="008A795F" w:rsidP="008A795F">
      <w:pPr>
        <w:pStyle w:val="ParaTab1"/>
        <w:ind w:firstLine="0"/>
        <w:rPr>
          <w:rFonts w:ascii="Times New Roman" w:hAnsi="Times New Roman" w:cs="Times New Roman"/>
          <w:spacing w:val="-3"/>
          <w:u w:val="single"/>
        </w:rPr>
      </w:pPr>
    </w:p>
    <w:p w14:paraId="0F686742" w14:textId="77777777" w:rsidR="008A795F" w:rsidRDefault="008A795F" w:rsidP="008A795F">
      <w:pPr>
        <w:pStyle w:val="ParaTab1"/>
        <w:ind w:firstLine="0"/>
        <w:rPr>
          <w:rFonts w:ascii="Times New Roman" w:hAnsi="Times New Roman" w:cs="Times New Roman"/>
          <w:spacing w:val="-3"/>
        </w:rPr>
      </w:pPr>
      <w:r>
        <w:rPr>
          <w:rFonts w:ascii="Times New Roman" w:hAnsi="Times New Roman" w:cs="Times New Roman"/>
          <w:spacing w:val="-3"/>
        </w:rPr>
        <w:t>DAVID FEINBERG</w:t>
      </w:r>
    </w:p>
    <w:p w14:paraId="334DFCC2" w14:textId="77777777" w:rsidR="008A795F" w:rsidRDefault="008A795F" w:rsidP="008A795F">
      <w:pPr>
        <w:pStyle w:val="ParaTab1"/>
        <w:ind w:firstLine="0"/>
        <w:rPr>
          <w:rFonts w:ascii="Times New Roman" w:hAnsi="Times New Roman" w:cs="Times New Roman"/>
          <w:spacing w:val="-3"/>
        </w:rPr>
      </w:pPr>
      <w:r>
        <w:rPr>
          <w:rFonts w:ascii="Times New Roman" w:hAnsi="Times New Roman" w:cs="Times New Roman"/>
          <w:spacing w:val="-3"/>
        </w:rPr>
        <w:t>AEP ENERGY INC</w:t>
      </w:r>
    </w:p>
    <w:p w14:paraId="51E677A4" w14:textId="77777777" w:rsidR="008A795F" w:rsidRDefault="008A795F" w:rsidP="008A795F">
      <w:pPr>
        <w:pStyle w:val="ParaTab1"/>
        <w:ind w:firstLine="0"/>
        <w:rPr>
          <w:rFonts w:ascii="Times New Roman" w:hAnsi="Times New Roman" w:cs="Times New Roman"/>
          <w:spacing w:val="-3"/>
        </w:rPr>
      </w:pPr>
      <w:r>
        <w:rPr>
          <w:rFonts w:ascii="Times New Roman" w:hAnsi="Times New Roman" w:cs="Times New Roman"/>
          <w:spacing w:val="-3"/>
        </w:rPr>
        <w:t>ONE RIVERSIDE PLAZA</w:t>
      </w:r>
    </w:p>
    <w:p w14:paraId="1188AE44" w14:textId="77777777" w:rsidR="008A795F" w:rsidRDefault="008A795F" w:rsidP="008A795F">
      <w:pPr>
        <w:pStyle w:val="ParaTab1"/>
        <w:ind w:firstLine="0"/>
        <w:rPr>
          <w:rFonts w:ascii="Times New Roman" w:hAnsi="Times New Roman" w:cs="Times New Roman"/>
          <w:spacing w:val="-3"/>
        </w:rPr>
      </w:pPr>
      <w:r>
        <w:rPr>
          <w:rFonts w:ascii="Times New Roman" w:hAnsi="Times New Roman" w:cs="Times New Roman"/>
          <w:spacing w:val="-3"/>
        </w:rPr>
        <w:t>COLUMBUS OH 43216</w:t>
      </w:r>
    </w:p>
    <w:p w14:paraId="5862B050" w14:textId="77777777" w:rsidR="008A795F" w:rsidRDefault="008A795F" w:rsidP="001A64C8">
      <w:pPr>
        <w:pStyle w:val="ParaTab1"/>
        <w:ind w:firstLine="0"/>
        <w:rPr>
          <w:rFonts w:ascii="Times New Roman" w:hAnsi="Times New Roman" w:cs="Times New Roman"/>
          <w:spacing w:val="-3"/>
        </w:rPr>
      </w:pPr>
    </w:p>
    <w:sectPr w:rsidR="008A795F"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E6372" w14:textId="77777777" w:rsidR="00421E35" w:rsidRDefault="00421E35">
      <w:r>
        <w:separator/>
      </w:r>
    </w:p>
  </w:endnote>
  <w:endnote w:type="continuationSeparator" w:id="0">
    <w:p w14:paraId="5A26EFC3" w14:textId="77777777" w:rsidR="00421E35" w:rsidRDefault="0042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CBFAC" w14:textId="77777777" w:rsidR="00421E35" w:rsidRDefault="00421E35">
      <w:r>
        <w:separator/>
      </w:r>
    </w:p>
  </w:footnote>
  <w:footnote w:type="continuationSeparator" w:id="0">
    <w:p w14:paraId="7BF4ADC6" w14:textId="77777777" w:rsidR="00421E35" w:rsidRDefault="00421E35">
      <w:r>
        <w:continuationSeparator/>
      </w:r>
    </w:p>
  </w:footnote>
  <w:footnote w:id="1">
    <w:p w14:paraId="0A42DFBE" w14:textId="165087DA" w:rsidR="00182BA6" w:rsidRDefault="00182BA6">
      <w:pPr>
        <w:pStyle w:val="FootnoteText"/>
      </w:pPr>
      <w:r>
        <w:rPr>
          <w:rStyle w:val="FootnoteReference"/>
        </w:rPr>
        <w:footnoteRef/>
      </w:r>
      <w:r>
        <w:t xml:space="preserve"> </w:t>
      </w:r>
      <w:r>
        <w:tab/>
        <w:t xml:space="preserve">52 Pa.Code § 5.103(b) states, in relevant part, “Written motions must contain a notice which states that a responsive pleading shall be filed within 20 days of the date of service on the motion.”  If the undersigned would treat the AEP filing dated October 7, 2019, as a motion under Section 5.103(b), the matter would still be a defective pleading because it lacks the required content.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736"/>
    <w:multiLevelType w:val="hybridMultilevel"/>
    <w:tmpl w:val="06CC42B4"/>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C76AE8"/>
    <w:multiLevelType w:val="hybridMultilevel"/>
    <w:tmpl w:val="7DB2A428"/>
    <w:lvl w:ilvl="0" w:tplc="CA665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B7818"/>
    <w:multiLevelType w:val="hybridMultilevel"/>
    <w:tmpl w:val="B1DAAC4A"/>
    <w:lvl w:ilvl="0" w:tplc="4A32CDFC">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4375DB"/>
    <w:multiLevelType w:val="hybridMultilevel"/>
    <w:tmpl w:val="F2E4DB08"/>
    <w:lvl w:ilvl="0" w:tplc="866090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6A6419"/>
    <w:multiLevelType w:val="hybridMultilevel"/>
    <w:tmpl w:val="E46249C2"/>
    <w:lvl w:ilvl="0" w:tplc="4732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6947C6"/>
    <w:multiLevelType w:val="hybridMultilevel"/>
    <w:tmpl w:val="4F9C896A"/>
    <w:lvl w:ilvl="0" w:tplc="48F8B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0D9672F8"/>
    <w:multiLevelType w:val="hybridMultilevel"/>
    <w:tmpl w:val="C2500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6837A0"/>
    <w:multiLevelType w:val="hybridMultilevel"/>
    <w:tmpl w:val="3EE66230"/>
    <w:lvl w:ilvl="0" w:tplc="7C28AD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CB5DC9"/>
    <w:multiLevelType w:val="hybridMultilevel"/>
    <w:tmpl w:val="9B905A8C"/>
    <w:lvl w:ilvl="0" w:tplc="3F261CC8">
      <w:start w:val="17"/>
      <w:numFmt w:val="bullet"/>
      <w:lvlText w:val=""/>
      <w:lvlJc w:val="left"/>
      <w:pPr>
        <w:ind w:left="7560" w:hanging="360"/>
      </w:pPr>
      <w:rPr>
        <w:rFonts w:ascii="Symbol" w:eastAsia="Times New Roman" w:hAnsi="Symbol"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2" w15:restartNumberingAfterBreak="0">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472AC5"/>
    <w:multiLevelType w:val="hybridMultilevel"/>
    <w:tmpl w:val="CB98204C"/>
    <w:lvl w:ilvl="0" w:tplc="A8EAB4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98230A"/>
    <w:multiLevelType w:val="hybridMultilevel"/>
    <w:tmpl w:val="ABE2976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EB5B00"/>
    <w:multiLevelType w:val="hybridMultilevel"/>
    <w:tmpl w:val="A888EABE"/>
    <w:lvl w:ilvl="0" w:tplc="75A6DB56">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3038FA"/>
    <w:multiLevelType w:val="hybridMultilevel"/>
    <w:tmpl w:val="9F2A9482"/>
    <w:lvl w:ilvl="0" w:tplc="E2C66308">
      <w:start w:val="1"/>
      <w:numFmt w:val="lowerLetter"/>
      <w:lvlText w:val="(%1)"/>
      <w:lvlJc w:val="left"/>
      <w:pPr>
        <w:ind w:left="1890" w:hanging="39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2781292D"/>
    <w:multiLevelType w:val="hybridMultilevel"/>
    <w:tmpl w:val="F608170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1C02CAB0">
      <w:start w:val="1"/>
      <w:numFmt w:val="decimal"/>
      <w:lvlText w:val="(%3)"/>
      <w:lvlJc w:val="left"/>
      <w:pPr>
        <w:ind w:left="3465" w:hanging="40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CD035F"/>
    <w:multiLevelType w:val="hybridMultilevel"/>
    <w:tmpl w:val="6928B656"/>
    <w:lvl w:ilvl="0" w:tplc="71066372">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612BEB"/>
    <w:multiLevelType w:val="hybridMultilevel"/>
    <w:tmpl w:val="6D3E7422"/>
    <w:lvl w:ilvl="0" w:tplc="55A86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7A23ED"/>
    <w:multiLevelType w:val="multilevel"/>
    <w:tmpl w:val="D26401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01566C"/>
    <w:multiLevelType w:val="hybridMultilevel"/>
    <w:tmpl w:val="7CDCA380"/>
    <w:lvl w:ilvl="0" w:tplc="75A6DB56">
      <w:start w:val="1"/>
      <w:numFmt w:val="decimal"/>
      <w:lvlText w:val="%1."/>
      <w:lvlJc w:val="left"/>
      <w:pPr>
        <w:ind w:left="5580" w:hanging="21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37B274E6"/>
    <w:multiLevelType w:val="hybridMultilevel"/>
    <w:tmpl w:val="7B2845A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25" w15:restartNumberingAfterBreak="0">
    <w:nsid w:val="3AE07013"/>
    <w:multiLevelType w:val="hybridMultilevel"/>
    <w:tmpl w:val="63E264C0"/>
    <w:lvl w:ilvl="0" w:tplc="737A966E">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7C701B"/>
    <w:multiLevelType w:val="hybridMultilevel"/>
    <w:tmpl w:val="56F6ACD8"/>
    <w:lvl w:ilvl="0" w:tplc="04090013">
      <w:start w:val="1"/>
      <w:numFmt w:val="upperRoman"/>
      <w:lvlText w:val="%1."/>
      <w:lvlJc w:val="righ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E7BCE"/>
    <w:multiLevelType w:val="hybridMultilevel"/>
    <w:tmpl w:val="7ADA6552"/>
    <w:lvl w:ilvl="0" w:tplc="94226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4777C0"/>
    <w:multiLevelType w:val="hybridMultilevel"/>
    <w:tmpl w:val="5A284318"/>
    <w:lvl w:ilvl="0" w:tplc="FB2208C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0" w15:restartNumberingAfterBreak="0">
    <w:nsid w:val="4CFE7879"/>
    <w:multiLevelType w:val="hybridMultilevel"/>
    <w:tmpl w:val="4406F230"/>
    <w:lvl w:ilvl="0" w:tplc="173EFBE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F7E69"/>
    <w:multiLevelType w:val="hybridMultilevel"/>
    <w:tmpl w:val="204436FA"/>
    <w:lvl w:ilvl="0" w:tplc="B1988E2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2" w15:restartNumberingAfterBreak="0">
    <w:nsid w:val="582A0279"/>
    <w:multiLevelType w:val="hybridMultilevel"/>
    <w:tmpl w:val="AD9E095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62332C"/>
    <w:multiLevelType w:val="hybridMultilevel"/>
    <w:tmpl w:val="CA42EABC"/>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3B6807"/>
    <w:multiLevelType w:val="hybridMultilevel"/>
    <w:tmpl w:val="30580FBA"/>
    <w:lvl w:ilvl="0" w:tplc="7B607A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53126"/>
    <w:multiLevelType w:val="hybridMultilevel"/>
    <w:tmpl w:val="E466A204"/>
    <w:lvl w:ilvl="0" w:tplc="1098D3B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E2D0671"/>
    <w:multiLevelType w:val="hybridMultilevel"/>
    <w:tmpl w:val="95AA286E"/>
    <w:lvl w:ilvl="0" w:tplc="631C9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1862F5"/>
    <w:multiLevelType w:val="hybridMultilevel"/>
    <w:tmpl w:val="67EADA42"/>
    <w:lvl w:ilvl="0" w:tplc="D2442B7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7875863"/>
    <w:multiLevelType w:val="hybridMultilevel"/>
    <w:tmpl w:val="1FE61266"/>
    <w:lvl w:ilvl="0" w:tplc="0B4E3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0867E5"/>
    <w:multiLevelType w:val="hybridMultilevel"/>
    <w:tmpl w:val="330A4C32"/>
    <w:lvl w:ilvl="0" w:tplc="4FC6C0E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434CF"/>
    <w:multiLevelType w:val="hybridMultilevel"/>
    <w:tmpl w:val="DAA69C84"/>
    <w:lvl w:ilvl="0" w:tplc="3FAAD36E">
      <w:start w:val="17"/>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7B096BBD"/>
    <w:multiLevelType w:val="hybridMultilevel"/>
    <w:tmpl w:val="96DE4516"/>
    <w:lvl w:ilvl="0" w:tplc="7CFEA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5"/>
  </w:num>
  <w:num w:numId="5">
    <w:abstractNumId w:val="15"/>
  </w:num>
  <w:num w:numId="6">
    <w:abstractNumId w:val="25"/>
  </w:num>
  <w:num w:numId="7">
    <w:abstractNumId w:val="41"/>
  </w:num>
  <w:num w:numId="8">
    <w:abstractNumId w:val="28"/>
  </w:num>
  <w:num w:numId="9">
    <w:abstractNumId w:val="4"/>
  </w:num>
  <w:num w:numId="10">
    <w:abstractNumId w:val="39"/>
  </w:num>
  <w:num w:numId="11">
    <w:abstractNumId w:val="12"/>
  </w:num>
  <w:num w:numId="12">
    <w:abstractNumId w:val="10"/>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40"/>
  </w:num>
  <w:num w:numId="18">
    <w:abstractNumId w:val="42"/>
  </w:num>
  <w:num w:numId="19">
    <w:abstractNumId w:val="9"/>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16"/>
  </w:num>
  <w:num w:numId="24">
    <w:abstractNumId w:val="22"/>
  </w:num>
  <w:num w:numId="25">
    <w:abstractNumId w:val="37"/>
  </w:num>
  <w:num w:numId="26">
    <w:abstractNumId w:val="18"/>
  </w:num>
  <w:num w:numId="27">
    <w:abstractNumId w:val="14"/>
  </w:num>
  <w:num w:numId="28">
    <w:abstractNumId w:val="34"/>
  </w:num>
  <w:num w:numId="29">
    <w:abstractNumId w:val="23"/>
  </w:num>
  <w:num w:numId="30">
    <w:abstractNumId w:val="44"/>
  </w:num>
  <w:num w:numId="31">
    <w:abstractNumId w:val="3"/>
  </w:num>
  <w:num w:numId="32">
    <w:abstractNumId w:val="21"/>
  </w:num>
  <w:num w:numId="33">
    <w:abstractNumId w:val="26"/>
  </w:num>
  <w:num w:numId="34">
    <w:abstractNumId w:val="6"/>
  </w:num>
  <w:num w:numId="35">
    <w:abstractNumId w:val="2"/>
  </w:num>
  <w:num w:numId="36">
    <w:abstractNumId w:val="43"/>
  </w:num>
  <w:num w:numId="37">
    <w:abstractNumId w:val="11"/>
  </w:num>
  <w:num w:numId="38">
    <w:abstractNumId w:val="29"/>
  </w:num>
  <w:num w:numId="39">
    <w:abstractNumId w:val="31"/>
  </w:num>
  <w:num w:numId="40">
    <w:abstractNumId w:val="19"/>
  </w:num>
  <w:num w:numId="41">
    <w:abstractNumId w:val="1"/>
  </w:num>
  <w:num w:numId="42">
    <w:abstractNumId w:val="36"/>
  </w:num>
  <w:num w:numId="43">
    <w:abstractNumId w:val="27"/>
  </w:num>
  <w:num w:numId="44">
    <w:abstractNumId w:val="38"/>
  </w:num>
  <w:num w:numId="45">
    <w:abstractNumId w:val="8"/>
  </w:num>
  <w:num w:numId="46">
    <w:abstractNumId w:val="17"/>
  </w:num>
  <w:num w:numId="4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5CB9"/>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186"/>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3E7D"/>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6EB"/>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3A69"/>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605E"/>
    <w:rsid w:val="003D677D"/>
    <w:rsid w:val="003D6B68"/>
    <w:rsid w:val="003D7B0C"/>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10EC"/>
    <w:rsid w:val="00411D76"/>
    <w:rsid w:val="004123F9"/>
    <w:rsid w:val="004129F6"/>
    <w:rsid w:val="00414416"/>
    <w:rsid w:val="004150BE"/>
    <w:rsid w:val="00415F43"/>
    <w:rsid w:val="00416181"/>
    <w:rsid w:val="00416CD2"/>
    <w:rsid w:val="00416DFF"/>
    <w:rsid w:val="00417802"/>
    <w:rsid w:val="00420E18"/>
    <w:rsid w:val="00421A70"/>
    <w:rsid w:val="00421E35"/>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506B"/>
    <w:rsid w:val="004B60FF"/>
    <w:rsid w:val="004B6D12"/>
    <w:rsid w:val="004C21C3"/>
    <w:rsid w:val="004C24C3"/>
    <w:rsid w:val="004C34BA"/>
    <w:rsid w:val="004C3FD2"/>
    <w:rsid w:val="004C593B"/>
    <w:rsid w:val="004C5B92"/>
    <w:rsid w:val="004C5E0F"/>
    <w:rsid w:val="004C6775"/>
    <w:rsid w:val="004C6C62"/>
    <w:rsid w:val="004D00F1"/>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6F71"/>
    <w:rsid w:val="005F78B0"/>
    <w:rsid w:val="005F7E5F"/>
    <w:rsid w:val="0060004E"/>
    <w:rsid w:val="0060037C"/>
    <w:rsid w:val="00600512"/>
    <w:rsid w:val="00600587"/>
    <w:rsid w:val="0060243A"/>
    <w:rsid w:val="006028A7"/>
    <w:rsid w:val="00602FA1"/>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4E6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54D"/>
    <w:rsid w:val="00755583"/>
    <w:rsid w:val="00755971"/>
    <w:rsid w:val="00755E5F"/>
    <w:rsid w:val="007607EC"/>
    <w:rsid w:val="00760BB8"/>
    <w:rsid w:val="00763405"/>
    <w:rsid w:val="00763A3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2EEE"/>
    <w:rsid w:val="0077333C"/>
    <w:rsid w:val="007733E4"/>
    <w:rsid w:val="00774D85"/>
    <w:rsid w:val="0077529F"/>
    <w:rsid w:val="00775A0B"/>
    <w:rsid w:val="007765FE"/>
    <w:rsid w:val="00777BAD"/>
    <w:rsid w:val="00780448"/>
    <w:rsid w:val="00780AAD"/>
    <w:rsid w:val="00780FBD"/>
    <w:rsid w:val="00781381"/>
    <w:rsid w:val="00781D0B"/>
    <w:rsid w:val="00782119"/>
    <w:rsid w:val="00782621"/>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7569"/>
    <w:rsid w:val="00827F90"/>
    <w:rsid w:val="008304C8"/>
    <w:rsid w:val="00830C63"/>
    <w:rsid w:val="00830CFD"/>
    <w:rsid w:val="00831192"/>
    <w:rsid w:val="008324DA"/>
    <w:rsid w:val="008341BA"/>
    <w:rsid w:val="00834B0B"/>
    <w:rsid w:val="008355D3"/>
    <w:rsid w:val="0083568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95F"/>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38E"/>
    <w:rsid w:val="00916A57"/>
    <w:rsid w:val="00916B55"/>
    <w:rsid w:val="00917013"/>
    <w:rsid w:val="00917BA6"/>
    <w:rsid w:val="00920115"/>
    <w:rsid w:val="00920C50"/>
    <w:rsid w:val="00922713"/>
    <w:rsid w:val="0092380E"/>
    <w:rsid w:val="00923D74"/>
    <w:rsid w:val="0092486D"/>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5267"/>
    <w:rsid w:val="00A454E5"/>
    <w:rsid w:val="00A45614"/>
    <w:rsid w:val="00A45F76"/>
    <w:rsid w:val="00A4696F"/>
    <w:rsid w:val="00A470EF"/>
    <w:rsid w:val="00A47161"/>
    <w:rsid w:val="00A50ABB"/>
    <w:rsid w:val="00A512F6"/>
    <w:rsid w:val="00A5177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6377"/>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40BD"/>
    <w:rsid w:val="00B7412D"/>
    <w:rsid w:val="00B742E9"/>
    <w:rsid w:val="00B74B87"/>
    <w:rsid w:val="00B76A92"/>
    <w:rsid w:val="00B779A3"/>
    <w:rsid w:val="00B77E4D"/>
    <w:rsid w:val="00B81090"/>
    <w:rsid w:val="00B81119"/>
    <w:rsid w:val="00B8114D"/>
    <w:rsid w:val="00B819CC"/>
    <w:rsid w:val="00B81C59"/>
    <w:rsid w:val="00B829A3"/>
    <w:rsid w:val="00B82BD3"/>
    <w:rsid w:val="00B82FCA"/>
    <w:rsid w:val="00B83594"/>
    <w:rsid w:val="00B83926"/>
    <w:rsid w:val="00B83BF3"/>
    <w:rsid w:val="00B83C5F"/>
    <w:rsid w:val="00B8424E"/>
    <w:rsid w:val="00B84AEB"/>
    <w:rsid w:val="00B86488"/>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BA"/>
    <w:rsid w:val="00BC4135"/>
    <w:rsid w:val="00BC4222"/>
    <w:rsid w:val="00BC5210"/>
    <w:rsid w:val="00BC5623"/>
    <w:rsid w:val="00BC593F"/>
    <w:rsid w:val="00BC6415"/>
    <w:rsid w:val="00BD0D1B"/>
    <w:rsid w:val="00BD15F0"/>
    <w:rsid w:val="00BD1E6C"/>
    <w:rsid w:val="00BD30A5"/>
    <w:rsid w:val="00BD3D9A"/>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1DD6"/>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57107"/>
    <w:rsid w:val="00D600A5"/>
    <w:rsid w:val="00D61B3D"/>
    <w:rsid w:val="00D6207A"/>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6D29"/>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6F74"/>
    <w:rsid w:val="00E871C4"/>
    <w:rsid w:val="00E875AA"/>
    <w:rsid w:val="00E87932"/>
    <w:rsid w:val="00E907A2"/>
    <w:rsid w:val="00E90ADA"/>
    <w:rsid w:val="00E910B7"/>
    <w:rsid w:val="00E916B8"/>
    <w:rsid w:val="00E91AD7"/>
    <w:rsid w:val="00E93239"/>
    <w:rsid w:val="00E932D2"/>
    <w:rsid w:val="00E93EF6"/>
    <w:rsid w:val="00E94825"/>
    <w:rsid w:val="00E9565B"/>
    <w:rsid w:val="00E96D12"/>
    <w:rsid w:val="00E97D35"/>
    <w:rsid w:val="00EA00D4"/>
    <w:rsid w:val="00EA01A8"/>
    <w:rsid w:val="00EA3659"/>
    <w:rsid w:val="00EA388B"/>
    <w:rsid w:val="00EA3982"/>
    <w:rsid w:val="00EA3D52"/>
    <w:rsid w:val="00EA53BC"/>
    <w:rsid w:val="00EA54EB"/>
    <w:rsid w:val="00EA78C0"/>
    <w:rsid w:val="00EB1169"/>
    <w:rsid w:val="00EB2025"/>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9BE"/>
    <w:rsid w:val="00ED4C2C"/>
    <w:rsid w:val="00ED57FB"/>
    <w:rsid w:val="00ED5D9C"/>
    <w:rsid w:val="00ED6BC7"/>
    <w:rsid w:val="00ED719D"/>
    <w:rsid w:val="00ED7594"/>
    <w:rsid w:val="00EE0471"/>
    <w:rsid w:val="00EE0531"/>
    <w:rsid w:val="00EE17A4"/>
    <w:rsid w:val="00EE18E3"/>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078D"/>
    <w:rsid w:val="00F12CD6"/>
    <w:rsid w:val="00F130A9"/>
    <w:rsid w:val="00F13605"/>
    <w:rsid w:val="00F155FD"/>
    <w:rsid w:val="00F16004"/>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43F5"/>
    <w:rsid w:val="00F46110"/>
    <w:rsid w:val="00F47CAE"/>
    <w:rsid w:val="00F511BF"/>
    <w:rsid w:val="00F51ADF"/>
    <w:rsid w:val="00F520F9"/>
    <w:rsid w:val="00F5752F"/>
    <w:rsid w:val="00F57FC3"/>
    <w:rsid w:val="00F6004E"/>
    <w:rsid w:val="00F60136"/>
    <w:rsid w:val="00F6085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044141624">
      <w:bodyDiv w:val="1"/>
      <w:marLeft w:val="0"/>
      <w:marRight w:val="0"/>
      <w:marTop w:val="0"/>
      <w:marBottom w:val="0"/>
      <w:divBdr>
        <w:top w:val="none" w:sz="0" w:space="0" w:color="auto"/>
        <w:left w:val="none" w:sz="0" w:space="0" w:color="auto"/>
        <w:bottom w:val="none" w:sz="0" w:space="0" w:color="auto"/>
        <w:right w:val="none" w:sz="0" w:space="0" w:color="auto"/>
      </w:divBdr>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52064107">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7EBE-5624-43FC-9755-BB68FF52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19</cp:revision>
  <cp:lastPrinted>2019-10-28T18:04:00Z</cp:lastPrinted>
  <dcterms:created xsi:type="dcterms:W3CDTF">2019-10-28T13:42:00Z</dcterms:created>
  <dcterms:modified xsi:type="dcterms:W3CDTF">2019-10-28T18:14:00Z</dcterms:modified>
</cp:coreProperties>
</file>