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A07577" w14:textId="77777777" w:rsidR="005E192D" w:rsidRPr="00425F55" w:rsidRDefault="005E192D" w:rsidP="0020040C">
      <w:pPr>
        <w:tabs>
          <w:tab w:val="center" w:pos="4680"/>
        </w:tabs>
        <w:suppressAutoHyphens/>
        <w:jc w:val="center"/>
        <w:outlineLvl w:val="0"/>
        <w:rPr>
          <w:b/>
          <w:bCs/>
          <w:sz w:val="24"/>
          <w:szCs w:val="24"/>
        </w:rPr>
      </w:pPr>
      <w:r w:rsidRPr="00425F55">
        <w:rPr>
          <w:b/>
          <w:bCs/>
          <w:sz w:val="24"/>
          <w:szCs w:val="24"/>
        </w:rPr>
        <w:t>BEFORE THE</w:t>
      </w:r>
    </w:p>
    <w:p w14:paraId="38C73384" w14:textId="77777777" w:rsidR="005E192D" w:rsidRPr="00425F55" w:rsidRDefault="005E192D" w:rsidP="0020040C">
      <w:pPr>
        <w:tabs>
          <w:tab w:val="left" w:pos="-720"/>
        </w:tabs>
        <w:suppressAutoHyphens/>
        <w:jc w:val="center"/>
        <w:outlineLvl w:val="0"/>
        <w:rPr>
          <w:b/>
          <w:bCs/>
          <w:sz w:val="24"/>
          <w:szCs w:val="24"/>
        </w:rPr>
      </w:pPr>
      <w:r w:rsidRPr="00425F55">
        <w:rPr>
          <w:b/>
          <w:bCs/>
          <w:sz w:val="24"/>
          <w:szCs w:val="24"/>
        </w:rPr>
        <w:t>PENNSYLVANIA PUBLIC UTILITY COMMISSION</w:t>
      </w:r>
    </w:p>
    <w:p w14:paraId="4D102E43" w14:textId="77777777" w:rsidR="005E192D" w:rsidRPr="00425F55" w:rsidRDefault="005E192D" w:rsidP="0020040C">
      <w:pPr>
        <w:tabs>
          <w:tab w:val="left" w:pos="-720"/>
        </w:tabs>
        <w:suppressAutoHyphens/>
        <w:jc w:val="center"/>
        <w:rPr>
          <w:b/>
          <w:bCs/>
          <w:sz w:val="24"/>
          <w:szCs w:val="24"/>
        </w:rPr>
      </w:pPr>
    </w:p>
    <w:p w14:paraId="00CB9BFB" w14:textId="77777777" w:rsidR="005E192D" w:rsidRPr="00425F55" w:rsidRDefault="005E192D" w:rsidP="0020040C">
      <w:pPr>
        <w:tabs>
          <w:tab w:val="left" w:pos="-720"/>
        </w:tabs>
        <w:suppressAutoHyphens/>
        <w:jc w:val="center"/>
        <w:rPr>
          <w:b/>
          <w:bCs/>
          <w:sz w:val="24"/>
          <w:szCs w:val="24"/>
        </w:rPr>
      </w:pPr>
    </w:p>
    <w:p w14:paraId="1E2BA548" w14:textId="77777777" w:rsidR="005E192D" w:rsidRPr="00425F55" w:rsidRDefault="005E192D" w:rsidP="0020040C">
      <w:pPr>
        <w:tabs>
          <w:tab w:val="left" w:pos="-720"/>
        </w:tabs>
        <w:suppressAutoHyphens/>
        <w:jc w:val="center"/>
        <w:rPr>
          <w:b/>
          <w:bCs/>
          <w:sz w:val="24"/>
          <w:szCs w:val="24"/>
        </w:rPr>
      </w:pPr>
    </w:p>
    <w:p w14:paraId="0B707E5F" w14:textId="4703B88D" w:rsidR="005E192D" w:rsidRPr="00425F55" w:rsidRDefault="001B3C78" w:rsidP="0020040C">
      <w:pPr>
        <w:tabs>
          <w:tab w:val="left" w:pos="-720"/>
        </w:tabs>
        <w:suppressAutoHyphens/>
        <w:rPr>
          <w:sz w:val="24"/>
          <w:szCs w:val="24"/>
        </w:rPr>
      </w:pPr>
      <w:proofErr w:type="spellStart"/>
      <w:r>
        <w:rPr>
          <w:sz w:val="24"/>
          <w:szCs w:val="24"/>
        </w:rPr>
        <w:t>Lipsoss</w:t>
      </w:r>
      <w:proofErr w:type="spellEnd"/>
      <w:r>
        <w:rPr>
          <w:sz w:val="24"/>
          <w:szCs w:val="24"/>
        </w:rPr>
        <w:t xml:space="preserve"> Corp Constructors</w:t>
      </w:r>
      <w:r w:rsidR="005E192D" w:rsidRPr="00425F55">
        <w:rPr>
          <w:sz w:val="24"/>
          <w:szCs w:val="24"/>
        </w:rPr>
        <w:tab/>
      </w:r>
      <w:r w:rsidR="005E192D" w:rsidRPr="00425F55">
        <w:rPr>
          <w:sz w:val="24"/>
          <w:szCs w:val="24"/>
        </w:rPr>
        <w:tab/>
      </w:r>
      <w:r w:rsidR="005E192D" w:rsidRPr="00425F55">
        <w:rPr>
          <w:sz w:val="24"/>
          <w:szCs w:val="24"/>
        </w:rPr>
        <w:tab/>
      </w:r>
      <w:r w:rsidR="005E192D" w:rsidRPr="00425F55">
        <w:rPr>
          <w:sz w:val="24"/>
          <w:szCs w:val="24"/>
        </w:rPr>
        <w:tab/>
        <w:t>:</w:t>
      </w:r>
    </w:p>
    <w:p w14:paraId="75ACBEDD" w14:textId="77777777" w:rsidR="005E192D" w:rsidRPr="00425F55" w:rsidRDefault="005E192D" w:rsidP="0020040C">
      <w:pPr>
        <w:tabs>
          <w:tab w:val="left" w:pos="-720"/>
        </w:tabs>
        <w:suppressAutoHyphens/>
        <w:rPr>
          <w:sz w:val="24"/>
          <w:szCs w:val="24"/>
        </w:rPr>
      </w:pPr>
      <w:r w:rsidRPr="00425F55">
        <w:rPr>
          <w:sz w:val="24"/>
          <w:szCs w:val="24"/>
        </w:rPr>
        <w:tab/>
      </w:r>
      <w:r w:rsidRPr="00425F55">
        <w:rPr>
          <w:sz w:val="24"/>
          <w:szCs w:val="24"/>
        </w:rPr>
        <w:tab/>
      </w:r>
      <w:r w:rsidRPr="00425F55">
        <w:rPr>
          <w:sz w:val="24"/>
          <w:szCs w:val="24"/>
        </w:rPr>
        <w:tab/>
      </w:r>
      <w:r w:rsidRPr="00425F55">
        <w:rPr>
          <w:sz w:val="24"/>
          <w:szCs w:val="24"/>
        </w:rPr>
        <w:tab/>
      </w:r>
      <w:r w:rsidRPr="00425F55">
        <w:rPr>
          <w:sz w:val="24"/>
          <w:szCs w:val="24"/>
        </w:rPr>
        <w:tab/>
      </w:r>
      <w:r w:rsidRPr="00425F55">
        <w:rPr>
          <w:sz w:val="24"/>
          <w:szCs w:val="24"/>
        </w:rPr>
        <w:tab/>
      </w:r>
      <w:r w:rsidRPr="00425F55">
        <w:rPr>
          <w:sz w:val="24"/>
          <w:szCs w:val="24"/>
        </w:rPr>
        <w:tab/>
        <w:t>:</w:t>
      </w:r>
    </w:p>
    <w:p w14:paraId="7F231D41" w14:textId="31B078F7" w:rsidR="005E192D" w:rsidRPr="00425F55" w:rsidRDefault="005E192D" w:rsidP="0020040C">
      <w:pPr>
        <w:tabs>
          <w:tab w:val="left" w:pos="-720"/>
        </w:tabs>
        <w:suppressAutoHyphens/>
        <w:rPr>
          <w:sz w:val="24"/>
          <w:szCs w:val="24"/>
        </w:rPr>
      </w:pPr>
      <w:r w:rsidRPr="00425F55">
        <w:rPr>
          <w:sz w:val="24"/>
          <w:szCs w:val="24"/>
        </w:rPr>
        <w:tab/>
        <w:t>v.</w:t>
      </w:r>
      <w:r w:rsidRPr="00425F55">
        <w:rPr>
          <w:sz w:val="24"/>
          <w:szCs w:val="24"/>
        </w:rPr>
        <w:tab/>
      </w:r>
      <w:r w:rsidRPr="00425F55">
        <w:rPr>
          <w:sz w:val="24"/>
          <w:szCs w:val="24"/>
        </w:rPr>
        <w:tab/>
      </w:r>
      <w:r w:rsidRPr="00425F55">
        <w:rPr>
          <w:sz w:val="24"/>
          <w:szCs w:val="24"/>
        </w:rPr>
        <w:tab/>
      </w:r>
      <w:r w:rsidRPr="00425F55">
        <w:rPr>
          <w:sz w:val="24"/>
          <w:szCs w:val="24"/>
        </w:rPr>
        <w:tab/>
      </w:r>
      <w:r w:rsidRPr="00425F55">
        <w:rPr>
          <w:sz w:val="24"/>
          <w:szCs w:val="24"/>
        </w:rPr>
        <w:tab/>
      </w:r>
      <w:r w:rsidRPr="00425F55">
        <w:rPr>
          <w:sz w:val="24"/>
          <w:szCs w:val="24"/>
        </w:rPr>
        <w:tab/>
        <w:t>:</w:t>
      </w:r>
      <w:r w:rsidRPr="00425F55">
        <w:rPr>
          <w:sz w:val="24"/>
          <w:szCs w:val="24"/>
        </w:rPr>
        <w:tab/>
      </w:r>
      <w:r w:rsidRPr="00425F55">
        <w:rPr>
          <w:sz w:val="24"/>
          <w:szCs w:val="24"/>
        </w:rPr>
        <w:tab/>
      </w:r>
      <w:r w:rsidR="00D07983" w:rsidRPr="00425F55">
        <w:rPr>
          <w:sz w:val="24"/>
          <w:szCs w:val="24"/>
        </w:rPr>
        <w:t>C-2019-301</w:t>
      </w:r>
      <w:r w:rsidR="001B3C78">
        <w:rPr>
          <w:sz w:val="24"/>
          <w:szCs w:val="24"/>
        </w:rPr>
        <w:t>2350</w:t>
      </w:r>
    </w:p>
    <w:p w14:paraId="01263DAE" w14:textId="77777777" w:rsidR="005E192D" w:rsidRPr="00425F55" w:rsidRDefault="005E192D" w:rsidP="0020040C">
      <w:pPr>
        <w:tabs>
          <w:tab w:val="left" w:pos="-720"/>
        </w:tabs>
        <w:suppressAutoHyphens/>
        <w:rPr>
          <w:sz w:val="24"/>
          <w:szCs w:val="24"/>
        </w:rPr>
      </w:pPr>
      <w:r w:rsidRPr="00425F55">
        <w:rPr>
          <w:sz w:val="24"/>
          <w:szCs w:val="24"/>
        </w:rPr>
        <w:tab/>
      </w:r>
      <w:r w:rsidRPr="00425F55">
        <w:rPr>
          <w:sz w:val="24"/>
          <w:szCs w:val="24"/>
        </w:rPr>
        <w:tab/>
      </w:r>
      <w:r w:rsidRPr="00425F55">
        <w:rPr>
          <w:sz w:val="24"/>
          <w:szCs w:val="24"/>
        </w:rPr>
        <w:tab/>
      </w:r>
      <w:r w:rsidRPr="00425F55">
        <w:rPr>
          <w:sz w:val="24"/>
          <w:szCs w:val="24"/>
        </w:rPr>
        <w:tab/>
      </w:r>
      <w:r w:rsidRPr="00425F55">
        <w:rPr>
          <w:sz w:val="24"/>
          <w:szCs w:val="24"/>
        </w:rPr>
        <w:tab/>
      </w:r>
      <w:r w:rsidRPr="00425F55">
        <w:rPr>
          <w:sz w:val="24"/>
          <w:szCs w:val="24"/>
        </w:rPr>
        <w:tab/>
      </w:r>
      <w:r w:rsidRPr="00425F55">
        <w:rPr>
          <w:sz w:val="24"/>
          <w:szCs w:val="24"/>
        </w:rPr>
        <w:tab/>
        <w:t>:</w:t>
      </w:r>
    </w:p>
    <w:p w14:paraId="3318E174" w14:textId="05A038FF" w:rsidR="005E192D" w:rsidRPr="00425F55" w:rsidRDefault="001B3C78" w:rsidP="0020040C">
      <w:pPr>
        <w:tabs>
          <w:tab w:val="left" w:pos="-720"/>
        </w:tabs>
        <w:suppressAutoHyphens/>
        <w:rPr>
          <w:sz w:val="24"/>
          <w:szCs w:val="24"/>
        </w:rPr>
      </w:pPr>
      <w:r>
        <w:rPr>
          <w:sz w:val="24"/>
          <w:szCs w:val="24"/>
        </w:rPr>
        <w:t>Duquesne Light</w:t>
      </w:r>
      <w:r w:rsidR="00512840" w:rsidRPr="00425F55">
        <w:rPr>
          <w:sz w:val="24"/>
          <w:szCs w:val="24"/>
        </w:rPr>
        <w:t xml:space="preserve"> Company</w:t>
      </w:r>
      <w:r w:rsidR="004F319B" w:rsidRPr="00425F55">
        <w:rPr>
          <w:sz w:val="24"/>
          <w:szCs w:val="24"/>
        </w:rPr>
        <w:tab/>
      </w:r>
      <w:r>
        <w:rPr>
          <w:sz w:val="24"/>
          <w:szCs w:val="24"/>
        </w:rPr>
        <w:tab/>
      </w:r>
      <w:r w:rsidR="009C0EC8" w:rsidRPr="00425F55">
        <w:rPr>
          <w:sz w:val="24"/>
          <w:szCs w:val="24"/>
        </w:rPr>
        <w:tab/>
      </w:r>
      <w:r w:rsidR="005E192D" w:rsidRPr="00425F55">
        <w:rPr>
          <w:sz w:val="24"/>
          <w:szCs w:val="24"/>
        </w:rPr>
        <w:tab/>
        <w:t>:</w:t>
      </w:r>
    </w:p>
    <w:p w14:paraId="5C8DDD2E" w14:textId="77777777" w:rsidR="00AB161E" w:rsidRPr="00425F55" w:rsidRDefault="00AB161E" w:rsidP="0020040C">
      <w:pPr>
        <w:tabs>
          <w:tab w:val="left" w:pos="-720"/>
        </w:tabs>
        <w:suppressAutoHyphens/>
        <w:rPr>
          <w:sz w:val="24"/>
          <w:szCs w:val="24"/>
        </w:rPr>
      </w:pPr>
    </w:p>
    <w:p w14:paraId="496B2256" w14:textId="77777777" w:rsidR="005E192D" w:rsidRPr="00425F55" w:rsidRDefault="005E192D" w:rsidP="0020040C">
      <w:pPr>
        <w:tabs>
          <w:tab w:val="left" w:pos="-720"/>
        </w:tabs>
        <w:suppressAutoHyphens/>
        <w:rPr>
          <w:sz w:val="24"/>
          <w:szCs w:val="24"/>
        </w:rPr>
      </w:pPr>
    </w:p>
    <w:p w14:paraId="2E111FB3" w14:textId="77777777" w:rsidR="008E10A2" w:rsidRPr="00425F55" w:rsidRDefault="008E10A2" w:rsidP="0020040C">
      <w:pPr>
        <w:jc w:val="both"/>
        <w:rPr>
          <w:sz w:val="24"/>
          <w:szCs w:val="24"/>
        </w:rPr>
      </w:pPr>
    </w:p>
    <w:p w14:paraId="61F9E36D" w14:textId="77777777" w:rsidR="002D0108" w:rsidRPr="00425F55" w:rsidRDefault="002D0108" w:rsidP="0020040C">
      <w:pPr>
        <w:pStyle w:val="Heading1"/>
        <w:jc w:val="center"/>
        <w:rPr>
          <w:sz w:val="24"/>
          <w:szCs w:val="24"/>
        </w:rPr>
      </w:pPr>
      <w:r w:rsidRPr="00425F55">
        <w:rPr>
          <w:sz w:val="24"/>
          <w:szCs w:val="24"/>
        </w:rPr>
        <w:t>FIRST INTERIM ORDER</w:t>
      </w:r>
    </w:p>
    <w:p w14:paraId="14221E55" w14:textId="5A9AFFA0" w:rsidR="002D0108" w:rsidRPr="00425F55" w:rsidRDefault="000D4CDC" w:rsidP="0020040C">
      <w:pPr>
        <w:pStyle w:val="Heading1"/>
        <w:jc w:val="center"/>
        <w:rPr>
          <w:sz w:val="24"/>
          <w:szCs w:val="24"/>
          <w:u w:val="single"/>
        </w:rPr>
      </w:pPr>
      <w:r w:rsidRPr="00425F55">
        <w:rPr>
          <w:sz w:val="24"/>
          <w:szCs w:val="24"/>
          <w:u w:val="single"/>
        </w:rPr>
        <w:t>DENYING RESPONDENT’S PRELIMINARY OBJECTIONS</w:t>
      </w:r>
    </w:p>
    <w:p w14:paraId="7BF25946" w14:textId="77777777" w:rsidR="005E192D" w:rsidRPr="00425F55" w:rsidRDefault="005E192D" w:rsidP="0020040C">
      <w:pPr>
        <w:tabs>
          <w:tab w:val="center" w:pos="4680"/>
        </w:tabs>
        <w:suppressAutoHyphens/>
        <w:jc w:val="center"/>
        <w:rPr>
          <w:b/>
          <w:bCs/>
          <w:sz w:val="24"/>
          <w:szCs w:val="24"/>
          <w:u w:val="single"/>
        </w:rPr>
      </w:pPr>
    </w:p>
    <w:p w14:paraId="127AAB23" w14:textId="77777777" w:rsidR="005E192D" w:rsidRPr="00425F55" w:rsidRDefault="005E192D" w:rsidP="0020040C">
      <w:pPr>
        <w:tabs>
          <w:tab w:val="center" w:pos="4680"/>
        </w:tabs>
        <w:suppressAutoHyphens/>
        <w:jc w:val="center"/>
        <w:outlineLvl w:val="0"/>
        <w:rPr>
          <w:sz w:val="24"/>
          <w:szCs w:val="24"/>
        </w:rPr>
      </w:pPr>
      <w:r w:rsidRPr="00425F55">
        <w:rPr>
          <w:sz w:val="24"/>
          <w:szCs w:val="24"/>
        </w:rPr>
        <w:t>Before</w:t>
      </w:r>
    </w:p>
    <w:p w14:paraId="07041B29" w14:textId="77777777" w:rsidR="005E192D" w:rsidRPr="00425F55" w:rsidRDefault="0021130D" w:rsidP="0020040C">
      <w:pPr>
        <w:tabs>
          <w:tab w:val="center" w:pos="4680"/>
        </w:tabs>
        <w:suppressAutoHyphens/>
        <w:jc w:val="center"/>
        <w:rPr>
          <w:sz w:val="24"/>
          <w:szCs w:val="24"/>
        </w:rPr>
      </w:pPr>
      <w:r w:rsidRPr="00425F55">
        <w:rPr>
          <w:sz w:val="24"/>
          <w:szCs w:val="24"/>
        </w:rPr>
        <w:t>Katrina L. Dunderdale</w:t>
      </w:r>
    </w:p>
    <w:p w14:paraId="4392A546" w14:textId="77777777" w:rsidR="005E192D" w:rsidRPr="00425F55" w:rsidRDefault="005E192D" w:rsidP="0020040C">
      <w:pPr>
        <w:tabs>
          <w:tab w:val="center" w:pos="4680"/>
        </w:tabs>
        <w:suppressAutoHyphens/>
        <w:jc w:val="center"/>
        <w:rPr>
          <w:sz w:val="24"/>
          <w:szCs w:val="24"/>
        </w:rPr>
      </w:pPr>
      <w:r w:rsidRPr="00425F55">
        <w:rPr>
          <w:sz w:val="24"/>
          <w:szCs w:val="24"/>
        </w:rPr>
        <w:t>Administrative Law Judge</w:t>
      </w:r>
    </w:p>
    <w:p w14:paraId="6BDB3CCD" w14:textId="77777777" w:rsidR="005E192D" w:rsidRPr="00425F55" w:rsidRDefault="005E192D" w:rsidP="0020040C">
      <w:pPr>
        <w:tabs>
          <w:tab w:val="center" w:pos="4680"/>
        </w:tabs>
        <w:suppressAutoHyphens/>
        <w:jc w:val="center"/>
        <w:rPr>
          <w:sz w:val="24"/>
          <w:szCs w:val="24"/>
        </w:rPr>
      </w:pPr>
    </w:p>
    <w:p w14:paraId="45C0F2DA" w14:textId="77777777" w:rsidR="00D34F31" w:rsidRPr="00425F55" w:rsidRDefault="00D34F31" w:rsidP="0020040C">
      <w:pPr>
        <w:tabs>
          <w:tab w:val="center" w:pos="4680"/>
        </w:tabs>
        <w:suppressAutoHyphens/>
        <w:jc w:val="center"/>
        <w:rPr>
          <w:sz w:val="24"/>
          <w:szCs w:val="24"/>
          <w:u w:val="single"/>
        </w:rPr>
      </w:pPr>
      <w:r w:rsidRPr="00425F55">
        <w:rPr>
          <w:sz w:val="24"/>
          <w:szCs w:val="24"/>
          <w:u w:val="single"/>
        </w:rPr>
        <w:t>INTRODUCTION</w:t>
      </w:r>
    </w:p>
    <w:p w14:paraId="16317DCC" w14:textId="77777777" w:rsidR="00D34F31" w:rsidRPr="00573C0E" w:rsidRDefault="00D34F31" w:rsidP="00573C0E">
      <w:pPr>
        <w:tabs>
          <w:tab w:val="center" w:pos="4680"/>
        </w:tabs>
        <w:suppressAutoHyphens/>
        <w:spacing w:line="360" w:lineRule="auto"/>
        <w:rPr>
          <w:sz w:val="24"/>
          <w:szCs w:val="24"/>
        </w:rPr>
      </w:pPr>
    </w:p>
    <w:p w14:paraId="03B3C478" w14:textId="0EA82171" w:rsidR="00D34F31" w:rsidRPr="00573C0E" w:rsidRDefault="00D34F31" w:rsidP="00573C0E">
      <w:pPr>
        <w:suppressAutoHyphens/>
        <w:spacing w:line="360" w:lineRule="auto"/>
        <w:rPr>
          <w:sz w:val="24"/>
          <w:szCs w:val="24"/>
        </w:rPr>
      </w:pPr>
      <w:r w:rsidRPr="00573C0E">
        <w:rPr>
          <w:sz w:val="24"/>
          <w:szCs w:val="24"/>
        </w:rPr>
        <w:tab/>
      </w:r>
      <w:r w:rsidRPr="00573C0E">
        <w:rPr>
          <w:sz w:val="24"/>
          <w:szCs w:val="24"/>
        </w:rPr>
        <w:tab/>
        <w:t xml:space="preserve">This </w:t>
      </w:r>
      <w:r w:rsidR="00512840" w:rsidRPr="00573C0E">
        <w:rPr>
          <w:sz w:val="24"/>
          <w:szCs w:val="24"/>
        </w:rPr>
        <w:t>Interim Order</w:t>
      </w:r>
      <w:r w:rsidRPr="00573C0E">
        <w:rPr>
          <w:sz w:val="24"/>
          <w:szCs w:val="24"/>
        </w:rPr>
        <w:t xml:space="preserve"> </w:t>
      </w:r>
      <w:r w:rsidR="002D0108" w:rsidRPr="00573C0E">
        <w:rPr>
          <w:sz w:val="24"/>
          <w:szCs w:val="24"/>
        </w:rPr>
        <w:t>denies</w:t>
      </w:r>
      <w:r w:rsidRPr="00573C0E">
        <w:rPr>
          <w:sz w:val="24"/>
          <w:szCs w:val="24"/>
        </w:rPr>
        <w:t xml:space="preserve"> </w:t>
      </w:r>
      <w:r w:rsidR="00512840" w:rsidRPr="00573C0E">
        <w:rPr>
          <w:sz w:val="24"/>
          <w:szCs w:val="24"/>
        </w:rPr>
        <w:t>the</w:t>
      </w:r>
      <w:r w:rsidRPr="00573C0E">
        <w:rPr>
          <w:sz w:val="24"/>
          <w:szCs w:val="24"/>
        </w:rPr>
        <w:t xml:space="preserve"> Preliminary Objections</w:t>
      </w:r>
      <w:r w:rsidR="00F01CA4" w:rsidRPr="00573C0E">
        <w:rPr>
          <w:sz w:val="24"/>
          <w:szCs w:val="24"/>
        </w:rPr>
        <w:t xml:space="preserve"> </w:t>
      </w:r>
      <w:r w:rsidR="00512840" w:rsidRPr="00573C0E">
        <w:rPr>
          <w:sz w:val="24"/>
          <w:szCs w:val="24"/>
        </w:rPr>
        <w:t xml:space="preserve">of </w:t>
      </w:r>
      <w:r w:rsidR="001B3C78" w:rsidRPr="00573C0E">
        <w:rPr>
          <w:sz w:val="24"/>
          <w:szCs w:val="24"/>
        </w:rPr>
        <w:t>Duquesne Light</w:t>
      </w:r>
      <w:r w:rsidR="00512840" w:rsidRPr="00573C0E">
        <w:rPr>
          <w:sz w:val="24"/>
          <w:szCs w:val="24"/>
        </w:rPr>
        <w:t xml:space="preserve"> Company</w:t>
      </w:r>
      <w:r w:rsidR="00F01CA4" w:rsidRPr="00573C0E">
        <w:rPr>
          <w:sz w:val="24"/>
          <w:szCs w:val="24"/>
        </w:rPr>
        <w:t>.</w:t>
      </w:r>
    </w:p>
    <w:p w14:paraId="2284DC67" w14:textId="77777777" w:rsidR="005E192D" w:rsidRPr="00573C0E" w:rsidRDefault="005E192D" w:rsidP="00573C0E">
      <w:pPr>
        <w:tabs>
          <w:tab w:val="center" w:pos="4680"/>
        </w:tabs>
        <w:suppressAutoHyphens/>
        <w:spacing w:line="360" w:lineRule="auto"/>
        <w:jc w:val="center"/>
        <w:rPr>
          <w:sz w:val="24"/>
          <w:szCs w:val="24"/>
        </w:rPr>
      </w:pPr>
    </w:p>
    <w:p w14:paraId="5E0826B8" w14:textId="77777777" w:rsidR="005E192D" w:rsidRPr="00573C0E" w:rsidRDefault="005E192D" w:rsidP="00573C0E">
      <w:pPr>
        <w:spacing w:line="360" w:lineRule="auto"/>
        <w:jc w:val="center"/>
        <w:outlineLvl w:val="0"/>
        <w:rPr>
          <w:sz w:val="24"/>
          <w:szCs w:val="24"/>
          <w:u w:val="single"/>
        </w:rPr>
      </w:pPr>
      <w:r w:rsidRPr="00573C0E">
        <w:rPr>
          <w:sz w:val="24"/>
          <w:szCs w:val="24"/>
          <w:u w:val="single"/>
        </w:rPr>
        <w:t>HISTORY OF THE PROCEEDING</w:t>
      </w:r>
    </w:p>
    <w:p w14:paraId="79C24FBC" w14:textId="77777777" w:rsidR="005E192D" w:rsidRPr="00573C0E" w:rsidRDefault="005E192D" w:rsidP="00573C0E">
      <w:pPr>
        <w:spacing w:line="360" w:lineRule="auto"/>
        <w:jc w:val="center"/>
        <w:rPr>
          <w:sz w:val="24"/>
          <w:szCs w:val="24"/>
          <w:u w:val="single"/>
        </w:rPr>
      </w:pPr>
    </w:p>
    <w:p w14:paraId="2E79D8E8" w14:textId="11C67636" w:rsidR="004F319B" w:rsidRPr="00573C0E" w:rsidRDefault="005E192D" w:rsidP="00573C0E">
      <w:pPr>
        <w:spacing w:line="360" w:lineRule="auto"/>
        <w:ind w:firstLine="1440"/>
        <w:rPr>
          <w:sz w:val="24"/>
          <w:szCs w:val="24"/>
        </w:rPr>
      </w:pPr>
      <w:r w:rsidRPr="00573C0E">
        <w:rPr>
          <w:sz w:val="24"/>
          <w:szCs w:val="24"/>
        </w:rPr>
        <w:t xml:space="preserve">On </w:t>
      </w:r>
      <w:r w:rsidR="001B3C78" w:rsidRPr="00573C0E">
        <w:rPr>
          <w:sz w:val="24"/>
          <w:szCs w:val="24"/>
        </w:rPr>
        <w:t>August 8</w:t>
      </w:r>
      <w:r w:rsidR="00D07983" w:rsidRPr="00573C0E">
        <w:rPr>
          <w:sz w:val="24"/>
          <w:szCs w:val="24"/>
        </w:rPr>
        <w:t>, 2019</w:t>
      </w:r>
      <w:r w:rsidR="004F319B" w:rsidRPr="00573C0E">
        <w:rPr>
          <w:sz w:val="24"/>
          <w:szCs w:val="24"/>
        </w:rPr>
        <w:t xml:space="preserve">, </w:t>
      </w:r>
      <w:r w:rsidR="001B3C78" w:rsidRPr="00573C0E">
        <w:rPr>
          <w:sz w:val="24"/>
          <w:szCs w:val="24"/>
        </w:rPr>
        <w:t xml:space="preserve">Anastasios </w:t>
      </w:r>
      <w:proofErr w:type="spellStart"/>
      <w:r w:rsidR="001B3C78" w:rsidRPr="00573C0E">
        <w:rPr>
          <w:sz w:val="24"/>
          <w:szCs w:val="24"/>
        </w:rPr>
        <w:t>Smalis</w:t>
      </w:r>
      <w:proofErr w:type="spellEnd"/>
      <w:r w:rsidR="001B3C78" w:rsidRPr="00573C0E">
        <w:rPr>
          <w:sz w:val="24"/>
          <w:szCs w:val="24"/>
        </w:rPr>
        <w:t xml:space="preserve"> (Mr. </w:t>
      </w:r>
      <w:proofErr w:type="spellStart"/>
      <w:r w:rsidR="001B3C78" w:rsidRPr="00573C0E">
        <w:rPr>
          <w:sz w:val="24"/>
          <w:szCs w:val="24"/>
        </w:rPr>
        <w:t>Smalis</w:t>
      </w:r>
      <w:proofErr w:type="spellEnd"/>
      <w:r w:rsidR="001B3C78" w:rsidRPr="00573C0E">
        <w:rPr>
          <w:sz w:val="24"/>
          <w:szCs w:val="24"/>
        </w:rPr>
        <w:t xml:space="preserve">) filed a formal complaint on behalf of </w:t>
      </w:r>
      <w:proofErr w:type="spellStart"/>
      <w:r w:rsidR="001B3C78" w:rsidRPr="00573C0E">
        <w:rPr>
          <w:sz w:val="24"/>
          <w:szCs w:val="24"/>
        </w:rPr>
        <w:t>Lipsoss</w:t>
      </w:r>
      <w:proofErr w:type="spellEnd"/>
      <w:r w:rsidR="009C0EC8" w:rsidRPr="00573C0E">
        <w:rPr>
          <w:sz w:val="24"/>
          <w:szCs w:val="24"/>
        </w:rPr>
        <w:t xml:space="preserve"> </w:t>
      </w:r>
      <w:r w:rsidR="001B3C78" w:rsidRPr="00573C0E">
        <w:rPr>
          <w:sz w:val="24"/>
          <w:szCs w:val="24"/>
        </w:rPr>
        <w:t xml:space="preserve">Corp Constructors </w:t>
      </w:r>
      <w:r w:rsidRPr="00573C0E">
        <w:rPr>
          <w:sz w:val="24"/>
          <w:szCs w:val="24"/>
        </w:rPr>
        <w:t>(</w:t>
      </w:r>
      <w:r w:rsidR="008D2C45" w:rsidRPr="00573C0E">
        <w:rPr>
          <w:sz w:val="24"/>
          <w:szCs w:val="24"/>
        </w:rPr>
        <w:t>Complainant</w:t>
      </w:r>
      <w:r w:rsidR="004F319B" w:rsidRPr="00573C0E">
        <w:rPr>
          <w:sz w:val="24"/>
          <w:szCs w:val="24"/>
        </w:rPr>
        <w:t xml:space="preserve"> or </w:t>
      </w:r>
      <w:proofErr w:type="spellStart"/>
      <w:r w:rsidR="001B3C78" w:rsidRPr="00573C0E">
        <w:rPr>
          <w:sz w:val="24"/>
          <w:szCs w:val="24"/>
        </w:rPr>
        <w:t>Lipsoss</w:t>
      </w:r>
      <w:proofErr w:type="spellEnd"/>
      <w:r w:rsidR="008D2C45" w:rsidRPr="00573C0E">
        <w:rPr>
          <w:sz w:val="24"/>
          <w:szCs w:val="24"/>
        </w:rPr>
        <w:t xml:space="preserve">) </w:t>
      </w:r>
      <w:r w:rsidR="001B3C78" w:rsidRPr="00573C0E">
        <w:rPr>
          <w:sz w:val="24"/>
          <w:szCs w:val="24"/>
        </w:rPr>
        <w:t>and</w:t>
      </w:r>
      <w:r w:rsidR="0099279E" w:rsidRPr="00573C0E">
        <w:rPr>
          <w:sz w:val="24"/>
          <w:szCs w:val="24"/>
        </w:rPr>
        <w:t xml:space="preserve"> against </w:t>
      </w:r>
      <w:r w:rsidR="001B3C78" w:rsidRPr="00573C0E">
        <w:rPr>
          <w:sz w:val="24"/>
          <w:szCs w:val="24"/>
        </w:rPr>
        <w:t>Duquesne Light</w:t>
      </w:r>
      <w:r w:rsidR="00512840" w:rsidRPr="00573C0E">
        <w:rPr>
          <w:sz w:val="24"/>
          <w:szCs w:val="24"/>
        </w:rPr>
        <w:t xml:space="preserve"> Company</w:t>
      </w:r>
      <w:r w:rsidR="0099279E" w:rsidRPr="00573C0E">
        <w:rPr>
          <w:sz w:val="24"/>
          <w:szCs w:val="24"/>
        </w:rPr>
        <w:t xml:space="preserve"> (</w:t>
      </w:r>
      <w:r w:rsidR="0049417A" w:rsidRPr="00573C0E">
        <w:rPr>
          <w:sz w:val="24"/>
          <w:szCs w:val="24"/>
        </w:rPr>
        <w:t>Respondent</w:t>
      </w:r>
      <w:r w:rsidR="004F319B" w:rsidRPr="00573C0E">
        <w:rPr>
          <w:sz w:val="24"/>
          <w:szCs w:val="24"/>
        </w:rPr>
        <w:t xml:space="preserve"> or</w:t>
      </w:r>
      <w:r w:rsidR="0049417A" w:rsidRPr="00573C0E">
        <w:rPr>
          <w:sz w:val="24"/>
          <w:szCs w:val="24"/>
        </w:rPr>
        <w:t xml:space="preserve"> </w:t>
      </w:r>
      <w:r w:rsidR="001B3C78" w:rsidRPr="00573C0E">
        <w:rPr>
          <w:sz w:val="24"/>
          <w:szCs w:val="24"/>
        </w:rPr>
        <w:t>Duquesne Light</w:t>
      </w:r>
      <w:r w:rsidR="0099279E" w:rsidRPr="00573C0E">
        <w:rPr>
          <w:sz w:val="24"/>
          <w:szCs w:val="24"/>
        </w:rPr>
        <w:t>)</w:t>
      </w:r>
      <w:r w:rsidR="0049417A" w:rsidRPr="00573C0E">
        <w:rPr>
          <w:sz w:val="24"/>
          <w:szCs w:val="24"/>
        </w:rPr>
        <w:t xml:space="preserve"> </w:t>
      </w:r>
      <w:r w:rsidRPr="00573C0E">
        <w:rPr>
          <w:sz w:val="24"/>
          <w:szCs w:val="24"/>
        </w:rPr>
        <w:t xml:space="preserve">with the Pennsylvania Public </w:t>
      </w:r>
      <w:r w:rsidR="008D2C45" w:rsidRPr="00573C0E">
        <w:rPr>
          <w:sz w:val="24"/>
          <w:szCs w:val="24"/>
        </w:rPr>
        <w:t>Utility Commission (Commission)</w:t>
      </w:r>
      <w:r w:rsidRPr="00573C0E">
        <w:rPr>
          <w:sz w:val="24"/>
          <w:szCs w:val="24"/>
        </w:rPr>
        <w:t xml:space="preserve">.  </w:t>
      </w:r>
      <w:r w:rsidR="008D2C45" w:rsidRPr="00573C0E">
        <w:rPr>
          <w:sz w:val="24"/>
          <w:szCs w:val="24"/>
        </w:rPr>
        <w:t>Complainant</w:t>
      </w:r>
      <w:r w:rsidR="009C0EC8" w:rsidRPr="00573C0E">
        <w:rPr>
          <w:sz w:val="24"/>
          <w:szCs w:val="24"/>
        </w:rPr>
        <w:t xml:space="preserve"> </w:t>
      </w:r>
      <w:r w:rsidR="004F319B" w:rsidRPr="00573C0E">
        <w:rPr>
          <w:sz w:val="24"/>
          <w:szCs w:val="24"/>
        </w:rPr>
        <w:t>allege</w:t>
      </w:r>
      <w:r w:rsidR="00D07983" w:rsidRPr="00573C0E">
        <w:rPr>
          <w:sz w:val="24"/>
          <w:szCs w:val="24"/>
        </w:rPr>
        <w:t>d</w:t>
      </w:r>
      <w:r w:rsidR="004F319B" w:rsidRPr="00573C0E">
        <w:rPr>
          <w:sz w:val="24"/>
          <w:szCs w:val="24"/>
        </w:rPr>
        <w:t xml:space="preserve"> </w:t>
      </w:r>
      <w:r w:rsidR="00804BA9" w:rsidRPr="00573C0E">
        <w:rPr>
          <w:sz w:val="24"/>
          <w:szCs w:val="24"/>
        </w:rPr>
        <w:t>Respondent</w:t>
      </w:r>
      <w:r w:rsidR="00A45DB0" w:rsidRPr="00573C0E">
        <w:rPr>
          <w:sz w:val="24"/>
          <w:szCs w:val="24"/>
        </w:rPr>
        <w:t xml:space="preserve"> </w:t>
      </w:r>
      <w:r w:rsidR="00937FA1" w:rsidRPr="00573C0E">
        <w:rPr>
          <w:sz w:val="24"/>
          <w:szCs w:val="24"/>
        </w:rPr>
        <w:t xml:space="preserve">never obtained an easement or right of way from </w:t>
      </w:r>
      <w:proofErr w:type="spellStart"/>
      <w:r w:rsidR="00937FA1" w:rsidRPr="00573C0E">
        <w:rPr>
          <w:sz w:val="24"/>
          <w:szCs w:val="24"/>
        </w:rPr>
        <w:t>Lipsoss</w:t>
      </w:r>
      <w:proofErr w:type="spellEnd"/>
      <w:r w:rsidR="00937FA1" w:rsidRPr="00573C0E">
        <w:rPr>
          <w:sz w:val="24"/>
          <w:szCs w:val="24"/>
        </w:rPr>
        <w:t xml:space="preserve"> and, despite not having permission, Respondent had </w:t>
      </w:r>
      <w:r w:rsidR="001B3C78" w:rsidRPr="00573C0E">
        <w:rPr>
          <w:sz w:val="24"/>
          <w:szCs w:val="24"/>
        </w:rPr>
        <w:t xml:space="preserve">installed </w:t>
      </w:r>
      <w:r w:rsidR="006C75D8" w:rsidRPr="00573C0E">
        <w:rPr>
          <w:sz w:val="24"/>
          <w:szCs w:val="24"/>
        </w:rPr>
        <w:t xml:space="preserve">an </w:t>
      </w:r>
      <w:r w:rsidR="001B3C78" w:rsidRPr="00573C0E">
        <w:rPr>
          <w:sz w:val="24"/>
          <w:szCs w:val="24"/>
        </w:rPr>
        <w:t>electrical pole one</w:t>
      </w:r>
      <w:r w:rsidR="006005F8">
        <w:rPr>
          <w:sz w:val="24"/>
          <w:szCs w:val="24"/>
        </w:rPr>
        <w:t> </w:t>
      </w:r>
      <w:r w:rsidR="001B3C78" w:rsidRPr="00573C0E">
        <w:rPr>
          <w:sz w:val="24"/>
          <w:szCs w:val="24"/>
        </w:rPr>
        <w:t>(1) f</w:t>
      </w:r>
      <w:r w:rsidR="006C75D8" w:rsidRPr="00573C0E">
        <w:rPr>
          <w:sz w:val="24"/>
          <w:szCs w:val="24"/>
        </w:rPr>
        <w:t>oo</w:t>
      </w:r>
      <w:r w:rsidR="001B3C78" w:rsidRPr="00573C0E">
        <w:rPr>
          <w:sz w:val="24"/>
          <w:szCs w:val="24"/>
        </w:rPr>
        <w:t xml:space="preserve">t away from the service address which resulted in damage to the back wall.  In addition, Complainant alleged the location of the electrical pole made it impossible to erect scaffolding needed to repair the roof because the electric </w:t>
      </w:r>
      <w:r w:rsidR="005D0F20" w:rsidRPr="00573C0E">
        <w:rPr>
          <w:sz w:val="24"/>
          <w:szCs w:val="24"/>
        </w:rPr>
        <w:t>wires</w:t>
      </w:r>
      <w:r w:rsidR="001B3C78" w:rsidRPr="00573C0E">
        <w:rPr>
          <w:sz w:val="24"/>
          <w:szCs w:val="24"/>
        </w:rPr>
        <w:t xml:space="preserve"> </w:t>
      </w:r>
      <w:r w:rsidR="005D0F20" w:rsidRPr="00573C0E">
        <w:rPr>
          <w:sz w:val="24"/>
          <w:szCs w:val="24"/>
        </w:rPr>
        <w:t>hang</w:t>
      </w:r>
      <w:r w:rsidR="001B3C78" w:rsidRPr="00573C0E">
        <w:rPr>
          <w:sz w:val="24"/>
          <w:szCs w:val="24"/>
        </w:rPr>
        <w:t xml:space="preserve"> too close to the building</w:t>
      </w:r>
      <w:r w:rsidR="00D07983" w:rsidRPr="00573C0E">
        <w:rPr>
          <w:sz w:val="24"/>
          <w:szCs w:val="24"/>
        </w:rPr>
        <w:t>.</w:t>
      </w:r>
      <w:r w:rsidR="00512840" w:rsidRPr="00573C0E">
        <w:rPr>
          <w:sz w:val="24"/>
          <w:szCs w:val="24"/>
        </w:rPr>
        <w:t xml:space="preserve">  Complainant ask</w:t>
      </w:r>
      <w:r w:rsidR="00D07983" w:rsidRPr="00573C0E">
        <w:rPr>
          <w:sz w:val="24"/>
          <w:szCs w:val="24"/>
        </w:rPr>
        <w:t>ed</w:t>
      </w:r>
      <w:r w:rsidR="00512840" w:rsidRPr="00573C0E">
        <w:rPr>
          <w:sz w:val="24"/>
          <w:szCs w:val="24"/>
        </w:rPr>
        <w:t xml:space="preserve"> the Commission to </w:t>
      </w:r>
      <w:r w:rsidR="001B3C78" w:rsidRPr="00573C0E">
        <w:rPr>
          <w:sz w:val="24"/>
          <w:szCs w:val="24"/>
        </w:rPr>
        <w:t xml:space="preserve">order Respondent to </w:t>
      </w:r>
      <w:r w:rsidR="005D0F20" w:rsidRPr="00573C0E">
        <w:rPr>
          <w:sz w:val="24"/>
          <w:szCs w:val="24"/>
        </w:rPr>
        <w:t xml:space="preserve">compensate Complainant for damage to the building due to the installation location of Respondent’s pole and wires.  </w:t>
      </w:r>
    </w:p>
    <w:p w14:paraId="23A5A4D3" w14:textId="24B0E562" w:rsidR="005B3A3A" w:rsidRPr="00573C0E" w:rsidRDefault="005B3A3A" w:rsidP="00573C0E">
      <w:pPr>
        <w:spacing w:line="360" w:lineRule="auto"/>
        <w:ind w:firstLine="1440"/>
        <w:rPr>
          <w:sz w:val="24"/>
          <w:szCs w:val="24"/>
        </w:rPr>
      </w:pPr>
    </w:p>
    <w:p w14:paraId="315CA9F5" w14:textId="53800A2C" w:rsidR="005B3A3A" w:rsidRPr="00573C0E" w:rsidRDefault="005B3A3A" w:rsidP="00573C0E">
      <w:pPr>
        <w:spacing w:line="360" w:lineRule="auto"/>
        <w:ind w:firstLine="1440"/>
        <w:rPr>
          <w:sz w:val="24"/>
          <w:szCs w:val="24"/>
        </w:rPr>
      </w:pPr>
      <w:r w:rsidRPr="00573C0E">
        <w:rPr>
          <w:sz w:val="24"/>
          <w:szCs w:val="24"/>
        </w:rPr>
        <w:lastRenderedPageBreak/>
        <w:t xml:space="preserve">On August 27, 2019 and again on September 5, 2019, Complainant filed additional information.  </w:t>
      </w:r>
      <w:r w:rsidR="006C75D8" w:rsidRPr="00573C0E">
        <w:rPr>
          <w:sz w:val="24"/>
          <w:szCs w:val="24"/>
        </w:rPr>
        <w:t>These</w:t>
      </w:r>
      <w:r w:rsidRPr="00573C0E">
        <w:rPr>
          <w:sz w:val="24"/>
          <w:szCs w:val="24"/>
        </w:rPr>
        <w:t xml:space="preserve"> documents were returned to Complainant from the Commission by Secretarial Letter on September 23, 2019 because the filings lacked an original signature.</w:t>
      </w:r>
      <w:r w:rsidR="006C75D8" w:rsidRPr="00573C0E">
        <w:rPr>
          <w:rStyle w:val="FootnoteReference"/>
          <w:sz w:val="24"/>
          <w:szCs w:val="24"/>
        </w:rPr>
        <w:footnoteReference w:id="1"/>
      </w:r>
      <w:r w:rsidRPr="00573C0E">
        <w:rPr>
          <w:sz w:val="24"/>
          <w:szCs w:val="24"/>
        </w:rPr>
        <w:t xml:space="preserve">  </w:t>
      </w:r>
    </w:p>
    <w:p w14:paraId="13830EA1" w14:textId="77777777" w:rsidR="004F319B" w:rsidRPr="00573C0E" w:rsidRDefault="004F319B" w:rsidP="00573C0E">
      <w:pPr>
        <w:spacing w:line="360" w:lineRule="auto"/>
        <w:ind w:firstLine="1440"/>
        <w:rPr>
          <w:sz w:val="24"/>
          <w:szCs w:val="24"/>
        </w:rPr>
      </w:pPr>
    </w:p>
    <w:p w14:paraId="5F220B45" w14:textId="057A411F" w:rsidR="00937FA1" w:rsidRPr="00573C0E" w:rsidRDefault="007902B0" w:rsidP="00573C0E">
      <w:pPr>
        <w:spacing w:line="360" w:lineRule="auto"/>
        <w:ind w:firstLine="1440"/>
        <w:rPr>
          <w:sz w:val="24"/>
          <w:szCs w:val="24"/>
        </w:rPr>
      </w:pPr>
      <w:r w:rsidRPr="00573C0E">
        <w:rPr>
          <w:sz w:val="24"/>
          <w:szCs w:val="24"/>
        </w:rPr>
        <w:t xml:space="preserve">On </w:t>
      </w:r>
      <w:r w:rsidR="005D0F20" w:rsidRPr="00573C0E">
        <w:rPr>
          <w:sz w:val="24"/>
          <w:szCs w:val="24"/>
        </w:rPr>
        <w:t>September 11</w:t>
      </w:r>
      <w:r w:rsidR="00D07983" w:rsidRPr="00573C0E">
        <w:rPr>
          <w:sz w:val="24"/>
          <w:szCs w:val="24"/>
        </w:rPr>
        <w:t>, 2019</w:t>
      </w:r>
      <w:r w:rsidRPr="00573C0E">
        <w:rPr>
          <w:sz w:val="24"/>
          <w:szCs w:val="24"/>
        </w:rPr>
        <w:t xml:space="preserve">, </w:t>
      </w:r>
      <w:r w:rsidR="00AB161E" w:rsidRPr="00573C0E">
        <w:rPr>
          <w:sz w:val="24"/>
          <w:szCs w:val="24"/>
        </w:rPr>
        <w:t>Respondent</w:t>
      </w:r>
      <w:r w:rsidRPr="00573C0E">
        <w:rPr>
          <w:sz w:val="24"/>
          <w:szCs w:val="24"/>
        </w:rPr>
        <w:t xml:space="preserve"> filed</w:t>
      </w:r>
      <w:r w:rsidR="00E269BB" w:rsidRPr="00573C0E">
        <w:rPr>
          <w:sz w:val="24"/>
          <w:szCs w:val="24"/>
        </w:rPr>
        <w:t xml:space="preserve"> and served</w:t>
      </w:r>
      <w:r w:rsidRPr="00573C0E">
        <w:rPr>
          <w:sz w:val="24"/>
          <w:szCs w:val="24"/>
        </w:rPr>
        <w:t xml:space="preserve"> its Answer </w:t>
      </w:r>
      <w:r w:rsidR="0004550B" w:rsidRPr="00573C0E">
        <w:rPr>
          <w:sz w:val="24"/>
          <w:szCs w:val="24"/>
        </w:rPr>
        <w:t>and New Matter (Answer)</w:t>
      </w:r>
      <w:r w:rsidR="00512840" w:rsidRPr="00573C0E">
        <w:rPr>
          <w:sz w:val="24"/>
          <w:szCs w:val="24"/>
        </w:rPr>
        <w:t xml:space="preserve">, </w:t>
      </w:r>
      <w:r w:rsidR="00937FA1" w:rsidRPr="00573C0E">
        <w:rPr>
          <w:sz w:val="24"/>
          <w:szCs w:val="24"/>
        </w:rPr>
        <w:t xml:space="preserve">which was not </w:t>
      </w:r>
      <w:r w:rsidR="006204F5" w:rsidRPr="00573C0E">
        <w:rPr>
          <w:sz w:val="24"/>
          <w:szCs w:val="24"/>
        </w:rPr>
        <w:t xml:space="preserve">endorsed </w:t>
      </w:r>
      <w:r w:rsidR="00512840" w:rsidRPr="00573C0E">
        <w:rPr>
          <w:sz w:val="24"/>
          <w:szCs w:val="24"/>
        </w:rPr>
        <w:t xml:space="preserve">with a Notice to Plead, and generally denied </w:t>
      </w:r>
      <w:r w:rsidR="00937FA1" w:rsidRPr="00573C0E">
        <w:rPr>
          <w:sz w:val="24"/>
          <w:szCs w:val="24"/>
        </w:rPr>
        <w:t xml:space="preserve">materially </w:t>
      </w:r>
      <w:r w:rsidR="006C75D8" w:rsidRPr="00573C0E">
        <w:rPr>
          <w:sz w:val="24"/>
          <w:szCs w:val="24"/>
        </w:rPr>
        <w:t xml:space="preserve">the </w:t>
      </w:r>
      <w:r w:rsidR="008D2C45" w:rsidRPr="00573C0E">
        <w:rPr>
          <w:sz w:val="24"/>
          <w:szCs w:val="24"/>
        </w:rPr>
        <w:t>allegations</w:t>
      </w:r>
      <w:r w:rsidR="005D3A87" w:rsidRPr="00573C0E">
        <w:rPr>
          <w:sz w:val="24"/>
          <w:szCs w:val="24"/>
        </w:rPr>
        <w:t>.</w:t>
      </w:r>
      <w:r w:rsidR="008D2C45" w:rsidRPr="00573C0E">
        <w:rPr>
          <w:sz w:val="24"/>
          <w:szCs w:val="24"/>
        </w:rPr>
        <w:t xml:space="preserve">  </w:t>
      </w:r>
      <w:r w:rsidR="00D07983" w:rsidRPr="00573C0E">
        <w:rPr>
          <w:sz w:val="24"/>
          <w:szCs w:val="24"/>
        </w:rPr>
        <w:t>Respondent</w:t>
      </w:r>
      <w:r w:rsidR="006204F5" w:rsidRPr="00573C0E">
        <w:rPr>
          <w:sz w:val="24"/>
          <w:szCs w:val="24"/>
        </w:rPr>
        <w:t xml:space="preserve"> contended </w:t>
      </w:r>
      <w:r w:rsidR="00937FA1" w:rsidRPr="00573C0E">
        <w:rPr>
          <w:sz w:val="24"/>
          <w:szCs w:val="24"/>
        </w:rPr>
        <w:t>the same allegations were the subject of a civil complaint filed by Complainant in the Allegheny Court of Common Pleas, docketed at GD-19-009684, and which was served on Duquesne Light on August 2, 2019</w:t>
      </w:r>
      <w:r w:rsidR="00D07983" w:rsidRPr="00573C0E">
        <w:rPr>
          <w:sz w:val="24"/>
          <w:szCs w:val="24"/>
        </w:rPr>
        <w:t xml:space="preserve">.  </w:t>
      </w:r>
      <w:r w:rsidR="00937FA1" w:rsidRPr="00573C0E">
        <w:rPr>
          <w:sz w:val="24"/>
          <w:szCs w:val="24"/>
        </w:rPr>
        <w:t xml:space="preserve">Respondent acknowledged the complaints concerned its electric distribution facilities located behind the service address, located at 4073 Liberty Avenue, Pittsburgh, Pennsylvania.  Duquesne Light also acknowledged it had not obtained an easement or right of way from Complainant but denied the company was required to do so, pursuant to 15 </w:t>
      </w:r>
      <w:proofErr w:type="spellStart"/>
      <w:r w:rsidR="00937FA1" w:rsidRPr="00573C0E">
        <w:rPr>
          <w:sz w:val="24"/>
          <w:szCs w:val="24"/>
        </w:rPr>
        <w:t>Pa.C.S.A</w:t>
      </w:r>
      <w:proofErr w:type="spellEnd"/>
      <w:r w:rsidR="00937FA1" w:rsidRPr="00573C0E">
        <w:rPr>
          <w:sz w:val="24"/>
          <w:szCs w:val="24"/>
        </w:rPr>
        <w:t>. § 1511.  Respondent did not answer any of the allegations relating to the location of the electrical wires relative to the roof and back wall of the service address.</w:t>
      </w:r>
    </w:p>
    <w:p w14:paraId="6DBADBC2" w14:textId="77777777" w:rsidR="00937FA1" w:rsidRPr="00573C0E" w:rsidRDefault="00937FA1" w:rsidP="00573C0E">
      <w:pPr>
        <w:spacing w:line="360" w:lineRule="auto"/>
        <w:ind w:firstLine="1440"/>
        <w:rPr>
          <w:sz w:val="24"/>
          <w:szCs w:val="24"/>
        </w:rPr>
      </w:pPr>
    </w:p>
    <w:p w14:paraId="25D501DE" w14:textId="01718DC4" w:rsidR="00512840" w:rsidRPr="00573C0E" w:rsidRDefault="00937FA1" w:rsidP="00573C0E">
      <w:pPr>
        <w:spacing w:line="360" w:lineRule="auto"/>
        <w:ind w:firstLine="1440"/>
        <w:rPr>
          <w:sz w:val="24"/>
          <w:szCs w:val="24"/>
        </w:rPr>
      </w:pPr>
      <w:r w:rsidRPr="00573C0E">
        <w:rPr>
          <w:sz w:val="24"/>
          <w:szCs w:val="24"/>
        </w:rPr>
        <w:t>In</w:t>
      </w:r>
      <w:r w:rsidR="00F01CA4" w:rsidRPr="00573C0E">
        <w:rPr>
          <w:sz w:val="24"/>
          <w:szCs w:val="24"/>
        </w:rPr>
        <w:t xml:space="preserve"> New Matter</w:t>
      </w:r>
      <w:r w:rsidRPr="00573C0E">
        <w:rPr>
          <w:sz w:val="24"/>
          <w:szCs w:val="24"/>
        </w:rPr>
        <w:t>, Duquesne Light</w:t>
      </w:r>
      <w:r w:rsidR="00F01CA4" w:rsidRPr="00573C0E">
        <w:rPr>
          <w:sz w:val="24"/>
          <w:szCs w:val="24"/>
        </w:rPr>
        <w:t xml:space="preserve"> </w:t>
      </w:r>
      <w:r w:rsidR="006204F5" w:rsidRPr="00573C0E">
        <w:rPr>
          <w:sz w:val="24"/>
          <w:szCs w:val="24"/>
        </w:rPr>
        <w:t>requested</w:t>
      </w:r>
      <w:r w:rsidR="00F01CA4" w:rsidRPr="00573C0E">
        <w:rPr>
          <w:sz w:val="24"/>
          <w:szCs w:val="24"/>
        </w:rPr>
        <w:t xml:space="preserve"> the Commission </w:t>
      </w:r>
      <w:r w:rsidRPr="00573C0E">
        <w:rPr>
          <w:sz w:val="24"/>
          <w:szCs w:val="24"/>
        </w:rPr>
        <w:t xml:space="preserve">deny the relief sought by Complainant and </w:t>
      </w:r>
      <w:r w:rsidR="00F01CA4" w:rsidRPr="00573C0E">
        <w:rPr>
          <w:sz w:val="24"/>
          <w:szCs w:val="24"/>
        </w:rPr>
        <w:t xml:space="preserve">dismiss the formal complaint </w:t>
      </w:r>
      <w:r w:rsidRPr="00573C0E">
        <w:rPr>
          <w:sz w:val="24"/>
          <w:szCs w:val="24"/>
        </w:rPr>
        <w:t>with prejudice</w:t>
      </w:r>
      <w:r w:rsidR="00CA7CC3" w:rsidRPr="00573C0E">
        <w:rPr>
          <w:sz w:val="24"/>
          <w:szCs w:val="24"/>
        </w:rPr>
        <w:t xml:space="preserve"> if Complainant </w:t>
      </w:r>
      <w:r w:rsidR="006C75D8" w:rsidRPr="00573C0E">
        <w:rPr>
          <w:sz w:val="24"/>
          <w:szCs w:val="24"/>
        </w:rPr>
        <w:t>failed to</w:t>
      </w:r>
      <w:r w:rsidR="00CA7CC3" w:rsidRPr="00573C0E">
        <w:rPr>
          <w:sz w:val="24"/>
          <w:szCs w:val="24"/>
        </w:rPr>
        <w:t xml:space="preserve"> obtain legal counsel by a date certain</w:t>
      </w:r>
      <w:r w:rsidR="00F01CA4" w:rsidRPr="00573C0E">
        <w:rPr>
          <w:sz w:val="24"/>
          <w:szCs w:val="24"/>
        </w:rPr>
        <w:t>.</w:t>
      </w:r>
      <w:r w:rsidRPr="00573C0E">
        <w:rPr>
          <w:sz w:val="24"/>
          <w:szCs w:val="24"/>
        </w:rPr>
        <w:t xml:space="preserve">  Respondent averred Complainant is a business corporation which is not represented by counsel.  Respondent acknowledged </w:t>
      </w:r>
      <w:r w:rsidR="00CA7CC3" w:rsidRPr="00573C0E">
        <w:rPr>
          <w:sz w:val="24"/>
          <w:szCs w:val="24"/>
        </w:rPr>
        <w:t>the formal complaint names an attorney as a representative of the corporation</w:t>
      </w:r>
      <w:r w:rsidR="005B3A3A" w:rsidRPr="00573C0E">
        <w:rPr>
          <w:sz w:val="24"/>
          <w:szCs w:val="24"/>
        </w:rPr>
        <w:t>,</w:t>
      </w:r>
      <w:r w:rsidR="00CA7CC3" w:rsidRPr="00573C0E">
        <w:rPr>
          <w:sz w:val="24"/>
          <w:szCs w:val="24"/>
        </w:rPr>
        <w:t xml:space="preserve"> but Duquesne Light allege</w:t>
      </w:r>
      <w:r w:rsidR="006C75D8" w:rsidRPr="00573C0E">
        <w:rPr>
          <w:sz w:val="24"/>
          <w:szCs w:val="24"/>
        </w:rPr>
        <w:t>d</w:t>
      </w:r>
      <w:r w:rsidR="00CA7CC3" w:rsidRPr="00573C0E">
        <w:rPr>
          <w:sz w:val="24"/>
          <w:szCs w:val="24"/>
        </w:rPr>
        <w:t xml:space="preserve"> that attorney denied </w:t>
      </w:r>
      <w:r w:rsidR="00D72C64" w:rsidRPr="00573C0E">
        <w:rPr>
          <w:sz w:val="24"/>
          <w:szCs w:val="24"/>
        </w:rPr>
        <w:t>representing</w:t>
      </w:r>
      <w:r w:rsidR="00CA7CC3" w:rsidRPr="00573C0E">
        <w:rPr>
          <w:sz w:val="24"/>
          <w:szCs w:val="24"/>
        </w:rPr>
        <w:t xml:space="preserve"> Complainant in this proceeding.  </w:t>
      </w:r>
      <w:r w:rsidR="00F01CA4" w:rsidRPr="00573C0E">
        <w:rPr>
          <w:sz w:val="24"/>
          <w:szCs w:val="24"/>
        </w:rPr>
        <w:t xml:space="preserve">  </w:t>
      </w:r>
    </w:p>
    <w:p w14:paraId="77B57125" w14:textId="77777777" w:rsidR="00512840" w:rsidRPr="00573C0E" w:rsidRDefault="00512840" w:rsidP="00573C0E">
      <w:pPr>
        <w:spacing w:line="360" w:lineRule="auto"/>
        <w:ind w:firstLine="1440"/>
        <w:rPr>
          <w:sz w:val="24"/>
          <w:szCs w:val="24"/>
        </w:rPr>
      </w:pPr>
    </w:p>
    <w:p w14:paraId="06C28DEF" w14:textId="7887E6CE" w:rsidR="00A45DB0" w:rsidRPr="00573C0E" w:rsidRDefault="005D3A87" w:rsidP="00573C0E">
      <w:pPr>
        <w:spacing w:line="360" w:lineRule="auto"/>
        <w:ind w:firstLine="1440"/>
        <w:rPr>
          <w:sz w:val="24"/>
          <w:szCs w:val="24"/>
        </w:rPr>
      </w:pPr>
      <w:proofErr w:type="gramStart"/>
      <w:r w:rsidRPr="00573C0E">
        <w:rPr>
          <w:sz w:val="24"/>
          <w:szCs w:val="24"/>
        </w:rPr>
        <w:t>Also</w:t>
      </w:r>
      <w:proofErr w:type="gramEnd"/>
      <w:r w:rsidRPr="00573C0E">
        <w:rPr>
          <w:sz w:val="24"/>
          <w:szCs w:val="24"/>
        </w:rPr>
        <w:t xml:space="preserve"> on </w:t>
      </w:r>
      <w:r w:rsidR="00CA7CC3" w:rsidRPr="00573C0E">
        <w:rPr>
          <w:sz w:val="24"/>
          <w:szCs w:val="24"/>
        </w:rPr>
        <w:t>September 11,</w:t>
      </w:r>
      <w:r w:rsidR="00512840" w:rsidRPr="00573C0E">
        <w:rPr>
          <w:sz w:val="24"/>
          <w:szCs w:val="24"/>
        </w:rPr>
        <w:t xml:space="preserve"> 201</w:t>
      </w:r>
      <w:r w:rsidR="00A82462" w:rsidRPr="00573C0E">
        <w:rPr>
          <w:sz w:val="24"/>
          <w:szCs w:val="24"/>
        </w:rPr>
        <w:t>9</w:t>
      </w:r>
      <w:r w:rsidRPr="00573C0E">
        <w:rPr>
          <w:sz w:val="24"/>
          <w:szCs w:val="24"/>
        </w:rPr>
        <w:t xml:space="preserve">, </w:t>
      </w:r>
      <w:r w:rsidR="00A45DB0" w:rsidRPr="00573C0E">
        <w:rPr>
          <w:sz w:val="24"/>
          <w:szCs w:val="24"/>
        </w:rPr>
        <w:t>Respondent</w:t>
      </w:r>
      <w:r w:rsidRPr="00573C0E">
        <w:rPr>
          <w:sz w:val="24"/>
          <w:szCs w:val="24"/>
        </w:rPr>
        <w:t xml:space="preserve"> filed</w:t>
      </w:r>
      <w:r w:rsidR="00E269BB" w:rsidRPr="00573C0E">
        <w:rPr>
          <w:sz w:val="24"/>
          <w:szCs w:val="24"/>
        </w:rPr>
        <w:t xml:space="preserve"> and served</w:t>
      </w:r>
      <w:r w:rsidRPr="00573C0E">
        <w:rPr>
          <w:sz w:val="24"/>
          <w:szCs w:val="24"/>
        </w:rPr>
        <w:t xml:space="preserve"> </w:t>
      </w:r>
      <w:r w:rsidR="00E269BB" w:rsidRPr="00573C0E">
        <w:rPr>
          <w:sz w:val="24"/>
          <w:szCs w:val="24"/>
        </w:rPr>
        <w:t xml:space="preserve">Preliminary </w:t>
      </w:r>
      <w:r w:rsidR="00E44CE9" w:rsidRPr="00573C0E">
        <w:rPr>
          <w:sz w:val="24"/>
          <w:szCs w:val="24"/>
        </w:rPr>
        <w:t>Objections</w:t>
      </w:r>
      <w:r w:rsidR="00E269BB" w:rsidRPr="00573C0E">
        <w:rPr>
          <w:sz w:val="24"/>
          <w:szCs w:val="24"/>
        </w:rPr>
        <w:t xml:space="preserve"> </w:t>
      </w:r>
      <w:r w:rsidR="008D2C45" w:rsidRPr="00573C0E">
        <w:rPr>
          <w:sz w:val="24"/>
          <w:szCs w:val="24"/>
        </w:rPr>
        <w:t xml:space="preserve">which </w:t>
      </w:r>
      <w:r w:rsidR="00D34F31" w:rsidRPr="00573C0E">
        <w:rPr>
          <w:sz w:val="24"/>
          <w:szCs w:val="24"/>
        </w:rPr>
        <w:t>were</w:t>
      </w:r>
      <w:r w:rsidRPr="00573C0E">
        <w:rPr>
          <w:sz w:val="24"/>
          <w:szCs w:val="24"/>
        </w:rPr>
        <w:t xml:space="preserve"> endorsed with a Notice </w:t>
      </w:r>
      <w:r w:rsidR="00925439" w:rsidRPr="00573C0E">
        <w:rPr>
          <w:sz w:val="24"/>
          <w:szCs w:val="24"/>
        </w:rPr>
        <w:t>t</w:t>
      </w:r>
      <w:r w:rsidRPr="00573C0E">
        <w:rPr>
          <w:sz w:val="24"/>
          <w:szCs w:val="24"/>
        </w:rPr>
        <w:t>o Plead</w:t>
      </w:r>
      <w:r w:rsidR="006204F5" w:rsidRPr="00573C0E">
        <w:rPr>
          <w:sz w:val="24"/>
          <w:szCs w:val="24"/>
        </w:rPr>
        <w:t>, pursuant to 52 Pa.Code §</w:t>
      </w:r>
      <w:r w:rsidR="00C94618" w:rsidRPr="00573C0E">
        <w:rPr>
          <w:sz w:val="24"/>
          <w:szCs w:val="24"/>
        </w:rPr>
        <w:t> </w:t>
      </w:r>
      <w:r w:rsidR="006204F5" w:rsidRPr="00573C0E">
        <w:rPr>
          <w:sz w:val="24"/>
          <w:szCs w:val="24"/>
        </w:rPr>
        <w:t>5.101</w:t>
      </w:r>
      <w:r w:rsidR="00CA7CC3" w:rsidRPr="00573C0E">
        <w:rPr>
          <w:sz w:val="24"/>
          <w:szCs w:val="24"/>
        </w:rPr>
        <w:t>(a</w:t>
      </w:r>
      <w:r w:rsidR="006204F5" w:rsidRPr="00573C0E">
        <w:rPr>
          <w:sz w:val="24"/>
          <w:szCs w:val="24"/>
        </w:rPr>
        <w:t>)</w:t>
      </w:r>
      <w:r w:rsidRPr="00573C0E">
        <w:rPr>
          <w:sz w:val="24"/>
          <w:szCs w:val="24"/>
        </w:rPr>
        <w:t>.</w:t>
      </w:r>
      <w:r w:rsidR="00D34F31" w:rsidRPr="00573C0E">
        <w:rPr>
          <w:sz w:val="24"/>
          <w:szCs w:val="24"/>
        </w:rPr>
        <w:t xml:space="preserve">  </w:t>
      </w:r>
      <w:r w:rsidR="00A82462" w:rsidRPr="00573C0E">
        <w:rPr>
          <w:sz w:val="24"/>
          <w:szCs w:val="24"/>
        </w:rPr>
        <w:t>Respondent requested that the</w:t>
      </w:r>
      <w:r w:rsidR="006204F5" w:rsidRPr="00573C0E">
        <w:rPr>
          <w:sz w:val="24"/>
          <w:szCs w:val="24"/>
        </w:rPr>
        <w:t xml:space="preserve"> formal complaint </w:t>
      </w:r>
      <w:r w:rsidR="00A82462" w:rsidRPr="00573C0E">
        <w:rPr>
          <w:sz w:val="24"/>
          <w:szCs w:val="24"/>
        </w:rPr>
        <w:t>be dismissed with prejudice</w:t>
      </w:r>
      <w:r w:rsidR="00CA7CC3" w:rsidRPr="00573C0E">
        <w:rPr>
          <w:sz w:val="24"/>
          <w:szCs w:val="24"/>
        </w:rPr>
        <w:t xml:space="preserve"> in its entirety because the Commission lacks legal authority and jurisdiction to hear the claims.  Respondent averred the </w:t>
      </w:r>
      <w:r w:rsidR="00CA7CC3" w:rsidRPr="00573C0E">
        <w:rPr>
          <w:sz w:val="24"/>
          <w:szCs w:val="24"/>
        </w:rPr>
        <w:lastRenderedPageBreak/>
        <w:t>formal complaint is rooted in the United States Constitution and regulations issued by the Occupational Health and Safety Administration (OSHA).  In addition, Respondent averred the Commission lacks the authority to award monetary damages as requested in the formal complaint.</w:t>
      </w:r>
      <w:r w:rsidR="006E17BF" w:rsidRPr="00573C0E">
        <w:rPr>
          <w:sz w:val="24"/>
          <w:szCs w:val="24"/>
        </w:rPr>
        <w:t xml:space="preserve">  Duquesne Light contend</w:t>
      </w:r>
      <w:r w:rsidR="006C75D8" w:rsidRPr="00573C0E">
        <w:rPr>
          <w:sz w:val="24"/>
          <w:szCs w:val="24"/>
        </w:rPr>
        <w:t>ed</w:t>
      </w:r>
      <w:r w:rsidR="006E17BF" w:rsidRPr="00573C0E">
        <w:rPr>
          <w:sz w:val="24"/>
          <w:szCs w:val="24"/>
        </w:rPr>
        <w:t xml:space="preserve"> the formal complaint does not raise a violation of the Public Utility Code, Commission Order or regulation or any rule contained in Respondent’s tariff.  Respondent point</w:t>
      </w:r>
      <w:r w:rsidR="006C75D8" w:rsidRPr="00573C0E">
        <w:rPr>
          <w:sz w:val="24"/>
          <w:szCs w:val="24"/>
        </w:rPr>
        <w:t>ed</w:t>
      </w:r>
      <w:r w:rsidR="006E17BF" w:rsidRPr="00573C0E">
        <w:rPr>
          <w:sz w:val="24"/>
          <w:szCs w:val="24"/>
        </w:rPr>
        <w:t xml:space="preserve"> out that the </w:t>
      </w:r>
      <w:r w:rsidR="006C75D8" w:rsidRPr="00573C0E">
        <w:rPr>
          <w:sz w:val="24"/>
          <w:szCs w:val="24"/>
        </w:rPr>
        <w:t xml:space="preserve">alleged </w:t>
      </w:r>
      <w:r w:rsidR="006E17BF" w:rsidRPr="00573C0E">
        <w:rPr>
          <w:sz w:val="24"/>
          <w:szCs w:val="24"/>
        </w:rPr>
        <w:t>violation concerns OSHA regulations and does not concern any violation over which the Commission has jurisdiction.  As a matter of law, Respondent contends the formal complaint is legally insufficient and should be dismissed.</w:t>
      </w:r>
    </w:p>
    <w:p w14:paraId="20B9CC1C" w14:textId="7F8F5215" w:rsidR="006E17BF" w:rsidRPr="00573C0E" w:rsidRDefault="006E17BF" w:rsidP="00573C0E">
      <w:pPr>
        <w:spacing w:line="360" w:lineRule="auto"/>
        <w:rPr>
          <w:sz w:val="24"/>
          <w:szCs w:val="24"/>
        </w:rPr>
      </w:pPr>
    </w:p>
    <w:p w14:paraId="55F7E15F" w14:textId="470F40E5" w:rsidR="004674C0" w:rsidRPr="00573C0E" w:rsidRDefault="006E17BF" w:rsidP="00573C0E">
      <w:pPr>
        <w:spacing w:line="360" w:lineRule="auto"/>
        <w:ind w:firstLine="1440"/>
        <w:rPr>
          <w:sz w:val="24"/>
          <w:szCs w:val="24"/>
        </w:rPr>
      </w:pPr>
      <w:r w:rsidRPr="00573C0E">
        <w:rPr>
          <w:sz w:val="24"/>
          <w:szCs w:val="24"/>
        </w:rPr>
        <w:t xml:space="preserve">On September </w:t>
      </w:r>
      <w:r w:rsidR="005B3A3A" w:rsidRPr="00573C0E">
        <w:rPr>
          <w:sz w:val="24"/>
          <w:szCs w:val="24"/>
        </w:rPr>
        <w:t>2</w:t>
      </w:r>
      <w:r w:rsidR="00B43132" w:rsidRPr="00573C0E">
        <w:rPr>
          <w:sz w:val="24"/>
          <w:szCs w:val="24"/>
        </w:rPr>
        <w:t>7</w:t>
      </w:r>
      <w:r w:rsidR="005B3A3A" w:rsidRPr="00573C0E">
        <w:rPr>
          <w:sz w:val="24"/>
          <w:szCs w:val="24"/>
        </w:rPr>
        <w:t>, 2019,</w:t>
      </w:r>
      <w:r w:rsidR="004674C0" w:rsidRPr="00573C0E">
        <w:rPr>
          <w:sz w:val="24"/>
          <w:szCs w:val="24"/>
        </w:rPr>
        <w:t xml:space="preserve"> </w:t>
      </w:r>
      <w:r w:rsidR="005B3A3A" w:rsidRPr="00573C0E">
        <w:rPr>
          <w:sz w:val="24"/>
          <w:szCs w:val="24"/>
        </w:rPr>
        <w:t>Complainant</w:t>
      </w:r>
      <w:r w:rsidR="00B43132" w:rsidRPr="00573C0E">
        <w:rPr>
          <w:sz w:val="24"/>
          <w:szCs w:val="24"/>
        </w:rPr>
        <w:t xml:space="preserve"> filed</w:t>
      </w:r>
      <w:r w:rsidR="004674C0" w:rsidRPr="00573C0E">
        <w:rPr>
          <w:sz w:val="24"/>
          <w:szCs w:val="24"/>
        </w:rPr>
        <w:t xml:space="preserve">: </w:t>
      </w:r>
      <w:r w:rsidR="005B3A3A" w:rsidRPr="00573C0E">
        <w:rPr>
          <w:sz w:val="24"/>
          <w:szCs w:val="24"/>
        </w:rPr>
        <w:t xml:space="preserve">a Petition for Extension of Time </w:t>
      </w:r>
      <w:r w:rsidR="00B43132" w:rsidRPr="00573C0E">
        <w:rPr>
          <w:sz w:val="24"/>
          <w:szCs w:val="24"/>
        </w:rPr>
        <w:t xml:space="preserve">to Acquire Legal Counsel to Answer to Respondent’s Response to Respondent’s Preliminary Objections </w:t>
      </w:r>
      <w:r w:rsidR="004674C0" w:rsidRPr="00573C0E">
        <w:rPr>
          <w:sz w:val="24"/>
          <w:szCs w:val="24"/>
        </w:rPr>
        <w:t>(Petition for Time</w:t>
      </w:r>
      <w:r w:rsidR="00B43132" w:rsidRPr="00573C0E">
        <w:rPr>
          <w:sz w:val="24"/>
          <w:szCs w:val="24"/>
        </w:rPr>
        <w:t xml:space="preserve"> #1</w:t>
      </w:r>
      <w:r w:rsidR="004674C0" w:rsidRPr="00573C0E">
        <w:rPr>
          <w:sz w:val="24"/>
          <w:szCs w:val="24"/>
        </w:rPr>
        <w:t>)</w:t>
      </w:r>
      <w:r w:rsidR="00B43132" w:rsidRPr="00573C0E">
        <w:rPr>
          <w:sz w:val="24"/>
          <w:szCs w:val="24"/>
        </w:rPr>
        <w:t>;</w:t>
      </w:r>
      <w:r w:rsidR="004674C0" w:rsidRPr="00573C0E">
        <w:rPr>
          <w:sz w:val="24"/>
          <w:szCs w:val="24"/>
        </w:rPr>
        <w:t xml:space="preserve"> </w:t>
      </w:r>
      <w:r w:rsidR="005B3A3A" w:rsidRPr="00573C0E">
        <w:rPr>
          <w:sz w:val="24"/>
          <w:szCs w:val="24"/>
        </w:rPr>
        <w:t xml:space="preserve">and </w:t>
      </w:r>
      <w:r w:rsidR="004674C0" w:rsidRPr="00573C0E">
        <w:rPr>
          <w:sz w:val="24"/>
          <w:szCs w:val="24"/>
        </w:rPr>
        <w:t>Rebuttal Answers to Respondent’s Answer and New Matter</w:t>
      </w:r>
      <w:r w:rsidR="00B43132" w:rsidRPr="00573C0E">
        <w:rPr>
          <w:sz w:val="24"/>
          <w:szCs w:val="24"/>
        </w:rPr>
        <w:t xml:space="preserve"> to Formal Complaint (Rebuttal Answers #1)</w:t>
      </w:r>
      <w:r w:rsidR="004674C0" w:rsidRPr="00573C0E">
        <w:rPr>
          <w:sz w:val="24"/>
          <w:szCs w:val="24"/>
        </w:rPr>
        <w:t xml:space="preserve">.  </w:t>
      </w:r>
      <w:r w:rsidR="00525047" w:rsidRPr="00573C0E">
        <w:rPr>
          <w:sz w:val="24"/>
          <w:szCs w:val="24"/>
        </w:rPr>
        <w:t xml:space="preserve">Complainant contended the complaint proceeding docketed at GD-19-009684 in the Allegheny County Court of Common Pleas was withdrawn without prejudice and moved to the United States District Court for the Western District of Pennsylvania at Docket No. 19-1066.  Complainant noted the federal proceeding was dismissed.  </w:t>
      </w:r>
      <w:proofErr w:type="spellStart"/>
      <w:r w:rsidR="00525047" w:rsidRPr="00573C0E">
        <w:rPr>
          <w:sz w:val="24"/>
          <w:szCs w:val="24"/>
        </w:rPr>
        <w:t>Lipsoss</w:t>
      </w:r>
      <w:proofErr w:type="spellEnd"/>
      <w:r w:rsidR="00525047" w:rsidRPr="00573C0E">
        <w:rPr>
          <w:sz w:val="24"/>
          <w:szCs w:val="24"/>
        </w:rPr>
        <w:t xml:space="preserve"> contended Duquesne Light’s pole and wires are located less than 7 feet over the roof of the service address and the location of the distribution line is in violation of 52</w:t>
      </w:r>
      <w:r w:rsidR="00604A50">
        <w:rPr>
          <w:sz w:val="24"/>
          <w:szCs w:val="24"/>
        </w:rPr>
        <w:t> </w:t>
      </w:r>
      <w:r w:rsidR="00525047" w:rsidRPr="00573C0E">
        <w:rPr>
          <w:sz w:val="24"/>
          <w:szCs w:val="24"/>
        </w:rPr>
        <w:t xml:space="preserve">Pa.Code 57.194.  </w:t>
      </w:r>
      <w:proofErr w:type="spellStart"/>
      <w:r w:rsidR="00525047" w:rsidRPr="00573C0E">
        <w:rPr>
          <w:sz w:val="24"/>
          <w:szCs w:val="24"/>
        </w:rPr>
        <w:t>Lipsoss</w:t>
      </w:r>
      <w:proofErr w:type="spellEnd"/>
      <w:r w:rsidR="00525047" w:rsidRPr="00573C0E">
        <w:rPr>
          <w:sz w:val="24"/>
          <w:szCs w:val="24"/>
        </w:rPr>
        <w:t xml:space="preserve"> requested an additional 30 days in which to obtain counsel.</w:t>
      </w:r>
    </w:p>
    <w:p w14:paraId="414E7282" w14:textId="798BAE0E" w:rsidR="004674C0" w:rsidRPr="00573C0E" w:rsidRDefault="004674C0" w:rsidP="00573C0E">
      <w:pPr>
        <w:spacing w:line="360" w:lineRule="auto"/>
        <w:ind w:firstLine="1440"/>
        <w:rPr>
          <w:sz w:val="24"/>
          <w:szCs w:val="24"/>
        </w:rPr>
      </w:pPr>
    </w:p>
    <w:p w14:paraId="09E996DD" w14:textId="7F530EE4" w:rsidR="00B43132" w:rsidRPr="00573C0E" w:rsidRDefault="004674C0" w:rsidP="00573C0E">
      <w:pPr>
        <w:spacing w:line="360" w:lineRule="auto"/>
        <w:ind w:firstLine="1440"/>
        <w:rPr>
          <w:sz w:val="24"/>
          <w:szCs w:val="24"/>
        </w:rPr>
      </w:pPr>
      <w:r w:rsidRPr="00573C0E">
        <w:rPr>
          <w:sz w:val="24"/>
          <w:szCs w:val="24"/>
        </w:rPr>
        <w:t>On September 28, 2019, Complainant filed</w:t>
      </w:r>
      <w:r w:rsidR="00B43132" w:rsidRPr="00573C0E">
        <w:rPr>
          <w:sz w:val="24"/>
          <w:szCs w:val="24"/>
        </w:rPr>
        <w:t xml:space="preserve"> its</w:t>
      </w:r>
      <w:r w:rsidRPr="00573C0E">
        <w:rPr>
          <w:sz w:val="24"/>
          <w:szCs w:val="24"/>
        </w:rPr>
        <w:t xml:space="preserve"> Rebuttal Answers to Res</w:t>
      </w:r>
      <w:r w:rsidR="00E53813" w:rsidRPr="00573C0E">
        <w:rPr>
          <w:sz w:val="24"/>
          <w:szCs w:val="24"/>
        </w:rPr>
        <w:t>p</w:t>
      </w:r>
      <w:r w:rsidRPr="00573C0E">
        <w:rPr>
          <w:sz w:val="24"/>
          <w:szCs w:val="24"/>
        </w:rPr>
        <w:t>ondent’s Answer and New Matter to Formal Complai</w:t>
      </w:r>
      <w:r w:rsidR="00B43132" w:rsidRPr="00573C0E">
        <w:rPr>
          <w:sz w:val="24"/>
          <w:szCs w:val="24"/>
        </w:rPr>
        <w:t>nt (Rebuttal Answers #2)</w:t>
      </w:r>
      <w:r w:rsidRPr="00573C0E">
        <w:rPr>
          <w:sz w:val="24"/>
          <w:szCs w:val="24"/>
        </w:rPr>
        <w:t xml:space="preserve"> </w:t>
      </w:r>
      <w:r w:rsidR="00B43132" w:rsidRPr="00573C0E">
        <w:rPr>
          <w:sz w:val="24"/>
          <w:szCs w:val="24"/>
        </w:rPr>
        <w:t xml:space="preserve">which included a response to Duquesne Light’s Preliminary Objections and copies of numerous documents.  </w:t>
      </w:r>
      <w:proofErr w:type="spellStart"/>
      <w:r w:rsidR="00B43132" w:rsidRPr="00573C0E">
        <w:rPr>
          <w:sz w:val="24"/>
          <w:szCs w:val="24"/>
        </w:rPr>
        <w:t>Lipsoss</w:t>
      </w:r>
      <w:proofErr w:type="spellEnd"/>
      <w:r w:rsidR="00B43132" w:rsidRPr="00573C0E">
        <w:rPr>
          <w:sz w:val="24"/>
          <w:szCs w:val="24"/>
        </w:rPr>
        <w:t xml:space="preserve"> averred the federal complaint had been dismissed and the Commission has subject matter jurisdiction to determine if Duquesne Light violated the Commission’s regulations when it installed bare wires too close to the roof of the subject address.  </w:t>
      </w:r>
      <w:proofErr w:type="spellStart"/>
      <w:r w:rsidR="00B43132" w:rsidRPr="00573C0E">
        <w:rPr>
          <w:sz w:val="24"/>
          <w:szCs w:val="24"/>
        </w:rPr>
        <w:t>Lipsoss</w:t>
      </w:r>
      <w:proofErr w:type="spellEnd"/>
      <w:r w:rsidR="00B43132" w:rsidRPr="00573C0E">
        <w:rPr>
          <w:sz w:val="24"/>
          <w:szCs w:val="24"/>
        </w:rPr>
        <w:t xml:space="preserve"> also indicated it mistakenly requested monetary compensation for damages.</w:t>
      </w:r>
    </w:p>
    <w:p w14:paraId="306F2BD4" w14:textId="33F1262E" w:rsidR="00B43132" w:rsidRPr="00573C0E" w:rsidRDefault="00B43132" w:rsidP="00573C0E">
      <w:pPr>
        <w:spacing w:line="360" w:lineRule="auto"/>
        <w:ind w:firstLine="1440"/>
        <w:rPr>
          <w:sz w:val="24"/>
          <w:szCs w:val="24"/>
        </w:rPr>
      </w:pPr>
    </w:p>
    <w:p w14:paraId="063992A8" w14:textId="2B04DDFD" w:rsidR="006E17BF" w:rsidRPr="00573C0E" w:rsidRDefault="00B43132" w:rsidP="00573C0E">
      <w:pPr>
        <w:spacing w:line="360" w:lineRule="auto"/>
        <w:ind w:firstLine="1440"/>
        <w:rPr>
          <w:sz w:val="24"/>
          <w:szCs w:val="24"/>
        </w:rPr>
      </w:pPr>
      <w:r w:rsidRPr="00573C0E">
        <w:rPr>
          <w:sz w:val="24"/>
          <w:szCs w:val="24"/>
        </w:rPr>
        <w:t xml:space="preserve">On September 30, 2019, </w:t>
      </w:r>
      <w:r w:rsidR="004674C0" w:rsidRPr="00573C0E">
        <w:rPr>
          <w:sz w:val="24"/>
          <w:szCs w:val="24"/>
        </w:rPr>
        <w:t xml:space="preserve">the Commission received three filings from </w:t>
      </w:r>
      <w:r w:rsidR="005B3A3A" w:rsidRPr="00573C0E">
        <w:rPr>
          <w:sz w:val="24"/>
          <w:szCs w:val="24"/>
        </w:rPr>
        <w:t>Complainant</w:t>
      </w:r>
      <w:r w:rsidR="004674C0" w:rsidRPr="00573C0E">
        <w:rPr>
          <w:sz w:val="24"/>
          <w:szCs w:val="24"/>
        </w:rPr>
        <w:t>:</w:t>
      </w:r>
      <w:r w:rsidR="005B3A3A" w:rsidRPr="00573C0E">
        <w:rPr>
          <w:sz w:val="24"/>
          <w:szCs w:val="24"/>
        </w:rPr>
        <w:t xml:space="preserve"> a Petition for Extension of Time to acquire Legal Counsel</w:t>
      </w:r>
      <w:r w:rsidR="004674C0" w:rsidRPr="00573C0E">
        <w:rPr>
          <w:sz w:val="24"/>
          <w:szCs w:val="24"/>
        </w:rPr>
        <w:t xml:space="preserve"> (Petition for Time </w:t>
      </w:r>
      <w:r w:rsidR="0060170F" w:rsidRPr="00573C0E">
        <w:rPr>
          <w:sz w:val="24"/>
          <w:szCs w:val="24"/>
        </w:rPr>
        <w:t>#2</w:t>
      </w:r>
      <w:r w:rsidR="004674C0" w:rsidRPr="00573C0E">
        <w:rPr>
          <w:sz w:val="24"/>
          <w:szCs w:val="24"/>
        </w:rPr>
        <w:t xml:space="preserve">); a Petition for an Extension of Time to Respond to Duquesne Light Company’s Preliminary </w:t>
      </w:r>
      <w:r w:rsidR="004674C0" w:rsidRPr="00573C0E">
        <w:rPr>
          <w:sz w:val="24"/>
          <w:szCs w:val="24"/>
        </w:rPr>
        <w:lastRenderedPageBreak/>
        <w:t xml:space="preserve">Objections (Petition for Time </w:t>
      </w:r>
      <w:r w:rsidR="0060170F" w:rsidRPr="00573C0E">
        <w:rPr>
          <w:sz w:val="24"/>
          <w:szCs w:val="24"/>
        </w:rPr>
        <w:t>#3)</w:t>
      </w:r>
      <w:r w:rsidR="004674C0" w:rsidRPr="00573C0E">
        <w:rPr>
          <w:sz w:val="24"/>
          <w:szCs w:val="24"/>
        </w:rPr>
        <w:t xml:space="preserve">; and </w:t>
      </w:r>
      <w:r w:rsidR="009E3CFC" w:rsidRPr="00573C0E">
        <w:rPr>
          <w:sz w:val="24"/>
          <w:szCs w:val="24"/>
        </w:rPr>
        <w:t xml:space="preserve">a Petition for Allowance of Addendum No. 3 to Formal Complaint (Petition for Addendum).  In these various petitions, </w:t>
      </w:r>
      <w:r w:rsidR="005B3A3A" w:rsidRPr="00573C0E">
        <w:rPr>
          <w:sz w:val="24"/>
          <w:szCs w:val="24"/>
        </w:rPr>
        <w:t xml:space="preserve">Complainant </w:t>
      </w:r>
      <w:r w:rsidR="009E3CFC" w:rsidRPr="00573C0E">
        <w:rPr>
          <w:sz w:val="24"/>
          <w:szCs w:val="24"/>
        </w:rPr>
        <w:t>request</w:t>
      </w:r>
      <w:r w:rsidR="0060170F" w:rsidRPr="00573C0E">
        <w:rPr>
          <w:sz w:val="24"/>
          <w:szCs w:val="24"/>
        </w:rPr>
        <w:t>ed</w:t>
      </w:r>
      <w:r w:rsidR="009E3CFC" w:rsidRPr="00573C0E">
        <w:rPr>
          <w:sz w:val="24"/>
          <w:szCs w:val="24"/>
        </w:rPr>
        <w:t xml:space="preserve"> additional time in which to obtain legal counsel</w:t>
      </w:r>
      <w:r w:rsidR="0060170F" w:rsidRPr="00573C0E">
        <w:rPr>
          <w:sz w:val="24"/>
          <w:szCs w:val="24"/>
        </w:rPr>
        <w:t xml:space="preserve"> and</w:t>
      </w:r>
      <w:r w:rsidR="009E3CFC" w:rsidRPr="00573C0E">
        <w:rPr>
          <w:sz w:val="24"/>
          <w:szCs w:val="24"/>
        </w:rPr>
        <w:t xml:space="preserve"> </w:t>
      </w:r>
      <w:r w:rsidR="005B3A3A" w:rsidRPr="00573C0E">
        <w:rPr>
          <w:sz w:val="24"/>
          <w:szCs w:val="24"/>
        </w:rPr>
        <w:t xml:space="preserve">contended </w:t>
      </w:r>
      <w:r w:rsidR="009E3CFC" w:rsidRPr="00573C0E">
        <w:rPr>
          <w:sz w:val="24"/>
          <w:szCs w:val="24"/>
        </w:rPr>
        <w:t>in the Petition for Addendum</w:t>
      </w:r>
      <w:r w:rsidR="00525047" w:rsidRPr="00573C0E">
        <w:rPr>
          <w:sz w:val="24"/>
          <w:szCs w:val="24"/>
        </w:rPr>
        <w:t xml:space="preserve"> that Duquesne Light’s pole and wires create a hazard that prevents Complainant from cutting down trees and developing Complainant’s property </w:t>
      </w:r>
      <w:r w:rsidR="0060170F" w:rsidRPr="00573C0E">
        <w:rPr>
          <w:sz w:val="24"/>
          <w:szCs w:val="24"/>
        </w:rPr>
        <w:t>into</w:t>
      </w:r>
      <w:r w:rsidR="00525047" w:rsidRPr="00573C0E">
        <w:rPr>
          <w:sz w:val="24"/>
          <w:szCs w:val="24"/>
        </w:rPr>
        <w:t xml:space="preserve"> townhouses.  </w:t>
      </w:r>
      <w:r w:rsidR="005B3A3A" w:rsidRPr="00573C0E">
        <w:rPr>
          <w:sz w:val="24"/>
          <w:szCs w:val="24"/>
        </w:rPr>
        <w:t xml:space="preserve"> </w:t>
      </w:r>
    </w:p>
    <w:p w14:paraId="70CBB61B" w14:textId="77777777" w:rsidR="00A45DB0" w:rsidRPr="00573C0E" w:rsidRDefault="00A45DB0" w:rsidP="00573C0E">
      <w:pPr>
        <w:spacing w:line="360" w:lineRule="auto"/>
        <w:ind w:firstLine="1440"/>
        <w:rPr>
          <w:sz w:val="24"/>
          <w:szCs w:val="24"/>
        </w:rPr>
      </w:pPr>
    </w:p>
    <w:p w14:paraId="5216110F" w14:textId="7B3FB124" w:rsidR="001E441D" w:rsidRPr="00573C0E" w:rsidRDefault="001E441D" w:rsidP="00573C0E">
      <w:pPr>
        <w:spacing w:line="360" w:lineRule="auto"/>
        <w:ind w:firstLine="1440"/>
        <w:outlineLvl w:val="0"/>
        <w:rPr>
          <w:sz w:val="24"/>
          <w:szCs w:val="24"/>
        </w:rPr>
      </w:pPr>
      <w:r w:rsidRPr="00573C0E">
        <w:rPr>
          <w:sz w:val="24"/>
          <w:szCs w:val="24"/>
        </w:rPr>
        <w:t xml:space="preserve">By Motion Judge Assignment Notice dated </w:t>
      </w:r>
      <w:r w:rsidR="006E17BF" w:rsidRPr="00573C0E">
        <w:rPr>
          <w:sz w:val="24"/>
          <w:szCs w:val="24"/>
        </w:rPr>
        <w:t>October 2, 2019</w:t>
      </w:r>
      <w:r w:rsidRPr="00573C0E">
        <w:rPr>
          <w:sz w:val="24"/>
          <w:szCs w:val="24"/>
        </w:rPr>
        <w:t xml:space="preserve">, </w:t>
      </w:r>
      <w:r w:rsidR="00B228FB" w:rsidRPr="00573C0E">
        <w:rPr>
          <w:sz w:val="24"/>
          <w:szCs w:val="24"/>
        </w:rPr>
        <w:t>the Chief Administrative Law Judge assigned Respondent’s Preliminary Objections to the undersigned presiding officer</w:t>
      </w:r>
      <w:r w:rsidR="008D2C45" w:rsidRPr="00573C0E">
        <w:rPr>
          <w:sz w:val="24"/>
          <w:szCs w:val="24"/>
        </w:rPr>
        <w:t xml:space="preserve"> for purposes of ruling on </w:t>
      </w:r>
      <w:r w:rsidR="00B228FB" w:rsidRPr="00573C0E">
        <w:rPr>
          <w:sz w:val="24"/>
          <w:szCs w:val="24"/>
        </w:rPr>
        <w:t>the</w:t>
      </w:r>
      <w:r w:rsidRPr="00573C0E">
        <w:rPr>
          <w:sz w:val="24"/>
          <w:szCs w:val="24"/>
        </w:rPr>
        <w:t xml:space="preserve"> </w:t>
      </w:r>
      <w:r w:rsidR="00357DF5" w:rsidRPr="00573C0E">
        <w:rPr>
          <w:sz w:val="24"/>
          <w:szCs w:val="24"/>
        </w:rPr>
        <w:t xml:space="preserve">Preliminary </w:t>
      </w:r>
      <w:r w:rsidR="00E44CE9" w:rsidRPr="00573C0E">
        <w:rPr>
          <w:sz w:val="24"/>
          <w:szCs w:val="24"/>
        </w:rPr>
        <w:t>Objections</w:t>
      </w:r>
      <w:r w:rsidRPr="00573C0E">
        <w:rPr>
          <w:sz w:val="24"/>
          <w:szCs w:val="24"/>
        </w:rPr>
        <w:t>.</w:t>
      </w:r>
    </w:p>
    <w:p w14:paraId="557BA431" w14:textId="0356DE38" w:rsidR="004674C0" w:rsidRPr="00573C0E" w:rsidRDefault="004674C0" w:rsidP="00573C0E">
      <w:pPr>
        <w:spacing w:line="360" w:lineRule="auto"/>
        <w:ind w:firstLine="1440"/>
        <w:outlineLvl w:val="0"/>
        <w:rPr>
          <w:sz w:val="24"/>
          <w:szCs w:val="24"/>
        </w:rPr>
      </w:pPr>
    </w:p>
    <w:p w14:paraId="3697CBD5" w14:textId="629DBC7C" w:rsidR="004674C0" w:rsidRPr="00573C0E" w:rsidRDefault="004674C0" w:rsidP="00573C0E">
      <w:pPr>
        <w:spacing w:line="360" w:lineRule="auto"/>
        <w:ind w:firstLine="1440"/>
        <w:outlineLvl w:val="0"/>
        <w:rPr>
          <w:sz w:val="24"/>
          <w:szCs w:val="24"/>
        </w:rPr>
      </w:pPr>
      <w:r w:rsidRPr="00573C0E">
        <w:rPr>
          <w:sz w:val="24"/>
          <w:szCs w:val="24"/>
        </w:rPr>
        <w:t xml:space="preserve">On October 17, 2019, the Sommer Law Group PC; Brad N. Sommer, Esquire and Craig E. Maravich, Esquire </w:t>
      </w:r>
      <w:r w:rsidR="0060170F" w:rsidRPr="00573C0E">
        <w:rPr>
          <w:sz w:val="24"/>
          <w:szCs w:val="24"/>
        </w:rPr>
        <w:t xml:space="preserve">filed an Entry of Appearance </w:t>
      </w:r>
      <w:r w:rsidRPr="00573C0E">
        <w:rPr>
          <w:sz w:val="24"/>
          <w:szCs w:val="24"/>
        </w:rPr>
        <w:t>with the Commission</w:t>
      </w:r>
      <w:r w:rsidR="0060170F" w:rsidRPr="00573C0E">
        <w:rPr>
          <w:sz w:val="24"/>
          <w:szCs w:val="24"/>
        </w:rPr>
        <w:t xml:space="preserve"> on behalf of </w:t>
      </w:r>
      <w:proofErr w:type="spellStart"/>
      <w:r w:rsidR="0060170F" w:rsidRPr="00573C0E">
        <w:rPr>
          <w:sz w:val="24"/>
          <w:szCs w:val="24"/>
        </w:rPr>
        <w:t>Lipsoss</w:t>
      </w:r>
      <w:proofErr w:type="spellEnd"/>
      <w:r w:rsidR="0060170F" w:rsidRPr="00573C0E">
        <w:rPr>
          <w:sz w:val="24"/>
          <w:szCs w:val="24"/>
        </w:rPr>
        <w:t xml:space="preserve"> Corp Constructors</w:t>
      </w:r>
      <w:r w:rsidRPr="00573C0E">
        <w:rPr>
          <w:sz w:val="24"/>
          <w:szCs w:val="24"/>
        </w:rPr>
        <w:t>.</w:t>
      </w:r>
    </w:p>
    <w:p w14:paraId="5854CA2C" w14:textId="47DCCDC1" w:rsidR="0060170F" w:rsidRPr="00573C0E" w:rsidRDefault="0060170F" w:rsidP="00573C0E">
      <w:pPr>
        <w:spacing w:line="360" w:lineRule="auto"/>
        <w:ind w:firstLine="1440"/>
        <w:outlineLvl w:val="0"/>
        <w:rPr>
          <w:sz w:val="24"/>
          <w:szCs w:val="24"/>
        </w:rPr>
      </w:pPr>
    </w:p>
    <w:p w14:paraId="7CCE41CC" w14:textId="741D69DD" w:rsidR="0060170F" w:rsidRPr="00573C0E" w:rsidRDefault="0060170F" w:rsidP="00573C0E">
      <w:pPr>
        <w:spacing w:line="360" w:lineRule="auto"/>
        <w:ind w:firstLine="1440"/>
        <w:outlineLvl w:val="0"/>
        <w:rPr>
          <w:sz w:val="24"/>
          <w:szCs w:val="24"/>
        </w:rPr>
      </w:pPr>
      <w:r w:rsidRPr="00573C0E">
        <w:rPr>
          <w:sz w:val="24"/>
          <w:szCs w:val="24"/>
        </w:rPr>
        <w:t xml:space="preserve">On October 21, 2019, Duquesne Light filed Respondent’s Answer to Petition for Allowance of Addendum No. 3 to the Formal Complaint.  Respondent points out that there is no first or second addendum to the Formal Complaint and Duquesne Light did not receive any notice to plead from Complainant to any of the petitions or requests filed by Complainant after the date Respondent’s Preliminary Objections were filed.  </w:t>
      </w:r>
      <w:r w:rsidR="000C0A42" w:rsidRPr="00573C0E">
        <w:rPr>
          <w:sz w:val="24"/>
          <w:szCs w:val="24"/>
        </w:rPr>
        <w:t xml:space="preserve">Duquesne Light generally denied the allegations due to insufficient information </w:t>
      </w:r>
      <w:r w:rsidR="00777CD2" w:rsidRPr="00573C0E">
        <w:rPr>
          <w:sz w:val="24"/>
          <w:szCs w:val="24"/>
        </w:rPr>
        <w:t>and denied it has violated the Commission’s regulations.</w:t>
      </w:r>
    </w:p>
    <w:p w14:paraId="339951FA" w14:textId="77777777" w:rsidR="001E441D" w:rsidRPr="00573C0E" w:rsidRDefault="001E441D" w:rsidP="00573C0E">
      <w:pPr>
        <w:spacing w:line="360" w:lineRule="auto"/>
        <w:ind w:firstLine="1440"/>
        <w:rPr>
          <w:sz w:val="24"/>
          <w:szCs w:val="24"/>
        </w:rPr>
      </w:pPr>
    </w:p>
    <w:p w14:paraId="1BEAC262" w14:textId="77777777" w:rsidR="005E192D" w:rsidRPr="00573C0E" w:rsidRDefault="005E192D" w:rsidP="00573C0E">
      <w:pPr>
        <w:spacing w:line="360" w:lineRule="auto"/>
        <w:jc w:val="center"/>
        <w:outlineLvl w:val="0"/>
        <w:rPr>
          <w:sz w:val="24"/>
          <w:szCs w:val="24"/>
        </w:rPr>
      </w:pPr>
      <w:r w:rsidRPr="00573C0E">
        <w:rPr>
          <w:sz w:val="24"/>
          <w:szCs w:val="24"/>
          <w:u w:val="single"/>
        </w:rPr>
        <w:t>DISCUSSION</w:t>
      </w:r>
    </w:p>
    <w:p w14:paraId="182FE5EC" w14:textId="77777777" w:rsidR="005E192D" w:rsidRPr="00573C0E" w:rsidRDefault="005E192D" w:rsidP="00573C0E">
      <w:pPr>
        <w:spacing w:line="360" w:lineRule="auto"/>
        <w:ind w:firstLine="1440"/>
        <w:rPr>
          <w:sz w:val="24"/>
          <w:szCs w:val="24"/>
        </w:rPr>
      </w:pPr>
    </w:p>
    <w:p w14:paraId="2078F3B2" w14:textId="1A9C75D4" w:rsidR="008E10A2" w:rsidRPr="00573C0E" w:rsidRDefault="008E10A2" w:rsidP="00573C0E">
      <w:pPr>
        <w:spacing w:line="360" w:lineRule="auto"/>
        <w:rPr>
          <w:sz w:val="24"/>
          <w:szCs w:val="24"/>
        </w:rPr>
      </w:pPr>
      <w:r w:rsidRPr="00573C0E">
        <w:rPr>
          <w:sz w:val="24"/>
          <w:szCs w:val="24"/>
        </w:rPr>
        <w:tab/>
      </w:r>
      <w:r w:rsidRPr="00573C0E">
        <w:rPr>
          <w:sz w:val="24"/>
          <w:szCs w:val="24"/>
        </w:rPr>
        <w:tab/>
      </w:r>
      <w:r w:rsidR="006C75D8" w:rsidRPr="00573C0E">
        <w:rPr>
          <w:sz w:val="24"/>
          <w:szCs w:val="24"/>
        </w:rPr>
        <w:t>P</w:t>
      </w:r>
      <w:r w:rsidR="00665C80" w:rsidRPr="00573C0E">
        <w:rPr>
          <w:sz w:val="24"/>
          <w:szCs w:val="24"/>
        </w:rPr>
        <w:t>reliminary objections, under t</w:t>
      </w:r>
      <w:r w:rsidRPr="00573C0E">
        <w:rPr>
          <w:sz w:val="24"/>
          <w:szCs w:val="24"/>
        </w:rPr>
        <w:t>he Commission’s regulations</w:t>
      </w:r>
      <w:r w:rsidR="00665C80" w:rsidRPr="00573C0E">
        <w:rPr>
          <w:sz w:val="24"/>
          <w:szCs w:val="24"/>
        </w:rPr>
        <w:t xml:space="preserve">, are </w:t>
      </w:r>
      <w:r w:rsidRPr="00573C0E">
        <w:rPr>
          <w:sz w:val="24"/>
          <w:szCs w:val="24"/>
        </w:rPr>
        <w:t>available to parties and allow for objections to be filed in response to any pleading except a motion or prior preliminary objections.  A party filing preliminary objections must include a notice to plead, must state specifically the legal and factual grounds relied upon and limit the objections to the following:</w:t>
      </w:r>
    </w:p>
    <w:p w14:paraId="17AAA18A" w14:textId="77777777" w:rsidR="00334880" w:rsidRPr="00573C0E" w:rsidRDefault="00334880" w:rsidP="00573C0E">
      <w:pPr>
        <w:spacing w:line="360" w:lineRule="auto"/>
        <w:rPr>
          <w:sz w:val="24"/>
          <w:szCs w:val="24"/>
        </w:rPr>
      </w:pPr>
    </w:p>
    <w:p w14:paraId="5B29BAB2" w14:textId="77777777" w:rsidR="008E10A2" w:rsidRPr="00573C0E" w:rsidRDefault="008E10A2" w:rsidP="00604A50">
      <w:pPr>
        <w:numPr>
          <w:ilvl w:val="0"/>
          <w:numId w:val="1"/>
        </w:numPr>
        <w:autoSpaceDE/>
        <w:autoSpaceDN/>
        <w:ind w:right="720" w:firstLine="0"/>
        <w:rPr>
          <w:sz w:val="24"/>
          <w:szCs w:val="24"/>
        </w:rPr>
      </w:pPr>
      <w:r w:rsidRPr="00573C0E">
        <w:rPr>
          <w:sz w:val="24"/>
          <w:szCs w:val="24"/>
        </w:rPr>
        <w:lastRenderedPageBreak/>
        <w:t>Lack of Commission jurisdiction or improper service of the pleading initiating the proceeding.</w:t>
      </w:r>
    </w:p>
    <w:p w14:paraId="6AEC1FFE" w14:textId="77777777" w:rsidR="00FE5D90" w:rsidRPr="00573C0E" w:rsidRDefault="00FE5D90" w:rsidP="00604A50">
      <w:pPr>
        <w:autoSpaceDE/>
        <w:autoSpaceDN/>
        <w:ind w:left="1440" w:right="720"/>
        <w:rPr>
          <w:sz w:val="24"/>
          <w:szCs w:val="24"/>
        </w:rPr>
      </w:pPr>
    </w:p>
    <w:p w14:paraId="7F945199" w14:textId="77777777" w:rsidR="008E10A2" w:rsidRPr="00573C0E" w:rsidRDefault="008E10A2" w:rsidP="00604A50">
      <w:pPr>
        <w:numPr>
          <w:ilvl w:val="0"/>
          <w:numId w:val="1"/>
        </w:numPr>
        <w:autoSpaceDE/>
        <w:autoSpaceDN/>
        <w:ind w:right="720" w:firstLine="0"/>
        <w:rPr>
          <w:sz w:val="24"/>
          <w:szCs w:val="24"/>
        </w:rPr>
      </w:pPr>
      <w:r w:rsidRPr="00573C0E">
        <w:rPr>
          <w:sz w:val="24"/>
          <w:szCs w:val="24"/>
        </w:rPr>
        <w:t>Failure of a pleading to conform to Chapter 5, Title 52 of the Pennsylvania Code, or include scandalous or impertinent matter.</w:t>
      </w:r>
    </w:p>
    <w:p w14:paraId="780B645F" w14:textId="77777777" w:rsidR="00FE5D90" w:rsidRPr="00573C0E" w:rsidRDefault="00FE5D90" w:rsidP="00604A50">
      <w:pPr>
        <w:pStyle w:val="ListParagraph"/>
        <w:ind w:right="720"/>
        <w:rPr>
          <w:sz w:val="24"/>
          <w:szCs w:val="24"/>
        </w:rPr>
      </w:pPr>
    </w:p>
    <w:p w14:paraId="68169236" w14:textId="77777777" w:rsidR="00FE5D90" w:rsidRPr="00573C0E" w:rsidRDefault="008E10A2" w:rsidP="00604A50">
      <w:pPr>
        <w:numPr>
          <w:ilvl w:val="0"/>
          <w:numId w:val="1"/>
        </w:numPr>
        <w:autoSpaceDE/>
        <w:autoSpaceDN/>
        <w:ind w:right="720" w:firstLine="0"/>
        <w:rPr>
          <w:sz w:val="24"/>
          <w:szCs w:val="24"/>
        </w:rPr>
      </w:pPr>
      <w:r w:rsidRPr="00573C0E">
        <w:rPr>
          <w:sz w:val="24"/>
          <w:szCs w:val="24"/>
        </w:rPr>
        <w:t>Insufficient specificity of a pleading.</w:t>
      </w:r>
    </w:p>
    <w:p w14:paraId="44F40BA4" w14:textId="77777777" w:rsidR="00FE5D90" w:rsidRPr="00573C0E" w:rsidRDefault="00FE5D90" w:rsidP="00604A50">
      <w:pPr>
        <w:autoSpaceDE/>
        <w:autoSpaceDN/>
        <w:ind w:left="1440" w:right="720"/>
        <w:rPr>
          <w:sz w:val="24"/>
          <w:szCs w:val="24"/>
        </w:rPr>
      </w:pPr>
    </w:p>
    <w:p w14:paraId="616F6D3D" w14:textId="77777777" w:rsidR="008E10A2" w:rsidRPr="00573C0E" w:rsidRDefault="008E10A2" w:rsidP="00604A50">
      <w:pPr>
        <w:numPr>
          <w:ilvl w:val="0"/>
          <w:numId w:val="1"/>
        </w:numPr>
        <w:autoSpaceDE/>
        <w:autoSpaceDN/>
        <w:ind w:right="720" w:firstLine="0"/>
        <w:rPr>
          <w:sz w:val="24"/>
          <w:szCs w:val="24"/>
        </w:rPr>
      </w:pPr>
      <w:r w:rsidRPr="00573C0E">
        <w:rPr>
          <w:sz w:val="24"/>
          <w:szCs w:val="24"/>
        </w:rPr>
        <w:t>Legal insufficiency of a pleading.</w:t>
      </w:r>
    </w:p>
    <w:p w14:paraId="0ABEB520" w14:textId="77777777" w:rsidR="00FE5D90" w:rsidRPr="00573C0E" w:rsidRDefault="00FE5D90" w:rsidP="00604A50">
      <w:pPr>
        <w:autoSpaceDE/>
        <w:autoSpaceDN/>
        <w:ind w:left="1440" w:right="720"/>
        <w:rPr>
          <w:sz w:val="24"/>
          <w:szCs w:val="24"/>
        </w:rPr>
      </w:pPr>
    </w:p>
    <w:p w14:paraId="513738AF" w14:textId="77777777" w:rsidR="008E10A2" w:rsidRPr="00573C0E" w:rsidRDefault="008E10A2" w:rsidP="00604A50">
      <w:pPr>
        <w:numPr>
          <w:ilvl w:val="0"/>
          <w:numId w:val="1"/>
        </w:numPr>
        <w:autoSpaceDE/>
        <w:autoSpaceDN/>
        <w:ind w:right="720" w:firstLine="0"/>
        <w:rPr>
          <w:sz w:val="24"/>
          <w:szCs w:val="24"/>
        </w:rPr>
      </w:pPr>
      <w:r w:rsidRPr="00573C0E">
        <w:rPr>
          <w:sz w:val="24"/>
          <w:szCs w:val="24"/>
        </w:rPr>
        <w:t xml:space="preserve">Lack of capacity to sue, nonjoinder of a necessary party or misjoinder of a cause of action.  </w:t>
      </w:r>
    </w:p>
    <w:p w14:paraId="4E8663EB" w14:textId="77777777" w:rsidR="00FE5D90" w:rsidRPr="00573C0E" w:rsidRDefault="00FE5D90" w:rsidP="00604A50">
      <w:pPr>
        <w:autoSpaceDE/>
        <w:autoSpaceDN/>
        <w:ind w:left="1440" w:right="720"/>
        <w:rPr>
          <w:sz w:val="24"/>
          <w:szCs w:val="24"/>
        </w:rPr>
      </w:pPr>
    </w:p>
    <w:p w14:paraId="14B4201D" w14:textId="77777777" w:rsidR="008E10A2" w:rsidRPr="00573C0E" w:rsidRDefault="008E10A2" w:rsidP="00604A50">
      <w:pPr>
        <w:numPr>
          <w:ilvl w:val="0"/>
          <w:numId w:val="1"/>
        </w:numPr>
        <w:autoSpaceDE/>
        <w:autoSpaceDN/>
        <w:ind w:right="720" w:firstLine="0"/>
        <w:rPr>
          <w:sz w:val="24"/>
          <w:szCs w:val="24"/>
        </w:rPr>
      </w:pPr>
      <w:r w:rsidRPr="00573C0E">
        <w:rPr>
          <w:sz w:val="24"/>
          <w:szCs w:val="24"/>
        </w:rPr>
        <w:t>Pendency of a prior proceeding or agreement for alternative dispute resolution.</w:t>
      </w:r>
    </w:p>
    <w:p w14:paraId="5D40C808" w14:textId="77777777" w:rsidR="00FE5D90" w:rsidRPr="00573C0E" w:rsidRDefault="00FE5D90" w:rsidP="00604A50">
      <w:pPr>
        <w:autoSpaceDE/>
        <w:autoSpaceDN/>
        <w:ind w:left="1440"/>
        <w:rPr>
          <w:sz w:val="24"/>
          <w:szCs w:val="24"/>
        </w:rPr>
      </w:pPr>
    </w:p>
    <w:p w14:paraId="1946D066" w14:textId="77777777" w:rsidR="00FA39D8" w:rsidRPr="00573C0E" w:rsidRDefault="00FA39D8" w:rsidP="00604A50">
      <w:pPr>
        <w:pStyle w:val="ListParagraph"/>
        <w:numPr>
          <w:ilvl w:val="0"/>
          <w:numId w:val="1"/>
        </w:numPr>
        <w:autoSpaceDE/>
        <w:autoSpaceDN/>
        <w:ind w:firstLine="0"/>
        <w:rPr>
          <w:sz w:val="24"/>
          <w:szCs w:val="24"/>
        </w:rPr>
      </w:pPr>
      <w:r w:rsidRPr="00573C0E">
        <w:rPr>
          <w:sz w:val="24"/>
          <w:szCs w:val="24"/>
        </w:rPr>
        <w:t>Standing of a party to participate in the proceeding.</w:t>
      </w:r>
    </w:p>
    <w:p w14:paraId="6AC91B7E" w14:textId="0803E3C8" w:rsidR="008E10A2" w:rsidRPr="00573C0E" w:rsidRDefault="008E10A2" w:rsidP="00604A50">
      <w:pPr>
        <w:rPr>
          <w:sz w:val="24"/>
          <w:szCs w:val="24"/>
        </w:rPr>
      </w:pPr>
      <w:r w:rsidRPr="00573C0E">
        <w:rPr>
          <w:sz w:val="24"/>
          <w:szCs w:val="24"/>
        </w:rPr>
        <w:t>52 Pa.Code §</w:t>
      </w:r>
      <w:r w:rsidR="00163537" w:rsidRPr="00573C0E">
        <w:rPr>
          <w:sz w:val="24"/>
          <w:szCs w:val="24"/>
        </w:rPr>
        <w:t xml:space="preserve"> </w:t>
      </w:r>
      <w:r w:rsidRPr="00573C0E">
        <w:rPr>
          <w:sz w:val="24"/>
          <w:szCs w:val="24"/>
        </w:rPr>
        <w:t>5.101(a).</w:t>
      </w:r>
    </w:p>
    <w:p w14:paraId="18462F6C" w14:textId="77777777" w:rsidR="00334880" w:rsidRPr="00573C0E" w:rsidRDefault="00334880" w:rsidP="00573C0E">
      <w:pPr>
        <w:spacing w:line="360" w:lineRule="auto"/>
        <w:rPr>
          <w:sz w:val="24"/>
          <w:szCs w:val="24"/>
        </w:rPr>
      </w:pPr>
    </w:p>
    <w:p w14:paraId="22FD26DE" w14:textId="7903DCC3" w:rsidR="008E10A2" w:rsidRPr="00573C0E" w:rsidRDefault="008E10A2" w:rsidP="00573C0E">
      <w:pPr>
        <w:spacing w:line="360" w:lineRule="auto"/>
        <w:rPr>
          <w:sz w:val="24"/>
          <w:szCs w:val="24"/>
        </w:rPr>
      </w:pPr>
      <w:r w:rsidRPr="00573C0E">
        <w:rPr>
          <w:sz w:val="24"/>
          <w:szCs w:val="24"/>
        </w:rPr>
        <w:tab/>
      </w:r>
      <w:r w:rsidRPr="00573C0E">
        <w:rPr>
          <w:sz w:val="24"/>
          <w:szCs w:val="24"/>
        </w:rPr>
        <w:tab/>
        <w:t xml:space="preserve">The party against whom preliminary objections are filed </w:t>
      </w:r>
      <w:r w:rsidR="00665C80" w:rsidRPr="00573C0E">
        <w:rPr>
          <w:sz w:val="24"/>
          <w:szCs w:val="24"/>
          <w:u w:val="single"/>
        </w:rPr>
        <w:t>may</w:t>
      </w:r>
      <w:r w:rsidRPr="00573C0E">
        <w:rPr>
          <w:sz w:val="24"/>
          <w:szCs w:val="24"/>
        </w:rPr>
        <w:t xml:space="preserve"> file an answer to preliminary objections but the answer must be filed within ten days of the date </w:t>
      </w:r>
      <w:r w:rsidR="00B31E9F" w:rsidRPr="00573C0E">
        <w:rPr>
          <w:sz w:val="24"/>
          <w:szCs w:val="24"/>
        </w:rPr>
        <w:t>when the preliminary objections are served</w:t>
      </w:r>
      <w:r w:rsidRPr="00573C0E">
        <w:rPr>
          <w:sz w:val="24"/>
          <w:szCs w:val="24"/>
        </w:rPr>
        <w:t>.  52 Pa.Code §</w:t>
      </w:r>
      <w:r w:rsidR="00B31E9F" w:rsidRPr="00573C0E">
        <w:rPr>
          <w:sz w:val="24"/>
          <w:szCs w:val="24"/>
        </w:rPr>
        <w:t xml:space="preserve"> </w:t>
      </w:r>
      <w:r w:rsidRPr="00573C0E">
        <w:rPr>
          <w:sz w:val="24"/>
          <w:szCs w:val="24"/>
        </w:rPr>
        <w:t>5.101(f)(1).  Then the presiding officer will decide preliminary objections</w:t>
      </w:r>
      <w:r w:rsidR="00334880" w:rsidRPr="00573C0E">
        <w:rPr>
          <w:sz w:val="24"/>
          <w:szCs w:val="24"/>
        </w:rPr>
        <w:t>,</w:t>
      </w:r>
      <w:r w:rsidRPr="00573C0E">
        <w:rPr>
          <w:sz w:val="24"/>
          <w:szCs w:val="24"/>
        </w:rPr>
        <w:t xml:space="preserve"> within thirty days of the date the preliminary objection is assigned to the presiding officer.  52 Pa.Code §</w:t>
      </w:r>
      <w:r w:rsidR="00B31E9F" w:rsidRPr="00573C0E">
        <w:rPr>
          <w:sz w:val="24"/>
          <w:szCs w:val="24"/>
        </w:rPr>
        <w:t xml:space="preserve"> </w:t>
      </w:r>
      <w:r w:rsidRPr="00573C0E">
        <w:rPr>
          <w:sz w:val="24"/>
          <w:szCs w:val="24"/>
        </w:rPr>
        <w:t>5.101(g).</w:t>
      </w:r>
    </w:p>
    <w:p w14:paraId="64C8DE2D" w14:textId="77777777" w:rsidR="00D54B7B" w:rsidRPr="00573C0E" w:rsidRDefault="00D54B7B" w:rsidP="00573C0E">
      <w:pPr>
        <w:spacing w:line="360" w:lineRule="auto"/>
        <w:ind w:firstLine="1440"/>
        <w:rPr>
          <w:sz w:val="24"/>
          <w:szCs w:val="24"/>
        </w:rPr>
      </w:pPr>
    </w:p>
    <w:p w14:paraId="090041C9" w14:textId="39728782" w:rsidR="00D54B7B" w:rsidRPr="00573C0E" w:rsidRDefault="00D54B7B" w:rsidP="00573C0E">
      <w:pPr>
        <w:spacing w:line="360" w:lineRule="auto"/>
        <w:ind w:firstLine="1440"/>
        <w:rPr>
          <w:sz w:val="24"/>
          <w:szCs w:val="24"/>
        </w:rPr>
      </w:pPr>
      <w:r w:rsidRPr="00573C0E">
        <w:rPr>
          <w:sz w:val="24"/>
          <w:szCs w:val="24"/>
        </w:rPr>
        <w:t>The moving party may not rely on its own factual assertions, but must accept</w:t>
      </w:r>
      <w:r w:rsidR="002D0108" w:rsidRPr="00573C0E">
        <w:rPr>
          <w:sz w:val="24"/>
          <w:szCs w:val="24"/>
        </w:rPr>
        <w:t>,</w:t>
      </w:r>
      <w:r w:rsidRPr="00573C0E">
        <w:rPr>
          <w:sz w:val="24"/>
          <w:szCs w:val="24"/>
        </w:rPr>
        <w:t xml:space="preserve"> for the purposes of disposition of the preliminary objection</w:t>
      </w:r>
      <w:r w:rsidR="006C75D8" w:rsidRPr="00573C0E">
        <w:rPr>
          <w:sz w:val="24"/>
          <w:szCs w:val="24"/>
        </w:rPr>
        <w:t>s</w:t>
      </w:r>
      <w:r w:rsidRPr="00573C0E">
        <w:rPr>
          <w:sz w:val="24"/>
          <w:szCs w:val="24"/>
        </w:rPr>
        <w:t>, all well-pleaded, material facts of the other party, as well as every inference fairly deducible from those facts.</w:t>
      </w:r>
      <w:r w:rsidR="002D0108" w:rsidRPr="00573C0E">
        <w:rPr>
          <w:rStyle w:val="FootnoteReference"/>
          <w:sz w:val="24"/>
          <w:szCs w:val="24"/>
        </w:rPr>
        <w:footnoteReference w:id="2"/>
      </w:r>
      <w:r w:rsidRPr="00573C0E">
        <w:rPr>
          <w:sz w:val="24"/>
          <w:szCs w:val="24"/>
        </w:rPr>
        <w:t xml:space="preserve">  Therefore, in ruling on preliminary objection</w:t>
      </w:r>
      <w:r w:rsidR="006C75D8" w:rsidRPr="00573C0E">
        <w:rPr>
          <w:sz w:val="24"/>
          <w:szCs w:val="24"/>
        </w:rPr>
        <w:t>s</w:t>
      </w:r>
      <w:r w:rsidRPr="00573C0E">
        <w:rPr>
          <w:sz w:val="24"/>
          <w:szCs w:val="24"/>
        </w:rPr>
        <w:t xml:space="preserve">, the Commission must assume, for decisional purposes only, that </w:t>
      </w:r>
      <w:r w:rsidR="002D0108" w:rsidRPr="00573C0E">
        <w:rPr>
          <w:sz w:val="24"/>
          <w:szCs w:val="24"/>
        </w:rPr>
        <w:t>the factual allegations of the c</w:t>
      </w:r>
      <w:r w:rsidRPr="00573C0E">
        <w:rPr>
          <w:sz w:val="24"/>
          <w:szCs w:val="24"/>
        </w:rPr>
        <w:t>omplaint are true.</w:t>
      </w:r>
      <w:r w:rsidR="002D0108" w:rsidRPr="00573C0E">
        <w:rPr>
          <w:rStyle w:val="FootnoteReference"/>
          <w:sz w:val="24"/>
          <w:szCs w:val="24"/>
        </w:rPr>
        <w:footnoteReference w:id="3"/>
      </w:r>
      <w:r w:rsidRPr="00573C0E">
        <w:rPr>
          <w:sz w:val="24"/>
          <w:szCs w:val="24"/>
        </w:rPr>
        <w:t xml:space="preserve">  </w:t>
      </w:r>
      <w:r w:rsidR="006C75D8" w:rsidRPr="00573C0E">
        <w:rPr>
          <w:sz w:val="24"/>
          <w:szCs w:val="24"/>
        </w:rPr>
        <w:t>P</w:t>
      </w:r>
      <w:r w:rsidRPr="00573C0E">
        <w:rPr>
          <w:sz w:val="24"/>
          <w:szCs w:val="24"/>
        </w:rPr>
        <w:t>reliminary objection</w:t>
      </w:r>
      <w:r w:rsidR="006C75D8" w:rsidRPr="00573C0E">
        <w:rPr>
          <w:sz w:val="24"/>
          <w:szCs w:val="24"/>
        </w:rPr>
        <w:t>s</w:t>
      </w:r>
      <w:r w:rsidRPr="00573C0E">
        <w:rPr>
          <w:sz w:val="24"/>
          <w:szCs w:val="24"/>
        </w:rPr>
        <w:t xml:space="preserve"> may be granted only if the moving party prevails as a matter of law.</w:t>
      </w:r>
      <w:r w:rsidR="002D0108" w:rsidRPr="00573C0E">
        <w:rPr>
          <w:rStyle w:val="FootnoteReference"/>
          <w:sz w:val="24"/>
          <w:szCs w:val="24"/>
        </w:rPr>
        <w:footnoteReference w:id="4"/>
      </w:r>
      <w:r w:rsidRPr="00573C0E">
        <w:rPr>
          <w:sz w:val="24"/>
          <w:szCs w:val="24"/>
        </w:rPr>
        <w:t xml:space="preserve">  Any doubt must be resolved in favor of the non</w:t>
      </w:r>
      <w:r w:rsidR="00334880" w:rsidRPr="00573C0E">
        <w:rPr>
          <w:sz w:val="24"/>
          <w:szCs w:val="24"/>
        </w:rPr>
        <w:noBreakHyphen/>
      </w:r>
      <w:r w:rsidRPr="00573C0E">
        <w:rPr>
          <w:sz w:val="24"/>
          <w:szCs w:val="24"/>
        </w:rPr>
        <w:t>moving party by refusing to sustain the preliminary objections.</w:t>
      </w:r>
      <w:r w:rsidR="002D0108" w:rsidRPr="00573C0E">
        <w:rPr>
          <w:rStyle w:val="FootnoteReference"/>
          <w:sz w:val="24"/>
          <w:szCs w:val="24"/>
        </w:rPr>
        <w:footnoteReference w:id="5"/>
      </w:r>
      <w:r w:rsidRPr="00573C0E">
        <w:rPr>
          <w:sz w:val="24"/>
          <w:szCs w:val="24"/>
        </w:rPr>
        <w:t xml:space="preserve">    </w:t>
      </w:r>
    </w:p>
    <w:p w14:paraId="3B99FECE" w14:textId="0F0EA9E0" w:rsidR="006C75D8" w:rsidRPr="00573C0E" w:rsidRDefault="006C75D8" w:rsidP="00573C0E">
      <w:pPr>
        <w:spacing w:line="360" w:lineRule="auto"/>
        <w:ind w:firstLine="1440"/>
        <w:rPr>
          <w:sz w:val="24"/>
          <w:szCs w:val="24"/>
        </w:rPr>
      </w:pPr>
      <w:r w:rsidRPr="00573C0E">
        <w:rPr>
          <w:sz w:val="24"/>
          <w:szCs w:val="24"/>
        </w:rPr>
        <w:lastRenderedPageBreak/>
        <w:t>The regulations permit Duquesne Light to file preliminary objections to dismiss a pleading for legal insufficiency.</w:t>
      </w:r>
      <w:r w:rsidRPr="00573C0E">
        <w:rPr>
          <w:rStyle w:val="FootnoteReference"/>
          <w:sz w:val="24"/>
          <w:szCs w:val="24"/>
        </w:rPr>
        <w:footnoteReference w:id="6"/>
      </w:r>
      <w:r w:rsidRPr="00573C0E">
        <w:rPr>
          <w:sz w:val="24"/>
          <w:szCs w:val="24"/>
        </w:rPr>
        <w:t xml:space="preserve">  The law requires Complainant to specify in the formal complaint an “act or thing done or admitted to be done or about to be done or admitted to be done by the Respondent in violation, or claimed violation, of a statute which the Commission has jurisdiction to administer, or of a regulation or order of the Commission.”</w:t>
      </w:r>
      <w:r w:rsidRPr="00573C0E">
        <w:rPr>
          <w:rStyle w:val="FootnoteReference"/>
          <w:sz w:val="24"/>
          <w:szCs w:val="24"/>
        </w:rPr>
        <w:footnoteReference w:id="7"/>
      </w:r>
      <w:r w:rsidRPr="00573C0E">
        <w:rPr>
          <w:sz w:val="24"/>
          <w:szCs w:val="24"/>
        </w:rPr>
        <w:t xml:space="preserve">  </w:t>
      </w:r>
    </w:p>
    <w:p w14:paraId="0CA89CF4" w14:textId="77777777" w:rsidR="006C75D8" w:rsidRPr="00573C0E" w:rsidRDefault="006C75D8" w:rsidP="00573C0E">
      <w:pPr>
        <w:spacing w:line="360" w:lineRule="auto"/>
        <w:rPr>
          <w:sz w:val="24"/>
          <w:szCs w:val="24"/>
        </w:rPr>
      </w:pPr>
    </w:p>
    <w:p w14:paraId="17F2AB51" w14:textId="5990BF01" w:rsidR="00D54B7B" w:rsidRPr="00573C0E" w:rsidRDefault="008E10A2" w:rsidP="00573C0E">
      <w:pPr>
        <w:spacing w:line="360" w:lineRule="auto"/>
        <w:ind w:firstLine="1440"/>
        <w:rPr>
          <w:sz w:val="24"/>
          <w:szCs w:val="24"/>
        </w:rPr>
      </w:pPr>
      <w:r w:rsidRPr="00573C0E">
        <w:rPr>
          <w:sz w:val="24"/>
          <w:szCs w:val="24"/>
        </w:rPr>
        <w:t>The Commission has the discretion to “dismiss any complaint without hearing if, in its opinion, a hearing is not nece</w:t>
      </w:r>
      <w:r w:rsidR="00FB4DC9" w:rsidRPr="00573C0E">
        <w:rPr>
          <w:sz w:val="24"/>
          <w:szCs w:val="24"/>
        </w:rPr>
        <w:t>ssary in the public interest.”</w:t>
      </w:r>
      <w:r w:rsidR="00FB4DC9" w:rsidRPr="00573C0E">
        <w:rPr>
          <w:rStyle w:val="FootnoteReference"/>
          <w:sz w:val="24"/>
          <w:szCs w:val="24"/>
        </w:rPr>
        <w:footnoteReference w:id="8"/>
      </w:r>
      <w:r w:rsidR="00FB4DC9" w:rsidRPr="00573C0E">
        <w:rPr>
          <w:sz w:val="24"/>
          <w:szCs w:val="24"/>
        </w:rPr>
        <w:t xml:space="preserve">  </w:t>
      </w:r>
      <w:r w:rsidRPr="00573C0E">
        <w:rPr>
          <w:sz w:val="24"/>
          <w:szCs w:val="24"/>
        </w:rPr>
        <w:t>A hearing is necessary only to res</w:t>
      </w:r>
      <w:r w:rsidR="00B31E9F" w:rsidRPr="00573C0E">
        <w:rPr>
          <w:sz w:val="24"/>
          <w:szCs w:val="24"/>
        </w:rPr>
        <w:t>olve disputed questions of fact</w:t>
      </w:r>
      <w:r w:rsidRPr="00573C0E">
        <w:rPr>
          <w:sz w:val="24"/>
          <w:szCs w:val="24"/>
        </w:rPr>
        <w:t xml:space="preserve"> and</w:t>
      </w:r>
      <w:r w:rsidR="00B31E9F" w:rsidRPr="00573C0E">
        <w:rPr>
          <w:sz w:val="24"/>
          <w:szCs w:val="24"/>
        </w:rPr>
        <w:t>,</w:t>
      </w:r>
      <w:r w:rsidRPr="00573C0E">
        <w:rPr>
          <w:sz w:val="24"/>
          <w:szCs w:val="24"/>
        </w:rPr>
        <w:t xml:space="preserve"> when the question presented is solely one of law, the Commission need not hold a hearing.</w:t>
      </w:r>
      <w:r w:rsidRPr="00573C0E">
        <w:rPr>
          <w:rStyle w:val="FootnoteReference"/>
          <w:sz w:val="24"/>
          <w:szCs w:val="24"/>
        </w:rPr>
        <w:footnoteReference w:id="9"/>
      </w:r>
      <w:r w:rsidR="00D54B7B" w:rsidRPr="00573C0E">
        <w:rPr>
          <w:sz w:val="24"/>
          <w:szCs w:val="24"/>
        </w:rPr>
        <w:t xml:space="preserve">  The public interest does not require a hearing in a case which would be a fruitless exercise and, therefore, not necessary or in the public interest.</w:t>
      </w:r>
      <w:r w:rsidR="00D54B7B" w:rsidRPr="00573C0E">
        <w:rPr>
          <w:rStyle w:val="FootnoteReference"/>
          <w:sz w:val="24"/>
          <w:szCs w:val="24"/>
        </w:rPr>
        <w:footnoteReference w:id="10"/>
      </w:r>
    </w:p>
    <w:p w14:paraId="46603BB2" w14:textId="2F432ADB" w:rsidR="006C75D8" w:rsidRPr="00573C0E" w:rsidRDefault="006C75D8" w:rsidP="002E5F5B">
      <w:pPr>
        <w:spacing w:line="360" w:lineRule="auto"/>
        <w:rPr>
          <w:sz w:val="24"/>
          <w:szCs w:val="24"/>
          <w:u w:val="single"/>
        </w:rPr>
      </w:pPr>
    </w:p>
    <w:p w14:paraId="2EB4C599" w14:textId="027E67C9" w:rsidR="00033C00" w:rsidRPr="00573C0E" w:rsidRDefault="00033C00" w:rsidP="00573C0E">
      <w:pPr>
        <w:spacing w:line="360" w:lineRule="auto"/>
        <w:rPr>
          <w:sz w:val="24"/>
          <w:szCs w:val="24"/>
          <w:u w:val="single"/>
        </w:rPr>
      </w:pPr>
      <w:r w:rsidRPr="00573C0E">
        <w:rPr>
          <w:sz w:val="24"/>
          <w:szCs w:val="24"/>
          <w:u w:val="single"/>
        </w:rPr>
        <w:t>Respondent’s Position</w:t>
      </w:r>
    </w:p>
    <w:p w14:paraId="680D52F3" w14:textId="77777777" w:rsidR="00033C00" w:rsidRPr="00573C0E" w:rsidRDefault="00033C00" w:rsidP="00573C0E">
      <w:pPr>
        <w:spacing w:line="360" w:lineRule="auto"/>
        <w:rPr>
          <w:sz w:val="24"/>
          <w:szCs w:val="24"/>
        </w:rPr>
      </w:pPr>
    </w:p>
    <w:p w14:paraId="18855A34" w14:textId="180B1903" w:rsidR="008F70F0" w:rsidRPr="00573C0E" w:rsidRDefault="006C75D8" w:rsidP="00573C0E">
      <w:pPr>
        <w:spacing w:line="360" w:lineRule="auto"/>
        <w:ind w:firstLine="1440"/>
        <w:rPr>
          <w:sz w:val="24"/>
          <w:szCs w:val="24"/>
        </w:rPr>
      </w:pPr>
      <w:r w:rsidRPr="00573C0E">
        <w:rPr>
          <w:sz w:val="24"/>
          <w:szCs w:val="24"/>
        </w:rPr>
        <w:t>Duquesne Light</w:t>
      </w:r>
      <w:r w:rsidR="00E44CE9" w:rsidRPr="00573C0E">
        <w:rPr>
          <w:sz w:val="24"/>
          <w:szCs w:val="24"/>
        </w:rPr>
        <w:t xml:space="preserve"> </w:t>
      </w:r>
      <w:r w:rsidR="00A82462" w:rsidRPr="00573C0E">
        <w:rPr>
          <w:sz w:val="24"/>
          <w:szCs w:val="24"/>
        </w:rPr>
        <w:t>averred</w:t>
      </w:r>
      <w:r w:rsidR="00A22C5D" w:rsidRPr="00573C0E">
        <w:rPr>
          <w:sz w:val="24"/>
          <w:szCs w:val="24"/>
        </w:rPr>
        <w:t xml:space="preserve"> the complaint </w:t>
      </w:r>
      <w:r w:rsidR="00665C80" w:rsidRPr="00573C0E">
        <w:rPr>
          <w:sz w:val="24"/>
          <w:szCs w:val="24"/>
        </w:rPr>
        <w:t xml:space="preserve">should be dismissed as legally insufficient </w:t>
      </w:r>
      <w:r w:rsidR="00696346" w:rsidRPr="00573C0E">
        <w:rPr>
          <w:sz w:val="24"/>
          <w:szCs w:val="24"/>
        </w:rPr>
        <w:t xml:space="preserve">for three reasons.  First, Respondent averred the complaint does not allege violations of the Commission’s rules and/or regulations.  Respondent contended the complaint alleges only that Respondent violated the federal Occupational Safety and Health Administration </w:t>
      </w:r>
      <w:r w:rsidR="008F70F0" w:rsidRPr="00573C0E">
        <w:rPr>
          <w:sz w:val="24"/>
          <w:szCs w:val="24"/>
        </w:rPr>
        <w:t xml:space="preserve">(OSHA) </w:t>
      </w:r>
      <w:r w:rsidR="00696346" w:rsidRPr="00573C0E">
        <w:rPr>
          <w:sz w:val="24"/>
          <w:szCs w:val="24"/>
        </w:rPr>
        <w:t>regulations but did not aver any violation of the Public Utility code, Commission order or regulation or any rule contained within Duquesne Light’s Commission-approved tariff.  Second, Duquesne Light pointed out the Commission does not have jurisdiction over monetary damages</w:t>
      </w:r>
      <w:r w:rsidR="008F70F0" w:rsidRPr="00573C0E">
        <w:rPr>
          <w:sz w:val="24"/>
          <w:szCs w:val="24"/>
        </w:rPr>
        <w:t xml:space="preserve"> and the Commission can only grant the relief specified as within its jurisdiction.  </w:t>
      </w:r>
      <w:r w:rsidR="00696346" w:rsidRPr="00573C0E">
        <w:rPr>
          <w:sz w:val="24"/>
          <w:szCs w:val="24"/>
        </w:rPr>
        <w:t xml:space="preserve">Lastly, Duquesne Light averred the Commission does not have subject matter jurisdiction over alleged </w:t>
      </w:r>
      <w:r w:rsidR="00696346" w:rsidRPr="00573C0E">
        <w:rPr>
          <w:sz w:val="24"/>
          <w:szCs w:val="24"/>
        </w:rPr>
        <w:lastRenderedPageBreak/>
        <w:t>violations of the Takings Clause of the Fifth Amendment to the U.S. Constitution</w:t>
      </w:r>
      <w:r w:rsidR="00665C80" w:rsidRPr="00573C0E">
        <w:rPr>
          <w:sz w:val="24"/>
          <w:szCs w:val="24"/>
        </w:rPr>
        <w:t>.</w:t>
      </w:r>
      <w:r w:rsidR="00A22C5D" w:rsidRPr="00573C0E">
        <w:rPr>
          <w:sz w:val="24"/>
          <w:szCs w:val="24"/>
        </w:rPr>
        <w:t xml:space="preserve">  </w:t>
      </w:r>
      <w:r w:rsidR="00696346" w:rsidRPr="00573C0E">
        <w:rPr>
          <w:sz w:val="24"/>
          <w:szCs w:val="24"/>
        </w:rPr>
        <w:t>Respondent point</w:t>
      </w:r>
      <w:r w:rsidRPr="00573C0E">
        <w:rPr>
          <w:sz w:val="24"/>
          <w:szCs w:val="24"/>
        </w:rPr>
        <w:t>ed</w:t>
      </w:r>
      <w:r w:rsidR="00696346" w:rsidRPr="00573C0E">
        <w:rPr>
          <w:sz w:val="24"/>
          <w:szCs w:val="24"/>
        </w:rPr>
        <w:t xml:space="preserve"> out that </w:t>
      </w:r>
      <w:proofErr w:type="spellStart"/>
      <w:r w:rsidR="00696346" w:rsidRPr="00573C0E">
        <w:rPr>
          <w:sz w:val="24"/>
          <w:szCs w:val="24"/>
        </w:rPr>
        <w:t>Lipsoss</w:t>
      </w:r>
      <w:proofErr w:type="spellEnd"/>
      <w:r w:rsidR="00696346" w:rsidRPr="00573C0E">
        <w:rPr>
          <w:sz w:val="24"/>
          <w:szCs w:val="24"/>
        </w:rPr>
        <w:t xml:space="preserve"> claim</w:t>
      </w:r>
      <w:r w:rsidRPr="00573C0E">
        <w:rPr>
          <w:sz w:val="24"/>
          <w:szCs w:val="24"/>
        </w:rPr>
        <w:t>ed</w:t>
      </w:r>
      <w:r w:rsidR="00696346" w:rsidRPr="00573C0E">
        <w:rPr>
          <w:sz w:val="24"/>
          <w:szCs w:val="24"/>
        </w:rPr>
        <w:t xml:space="preserve"> the Takings Clause was violated because Duquesne Light did not obtain private property rights before installing and maintaining the distribution line behind the service address</w:t>
      </w:r>
      <w:r w:rsidRPr="00573C0E">
        <w:rPr>
          <w:sz w:val="24"/>
          <w:szCs w:val="24"/>
        </w:rPr>
        <w:t>.  Respondent argued</w:t>
      </w:r>
      <w:r w:rsidR="00696346" w:rsidRPr="00573C0E">
        <w:rPr>
          <w:sz w:val="24"/>
          <w:szCs w:val="24"/>
        </w:rPr>
        <w:t xml:space="preserve"> the Commission does not have jurisdiction to rule on a claim rooted in the United States Constitution.  </w:t>
      </w:r>
      <w:r w:rsidR="008F70F0" w:rsidRPr="00573C0E">
        <w:rPr>
          <w:sz w:val="24"/>
          <w:szCs w:val="24"/>
        </w:rPr>
        <w:t>Respondent aver</w:t>
      </w:r>
      <w:r w:rsidRPr="00573C0E">
        <w:rPr>
          <w:sz w:val="24"/>
          <w:szCs w:val="24"/>
        </w:rPr>
        <w:t>red</w:t>
      </w:r>
      <w:r w:rsidR="008F70F0" w:rsidRPr="00573C0E">
        <w:rPr>
          <w:sz w:val="24"/>
          <w:szCs w:val="24"/>
        </w:rPr>
        <w:t xml:space="preserve"> the formal complaint </w:t>
      </w:r>
      <w:r w:rsidRPr="00573C0E">
        <w:rPr>
          <w:sz w:val="24"/>
          <w:szCs w:val="24"/>
        </w:rPr>
        <w:t>did</w:t>
      </w:r>
      <w:r w:rsidR="008F70F0" w:rsidRPr="00573C0E">
        <w:rPr>
          <w:sz w:val="24"/>
          <w:szCs w:val="24"/>
        </w:rPr>
        <w:t xml:space="preserve"> not specify a cause of action over which the Commission has jurisdiction or can grant relief even if all well</w:t>
      </w:r>
      <w:r w:rsidR="008F70F0" w:rsidRPr="00573C0E">
        <w:rPr>
          <w:sz w:val="24"/>
          <w:szCs w:val="24"/>
        </w:rPr>
        <w:noBreakHyphen/>
        <w:t xml:space="preserve">pleaded facts are presumed to be true.  </w:t>
      </w:r>
    </w:p>
    <w:p w14:paraId="0B38436A" w14:textId="77777777" w:rsidR="00696346" w:rsidRPr="00573C0E" w:rsidRDefault="00696346" w:rsidP="00573C0E">
      <w:pPr>
        <w:spacing w:line="360" w:lineRule="auto"/>
        <w:ind w:firstLine="1440"/>
        <w:rPr>
          <w:sz w:val="24"/>
          <w:szCs w:val="24"/>
        </w:rPr>
      </w:pPr>
    </w:p>
    <w:p w14:paraId="62342258" w14:textId="56E0E6A5" w:rsidR="008E10A2" w:rsidRPr="00573C0E" w:rsidRDefault="00B31E9F" w:rsidP="00573C0E">
      <w:pPr>
        <w:spacing w:line="360" w:lineRule="auto"/>
        <w:ind w:firstLine="1440"/>
        <w:rPr>
          <w:sz w:val="24"/>
          <w:szCs w:val="24"/>
        </w:rPr>
      </w:pPr>
      <w:r w:rsidRPr="00573C0E">
        <w:rPr>
          <w:sz w:val="24"/>
          <w:szCs w:val="24"/>
        </w:rPr>
        <w:t>P</w:t>
      </w:r>
      <w:r w:rsidR="00E44CE9" w:rsidRPr="00573C0E">
        <w:rPr>
          <w:sz w:val="24"/>
          <w:szCs w:val="24"/>
        </w:rPr>
        <w:t>ursuant to 52 Pa.Code §</w:t>
      </w:r>
      <w:r w:rsidR="003E639D" w:rsidRPr="00573C0E">
        <w:rPr>
          <w:sz w:val="24"/>
          <w:szCs w:val="24"/>
        </w:rPr>
        <w:t xml:space="preserve"> </w:t>
      </w:r>
      <w:r w:rsidR="00E44CE9" w:rsidRPr="00573C0E">
        <w:rPr>
          <w:sz w:val="24"/>
          <w:szCs w:val="24"/>
        </w:rPr>
        <w:t>5.101(a)</w:t>
      </w:r>
      <w:r w:rsidR="00255B3E" w:rsidRPr="00573C0E">
        <w:rPr>
          <w:rStyle w:val="FootnoteReference"/>
          <w:sz w:val="24"/>
          <w:szCs w:val="24"/>
        </w:rPr>
        <w:footnoteReference w:id="11"/>
      </w:r>
      <w:r w:rsidR="00E44CE9" w:rsidRPr="00573C0E">
        <w:rPr>
          <w:sz w:val="24"/>
          <w:szCs w:val="24"/>
        </w:rPr>
        <w:t xml:space="preserve">, </w:t>
      </w:r>
      <w:r w:rsidR="001B3C78" w:rsidRPr="00573C0E">
        <w:rPr>
          <w:sz w:val="24"/>
          <w:szCs w:val="24"/>
        </w:rPr>
        <w:t>Duquesne Light</w:t>
      </w:r>
      <w:r w:rsidRPr="00573C0E">
        <w:rPr>
          <w:sz w:val="24"/>
          <w:szCs w:val="24"/>
        </w:rPr>
        <w:t xml:space="preserve"> contend</w:t>
      </w:r>
      <w:r w:rsidR="00A82462" w:rsidRPr="00573C0E">
        <w:rPr>
          <w:sz w:val="24"/>
          <w:szCs w:val="24"/>
        </w:rPr>
        <w:t>ed</w:t>
      </w:r>
      <w:r w:rsidRPr="00573C0E">
        <w:rPr>
          <w:sz w:val="24"/>
          <w:szCs w:val="24"/>
        </w:rPr>
        <w:t xml:space="preserve"> </w:t>
      </w:r>
      <w:r w:rsidR="00E44CE9" w:rsidRPr="00573C0E">
        <w:rPr>
          <w:sz w:val="24"/>
          <w:szCs w:val="24"/>
        </w:rPr>
        <w:t xml:space="preserve">the </w:t>
      </w:r>
      <w:r w:rsidR="00503094" w:rsidRPr="00573C0E">
        <w:rPr>
          <w:sz w:val="24"/>
          <w:szCs w:val="24"/>
        </w:rPr>
        <w:t>formal complaint should be dismissed</w:t>
      </w:r>
      <w:r w:rsidR="008F70F0" w:rsidRPr="00573C0E">
        <w:rPr>
          <w:sz w:val="24"/>
          <w:szCs w:val="24"/>
        </w:rPr>
        <w:t>.  Respondent argued</w:t>
      </w:r>
      <w:r w:rsidR="00E44CE9" w:rsidRPr="00573C0E">
        <w:rPr>
          <w:sz w:val="24"/>
          <w:szCs w:val="24"/>
        </w:rPr>
        <w:t xml:space="preserve"> Complainant’s </w:t>
      </w:r>
      <w:r w:rsidR="00D34F31" w:rsidRPr="00573C0E">
        <w:rPr>
          <w:sz w:val="24"/>
          <w:szCs w:val="24"/>
        </w:rPr>
        <w:t xml:space="preserve">formal </w:t>
      </w:r>
      <w:r w:rsidR="00E44CE9" w:rsidRPr="00573C0E">
        <w:rPr>
          <w:sz w:val="24"/>
          <w:szCs w:val="24"/>
        </w:rPr>
        <w:t>complaint does not specify a cause of action upon which the Commission can grant relief even if all well-pleaded facts as alleged by Compl</w:t>
      </w:r>
      <w:r w:rsidR="00A22C5D" w:rsidRPr="00573C0E">
        <w:rPr>
          <w:sz w:val="24"/>
          <w:szCs w:val="24"/>
        </w:rPr>
        <w:t xml:space="preserve">ainant are presumed to be true.  </w:t>
      </w:r>
      <w:r w:rsidR="00665C80" w:rsidRPr="00573C0E">
        <w:rPr>
          <w:sz w:val="24"/>
          <w:szCs w:val="24"/>
        </w:rPr>
        <w:t xml:space="preserve">Respondent </w:t>
      </w:r>
      <w:r w:rsidR="00A82462" w:rsidRPr="00573C0E">
        <w:rPr>
          <w:sz w:val="24"/>
          <w:szCs w:val="24"/>
        </w:rPr>
        <w:t>averred a</w:t>
      </w:r>
      <w:r w:rsidR="00A22C5D" w:rsidRPr="00573C0E">
        <w:rPr>
          <w:sz w:val="24"/>
          <w:szCs w:val="24"/>
        </w:rPr>
        <w:t xml:space="preserve"> dismissal </w:t>
      </w:r>
      <w:r w:rsidR="00A82462" w:rsidRPr="00573C0E">
        <w:rPr>
          <w:sz w:val="24"/>
          <w:szCs w:val="24"/>
        </w:rPr>
        <w:t xml:space="preserve">here would </w:t>
      </w:r>
      <w:r w:rsidR="00A22C5D" w:rsidRPr="00573C0E">
        <w:rPr>
          <w:sz w:val="24"/>
          <w:szCs w:val="24"/>
        </w:rPr>
        <w:t xml:space="preserve">promote judicial economy by avoiding a hearing where </w:t>
      </w:r>
      <w:r w:rsidR="00D97FE3" w:rsidRPr="00573C0E">
        <w:rPr>
          <w:sz w:val="24"/>
          <w:szCs w:val="24"/>
        </w:rPr>
        <w:t>the Commission lacks any jurisdiction</w:t>
      </w:r>
      <w:r w:rsidR="00A22C5D" w:rsidRPr="00573C0E">
        <w:rPr>
          <w:sz w:val="24"/>
          <w:szCs w:val="24"/>
        </w:rPr>
        <w:t>.</w:t>
      </w:r>
      <w:r w:rsidR="00A22C5D" w:rsidRPr="00573C0E">
        <w:rPr>
          <w:rStyle w:val="FootnoteReference"/>
          <w:sz w:val="24"/>
          <w:szCs w:val="24"/>
        </w:rPr>
        <w:footnoteReference w:id="12"/>
      </w:r>
    </w:p>
    <w:p w14:paraId="1FACCDD4" w14:textId="45556775" w:rsidR="006C75D8" w:rsidRPr="00573C0E" w:rsidRDefault="006C75D8" w:rsidP="00573C0E">
      <w:pPr>
        <w:autoSpaceDE/>
        <w:autoSpaceDN/>
        <w:spacing w:line="360" w:lineRule="auto"/>
        <w:rPr>
          <w:sz w:val="24"/>
          <w:szCs w:val="24"/>
          <w:u w:val="single"/>
        </w:rPr>
      </w:pPr>
    </w:p>
    <w:p w14:paraId="6F396B0F" w14:textId="7CCB55F0" w:rsidR="00777CD2" w:rsidRPr="00573C0E" w:rsidRDefault="00777CD2" w:rsidP="00573C0E">
      <w:pPr>
        <w:spacing w:line="360" w:lineRule="auto"/>
        <w:rPr>
          <w:sz w:val="24"/>
          <w:szCs w:val="24"/>
          <w:u w:val="single"/>
        </w:rPr>
      </w:pPr>
      <w:r w:rsidRPr="00573C0E">
        <w:rPr>
          <w:sz w:val="24"/>
          <w:szCs w:val="24"/>
          <w:u w:val="single"/>
        </w:rPr>
        <w:t>Complainant’s Position</w:t>
      </w:r>
    </w:p>
    <w:p w14:paraId="3C3EAF9C" w14:textId="77777777" w:rsidR="00777CD2" w:rsidRPr="00573C0E" w:rsidRDefault="00777CD2" w:rsidP="00573C0E">
      <w:pPr>
        <w:spacing w:line="360" w:lineRule="auto"/>
        <w:rPr>
          <w:sz w:val="24"/>
          <w:szCs w:val="24"/>
        </w:rPr>
      </w:pPr>
    </w:p>
    <w:p w14:paraId="4BC576E8" w14:textId="0D7B29E5" w:rsidR="001D0688" w:rsidRPr="00573C0E" w:rsidRDefault="001D0688" w:rsidP="00573C0E">
      <w:pPr>
        <w:spacing w:line="360" w:lineRule="auto"/>
        <w:rPr>
          <w:sz w:val="24"/>
          <w:szCs w:val="24"/>
        </w:rPr>
      </w:pPr>
      <w:r w:rsidRPr="00573C0E">
        <w:rPr>
          <w:sz w:val="24"/>
          <w:szCs w:val="24"/>
        </w:rPr>
        <w:tab/>
      </w:r>
      <w:r w:rsidRPr="00573C0E">
        <w:rPr>
          <w:sz w:val="24"/>
          <w:szCs w:val="24"/>
        </w:rPr>
        <w:tab/>
        <w:t xml:space="preserve">Complainant </w:t>
      </w:r>
      <w:r w:rsidR="00777CD2" w:rsidRPr="00573C0E">
        <w:rPr>
          <w:sz w:val="24"/>
          <w:szCs w:val="24"/>
        </w:rPr>
        <w:t>object</w:t>
      </w:r>
      <w:r w:rsidR="008F70F0" w:rsidRPr="00573C0E">
        <w:rPr>
          <w:sz w:val="24"/>
          <w:szCs w:val="24"/>
        </w:rPr>
        <w:t>ed</w:t>
      </w:r>
      <w:r w:rsidR="00777CD2" w:rsidRPr="00573C0E">
        <w:rPr>
          <w:sz w:val="24"/>
          <w:szCs w:val="24"/>
        </w:rPr>
        <w:t xml:space="preserve"> to the Preliminary Objections and aver</w:t>
      </w:r>
      <w:r w:rsidR="006C75D8" w:rsidRPr="00573C0E">
        <w:rPr>
          <w:sz w:val="24"/>
          <w:szCs w:val="24"/>
        </w:rPr>
        <w:t>red</w:t>
      </w:r>
      <w:r w:rsidR="00777CD2" w:rsidRPr="00573C0E">
        <w:rPr>
          <w:sz w:val="24"/>
          <w:szCs w:val="24"/>
        </w:rPr>
        <w:t xml:space="preserve"> </w:t>
      </w:r>
      <w:r w:rsidR="008F70F0" w:rsidRPr="00573C0E">
        <w:rPr>
          <w:sz w:val="24"/>
          <w:szCs w:val="24"/>
        </w:rPr>
        <w:t>it no longer seeks to enforce OSHA rules</w:t>
      </w:r>
      <w:r w:rsidRPr="00573C0E">
        <w:rPr>
          <w:sz w:val="24"/>
          <w:szCs w:val="24"/>
        </w:rPr>
        <w:t xml:space="preserve">.  </w:t>
      </w:r>
      <w:proofErr w:type="spellStart"/>
      <w:r w:rsidR="008F70F0" w:rsidRPr="00573C0E">
        <w:rPr>
          <w:sz w:val="24"/>
          <w:szCs w:val="24"/>
        </w:rPr>
        <w:t>Lipsoss</w:t>
      </w:r>
      <w:proofErr w:type="spellEnd"/>
      <w:r w:rsidR="008F70F0" w:rsidRPr="00573C0E">
        <w:rPr>
          <w:sz w:val="24"/>
          <w:szCs w:val="24"/>
        </w:rPr>
        <w:t xml:space="preserve"> contended it set forth in its complaint and subsequent filings that it wants Duquesne Light to move the pole and wires or extend the length of the </w:t>
      </w:r>
      <w:proofErr w:type="gramStart"/>
      <w:r w:rsidR="008F70F0" w:rsidRPr="00573C0E">
        <w:rPr>
          <w:sz w:val="24"/>
          <w:szCs w:val="24"/>
        </w:rPr>
        <w:t>pole</w:t>
      </w:r>
      <w:proofErr w:type="gramEnd"/>
      <w:r w:rsidR="008F70F0" w:rsidRPr="00573C0E">
        <w:rPr>
          <w:sz w:val="24"/>
          <w:szCs w:val="24"/>
        </w:rPr>
        <w:t xml:space="preserve"> so the wires are not too close to the roofline of the service address.  </w:t>
      </w:r>
      <w:proofErr w:type="spellStart"/>
      <w:r w:rsidR="008F70F0" w:rsidRPr="00573C0E">
        <w:rPr>
          <w:sz w:val="24"/>
          <w:szCs w:val="24"/>
        </w:rPr>
        <w:t>Lipsoss</w:t>
      </w:r>
      <w:proofErr w:type="spellEnd"/>
      <w:r w:rsidR="008F70F0" w:rsidRPr="00573C0E">
        <w:rPr>
          <w:sz w:val="24"/>
          <w:szCs w:val="24"/>
        </w:rPr>
        <w:t xml:space="preserve"> argued it has </w:t>
      </w:r>
      <w:r w:rsidR="006C75D8" w:rsidRPr="00573C0E">
        <w:rPr>
          <w:sz w:val="24"/>
          <w:szCs w:val="24"/>
        </w:rPr>
        <w:t xml:space="preserve">obtained </w:t>
      </w:r>
      <w:r w:rsidR="008F70F0" w:rsidRPr="00573C0E">
        <w:rPr>
          <w:sz w:val="24"/>
          <w:szCs w:val="24"/>
        </w:rPr>
        <w:t xml:space="preserve">approved </w:t>
      </w:r>
      <w:r w:rsidR="006C75D8" w:rsidRPr="00573C0E">
        <w:rPr>
          <w:sz w:val="24"/>
          <w:szCs w:val="24"/>
        </w:rPr>
        <w:t xml:space="preserve">building </w:t>
      </w:r>
      <w:r w:rsidR="008F70F0" w:rsidRPr="00573C0E">
        <w:rPr>
          <w:sz w:val="24"/>
          <w:szCs w:val="24"/>
        </w:rPr>
        <w:t xml:space="preserve">plans to raise the height of the service </w:t>
      </w:r>
      <w:proofErr w:type="gramStart"/>
      <w:r w:rsidR="008F70F0" w:rsidRPr="00573C0E">
        <w:rPr>
          <w:sz w:val="24"/>
          <w:szCs w:val="24"/>
        </w:rPr>
        <w:t>address</w:t>
      </w:r>
      <w:proofErr w:type="gramEnd"/>
      <w:r w:rsidR="008F70F0" w:rsidRPr="00573C0E">
        <w:rPr>
          <w:sz w:val="24"/>
          <w:szCs w:val="24"/>
        </w:rPr>
        <w:t xml:space="preserve"> but the wires are in the way.  Furthermore, </w:t>
      </w:r>
      <w:proofErr w:type="spellStart"/>
      <w:r w:rsidR="008F70F0" w:rsidRPr="00573C0E">
        <w:rPr>
          <w:sz w:val="24"/>
          <w:szCs w:val="24"/>
        </w:rPr>
        <w:t>Lipsoss</w:t>
      </w:r>
      <w:proofErr w:type="spellEnd"/>
      <w:r w:rsidR="008F70F0" w:rsidRPr="00573C0E">
        <w:rPr>
          <w:sz w:val="24"/>
          <w:szCs w:val="24"/>
        </w:rPr>
        <w:t xml:space="preserve"> contended it cannot repair the damage to the roof because the necessary heavy equipment is not permitted to be that close to a live electric line.   </w:t>
      </w:r>
    </w:p>
    <w:p w14:paraId="6E5F62FE" w14:textId="786ECBB1" w:rsidR="00017B90" w:rsidRDefault="00017B90" w:rsidP="00573C0E">
      <w:pPr>
        <w:spacing w:line="360" w:lineRule="auto"/>
        <w:rPr>
          <w:sz w:val="24"/>
          <w:szCs w:val="24"/>
        </w:rPr>
      </w:pPr>
    </w:p>
    <w:p w14:paraId="4D893D7C" w14:textId="2508A560" w:rsidR="002E5F5B" w:rsidRDefault="002E5F5B" w:rsidP="00573C0E">
      <w:pPr>
        <w:spacing w:line="360" w:lineRule="auto"/>
        <w:rPr>
          <w:sz w:val="24"/>
          <w:szCs w:val="24"/>
        </w:rPr>
      </w:pPr>
    </w:p>
    <w:p w14:paraId="57BD19DB" w14:textId="77777777" w:rsidR="002E5F5B" w:rsidRPr="00573C0E" w:rsidRDefault="002E5F5B" w:rsidP="00573C0E">
      <w:pPr>
        <w:spacing w:line="360" w:lineRule="auto"/>
        <w:rPr>
          <w:sz w:val="24"/>
          <w:szCs w:val="24"/>
        </w:rPr>
      </w:pPr>
    </w:p>
    <w:p w14:paraId="5B580F49" w14:textId="46E57140" w:rsidR="000E04AA" w:rsidRPr="00573C0E" w:rsidRDefault="000E04AA" w:rsidP="00573C0E">
      <w:pPr>
        <w:spacing w:line="360" w:lineRule="auto"/>
        <w:rPr>
          <w:sz w:val="24"/>
          <w:szCs w:val="24"/>
          <w:u w:val="single"/>
        </w:rPr>
      </w:pPr>
      <w:r w:rsidRPr="00573C0E">
        <w:rPr>
          <w:sz w:val="24"/>
          <w:szCs w:val="24"/>
          <w:u w:val="single"/>
        </w:rPr>
        <w:lastRenderedPageBreak/>
        <w:t>Conclusion</w:t>
      </w:r>
    </w:p>
    <w:p w14:paraId="5C4F3A70" w14:textId="77777777" w:rsidR="00D65F60" w:rsidRPr="00573C0E" w:rsidRDefault="00D65F60" w:rsidP="00573C0E">
      <w:pPr>
        <w:spacing w:line="360" w:lineRule="auto"/>
        <w:rPr>
          <w:sz w:val="24"/>
          <w:szCs w:val="24"/>
        </w:rPr>
      </w:pPr>
    </w:p>
    <w:p w14:paraId="6681C023" w14:textId="6150950D" w:rsidR="00A55098" w:rsidRPr="00573C0E" w:rsidRDefault="00F619ED" w:rsidP="00573C0E">
      <w:pPr>
        <w:spacing w:line="360" w:lineRule="auto"/>
        <w:ind w:firstLine="1440"/>
        <w:rPr>
          <w:sz w:val="24"/>
          <w:szCs w:val="24"/>
        </w:rPr>
      </w:pPr>
      <w:r w:rsidRPr="00573C0E">
        <w:rPr>
          <w:sz w:val="24"/>
          <w:szCs w:val="24"/>
        </w:rPr>
        <w:t>This case</w:t>
      </w:r>
      <w:r w:rsidR="00EC320B" w:rsidRPr="00573C0E">
        <w:rPr>
          <w:sz w:val="24"/>
          <w:szCs w:val="24"/>
        </w:rPr>
        <w:t xml:space="preserve"> – on its face and when taken in the light most favorable to Complainant</w:t>
      </w:r>
      <w:r w:rsidR="000202CD" w:rsidRPr="00573C0E">
        <w:rPr>
          <w:sz w:val="24"/>
          <w:szCs w:val="24"/>
        </w:rPr>
        <w:t> –</w:t>
      </w:r>
      <w:r w:rsidR="00E5005B" w:rsidRPr="00573C0E">
        <w:rPr>
          <w:sz w:val="24"/>
          <w:szCs w:val="24"/>
        </w:rPr>
        <w:t xml:space="preserve"> </w:t>
      </w:r>
      <w:r w:rsidR="00FB4DC9" w:rsidRPr="00573C0E">
        <w:rPr>
          <w:sz w:val="24"/>
          <w:szCs w:val="24"/>
        </w:rPr>
        <w:t>involve</w:t>
      </w:r>
      <w:r w:rsidR="00E5005B" w:rsidRPr="00573C0E">
        <w:rPr>
          <w:sz w:val="24"/>
          <w:szCs w:val="24"/>
        </w:rPr>
        <w:t xml:space="preserve">s </w:t>
      </w:r>
      <w:r w:rsidR="00FF783C" w:rsidRPr="00573C0E">
        <w:rPr>
          <w:sz w:val="24"/>
          <w:szCs w:val="24"/>
        </w:rPr>
        <w:t xml:space="preserve">two </w:t>
      </w:r>
      <w:r w:rsidRPr="00573C0E">
        <w:rPr>
          <w:sz w:val="24"/>
          <w:szCs w:val="24"/>
        </w:rPr>
        <w:t>disputed question</w:t>
      </w:r>
      <w:r w:rsidR="00FF783C" w:rsidRPr="00573C0E">
        <w:rPr>
          <w:sz w:val="24"/>
          <w:szCs w:val="24"/>
        </w:rPr>
        <w:t>s</w:t>
      </w:r>
      <w:r w:rsidRPr="00573C0E">
        <w:rPr>
          <w:sz w:val="24"/>
          <w:szCs w:val="24"/>
        </w:rPr>
        <w:t xml:space="preserve"> of fact</w:t>
      </w:r>
      <w:r w:rsidR="00017B90" w:rsidRPr="00573C0E">
        <w:rPr>
          <w:sz w:val="24"/>
          <w:szCs w:val="24"/>
        </w:rPr>
        <w:t xml:space="preserve"> and law:</w:t>
      </w:r>
      <w:r w:rsidR="00C94618" w:rsidRPr="00573C0E">
        <w:rPr>
          <w:sz w:val="24"/>
          <w:szCs w:val="24"/>
        </w:rPr>
        <w:t xml:space="preserve"> </w:t>
      </w:r>
      <w:r w:rsidR="00017B90" w:rsidRPr="00573C0E">
        <w:rPr>
          <w:sz w:val="24"/>
          <w:szCs w:val="24"/>
        </w:rPr>
        <w:t xml:space="preserve">whether </w:t>
      </w:r>
      <w:r w:rsidR="001B3C78" w:rsidRPr="00573C0E">
        <w:rPr>
          <w:sz w:val="24"/>
          <w:szCs w:val="24"/>
        </w:rPr>
        <w:t>Duquesne Light</w:t>
      </w:r>
      <w:r w:rsidR="008F70F0" w:rsidRPr="00573C0E">
        <w:rPr>
          <w:sz w:val="24"/>
          <w:szCs w:val="24"/>
        </w:rPr>
        <w:t>’s pole and electric wires are too close to the service address to permit safe ingress and egress for repair purposes and the lawful expansion of the building; and whether Duquesne Light</w:t>
      </w:r>
      <w:r w:rsidR="00B228FB" w:rsidRPr="00573C0E">
        <w:rPr>
          <w:sz w:val="24"/>
          <w:szCs w:val="24"/>
        </w:rPr>
        <w:t xml:space="preserve"> </w:t>
      </w:r>
      <w:r w:rsidR="008F70F0" w:rsidRPr="00573C0E">
        <w:rPr>
          <w:sz w:val="24"/>
          <w:szCs w:val="24"/>
        </w:rPr>
        <w:t>provided safe and adequate customer service when it refused to move its pole and wire</w:t>
      </w:r>
      <w:r w:rsidR="00FF783C" w:rsidRPr="00573C0E">
        <w:rPr>
          <w:sz w:val="24"/>
          <w:szCs w:val="24"/>
        </w:rPr>
        <w:t>s</w:t>
      </w:r>
      <w:r w:rsidR="008F70F0" w:rsidRPr="00573C0E">
        <w:rPr>
          <w:sz w:val="24"/>
          <w:szCs w:val="24"/>
        </w:rPr>
        <w:t xml:space="preserve"> located at the back of the service address</w:t>
      </w:r>
      <w:r w:rsidR="00A71B02" w:rsidRPr="00573C0E">
        <w:rPr>
          <w:sz w:val="24"/>
          <w:szCs w:val="24"/>
        </w:rPr>
        <w:t>.</w:t>
      </w:r>
      <w:r w:rsidR="00777CD2" w:rsidRPr="00573C0E">
        <w:rPr>
          <w:sz w:val="24"/>
          <w:szCs w:val="24"/>
        </w:rPr>
        <w:t xml:space="preserve">  </w:t>
      </w:r>
      <w:r w:rsidR="00A71B02" w:rsidRPr="00573C0E">
        <w:rPr>
          <w:sz w:val="24"/>
          <w:szCs w:val="24"/>
        </w:rPr>
        <w:t xml:space="preserve">  </w:t>
      </w:r>
      <w:r w:rsidR="00017B90" w:rsidRPr="00573C0E">
        <w:rPr>
          <w:sz w:val="24"/>
          <w:szCs w:val="24"/>
        </w:rPr>
        <w:t xml:space="preserve">  </w:t>
      </w:r>
    </w:p>
    <w:p w14:paraId="07E3214E" w14:textId="77777777" w:rsidR="00B228FB" w:rsidRPr="00573C0E" w:rsidRDefault="00B228FB" w:rsidP="00573C0E">
      <w:pPr>
        <w:pStyle w:val="FootnoteText"/>
        <w:spacing w:line="360" w:lineRule="auto"/>
        <w:ind w:firstLine="1440"/>
        <w:rPr>
          <w:sz w:val="24"/>
          <w:szCs w:val="24"/>
        </w:rPr>
      </w:pPr>
    </w:p>
    <w:p w14:paraId="08DFB81A" w14:textId="3461F30C" w:rsidR="006A4EB3" w:rsidRPr="00573C0E" w:rsidRDefault="001C04FB" w:rsidP="00573C0E">
      <w:pPr>
        <w:pStyle w:val="FootnoteText"/>
        <w:spacing w:line="360" w:lineRule="auto"/>
        <w:ind w:firstLine="1440"/>
        <w:rPr>
          <w:sz w:val="24"/>
          <w:szCs w:val="24"/>
        </w:rPr>
      </w:pPr>
      <w:r w:rsidRPr="00573C0E">
        <w:rPr>
          <w:sz w:val="24"/>
          <w:szCs w:val="24"/>
        </w:rPr>
        <w:t xml:space="preserve">Complainant alleges </w:t>
      </w:r>
      <w:r w:rsidR="00777CD2" w:rsidRPr="00573C0E">
        <w:rPr>
          <w:sz w:val="24"/>
          <w:szCs w:val="24"/>
        </w:rPr>
        <w:t xml:space="preserve">in the formal complaint that Duquesne Light is wrong </w:t>
      </w:r>
      <w:r w:rsidR="006C75D8" w:rsidRPr="00573C0E">
        <w:rPr>
          <w:sz w:val="24"/>
          <w:szCs w:val="24"/>
        </w:rPr>
        <w:t>to refuse</w:t>
      </w:r>
      <w:r w:rsidR="00777CD2" w:rsidRPr="00573C0E">
        <w:rPr>
          <w:sz w:val="24"/>
          <w:szCs w:val="24"/>
        </w:rPr>
        <w:t xml:space="preserve"> to move the light pole or extend its wires farther above the service address.  </w:t>
      </w:r>
      <w:r w:rsidR="00FF783C" w:rsidRPr="00573C0E">
        <w:rPr>
          <w:sz w:val="24"/>
          <w:szCs w:val="24"/>
        </w:rPr>
        <w:t>Duquesne Light is correct that Complainant initially requested monetary damages</w:t>
      </w:r>
      <w:r w:rsidR="00FF3A28" w:rsidRPr="00573C0E">
        <w:rPr>
          <w:sz w:val="24"/>
          <w:szCs w:val="24"/>
        </w:rPr>
        <w:t>,</w:t>
      </w:r>
      <w:r w:rsidR="00FF783C" w:rsidRPr="00573C0E">
        <w:rPr>
          <w:sz w:val="24"/>
          <w:szCs w:val="24"/>
        </w:rPr>
        <w:t xml:space="preserve"> but Complainant has withdrawn the request for monetary damages.  </w:t>
      </w:r>
      <w:r w:rsidR="00777CD2" w:rsidRPr="00573C0E">
        <w:rPr>
          <w:sz w:val="24"/>
          <w:szCs w:val="24"/>
        </w:rPr>
        <w:t xml:space="preserve">Complainant contends it cannot fix the roof or remodel the structure into townhouses because the heavy equipment needed to add a floor to the service address and to repair the roof will be too close to the pole and wires.  Complainant </w:t>
      </w:r>
      <w:r w:rsidR="00021441" w:rsidRPr="00573C0E">
        <w:rPr>
          <w:sz w:val="24"/>
          <w:szCs w:val="24"/>
        </w:rPr>
        <w:t xml:space="preserve">contends the location of the wires have created an unsafe condition and should be moved.  </w:t>
      </w:r>
      <w:r w:rsidR="00777CD2" w:rsidRPr="00573C0E">
        <w:rPr>
          <w:sz w:val="24"/>
          <w:szCs w:val="24"/>
        </w:rPr>
        <w:t xml:space="preserve"> </w:t>
      </w:r>
      <w:r w:rsidR="00937564" w:rsidRPr="00573C0E">
        <w:rPr>
          <w:sz w:val="24"/>
          <w:szCs w:val="24"/>
        </w:rPr>
        <w:t xml:space="preserve">  </w:t>
      </w:r>
    </w:p>
    <w:p w14:paraId="4F7DD3F8" w14:textId="77777777" w:rsidR="006A4EB3" w:rsidRPr="00573C0E" w:rsidRDefault="006A4EB3" w:rsidP="00573C0E">
      <w:pPr>
        <w:pStyle w:val="FootnoteText"/>
        <w:spacing w:line="360" w:lineRule="auto"/>
        <w:ind w:firstLine="1440"/>
        <w:rPr>
          <w:sz w:val="24"/>
          <w:szCs w:val="24"/>
        </w:rPr>
      </w:pPr>
    </w:p>
    <w:p w14:paraId="3A38A161" w14:textId="7F5A2743" w:rsidR="00937564" w:rsidRPr="00573C0E" w:rsidRDefault="00021441" w:rsidP="00573C0E">
      <w:pPr>
        <w:pStyle w:val="FootnoteText"/>
        <w:spacing w:line="360" w:lineRule="auto"/>
        <w:ind w:firstLine="1440"/>
        <w:rPr>
          <w:sz w:val="24"/>
          <w:szCs w:val="24"/>
        </w:rPr>
      </w:pPr>
      <w:r w:rsidRPr="00573C0E">
        <w:rPr>
          <w:sz w:val="24"/>
          <w:szCs w:val="24"/>
        </w:rPr>
        <w:t>Complainant</w:t>
      </w:r>
      <w:r w:rsidR="00937564" w:rsidRPr="00573C0E">
        <w:rPr>
          <w:sz w:val="24"/>
          <w:szCs w:val="24"/>
        </w:rPr>
        <w:t xml:space="preserve"> is entitled to have an opportunity to show that </w:t>
      </w:r>
      <w:r w:rsidR="001B3C78" w:rsidRPr="00573C0E">
        <w:rPr>
          <w:sz w:val="24"/>
          <w:szCs w:val="24"/>
        </w:rPr>
        <w:t>Duquesne Light</w:t>
      </w:r>
      <w:r w:rsidR="00937564" w:rsidRPr="00573C0E">
        <w:rPr>
          <w:sz w:val="24"/>
          <w:szCs w:val="24"/>
        </w:rPr>
        <w:t xml:space="preserve"> violated the Public Utility Code and/or the Commission’s regulations when </w:t>
      </w:r>
      <w:r w:rsidR="001B3C78" w:rsidRPr="00573C0E">
        <w:rPr>
          <w:sz w:val="24"/>
          <w:szCs w:val="24"/>
        </w:rPr>
        <w:t>Duquesne Light</w:t>
      </w:r>
      <w:r w:rsidR="00937564" w:rsidRPr="00573C0E">
        <w:rPr>
          <w:sz w:val="24"/>
          <w:szCs w:val="24"/>
        </w:rPr>
        <w:t xml:space="preserve"> refused to</w:t>
      </w:r>
      <w:r w:rsidR="00FF3A28" w:rsidRPr="00573C0E">
        <w:rPr>
          <w:sz w:val="24"/>
          <w:szCs w:val="24"/>
        </w:rPr>
        <w:t xml:space="preserve"> move the wires which allegedly overhang the service address.</w:t>
      </w:r>
      <w:r w:rsidR="00B228FB" w:rsidRPr="00573C0E">
        <w:rPr>
          <w:sz w:val="24"/>
          <w:szCs w:val="24"/>
        </w:rPr>
        <w:t xml:space="preserve">  </w:t>
      </w:r>
      <w:r w:rsidR="006A4EB3" w:rsidRPr="00573C0E">
        <w:rPr>
          <w:sz w:val="24"/>
          <w:szCs w:val="24"/>
        </w:rPr>
        <w:t>It</w:t>
      </w:r>
      <w:r w:rsidR="00937564" w:rsidRPr="00573C0E">
        <w:rPr>
          <w:sz w:val="24"/>
          <w:szCs w:val="24"/>
        </w:rPr>
        <w:t xml:space="preserve"> should be noted</w:t>
      </w:r>
      <w:r w:rsidR="006A4EB3" w:rsidRPr="00573C0E">
        <w:rPr>
          <w:sz w:val="24"/>
          <w:szCs w:val="24"/>
        </w:rPr>
        <w:t>, however,</w:t>
      </w:r>
      <w:r w:rsidR="00937564" w:rsidRPr="00573C0E">
        <w:rPr>
          <w:sz w:val="24"/>
          <w:szCs w:val="24"/>
        </w:rPr>
        <w:t xml:space="preserve"> that at the hearing </w:t>
      </w:r>
      <w:proofErr w:type="spellStart"/>
      <w:r w:rsidRPr="00573C0E">
        <w:rPr>
          <w:sz w:val="24"/>
          <w:szCs w:val="24"/>
        </w:rPr>
        <w:t>Lipsoss</w:t>
      </w:r>
      <w:proofErr w:type="spellEnd"/>
      <w:r w:rsidRPr="00573C0E">
        <w:rPr>
          <w:sz w:val="24"/>
          <w:szCs w:val="24"/>
        </w:rPr>
        <w:t xml:space="preserve"> will</w:t>
      </w:r>
      <w:r w:rsidR="00937564" w:rsidRPr="00573C0E">
        <w:rPr>
          <w:sz w:val="24"/>
          <w:szCs w:val="24"/>
        </w:rPr>
        <w:t xml:space="preserve"> not be permitted to present any evidence about </w:t>
      </w:r>
      <w:r w:rsidRPr="00573C0E">
        <w:rPr>
          <w:sz w:val="24"/>
          <w:szCs w:val="24"/>
        </w:rPr>
        <w:t xml:space="preserve">any property other than the service address </w:t>
      </w:r>
      <w:r w:rsidR="006C75D8" w:rsidRPr="00573C0E">
        <w:rPr>
          <w:sz w:val="24"/>
          <w:szCs w:val="24"/>
        </w:rPr>
        <w:t>referenced</w:t>
      </w:r>
      <w:r w:rsidRPr="00573C0E">
        <w:rPr>
          <w:sz w:val="24"/>
          <w:szCs w:val="24"/>
        </w:rPr>
        <w:t xml:space="preserve"> in the formal complaint: 4073 Liberty Avenue, Pittsburgh, Pennsylvania 15224</w:t>
      </w:r>
      <w:r w:rsidR="006A4EB3" w:rsidRPr="00573C0E">
        <w:rPr>
          <w:sz w:val="24"/>
          <w:szCs w:val="24"/>
        </w:rPr>
        <w:t xml:space="preserve">.  </w:t>
      </w:r>
    </w:p>
    <w:p w14:paraId="10F04E3E" w14:textId="77777777" w:rsidR="00E36452" w:rsidRPr="00573C0E" w:rsidRDefault="00E36452" w:rsidP="00573C0E">
      <w:pPr>
        <w:pStyle w:val="FootnoteText"/>
        <w:spacing w:line="360" w:lineRule="auto"/>
        <w:ind w:firstLine="1440"/>
        <w:rPr>
          <w:sz w:val="24"/>
          <w:szCs w:val="24"/>
        </w:rPr>
      </w:pPr>
    </w:p>
    <w:p w14:paraId="2063C1E2" w14:textId="16706737" w:rsidR="002B7DB0" w:rsidRPr="00573C0E" w:rsidRDefault="006A4EB3" w:rsidP="00573C0E">
      <w:pPr>
        <w:spacing w:line="360" w:lineRule="auto"/>
        <w:ind w:firstLine="1440"/>
        <w:rPr>
          <w:sz w:val="24"/>
          <w:szCs w:val="24"/>
        </w:rPr>
      </w:pPr>
      <w:r w:rsidRPr="00573C0E">
        <w:rPr>
          <w:sz w:val="24"/>
          <w:szCs w:val="24"/>
        </w:rPr>
        <w:t xml:space="preserve">Accordingly, the preliminary objections of </w:t>
      </w:r>
      <w:r w:rsidR="001B3C78" w:rsidRPr="00573C0E">
        <w:rPr>
          <w:sz w:val="24"/>
          <w:szCs w:val="24"/>
        </w:rPr>
        <w:t>Duquesne Light</w:t>
      </w:r>
      <w:r w:rsidRPr="00573C0E">
        <w:rPr>
          <w:sz w:val="24"/>
          <w:szCs w:val="24"/>
        </w:rPr>
        <w:t xml:space="preserve"> will be denied.  An initial hearing will be scheduled at which Complainant will be permitted to present evidence on whether </w:t>
      </w:r>
      <w:r w:rsidR="001B3C78" w:rsidRPr="00573C0E">
        <w:rPr>
          <w:sz w:val="24"/>
          <w:szCs w:val="24"/>
        </w:rPr>
        <w:t>Duquesne Light</w:t>
      </w:r>
      <w:r w:rsidRPr="00573C0E">
        <w:rPr>
          <w:sz w:val="24"/>
          <w:szCs w:val="24"/>
        </w:rPr>
        <w:t xml:space="preserve"> committed any violation</w:t>
      </w:r>
      <w:r w:rsidR="00FF3A28" w:rsidRPr="00573C0E">
        <w:rPr>
          <w:sz w:val="24"/>
          <w:szCs w:val="24"/>
        </w:rPr>
        <w:t xml:space="preserve"> when it</w:t>
      </w:r>
      <w:r w:rsidRPr="00573C0E">
        <w:rPr>
          <w:sz w:val="24"/>
          <w:szCs w:val="24"/>
        </w:rPr>
        <w:t xml:space="preserve"> </w:t>
      </w:r>
      <w:r w:rsidR="00FF3A28" w:rsidRPr="00573C0E">
        <w:rPr>
          <w:sz w:val="24"/>
          <w:szCs w:val="24"/>
        </w:rPr>
        <w:t xml:space="preserve">refused to move the </w:t>
      </w:r>
      <w:r w:rsidR="006C75D8" w:rsidRPr="00573C0E">
        <w:rPr>
          <w:sz w:val="24"/>
          <w:szCs w:val="24"/>
        </w:rPr>
        <w:t xml:space="preserve">pole and/or </w:t>
      </w:r>
      <w:r w:rsidR="00FF3A28" w:rsidRPr="00573C0E">
        <w:rPr>
          <w:sz w:val="24"/>
          <w:szCs w:val="24"/>
        </w:rPr>
        <w:t>wires which allegedly overhang the service address at 4073 Liberty Avenue, Pittsburgh, Pennsylvania 15224</w:t>
      </w:r>
      <w:r w:rsidR="00703F0F" w:rsidRPr="00573C0E">
        <w:rPr>
          <w:sz w:val="24"/>
          <w:szCs w:val="24"/>
        </w:rPr>
        <w:t>.</w:t>
      </w:r>
    </w:p>
    <w:p w14:paraId="75AE0AE4" w14:textId="0C95D96D" w:rsidR="006A4EB3" w:rsidRDefault="006A4EB3" w:rsidP="00573C0E">
      <w:pPr>
        <w:spacing w:line="360" w:lineRule="auto"/>
        <w:ind w:firstLine="1440"/>
        <w:rPr>
          <w:sz w:val="24"/>
          <w:szCs w:val="24"/>
        </w:rPr>
      </w:pPr>
    </w:p>
    <w:p w14:paraId="6BC2EF88" w14:textId="77777777" w:rsidR="002E5F5B" w:rsidRPr="00573C0E" w:rsidRDefault="002E5F5B" w:rsidP="00573C0E">
      <w:pPr>
        <w:spacing w:line="360" w:lineRule="auto"/>
        <w:ind w:firstLine="1440"/>
        <w:rPr>
          <w:sz w:val="24"/>
          <w:szCs w:val="24"/>
        </w:rPr>
      </w:pPr>
    </w:p>
    <w:p w14:paraId="2E11C07D" w14:textId="77777777" w:rsidR="008E10A2" w:rsidRPr="00573C0E" w:rsidRDefault="008E10A2" w:rsidP="00573C0E">
      <w:pPr>
        <w:spacing w:line="360" w:lineRule="auto"/>
        <w:jc w:val="center"/>
        <w:rPr>
          <w:sz w:val="24"/>
          <w:szCs w:val="24"/>
        </w:rPr>
      </w:pPr>
      <w:r w:rsidRPr="00573C0E">
        <w:rPr>
          <w:sz w:val="24"/>
          <w:szCs w:val="24"/>
          <w:u w:val="single"/>
        </w:rPr>
        <w:lastRenderedPageBreak/>
        <w:t>CONCLUSIONS OF LAW</w:t>
      </w:r>
    </w:p>
    <w:p w14:paraId="7A123686" w14:textId="77777777" w:rsidR="008E10A2" w:rsidRPr="00573C0E" w:rsidRDefault="008E10A2" w:rsidP="00573C0E">
      <w:pPr>
        <w:spacing w:line="360" w:lineRule="auto"/>
        <w:rPr>
          <w:sz w:val="24"/>
          <w:szCs w:val="24"/>
        </w:rPr>
      </w:pPr>
    </w:p>
    <w:p w14:paraId="27C2BEF2" w14:textId="77777777" w:rsidR="008E10A2" w:rsidRPr="00573C0E" w:rsidRDefault="008E10A2" w:rsidP="00573C0E">
      <w:pPr>
        <w:numPr>
          <w:ilvl w:val="0"/>
          <w:numId w:val="2"/>
        </w:numPr>
        <w:autoSpaceDE/>
        <w:autoSpaceDN/>
        <w:spacing w:line="360" w:lineRule="auto"/>
        <w:rPr>
          <w:sz w:val="24"/>
          <w:szCs w:val="24"/>
        </w:rPr>
      </w:pPr>
      <w:r w:rsidRPr="00573C0E">
        <w:rPr>
          <w:sz w:val="24"/>
          <w:szCs w:val="24"/>
        </w:rPr>
        <w:t>The Commission has jurisdiction over the parties to this dispute.</w:t>
      </w:r>
    </w:p>
    <w:p w14:paraId="752424F3" w14:textId="77777777" w:rsidR="00E5005B" w:rsidRPr="00573C0E" w:rsidRDefault="00E5005B" w:rsidP="00573C0E">
      <w:pPr>
        <w:spacing w:line="360" w:lineRule="auto"/>
        <w:rPr>
          <w:sz w:val="24"/>
          <w:szCs w:val="24"/>
        </w:rPr>
      </w:pPr>
    </w:p>
    <w:p w14:paraId="06AA72B8" w14:textId="71346538" w:rsidR="00E5005B" w:rsidRPr="00573C0E" w:rsidRDefault="00E5005B" w:rsidP="00573C0E">
      <w:pPr>
        <w:spacing w:line="360" w:lineRule="auto"/>
        <w:ind w:firstLine="1440"/>
        <w:rPr>
          <w:sz w:val="24"/>
          <w:szCs w:val="24"/>
        </w:rPr>
      </w:pPr>
      <w:r w:rsidRPr="00573C0E">
        <w:rPr>
          <w:sz w:val="24"/>
          <w:szCs w:val="24"/>
        </w:rPr>
        <w:t>2.</w:t>
      </w:r>
      <w:r w:rsidRPr="00573C0E">
        <w:rPr>
          <w:sz w:val="24"/>
          <w:szCs w:val="24"/>
        </w:rPr>
        <w:tab/>
        <w:t xml:space="preserve">The Commission has jurisdiction over the subject matter of this dispute to the extent the complaint involves allegations of a failure by Respondent to provide </w:t>
      </w:r>
      <w:r w:rsidRPr="00573C0E">
        <w:rPr>
          <w:color w:val="000000"/>
          <w:w w:val="106"/>
          <w:sz w:val="24"/>
          <w:szCs w:val="24"/>
        </w:rPr>
        <w:t xml:space="preserve">Complainant with reasonable and adequate customer service, pursuant to 66 </w:t>
      </w:r>
      <w:proofErr w:type="spellStart"/>
      <w:r w:rsidRPr="00573C0E">
        <w:rPr>
          <w:color w:val="000000"/>
          <w:w w:val="106"/>
          <w:sz w:val="24"/>
          <w:szCs w:val="24"/>
        </w:rPr>
        <w:t>Pa.C.S.A</w:t>
      </w:r>
      <w:proofErr w:type="spellEnd"/>
      <w:r w:rsidRPr="00573C0E">
        <w:rPr>
          <w:color w:val="000000"/>
          <w:w w:val="106"/>
          <w:sz w:val="24"/>
          <w:szCs w:val="24"/>
        </w:rPr>
        <w:t>. § 1501.</w:t>
      </w:r>
    </w:p>
    <w:p w14:paraId="53FFBACF" w14:textId="77777777" w:rsidR="008E10A2" w:rsidRPr="00573C0E" w:rsidRDefault="008E10A2" w:rsidP="00573C0E">
      <w:pPr>
        <w:spacing w:line="360" w:lineRule="auto"/>
        <w:rPr>
          <w:sz w:val="24"/>
          <w:szCs w:val="24"/>
        </w:rPr>
      </w:pPr>
    </w:p>
    <w:p w14:paraId="353D9997" w14:textId="017EABCE" w:rsidR="008E10A2" w:rsidRPr="00573C0E" w:rsidRDefault="00E5005B" w:rsidP="00573C0E">
      <w:pPr>
        <w:spacing w:line="360" w:lineRule="auto"/>
        <w:ind w:firstLine="1440"/>
        <w:rPr>
          <w:sz w:val="24"/>
          <w:szCs w:val="24"/>
        </w:rPr>
      </w:pPr>
      <w:r w:rsidRPr="00573C0E">
        <w:rPr>
          <w:color w:val="000000"/>
          <w:w w:val="106"/>
          <w:sz w:val="24"/>
          <w:szCs w:val="24"/>
        </w:rPr>
        <w:t xml:space="preserve">3. </w:t>
      </w:r>
      <w:r w:rsidRPr="00573C0E">
        <w:rPr>
          <w:color w:val="000000"/>
          <w:w w:val="106"/>
          <w:sz w:val="24"/>
          <w:szCs w:val="24"/>
        </w:rPr>
        <w:tab/>
      </w:r>
      <w:r w:rsidR="008E10A2" w:rsidRPr="00573C0E">
        <w:rPr>
          <w:sz w:val="24"/>
          <w:szCs w:val="24"/>
        </w:rPr>
        <w:t>The formal complaint raise</w:t>
      </w:r>
      <w:r w:rsidR="00C21C8A" w:rsidRPr="00573C0E">
        <w:rPr>
          <w:sz w:val="24"/>
          <w:szCs w:val="24"/>
        </w:rPr>
        <w:t>s</w:t>
      </w:r>
      <w:r w:rsidR="008E10A2" w:rsidRPr="00573C0E">
        <w:rPr>
          <w:sz w:val="24"/>
          <w:szCs w:val="24"/>
        </w:rPr>
        <w:t xml:space="preserve"> a claim that, if proven, would show </w:t>
      </w:r>
      <w:r w:rsidR="00064043" w:rsidRPr="00573C0E">
        <w:rPr>
          <w:sz w:val="24"/>
          <w:szCs w:val="24"/>
        </w:rPr>
        <w:t>Duquesne Light</w:t>
      </w:r>
      <w:r w:rsidR="00512840" w:rsidRPr="00573C0E">
        <w:rPr>
          <w:sz w:val="24"/>
          <w:szCs w:val="24"/>
        </w:rPr>
        <w:t xml:space="preserve"> Company</w:t>
      </w:r>
      <w:r w:rsidR="008E10A2" w:rsidRPr="00573C0E">
        <w:rPr>
          <w:sz w:val="24"/>
          <w:szCs w:val="24"/>
        </w:rPr>
        <w:t xml:space="preserve"> failed in </w:t>
      </w:r>
      <w:r w:rsidR="007369E5" w:rsidRPr="00573C0E">
        <w:rPr>
          <w:sz w:val="24"/>
          <w:szCs w:val="24"/>
        </w:rPr>
        <w:t>some</w:t>
      </w:r>
      <w:r w:rsidR="008E10A2" w:rsidRPr="00573C0E">
        <w:rPr>
          <w:sz w:val="24"/>
          <w:szCs w:val="24"/>
        </w:rPr>
        <w:t xml:space="preserve"> way to furnish and maintain adequate, efficient, safe and reasonable service and facilities</w:t>
      </w:r>
      <w:r w:rsidR="00C21C8A" w:rsidRPr="00573C0E">
        <w:rPr>
          <w:sz w:val="24"/>
          <w:szCs w:val="24"/>
        </w:rPr>
        <w:t xml:space="preserve">, pursuant to 66 </w:t>
      </w:r>
      <w:proofErr w:type="spellStart"/>
      <w:r w:rsidR="00C21C8A" w:rsidRPr="00573C0E">
        <w:rPr>
          <w:sz w:val="24"/>
          <w:szCs w:val="24"/>
        </w:rPr>
        <w:t>Pa.C.S.A</w:t>
      </w:r>
      <w:proofErr w:type="spellEnd"/>
      <w:r w:rsidR="00C21C8A" w:rsidRPr="00573C0E">
        <w:rPr>
          <w:sz w:val="24"/>
          <w:szCs w:val="24"/>
        </w:rPr>
        <w:t>. § 1501</w:t>
      </w:r>
      <w:r w:rsidR="008E10A2" w:rsidRPr="00573C0E">
        <w:rPr>
          <w:sz w:val="24"/>
          <w:szCs w:val="24"/>
        </w:rPr>
        <w:t xml:space="preserve">.  </w:t>
      </w:r>
    </w:p>
    <w:p w14:paraId="173A074E" w14:textId="77777777" w:rsidR="008E10A2" w:rsidRPr="00573C0E" w:rsidRDefault="008E10A2" w:rsidP="00573C0E">
      <w:pPr>
        <w:spacing w:line="360" w:lineRule="auto"/>
        <w:ind w:left="1440"/>
        <w:rPr>
          <w:sz w:val="24"/>
          <w:szCs w:val="24"/>
        </w:rPr>
      </w:pPr>
    </w:p>
    <w:p w14:paraId="2836FFD2" w14:textId="306C1271" w:rsidR="00D54B7B" w:rsidRPr="00573C0E" w:rsidRDefault="00703F0F" w:rsidP="00573C0E">
      <w:pPr>
        <w:spacing w:line="360" w:lineRule="auto"/>
        <w:ind w:firstLine="1440"/>
        <w:rPr>
          <w:sz w:val="24"/>
          <w:szCs w:val="24"/>
        </w:rPr>
      </w:pPr>
      <w:r w:rsidRPr="00573C0E">
        <w:rPr>
          <w:sz w:val="24"/>
          <w:szCs w:val="24"/>
        </w:rPr>
        <w:t>4</w:t>
      </w:r>
      <w:r w:rsidR="00D54B7B" w:rsidRPr="00573C0E">
        <w:rPr>
          <w:sz w:val="24"/>
          <w:szCs w:val="24"/>
        </w:rPr>
        <w:t>.</w:t>
      </w:r>
      <w:r w:rsidR="00D54B7B" w:rsidRPr="00573C0E">
        <w:rPr>
          <w:sz w:val="24"/>
          <w:szCs w:val="24"/>
        </w:rPr>
        <w:tab/>
        <w:t>A preliminary objection in civil practice seeking dismissal of a pleading will be granted only where relief is clearly warranted and free from doubt</w:t>
      </w:r>
      <w:r w:rsidR="00C21C8A" w:rsidRPr="00573C0E">
        <w:rPr>
          <w:sz w:val="24"/>
          <w:szCs w:val="24"/>
        </w:rPr>
        <w:t xml:space="preserve"> and only if the moving party prevails as a matter of law</w:t>
      </w:r>
      <w:r w:rsidR="00D54B7B" w:rsidRPr="00573C0E">
        <w:rPr>
          <w:sz w:val="24"/>
          <w:szCs w:val="24"/>
        </w:rPr>
        <w:t xml:space="preserve">.  </w:t>
      </w:r>
      <w:r w:rsidR="00D54B7B" w:rsidRPr="00573C0E">
        <w:rPr>
          <w:sz w:val="24"/>
          <w:szCs w:val="24"/>
          <w:u w:val="single"/>
        </w:rPr>
        <w:t xml:space="preserve">Interstate </w:t>
      </w:r>
      <w:proofErr w:type="spellStart"/>
      <w:r w:rsidR="00D54B7B" w:rsidRPr="00573C0E">
        <w:rPr>
          <w:sz w:val="24"/>
          <w:szCs w:val="24"/>
          <w:u w:val="single"/>
        </w:rPr>
        <w:t>Trave</w:t>
      </w:r>
      <w:r w:rsidR="002E5F5B">
        <w:rPr>
          <w:sz w:val="24"/>
          <w:szCs w:val="24"/>
          <w:u w:val="single"/>
        </w:rPr>
        <w:t>l</w:t>
      </w:r>
      <w:r w:rsidR="00D54B7B" w:rsidRPr="00573C0E">
        <w:rPr>
          <w:sz w:val="24"/>
          <w:szCs w:val="24"/>
          <w:u w:val="single"/>
        </w:rPr>
        <w:t>ler</w:t>
      </w:r>
      <w:proofErr w:type="spellEnd"/>
      <w:r w:rsidR="00D54B7B" w:rsidRPr="00573C0E">
        <w:rPr>
          <w:sz w:val="24"/>
          <w:szCs w:val="24"/>
          <w:u w:val="single"/>
        </w:rPr>
        <w:t xml:space="preserve"> Services, Inc. v. Pa. Dept. of Environmental Resources</w:t>
      </w:r>
      <w:r w:rsidR="00C21C8A" w:rsidRPr="00573C0E">
        <w:rPr>
          <w:sz w:val="24"/>
          <w:szCs w:val="24"/>
        </w:rPr>
        <w:t xml:space="preserve">, 406 A.2d 1020 (Pa. 1979); and </w:t>
      </w:r>
      <w:r w:rsidR="00C21C8A" w:rsidRPr="00573C0E">
        <w:rPr>
          <w:sz w:val="24"/>
          <w:szCs w:val="24"/>
          <w:u w:val="single"/>
        </w:rPr>
        <w:t>Roc v. Flaherty</w:t>
      </w:r>
      <w:r w:rsidR="00C21C8A" w:rsidRPr="00573C0E">
        <w:rPr>
          <w:sz w:val="24"/>
          <w:szCs w:val="24"/>
        </w:rPr>
        <w:t>, 527 A.2d 211 (Pa.Cmwlth</w:t>
      </w:r>
      <w:proofErr w:type="gramStart"/>
      <w:r w:rsidR="00C21C8A" w:rsidRPr="00573C0E">
        <w:rPr>
          <w:sz w:val="24"/>
          <w:szCs w:val="24"/>
        </w:rPr>
        <w:t xml:space="preserve">. </w:t>
      </w:r>
      <w:proofErr w:type="gramEnd"/>
      <w:r w:rsidR="00C21C8A" w:rsidRPr="00573C0E">
        <w:rPr>
          <w:sz w:val="24"/>
          <w:szCs w:val="24"/>
        </w:rPr>
        <w:t>1985).</w:t>
      </w:r>
    </w:p>
    <w:p w14:paraId="6100F5E0" w14:textId="77777777" w:rsidR="00E5005B" w:rsidRPr="00573C0E" w:rsidRDefault="00E5005B" w:rsidP="00573C0E">
      <w:pPr>
        <w:spacing w:line="360" w:lineRule="auto"/>
        <w:ind w:firstLine="1440"/>
        <w:rPr>
          <w:sz w:val="24"/>
          <w:szCs w:val="24"/>
        </w:rPr>
      </w:pPr>
    </w:p>
    <w:p w14:paraId="7CE5835D" w14:textId="770F8035" w:rsidR="00D54B7B" w:rsidRPr="00573C0E" w:rsidRDefault="00703F0F" w:rsidP="00573C0E">
      <w:pPr>
        <w:spacing w:line="360" w:lineRule="auto"/>
        <w:ind w:firstLine="1440"/>
        <w:rPr>
          <w:sz w:val="24"/>
          <w:szCs w:val="24"/>
        </w:rPr>
      </w:pPr>
      <w:r w:rsidRPr="00573C0E">
        <w:rPr>
          <w:sz w:val="24"/>
          <w:szCs w:val="24"/>
        </w:rPr>
        <w:t>5</w:t>
      </w:r>
      <w:r w:rsidR="00D54B7B" w:rsidRPr="00573C0E">
        <w:rPr>
          <w:sz w:val="24"/>
          <w:szCs w:val="24"/>
        </w:rPr>
        <w:t>.</w:t>
      </w:r>
      <w:r w:rsidR="00D54B7B" w:rsidRPr="00573C0E">
        <w:rPr>
          <w:sz w:val="24"/>
          <w:szCs w:val="24"/>
        </w:rPr>
        <w:tab/>
        <w:t xml:space="preserve">Section 703 of the Public Utility Code, 66 </w:t>
      </w:r>
      <w:proofErr w:type="spellStart"/>
      <w:r w:rsidR="00D54B7B" w:rsidRPr="00573C0E">
        <w:rPr>
          <w:sz w:val="24"/>
          <w:szCs w:val="24"/>
        </w:rPr>
        <w:t>Pa.C.S.</w:t>
      </w:r>
      <w:r w:rsidR="00E5005B" w:rsidRPr="00573C0E">
        <w:rPr>
          <w:sz w:val="24"/>
          <w:szCs w:val="24"/>
        </w:rPr>
        <w:t>A</w:t>
      </w:r>
      <w:proofErr w:type="spellEnd"/>
      <w:r w:rsidR="00E5005B" w:rsidRPr="00573C0E">
        <w:rPr>
          <w:sz w:val="24"/>
          <w:szCs w:val="24"/>
        </w:rPr>
        <w:t>.</w:t>
      </w:r>
      <w:r w:rsidR="00D54B7B" w:rsidRPr="00573C0E">
        <w:rPr>
          <w:sz w:val="24"/>
          <w:szCs w:val="24"/>
        </w:rPr>
        <w:t xml:space="preserve"> § 703(b), provides that the Commission may dismiss any complaint without a hearing if, in its opinion, a hearing, is not necessary in the public interest.  </w:t>
      </w:r>
    </w:p>
    <w:p w14:paraId="0BED83B2" w14:textId="77777777" w:rsidR="00E5005B" w:rsidRPr="00573C0E" w:rsidRDefault="00E5005B" w:rsidP="00573C0E">
      <w:pPr>
        <w:spacing w:line="360" w:lineRule="auto"/>
        <w:ind w:firstLine="1440"/>
        <w:rPr>
          <w:sz w:val="24"/>
          <w:szCs w:val="24"/>
        </w:rPr>
      </w:pPr>
    </w:p>
    <w:p w14:paraId="31E1EF59" w14:textId="424DD3A6" w:rsidR="00E5005B" w:rsidRPr="00573C0E" w:rsidRDefault="00703F0F" w:rsidP="00573C0E">
      <w:pPr>
        <w:spacing w:line="360" w:lineRule="auto"/>
        <w:ind w:firstLine="1440"/>
        <w:rPr>
          <w:sz w:val="24"/>
          <w:szCs w:val="24"/>
        </w:rPr>
      </w:pPr>
      <w:r w:rsidRPr="00573C0E">
        <w:rPr>
          <w:sz w:val="24"/>
          <w:szCs w:val="24"/>
        </w:rPr>
        <w:t>6</w:t>
      </w:r>
      <w:r w:rsidR="00E5005B" w:rsidRPr="00573C0E">
        <w:rPr>
          <w:sz w:val="24"/>
          <w:szCs w:val="24"/>
        </w:rPr>
        <w:t>.</w:t>
      </w:r>
      <w:r w:rsidR="00E5005B" w:rsidRPr="00573C0E">
        <w:rPr>
          <w:sz w:val="24"/>
          <w:szCs w:val="24"/>
        </w:rPr>
        <w:tab/>
        <w:t>A hearing in this matter is necessary in the public interest.</w:t>
      </w:r>
      <w:r w:rsidR="002E5F5B">
        <w:rPr>
          <w:sz w:val="24"/>
          <w:szCs w:val="24"/>
        </w:rPr>
        <w:br/>
      </w:r>
      <w:r w:rsidR="002E5F5B">
        <w:rPr>
          <w:sz w:val="24"/>
          <w:szCs w:val="24"/>
        </w:rPr>
        <w:br/>
      </w:r>
      <w:r w:rsidR="002E5F5B">
        <w:rPr>
          <w:sz w:val="24"/>
          <w:szCs w:val="24"/>
        </w:rPr>
        <w:br/>
      </w:r>
      <w:r w:rsidR="002E5F5B">
        <w:rPr>
          <w:sz w:val="24"/>
          <w:szCs w:val="24"/>
        </w:rPr>
        <w:br/>
      </w:r>
      <w:r w:rsidR="002E5F5B">
        <w:rPr>
          <w:sz w:val="24"/>
          <w:szCs w:val="24"/>
        </w:rPr>
        <w:br/>
      </w:r>
      <w:r w:rsidR="002E5F5B">
        <w:rPr>
          <w:sz w:val="24"/>
          <w:szCs w:val="24"/>
        </w:rPr>
        <w:br/>
      </w:r>
      <w:r w:rsidR="002E5F5B">
        <w:rPr>
          <w:sz w:val="24"/>
          <w:szCs w:val="24"/>
        </w:rPr>
        <w:br/>
      </w:r>
      <w:r w:rsidR="002E5F5B">
        <w:rPr>
          <w:sz w:val="24"/>
          <w:szCs w:val="24"/>
        </w:rPr>
        <w:br/>
      </w:r>
      <w:bookmarkStart w:id="0" w:name="_GoBack"/>
      <w:bookmarkEnd w:id="0"/>
    </w:p>
    <w:p w14:paraId="1EF62783" w14:textId="0913F415" w:rsidR="00921D8C" w:rsidRPr="00573C0E" w:rsidRDefault="00921D8C" w:rsidP="00573C0E">
      <w:pPr>
        <w:spacing w:line="360" w:lineRule="auto"/>
        <w:jc w:val="center"/>
        <w:outlineLvl w:val="0"/>
        <w:rPr>
          <w:sz w:val="24"/>
          <w:szCs w:val="24"/>
          <w:u w:val="single"/>
        </w:rPr>
      </w:pPr>
      <w:r w:rsidRPr="00573C0E">
        <w:rPr>
          <w:sz w:val="24"/>
          <w:szCs w:val="24"/>
          <w:u w:val="single"/>
        </w:rPr>
        <w:lastRenderedPageBreak/>
        <w:t>ORDER</w:t>
      </w:r>
    </w:p>
    <w:p w14:paraId="696710B6" w14:textId="77777777" w:rsidR="00BC326C" w:rsidRPr="00573C0E" w:rsidRDefault="00BC326C" w:rsidP="00573C0E">
      <w:pPr>
        <w:spacing w:line="360" w:lineRule="auto"/>
        <w:ind w:firstLine="1440"/>
        <w:rPr>
          <w:sz w:val="24"/>
          <w:szCs w:val="24"/>
        </w:rPr>
      </w:pPr>
    </w:p>
    <w:p w14:paraId="31F90310" w14:textId="77777777" w:rsidR="00921D8C" w:rsidRPr="00573C0E" w:rsidRDefault="00921D8C" w:rsidP="00573C0E">
      <w:pPr>
        <w:spacing w:line="360" w:lineRule="auto"/>
        <w:ind w:firstLine="1440"/>
        <w:rPr>
          <w:sz w:val="24"/>
          <w:szCs w:val="24"/>
        </w:rPr>
      </w:pPr>
      <w:r w:rsidRPr="00573C0E">
        <w:rPr>
          <w:sz w:val="24"/>
          <w:szCs w:val="24"/>
        </w:rPr>
        <w:t>THEREFORE,</w:t>
      </w:r>
    </w:p>
    <w:p w14:paraId="38F75AB3" w14:textId="77777777" w:rsidR="00921D8C" w:rsidRPr="00573C0E" w:rsidRDefault="00921D8C" w:rsidP="00573C0E">
      <w:pPr>
        <w:spacing w:line="360" w:lineRule="auto"/>
        <w:ind w:firstLine="1440"/>
        <w:rPr>
          <w:sz w:val="24"/>
          <w:szCs w:val="24"/>
        </w:rPr>
      </w:pPr>
    </w:p>
    <w:p w14:paraId="045F4F5C" w14:textId="77777777" w:rsidR="00921D8C" w:rsidRPr="00573C0E" w:rsidRDefault="00921D8C" w:rsidP="00573C0E">
      <w:pPr>
        <w:spacing w:line="360" w:lineRule="auto"/>
        <w:ind w:firstLine="1440"/>
        <w:outlineLvl w:val="0"/>
        <w:rPr>
          <w:sz w:val="24"/>
          <w:szCs w:val="24"/>
        </w:rPr>
      </w:pPr>
      <w:r w:rsidRPr="00573C0E">
        <w:rPr>
          <w:sz w:val="24"/>
          <w:szCs w:val="24"/>
        </w:rPr>
        <w:t>IT IS ORDERED:</w:t>
      </w:r>
    </w:p>
    <w:p w14:paraId="57743717" w14:textId="77777777" w:rsidR="00921D8C" w:rsidRPr="00573C0E" w:rsidRDefault="00921D8C" w:rsidP="00573C0E">
      <w:pPr>
        <w:spacing w:line="360" w:lineRule="auto"/>
        <w:ind w:firstLine="1440"/>
        <w:rPr>
          <w:sz w:val="24"/>
          <w:szCs w:val="24"/>
        </w:rPr>
      </w:pPr>
    </w:p>
    <w:p w14:paraId="20724FD0" w14:textId="5EEC39A0" w:rsidR="00921D8C" w:rsidRPr="00573C0E" w:rsidRDefault="00921D8C" w:rsidP="00573C0E">
      <w:pPr>
        <w:spacing w:line="360" w:lineRule="auto"/>
        <w:ind w:firstLine="1440"/>
        <w:rPr>
          <w:sz w:val="24"/>
          <w:szCs w:val="24"/>
        </w:rPr>
      </w:pPr>
      <w:r w:rsidRPr="00573C0E">
        <w:rPr>
          <w:sz w:val="24"/>
          <w:szCs w:val="24"/>
        </w:rPr>
        <w:t>1.</w:t>
      </w:r>
      <w:r w:rsidRPr="00573C0E">
        <w:rPr>
          <w:sz w:val="24"/>
          <w:szCs w:val="24"/>
        </w:rPr>
        <w:tab/>
        <w:t xml:space="preserve">That the Preliminary Objections filed by </w:t>
      </w:r>
      <w:r w:rsidR="00064043" w:rsidRPr="00573C0E">
        <w:rPr>
          <w:sz w:val="24"/>
          <w:szCs w:val="24"/>
        </w:rPr>
        <w:t>Duquesne Light</w:t>
      </w:r>
      <w:r w:rsidR="00512840" w:rsidRPr="00573C0E">
        <w:rPr>
          <w:sz w:val="24"/>
          <w:szCs w:val="24"/>
        </w:rPr>
        <w:t xml:space="preserve"> Company</w:t>
      </w:r>
      <w:r w:rsidRPr="00573C0E">
        <w:rPr>
          <w:sz w:val="24"/>
          <w:szCs w:val="24"/>
        </w:rPr>
        <w:t xml:space="preserve"> in the</w:t>
      </w:r>
      <w:r w:rsidR="00703F0F" w:rsidRPr="00573C0E">
        <w:rPr>
          <w:sz w:val="24"/>
          <w:szCs w:val="24"/>
        </w:rPr>
        <w:t xml:space="preserve"> formal</w:t>
      </w:r>
      <w:r w:rsidRPr="00573C0E">
        <w:rPr>
          <w:sz w:val="24"/>
          <w:szCs w:val="24"/>
        </w:rPr>
        <w:t xml:space="preserve"> </w:t>
      </w:r>
      <w:r w:rsidR="00C21C8A" w:rsidRPr="00573C0E">
        <w:rPr>
          <w:sz w:val="24"/>
          <w:szCs w:val="24"/>
        </w:rPr>
        <w:t xml:space="preserve">complaint of </w:t>
      </w:r>
      <w:proofErr w:type="spellStart"/>
      <w:r w:rsidR="001B3C78" w:rsidRPr="00573C0E">
        <w:rPr>
          <w:sz w:val="24"/>
          <w:szCs w:val="24"/>
        </w:rPr>
        <w:t>Lipsoss</w:t>
      </w:r>
      <w:proofErr w:type="spellEnd"/>
      <w:r w:rsidR="00C21C8A" w:rsidRPr="00573C0E">
        <w:rPr>
          <w:sz w:val="24"/>
          <w:szCs w:val="24"/>
        </w:rPr>
        <w:t xml:space="preserve"> </w:t>
      </w:r>
      <w:r w:rsidR="00064043" w:rsidRPr="00573C0E">
        <w:rPr>
          <w:sz w:val="24"/>
          <w:szCs w:val="24"/>
        </w:rPr>
        <w:t xml:space="preserve">Corp Constructors </w:t>
      </w:r>
      <w:r w:rsidR="00C21C8A" w:rsidRPr="00573C0E">
        <w:rPr>
          <w:sz w:val="24"/>
          <w:szCs w:val="24"/>
        </w:rPr>
        <w:t xml:space="preserve">against </w:t>
      </w:r>
      <w:r w:rsidR="00064043" w:rsidRPr="00573C0E">
        <w:rPr>
          <w:sz w:val="24"/>
          <w:szCs w:val="24"/>
        </w:rPr>
        <w:t>Duquesne Light</w:t>
      </w:r>
      <w:r w:rsidR="00512840" w:rsidRPr="00573C0E">
        <w:rPr>
          <w:sz w:val="24"/>
          <w:szCs w:val="24"/>
        </w:rPr>
        <w:t xml:space="preserve"> Company</w:t>
      </w:r>
      <w:r w:rsidR="00C21C8A" w:rsidRPr="00573C0E">
        <w:rPr>
          <w:sz w:val="24"/>
          <w:szCs w:val="24"/>
        </w:rPr>
        <w:t xml:space="preserve"> at Docket No.</w:t>
      </w:r>
      <w:r w:rsidR="008D38D0" w:rsidRPr="00573C0E">
        <w:rPr>
          <w:sz w:val="24"/>
          <w:szCs w:val="24"/>
        </w:rPr>
        <w:t> </w:t>
      </w:r>
      <w:r w:rsidR="001B3C78" w:rsidRPr="00573C0E">
        <w:rPr>
          <w:sz w:val="24"/>
          <w:szCs w:val="24"/>
        </w:rPr>
        <w:t>C-2019-3012350</w:t>
      </w:r>
      <w:r w:rsidRPr="00573C0E">
        <w:rPr>
          <w:sz w:val="24"/>
          <w:szCs w:val="24"/>
        </w:rPr>
        <w:t xml:space="preserve"> </w:t>
      </w:r>
      <w:r w:rsidR="00804BA9" w:rsidRPr="00573C0E">
        <w:rPr>
          <w:sz w:val="24"/>
          <w:szCs w:val="24"/>
        </w:rPr>
        <w:t xml:space="preserve">are </w:t>
      </w:r>
      <w:r w:rsidR="00C21C8A" w:rsidRPr="00573C0E">
        <w:rPr>
          <w:sz w:val="24"/>
          <w:szCs w:val="24"/>
        </w:rPr>
        <w:t>denied</w:t>
      </w:r>
      <w:r w:rsidRPr="00573C0E">
        <w:rPr>
          <w:sz w:val="24"/>
          <w:szCs w:val="24"/>
        </w:rPr>
        <w:t>.</w:t>
      </w:r>
    </w:p>
    <w:p w14:paraId="5C6CABF6" w14:textId="77777777" w:rsidR="00C21C8A" w:rsidRPr="00573C0E" w:rsidRDefault="00C21C8A" w:rsidP="00573C0E">
      <w:pPr>
        <w:spacing w:line="360" w:lineRule="auto"/>
        <w:ind w:firstLine="1440"/>
        <w:rPr>
          <w:sz w:val="24"/>
          <w:szCs w:val="24"/>
        </w:rPr>
      </w:pPr>
    </w:p>
    <w:p w14:paraId="500DEE8F" w14:textId="23BC2373" w:rsidR="00921D8C" w:rsidRPr="00573C0E" w:rsidRDefault="00C21C8A" w:rsidP="00573C0E">
      <w:pPr>
        <w:spacing w:line="360" w:lineRule="auto"/>
        <w:ind w:firstLine="1440"/>
        <w:rPr>
          <w:sz w:val="24"/>
          <w:szCs w:val="24"/>
        </w:rPr>
      </w:pPr>
      <w:r w:rsidRPr="00573C0E">
        <w:rPr>
          <w:sz w:val="24"/>
          <w:szCs w:val="24"/>
        </w:rPr>
        <w:t xml:space="preserve">2. </w:t>
      </w:r>
      <w:r w:rsidRPr="00573C0E">
        <w:rPr>
          <w:sz w:val="24"/>
          <w:szCs w:val="24"/>
        </w:rPr>
        <w:tab/>
        <w:t xml:space="preserve">That </w:t>
      </w:r>
      <w:r w:rsidR="003C35EF" w:rsidRPr="00573C0E">
        <w:rPr>
          <w:sz w:val="24"/>
          <w:szCs w:val="24"/>
        </w:rPr>
        <w:t xml:space="preserve">the </w:t>
      </w:r>
      <w:r w:rsidR="00703F0F" w:rsidRPr="00573C0E">
        <w:rPr>
          <w:sz w:val="24"/>
          <w:szCs w:val="24"/>
        </w:rPr>
        <w:t xml:space="preserve">formal </w:t>
      </w:r>
      <w:r w:rsidR="003C35EF" w:rsidRPr="00573C0E">
        <w:rPr>
          <w:sz w:val="24"/>
          <w:szCs w:val="24"/>
        </w:rPr>
        <w:t xml:space="preserve">complaint of </w:t>
      </w:r>
      <w:proofErr w:type="spellStart"/>
      <w:r w:rsidR="00064043" w:rsidRPr="00573C0E">
        <w:rPr>
          <w:sz w:val="24"/>
          <w:szCs w:val="24"/>
        </w:rPr>
        <w:t>Lipsoss</w:t>
      </w:r>
      <w:proofErr w:type="spellEnd"/>
      <w:r w:rsidR="00064043" w:rsidRPr="00573C0E">
        <w:rPr>
          <w:sz w:val="24"/>
          <w:szCs w:val="24"/>
        </w:rPr>
        <w:t xml:space="preserve"> Corp Constructors against Duquesne Light Company</w:t>
      </w:r>
      <w:r w:rsidR="00703F0F" w:rsidRPr="00573C0E">
        <w:rPr>
          <w:sz w:val="24"/>
          <w:szCs w:val="24"/>
        </w:rPr>
        <w:t xml:space="preserve"> </w:t>
      </w:r>
      <w:r w:rsidR="003C35EF" w:rsidRPr="00573C0E">
        <w:rPr>
          <w:sz w:val="24"/>
          <w:szCs w:val="24"/>
        </w:rPr>
        <w:t xml:space="preserve">at Docket No. </w:t>
      </w:r>
      <w:r w:rsidR="001B3C78" w:rsidRPr="00573C0E">
        <w:rPr>
          <w:sz w:val="24"/>
          <w:szCs w:val="24"/>
        </w:rPr>
        <w:t>C-2019-3012350</w:t>
      </w:r>
      <w:r w:rsidR="003C35EF" w:rsidRPr="00573C0E">
        <w:rPr>
          <w:sz w:val="24"/>
          <w:szCs w:val="24"/>
        </w:rPr>
        <w:t xml:space="preserve"> </w:t>
      </w:r>
      <w:r w:rsidRPr="00573C0E">
        <w:rPr>
          <w:sz w:val="24"/>
          <w:szCs w:val="24"/>
        </w:rPr>
        <w:t>will p</w:t>
      </w:r>
      <w:r w:rsidR="002D5998" w:rsidRPr="00573C0E">
        <w:rPr>
          <w:sz w:val="24"/>
          <w:szCs w:val="24"/>
        </w:rPr>
        <w:t>roceed to an initial hearing on</w:t>
      </w:r>
      <w:r w:rsidR="00064043" w:rsidRPr="00573C0E">
        <w:rPr>
          <w:sz w:val="24"/>
          <w:szCs w:val="24"/>
        </w:rPr>
        <w:t xml:space="preserve"> </w:t>
      </w:r>
      <w:r w:rsidR="002D5998" w:rsidRPr="00573C0E">
        <w:rPr>
          <w:sz w:val="24"/>
          <w:szCs w:val="24"/>
        </w:rPr>
        <w:t xml:space="preserve">whether </w:t>
      </w:r>
      <w:r w:rsidR="00703F0F" w:rsidRPr="00573C0E">
        <w:rPr>
          <w:sz w:val="24"/>
          <w:szCs w:val="24"/>
        </w:rPr>
        <w:t>Respondent properly</w:t>
      </w:r>
      <w:r w:rsidR="00FF3A28" w:rsidRPr="00573C0E">
        <w:rPr>
          <w:sz w:val="24"/>
          <w:szCs w:val="24"/>
        </w:rPr>
        <w:t xml:space="preserve"> refused to move the </w:t>
      </w:r>
      <w:r w:rsidR="0014291B" w:rsidRPr="00573C0E">
        <w:rPr>
          <w:sz w:val="24"/>
          <w:szCs w:val="24"/>
        </w:rPr>
        <w:t xml:space="preserve">pole and/or </w:t>
      </w:r>
      <w:r w:rsidR="00FF3A28" w:rsidRPr="00573C0E">
        <w:rPr>
          <w:sz w:val="24"/>
          <w:szCs w:val="24"/>
        </w:rPr>
        <w:t>wires which allegedly overhang the service address</w:t>
      </w:r>
      <w:r w:rsidR="0014291B" w:rsidRPr="00573C0E">
        <w:rPr>
          <w:sz w:val="24"/>
          <w:szCs w:val="24"/>
        </w:rPr>
        <w:t xml:space="preserve"> at 4703 Liberty Avenue, Pittsburgh, Pennsylvania 15224</w:t>
      </w:r>
      <w:r w:rsidR="003C35EF" w:rsidRPr="00573C0E">
        <w:rPr>
          <w:sz w:val="24"/>
          <w:szCs w:val="24"/>
        </w:rPr>
        <w:t>.</w:t>
      </w:r>
      <w:r w:rsidR="00804BA9" w:rsidRPr="00573C0E">
        <w:rPr>
          <w:sz w:val="24"/>
          <w:szCs w:val="24"/>
        </w:rPr>
        <w:t xml:space="preserve">  </w:t>
      </w:r>
    </w:p>
    <w:p w14:paraId="41C64BF4" w14:textId="77777777" w:rsidR="005E192D" w:rsidRPr="00573C0E" w:rsidRDefault="005E192D" w:rsidP="00573C0E">
      <w:pPr>
        <w:spacing w:line="360" w:lineRule="auto"/>
        <w:ind w:firstLine="1440"/>
        <w:rPr>
          <w:sz w:val="24"/>
          <w:szCs w:val="24"/>
        </w:rPr>
      </w:pPr>
    </w:p>
    <w:p w14:paraId="6F5CA488" w14:textId="77777777" w:rsidR="00027891" w:rsidRPr="00573C0E" w:rsidRDefault="00027891" w:rsidP="00573C0E">
      <w:pPr>
        <w:spacing w:line="360" w:lineRule="auto"/>
        <w:ind w:firstLine="1440"/>
        <w:rPr>
          <w:sz w:val="24"/>
          <w:szCs w:val="24"/>
        </w:rPr>
      </w:pPr>
    </w:p>
    <w:p w14:paraId="48388027" w14:textId="7D7F5DE9" w:rsidR="00DC5645" w:rsidRPr="00DC5645" w:rsidRDefault="00DC5645" w:rsidP="00DC5645">
      <w:pPr>
        <w:widowControl w:val="0"/>
        <w:tabs>
          <w:tab w:val="left" w:pos="0"/>
        </w:tabs>
        <w:adjustRightInd w:val="0"/>
        <w:jc w:val="both"/>
        <w:rPr>
          <w:sz w:val="24"/>
          <w:szCs w:val="24"/>
          <w:u w:val="single"/>
        </w:rPr>
      </w:pPr>
      <w:r w:rsidRPr="00DC5645">
        <w:rPr>
          <w:sz w:val="24"/>
          <w:szCs w:val="24"/>
        </w:rPr>
        <w:t xml:space="preserve">Date:  </w:t>
      </w:r>
      <w:r w:rsidR="00064043">
        <w:rPr>
          <w:sz w:val="24"/>
          <w:szCs w:val="24"/>
          <w:u w:val="single"/>
        </w:rPr>
        <w:t>October 2</w:t>
      </w:r>
      <w:r w:rsidR="0014291B">
        <w:rPr>
          <w:sz w:val="24"/>
          <w:szCs w:val="24"/>
          <w:u w:val="single"/>
        </w:rPr>
        <w:t>9</w:t>
      </w:r>
      <w:r w:rsidRPr="00DC5645">
        <w:rPr>
          <w:sz w:val="24"/>
          <w:szCs w:val="24"/>
          <w:u w:val="single"/>
        </w:rPr>
        <w:t>, 2019</w:t>
      </w:r>
      <w:r w:rsidRPr="00DC5645">
        <w:rPr>
          <w:sz w:val="24"/>
          <w:szCs w:val="24"/>
        </w:rPr>
        <w:tab/>
      </w:r>
      <w:r w:rsidRPr="00DC5645">
        <w:rPr>
          <w:sz w:val="24"/>
          <w:szCs w:val="24"/>
        </w:rPr>
        <w:tab/>
      </w:r>
      <w:r w:rsidRPr="00DC5645">
        <w:rPr>
          <w:sz w:val="24"/>
          <w:szCs w:val="24"/>
        </w:rPr>
        <w:tab/>
      </w:r>
      <w:r w:rsidRPr="00DC5645">
        <w:rPr>
          <w:sz w:val="24"/>
          <w:szCs w:val="24"/>
        </w:rPr>
        <w:tab/>
      </w:r>
      <w:r w:rsidRPr="00DC5645">
        <w:rPr>
          <w:sz w:val="24"/>
          <w:szCs w:val="24"/>
        </w:rPr>
        <w:tab/>
      </w:r>
      <w:r w:rsidRPr="00DC5645">
        <w:rPr>
          <w:sz w:val="24"/>
          <w:szCs w:val="24"/>
          <w:u w:val="single"/>
        </w:rPr>
        <w:tab/>
      </w:r>
      <w:r w:rsidRPr="00DC5645">
        <w:rPr>
          <w:sz w:val="24"/>
          <w:szCs w:val="24"/>
          <w:u w:val="single"/>
        </w:rPr>
        <w:tab/>
        <w:t>/s/</w:t>
      </w:r>
      <w:r w:rsidRPr="00DC5645">
        <w:rPr>
          <w:sz w:val="24"/>
          <w:szCs w:val="24"/>
          <w:u w:val="single"/>
        </w:rPr>
        <w:tab/>
      </w:r>
      <w:r w:rsidRPr="00DC5645">
        <w:rPr>
          <w:sz w:val="24"/>
          <w:szCs w:val="24"/>
          <w:u w:val="single"/>
        </w:rPr>
        <w:tab/>
      </w:r>
      <w:r w:rsidRPr="00DC5645">
        <w:rPr>
          <w:sz w:val="24"/>
          <w:szCs w:val="24"/>
          <w:u w:val="single"/>
        </w:rPr>
        <w:tab/>
      </w:r>
    </w:p>
    <w:p w14:paraId="3A992B44" w14:textId="77777777" w:rsidR="00DC5645" w:rsidRPr="00DC5645" w:rsidRDefault="00DC5645" w:rsidP="00DC5645">
      <w:pPr>
        <w:widowControl w:val="0"/>
        <w:tabs>
          <w:tab w:val="left" w:pos="0"/>
        </w:tabs>
        <w:adjustRightInd w:val="0"/>
        <w:jc w:val="both"/>
        <w:rPr>
          <w:sz w:val="24"/>
          <w:szCs w:val="24"/>
        </w:rPr>
      </w:pPr>
      <w:r w:rsidRPr="00DC5645">
        <w:rPr>
          <w:sz w:val="24"/>
          <w:szCs w:val="24"/>
        </w:rPr>
        <w:tab/>
      </w:r>
      <w:r w:rsidRPr="00DC5645">
        <w:rPr>
          <w:sz w:val="24"/>
          <w:szCs w:val="24"/>
        </w:rPr>
        <w:tab/>
      </w:r>
      <w:r w:rsidRPr="00DC5645">
        <w:rPr>
          <w:sz w:val="24"/>
          <w:szCs w:val="24"/>
        </w:rPr>
        <w:tab/>
      </w:r>
      <w:r w:rsidRPr="00DC5645">
        <w:rPr>
          <w:sz w:val="24"/>
          <w:szCs w:val="24"/>
        </w:rPr>
        <w:tab/>
      </w:r>
      <w:r w:rsidRPr="00DC5645">
        <w:rPr>
          <w:sz w:val="24"/>
          <w:szCs w:val="24"/>
        </w:rPr>
        <w:tab/>
      </w:r>
      <w:r w:rsidRPr="00DC5645">
        <w:rPr>
          <w:sz w:val="24"/>
          <w:szCs w:val="24"/>
        </w:rPr>
        <w:tab/>
      </w:r>
      <w:r w:rsidRPr="00DC5645">
        <w:rPr>
          <w:sz w:val="24"/>
          <w:szCs w:val="24"/>
        </w:rPr>
        <w:tab/>
      </w:r>
      <w:r w:rsidRPr="00DC5645">
        <w:rPr>
          <w:sz w:val="24"/>
          <w:szCs w:val="24"/>
        </w:rPr>
        <w:tab/>
        <w:t>Katrina L. Dunderdale</w:t>
      </w:r>
    </w:p>
    <w:p w14:paraId="211D940A" w14:textId="77777777" w:rsidR="00DC5645" w:rsidRPr="00DC5645" w:rsidRDefault="00DC5645" w:rsidP="00DC5645">
      <w:pPr>
        <w:widowControl w:val="0"/>
        <w:tabs>
          <w:tab w:val="left" w:pos="0"/>
        </w:tabs>
        <w:adjustRightInd w:val="0"/>
        <w:jc w:val="both"/>
        <w:rPr>
          <w:sz w:val="24"/>
          <w:szCs w:val="24"/>
        </w:rPr>
      </w:pPr>
      <w:r w:rsidRPr="00DC5645">
        <w:rPr>
          <w:sz w:val="24"/>
          <w:szCs w:val="24"/>
        </w:rPr>
        <w:tab/>
      </w:r>
      <w:r w:rsidRPr="00DC5645">
        <w:rPr>
          <w:sz w:val="24"/>
          <w:szCs w:val="24"/>
        </w:rPr>
        <w:tab/>
      </w:r>
      <w:r w:rsidRPr="00DC5645">
        <w:rPr>
          <w:sz w:val="24"/>
          <w:szCs w:val="24"/>
        </w:rPr>
        <w:tab/>
      </w:r>
      <w:r w:rsidRPr="00DC5645">
        <w:rPr>
          <w:sz w:val="24"/>
          <w:szCs w:val="24"/>
        </w:rPr>
        <w:tab/>
      </w:r>
      <w:r w:rsidRPr="00DC5645">
        <w:rPr>
          <w:sz w:val="24"/>
          <w:szCs w:val="24"/>
        </w:rPr>
        <w:tab/>
      </w:r>
      <w:r w:rsidRPr="00DC5645">
        <w:rPr>
          <w:sz w:val="24"/>
          <w:szCs w:val="24"/>
        </w:rPr>
        <w:tab/>
      </w:r>
      <w:r w:rsidRPr="00DC5645">
        <w:rPr>
          <w:sz w:val="24"/>
          <w:szCs w:val="24"/>
        </w:rPr>
        <w:tab/>
      </w:r>
      <w:r w:rsidRPr="00DC5645">
        <w:rPr>
          <w:sz w:val="24"/>
          <w:szCs w:val="24"/>
        </w:rPr>
        <w:tab/>
        <w:t>Administrative Law Judge</w:t>
      </w:r>
    </w:p>
    <w:p w14:paraId="2EBEECDF" w14:textId="4386A182" w:rsidR="00B82D84" w:rsidRDefault="00B82D84">
      <w:pPr>
        <w:rPr>
          <w:sz w:val="24"/>
          <w:szCs w:val="24"/>
        </w:rPr>
      </w:pPr>
    </w:p>
    <w:p w14:paraId="1EEECCF9" w14:textId="4A3A30A4" w:rsidR="00482D69" w:rsidRDefault="00482D69">
      <w:pPr>
        <w:rPr>
          <w:sz w:val="24"/>
          <w:szCs w:val="24"/>
        </w:rPr>
      </w:pPr>
    </w:p>
    <w:p w14:paraId="1E781E96" w14:textId="77777777" w:rsidR="003758C7" w:rsidRDefault="003758C7">
      <w:pPr>
        <w:rPr>
          <w:sz w:val="24"/>
          <w:szCs w:val="24"/>
        </w:rPr>
        <w:sectPr w:rsidR="003758C7" w:rsidSect="00B82D84">
          <w:footerReference w:type="even" r:id="rId8"/>
          <w:footerReference w:type="default" r:id="rId9"/>
          <w:pgSz w:w="12240" w:h="15840" w:code="1"/>
          <w:pgMar w:top="1440" w:right="1440" w:bottom="1440" w:left="1440" w:header="0" w:footer="720" w:gutter="0"/>
          <w:cols w:space="720"/>
          <w:titlePg/>
          <w:docGrid w:linePitch="272"/>
        </w:sectPr>
      </w:pPr>
    </w:p>
    <w:p w14:paraId="02C1B201" w14:textId="77777777" w:rsidR="003758C7" w:rsidRPr="003758C7" w:rsidRDefault="003758C7" w:rsidP="003758C7">
      <w:pPr>
        <w:autoSpaceDE/>
        <w:autoSpaceDN/>
        <w:rPr>
          <w:rFonts w:ascii="Microsoft Sans Serif" w:eastAsia="Microsoft Sans Serif" w:hAnsi="Microsoft Sans Serif" w:cs="Microsoft Sans Serif"/>
          <w:sz w:val="24"/>
          <w:szCs w:val="22"/>
        </w:rPr>
      </w:pPr>
      <w:r w:rsidRPr="003758C7">
        <w:rPr>
          <w:rFonts w:ascii="Microsoft Sans Serif" w:eastAsia="Microsoft Sans Serif" w:hAnsi="Microsoft Sans Serif" w:cs="Microsoft Sans Serif"/>
          <w:b/>
          <w:sz w:val="24"/>
          <w:szCs w:val="22"/>
          <w:u w:val="single"/>
        </w:rPr>
        <w:lastRenderedPageBreak/>
        <w:t xml:space="preserve">C-2019-3012350 - </w:t>
      </w:r>
      <w:proofErr w:type="spellStart"/>
      <w:r w:rsidRPr="003758C7">
        <w:rPr>
          <w:rFonts w:ascii="Microsoft Sans Serif" w:eastAsia="Microsoft Sans Serif" w:hAnsi="Microsoft Sans Serif" w:cs="Microsoft Sans Serif"/>
          <w:b/>
          <w:sz w:val="24"/>
          <w:szCs w:val="22"/>
          <w:u w:val="single"/>
        </w:rPr>
        <w:t>LIPSOSS</w:t>
      </w:r>
      <w:proofErr w:type="spellEnd"/>
      <w:r w:rsidRPr="003758C7">
        <w:rPr>
          <w:rFonts w:ascii="Microsoft Sans Serif" w:eastAsia="Microsoft Sans Serif" w:hAnsi="Microsoft Sans Serif" w:cs="Microsoft Sans Serif"/>
          <w:b/>
          <w:sz w:val="24"/>
          <w:szCs w:val="22"/>
          <w:u w:val="single"/>
        </w:rPr>
        <w:t xml:space="preserve"> CORP CONSTRUCTORS v. DUQUESNE LIGHT COMPANY</w:t>
      </w:r>
      <w:r w:rsidRPr="003758C7">
        <w:rPr>
          <w:rFonts w:ascii="Microsoft Sans Serif" w:eastAsia="Microsoft Sans Serif" w:hAnsi="Microsoft Sans Serif" w:cs="Microsoft Sans Serif"/>
          <w:b/>
          <w:sz w:val="24"/>
          <w:szCs w:val="22"/>
          <w:u w:val="single"/>
        </w:rPr>
        <w:cr/>
      </w:r>
      <w:r w:rsidRPr="003758C7">
        <w:rPr>
          <w:rFonts w:ascii="Microsoft Sans Serif" w:eastAsia="Microsoft Sans Serif" w:hAnsi="Microsoft Sans Serif" w:cs="Microsoft Sans Serif"/>
          <w:b/>
          <w:sz w:val="24"/>
          <w:szCs w:val="22"/>
          <w:u w:val="single"/>
        </w:rPr>
        <w:cr/>
      </w:r>
      <w:r w:rsidRPr="003758C7">
        <w:rPr>
          <w:rFonts w:ascii="Microsoft Sans Serif" w:eastAsia="Microsoft Sans Serif" w:hAnsi="Microsoft Sans Serif" w:cs="Microsoft Sans Serif"/>
          <w:sz w:val="24"/>
          <w:szCs w:val="22"/>
        </w:rPr>
        <w:t>BRAD SOMMER ESQUIRE</w:t>
      </w:r>
    </w:p>
    <w:p w14:paraId="5BD69376" w14:textId="77777777" w:rsidR="003758C7" w:rsidRPr="003758C7" w:rsidRDefault="003758C7" w:rsidP="003758C7">
      <w:pPr>
        <w:autoSpaceDE/>
        <w:autoSpaceDN/>
        <w:rPr>
          <w:rFonts w:ascii="Microsoft Sans Serif" w:eastAsia="Microsoft Sans Serif" w:hAnsi="Microsoft Sans Serif" w:cs="Microsoft Sans Serif"/>
          <w:b/>
          <w:bCs/>
          <w:i/>
          <w:iCs/>
          <w:sz w:val="24"/>
          <w:u w:val="single"/>
        </w:rPr>
      </w:pPr>
      <w:r w:rsidRPr="003758C7">
        <w:rPr>
          <w:rFonts w:ascii="Microsoft Sans Serif" w:eastAsia="Microsoft Sans Serif" w:hAnsi="Microsoft Sans Serif" w:cs="Microsoft Sans Serif"/>
          <w:sz w:val="24"/>
          <w:szCs w:val="22"/>
        </w:rPr>
        <w:t>CRAIG E MARAVICH  ESQUIRE</w:t>
      </w:r>
      <w:r w:rsidRPr="003758C7">
        <w:rPr>
          <w:rFonts w:ascii="Microsoft Sans Serif" w:eastAsia="Microsoft Sans Serif" w:hAnsi="Microsoft Sans Serif" w:cs="Microsoft Sans Serif"/>
          <w:sz w:val="24"/>
          <w:szCs w:val="22"/>
        </w:rPr>
        <w:cr/>
        <w:t>SOMMER LAW GROUP</w:t>
      </w:r>
      <w:r w:rsidRPr="003758C7">
        <w:rPr>
          <w:rFonts w:ascii="Microsoft Sans Serif" w:eastAsia="Microsoft Sans Serif" w:hAnsi="Microsoft Sans Serif" w:cs="Microsoft Sans Serif"/>
          <w:sz w:val="24"/>
          <w:szCs w:val="22"/>
        </w:rPr>
        <w:cr/>
        <w:t>6 MARKET SQUARE</w:t>
      </w:r>
      <w:r w:rsidRPr="003758C7">
        <w:rPr>
          <w:rFonts w:ascii="Microsoft Sans Serif" w:eastAsia="Microsoft Sans Serif" w:hAnsi="Microsoft Sans Serif" w:cs="Microsoft Sans Serif"/>
          <w:sz w:val="24"/>
          <w:szCs w:val="22"/>
        </w:rPr>
        <w:cr/>
        <w:t>PITTSBURGH PA  15222</w:t>
      </w:r>
      <w:r w:rsidRPr="003758C7">
        <w:rPr>
          <w:rFonts w:ascii="Microsoft Sans Serif" w:eastAsia="Microsoft Sans Serif" w:hAnsi="Microsoft Sans Serif" w:cs="Microsoft Sans Serif"/>
          <w:sz w:val="24"/>
          <w:szCs w:val="22"/>
        </w:rPr>
        <w:cr/>
        <w:t>412-471-1266</w:t>
      </w:r>
      <w:r w:rsidRPr="003758C7">
        <w:rPr>
          <w:rFonts w:ascii="Microsoft Sans Serif" w:eastAsia="Microsoft Sans Serif" w:hAnsi="Microsoft Sans Serif" w:cs="Microsoft Sans Serif"/>
          <w:sz w:val="24"/>
          <w:szCs w:val="22"/>
        </w:rPr>
        <w:cr/>
      </w:r>
      <w:r w:rsidRPr="003758C7">
        <w:rPr>
          <w:rFonts w:ascii="Microsoft Sans Serif" w:eastAsia="Microsoft Sans Serif" w:hAnsi="Microsoft Sans Serif" w:cs="Microsoft Sans Serif"/>
          <w:b/>
          <w:bCs/>
          <w:i/>
          <w:iCs/>
          <w:sz w:val="24"/>
          <w:u w:val="single"/>
        </w:rPr>
        <w:t>ACCEPTS E-SERVICE</w:t>
      </w:r>
    </w:p>
    <w:p w14:paraId="51E3F5D0" w14:textId="77777777" w:rsidR="003758C7" w:rsidRPr="003758C7" w:rsidRDefault="003758C7" w:rsidP="003758C7">
      <w:pPr>
        <w:autoSpaceDE/>
        <w:autoSpaceDN/>
        <w:rPr>
          <w:rFonts w:ascii="Microsoft Sans Serif" w:eastAsia="Microsoft Sans Serif" w:hAnsi="Microsoft Sans Serif" w:cs="Microsoft Sans Serif"/>
          <w:b/>
          <w:sz w:val="24"/>
          <w:szCs w:val="22"/>
          <w:u w:val="single"/>
        </w:rPr>
      </w:pPr>
    </w:p>
    <w:p w14:paraId="7EA57C6A" w14:textId="77777777" w:rsidR="006005F8" w:rsidRPr="006005F8" w:rsidRDefault="006005F8" w:rsidP="006005F8">
      <w:pPr>
        <w:autoSpaceDE/>
        <w:autoSpaceDN/>
        <w:rPr>
          <w:rFonts w:ascii="Microsoft Sans Serif" w:eastAsia="Microsoft Sans Serif" w:hAnsi="Microsoft Sans Serif" w:cs="Microsoft Sans Serif"/>
          <w:sz w:val="24"/>
          <w:szCs w:val="22"/>
        </w:rPr>
      </w:pPr>
      <w:r w:rsidRPr="006005F8">
        <w:rPr>
          <w:rFonts w:ascii="Microsoft Sans Serif" w:eastAsia="Microsoft Sans Serif" w:hAnsi="Microsoft Sans Serif" w:cs="Microsoft Sans Serif"/>
          <w:sz w:val="24"/>
          <w:szCs w:val="22"/>
        </w:rPr>
        <w:t xml:space="preserve">ANASTASIOS </w:t>
      </w:r>
      <w:proofErr w:type="spellStart"/>
      <w:r w:rsidRPr="006005F8">
        <w:rPr>
          <w:rFonts w:ascii="Microsoft Sans Serif" w:eastAsia="Microsoft Sans Serif" w:hAnsi="Microsoft Sans Serif" w:cs="Microsoft Sans Serif"/>
          <w:sz w:val="24"/>
          <w:szCs w:val="22"/>
        </w:rPr>
        <w:t>SMALIS</w:t>
      </w:r>
      <w:proofErr w:type="spellEnd"/>
      <w:r w:rsidRPr="006005F8">
        <w:rPr>
          <w:rFonts w:ascii="Microsoft Sans Serif" w:eastAsia="Microsoft Sans Serif" w:hAnsi="Microsoft Sans Serif" w:cs="Microsoft Sans Serif"/>
          <w:sz w:val="24"/>
          <w:szCs w:val="22"/>
        </w:rPr>
        <w:cr/>
      </w:r>
      <w:proofErr w:type="spellStart"/>
      <w:r w:rsidRPr="006005F8">
        <w:rPr>
          <w:rFonts w:ascii="Microsoft Sans Serif" w:eastAsia="Microsoft Sans Serif" w:hAnsi="Microsoft Sans Serif" w:cs="Microsoft Sans Serif"/>
          <w:sz w:val="24"/>
          <w:szCs w:val="22"/>
        </w:rPr>
        <w:t>LIPSOSS</w:t>
      </w:r>
      <w:proofErr w:type="spellEnd"/>
      <w:r w:rsidRPr="006005F8">
        <w:rPr>
          <w:rFonts w:ascii="Microsoft Sans Serif" w:eastAsia="Microsoft Sans Serif" w:hAnsi="Microsoft Sans Serif" w:cs="Microsoft Sans Serif"/>
          <w:sz w:val="24"/>
          <w:szCs w:val="22"/>
        </w:rPr>
        <w:t xml:space="preserve"> CORP</w:t>
      </w:r>
      <w:r w:rsidRPr="006005F8">
        <w:rPr>
          <w:rFonts w:ascii="Microsoft Sans Serif" w:eastAsia="Microsoft Sans Serif" w:hAnsi="Microsoft Sans Serif" w:cs="Microsoft Sans Serif"/>
          <w:sz w:val="24"/>
          <w:szCs w:val="22"/>
        </w:rPr>
        <w:cr/>
        <w:t>6652 NORTHUMBERLAND ST</w:t>
      </w:r>
      <w:r w:rsidRPr="006005F8">
        <w:rPr>
          <w:rFonts w:ascii="Microsoft Sans Serif" w:eastAsia="Microsoft Sans Serif" w:hAnsi="Microsoft Sans Serif" w:cs="Microsoft Sans Serif"/>
          <w:sz w:val="24"/>
          <w:szCs w:val="22"/>
        </w:rPr>
        <w:cr/>
        <w:t>PITTSBURGH PA  15217</w:t>
      </w:r>
      <w:r w:rsidRPr="006005F8">
        <w:rPr>
          <w:rFonts w:ascii="Microsoft Sans Serif" w:eastAsia="Microsoft Sans Serif" w:hAnsi="Microsoft Sans Serif" w:cs="Microsoft Sans Serif"/>
          <w:sz w:val="24"/>
          <w:szCs w:val="22"/>
        </w:rPr>
        <w:cr/>
        <w:t>412-303-5564</w:t>
      </w:r>
    </w:p>
    <w:p w14:paraId="2DA2F0CF" w14:textId="77777777" w:rsidR="006005F8" w:rsidRPr="006005F8" w:rsidRDefault="006005F8" w:rsidP="006005F8">
      <w:pPr>
        <w:autoSpaceDE/>
        <w:autoSpaceDN/>
        <w:rPr>
          <w:rFonts w:ascii="Microsoft Sans Serif" w:eastAsia="Microsoft Sans Serif" w:hAnsi="Microsoft Sans Serif" w:cs="Microsoft Sans Serif"/>
          <w:b/>
          <w:sz w:val="24"/>
          <w:szCs w:val="22"/>
          <w:u w:val="single"/>
        </w:rPr>
      </w:pPr>
    </w:p>
    <w:p w14:paraId="5EFD0A3E" w14:textId="77777777" w:rsidR="006005F8" w:rsidRPr="006005F8" w:rsidRDefault="006005F8" w:rsidP="006005F8">
      <w:pPr>
        <w:autoSpaceDE/>
        <w:autoSpaceDN/>
        <w:rPr>
          <w:rFonts w:ascii="Microsoft Sans Serif" w:eastAsia="Microsoft Sans Serif" w:hAnsi="Microsoft Sans Serif" w:cs="Microsoft Sans Serif"/>
          <w:sz w:val="24"/>
          <w:szCs w:val="22"/>
        </w:rPr>
      </w:pPr>
      <w:r w:rsidRPr="006005F8">
        <w:rPr>
          <w:rFonts w:ascii="Microsoft Sans Serif" w:eastAsia="Microsoft Sans Serif" w:hAnsi="Microsoft Sans Serif" w:cs="Microsoft Sans Serif"/>
          <w:sz w:val="24"/>
          <w:szCs w:val="22"/>
        </w:rPr>
        <w:t>EMILY M FARAH COUNSEL</w:t>
      </w:r>
      <w:r w:rsidRPr="006005F8">
        <w:rPr>
          <w:rFonts w:ascii="Microsoft Sans Serif" w:eastAsia="Microsoft Sans Serif" w:hAnsi="Microsoft Sans Serif" w:cs="Microsoft Sans Serif"/>
          <w:sz w:val="24"/>
          <w:szCs w:val="22"/>
        </w:rPr>
        <w:cr/>
        <w:t>DUQUESNE LIGHT COMPANY</w:t>
      </w:r>
      <w:r w:rsidRPr="006005F8">
        <w:rPr>
          <w:rFonts w:ascii="Microsoft Sans Serif" w:eastAsia="Microsoft Sans Serif" w:hAnsi="Microsoft Sans Serif" w:cs="Microsoft Sans Serif"/>
          <w:sz w:val="24"/>
          <w:szCs w:val="22"/>
        </w:rPr>
        <w:cr/>
        <w:t>411 Seventh Avenue</w:t>
      </w:r>
      <w:r w:rsidRPr="006005F8">
        <w:rPr>
          <w:rFonts w:ascii="Microsoft Sans Serif" w:eastAsia="Microsoft Sans Serif" w:hAnsi="Microsoft Sans Serif" w:cs="Microsoft Sans Serif"/>
          <w:sz w:val="24"/>
          <w:szCs w:val="22"/>
        </w:rPr>
        <w:cr/>
        <w:t>PITTSBURGH PA  15219</w:t>
      </w:r>
      <w:r w:rsidRPr="006005F8">
        <w:rPr>
          <w:rFonts w:ascii="Microsoft Sans Serif" w:eastAsia="Microsoft Sans Serif" w:hAnsi="Microsoft Sans Serif" w:cs="Microsoft Sans Serif"/>
          <w:sz w:val="24"/>
          <w:szCs w:val="22"/>
        </w:rPr>
        <w:cr/>
        <w:t>412-393-6431</w:t>
      </w:r>
      <w:r w:rsidRPr="006005F8">
        <w:rPr>
          <w:rFonts w:ascii="Microsoft Sans Serif" w:eastAsia="Microsoft Sans Serif" w:hAnsi="Microsoft Sans Serif" w:cs="Microsoft Sans Serif"/>
          <w:sz w:val="24"/>
          <w:szCs w:val="22"/>
        </w:rPr>
        <w:cr/>
      </w:r>
      <w:r w:rsidRPr="006005F8">
        <w:rPr>
          <w:rFonts w:ascii="Microsoft Sans Serif" w:eastAsia="Microsoft Sans Serif" w:hAnsi="Microsoft Sans Serif" w:cs="Microsoft Sans Serif"/>
          <w:b/>
          <w:bCs/>
          <w:i/>
          <w:iCs/>
          <w:sz w:val="24"/>
          <w:u w:val="single"/>
        </w:rPr>
        <w:t>ACCEPTS E-SERVICE</w:t>
      </w:r>
      <w:r w:rsidRPr="006005F8">
        <w:rPr>
          <w:rFonts w:ascii="Microsoft Sans Serif" w:eastAsia="Microsoft Sans Serif" w:hAnsi="Microsoft Sans Serif" w:cs="Microsoft Sans Serif"/>
          <w:sz w:val="24"/>
          <w:szCs w:val="22"/>
        </w:rPr>
        <w:t xml:space="preserve"> </w:t>
      </w:r>
      <w:r w:rsidRPr="006005F8">
        <w:rPr>
          <w:rFonts w:ascii="Microsoft Sans Serif" w:eastAsia="Microsoft Sans Serif" w:hAnsi="Microsoft Sans Serif" w:cs="Microsoft Sans Serif"/>
          <w:sz w:val="24"/>
          <w:szCs w:val="22"/>
        </w:rPr>
        <w:cr/>
      </w:r>
    </w:p>
    <w:p w14:paraId="69AB2170" w14:textId="46F34B88" w:rsidR="003758C7" w:rsidRPr="003758C7" w:rsidRDefault="003758C7" w:rsidP="003758C7">
      <w:pPr>
        <w:autoSpaceDE/>
        <w:autoSpaceDN/>
        <w:rPr>
          <w:rFonts w:ascii="Calibri" w:hAnsi="Calibri"/>
          <w:sz w:val="22"/>
          <w:szCs w:val="22"/>
        </w:rPr>
      </w:pPr>
      <w:r w:rsidRPr="003758C7">
        <w:rPr>
          <w:rFonts w:ascii="Microsoft Sans Serif" w:eastAsia="Microsoft Sans Serif" w:hAnsi="Microsoft Sans Serif" w:cs="Microsoft Sans Serif"/>
          <w:sz w:val="24"/>
          <w:szCs w:val="22"/>
        </w:rPr>
        <w:cr/>
      </w:r>
    </w:p>
    <w:p w14:paraId="652EA226" w14:textId="77777777" w:rsidR="003758C7" w:rsidRPr="003758C7" w:rsidRDefault="003758C7" w:rsidP="003758C7">
      <w:pPr>
        <w:autoSpaceDE/>
        <w:autoSpaceDN/>
        <w:rPr>
          <w:rFonts w:ascii="Calibri" w:hAnsi="Calibri"/>
          <w:sz w:val="22"/>
          <w:szCs w:val="22"/>
        </w:rPr>
      </w:pPr>
    </w:p>
    <w:p w14:paraId="3568E8A8" w14:textId="7F91FBDC" w:rsidR="00482D69" w:rsidRPr="00BA7EDA" w:rsidRDefault="00482D69">
      <w:pPr>
        <w:rPr>
          <w:sz w:val="24"/>
          <w:szCs w:val="24"/>
        </w:rPr>
      </w:pPr>
    </w:p>
    <w:sectPr w:rsidR="00482D69" w:rsidRPr="00BA7E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8D5FD" w14:textId="77777777" w:rsidR="001A093F" w:rsidRDefault="001A093F">
      <w:r>
        <w:separator/>
      </w:r>
    </w:p>
  </w:endnote>
  <w:endnote w:type="continuationSeparator" w:id="0">
    <w:p w14:paraId="7491EEC8" w14:textId="77777777" w:rsidR="001A093F" w:rsidRDefault="001A0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D1AF8" w14:textId="77777777" w:rsidR="00644347" w:rsidRDefault="00644347" w:rsidP="00C638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D05AE3" w14:textId="77777777" w:rsidR="00644347" w:rsidRDefault="00644347">
    <w:pPr>
      <w:pStyle w:val="Footer"/>
    </w:pPr>
  </w:p>
  <w:p w14:paraId="313B722F" w14:textId="77777777" w:rsidR="00C60074" w:rsidRDefault="00C60074"/>
  <w:p w14:paraId="50984600" w14:textId="77777777" w:rsidR="00C60074" w:rsidRDefault="00C6007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A83E9" w14:textId="77777777" w:rsidR="00644347" w:rsidRDefault="00644347" w:rsidP="00290A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A6AB3">
      <w:rPr>
        <w:rStyle w:val="PageNumber"/>
        <w:noProof/>
      </w:rPr>
      <w:t>8</w:t>
    </w:r>
    <w:r>
      <w:rPr>
        <w:rStyle w:val="PageNumber"/>
      </w:rPr>
      <w:fldChar w:fldCharType="end"/>
    </w:r>
  </w:p>
  <w:p w14:paraId="1FA34A8D" w14:textId="77777777" w:rsidR="00644347" w:rsidRDefault="006443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C7496A" w14:textId="77777777" w:rsidR="001A093F" w:rsidRDefault="001A093F">
      <w:r>
        <w:separator/>
      </w:r>
    </w:p>
  </w:footnote>
  <w:footnote w:type="continuationSeparator" w:id="0">
    <w:p w14:paraId="0659934A" w14:textId="77777777" w:rsidR="001A093F" w:rsidRDefault="001A093F">
      <w:r>
        <w:continuationSeparator/>
      </w:r>
    </w:p>
  </w:footnote>
  <w:footnote w:id="1">
    <w:p w14:paraId="662B738F" w14:textId="43A84FA9" w:rsidR="006C75D8" w:rsidRPr="006C75D8" w:rsidRDefault="006C75D8" w:rsidP="006C75D8">
      <w:r w:rsidRPr="006C75D8">
        <w:rPr>
          <w:rStyle w:val="FootnoteReference"/>
        </w:rPr>
        <w:footnoteRef/>
      </w:r>
      <w:r w:rsidRPr="006C75D8">
        <w:t xml:space="preserve"> </w:t>
      </w:r>
      <w:r w:rsidRPr="006C75D8">
        <w:tab/>
        <w:t>On September 23, 2019, the Secretary’s Bureau returned t</w:t>
      </w:r>
      <w:r>
        <w:t>he following</w:t>
      </w:r>
      <w:r w:rsidRPr="006C75D8">
        <w:t xml:space="preserve"> three filings due to the lack of an original signature: Rebuttal Answers to Respondent Answer and New Matter to Formal Complaint; New Matter of Fraud and Abuse of Commission’s Regulation; and Response to Respondent’s Preliminary Objections.  On September 28, 2019, </w:t>
      </w:r>
      <w:proofErr w:type="spellStart"/>
      <w:r w:rsidRPr="006C75D8">
        <w:t>Lipsoss</w:t>
      </w:r>
      <w:proofErr w:type="spellEnd"/>
      <w:r w:rsidRPr="006C75D8">
        <w:t xml:space="preserve"> sent in signed copies of documents </w:t>
      </w:r>
      <w:r>
        <w:t xml:space="preserve">it </w:t>
      </w:r>
      <w:r w:rsidRPr="006C75D8">
        <w:t>previously submitted to the Secretary’s Bureau.</w:t>
      </w:r>
    </w:p>
    <w:p w14:paraId="72131791" w14:textId="57DA20DC" w:rsidR="006C75D8" w:rsidRDefault="006C75D8">
      <w:pPr>
        <w:pStyle w:val="FootnoteText"/>
      </w:pPr>
    </w:p>
  </w:footnote>
  <w:footnote w:id="2">
    <w:p w14:paraId="2C361473" w14:textId="77777777" w:rsidR="002D0108" w:rsidRDefault="002D0108" w:rsidP="00F22C6D">
      <w:pPr>
        <w:pStyle w:val="FootnoteText"/>
      </w:pPr>
      <w:r w:rsidRPr="002D0108">
        <w:rPr>
          <w:rStyle w:val="FootnoteReference"/>
        </w:rPr>
        <w:footnoteRef/>
      </w:r>
      <w:r w:rsidRPr="002D0108">
        <w:t xml:space="preserve"> </w:t>
      </w:r>
      <w:r w:rsidRPr="002D0108">
        <w:tab/>
      </w:r>
      <w:r w:rsidRPr="002D0108">
        <w:rPr>
          <w:u w:val="single"/>
        </w:rPr>
        <w:t xml:space="preserve">County of Allegheny v. </w:t>
      </w:r>
      <w:proofErr w:type="spellStart"/>
      <w:r w:rsidRPr="002D0108">
        <w:rPr>
          <w:u w:val="single"/>
        </w:rPr>
        <w:t>Cmwlth</w:t>
      </w:r>
      <w:proofErr w:type="spellEnd"/>
      <w:proofErr w:type="gramStart"/>
      <w:r w:rsidRPr="002D0108">
        <w:rPr>
          <w:u w:val="single"/>
        </w:rPr>
        <w:t xml:space="preserve">. </w:t>
      </w:r>
      <w:proofErr w:type="gramEnd"/>
      <w:r w:rsidRPr="002D0108">
        <w:rPr>
          <w:u w:val="single"/>
        </w:rPr>
        <w:t>of Pa.</w:t>
      </w:r>
      <w:r w:rsidRPr="002D0108">
        <w:t xml:space="preserve">, 490 A.2d 402 (Pa. 1985).  </w:t>
      </w:r>
    </w:p>
    <w:p w14:paraId="31BB49F5" w14:textId="77777777" w:rsidR="00665C80" w:rsidRPr="002D0108" w:rsidRDefault="00665C80" w:rsidP="00F22C6D">
      <w:pPr>
        <w:pStyle w:val="FootnoteText"/>
      </w:pPr>
    </w:p>
  </w:footnote>
  <w:footnote w:id="3">
    <w:p w14:paraId="79110F19" w14:textId="77777777" w:rsidR="002D0108" w:rsidRPr="002D0108" w:rsidRDefault="002D0108" w:rsidP="00F22C6D">
      <w:pPr>
        <w:pStyle w:val="FootnoteText"/>
      </w:pPr>
      <w:r w:rsidRPr="002D0108">
        <w:rPr>
          <w:rStyle w:val="FootnoteReference"/>
        </w:rPr>
        <w:footnoteRef/>
      </w:r>
      <w:r w:rsidRPr="002D0108">
        <w:t xml:space="preserve"> </w:t>
      </w:r>
      <w:r w:rsidRPr="002D0108">
        <w:tab/>
      </w:r>
      <w:r w:rsidRPr="002D0108">
        <w:rPr>
          <w:u w:val="single"/>
        </w:rPr>
        <w:t>Id</w:t>
      </w:r>
      <w:r w:rsidRPr="002D0108">
        <w:t xml:space="preserve">.  </w:t>
      </w:r>
    </w:p>
    <w:p w14:paraId="1E7D1CC8" w14:textId="77777777" w:rsidR="002D0108" w:rsidRPr="002D0108" w:rsidRDefault="002D0108" w:rsidP="00F22C6D">
      <w:pPr>
        <w:pStyle w:val="FootnoteText"/>
      </w:pPr>
    </w:p>
  </w:footnote>
  <w:footnote w:id="4">
    <w:p w14:paraId="40C5F14F" w14:textId="77777777" w:rsidR="002D0108" w:rsidRPr="002D0108" w:rsidRDefault="002D0108" w:rsidP="00F22C6D">
      <w:pPr>
        <w:pStyle w:val="FootnoteText"/>
      </w:pPr>
      <w:r w:rsidRPr="002D0108">
        <w:rPr>
          <w:rStyle w:val="FootnoteReference"/>
        </w:rPr>
        <w:footnoteRef/>
      </w:r>
      <w:r w:rsidRPr="002D0108">
        <w:t xml:space="preserve"> </w:t>
      </w:r>
      <w:r w:rsidRPr="002D0108">
        <w:tab/>
      </w:r>
      <w:r w:rsidRPr="002D0108">
        <w:rPr>
          <w:u w:val="single"/>
        </w:rPr>
        <w:t>Roc v. Flaherty</w:t>
      </w:r>
      <w:r w:rsidRPr="002D0108">
        <w:t>, 527 A.2d 211 (Pa.Cmwlth</w:t>
      </w:r>
      <w:proofErr w:type="gramStart"/>
      <w:r w:rsidRPr="002D0108">
        <w:t xml:space="preserve">. </w:t>
      </w:r>
      <w:proofErr w:type="gramEnd"/>
      <w:r w:rsidRPr="002D0108">
        <w:t xml:space="preserve">1985).  </w:t>
      </w:r>
    </w:p>
    <w:p w14:paraId="04C73693" w14:textId="77777777" w:rsidR="002D0108" w:rsidRPr="002D0108" w:rsidRDefault="002D0108" w:rsidP="00F22C6D">
      <w:pPr>
        <w:pStyle w:val="FootnoteText"/>
      </w:pPr>
    </w:p>
  </w:footnote>
  <w:footnote w:id="5">
    <w:p w14:paraId="3B144865" w14:textId="3ECFCF6D" w:rsidR="002D0108" w:rsidRPr="002D0108" w:rsidRDefault="002D0108" w:rsidP="00F22C6D">
      <w:pPr>
        <w:pStyle w:val="FootnoteText"/>
      </w:pPr>
      <w:r w:rsidRPr="002D0108">
        <w:rPr>
          <w:rStyle w:val="FootnoteReference"/>
        </w:rPr>
        <w:footnoteRef/>
      </w:r>
      <w:r w:rsidRPr="002D0108">
        <w:t xml:space="preserve"> </w:t>
      </w:r>
      <w:r w:rsidRPr="002D0108">
        <w:tab/>
      </w:r>
      <w:r w:rsidRPr="002D0108">
        <w:rPr>
          <w:u w:val="single"/>
        </w:rPr>
        <w:t>Dept. of Auditor General, et al. v. State Employees’ Retirement System, et al.</w:t>
      </w:r>
      <w:r w:rsidRPr="002D0108">
        <w:t>, 836 A.2d 1053, 1064 (Pa.Cmwlth</w:t>
      </w:r>
      <w:proofErr w:type="gramStart"/>
      <w:r w:rsidRPr="002D0108">
        <w:t xml:space="preserve">. </w:t>
      </w:r>
      <w:proofErr w:type="gramEnd"/>
      <w:r w:rsidRPr="002D0108">
        <w:t>2003) (</w:t>
      </w:r>
      <w:r w:rsidRPr="002D0108">
        <w:rPr>
          <w:u w:val="single"/>
        </w:rPr>
        <w:t>citing</w:t>
      </w:r>
      <w:r w:rsidRPr="002D0108">
        <w:t xml:space="preserve">, </w:t>
      </w:r>
      <w:r w:rsidRPr="002D0108">
        <w:rPr>
          <w:u w:val="single"/>
        </w:rPr>
        <w:t>Boyd v. Ward</w:t>
      </w:r>
      <w:r w:rsidRPr="002D0108">
        <w:t>, 802 A.2d 705 (Pa.Cmwlth</w:t>
      </w:r>
      <w:proofErr w:type="gramStart"/>
      <w:r w:rsidRPr="002D0108">
        <w:t xml:space="preserve">. </w:t>
      </w:r>
      <w:proofErr w:type="gramEnd"/>
      <w:r w:rsidRPr="002D0108">
        <w:t>2002).</w:t>
      </w:r>
    </w:p>
  </w:footnote>
  <w:footnote w:id="6">
    <w:p w14:paraId="1DD0E73A" w14:textId="77777777" w:rsidR="006C75D8" w:rsidRDefault="006C75D8" w:rsidP="006C75D8">
      <w:pPr>
        <w:pStyle w:val="FootnoteText"/>
      </w:pPr>
      <w:r>
        <w:rPr>
          <w:rStyle w:val="FootnoteReference"/>
        </w:rPr>
        <w:footnoteRef/>
      </w:r>
      <w:r>
        <w:t xml:space="preserve"> </w:t>
      </w:r>
      <w:r>
        <w:tab/>
      </w:r>
      <w:r w:rsidRPr="008B7F63">
        <w:rPr>
          <w:u w:val="single"/>
        </w:rPr>
        <w:t>See</w:t>
      </w:r>
      <w:r>
        <w:t xml:space="preserve"> 52 Pa.Code § 5.101(a); 66 </w:t>
      </w:r>
      <w:proofErr w:type="spellStart"/>
      <w:r>
        <w:t>Pa.C.S.A</w:t>
      </w:r>
      <w:proofErr w:type="spellEnd"/>
      <w:r>
        <w:t xml:space="preserve">. § 703(a); </w:t>
      </w:r>
      <w:proofErr w:type="spellStart"/>
      <w:r w:rsidRPr="0052371C">
        <w:rPr>
          <w:u w:val="single"/>
        </w:rPr>
        <w:t>Mulzet</w:t>
      </w:r>
      <w:proofErr w:type="spellEnd"/>
      <w:r w:rsidRPr="0052371C">
        <w:rPr>
          <w:u w:val="single"/>
        </w:rPr>
        <w:t xml:space="preserve"> v. PPL Electric Utilities Corp.</w:t>
      </w:r>
      <w:r>
        <w:t>, Docket No. C</w:t>
      </w:r>
      <w:r>
        <w:noBreakHyphen/>
        <w:t>2013-2367132 (Initial Decision dated July 22, 2013).</w:t>
      </w:r>
    </w:p>
    <w:p w14:paraId="72434CFF" w14:textId="77777777" w:rsidR="006C75D8" w:rsidRDefault="006C75D8" w:rsidP="006C75D8">
      <w:pPr>
        <w:pStyle w:val="FootnoteText"/>
      </w:pPr>
    </w:p>
  </w:footnote>
  <w:footnote w:id="7">
    <w:p w14:paraId="1AEDC3EE" w14:textId="77777777" w:rsidR="006C75D8" w:rsidRPr="00FB4DC9" w:rsidRDefault="006C75D8" w:rsidP="006C75D8">
      <w:pPr>
        <w:pStyle w:val="FootnoteText"/>
      </w:pPr>
      <w:r w:rsidRPr="00FB4DC9">
        <w:rPr>
          <w:rStyle w:val="FootnoteReference"/>
        </w:rPr>
        <w:footnoteRef/>
      </w:r>
      <w:r w:rsidRPr="00FB4DC9">
        <w:t xml:space="preserve"> </w:t>
      </w:r>
      <w:r w:rsidRPr="00FB4DC9">
        <w:tab/>
      </w:r>
      <w:r w:rsidRPr="002E5F5B">
        <w:rPr>
          <w:u w:val="single"/>
        </w:rPr>
        <w:t>See</w:t>
      </w:r>
      <w:r w:rsidRPr="00FB4DC9">
        <w:t xml:space="preserve"> 52 Pa.Code §</w:t>
      </w:r>
      <w:r>
        <w:t xml:space="preserve"> </w:t>
      </w:r>
      <w:r w:rsidRPr="00FB4DC9">
        <w:t xml:space="preserve">5.21(a); 66 </w:t>
      </w:r>
      <w:proofErr w:type="spellStart"/>
      <w:r w:rsidRPr="00FB4DC9">
        <w:t>Pa.C.S.A</w:t>
      </w:r>
      <w:proofErr w:type="spellEnd"/>
      <w:r w:rsidRPr="00FB4DC9">
        <w:t>. §</w:t>
      </w:r>
      <w:r>
        <w:t xml:space="preserve"> </w:t>
      </w:r>
      <w:r w:rsidRPr="00FB4DC9">
        <w:t>701.</w:t>
      </w:r>
    </w:p>
    <w:p w14:paraId="2E824D84" w14:textId="77777777" w:rsidR="006C75D8" w:rsidRPr="00FB4DC9" w:rsidRDefault="006C75D8" w:rsidP="006C75D8">
      <w:pPr>
        <w:pStyle w:val="FootnoteText"/>
        <w:ind w:firstLine="720"/>
      </w:pPr>
    </w:p>
  </w:footnote>
  <w:footnote w:id="8">
    <w:p w14:paraId="142A1C71" w14:textId="77777777" w:rsidR="00FB4DC9" w:rsidRPr="002D0108" w:rsidRDefault="00FB4DC9" w:rsidP="00F22C6D">
      <w:pPr>
        <w:pStyle w:val="FootnoteText"/>
      </w:pPr>
      <w:r w:rsidRPr="002D0108">
        <w:rPr>
          <w:rStyle w:val="FootnoteReference"/>
        </w:rPr>
        <w:footnoteRef/>
      </w:r>
      <w:r w:rsidRPr="002D0108">
        <w:t xml:space="preserve"> </w:t>
      </w:r>
      <w:r w:rsidRPr="002D0108">
        <w:tab/>
        <w:t xml:space="preserve">66 </w:t>
      </w:r>
      <w:proofErr w:type="spellStart"/>
      <w:r w:rsidRPr="002D0108">
        <w:t>Pa.C.S.A</w:t>
      </w:r>
      <w:proofErr w:type="spellEnd"/>
      <w:r w:rsidRPr="002D0108">
        <w:t xml:space="preserve">. § 703(b).  </w:t>
      </w:r>
      <w:r w:rsidR="00C94618" w:rsidRPr="00573C0E">
        <w:rPr>
          <w:u w:val="single"/>
        </w:rPr>
        <w:t>See also</w:t>
      </w:r>
      <w:r w:rsidR="00C94618">
        <w:t xml:space="preserve"> 52 Pa.</w:t>
      </w:r>
      <w:r w:rsidR="00D54B7B" w:rsidRPr="002D0108">
        <w:t xml:space="preserve">Code § 5.21(d).  </w:t>
      </w:r>
    </w:p>
    <w:p w14:paraId="2E91D50C" w14:textId="77777777" w:rsidR="00FB4DC9" w:rsidRPr="002D0108" w:rsidRDefault="00FB4DC9" w:rsidP="00F22C6D">
      <w:pPr>
        <w:pStyle w:val="FootnoteText"/>
      </w:pPr>
    </w:p>
  </w:footnote>
  <w:footnote w:id="9">
    <w:p w14:paraId="2BA6F777" w14:textId="12CCD1D9" w:rsidR="008E10A2" w:rsidRPr="00FB4DC9" w:rsidRDefault="008E10A2" w:rsidP="00F22C6D">
      <w:pPr>
        <w:pStyle w:val="FootnoteText"/>
      </w:pPr>
      <w:r w:rsidRPr="00FB4DC9">
        <w:rPr>
          <w:rStyle w:val="FootnoteReference"/>
        </w:rPr>
        <w:footnoteRef/>
      </w:r>
      <w:r w:rsidRPr="00FB4DC9">
        <w:t xml:space="preserve"> </w:t>
      </w:r>
      <w:r w:rsidRPr="00FB4DC9">
        <w:tab/>
      </w:r>
      <w:r w:rsidRPr="00FB4DC9">
        <w:rPr>
          <w:u w:val="single"/>
        </w:rPr>
        <w:t>Lehigh Valley Power Committee v. P</w:t>
      </w:r>
      <w:r w:rsidR="002E4030" w:rsidRPr="00FB4DC9">
        <w:rPr>
          <w:u w:val="single"/>
        </w:rPr>
        <w:t>a. Pub. Util. Comm’n</w:t>
      </w:r>
      <w:r w:rsidRPr="00FB4DC9">
        <w:t>, 128 Pa.C</w:t>
      </w:r>
      <w:r w:rsidR="002E4030" w:rsidRPr="00FB4DC9">
        <w:t>mwlth</w:t>
      </w:r>
      <w:proofErr w:type="gramStart"/>
      <w:r w:rsidRPr="00FB4DC9">
        <w:t xml:space="preserve">. </w:t>
      </w:r>
      <w:proofErr w:type="gramEnd"/>
      <w:r w:rsidRPr="00FB4DC9">
        <w:t xml:space="preserve">259, 563 A.2d 548 (1989).  </w:t>
      </w:r>
      <w:r w:rsidR="00573C0E" w:rsidRPr="00573C0E">
        <w:rPr>
          <w:u w:val="single"/>
        </w:rPr>
        <w:t>See a</w:t>
      </w:r>
      <w:r w:rsidRPr="00573C0E">
        <w:rPr>
          <w:u w:val="single"/>
        </w:rPr>
        <w:t>lso</w:t>
      </w:r>
      <w:r w:rsidRPr="00FB4DC9">
        <w:t xml:space="preserve"> </w:t>
      </w:r>
      <w:r w:rsidRPr="00FB4DC9">
        <w:rPr>
          <w:u w:val="single"/>
        </w:rPr>
        <w:t>Edan Transportation Corp. v. P</w:t>
      </w:r>
      <w:r w:rsidR="002E4030" w:rsidRPr="00FB4DC9">
        <w:rPr>
          <w:u w:val="single"/>
        </w:rPr>
        <w:t>a. Pub. Util. Comm’n</w:t>
      </w:r>
      <w:r w:rsidRPr="00FB4DC9">
        <w:t>, 154 Pa.C</w:t>
      </w:r>
      <w:r w:rsidR="002E4030" w:rsidRPr="00FB4DC9">
        <w:t>mwlth</w:t>
      </w:r>
      <w:proofErr w:type="gramStart"/>
      <w:r w:rsidRPr="00FB4DC9">
        <w:t xml:space="preserve">. </w:t>
      </w:r>
      <w:proofErr w:type="gramEnd"/>
      <w:r w:rsidRPr="00FB4DC9">
        <w:t>21, 623 A.2d 6 (1993).</w:t>
      </w:r>
    </w:p>
    <w:p w14:paraId="3F705C5C" w14:textId="77777777" w:rsidR="008E10A2" w:rsidRPr="0026091C" w:rsidRDefault="008E10A2" w:rsidP="00F22C6D">
      <w:pPr>
        <w:pStyle w:val="FootnoteText"/>
      </w:pPr>
    </w:p>
  </w:footnote>
  <w:footnote w:id="10">
    <w:p w14:paraId="5493FDE0" w14:textId="77777777" w:rsidR="00D54B7B" w:rsidRDefault="00D54B7B" w:rsidP="00F22C6D">
      <w:pPr>
        <w:pStyle w:val="FootnoteText"/>
      </w:pPr>
      <w:r>
        <w:rPr>
          <w:rStyle w:val="FootnoteReference"/>
        </w:rPr>
        <w:footnoteRef/>
      </w:r>
      <w:r>
        <w:t xml:space="preserve"> </w:t>
      </w:r>
      <w:r>
        <w:tab/>
      </w:r>
      <w:proofErr w:type="spellStart"/>
      <w:r w:rsidRPr="003E639D">
        <w:rPr>
          <w:u w:val="single"/>
        </w:rPr>
        <w:t>Musisko</w:t>
      </w:r>
      <w:proofErr w:type="spellEnd"/>
      <w:r w:rsidRPr="003E639D">
        <w:rPr>
          <w:u w:val="single"/>
        </w:rPr>
        <w:t xml:space="preserve"> v</w:t>
      </w:r>
      <w:r w:rsidR="003E639D">
        <w:rPr>
          <w:u w:val="single"/>
        </w:rPr>
        <w:t>.</w:t>
      </w:r>
      <w:r w:rsidRPr="003E639D">
        <w:rPr>
          <w:u w:val="single"/>
        </w:rPr>
        <w:t xml:space="preserve"> Pennsylvania American Water Company</w:t>
      </w:r>
      <w:r>
        <w:t>, Docket No. C-2008-2061663 (Final Order entered May 13, 2009).</w:t>
      </w:r>
    </w:p>
    <w:p w14:paraId="4C7F6D04" w14:textId="77777777" w:rsidR="00D54B7B" w:rsidRDefault="00D54B7B" w:rsidP="00F22C6D">
      <w:pPr>
        <w:pStyle w:val="FootnoteText"/>
      </w:pPr>
    </w:p>
  </w:footnote>
  <w:footnote w:id="11">
    <w:p w14:paraId="4F8608D8" w14:textId="77777777" w:rsidR="00255B3E" w:rsidRDefault="00255B3E" w:rsidP="00F22C6D">
      <w:pPr>
        <w:pStyle w:val="FootnoteText"/>
      </w:pPr>
      <w:r>
        <w:rPr>
          <w:rStyle w:val="FootnoteReference"/>
        </w:rPr>
        <w:footnoteRef/>
      </w:r>
      <w:r>
        <w:t xml:space="preserve"> </w:t>
      </w:r>
      <w:r>
        <w:tab/>
        <w:t>Pursuant to 52 Pa.Code §</w:t>
      </w:r>
      <w:r w:rsidR="00E416FA">
        <w:t xml:space="preserve"> </w:t>
      </w:r>
      <w:r>
        <w:t>5.101(a)(3)</w:t>
      </w:r>
      <w:r w:rsidR="006E1D49">
        <w:t xml:space="preserve"> and §</w:t>
      </w:r>
      <w:r w:rsidR="00E416FA">
        <w:t xml:space="preserve"> </w:t>
      </w:r>
      <w:r w:rsidR="006E1D49">
        <w:t>5.101(a)(4)</w:t>
      </w:r>
      <w:r>
        <w:t>, preliminary objections are available and may be granted due to “insufficient specificity of a pleading”</w:t>
      </w:r>
      <w:r w:rsidR="00C744FB">
        <w:t xml:space="preserve"> or “legal insufficiency of a pleading.”</w:t>
      </w:r>
      <w:r>
        <w:t xml:space="preserve">  </w:t>
      </w:r>
    </w:p>
    <w:p w14:paraId="640E30DD" w14:textId="77777777" w:rsidR="00255B3E" w:rsidRDefault="00255B3E" w:rsidP="00255B3E">
      <w:pPr>
        <w:pStyle w:val="FootnoteText"/>
        <w:ind w:firstLine="720"/>
      </w:pPr>
    </w:p>
  </w:footnote>
  <w:footnote w:id="12">
    <w:p w14:paraId="0F758BCB" w14:textId="77777777" w:rsidR="00A22C5D" w:rsidRDefault="00A22C5D" w:rsidP="00A22C5D">
      <w:pPr>
        <w:pStyle w:val="FootnoteText"/>
      </w:pPr>
      <w:r>
        <w:rPr>
          <w:rStyle w:val="FootnoteReference"/>
        </w:rPr>
        <w:footnoteRef/>
      </w:r>
      <w:r>
        <w:t xml:space="preserve"> </w:t>
      </w:r>
      <w:r>
        <w:tab/>
      </w:r>
      <w:r w:rsidRPr="00573C0E">
        <w:rPr>
          <w:u w:val="single"/>
        </w:rPr>
        <w:t>See</w:t>
      </w:r>
      <w:r>
        <w:t xml:space="preserve"> 52 Pa.Code § 5.101(a); 66 </w:t>
      </w:r>
      <w:proofErr w:type="spellStart"/>
      <w:r>
        <w:t>Pa.C.S.A</w:t>
      </w:r>
      <w:proofErr w:type="spellEnd"/>
      <w:r>
        <w:t xml:space="preserve">. § 703(a); </w:t>
      </w:r>
      <w:proofErr w:type="spellStart"/>
      <w:r w:rsidRPr="0052371C">
        <w:rPr>
          <w:u w:val="single"/>
        </w:rPr>
        <w:t>Mulzet</w:t>
      </w:r>
      <w:proofErr w:type="spellEnd"/>
      <w:r w:rsidRPr="0052371C">
        <w:rPr>
          <w:u w:val="single"/>
        </w:rPr>
        <w:t xml:space="preserve"> v. PPL Electric Utilities Corp.</w:t>
      </w:r>
      <w:r>
        <w:t>, Docket No. C</w:t>
      </w:r>
      <w:r>
        <w:noBreakHyphen/>
        <w:t>2013-2367132 (Initial Decision dated July 22, 2013).</w:t>
      </w:r>
    </w:p>
    <w:p w14:paraId="2B80A7BD" w14:textId="77777777" w:rsidR="00A22C5D" w:rsidRDefault="00A22C5D" w:rsidP="00A22C5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67EC0"/>
    <w:multiLevelType w:val="hybridMultilevel"/>
    <w:tmpl w:val="B47CA454"/>
    <w:lvl w:ilvl="0" w:tplc="BA3C0BD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52B82C7A"/>
    <w:multiLevelType w:val="hybridMultilevel"/>
    <w:tmpl w:val="D30299A8"/>
    <w:lvl w:ilvl="0" w:tplc="3BBE592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92D"/>
    <w:rsid w:val="000115C6"/>
    <w:rsid w:val="000133C2"/>
    <w:rsid w:val="000140B2"/>
    <w:rsid w:val="0001627D"/>
    <w:rsid w:val="00017B90"/>
    <w:rsid w:val="000202CD"/>
    <w:rsid w:val="00021441"/>
    <w:rsid w:val="00027891"/>
    <w:rsid w:val="00033C00"/>
    <w:rsid w:val="00034A51"/>
    <w:rsid w:val="000414AB"/>
    <w:rsid w:val="0004550B"/>
    <w:rsid w:val="00045D50"/>
    <w:rsid w:val="00050B64"/>
    <w:rsid w:val="00050C7A"/>
    <w:rsid w:val="00051F15"/>
    <w:rsid w:val="00056BB7"/>
    <w:rsid w:val="00063216"/>
    <w:rsid w:val="00064043"/>
    <w:rsid w:val="0006422B"/>
    <w:rsid w:val="000653E2"/>
    <w:rsid w:val="00066968"/>
    <w:rsid w:val="00074DC4"/>
    <w:rsid w:val="00085B08"/>
    <w:rsid w:val="000915B2"/>
    <w:rsid w:val="000A3EDB"/>
    <w:rsid w:val="000C0A42"/>
    <w:rsid w:val="000C7067"/>
    <w:rsid w:val="000C7AD8"/>
    <w:rsid w:val="000D3F9E"/>
    <w:rsid w:val="000D4CDC"/>
    <w:rsid w:val="000E04AA"/>
    <w:rsid w:val="00104350"/>
    <w:rsid w:val="00106C38"/>
    <w:rsid w:val="00114D47"/>
    <w:rsid w:val="00122702"/>
    <w:rsid w:val="001236E5"/>
    <w:rsid w:val="00131A6A"/>
    <w:rsid w:val="00132CFA"/>
    <w:rsid w:val="00135C3C"/>
    <w:rsid w:val="0014072B"/>
    <w:rsid w:val="0014291B"/>
    <w:rsid w:val="001501CC"/>
    <w:rsid w:val="00151B1A"/>
    <w:rsid w:val="00157663"/>
    <w:rsid w:val="001634A6"/>
    <w:rsid w:val="00163537"/>
    <w:rsid w:val="001648F6"/>
    <w:rsid w:val="00175EBC"/>
    <w:rsid w:val="00191A48"/>
    <w:rsid w:val="001A093F"/>
    <w:rsid w:val="001A144E"/>
    <w:rsid w:val="001A3790"/>
    <w:rsid w:val="001A3798"/>
    <w:rsid w:val="001A5175"/>
    <w:rsid w:val="001B2509"/>
    <w:rsid w:val="001B3C78"/>
    <w:rsid w:val="001B71C9"/>
    <w:rsid w:val="001C04FB"/>
    <w:rsid w:val="001D0688"/>
    <w:rsid w:val="001D2723"/>
    <w:rsid w:val="001D65FC"/>
    <w:rsid w:val="001E441D"/>
    <w:rsid w:val="001E49F9"/>
    <w:rsid w:val="001F0055"/>
    <w:rsid w:val="001F1010"/>
    <w:rsid w:val="0020040C"/>
    <w:rsid w:val="002046E4"/>
    <w:rsid w:val="0021130D"/>
    <w:rsid w:val="002139D4"/>
    <w:rsid w:val="00214F5B"/>
    <w:rsid w:val="00217ACF"/>
    <w:rsid w:val="00221C86"/>
    <w:rsid w:val="00226F81"/>
    <w:rsid w:val="00234A4C"/>
    <w:rsid w:val="00236CD4"/>
    <w:rsid w:val="00246988"/>
    <w:rsid w:val="002530E5"/>
    <w:rsid w:val="00255B3E"/>
    <w:rsid w:val="00267ACE"/>
    <w:rsid w:val="00282477"/>
    <w:rsid w:val="002825A7"/>
    <w:rsid w:val="00286096"/>
    <w:rsid w:val="00286713"/>
    <w:rsid w:val="00286E34"/>
    <w:rsid w:val="00290A5A"/>
    <w:rsid w:val="0029474F"/>
    <w:rsid w:val="002A67F1"/>
    <w:rsid w:val="002A788B"/>
    <w:rsid w:val="002A7E4E"/>
    <w:rsid w:val="002B37DB"/>
    <w:rsid w:val="002B4C55"/>
    <w:rsid w:val="002B7DB0"/>
    <w:rsid w:val="002D0108"/>
    <w:rsid w:val="002D5998"/>
    <w:rsid w:val="002D75EB"/>
    <w:rsid w:val="002E4030"/>
    <w:rsid w:val="002E5F5B"/>
    <w:rsid w:val="002E7B13"/>
    <w:rsid w:val="002F6C9B"/>
    <w:rsid w:val="00303EEF"/>
    <w:rsid w:val="00305D4F"/>
    <w:rsid w:val="003113DA"/>
    <w:rsid w:val="00311F84"/>
    <w:rsid w:val="003121E7"/>
    <w:rsid w:val="0032003A"/>
    <w:rsid w:val="003205B0"/>
    <w:rsid w:val="00325818"/>
    <w:rsid w:val="003268DC"/>
    <w:rsid w:val="00334880"/>
    <w:rsid w:val="00336989"/>
    <w:rsid w:val="00345BE2"/>
    <w:rsid w:val="00346EE4"/>
    <w:rsid w:val="00350C0E"/>
    <w:rsid w:val="00350CEB"/>
    <w:rsid w:val="003534C9"/>
    <w:rsid w:val="00357831"/>
    <w:rsid w:val="00357DF5"/>
    <w:rsid w:val="0037083D"/>
    <w:rsid w:val="00373793"/>
    <w:rsid w:val="003750D6"/>
    <w:rsid w:val="00375201"/>
    <w:rsid w:val="003758C7"/>
    <w:rsid w:val="00381896"/>
    <w:rsid w:val="00386FC9"/>
    <w:rsid w:val="003B3420"/>
    <w:rsid w:val="003B4B80"/>
    <w:rsid w:val="003B6723"/>
    <w:rsid w:val="003C35EF"/>
    <w:rsid w:val="003C3B91"/>
    <w:rsid w:val="003D0E45"/>
    <w:rsid w:val="003D2245"/>
    <w:rsid w:val="003E639D"/>
    <w:rsid w:val="00402F29"/>
    <w:rsid w:val="00406555"/>
    <w:rsid w:val="00411A87"/>
    <w:rsid w:val="00425F55"/>
    <w:rsid w:val="00435064"/>
    <w:rsid w:val="004523A0"/>
    <w:rsid w:val="004674C0"/>
    <w:rsid w:val="004677E9"/>
    <w:rsid w:val="00471C26"/>
    <w:rsid w:val="00482D69"/>
    <w:rsid w:val="00491E3B"/>
    <w:rsid w:val="004927A3"/>
    <w:rsid w:val="0049417A"/>
    <w:rsid w:val="004A0DC9"/>
    <w:rsid w:val="004A2D46"/>
    <w:rsid w:val="004A5AFD"/>
    <w:rsid w:val="004B1EFF"/>
    <w:rsid w:val="004C1083"/>
    <w:rsid w:val="004C54C2"/>
    <w:rsid w:val="004D608E"/>
    <w:rsid w:val="004E2104"/>
    <w:rsid w:val="004E7F6B"/>
    <w:rsid w:val="004F319B"/>
    <w:rsid w:val="00502F3D"/>
    <w:rsid w:val="00503094"/>
    <w:rsid w:val="00503BA8"/>
    <w:rsid w:val="005115EB"/>
    <w:rsid w:val="00512840"/>
    <w:rsid w:val="00512ACE"/>
    <w:rsid w:val="00517B11"/>
    <w:rsid w:val="0052371C"/>
    <w:rsid w:val="00523BC1"/>
    <w:rsid w:val="00525047"/>
    <w:rsid w:val="005268BE"/>
    <w:rsid w:val="00545E7A"/>
    <w:rsid w:val="00545FC6"/>
    <w:rsid w:val="00554246"/>
    <w:rsid w:val="00564C48"/>
    <w:rsid w:val="005706DE"/>
    <w:rsid w:val="005722AC"/>
    <w:rsid w:val="00573C0E"/>
    <w:rsid w:val="00594EFF"/>
    <w:rsid w:val="005B0840"/>
    <w:rsid w:val="005B3A3A"/>
    <w:rsid w:val="005C575D"/>
    <w:rsid w:val="005D0F20"/>
    <w:rsid w:val="005D1108"/>
    <w:rsid w:val="005D3A87"/>
    <w:rsid w:val="005D5A51"/>
    <w:rsid w:val="005E192D"/>
    <w:rsid w:val="005F03C9"/>
    <w:rsid w:val="006005F8"/>
    <w:rsid w:val="00600A5B"/>
    <w:rsid w:val="0060170F"/>
    <w:rsid w:val="00604A50"/>
    <w:rsid w:val="00610829"/>
    <w:rsid w:val="006204F5"/>
    <w:rsid w:val="006414BE"/>
    <w:rsid w:val="00643573"/>
    <w:rsid w:val="00644347"/>
    <w:rsid w:val="00645EEC"/>
    <w:rsid w:val="00665C80"/>
    <w:rsid w:val="00666383"/>
    <w:rsid w:val="0067181D"/>
    <w:rsid w:val="00691397"/>
    <w:rsid w:val="00695ABB"/>
    <w:rsid w:val="00696346"/>
    <w:rsid w:val="00696FF8"/>
    <w:rsid w:val="006A23EB"/>
    <w:rsid w:val="006A4C17"/>
    <w:rsid w:val="006A4EB3"/>
    <w:rsid w:val="006B273A"/>
    <w:rsid w:val="006C75D8"/>
    <w:rsid w:val="006D11C7"/>
    <w:rsid w:val="006D3E22"/>
    <w:rsid w:val="006D612D"/>
    <w:rsid w:val="006D6EA3"/>
    <w:rsid w:val="006E17BF"/>
    <w:rsid w:val="006E1D49"/>
    <w:rsid w:val="006E2F5B"/>
    <w:rsid w:val="00703F0F"/>
    <w:rsid w:val="007059B5"/>
    <w:rsid w:val="00716D0B"/>
    <w:rsid w:val="00727882"/>
    <w:rsid w:val="007300A0"/>
    <w:rsid w:val="00734198"/>
    <w:rsid w:val="00734334"/>
    <w:rsid w:val="007369E5"/>
    <w:rsid w:val="00742EF6"/>
    <w:rsid w:val="007547C1"/>
    <w:rsid w:val="00761782"/>
    <w:rsid w:val="007652C2"/>
    <w:rsid w:val="007705D7"/>
    <w:rsid w:val="007734AD"/>
    <w:rsid w:val="00777CD2"/>
    <w:rsid w:val="00780F67"/>
    <w:rsid w:val="00787CBA"/>
    <w:rsid w:val="007902B0"/>
    <w:rsid w:val="007A25B9"/>
    <w:rsid w:val="007A2BC0"/>
    <w:rsid w:val="007A4444"/>
    <w:rsid w:val="007B758B"/>
    <w:rsid w:val="007D7F10"/>
    <w:rsid w:val="00802065"/>
    <w:rsid w:val="00804BA9"/>
    <w:rsid w:val="00814C19"/>
    <w:rsid w:val="00845DB3"/>
    <w:rsid w:val="008475EB"/>
    <w:rsid w:val="00861AC7"/>
    <w:rsid w:val="008644A6"/>
    <w:rsid w:val="00865726"/>
    <w:rsid w:val="0087120E"/>
    <w:rsid w:val="00875414"/>
    <w:rsid w:val="00891DD7"/>
    <w:rsid w:val="008A241E"/>
    <w:rsid w:val="008B4A66"/>
    <w:rsid w:val="008B6626"/>
    <w:rsid w:val="008B7303"/>
    <w:rsid w:val="008B7F63"/>
    <w:rsid w:val="008C1B09"/>
    <w:rsid w:val="008C772F"/>
    <w:rsid w:val="008D2C45"/>
    <w:rsid w:val="008D2CCF"/>
    <w:rsid w:val="008D38D0"/>
    <w:rsid w:val="008E10A2"/>
    <w:rsid w:val="008E4BBE"/>
    <w:rsid w:val="008E7DBC"/>
    <w:rsid w:val="008F523C"/>
    <w:rsid w:val="008F6854"/>
    <w:rsid w:val="008F70F0"/>
    <w:rsid w:val="00915EA6"/>
    <w:rsid w:val="00921D8C"/>
    <w:rsid w:val="00924EEC"/>
    <w:rsid w:val="00925439"/>
    <w:rsid w:val="0093009B"/>
    <w:rsid w:val="00937564"/>
    <w:rsid w:val="00937FA1"/>
    <w:rsid w:val="009428B0"/>
    <w:rsid w:val="00961890"/>
    <w:rsid w:val="00963263"/>
    <w:rsid w:val="00964560"/>
    <w:rsid w:val="00975B24"/>
    <w:rsid w:val="00985F9F"/>
    <w:rsid w:val="0099279E"/>
    <w:rsid w:val="00997D89"/>
    <w:rsid w:val="009A07A1"/>
    <w:rsid w:val="009A19D4"/>
    <w:rsid w:val="009B6C03"/>
    <w:rsid w:val="009C0EC8"/>
    <w:rsid w:val="009C5159"/>
    <w:rsid w:val="009E3CFC"/>
    <w:rsid w:val="009E656C"/>
    <w:rsid w:val="00A0355E"/>
    <w:rsid w:val="00A15B8E"/>
    <w:rsid w:val="00A20AB2"/>
    <w:rsid w:val="00A22C5D"/>
    <w:rsid w:val="00A441D0"/>
    <w:rsid w:val="00A45DB0"/>
    <w:rsid w:val="00A50259"/>
    <w:rsid w:val="00A51F52"/>
    <w:rsid w:val="00A55098"/>
    <w:rsid w:val="00A56672"/>
    <w:rsid w:val="00A6442A"/>
    <w:rsid w:val="00A6592E"/>
    <w:rsid w:val="00A67131"/>
    <w:rsid w:val="00A71B02"/>
    <w:rsid w:val="00A72295"/>
    <w:rsid w:val="00A72C5F"/>
    <w:rsid w:val="00A757AE"/>
    <w:rsid w:val="00A80302"/>
    <w:rsid w:val="00A8199E"/>
    <w:rsid w:val="00A82462"/>
    <w:rsid w:val="00A90C27"/>
    <w:rsid w:val="00A92BAC"/>
    <w:rsid w:val="00A958E4"/>
    <w:rsid w:val="00A95915"/>
    <w:rsid w:val="00AA0C06"/>
    <w:rsid w:val="00AB161E"/>
    <w:rsid w:val="00AB5CFB"/>
    <w:rsid w:val="00AC088B"/>
    <w:rsid w:val="00AC0FB3"/>
    <w:rsid w:val="00AC752D"/>
    <w:rsid w:val="00AD1D92"/>
    <w:rsid w:val="00AD39DE"/>
    <w:rsid w:val="00AE00D5"/>
    <w:rsid w:val="00AF1B06"/>
    <w:rsid w:val="00AF6F81"/>
    <w:rsid w:val="00B1184A"/>
    <w:rsid w:val="00B12495"/>
    <w:rsid w:val="00B228FB"/>
    <w:rsid w:val="00B31E9F"/>
    <w:rsid w:val="00B42058"/>
    <w:rsid w:val="00B43132"/>
    <w:rsid w:val="00B45982"/>
    <w:rsid w:val="00B47FC3"/>
    <w:rsid w:val="00B611F0"/>
    <w:rsid w:val="00B618A2"/>
    <w:rsid w:val="00B66329"/>
    <w:rsid w:val="00B727EB"/>
    <w:rsid w:val="00B73C36"/>
    <w:rsid w:val="00B7505E"/>
    <w:rsid w:val="00B82D84"/>
    <w:rsid w:val="00BA3144"/>
    <w:rsid w:val="00BA3753"/>
    <w:rsid w:val="00BA6AB3"/>
    <w:rsid w:val="00BA7E78"/>
    <w:rsid w:val="00BA7EDA"/>
    <w:rsid w:val="00BB3303"/>
    <w:rsid w:val="00BB5653"/>
    <w:rsid w:val="00BB75A5"/>
    <w:rsid w:val="00BC2D6D"/>
    <w:rsid w:val="00BC326C"/>
    <w:rsid w:val="00BD22B8"/>
    <w:rsid w:val="00BD2995"/>
    <w:rsid w:val="00BE0807"/>
    <w:rsid w:val="00C00FB2"/>
    <w:rsid w:val="00C0371E"/>
    <w:rsid w:val="00C063FB"/>
    <w:rsid w:val="00C115B5"/>
    <w:rsid w:val="00C21C8A"/>
    <w:rsid w:val="00C355BF"/>
    <w:rsid w:val="00C60074"/>
    <w:rsid w:val="00C60B6F"/>
    <w:rsid w:val="00C620D8"/>
    <w:rsid w:val="00C6388D"/>
    <w:rsid w:val="00C63E9C"/>
    <w:rsid w:val="00C7017F"/>
    <w:rsid w:val="00C719D4"/>
    <w:rsid w:val="00C744FB"/>
    <w:rsid w:val="00C76678"/>
    <w:rsid w:val="00C857E6"/>
    <w:rsid w:val="00C94618"/>
    <w:rsid w:val="00CA21AE"/>
    <w:rsid w:val="00CA7CC3"/>
    <w:rsid w:val="00CB1287"/>
    <w:rsid w:val="00CC04B4"/>
    <w:rsid w:val="00CD0792"/>
    <w:rsid w:val="00CD7AE8"/>
    <w:rsid w:val="00CE6985"/>
    <w:rsid w:val="00CF0238"/>
    <w:rsid w:val="00CF0D52"/>
    <w:rsid w:val="00D0518D"/>
    <w:rsid w:val="00D07983"/>
    <w:rsid w:val="00D13550"/>
    <w:rsid w:val="00D247F9"/>
    <w:rsid w:val="00D26B0F"/>
    <w:rsid w:val="00D336A3"/>
    <w:rsid w:val="00D34F31"/>
    <w:rsid w:val="00D54B7B"/>
    <w:rsid w:val="00D54E4D"/>
    <w:rsid w:val="00D62958"/>
    <w:rsid w:val="00D65F60"/>
    <w:rsid w:val="00D72C64"/>
    <w:rsid w:val="00D74221"/>
    <w:rsid w:val="00D77B22"/>
    <w:rsid w:val="00D92FCF"/>
    <w:rsid w:val="00D9344F"/>
    <w:rsid w:val="00D97FE3"/>
    <w:rsid w:val="00DA26D2"/>
    <w:rsid w:val="00DA3E4C"/>
    <w:rsid w:val="00DA5906"/>
    <w:rsid w:val="00DB0CE2"/>
    <w:rsid w:val="00DB20AB"/>
    <w:rsid w:val="00DB2B10"/>
    <w:rsid w:val="00DC42AA"/>
    <w:rsid w:val="00DC4D6E"/>
    <w:rsid w:val="00DC5645"/>
    <w:rsid w:val="00DD0CA3"/>
    <w:rsid w:val="00DE5D97"/>
    <w:rsid w:val="00E07D75"/>
    <w:rsid w:val="00E10A70"/>
    <w:rsid w:val="00E11B3F"/>
    <w:rsid w:val="00E24EB0"/>
    <w:rsid w:val="00E269BB"/>
    <w:rsid w:val="00E36452"/>
    <w:rsid w:val="00E37ADC"/>
    <w:rsid w:val="00E416FA"/>
    <w:rsid w:val="00E427D5"/>
    <w:rsid w:val="00E44CE9"/>
    <w:rsid w:val="00E5005B"/>
    <w:rsid w:val="00E53813"/>
    <w:rsid w:val="00E56BF6"/>
    <w:rsid w:val="00E619D8"/>
    <w:rsid w:val="00E750D8"/>
    <w:rsid w:val="00E757CB"/>
    <w:rsid w:val="00E86C92"/>
    <w:rsid w:val="00E9055A"/>
    <w:rsid w:val="00E937EB"/>
    <w:rsid w:val="00EA4E98"/>
    <w:rsid w:val="00EB358E"/>
    <w:rsid w:val="00EB4112"/>
    <w:rsid w:val="00EC1CE5"/>
    <w:rsid w:val="00EC320B"/>
    <w:rsid w:val="00ED0351"/>
    <w:rsid w:val="00ED1DAE"/>
    <w:rsid w:val="00EE08DE"/>
    <w:rsid w:val="00EE7283"/>
    <w:rsid w:val="00EE78D9"/>
    <w:rsid w:val="00EF1175"/>
    <w:rsid w:val="00EF322E"/>
    <w:rsid w:val="00F019BA"/>
    <w:rsid w:val="00F01CA4"/>
    <w:rsid w:val="00F05274"/>
    <w:rsid w:val="00F06D27"/>
    <w:rsid w:val="00F22C6D"/>
    <w:rsid w:val="00F274CE"/>
    <w:rsid w:val="00F306C1"/>
    <w:rsid w:val="00F619ED"/>
    <w:rsid w:val="00F65B3F"/>
    <w:rsid w:val="00F67645"/>
    <w:rsid w:val="00F719F8"/>
    <w:rsid w:val="00F8364A"/>
    <w:rsid w:val="00F85A24"/>
    <w:rsid w:val="00F95AB1"/>
    <w:rsid w:val="00FA39D8"/>
    <w:rsid w:val="00FA43BA"/>
    <w:rsid w:val="00FB4DC9"/>
    <w:rsid w:val="00FB77FA"/>
    <w:rsid w:val="00FC49B9"/>
    <w:rsid w:val="00FD4409"/>
    <w:rsid w:val="00FE0CD5"/>
    <w:rsid w:val="00FE5D90"/>
    <w:rsid w:val="00FF3A28"/>
    <w:rsid w:val="00FF69A8"/>
    <w:rsid w:val="00FF7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B1BB692"/>
  <w15:docId w15:val="{3D3AAC1A-3884-4133-94F4-982294D5F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autoSpaceDE w:val="0"/>
      <w:autoSpaceDN w:val="0"/>
    </w:pPr>
  </w:style>
  <w:style w:type="paragraph" w:styleId="Heading1">
    <w:name w:val="heading 1"/>
    <w:basedOn w:val="Normal"/>
    <w:next w:val="Normal"/>
    <w:qFormat/>
    <w:pPr>
      <w:keepNext/>
      <w:tabs>
        <w:tab w:val="center" w:pos="4680"/>
      </w:tabs>
      <w:suppressAutoHyphens/>
      <w:jc w:val="both"/>
      <w:outlineLvl w:val="0"/>
    </w:pPr>
    <w:rPr>
      <w:b/>
      <w:bCs/>
    </w:rPr>
  </w:style>
  <w:style w:type="paragraph" w:styleId="Heading2">
    <w:name w:val="heading 2"/>
    <w:basedOn w:val="Normal"/>
    <w:next w:val="Normal"/>
    <w:qFormat/>
    <w:pPr>
      <w:keepNext/>
      <w:spacing w:line="360" w:lineRule="auto"/>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noteText">
    <w:name w:val="footnote text"/>
    <w:basedOn w:val="Normal"/>
    <w:link w:val="FootnoteTextChar"/>
    <w:semiHidden/>
  </w:style>
  <w:style w:type="character" w:styleId="FootnoteReference">
    <w:name w:val="footnote reference"/>
    <w:basedOn w:val="DefaultParagraphFont"/>
    <w:semiHidden/>
    <w:rPr>
      <w:vertAlign w:val="superscript"/>
    </w:rPr>
  </w:style>
  <w:style w:type="paragraph" w:styleId="DocumentMap">
    <w:name w:val="Document Map"/>
    <w:basedOn w:val="Normal"/>
    <w:semiHidden/>
    <w:pPr>
      <w:shd w:val="clear" w:color="auto" w:fill="000080"/>
    </w:pPr>
    <w:rPr>
      <w:rFonts w:ascii="Tahoma" w:hAnsi="Tahoma" w:cs="Tahoma"/>
    </w:rPr>
  </w:style>
  <w:style w:type="paragraph" w:customStyle="1" w:styleId="TxBrp8">
    <w:name w:val="TxBr_p8"/>
    <w:basedOn w:val="Normal"/>
    <w:rsid w:val="00F306C1"/>
    <w:pPr>
      <w:widowControl w:val="0"/>
      <w:tabs>
        <w:tab w:val="left" w:pos="1468"/>
      </w:tabs>
      <w:adjustRightInd w:val="0"/>
      <w:spacing w:line="464" w:lineRule="atLeast"/>
      <w:ind w:firstLine="1468"/>
    </w:pPr>
    <w:rPr>
      <w:sz w:val="24"/>
      <w:szCs w:val="24"/>
    </w:rPr>
  </w:style>
  <w:style w:type="paragraph" w:styleId="PlainText">
    <w:name w:val="Plain Text"/>
    <w:basedOn w:val="Normal"/>
    <w:rsid w:val="00E10A70"/>
    <w:pPr>
      <w:autoSpaceDE/>
      <w:autoSpaceDN/>
      <w:spacing w:line="360" w:lineRule="auto"/>
      <w:ind w:firstLine="1440"/>
    </w:pPr>
    <w:rPr>
      <w:sz w:val="24"/>
      <w:szCs w:val="24"/>
    </w:rPr>
  </w:style>
  <w:style w:type="paragraph" w:styleId="BalloonText">
    <w:name w:val="Balloon Text"/>
    <w:basedOn w:val="Normal"/>
    <w:link w:val="BalloonTextChar"/>
    <w:rsid w:val="00131A6A"/>
    <w:rPr>
      <w:rFonts w:ascii="Tahoma" w:hAnsi="Tahoma" w:cs="Tahoma"/>
      <w:sz w:val="16"/>
      <w:szCs w:val="16"/>
    </w:rPr>
  </w:style>
  <w:style w:type="character" w:customStyle="1" w:styleId="BalloonTextChar">
    <w:name w:val="Balloon Text Char"/>
    <w:basedOn w:val="DefaultParagraphFont"/>
    <w:link w:val="BalloonText"/>
    <w:rsid w:val="00131A6A"/>
    <w:rPr>
      <w:rFonts w:ascii="Tahoma" w:hAnsi="Tahoma" w:cs="Tahoma"/>
      <w:sz w:val="16"/>
      <w:szCs w:val="16"/>
    </w:rPr>
  </w:style>
  <w:style w:type="paragraph" w:styleId="ListParagraph">
    <w:name w:val="List Paragraph"/>
    <w:basedOn w:val="Normal"/>
    <w:uiPriority w:val="34"/>
    <w:qFormat/>
    <w:rsid w:val="00D34F31"/>
    <w:pPr>
      <w:ind w:left="720"/>
      <w:contextualSpacing/>
    </w:pPr>
  </w:style>
  <w:style w:type="paragraph" w:styleId="EndnoteText">
    <w:name w:val="endnote text"/>
    <w:basedOn w:val="Normal"/>
    <w:link w:val="EndnoteTextChar"/>
    <w:rsid w:val="00D9344F"/>
  </w:style>
  <w:style w:type="character" w:customStyle="1" w:styleId="EndnoteTextChar">
    <w:name w:val="Endnote Text Char"/>
    <w:basedOn w:val="DefaultParagraphFont"/>
    <w:link w:val="EndnoteText"/>
    <w:rsid w:val="00D9344F"/>
  </w:style>
  <w:style w:type="character" w:styleId="EndnoteReference">
    <w:name w:val="endnote reference"/>
    <w:basedOn w:val="DefaultParagraphFont"/>
    <w:rsid w:val="00D9344F"/>
    <w:rPr>
      <w:vertAlign w:val="superscript"/>
    </w:rPr>
  </w:style>
  <w:style w:type="paragraph" w:styleId="NormalWeb">
    <w:name w:val="Normal (Web)"/>
    <w:basedOn w:val="Normal"/>
    <w:unhideWhenUsed/>
    <w:rsid w:val="00A92BAC"/>
    <w:pPr>
      <w:autoSpaceDE/>
      <w:autoSpaceDN/>
      <w:spacing w:before="100" w:beforeAutospacing="1" w:after="100" w:afterAutospacing="1"/>
    </w:pPr>
    <w:rPr>
      <w:sz w:val="24"/>
      <w:szCs w:val="24"/>
    </w:rPr>
  </w:style>
  <w:style w:type="paragraph" w:customStyle="1" w:styleId="Style0">
    <w:name w:val="Style0"/>
    <w:rsid w:val="00A92BAC"/>
    <w:rPr>
      <w:rFonts w:ascii="Arial" w:hAnsi="Arial"/>
      <w:snapToGrid w:val="0"/>
      <w:sz w:val="24"/>
    </w:rPr>
  </w:style>
  <w:style w:type="character" w:customStyle="1" w:styleId="FootnoteTextChar">
    <w:name w:val="Footnote Text Char"/>
    <w:basedOn w:val="DefaultParagraphFont"/>
    <w:link w:val="FootnoteText"/>
    <w:semiHidden/>
    <w:rsid w:val="00A92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53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6F0BC-B4D7-4F07-B705-E6C7571DD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11</Pages>
  <Words>2529</Words>
  <Characters>14419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_BEFORE THE</vt:lpstr>
    </vt:vector>
  </TitlesOfParts>
  <Company>PA PUC</Company>
  <LinksUpToDate>false</LinksUpToDate>
  <CharactersWithSpaces>16915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_BEFORE THE</dc:title>
  <dc:creator>PA PUC</dc:creator>
  <cp:lastModifiedBy>Pallas, Dan</cp:lastModifiedBy>
  <cp:revision>3</cp:revision>
  <cp:lastPrinted>2019-10-25T19:22:00Z</cp:lastPrinted>
  <dcterms:created xsi:type="dcterms:W3CDTF">2019-10-29T16:15:00Z</dcterms:created>
  <dcterms:modified xsi:type="dcterms:W3CDTF">2019-10-29T19:14:00Z</dcterms:modified>
</cp:coreProperties>
</file>