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EE1DCC" w:rsidRPr="00EF0312" w14:paraId="085ACAE0" w14:textId="77777777" w:rsidTr="00E66CD3">
        <w:tc>
          <w:tcPr>
            <w:tcW w:w="2448" w:type="dxa"/>
          </w:tcPr>
          <w:p w14:paraId="2D5CC344" w14:textId="77777777" w:rsidR="00EE1DCC" w:rsidRPr="00EF0312" w:rsidRDefault="00EE1DCC" w:rsidP="00E66CD3">
            <w:pPr>
              <w:pStyle w:val="Heading3"/>
              <w:rPr>
                <w:rFonts w:ascii="Times New Roman" w:hAnsi="Times New Roman" w:cs="Times New Roman"/>
              </w:rPr>
            </w:pPr>
          </w:p>
        </w:tc>
        <w:tc>
          <w:tcPr>
            <w:tcW w:w="5130" w:type="dxa"/>
          </w:tcPr>
          <w:p w14:paraId="5ABBCDFC" w14:textId="77777777" w:rsidR="00EE1DCC" w:rsidRPr="00EF0312" w:rsidRDefault="00EE1DCC" w:rsidP="00E66CD3">
            <w:pPr>
              <w:jc w:val="center"/>
              <w:rPr>
                <w:b/>
                <w:sz w:val="26"/>
                <w:szCs w:val="26"/>
              </w:rPr>
            </w:pPr>
            <w:r w:rsidRPr="00EF0312">
              <w:rPr>
                <w:b/>
                <w:sz w:val="26"/>
                <w:szCs w:val="26"/>
              </w:rPr>
              <w:t>PENNSYLVANIA</w:t>
            </w:r>
          </w:p>
          <w:p w14:paraId="71DA24EB" w14:textId="77777777" w:rsidR="00EE1DCC" w:rsidRPr="00EF0312" w:rsidRDefault="00EE1DCC" w:rsidP="00E66CD3">
            <w:pPr>
              <w:jc w:val="center"/>
              <w:rPr>
                <w:b/>
                <w:sz w:val="26"/>
                <w:szCs w:val="26"/>
              </w:rPr>
            </w:pPr>
            <w:r w:rsidRPr="00EF0312">
              <w:rPr>
                <w:b/>
                <w:sz w:val="26"/>
                <w:szCs w:val="26"/>
              </w:rPr>
              <w:t>PUBLIC UTILITY COMMISSION</w:t>
            </w:r>
          </w:p>
          <w:p w14:paraId="58C74C8C" w14:textId="77777777" w:rsidR="00EE1DCC" w:rsidRPr="00EF0312" w:rsidRDefault="00EE1DCC" w:rsidP="00E66CD3">
            <w:pPr>
              <w:pStyle w:val="StyleCentered"/>
              <w:rPr>
                <w:b/>
                <w:sz w:val="26"/>
                <w:szCs w:val="26"/>
              </w:rPr>
            </w:pPr>
            <w:r w:rsidRPr="00EF0312">
              <w:rPr>
                <w:b/>
                <w:sz w:val="26"/>
                <w:szCs w:val="26"/>
              </w:rPr>
              <w:t>Harrisburg, PA  17105-3265</w:t>
            </w:r>
          </w:p>
        </w:tc>
        <w:tc>
          <w:tcPr>
            <w:tcW w:w="2700" w:type="dxa"/>
          </w:tcPr>
          <w:p w14:paraId="70D07664" w14:textId="77777777" w:rsidR="00EE1DCC" w:rsidRPr="00EF0312" w:rsidRDefault="00EE1DCC" w:rsidP="00E66CD3">
            <w:pPr>
              <w:rPr>
                <w:sz w:val="26"/>
                <w:szCs w:val="26"/>
              </w:rPr>
            </w:pPr>
          </w:p>
        </w:tc>
      </w:tr>
    </w:tbl>
    <w:p w14:paraId="1E25A042" w14:textId="77777777" w:rsidR="00EE1DCC" w:rsidRPr="00EF0312" w:rsidRDefault="00EE1DCC" w:rsidP="00EE1DCC">
      <w:pPr>
        <w:rPr>
          <w:sz w:val="26"/>
          <w:szCs w:val="26"/>
        </w:rPr>
      </w:pPr>
    </w:p>
    <w:tbl>
      <w:tblPr>
        <w:tblW w:w="0" w:type="auto"/>
        <w:tblLayout w:type="fixed"/>
        <w:tblLook w:val="0000" w:firstRow="0" w:lastRow="0" w:firstColumn="0" w:lastColumn="0" w:noHBand="0" w:noVBand="0"/>
      </w:tblPr>
      <w:tblGrid>
        <w:gridCol w:w="5148"/>
        <w:gridCol w:w="5148"/>
      </w:tblGrid>
      <w:tr w:rsidR="00EE1DCC" w:rsidRPr="00EF0312" w14:paraId="72B63C03" w14:textId="77777777" w:rsidTr="00E66CD3">
        <w:tc>
          <w:tcPr>
            <w:tcW w:w="5148" w:type="dxa"/>
          </w:tcPr>
          <w:p w14:paraId="2481D640" w14:textId="77777777" w:rsidR="00EE1DCC" w:rsidRPr="00EF0312" w:rsidRDefault="00EE1DCC" w:rsidP="00E66CD3">
            <w:pPr>
              <w:rPr>
                <w:sz w:val="26"/>
                <w:szCs w:val="26"/>
              </w:rPr>
            </w:pPr>
          </w:p>
        </w:tc>
        <w:tc>
          <w:tcPr>
            <w:tcW w:w="5148" w:type="dxa"/>
          </w:tcPr>
          <w:p w14:paraId="240519A9" w14:textId="2A072025" w:rsidR="00EE1DCC" w:rsidRPr="00EF0312" w:rsidRDefault="00EE1DCC" w:rsidP="00745182">
            <w:pPr>
              <w:ind w:firstLine="612"/>
              <w:rPr>
                <w:sz w:val="26"/>
                <w:szCs w:val="26"/>
              </w:rPr>
            </w:pPr>
            <w:r w:rsidRPr="00EF0312">
              <w:rPr>
                <w:sz w:val="26"/>
                <w:szCs w:val="26"/>
              </w:rPr>
              <w:t xml:space="preserve">Public Meeting held </w:t>
            </w:r>
            <w:r w:rsidR="00C131A6" w:rsidRPr="00EF0312">
              <w:rPr>
                <w:sz w:val="26"/>
                <w:szCs w:val="26"/>
              </w:rPr>
              <w:t>November 14</w:t>
            </w:r>
            <w:r w:rsidR="004966B7" w:rsidRPr="00EF0312">
              <w:rPr>
                <w:sz w:val="26"/>
                <w:szCs w:val="26"/>
              </w:rPr>
              <w:t>, 2019</w:t>
            </w:r>
          </w:p>
        </w:tc>
      </w:tr>
      <w:tr w:rsidR="00EE1DCC" w:rsidRPr="00EF0312" w14:paraId="4D3445D0" w14:textId="77777777" w:rsidTr="00E66CD3">
        <w:tc>
          <w:tcPr>
            <w:tcW w:w="5148" w:type="dxa"/>
          </w:tcPr>
          <w:p w14:paraId="54293434" w14:textId="77777777" w:rsidR="00EE1DCC" w:rsidRPr="00EF0312" w:rsidRDefault="00EE1DCC" w:rsidP="00E66CD3">
            <w:pPr>
              <w:rPr>
                <w:sz w:val="26"/>
                <w:szCs w:val="26"/>
              </w:rPr>
            </w:pPr>
            <w:r w:rsidRPr="00EF0312">
              <w:rPr>
                <w:sz w:val="26"/>
                <w:szCs w:val="26"/>
              </w:rPr>
              <w:t>Commissioners Present:</w:t>
            </w:r>
          </w:p>
        </w:tc>
        <w:tc>
          <w:tcPr>
            <w:tcW w:w="5148" w:type="dxa"/>
          </w:tcPr>
          <w:p w14:paraId="4BC48522" w14:textId="77777777" w:rsidR="00EE1DCC" w:rsidRPr="00EF0312" w:rsidRDefault="00EE1DCC" w:rsidP="00E66CD3">
            <w:pPr>
              <w:rPr>
                <w:sz w:val="26"/>
                <w:szCs w:val="26"/>
              </w:rPr>
            </w:pPr>
          </w:p>
        </w:tc>
      </w:tr>
    </w:tbl>
    <w:p w14:paraId="69671BF2" w14:textId="77777777" w:rsidR="00EE1DCC" w:rsidRPr="00EF0312" w:rsidRDefault="00EE1DCC" w:rsidP="00EE1DCC">
      <w:pPr>
        <w:rPr>
          <w:sz w:val="26"/>
          <w:szCs w:val="26"/>
        </w:rPr>
      </w:pPr>
    </w:p>
    <w:tbl>
      <w:tblPr>
        <w:tblW w:w="10296" w:type="dxa"/>
        <w:tblLayout w:type="fixed"/>
        <w:tblLook w:val="0000" w:firstRow="0" w:lastRow="0" w:firstColumn="0" w:lastColumn="0" w:noHBand="0" w:noVBand="0"/>
      </w:tblPr>
      <w:tblGrid>
        <w:gridCol w:w="6048"/>
        <w:gridCol w:w="3222"/>
        <w:gridCol w:w="108"/>
        <w:gridCol w:w="918"/>
      </w:tblGrid>
      <w:tr w:rsidR="00EE1DCC" w:rsidRPr="00EF0312" w14:paraId="2DA5529E" w14:textId="77777777" w:rsidTr="00E66CD3">
        <w:tc>
          <w:tcPr>
            <w:tcW w:w="9378" w:type="dxa"/>
            <w:gridSpan w:val="3"/>
          </w:tcPr>
          <w:p w14:paraId="33A7F585" w14:textId="2D808713" w:rsidR="00EE1DCC" w:rsidRPr="00EF0312" w:rsidRDefault="004966B7" w:rsidP="00E66CD3">
            <w:pPr>
              <w:overflowPunct/>
              <w:ind w:left="720"/>
              <w:textAlignment w:val="auto"/>
              <w:rPr>
                <w:sz w:val="26"/>
                <w:szCs w:val="26"/>
              </w:rPr>
            </w:pPr>
            <w:r w:rsidRPr="00EF0312">
              <w:rPr>
                <w:sz w:val="26"/>
                <w:szCs w:val="26"/>
              </w:rPr>
              <w:t>Gladys Brown</w:t>
            </w:r>
            <w:r w:rsidR="00627E7C" w:rsidRPr="00EF0312">
              <w:rPr>
                <w:sz w:val="26"/>
                <w:szCs w:val="26"/>
              </w:rPr>
              <w:t xml:space="preserve"> Dutrieu</w:t>
            </w:r>
            <w:r w:rsidR="00563F54" w:rsidRPr="00EF0312">
              <w:rPr>
                <w:sz w:val="26"/>
                <w:szCs w:val="26"/>
              </w:rPr>
              <w:t>i</w:t>
            </w:r>
            <w:r w:rsidR="00627E7C" w:rsidRPr="00EF0312">
              <w:rPr>
                <w:sz w:val="26"/>
                <w:szCs w:val="26"/>
              </w:rPr>
              <w:t>lle</w:t>
            </w:r>
            <w:r w:rsidR="00EE1DCC" w:rsidRPr="00EF0312">
              <w:rPr>
                <w:sz w:val="26"/>
                <w:szCs w:val="26"/>
              </w:rPr>
              <w:t>, Chairman</w:t>
            </w:r>
          </w:p>
        </w:tc>
        <w:tc>
          <w:tcPr>
            <w:tcW w:w="918" w:type="dxa"/>
          </w:tcPr>
          <w:p w14:paraId="4D82CAA7" w14:textId="77777777" w:rsidR="00EE1DCC" w:rsidRPr="00EF0312" w:rsidRDefault="00EE1DCC" w:rsidP="00E66CD3">
            <w:pPr>
              <w:rPr>
                <w:sz w:val="26"/>
                <w:szCs w:val="26"/>
              </w:rPr>
            </w:pPr>
          </w:p>
        </w:tc>
      </w:tr>
      <w:tr w:rsidR="00EE1DCC" w:rsidRPr="00EF0312" w14:paraId="049A73BD" w14:textId="77777777" w:rsidTr="00E66CD3">
        <w:tc>
          <w:tcPr>
            <w:tcW w:w="9378" w:type="dxa"/>
            <w:gridSpan w:val="3"/>
          </w:tcPr>
          <w:p w14:paraId="3A5F4B18" w14:textId="12A679DA" w:rsidR="00EE1DCC" w:rsidRPr="00EF0312" w:rsidRDefault="004966B7" w:rsidP="00E66CD3">
            <w:pPr>
              <w:overflowPunct/>
              <w:ind w:left="720"/>
              <w:textAlignment w:val="auto"/>
              <w:rPr>
                <w:sz w:val="26"/>
                <w:szCs w:val="26"/>
              </w:rPr>
            </w:pPr>
            <w:r w:rsidRPr="00EF0312">
              <w:rPr>
                <w:sz w:val="26"/>
                <w:szCs w:val="26"/>
              </w:rPr>
              <w:t>David W. Sweet,</w:t>
            </w:r>
            <w:r w:rsidR="00EE1DCC" w:rsidRPr="00EF0312">
              <w:rPr>
                <w:sz w:val="26"/>
                <w:szCs w:val="26"/>
              </w:rPr>
              <w:t xml:space="preserve"> Vice Chairman</w:t>
            </w:r>
          </w:p>
        </w:tc>
        <w:tc>
          <w:tcPr>
            <w:tcW w:w="918" w:type="dxa"/>
          </w:tcPr>
          <w:p w14:paraId="74D0AD6F" w14:textId="77777777" w:rsidR="00EE1DCC" w:rsidRPr="00EF0312" w:rsidRDefault="00EE1DCC" w:rsidP="00E66CD3">
            <w:pPr>
              <w:rPr>
                <w:sz w:val="26"/>
                <w:szCs w:val="26"/>
              </w:rPr>
            </w:pPr>
          </w:p>
        </w:tc>
      </w:tr>
      <w:tr w:rsidR="00EE1DCC" w:rsidRPr="00EF0312" w14:paraId="593DF20A" w14:textId="77777777" w:rsidTr="00E66CD3">
        <w:tc>
          <w:tcPr>
            <w:tcW w:w="9378" w:type="dxa"/>
            <w:gridSpan w:val="3"/>
          </w:tcPr>
          <w:p w14:paraId="3456C93E" w14:textId="00D461B3" w:rsidR="00EE1DCC" w:rsidRPr="00EF0312" w:rsidRDefault="00C131A6" w:rsidP="00E66CD3">
            <w:pPr>
              <w:overflowPunct/>
              <w:ind w:left="720"/>
              <w:textAlignment w:val="auto"/>
              <w:rPr>
                <w:sz w:val="26"/>
                <w:szCs w:val="26"/>
              </w:rPr>
            </w:pPr>
            <w:r w:rsidRPr="00EF0312">
              <w:rPr>
                <w:sz w:val="26"/>
                <w:szCs w:val="26"/>
              </w:rPr>
              <w:t>Andrew G. Place</w:t>
            </w:r>
          </w:p>
        </w:tc>
        <w:tc>
          <w:tcPr>
            <w:tcW w:w="918" w:type="dxa"/>
          </w:tcPr>
          <w:p w14:paraId="0073101E" w14:textId="77777777" w:rsidR="00EE1DCC" w:rsidRPr="00EF0312" w:rsidRDefault="00EE1DCC" w:rsidP="00E66CD3">
            <w:pPr>
              <w:rPr>
                <w:sz w:val="26"/>
                <w:szCs w:val="26"/>
              </w:rPr>
            </w:pPr>
          </w:p>
        </w:tc>
      </w:tr>
      <w:tr w:rsidR="00EE1DCC" w:rsidRPr="00EF0312" w14:paraId="2E19C77D" w14:textId="77777777" w:rsidTr="00E66CD3">
        <w:tc>
          <w:tcPr>
            <w:tcW w:w="9378" w:type="dxa"/>
            <w:gridSpan w:val="3"/>
          </w:tcPr>
          <w:p w14:paraId="387B4ABE" w14:textId="3DFF36A9" w:rsidR="00EE1DCC" w:rsidRPr="00EF0312" w:rsidRDefault="00C131A6" w:rsidP="00E66CD3">
            <w:pPr>
              <w:overflowPunct/>
              <w:ind w:left="720"/>
              <w:textAlignment w:val="auto"/>
              <w:rPr>
                <w:sz w:val="26"/>
                <w:szCs w:val="26"/>
              </w:rPr>
            </w:pPr>
            <w:r w:rsidRPr="00EF0312">
              <w:rPr>
                <w:sz w:val="26"/>
                <w:szCs w:val="26"/>
              </w:rPr>
              <w:t>John F. Coleman, Jr.</w:t>
            </w:r>
          </w:p>
        </w:tc>
        <w:tc>
          <w:tcPr>
            <w:tcW w:w="918" w:type="dxa"/>
          </w:tcPr>
          <w:p w14:paraId="6CEF298C" w14:textId="77777777" w:rsidR="00EE1DCC" w:rsidRPr="00EF0312" w:rsidRDefault="00EE1DCC" w:rsidP="00E66CD3">
            <w:pPr>
              <w:rPr>
                <w:sz w:val="26"/>
                <w:szCs w:val="26"/>
              </w:rPr>
            </w:pPr>
          </w:p>
        </w:tc>
      </w:tr>
      <w:tr w:rsidR="00EE1DCC" w:rsidRPr="00EF0312" w14:paraId="156AC34D" w14:textId="77777777" w:rsidTr="00C131A6">
        <w:trPr>
          <w:gridAfter w:val="2"/>
          <w:wAfter w:w="1026" w:type="dxa"/>
        </w:trPr>
        <w:tc>
          <w:tcPr>
            <w:tcW w:w="6048" w:type="dxa"/>
          </w:tcPr>
          <w:p w14:paraId="2E06C1FB" w14:textId="4DD3134C" w:rsidR="00EE1DCC" w:rsidRPr="00EF0312" w:rsidRDefault="00C131A6" w:rsidP="00E66CD3">
            <w:pPr>
              <w:ind w:left="720"/>
              <w:rPr>
                <w:sz w:val="26"/>
                <w:szCs w:val="26"/>
              </w:rPr>
            </w:pPr>
            <w:r w:rsidRPr="00EF0312">
              <w:rPr>
                <w:sz w:val="26"/>
                <w:szCs w:val="26"/>
              </w:rPr>
              <w:t xml:space="preserve">Ralph </w:t>
            </w:r>
            <w:r w:rsidR="00D133A5" w:rsidRPr="00EF0312">
              <w:rPr>
                <w:sz w:val="26"/>
                <w:szCs w:val="26"/>
              </w:rPr>
              <w:t xml:space="preserve">V. </w:t>
            </w:r>
            <w:r w:rsidRPr="00EF0312">
              <w:rPr>
                <w:sz w:val="26"/>
                <w:szCs w:val="26"/>
              </w:rPr>
              <w:t>Yanora</w:t>
            </w:r>
          </w:p>
        </w:tc>
        <w:tc>
          <w:tcPr>
            <w:tcW w:w="3222" w:type="dxa"/>
          </w:tcPr>
          <w:p w14:paraId="544C7D2B" w14:textId="77777777" w:rsidR="00EE1DCC" w:rsidRPr="00EF0312" w:rsidRDefault="00EE1DCC" w:rsidP="00E66CD3">
            <w:pPr>
              <w:rPr>
                <w:sz w:val="26"/>
                <w:szCs w:val="26"/>
              </w:rPr>
            </w:pPr>
          </w:p>
        </w:tc>
      </w:tr>
      <w:tr w:rsidR="00EE1DCC" w:rsidRPr="00EF0312" w14:paraId="7086FA0D" w14:textId="77777777" w:rsidTr="00C131A6">
        <w:trPr>
          <w:gridAfter w:val="2"/>
          <w:wAfter w:w="1026" w:type="dxa"/>
        </w:trPr>
        <w:tc>
          <w:tcPr>
            <w:tcW w:w="6048" w:type="dxa"/>
          </w:tcPr>
          <w:p w14:paraId="3BD30AEF" w14:textId="77777777" w:rsidR="00EE1DCC" w:rsidRPr="00EF0312" w:rsidRDefault="00EE1DCC" w:rsidP="00E66CD3">
            <w:pPr>
              <w:rPr>
                <w:sz w:val="26"/>
                <w:szCs w:val="26"/>
              </w:rPr>
            </w:pPr>
          </w:p>
        </w:tc>
        <w:tc>
          <w:tcPr>
            <w:tcW w:w="3222" w:type="dxa"/>
          </w:tcPr>
          <w:p w14:paraId="2A5741E0" w14:textId="77777777" w:rsidR="00EE1DCC" w:rsidRPr="00EF0312" w:rsidRDefault="00EE1DCC" w:rsidP="00E66CD3">
            <w:pPr>
              <w:rPr>
                <w:sz w:val="26"/>
                <w:szCs w:val="26"/>
              </w:rPr>
            </w:pPr>
          </w:p>
        </w:tc>
      </w:tr>
      <w:tr w:rsidR="00EE1DCC" w:rsidRPr="00EF0312" w14:paraId="713C0638" w14:textId="77777777" w:rsidTr="00C131A6">
        <w:trPr>
          <w:gridAfter w:val="2"/>
          <w:wAfter w:w="1026" w:type="dxa"/>
        </w:trPr>
        <w:tc>
          <w:tcPr>
            <w:tcW w:w="6048" w:type="dxa"/>
          </w:tcPr>
          <w:p w14:paraId="0533B019" w14:textId="77777777" w:rsidR="00EE1DCC" w:rsidRPr="00EF0312" w:rsidRDefault="00EE1DCC" w:rsidP="00E66CD3">
            <w:pPr>
              <w:rPr>
                <w:sz w:val="26"/>
                <w:szCs w:val="26"/>
              </w:rPr>
            </w:pPr>
          </w:p>
        </w:tc>
        <w:tc>
          <w:tcPr>
            <w:tcW w:w="3222" w:type="dxa"/>
          </w:tcPr>
          <w:p w14:paraId="2AF76DCC" w14:textId="77777777" w:rsidR="00EE1DCC" w:rsidRPr="00EF0312" w:rsidRDefault="00EE1DCC" w:rsidP="00E66CD3">
            <w:pPr>
              <w:rPr>
                <w:sz w:val="26"/>
                <w:szCs w:val="26"/>
              </w:rPr>
            </w:pPr>
          </w:p>
        </w:tc>
      </w:tr>
      <w:tr w:rsidR="00C131A6" w:rsidRPr="00EF0312" w14:paraId="37C5DE2B" w14:textId="77777777" w:rsidTr="00C131A6">
        <w:trPr>
          <w:gridAfter w:val="2"/>
          <w:wAfter w:w="1026" w:type="dxa"/>
        </w:trPr>
        <w:tc>
          <w:tcPr>
            <w:tcW w:w="6048" w:type="dxa"/>
          </w:tcPr>
          <w:p w14:paraId="035FFA64" w14:textId="3C9E25ED" w:rsidR="00C131A6" w:rsidRPr="00EF0312" w:rsidRDefault="00C131A6" w:rsidP="00C131A6">
            <w:pPr>
              <w:rPr>
                <w:sz w:val="26"/>
                <w:szCs w:val="26"/>
              </w:rPr>
            </w:pPr>
            <w:r w:rsidRPr="00EF0312">
              <w:rPr>
                <w:sz w:val="26"/>
                <w:szCs w:val="26"/>
              </w:rPr>
              <w:t xml:space="preserve">Petition of PPL Electric Utilities Corporation </w:t>
            </w:r>
          </w:p>
          <w:p w14:paraId="14158DDF" w14:textId="0751932C" w:rsidR="00C131A6" w:rsidRPr="00EF0312" w:rsidRDefault="00C131A6" w:rsidP="00C131A6">
            <w:pPr>
              <w:rPr>
                <w:sz w:val="26"/>
                <w:szCs w:val="26"/>
              </w:rPr>
            </w:pPr>
            <w:r w:rsidRPr="00EF0312">
              <w:rPr>
                <w:sz w:val="26"/>
                <w:szCs w:val="26"/>
              </w:rPr>
              <w:t>To Establish a Mechanism to Distribute the Tax Savings Associated with the TCJA for the Period Between January 1, 2018, and June 30, 2018</w:t>
            </w:r>
          </w:p>
          <w:p w14:paraId="7C584F31" w14:textId="77777777" w:rsidR="00C131A6" w:rsidRPr="00EF0312" w:rsidRDefault="00C131A6" w:rsidP="00C131A6">
            <w:pPr>
              <w:rPr>
                <w:sz w:val="26"/>
                <w:szCs w:val="26"/>
              </w:rPr>
            </w:pPr>
          </w:p>
        </w:tc>
        <w:tc>
          <w:tcPr>
            <w:tcW w:w="3222" w:type="dxa"/>
          </w:tcPr>
          <w:p w14:paraId="7F470C50" w14:textId="5DE2BA99" w:rsidR="00C131A6" w:rsidRPr="00EF0312" w:rsidRDefault="00C131A6" w:rsidP="00EF0312">
            <w:pPr>
              <w:tabs>
                <w:tab w:val="left" w:pos="435"/>
              </w:tabs>
              <w:ind w:left="420" w:right="-195"/>
              <w:rPr>
                <w:sz w:val="26"/>
                <w:szCs w:val="26"/>
              </w:rPr>
            </w:pPr>
            <w:r w:rsidRPr="00EF0312">
              <w:rPr>
                <w:sz w:val="26"/>
                <w:szCs w:val="26"/>
              </w:rPr>
              <w:t>P-2019-3013366</w:t>
            </w:r>
          </w:p>
          <w:p w14:paraId="62E2F45F" w14:textId="77777777" w:rsidR="00C131A6" w:rsidRPr="00EF0312" w:rsidRDefault="00C131A6" w:rsidP="00E66CD3">
            <w:pPr>
              <w:rPr>
                <w:sz w:val="26"/>
                <w:szCs w:val="26"/>
              </w:rPr>
            </w:pPr>
          </w:p>
        </w:tc>
      </w:tr>
      <w:tr w:rsidR="00EF0312" w:rsidRPr="00EF0312" w14:paraId="6DEF5FED" w14:textId="77777777" w:rsidTr="00C131A6">
        <w:trPr>
          <w:gridAfter w:val="2"/>
          <w:wAfter w:w="1026" w:type="dxa"/>
        </w:trPr>
        <w:tc>
          <w:tcPr>
            <w:tcW w:w="6048" w:type="dxa"/>
          </w:tcPr>
          <w:p w14:paraId="7D9D68CF" w14:textId="77777777" w:rsidR="00EF0312" w:rsidRPr="00EF0312" w:rsidRDefault="00EF0312" w:rsidP="00C131A6">
            <w:pPr>
              <w:rPr>
                <w:sz w:val="26"/>
                <w:szCs w:val="26"/>
              </w:rPr>
            </w:pPr>
          </w:p>
        </w:tc>
        <w:tc>
          <w:tcPr>
            <w:tcW w:w="3222" w:type="dxa"/>
          </w:tcPr>
          <w:p w14:paraId="1ACAB786" w14:textId="77777777" w:rsidR="00EF0312" w:rsidRPr="00EF0312" w:rsidRDefault="00EF0312" w:rsidP="00EF0312">
            <w:pPr>
              <w:tabs>
                <w:tab w:val="left" w:pos="435"/>
              </w:tabs>
              <w:ind w:right="-195"/>
              <w:rPr>
                <w:sz w:val="26"/>
                <w:szCs w:val="26"/>
              </w:rPr>
            </w:pPr>
          </w:p>
        </w:tc>
      </w:tr>
    </w:tbl>
    <w:p w14:paraId="07B1EBF8" w14:textId="77777777" w:rsidR="00EE1DCC" w:rsidRPr="00EF0312" w:rsidRDefault="00EE1DCC" w:rsidP="00EE1DCC">
      <w:pPr>
        <w:spacing w:line="360" w:lineRule="auto"/>
        <w:jc w:val="center"/>
        <w:rPr>
          <w:b/>
          <w:sz w:val="26"/>
          <w:szCs w:val="26"/>
        </w:rPr>
      </w:pPr>
      <w:r w:rsidRPr="00EF0312">
        <w:rPr>
          <w:b/>
          <w:sz w:val="26"/>
          <w:szCs w:val="26"/>
        </w:rPr>
        <w:t>OPINION AND ORDER</w:t>
      </w:r>
    </w:p>
    <w:p w14:paraId="4FB64855" w14:textId="77777777" w:rsidR="00EE1DCC" w:rsidRPr="00EF0312" w:rsidRDefault="00EE1DCC" w:rsidP="00EE1DCC">
      <w:pPr>
        <w:spacing w:line="360" w:lineRule="auto"/>
        <w:jc w:val="center"/>
        <w:rPr>
          <w:b/>
          <w:sz w:val="26"/>
          <w:szCs w:val="26"/>
        </w:rPr>
      </w:pPr>
    </w:p>
    <w:p w14:paraId="1F01CA69" w14:textId="77777777" w:rsidR="00EE1DCC" w:rsidRPr="00EF0312" w:rsidRDefault="00EE1DCC" w:rsidP="00595D86">
      <w:pPr>
        <w:pStyle w:val="p3"/>
        <w:spacing w:line="480" w:lineRule="auto"/>
        <w:rPr>
          <w:b/>
          <w:sz w:val="26"/>
          <w:szCs w:val="26"/>
        </w:rPr>
      </w:pPr>
      <w:r w:rsidRPr="00EF0312">
        <w:rPr>
          <w:b/>
          <w:sz w:val="26"/>
          <w:szCs w:val="26"/>
        </w:rPr>
        <w:t>BY THE COMMISSION:</w:t>
      </w:r>
    </w:p>
    <w:p w14:paraId="22BED658" w14:textId="46F8453E" w:rsidR="00EE1DCC" w:rsidRPr="00EF0312" w:rsidRDefault="00EE1DCC" w:rsidP="006D4185">
      <w:pPr>
        <w:pStyle w:val="p3"/>
        <w:tabs>
          <w:tab w:val="clear" w:pos="204"/>
        </w:tabs>
        <w:spacing w:line="360" w:lineRule="auto"/>
        <w:rPr>
          <w:sz w:val="26"/>
          <w:szCs w:val="26"/>
        </w:rPr>
      </w:pPr>
      <w:r w:rsidRPr="00EF0312">
        <w:rPr>
          <w:b/>
          <w:sz w:val="26"/>
          <w:szCs w:val="26"/>
        </w:rPr>
        <w:tab/>
      </w:r>
      <w:r w:rsidRPr="00EF0312">
        <w:rPr>
          <w:sz w:val="26"/>
          <w:szCs w:val="26"/>
        </w:rPr>
        <w:t xml:space="preserve">On </w:t>
      </w:r>
      <w:r w:rsidR="00C131A6" w:rsidRPr="00EF0312">
        <w:rPr>
          <w:sz w:val="26"/>
          <w:szCs w:val="26"/>
        </w:rPr>
        <w:t>October</w:t>
      </w:r>
      <w:r w:rsidR="007C2CEC" w:rsidRPr="00EF0312">
        <w:rPr>
          <w:sz w:val="26"/>
          <w:szCs w:val="26"/>
        </w:rPr>
        <w:t xml:space="preserve"> 4, 2019</w:t>
      </w:r>
      <w:r w:rsidRPr="00EF0312">
        <w:rPr>
          <w:sz w:val="26"/>
          <w:szCs w:val="26"/>
        </w:rPr>
        <w:t xml:space="preserve">, </w:t>
      </w:r>
      <w:r w:rsidR="00C131A6" w:rsidRPr="00EF0312">
        <w:rPr>
          <w:sz w:val="26"/>
          <w:szCs w:val="26"/>
        </w:rPr>
        <w:t>PPL Electric Utilities Corporation</w:t>
      </w:r>
      <w:r w:rsidRPr="00EF0312">
        <w:rPr>
          <w:sz w:val="26"/>
          <w:szCs w:val="26"/>
        </w:rPr>
        <w:t xml:space="preserve"> (</w:t>
      </w:r>
      <w:r w:rsidR="00C131A6" w:rsidRPr="00EF0312">
        <w:rPr>
          <w:sz w:val="26"/>
          <w:szCs w:val="26"/>
        </w:rPr>
        <w:t>PPL</w:t>
      </w:r>
      <w:r w:rsidR="00AD3A57" w:rsidRPr="00EF0312">
        <w:rPr>
          <w:sz w:val="26"/>
          <w:szCs w:val="26"/>
        </w:rPr>
        <w:t xml:space="preserve"> </w:t>
      </w:r>
      <w:r w:rsidR="00880544" w:rsidRPr="00EF0312">
        <w:rPr>
          <w:sz w:val="26"/>
          <w:szCs w:val="26"/>
        </w:rPr>
        <w:t>or Company</w:t>
      </w:r>
      <w:r w:rsidRPr="00EF0312">
        <w:rPr>
          <w:sz w:val="26"/>
          <w:szCs w:val="26"/>
        </w:rPr>
        <w:t xml:space="preserve">) filed a </w:t>
      </w:r>
      <w:r w:rsidR="004966B7" w:rsidRPr="00EF0312">
        <w:rPr>
          <w:sz w:val="26"/>
          <w:szCs w:val="26"/>
        </w:rPr>
        <w:t>p</w:t>
      </w:r>
      <w:r w:rsidRPr="00EF0312">
        <w:rPr>
          <w:sz w:val="26"/>
          <w:szCs w:val="26"/>
        </w:rPr>
        <w:t>etition</w:t>
      </w:r>
      <w:r w:rsidR="00306E8D" w:rsidRPr="00EF0312">
        <w:rPr>
          <w:sz w:val="26"/>
          <w:szCs w:val="26"/>
        </w:rPr>
        <w:t xml:space="preserve"> pursuant to 52 Pa. Code §5.41, and the Commission’s directive in the Order entered on May 17, 2018 at Docket No. R-2018-3000775</w:t>
      </w:r>
      <w:r w:rsidR="00097FF9" w:rsidRPr="00EF0312">
        <w:rPr>
          <w:sz w:val="26"/>
          <w:szCs w:val="26"/>
        </w:rPr>
        <w:t xml:space="preserve"> (</w:t>
      </w:r>
      <w:r w:rsidR="003A3D73" w:rsidRPr="00EF0312">
        <w:rPr>
          <w:sz w:val="26"/>
          <w:szCs w:val="26"/>
        </w:rPr>
        <w:t>PPL Compliance</w:t>
      </w:r>
      <w:r w:rsidR="00097FF9" w:rsidRPr="00EF0312">
        <w:rPr>
          <w:sz w:val="26"/>
          <w:szCs w:val="26"/>
        </w:rPr>
        <w:t xml:space="preserve"> Order)</w:t>
      </w:r>
      <w:r w:rsidRPr="00EF0312">
        <w:rPr>
          <w:sz w:val="26"/>
          <w:szCs w:val="26"/>
        </w:rPr>
        <w:t xml:space="preserve"> </w:t>
      </w:r>
      <w:bookmarkStart w:id="0" w:name="_Hlk23151221"/>
      <w:r w:rsidRPr="00EF0312">
        <w:rPr>
          <w:sz w:val="26"/>
          <w:szCs w:val="26"/>
        </w:rPr>
        <w:t xml:space="preserve">for </w:t>
      </w:r>
      <w:r w:rsidR="004966B7" w:rsidRPr="00EF0312">
        <w:rPr>
          <w:sz w:val="26"/>
          <w:szCs w:val="26"/>
        </w:rPr>
        <w:t xml:space="preserve">authority to </w:t>
      </w:r>
      <w:r w:rsidR="0055133F" w:rsidRPr="00EF0312">
        <w:rPr>
          <w:sz w:val="26"/>
          <w:szCs w:val="26"/>
        </w:rPr>
        <w:t>distribute the tax savings associated with the Ta</w:t>
      </w:r>
      <w:r w:rsidR="00306E8D" w:rsidRPr="00EF0312">
        <w:rPr>
          <w:sz w:val="26"/>
          <w:szCs w:val="26"/>
        </w:rPr>
        <w:t>x</w:t>
      </w:r>
      <w:r w:rsidR="0055133F" w:rsidRPr="00EF0312">
        <w:rPr>
          <w:sz w:val="26"/>
          <w:szCs w:val="26"/>
        </w:rPr>
        <w:t xml:space="preserve"> Cuts and Jobs Act of 2017 (TCJA) for the period of January 1, 2018 through June 30, 201</w:t>
      </w:r>
      <w:r w:rsidR="00604407" w:rsidRPr="00EF0312">
        <w:rPr>
          <w:sz w:val="26"/>
          <w:szCs w:val="26"/>
        </w:rPr>
        <w:t>8 (Stub Period)</w:t>
      </w:r>
      <w:bookmarkEnd w:id="0"/>
      <w:r w:rsidR="004966B7" w:rsidRPr="00EF0312">
        <w:rPr>
          <w:sz w:val="26"/>
          <w:szCs w:val="26"/>
        </w:rPr>
        <w:t>.</w:t>
      </w:r>
      <w:r w:rsidRPr="00EF0312">
        <w:rPr>
          <w:sz w:val="26"/>
          <w:szCs w:val="26"/>
        </w:rPr>
        <w:t xml:space="preserve"> </w:t>
      </w:r>
      <w:r w:rsidR="00A900F3" w:rsidRPr="00EF0312">
        <w:rPr>
          <w:sz w:val="26"/>
          <w:szCs w:val="26"/>
        </w:rPr>
        <w:t xml:space="preserve"> No party has filed an Answer or Protest to this Petition.</w:t>
      </w:r>
      <w:r w:rsidRPr="00EF0312">
        <w:rPr>
          <w:sz w:val="26"/>
          <w:szCs w:val="26"/>
        </w:rPr>
        <w:t xml:space="preserve"> </w:t>
      </w:r>
    </w:p>
    <w:p w14:paraId="2180487B" w14:textId="72C5DCE0" w:rsidR="005A1BE5" w:rsidRPr="00EF0312" w:rsidRDefault="00EE1DCC" w:rsidP="00EE1DCC">
      <w:pPr>
        <w:pStyle w:val="p3"/>
        <w:tabs>
          <w:tab w:val="clear" w:pos="204"/>
        </w:tabs>
        <w:spacing w:line="360" w:lineRule="auto"/>
        <w:rPr>
          <w:sz w:val="26"/>
          <w:szCs w:val="26"/>
        </w:rPr>
      </w:pPr>
      <w:r w:rsidRPr="00EF0312">
        <w:rPr>
          <w:sz w:val="26"/>
          <w:szCs w:val="26"/>
        </w:rPr>
        <w:tab/>
      </w:r>
    </w:p>
    <w:p w14:paraId="6816CA93" w14:textId="1E1844FB" w:rsidR="00702DC6" w:rsidRPr="00EF0312" w:rsidRDefault="00702DC6" w:rsidP="00702DC6">
      <w:pPr>
        <w:pStyle w:val="p3"/>
        <w:spacing w:line="360" w:lineRule="auto"/>
        <w:rPr>
          <w:sz w:val="26"/>
          <w:szCs w:val="26"/>
        </w:rPr>
      </w:pPr>
      <w:r w:rsidRPr="00EF0312">
        <w:rPr>
          <w:sz w:val="26"/>
          <w:szCs w:val="26"/>
        </w:rPr>
        <w:tab/>
      </w:r>
      <w:r w:rsidRPr="00EF0312">
        <w:rPr>
          <w:sz w:val="26"/>
          <w:szCs w:val="26"/>
        </w:rPr>
        <w:tab/>
        <w:t xml:space="preserve">Consistent with the Commission’s prior order, PPL Electric is required to file a petition to refund to customers the tax savings associated with the TCJA for the </w:t>
      </w:r>
      <w:r w:rsidR="00604407" w:rsidRPr="00EF0312">
        <w:rPr>
          <w:sz w:val="26"/>
          <w:szCs w:val="26"/>
        </w:rPr>
        <w:t>Stub Period</w:t>
      </w:r>
      <w:r w:rsidRPr="00EF0312">
        <w:rPr>
          <w:sz w:val="26"/>
          <w:szCs w:val="26"/>
        </w:rPr>
        <w:t xml:space="preserve"> on or before May 14, 2021.</w:t>
      </w:r>
      <w:r w:rsidR="006B7B75" w:rsidRPr="00EF0312">
        <w:rPr>
          <w:sz w:val="26"/>
          <w:szCs w:val="26"/>
        </w:rPr>
        <w:t xml:space="preserve"> </w:t>
      </w:r>
      <w:r w:rsidRPr="00EF0312">
        <w:rPr>
          <w:sz w:val="26"/>
          <w:szCs w:val="26"/>
        </w:rPr>
        <w:t xml:space="preserve"> PPL Electric proposes to begin to distribute the savings associated with the period on January 1, 2020. In order to facilitate this accelerated distribution, PPL Electric has proposed to revise the existing TCJA </w:t>
      </w:r>
      <w:r w:rsidR="008F33FE" w:rsidRPr="00EF0312">
        <w:rPr>
          <w:sz w:val="26"/>
          <w:szCs w:val="26"/>
        </w:rPr>
        <w:lastRenderedPageBreak/>
        <w:t>Temporary</w:t>
      </w:r>
      <w:r w:rsidR="00266ED1" w:rsidRPr="00EF0312">
        <w:rPr>
          <w:sz w:val="26"/>
          <w:szCs w:val="26"/>
        </w:rPr>
        <w:t xml:space="preserve"> S</w:t>
      </w:r>
      <w:r w:rsidRPr="00EF0312">
        <w:rPr>
          <w:sz w:val="26"/>
          <w:szCs w:val="26"/>
        </w:rPr>
        <w:t>urcharge mechanism to provide for the distribution of these savings from January 1, 2020, through December 31, 2020.</w:t>
      </w:r>
      <w:r w:rsidR="00DA1817" w:rsidRPr="00EF0312">
        <w:rPr>
          <w:sz w:val="26"/>
          <w:szCs w:val="26"/>
        </w:rPr>
        <w:tab/>
      </w:r>
    </w:p>
    <w:p w14:paraId="024CFD10" w14:textId="77777777" w:rsidR="00A900F3" w:rsidRPr="00EF0312" w:rsidRDefault="00A900F3" w:rsidP="00702DC6">
      <w:pPr>
        <w:pStyle w:val="p3"/>
        <w:spacing w:line="360" w:lineRule="auto"/>
        <w:rPr>
          <w:sz w:val="26"/>
          <w:szCs w:val="26"/>
        </w:rPr>
      </w:pPr>
    </w:p>
    <w:p w14:paraId="3EBA3633" w14:textId="5A7F7C0E" w:rsidR="00A900F3" w:rsidRPr="00EF0312" w:rsidRDefault="00EF0312" w:rsidP="00A900F3">
      <w:pPr>
        <w:pStyle w:val="p3"/>
        <w:tabs>
          <w:tab w:val="clear" w:pos="204"/>
        </w:tabs>
        <w:spacing w:line="360" w:lineRule="auto"/>
        <w:rPr>
          <w:b/>
          <w:sz w:val="26"/>
          <w:szCs w:val="26"/>
        </w:rPr>
      </w:pPr>
      <w:r w:rsidRPr="00EF0312">
        <w:rPr>
          <w:b/>
          <w:sz w:val="26"/>
          <w:szCs w:val="26"/>
        </w:rPr>
        <w:t>THE PETITION</w:t>
      </w:r>
    </w:p>
    <w:p w14:paraId="441A42D8" w14:textId="3E8328B8" w:rsidR="00604407" w:rsidRPr="00EF0312" w:rsidRDefault="00604407" w:rsidP="00702DC6">
      <w:pPr>
        <w:pStyle w:val="p3"/>
        <w:spacing w:line="360" w:lineRule="auto"/>
        <w:rPr>
          <w:sz w:val="26"/>
          <w:szCs w:val="26"/>
        </w:rPr>
      </w:pPr>
    </w:p>
    <w:p w14:paraId="40EF824A" w14:textId="10DF7213" w:rsidR="00604407" w:rsidRPr="00EF0312" w:rsidRDefault="00604407" w:rsidP="00604407">
      <w:pPr>
        <w:pStyle w:val="p3"/>
        <w:widowControl/>
        <w:tabs>
          <w:tab w:val="clear" w:pos="204"/>
          <w:tab w:val="left" w:pos="720"/>
        </w:tabs>
        <w:spacing w:line="360" w:lineRule="auto"/>
        <w:ind w:firstLine="720"/>
        <w:rPr>
          <w:sz w:val="26"/>
          <w:szCs w:val="26"/>
        </w:rPr>
      </w:pPr>
      <w:r w:rsidRPr="00EF0312">
        <w:rPr>
          <w:sz w:val="26"/>
          <w:szCs w:val="26"/>
        </w:rPr>
        <w:t xml:space="preserve">The </w:t>
      </w:r>
      <w:r w:rsidR="003A3D73" w:rsidRPr="00EF0312">
        <w:rPr>
          <w:sz w:val="26"/>
          <w:szCs w:val="26"/>
        </w:rPr>
        <w:t>PPL Compliance</w:t>
      </w:r>
      <w:r w:rsidRPr="00EF0312">
        <w:rPr>
          <w:sz w:val="26"/>
          <w:szCs w:val="26"/>
        </w:rPr>
        <w:t xml:space="preserve"> Order required PPL to establish a deferred regulatory liability account to record the tax savings associated with the Stub Period.  The account </w:t>
      </w:r>
      <w:r w:rsidR="00EA0DCE" w:rsidRPr="00EF0312">
        <w:rPr>
          <w:sz w:val="26"/>
          <w:szCs w:val="26"/>
        </w:rPr>
        <w:t xml:space="preserve">was to </w:t>
      </w:r>
      <w:r w:rsidRPr="00EF0312">
        <w:rPr>
          <w:sz w:val="26"/>
          <w:szCs w:val="26"/>
        </w:rPr>
        <w:t>accrue interest at the residential mortgage lending rate as specified by the Secretary of Banking in accordance with the Loan Interest and Protection Law (41. P.S. §§ 101, et seq.).  The Commission further determined that the rate treatment of this account was to be addressed</w:t>
      </w:r>
      <w:r w:rsidR="003B45CD" w:rsidRPr="00EF0312">
        <w:rPr>
          <w:sz w:val="26"/>
          <w:szCs w:val="26"/>
        </w:rPr>
        <w:t xml:space="preserve"> in a Section 1308(d) general base rate case.  </w:t>
      </w:r>
      <w:r w:rsidR="00EA17BE" w:rsidRPr="00EF0312">
        <w:rPr>
          <w:sz w:val="26"/>
          <w:szCs w:val="26"/>
        </w:rPr>
        <w:t>If</w:t>
      </w:r>
      <w:r w:rsidR="003B45CD" w:rsidRPr="00EF0312">
        <w:rPr>
          <w:sz w:val="26"/>
          <w:szCs w:val="26"/>
        </w:rPr>
        <w:t xml:space="preserve"> a general base rate case was not filed </w:t>
      </w:r>
      <w:r w:rsidRPr="00EF0312">
        <w:rPr>
          <w:sz w:val="26"/>
          <w:szCs w:val="26"/>
        </w:rPr>
        <w:t xml:space="preserve">within three (3) years of the </w:t>
      </w:r>
      <w:r w:rsidR="00EA17BE" w:rsidRPr="00EF0312">
        <w:rPr>
          <w:sz w:val="26"/>
          <w:szCs w:val="26"/>
        </w:rPr>
        <w:t xml:space="preserve">adoption date of the </w:t>
      </w:r>
      <w:r w:rsidR="003A3D73" w:rsidRPr="00EF0312">
        <w:rPr>
          <w:sz w:val="26"/>
          <w:szCs w:val="26"/>
        </w:rPr>
        <w:t>PPL Compliance</w:t>
      </w:r>
      <w:r w:rsidRPr="00EF0312">
        <w:rPr>
          <w:sz w:val="26"/>
          <w:szCs w:val="26"/>
        </w:rPr>
        <w:t xml:space="preserve"> Order</w:t>
      </w:r>
      <w:r w:rsidR="00EA17BE" w:rsidRPr="00EF0312">
        <w:rPr>
          <w:sz w:val="26"/>
          <w:szCs w:val="26"/>
        </w:rPr>
        <w:t xml:space="preserve">, </w:t>
      </w:r>
      <w:r w:rsidR="00F26542" w:rsidRPr="00EF0312">
        <w:rPr>
          <w:sz w:val="26"/>
          <w:szCs w:val="26"/>
        </w:rPr>
        <w:t xml:space="preserve">PPL </w:t>
      </w:r>
      <w:r w:rsidR="00EA17BE" w:rsidRPr="00EF0312">
        <w:rPr>
          <w:sz w:val="26"/>
          <w:szCs w:val="26"/>
        </w:rPr>
        <w:t>shall</w:t>
      </w:r>
      <w:r w:rsidRPr="00EF0312">
        <w:rPr>
          <w:sz w:val="26"/>
          <w:szCs w:val="26"/>
        </w:rPr>
        <w:t xml:space="preserve"> file a petition to propose how to distribute the funds in the regulatory liability account.</w:t>
      </w:r>
    </w:p>
    <w:p w14:paraId="128A9BCC" w14:textId="77777777" w:rsidR="00F26542" w:rsidRPr="00EF0312" w:rsidRDefault="00F26542" w:rsidP="00702DC6">
      <w:pPr>
        <w:pStyle w:val="p3"/>
        <w:tabs>
          <w:tab w:val="clear" w:pos="204"/>
        </w:tabs>
        <w:spacing w:line="360" w:lineRule="auto"/>
        <w:ind w:firstLine="720"/>
        <w:rPr>
          <w:sz w:val="26"/>
          <w:szCs w:val="26"/>
        </w:rPr>
      </w:pPr>
    </w:p>
    <w:p w14:paraId="6776CBF7" w14:textId="5A3D5921" w:rsidR="00EA0DCE" w:rsidRPr="00EF0312" w:rsidRDefault="00EA0DCE" w:rsidP="00EA0DCE">
      <w:pPr>
        <w:pStyle w:val="p3"/>
        <w:tabs>
          <w:tab w:val="clear" w:pos="204"/>
        </w:tabs>
        <w:spacing w:line="360" w:lineRule="auto"/>
        <w:ind w:firstLine="720"/>
        <w:rPr>
          <w:sz w:val="26"/>
          <w:szCs w:val="26"/>
        </w:rPr>
      </w:pPr>
      <w:r w:rsidRPr="00EF0312">
        <w:rPr>
          <w:sz w:val="26"/>
          <w:szCs w:val="26"/>
        </w:rPr>
        <w:t xml:space="preserve">PPL states that it recorded actual tax savings for the Stub Period of $39,380,264 plus accrued interest of $3,238,689 for a total of $42,618,953.  The Company avers that </w:t>
      </w:r>
      <w:r w:rsidR="00525C41">
        <w:rPr>
          <w:sz w:val="26"/>
          <w:szCs w:val="26"/>
        </w:rPr>
        <w:t xml:space="preserve">by </w:t>
      </w:r>
      <w:r w:rsidRPr="00EF0312">
        <w:rPr>
          <w:sz w:val="26"/>
          <w:szCs w:val="26"/>
        </w:rPr>
        <w:t>deferring the distribution of the accrued tax liability to May 14, 2021</w:t>
      </w:r>
      <w:r w:rsidR="003A2216" w:rsidRPr="00EF0312">
        <w:rPr>
          <w:sz w:val="26"/>
          <w:szCs w:val="26"/>
        </w:rPr>
        <w:t xml:space="preserve"> (i.e. three years after the Order entered date)</w:t>
      </w:r>
      <w:r w:rsidRPr="00EF0312">
        <w:rPr>
          <w:sz w:val="26"/>
          <w:szCs w:val="26"/>
        </w:rPr>
        <w:t>, the total amount owed would increase to $46,218,149.  By distributing the TCJA savings, PPL states that it will accelerate the refund of TCJA savings to customers and clear the deferred account from PPL’s books, thus better reflecting current operations.  PPL further submits it should not be required to withhold distribution of these savings and continue to accrue interest on these savings until after May 14, 2021.</w:t>
      </w:r>
    </w:p>
    <w:p w14:paraId="1593EF4E" w14:textId="77777777" w:rsidR="00EA0DCE" w:rsidRPr="00EF0312" w:rsidRDefault="00EA0DCE" w:rsidP="00EA0DCE">
      <w:pPr>
        <w:pStyle w:val="p3"/>
        <w:tabs>
          <w:tab w:val="clear" w:pos="204"/>
        </w:tabs>
        <w:spacing w:line="360" w:lineRule="auto"/>
        <w:ind w:firstLine="720"/>
        <w:rPr>
          <w:sz w:val="26"/>
          <w:szCs w:val="26"/>
        </w:rPr>
      </w:pPr>
    </w:p>
    <w:p w14:paraId="2BB783DF" w14:textId="0F1BA14B" w:rsidR="00DA1817" w:rsidRPr="00EF0312" w:rsidRDefault="00F26542" w:rsidP="00702DC6">
      <w:pPr>
        <w:pStyle w:val="p3"/>
        <w:tabs>
          <w:tab w:val="clear" w:pos="204"/>
        </w:tabs>
        <w:spacing w:line="360" w:lineRule="auto"/>
        <w:ind w:firstLine="720"/>
        <w:rPr>
          <w:sz w:val="26"/>
          <w:szCs w:val="26"/>
        </w:rPr>
      </w:pPr>
      <w:r w:rsidRPr="00EF0312">
        <w:rPr>
          <w:sz w:val="26"/>
          <w:szCs w:val="26"/>
        </w:rPr>
        <w:t xml:space="preserve">PPL currently has a negative TCJA Temporary Surcharge of 7.81%.  </w:t>
      </w:r>
      <w:r w:rsidR="00DA1817" w:rsidRPr="00EF0312">
        <w:rPr>
          <w:sz w:val="26"/>
          <w:szCs w:val="26"/>
        </w:rPr>
        <w:t xml:space="preserve">PPL </w:t>
      </w:r>
      <w:r w:rsidRPr="00EF0312">
        <w:rPr>
          <w:sz w:val="26"/>
          <w:szCs w:val="26"/>
        </w:rPr>
        <w:t xml:space="preserve">avers that it </w:t>
      </w:r>
      <w:r w:rsidR="00702DC6" w:rsidRPr="00EF0312">
        <w:rPr>
          <w:sz w:val="26"/>
          <w:szCs w:val="26"/>
        </w:rPr>
        <w:t xml:space="preserve">will file its next TCJA </w:t>
      </w:r>
      <w:r w:rsidR="005B2D8F" w:rsidRPr="00EF0312">
        <w:rPr>
          <w:sz w:val="26"/>
          <w:szCs w:val="26"/>
        </w:rPr>
        <w:t>T</w:t>
      </w:r>
      <w:r w:rsidR="00702DC6" w:rsidRPr="00EF0312">
        <w:rPr>
          <w:sz w:val="26"/>
          <w:szCs w:val="26"/>
        </w:rPr>
        <w:t xml:space="preserve">emporary </w:t>
      </w:r>
      <w:r w:rsidR="005B2D8F" w:rsidRPr="00EF0312">
        <w:rPr>
          <w:sz w:val="26"/>
          <w:szCs w:val="26"/>
        </w:rPr>
        <w:t>S</w:t>
      </w:r>
      <w:r w:rsidR="00702DC6" w:rsidRPr="00EF0312">
        <w:rPr>
          <w:sz w:val="26"/>
          <w:szCs w:val="26"/>
        </w:rPr>
        <w:t>urcharge rate on December 1, 2019 for the 2020</w:t>
      </w:r>
      <w:r w:rsidRPr="00EF0312">
        <w:rPr>
          <w:sz w:val="26"/>
          <w:szCs w:val="26"/>
        </w:rPr>
        <w:t xml:space="preserve"> period</w:t>
      </w:r>
      <w:r w:rsidR="00702DC6" w:rsidRPr="00EF0312">
        <w:rPr>
          <w:sz w:val="26"/>
          <w:szCs w:val="26"/>
        </w:rPr>
        <w:t xml:space="preserve">.  At this time PPL will reconcile tax savings, over/ under collections, and interest </w:t>
      </w:r>
      <w:r w:rsidR="00097FF9" w:rsidRPr="00EF0312">
        <w:rPr>
          <w:sz w:val="26"/>
          <w:szCs w:val="26"/>
        </w:rPr>
        <w:t>to determine the appropriate surcharge for the year 2020</w:t>
      </w:r>
      <w:r w:rsidR="00702DC6" w:rsidRPr="00EF0312">
        <w:rPr>
          <w:sz w:val="26"/>
          <w:szCs w:val="26"/>
        </w:rPr>
        <w:t>.  The C</w:t>
      </w:r>
      <w:r w:rsidR="00097FF9" w:rsidRPr="00EF0312">
        <w:rPr>
          <w:sz w:val="26"/>
          <w:szCs w:val="26"/>
        </w:rPr>
        <w:t xml:space="preserve">ompany is </w:t>
      </w:r>
      <w:r w:rsidR="00097FF9" w:rsidRPr="00EF0312">
        <w:rPr>
          <w:sz w:val="26"/>
          <w:szCs w:val="26"/>
        </w:rPr>
        <w:lastRenderedPageBreak/>
        <w:t xml:space="preserve">proposing to </w:t>
      </w:r>
      <w:r w:rsidRPr="00EF0312">
        <w:rPr>
          <w:sz w:val="26"/>
          <w:szCs w:val="26"/>
        </w:rPr>
        <w:t xml:space="preserve">include the amount of the deferred regulatory liability, </w:t>
      </w:r>
      <w:r w:rsidR="00EA0DCE" w:rsidRPr="00EF0312">
        <w:rPr>
          <w:sz w:val="26"/>
          <w:szCs w:val="26"/>
        </w:rPr>
        <w:t>$44,161,466</w:t>
      </w:r>
      <w:r w:rsidR="00EA0DCE" w:rsidRPr="00EF0312">
        <w:rPr>
          <w:rStyle w:val="FootnoteReference"/>
          <w:sz w:val="26"/>
          <w:szCs w:val="26"/>
        </w:rPr>
        <w:footnoteReference w:id="2"/>
      </w:r>
      <w:r w:rsidRPr="00EF0312">
        <w:rPr>
          <w:sz w:val="26"/>
          <w:szCs w:val="26"/>
        </w:rPr>
        <w:t xml:space="preserve">, as part of the 2020 TCJA Temporary Surcharge.  </w:t>
      </w:r>
    </w:p>
    <w:p w14:paraId="17A652F6" w14:textId="65E716A5" w:rsidR="00F26542" w:rsidRPr="00EF0312" w:rsidRDefault="00F26542" w:rsidP="00702DC6">
      <w:pPr>
        <w:pStyle w:val="p3"/>
        <w:tabs>
          <w:tab w:val="clear" w:pos="204"/>
        </w:tabs>
        <w:spacing w:line="360" w:lineRule="auto"/>
        <w:ind w:firstLine="720"/>
        <w:rPr>
          <w:sz w:val="26"/>
          <w:szCs w:val="26"/>
        </w:rPr>
      </w:pPr>
    </w:p>
    <w:p w14:paraId="01D5B7DD" w14:textId="78948E97" w:rsidR="00A900F3" w:rsidRPr="00EF0312" w:rsidRDefault="00EF0312" w:rsidP="00A900F3">
      <w:pPr>
        <w:pStyle w:val="p3"/>
        <w:tabs>
          <w:tab w:val="clear" w:pos="204"/>
        </w:tabs>
        <w:spacing w:line="360" w:lineRule="auto"/>
        <w:rPr>
          <w:b/>
          <w:sz w:val="26"/>
          <w:szCs w:val="26"/>
        </w:rPr>
      </w:pPr>
      <w:r w:rsidRPr="00EF0312">
        <w:rPr>
          <w:b/>
          <w:sz w:val="26"/>
          <w:szCs w:val="26"/>
        </w:rPr>
        <w:t>DISCUSSION</w:t>
      </w:r>
    </w:p>
    <w:p w14:paraId="6A5562C9" w14:textId="77777777" w:rsidR="003A3D73" w:rsidRPr="00EF0312" w:rsidRDefault="003A3D73" w:rsidP="00D31B44">
      <w:pPr>
        <w:pStyle w:val="p3"/>
        <w:tabs>
          <w:tab w:val="clear" w:pos="204"/>
        </w:tabs>
        <w:spacing w:line="360" w:lineRule="auto"/>
        <w:rPr>
          <w:sz w:val="26"/>
          <w:szCs w:val="26"/>
        </w:rPr>
      </w:pPr>
    </w:p>
    <w:p w14:paraId="0A1D01D4" w14:textId="4FE324E2" w:rsidR="00C058DD" w:rsidRPr="00EF0312" w:rsidRDefault="003A3D73" w:rsidP="003A3D73">
      <w:pPr>
        <w:pStyle w:val="p3"/>
        <w:tabs>
          <w:tab w:val="clear" w:pos="204"/>
        </w:tabs>
        <w:spacing w:line="360" w:lineRule="auto"/>
        <w:ind w:firstLine="720"/>
        <w:rPr>
          <w:sz w:val="26"/>
          <w:szCs w:val="26"/>
        </w:rPr>
      </w:pPr>
      <w:r w:rsidRPr="00EF0312">
        <w:rPr>
          <w:sz w:val="26"/>
          <w:szCs w:val="26"/>
        </w:rPr>
        <w:t xml:space="preserve">The PPL Compliance Order required PPL to petition the Commission to distribute the TCJA savings if the rate treatment for this account was not addressed in a 1308(d) general base rate case within three years of the Order entered date.  At this point, PPL has neither filed a base rate case, nor has three years passed.  </w:t>
      </w:r>
      <w:r w:rsidR="002141B0" w:rsidRPr="00EF0312">
        <w:rPr>
          <w:sz w:val="26"/>
          <w:szCs w:val="26"/>
        </w:rPr>
        <w:t>Thus,</w:t>
      </w:r>
      <w:r w:rsidRPr="00EF0312">
        <w:rPr>
          <w:sz w:val="26"/>
          <w:szCs w:val="26"/>
        </w:rPr>
        <w:t xml:space="preserve"> while the PPL Compliance Order</w:t>
      </w:r>
      <w:r w:rsidR="002141B0" w:rsidRPr="00EF0312">
        <w:rPr>
          <w:sz w:val="26"/>
          <w:szCs w:val="26"/>
        </w:rPr>
        <w:t xml:space="preserve"> does not yet compel PPL to file a petition, it does not restrict the Company from filing a petition</w:t>
      </w:r>
      <w:r w:rsidR="00DD4356" w:rsidRPr="00EF0312">
        <w:rPr>
          <w:sz w:val="26"/>
          <w:szCs w:val="26"/>
        </w:rPr>
        <w:t xml:space="preserve"> to distribute the savings from the Stub Period</w:t>
      </w:r>
      <w:r w:rsidR="002141B0" w:rsidRPr="00EF0312">
        <w:rPr>
          <w:sz w:val="26"/>
          <w:szCs w:val="26"/>
        </w:rPr>
        <w:t>.</w:t>
      </w:r>
    </w:p>
    <w:p w14:paraId="02573586" w14:textId="77777777" w:rsidR="002141B0" w:rsidRPr="00EF0312" w:rsidRDefault="002141B0" w:rsidP="003A3D73">
      <w:pPr>
        <w:pStyle w:val="p3"/>
        <w:tabs>
          <w:tab w:val="clear" w:pos="204"/>
        </w:tabs>
        <w:spacing w:line="360" w:lineRule="auto"/>
        <w:ind w:firstLine="720"/>
        <w:rPr>
          <w:sz w:val="26"/>
          <w:szCs w:val="26"/>
        </w:rPr>
      </w:pPr>
    </w:p>
    <w:p w14:paraId="3D309383" w14:textId="04FD58E2" w:rsidR="003A3D73" w:rsidRPr="00EF0312" w:rsidRDefault="00A900F3" w:rsidP="003A3D73">
      <w:pPr>
        <w:spacing w:line="360" w:lineRule="auto"/>
        <w:ind w:firstLine="720"/>
        <w:rPr>
          <w:color w:val="000000"/>
          <w:sz w:val="26"/>
          <w:szCs w:val="26"/>
        </w:rPr>
      </w:pPr>
      <w:r w:rsidRPr="00EF0312">
        <w:rPr>
          <w:sz w:val="26"/>
          <w:szCs w:val="26"/>
        </w:rPr>
        <w:t xml:space="preserve">In the Order entered </w:t>
      </w:r>
      <w:r w:rsidR="002141B0" w:rsidRPr="00EF0312">
        <w:rPr>
          <w:sz w:val="26"/>
          <w:szCs w:val="26"/>
        </w:rPr>
        <w:t>May 17, 2018 at Docket No. M-20182641212</w:t>
      </w:r>
      <w:r w:rsidR="008F33FE" w:rsidRPr="00EF0312">
        <w:rPr>
          <w:rStyle w:val="FootnoteReference"/>
          <w:sz w:val="26"/>
          <w:szCs w:val="26"/>
        </w:rPr>
        <w:footnoteReference w:id="3"/>
      </w:r>
      <w:r w:rsidR="008F33FE" w:rsidRPr="00EF0312">
        <w:rPr>
          <w:sz w:val="26"/>
          <w:szCs w:val="26"/>
        </w:rPr>
        <w:t xml:space="preserve"> (General TCJA Order), </w:t>
      </w:r>
      <w:r w:rsidRPr="00EF0312">
        <w:rPr>
          <w:sz w:val="26"/>
          <w:szCs w:val="26"/>
        </w:rPr>
        <w:t>the Commission determined that</w:t>
      </w:r>
      <w:r w:rsidR="002141B0" w:rsidRPr="00EF0312">
        <w:rPr>
          <w:sz w:val="26"/>
          <w:szCs w:val="26"/>
        </w:rPr>
        <w:t xml:space="preserve"> </w:t>
      </w:r>
      <w:r w:rsidRPr="00EF0312">
        <w:rPr>
          <w:sz w:val="26"/>
          <w:szCs w:val="26"/>
        </w:rPr>
        <w:t>“tax savings and associated reductions in utility revenue requirements should be flowed back to consumers on a current basis”</w:t>
      </w:r>
      <w:r w:rsidR="00EF0312">
        <w:rPr>
          <w:sz w:val="26"/>
          <w:szCs w:val="26"/>
        </w:rPr>
        <w:t xml:space="preserve"> </w:t>
      </w:r>
      <w:r w:rsidRPr="00EF0312">
        <w:rPr>
          <w:sz w:val="26"/>
          <w:szCs w:val="26"/>
        </w:rPr>
        <w:t>(p.</w:t>
      </w:r>
      <w:r w:rsidR="00EF0312">
        <w:rPr>
          <w:sz w:val="26"/>
          <w:szCs w:val="26"/>
        </w:rPr>
        <w:t> </w:t>
      </w:r>
      <w:r w:rsidRPr="00EF0312">
        <w:rPr>
          <w:sz w:val="26"/>
          <w:szCs w:val="26"/>
        </w:rPr>
        <w:t>14) and “we need not await a base rate case filing to address its effect on the justness and reasonableness of consumer rates” (</w:t>
      </w:r>
      <w:r w:rsidR="008F33FE" w:rsidRPr="00EF0312">
        <w:rPr>
          <w:sz w:val="26"/>
          <w:szCs w:val="26"/>
        </w:rPr>
        <w:t xml:space="preserve">General TCJA Order </w:t>
      </w:r>
      <w:r w:rsidRPr="00EF0312">
        <w:rPr>
          <w:sz w:val="26"/>
          <w:szCs w:val="26"/>
        </w:rPr>
        <w:t>p</w:t>
      </w:r>
      <w:r w:rsidR="008F33FE" w:rsidRPr="00EF0312">
        <w:rPr>
          <w:sz w:val="26"/>
          <w:szCs w:val="26"/>
        </w:rPr>
        <w:t xml:space="preserve">. </w:t>
      </w:r>
      <w:r w:rsidRPr="00EF0312">
        <w:rPr>
          <w:sz w:val="26"/>
          <w:szCs w:val="26"/>
        </w:rPr>
        <w:t>15).  The Order also noted</w:t>
      </w:r>
      <w:r w:rsidR="003A3D73" w:rsidRPr="00EF0312">
        <w:rPr>
          <w:sz w:val="26"/>
          <w:szCs w:val="26"/>
        </w:rPr>
        <w:t xml:space="preserve"> </w:t>
      </w:r>
      <w:r w:rsidR="00C058DD" w:rsidRPr="00EF0312">
        <w:rPr>
          <w:sz w:val="26"/>
          <w:szCs w:val="26"/>
        </w:rPr>
        <w:t>that the three</w:t>
      </w:r>
      <w:r w:rsidRPr="00EF0312">
        <w:rPr>
          <w:sz w:val="26"/>
          <w:szCs w:val="26"/>
        </w:rPr>
        <w:t>-</w:t>
      </w:r>
      <w:r w:rsidR="00C058DD" w:rsidRPr="00EF0312">
        <w:rPr>
          <w:sz w:val="26"/>
          <w:szCs w:val="26"/>
        </w:rPr>
        <w:t>year timeframe was put in place “to avoid an unreasonable delay in dealing with such funds” (</w:t>
      </w:r>
      <w:r w:rsidR="008F33FE" w:rsidRPr="00EF0312">
        <w:rPr>
          <w:sz w:val="26"/>
          <w:szCs w:val="26"/>
        </w:rPr>
        <w:t xml:space="preserve">General TCJA Order p. </w:t>
      </w:r>
      <w:r w:rsidR="003A3D73" w:rsidRPr="00EF0312">
        <w:rPr>
          <w:sz w:val="26"/>
          <w:szCs w:val="26"/>
        </w:rPr>
        <w:t>17-18).</w:t>
      </w:r>
      <w:r w:rsidR="00C058DD" w:rsidRPr="00EF0312">
        <w:rPr>
          <w:color w:val="000000"/>
          <w:sz w:val="26"/>
          <w:szCs w:val="26"/>
        </w:rPr>
        <w:t xml:space="preserve">  </w:t>
      </w:r>
    </w:p>
    <w:p w14:paraId="6EEA04A5" w14:textId="7B4A7C6A" w:rsidR="00743E8F" w:rsidRPr="00EF0312" w:rsidRDefault="00743E8F" w:rsidP="009E7AE7">
      <w:pPr>
        <w:pStyle w:val="p3"/>
        <w:tabs>
          <w:tab w:val="clear" w:pos="204"/>
        </w:tabs>
        <w:spacing w:line="360" w:lineRule="auto"/>
        <w:rPr>
          <w:sz w:val="26"/>
          <w:szCs w:val="26"/>
        </w:rPr>
      </w:pPr>
    </w:p>
    <w:p w14:paraId="2C6C0494" w14:textId="5F452048" w:rsidR="006F3068" w:rsidRPr="00EF0312" w:rsidRDefault="006F3068" w:rsidP="00756AD4">
      <w:pPr>
        <w:pStyle w:val="p3"/>
        <w:tabs>
          <w:tab w:val="clear" w:pos="204"/>
        </w:tabs>
        <w:spacing w:line="360" w:lineRule="auto"/>
        <w:rPr>
          <w:sz w:val="26"/>
          <w:szCs w:val="26"/>
        </w:rPr>
      </w:pPr>
      <w:r w:rsidRPr="00EF0312">
        <w:rPr>
          <w:sz w:val="26"/>
          <w:szCs w:val="26"/>
        </w:rPr>
        <w:tab/>
        <w:t xml:space="preserve">The issue for consideration before us today is whether </w:t>
      </w:r>
      <w:r w:rsidR="00C131A6" w:rsidRPr="00EF0312">
        <w:rPr>
          <w:sz w:val="26"/>
          <w:szCs w:val="26"/>
        </w:rPr>
        <w:t>PPL</w:t>
      </w:r>
      <w:r w:rsidRPr="00EF0312">
        <w:rPr>
          <w:sz w:val="26"/>
          <w:szCs w:val="26"/>
        </w:rPr>
        <w:t xml:space="preserve"> </w:t>
      </w:r>
      <w:r w:rsidR="00DD4356" w:rsidRPr="00EF0312">
        <w:rPr>
          <w:sz w:val="26"/>
          <w:szCs w:val="26"/>
        </w:rPr>
        <w:t xml:space="preserve">should </w:t>
      </w:r>
      <w:r w:rsidR="00A900F3" w:rsidRPr="00EF0312">
        <w:rPr>
          <w:sz w:val="26"/>
          <w:szCs w:val="26"/>
        </w:rPr>
        <w:t xml:space="preserve">begin to flow the deferred tax savings to customers </w:t>
      </w:r>
      <w:r w:rsidR="00A055BD" w:rsidRPr="00EF0312">
        <w:rPr>
          <w:sz w:val="26"/>
          <w:szCs w:val="26"/>
        </w:rPr>
        <w:t xml:space="preserve">prior to the May 14, 2021 date identified as the end of the three-year window.  At this time, the Commission is not approving the veracity of the Company’s figures </w:t>
      </w:r>
      <w:r w:rsidR="00756AD4" w:rsidRPr="00EF0312">
        <w:rPr>
          <w:sz w:val="26"/>
          <w:szCs w:val="26"/>
        </w:rPr>
        <w:t>or any specific amount.</w:t>
      </w:r>
      <w:r w:rsidR="00D249BC" w:rsidRPr="00EF0312">
        <w:rPr>
          <w:sz w:val="26"/>
          <w:szCs w:val="26"/>
        </w:rPr>
        <w:t xml:space="preserve"> </w:t>
      </w:r>
    </w:p>
    <w:p w14:paraId="46F87F6D" w14:textId="77777777" w:rsidR="00D249BC" w:rsidRPr="00EF0312" w:rsidRDefault="00D249BC" w:rsidP="00EE1DCC">
      <w:pPr>
        <w:pStyle w:val="p3"/>
        <w:tabs>
          <w:tab w:val="clear" w:pos="204"/>
        </w:tabs>
        <w:spacing w:line="360" w:lineRule="auto"/>
        <w:rPr>
          <w:sz w:val="26"/>
          <w:szCs w:val="26"/>
        </w:rPr>
      </w:pPr>
    </w:p>
    <w:p w14:paraId="268DB7F8" w14:textId="0FCC4D1F" w:rsidR="00EE1DCC" w:rsidRPr="00EF0312" w:rsidRDefault="00D249BC" w:rsidP="00D249BC">
      <w:pPr>
        <w:pStyle w:val="p3"/>
        <w:tabs>
          <w:tab w:val="clear" w:pos="204"/>
        </w:tabs>
        <w:spacing w:line="360" w:lineRule="auto"/>
        <w:rPr>
          <w:sz w:val="26"/>
          <w:szCs w:val="26"/>
        </w:rPr>
      </w:pPr>
      <w:r w:rsidRPr="00EF0312">
        <w:rPr>
          <w:sz w:val="26"/>
          <w:szCs w:val="26"/>
        </w:rPr>
        <w:tab/>
        <w:t xml:space="preserve">We find that </w:t>
      </w:r>
      <w:r w:rsidR="00C131A6" w:rsidRPr="00EF0312">
        <w:rPr>
          <w:sz w:val="26"/>
          <w:szCs w:val="26"/>
        </w:rPr>
        <w:t>PPL</w:t>
      </w:r>
      <w:r w:rsidRPr="00EF0312">
        <w:rPr>
          <w:sz w:val="26"/>
          <w:szCs w:val="26"/>
        </w:rPr>
        <w:t xml:space="preserve"> </w:t>
      </w:r>
      <w:r w:rsidR="00756AD4" w:rsidRPr="00EF0312">
        <w:rPr>
          <w:sz w:val="26"/>
          <w:szCs w:val="26"/>
        </w:rPr>
        <w:t xml:space="preserve">may choose to include the TCJA Stub Period tax savings as part </w:t>
      </w:r>
      <w:r w:rsidR="00756AD4" w:rsidRPr="00EF0312">
        <w:rPr>
          <w:sz w:val="26"/>
          <w:szCs w:val="26"/>
        </w:rPr>
        <w:lastRenderedPageBreak/>
        <w:t xml:space="preserve">of the TCJA Temporary Surcharge.  </w:t>
      </w:r>
      <w:r w:rsidR="00DD4356" w:rsidRPr="00EF0312">
        <w:rPr>
          <w:sz w:val="26"/>
          <w:szCs w:val="26"/>
        </w:rPr>
        <w:t>The</w:t>
      </w:r>
      <w:r w:rsidR="00756AD4" w:rsidRPr="00EF0312">
        <w:rPr>
          <w:sz w:val="26"/>
          <w:szCs w:val="26"/>
        </w:rPr>
        <w:t xml:space="preserve"> Commission has intended for the tax savings to </w:t>
      </w:r>
      <w:r w:rsidR="00525C41">
        <w:rPr>
          <w:sz w:val="26"/>
          <w:szCs w:val="26"/>
        </w:rPr>
        <w:t xml:space="preserve">be </w:t>
      </w:r>
      <w:r w:rsidR="00756AD4" w:rsidRPr="00EF0312">
        <w:rPr>
          <w:sz w:val="26"/>
          <w:szCs w:val="26"/>
        </w:rPr>
        <w:t xml:space="preserve">flowed back to </w:t>
      </w:r>
      <w:r w:rsidR="00704D6A" w:rsidRPr="00EF0312">
        <w:rPr>
          <w:sz w:val="26"/>
          <w:szCs w:val="26"/>
        </w:rPr>
        <w:t>co</w:t>
      </w:r>
      <w:r w:rsidR="00756AD4" w:rsidRPr="00EF0312">
        <w:rPr>
          <w:sz w:val="26"/>
          <w:szCs w:val="26"/>
        </w:rPr>
        <w:t>nsumers</w:t>
      </w:r>
      <w:r w:rsidR="00704D6A" w:rsidRPr="00EF0312">
        <w:rPr>
          <w:sz w:val="26"/>
          <w:szCs w:val="26"/>
        </w:rPr>
        <w:t xml:space="preserve"> without </w:t>
      </w:r>
      <w:r w:rsidR="00B63FFE" w:rsidRPr="00EF0312">
        <w:rPr>
          <w:sz w:val="26"/>
          <w:szCs w:val="26"/>
        </w:rPr>
        <w:t>unreasonable</w:t>
      </w:r>
      <w:r w:rsidR="00704D6A" w:rsidRPr="00EF0312">
        <w:rPr>
          <w:sz w:val="26"/>
          <w:szCs w:val="26"/>
        </w:rPr>
        <w:t xml:space="preserve"> delay.</w:t>
      </w:r>
      <w:r w:rsidR="00F01758" w:rsidRPr="00EF0312">
        <w:rPr>
          <w:rStyle w:val="FootnoteReference"/>
          <w:sz w:val="26"/>
          <w:szCs w:val="26"/>
        </w:rPr>
        <w:footnoteReference w:id="4"/>
      </w:r>
      <w:r w:rsidR="00704D6A" w:rsidRPr="00EF0312">
        <w:rPr>
          <w:sz w:val="26"/>
          <w:szCs w:val="26"/>
        </w:rPr>
        <w:t xml:space="preserve">  </w:t>
      </w:r>
      <w:r w:rsidRPr="00EF0312">
        <w:rPr>
          <w:sz w:val="26"/>
          <w:szCs w:val="26"/>
        </w:rPr>
        <w:t xml:space="preserve"> </w:t>
      </w:r>
      <w:r w:rsidR="00B63FFE" w:rsidRPr="00EF0312">
        <w:rPr>
          <w:sz w:val="26"/>
          <w:szCs w:val="26"/>
        </w:rPr>
        <w:t xml:space="preserve">Accordingly, PPL’s </w:t>
      </w:r>
      <w:r w:rsidR="00B63FFE" w:rsidRPr="00EF0312">
        <w:rPr>
          <w:bCs/>
          <w:sz w:val="26"/>
          <w:szCs w:val="26"/>
        </w:rPr>
        <w:t xml:space="preserve">Petition for authority to distribute the tax savings associated with the Tax Cuts and Jobs Act of 2017 (TCJA) for the period of January 1, 2018 through June 30, 2018 is hereby approved. </w:t>
      </w:r>
      <w:r w:rsidR="00EE1DCC" w:rsidRPr="00EF0312">
        <w:rPr>
          <w:b/>
          <w:sz w:val="26"/>
          <w:szCs w:val="26"/>
        </w:rPr>
        <w:t>THEREFORE,</w:t>
      </w:r>
    </w:p>
    <w:p w14:paraId="25D77D10" w14:textId="77777777" w:rsidR="00EE1DCC" w:rsidRPr="00EF0312" w:rsidRDefault="00EE1DCC" w:rsidP="00EE1DCC">
      <w:pPr>
        <w:tabs>
          <w:tab w:val="left" w:pos="742"/>
        </w:tabs>
        <w:spacing w:line="360" w:lineRule="auto"/>
        <w:rPr>
          <w:sz w:val="26"/>
          <w:szCs w:val="26"/>
        </w:rPr>
      </w:pPr>
    </w:p>
    <w:p w14:paraId="56E58BBA" w14:textId="77777777" w:rsidR="00EE1DCC" w:rsidRPr="00EF0312" w:rsidRDefault="00EE1DCC" w:rsidP="00EE1DCC">
      <w:pPr>
        <w:spacing w:line="360" w:lineRule="auto"/>
        <w:rPr>
          <w:b/>
          <w:bCs/>
          <w:sz w:val="26"/>
          <w:szCs w:val="26"/>
        </w:rPr>
      </w:pPr>
      <w:r w:rsidRPr="00EF0312">
        <w:rPr>
          <w:b/>
          <w:bCs/>
          <w:sz w:val="26"/>
          <w:szCs w:val="26"/>
        </w:rPr>
        <w:tab/>
        <w:t>IT IS ORDERED:</w:t>
      </w:r>
    </w:p>
    <w:p w14:paraId="3F2E5243" w14:textId="77777777" w:rsidR="00D249BC" w:rsidRPr="00EF0312" w:rsidRDefault="00D249BC" w:rsidP="00EE1DCC">
      <w:pPr>
        <w:spacing w:line="360" w:lineRule="auto"/>
        <w:rPr>
          <w:b/>
          <w:bCs/>
          <w:sz w:val="26"/>
          <w:szCs w:val="26"/>
        </w:rPr>
      </w:pPr>
    </w:p>
    <w:p w14:paraId="1DCE65DF" w14:textId="4669CB9C" w:rsidR="00A66AF1" w:rsidRPr="00EF0312" w:rsidRDefault="00D249BC" w:rsidP="00C26E92">
      <w:pPr>
        <w:pStyle w:val="ListParagraph"/>
        <w:numPr>
          <w:ilvl w:val="0"/>
          <w:numId w:val="5"/>
        </w:numPr>
        <w:spacing w:line="360" w:lineRule="auto"/>
        <w:ind w:left="0" w:firstLine="720"/>
        <w:rPr>
          <w:bCs/>
          <w:sz w:val="26"/>
          <w:szCs w:val="26"/>
        </w:rPr>
      </w:pPr>
      <w:r w:rsidRPr="00EF0312">
        <w:rPr>
          <w:bCs/>
          <w:sz w:val="26"/>
          <w:szCs w:val="26"/>
        </w:rPr>
        <w:t xml:space="preserve">That </w:t>
      </w:r>
      <w:r w:rsidR="00C131A6" w:rsidRPr="00EF0312">
        <w:rPr>
          <w:bCs/>
          <w:sz w:val="26"/>
          <w:szCs w:val="26"/>
        </w:rPr>
        <w:t>PPL</w:t>
      </w:r>
      <w:r w:rsidRPr="00EF0312">
        <w:rPr>
          <w:bCs/>
          <w:sz w:val="26"/>
          <w:szCs w:val="26"/>
        </w:rPr>
        <w:t xml:space="preserve">’s </w:t>
      </w:r>
      <w:bookmarkStart w:id="1" w:name="_Hlk23151358"/>
      <w:r w:rsidRPr="00EF0312">
        <w:rPr>
          <w:bCs/>
          <w:sz w:val="26"/>
          <w:szCs w:val="26"/>
        </w:rPr>
        <w:t xml:space="preserve">Petition </w:t>
      </w:r>
      <w:r w:rsidR="00B63FFE" w:rsidRPr="00EF0312">
        <w:rPr>
          <w:bCs/>
          <w:sz w:val="26"/>
          <w:szCs w:val="26"/>
        </w:rPr>
        <w:t>for authority to distribute the tax savings associated with the Tax Cuts and Jobs Act of 2017 for the period of January 1, 2018 through June 30, 2018</w:t>
      </w:r>
      <w:r w:rsidR="00DD4356" w:rsidRPr="00EF0312">
        <w:rPr>
          <w:bCs/>
          <w:sz w:val="26"/>
          <w:szCs w:val="26"/>
        </w:rPr>
        <w:t xml:space="preserve"> utilizing the TCJA Temporary Surcharge mechanism beginning on January 1, 2020</w:t>
      </w:r>
      <w:r w:rsidR="00B63FFE" w:rsidRPr="00EF0312">
        <w:rPr>
          <w:bCs/>
          <w:sz w:val="26"/>
          <w:szCs w:val="26"/>
        </w:rPr>
        <w:t xml:space="preserve"> is hereby approved</w:t>
      </w:r>
      <w:bookmarkEnd w:id="1"/>
      <w:r w:rsidR="00B63FFE" w:rsidRPr="00EF0312">
        <w:rPr>
          <w:bCs/>
          <w:sz w:val="26"/>
          <w:szCs w:val="26"/>
        </w:rPr>
        <w:t>.</w:t>
      </w:r>
    </w:p>
    <w:p w14:paraId="3615EA08" w14:textId="77777777" w:rsidR="00B63FFE" w:rsidRPr="00EF0312" w:rsidRDefault="00B63FFE" w:rsidP="00B63FFE">
      <w:pPr>
        <w:pStyle w:val="ListParagraph"/>
        <w:spacing w:line="360" w:lineRule="auto"/>
        <w:rPr>
          <w:bCs/>
          <w:sz w:val="26"/>
          <w:szCs w:val="26"/>
        </w:rPr>
      </w:pPr>
    </w:p>
    <w:p w14:paraId="2B363FA9" w14:textId="3D286641" w:rsidR="00EA17BE" w:rsidRPr="00EF0312" w:rsidRDefault="00A66AF1" w:rsidP="00A66AF1">
      <w:pPr>
        <w:pStyle w:val="ListParagraph"/>
        <w:numPr>
          <w:ilvl w:val="0"/>
          <w:numId w:val="5"/>
        </w:numPr>
        <w:spacing w:line="360" w:lineRule="auto"/>
        <w:ind w:left="0" w:firstLine="720"/>
        <w:rPr>
          <w:bCs/>
          <w:sz w:val="26"/>
          <w:szCs w:val="26"/>
        </w:rPr>
      </w:pPr>
      <w:r w:rsidRPr="00EF0312">
        <w:rPr>
          <w:bCs/>
          <w:sz w:val="26"/>
          <w:szCs w:val="26"/>
        </w:rPr>
        <w:t>That a copy of this order b</w:t>
      </w:r>
      <w:r w:rsidR="00B95F2B" w:rsidRPr="00EF0312">
        <w:rPr>
          <w:bCs/>
          <w:sz w:val="26"/>
          <w:szCs w:val="26"/>
        </w:rPr>
        <w:t>e</w:t>
      </w:r>
      <w:r w:rsidRPr="00EF0312">
        <w:rPr>
          <w:bCs/>
          <w:sz w:val="26"/>
          <w:szCs w:val="26"/>
        </w:rPr>
        <w:t xml:space="preserve"> served upon </w:t>
      </w:r>
      <w:r w:rsidR="00C131A6" w:rsidRPr="00EF0312">
        <w:rPr>
          <w:bCs/>
          <w:sz w:val="26"/>
          <w:szCs w:val="26"/>
        </w:rPr>
        <w:t>PPL</w:t>
      </w:r>
      <w:r w:rsidRPr="00EF0312">
        <w:rPr>
          <w:bCs/>
          <w:sz w:val="26"/>
          <w:szCs w:val="26"/>
        </w:rPr>
        <w:t>, the Commission’s Bureau of Investigation and Enforcement, the Office of Consumer Advocate and the Office of Small Business Advocate.</w:t>
      </w:r>
    </w:p>
    <w:p w14:paraId="3D02B8FD" w14:textId="6199BA41" w:rsidR="00EF0312" w:rsidRDefault="00EF0312">
      <w:pPr>
        <w:overflowPunct/>
        <w:autoSpaceDE/>
        <w:autoSpaceDN/>
        <w:adjustRightInd/>
        <w:spacing w:after="200" w:line="276" w:lineRule="auto"/>
        <w:textAlignment w:val="auto"/>
        <w:rPr>
          <w:bCs/>
          <w:sz w:val="26"/>
          <w:szCs w:val="26"/>
        </w:rPr>
      </w:pPr>
      <w:r>
        <w:rPr>
          <w:bCs/>
          <w:sz w:val="26"/>
          <w:szCs w:val="26"/>
        </w:rPr>
        <w:br w:type="page"/>
      </w:r>
    </w:p>
    <w:p w14:paraId="02746B37" w14:textId="27505D7A" w:rsidR="00A66AF1" w:rsidRDefault="00A66AF1" w:rsidP="00A66AF1">
      <w:pPr>
        <w:pStyle w:val="ListParagraph"/>
        <w:numPr>
          <w:ilvl w:val="0"/>
          <w:numId w:val="5"/>
        </w:numPr>
        <w:spacing w:line="360" w:lineRule="auto"/>
        <w:rPr>
          <w:bCs/>
          <w:sz w:val="26"/>
          <w:szCs w:val="26"/>
        </w:rPr>
      </w:pPr>
      <w:r w:rsidRPr="00EF0312">
        <w:rPr>
          <w:bCs/>
          <w:sz w:val="26"/>
          <w:szCs w:val="26"/>
        </w:rPr>
        <w:lastRenderedPageBreak/>
        <w:t xml:space="preserve">That this proceeding be marked closed. </w:t>
      </w:r>
    </w:p>
    <w:p w14:paraId="3EC6FD2A" w14:textId="77777777" w:rsidR="00EF0312" w:rsidRPr="00EF0312" w:rsidRDefault="00EF0312" w:rsidP="00EF0312">
      <w:pPr>
        <w:pStyle w:val="ListParagraph"/>
        <w:rPr>
          <w:bCs/>
          <w:sz w:val="26"/>
          <w:szCs w:val="26"/>
        </w:rPr>
      </w:pPr>
    </w:p>
    <w:p w14:paraId="511ED4E8" w14:textId="6F9C14F6" w:rsidR="00EF0312" w:rsidRPr="00EF0312" w:rsidRDefault="00EF0312" w:rsidP="00EF0312">
      <w:pPr>
        <w:pStyle w:val="ListParagraph"/>
        <w:spacing w:line="360" w:lineRule="auto"/>
        <w:ind w:left="1440"/>
        <w:rPr>
          <w:bCs/>
          <w:sz w:val="26"/>
          <w:szCs w:val="26"/>
        </w:rPr>
      </w:pPr>
    </w:p>
    <w:p w14:paraId="690A9284" w14:textId="51DD09D1" w:rsidR="00EE1DCC" w:rsidRPr="00EF0312" w:rsidRDefault="00714E40" w:rsidP="00EF0312">
      <w:pPr>
        <w:tabs>
          <w:tab w:val="left" w:pos="4320"/>
        </w:tabs>
        <w:rPr>
          <w:b/>
          <w:bCs/>
          <w:sz w:val="26"/>
          <w:szCs w:val="26"/>
        </w:rPr>
      </w:pPr>
      <w:r>
        <w:rPr>
          <w:noProof/>
        </w:rPr>
        <w:drawing>
          <wp:anchor distT="0" distB="0" distL="114300" distR="114300" simplePos="0" relativeHeight="251659264" behindDoc="1" locked="0" layoutInCell="1" allowOverlap="1" wp14:anchorId="0BB37805" wp14:editId="5E215224">
            <wp:simplePos x="0" y="0"/>
            <wp:positionH relativeFrom="column">
              <wp:posOffset>3314700</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312">
        <w:rPr>
          <w:sz w:val="26"/>
          <w:szCs w:val="26"/>
        </w:rPr>
        <w:tab/>
      </w:r>
      <w:r w:rsidR="00EF0312">
        <w:rPr>
          <w:sz w:val="26"/>
          <w:szCs w:val="26"/>
        </w:rPr>
        <w:tab/>
      </w:r>
      <w:r w:rsidR="00EE1DCC" w:rsidRPr="00EF0312">
        <w:rPr>
          <w:b/>
          <w:bCs/>
          <w:sz w:val="26"/>
          <w:szCs w:val="26"/>
        </w:rPr>
        <w:t>BY THE COMMISSION</w:t>
      </w:r>
    </w:p>
    <w:p w14:paraId="55A3B4A2" w14:textId="20F3ACFC" w:rsidR="00EE1DCC" w:rsidRPr="00EF0312" w:rsidRDefault="00EE1DCC" w:rsidP="00EE1DCC">
      <w:pPr>
        <w:tabs>
          <w:tab w:val="left" w:pos="5057"/>
        </w:tabs>
        <w:rPr>
          <w:bCs/>
          <w:sz w:val="26"/>
          <w:szCs w:val="26"/>
        </w:rPr>
      </w:pPr>
    </w:p>
    <w:p w14:paraId="04558D29" w14:textId="77777777" w:rsidR="00EE1DCC" w:rsidRPr="00EF0312" w:rsidRDefault="00EE1DCC" w:rsidP="00EE1DCC">
      <w:pPr>
        <w:tabs>
          <w:tab w:val="left" w:pos="5057"/>
        </w:tabs>
        <w:rPr>
          <w:b/>
          <w:bCs/>
          <w:sz w:val="26"/>
          <w:szCs w:val="26"/>
        </w:rPr>
      </w:pPr>
    </w:p>
    <w:p w14:paraId="61151D5B" w14:textId="77777777" w:rsidR="00EE1DCC" w:rsidRPr="00EF0312" w:rsidRDefault="00EE1DCC" w:rsidP="00EE1DCC">
      <w:pPr>
        <w:tabs>
          <w:tab w:val="left" w:pos="5057"/>
        </w:tabs>
        <w:rPr>
          <w:b/>
          <w:bCs/>
          <w:sz w:val="26"/>
          <w:szCs w:val="26"/>
        </w:rPr>
      </w:pPr>
    </w:p>
    <w:p w14:paraId="3442A8AB" w14:textId="77777777" w:rsidR="00EF0312" w:rsidRDefault="00EF0312" w:rsidP="00EE1DCC">
      <w:pPr>
        <w:pStyle w:val="p18"/>
        <w:ind w:left="5062"/>
        <w:rPr>
          <w:sz w:val="26"/>
          <w:szCs w:val="26"/>
        </w:rPr>
      </w:pPr>
    </w:p>
    <w:p w14:paraId="0214267F" w14:textId="3E9D513F" w:rsidR="00EE1DCC" w:rsidRPr="00EF0312" w:rsidRDefault="00EE1DCC" w:rsidP="00EE1DCC">
      <w:pPr>
        <w:pStyle w:val="p18"/>
        <w:ind w:left="5062"/>
        <w:rPr>
          <w:sz w:val="26"/>
          <w:szCs w:val="26"/>
        </w:rPr>
      </w:pPr>
      <w:r w:rsidRPr="00EF0312">
        <w:rPr>
          <w:sz w:val="26"/>
          <w:szCs w:val="26"/>
        </w:rPr>
        <w:t>Rosemary Chiavetta</w:t>
      </w:r>
    </w:p>
    <w:p w14:paraId="5A1581F8" w14:textId="77777777" w:rsidR="00EE1DCC" w:rsidRPr="00EF0312" w:rsidRDefault="00EE1DCC" w:rsidP="00EE1DCC">
      <w:pPr>
        <w:pStyle w:val="p18"/>
        <w:ind w:left="5062"/>
        <w:rPr>
          <w:sz w:val="26"/>
          <w:szCs w:val="26"/>
        </w:rPr>
      </w:pPr>
      <w:r w:rsidRPr="00EF0312">
        <w:rPr>
          <w:sz w:val="26"/>
          <w:szCs w:val="26"/>
        </w:rPr>
        <w:t>Secretary</w:t>
      </w:r>
    </w:p>
    <w:p w14:paraId="0627EAE8" w14:textId="62B9F544" w:rsidR="00EE1DCC" w:rsidRDefault="00EE1DCC" w:rsidP="00EE1DCC">
      <w:pPr>
        <w:tabs>
          <w:tab w:val="left" w:pos="5062"/>
        </w:tabs>
        <w:rPr>
          <w:sz w:val="26"/>
          <w:szCs w:val="26"/>
        </w:rPr>
      </w:pPr>
    </w:p>
    <w:p w14:paraId="13032997" w14:textId="77777777" w:rsidR="00EF0312" w:rsidRPr="00EF0312" w:rsidRDefault="00EF0312" w:rsidP="00EE1DCC">
      <w:pPr>
        <w:tabs>
          <w:tab w:val="left" w:pos="5062"/>
        </w:tabs>
        <w:rPr>
          <w:sz w:val="26"/>
          <w:szCs w:val="26"/>
        </w:rPr>
      </w:pPr>
    </w:p>
    <w:p w14:paraId="446B684C" w14:textId="77777777" w:rsidR="00EE1DCC" w:rsidRPr="00EF0312" w:rsidRDefault="00EE1DCC" w:rsidP="00EE1DCC">
      <w:pPr>
        <w:pStyle w:val="p14"/>
        <w:contextualSpacing/>
        <w:rPr>
          <w:sz w:val="26"/>
          <w:szCs w:val="26"/>
        </w:rPr>
      </w:pPr>
      <w:r w:rsidRPr="00EF0312">
        <w:rPr>
          <w:sz w:val="26"/>
          <w:szCs w:val="26"/>
        </w:rPr>
        <w:t>(SEAL)</w:t>
      </w:r>
    </w:p>
    <w:p w14:paraId="2AC2FFAC" w14:textId="66EE9877" w:rsidR="00EE1DCC" w:rsidRPr="00EF0312" w:rsidRDefault="00EE1DCC" w:rsidP="00EE1DCC">
      <w:pPr>
        <w:pStyle w:val="p14"/>
        <w:contextualSpacing/>
        <w:rPr>
          <w:sz w:val="26"/>
          <w:szCs w:val="26"/>
        </w:rPr>
      </w:pPr>
      <w:r w:rsidRPr="00EF0312">
        <w:rPr>
          <w:sz w:val="26"/>
          <w:szCs w:val="26"/>
        </w:rPr>
        <w:t xml:space="preserve">ORDER ADOPTED:  </w:t>
      </w:r>
      <w:r w:rsidR="00B63FFE" w:rsidRPr="00EF0312">
        <w:rPr>
          <w:sz w:val="26"/>
          <w:szCs w:val="26"/>
        </w:rPr>
        <w:t>November 14, 2019</w:t>
      </w:r>
    </w:p>
    <w:p w14:paraId="318F4712" w14:textId="05C5D628" w:rsidR="00714E40" w:rsidRPr="00EF0312" w:rsidRDefault="00EE1DCC" w:rsidP="00EE1DCC">
      <w:pPr>
        <w:pStyle w:val="p14"/>
        <w:contextualSpacing/>
        <w:rPr>
          <w:sz w:val="26"/>
          <w:szCs w:val="26"/>
        </w:rPr>
      </w:pPr>
      <w:r w:rsidRPr="00EF0312">
        <w:rPr>
          <w:sz w:val="26"/>
          <w:szCs w:val="26"/>
        </w:rPr>
        <w:t xml:space="preserve">ORDER ENTERED:  </w:t>
      </w:r>
      <w:r w:rsidR="00714E40">
        <w:rPr>
          <w:sz w:val="26"/>
          <w:szCs w:val="26"/>
        </w:rPr>
        <w:t>November 14</w:t>
      </w:r>
      <w:bookmarkStart w:id="2" w:name="_GoBack"/>
      <w:bookmarkEnd w:id="2"/>
      <w:r w:rsidR="00714E40">
        <w:rPr>
          <w:sz w:val="26"/>
          <w:szCs w:val="26"/>
        </w:rPr>
        <w:t>, 2019</w:t>
      </w:r>
    </w:p>
    <w:p w14:paraId="410F4068" w14:textId="77777777" w:rsidR="006902D6" w:rsidRPr="00EF0312" w:rsidRDefault="006902D6">
      <w:pPr>
        <w:rPr>
          <w:sz w:val="26"/>
          <w:szCs w:val="26"/>
        </w:rPr>
      </w:pPr>
    </w:p>
    <w:p w14:paraId="4312851C" w14:textId="77777777" w:rsidR="00EE1DCC" w:rsidRPr="00EF0312" w:rsidRDefault="00EE1DCC">
      <w:pPr>
        <w:rPr>
          <w:sz w:val="26"/>
          <w:szCs w:val="26"/>
        </w:rPr>
      </w:pPr>
    </w:p>
    <w:sectPr w:rsidR="00EE1DCC" w:rsidRPr="00EF0312" w:rsidSect="00D83182">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B121" w14:textId="77777777" w:rsidR="007F69F7" w:rsidRDefault="007F69F7" w:rsidP="00880544">
      <w:r>
        <w:separator/>
      </w:r>
    </w:p>
  </w:endnote>
  <w:endnote w:type="continuationSeparator" w:id="0">
    <w:p w14:paraId="2606F36B" w14:textId="77777777" w:rsidR="007F69F7" w:rsidRDefault="007F69F7" w:rsidP="00880544">
      <w:r>
        <w:continuationSeparator/>
      </w:r>
    </w:p>
  </w:endnote>
  <w:endnote w:type="continuationNotice" w:id="1">
    <w:p w14:paraId="05285E29" w14:textId="77777777" w:rsidR="007F69F7" w:rsidRDefault="007F6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028F" w14:textId="77777777" w:rsidR="006A01F9" w:rsidRDefault="00F11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26FBA5" w14:textId="77777777" w:rsidR="006A01F9" w:rsidRDefault="007F6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2B70" w14:textId="018EDA5A" w:rsidR="006A01F9" w:rsidRDefault="00F11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C41">
      <w:rPr>
        <w:rStyle w:val="PageNumber"/>
        <w:noProof/>
      </w:rPr>
      <w:t>5</w:t>
    </w:r>
    <w:r>
      <w:rPr>
        <w:rStyle w:val="PageNumber"/>
      </w:rPr>
      <w:fldChar w:fldCharType="end"/>
    </w:r>
  </w:p>
  <w:p w14:paraId="0C6263EC" w14:textId="77777777" w:rsidR="006A01F9" w:rsidRDefault="007F69F7"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0D17D" w14:textId="77777777" w:rsidR="007F69F7" w:rsidRDefault="007F69F7" w:rsidP="00880544">
      <w:r>
        <w:separator/>
      </w:r>
    </w:p>
  </w:footnote>
  <w:footnote w:type="continuationSeparator" w:id="0">
    <w:p w14:paraId="0E0580DC" w14:textId="77777777" w:rsidR="007F69F7" w:rsidRDefault="007F69F7" w:rsidP="00880544">
      <w:r>
        <w:continuationSeparator/>
      </w:r>
    </w:p>
  </w:footnote>
  <w:footnote w:type="continuationNotice" w:id="1">
    <w:p w14:paraId="52D2C624" w14:textId="77777777" w:rsidR="007F69F7" w:rsidRDefault="007F69F7"/>
  </w:footnote>
  <w:footnote w:id="2">
    <w:p w14:paraId="1F5C6482" w14:textId="4F63B6B7" w:rsidR="00EA0DCE" w:rsidRDefault="00EA0DCE">
      <w:pPr>
        <w:pStyle w:val="FootnoteText"/>
      </w:pPr>
      <w:r>
        <w:rPr>
          <w:rStyle w:val="FootnoteReference"/>
        </w:rPr>
        <w:footnoteRef/>
      </w:r>
      <w:r>
        <w:t xml:space="preserve"> </w:t>
      </w:r>
      <w:r w:rsidR="006A28F8">
        <w:t>This amount includes additional interest accrued on the actual tax savings of $39,380,264 until the proposed refund is to become effective.</w:t>
      </w:r>
    </w:p>
  </w:footnote>
  <w:footnote w:id="3">
    <w:p w14:paraId="4672BA1D" w14:textId="70837C51" w:rsidR="008F33FE" w:rsidRDefault="008F33FE">
      <w:pPr>
        <w:pStyle w:val="FootnoteText"/>
      </w:pPr>
      <w:r>
        <w:rPr>
          <w:rStyle w:val="FootnoteReference"/>
        </w:rPr>
        <w:footnoteRef/>
      </w:r>
      <w:r>
        <w:t xml:space="preserve"> The Commission initiated this docket to determine the effects of the TCJA.</w:t>
      </w:r>
    </w:p>
  </w:footnote>
  <w:footnote w:id="4">
    <w:p w14:paraId="16C75080" w14:textId="4164142A" w:rsidR="00F01758" w:rsidRDefault="00F01758">
      <w:pPr>
        <w:pStyle w:val="FootnoteText"/>
      </w:pPr>
      <w:r>
        <w:rPr>
          <w:rStyle w:val="FootnoteReference"/>
        </w:rPr>
        <w:footnoteRef/>
      </w:r>
      <w:r>
        <w:t xml:space="preserve"> On July 24, 2018, The Commission permitted PECO Energy Company</w:t>
      </w:r>
      <w:r w:rsidR="002678CB">
        <w:t xml:space="preserve"> (Gas Division)</w:t>
      </w:r>
      <w:r>
        <w:t xml:space="preserve"> to include tax savings </w:t>
      </w:r>
      <w:r w:rsidR="002678CB">
        <w:t>that began accruing on</w:t>
      </w:r>
      <w:r>
        <w:t xml:space="preserve"> January 1, 2018 in its </w:t>
      </w:r>
      <w:r w:rsidR="003B45CD">
        <w:t xml:space="preserve">initial </w:t>
      </w:r>
      <w:r>
        <w:t>TCJA Voluntary surcharge</w:t>
      </w:r>
      <w:r w:rsidR="002678CB">
        <w:t xml:space="preserve"> at Docket No. R-2018-3000512.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BADA" w14:textId="77777777" w:rsidR="007E1369" w:rsidRDefault="007E1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A5C98"/>
    <w:multiLevelType w:val="hybridMultilevel"/>
    <w:tmpl w:val="9D6A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42398"/>
    <w:multiLevelType w:val="hybridMultilevel"/>
    <w:tmpl w:val="3ACC2862"/>
    <w:lvl w:ilvl="0" w:tplc="28C8F7F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CD0834"/>
    <w:multiLevelType w:val="hybridMultilevel"/>
    <w:tmpl w:val="5642B7DE"/>
    <w:lvl w:ilvl="0" w:tplc="8F16D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FA0AEB"/>
    <w:multiLevelType w:val="hybridMultilevel"/>
    <w:tmpl w:val="FD68309A"/>
    <w:lvl w:ilvl="0" w:tplc="8D36B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2555D0"/>
    <w:multiLevelType w:val="hybridMultilevel"/>
    <w:tmpl w:val="94DC67D4"/>
    <w:lvl w:ilvl="0" w:tplc="F2122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EE"/>
    <w:rsid w:val="00000E44"/>
    <w:rsid w:val="000027D2"/>
    <w:rsid w:val="00033791"/>
    <w:rsid w:val="00047562"/>
    <w:rsid w:val="000479B1"/>
    <w:rsid w:val="0005470A"/>
    <w:rsid w:val="00097FF9"/>
    <w:rsid w:val="000B400C"/>
    <w:rsid w:val="000E102E"/>
    <w:rsid w:val="000F2BF2"/>
    <w:rsid w:val="00123A70"/>
    <w:rsid w:val="001375D6"/>
    <w:rsid w:val="001407FA"/>
    <w:rsid w:val="001A7971"/>
    <w:rsid w:val="001C5283"/>
    <w:rsid w:val="002141B0"/>
    <w:rsid w:val="00216284"/>
    <w:rsid w:val="00266ED1"/>
    <w:rsid w:val="002678CB"/>
    <w:rsid w:val="002728F3"/>
    <w:rsid w:val="002831EB"/>
    <w:rsid w:val="00283626"/>
    <w:rsid w:val="00284D3F"/>
    <w:rsid w:val="00297A61"/>
    <w:rsid w:val="002F7084"/>
    <w:rsid w:val="00306E8D"/>
    <w:rsid w:val="003627A9"/>
    <w:rsid w:val="003A2216"/>
    <w:rsid w:val="003A3D73"/>
    <w:rsid w:val="003B45CD"/>
    <w:rsid w:val="003B7309"/>
    <w:rsid w:val="003C4233"/>
    <w:rsid w:val="00403238"/>
    <w:rsid w:val="004068CA"/>
    <w:rsid w:val="0045014C"/>
    <w:rsid w:val="00483E67"/>
    <w:rsid w:val="004966B7"/>
    <w:rsid w:val="004B168B"/>
    <w:rsid w:val="00525C41"/>
    <w:rsid w:val="0055133F"/>
    <w:rsid w:val="00563F54"/>
    <w:rsid w:val="005669D9"/>
    <w:rsid w:val="005852E3"/>
    <w:rsid w:val="00595D86"/>
    <w:rsid w:val="005A1BE5"/>
    <w:rsid w:val="005B2D8F"/>
    <w:rsid w:val="005E0FBD"/>
    <w:rsid w:val="005F2266"/>
    <w:rsid w:val="00604407"/>
    <w:rsid w:val="00627E7C"/>
    <w:rsid w:val="00645868"/>
    <w:rsid w:val="006902D6"/>
    <w:rsid w:val="006A28F8"/>
    <w:rsid w:val="006B13C3"/>
    <w:rsid w:val="006B7B75"/>
    <w:rsid w:val="006D25AE"/>
    <w:rsid w:val="006D4185"/>
    <w:rsid w:val="006E1FFC"/>
    <w:rsid w:val="006F3068"/>
    <w:rsid w:val="00702DC6"/>
    <w:rsid w:val="00704D6A"/>
    <w:rsid w:val="00710C3E"/>
    <w:rsid w:val="00714E40"/>
    <w:rsid w:val="00743E8F"/>
    <w:rsid w:val="00745182"/>
    <w:rsid w:val="00756AD4"/>
    <w:rsid w:val="00764F05"/>
    <w:rsid w:val="00777B6E"/>
    <w:rsid w:val="007806BF"/>
    <w:rsid w:val="00782ACE"/>
    <w:rsid w:val="007B5EC8"/>
    <w:rsid w:val="007C2CEC"/>
    <w:rsid w:val="007E1369"/>
    <w:rsid w:val="007F69F7"/>
    <w:rsid w:val="00822E12"/>
    <w:rsid w:val="00880544"/>
    <w:rsid w:val="008903BA"/>
    <w:rsid w:val="008D50E3"/>
    <w:rsid w:val="008F33FE"/>
    <w:rsid w:val="00900EF7"/>
    <w:rsid w:val="009142DC"/>
    <w:rsid w:val="009342AE"/>
    <w:rsid w:val="00956EA3"/>
    <w:rsid w:val="009647FA"/>
    <w:rsid w:val="00974CA8"/>
    <w:rsid w:val="009A28AA"/>
    <w:rsid w:val="009B6669"/>
    <w:rsid w:val="009E7AE7"/>
    <w:rsid w:val="00A055BD"/>
    <w:rsid w:val="00A100A6"/>
    <w:rsid w:val="00A66AF1"/>
    <w:rsid w:val="00A7207F"/>
    <w:rsid w:val="00A74CE8"/>
    <w:rsid w:val="00A756E9"/>
    <w:rsid w:val="00A900F3"/>
    <w:rsid w:val="00A976C4"/>
    <w:rsid w:val="00AC6D20"/>
    <w:rsid w:val="00AD3A57"/>
    <w:rsid w:val="00AD63B9"/>
    <w:rsid w:val="00AE76C7"/>
    <w:rsid w:val="00B345C2"/>
    <w:rsid w:val="00B35D6E"/>
    <w:rsid w:val="00B63FFE"/>
    <w:rsid w:val="00B95F2B"/>
    <w:rsid w:val="00BA7969"/>
    <w:rsid w:val="00BE14FF"/>
    <w:rsid w:val="00C058DD"/>
    <w:rsid w:val="00C1020F"/>
    <w:rsid w:val="00C131A6"/>
    <w:rsid w:val="00C4242D"/>
    <w:rsid w:val="00C873FB"/>
    <w:rsid w:val="00C91E48"/>
    <w:rsid w:val="00CA30EE"/>
    <w:rsid w:val="00CD1FCA"/>
    <w:rsid w:val="00CF3B25"/>
    <w:rsid w:val="00CF5EC0"/>
    <w:rsid w:val="00D133A5"/>
    <w:rsid w:val="00D249BC"/>
    <w:rsid w:val="00D31B44"/>
    <w:rsid w:val="00D43CBA"/>
    <w:rsid w:val="00D722D8"/>
    <w:rsid w:val="00D95799"/>
    <w:rsid w:val="00DA1817"/>
    <w:rsid w:val="00DA26E5"/>
    <w:rsid w:val="00DC3423"/>
    <w:rsid w:val="00DD4356"/>
    <w:rsid w:val="00E6460B"/>
    <w:rsid w:val="00E65746"/>
    <w:rsid w:val="00E76C5F"/>
    <w:rsid w:val="00EA0DCE"/>
    <w:rsid w:val="00EA17BE"/>
    <w:rsid w:val="00EA3D19"/>
    <w:rsid w:val="00EC41CD"/>
    <w:rsid w:val="00EC7D7B"/>
    <w:rsid w:val="00ED4652"/>
    <w:rsid w:val="00EE1DCC"/>
    <w:rsid w:val="00EE5036"/>
    <w:rsid w:val="00EF0312"/>
    <w:rsid w:val="00F01758"/>
    <w:rsid w:val="00F105A1"/>
    <w:rsid w:val="00F114DE"/>
    <w:rsid w:val="00F26542"/>
    <w:rsid w:val="00F40798"/>
    <w:rsid w:val="00F5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7AD2"/>
  <w15:docId w15:val="{B312C908-8391-42FA-A6F6-F44CC47F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C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E1D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1DCC"/>
    <w:rPr>
      <w:rFonts w:ascii="Arial" w:eastAsia="Times New Roman" w:hAnsi="Arial" w:cs="Arial"/>
      <w:b/>
      <w:bCs/>
      <w:sz w:val="26"/>
      <w:szCs w:val="26"/>
    </w:rPr>
  </w:style>
  <w:style w:type="paragraph" w:styleId="Footer">
    <w:name w:val="footer"/>
    <w:basedOn w:val="Normal"/>
    <w:link w:val="FooterChar"/>
    <w:rsid w:val="00EE1DCC"/>
    <w:pPr>
      <w:tabs>
        <w:tab w:val="center" w:pos="4320"/>
        <w:tab w:val="right" w:pos="8640"/>
      </w:tabs>
    </w:pPr>
  </w:style>
  <w:style w:type="character" w:customStyle="1" w:styleId="FooterChar">
    <w:name w:val="Footer Char"/>
    <w:basedOn w:val="DefaultParagraphFont"/>
    <w:link w:val="Footer"/>
    <w:rsid w:val="00EE1DCC"/>
    <w:rPr>
      <w:rFonts w:ascii="Times New Roman" w:eastAsia="Times New Roman" w:hAnsi="Times New Roman" w:cs="Times New Roman"/>
      <w:sz w:val="24"/>
      <w:szCs w:val="20"/>
    </w:rPr>
  </w:style>
  <w:style w:type="character" w:styleId="PageNumber">
    <w:name w:val="page number"/>
    <w:basedOn w:val="DefaultParagraphFont"/>
    <w:rsid w:val="00EE1DCC"/>
  </w:style>
  <w:style w:type="paragraph" w:customStyle="1" w:styleId="p3">
    <w:name w:val="p3"/>
    <w:basedOn w:val="Normal"/>
    <w:rsid w:val="00EE1DCC"/>
    <w:pPr>
      <w:widowControl w:val="0"/>
      <w:tabs>
        <w:tab w:val="left" w:pos="204"/>
      </w:tabs>
      <w:overflowPunct/>
      <w:textAlignment w:val="auto"/>
    </w:pPr>
    <w:rPr>
      <w:szCs w:val="24"/>
    </w:rPr>
  </w:style>
  <w:style w:type="paragraph" w:customStyle="1" w:styleId="p14">
    <w:name w:val="p14"/>
    <w:basedOn w:val="Normal"/>
    <w:rsid w:val="00EE1DCC"/>
    <w:pPr>
      <w:widowControl w:val="0"/>
      <w:tabs>
        <w:tab w:val="left" w:pos="204"/>
      </w:tabs>
      <w:overflowPunct/>
      <w:textAlignment w:val="auto"/>
    </w:pPr>
    <w:rPr>
      <w:szCs w:val="24"/>
    </w:rPr>
  </w:style>
  <w:style w:type="paragraph" w:customStyle="1" w:styleId="p17">
    <w:name w:val="p17"/>
    <w:basedOn w:val="Normal"/>
    <w:rsid w:val="00EE1DCC"/>
    <w:pPr>
      <w:widowControl w:val="0"/>
      <w:tabs>
        <w:tab w:val="left" w:pos="5057"/>
      </w:tabs>
      <w:overflowPunct/>
      <w:ind w:left="3617"/>
      <w:textAlignment w:val="auto"/>
    </w:pPr>
    <w:rPr>
      <w:szCs w:val="24"/>
    </w:rPr>
  </w:style>
  <w:style w:type="paragraph" w:customStyle="1" w:styleId="p18">
    <w:name w:val="p18"/>
    <w:basedOn w:val="Normal"/>
    <w:rsid w:val="00EE1DCC"/>
    <w:pPr>
      <w:widowControl w:val="0"/>
      <w:tabs>
        <w:tab w:val="left" w:pos="5062"/>
      </w:tabs>
      <w:overflowPunct/>
      <w:ind w:left="3622"/>
      <w:textAlignment w:val="auto"/>
    </w:pPr>
    <w:rPr>
      <w:szCs w:val="24"/>
    </w:rPr>
  </w:style>
  <w:style w:type="paragraph" w:customStyle="1" w:styleId="StyleCentered">
    <w:name w:val="Style Centered"/>
    <w:basedOn w:val="Normal"/>
    <w:rsid w:val="00EE1DCC"/>
    <w:pPr>
      <w:jc w:val="center"/>
    </w:pPr>
  </w:style>
  <w:style w:type="paragraph" w:styleId="FootnoteText">
    <w:name w:val="footnote text"/>
    <w:basedOn w:val="Normal"/>
    <w:link w:val="FootnoteTextChar"/>
    <w:uiPriority w:val="99"/>
    <w:semiHidden/>
    <w:unhideWhenUsed/>
    <w:rsid w:val="00880544"/>
    <w:rPr>
      <w:sz w:val="20"/>
    </w:rPr>
  </w:style>
  <w:style w:type="character" w:customStyle="1" w:styleId="FootnoteTextChar">
    <w:name w:val="Footnote Text Char"/>
    <w:basedOn w:val="DefaultParagraphFont"/>
    <w:link w:val="FootnoteText"/>
    <w:uiPriority w:val="99"/>
    <w:semiHidden/>
    <w:rsid w:val="008805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80544"/>
    <w:rPr>
      <w:vertAlign w:val="superscript"/>
    </w:rPr>
  </w:style>
  <w:style w:type="paragraph" w:styleId="ListParagraph">
    <w:name w:val="List Paragraph"/>
    <w:basedOn w:val="Normal"/>
    <w:uiPriority w:val="34"/>
    <w:qFormat/>
    <w:rsid w:val="00D249BC"/>
    <w:pPr>
      <w:ind w:left="720"/>
      <w:contextualSpacing/>
    </w:pPr>
  </w:style>
  <w:style w:type="paragraph" w:styleId="BalloonText">
    <w:name w:val="Balloon Text"/>
    <w:basedOn w:val="Normal"/>
    <w:link w:val="BalloonTextChar"/>
    <w:uiPriority w:val="99"/>
    <w:semiHidden/>
    <w:unhideWhenUsed/>
    <w:rsid w:val="00595D86"/>
    <w:rPr>
      <w:rFonts w:ascii="Tahoma" w:hAnsi="Tahoma" w:cs="Tahoma"/>
      <w:sz w:val="16"/>
      <w:szCs w:val="16"/>
    </w:rPr>
  </w:style>
  <w:style w:type="character" w:customStyle="1" w:styleId="BalloonTextChar">
    <w:name w:val="Balloon Text Char"/>
    <w:basedOn w:val="DefaultParagraphFont"/>
    <w:link w:val="BalloonText"/>
    <w:uiPriority w:val="99"/>
    <w:semiHidden/>
    <w:rsid w:val="00595D86"/>
    <w:rPr>
      <w:rFonts w:ascii="Tahoma" w:eastAsia="Times New Roman" w:hAnsi="Tahoma" w:cs="Tahoma"/>
      <w:sz w:val="16"/>
      <w:szCs w:val="16"/>
    </w:rPr>
  </w:style>
  <w:style w:type="paragraph" w:styleId="Header">
    <w:name w:val="header"/>
    <w:basedOn w:val="Normal"/>
    <w:link w:val="HeaderChar"/>
    <w:uiPriority w:val="99"/>
    <w:unhideWhenUsed/>
    <w:rsid w:val="007E1369"/>
    <w:pPr>
      <w:tabs>
        <w:tab w:val="center" w:pos="4680"/>
        <w:tab w:val="right" w:pos="9360"/>
      </w:tabs>
    </w:pPr>
  </w:style>
  <w:style w:type="character" w:customStyle="1" w:styleId="HeaderChar">
    <w:name w:val="Header Char"/>
    <w:basedOn w:val="DefaultParagraphFont"/>
    <w:link w:val="Header"/>
    <w:uiPriority w:val="99"/>
    <w:rsid w:val="007E136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E1369"/>
    <w:rPr>
      <w:sz w:val="16"/>
      <w:szCs w:val="16"/>
    </w:rPr>
  </w:style>
  <w:style w:type="paragraph" w:styleId="CommentText">
    <w:name w:val="annotation text"/>
    <w:basedOn w:val="Normal"/>
    <w:link w:val="CommentTextChar"/>
    <w:uiPriority w:val="99"/>
    <w:semiHidden/>
    <w:unhideWhenUsed/>
    <w:rsid w:val="007E1369"/>
    <w:rPr>
      <w:sz w:val="20"/>
    </w:rPr>
  </w:style>
  <w:style w:type="character" w:customStyle="1" w:styleId="CommentTextChar">
    <w:name w:val="Comment Text Char"/>
    <w:basedOn w:val="DefaultParagraphFont"/>
    <w:link w:val="CommentText"/>
    <w:uiPriority w:val="99"/>
    <w:semiHidden/>
    <w:rsid w:val="007E1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1369"/>
    <w:rPr>
      <w:b/>
      <w:bCs/>
    </w:rPr>
  </w:style>
  <w:style w:type="character" w:customStyle="1" w:styleId="CommentSubjectChar">
    <w:name w:val="Comment Subject Char"/>
    <w:basedOn w:val="CommentTextChar"/>
    <w:link w:val="CommentSubject"/>
    <w:uiPriority w:val="99"/>
    <w:semiHidden/>
    <w:rsid w:val="007E136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22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4554">
      <w:bodyDiv w:val="1"/>
      <w:marLeft w:val="0"/>
      <w:marRight w:val="0"/>
      <w:marTop w:val="0"/>
      <w:marBottom w:val="0"/>
      <w:divBdr>
        <w:top w:val="none" w:sz="0" w:space="0" w:color="auto"/>
        <w:left w:val="none" w:sz="0" w:space="0" w:color="auto"/>
        <w:bottom w:val="none" w:sz="0" w:space="0" w:color="auto"/>
        <w:right w:val="none" w:sz="0" w:space="0" w:color="auto"/>
      </w:divBdr>
    </w:div>
    <w:div w:id="553351761">
      <w:bodyDiv w:val="1"/>
      <w:marLeft w:val="0"/>
      <w:marRight w:val="0"/>
      <w:marTop w:val="0"/>
      <w:marBottom w:val="0"/>
      <w:divBdr>
        <w:top w:val="none" w:sz="0" w:space="0" w:color="auto"/>
        <w:left w:val="none" w:sz="0" w:space="0" w:color="auto"/>
        <w:bottom w:val="none" w:sz="0" w:space="0" w:color="auto"/>
        <w:right w:val="none" w:sz="0" w:space="0" w:color="auto"/>
      </w:divBdr>
    </w:div>
    <w:div w:id="15743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1385-FB8B-4FF9-93B0-A681630CBF53}">
  <ds:schemaRefs>
    <ds:schemaRef ds:uri="http://schemas.openxmlformats.org/officeDocument/2006/bibliography"/>
  </ds:schemaRefs>
</ds:datastoreItem>
</file>

<file path=customXml/itemProps2.xml><?xml version="1.0" encoding="utf-8"?>
<ds:datastoreItem xmlns:ds="http://schemas.openxmlformats.org/officeDocument/2006/customXml" ds:itemID="{0C2310A4-B67F-42CA-B0B9-F70EAC08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Snyder, Whitney</dc:creator>
  <cp:lastModifiedBy>Wagner, Nathan R</cp:lastModifiedBy>
  <cp:revision>16</cp:revision>
  <cp:lastPrinted>2019-10-29T18:27:00Z</cp:lastPrinted>
  <dcterms:created xsi:type="dcterms:W3CDTF">2019-10-22T18:25:00Z</dcterms:created>
  <dcterms:modified xsi:type="dcterms:W3CDTF">2019-11-13T20:58:00Z</dcterms:modified>
</cp:coreProperties>
</file>