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31F5BD" w14:textId="77777777" w:rsidR="00FF7A45" w:rsidRPr="004D72DF" w:rsidRDefault="00FF7A45" w:rsidP="00FF7A45">
      <w:pPr>
        <w:jc w:val="center"/>
        <w:rPr>
          <w:b/>
          <w:sz w:val="24"/>
          <w:szCs w:val="24"/>
        </w:rPr>
      </w:pPr>
      <w:r w:rsidRPr="004D72DF">
        <w:rPr>
          <w:b/>
          <w:sz w:val="24"/>
          <w:szCs w:val="24"/>
        </w:rPr>
        <w:t>BEFORE THE</w:t>
      </w:r>
    </w:p>
    <w:p w14:paraId="6CAD345A" w14:textId="77777777" w:rsidR="00FF7A45" w:rsidRPr="004D72DF" w:rsidRDefault="00FF7A45" w:rsidP="00FF7A45">
      <w:pPr>
        <w:jc w:val="center"/>
        <w:rPr>
          <w:sz w:val="24"/>
          <w:szCs w:val="24"/>
        </w:rPr>
      </w:pPr>
      <w:r w:rsidRPr="004D72DF">
        <w:rPr>
          <w:b/>
          <w:sz w:val="24"/>
          <w:szCs w:val="24"/>
        </w:rPr>
        <w:t>PENNSYLVANIA PUBLIC UTILITY COMMISSION</w:t>
      </w:r>
    </w:p>
    <w:p w14:paraId="4BBE5D60" w14:textId="77777777" w:rsidR="00FF7A45" w:rsidRPr="004D72DF" w:rsidRDefault="00FF7A45" w:rsidP="00FF7A45">
      <w:pPr>
        <w:jc w:val="center"/>
        <w:rPr>
          <w:sz w:val="24"/>
          <w:szCs w:val="24"/>
        </w:rPr>
      </w:pPr>
    </w:p>
    <w:p w14:paraId="61110F4E" w14:textId="77777777" w:rsidR="00FF7A45" w:rsidRPr="004D72DF" w:rsidRDefault="00FF7A45" w:rsidP="00FF7A45">
      <w:pPr>
        <w:jc w:val="center"/>
        <w:rPr>
          <w:sz w:val="24"/>
          <w:szCs w:val="24"/>
        </w:rPr>
      </w:pPr>
    </w:p>
    <w:p w14:paraId="765A3C0E" w14:textId="77777777" w:rsidR="00B940A8" w:rsidRPr="00EB37A1" w:rsidRDefault="00B940A8" w:rsidP="00B940A8">
      <w:pPr>
        <w:widowControl w:val="0"/>
        <w:rPr>
          <w:bCs/>
          <w:sz w:val="24"/>
          <w:szCs w:val="24"/>
        </w:rPr>
      </w:pPr>
    </w:p>
    <w:p w14:paraId="7EBEECB4" w14:textId="77777777" w:rsidR="00B940A8" w:rsidRPr="00EB37A1" w:rsidRDefault="00B940A8" w:rsidP="00B940A8">
      <w:pPr>
        <w:widowControl w:val="0"/>
        <w:rPr>
          <w:bCs/>
          <w:sz w:val="24"/>
          <w:szCs w:val="24"/>
        </w:rPr>
      </w:pPr>
      <w:r w:rsidRPr="00EB37A1">
        <w:rPr>
          <w:bCs/>
          <w:sz w:val="24"/>
          <w:szCs w:val="24"/>
        </w:rPr>
        <w:t>The United Telephone Company of Pennsylvania LLC</w:t>
      </w:r>
      <w:r w:rsidRPr="00EB37A1">
        <w:rPr>
          <w:bCs/>
          <w:sz w:val="24"/>
          <w:szCs w:val="24"/>
        </w:rPr>
        <w:tab/>
        <w:t xml:space="preserve">: </w:t>
      </w:r>
    </w:p>
    <w:p w14:paraId="7D8BACE6" w14:textId="77777777" w:rsidR="00B940A8" w:rsidRPr="00EB37A1" w:rsidRDefault="00B940A8" w:rsidP="00B940A8">
      <w:pPr>
        <w:widowControl w:val="0"/>
        <w:rPr>
          <w:bCs/>
          <w:sz w:val="24"/>
          <w:szCs w:val="24"/>
        </w:rPr>
      </w:pPr>
      <w:r w:rsidRPr="00EB37A1">
        <w:rPr>
          <w:bCs/>
          <w:sz w:val="24"/>
          <w:szCs w:val="24"/>
        </w:rPr>
        <w:t>d/b/a CenturyLink 2018 Annual Price Stability</w:t>
      </w:r>
      <w:r w:rsidRPr="00EB37A1">
        <w:rPr>
          <w:bCs/>
          <w:sz w:val="24"/>
          <w:szCs w:val="24"/>
        </w:rPr>
        <w:tab/>
      </w:r>
      <w:r w:rsidRPr="00EB37A1">
        <w:rPr>
          <w:bCs/>
          <w:sz w:val="24"/>
          <w:szCs w:val="24"/>
        </w:rPr>
        <w:tab/>
        <w:t>:</w:t>
      </w:r>
      <w:r w:rsidRPr="00EB37A1">
        <w:rPr>
          <w:bCs/>
          <w:sz w:val="24"/>
          <w:szCs w:val="24"/>
        </w:rPr>
        <w:tab/>
      </w:r>
      <w:bookmarkStart w:id="0" w:name="_Hlk24977241"/>
      <w:r w:rsidRPr="00EB37A1">
        <w:rPr>
          <w:bCs/>
          <w:sz w:val="24"/>
          <w:szCs w:val="24"/>
        </w:rPr>
        <w:t>R-2018-3004019</w:t>
      </w:r>
      <w:bookmarkEnd w:id="0"/>
    </w:p>
    <w:p w14:paraId="7274E8F7" w14:textId="77777777" w:rsidR="00B940A8" w:rsidRPr="00EB37A1" w:rsidRDefault="00B940A8" w:rsidP="00B940A8">
      <w:pPr>
        <w:widowControl w:val="0"/>
        <w:rPr>
          <w:bCs/>
          <w:sz w:val="24"/>
          <w:szCs w:val="24"/>
        </w:rPr>
      </w:pPr>
      <w:r w:rsidRPr="00EB37A1">
        <w:rPr>
          <w:bCs/>
          <w:sz w:val="24"/>
          <w:szCs w:val="24"/>
        </w:rPr>
        <w:t>Index/Service Price Index Report Filing</w:t>
      </w:r>
      <w:r w:rsidRPr="00EB37A1">
        <w:rPr>
          <w:bCs/>
          <w:sz w:val="24"/>
          <w:szCs w:val="24"/>
        </w:rPr>
        <w:tab/>
      </w:r>
      <w:r w:rsidRPr="00EB37A1">
        <w:rPr>
          <w:bCs/>
          <w:sz w:val="24"/>
          <w:szCs w:val="24"/>
        </w:rPr>
        <w:tab/>
      </w:r>
      <w:r w:rsidRPr="00EB37A1">
        <w:rPr>
          <w:bCs/>
          <w:sz w:val="24"/>
          <w:szCs w:val="24"/>
        </w:rPr>
        <w:tab/>
        <w:t>:</w:t>
      </w:r>
    </w:p>
    <w:p w14:paraId="20B7194C" w14:textId="1F4C79A0" w:rsidR="003C5393" w:rsidRPr="00EB37A1" w:rsidRDefault="00B940A8" w:rsidP="00B940A8">
      <w:pPr>
        <w:widowControl w:val="0"/>
        <w:rPr>
          <w:bCs/>
          <w:sz w:val="24"/>
          <w:szCs w:val="24"/>
        </w:rPr>
      </w:pPr>
      <w:r w:rsidRPr="00EB37A1">
        <w:rPr>
          <w:bCs/>
          <w:sz w:val="24"/>
          <w:szCs w:val="24"/>
        </w:rPr>
        <w:tab/>
      </w:r>
    </w:p>
    <w:p w14:paraId="2BC379E3" w14:textId="77777777" w:rsidR="00B940A8" w:rsidRPr="00EB37A1" w:rsidRDefault="00B940A8" w:rsidP="00B940A8">
      <w:pPr>
        <w:widowControl w:val="0"/>
        <w:rPr>
          <w:bCs/>
          <w:sz w:val="24"/>
          <w:szCs w:val="24"/>
        </w:rPr>
      </w:pPr>
      <w:r w:rsidRPr="00EB37A1">
        <w:rPr>
          <w:bCs/>
          <w:sz w:val="24"/>
          <w:szCs w:val="24"/>
        </w:rPr>
        <w:tab/>
      </w:r>
    </w:p>
    <w:p w14:paraId="0527BAF5" w14:textId="77777777" w:rsidR="00B940A8" w:rsidRPr="00EB37A1" w:rsidRDefault="00B940A8" w:rsidP="00B940A8">
      <w:pPr>
        <w:widowControl w:val="0"/>
        <w:rPr>
          <w:bCs/>
          <w:sz w:val="24"/>
          <w:szCs w:val="24"/>
        </w:rPr>
      </w:pPr>
      <w:r w:rsidRPr="00EB37A1">
        <w:rPr>
          <w:bCs/>
          <w:sz w:val="24"/>
          <w:szCs w:val="24"/>
        </w:rPr>
        <w:t xml:space="preserve">Office of Consumer Advocate </w:t>
      </w:r>
      <w:r w:rsidRPr="00EB37A1">
        <w:rPr>
          <w:bCs/>
          <w:sz w:val="24"/>
          <w:szCs w:val="24"/>
        </w:rPr>
        <w:tab/>
      </w:r>
      <w:r w:rsidRPr="00EB37A1">
        <w:rPr>
          <w:bCs/>
          <w:sz w:val="24"/>
          <w:szCs w:val="24"/>
        </w:rPr>
        <w:tab/>
      </w:r>
      <w:r w:rsidRPr="00EB37A1">
        <w:rPr>
          <w:bCs/>
          <w:sz w:val="24"/>
          <w:szCs w:val="24"/>
        </w:rPr>
        <w:tab/>
      </w:r>
      <w:r w:rsidRPr="00EB37A1">
        <w:rPr>
          <w:bCs/>
          <w:sz w:val="24"/>
          <w:szCs w:val="24"/>
        </w:rPr>
        <w:tab/>
        <w:t>:</w:t>
      </w:r>
    </w:p>
    <w:p w14:paraId="603BF309" w14:textId="77777777" w:rsidR="00B940A8" w:rsidRPr="00EB37A1" w:rsidRDefault="00B940A8" w:rsidP="00B940A8">
      <w:pPr>
        <w:widowControl w:val="0"/>
        <w:rPr>
          <w:bCs/>
          <w:sz w:val="24"/>
          <w:szCs w:val="24"/>
        </w:rPr>
      </w:pPr>
      <w:r w:rsidRPr="00EB37A1">
        <w:rPr>
          <w:bCs/>
          <w:sz w:val="24"/>
          <w:szCs w:val="24"/>
        </w:rPr>
        <w:tab/>
      </w:r>
      <w:r w:rsidRPr="00EB37A1">
        <w:rPr>
          <w:bCs/>
          <w:sz w:val="24"/>
          <w:szCs w:val="24"/>
        </w:rPr>
        <w:tab/>
        <w:t>v.</w:t>
      </w:r>
      <w:r w:rsidRPr="00EB37A1">
        <w:rPr>
          <w:bCs/>
          <w:sz w:val="24"/>
          <w:szCs w:val="24"/>
        </w:rPr>
        <w:tab/>
      </w:r>
      <w:r w:rsidRPr="00EB37A1">
        <w:rPr>
          <w:bCs/>
          <w:sz w:val="24"/>
          <w:szCs w:val="24"/>
        </w:rPr>
        <w:tab/>
      </w:r>
      <w:r w:rsidRPr="00EB37A1">
        <w:rPr>
          <w:bCs/>
          <w:sz w:val="24"/>
          <w:szCs w:val="24"/>
        </w:rPr>
        <w:tab/>
      </w:r>
      <w:r w:rsidRPr="00EB37A1">
        <w:rPr>
          <w:bCs/>
          <w:sz w:val="24"/>
          <w:szCs w:val="24"/>
        </w:rPr>
        <w:tab/>
      </w:r>
      <w:r w:rsidRPr="00EB37A1">
        <w:rPr>
          <w:bCs/>
          <w:sz w:val="24"/>
          <w:szCs w:val="24"/>
        </w:rPr>
        <w:tab/>
      </w:r>
      <w:r w:rsidRPr="00EB37A1">
        <w:rPr>
          <w:bCs/>
          <w:sz w:val="24"/>
          <w:szCs w:val="24"/>
        </w:rPr>
        <w:tab/>
        <w:t>:</w:t>
      </w:r>
    </w:p>
    <w:p w14:paraId="76E79CA6" w14:textId="77777777" w:rsidR="00B940A8" w:rsidRPr="00EB37A1" w:rsidRDefault="00B940A8" w:rsidP="00B940A8">
      <w:pPr>
        <w:widowControl w:val="0"/>
        <w:rPr>
          <w:bCs/>
          <w:sz w:val="24"/>
          <w:szCs w:val="24"/>
        </w:rPr>
      </w:pPr>
      <w:r w:rsidRPr="00EB37A1">
        <w:rPr>
          <w:bCs/>
          <w:sz w:val="24"/>
          <w:szCs w:val="24"/>
        </w:rPr>
        <w:t>The United Telephone Company of Pennsylvania LLC</w:t>
      </w:r>
      <w:r w:rsidRPr="00EB37A1">
        <w:rPr>
          <w:bCs/>
          <w:sz w:val="24"/>
          <w:szCs w:val="24"/>
        </w:rPr>
        <w:tab/>
        <w:t>:</w:t>
      </w:r>
      <w:r w:rsidRPr="00EB37A1">
        <w:rPr>
          <w:bCs/>
          <w:sz w:val="24"/>
          <w:szCs w:val="24"/>
        </w:rPr>
        <w:tab/>
        <w:t>C-2018-3005400</w:t>
      </w:r>
    </w:p>
    <w:p w14:paraId="2E717A3A" w14:textId="77777777" w:rsidR="00B940A8" w:rsidRPr="00EB37A1" w:rsidRDefault="00B940A8" w:rsidP="00B940A8">
      <w:pPr>
        <w:widowControl w:val="0"/>
        <w:rPr>
          <w:bCs/>
          <w:sz w:val="24"/>
          <w:szCs w:val="24"/>
        </w:rPr>
      </w:pPr>
      <w:r w:rsidRPr="00EB37A1">
        <w:rPr>
          <w:bCs/>
          <w:sz w:val="24"/>
          <w:szCs w:val="24"/>
        </w:rPr>
        <w:t>d/b/a CenturyLink</w:t>
      </w:r>
      <w:r w:rsidRPr="00EB37A1">
        <w:rPr>
          <w:bCs/>
          <w:sz w:val="24"/>
          <w:szCs w:val="24"/>
        </w:rPr>
        <w:tab/>
      </w:r>
      <w:r w:rsidRPr="00EB37A1">
        <w:rPr>
          <w:bCs/>
          <w:sz w:val="24"/>
          <w:szCs w:val="24"/>
        </w:rPr>
        <w:tab/>
      </w:r>
      <w:r w:rsidRPr="00EB37A1">
        <w:rPr>
          <w:bCs/>
          <w:sz w:val="24"/>
          <w:szCs w:val="24"/>
        </w:rPr>
        <w:tab/>
      </w:r>
      <w:r w:rsidRPr="00EB37A1">
        <w:rPr>
          <w:bCs/>
          <w:sz w:val="24"/>
          <w:szCs w:val="24"/>
        </w:rPr>
        <w:tab/>
      </w:r>
      <w:r w:rsidRPr="00EB37A1">
        <w:rPr>
          <w:bCs/>
          <w:sz w:val="24"/>
          <w:szCs w:val="24"/>
        </w:rPr>
        <w:tab/>
      </w:r>
      <w:r w:rsidRPr="00EB37A1">
        <w:rPr>
          <w:bCs/>
          <w:sz w:val="24"/>
          <w:szCs w:val="24"/>
        </w:rPr>
        <w:tab/>
        <w:t>:</w:t>
      </w:r>
    </w:p>
    <w:p w14:paraId="659BCB7E" w14:textId="53E2B8DB" w:rsidR="00B940A8" w:rsidRDefault="00B940A8" w:rsidP="00B940A8">
      <w:pPr>
        <w:widowControl w:val="0"/>
        <w:rPr>
          <w:bCs/>
          <w:sz w:val="24"/>
          <w:szCs w:val="24"/>
        </w:rPr>
      </w:pPr>
      <w:r w:rsidRPr="00EB37A1">
        <w:rPr>
          <w:bCs/>
          <w:sz w:val="24"/>
          <w:szCs w:val="24"/>
        </w:rPr>
        <w:tab/>
      </w:r>
      <w:r w:rsidRPr="00EB37A1">
        <w:rPr>
          <w:bCs/>
          <w:sz w:val="24"/>
          <w:szCs w:val="24"/>
        </w:rPr>
        <w:tab/>
      </w:r>
    </w:p>
    <w:p w14:paraId="2FC7B582" w14:textId="77777777" w:rsidR="003C5393" w:rsidRDefault="003C5393" w:rsidP="00B940A8">
      <w:pPr>
        <w:widowControl w:val="0"/>
        <w:rPr>
          <w:bCs/>
          <w:sz w:val="24"/>
          <w:szCs w:val="24"/>
        </w:rPr>
      </w:pPr>
    </w:p>
    <w:p w14:paraId="24DA828F" w14:textId="77777777" w:rsidR="00B940A8" w:rsidRPr="00EB37A1" w:rsidRDefault="00B940A8" w:rsidP="00B940A8">
      <w:pPr>
        <w:widowControl w:val="0"/>
        <w:rPr>
          <w:bCs/>
          <w:sz w:val="24"/>
          <w:szCs w:val="24"/>
        </w:rPr>
      </w:pPr>
    </w:p>
    <w:p w14:paraId="6DCF5CFF" w14:textId="77777777" w:rsidR="00B940A8" w:rsidRPr="00EB37A1" w:rsidRDefault="00B940A8" w:rsidP="00B940A8">
      <w:pPr>
        <w:widowControl w:val="0"/>
        <w:rPr>
          <w:bCs/>
          <w:sz w:val="24"/>
          <w:szCs w:val="24"/>
        </w:rPr>
      </w:pPr>
      <w:r w:rsidRPr="00EB37A1">
        <w:rPr>
          <w:bCs/>
          <w:sz w:val="24"/>
          <w:szCs w:val="24"/>
        </w:rPr>
        <w:t>The United Telephone Company of Pennsylvania LLC</w:t>
      </w:r>
      <w:r w:rsidRPr="00EB37A1">
        <w:rPr>
          <w:bCs/>
          <w:sz w:val="24"/>
          <w:szCs w:val="24"/>
        </w:rPr>
        <w:tab/>
        <w:t>:</w:t>
      </w:r>
    </w:p>
    <w:p w14:paraId="472F938E" w14:textId="77777777" w:rsidR="00B940A8" w:rsidRPr="00EB37A1" w:rsidRDefault="00B940A8" w:rsidP="00B940A8">
      <w:pPr>
        <w:widowControl w:val="0"/>
        <w:rPr>
          <w:bCs/>
          <w:sz w:val="24"/>
          <w:szCs w:val="24"/>
        </w:rPr>
      </w:pPr>
      <w:r w:rsidRPr="00EB37A1">
        <w:rPr>
          <w:bCs/>
          <w:sz w:val="24"/>
          <w:szCs w:val="24"/>
        </w:rPr>
        <w:t>d/b/a CenturyLink 2019 Annual Price Stability</w:t>
      </w:r>
      <w:r w:rsidRPr="00EB37A1">
        <w:rPr>
          <w:bCs/>
          <w:sz w:val="24"/>
          <w:szCs w:val="24"/>
        </w:rPr>
        <w:tab/>
      </w:r>
      <w:r w:rsidRPr="00EB37A1">
        <w:rPr>
          <w:bCs/>
          <w:sz w:val="24"/>
          <w:szCs w:val="24"/>
        </w:rPr>
        <w:tab/>
        <w:t>:</w:t>
      </w:r>
      <w:r w:rsidRPr="00EB37A1">
        <w:rPr>
          <w:bCs/>
          <w:sz w:val="24"/>
          <w:szCs w:val="24"/>
        </w:rPr>
        <w:tab/>
      </w:r>
      <w:bookmarkStart w:id="1" w:name="_Hlk24977267"/>
      <w:r w:rsidRPr="00EB37A1">
        <w:rPr>
          <w:bCs/>
          <w:sz w:val="24"/>
          <w:szCs w:val="24"/>
        </w:rPr>
        <w:t>R-2019-3012238</w:t>
      </w:r>
      <w:bookmarkEnd w:id="1"/>
    </w:p>
    <w:p w14:paraId="073C7E3D" w14:textId="77777777" w:rsidR="00B940A8" w:rsidRPr="00EB37A1" w:rsidRDefault="00B940A8" w:rsidP="00B940A8">
      <w:pPr>
        <w:widowControl w:val="0"/>
        <w:rPr>
          <w:bCs/>
          <w:sz w:val="24"/>
          <w:szCs w:val="24"/>
        </w:rPr>
      </w:pPr>
      <w:r w:rsidRPr="00EB37A1">
        <w:rPr>
          <w:bCs/>
          <w:sz w:val="24"/>
          <w:szCs w:val="24"/>
        </w:rPr>
        <w:t>Index/Service Price Index Report Filing</w:t>
      </w:r>
      <w:r w:rsidRPr="00EB37A1">
        <w:rPr>
          <w:bCs/>
          <w:sz w:val="24"/>
          <w:szCs w:val="24"/>
        </w:rPr>
        <w:tab/>
      </w:r>
      <w:r w:rsidRPr="00EB37A1">
        <w:rPr>
          <w:bCs/>
          <w:sz w:val="24"/>
          <w:szCs w:val="24"/>
        </w:rPr>
        <w:tab/>
      </w:r>
      <w:r w:rsidRPr="00EB37A1">
        <w:rPr>
          <w:bCs/>
          <w:sz w:val="24"/>
          <w:szCs w:val="24"/>
        </w:rPr>
        <w:tab/>
        <w:t>:</w:t>
      </w:r>
    </w:p>
    <w:p w14:paraId="0F9F3E0C" w14:textId="3BDA7935" w:rsidR="003C5393" w:rsidRDefault="00B940A8" w:rsidP="00B940A8">
      <w:pPr>
        <w:widowControl w:val="0"/>
        <w:rPr>
          <w:bCs/>
          <w:sz w:val="24"/>
          <w:szCs w:val="24"/>
        </w:rPr>
      </w:pPr>
      <w:r w:rsidRPr="00EB37A1">
        <w:rPr>
          <w:bCs/>
          <w:sz w:val="24"/>
          <w:szCs w:val="24"/>
        </w:rPr>
        <w:tab/>
      </w:r>
    </w:p>
    <w:p w14:paraId="09FEE254" w14:textId="2B524EA1" w:rsidR="00B940A8" w:rsidRPr="00EB37A1" w:rsidRDefault="00B940A8" w:rsidP="00B940A8">
      <w:pPr>
        <w:widowControl w:val="0"/>
        <w:rPr>
          <w:bCs/>
          <w:sz w:val="24"/>
          <w:szCs w:val="24"/>
        </w:rPr>
      </w:pPr>
      <w:r w:rsidRPr="00EB37A1">
        <w:rPr>
          <w:bCs/>
          <w:sz w:val="24"/>
          <w:szCs w:val="24"/>
        </w:rPr>
        <w:tab/>
      </w:r>
    </w:p>
    <w:p w14:paraId="123D7228" w14:textId="77777777" w:rsidR="00B940A8" w:rsidRPr="00EB37A1" w:rsidRDefault="00B940A8" w:rsidP="00B940A8">
      <w:pPr>
        <w:widowControl w:val="0"/>
        <w:rPr>
          <w:bCs/>
          <w:sz w:val="24"/>
          <w:szCs w:val="24"/>
        </w:rPr>
      </w:pPr>
      <w:r w:rsidRPr="00EB37A1">
        <w:rPr>
          <w:bCs/>
          <w:sz w:val="24"/>
          <w:szCs w:val="24"/>
        </w:rPr>
        <w:t>Office of Consumer Advocate</w:t>
      </w:r>
      <w:r w:rsidRPr="00EB37A1">
        <w:rPr>
          <w:bCs/>
          <w:sz w:val="24"/>
          <w:szCs w:val="24"/>
        </w:rPr>
        <w:tab/>
      </w:r>
      <w:r w:rsidRPr="00EB37A1">
        <w:rPr>
          <w:bCs/>
          <w:sz w:val="24"/>
          <w:szCs w:val="24"/>
        </w:rPr>
        <w:tab/>
      </w:r>
      <w:r w:rsidRPr="00EB37A1">
        <w:rPr>
          <w:bCs/>
          <w:sz w:val="24"/>
          <w:szCs w:val="24"/>
        </w:rPr>
        <w:tab/>
      </w:r>
      <w:r w:rsidRPr="00EB37A1">
        <w:rPr>
          <w:bCs/>
          <w:sz w:val="24"/>
          <w:szCs w:val="24"/>
        </w:rPr>
        <w:tab/>
        <w:t>:</w:t>
      </w:r>
    </w:p>
    <w:p w14:paraId="5A512080" w14:textId="77777777" w:rsidR="00B940A8" w:rsidRPr="00EB37A1" w:rsidRDefault="00B940A8" w:rsidP="00B940A8">
      <w:pPr>
        <w:widowControl w:val="0"/>
        <w:rPr>
          <w:bCs/>
          <w:sz w:val="24"/>
          <w:szCs w:val="24"/>
        </w:rPr>
      </w:pPr>
      <w:r w:rsidRPr="00EB37A1">
        <w:rPr>
          <w:bCs/>
          <w:sz w:val="24"/>
          <w:szCs w:val="24"/>
        </w:rPr>
        <w:tab/>
      </w:r>
      <w:r w:rsidRPr="00EB37A1">
        <w:rPr>
          <w:bCs/>
          <w:sz w:val="24"/>
          <w:szCs w:val="24"/>
        </w:rPr>
        <w:tab/>
        <w:t>v.</w:t>
      </w:r>
      <w:r w:rsidRPr="00EB37A1">
        <w:rPr>
          <w:bCs/>
          <w:sz w:val="24"/>
          <w:szCs w:val="24"/>
        </w:rPr>
        <w:tab/>
      </w:r>
      <w:r w:rsidRPr="00EB37A1">
        <w:rPr>
          <w:bCs/>
          <w:sz w:val="24"/>
          <w:szCs w:val="24"/>
        </w:rPr>
        <w:tab/>
      </w:r>
      <w:r w:rsidRPr="00EB37A1">
        <w:rPr>
          <w:bCs/>
          <w:sz w:val="24"/>
          <w:szCs w:val="24"/>
        </w:rPr>
        <w:tab/>
      </w:r>
      <w:r w:rsidRPr="00EB37A1">
        <w:rPr>
          <w:bCs/>
          <w:sz w:val="24"/>
          <w:szCs w:val="24"/>
        </w:rPr>
        <w:tab/>
      </w:r>
      <w:r w:rsidRPr="00EB37A1">
        <w:rPr>
          <w:bCs/>
          <w:sz w:val="24"/>
          <w:szCs w:val="24"/>
        </w:rPr>
        <w:tab/>
      </w:r>
      <w:r w:rsidRPr="00EB37A1">
        <w:rPr>
          <w:bCs/>
          <w:sz w:val="24"/>
          <w:szCs w:val="24"/>
        </w:rPr>
        <w:tab/>
        <w:t>:</w:t>
      </w:r>
    </w:p>
    <w:p w14:paraId="7558C2A3" w14:textId="77777777" w:rsidR="00B940A8" w:rsidRPr="00EB37A1" w:rsidRDefault="00B940A8" w:rsidP="00B940A8">
      <w:pPr>
        <w:widowControl w:val="0"/>
        <w:rPr>
          <w:bCs/>
          <w:sz w:val="24"/>
          <w:szCs w:val="24"/>
        </w:rPr>
      </w:pPr>
      <w:r w:rsidRPr="00EB37A1">
        <w:rPr>
          <w:bCs/>
          <w:sz w:val="24"/>
          <w:szCs w:val="24"/>
        </w:rPr>
        <w:t>The United Telephone Company of Pennsylvania LLC</w:t>
      </w:r>
      <w:r w:rsidRPr="00EB37A1">
        <w:rPr>
          <w:bCs/>
          <w:sz w:val="24"/>
          <w:szCs w:val="24"/>
        </w:rPr>
        <w:tab/>
        <w:t>:</w:t>
      </w:r>
      <w:r w:rsidRPr="00EB37A1">
        <w:rPr>
          <w:bCs/>
          <w:sz w:val="24"/>
          <w:szCs w:val="24"/>
        </w:rPr>
        <w:tab/>
        <w:t>C-2019-3012876</w:t>
      </w:r>
    </w:p>
    <w:p w14:paraId="692FD5E2" w14:textId="77777777" w:rsidR="00B940A8" w:rsidRPr="00EB37A1" w:rsidRDefault="00B940A8" w:rsidP="00B940A8">
      <w:pPr>
        <w:widowControl w:val="0"/>
        <w:rPr>
          <w:bCs/>
          <w:sz w:val="24"/>
          <w:szCs w:val="24"/>
        </w:rPr>
      </w:pPr>
      <w:r w:rsidRPr="00EB37A1">
        <w:rPr>
          <w:bCs/>
          <w:sz w:val="24"/>
          <w:szCs w:val="24"/>
        </w:rPr>
        <w:t>d/b/a CenturyLink</w:t>
      </w:r>
      <w:r w:rsidRPr="00EB37A1">
        <w:rPr>
          <w:bCs/>
          <w:sz w:val="24"/>
          <w:szCs w:val="24"/>
        </w:rPr>
        <w:tab/>
      </w:r>
      <w:r w:rsidRPr="00EB37A1">
        <w:rPr>
          <w:bCs/>
          <w:sz w:val="24"/>
          <w:szCs w:val="24"/>
        </w:rPr>
        <w:tab/>
      </w:r>
      <w:r w:rsidRPr="00EB37A1">
        <w:rPr>
          <w:bCs/>
          <w:sz w:val="24"/>
          <w:szCs w:val="24"/>
        </w:rPr>
        <w:tab/>
      </w:r>
      <w:r w:rsidRPr="00EB37A1">
        <w:rPr>
          <w:bCs/>
          <w:sz w:val="24"/>
          <w:szCs w:val="24"/>
        </w:rPr>
        <w:tab/>
      </w:r>
      <w:r w:rsidRPr="00EB37A1">
        <w:rPr>
          <w:bCs/>
          <w:sz w:val="24"/>
          <w:szCs w:val="24"/>
        </w:rPr>
        <w:tab/>
      </w:r>
      <w:r w:rsidRPr="00EB37A1">
        <w:rPr>
          <w:bCs/>
          <w:sz w:val="24"/>
          <w:szCs w:val="24"/>
        </w:rPr>
        <w:tab/>
        <w:t>:</w:t>
      </w:r>
    </w:p>
    <w:p w14:paraId="3D3ECCCA" w14:textId="5C1ABF09" w:rsidR="008755B1" w:rsidRPr="004D72DF" w:rsidRDefault="008755B1" w:rsidP="008755B1">
      <w:pPr>
        <w:jc w:val="both"/>
        <w:rPr>
          <w:sz w:val="24"/>
          <w:szCs w:val="24"/>
        </w:rPr>
      </w:pPr>
    </w:p>
    <w:p w14:paraId="2D43292A" w14:textId="091FAD6A" w:rsidR="0003534D" w:rsidRPr="004D72DF" w:rsidRDefault="0003534D" w:rsidP="003B5A2A">
      <w:pPr>
        <w:jc w:val="both"/>
        <w:rPr>
          <w:sz w:val="24"/>
          <w:szCs w:val="24"/>
        </w:rPr>
      </w:pPr>
    </w:p>
    <w:p w14:paraId="048F0A8D" w14:textId="77777777" w:rsidR="00FF7A45" w:rsidRPr="004D72DF" w:rsidRDefault="00FF7A45" w:rsidP="00533710">
      <w:pPr>
        <w:spacing w:line="360" w:lineRule="auto"/>
        <w:jc w:val="both"/>
        <w:rPr>
          <w:sz w:val="24"/>
          <w:szCs w:val="24"/>
        </w:rPr>
      </w:pPr>
    </w:p>
    <w:p w14:paraId="7E9471F9" w14:textId="77777777" w:rsidR="00FF7A45" w:rsidRPr="004D72DF" w:rsidRDefault="00A6070B" w:rsidP="00533710">
      <w:pPr>
        <w:spacing w:line="360" w:lineRule="auto"/>
        <w:jc w:val="center"/>
        <w:rPr>
          <w:b/>
          <w:sz w:val="24"/>
          <w:szCs w:val="24"/>
          <w:u w:val="single"/>
        </w:rPr>
      </w:pPr>
      <w:r w:rsidRPr="004D72DF">
        <w:rPr>
          <w:b/>
          <w:sz w:val="24"/>
          <w:szCs w:val="24"/>
          <w:u w:val="single"/>
        </w:rPr>
        <w:t>ORDER CONSOLIDATING PROCEEDINGS</w:t>
      </w:r>
    </w:p>
    <w:p w14:paraId="1FE56AD9" w14:textId="77777777" w:rsidR="00533710" w:rsidRPr="004D72DF" w:rsidRDefault="00533710" w:rsidP="00533710">
      <w:pPr>
        <w:spacing w:line="360" w:lineRule="auto"/>
        <w:ind w:firstLine="1440"/>
        <w:rPr>
          <w:sz w:val="24"/>
          <w:szCs w:val="24"/>
        </w:rPr>
      </w:pPr>
    </w:p>
    <w:p w14:paraId="28975D48" w14:textId="7007384F" w:rsidR="009C442E" w:rsidRDefault="00ED1655" w:rsidP="00ED1655">
      <w:pPr>
        <w:widowControl w:val="0"/>
        <w:spacing w:line="360" w:lineRule="auto"/>
        <w:rPr>
          <w:sz w:val="24"/>
          <w:szCs w:val="24"/>
        </w:rPr>
      </w:pPr>
      <w:r>
        <w:tab/>
      </w:r>
      <w:r>
        <w:tab/>
      </w:r>
      <w:r w:rsidRPr="00ED1655">
        <w:rPr>
          <w:sz w:val="24"/>
          <w:szCs w:val="24"/>
        </w:rPr>
        <w:t xml:space="preserve">On August 29, 2018, the </w:t>
      </w:r>
      <w:bookmarkStart w:id="2" w:name="_Hlk24977208"/>
      <w:r w:rsidRPr="00ED1655">
        <w:rPr>
          <w:bCs/>
          <w:sz w:val="24"/>
          <w:szCs w:val="24"/>
        </w:rPr>
        <w:t>United Telephone Company of Pennsylvania LLC d/b/a CenturyLink</w:t>
      </w:r>
      <w:bookmarkEnd w:id="2"/>
      <w:r w:rsidRPr="00ED1655">
        <w:rPr>
          <w:bCs/>
          <w:sz w:val="24"/>
          <w:szCs w:val="24"/>
        </w:rPr>
        <w:t xml:space="preserve"> (Company</w:t>
      </w:r>
      <w:r>
        <w:rPr>
          <w:bCs/>
          <w:sz w:val="24"/>
          <w:szCs w:val="24"/>
        </w:rPr>
        <w:t xml:space="preserve"> or CenturyLink</w:t>
      </w:r>
      <w:r w:rsidRPr="00ED1655">
        <w:rPr>
          <w:bCs/>
          <w:sz w:val="24"/>
          <w:szCs w:val="24"/>
        </w:rPr>
        <w:t>) filed its 2018 Annual Price Stability Index/Service Price Index Report</w:t>
      </w:r>
      <w:r w:rsidRPr="00ED1655">
        <w:rPr>
          <w:sz w:val="24"/>
          <w:szCs w:val="24"/>
        </w:rPr>
        <w:t xml:space="preserve"> (PSI/</w:t>
      </w:r>
      <w:smartTag w:uri="urn:schemas-microsoft-com:office:smarttags" w:element="stockticker">
        <w:r w:rsidRPr="00ED1655">
          <w:rPr>
            <w:sz w:val="24"/>
            <w:szCs w:val="24"/>
          </w:rPr>
          <w:t>SPI</w:t>
        </w:r>
      </w:smartTag>
      <w:r w:rsidRPr="00ED1655">
        <w:rPr>
          <w:sz w:val="24"/>
          <w:szCs w:val="24"/>
        </w:rPr>
        <w:t xml:space="preserve"> Report) with the Commission </w:t>
      </w:r>
      <w:r w:rsidR="009C442E" w:rsidRPr="009C442E">
        <w:rPr>
          <w:sz w:val="24"/>
          <w:szCs w:val="24"/>
        </w:rPr>
        <w:t>at Docket No. R-2018-3004019</w:t>
      </w:r>
      <w:r w:rsidR="009C442E">
        <w:rPr>
          <w:sz w:val="24"/>
          <w:szCs w:val="24"/>
        </w:rPr>
        <w:t xml:space="preserve"> </w:t>
      </w:r>
      <w:r w:rsidR="009C442E" w:rsidRPr="009C442E">
        <w:rPr>
          <w:sz w:val="24"/>
          <w:szCs w:val="24"/>
        </w:rPr>
        <w:t xml:space="preserve">under the provisions of Act 183 of 2004, P.L. 1398 (66 Pa. C.S. §§ 3011 3019) (Chapter 30) pursuant to the Company’s Amended Alternative Regulation and Network Modernization Plan (Chapter 30 Plan) </w:t>
      </w:r>
      <w:r w:rsidR="009C442E">
        <w:rPr>
          <w:sz w:val="24"/>
          <w:szCs w:val="24"/>
        </w:rPr>
        <w:t>which was approved by the</w:t>
      </w:r>
      <w:r w:rsidR="009C442E" w:rsidRPr="009C442E">
        <w:rPr>
          <w:sz w:val="24"/>
          <w:szCs w:val="24"/>
        </w:rPr>
        <w:t xml:space="preserve"> Commission at Docket No. P-00981410F1000.</w:t>
      </w:r>
      <w:r w:rsidR="009C442E">
        <w:rPr>
          <w:sz w:val="24"/>
          <w:szCs w:val="24"/>
        </w:rPr>
        <w:t xml:space="preserve">  A</w:t>
      </w:r>
      <w:r w:rsidRPr="00ED1655">
        <w:rPr>
          <w:sz w:val="24"/>
          <w:szCs w:val="24"/>
        </w:rPr>
        <w:t xml:space="preserve"> copy of its PSI/SPI Report </w:t>
      </w:r>
      <w:r w:rsidR="009C442E">
        <w:rPr>
          <w:sz w:val="24"/>
          <w:szCs w:val="24"/>
        </w:rPr>
        <w:t xml:space="preserve">was served </w:t>
      </w:r>
      <w:r w:rsidRPr="00ED1655">
        <w:rPr>
          <w:sz w:val="24"/>
          <w:szCs w:val="24"/>
        </w:rPr>
        <w:t>on the Office of Small Business Advocate (OSBA), the Office of Consumer Advocate (OCA) and the Bureau of Investigation and Enforcement</w:t>
      </w:r>
      <w:r>
        <w:rPr>
          <w:sz w:val="24"/>
          <w:szCs w:val="24"/>
        </w:rPr>
        <w:t xml:space="preserve"> (I&amp;E)</w:t>
      </w:r>
      <w:r w:rsidRPr="00ED1655">
        <w:rPr>
          <w:sz w:val="24"/>
          <w:szCs w:val="24"/>
        </w:rPr>
        <w:t>.</w:t>
      </w:r>
    </w:p>
    <w:p w14:paraId="71DED975" w14:textId="77777777" w:rsidR="009C442E" w:rsidRDefault="009C442E" w:rsidP="00ED1655">
      <w:pPr>
        <w:widowControl w:val="0"/>
        <w:spacing w:line="360" w:lineRule="auto"/>
        <w:rPr>
          <w:sz w:val="24"/>
          <w:szCs w:val="24"/>
        </w:rPr>
      </w:pPr>
    </w:p>
    <w:p w14:paraId="44E83CE1" w14:textId="7ABA87DD" w:rsidR="009C442E" w:rsidRDefault="009C442E" w:rsidP="009C442E">
      <w:pPr>
        <w:widowControl w:val="0"/>
        <w:spacing w:line="360" w:lineRule="auto"/>
        <w:rPr>
          <w:sz w:val="24"/>
          <w:szCs w:val="24"/>
        </w:rPr>
      </w:pPr>
      <w:r>
        <w:rPr>
          <w:sz w:val="24"/>
          <w:szCs w:val="24"/>
        </w:rPr>
        <w:lastRenderedPageBreak/>
        <w:tab/>
      </w:r>
      <w:r>
        <w:rPr>
          <w:sz w:val="24"/>
          <w:szCs w:val="24"/>
        </w:rPr>
        <w:tab/>
      </w:r>
      <w:r w:rsidRPr="009C442E">
        <w:rPr>
          <w:sz w:val="24"/>
          <w:szCs w:val="24"/>
        </w:rPr>
        <w:t xml:space="preserve">On September 12, 2018, the Company, OCA and OSBA (collectively parties) filed a Joint Procedural Stipulation regarding CenturyLink’s 2018 PSI/SPI Report. The parties stipulated, </w:t>
      </w:r>
      <w:r w:rsidRPr="009C442E">
        <w:rPr>
          <w:i/>
          <w:iCs/>
          <w:sz w:val="24"/>
          <w:szCs w:val="24"/>
        </w:rPr>
        <w:t>inter alia</w:t>
      </w:r>
      <w:r w:rsidRPr="009C442E">
        <w:rPr>
          <w:sz w:val="24"/>
          <w:szCs w:val="24"/>
        </w:rPr>
        <w:t>, that the filing of any OCA or OSBA formal complaint regarding CenturyLink’s 2018 PSI/SPI Report would be held in abeyance for a period of 30 days pending Commission action on an August 24, 2018 Petition to Rescind and Discontinue the Temporary Stay (Petition to Rescind) filed by a group of rural Incumbent Local Exchange Carriers (ILECs) following the Commission’s issuance of a Secretarial Letter on August 9, 2018, in its investigation to determine the effects of the federal Tax Cuts and Jobs Act of 2017 (TCJA)  on Pennsylvania ILECs for 2018 and future years  and/or until such other time as the parties mutually agree.  Additionally, the OCA and OSBA agreed not to oppose any action by the Commission to accept CenturyLink’s 2018 PSI/SPI Report as being procedurally consistent with its Chapter 30 Plan and to permit it to go into effect subject to any adjudication of any formal complaints or interventions filed by OSBA and/or OCA.</w:t>
      </w:r>
    </w:p>
    <w:p w14:paraId="11A5273A" w14:textId="77777777" w:rsidR="009C442E" w:rsidRPr="009C442E" w:rsidRDefault="009C442E" w:rsidP="009C442E">
      <w:pPr>
        <w:widowControl w:val="0"/>
        <w:spacing w:line="360" w:lineRule="auto"/>
        <w:rPr>
          <w:sz w:val="24"/>
          <w:szCs w:val="24"/>
        </w:rPr>
      </w:pPr>
    </w:p>
    <w:p w14:paraId="5C252153" w14:textId="77777777" w:rsidR="009C442E" w:rsidRDefault="009C442E" w:rsidP="009C442E">
      <w:pPr>
        <w:widowControl w:val="0"/>
        <w:spacing w:line="360" w:lineRule="auto"/>
        <w:rPr>
          <w:sz w:val="24"/>
          <w:szCs w:val="24"/>
        </w:rPr>
      </w:pPr>
      <w:r>
        <w:rPr>
          <w:sz w:val="24"/>
          <w:szCs w:val="24"/>
        </w:rPr>
        <w:tab/>
      </w:r>
      <w:r>
        <w:rPr>
          <w:sz w:val="24"/>
          <w:szCs w:val="24"/>
        </w:rPr>
        <w:tab/>
      </w:r>
      <w:r w:rsidRPr="009C442E">
        <w:rPr>
          <w:sz w:val="24"/>
          <w:szCs w:val="24"/>
        </w:rPr>
        <w:t>On October 12, 2018, the OSBA filed a Notice of Intervention in this proceeding.   The OSBA state</w:t>
      </w:r>
      <w:r>
        <w:rPr>
          <w:sz w:val="24"/>
          <w:szCs w:val="24"/>
        </w:rPr>
        <w:t>d</w:t>
      </w:r>
      <w:r w:rsidRPr="009C442E">
        <w:rPr>
          <w:sz w:val="24"/>
          <w:szCs w:val="24"/>
        </w:rPr>
        <w:t xml:space="preserve"> that its intervention </w:t>
      </w:r>
      <w:r>
        <w:rPr>
          <w:sz w:val="24"/>
          <w:szCs w:val="24"/>
        </w:rPr>
        <w:t>was</w:t>
      </w:r>
      <w:r w:rsidRPr="009C442E">
        <w:rPr>
          <w:sz w:val="24"/>
          <w:szCs w:val="24"/>
        </w:rPr>
        <w:t xml:space="preserve"> necessary to protect the interests of the Company’s small business customers.  OSBA requests that the Commission direct the Office of Administrative Law Judge to hold hearings on the Company’s 2018 PSI/SPI Report and prepare an initial decision.  The OSBA contend</w:t>
      </w:r>
      <w:r>
        <w:rPr>
          <w:sz w:val="24"/>
          <w:szCs w:val="24"/>
        </w:rPr>
        <w:t>ed</w:t>
      </w:r>
      <w:r w:rsidRPr="009C442E">
        <w:rPr>
          <w:sz w:val="24"/>
          <w:szCs w:val="24"/>
        </w:rPr>
        <w:t xml:space="preserve"> that a thorough inquiry by the Commission into all elements of the Company’s 2018 PSI/SPI Report </w:t>
      </w:r>
      <w:r>
        <w:rPr>
          <w:sz w:val="24"/>
          <w:szCs w:val="24"/>
        </w:rPr>
        <w:t>was</w:t>
      </w:r>
      <w:r w:rsidRPr="009C442E">
        <w:rPr>
          <w:sz w:val="24"/>
          <w:szCs w:val="24"/>
        </w:rPr>
        <w:t xml:space="preserve"> necessary to ensure that the resulting rates </w:t>
      </w:r>
      <w:r>
        <w:rPr>
          <w:sz w:val="24"/>
          <w:szCs w:val="24"/>
        </w:rPr>
        <w:t>were</w:t>
      </w:r>
      <w:r w:rsidRPr="009C442E">
        <w:rPr>
          <w:sz w:val="24"/>
          <w:szCs w:val="24"/>
        </w:rPr>
        <w:t xml:space="preserve"> lawful, just, reasonable, nondiscriminatory and have accounted for all exogenous events.</w:t>
      </w:r>
    </w:p>
    <w:p w14:paraId="1C7457CF" w14:textId="6863EA6C" w:rsidR="009C442E" w:rsidRPr="009C442E" w:rsidRDefault="009C442E" w:rsidP="009C442E">
      <w:pPr>
        <w:widowControl w:val="0"/>
        <w:spacing w:line="360" w:lineRule="auto"/>
        <w:rPr>
          <w:sz w:val="24"/>
          <w:szCs w:val="24"/>
        </w:rPr>
      </w:pPr>
      <w:r w:rsidRPr="009C442E">
        <w:rPr>
          <w:sz w:val="24"/>
          <w:szCs w:val="24"/>
        </w:rPr>
        <w:t xml:space="preserve"> </w:t>
      </w:r>
    </w:p>
    <w:p w14:paraId="4517592C" w14:textId="657BB66D" w:rsidR="00C70D7D" w:rsidRPr="009C442E" w:rsidRDefault="009C442E" w:rsidP="009C442E">
      <w:pPr>
        <w:widowControl w:val="0"/>
        <w:spacing w:line="360" w:lineRule="auto"/>
        <w:rPr>
          <w:sz w:val="24"/>
          <w:szCs w:val="24"/>
        </w:rPr>
      </w:pPr>
      <w:r>
        <w:rPr>
          <w:sz w:val="24"/>
          <w:szCs w:val="24"/>
        </w:rPr>
        <w:tab/>
      </w:r>
      <w:r>
        <w:rPr>
          <w:sz w:val="24"/>
          <w:szCs w:val="24"/>
        </w:rPr>
        <w:tab/>
      </w:r>
      <w:r w:rsidRPr="009C442E">
        <w:rPr>
          <w:sz w:val="24"/>
          <w:szCs w:val="24"/>
        </w:rPr>
        <w:t>On October 15, 2018, the OCA filed a Formal Complaint at Docket No. C</w:t>
      </w:r>
      <w:r>
        <w:rPr>
          <w:sz w:val="24"/>
          <w:szCs w:val="24"/>
        </w:rPr>
        <w:t>-</w:t>
      </w:r>
      <w:r w:rsidRPr="009C442E">
        <w:rPr>
          <w:sz w:val="24"/>
          <w:szCs w:val="24"/>
        </w:rPr>
        <w:t>2018</w:t>
      </w:r>
      <w:r>
        <w:rPr>
          <w:sz w:val="24"/>
          <w:szCs w:val="24"/>
        </w:rPr>
        <w:t>-</w:t>
      </w:r>
      <w:r w:rsidRPr="009C442E">
        <w:rPr>
          <w:sz w:val="24"/>
          <w:szCs w:val="24"/>
        </w:rPr>
        <w:t>3005400.  The OCA contend</w:t>
      </w:r>
      <w:r>
        <w:rPr>
          <w:sz w:val="24"/>
          <w:szCs w:val="24"/>
        </w:rPr>
        <w:t>ed</w:t>
      </w:r>
      <w:r w:rsidRPr="009C442E">
        <w:rPr>
          <w:sz w:val="24"/>
          <w:szCs w:val="24"/>
        </w:rPr>
        <w:t xml:space="preserve">, </w:t>
      </w:r>
      <w:r w:rsidRPr="009C442E">
        <w:rPr>
          <w:i/>
          <w:iCs/>
          <w:sz w:val="24"/>
          <w:szCs w:val="24"/>
        </w:rPr>
        <w:t>inter alia</w:t>
      </w:r>
      <w:r w:rsidRPr="009C442E">
        <w:rPr>
          <w:sz w:val="24"/>
          <w:szCs w:val="24"/>
        </w:rPr>
        <w:t>, that the TCJA may qualify as an exogenous event under the Company’s Chapter 30 Plan requiring an adjustment to the Company’s Price Stability Mechanism formula.  The OCA allege</w:t>
      </w:r>
      <w:r>
        <w:rPr>
          <w:sz w:val="24"/>
          <w:szCs w:val="24"/>
        </w:rPr>
        <w:t>d</w:t>
      </w:r>
      <w:r w:rsidRPr="009C442E">
        <w:rPr>
          <w:sz w:val="24"/>
          <w:szCs w:val="24"/>
        </w:rPr>
        <w:t xml:space="preserve"> that the omission of an adjustment may result in an overstated maximum allowed noncompetitive revenue increase amount, an overstated cumulative banked revenue amount, the cross subsidization of competitive services and the Company’s rates for noncompetitive services being unjust and unreasonable.</w:t>
      </w:r>
    </w:p>
    <w:p w14:paraId="20867080" w14:textId="60FB1A20" w:rsidR="009C442E" w:rsidRDefault="009C442E" w:rsidP="009C442E">
      <w:pPr>
        <w:widowControl w:val="0"/>
        <w:spacing w:line="360" w:lineRule="auto"/>
        <w:rPr>
          <w:sz w:val="24"/>
          <w:szCs w:val="24"/>
        </w:rPr>
      </w:pPr>
      <w:r>
        <w:rPr>
          <w:sz w:val="24"/>
          <w:szCs w:val="24"/>
        </w:rPr>
        <w:tab/>
      </w:r>
      <w:r>
        <w:rPr>
          <w:sz w:val="24"/>
          <w:szCs w:val="24"/>
        </w:rPr>
        <w:tab/>
      </w:r>
      <w:r w:rsidRPr="009C442E">
        <w:rPr>
          <w:sz w:val="24"/>
          <w:szCs w:val="24"/>
        </w:rPr>
        <w:t xml:space="preserve">On October 19, 2018, the parties filed a Joint Procedural Stipulation for Stay regarding this proceeding and the OCA’s Formal Complaint.  In that filing, the parties stipulated </w:t>
      </w:r>
      <w:r w:rsidRPr="009C442E">
        <w:rPr>
          <w:sz w:val="24"/>
          <w:szCs w:val="24"/>
        </w:rPr>
        <w:lastRenderedPageBreak/>
        <w:t xml:space="preserve">and agreed, </w:t>
      </w:r>
      <w:r w:rsidRPr="009C442E">
        <w:rPr>
          <w:i/>
          <w:iCs/>
          <w:sz w:val="24"/>
          <w:szCs w:val="24"/>
        </w:rPr>
        <w:t>inter alia</w:t>
      </w:r>
      <w:r w:rsidRPr="009C442E">
        <w:rPr>
          <w:sz w:val="24"/>
          <w:szCs w:val="24"/>
        </w:rPr>
        <w:t>, that the adjudication of and any answer or responsive pleading to OCA’s Formal Complaint and OSBA’s Notice of Intervention be stayed until the Petition to Rescind or the matters at Docket No. M-2018-2651242 were resolved by the Commission.  Further, OCA and OSBA again agreed that they would not oppose any action by the Commission to accept CenturyLink’s 2018 PSI/SPI Report as being procedurally consistent with its Chapter 30 Plan and to permit it to go into effect subject to the adjudication of OCA’s Formal Complaint and OSBA’s Notice of Intervention.</w:t>
      </w:r>
    </w:p>
    <w:p w14:paraId="1C262CBF" w14:textId="77777777" w:rsidR="00190430" w:rsidRPr="009C442E" w:rsidRDefault="00190430" w:rsidP="009C442E">
      <w:pPr>
        <w:widowControl w:val="0"/>
        <w:spacing w:line="360" w:lineRule="auto"/>
        <w:rPr>
          <w:sz w:val="24"/>
          <w:szCs w:val="24"/>
        </w:rPr>
      </w:pPr>
    </w:p>
    <w:p w14:paraId="40C3989F" w14:textId="6FF14601" w:rsidR="00E149DB" w:rsidRPr="00ED1655" w:rsidRDefault="00190430" w:rsidP="009C442E">
      <w:pPr>
        <w:widowControl w:val="0"/>
        <w:spacing w:line="360" w:lineRule="auto"/>
        <w:rPr>
          <w:sz w:val="24"/>
          <w:szCs w:val="24"/>
        </w:rPr>
      </w:pPr>
      <w:r>
        <w:rPr>
          <w:sz w:val="24"/>
          <w:szCs w:val="24"/>
        </w:rPr>
        <w:tab/>
      </w:r>
      <w:r>
        <w:rPr>
          <w:sz w:val="24"/>
          <w:szCs w:val="24"/>
        </w:rPr>
        <w:tab/>
      </w:r>
      <w:r w:rsidR="009C442E" w:rsidRPr="009C442E">
        <w:rPr>
          <w:sz w:val="24"/>
          <w:szCs w:val="24"/>
        </w:rPr>
        <w:t>By Order entered October 25, 2018, the Commission denied the Petition to Rescind.</w:t>
      </w:r>
      <w:r>
        <w:rPr>
          <w:sz w:val="24"/>
          <w:szCs w:val="24"/>
        </w:rPr>
        <w:t xml:space="preserve">  On November 8, 2018 the Commission entered an order directing t</w:t>
      </w:r>
      <w:r w:rsidRPr="00190430">
        <w:rPr>
          <w:sz w:val="24"/>
          <w:szCs w:val="24"/>
        </w:rPr>
        <w:t xml:space="preserve">hat </w:t>
      </w:r>
      <w:r w:rsidR="00933F97">
        <w:rPr>
          <w:sz w:val="24"/>
          <w:szCs w:val="24"/>
        </w:rPr>
        <w:t>this matter</w:t>
      </w:r>
      <w:r w:rsidRPr="00190430">
        <w:rPr>
          <w:sz w:val="24"/>
          <w:szCs w:val="24"/>
        </w:rPr>
        <w:t xml:space="preserve"> be assigned to the Office of Administrative Law Judge for adjudication of the Formal Complaint of the Office of Consumer Advocate, the issuance of a corresponding recommended decision and for the consideration of any potential rate effects and accounting adjustments that may be or are subject to appropriate rate refunds.</w:t>
      </w:r>
      <w:r>
        <w:rPr>
          <w:sz w:val="24"/>
          <w:szCs w:val="24"/>
        </w:rPr>
        <w:t xml:space="preserve"> </w:t>
      </w:r>
      <w:r w:rsidR="009C442E" w:rsidRPr="009C442E">
        <w:rPr>
          <w:sz w:val="24"/>
          <w:szCs w:val="24"/>
        </w:rPr>
        <w:t xml:space="preserve"> </w:t>
      </w:r>
      <w:r w:rsidR="00ED1655" w:rsidRPr="00ED1655">
        <w:rPr>
          <w:sz w:val="24"/>
          <w:szCs w:val="24"/>
        </w:rPr>
        <w:t xml:space="preserve"> </w:t>
      </w:r>
    </w:p>
    <w:p w14:paraId="03BA88EB" w14:textId="2623516D" w:rsidR="00ED1655" w:rsidRPr="00ED1655" w:rsidRDefault="00ED1655" w:rsidP="00B74313">
      <w:pPr>
        <w:widowControl w:val="0"/>
        <w:spacing w:line="360" w:lineRule="auto"/>
        <w:rPr>
          <w:sz w:val="24"/>
          <w:szCs w:val="24"/>
        </w:rPr>
      </w:pPr>
    </w:p>
    <w:p w14:paraId="33F782F6" w14:textId="2BC4C660" w:rsidR="00ED1655" w:rsidRDefault="00B74313" w:rsidP="00B74313">
      <w:pPr>
        <w:widowControl w:val="0"/>
        <w:spacing w:line="360" w:lineRule="auto"/>
        <w:rPr>
          <w:bCs/>
          <w:sz w:val="24"/>
          <w:szCs w:val="24"/>
        </w:rPr>
      </w:pPr>
      <w:r>
        <w:rPr>
          <w:bCs/>
          <w:sz w:val="24"/>
          <w:szCs w:val="24"/>
        </w:rPr>
        <w:tab/>
      </w:r>
      <w:r>
        <w:rPr>
          <w:bCs/>
          <w:sz w:val="24"/>
          <w:szCs w:val="24"/>
        </w:rPr>
        <w:tab/>
        <w:t>This matter was scheduled for a prehearing conference on January 24, 2019.  The parties however requested that the prehearing conference be rescheduled as they wished to await the Company’s various tax filings which would occur later in 2019.</w:t>
      </w:r>
      <w:r>
        <w:rPr>
          <w:rStyle w:val="FootnoteReference"/>
          <w:bCs/>
          <w:sz w:val="24"/>
          <w:szCs w:val="24"/>
        </w:rPr>
        <w:footnoteReference w:id="1"/>
      </w:r>
      <w:r>
        <w:rPr>
          <w:bCs/>
          <w:sz w:val="24"/>
          <w:szCs w:val="24"/>
        </w:rPr>
        <w:t xml:space="preserve">  This matter is currently awaiting the scheduling of a prehearing conference as the parties continue to asses</w:t>
      </w:r>
      <w:r w:rsidR="00C70D7D">
        <w:rPr>
          <w:bCs/>
          <w:sz w:val="24"/>
          <w:szCs w:val="24"/>
        </w:rPr>
        <w:t>s</w:t>
      </w:r>
      <w:r>
        <w:rPr>
          <w:bCs/>
          <w:sz w:val="24"/>
          <w:szCs w:val="24"/>
        </w:rPr>
        <w:t xml:space="preserve"> their positions in conjunction with the Company’s tax filings and determine whether they may be in a position to </w:t>
      </w:r>
      <w:r w:rsidR="009B7D47">
        <w:rPr>
          <w:bCs/>
          <w:sz w:val="24"/>
          <w:szCs w:val="24"/>
        </w:rPr>
        <w:t>reach a settlement.</w:t>
      </w:r>
    </w:p>
    <w:p w14:paraId="7B85C697" w14:textId="3F3A9736" w:rsidR="009B7D47" w:rsidRDefault="009B7D47" w:rsidP="00B74313">
      <w:pPr>
        <w:widowControl w:val="0"/>
        <w:spacing w:line="360" w:lineRule="auto"/>
        <w:rPr>
          <w:bCs/>
          <w:sz w:val="24"/>
          <w:szCs w:val="24"/>
        </w:rPr>
      </w:pPr>
    </w:p>
    <w:p w14:paraId="21A060E1" w14:textId="77777777" w:rsidR="009B7D47" w:rsidRDefault="009B7D47" w:rsidP="009B7D47">
      <w:pPr>
        <w:spacing w:after="240" w:line="360" w:lineRule="auto"/>
        <w:ind w:firstLine="720"/>
        <w:rPr>
          <w:sz w:val="24"/>
          <w:szCs w:val="24"/>
        </w:rPr>
      </w:pPr>
      <w:r>
        <w:rPr>
          <w:bCs/>
          <w:sz w:val="24"/>
          <w:szCs w:val="24"/>
        </w:rPr>
        <w:tab/>
      </w:r>
      <w:r w:rsidRPr="009B7D47">
        <w:rPr>
          <w:sz w:val="24"/>
          <w:szCs w:val="24"/>
        </w:rPr>
        <w:t>On August 30, 2019, the Company filed its annual PSI/</w:t>
      </w:r>
      <w:smartTag w:uri="urn:schemas-microsoft-com:office:smarttags" w:element="stockticker">
        <w:r w:rsidRPr="009B7D47">
          <w:rPr>
            <w:sz w:val="24"/>
            <w:szCs w:val="24"/>
          </w:rPr>
          <w:t>SPI</w:t>
        </w:r>
      </w:smartTag>
      <w:r w:rsidRPr="009B7D47">
        <w:rPr>
          <w:sz w:val="24"/>
          <w:szCs w:val="24"/>
        </w:rPr>
        <w:t xml:space="preserve"> Report using the change in 2018 and 2019 1</w:t>
      </w:r>
      <w:r w:rsidRPr="009B7D47">
        <w:rPr>
          <w:sz w:val="24"/>
          <w:szCs w:val="24"/>
          <w:vertAlign w:val="superscript"/>
        </w:rPr>
        <w:t>st</w:t>
      </w:r>
      <w:r w:rsidRPr="009B7D47">
        <w:rPr>
          <w:sz w:val="24"/>
          <w:szCs w:val="24"/>
        </w:rPr>
        <w:t xml:space="preserve"> </w:t>
      </w:r>
      <w:r w:rsidRPr="009B7D47">
        <w:rPr>
          <w:color w:val="000000"/>
          <w:sz w:val="24"/>
          <w:szCs w:val="24"/>
        </w:rPr>
        <w:t xml:space="preserve">quarter </w:t>
      </w:r>
      <w:smartTag w:uri="urn:schemas-microsoft-com:office:smarttags" w:element="stockticker">
        <w:r w:rsidRPr="009B7D47">
          <w:rPr>
            <w:color w:val="000000"/>
            <w:sz w:val="24"/>
            <w:szCs w:val="24"/>
          </w:rPr>
          <w:t>GDP</w:t>
        </w:r>
      </w:smartTag>
      <w:r w:rsidRPr="009B7D47">
        <w:rPr>
          <w:color w:val="000000"/>
          <w:sz w:val="24"/>
          <w:szCs w:val="24"/>
        </w:rPr>
        <w:t xml:space="preserve">-PI which was docketed at </w:t>
      </w:r>
      <w:r w:rsidRPr="009B7D47">
        <w:rPr>
          <w:bCs/>
          <w:sz w:val="24"/>
          <w:szCs w:val="24"/>
        </w:rPr>
        <w:t xml:space="preserve">R-2019-3012238.  </w:t>
      </w:r>
      <w:r w:rsidRPr="009B7D47">
        <w:rPr>
          <w:sz w:val="24"/>
          <w:szCs w:val="24"/>
        </w:rPr>
        <w:t>On August 30, 2019, the Company served a copy of its PSI/SPI Report on the Office of Small Business Advocate (OSBA), the Office of Consumer Advocate (OCA) and the Bureau of Investigation and Enforcement.</w:t>
      </w:r>
    </w:p>
    <w:p w14:paraId="74BFB7B7" w14:textId="393489A4" w:rsidR="00321B56" w:rsidRDefault="00321B56" w:rsidP="009B7D47">
      <w:pPr>
        <w:spacing w:line="360" w:lineRule="auto"/>
        <w:rPr>
          <w:sz w:val="24"/>
          <w:szCs w:val="24"/>
        </w:rPr>
      </w:pPr>
      <w:r>
        <w:rPr>
          <w:sz w:val="24"/>
          <w:szCs w:val="24"/>
        </w:rPr>
        <w:lastRenderedPageBreak/>
        <w:tab/>
      </w:r>
      <w:r>
        <w:rPr>
          <w:sz w:val="24"/>
          <w:szCs w:val="24"/>
        </w:rPr>
        <w:tab/>
      </w:r>
      <w:r w:rsidR="009B7D47" w:rsidRPr="009B7D47">
        <w:rPr>
          <w:sz w:val="24"/>
          <w:szCs w:val="24"/>
        </w:rPr>
        <w:t>On September 12, 2019, the OCA filed a Formal Complaint at Docket No. C</w:t>
      </w:r>
      <w:r w:rsidR="009B7D47" w:rsidRPr="009B7D47">
        <w:rPr>
          <w:sz w:val="24"/>
          <w:szCs w:val="24"/>
        </w:rPr>
        <w:noBreakHyphen/>
        <w:t>2019</w:t>
      </w:r>
      <w:r w:rsidR="009B7D47" w:rsidRPr="009B7D47">
        <w:rPr>
          <w:sz w:val="24"/>
          <w:szCs w:val="24"/>
        </w:rPr>
        <w:noBreakHyphen/>
        <w:t xml:space="preserve">3012876.  The OCA </w:t>
      </w:r>
      <w:r>
        <w:rPr>
          <w:sz w:val="24"/>
          <w:szCs w:val="24"/>
        </w:rPr>
        <w:t xml:space="preserve">again </w:t>
      </w:r>
      <w:r w:rsidR="009B7D47" w:rsidRPr="009B7D47">
        <w:rPr>
          <w:sz w:val="24"/>
          <w:szCs w:val="24"/>
        </w:rPr>
        <w:t>contend</w:t>
      </w:r>
      <w:r>
        <w:rPr>
          <w:sz w:val="24"/>
          <w:szCs w:val="24"/>
        </w:rPr>
        <w:t>ed</w:t>
      </w:r>
      <w:r w:rsidR="009B7D47" w:rsidRPr="009B7D47">
        <w:rPr>
          <w:i/>
          <w:sz w:val="24"/>
          <w:szCs w:val="24"/>
        </w:rPr>
        <w:t>, inter alia</w:t>
      </w:r>
      <w:r w:rsidR="009B7D47" w:rsidRPr="009B7D47">
        <w:rPr>
          <w:sz w:val="24"/>
          <w:szCs w:val="24"/>
        </w:rPr>
        <w:t>, that the federal TCJA may qualify as an exogenous event under the Company’s Chapter 30 Plan requiring an adjustment to the Company’s Price Stability Mechanism formula</w:t>
      </w:r>
      <w:r>
        <w:rPr>
          <w:sz w:val="24"/>
          <w:szCs w:val="24"/>
        </w:rPr>
        <w:t xml:space="preserve"> and </w:t>
      </w:r>
      <w:r w:rsidR="009B7D47" w:rsidRPr="009B7D47">
        <w:rPr>
          <w:sz w:val="24"/>
          <w:szCs w:val="24"/>
        </w:rPr>
        <w:t>that the omission of said adjustment may result in an overstated maximum allowed noncompetitive revenue increase amount, an overstated cumulative banked revenue amount, the cross-subsidization of competitive services and the Company’s rates for noncompetitive services being unjust and unreasonable.</w:t>
      </w:r>
    </w:p>
    <w:p w14:paraId="4369BF6F" w14:textId="754F0D57" w:rsidR="009B7D47" w:rsidRPr="009B7D47" w:rsidRDefault="009B7D47" w:rsidP="009B7D47">
      <w:pPr>
        <w:spacing w:line="360" w:lineRule="auto"/>
        <w:rPr>
          <w:sz w:val="24"/>
          <w:szCs w:val="24"/>
        </w:rPr>
      </w:pPr>
      <w:r w:rsidRPr="009B7D47">
        <w:rPr>
          <w:sz w:val="24"/>
          <w:szCs w:val="24"/>
        </w:rPr>
        <w:t xml:space="preserve"> </w:t>
      </w:r>
    </w:p>
    <w:p w14:paraId="4AE1DA71" w14:textId="38E5AD78" w:rsidR="009B7D47" w:rsidRDefault="00321B56" w:rsidP="009B7D47">
      <w:pPr>
        <w:spacing w:line="360" w:lineRule="auto"/>
        <w:rPr>
          <w:sz w:val="24"/>
          <w:szCs w:val="24"/>
        </w:rPr>
      </w:pPr>
      <w:r>
        <w:rPr>
          <w:sz w:val="24"/>
          <w:szCs w:val="24"/>
        </w:rPr>
        <w:tab/>
      </w:r>
      <w:r>
        <w:rPr>
          <w:sz w:val="24"/>
          <w:szCs w:val="24"/>
        </w:rPr>
        <w:tab/>
      </w:r>
      <w:r w:rsidR="009B7D47" w:rsidRPr="009B7D47">
        <w:rPr>
          <w:sz w:val="24"/>
          <w:szCs w:val="24"/>
        </w:rPr>
        <w:t>On September 30, 2019, CenturyLink submitted an Answer to the OCA’s Formal Complaint.</w:t>
      </w:r>
    </w:p>
    <w:p w14:paraId="5E3CBA0C" w14:textId="77777777" w:rsidR="00321B56" w:rsidRPr="009B7D47" w:rsidRDefault="00321B56" w:rsidP="009B7D47">
      <w:pPr>
        <w:spacing w:line="360" w:lineRule="auto"/>
        <w:rPr>
          <w:sz w:val="24"/>
          <w:szCs w:val="24"/>
        </w:rPr>
      </w:pPr>
    </w:p>
    <w:p w14:paraId="55860814" w14:textId="1ACC60DA" w:rsidR="009B7D47" w:rsidRPr="009B7D47" w:rsidRDefault="00321B56" w:rsidP="009B7D47">
      <w:pPr>
        <w:spacing w:line="360" w:lineRule="auto"/>
        <w:rPr>
          <w:sz w:val="24"/>
          <w:szCs w:val="24"/>
        </w:rPr>
      </w:pPr>
      <w:r>
        <w:rPr>
          <w:color w:val="000000" w:themeColor="text1"/>
          <w:sz w:val="24"/>
          <w:szCs w:val="24"/>
        </w:rPr>
        <w:tab/>
      </w:r>
      <w:r>
        <w:rPr>
          <w:color w:val="000000" w:themeColor="text1"/>
          <w:sz w:val="24"/>
          <w:szCs w:val="24"/>
        </w:rPr>
        <w:tab/>
      </w:r>
      <w:r w:rsidR="009B7D47" w:rsidRPr="009B7D47">
        <w:rPr>
          <w:color w:val="000000" w:themeColor="text1"/>
          <w:sz w:val="24"/>
          <w:szCs w:val="24"/>
        </w:rPr>
        <w:t xml:space="preserve">On October 2, 2019, the OSBA filed a Notice of Intervention in this proceeding. The OSBA </w:t>
      </w:r>
      <w:r>
        <w:rPr>
          <w:color w:val="000000" w:themeColor="text1"/>
          <w:sz w:val="24"/>
          <w:szCs w:val="24"/>
        </w:rPr>
        <w:t xml:space="preserve">again </w:t>
      </w:r>
      <w:r w:rsidR="009B7D47" w:rsidRPr="009B7D47">
        <w:rPr>
          <w:color w:val="000000" w:themeColor="text1"/>
          <w:sz w:val="24"/>
          <w:szCs w:val="24"/>
        </w:rPr>
        <w:t>state</w:t>
      </w:r>
      <w:r>
        <w:rPr>
          <w:color w:val="000000" w:themeColor="text1"/>
          <w:sz w:val="24"/>
          <w:szCs w:val="24"/>
        </w:rPr>
        <w:t>d</w:t>
      </w:r>
      <w:r w:rsidR="009B7D47" w:rsidRPr="009B7D47">
        <w:rPr>
          <w:color w:val="000000" w:themeColor="text1"/>
          <w:sz w:val="24"/>
          <w:szCs w:val="24"/>
        </w:rPr>
        <w:t xml:space="preserve"> that its intervention </w:t>
      </w:r>
      <w:r>
        <w:rPr>
          <w:color w:val="000000" w:themeColor="text1"/>
          <w:sz w:val="24"/>
          <w:szCs w:val="24"/>
        </w:rPr>
        <w:t>was</w:t>
      </w:r>
      <w:r w:rsidR="009B7D47" w:rsidRPr="009B7D47">
        <w:rPr>
          <w:color w:val="000000" w:themeColor="text1"/>
          <w:sz w:val="24"/>
          <w:szCs w:val="24"/>
        </w:rPr>
        <w:t xml:space="preserve"> necessary to protect the interests of the Company’s small business customers.  OSBA request</w:t>
      </w:r>
      <w:r>
        <w:rPr>
          <w:color w:val="000000" w:themeColor="text1"/>
          <w:sz w:val="24"/>
          <w:szCs w:val="24"/>
        </w:rPr>
        <w:t>ed</w:t>
      </w:r>
      <w:r w:rsidR="009B7D47" w:rsidRPr="009B7D47">
        <w:rPr>
          <w:color w:val="000000" w:themeColor="text1"/>
          <w:sz w:val="24"/>
          <w:szCs w:val="24"/>
        </w:rPr>
        <w:t xml:space="preserve"> that the Commission direct the Office of Administrative Law Judge to hold hearings on the Company’s 2019 PSI/SPI Report and prepare an initial decision.  The OSBA contend</w:t>
      </w:r>
      <w:r>
        <w:rPr>
          <w:color w:val="000000" w:themeColor="text1"/>
          <w:sz w:val="24"/>
          <w:szCs w:val="24"/>
        </w:rPr>
        <w:t>ed</w:t>
      </w:r>
      <w:r w:rsidR="009B7D47" w:rsidRPr="009B7D47">
        <w:rPr>
          <w:color w:val="000000" w:themeColor="text1"/>
          <w:sz w:val="24"/>
          <w:szCs w:val="24"/>
        </w:rPr>
        <w:t xml:space="preserve"> that a thorough inquiry by the Commission into all elements of the Company’s 2019 PSI/SPI Report </w:t>
      </w:r>
      <w:r>
        <w:rPr>
          <w:color w:val="000000" w:themeColor="text1"/>
          <w:sz w:val="24"/>
          <w:szCs w:val="24"/>
        </w:rPr>
        <w:t>wa</w:t>
      </w:r>
      <w:r w:rsidR="009B7D47" w:rsidRPr="009B7D47">
        <w:rPr>
          <w:color w:val="000000" w:themeColor="text1"/>
          <w:sz w:val="24"/>
          <w:szCs w:val="24"/>
        </w:rPr>
        <w:t xml:space="preserve">s necessary to ensure that the resulting rates are lawful, just, reasonable, nondiscriminatory and have </w:t>
      </w:r>
      <w:r w:rsidR="009B7D47" w:rsidRPr="009B7D47">
        <w:rPr>
          <w:sz w:val="24"/>
          <w:szCs w:val="24"/>
        </w:rPr>
        <w:t>accounted</w:t>
      </w:r>
      <w:r w:rsidR="009B7D47" w:rsidRPr="009B7D47">
        <w:rPr>
          <w:color w:val="000000" w:themeColor="text1"/>
          <w:sz w:val="24"/>
          <w:szCs w:val="24"/>
        </w:rPr>
        <w:t xml:space="preserve"> for all exogenous events.</w:t>
      </w:r>
    </w:p>
    <w:p w14:paraId="45C7BE12" w14:textId="11F0B7BE" w:rsidR="009B7D47" w:rsidRPr="009B7D47" w:rsidRDefault="009B7D47" w:rsidP="00B74313">
      <w:pPr>
        <w:widowControl w:val="0"/>
        <w:spacing w:line="360" w:lineRule="auto"/>
        <w:rPr>
          <w:bCs/>
          <w:sz w:val="24"/>
          <w:szCs w:val="24"/>
        </w:rPr>
      </w:pPr>
    </w:p>
    <w:p w14:paraId="43B63E53" w14:textId="4E2CAFEE" w:rsidR="00B74313" w:rsidRDefault="00850C27" w:rsidP="00B74313">
      <w:pPr>
        <w:spacing w:line="360" w:lineRule="auto"/>
        <w:rPr>
          <w:sz w:val="24"/>
          <w:szCs w:val="24"/>
        </w:rPr>
      </w:pPr>
      <w:r>
        <w:rPr>
          <w:sz w:val="24"/>
          <w:szCs w:val="24"/>
        </w:rPr>
        <w:tab/>
      </w:r>
      <w:r>
        <w:rPr>
          <w:sz w:val="24"/>
          <w:szCs w:val="24"/>
        </w:rPr>
        <w:tab/>
        <w:t xml:space="preserve">The parties have requested that </w:t>
      </w:r>
      <w:proofErr w:type="gramStart"/>
      <w:r w:rsidR="004A4960">
        <w:rPr>
          <w:sz w:val="24"/>
          <w:szCs w:val="24"/>
        </w:rPr>
        <w:t>all of</w:t>
      </w:r>
      <w:proofErr w:type="gramEnd"/>
      <w:r w:rsidR="004A4960">
        <w:rPr>
          <w:sz w:val="24"/>
          <w:szCs w:val="24"/>
        </w:rPr>
        <w:t xml:space="preserve"> </w:t>
      </w:r>
      <w:r>
        <w:rPr>
          <w:sz w:val="24"/>
          <w:szCs w:val="24"/>
        </w:rPr>
        <w:t>the dockets relating to both the Company’s 2018 and 2019 filings be consolidated.</w:t>
      </w:r>
    </w:p>
    <w:p w14:paraId="2C54521A" w14:textId="77777777" w:rsidR="00B74313" w:rsidRPr="004D72DF" w:rsidRDefault="00B74313" w:rsidP="00FF7A45">
      <w:pPr>
        <w:spacing w:line="360" w:lineRule="auto"/>
        <w:ind w:firstLine="1440"/>
        <w:rPr>
          <w:sz w:val="24"/>
          <w:szCs w:val="24"/>
        </w:rPr>
      </w:pPr>
    </w:p>
    <w:p w14:paraId="67045237" w14:textId="77777777" w:rsidR="005573E7" w:rsidRPr="004D72DF" w:rsidRDefault="005573E7" w:rsidP="00FF7A45">
      <w:pPr>
        <w:spacing w:line="360" w:lineRule="auto"/>
        <w:ind w:firstLine="1440"/>
        <w:rPr>
          <w:sz w:val="24"/>
          <w:szCs w:val="24"/>
        </w:rPr>
      </w:pPr>
      <w:r w:rsidRPr="004D72DF">
        <w:rPr>
          <w:sz w:val="24"/>
          <w:szCs w:val="24"/>
        </w:rPr>
        <w:t xml:space="preserve">The Commission’s regulations pertaining to </w:t>
      </w:r>
      <w:r w:rsidR="00883EBB" w:rsidRPr="004D72DF">
        <w:rPr>
          <w:sz w:val="24"/>
          <w:szCs w:val="24"/>
        </w:rPr>
        <w:t>c</w:t>
      </w:r>
      <w:r w:rsidRPr="004D72DF">
        <w:rPr>
          <w:sz w:val="24"/>
          <w:szCs w:val="24"/>
        </w:rPr>
        <w:t>onsolidation appear at 52 Pa. Code § 5.81, and state in relevant part:</w:t>
      </w:r>
    </w:p>
    <w:p w14:paraId="2BD2F680" w14:textId="77777777" w:rsidR="00116B43" w:rsidRPr="004D72DF" w:rsidRDefault="00116B43" w:rsidP="00FF7A45">
      <w:pPr>
        <w:spacing w:line="360" w:lineRule="auto"/>
        <w:ind w:firstLine="1440"/>
        <w:rPr>
          <w:sz w:val="24"/>
          <w:szCs w:val="24"/>
        </w:rPr>
      </w:pPr>
    </w:p>
    <w:p w14:paraId="57476344" w14:textId="77777777" w:rsidR="00116B43" w:rsidRPr="004D72DF" w:rsidRDefault="00116B43" w:rsidP="00B20E68">
      <w:pPr>
        <w:ind w:left="720" w:firstLine="720"/>
        <w:rPr>
          <w:color w:val="000000"/>
          <w:sz w:val="24"/>
          <w:szCs w:val="24"/>
        </w:rPr>
      </w:pPr>
      <w:r w:rsidRPr="004D72DF">
        <w:rPr>
          <w:b/>
          <w:color w:val="000000"/>
          <w:sz w:val="24"/>
          <w:szCs w:val="24"/>
        </w:rPr>
        <w:t>§ 5.81. Consolidation</w:t>
      </w:r>
      <w:r w:rsidRPr="004D72DF">
        <w:rPr>
          <w:color w:val="000000"/>
          <w:sz w:val="24"/>
          <w:szCs w:val="24"/>
        </w:rPr>
        <w:t>.</w:t>
      </w:r>
    </w:p>
    <w:p w14:paraId="68B80E94" w14:textId="77777777" w:rsidR="00116B43" w:rsidRPr="004D72DF" w:rsidRDefault="00116B43" w:rsidP="00B20E68">
      <w:pPr>
        <w:ind w:left="1440"/>
        <w:rPr>
          <w:color w:val="000000"/>
          <w:sz w:val="24"/>
          <w:szCs w:val="24"/>
        </w:rPr>
      </w:pPr>
      <w:r w:rsidRPr="004D72DF">
        <w:rPr>
          <w:color w:val="000000"/>
          <w:sz w:val="24"/>
          <w:szCs w:val="24"/>
        </w:rPr>
        <w:br/>
      </w:r>
      <w:bookmarkStart w:id="3" w:name="IN;1"/>
      <w:bookmarkStart w:id="4" w:name="IN;2"/>
      <w:bookmarkEnd w:id="3"/>
      <w:bookmarkEnd w:id="4"/>
      <w:r w:rsidRPr="004D72DF">
        <w:rPr>
          <w:color w:val="000000"/>
          <w:sz w:val="24"/>
          <w:szCs w:val="24"/>
        </w:rPr>
        <w:t>(a) The Commission or presiding officer, with or without motion, may order proceedings involving a common question of law or fact to be consolidated. The Commission or presiding officer may make orders concerning the conduct of the proceeding as may avoid unnecessary costs or delay.</w:t>
      </w:r>
    </w:p>
    <w:p w14:paraId="78142CAA" w14:textId="77777777" w:rsidR="00FB10E3" w:rsidRPr="004D72DF" w:rsidRDefault="00FB10E3" w:rsidP="00FB10E3">
      <w:pPr>
        <w:spacing w:line="360" w:lineRule="auto"/>
        <w:ind w:left="1440"/>
        <w:rPr>
          <w:color w:val="000000"/>
          <w:sz w:val="24"/>
          <w:szCs w:val="24"/>
        </w:rPr>
      </w:pPr>
    </w:p>
    <w:p w14:paraId="39025AFD" w14:textId="77777777" w:rsidR="00173C54" w:rsidRPr="004D72DF" w:rsidRDefault="005F6906" w:rsidP="00FB10E3">
      <w:pPr>
        <w:spacing w:line="360" w:lineRule="auto"/>
        <w:ind w:firstLine="1440"/>
        <w:rPr>
          <w:color w:val="000000"/>
          <w:sz w:val="24"/>
          <w:szCs w:val="24"/>
        </w:rPr>
      </w:pPr>
      <w:r w:rsidRPr="004D72DF">
        <w:rPr>
          <w:color w:val="000000"/>
          <w:sz w:val="24"/>
          <w:szCs w:val="24"/>
        </w:rPr>
        <w:lastRenderedPageBreak/>
        <w:t>Whether to consolidate particular cases</w:t>
      </w:r>
      <w:r w:rsidR="00173C54" w:rsidRPr="004D72DF">
        <w:rPr>
          <w:color w:val="000000"/>
          <w:sz w:val="24"/>
          <w:szCs w:val="24"/>
        </w:rPr>
        <w:t xml:space="preserve"> is left to the sound discretion of the Commission or the presiding officer.</w:t>
      </w:r>
    </w:p>
    <w:p w14:paraId="2A695EAC" w14:textId="77777777" w:rsidR="00173C54" w:rsidRPr="004D72DF" w:rsidRDefault="00173C54" w:rsidP="00116B43">
      <w:pPr>
        <w:spacing w:line="360" w:lineRule="auto"/>
        <w:ind w:firstLine="1440"/>
        <w:rPr>
          <w:color w:val="000000"/>
          <w:sz w:val="24"/>
          <w:szCs w:val="24"/>
        </w:rPr>
      </w:pPr>
    </w:p>
    <w:p w14:paraId="2761C042" w14:textId="77777777" w:rsidR="00EE3455" w:rsidRPr="004D72DF" w:rsidRDefault="005F6906" w:rsidP="00116B43">
      <w:pPr>
        <w:spacing w:line="360" w:lineRule="auto"/>
        <w:ind w:firstLine="1440"/>
        <w:rPr>
          <w:color w:val="000000"/>
          <w:sz w:val="24"/>
          <w:szCs w:val="24"/>
        </w:rPr>
      </w:pPr>
      <w:r w:rsidRPr="004D72DF">
        <w:rPr>
          <w:color w:val="000000"/>
          <w:sz w:val="24"/>
          <w:szCs w:val="24"/>
        </w:rPr>
        <w:t xml:space="preserve">The Commission or presiding officer </w:t>
      </w:r>
      <w:r w:rsidR="00173C54" w:rsidRPr="004D72DF">
        <w:rPr>
          <w:color w:val="000000"/>
          <w:sz w:val="24"/>
          <w:szCs w:val="24"/>
        </w:rPr>
        <w:t xml:space="preserve">have </w:t>
      </w:r>
      <w:r w:rsidR="00EE3455" w:rsidRPr="004D72DF">
        <w:rPr>
          <w:color w:val="000000"/>
          <w:sz w:val="24"/>
          <w:szCs w:val="24"/>
        </w:rPr>
        <w:t xml:space="preserve">consolidated </w:t>
      </w:r>
      <w:r w:rsidRPr="004D72DF">
        <w:rPr>
          <w:color w:val="000000"/>
          <w:sz w:val="24"/>
          <w:szCs w:val="24"/>
        </w:rPr>
        <w:t xml:space="preserve">cases </w:t>
      </w:r>
      <w:r w:rsidR="00EE3455" w:rsidRPr="004D72DF">
        <w:rPr>
          <w:color w:val="000000"/>
          <w:sz w:val="24"/>
          <w:szCs w:val="24"/>
        </w:rPr>
        <w:t xml:space="preserve">for adjudication; </w:t>
      </w:r>
      <w:r w:rsidR="00EE3455" w:rsidRPr="004D72DF">
        <w:rPr>
          <w:color w:val="000000"/>
          <w:sz w:val="24"/>
          <w:szCs w:val="24"/>
          <w:u w:val="single"/>
        </w:rPr>
        <w:t>Re</w:t>
      </w:r>
      <w:r w:rsidR="005109EC" w:rsidRPr="004D72DF">
        <w:rPr>
          <w:color w:val="000000"/>
          <w:sz w:val="24"/>
          <w:szCs w:val="24"/>
          <w:u w:val="single"/>
        </w:rPr>
        <w:t>:</w:t>
      </w:r>
      <w:r w:rsidR="00EE3455" w:rsidRPr="004D72DF">
        <w:rPr>
          <w:color w:val="000000"/>
          <w:sz w:val="24"/>
          <w:szCs w:val="24"/>
          <w:u w:val="single"/>
        </w:rPr>
        <w:t xml:space="preserve"> Middletown </w:t>
      </w:r>
      <w:r w:rsidR="00855529" w:rsidRPr="004D72DF">
        <w:rPr>
          <w:color w:val="000000"/>
          <w:sz w:val="24"/>
          <w:szCs w:val="24"/>
          <w:u w:val="single"/>
        </w:rPr>
        <w:t>T</w:t>
      </w:r>
      <w:r w:rsidR="00EE3455" w:rsidRPr="004D72DF">
        <w:rPr>
          <w:color w:val="000000"/>
          <w:sz w:val="24"/>
          <w:szCs w:val="24"/>
          <w:u w:val="single"/>
        </w:rPr>
        <w:t>axi Company</w:t>
      </w:r>
      <w:r w:rsidR="00EE3455" w:rsidRPr="004D72DF">
        <w:rPr>
          <w:color w:val="000000"/>
          <w:sz w:val="24"/>
          <w:szCs w:val="24"/>
        </w:rPr>
        <w:t>, 50 P</w:t>
      </w:r>
      <w:r w:rsidR="00925C70">
        <w:rPr>
          <w:color w:val="000000"/>
          <w:sz w:val="24"/>
          <w:szCs w:val="24"/>
        </w:rPr>
        <w:t>a.</w:t>
      </w:r>
      <w:r w:rsidR="00EE3455" w:rsidRPr="004D72DF">
        <w:rPr>
          <w:color w:val="000000"/>
          <w:sz w:val="24"/>
          <w:szCs w:val="24"/>
        </w:rPr>
        <w:t xml:space="preserve"> PUC 263 (1976), for hearing; </w:t>
      </w:r>
      <w:r w:rsidR="00EE3455" w:rsidRPr="004D72DF">
        <w:rPr>
          <w:color w:val="000000"/>
          <w:sz w:val="24"/>
          <w:szCs w:val="24"/>
          <w:u w:val="single"/>
        </w:rPr>
        <w:t xml:space="preserve">City of York v. York </w:t>
      </w:r>
      <w:r w:rsidR="00855529" w:rsidRPr="004D72DF">
        <w:rPr>
          <w:color w:val="000000"/>
          <w:sz w:val="24"/>
          <w:szCs w:val="24"/>
          <w:u w:val="single"/>
        </w:rPr>
        <w:t>T</w:t>
      </w:r>
      <w:r w:rsidR="00EE3455" w:rsidRPr="004D72DF">
        <w:rPr>
          <w:color w:val="000000"/>
          <w:sz w:val="24"/>
          <w:szCs w:val="24"/>
          <w:u w:val="single"/>
        </w:rPr>
        <w:t>elephone and Telegraph Co</w:t>
      </w:r>
      <w:r w:rsidR="00EE3455" w:rsidRPr="004D72DF">
        <w:rPr>
          <w:color w:val="000000"/>
          <w:sz w:val="24"/>
          <w:szCs w:val="24"/>
        </w:rPr>
        <w:t>., 43 Pa</w:t>
      </w:r>
      <w:r w:rsidR="00925C70">
        <w:rPr>
          <w:color w:val="000000"/>
          <w:sz w:val="24"/>
          <w:szCs w:val="24"/>
        </w:rPr>
        <w:t>.</w:t>
      </w:r>
      <w:r w:rsidR="00EE3455" w:rsidRPr="004D72DF">
        <w:rPr>
          <w:color w:val="000000"/>
          <w:sz w:val="24"/>
          <w:szCs w:val="24"/>
        </w:rPr>
        <w:t xml:space="preserve"> PUC 240 (1967), </w:t>
      </w:r>
      <w:r w:rsidR="005109EC" w:rsidRPr="004D72DF">
        <w:rPr>
          <w:color w:val="000000"/>
          <w:sz w:val="24"/>
          <w:szCs w:val="24"/>
        </w:rPr>
        <w:t xml:space="preserve">and </w:t>
      </w:r>
      <w:r w:rsidR="00EE3455" w:rsidRPr="004D72DF">
        <w:rPr>
          <w:color w:val="000000"/>
          <w:sz w:val="24"/>
          <w:szCs w:val="24"/>
        </w:rPr>
        <w:t xml:space="preserve">for briefing; </w:t>
      </w:r>
      <w:r w:rsidR="00EE3455" w:rsidRPr="004D72DF">
        <w:rPr>
          <w:color w:val="000000"/>
          <w:sz w:val="24"/>
          <w:szCs w:val="24"/>
          <w:u w:val="single"/>
        </w:rPr>
        <w:t xml:space="preserve">Clepper </w:t>
      </w:r>
      <w:r w:rsidR="00855529" w:rsidRPr="004D72DF">
        <w:rPr>
          <w:color w:val="000000"/>
          <w:sz w:val="24"/>
          <w:szCs w:val="24"/>
          <w:u w:val="single"/>
        </w:rPr>
        <w:t>F</w:t>
      </w:r>
      <w:r w:rsidR="00EE3455" w:rsidRPr="004D72DF">
        <w:rPr>
          <w:color w:val="000000"/>
          <w:sz w:val="24"/>
          <w:szCs w:val="24"/>
          <w:u w:val="single"/>
        </w:rPr>
        <w:t>arms, Inc. v. Grantham Water Co</w:t>
      </w:r>
      <w:r w:rsidR="00EE3455" w:rsidRPr="004D72DF">
        <w:rPr>
          <w:color w:val="000000"/>
          <w:sz w:val="24"/>
          <w:szCs w:val="24"/>
        </w:rPr>
        <w:t>., 41 Pa</w:t>
      </w:r>
      <w:r w:rsidR="00925C70">
        <w:rPr>
          <w:color w:val="000000"/>
          <w:sz w:val="24"/>
          <w:szCs w:val="24"/>
        </w:rPr>
        <w:t>.</w:t>
      </w:r>
      <w:r w:rsidR="00EE3455" w:rsidRPr="004D72DF">
        <w:rPr>
          <w:color w:val="000000"/>
          <w:sz w:val="24"/>
          <w:szCs w:val="24"/>
        </w:rPr>
        <w:t xml:space="preserve"> PUC 749 (1965)</w:t>
      </w:r>
      <w:r w:rsidR="00925C70">
        <w:rPr>
          <w:color w:val="000000"/>
          <w:sz w:val="24"/>
          <w:szCs w:val="24"/>
        </w:rPr>
        <w:t>.</w:t>
      </w:r>
      <w:r w:rsidR="00EE3455" w:rsidRPr="004D72DF">
        <w:rPr>
          <w:color w:val="000000"/>
          <w:sz w:val="24"/>
          <w:szCs w:val="24"/>
        </w:rPr>
        <w:t xml:space="preserve"> </w:t>
      </w:r>
      <w:r w:rsidR="00925C70">
        <w:rPr>
          <w:color w:val="000000"/>
          <w:sz w:val="24"/>
          <w:szCs w:val="24"/>
        </w:rPr>
        <w:t xml:space="preserve"> </w:t>
      </w:r>
      <w:r w:rsidR="005109EC" w:rsidRPr="004D72DF">
        <w:rPr>
          <w:color w:val="000000"/>
          <w:sz w:val="24"/>
          <w:szCs w:val="24"/>
        </w:rPr>
        <w:t xml:space="preserve">The Commission or presiding officer </w:t>
      </w:r>
      <w:r w:rsidR="00EE3455" w:rsidRPr="004D72DF">
        <w:rPr>
          <w:color w:val="000000"/>
          <w:sz w:val="24"/>
          <w:szCs w:val="24"/>
        </w:rPr>
        <w:t xml:space="preserve">have </w:t>
      </w:r>
      <w:r w:rsidR="005109EC" w:rsidRPr="004D72DF">
        <w:rPr>
          <w:color w:val="000000"/>
          <w:sz w:val="24"/>
          <w:szCs w:val="24"/>
        </w:rPr>
        <w:t>refused to consolidate cases for any purpose.</w:t>
      </w:r>
      <w:r w:rsidR="00EE3455" w:rsidRPr="004D72DF">
        <w:rPr>
          <w:color w:val="000000"/>
          <w:sz w:val="24"/>
          <w:szCs w:val="24"/>
        </w:rPr>
        <w:t xml:space="preserve"> </w:t>
      </w:r>
      <w:r w:rsidR="005109EC" w:rsidRPr="004D72DF">
        <w:rPr>
          <w:color w:val="000000"/>
          <w:sz w:val="24"/>
          <w:szCs w:val="24"/>
        </w:rPr>
        <w:t xml:space="preserve"> </w:t>
      </w:r>
      <w:r w:rsidR="00EE3455" w:rsidRPr="004D72DF">
        <w:rPr>
          <w:color w:val="000000"/>
          <w:sz w:val="24"/>
          <w:szCs w:val="24"/>
          <w:u w:val="single"/>
        </w:rPr>
        <w:t>Dopp v. Williamsburg Borough Dept. of Water and Sewer</w:t>
      </w:r>
      <w:r w:rsidR="00EE3455" w:rsidRPr="004D72DF">
        <w:rPr>
          <w:color w:val="000000"/>
          <w:sz w:val="24"/>
          <w:szCs w:val="24"/>
        </w:rPr>
        <w:t>, 59 Pa</w:t>
      </w:r>
      <w:r w:rsidR="00925C70">
        <w:rPr>
          <w:color w:val="000000"/>
          <w:sz w:val="24"/>
          <w:szCs w:val="24"/>
        </w:rPr>
        <w:t>.</w:t>
      </w:r>
      <w:r w:rsidR="00EE3455" w:rsidRPr="004D72DF">
        <w:rPr>
          <w:color w:val="000000"/>
          <w:sz w:val="24"/>
          <w:szCs w:val="24"/>
        </w:rPr>
        <w:t xml:space="preserve"> PUC 25 (1984).</w:t>
      </w:r>
    </w:p>
    <w:p w14:paraId="6C195A4C" w14:textId="77777777" w:rsidR="00EE3455" w:rsidRPr="004D72DF" w:rsidRDefault="00EE3455" w:rsidP="00116B43">
      <w:pPr>
        <w:spacing w:line="360" w:lineRule="auto"/>
        <w:ind w:firstLine="1440"/>
        <w:rPr>
          <w:color w:val="000000"/>
          <w:sz w:val="24"/>
          <w:szCs w:val="24"/>
        </w:rPr>
      </w:pPr>
    </w:p>
    <w:p w14:paraId="23AA09E6" w14:textId="77777777" w:rsidR="00EE3455" w:rsidRPr="004D72DF" w:rsidRDefault="00EE3455" w:rsidP="00116B43">
      <w:pPr>
        <w:spacing w:line="360" w:lineRule="auto"/>
        <w:ind w:firstLine="1440"/>
        <w:rPr>
          <w:color w:val="000000"/>
          <w:sz w:val="24"/>
          <w:szCs w:val="24"/>
        </w:rPr>
      </w:pPr>
      <w:r w:rsidRPr="004D72DF">
        <w:rPr>
          <w:color w:val="000000"/>
          <w:sz w:val="24"/>
          <w:szCs w:val="24"/>
        </w:rPr>
        <w:t xml:space="preserve">In </w:t>
      </w:r>
      <w:r w:rsidR="005109EC" w:rsidRPr="004D72DF">
        <w:rPr>
          <w:color w:val="000000"/>
          <w:sz w:val="24"/>
          <w:szCs w:val="24"/>
        </w:rPr>
        <w:t>deciding whether to consolidate certain cases, the Commission or presiding officer</w:t>
      </w:r>
      <w:r w:rsidR="00D7185A" w:rsidRPr="004D72DF">
        <w:rPr>
          <w:color w:val="000000"/>
          <w:sz w:val="24"/>
          <w:szCs w:val="24"/>
        </w:rPr>
        <w:t xml:space="preserve"> must first determine</w:t>
      </w:r>
      <w:r w:rsidRPr="004D72DF">
        <w:rPr>
          <w:color w:val="000000"/>
          <w:sz w:val="24"/>
          <w:szCs w:val="24"/>
        </w:rPr>
        <w:t xml:space="preserve"> that </w:t>
      </w:r>
      <w:r w:rsidR="00797810" w:rsidRPr="004D72DF">
        <w:rPr>
          <w:color w:val="000000"/>
          <w:sz w:val="24"/>
          <w:szCs w:val="24"/>
        </w:rPr>
        <w:t>the</w:t>
      </w:r>
      <w:r w:rsidRPr="004D72DF">
        <w:rPr>
          <w:color w:val="000000"/>
          <w:sz w:val="24"/>
          <w:szCs w:val="24"/>
        </w:rPr>
        <w:t xml:space="preserve"> proceedings involve a common question of law or fact. </w:t>
      </w:r>
      <w:r w:rsidR="002F2F6A" w:rsidRPr="004D72DF">
        <w:rPr>
          <w:color w:val="000000"/>
          <w:sz w:val="24"/>
          <w:szCs w:val="24"/>
        </w:rPr>
        <w:t xml:space="preserve"> </w:t>
      </w:r>
      <w:r w:rsidR="00D7185A" w:rsidRPr="004D72DF">
        <w:rPr>
          <w:color w:val="000000"/>
          <w:sz w:val="24"/>
          <w:szCs w:val="24"/>
        </w:rPr>
        <w:t>I</w:t>
      </w:r>
      <w:r w:rsidRPr="004D72DF">
        <w:rPr>
          <w:color w:val="000000"/>
          <w:sz w:val="24"/>
          <w:szCs w:val="24"/>
        </w:rPr>
        <w:t xml:space="preserve">n such cases as </w:t>
      </w:r>
      <w:r w:rsidRPr="004D72DF">
        <w:rPr>
          <w:color w:val="000000"/>
          <w:sz w:val="24"/>
          <w:szCs w:val="24"/>
          <w:u w:val="single"/>
        </w:rPr>
        <w:t>Application of Philadelphia Electric Co.</w:t>
      </w:r>
      <w:r w:rsidRPr="004D72DF">
        <w:rPr>
          <w:color w:val="000000"/>
          <w:sz w:val="24"/>
          <w:szCs w:val="24"/>
        </w:rPr>
        <w:t>, 43 P</w:t>
      </w:r>
      <w:r w:rsidR="00925C70">
        <w:rPr>
          <w:color w:val="000000"/>
          <w:sz w:val="24"/>
          <w:szCs w:val="24"/>
        </w:rPr>
        <w:t>a.</w:t>
      </w:r>
      <w:r w:rsidRPr="004D72DF">
        <w:rPr>
          <w:color w:val="000000"/>
          <w:sz w:val="24"/>
          <w:szCs w:val="24"/>
        </w:rPr>
        <w:t xml:space="preserve"> PUC 781 (1968), </w:t>
      </w:r>
      <w:r w:rsidRPr="004D72DF">
        <w:rPr>
          <w:color w:val="000000"/>
          <w:sz w:val="24"/>
          <w:szCs w:val="24"/>
          <w:u w:val="single"/>
        </w:rPr>
        <w:t>Pa</w:t>
      </w:r>
      <w:r w:rsidR="00AF7578" w:rsidRPr="004D72DF">
        <w:rPr>
          <w:color w:val="000000"/>
          <w:sz w:val="24"/>
          <w:szCs w:val="24"/>
          <w:u w:val="single"/>
        </w:rPr>
        <w:t>.</w:t>
      </w:r>
      <w:r w:rsidRPr="004D72DF">
        <w:rPr>
          <w:color w:val="000000"/>
          <w:sz w:val="24"/>
          <w:szCs w:val="24"/>
          <w:u w:val="single"/>
        </w:rPr>
        <w:t xml:space="preserve"> Pub</w:t>
      </w:r>
      <w:r w:rsidR="002D01D6" w:rsidRPr="004D72DF">
        <w:rPr>
          <w:color w:val="000000"/>
          <w:sz w:val="24"/>
          <w:szCs w:val="24"/>
          <w:u w:val="single"/>
        </w:rPr>
        <w:t xml:space="preserve">. </w:t>
      </w:r>
      <w:r w:rsidRPr="004D72DF">
        <w:rPr>
          <w:color w:val="000000"/>
          <w:sz w:val="24"/>
          <w:szCs w:val="24"/>
          <w:u w:val="single"/>
        </w:rPr>
        <w:t>Util</w:t>
      </w:r>
      <w:r w:rsidR="002D01D6" w:rsidRPr="004D72DF">
        <w:rPr>
          <w:color w:val="000000"/>
          <w:sz w:val="24"/>
          <w:szCs w:val="24"/>
          <w:u w:val="single"/>
        </w:rPr>
        <w:t>.</w:t>
      </w:r>
      <w:r w:rsidRPr="004D72DF">
        <w:rPr>
          <w:color w:val="000000"/>
          <w:sz w:val="24"/>
          <w:szCs w:val="24"/>
          <w:u w:val="single"/>
        </w:rPr>
        <w:t xml:space="preserve"> Comm’n v. </w:t>
      </w:r>
      <w:r w:rsidR="00855529" w:rsidRPr="004D72DF">
        <w:rPr>
          <w:color w:val="000000"/>
          <w:sz w:val="24"/>
          <w:szCs w:val="24"/>
          <w:u w:val="single"/>
        </w:rPr>
        <w:t>B</w:t>
      </w:r>
      <w:r w:rsidRPr="004D72DF">
        <w:rPr>
          <w:color w:val="000000"/>
          <w:sz w:val="24"/>
          <w:szCs w:val="24"/>
          <w:u w:val="single"/>
        </w:rPr>
        <w:t xml:space="preserve">ell </w:t>
      </w:r>
      <w:r w:rsidR="00855529" w:rsidRPr="004D72DF">
        <w:rPr>
          <w:color w:val="000000"/>
          <w:sz w:val="24"/>
          <w:szCs w:val="24"/>
          <w:u w:val="single"/>
        </w:rPr>
        <w:t>T</w:t>
      </w:r>
      <w:r w:rsidRPr="004D72DF">
        <w:rPr>
          <w:color w:val="000000"/>
          <w:sz w:val="24"/>
          <w:szCs w:val="24"/>
          <w:u w:val="single"/>
        </w:rPr>
        <w:t>elephone Co. of Pennsylvania</w:t>
      </w:r>
      <w:r w:rsidRPr="004D72DF">
        <w:rPr>
          <w:color w:val="000000"/>
          <w:sz w:val="24"/>
          <w:szCs w:val="24"/>
        </w:rPr>
        <w:t>, 46 P</w:t>
      </w:r>
      <w:r w:rsidR="00925C70">
        <w:rPr>
          <w:color w:val="000000"/>
          <w:sz w:val="24"/>
          <w:szCs w:val="24"/>
        </w:rPr>
        <w:t>a.</w:t>
      </w:r>
      <w:r w:rsidRPr="004D72DF">
        <w:rPr>
          <w:color w:val="000000"/>
          <w:sz w:val="24"/>
          <w:szCs w:val="24"/>
        </w:rPr>
        <w:t xml:space="preserve"> PUC 568 (1973) and </w:t>
      </w:r>
      <w:r w:rsidRPr="004D72DF">
        <w:rPr>
          <w:color w:val="000000"/>
          <w:sz w:val="24"/>
          <w:szCs w:val="24"/>
          <w:u w:val="single"/>
        </w:rPr>
        <w:t>Pa. Pub</w:t>
      </w:r>
      <w:r w:rsidR="002D01D6" w:rsidRPr="004D72DF">
        <w:rPr>
          <w:color w:val="000000"/>
          <w:sz w:val="24"/>
          <w:szCs w:val="24"/>
          <w:u w:val="single"/>
        </w:rPr>
        <w:t>.</w:t>
      </w:r>
      <w:r w:rsidRPr="004D72DF">
        <w:rPr>
          <w:color w:val="000000"/>
          <w:sz w:val="24"/>
          <w:szCs w:val="24"/>
          <w:u w:val="single"/>
        </w:rPr>
        <w:t xml:space="preserve"> Util</w:t>
      </w:r>
      <w:r w:rsidR="002D01D6" w:rsidRPr="004D72DF">
        <w:rPr>
          <w:color w:val="000000"/>
          <w:sz w:val="24"/>
          <w:szCs w:val="24"/>
          <w:u w:val="single"/>
        </w:rPr>
        <w:t xml:space="preserve">. </w:t>
      </w:r>
      <w:r w:rsidRPr="004D72DF">
        <w:rPr>
          <w:color w:val="000000"/>
          <w:sz w:val="24"/>
          <w:szCs w:val="24"/>
          <w:u w:val="single"/>
        </w:rPr>
        <w:t xml:space="preserve">Comm’n v. </w:t>
      </w:r>
      <w:r w:rsidR="00855529" w:rsidRPr="004D72DF">
        <w:rPr>
          <w:color w:val="000000"/>
          <w:sz w:val="24"/>
          <w:szCs w:val="24"/>
          <w:u w:val="single"/>
        </w:rPr>
        <w:t>B</w:t>
      </w:r>
      <w:r w:rsidRPr="004D72DF">
        <w:rPr>
          <w:color w:val="000000"/>
          <w:sz w:val="24"/>
          <w:szCs w:val="24"/>
          <w:u w:val="single"/>
        </w:rPr>
        <w:t>utler Twp. Water Co.</w:t>
      </w:r>
      <w:r w:rsidRPr="004D72DF">
        <w:rPr>
          <w:color w:val="000000"/>
          <w:sz w:val="24"/>
          <w:szCs w:val="24"/>
        </w:rPr>
        <w:t>, 52 P</w:t>
      </w:r>
      <w:r w:rsidR="00925C70">
        <w:rPr>
          <w:color w:val="000000"/>
          <w:sz w:val="24"/>
          <w:szCs w:val="24"/>
        </w:rPr>
        <w:t>a.</w:t>
      </w:r>
      <w:r w:rsidRPr="004D72DF">
        <w:rPr>
          <w:color w:val="000000"/>
          <w:sz w:val="24"/>
          <w:szCs w:val="24"/>
        </w:rPr>
        <w:t xml:space="preserve"> PUC 4</w:t>
      </w:r>
      <w:r w:rsidR="00D7185A" w:rsidRPr="004D72DF">
        <w:rPr>
          <w:color w:val="000000"/>
          <w:sz w:val="24"/>
          <w:szCs w:val="24"/>
        </w:rPr>
        <w:t>4</w:t>
      </w:r>
      <w:r w:rsidRPr="004D72DF">
        <w:rPr>
          <w:color w:val="000000"/>
          <w:sz w:val="24"/>
          <w:szCs w:val="24"/>
        </w:rPr>
        <w:t>2 (1978), as well as those cited above,</w:t>
      </w:r>
      <w:r w:rsidR="00D7185A" w:rsidRPr="004D72DF">
        <w:rPr>
          <w:color w:val="000000"/>
          <w:sz w:val="24"/>
          <w:szCs w:val="24"/>
        </w:rPr>
        <w:t xml:space="preserve"> the Commission has established </w:t>
      </w:r>
      <w:r w:rsidRPr="004D72DF">
        <w:rPr>
          <w:color w:val="000000"/>
          <w:sz w:val="24"/>
          <w:szCs w:val="24"/>
        </w:rPr>
        <w:t xml:space="preserve">that </w:t>
      </w:r>
      <w:r w:rsidR="004427BC" w:rsidRPr="004D72DF">
        <w:rPr>
          <w:color w:val="000000"/>
          <w:sz w:val="24"/>
          <w:szCs w:val="24"/>
        </w:rPr>
        <w:t xml:space="preserve">the Commission or presiding officer should evaluate </w:t>
      </w:r>
      <w:r w:rsidRPr="004D72DF">
        <w:rPr>
          <w:color w:val="000000"/>
          <w:sz w:val="24"/>
          <w:szCs w:val="24"/>
        </w:rPr>
        <w:t>considerations in addition to the presence of common questions of law or fact</w:t>
      </w:r>
      <w:r w:rsidR="00D7185A" w:rsidRPr="004D72DF">
        <w:rPr>
          <w:color w:val="000000"/>
          <w:sz w:val="24"/>
          <w:szCs w:val="24"/>
        </w:rPr>
        <w:t xml:space="preserve"> </w:t>
      </w:r>
      <w:r w:rsidRPr="004D72DF">
        <w:rPr>
          <w:color w:val="000000"/>
          <w:sz w:val="24"/>
          <w:szCs w:val="24"/>
        </w:rPr>
        <w:t xml:space="preserve">in ruling on a </w:t>
      </w:r>
      <w:r w:rsidR="00D7185A" w:rsidRPr="004D72DF">
        <w:rPr>
          <w:color w:val="000000"/>
          <w:sz w:val="24"/>
          <w:szCs w:val="24"/>
        </w:rPr>
        <w:t>motion to consolidate</w:t>
      </w:r>
      <w:r w:rsidRPr="004D72DF">
        <w:rPr>
          <w:color w:val="000000"/>
          <w:sz w:val="24"/>
          <w:szCs w:val="24"/>
        </w:rPr>
        <w:t xml:space="preserve">.  These other considerations </w:t>
      </w:r>
      <w:r w:rsidR="00D7185A" w:rsidRPr="004D72DF">
        <w:rPr>
          <w:color w:val="000000"/>
          <w:sz w:val="24"/>
          <w:szCs w:val="24"/>
        </w:rPr>
        <w:t>include</w:t>
      </w:r>
      <w:r w:rsidRPr="004D72DF">
        <w:rPr>
          <w:color w:val="000000"/>
          <w:sz w:val="24"/>
          <w:szCs w:val="24"/>
        </w:rPr>
        <w:t>:</w:t>
      </w:r>
    </w:p>
    <w:p w14:paraId="4D4A92CC" w14:textId="77777777" w:rsidR="00266D96" w:rsidRPr="004D72DF" w:rsidRDefault="00266D96" w:rsidP="00266D96">
      <w:pPr>
        <w:spacing w:line="360" w:lineRule="auto"/>
        <w:ind w:firstLine="1440"/>
        <w:rPr>
          <w:color w:val="000000"/>
          <w:sz w:val="24"/>
        </w:rPr>
      </w:pPr>
    </w:p>
    <w:p w14:paraId="40EE7892" w14:textId="77777777" w:rsidR="00266D96" w:rsidRPr="004D72DF" w:rsidRDefault="00266D96" w:rsidP="00266D96">
      <w:pPr>
        <w:ind w:left="1440"/>
        <w:rPr>
          <w:color w:val="000000"/>
          <w:sz w:val="24"/>
        </w:rPr>
      </w:pPr>
      <w:r w:rsidRPr="004D72DF">
        <w:rPr>
          <w:color w:val="000000"/>
          <w:sz w:val="24"/>
        </w:rPr>
        <w:t>1.</w:t>
      </w:r>
      <w:r w:rsidRPr="004D72DF">
        <w:rPr>
          <w:color w:val="000000"/>
          <w:sz w:val="24"/>
        </w:rPr>
        <w:tab/>
        <w:t>Will the presence of additional issues cloud a determination of the common issues?</w:t>
      </w:r>
    </w:p>
    <w:p w14:paraId="1794586D" w14:textId="77777777" w:rsidR="00266D96" w:rsidRPr="004D72DF" w:rsidRDefault="00266D96" w:rsidP="00266D96">
      <w:pPr>
        <w:ind w:left="1440"/>
        <w:rPr>
          <w:color w:val="000000"/>
          <w:sz w:val="24"/>
        </w:rPr>
      </w:pPr>
    </w:p>
    <w:p w14:paraId="311109D7" w14:textId="77777777" w:rsidR="00266D96" w:rsidRPr="004D72DF" w:rsidRDefault="00266D96" w:rsidP="00266D96">
      <w:pPr>
        <w:ind w:left="1440"/>
        <w:rPr>
          <w:color w:val="000000"/>
          <w:sz w:val="24"/>
        </w:rPr>
      </w:pPr>
      <w:r w:rsidRPr="004D72DF">
        <w:rPr>
          <w:color w:val="000000"/>
          <w:sz w:val="24"/>
        </w:rPr>
        <w:t>2.</w:t>
      </w:r>
      <w:r w:rsidRPr="004D72DF">
        <w:rPr>
          <w:color w:val="000000"/>
          <w:sz w:val="24"/>
        </w:rPr>
        <w:tab/>
        <w:t>Will consolidation result in reduced costs of litigation and decision-making for the parties and the Commission?</w:t>
      </w:r>
    </w:p>
    <w:p w14:paraId="75B35871" w14:textId="77777777" w:rsidR="00266D96" w:rsidRPr="004D72DF" w:rsidRDefault="00266D96" w:rsidP="00266D96">
      <w:pPr>
        <w:ind w:left="1440"/>
        <w:rPr>
          <w:color w:val="000000"/>
          <w:sz w:val="24"/>
        </w:rPr>
      </w:pPr>
    </w:p>
    <w:p w14:paraId="7C54D0FF" w14:textId="77777777" w:rsidR="00266D96" w:rsidRPr="004D72DF" w:rsidRDefault="00266D96" w:rsidP="00266D96">
      <w:pPr>
        <w:ind w:left="1440"/>
        <w:rPr>
          <w:color w:val="000000"/>
          <w:sz w:val="24"/>
        </w:rPr>
      </w:pPr>
      <w:r w:rsidRPr="004D72DF">
        <w:rPr>
          <w:color w:val="000000"/>
          <w:sz w:val="24"/>
        </w:rPr>
        <w:t>3.</w:t>
      </w:r>
      <w:r w:rsidRPr="004D72DF">
        <w:rPr>
          <w:color w:val="000000"/>
          <w:sz w:val="24"/>
        </w:rPr>
        <w:tab/>
        <w:t>Do issues in one proceeding go to the heart of an issue in the other proceeding?</w:t>
      </w:r>
    </w:p>
    <w:p w14:paraId="5CE2C0D8" w14:textId="77777777" w:rsidR="00266D96" w:rsidRPr="004D72DF" w:rsidRDefault="00266D96" w:rsidP="00266D96">
      <w:pPr>
        <w:ind w:left="1080"/>
        <w:rPr>
          <w:color w:val="000000"/>
          <w:sz w:val="24"/>
        </w:rPr>
      </w:pPr>
    </w:p>
    <w:p w14:paraId="020D0234" w14:textId="77777777" w:rsidR="00266D96" w:rsidRPr="004D72DF" w:rsidRDefault="00266D96" w:rsidP="00266D96">
      <w:pPr>
        <w:ind w:left="1440"/>
        <w:rPr>
          <w:color w:val="000000"/>
          <w:sz w:val="24"/>
        </w:rPr>
      </w:pPr>
      <w:r w:rsidRPr="004D72DF">
        <w:rPr>
          <w:color w:val="000000"/>
          <w:sz w:val="24"/>
        </w:rPr>
        <w:t>4.</w:t>
      </w:r>
      <w:r w:rsidRPr="004D72DF">
        <w:rPr>
          <w:color w:val="000000"/>
          <w:sz w:val="24"/>
        </w:rPr>
        <w:tab/>
        <w:t>Will consolidation unduly protract the hearing, or produce a disorderly and unwieldy record?</w:t>
      </w:r>
    </w:p>
    <w:p w14:paraId="481A2F4D" w14:textId="77777777" w:rsidR="00266D96" w:rsidRPr="004D72DF" w:rsidRDefault="00266D96" w:rsidP="00266D96">
      <w:pPr>
        <w:ind w:left="1440"/>
        <w:rPr>
          <w:color w:val="000000"/>
          <w:sz w:val="24"/>
        </w:rPr>
      </w:pPr>
    </w:p>
    <w:p w14:paraId="2F956F79" w14:textId="77777777" w:rsidR="00266D96" w:rsidRPr="004D72DF" w:rsidRDefault="00266D96" w:rsidP="00266D96">
      <w:pPr>
        <w:ind w:left="1080" w:firstLine="360"/>
        <w:rPr>
          <w:color w:val="000000"/>
          <w:sz w:val="24"/>
        </w:rPr>
      </w:pPr>
      <w:r w:rsidRPr="004D72DF">
        <w:rPr>
          <w:color w:val="000000"/>
          <w:sz w:val="24"/>
        </w:rPr>
        <w:t>5.</w:t>
      </w:r>
      <w:r w:rsidRPr="004D72DF">
        <w:rPr>
          <w:color w:val="000000"/>
          <w:sz w:val="24"/>
        </w:rPr>
        <w:tab/>
        <w:t>Will different statutory and legal issues be involved?</w:t>
      </w:r>
    </w:p>
    <w:p w14:paraId="12E23EEA" w14:textId="77777777" w:rsidR="00266D96" w:rsidRPr="004D72DF" w:rsidRDefault="00266D96" w:rsidP="00266D96">
      <w:pPr>
        <w:ind w:left="1080"/>
        <w:rPr>
          <w:color w:val="000000"/>
          <w:sz w:val="24"/>
        </w:rPr>
      </w:pPr>
    </w:p>
    <w:p w14:paraId="0C945534" w14:textId="77777777" w:rsidR="00266D96" w:rsidRPr="004D72DF" w:rsidRDefault="00266D96" w:rsidP="00266D96">
      <w:pPr>
        <w:ind w:left="1080" w:firstLine="360"/>
        <w:rPr>
          <w:color w:val="000000"/>
          <w:sz w:val="24"/>
        </w:rPr>
      </w:pPr>
      <w:r w:rsidRPr="004D72DF">
        <w:rPr>
          <w:color w:val="000000"/>
          <w:sz w:val="24"/>
        </w:rPr>
        <w:t>6.</w:t>
      </w:r>
      <w:r w:rsidRPr="004D72DF">
        <w:rPr>
          <w:color w:val="000000"/>
          <w:sz w:val="24"/>
        </w:rPr>
        <w:tab/>
        <w:t>Does the party with the burden of proof differ in the proceedings?</w:t>
      </w:r>
    </w:p>
    <w:p w14:paraId="3195563A" w14:textId="77777777" w:rsidR="00266D96" w:rsidRPr="004D72DF" w:rsidRDefault="00266D96" w:rsidP="00266D96">
      <w:pPr>
        <w:ind w:left="1080" w:firstLine="360"/>
        <w:rPr>
          <w:color w:val="000000"/>
          <w:sz w:val="24"/>
        </w:rPr>
      </w:pPr>
    </w:p>
    <w:p w14:paraId="4919BA99" w14:textId="77777777" w:rsidR="00266D96" w:rsidRPr="004D72DF" w:rsidRDefault="00266D96" w:rsidP="00266D96">
      <w:pPr>
        <w:ind w:left="1080" w:firstLine="360"/>
        <w:rPr>
          <w:color w:val="000000"/>
          <w:sz w:val="24"/>
        </w:rPr>
      </w:pPr>
      <w:r w:rsidRPr="004D72DF">
        <w:rPr>
          <w:color w:val="000000"/>
          <w:sz w:val="24"/>
        </w:rPr>
        <w:t>7.</w:t>
      </w:r>
      <w:r w:rsidRPr="004D72DF">
        <w:rPr>
          <w:color w:val="000000"/>
          <w:sz w:val="24"/>
        </w:rPr>
        <w:tab/>
        <w:t>Will consolidation unduly delay the resolution of one the proceedings?</w:t>
      </w:r>
    </w:p>
    <w:p w14:paraId="7B185D04" w14:textId="77777777" w:rsidR="00266D96" w:rsidRPr="004D72DF" w:rsidRDefault="00266D96" w:rsidP="00266D96">
      <w:pPr>
        <w:ind w:left="1080"/>
        <w:rPr>
          <w:color w:val="000000"/>
          <w:sz w:val="24"/>
        </w:rPr>
      </w:pPr>
    </w:p>
    <w:p w14:paraId="70B54FB2" w14:textId="77777777" w:rsidR="00266D96" w:rsidRPr="004D72DF" w:rsidRDefault="00266D96" w:rsidP="00266D96">
      <w:pPr>
        <w:ind w:left="1080" w:firstLine="360"/>
        <w:rPr>
          <w:color w:val="000000"/>
          <w:sz w:val="24"/>
        </w:rPr>
      </w:pPr>
      <w:r w:rsidRPr="004D72DF">
        <w:rPr>
          <w:color w:val="000000"/>
          <w:sz w:val="24"/>
        </w:rPr>
        <w:lastRenderedPageBreak/>
        <w:t>8.</w:t>
      </w:r>
      <w:r w:rsidRPr="004D72DF">
        <w:rPr>
          <w:color w:val="000000"/>
          <w:sz w:val="24"/>
        </w:rPr>
        <w:tab/>
        <w:t>Will supporting data in both proceedings be repetitive?</w:t>
      </w:r>
    </w:p>
    <w:p w14:paraId="68F324DB" w14:textId="77777777" w:rsidR="00E07CF1" w:rsidRPr="004D72DF" w:rsidRDefault="00E07CF1" w:rsidP="00116B43">
      <w:pPr>
        <w:spacing w:line="360" w:lineRule="auto"/>
        <w:ind w:firstLine="1440"/>
        <w:rPr>
          <w:color w:val="000000"/>
          <w:sz w:val="24"/>
          <w:szCs w:val="24"/>
        </w:rPr>
      </w:pPr>
    </w:p>
    <w:p w14:paraId="25DC2443" w14:textId="77777777" w:rsidR="003D471A" w:rsidRPr="004D72DF" w:rsidRDefault="003D471A" w:rsidP="00116B43">
      <w:pPr>
        <w:spacing w:line="360" w:lineRule="auto"/>
        <w:ind w:firstLine="1440"/>
        <w:rPr>
          <w:color w:val="000000"/>
          <w:sz w:val="24"/>
          <w:szCs w:val="24"/>
        </w:rPr>
      </w:pPr>
      <w:r w:rsidRPr="004D72DF">
        <w:rPr>
          <w:color w:val="000000"/>
          <w:sz w:val="24"/>
          <w:szCs w:val="24"/>
        </w:rPr>
        <w:t>No single consideration</w:t>
      </w:r>
      <w:r w:rsidR="0055768F" w:rsidRPr="004D72DF">
        <w:rPr>
          <w:color w:val="000000"/>
          <w:sz w:val="24"/>
          <w:szCs w:val="24"/>
        </w:rPr>
        <w:t xml:space="preserve"> </w:t>
      </w:r>
      <w:r w:rsidRPr="004D72DF">
        <w:rPr>
          <w:color w:val="000000"/>
          <w:sz w:val="24"/>
          <w:szCs w:val="24"/>
        </w:rPr>
        <w:t>or group of considerations</w:t>
      </w:r>
      <w:r w:rsidR="00BB1855">
        <w:rPr>
          <w:color w:val="000000"/>
          <w:sz w:val="24"/>
          <w:szCs w:val="24"/>
        </w:rPr>
        <w:t>,</w:t>
      </w:r>
      <w:r w:rsidR="0055768F" w:rsidRPr="004D72DF">
        <w:rPr>
          <w:color w:val="000000"/>
          <w:sz w:val="24"/>
          <w:szCs w:val="24"/>
        </w:rPr>
        <w:t xml:space="preserve"> or the presence of a common question of law or fact</w:t>
      </w:r>
      <w:r w:rsidR="00BB1855">
        <w:rPr>
          <w:color w:val="000000"/>
          <w:sz w:val="24"/>
          <w:szCs w:val="24"/>
        </w:rPr>
        <w:t>,</w:t>
      </w:r>
      <w:r w:rsidR="0055768F" w:rsidRPr="004D72DF">
        <w:rPr>
          <w:color w:val="000000"/>
          <w:sz w:val="24"/>
          <w:szCs w:val="24"/>
        </w:rPr>
        <w:t xml:space="preserve"> </w:t>
      </w:r>
      <w:r w:rsidRPr="004D72DF">
        <w:rPr>
          <w:color w:val="000000"/>
          <w:sz w:val="24"/>
          <w:szCs w:val="24"/>
        </w:rPr>
        <w:t xml:space="preserve">is dispositive </w:t>
      </w:r>
      <w:r w:rsidR="00D7185A" w:rsidRPr="004D72DF">
        <w:rPr>
          <w:color w:val="000000"/>
          <w:sz w:val="24"/>
          <w:szCs w:val="24"/>
        </w:rPr>
        <w:t>in determining</w:t>
      </w:r>
      <w:r w:rsidR="00660F71" w:rsidRPr="004D72DF">
        <w:rPr>
          <w:color w:val="000000"/>
          <w:sz w:val="24"/>
          <w:szCs w:val="24"/>
        </w:rPr>
        <w:t xml:space="preserve"> whether</w:t>
      </w:r>
      <w:r w:rsidR="00241663" w:rsidRPr="004D72DF">
        <w:rPr>
          <w:color w:val="000000"/>
          <w:sz w:val="24"/>
          <w:szCs w:val="24"/>
        </w:rPr>
        <w:t xml:space="preserve"> to </w:t>
      </w:r>
      <w:r w:rsidRPr="004D72DF">
        <w:rPr>
          <w:color w:val="000000"/>
          <w:sz w:val="24"/>
          <w:szCs w:val="24"/>
        </w:rPr>
        <w:t>consolidat</w:t>
      </w:r>
      <w:r w:rsidR="00241663" w:rsidRPr="004D72DF">
        <w:rPr>
          <w:color w:val="000000"/>
          <w:sz w:val="24"/>
          <w:szCs w:val="24"/>
        </w:rPr>
        <w:t>e proceedings</w:t>
      </w:r>
      <w:r w:rsidR="0055768F" w:rsidRPr="004D72DF">
        <w:rPr>
          <w:color w:val="000000"/>
          <w:sz w:val="24"/>
          <w:szCs w:val="24"/>
        </w:rPr>
        <w:t>.</w:t>
      </w:r>
      <w:r w:rsidRPr="004D72DF">
        <w:rPr>
          <w:color w:val="000000"/>
          <w:sz w:val="24"/>
          <w:szCs w:val="24"/>
        </w:rPr>
        <w:t xml:space="preserve"> </w:t>
      </w:r>
      <w:r w:rsidR="002F2F6A" w:rsidRPr="004D72DF">
        <w:rPr>
          <w:color w:val="000000"/>
          <w:sz w:val="24"/>
          <w:szCs w:val="24"/>
        </w:rPr>
        <w:t xml:space="preserve"> </w:t>
      </w:r>
      <w:r w:rsidRPr="004D72DF">
        <w:rPr>
          <w:color w:val="000000"/>
          <w:sz w:val="24"/>
          <w:szCs w:val="24"/>
        </w:rPr>
        <w:t xml:space="preserve">Rather, the </w:t>
      </w:r>
      <w:r w:rsidR="0055768F" w:rsidRPr="004D72DF">
        <w:rPr>
          <w:color w:val="000000"/>
          <w:sz w:val="24"/>
          <w:szCs w:val="24"/>
        </w:rPr>
        <w:t xml:space="preserve">Commission or presiding officer must </w:t>
      </w:r>
      <w:r w:rsidRPr="004D72DF">
        <w:rPr>
          <w:color w:val="000000"/>
          <w:sz w:val="24"/>
          <w:szCs w:val="24"/>
        </w:rPr>
        <w:t>evaluat</w:t>
      </w:r>
      <w:r w:rsidR="0055768F" w:rsidRPr="004D72DF">
        <w:rPr>
          <w:color w:val="000000"/>
          <w:sz w:val="24"/>
          <w:szCs w:val="24"/>
        </w:rPr>
        <w:t>e</w:t>
      </w:r>
      <w:r w:rsidRPr="004D72DF">
        <w:rPr>
          <w:color w:val="000000"/>
          <w:sz w:val="24"/>
          <w:szCs w:val="24"/>
        </w:rPr>
        <w:t xml:space="preserve"> all of the</w:t>
      </w:r>
      <w:r w:rsidR="00660F71" w:rsidRPr="004D72DF">
        <w:rPr>
          <w:color w:val="000000"/>
          <w:sz w:val="24"/>
          <w:szCs w:val="24"/>
        </w:rPr>
        <w:t xml:space="preserve">se considerations </w:t>
      </w:r>
      <w:r w:rsidRPr="004D72DF">
        <w:rPr>
          <w:color w:val="000000"/>
          <w:sz w:val="24"/>
          <w:szCs w:val="24"/>
        </w:rPr>
        <w:t>and balanc</w:t>
      </w:r>
      <w:r w:rsidR="0055768F" w:rsidRPr="004D72DF">
        <w:rPr>
          <w:color w:val="000000"/>
          <w:sz w:val="24"/>
          <w:szCs w:val="24"/>
        </w:rPr>
        <w:t>e</w:t>
      </w:r>
      <w:r w:rsidRPr="004D72DF">
        <w:rPr>
          <w:color w:val="000000"/>
          <w:sz w:val="24"/>
          <w:szCs w:val="24"/>
        </w:rPr>
        <w:t xml:space="preserve"> those favoring </w:t>
      </w:r>
      <w:r w:rsidR="0055768F" w:rsidRPr="004D72DF">
        <w:rPr>
          <w:color w:val="000000"/>
          <w:sz w:val="24"/>
          <w:szCs w:val="24"/>
        </w:rPr>
        <w:t xml:space="preserve">versus those </w:t>
      </w:r>
      <w:r w:rsidRPr="004D72DF">
        <w:rPr>
          <w:color w:val="000000"/>
          <w:sz w:val="24"/>
          <w:szCs w:val="24"/>
        </w:rPr>
        <w:t>disfavoring consolidat</w:t>
      </w:r>
      <w:r w:rsidR="00B326D4" w:rsidRPr="004D72DF">
        <w:rPr>
          <w:color w:val="000000"/>
          <w:sz w:val="24"/>
          <w:szCs w:val="24"/>
        </w:rPr>
        <w:t>ing the proceedings</w:t>
      </w:r>
      <w:r w:rsidRPr="004D72DF">
        <w:rPr>
          <w:color w:val="000000"/>
          <w:sz w:val="24"/>
          <w:szCs w:val="24"/>
        </w:rPr>
        <w:t>.</w:t>
      </w:r>
    </w:p>
    <w:p w14:paraId="0967D950" w14:textId="77777777" w:rsidR="003D471A" w:rsidRPr="004D72DF" w:rsidRDefault="003D471A" w:rsidP="00116B43">
      <w:pPr>
        <w:spacing w:line="360" w:lineRule="auto"/>
        <w:ind w:firstLine="1440"/>
        <w:rPr>
          <w:color w:val="000000"/>
          <w:sz w:val="24"/>
          <w:szCs w:val="24"/>
        </w:rPr>
      </w:pPr>
    </w:p>
    <w:p w14:paraId="365A15EB" w14:textId="5612657D" w:rsidR="003C5393" w:rsidRPr="003C5393" w:rsidRDefault="00241663" w:rsidP="00AF7578">
      <w:pPr>
        <w:spacing w:line="360" w:lineRule="auto"/>
        <w:ind w:firstLine="1440"/>
        <w:rPr>
          <w:color w:val="000000"/>
          <w:sz w:val="24"/>
          <w:szCs w:val="24"/>
        </w:rPr>
      </w:pPr>
      <w:r w:rsidRPr="004D72DF">
        <w:rPr>
          <w:color w:val="000000"/>
          <w:sz w:val="24"/>
          <w:szCs w:val="24"/>
        </w:rPr>
        <w:t xml:space="preserve">After reviewing these considerations, </w:t>
      </w:r>
      <w:r w:rsidR="00FF0BAB">
        <w:rPr>
          <w:color w:val="000000"/>
          <w:sz w:val="24"/>
          <w:szCs w:val="24"/>
        </w:rPr>
        <w:t xml:space="preserve">it is </w:t>
      </w:r>
      <w:r w:rsidR="001D4B6E" w:rsidRPr="004D72DF">
        <w:rPr>
          <w:color w:val="000000"/>
          <w:sz w:val="24"/>
          <w:szCs w:val="24"/>
        </w:rPr>
        <w:t>conclude</w:t>
      </w:r>
      <w:r w:rsidR="00FF0BAB">
        <w:rPr>
          <w:color w:val="000000"/>
          <w:sz w:val="24"/>
          <w:szCs w:val="24"/>
        </w:rPr>
        <w:t>d</w:t>
      </w:r>
      <w:r w:rsidR="001D4B6E" w:rsidRPr="004D72DF">
        <w:rPr>
          <w:color w:val="000000"/>
          <w:sz w:val="24"/>
          <w:szCs w:val="24"/>
        </w:rPr>
        <w:t xml:space="preserve"> that </w:t>
      </w:r>
      <w:r w:rsidRPr="004D72DF">
        <w:rPr>
          <w:color w:val="000000"/>
          <w:sz w:val="24"/>
          <w:szCs w:val="24"/>
        </w:rPr>
        <w:t xml:space="preserve">consolidating </w:t>
      </w:r>
      <w:r w:rsidR="00850C27">
        <w:rPr>
          <w:color w:val="000000"/>
          <w:sz w:val="24"/>
          <w:szCs w:val="24"/>
        </w:rPr>
        <w:t xml:space="preserve">the matters </w:t>
      </w:r>
      <w:r w:rsidRPr="004D72DF">
        <w:rPr>
          <w:color w:val="000000"/>
          <w:sz w:val="24"/>
          <w:szCs w:val="24"/>
        </w:rPr>
        <w:t>here is appropriate</w:t>
      </w:r>
      <w:r w:rsidR="00B326D4" w:rsidRPr="004D72DF">
        <w:rPr>
          <w:color w:val="000000"/>
          <w:sz w:val="24"/>
          <w:szCs w:val="24"/>
        </w:rPr>
        <w:t>.  Consolidati</w:t>
      </w:r>
      <w:r w:rsidR="002E3B5A">
        <w:rPr>
          <w:color w:val="000000"/>
          <w:sz w:val="24"/>
          <w:szCs w:val="24"/>
        </w:rPr>
        <w:t>on</w:t>
      </w:r>
      <w:r w:rsidR="00B326D4" w:rsidRPr="004D72DF">
        <w:rPr>
          <w:color w:val="000000"/>
          <w:sz w:val="24"/>
          <w:szCs w:val="24"/>
        </w:rPr>
        <w:t xml:space="preserve"> will reduce the costs of litigating the proceedings for the parties and the Commission</w:t>
      </w:r>
      <w:r w:rsidR="002E3B5A">
        <w:rPr>
          <w:color w:val="000000"/>
          <w:sz w:val="24"/>
          <w:szCs w:val="24"/>
        </w:rPr>
        <w:t xml:space="preserve"> and </w:t>
      </w:r>
      <w:r w:rsidR="00BD1BC8" w:rsidRPr="004D72DF">
        <w:rPr>
          <w:color w:val="000000"/>
          <w:sz w:val="24"/>
          <w:szCs w:val="24"/>
        </w:rPr>
        <w:t xml:space="preserve">eliminate </w:t>
      </w:r>
      <w:r w:rsidR="00A931CC" w:rsidRPr="004D72DF">
        <w:rPr>
          <w:color w:val="000000"/>
          <w:sz w:val="24"/>
          <w:szCs w:val="24"/>
        </w:rPr>
        <w:t xml:space="preserve">the need to present the same </w:t>
      </w:r>
      <w:r w:rsidR="002E3B5A">
        <w:rPr>
          <w:color w:val="000000"/>
          <w:sz w:val="24"/>
          <w:szCs w:val="24"/>
        </w:rPr>
        <w:t xml:space="preserve">or similar </w:t>
      </w:r>
      <w:r w:rsidR="00A931CC" w:rsidRPr="004D72DF">
        <w:rPr>
          <w:color w:val="000000"/>
          <w:sz w:val="24"/>
          <w:szCs w:val="24"/>
        </w:rPr>
        <w:t xml:space="preserve">facts and legal arguments in two separate proceedings.  </w:t>
      </w:r>
      <w:r w:rsidR="002E3B5A">
        <w:rPr>
          <w:color w:val="000000"/>
          <w:sz w:val="24"/>
          <w:szCs w:val="24"/>
        </w:rPr>
        <w:t xml:space="preserve">At issue in both matters is the Company’s </w:t>
      </w:r>
      <w:r w:rsidR="002E3B5A" w:rsidRPr="009B7D47">
        <w:rPr>
          <w:sz w:val="24"/>
          <w:szCs w:val="24"/>
        </w:rPr>
        <w:t>annual PSI/</w:t>
      </w:r>
      <w:smartTag w:uri="urn:schemas-microsoft-com:office:smarttags" w:element="stockticker">
        <w:r w:rsidR="002E3B5A" w:rsidRPr="009B7D47">
          <w:rPr>
            <w:sz w:val="24"/>
            <w:szCs w:val="24"/>
          </w:rPr>
          <w:t>SPI</w:t>
        </w:r>
      </w:smartTag>
      <w:r w:rsidR="002E3B5A" w:rsidRPr="009B7D47">
        <w:rPr>
          <w:sz w:val="24"/>
          <w:szCs w:val="24"/>
        </w:rPr>
        <w:t xml:space="preserve"> Report</w:t>
      </w:r>
      <w:r w:rsidR="002E3B5A" w:rsidRPr="004D72DF">
        <w:rPr>
          <w:color w:val="000000"/>
          <w:sz w:val="24"/>
          <w:szCs w:val="24"/>
        </w:rPr>
        <w:t xml:space="preserve"> </w:t>
      </w:r>
      <w:r w:rsidR="002E3B5A">
        <w:rPr>
          <w:color w:val="000000"/>
          <w:sz w:val="24"/>
          <w:szCs w:val="24"/>
        </w:rPr>
        <w:t xml:space="preserve">– one for 2018 and the other for 2019.  </w:t>
      </w:r>
      <w:r w:rsidR="005C275D" w:rsidRPr="004D72DF">
        <w:rPr>
          <w:color w:val="000000"/>
          <w:sz w:val="24"/>
          <w:szCs w:val="24"/>
        </w:rPr>
        <w:t xml:space="preserve">  The common question of law </w:t>
      </w:r>
      <w:r w:rsidR="00C70D7D">
        <w:rPr>
          <w:color w:val="000000"/>
          <w:sz w:val="24"/>
          <w:szCs w:val="24"/>
        </w:rPr>
        <w:t xml:space="preserve">in both matters </w:t>
      </w:r>
      <w:r w:rsidR="00266D96" w:rsidRPr="004D72DF">
        <w:rPr>
          <w:color w:val="000000"/>
          <w:sz w:val="24"/>
          <w:szCs w:val="24"/>
        </w:rPr>
        <w:t xml:space="preserve">is </w:t>
      </w:r>
      <w:r w:rsidR="00C70D7D">
        <w:rPr>
          <w:color w:val="000000"/>
          <w:sz w:val="24"/>
          <w:szCs w:val="24"/>
        </w:rPr>
        <w:t xml:space="preserve">whether </w:t>
      </w:r>
      <w:r w:rsidR="00C70D7D" w:rsidRPr="009B7D47">
        <w:rPr>
          <w:sz w:val="24"/>
          <w:szCs w:val="24"/>
        </w:rPr>
        <w:t>the federal TCJA may qualify as an exogenous event under the Company’s Chapter 30 Plan requiring an adjustment to the Company’s Price Stability Mechanism formula</w:t>
      </w:r>
      <w:r w:rsidR="00C70D7D">
        <w:rPr>
          <w:sz w:val="24"/>
          <w:szCs w:val="24"/>
        </w:rPr>
        <w:t xml:space="preserve"> and whether </w:t>
      </w:r>
      <w:r w:rsidR="00C70D7D" w:rsidRPr="009B7D47">
        <w:rPr>
          <w:sz w:val="24"/>
          <w:szCs w:val="24"/>
        </w:rPr>
        <w:t xml:space="preserve">the omission of said adjustment </w:t>
      </w:r>
      <w:r w:rsidR="00C70D7D">
        <w:rPr>
          <w:sz w:val="24"/>
          <w:szCs w:val="24"/>
        </w:rPr>
        <w:t>would</w:t>
      </w:r>
      <w:r w:rsidR="00C70D7D" w:rsidRPr="009B7D47">
        <w:rPr>
          <w:sz w:val="24"/>
          <w:szCs w:val="24"/>
        </w:rPr>
        <w:t xml:space="preserve"> result in an overstated maximum allowed noncompetitive revenue increase amount, an overstated cumulative banked revenue amount, the cross-subsidization of competitive services and the Company’s rates for noncompetitive services </w:t>
      </w:r>
      <w:r w:rsidR="00C70D7D">
        <w:rPr>
          <w:sz w:val="24"/>
          <w:szCs w:val="24"/>
        </w:rPr>
        <w:t>to be</w:t>
      </w:r>
      <w:r w:rsidR="00C70D7D" w:rsidRPr="009B7D47">
        <w:rPr>
          <w:sz w:val="24"/>
          <w:szCs w:val="24"/>
        </w:rPr>
        <w:t xml:space="preserve"> unjust and unreasonable</w:t>
      </w:r>
      <w:r w:rsidR="00C70D7D">
        <w:rPr>
          <w:sz w:val="24"/>
          <w:szCs w:val="24"/>
        </w:rPr>
        <w:t xml:space="preserve">.  </w:t>
      </w:r>
      <w:r w:rsidR="00A75FBE" w:rsidRPr="004D72DF">
        <w:rPr>
          <w:color w:val="000000"/>
          <w:sz w:val="24"/>
          <w:szCs w:val="24"/>
        </w:rPr>
        <w:t>Consolidation of the</w:t>
      </w:r>
      <w:r w:rsidR="00C70D7D">
        <w:rPr>
          <w:color w:val="000000"/>
          <w:sz w:val="24"/>
          <w:szCs w:val="24"/>
        </w:rPr>
        <w:t>se</w:t>
      </w:r>
      <w:r w:rsidR="00A75FBE" w:rsidRPr="004D72DF">
        <w:rPr>
          <w:color w:val="000000"/>
          <w:sz w:val="24"/>
          <w:szCs w:val="24"/>
        </w:rPr>
        <w:t xml:space="preserve"> </w:t>
      </w:r>
      <w:r w:rsidR="00C70D7D">
        <w:rPr>
          <w:color w:val="000000"/>
          <w:sz w:val="24"/>
          <w:szCs w:val="24"/>
        </w:rPr>
        <w:t>matters</w:t>
      </w:r>
      <w:r w:rsidR="00A75FBE" w:rsidRPr="004D72DF">
        <w:rPr>
          <w:color w:val="000000"/>
          <w:sz w:val="24"/>
          <w:szCs w:val="24"/>
        </w:rPr>
        <w:t xml:space="preserve"> will not </w:t>
      </w:r>
      <w:r w:rsidR="00C70D7D">
        <w:rPr>
          <w:color w:val="000000"/>
          <w:sz w:val="24"/>
          <w:szCs w:val="24"/>
        </w:rPr>
        <w:t xml:space="preserve">cause a </w:t>
      </w:r>
      <w:r w:rsidR="00A75FBE" w:rsidRPr="004D72DF">
        <w:rPr>
          <w:color w:val="000000"/>
          <w:sz w:val="24"/>
          <w:szCs w:val="24"/>
        </w:rPr>
        <w:t xml:space="preserve">delay </w:t>
      </w:r>
      <w:r w:rsidR="00C70D7D">
        <w:rPr>
          <w:color w:val="000000"/>
          <w:sz w:val="24"/>
          <w:szCs w:val="24"/>
        </w:rPr>
        <w:t xml:space="preserve">in </w:t>
      </w:r>
      <w:r w:rsidR="00A75FBE" w:rsidRPr="004D72DF">
        <w:rPr>
          <w:color w:val="000000"/>
          <w:sz w:val="24"/>
          <w:szCs w:val="24"/>
        </w:rPr>
        <w:t xml:space="preserve">the resolution of either.  </w:t>
      </w:r>
      <w:r w:rsidR="00DB0D16" w:rsidRPr="004D72DF">
        <w:rPr>
          <w:color w:val="000000"/>
          <w:sz w:val="24"/>
          <w:szCs w:val="24"/>
        </w:rPr>
        <w:t>For all of the</w:t>
      </w:r>
      <w:r w:rsidR="0081483F" w:rsidRPr="004D72DF">
        <w:rPr>
          <w:color w:val="000000"/>
          <w:sz w:val="24"/>
          <w:szCs w:val="24"/>
        </w:rPr>
        <w:t>se</w:t>
      </w:r>
      <w:r w:rsidR="00DB0D16" w:rsidRPr="004D72DF">
        <w:rPr>
          <w:color w:val="000000"/>
          <w:sz w:val="24"/>
          <w:szCs w:val="24"/>
        </w:rPr>
        <w:t xml:space="preserve"> </w:t>
      </w:r>
      <w:proofErr w:type="gramStart"/>
      <w:r w:rsidR="00DB0D16" w:rsidRPr="004D72DF">
        <w:rPr>
          <w:color w:val="000000"/>
          <w:sz w:val="24"/>
          <w:szCs w:val="24"/>
        </w:rPr>
        <w:t>reasons</w:t>
      </w:r>
      <w:proofErr w:type="gramEnd"/>
      <w:r w:rsidR="00C70D7D">
        <w:rPr>
          <w:color w:val="000000"/>
          <w:sz w:val="24"/>
          <w:szCs w:val="24"/>
        </w:rPr>
        <w:t xml:space="preserve"> consolidation </w:t>
      </w:r>
      <w:r w:rsidR="00DB0D16" w:rsidRPr="004D72DF">
        <w:rPr>
          <w:color w:val="000000"/>
          <w:sz w:val="24"/>
          <w:szCs w:val="24"/>
        </w:rPr>
        <w:t>is warranted</w:t>
      </w:r>
      <w:r w:rsidR="00C70D7D">
        <w:rPr>
          <w:color w:val="000000"/>
          <w:sz w:val="24"/>
          <w:szCs w:val="24"/>
        </w:rPr>
        <w:t xml:space="preserve"> and t</w:t>
      </w:r>
      <w:r w:rsidR="00FF0BAB">
        <w:rPr>
          <w:color w:val="000000"/>
          <w:sz w:val="24"/>
          <w:szCs w:val="24"/>
        </w:rPr>
        <w:t>he following order will be issued</w:t>
      </w:r>
      <w:r w:rsidR="00796E78" w:rsidRPr="004D72DF">
        <w:rPr>
          <w:color w:val="000000"/>
          <w:sz w:val="24"/>
          <w:szCs w:val="24"/>
        </w:rPr>
        <w:t>.</w:t>
      </w:r>
    </w:p>
    <w:p w14:paraId="2631F109" w14:textId="49FA19DA" w:rsidR="00AD1035" w:rsidRDefault="00AD1035" w:rsidP="00FF7A45">
      <w:pPr>
        <w:spacing w:line="360" w:lineRule="auto"/>
        <w:jc w:val="center"/>
        <w:rPr>
          <w:sz w:val="24"/>
          <w:szCs w:val="24"/>
          <w:u w:val="single"/>
        </w:rPr>
      </w:pPr>
    </w:p>
    <w:p w14:paraId="1ABEA93F" w14:textId="1F6FA2B1" w:rsidR="003B5A2A" w:rsidRDefault="003B5A2A" w:rsidP="00FF7A45">
      <w:pPr>
        <w:spacing w:line="360" w:lineRule="auto"/>
        <w:jc w:val="center"/>
        <w:rPr>
          <w:sz w:val="24"/>
          <w:szCs w:val="24"/>
          <w:u w:val="single"/>
        </w:rPr>
      </w:pPr>
    </w:p>
    <w:p w14:paraId="18C11ABF" w14:textId="432BDEF0" w:rsidR="003B5A2A" w:rsidRDefault="003B5A2A" w:rsidP="00FF7A45">
      <w:pPr>
        <w:spacing w:line="360" w:lineRule="auto"/>
        <w:jc w:val="center"/>
        <w:rPr>
          <w:sz w:val="24"/>
          <w:szCs w:val="24"/>
          <w:u w:val="single"/>
        </w:rPr>
      </w:pPr>
    </w:p>
    <w:p w14:paraId="051476F5" w14:textId="7D243957" w:rsidR="003B5A2A" w:rsidRDefault="003B5A2A" w:rsidP="00FF7A45">
      <w:pPr>
        <w:spacing w:line="360" w:lineRule="auto"/>
        <w:jc w:val="center"/>
        <w:rPr>
          <w:sz w:val="24"/>
          <w:szCs w:val="24"/>
          <w:u w:val="single"/>
        </w:rPr>
      </w:pPr>
    </w:p>
    <w:p w14:paraId="71B8C27A" w14:textId="5809B688" w:rsidR="003B5A2A" w:rsidRDefault="003B5A2A" w:rsidP="00FF7A45">
      <w:pPr>
        <w:spacing w:line="360" w:lineRule="auto"/>
        <w:jc w:val="center"/>
        <w:rPr>
          <w:sz w:val="24"/>
          <w:szCs w:val="24"/>
          <w:u w:val="single"/>
        </w:rPr>
      </w:pPr>
    </w:p>
    <w:p w14:paraId="07AC751F" w14:textId="7E15E772" w:rsidR="003B5A2A" w:rsidRDefault="003B5A2A" w:rsidP="00FF7A45">
      <w:pPr>
        <w:spacing w:line="360" w:lineRule="auto"/>
        <w:jc w:val="center"/>
        <w:rPr>
          <w:sz w:val="24"/>
          <w:szCs w:val="24"/>
          <w:u w:val="single"/>
        </w:rPr>
      </w:pPr>
    </w:p>
    <w:p w14:paraId="295D01AB" w14:textId="7015BD55" w:rsidR="003B5A2A" w:rsidRDefault="003B5A2A" w:rsidP="00FF7A45">
      <w:pPr>
        <w:spacing w:line="360" w:lineRule="auto"/>
        <w:jc w:val="center"/>
        <w:rPr>
          <w:sz w:val="24"/>
          <w:szCs w:val="24"/>
          <w:u w:val="single"/>
        </w:rPr>
      </w:pPr>
    </w:p>
    <w:p w14:paraId="0D0D5946" w14:textId="54267B6A" w:rsidR="003B5A2A" w:rsidRDefault="003B5A2A" w:rsidP="00FF7A45">
      <w:pPr>
        <w:spacing w:line="360" w:lineRule="auto"/>
        <w:jc w:val="center"/>
        <w:rPr>
          <w:sz w:val="24"/>
          <w:szCs w:val="24"/>
          <w:u w:val="single"/>
        </w:rPr>
      </w:pPr>
    </w:p>
    <w:p w14:paraId="6359790F" w14:textId="2E85D7CA" w:rsidR="003B5A2A" w:rsidRDefault="003B5A2A">
      <w:pPr>
        <w:rPr>
          <w:sz w:val="24"/>
          <w:szCs w:val="24"/>
          <w:u w:val="single"/>
        </w:rPr>
      </w:pPr>
      <w:r>
        <w:rPr>
          <w:sz w:val="24"/>
          <w:szCs w:val="24"/>
          <w:u w:val="single"/>
        </w:rPr>
        <w:br w:type="page"/>
      </w:r>
    </w:p>
    <w:p w14:paraId="5FB42816" w14:textId="77777777" w:rsidR="003B5A2A" w:rsidRPr="004D72DF" w:rsidRDefault="003B5A2A" w:rsidP="00FF7A45">
      <w:pPr>
        <w:spacing w:line="360" w:lineRule="auto"/>
        <w:jc w:val="center"/>
        <w:rPr>
          <w:sz w:val="24"/>
          <w:szCs w:val="24"/>
          <w:u w:val="single"/>
        </w:rPr>
      </w:pPr>
    </w:p>
    <w:p w14:paraId="64F8B218" w14:textId="77777777" w:rsidR="00FF7A45" w:rsidRPr="004D72DF" w:rsidRDefault="00FF7A45" w:rsidP="00FF7A45">
      <w:pPr>
        <w:spacing w:line="360" w:lineRule="auto"/>
        <w:jc w:val="center"/>
        <w:rPr>
          <w:sz w:val="24"/>
          <w:szCs w:val="24"/>
        </w:rPr>
      </w:pPr>
      <w:r w:rsidRPr="004D72DF">
        <w:rPr>
          <w:sz w:val="24"/>
          <w:szCs w:val="24"/>
          <w:u w:val="single"/>
        </w:rPr>
        <w:t>ORDER</w:t>
      </w:r>
    </w:p>
    <w:p w14:paraId="33D53C07" w14:textId="77777777" w:rsidR="002F2F6A" w:rsidRPr="004D72DF" w:rsidRDefault="002F2F6A" w:rsidP="00FF7A45">
      <w:pPr>
        <w:spacing w:line="360" w:lineRule="auto"/>
        <w:ind w:firstLine="1440"/>
        <w:rPr>
          <w:sz w:val="24"/>
          <w:szCs w:val="24"/>
        </w:rPr>
      </w:pPr>
    </w:p>
    <w:p w14:paraId="166CB54F" w14:textId="77777777" w:rsidR="00FF7A45" w:rsidRPr="004D72DF" w:rsidRDefault="00FF7A45" w:rsidP="00FF7A45">
      <w:pPr>
        <w:spacing w:line="360" w:lineRule="auto"/>
        <w:ind w:firstLine="1440"/>
        <w:rPr>
          <w:sz w:val="24"/>
          <w:szCs w:val="24"/>
        </w:rPr>
      </w:pPr>
      <w:r w:rsidRPr="004D72DF">
        <w:rPr>
          <w:sz w:val="24"/>
          <w:szCs w:val="24"/>
        </w:rPr>
        <w:t>THEREFORE,</w:t>
      </w:r>
    </w:p>
    <w:p w14:paraId="6374463A" w14:textId="77777777" w:rsidR="00FF7A45" w:rsidRPr="004D72DF" w:rsidRDefault="00FF7A45" w:rsidP="00FF7A45">
      <w:pPr>
        <w:tabs>
          <w:tab w:val="left" w:pos="2205"/>
        </w:tabs>
        <w:spacing w:line="360" w:lineRule="auto"/>
        <w:ind w:firstLine="1440"/>
        <w:rPr>
          <w:sz w:val="24"/>
          <w:szCs w:val="24"/>
        </w:rPr>
      </w:pPr>
      <w:r w:rsidRPr="004D72DF">
        <w:rPr>
          <w:sz w:val="24"/>
          <w:szCs w:val="24"/>
        </w:rPr>
        <w:tab/>
      </w:r>
    </w:p>
    <w:p w14:paraId="7EB7178D" w14:textId="77777777" w:rsidR="00FF7A45" w:rsidRPr="004D72DF" w:rsidRDefault="00FF7A45" w:rsidP="00FF7A45">
      <w:pPr>
        <w:spacing w:line="360" w:lineRule="auto"/>
        <w:ind w:firstLine="1440"/>
        <w:rPr>
          <w:sz w:val="24"/>
          <w:szCs w:val="24"/>
        </w:rPr>
      </w:pPr>
      <w:r w:rsidRPr="004D72DF">
        <w:rPr>
          <w:sz w:val="24"/>
          <w:szCs w:val="24"/>
        </w:rPr>
        <w:t>IT IS ORDERED:</w:t>
      </w:r>
    </w:p>
    <w:p w14:paraId="510F7F6C" w14:textId="77777777" w:rsidR="00FF7A45" w:rsidRPr="004D72DF" w:rsidRDefault="00FF7A45" w:rsidP="00FF7A45">
      <w:pPr>
        <w:spacing w:line="360" w:lineRule="auto"/>
        <w:ind w:firstLine="1440"/>
        <w:rPr>
          <w:sz w:val="24"/>
          <w:szCs w:val="24"/>
        </w:rPr>
      </w:pPr>
    </w:p>
    <w:p w14:paraId="5A982E2C" w14:textId="14A4B3C5" w:rsidR="00FF7A45" w:rsidRDefault="00FF7A45" w:rsidP="00FF7A45">
      <w:pPr>
        <w:spacing w:line="360" w:lineRule="auto"/>
        <w:ind w:firstLine="1440"/>
        <w:rPr>
          <w:sz w:val="24"/>
          <w:szCs w:val="24"/>
        </w:rPr>
      </w:pPr>
      <w:r w:rsidRPr="004D72DF">
        <w:rPr>
          <w:sz w:val="24"/>
          <w:szCs w:val="24"/>
        </w:rPr>
        <w:t>1.</w:t>
      </w:r>
      <w:r w:rsidRPr="004D72DF">
        <w:rPr>
          <w:sz w:val="24"/>
          <w:szCs w:val="24"/>
        </w:rPr>
        <w:tab/>
        <w:t xml:space="preserve"> </w:t>
      </w:r>
      <w:r w:rsidR="0003534D" w:rsidRPr="004D72DF">
        <w:rPr>
          <w:sz w:val="24"/>
          <w:szCs w:val="24"/>
        </w:rPr>
        <w:t>That t</w:t>
      </w:r>
      <w:r w:rsidRPr="004D72DF">
        <w:rPr>
          <w:sz w:val="24"/>
          <w:szCs w:val="24"/>
        </w:rPr>
        <w:t xml:space="preserve">he </w:t>
      </w:r>
      <w:r w:rsidR="003C5393" w:rsidRPr="00ED1655">
        <w:rPr>
          <w:bCs/>
          <w:sz w:val="24"/>
          <w:szCs w:val="24"/>
        </w:rPr>
        <w:t xml:space="preserve">2018 </w:t>
      </w:r>
      <w:r w:rsidR="003C5393">
        <w:rPr>
          <w:bCs/>
          <w:sz w:val="24"/>
          <w:szCs w:val="24"/>
        </w:rPr>
        <w:t xml:space="preserve">and 2019 </w:t>
      </w:r>
      <w:r w:rsidR="003C5393" w:rsidRPr="00ED1655">
        <w:rPr>
          <w:bCs/>
          <w:sz w:val="24"/>
          <w:szCs w:val="24"/>
        </w:rPr>
        <w:t>Annual Price Stability Index/Service Price Index Report</w:t>
      </w:r>
      <w:r w:rsidR="003C5393">
        <w:rPr>
          <w:bCs/>
          <w:sz w:val="24"/>
          <w:szCs w:val="24"/>
        </w:rPr>
        <w:t>s</w:t>
      </w:r>
      <w:r w:rsidR="00E61B97" w:rsidRPr="004D72DF">
        <w:rPr>
          <w:sz w:val="24"/>
          <w:szCs w:val="24"/>
        </w:rPr>
        <w:t xml:space="preserve"> filed by </w:t>
      </w:r>
      <w:r w:rsidR="003C5393" w:rsidRPr="00ED1655">
        <w:rPr>
          <w:bCs/>
          <w:sz w:val="24"/>
          <w:szCs w:val="24"/>
        </w:rPr>
        <w:t>United Telephone Company of Pennsylvania LLC d/b/a CenturyLink</w:t>
      </w:r>
      <w:r w:rsidR="00C2605C" w:rsidRPr="004D72DF">
        <w:rPr>
          <w:sz w:val="24"/>
          <w:szCs w:val="24"/>
        </w:rPr>
        <w:t xml:space="preserve"> </w:t>
      </w:r>
      <w:r w:rsidR="00E61B97" w:rsidRPr="004D72DF">
        <w:rPr>
          <w:sz w:val="24"/>
          <w:szCs w:val="24"/>
        </w:rPr>
        <w:t>at Docket No</w:t>
      </w:r>
      <w:r w:rsidR="00C2605C" w:rsidRPr="004D72DF">
        <w:rPr>
          <w:sz w:val="24"/>
          <w:szCs w:val="24"/>
        </w:rPr>
        <w:t>s</w:t>
      </w:r>
      <w:r w:rsidR="00E61B97" w:rsidRPr="004D72DF">
        <w:rPr>
          <w:sz w:val="24"/>
          <w:szCs w:val="24"/>
        </w:rPr>
        <w:t>.</w:t>
      </w:r>
      <w:r w:rsidR="00C2605C" w:rsidRPr="004D72DF">
        <w:rPr>
          <w:sz w:val="24"/>
          <w:szCs w:val="24"/>
        </w:rPr>
        <w:t xml:space="preserve"> </w:t>
      </w:r>
      <w:r w:rsidR="003C5393" w:rsidRPr="00EB37A1">
        <w:rPr>
          <w:bCs/>
          <w:sz w:val="24"/>
          <w:szCs w:val="24"/>
        </w:rPr>
        <w:t>R-2018-3004019</w:t>
      </w:r>
      <w:r w:rsidR="00FF0BAB">
        <w:rPr>
          <w:sz w:val="24"/>
          <w:szCs w:val="24"/>
        </w:rPr>
        <w:t xml:space="preserve"> and </w:t>
      </w:r>
      <w:r w:rsidR="003C5393" w:rsidRPr="00EB37A1">
        <w:rPr>
          <w:bCs/>
          <w:sz w:val="24"/>
          <w:szCs w:val="24"/>
        </w:rPr>
        <w:t>R-2019-3012238</w:t>
      </w:r>
      <w:r w:rsidR="003C5393">
        <w:rPr>
          <w:bCs/>
          <w:sz w:val="24"/>
          <w:szCs w:val="24"/>
        </w:rPr>
        <w:t xml:space="preserve">, as well as the associated complaints in those respective matters at Docket Nos. </w:t>
      </w:r>
      <w:r w:rsidR="008B558C" w:rsidRPr="004D72DF">
        <w:rPr>
          <w:sz w:val="24"/>
          <w:szCs w:val="24"/>
        </w:rPr>
        <w:t xml:space="preserve"> </w:t>
      </w:r>
      <w:r w:rsidR="003C5393" w:rsidRPr="00EB37A1">
        <w:rPr>
          <w:bCs/>
          <w:sz w:val="24"/>
          <w:szCs w:val="24"/>
        </w:rPr>
        <w:t>C-2018-3005400</w:t>
      </w:r>
      <w:r w:rsidR="003C5393">
        <w:rPr>
          <w:bCs/>
          <w:sz w:val="24"/>
          <w:szCs w:val="24"/>
        </w:rPr>
        <w:t xml:space="preserve"> and </w:t>
      </w:r>
      <w:r w:rsidR="003C5393" w:rsidRPr="00EB37A1">
        <w:rPr>
          <w:bCs/>
          <w:sz w:val="24"/>
          <w:szCs w:val="24"/>
        </w:rPr>
        <w:t>C-2019-3012876</w:t>
      </w:r>
      <w:r w:rsidR="003C5393">
        <w:rPr>
          <w:bCs/>
          <w:sz w:val="24"/>
          <w:szCs w:val="24"/>
        </w:rPr>
        <w:t xml:space="preserve"> </w:t>
      </w:r>
      <w:r w:rsidR="0003534D" w:rsidRPr="004D72DF">
        <w:rPr>
          <w:sz w:val="24"/>
          <w:szCs w:val="24"/>
        </w:rPr>
        <w:t xml:space="preserve">are consolidated for purposes </w:t>
      </w:r>
      <w:r w:rsidR="00797810" w:rsidRPr="004D72DF">
        <w:rPr>
          <w:sz w:val="24"/>
          <w:szCs w:val="24"/>
        </w:rPr>
        <w:t>of</w:t>
      </w:r>
      <w:r w:rsidR="0003534D" w:rsidRPr="004D72DF">
        <w:rPr>
          <w:sz w:val="24"/>
          <w:szCs w:val="24"/>
        </w:rPr>
        <w:t xml:space="preserve"> hearing and decision</w:t>
      </w:r>
      <w:r w:rsidR="00AF7578" w:rsidRPr="004D72DF">
        <w:rPr>
          <w:sz w:val="24"/>
          <w:szCs w:val="24"/>
        </w:rPr>
        <w:t>,</w:t>
      </w:r>
      <w:r w:rsidR="008B558C" w:rsidRPr="004D72DF">
        <w:rPr>
          <w:sz w:val="24"/>
          <w:szCs w:val="24"/>
        </w:rPr>
        <w:t xml:space="preserve"> pursuant to 52 Pa. Code §5.81</w:t>
      </w:r>
      <w:r w:rsidRPr="004D72DF">
        <w:rPr>
          <w:sz w:val="24"/>
          <w:szCs w:val="24"/>
        </w:rPr>
        <w:t>.</w:t>
      </w:r>
    </w:p>
    <w:p w14:paraId="0D913D59" w14:textId="17EB3C54" w:rsidR="003C5393" w:rsidRDefault="003C5393" w:rsidP="00FF7A45">
      <w:pPr>
        <w:spacing w:line="360" w:lineRule="auto"/>
        <w:ind w:firstLine="1440"/>
        <w:rPr>
          <w:sz w:val="24"/>
          <w:szCs w:val="24"/>
        </w:rPr>
      </w:pPr>
    </w:p>
    <w:p w14:paraId="36761073" w14:textId="560E494E" w:rsidR="003C5393" w:rsidRPr="004D72DF" w:rsidRDefault="003C5393" w:rsidP="00FF7A45">
      <w:pPr>
        <w:spacing w:line="360" w:lineRule="auto"/>
        <w:ind w:firstLine="1440"/>
        <w:rPr>
          <w:sz w:val="24"/>
          <w:szCs w:val="24"/>
        </w:rPr>
      </w:pPr>
      <w:r>
        <w:rPr>
          <w:sz w:val="24"/>
          <w:szCs w:val="24"/>
        </w:rPr>
        <w:t>2.</w:t>
      </w:r>
      <w:r>
        <w:rPr>
          <w:sz w:val="24"/>
          <w:szCs w:val="24"/>
        </w:rPr>
        <w:tab/>
        <w:t>That a telephonic prehearing conference in these matters will be scheduled for December 17, 2019 at 2:00 p.m.</w:t>
      </w:r>
    </w:p>
    <w:p w14:paraId="1B3022F5" w14:textId="77777777" w:rsidR="00FF7A45" w:rsidRDefault="00FF7A45" w:rsidP="00FF7A45">
      <w:pPr>
        <w:spacing w:line="360" w:lineRule="auto"/>
        <w:rPr>
          <w:sz w:val="24"/>
          <w:szCs w:val="24"/>
        </w:rPr>
      </w:pPr>
    </w:p>
    <w:p w14:paraId="20B9C3BC" w14:textId="77777777" w:rsidR="00925C70" w:rsidRPr="004D72DF" w:rsidRDefault="00925C70" w:rsidP="00FF7A45">
      <w:pPr>
        <w:spacing w:line="360" w:lineRule="auto"/>
        <w:rPr>
          <w:sz w:val="24"/>
          <w:szCs w:val="24"/>
        </w:rPr>
      </w:pPr>
    </w:p>
    <w:p w14:paraId="1196B5A7" w14:textId="4CB1FDD9" w:rsidR="00B20E68" w:rsidRPr="004D72DF" w:rsidRDefault="00B20E68" w:rsidP="00B20E68">
      <w:pPr>
        <w:pStyle w:val="ParaTab1"/>
        <w:tabs>
          <w:tab w:val="clear" w:pos="-720"/>
          <w:tab w:val="left" w:pos="720"/>
          <w:tab w:val="left" w:pos="5040"/>
        </w:tabs>
        <w:ind w:firstLine="0"/>
        <w:rPr>
          <w:rFonts w:ascii="Times New Roman" w:hAnsi="Times New Roman" w:cs="Times New Roman"/>
          <w:spacing w:val="-3"/>
        </w:rPr>
      </w:pPr>
      <w:r w:rsidRPr="004D72DF">
        <w:rPr>
          <w:rFonts w:ascii="Times New Roman" w:hAnsi="Times New Roman" w:cs="Times New Roman"/>
          <w:spacing w:val="-3"/>
        </w:rPr>
        <w:t>Date:</w:t>
      </w:r>
      <w:r w:rsidRPr="004D72DF">
        <w:rPr>
          <w:rFonts w:ascii="Times New Roman" w:hAnsi="Times New Roman" w:cs="Times New Roman"/>
          <w:spacing w:val="-3"/>
        </w:rPr>
        <w:tab/>
      </w:r>
      <w:r w:rsidR="003B5A2A" w:rsidRPr="003B5A2A">
        <w:rPr>
          <w:rFonts w:ascii="Times New Roman" w:hAnsi="Times New Roman" w:cs="Times New Roman"/>
          <w:spacing w:val="-3"/>
          <w:u w:val="single"/>
        </w:rPr>
        <w:t>November 20, 2019</w:t>
      </w:r>
      <w:r w:rsidRPr="004D72DF">
        <w:rPr>
          <w:rFonts w:ascii="Times New Roman" w:hAnsi="Times New Roman" w:cs="Times New Roman"/>
          <w:spacing w:val="-3"/>
        </w:rPr>
        <w:tab/>
        <w:t>___________</w:t>
      </w:r>
      <w:r w:rsidR="003B5A2A">
        <w:rPr>
          <w:rFonts w:ascii="Times New Roman" w:hAnsi="Times New Roman" w:cs="Times New Roman"/>
          <w:spacing w:val="-3"/>
        </w:rPr>
        <w:t>/s/</w:t>
      </w:r>
      <w:r w:rsidRPr="004D72DF">
        <w:rPr>
          <w:rFonts w:ascii="Times New Roman" w:hAnsi="Times New Roman" w:cs="Times New Roman"/>
          <w:spacing w:val="-3"/>
        </w:rPr>
        <w:t>____________</w:t>
      </w:r>
    </w:p>
    <w:p w14:paraId="5DC37D8A" w14:textId="5A473E2B" w:rsidR="00B20E68" w:rsidRPr="004D72DF" w:rsidRDefault="00FF0BAB" w:rsidP="00B20E68">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3C5393">
        <w:rPr>
          <w:rFonts w:ascii="Times New Roman" w:hAnsi="Times New Roman" w:cs="Times New Roman"/>
          <w:spacing w:val="-3"/>
        </w:rPr>
        <w:t>Joel H. Cheskis</w:t>
      </w:r>
    </w:p>
    <w:p w14:paraId="2FB407FA" w14:textId="5D90BF4B" w:rsidR="00DF2D25" w:rsidRDefault="00B20E68" w:rsidP="00F93785">
      <w:pPr>
        <w:pStyle w:val="ParaTab1"/>
        <w:tabs>
          <w:tab w:val="clear" w:pos="-720"/>
          <w:tab w:val="left" w:pos="720"/>
          <w:tab w:val="left" w:pos="5040"/>
        </w:tabs>
        <w:ind w:firstLine="0"/>
        <w:rPr>
          <w:rFonts w:ascii="Times New Roman" w:hAnsi="Times New Roman"/>
        </w:rPr>
      </w:pPr>
      <w:r w:rsidRPr="004D72DF">
        <w:rPr>
          <w:rFonts w:ascii="Times New Roman" w:hAnsi="Times New Roman"/>
        </w:rPr>
        <w:tab/>
      </w:r>
      <w:r w:rsidRPr="004D72DF">
        <w:rPr>
          <w:rFonts w:ascii="Times New Roman" w:hAnsi="Times New Roman"/>
        </w:rPr>
        <w:tab/>
      </w:r>
      <w:r w:rsidR="00F93785">
        <w:rPr>
          <w:rFonts w:ascii="Times New Roman" w:hAnsi="Times New Roman"/>
        </w:rPr>
        <w:t>Administrative Law Judge</w:t>
      </w:r>
    </w:p>
    <w:p w14:paraId="15078B3F" w14:textId="5D75B20C" w:rsidR="003C5393" w:rsidRDefault="003C5393" w:rsidP="00F93785">
      <w:pPr>
        <w:pStyle w:val="ParaTab1"/>
        <w:tabs>
          <w:tab w:val="clear" w:pos="-720"/>
          <w:tab w:val="left" w:pos="720"/>
          <w:tab w:val="left" w:pos="5040"/>
        </w:tabs>
        <w:ind w:firstLine="0"/>
        <w:rPr>
          <w:rFonts w:ascii="Times New Roman" w:hAnsi="Times New Roman"/>
        </w:rPr>
      </w:pPr>
    </w:p>
    <w:p w14:paraId="073C5F1D" w14:textId="52D9E6F5" w:rsidR="003C5393" w:rsidRDefault="003C5393" w:rsidP="00F93785">
      <w:pPr>
        <w:pStyle w:val="ParaTab1"/>
        <w:tabs>
          <w:tab w:val="clear" w:pos="-720"/>
          <w:tab w:val="left" w:pos="720"/>
          <w:tab w:val="left" w:pos="5040"/>
        </w:tabs>
        <w:ind w:firstLine="0"/>
        <w:rPr>
          <w:rFonts w:ascii="Times New Roman" w:hAnsi="Times New Roman"/>
        </w:rPr>
      </w:pPr>
    </w:p>
    <w:p w14:paraId="0C7E3972" w14:textId="77777777" w:rsidR="00E07CF1" w:rsidRDefault="00E07CF1" w:rsidP="00F93785">
      <w:pPr>
        <w:pStyle w:val="ParaTab1"/>
        <w:tabs>
          <w:tab w:val="clear" w:pos="-720"/>
          <w:tab w:val="left" w:pos="720"/>
          <w:tab w:val="left" w:pos="5040"/>
        </w:tabs>
        <w:ind w:firstLine="0"/>
        <w:rPr>
          <w:rFonts w:ascii="Times New Roman" w:hAnsi="Times New Roman"/>
        </w:rPr>
      </w:pPr>
    </w:p>
    <w:p w14:paraId="275DFCF3" w14:textId="014B81C2" w:rsidR="003C5393" w:rsidRPr="004D72DF" w:rsidRDefault="003C5393" w:rsidP="003C5393">
      <w:pPr>
        <w:pStyle w:val="ParaTab1"/>
        <w:tabs>
          <w:tab w:val="clear" w:pos="-720"/>
          <w:tab w:val="left" w:pos="720"/>
          <w:tab w:val="left" w:pos="5040"/>
        </w:tabs>
        <w:ind w:firstLine="0"/>
        <w:rPr>
          <w:rFonts w:ascii="Times New Roman" w:hAnsi="Times New Roman" w:cs="Times New Roman"/>
          <w:spacing w:val="-3"/>
        </w:rPr>
      </w:pPr>
      <w:r w:rsidRPr="004D72DF">
        <w:rPr>
          <w:rFonts w:ascii="Times New Roman" w:hAnsi="Times New Roman" w:cs="Times New Roman"/>
          <w:spacing w:val="-3"/>
        </w:rPr>
        <w:t>Date:</w:t>
      </w:r>
      <w:r w:rsidRPr="004D72DF">
        <w:rPr>
          <w:rFonts w:ascii="Times New Roman" w:hAnsi="Times New Roman" w:cs="Times New Roman"/>
          <w:spacing w:val="-3"/>
        </w:rPr>
        <w:tab/>
      </w:r>
      <w:r w:rsidR="003B5A2A" w:rsidRPr="003B5A2A">
        <w:rPr>
          <w:rFonts w:ascii="Times New Roman" w:hAnsi="Times New Roman" w:cs="Times New Roman"/>
          <w:spacing w:val="-3"/>
          <w:u w:val="single"/>
        </w:rPr>
        <w:t>November 20, 2019</w:t>
      </w:r>
      <w:r w:rsidRPr="004D72DF">
        <w:rPr>
          <w:rFonts w:ascii="Times New Roman" w:hAnsi="Times New Roman" w:cs="Times New Roman"/>
          <w:spacing w:val="-3"/>
        </w:rPr>
        <w:tab/>
        <w:t>___________</w:t>
      </w:r>
      <w:r w:rsidR="003B5A2A">
        <w:rPr>
          <w:rFonts w:ascii="Times New Roman" w:hAnsi="Times New Roman" w:cs="Times New Roman"/>
          <w:spacing w:val="-3"/>
        </w:rPr>
        <w:t>/s/</w:t>
      </w:r>
      <w:r w:rsidRPr="004D72DF">
        <w:rPr>
          <w:rFonts w:ascii="Times New Roman" w:hAnsi="Times New Roman" w:cs="Times New Roman"/>
          <w:spacing w:val="-3"/>
        </w:rPr>
        <w:t>____________</w:t>
      </w:r>
    </w:p>
    <w:p w14:paraId="5BBDB7C3" w14:textId="77777777" w:rsidR="003C5393" w:rsidRPr="004D72DF" w:rsidRDefault="003C5393" w:rsidP="003C5393">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Benjamin J. Myers</w:t>
      </w:r>
    </w:p>
    <w:p w14:paraId="28A2CA6D" w14:textId="4C861F11" w:rsidR="003B5A2A" w:rsidRDefault="003C5393" w:rsidP="00266D96">
      <w:pPr>
        <w:pStyle w:val="ParaTab1"/>
        <w:tabs>
          <w:tab w:val="clear" w:pos="-720"/>
          <w:tab w:val="left" w:pos="720"/>
          <w:tab w:val="left" w:pos="5040"/>
        </w:tabs>
        <w:ind w:firstLine="0"/>
        <w:rPr>
          <w:rFonts w:ascii="Times New Roman" w:hAnsi="Times New Roman"/>
        </w:rPr>
      </w:pPr>
      <w:r w:rsidRPr="004D72DF">
        <w:rPr>
          <w:rFonts w:ascii="Times New Roman" w:hAnsi="Times New Roman"/>
        </w:rPr>
        <w:tab/>
      </w:r>
      <w:r w:rsidRPr="004D72DF">
        <w:rPr>
          <w:rFonts w:ascii="Times New Roman" w:hAnsi="Times New Roman"/>
        </w:rPr>
        <w:tab/>
      </w:r>
      <w:r>
        <w:rPr>
          <w:rFonts w:ascii="Times New Roman" w:hAnsi="Times New Roman"/>
        </w:rPr>
        <w:t>Administrative Law Judge</w:t>
      </w:r>
    </w:p>
    <w:p w14:paraId="5062B959" w14:textId="77777777" w:rsidR="003B5A2A" w:rsidRDefault="003B5A2A">
      <w:pPr>
        <w:rPr>
          <w:rFonts w:cs="CG Times"/>
          <w:sz w:val="24"/>
          <w:szCs w:val="24"/>
        </w:rPr>
      </w:pPr>
      <w:r>
        <w:br w:type="page"/>
      </w:r>
    </w:p>
    <w:p w14:paraId="766D73EE" w14:textId="77777777" w:rsidR="003B5A2A" w:rsidRPr="00796B88" w:rsidRDefault="003B5A2A" w:rsidP="003B5A2A">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R-2018-3004019 - et al - PENNSYLVANIA PUBLIC UTILITY COMMISSION v. UNITED TELEPHONE COMPANY OF PENNSYLVANIA d/b/a CENTURYLINK</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br/>
        <w:t>C-2018-3005400 - et al - OFFICE OF CONSUMER ADVOCATE v. UNITED TELEPHONE COMPANY OF PENNSYLVANIA d/b/a CENTURYLINK</w:t>
      </w:r>
      <w:r>
        <w:rPr>
          <w:rFonts w:ascii="Microsoft Sans Serif" w:eastAsia="Microsoft Sans Serif" w:hAnsi="Microsoft Sans Serif" w:cs="Microsoft Sans Serif"/>
          <w:b/>
          <w:sz w:val="24"/>
          <w:u w:val="single"/>
        </w:rPr>
        <w:b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THOMAS A BAILEY ESQUIRE</w:t>
      </w:r>
      <w:r>
        <w:rPr>
          <w:rFonts w:ascii="Microsoft Sans Serif" w:eastAsia="Microsoft Sans Serif" w:hAnsi="Microsoft Sans Serif" w:cs="Microsoft Sans Serif"/>
          <w:sz w:val="24"/>
        </w:rPr>
        <w:br/>
        <w:t xml:space="preserve">ZSUZSANNA E BENEDEK ESQUIRE </w:t>
      </w:r>
      <w:r>
        <w:rPr>
          <w:rFonts w:ascii="Microsoft Sans Serif" w:eastAsia="Microsoft Sans Serif" w:hAnsi="Microsoft Sans Serif" w:cs="Microsoft Sans Serif"/>
          <w:sz w:val="24"/>
        </w:rPr>
        <w:cr/>
        <w:t>CENTURYLINK</w:t>
      </w:r>
      <w:r>
        <w:rPr>
          <w:rFonts w:ascii="Microsoft Sans Serif" w:eastAsia="Microsoft Sans Serif" w:hAnsi="Microsoft Sans Serif" w:cs="Microsoft Sans Serif"/>
          <w:sz w:val="24"/>
        </w:rPr>
        <w:cr/>
        <w:t>240 NORTH THIRD STREET SUITE 300</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796B88">
        <w:rPr>
          <w:rFonts w:ascii="Microsoft Sans Serif" w:eastAsia="Microsoft Sans Serif" w:hAnsi="Microsoft Sans Serif" w:cs="Microsoft Sans Serif"/>
          <w:b/>
          <w:sz w:val="24"/>
        </w:rPr>
        <w:t>717.245.7747</w:t>
      </w:r>
      <w:r>
        <w:rPr>
          <w:rFonts w:ascii="Microsoft Sans Serif" w:eastAsia="Microsoft Sans Serif" w:hAnsi="Microsoft Sans Serif" w:cs="Microsoft Sans Serif"/>
          <w:b/>
          <w:sz w:val="24"/>
        </w:rPr>
        <w:br/>
        <w:t>717.245.6346</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 xml:space="preserve">STEVEN C GRAY ESQUIRE </w:t>
      </w:r>
      <w:r>
        <w:rPr>
          <w:rFonts w:ascii="Microsoft Sans Serif" w:eastAsia="Microsoft Sans Serif" w:hAnsi="Microsoft Sans Serif" w:cs="Microsoft Sans Serif"/>
          <w:sz w:val="24"/>
        </w:rPr>
        <w:br/>
        <w:t>SHARON WEBB ESQUIRE</w:t>
      </w:r>
      <w:r>
        <w:rPr>
          <w:rFonts w:ascii="Microsoft Sans Serif" w:eastAsia="Microsoft Sans Serif" w:hAnsi="Microsoft Sans Serif" w:cs="Microsoft Sans Serif"/>
          <w:sz w:val="24"/>
        </w:rPr>
        <w:cr/>
        <w:t>OFFICE OF SMALL BUSINESS ADVOCATE</w:t>
      </w:r>
      <w:r>
        <w:rPr>
          <w:rFonts w:ascii="Microsoft Sans Serif" w:eastAsia="Microsoft Sans Serif" w:hAnsi="Microsoft Sans Serif" w:cs="Microsoft Sans Serif"/>
          <w:sz w:val="24"/>
        </w:rPr>
        <w:cr/>
        <w:t>555 WALNUT STREET</w:t>
      </w:r>
      <w:r>
        <w:rPr>
          <w:rFonts w:ascii="Microsoft Sans Serif" w:eastAsia="Microsoft Sans Serif" w:hAnsi="Microsoft Sans Serif" w:cs="Microsoft Sans Serif"/>
          <w:sz w:val="24"/>
        </w:rPr>
        <w:br/>
        <w:t>FORUM PLACE, 1</w:t>
      </w:r>
      <w:r w:rsidRPr="000D1375">
        <w:rPr>
          <w:rFonts w:ascii="Microsoft Sans Serif" w:eastAsia="Microsoft Sans Serif" w:hAnsi="Microsoft Sans Serif" w:cs="Microsoft Sans Serif"/>
          <w:sz w:val="24"/>
          <w:vertAlign w:val="superscript"/>
        </w:rPr>
        <w:t>ST</w:t>
      </w:r>
      <w:r>
        <w:rPr>
          <w:rFonts w:ascii="Microsoft Sans Serif" w:eastAsia="Microsoft Sans Serif" w:hAnsi="Microsoft Sans Serif" w:cs="Microsoft Sans Serif"/>
          <w:sz w:val="24"/>
        </w:rPr>
        <w:t xml:space="preserve"> FLOOR </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796B88">
        <w:rPr>
          <w:rFonts w:ascii="Microsoft Sans Serif" w:eastAsia="Microsoft Sans Serif" w:hAnsi="Microsoft Sans Serif" w:cs="Microsoft Sans Serif"/>
          <w:b/>
          <w:sz w:val="24"/>
        </w:rPr>
        <w:t>717.783.2525</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*BARRETT SHERIDAN ESQUIRE</w:t>
      </w:r>
      <w:r>
        <w:rPr>
          <w:rFonts w:ascii="Microsoft Sans Serif" w:eastAsia="Microsoft Sans Serif" w:hAnsi="Microsoft Sans Serif" w:cs="Microsoft Sans Serif"/>
          <w:sz w:val="24"/>
        </w:rPr>
        <w:br/>
        <w:t>TANYA J MCCLOSKEY ESQUIRE</w:t>
      </w:r>
      <w:r>
        <w:rPr>
          <w:rFonts w:ascii="Microsoft Sans Serif" w:eastAsia="Microsoft Sans Serif" w:hAnsi="Microsoft Sans Serif" w:cs="Microsoft Sans Serif"/>
          <w:sz w:val="24"/>
        </w:rPr>
        <w:cr/>
        <w:t>OFFICE OF CONSUMER ADVOCATE</w:t>
      </w:r>
      <w:r>
        <w:rPr>
          <w:rFonts w:ascii="Microsoft Sans Serif" w:eastAsia="Microsoft Sans Serif" w:hAnsi="Microsoft Sans Serif" w:cs="Microsoft Sans Serif"/>
          <w:sz w:val="24"/>
        </w:rPr>
        <w:cr/>
        <w:t>555 WALNUT STREET 5TH FLOOR FORUM PLACE</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796B88">
        <w:rPr>
          <w:rFonts w:ascii="Microsoft Sans Serif" w:eastAsia="Microsoft Sans Serif" w:hAnsi="Microsoft Sans Serif" w:cs="Microsoft Sans Serif"/>
          <w:b/>
          <w:sz w:val="24"/>
        </w:rPr>
        <w:t>717.783.5048</w:t>
      </w:r>
      <w:r>
        <w:rPr>
          <w:rFonts w:ascii="Microsoft Sans Serif" w:eastAsia="Microsoft Sans Serif" w:hAnsi="Microsoft Sans Serif" w:cs="Microsoft Sans Serif"/>
          <w:sz w:val="24"/>
        </w:rPr>
        <w:cr/>
      </w:r>
      <w:r>
        <w:rPr>
          <w:rFonts w:ascii="Microsoft Sans Serif" w:eastAsia="Microsoft Sans Serif" w:hAnsi="Microsoft Sans Serif" w:cs="Microsoft Sans Serif"/>
          <w:b/>
          <w:i/>
          <w:sz w:val="24"/>
          <w:u w:val="single"/>
        </w:rPr>
        <w:t>*ACCEPTS E-SERVICE</w:t>
      </w:r>
      <w:r>
        <w:rPr>
          <w:rFonts w:ascii="Microsoft Sans Serif" w:eastAsia="Microsoft Sans Serif" w:hAnsi="Microsoft Sans Serif" w:cs="Microsoft Sans Serif"/>
          <w:sz w:val="24"/>
        </w:rPr>
        <w:cr/>
      </w:r>
    </w:p>
    <w:p w14:paraId="1A5F13C5" w14:textId="77777777" w:rsidR="00B20E68" w:rsidRPr="003B5A2A" w:rsidRDefault="00B20E68" w:rsidP="00266D96">
      <w:pPr>
        <w:pStyle w:val="ParaTab1"/>
        <w:tabs>
          <w:tab w:val="clear" w:pos="-720"/>
          <w:tab w:val="left" w:pos="720"/>
          <w:tab w:val="left" w:pos="5040"/>
        </w:tabs>
        <w:ind w:firstLine="0"/>
        <w:rPr>
          <w:rFonts w:asciiTheme="minorHAnsi" w:eastAsiaTheme="minorEastAsia" w:hAnsiTheme="minorHAnsi" w:cstheme="minorBidi"/>
          <w:b/>
          <w:i/>
          <w:sz w:val="22"/>
          <w:szCs w:val="22"/>
          <w:u w:val="single"/>
        </w:rPr>
      </w:pPr>
      <w:bookmarkStart w:id="5" w:name="_GoBack"/>
      <w:bookmarkEnd w:id="5"/>
    </w:p>
    <w:sectPr w:rsidR="00B20E68" w:rsidRPr="003B5A2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AD2E87" w14:textId="77777777" w:rsidR="00BC526E" w:rsidRDefault="00BC526E">
      <w:r>
        <w:separator/>
      </w:r>
    </w:p>
  </w:endnote>
  <w:endnote w:type="continuationSeparator" w:id="0">
    <w:p w14:paraId="32DB2BA4" w14:textId="77777777" w:rsidR="00BC526E" w:rsidRDefault="00BC5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E8220" w14:textId="77777777" w:rsidR="00FF0BAB" w:rsidRDefault="00FF0B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5AB029" w14:textId="77777777" w:rsidR="00BC526E" w:rsidRDefault="00BC526E">
      <w:r>
        <w:separator/>
      </w:r>
    </w:p>
  </w:footnote>
  <w:footnote w:type="continuationSeparator" w:id="0">
    <w:p w14:paraId="7D52FFC0" w14:textId="77777777" w:rsidR="00BC526E" w:rsidRDefault="00BC526E">
      <w:r>
        <w:continuationSeparator/>
      </w:r>
    </w:p>
  </w:footnote>
  <w:footnote w:id="1">
    <w:p w14:paraId="7559B33A" w14:textId="7D931127" w:rsidR="00B74313" w:rsidRDefault="00B74313">
      <w:pPr>
        <w:pStyle w:val="FootnoteText"/>
      </w:pPr>
      <w:r>
        <w:rPr>
          <w:rStyle w:val="FootnoteReference"/>
        </w:rPr>
        <w:footnoteRef/>
      </w:r>
      <w:r>
        <w:t xml:space="preserve"> </w:t>
      </w:r>
      <w:r>
        <w:tab/>
        <w:t>The prehearing conference was rescheduled on several occasions subsequent to January 24, 2019 with the last scheduled to occur on November 14, 2019.  The parties again requested that the prehearing conference be rescheduled to allow the Company the opportunity to complete its last tax filing by the end of November 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0E76C0"/>
    <w:multiLevelType w:val="hybridMultilevel"/>
    <w:tmpl w:val="D7F0D1E4"/>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3707404E"/>
    <w:multiLevelType w:val="hybridMultilevel"/>
    <w:tmpl w:val="09BA6614"/>
    <w:lvl w:ilvl="0" w:tplc="25B034AC">
      <w:start w:val="5"/>
      <w:numFmt w:val="lowerRoman"/>
      <w:lvlText w:val="%1."/>
      <w:lvlJc w:val="left"/>
      <w:pPr>
        <w:tabs>
          <w:tab w:val="num" w:pos="5100"/>
        </w:tabs>
        <w:ind w:left="5100" w:hanging="474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2" w15:restartNumberingAfterBreak="0">
    <w:nsid w:val="62023F60"/>
    <w:multiLevelType w:val="hybridMultilevel"/>
    <w:tmpl w:val="EADED0C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A45"/>
    <w:rsid w:val="0000788E"/>
    <w:rsid w:val="000232EA"/>
    <w:rsid w:val="00030CC7"/>
    <w:rsid w:val="000347E5"/>
    <w:rsid w:val="0003534D"/>
    <w:rsid w:val="000370A7"/>
    <w:rsid w:val="00042FCD"/>
    <w:rsid w:val="00061197"/>
    <w:rsid w:val="00063A51"/>
    <w:rsid w:val="000723C9"/>
    <w:rsid w:val="00075FA0"/>
    <w:rsid w:val="000B1DD9"/>
    <w:rsid w:val="000B5B35"/>
    <w:rsid w:val="000C0F84"/>
    <w:rsid w:val="000C5DE3"/>
    <w:rsid w:val="000D0343"/>
    <w:rsid w:val="000D6258"/>
    <w:rsid w:val="00107D02"/>
    <w:rsid w:val="00116B43"/>
    <w:rsid w:val="001341C0"/>
    <w:rsid w:val="001374E4"/>
    <w:rsid w:val="0015596A"/>
    <w:rsid w:val="0016007B"/>
    <w:rsid w:val="00170FF7"/>
    <w:rsid w:val="00172746"/>
    <w:rsid w:val="00173C54"/>
    <w:rsid w:val="00190430"/>
    <w:rsid w:val="00194095"/>
    <w:rsid w:val="001A63DC"/>
    <w:rsid w:val="001A7579"/>
    <w:rsid w:val="001C11FC"/>
    <w:rsid w:val="001D08F2"/>
    <w:rsid w:val="001D4B6E"/>
    <w:rsid w:val="001E0BD2"/>
    <w:rsid w:val="001E1E25"/>
    <w:rsid w:val="001E4376"/>
    <w:rsid w:val="001E4797"/>
    <w:rsid w:val="002004EA"/>
    <w:rsid w:val="00214908"/>
    <w:rsid w:val="00215B25"/>
    <w:rsid w:val="002326E9"/>
    <w:rsid w:val="00237D06"/>
    <w:rsid w:val="00241663"/>
    <w:rsid w:val="00266D96"/>
    <w:rsid w:val="002823FB"/>
    <w:rsid w:val="002C152A"/>
    <w:rsid w:val="002C3865"/>
    <w:rsid w:val="002D01D6"/>
    <w:rsid w:val="002D3FFE"/>
    <w:rsid w:val="002D468C"/>
    <w:rsid w:val="002E1AF1"/>
    <w:rsid w:val="002E3B5A"/>
    <w:rsid w:val="002F1AF9"/>
    <w:rsid w:val="002F2F6A"/>
    <w:rsid w:val="00303009"/>
    <w:rsid w:val="00321B56"/>
    <w:rsid w:val="00322911"/>
    <w:rsid w:val="00326FD8"/>
    <w:rsid w:val="003441A3"/>
    <w:rsid w:val="00350D22"/>
    <w:rsid w:val="00364908"/>
    <w:rsid w:val="003715EE"/>
    <w:rsid w:val="00371EE8"/>
    <w:rsid w:val="00382FF9"/>
    <w:rsid w:val="003835D8"/>
    <w:rsid w:val="00386419"/>
    <w:rsid w:val="00391221"/>
    <w:rsid w:val="00392659"/>
    <w:rsid w:val="003962FB"/>
    <w:rsid w:val="003A4B31"/>
    <w:rsid w:val="003A7CA6"/>
    <w:rsid w:val="003B3798"/>
    <w:rsid w:val="003B5A2A"/>
    <w:rsid w:val="003C25C2"/>
    <w:rsid w:val="003C5393"/>
    <w:rsid w:val="003D32D6"/>
    <w:rsid w:val="003D471A"/>
    <w:rsid w:val="003D70D5"/>
    <w:rsid w:val="003E1A5A"/>
    <w:rsid w:val="003F6BFE"/>
    <w:rsid w:val="00400548"/>
    <w:rsid w:val="004039D4"/>
    <w:rsid w:val="004254F9"/>
    <w:rsid w:val="004427BC"/>
    <w:rsid w:val="00443D82"/>
    <w:rsid w:val="00447BE1"/>
    <w:rsid w:val="004570BF"/>
    <w:rsid w:val="00466E1C"/>
    <w:rsid w:val="004708B5"/>
    <w:rsid w:val="004938B3"/>
    <w:rsid w:val="00496CE5"/>
    <w:rsid w:val="004A4960"/>
    <w:rsid w:val="004B0C14"/>
    <w:rsid w:val="004B26FA"/>
    <w:rsid w:val="004B44D7"/>
    <w:rsid w:val="004C79A2"/>
    <w:rsid w:val="004C7F6B"/>
    <w:rsid w:val="004D72DF"/>
    <w:rsid w:val="004F623D"/>
    <w:rsid w:val="0050713F"/>
    <w:rsid w:val="005109EC"/>
    <w:rsid w:val="00511E45"/>
    <w:rsid w:val="00520E3A"/>
    <w:rsid w:val="00533710"/>
    <w:rsid w:val="00534FC5"/>
    <w:rsid w:val="0054396D"/>
    <w:rsid w:val="00545E1A"/>
    <w:rsid w:val="00555291"/>
    <w:rsid w:val="005573E7"/>
    <w:rsid w:val="0055768F"/>
    <w:rsid w:val="00560419"/>
    <w:rsid w:val="00560B89"/>
    <w:rsid w:val="0059106D"/>
    <w:rsid w:val="005B3E4A"/>
    <w:rsid w:val="005C275D"/>
    <w:rsid w:val="005C2CE1"/>
    <w:rsid w:val="005C63D1"/>
    <w:rsid w:val="005D5A1B"/>
    <w:rsid w:val="005E0488"/>
    <w:rsid w:val="005F052C"/>
    <w:rsid w:val="005F370B"/>
    <w:rsid w:val="005F6906"/>
    <w:rsid w:val="006022B1"/>
    <w:rsid w:val="0061161F"/>
    <w:rsid w:val="006262F9"/>
    <w:rsid w:val="00633131"/>
    <w:rsid w:val="00657BF6"/>
    <w:rsid w:val="00660F71"/>
    <w:rsid w:val="00665B05"/>
    <w:rsid w:val="00674D65"/>
    <w:rsid w:val="00677A4F"/>
    <w:rsid w:val="006811A9"/>
    <w:rsid w:val="006813F3"/>
    <w:rsid w:val="00685D7C"/>
    <w:rsid w:val="006B24F0"/>
    <w:rsid w:val="006F0AB5"/>
    <w:rsid w:val="006F4706"/>
    <w:rsid w:val="006F4FE7"/>
    <w:rsid w:val="00701F7F"/>
    <w:rsid w:val="007061AB"/>
    <w:rsid w:val="00712062"/>
    <w:rsid w:val="00714BAC"/>
    <w:rsid w:val="00716E98"/>
    <w:rsid w:val="00717033"/>
    <w:rsid w:val="0076323A"/>
    <w:rsid w:val="00770385"/>
    <w:rsid w:val="007739F5"/>
    <w:rsid w:val="00777723"/>
    <w:rsid w:val="00796E78"/>
    <w:rsid w:val="00797810"/>
    <w:rsid w:val="007A13D8"/>
    <w:rsid w:val="007C0768"/>
    <w:rsid w:val="007C1B6F"/>
    <w:rsid w:val="007C7579"/>
    <w:rsid w:val="007D2940"/>
    <w:rsid w:val="008135B6"/>
    <w:rsid w:val="0081483F"/>
    <w:rsid w:val="00820C42"/>
    <w:rsid w:val="0082128C"/>
    <w:rsid w:val="00821B9B"/>
    <w:rsid w:val="00833B0D"/>
    <w:rsid w:val="00850C27"/>
    <w:rsid w:val="00852A55"/>
    <w:rsid w:val="00855529"/>
    <w:rsid w:val="0087554D"/>
    <w:rsid w:val="008755B1"/>
    <w:rsid w:val="00876F95"/>
    <w:rsid w:val="00883EBB"/>
    <w:rsid w:val="008854A4"/>
    <w:rsid w:val="00885F05"/>
    <w:rsid w:val="008A1C63"/>
    <w:rsid w:val="008A6557"/>
    <w:rsid w:val="008B558C"/>
    <w:rsid w:val="008C0C3F"/>
    <w:rsid w:val="008F1571"/>
    <w:rsid w:val="008F5FB5"/>
    <w:rsid w:val="00904E9E"/>
    <w:rsid w:val="009110F9"/>
    <w:rsid w:val="0091754D"/>
    <w:rsid w:val="00920E35"/>
    <w:rsid w:val="00925C70"/>
    <w:rsid w:val="00926D2B"/>
    <w:rsid w:val="00933F97"/>
    <w:rsid w:val="0093520F"/>
    <w:rsid w:val="00950576"/>
    <w:rsid w:val="0095288F"/>
    <w:rsid w:val="0097160D"/>
    <w:rsid w:val="0097278D"/>
    <w:rsid w:val="00972D20"/>
    <w:rsid w:val="009752CC"/>
    <w:rsid w:val="009909B2"/>
    <w:rsid w:val="00990F35"/>
    <w:rsid w:val="009A613E"/>
    <w:rsid w:val="009B0B93"/>
    <w:rsid w:val="009B3D82"/>
    <w:rsid w:val="009B7D47"/>
    <w:rsid w:val="009C442E"/>
    <w:rsid w:val="009D32FC"/>
    <w:rsid w:val="009F3ED2"/>
    <w:rsid w:val="00A03AA8"/>
    <w:rsid w:val="00A049D7"/>
    <w:rsid w:val="00A07938"/>
    <w:rsid w:val="00A14529"/>
    <w:rsid w:val="00A15153"/>
    <w:rsid w:val="00A2387E"/>
    <w:rsid w:val="00A339CA"/>
    <w:rsid w:val="00A5334F"/>
    <w:rsid w:val="00A6070B"/>
    <w:rsid w:val="00A65B82"/>
    <w:rsid w:val="00A75FBE"/>
    <w:rsid w:val="00A80210"/>
    <w:rsid w:val="00A808E0"/>
    <w:rsid w:val="00A931CC"/>
    <w:rsid w:val="00A9483D"/>
    <w:rsid w:val="00A94CCE"/>
    <w:rsid w:val="00AA1C7F"/>
    <w:rsid w:val="00AB5561"/>
    <w:rsid w:val="00AC2F9C"/>
    <w:rsid w:val="00AD1035"/>
    <w:rsid w:val="00AD7399"/>
    <w:rsid w:val="00AE4FE5"/>
    <w:rsid w:val="00AF5A52"/>
    <w:rsid w:val="00AF7578"/>
    <w:rsid w:val="00B00182"/>
    <w:rsid w:val="00B10672"/>
    <w:rsid w:val="00B108D0"/>
    <w:rsid w:val="00B20E68"/>
    <w:rsid w:val="00B326D4"/>
    <w:rsid w:val="00B32C73"/>
    <w:rsid w:val="00B36E83"/>
    <w:rsid w:val="00B425A3"/>
    <w:rsid w:val="00B5026A"/>
    <w:rsid w:val="00B50CC1"/>
    <w:rsid w:val="00B74313"/>
    <w:rsid w:val="00B80EF9"/>
    <w:rsid w:val="00B822D8"/>
    <w:rsid w:val="00B940A8"/>
    <w:rsid w:val="00B95BA5"/>
    <w:rsid w:val="00BA394D"/>
    <w:rsid w:val="00BB1855"/>
    <w:rsid w:val="00BC526E"/>
    <w:rsid w:val="00BD0CEC"/>
    <w:rsid w:val="00BD1BC8"/>
    <w:rsid w:val="00BD6CAA"/>
    <w:rsid w:val="00BD7384"/>
    <w:rsid w:val="00BF1ED7"/>
    <w:rsid w:val="00C14406"/>
    <w:rsid w:val="00C17F72"/>
    <w:rsid w:val="00C239BE"/>
    <w:rsid w:val="00C2605C"/>
    <w:rsid w:val="00C43AD7"/>
    <w:rsid w:val="00C474E6"/>
    <w:rsid w:val="00C52564"/>
    <w:rsid w:val="00C70D7D"/>
    <w:rsid w:val="00C7369F"/>
    <w:rsid w:val="00C8100C"/>
    <w:rsid w:val="00C82987"/>
    <w:rsid w:val="00C90EF5"/>
    <w:rsid w:val="00C9158F"/>
    <w:rsid w:val="00CA1E03"/>
    <w:rsid w:val="00CA47C7"/>
    <w:rsid w:val="00CB2242"/>
    <w:rsid w:val="00CB6822"/>
    <w:rsid w:val="00CC4A93"/>
    <w:rsid w:val="00CD4FB8"/>
    <w:rsid w:val="00CE5DCA"/>
    <w:rsid w:val="00CF5D64"/>
    <w:rsid w:val="00D02E7B"/>
    <w:rsid w:val="00D06915"/>
    <w:rsid w:val="00D10697"/>
    <w:rsid w:val="00D30638"/>
    <w:rsid w:val="00D40AD1"/>
    <w:rsid w:val="00D462C7"/>
    <w:rsid w:val="00D67731"/>
    <w:rsid w:val="00D7185A"/>
    <w:rsid w:val="00D82B0E"/>
    <w:rsid w:val="00D83201"/>
    <w:rsid w:val="00D8360A"/>
    <w:rsid w:val="00D93BEE"/>
    <w:rsid w:val="00D95B8E"/>
    <w:rsid w:val="00DA06F3"/>
    <w:rsid w:val="00DA07AE"/>
    <w:rsid w:val="00DB0D16"/>
    <w:rsid w:val="00DB57A6"/>
    <w:rsid w:val="00DC0857"/>
    <w:rsid w:val="00DC572F"/>
    <w:rsid w:val="00DE3152"/>
    <w:rsid w:val="00DE48F2"/>
    <w:rsid w:val="00DF05EF"/>
    <w:rsid w:val="00DF2D25"/>
    <w:rsid w:val="00DF4A1A"/>
    <w:rsid w:val="00E07CF1"/>
    <w:rsid w:val="00E149DB"/>
    <w:rsid w:val="00E247EF"/>
    <w:rsid w:val="00E37352"/>
    <w:rsid w:val="00E57C54"/>
    <w:rsid w:val="00E61B97"/>
    <w:rsid w:val="00E6418D"/>
    <w:rsid w:val="00E70E2C"/>
    <w:rsid w:val="00E76E50"/>
    <w:rsid w:val="00E7711D"/>
    <w:rsid w:val="00E82BCE"/>
    <w:rsid w:val="00E90E75"/>
    <w:rsid w:val="00EC0638"/>
    <w:rsid w:val="00EC73FD"/>
    <w:rsid w:val="00ED1577"/>
    <w:rsid w:val="00ED1655"/>
    <w:rsid w:val="00ED3FFB"/>
    <w:rsid w:val="00ED40A2"/>
    <w:rsid w:val="00EE3455"/>
    <w:rsid w:val="00EE6268"/>
    <w:rsid w:val="00EF62DA"/>
    <w:rsid w:val="00F10E35"/>
    <w:rsid w:val="00F1149D"/>
    <w:rsid w:val="00F11D5C"/>
    <w:rsid w:val="00F1317A"/>
    <w:rsid w:val="00F154DF"/>
    <w:rsid w:val="00F21E92"/>
    <w:rsid w:val="00F821E7"/>
    <w:rsid w:val="00F93785"/>
    <w:rsid w:val="00FA4384"/>
    <w:rsid w:val="00FB10E3"/>
    <w:rsid w:val="00FB3CCF"/>
    <w:rsid w:val="00FC793C"/>
    <w:rsid w:val="00FD31B2"/>
    <w:rsid w:val="00FE13C2"/>
    <w:rsid w:val="00FF0BAB"/>
    <w:rsid w:val="00FF7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6BBE9543"/>
  <w15:docId w15:val="{B1C3DC4A-A5D6-438F-87C2-5E8D809BF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7A45"/>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ALTS FOOTNOTE,Footnote Text 2,Footnote text,FOOTNOTE"/>
    <w:basedOn w:val="Normal"/>
    <w:link w:val="FootnoteTextChar"/>
    <w:uiPriority w:val="99"/>
    <w:semiHidden/>
    <w:rsid w:val="00FF7A45"/>
    <w:rPr>
      <w:sz w:val="20"/>
      <w:szCs w:val="20"/>
    </w:rPr>
  </w:style>
  <w:style w:type="character" w:styleId="FootnoteReference">
    <w:name w:val="footnote reference"/>
    <w:semiHidden/>
    <w:rsid w:val="00FF7A45"/>
    <w:rPr>
      <w:vertAlign w:val="superscript"/>
    </w:rPr>
  </w:style>
  <w:style w:type="paragraph" w:styleId="CommentText">
    <w:name w:val="annotation text"/>
    <w:basedOn w:val="Normal"/>
    <w:semiHidden/>
    <w:rsid w:val="00FF7A45"/>
    <w:rPr>
      <w:sz w:val="20"/>
      <w:szCs w:val="20"/>
    </w:rPr>
  </w:style>
  <w:style w:type="paragraph" w:styleId="Footer">
    <w:name w:val="footer"/>
    <w:basedOn w:val="Normal"/>
    <w:rsid w:val="00FF7A45"/>
    <w:pPr>
      <w:tabs>
        <w:tab w:val="center" w:pos="4320"/>
        <w:tab w:val="right" w:pos="8640"/>
      </w:tabs>
    </w:pPr>
  </w:style>
  <w:style w:type="character" w:styleId="PageNumber">
    <w:name w:val="page number"/>
    <w:basedOn w:val="DefaultParagraphFont"/>
    <w:rsid w:val="00FF7A45"/>
  </w:style>
  <w:style w:type="character" w:customStyle="1" w:styleId="documentbody1">
    <w:name w:val="documentbody1"/>
    <w:rsid w:val="00116B43"/>
    <w:rPr>
      <w:rFonts w:ascii="Verdana" w:hAnsi="Verdana" w:hint="default"/>
      <w:sz w:val="19"/>
      <w:szCs w:val="19"/>
    </w:rPr>
  </w:style>
  <w:style w:type="paragraph" w:customStyle="1" w:styleId="ParaTab1">
    <w:name w:val="ParaTab 1"/>
    <w:rsid w:val="00B20E68"/>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link w:val="BalloonTextChar"/>
    <w:rsid w:val="004D72DF"/>
    <w:rPr>
      <w:rFonts w:ascii="Tahoma" w:hAnsi="Tahoma" w:cs="Tahoma"/>
      <w:sz w:val="16"/>
      <w:szCs w:val="16"/>
    </w:rPr>
  </w:style>
  <w:style w:type="character" w:customStyle="1" w:styleId="BalloonTextChar">
    <w:name w:val="Balloon Text Char"/>
    <w:basedOn w:val="DefaultParagraphFont"/>
    <w:link w:val="BalloonText"/>
    <w:rsid w:val="004D72DF"/>
    <w:rPr>
      <w:rFonts w:ascii="Tahoma" w:hAnsi="Tahoma" w:cs="Tahoma"/>
      <w:sz w:val="16"/>
      <w:szCs w:val="16"/>
    </w:rPr>
  </w:style>
  <w:style w:type="paragraph" w:styleId="Header">
    <w:name w:val="header"/>
    <w:basedOn w:val="Normal"/>
    <w:link w:val="HeaderChar"/>
    <w:rsid w:val="00DF2D25"/>
    <w:pPr>
      <w:tabs>
        <w:tab w:val="center" w:pos="4680"/>
        <w:tab w:val="right" w:pos="9360"/>
      </w:tabs>
    </w:pPr>
  </w:style>
  <w:style w:type="character" w:customStyle="1" w:styleId="HeaderChar">
    <w:name w:val="Header Char"/>
    <w:basedOn w:val="DefaultParagraphFont"/>
    <w:link w:val="Header"/>
    <w:rsid w:val="00DF2D25"/>
    <w:rPr>
      <w:sz w:val="26"/>
      <w:szCs w:val="26"/>
    </w:rPr>
  </w:style>
  <w:style w:type="character" w:customStyle="1" w:styleId="FootnoteTextChar">
    <w:name w:val="Footnote Text Char"/>
    <w:aliases w:val="fn Char,ALTS FOOTNOTE Char,Footnote Text 2 Char,Footnote text Char,FOOTNOTE Char"/>
    <w:basedOn w:val="DefaultParagraphFont"/>
    <w:link w:val="FootnoteText"/>
    <w:uiPriority w:val="99"/>
    <w:semiHidden/>
    <w:rsid w:val="009B7D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0605779">
      <w:bodyDiv w:val="1"/>
      <w:marLeft w:val="32"/>
      <w:marRight w:val="32"/>
      <w:marTop w:val="32"/>
      <w:marBottom w:val="32"/>
      <w:divBdr>
        <w:top w:val="none" w:sz="0" w:space="0" w:color="auto"/>
        <w:left w:val="none" w:sz="0" w:space="0" w:color="auto"/>
        <w:bottom w:val="none" w:sz="0" w:space="0" w:color="auto"/>
        <w:right w:val="none" w:sz="0" w:space="0" w:color="auto"/>
      </w:divBdr>
      <w:divsChild>
        <w:div w:id="202445818">
          <w:marLeft w:val="0"/>
          <w:marRight w:val="0"/>
          <w:marTop w:val="0"/>
          <w:marBottom w:val="0"/>
          <w:divBdr>
            <w:top w:val="none" w:sz="0" w:space="0" w:color="auto"/>
            <w:left w:val="none" w:sz="0" w:space="0" w:color="auto"/>
            <w:bottom w:val="none" w:sz="0" w:space="0" w:color="auto"/>
            <w:right w:val="none" w:sz="0" w:space="0" w:color="auto"/>
          </w:divBdr>
          <w:divsChild>
            <w:div w:id="929123844">
              <w:marLeft w:val="47"/>
              <w:marRight w:val="47"/>
              <w:marTop w:val="47"/>
              <w:marBottom w:val="47"/>
              <w:divBdr>
                <w:top w:val="none" w:sz="0" w:space="0" w:color="auto"/>
                <w:left w:val="none" w:sz="0" w:space="0" w:color="auto"/>
                <w:bottom w:val="none" w:sz="0" w:space="0" w:color="auto"/>
                <w:right w:val="none" w:sz="0" w:space="0" w:color="auto"/>
              </w:divBdr>
              <w:divsChild>
                <w:div w:id="709690236">
                  <w:marLeft w:val="0"/>
                  <w:marRight w:val="0"/>
                  <w:marTop w:val="0"/>
                  <w:marBottom w:val="0"/>
                  <w:divBdr>
                    <w:top w:val="none" w:sz="0" w:space="0" w:color="auto"/>
                    <w:left w:val="none" w:sz="0" w:space="0" w:color="auto"/>
                    <w:bottom w:val="none" w:sz="0" w:space="0" w:color="auto"/>
                    <w:right w:val="none" w:sz="0" w:space="0" w:color="auto"/>
                  </w:divBdr>
                  <w:divsChild>
                    <w:div w:id="74006359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D5C14B-12D6-4FE5-AA4D-AC8F39645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1881</Words>
  <Characters>10727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davalexand</dc:creator>
  <cp:lastModifiedBy>Krahel, Christy</cp:lastModifiedBy>
  <cp:revision>2</cp:revision>
  <cp:lastPrinted>2014-10-29T13:47:00Z</cp:lastPrinted>
  <dcterms:created xsi:type="dcterms:W3CDTF">2019-11-19T18:51:00Z</dcterms:created>
  <dcterms:modified xsi:type="dcterms:W3CDTF">2019-11-19T18:51:00Z</dcterms:modified>
</cp:coreProperties>
</file>