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DDC3" w14:textId="77777777" w:rsidR="0019160C" w:rsidRDefault="0019160C" w:rsidP="00CB35DE">
      <w:pPr>
        <w:pStyle w:val="Title"/>
        <w:rPr>
          <w:szCs w:val="24"/>
        </w:rPr>
      </w:pPr>
      <w:r>
        <w:rPr>
          <w:szCs w:val="24"/>
        </w:rPr>
        <w:t>BEFORE THE</w:t>
      </w:r>
    </w:p>
    <w:p w14:paraId="3DED3252" w14:textId="77777777" w:rsidR="0019160C" w:rsidRDefault="0019160C" w:rsidP="00CB35DE">
      <w:pPr>
        <w:pStyle w:val="Subtitle"/>
        <w:rPr>
          <w:szCs w:val="24"/>
        </w:rPr>
      </w:pPr>
      <w:r>
        <w:rPr>
          <w:szCs w:val="24"/>
        </w:rPr>
        <w:t>PENNSYLVANIA PUBLIC UTILITY COMMISSION</w:t>
      </w:r>
    </w:p>
    <w:p w14:paraId="4FB03B45" w14:textId="77777777" w:rsidR="0019160C" w:rsidRDefault="0019160C" w:rsidP="00CB35DE">
      <w:pPr>
        <w:rPr>
          <w:szCs w:val="24"/>
        </w:rPr>
      </w:pPr>
    </w:p>
    <w:p w14:paraId="36DEAAD9" w14:textId="77777777" w:rsidR="0019160C" w:rsidRDefault="0019160C" w:rsidP="00CB35DE">
      <w:pPr>
        <w:rPr>
          <w:szCs w:val="24"/>
        </w:rPr>
      </w:pPr>
    </w:p>
    <w:p w14:paraId="174D0613" w14:textId="77777777" w:rsidR="0019160C" w:rsidRDefault="0019160C" w:rsidP="00CB35DE">
      <w:pPr>
        <w:rPr>
          <w:szCs w:val="24"/>
        </w:rPr>
      </w:pPr>
    </w:p>
    <w:p w14:paraId="00EEC612" w14:textId="3CBB2247" w:rsidR="0019160C" w:rsidRDefault="0019160C" w:rsidP="00CB35DE">
      <w:pPr>
        <w:rPr>
          <w:szCs w:val="24"/>
        </w:rPr>
      </w:pPr>
      <w:r>
        <w:rPr>
          <w:szCs w:val="24"/>
        </w:rPr>
        <w:t>Office of Consumer Advocate</w:t>
      </w:r>
      <w:r>
        <w:rPr>
          <w:szCs w:val="24"/>
        </w:rPr>
        <w:tab/>
      </w:r>
      <w:r>
        <w:rPr>
          <w:szCs w:val="24"/>
        </w:rPr>
        <w:tab/>
      </w:r>
      <w:r>
        <w:rPr>
          <w:szCs w:val="24"/>
        </w:rPr>
        <w:tab/>
        <w:t>:</w:t>
      </w:r>
      <w:r>
        <w:rPr>
          <w:szCs w:val="24"/>
        </w:rPr>
        <w:tab/>
      </w:r>
      <w:r>
        <w:rPr>
          <w:szCs w:val="24"/>
        </w:rPr>
        <w:tab/>
      </w:r>
      <w:r>
        <w:t>M-2018-3005860</w:t>
      </w:r>
    </w:p>
    <w:p w14:paraId="633158BC" w14:textId="77777777" w:rsidR="0019160C" w:rsidRDefault="0019160C" w:rsidP="00CB35DE">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C-2018-3006242</w:t>
      </w:r>
    </w:p>
    <w:p w14:paraId="772606FA" w14:textId="6CEF8B2D" w:rsidR="0019160C" w:rsidRDefault="0019160C" w:rsidP="00CB35DE">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p>
    <w:p w14:paraId="08E69298" w14:textId="77777777" w:rsidR="0019160C" w:rsidRDefault="0019160C" w:rsidP="00CB35DE">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09288BE" w14:textId="77777777" w:rsidR="0019160C" w:rsidRDefault="0019160C" w:rsidP="00CB35DE">
      <w:pPr>
        <w:rPr>
          <w:szCs w:val="24"/>
        </w:rPr>
      </w:pPr>
      <w:r>
        <w:rPr>
          <w:szCs w:val="24"/>
        </w:rPr>
        <w:t>PECO Energy Company</w:t>
      </w:r>
      <w:r>
        <w:rPr>
          <w:szCs w:val="24"/>
        </w:rPr>
        <w:tab/>
      </w:r>
      <w:r>
        <w:rPr>
          <w:szCs w:val="24"/>
        </w:rPr>
        <w:tab/>
      </w:r>
      <w:r>
        <w:rPr>
          <w:szCs w:val="24"/>
        </w:rPr>
        <w:tab/>
      </w:r>
      <w:r>
        <w:rPr>
          <w:szCs w:val="24"/>
        </w:rPr>
        <w:tab/>
        <w:t>:</w:t>
      </w:r>
    </w:p>
    <w:p w14:paraId="6094AB5A" w14:textId="77777777" w:rsidR="0019160C" w:rsidRDefault="0019160C" w:rsidP="00CB35DE">
      <w:pPr>
        <w:rPr>
          <w:szCs w:val="24"/>
        </w:rPr>
      </w:pPr>
    </w:p>
    <w:p w14:paraId="427E7CBA" w14:textId="77777777" w:rsidR="0019160C" w:rsidRDefault="0019160C" w:rsidP="00CB35DE"/>
    <w:p w14:paraId="0983CE08" w14:textId="77777777" w:rsidR="0019160C" w:rsidRDefault="0019160C" w:rsidP="00CB35DE">
      <w:r>
        <w:t>Office of Consumer Advocate</w:t>
      </w:r>
      <w:r>
        <w:tab/>
      </w:r>
      <w:r>
        <w:tab/>
      </w:r>
      <w:r>
        <w:tab/>
        <w:t>:</w:t>
      </w:r>
      <w:r>
        <w:tab/>
      </w:r>
      <w:r>
        <w:tab/>
        <w:t>M-2019-3010032</w:t>
      </w:r>
    </w:p>
    <w:p w14:paraId="2083AFF2" w14:textId="77777777" w:rsidR="0019160C" w:rsidRDefault="0019160C" w:rsidP="00CB35DE">
      <w:pPr>
        <w:ind w:left="4320" w:firstLine="720"/>
      </w:pPr>
      <w:r>
        <w:t>:</w:t>
      </w:r>
      <w:r>
        <w:tab/>
      </w:r>
      <w:r>
        <w:tab/>
        <w:t>C-2019-3010737</w:t>
      </w:r>
    </w:p>
    <w:p w14:paraId="7701A2BD" w14:textId="77777777" w:rsidR="0019160C" w:rsidRDefault="0019160C" w:rsidP="00CB35DE">
      <w:r>
        <w:tab/>
        <w:t>v.</w:t>
      </w:r>
      <w:r>
        <w:tab/>
      </w:r>
      <w:r>
        <w:tab/>
      </w:r>
      <w:r>
        <w:tab/>
      </w:r>
      <w:r>
        <w:tab/>
      </w:r>
      <w:r>
        <w:tab/>
      </w:r>
      <w:r>
        <w:tab/>
        <w:t>:</w:t>
      </w:r>
    </w:p>
    <w:p w14:paraId="14CD25F9" w14:textId="7C202E01" w:rsidR="0019160C" w:rsidRDefault="0019160C" w:rsidP="00CB35DE">
      <w:pPr>
        <w:ind w:left="4320" w:firstLine="720"/>
      </w:pPr>
      <w:r>
        <w:t>:</w:t>
      </w:r>
    </w:p>
    <w:p w14:paraId="1D3677EF" w14:textId="77777777" w:rsidR="0019160C" w:rsidRDefault="0019160C" w:rsidP="00CB35DE">
      <w:r>
        <w:t>PECO Energy Company</w:t>
      </w:r>
      <w:r>
        <w:tab/>
      </w:r>
      <w:r>
        <w:tab/>
      </w:r>
      <w:r>
        <w:tab/>
      </w:r>
      <w:r>
        <w:tab/>
        <w:t>:</w:t>
      </w:r>
    </w:p>
    <w:p w14:paraId="4DA3C153" w14:textId="77777777" w:rsidR="0019160C" w:rsidRDefault="0019160C" w:rsidP="00CB35DE"/>
    <w:p w14:paraId="1E3C5B28" w14:textId="77777777" w:rsidR="0019160C" w:rsidRDefault="0019160C" w:rsidP="00CB35DE"/>
    <w:p w14:paraId="0C81C462" w14:textId="77777777" w:rsidR="0019160C" w:rsidRDefault="0019160C" w:rsidP="00CB35DE"/>
    <w:p w14:paraId="60122E86" w14:textId="77777777" w:rsidR="0019160C" w:rsidRDefault="0019160C" w:rsidP="00CB35DE">
      <w:pPr>
        <w:pStyle w:val="NoSpacing"/>
        <w:jc w:val="center"/>
        <w:rPr>
          <w:b/>
          <w:szCs w:val="24"/>
          <w:u w:val="single"/>
        </w:rPr>
      </w:pPr>
      <w:r>
        <w:rPr>
          <w:b/>
          <w:szCs w:val="24"/>
          <w:u w:val="single"/>
        </w:rPr>
        <w:t xml:space="preserve">ORDER </w:t>
      </w:r>
      <w:r w:rsidR="001C4C69">
        <w:rPr>
          <w:b/>
          <w:szCs w:val="24"/>
          <w:u w:val="single"/>
        </w:rPr>
        <w:t>GRANTING</w:t>
      </w:r>
      <w:r>
        <w:rPr>
          <w:b/>
          <w:szCs w:val="24"/>
          <w:u w:val="single"/>
        </w:rPr>
        <w:t xml:space="preserve"> </w:t>
      </w:r>
      <w:r w:rsidR="0019770C">
        <w:rPr>
          <w:b/>
          <w:szCs w:val="24"/>
          <w:u w:val="single"/>
        </w:rPr>
        <w:t xml:space="preserve">REQUEST </w:t>
      </w:r>
      <w:r>
        <w:rPr>
          <w:b/>
          <w:szCs w:val="24"/>
          <w:u w:val="single"/>
        </w:rPr>
        <w:t>TO CONSOLIDATE</w:t>
      </w:r>
    </w:p>
    <w:p w14:paraId="06708AF0" w14:textId="77777777" w:rsidR="0019160C" w:rsidRDefault="0019160C" w:rsidP="00CB35DE">
      <w:pPr>
        <w:pStyle w:val="NoSpacing"/>
        <w:spacing w:line="360" w:lineRule="auto"/>
        <w:rPr>
          <w:szCs w:val="24"/>
        </w:rPr>
      </w:pPr>
    </w:p>
    <w:p w14:paraId="268EDEA6" w14:textId="77777777" w:rsidR="0019160C" w:rsidRDefault="0019160C" w:rsidP="00CB35DE">
      <w:pPr>
        <w:jc w:val="center"/>
        <w:rPr>
          <w:caps/>
          <w:szCs w:val="24"/>
          <w:u w:val="single"/>
        </w:rPr>
      </w:pPr>
      <w:r>
        <w:rPr>
          <w:caps/>
          <w:szCs w:val="24"/>
          <w:u w:val="single"/>
        </w:rPr>
        <w:t>History</w:t>
      </w:r>
    </w:p>
    <w:p w14:paraId="6FE6061B" w14:textId="77777777" w:rsidR="0019160C" w:rsidRDefault="0019160C" w:rsidP="00CB35DE">
      <w:pPr>
        <w:spacing w:line="360" w:lineRule="auto"/>
        <w:jc w:val="center"/>
        <w:rPr>
          <w:szCs w:val="24"/>
          <w:u w:val="single"/>
        </w:rPr>
      </w:pPr>
    </w:p>
    <w:p w14:paraId="66853B95" w14:textId="31B2DC1E" w:rsidR="0019160C" w:rsidRDefault="0019160C" w:rsidP="0019160C">
      <w:pPr>
        <w:spacing w:line="360" w:lineRule="auto"/>
      </w:pPr>
      <w:r>
        <w:rPr>
          <w:szCs w:val="24"/>
        </w:rPr>
        <w:tab/>
      </w:r>
      <w:r>
        <w:rPr>
          <w:szCs w:val="24"/>
        </w:rPr>
        <w:tab/>
      </w:r>
      <w:r>
        <w:t xml:space="preserve">On November 7, 2018, PECO Energy Company (PECO or Company) filed its semiannual adjustment to the non-bypassable transmission charge (NBT) in PECO Electric Tariff No. 5, Supplement No. 76 (Supplement No. 76).  In Supplement No. 76, the Company proposed to reflect all Regional Transmission Expansion Plan (RTEP) credits in the NBT that relate to PJM Interconnection, LLC (PJM) charges for the transmission-related services acquired for PECO’s default service customers on and after implementation of the reconcilable transmission service cost (TSC) on January 1, 2011.  PECO received a credit of $79.5 million from a settlement before the Federal Energy Regulatory Commission (FERC).  PECO has indicated in the filing that it would pass $74 million of the FERC-ordered credits along to its ratepayers and retain $5.5 million.  </w:t>
      </w:r>
    </w:p>
    <w:p w14:paraId="204BB40C" w14:textId="77777777" w:rsidR="0019160C" w:rsidRDefault="0019160C" w:rsidP="005A00E4">
      <w:pPr>
        <w:spacing w:line="360" w:lineRule="auto"/>
      </w:pPr>
    </w:p>
    <w:p w14:paraId="1346FFF0" w14:textId="77777777" w:rsidR="0019160C" w:rsidRDefault="0019160C" w:rsidP="005A00E4">
      <w:pPr>
        <w:spacing w:line="360" w:lineRule="auto"/>
      </w:pPr>
      <w:r>
        <w:tab/>
      </w:r>
      <w:r>
        <w:tab/>
        <w:t xml:space="preserve">On November 28, 2018, the Office of Consumer Advocate (OCA) filed a Formal Complaint.  The Complaint alleges that a preliminary examination of </w:t>
      </w:r>
      <w:r>
        <w:rPr>
          <w:lang w:eastAsia="ja-JP"/>
        </w:rPr>
        <w:t xml:space="preserve">PECO’s </w:t>
      </w:r>
      <w:r>
        <w:t xml:space="preserve">proposed semiannual adjustment to its NBT to PECO Energy Electric Tariff No. 5, Supplement No. 76, </w:t>
      </w:r>
      <w:r>
        <w:lastRenderedPageBreak/>
        <w:t>specifically the proposal to retain $5.5 million of FERC-ordered credits, is or may be unjust, unreasonable, in violation of the Pennsylvania Public Utility Code, and otherwise may be contrary to sound ratemaking principles and public policy.</w:t>
      </w:r>
    </w:p>
    <w:p w14:paraId="25D549EB" w14:textId="1C093B2A" w:rsidR="0019160C" w:rsidRDefault="0019160C" w:rsidP="000921B4">
      <w:pPr>
        <w:spacing w:line="360" w:lineRule="auto"/>
      </w:pPr>
      <w:r>
        <w:tab/>
      </w:r>
      <w:r>
        <w:tab/>
      </w:r>
    </w:p>
    <w:p w14:paraId="02818AE6" w14:textId="06938135" w:rsidR="0019160C" w:rsidRDefault="0019160C" w:rsidP="005A00E4">
      <w:pPr>
        <w:spacing w:line="360" w:lineRule="auto"/>
        <w:ind w:firstLine="1440"/>
      </w:pPr>
      <w:r>
        <w:t xml:space="preserve">On December 19, 2018, PECO filed a Preliminary Objection.  PECO alleged that the OCA’s Formal Complaint contains “[i]nsufficient specificity of a pleading”.  </w:t>
      </w:r>
    </w:p>
    <w:p w14:paraId="3EBA5AD1" w14:textId="77777777" w:rsidR="0019160C" w:rsidRDefault="0019160C" w:rsidP="005A00E4">
      <w:pPr>
        <w:spacing w:line="360" w:lineRule="auto"/>
        <w:ind w:firstLine="1440"/>
      </w:pPr>
    </w:p>
    <w:p w14:paraId="0E3AE5CA" w14:textId="77777777" w:rsidR="0019160C" w:rsidRDefault="0019160C" w:rsidP="005A00E4">
      <w:pPr>
        <w:spacing w:line="360" w:lineRule="auto"/>
        <w:ind w:firstLine="1440"/>
      </w:pPr>
      <w:r>
        <w:t>On December 31, 2018, the OCA filed an Answer to the Preliminary Objection.</w:t>
      </w:r>
    </w:p>
    <w:p w14:paraId="048E230B" w14:textId="77777777" w:rsidR="0019160C" w:rsidRDefault="0019160C" w:rsidP="005A00E4">
      <w:pPr>
        <w:spacing w:line="360" w:lineRule="auto"/>
        <w:rPr>
          <w:szCs w:val="24"/>
        </w:rPr>
      </w:pPr>
    </w:p>
    <w:p w14:paraId="5BE31A5C" w14:textId="77777777" w:rsidR="0019160C" w:rsidRDefault="0019160C" w:rsidP="005A00E4">
      <w:pPr>
        <w:spacing w:line="360" w:lineRule="auto"/>
        <w:rPr>
          <w:szCs w:val="24"/>
        </w:rPr>
      </w:pPr>
      <w:r>
        <w:rPr>
          <w:szCs w:val="24"/>
        </w:rPr>
        <w:tab/>
      </w:r>
      <w:r>
        <w:rPr>
          <w:szCs w:val="24"/>
        </w:rPr>
        <w:tab/>
        <w:t>On February 8, 2019, I issued an Order denying the Preliminary Objection and directing PECO to file an Answer in the matter.</w:t>
      </w:r>
    </w:p>
    <w:p w14:paraId="3277328F" w14:textId="77777777" w:rsidR="0019160C" w:rsidRDefault="0019160C" w:rsidP="005A00E4">
      <w:pPr>
        <w:spacing w:line="360" w:lineRule="auto"/>
        <w:rPr>
          <w:szCs w:val="24"/>
        </w:rPr>
      </w:pPr>
    </w:p>
    <w:p w14:paraId="21DB6A73" w14:textId="77777777" w:rsidR="0019160C" w:rsidRDefault="0019160C" w:rsidP="005A00E4">
      <w:pPr>
        <w:spacing w:line="360" w:lineRule="auto"/>
        <w:rPr>
          <w:szCs w:val="24"/>
        </w:rPr>
      </w:pPr>
      <w:r>
        <w:rPr>
          <w:szCs w:val="24"/>
        </w:rPr>
        <w:tab/>
      </w:r>
      <w:r>
        <w:rPr>
          <w:szCs w:val="24"/>
        </w:rPr>
        <w:tab/>
        <w:t xml:space="preserve">On February 28, 2019, PECO filed an Answer to the OCA’s Complaint, denying the material allegations.  </w:t>
      </w:r>
    </w:p>
    <w:p w14:paraId="798F70BA" w14:textId="77777777" w:rsidR="0019160C" w:rsidRDefault="0019160C" w:rsidP="005A00E4">
      <w:pPr>
        <w:spacing w:line="360" w:lineRule="auto"/>
        <w:rPr>
          <w:szCs w:val="24"/>
        </w:rPr>
      </w:pPr>
    </w:p>
    <w:p w14:paraId="0EE47D32" w14:textId="5BDEA9D1" w:rsidR="0019160C" w:rsidRDefault="0019160C" w:rsidP="005A00E4">
      <w:pPr>
        <w:pStyle w:val="NoSpacing"/>
        <w:spacing w:line="360" w:lineRule="auto"/>
      </w:pPr>
      <w:r>
        <w:tab/>
      </w:r>
      <w:r>
        <w:tab/>
        <w:t>A prehearing conference in this matter was held on April 26, 2019.  Counsel for PECO, OCA, and OSBA participated.  Prehearing Order # 1 was issued on May 1, 2019</w:t>
      </w:r>
      <w:r w:rsidR="008A1C8C">
        <w:t>,</w:t>
      </w:r>
      <w:r>
        <w:t xml:space="preserve"> which established the procedural schedule for this matter.  </w:t>
      </w:r>
    </w:p>
    <w:p w14:paraId="465CB59A" w14:textId="6DAFA3B1" w:rsidR="00377167" w:rsidRDefault="00377167" w:rsidP="005A00E4">
      <w:pPr>
        <w:pStyle w:val="NoSpacing"/>
        <w:spacing w:line="360" w:lineRule="auto"/>
      </w:pPr>
    </w:p>
    <w:p w14:paraId="0627B9D6" w14:textId="0AA249B6" w:rsidR="00377167" w:rsidRDefault="00377167" w:rsidP="005A00E4">
      <w:pPr>
        <w:pStyle w:val="NoSpacing"/>
        <w:spacing w:line="360" w:lineRule="auto"/>
      </w:pPr>
      <w:r>
        <w:tab/>
      </w:r>
      <w:r>
        <w:tab/>
        <w:t xml:space="preserve">On May 15, 2019, </w:t>
      </w:r>
      <w:r w:rsidR="00416BF3">
        <w:t>PECO filed its semiannual adjustment to the NBT</w:t>
      </w:r>
      <w:r w:rsidR="004600F6">
        <w:t xml:space="preserve"> to PECO Energy Electric Tariff No. </w:t>
      </w:r>
      <w:r w:rsidR="00865509">
        <w:t>6</w:t>
      </w:r>
      <w:r w:rsidR="004600F6">
        <w:t xml:space="preserve">, Supplement No. </w:t>
      </w:r>
      <w:r w:rsidR="00865509">
        <w:t>13</w:t>
      </w:r>
      <w:r w:rsidR="004600F6">
        <w:t>,</w:t>
      </w:r>
      <w:r w:rsidR="00865509">
        <w:t xml:space="preserve"> effective June 1, 2019.  Again, PECO indicated </w:t>
      </w:r>
      <w:r w:rsidR="00DA6233">
        <w:t xml:space="preserve">its proposal to retain $5.5 million of FERC-ordered credits.  </w:t>
      </w:r>
    </w:p>
    <w:p w14:paraId="0EF277ED" w14:textId="06EF8A68" w:rsidR="00DA6233" w:rsidRDefault="00DA6233" w:rsidP="005A00E4">
      <w:pPr>
        <w:pStyle w:val="NoSpacing"/>
        <w:spacing w:line="360" w:lineRule="auto"/>
      </w:pPr>
    </w:p>
    <w:p w14:paraId="2E9D59F3" w14:textId="14E6C13D" w:rsidR="00DA6233" w:rsidRDefault="00DA6233" w:rsidP="005A00E4">
      <w:pPr>
        <w:pStyle w:val="NoSpacing"/>
        <w:spacing w:line="360" w:lineRule="auto"/>
      </w:pPr>
      <w:r>
        <w:tab/>
      </w:r>
      <w:r>
        <w:tab/>
      </w:r>
      <w:r w:rsidR="0074502E">
        <w:t xml:space="preserve">On June 13, 2019, </w:t>
      </w:r>
      <w:r w:rsidR="00796558">
        <w:t xml:space="preserve">OCA filed a formal Complaint </w:t>
      </w:r>
      <w:r w:rsidR="002E2AC6">
        <w:t>alleging specifically the proposal to retain $5.5 million of FERC-ordered credits, is or may be unjust, unreasonable, in violation of the Pennsylvania Public Utility Code, and otherwise may be contrary to sound ratemaking principles and public policy.  The Complaint also requested that t</w:t>
      </w:r>
      <w:r w:rsidR="003B0EE2">
        <w:t xml:space="preserve">his matter and PECO’s May 15, 2019 filing be consolidated </w:t>
      </w:r>
      <w:r w:rsidR="001D0FC8">
        <w:t xml:space="preserve">with the matters </w:t>
      </w:r>
      <w:r w:rsidR="008E4BD9">
        <w:t xml:space="preserve">docketed at Docket Nos. </w:t>
      </w:r>
      <w:r w:rsidR="008E4BD9" w:rsidRPr="008E4BD9">
        <w:t>M-2018-3005860</w:t>
      </w:r>
      <w:r w:rsidR="008E4BD9">
        <w:t xml:space="preserve"> and </w:t>
      </w:r>
      <w:r w:rsidR="008E4BD9">
        <w:rPr>
          <w:szCs w:val="24"/>
        </w:rPr>
        <w:t>C-2018-3006242</w:t>
      </w:r>
      <w:r w:rsidR="00995D21">
        <w:rPr>
          <w:szCs w:val="24"/>
        </w:rPr>
        <w:t>.</w:t>
      </w:r>
    </w:p>
    <w:p w14:paraId="6EA390BF" w14:textId="77777777" w:rsidR="0019160C" w:rsidRDefault="0019160C" w:rsidP="005A00E4">
      <w:pPr>
        <w:pStyle w:val="NoSpacing"/>
        <w:spacing w:line="360" w:lineRule="auto"/>
      </w:pPr>
    </w:p>
    <w:p w14:paraId="13F4E853" w14:textId="25AAEFCE" w:rsidR="0019160C" w:rsidRDefault="0019160C" w:rsidP="005A00E4">
      <w:pPr>
        <w:pStyle w:val="NoSpacing"/>
        <w:spacing w:line="360" w:lineRule="auto"/>
      </w:pPr>
      <w:r>
        <w:lastRenderedPageBreak/>
        <w:tab/>
      </w:r>
      <w:r>
        <w:tab/>
        <w:t>On October 29, 2019, counsel for PECO contacted the presiding officer via electronic mail to indicate that the parties wished to cancel the first day of hearings and hold a hearing only on November 14, 2019.  Counsel for OSBA also requested that its witness, Brian</w:t>
      </w:r>
      <w:r w:rsidR="008A1C8C">
        <w:t> </w:t>
      </w:r>
      <w:r>
        <w:t xml:space="preserve">Kalcic, be excused from the hearing as it did not submit any testimony from him in this proceeding.  </w:t>
      </w:r>
      <w:r w:rsidR="002F6698">
        <w:t xml:space="preserve">I granted the requested in Prehearing Order #2 dated November 7, 2019.  </w:t>
      </w:r>
    </w:p>
    <w:p w14:paraId="42B9A896" w14:textId="67856D7D" w:rsidR="002F6698" w:rsidRDefault="002F6698" w:rsidP="005A00E4">
      <w:pPr>
        <w:pStyle w:val="NoSpacing"/>
        <w:spacing w:line="360" w:lineRule="auto"/>
      </w:pPr>
    </w:p>
    <w:p w14:paraId="2116AAFF" w14:textId="446874B2" w:rsidR="002F6698" w:rsidRDefault="002F6698" w:rsidP="005A00E4">
      <w:pPr>
        <w:pStyle w:val="BodyText"/>
        <w:tabs>
          <w:tab w:val="left" w:pos="0"/>
        </w:tabs>
        <w:spacing w:after="0" w:line="360" w:lineRule="auto"/>
        <w:ind w:firstLine="1440"/>
        <w:rPr>
          <w:szCs w:val="24"/>
        </w:rPr>
      </w:pPr>
      <w:r>
        <w:rPr>
          <w:szCs w:val="24"/>
        </w:rPr>
        <w:t xml:space="preserve">The evidentiary hearing was held as scheduled on November 14, 2019.  During the hearing, PECO and OCA each moved to have their witnesses’ testimony and exhibits entered into the record.  As there were no objections, all parties’ testimony and/or exhibits were admitted into the record during the hearing.  Counsel for PECO also requested that </w:t>
      </w:r>
      <w:r w:rsidR="00B12ABC">
        <w:rPr>
          <w:szCs w:val="24"/>
        </w:rPr>
        <w:t xml:space="preserve">the request to consolidate the matters be granted.  There was no objection to the request.  </w:t>
      </w:r>
    </w:p>
    <w:p w14:paraId="35817239" w14:textId="77777777" w:rsidR="0019160C" w:rsidRDefault="0019160C" w:rsidP="005A00E4">
      <w:pPr>
        <w:pStyle w:val="NoSpacing"/>
        <w:spacing w:line="360" w:lineRule="auto"/>
      </w:pPr>
    </w:p>
    <w:p w14:paraId="4207C5C8" w14:textId="20052BE8" w:rsidR="0019160C" w:rsidRDefault="0019160C" w:rsidP="005A00E4">
      <w:pPr>
        <w:pStyle w:val="NoSpacing"/>
        <w:spacing w:line="360" w:lineRule="auto"/>
      </w:pPr>
      <w:r>
        <w:tab/>
      </w:r>
      <w:r>
        <w:tab/>
        <w:t xml:space="preserve">This Order addresses the parties’ request </w:t>
      </w:r>
      <w:r w:rsidR="009D7E32">
        <w:t>to consolidate the matters that are pending before the Commission</w:t>
      </w:r>
      <w:r>
        <w:t xml:space="preserve">.  </w:t>
      </w:r>
    </w:p>
    <w:p w14:paraId="01722B37" w14:textId="6E573F85" w:rsidR="00D60ED3" w:rsidRDefault="00D60ED3" w:rsidP="005A00E4">
      <w:pPr>
        <w:pStyle w:val="NoSpacing"/>
        <w:spacing w:line="360" w:lineRule="auto"/>
      </w:pPr>
    </w:p>
    <w:p w14:paraId="242CC947" w14:textId="71558FDB" w:rsidR="00D60ED3" w:rsidRDefault="00D60ED3" w:rsidP="005A00E4">
      <w:pPr>
        <w:pStyle w:val="NoSpacing"/>
        <w:spacing w:line="360" w:lineRule="auto"/>
        <w:jc w:val="center"/>
        <w:rPr>
          <w:u w:val="single"/>
        </w:rPr>
      </w:pPr>
      <w:r w:rsidRPr="00A73419">
        <w:rPr>
          <w:u w:val="single"/>
        </w:rPr>
        <w:t>DISCUSSION</w:t>
      </w:r>
    </w:p>
    <w:p w14:paraId="7A7CC5BB" w14:textId="1FBA9CD5" w:rsidR="00A73419" w:rsidRDefault="00A73419" w:rsidP="005A00E4">
      <w:pPr>
        <w:pStyle w:val="NoSpacing"/>
        <w:spacing w:line="360" w:lineRule="auto"/>
        <w:jc w:val="center"/>
        <w:rPr>
          <w:u w:val="single"/>
        </w:rPr>
      </w:pPr>
    </w:p>
    <w:p w14:paraId="1D6D87C9" w14:textId="0C673416" w:rsidR="0047024E" w:rsidRDefault="0047024E" w:rsidP="005A00E4">
      <w:pPr>
        <w:widowControl w:val="0"/>
        <w:autoSpaceDE w:val="0"/>
        <w:autoSpaceDN w:val="0"/>
        <w:spacing w:line="360" w:lineRule="auto"/>
        <w:ind w:firstLine="1440"/>
        <w:rPr>
          <w:szCs w:val="24"/>
        </w:rPr>
      </w:pPr>
      <w:r>
        <w:rPr>
          <w:szCs w:val="24"/>
        </w:rPr>
        <w:t>The Commission regulation pertaining to consolidation appears at 52 Pa.Code §5.81, and states, in relevant part:</w:t>
      </w:r>
    </w:p>
    <w:p w14:paraId="0DFEEC1D" w14:textId="77777777" w:rsidR="0047024E" w:rsidRDefault="0047024E" w:rsidP="0047024E">
      <w:pPr>
        <w:widowControl w:val="0"/>
        <w:autoSpaceDE w:val="0"/>
        <w:autoSpaceDN w:val="0"/>
        <w:spacing w:line="360" w:lineRule="auto"/>
        <w:ind w:firstLine="1440"/>
        <w:rPr>
          <w:szCs w:val="24"/>
        </w:rPr>
      </w:pPr>
    </w:p>
    <w:p w14:paraId="07B4C099" w14:textId="77777777" w:rsidR="0047024E" w:rsidRDefault="0047024E" w:rsidP="0047024E">
      <w:pPr>
        <w:autoSpaceDE w:val="0"/>
        <w:autoSpaceDN w:val="0"/>
        <w:ind w:left="1440" w:right="1440"/>
        <w:rPr>
          <w:b/>
          <w:bCs/>
          <w:szCs w:val="24"/>
        </w:rPr>
      </w:pPr>
      <w:r>
        <w:rPr>
          <w:b/>
          <w:bCs/>
          <w:szCs w:val="24"/>
        </w:rPr>
        <w:t>§5.81. Consolidation.</w:t>
      </w:r>
    </w:p>
    <w:p w14:paraId="3C4D5991" w14:textId="77777777" w:rsidR="0047024E" w:rsidRDefault="0047024E" w:rsidP="0047024E">
      <w:pPr>
        <w:autoSpaceDE w:val="0"/>
        <w:autoSpaceDN w:val="0"/>
        <w:ind w:left="1440" w:right="1440"/>
        <w:rPr>
          <w:szCs w:val="24"/>
        </w:rPr>
      </w:pPr>
    </w:p>
    <w:p w14:paraId="7E71DB0D" w14:textId="77777777" w:rsidR="0047024E" w:rsidRDefault="0047024E" w:rsidP="0047024E">
      <w:pPr>
        <w:autoSpaceDE w:val="0"/>
        <w:autoSpaceDN w:val="0"/>
        <w:ind w:left="1440" w:right="1440"/>
        <w:rPr>
          <w:szCs w:val="24"/>
        </w:rPr>
      </w:pPr>
      <w:r>
        <w:rPr>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70ED7795" w14:textId="77777777" w:rsidR="0047024E" w:rsidRDefault="0047024E" w:rsidP="0047024E">
      <w:pPr>
        <w:autoSpaceDE w:val="0"/>
        <w:autoSpaceDN w:val="0"/>
        <w:ind w:left="1440" w:right="1440"/>
        <w:rPr>
          <w:szCs w:val="24"/>
        </w:rPr>
      </w:pPr>
    </w:p>
    <w:p w14:paraId="611184B1" w14:textId="77777777" w:rsidR="0047024E" w:rsidRDefault="0047024E" w:rsidP="0047024E">
      <w:pPr>
        <w:autoSpaceDE w:val="0"/>
        <w:autoSpaceDN w:val="0"/>
        <w:ind w:left="1440" w:right="1440"/>
        <w:rPr>
          <w:szCs w:val="24"/>
        </w:rPr>
      </w:pPr>
    </w:p>
    <w:p w14:paraId="781C53FD" w14:textId="77777777" w:rsidR="0047024E" w:rsidRDefault="0047024E" w:rsidP="0047024E">
      <w:pPr>
        <w:widowControl w:val="0"/>
        <w:autoSpaceDE w:val="0"/>
        <w:autoSpaceDN w:val="0"/>
        <w:spacing w:line="360" w:lineRule="auto"/>
        <w:ind w:firstLine="1440"/>
        <w:rPr>
          <w:szCs w:val="24"/>
        </w:rPr>
      </w:pPr>
      <w:r>
        <w:rPr>
          <w:szCs w:val="24"/>
        </w:rPr>
        <w:t>The question of consolidation is clearly left to the sound discretion of the Commission or presiding officer.</w:t>
      </w:r>
    </w:p>
    <w:p w14:paraId="71CEFB02" w14:textId="77777777" w:rsidR="0047024E" w:rsidRDefault="0047024E" w:rsidP="0047024E">
      <w:pPr>
        <w:widowControl w:val="0"/>
        <w:autoSpaceDE w:val="0"/>
        <w:autoSpaceDN w:val="0"/>
        <w:spacing w:line="360" w:lineRule="auto"/>
        <w:ind w:firstLine="1440"/>
        <w:rPr>
          <w:szCs w:val="24"/>
        </w:rPr>
      </w:pPr>
    </w:p>
    <w:p w14:paraId="2C805D5C" w14:textId="77777777" w:rsidR="0047024E" w:rsidRDefault="0047024E" w:rsidP="0047024E">
      <w:pPr>
        <w:widowControl w:val="0"/>
        <w:autoSpaceDE w:val="0"/>
        <w:autoSpaceDN w:val="0"/>
        <w:spacing w:line="360" w:lineRule="auto"/>
        <w:ind w:firstLine="1440"/>
        <w:rPr>
          <w:szCs w:val="24"/>
        </w:rPr>
      </w:pPr>
      <w:r>
        <w:rPr>
          <w:szCs w:val="24"/>
        </w:rPr>
        <w:t xml:space="preserve">In considering the consolidation of cases, the first criteria (set forth in the Commission’s regulations) is that the proceedings must involve “a common question of law or </w:t>
      </w:r>
      <w:r>
        <w:rPr>
          <w:szCs w:val="24"/>
        </w:rPr>
        <w:lastRenderedPageBreak/>
        <w:t xml:space="preserve">fact.”  An examination of Commission precedent in such cases as </w:t>
      </w:r>
      <w:r>
        <w:rPr>
          <w:i/>
          <w:szCs w:val="24"/>
        </w:rPr>
        <w:t>Applications of Philadelphia Electric Co.</w:t>
      </w:r>
      <w:r>
        <w:rPr>
          <w:szCs w:val="24"/>
        </w:rPr>
        <w:t xml:space="preserve">, 43 Pa. PUC 781 (1968), </w:t>
      </w:r>
      <w:r>
        <w:rPr>
          <w:i/>
          <w:szCs w:val="24"/>
        </w:rPr>
        <w:t>Pa. Public Utility Comm’n v. Bell Telephone Co. of Pennsylvania</w:t>
      </w:r>
      <w:r>
        <w:rPr>
          <w:szCs w:val="24"/>
        </w:rPr>
        <w:t xml:space="preserve">, 46 Pa. PUC 568 (1973), and </w:t>
      </w:r>
      <w:r>
        <w:rPr>
          <w:i/>
          <w:szCs w:val="24"/>
        </w:rPr>
        <w:t>Pa. Public Utility Comm’n v. Butler Twp. Water Co</w:t>
      </w:r>
      <w:r>
        <w:rPr>
          <w:szCs w:val="24"/>
        </w:rPr>
        <w:t>., 52 Pa. PUC 442 (1978), as well as those cited above, establishes that considerations in addition to the presence of common questions of law or fact must also be evaluated in ruling on a consolidation.  These other considerations are:</w:t>
      </w:r>
    </w:p>
    <w:p w14:paraId="538A5FF9" w14:textId="77777777" w:rsidR="0047024E" w:rsidRDefault="0047024E" w:rsidP="0047024E">
      <w:pPr>
        <w:widowControl w:val="0"/>
        <w:autoSpaceDE w:val="0"/>
        <w:autoSpaceDN w:val="0"/>
        <w:spacing w:line="360" w:lineRule="auto"/>
        <w:ind w:firstLine="1440"/>
        <w:rPr>
          <w:szCs w:val="24"/>
        </w:rPr>
      </w:pPr>
    </w:p>
    <w:p w14:paraId="7E90AD38" w14:textId="77777777" w:rsidR="0047024E" w:rsidRDefault="0047024E" w:rsidP="0047024E">
      <w:pPr>
        <w:autoSpaceDE w:val="0"/>
        <w:autoSpaceDN w:val="0"/>
        <w:ind w:left="1440" w:right="1440"/>
        <w:rPr>
          <w:szCs w:val="24"/>
        </w:rPr>
      </w:pPr>
      <w:r>
        <w:rPr>
          <w:szCs w:val="24"/>
        </w:rPr>
        <w:t>1.</w:t>
      </w:r>
      <w:r>
        <w:rPr>
          <w:szCs w:val="24"/>
        </w:rPr>
        <w:tab/>
        <w:t>Will the presence of additional issues cloud a determination of the common issues?</w:t>
      </w:r>
    </w:p>
    <w:p w14:paraId="0F522E6A" w14:textId="77777777" w:rsidR="0047024E" w:rsidRDefault="0047024E" w:rsidP="0047024E">
      <w:pPr>
        <w:autoSpaceDE w:val="0"/>
        <w:autoSpaceDN w:val="0"/>
        <w:ind w:left="1440" w:right="1440"/>
        <w:rPr>
          <w:szCs w:val="24"/>
        </w:rPr>
      </w:pPr>
    </w:p>
    <w:p w14:paraId="5ECB4FBA" w14:textId="77777777" w:rsidR="0047024E" w:rsidRDefault="0047024E" w:rsidP="0047024E">
      <w:pPr>
        <w:widowControl w:val="0"/>
        <w:autoSpaceDE w:val="0"/>
        <w:autoSpaceDN w:val="0"/>
        <w:ind w:left="1440" w:right="1440"/>
        <w:rPr>
          <w:szCs w:val="24"/>
        </w:rPr>
      </w:pPr>
      <w:r>
        <w:rPr>
          <w:szCs w:val="24"/>
        </w:rPr>
        <w:t>2.</w:t>
      </w:r>
      <w:r>
        <w:rPr>
          <w:szCs w:val="24"/>
        </w:rPr>
        <w:tab/>
        <w:t>Will consolidation result in reduced costs of litigation and decision-making for the parties and the Commission?</w:t>
      </w:r>
    </w:p>
    <w:p w14:paraId="38BE8DC1" w14:textId="77777777" w:rsidR="0047024E" w:rsidRDefault="0047024E" w:rsidP="0047024E">
      <w:pPr>
        <w:widowControl w:val="0"/>
        <w:autoSpaceDE w:val="0"/>
        <w:autoSpaceDN w:val="0"/>
        <w:ind w:left="1440" w:right="1440"/>
        <w:rPr>
          <w:szCs w:val="24"/>
        </w:rPr>
      </w:pPr>
    </w:p>
    <w:p w14:paraId="0150F045" w14:textId="77777777" w:rsidR="0047024E" w:rsidRDefault="0047024E" w:rsidP="0047024E">
      <w:pPr>
        <w:widowControl w:val="0"/>
        <w:autoSpaceDE w:val="0"/>
        <w:autoSpaceDN w:val="0"/>
        <w:ind w:left="1440" w:right="1440"/>
        <w:rPr>
          <w:szCs w:val="24"/>
        </w:rPr>
      </w:pPr>
      <w:r>
        <w:rPr>
          <w:szCs w:val="24"/>
        </w:rPr>
        <w:t>3.</w:t>
      </w:r>
      <w:r>
        <w:rPr>
          <w:szCs w:val="24"/>
        </w:rPr>
        <w:tab/>
        <w:t>Do issues in one proceeding go to the heart of an issue in the other proceeding?</w:t>
      </w:r>
    </w:p>
    <w:p w14:paraId="191E41AA" w14:textId="77777777" w:rsidR="0047024E" w:rsidRDefault="0047024E" w:rsidP="0047024E">
      <w:pPr>
        <w:widowControl w:val="0"/>
        <w:autoSpaceDE w:val="0"/>
        <w:autoSpaceDN w:val="0"/>
        <w:ind w:left="1440" w:right="1440"/>
        <w:rPr>
          <w:szCs w:val="24"/>
        </w:rPr>
      </w:pPr>
    </w:p>
    <w:p w14:paraId="38C9CBE2" w14:textId="77777777" w:rsidR="0047024E" w:rsidRDefault="0047024E" w:rsidP="0047024E">
      <w:pPr>
        <w:widowControl w:val="0"/>
        <w:autoSpaceDE w:val="0"/>
        <w:autoSpaceDN w:val="0"/>
        <w:ind w:left="1440" w:right="1440"/>
        <w:rPr>
          <w:szCs w:val="24"/>
        </w:rPr>
      </w:pPr>
      <w:r>
        <w:rPr>
          <w:szCs w:val="24"/>
        </w:rPr>
        <w:t>4.</w:t>
      </w:r>
      <w:r>
        <w:rPr>
          <w:szCs w:val="24"/>
        </w:rPr>
        <w:tab/>
        <w:t>Will consolidation unduly protract the hearing, or produce a disorderly and unwieldy record?</w:t>
      </w:r>
    </w:p>
    <w:p w14:paraId="309F7A20" w14:textId="77777777" w:rsidR="0047024E" w:rsidRDefault="0047024E" w:rsidP="0047024E">
      <w:pPr>
        <w:widowControl w:val="0"/>
        <w:autoSpaceDE w:val="0"/>
        <w:autoSpaceDN w:val="0"/>
        <w:ind w:left="1440" w:right="1440"/>
        <w:rPr>
          <w:szCs w:val="24"/>
        </w:rPr>
      </w:pPr>
    </w:p>
    <w:p w14:paraId="711CF7B0" w14:textId="77777777" w:rsidR="0047024E" w:rsidRDefault="0047024E" w:rsidP="0047024E">
      <w:pPr>
        <w:widowControl w:val="0"/>
        <w:autoSpaceDE w:val="0"/>
        <w:autoSpaceDN w:val="0"/>
        <w:ind w:left="1440" w:right="1440"/>
        <w:rPr>
          <w:szCs w:val="24"/>
        </w:rPr>
      </w:pPr>
      <w:r>
        <w:rPr>
          <w:szCs w:val="24"/>
        </w:rPr>
        <w:t>5.</w:t>
      </w:r>
      <w:r>
        <w:rPr>
          <w:szCs w:val="24"/>
        </w:rPr>
        <w:tab/>
        <w:t>Will different statutory and legal issues be involved?</w:t>
      </w:r>
    </w:p>
    <w:p w14:paraId="7F570183" w14:textId="77777777" w:rsidR="0047024E" w:rsidRDefault="0047024E" w:rsidP="0047024E">
      <w:pPr>
        <w:widowControl w:val="0"/>
        <w:autoSpaceDE w:val="0"/>
        <w:autoSpaceDN w:val="0"/>
        <w:ind w:left="1440" w:right="1440"/>
        <w:rPr>
          <w:szCs w:val="24"/>
        </w:rPr>
      </w:pPr>
    </w:p>
    <w:p w14:paraId="47E1F20E" w14:textId="77777777" w:rsidR="0047024E" w:rsidRDefault="0047024E" w:rsidP="0047024E">
      <w:pPr>
        <w:widowControl w:val="0"/>
        <w:autoSpaceDE w:val="0"/>
        <w:autoSpaceDN w:val="0"/>
        <w:ind w:left="1440" w:right="1440"/>
        <w:rPr>
          <w:szCs w:val="24"/>
        </w:rPr>
      </w:pPr>
      <w:r>
        <w:rPr>
          <w:szCs w:val="24"/>
        </w:rPr>
        <w:t>6.</w:t>
      </w:r>
      <w:r>
        <w:rPr>
          <w:szCs w:val="24"/>
        </w:rPr>
        <w:tab/>
        <w:t>Does the party with the burden of proof differ in the proceedings?</w:t>
      </w:r>
    </w:p>
    <w:p w14:paraId="420FD97A" w14:textId="77777777" w:rsidR="0047024E" w:rsidRDefault="0047024E" w:rsidP="0047024E">
      <w:pPr>
        <w:widowControl w:val="0"/>
        <w:autoSpaceDE w:val="0"/>
        <w:autoSpaceDN w:val="0"/>
        <w:ind w:left="1440" w:right="1440"/>
        <w:rPr>
          <w:szCs w:val="24"/>
        </w:rPr>
      </w:pPr>
    </w:p>
    <w:p w14:paraId="751707B7" w14:textId="77777777" w:rsidR="0047024E" w:rsidRDefault="0047024E" w:rsidP="0047024E">
      <w:pPr>
        <w:widowControl w:val="0"/>
        <w:autoSpaceDE w:val="0"/>
        <w:autoSpaceDN w:val="0"/>
        <w:ind w:left="1440" w:right="1440"/>
        <w:rPr>
          <w:szCs w:val="24"/>
        </w:rPr>
      </w:pPr>
      <w:r>
        <w:rPr>
          <w:szCs w:val="24"/>
        </w:rPr>
        <w:t>7.</w:t>
      </w:r>
      <w:r>
        <w:rPr>
          <w:szCs w:val="24"/>
        </w:rPr>
        <w:tab/>
        <w:t>Will consolidation unduly delay the resolution of one of the proceedings?</w:t>
      </w:r>
    </w:p>
    <w:p w14:paraId="0F8FF4FD" w14:textId="77777777" w:rsidR="0047024E" w:rsidRDefault="0047024E" w:rsidP="0047024E">
      <w:pPr>
        <w:widowControl w:val="0"/>
        <w:autoSpaceDE w:val="0"/>
        <w:autoSpaceDN w:val="0"/>
        <w:ind w:left="1440" w:right="1440"/>
        <w:rPr>
          <w:szCs w:val="24"/>
        </w:rPr>
      </w:pPr>
    </w:p>
    <w:p w14:paraId="20B64AFB" w14:textId="6E45EC9B" w:rsidR="0047024E" w:rsidRDefault="0047024E" w:rsidP="0047024E">
      <w:pPr>
        <w:widowControl w:val="0"/>
        <w:tabs>
          <w:tab w:val="left" w:pos="1584"/>
          <w:tab w:val="left" w:pos="2304"/>
        </w:tabs>
        <w:autoSpaceDE w:val="0"/>
        <w:autoSpaceDN w:val="0"/>
        <w:ind w:left="1440" w:right="1440"/>
        <w:rPr>
          <w:szCs w:val="24"/>
        </w:rPr>
      </w:pPr>
      <w:r>
        <w:rPr>
          <w:szCs w:val="24"/>
        </w:rPr>
        <w:t>8.</w:t>
      </w:r>
      <w:r>
        <w:rPr>
          <w:szCs w:val="24"/>
        </w:rPr>
        <w:tab/>
        <w:t>Will supporting data in both proceedings be repetitive?</w:t>
      </w:r>
    </w:p>
    <w:p w14:paraId="02AB0DC1" w14:textId="77777777" w:rsidR="0047024E" w:rsidRDefault="0047024E" w:rsidP="00645675">
      <w:pPr>
        <w:widowControl w:val="0"/>
        <w:tabs>
          <w:tab w:val="left" w:pos="1584"/>
          <w:tab w:val="left" w:pos="2304"/>
        </w:tabs>
        <w:autoSpaceDE w:val="0"/>
        <w:autoSpaceDN w:val="0"/>
        <w:spacing w:line="360" w:lineRule="auto"/>
        <w:ind w:right="1440"/>
        <w:rPr>
          <w:szCs w:val="24"/>
        </w:rPr>
      </w:pPr>
    </w:p>
    <w:p w14:paraId="2E095C87" w14:textId="53FFD3F3" w:rsidR="008C5F7F" w:rsidRDefault="00AA5122" w:rsidP="00B05903">
      <w:pPr>
        <w:pStyle w:val="ListNumber"/>
        <w:spacing w:line="360" w:lineRule="auto"/>
        <w:ind w:firstLine="1440"/>
      </w:pPr>
      <w:r>
        <w:t>The parties have requested that the matters pending before the Commission because they deal with the same issue</w:t>
      </w:r>
      <w:r w:rsidR="008C5F7F">
        <w:t>.</w:t>
      </w:r>
      <w:r w:rsidR="00B05903">
        <w:t xml:space="preserve">  Specifically, the matters involve PECO’s proposal to retain $5.5 million of FERC-ordered credits.</w:t>
      </w:r>
    </w:p>
    <w:p w14:paraId="4B40EBAA" w14:textId="77777777" w:rsidR="00B05903" w:rsidRDefault="00B05903" w:rsidP="00B05903">
      <w:pPr>
        <w:widowControl w:val="0"/>
        <w:autoSpaceDE w:val="0"/>
        <w:autoSpaceDN w:val="0"/>
        <w:spacing w:line="360" w:lineRule="auto"/>
        <w:ind w:firstLine="1440"/>
        <w:rPr>
          <w:szCs w:val="24"/>
        </w:rPr>
      </w:pPr>
    </w:p>
    <w:p w14:paraId="0F148AEF" w14:textId="691E521C" w:rsidR="008C5F7F" w:rsidRDefault="008C5F7F" w:rsidP="00B05903">
      <w:pPr>
        <w:widowControl w:val="0"/>
        <w:autoSpaceDE w:val="0"/>
        <w:autoSpaceDN w:val="0"/>
        <w:spacing w:line="360" w:lineRule="auto"/>
        <w:ind w:firstLine="1440"/>
        <w:rPr>
          <w:szCs w:val="24"/>
        </w:rPr>
      </w:pPr>
      <w:r>
        <w:rPr>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2222BB48" w14:textId="77777777" w:rsidR="008C5F7F" w:rsidRDefault="008C5F7F" w:rsidP="008C5F7F">
      <w:pPr>
        <w:widowControl w:val="0"/>
        <w:autoSpaceDE w:val="0"/>
        <w:autoSpaceDN w:val="0"/>
        <w:spacing w:line="360" w:lineRule="auto"/>
        <w:ind w:firstLine="1440"/>
        <w:rPr>
          <w:szCs w:val="24"/>
        </w:rPr>
      </w:pPr>
    </w:p>
    <w:p w14:paraId="2977856F" w14:textId="77777777" w:rsidR="008C5F7F" w:rsidRDefault="008C5F7F" w:rsidP="008C5F7F">
      <w:pPr>
        <w:widowControl w:val="0"/>
        <w:autoSpaceDE w:val="0"/>
        <w:autoSpaceDN w:val="0"/>
        <w:spacing w:line="360" w:lineRule="auto"/>
        <w:ind w:firstLine="1440"/>
        <w:rPr>
          <w:szCs w:val="24"/>
        </w:rPr>
      </w:pPr>
      <w:r>
        <w:rPr>
          <w:szCs w:val="24"/>
        </w:rPr>
        <w:lastRenderedPageBreak/>
        <w:t>In these matters, on balance, consolidation would be advantageous to the proceedings and in the public interest.</w:t>
      </w:r>
    </w:p>
    <w:p w14:paraId="6946C9B7" w14:textId="77777777" w:rsidR="008C5F7F" w:rsidRDefault="008C5F7F" w:rsidP="008C5F7F">
      <w:pPr>
        <w:widowControl w:val="0"/>
        <w:autoSpaceDE w:val="0"/>
        <w:autoSpaceDN w:val="0"/>
        <w:spacing w:line="360" w:lineRule="auto"/>
        <w:ind w:firstLine="1440"/>
        <w:rPr>
          <w:szCs w:val="24"/>
        </w:rPr>
      </w:pPr>
    </w:p>
    <w:p w14:paraId="5BB55BE1" w14:textId="320623C3" w:rsidR="008C5F7F" w:rsidRDefault="00B05903" w:rsidP="008C5F7F">
      <w:pPr>
        <w:spacing w:after="80" w:line="360" w:lineRule="auto"/>
        <w:ind w:firstLine="1440"/>
        <w:rPr>
          <w:szCs w:val="24"/>
        </w:rPr>
      </w:pPr>
      <w:r>
        <w:rPr>
          <w:szCs w:val="24"/>
        </w:rPr>
        <w:t>The cases all involve the same issue</w:t>
      </w:r>
      <w:r w:rsidR="008C5F7F">
        <w:rPr>
          <w:szCs w:val="24"/>
        </w:rPr>
        <w:t xml:space="preserve">.  The parties involved in the cases are the same.  </w:t>
      </w:r>
    </w:p>
    <w:p w14:paraId="57929DE1" w14:textId="77777777" w:rsidR="008C5F7F" w:rsidRDefault="008C5F7F" w:rsidP="008C5F7F">
      <w:pPr>
        <w:spacing w:after="80" w:line="360" w:lineRule="auto"/>
        <w:ind w:firstLine="1440"/>
        <w:rPr>
          <w:szCs w:val="24"/>
        </w:rPr>
      </w:pPr>
    </w:p>
    <w:p w14:paraId="2EBFA418" w14:textId="77777777" w:rsidR="008C5F7F" w:rsidRDefault="008C5F7F" w:rsidP="008C5F7F">
      <w:pPr>
        <w:spacing w:after="80" w:line="360" w:lineRule="auto"/>
        <w:ind w:firstLine="1440"/>
        <w:rPr>
          <w:b/>
          <w:szCs w:val="24"/>
          <w:u w:val="single"/>
        </w:rPr>
      </w:pPr>
      <w:r>
        <w:rPr>
          <w:szCs w:val="24"/>
        </w:rPr>
        <w:t xml:space="preserve">Consolidation will help all parties and the Commission reduce costs and time by having one hearing for both matters.  </w:t>
      </w:r>
    </w:p>
    <w:p w14:paraId="09070104" w14:textId="77777777" w:rsidR="008C5F7F" w:rsidRDefault="008C5F7F" w:rsidP="008C5F7F">
      <w:pPr>
        <w:autoSpaceDE w:val="0"/>
        <w:autoSpaceDN w:val="0"/>
        <w:spacing w:line="360" w:lineRule="auto"/>
        <w:ind w:firstLine="1440"/>
        <w:rPr>
          <w:szCs w:val="24"/>
        </w:rPr>
      </w:pPr>
    </w:p>
    <w:p w14:paraId="6CBEB730" w14:textId="77777777" w:rsidR="008C5F7F" w:rsidRDefault="008C5F7F" w:rsidP="008C5F7F">
      <w:pPr>
        <w:autoSpaceDE w:val="0"/>
        <w:autoSpaceDN w:val="0"/>
        <w:spacing w:line="360" w:lineRule="auto"/>
        <w:ind w:firstLine="1440"/>
        <w:rPr>
          <w:szCs w:val="24"/>
        </w:rPr>
      </w:pPr>
      <w:r>
        <w:rPr>
          <w:szCs w:val="24"/>
        </w:rPr>
        <w:t>Consolidation will not make the record disorderly or unwieldy as the same parties will appear in each case.</w:t>
      </w:r>
    </w:p>
    <w:p w14:paraId="6B86AA3D" w14:textId="77777777" w:rsidR="008C5F7F" w:rsidRDefault="008C5F7F" w:rsidP="008C5F7F">
      <w:pPr>
        <w:autoSpaceDE w:val="0"/>
        <w:autoSpaceDN w:val="0"/>
        <w:spacing w:line="360" w:lineRule="auto"/>
        <w:ind w:firstLine="1440"/>
        <w:rPr>
          <w:szCs w:val="24"/>
        </w:rPr>
      </w:pPr>
    </w:p>
    <w:p w14:paraId="2699FE14" w14:textId="77777777" w:rsidR="008C5F7F" w:rsidRDefault="008C5F7F" w:rsidP="008C5F7F">
      <w:pPr>
        <w:autoSpaceDE w:val="0"/>
        <w:autoSpaceDN w:val="0"/>
        <w:spacing w:line="360" w:lineRule="auto"/>
        <w:ind w:firstLine="1440"/>
        <w:rPr>
          <w:szCs w:val="24"/>
        </w:rPr>
      </w:pPr>
      <w:r>
        <w:rPr>
          <w:szCs w:val="24"/>
        </w:rPr>
        <w:t>Consolidation of these cases will not unduly delay the resolution of any of them.  They will be heard together.</w:t>
      </w:r>
    </w:p>
    <w:p w14:paraId="7CB50ADF" w14:textId="77777777" w:rsidR="008C5F7F" w:rsidRDefault="008C5F7F" w:rsidP="008C5F7F">
      <w:pPr>
        <w:autoSpaceDE w:val="0"/>
        <w:autoSpaceDN w:val="0"/>
        <w:spacing w:line="360" w:lineRule="auto"/>
        <w:ind w:firstLine="1440"/>
        <w:rPr>
          <w:szCs w:val="24"/>
        </w:rPr>
      </w:pPr>
    </w:p>
    <w:p w14:paraId="486F0366" w14:textId="0AB3FA0F" w:rsidR="008C5F7F" w:rsidRDefault="008C5F7F" w:rsidP="008C5F7F">
      <w:pPr>
        <w:autoSpaceDE w:val="0"/>
        <w:autoSpaceDN w:val="0"/>
        <w:spacing w:line="360" w:lineRule="auto"/>
        <w:ind w:firstLine="1440"/>
        <w:rPr>
          <w:szCs w:val="24"/>
        </w:rPr>
      </w:pPr>
      <w:r>
        <w:rPr>
          <w:szCs w:val="24"/>
        </w:rPr>
        <w:t xml:space="preserve">Because the cases involve the same Company and </w:t>
      </w:r>
      <w:r w:rsidR="007A142B">
        <w:rPr>
          <w:szCs w:val="24"/>
        </w:rPr>
        <w:t>the same</w:t>
      </w:r>
      <w:r>
        <w:rPr>
          <w:szCs w:val="24"/>
        </w:rPr>
        <w:t xml:space="preserve"> issues, the supporting data will be similar and should be heard at once so there is no repetition.</w:t>
      </w:r>
    </w:p>
    <w:p w14:paraId="65E23998" w14:textId="77777777" w:rsidR="008C5F7F" w:rsidRDefault="008C5F7F" w:rsidP="008C5F7F">
      <w:pPr>
        <w:widowControl w:val="0"/>
        <w:autoSpaceDE w:val="0"/>
        <w:autoSpaceDN w:val="0"/>
        <w:spacing w:line="360" w:lineRule="auto"/>
        <w:ind w:firstLine="1440"/>
        <w:rPr>
          <w:szCs w:val="24"/>
        </w:rPr>
      </w:pPr>
    </w:p>
    <w:p w14:paraId="32C85862" w14:textId="77777777" w:rsidR="008C5F7F" w:rsidRDefault="008C5F7F" w:rsidP="008C5F7F">
      <w:pPr>
        <w:widowControl w:val="0"/>
        <w:autoSpaceDE w:val="0"/>
        <w:autoSpaceDN w:val="0"/>
        <w:spacing w:line="360" w:lineRule="auto"/>
        <w:ind w:firstLine="1440"/>
        <w:rPr>
          <w:szCs w:val="24"/>
        </w:rPr>
      </w:pPr>
      <w:r>
        <w:rPr>
          <w:szCs w:val="24"/>
        </w:rPr>
        <w:t>These cases meet all the criteria for consolidation.</w:t>
      </w:r>
    </w:p>
    <w:p w14:paraId="4AF36B1D" w14:textId="77777777" w:rsidR="008C5F7F" w:rsidRDefault="008C5F7F" w:rsidP="008C5F7F">
      <w:pPr>
        <w:widowControl w:val="0"/>
        <w:autoSpaceDE w:val="0"/>
        <w:autoSpaceDN w:val="0"/>
        <w:spacing w:line="360" w:lineRule="auto"/>
        <w:ind w:firstLine="1440"/>
        <w:rPr>
          <w:szCs w:val="24"/>
        </w:rPr>
      </w:pPr>
    </w:p>
    <w:p w14:paraId="77610442" w14:textId="77777777" w:rsidR="008C5F7F" w:rsidRDefault="008C5F7F" w:rsidP="008C5F7F">
      <w:pPr>
        <w:widowControl w:val="0"/>
        <w:autoSpaceDE w:val="0"/>
        <w:autoSpaceDN w:val="0"/>
        <w:spacing w:line="360" w:lineRule="auto"/>
        <w:ind w:firstLine="1440"/>
        <w:rPr>
          <w:szCs w:val="24"/>
        </w:rPr>
      </w:pPr>
      <w:r>
        <w:rPr>
          <w:szCs w:val="24"/>
        </w:rPr>
        <w:t xml:space="preserve">For </w:t>
      </w:r>
      <w:proofErr w:type="gramStart"/>
      <w:r>
        <w:rPr>
          <w:szCs w:val="24"/>
        </w:rPr>
        <w:t>all of</w:t>
      </w:r>
      <w:proofErr w:type="gramEnd"/>
      <w:r>
        <w:rPr>
          <w:szCs w:val="24"/>
        </w:rPr>
        <w:t xml:space="preserve"> the stated reasons, consolidation of these matters for hearing and adjudication is warranted and in the public interest.</w:t>
      </w:r>
    </w:p>
    <w:p w14:paraId="3D5E9ED9" w14:textId="7200BB4D" w:rsidR="007A142B" w:rsidRDefault="007A142B" w:rsidP="00851C95">
      <w:pPr>
        <w:pStyle w:val="NoSpacing"/>
        <w:spacing w:line="360" w:lineRule="auto"/>
      </w:pPr>
    </w:p>
    <w:p w14:paraId="61B8AF96" w14:textId="2CD3891E" w:rsidR="0019160C" w:rsidRDefault="0019160C" w:rsidP="00851C95">
      <w:pPr>
        <w:pStyle w:val="NoSpacing"/>
        <w:spacing w:line="360" w:lineRule="auto"/>
        <w:jc w:val="center"/>
        <w:rPr>
          <w:u w:val="single"/>
        </w:rPr>
      </w:pPr>
      <w:r>
        <w:rPr>
          <w:u w:val="single"/>
        </w:rPr>
        <w:t>ORDER</w:t>
      </w:r>
    </w:p>
    <w:p w14:paraId="4A3FFE1E" w14:textId="77777777" w:rsidR="00851C95" w:rsidRDefault="00851C95" w:rsidP="00851C95">
      <w:pPr>
        <w:pStyle w:val="NoSpacing"/>
        <w:spacing w:line="360" w:lineRule="auto"/>
        <w:jc w:val="center"/>
        <w:rPr>
          <w:u w:val="single"/>
        </w:rPr>
      </w:pPr>
    </w:p>
    <w:p w14:paraId="0534FC9D" w14:textId="77777777" w:rsidR="0019160C" w:rsidRDefault="0019160C" w:rsidP="00851C95">
      <w:pPr>
        <w:pStyle w:val="NoSpacing"/>
        <w:spacing w:line="360" w:lineRule="auto"/>
      </w:pPr>
    </w:p>
    <w:p w14:paraId="5CCBD4D2" w14:textId="77777777" w:rsidR="0019160C" w:rsidRDefault="0019160C" w:rsidP="00851C95">
      <w:pPr>
        <w:spacing w:line="360" w:lineRule="auto"/>
        <w:rPr>
          <w:szCs w:val="24"/>
        </w:rPr>
      </w:pPr>
      <w:r>
        <w:rPr>
          <w:szCs w:val="24"/>
        </w:rPr>
        <w:tab/>
      </w:r>
      <w:r>
        <w:rPr>
          <w:szCs w:val="24"/>
        </w:rPr>
        <w:tab/>
        <w:t>THEREFORE,</w:t>
      </w:r>
    </w:p>
    <w:p w14:paraId="12B06890" w14:textId="77777777" w:rsidR="0019160C" w:rsidRDefault="0019160C" w:rsidP="00851C95">
      <w:pPr>
        <w:spacing w:line="360" w:lineRule="auto"/>
        <w:rPr>
          <w:szCs w:val="24"/>
        </w:rPr>
      </w:pPr>
    </w:p>
    <w:p w14:paraId="14A821D9" w14:textId="77777777" w:rsidR="0019160C" w:rsidRDefault="0019160C" w:rsidP="00851C95">
      <w:pPr>
        <w:spacing w:line="360" w:lineRule="auto"/>
        <w:rPr>
          <w:szCs w:val="24"/>
        </w:rPr>
      </w:pPr>
      <w:r>
        <w:rPr>
          <w:szCs w:val="24"/>
        </w:rPr>
        <w:tab/>
      </w:r>
      <w:r>
        <w:rPr>
          <w:szCs w:val="24"/>
        </w:rPr>
        <w:tab/>
        <w:t>IT IS ORDERED:</w:t>
      </w:r>
    </w:p>
    <w:p w14:paraId="11274AE4" w14:textId="77777777" w:rsidR="0019160C" w:rsidRDefault="0019160C" w:rsidP="00851C95">
      <w:pPr>
        <w:spacing w:line="360" w:lineRule="auto"/>
        <w:rPr>
          <w:szCs w:val="24"/>
        </w:rPr>
      </w:pPr>
    </w:p>
    <w:p w14:paraId="643F4B12" w14:textId="423AE77B" w:rsidR="00C1170D" w:rsidRDefault="00C1170D" w:rsidP="00C1170D">
      <w:pPr>
        <w:pStyle w:val="CommentText"/>
        <w:numPr>
          <w:ilvl w:val="0"/>
          <w:numId w:val="2"/>
        </w:numPr>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lastRenderedPageBreak/>
        <w:t xml:space="preserve">That </w:t>
      </w:r>
      <w:r w:rsidR="008C5F7F">
        <w:rPr>
          <w:rFonts w:ascii="Times New Roman" w:eastAsia="Times New Roman" w:hAnsi="Times New Roman"/>
          <w:i/>
          <w:sz w:val="24"/>
          <w:szCs w:val="24"/>
        </w:rPr>
        <w:t>Office of Consumer Advocat</w:t>
      </w:r>
      <w:r w:rsidR="00920264">
        <w:rPr>
          <w:rFonts w:ascii="Times New Roman" w:eastAsia="Times New Roman" w:hAnsi="Times New Roman"/>
          <w:i/>
          <w:sz w:val="24"/>
          <w:szCs w:val="24"/>
        </w:rPr>
        <w:t>e</w:t>
      </w:r>
      <w:r>
        <w:rPr>
          <w:rFonts w:ascii="Times New Roman" w:eastAsia="Times New Roman" w:hAnsi="Times New Roman"/>
          <w:i/>
          <w:sz w:val="24"/>
          <w:szCs w:val="24"/>
        </w:rPr>
        <w:t xml:space="preserve"> v. </w:t>
      </w:r>
      <w:r w:rsidR="00920264">
        <w:rPr>
          <w:rFonts w:ascii="Times New Roman" w:eastAsia="Times New Roman" w:hAnsi="Times New Roman"/>
          <w:i/>
          <w:sz w:val="24"/>
          <w:szCs w:val="24"/>
        </w:rPr>
        <w:t>PECO Energy</w:t>
      </w:r>
      <w:r>
        <w:rPr>
          <w:rFonts w:ascii="Times New Roman" w:eastAsia="Times New Roman" w:hAnsi="Times New Roman"/>
          <w:i/>
          <w:sz w:val="24"/>
          <w:szCs w:val="24"/>
        </w:rPr>
        <w:t xml:space="preserve"> Company</w:t>
      </w:r>
      <w:r>
        <w:rPr>
          <w:rFonts w:ascii="Times New Roman" w:eastAsia="Times New Roman" w:hAnsi="Times New Roman"/>
          <w:sz w:val="24"/>
          <w:szCs w:val="24"/>
        </w:rPr>
        <w:t>, Docket No</w:t>
      </w:r>
      <w:r w:rsidRPr="00920264">
        <w:rPr>
          <w:rFonts w:ascii="Times New Roman" w:eastAsia="Times New Roman" w:hAnsi="Times New Roman"/>
          <w:sz w:val="24"/>
          <w:szCs w:val="24"/>
        </w:rPr>
        <w:t xml:space="preserve">. </w:t>
      </w:r>
      <w:r w:rsidR="00920264" w:rsidRPr="00920264">
        <w:rPr>
          <w:rFonts w:ascii="Times New Roman" w:hAnsi="Times New Roman"/>
          <w:sz w:val="24"/>
          <w:szCs w:val="24"/>
        </w:rPr>
        <w:t>C-2018-3006242</w:t>
      </w:r>
      <w:r w:rsidRPr="00920264">
        <w:rPr>
          <w:rFonts w:ascii="Times New Roman" w:eastAsia="Times New Roman" w:hAnsi="Times New Roman"/>
          <w:sz w:val="24"/>
          <w:szCs w:val="24"/>
        </w:rPr>
        <w:t xml:space="preserve">, will be </w:t>
      </w:r>
      <w:r w:rsidRPr="00920264">
        <w:rPr>
          <w:rFonts w:ascii="Times New Roman" w:eastAsia="Times New Roman" w:hAnsi="Times New Roman"/>
          <w:spacing w:val="-3"/>
          <w:sz w:val="24"/>
          <w:szCs w:val="24"/>
        </w:rPr>
        <w:t>consolidated</w:t>
      </w:r>
      <w:r w:rsidRPr="00920264">
        <w:rPr>
          <w:rFonts w:ascii="Times New Roman" w:eastAsia="Times New Roman" w:hAnsi="Times New Roman"/>
          <w:sz w:val="24"/>
          <w:szCs w:val="24"/>
        </w:rPr>
        <w:t xml:space="preserve"> for hearing and adjudication</w:t>
      </w:r>
      <w:r w:rsidRPr="00920264">
        <w:rPr>
          <w:rFonts w:ascii="Times New Roman" w:eastAsia="Times New Roman" w:hAnsi="Times New Roman"/>
          <w:spacing w:val="-3"/>
          <w:sz w:val="24"/>
          <w:szCs w:val="24"/>
        </w:rPr>
        <w:t xml:space="preserve"> with </w:t>
      </w:r>
      <w:r w:rsidR="00920264" w:rsidRPr="00920264">
        <w:rPr>
          <w:rFonts w:ascii="Times New Roman" w:eastAsia="Times New Roman" w:hAnsi="Times New Roman"/>
          <w:i/>
          <w:sz w:val="24"/>
          <w:szCs w:val="24"/>
        </w:rPr>
        <w:t>Office of Consumer Advocate</w:t>
      </w:r>
      <w:r w:rsidRPr="00920264">
        <w:rPr>
          <w:rFonts w:ascii="Times New Roman" w:eastAsia="Times New Roman" w:hAnsi="Times New Roman"/>
          <w:i/>
          <w:sz w:val="24"/>
          <w:szCs w:val="24"/>
        </w:rPr>
        <w:t xml:space="preserve"> v. </w:t>
      </w:r>
      <w:r w:rsidR="00920264" w:rsidRPr="00920264">
        <w:rPr>
          <w:rFonts w:ascii="Times New Roman" w:eastAsia="Times New Roman" w:hAnsi="Times New Roman"/>
          <w:i/>
          <w:sz w:val="24"/>
          <w:szCs w:val="24"/>
        </w:rPr>
        <w:t>PECO Energy Company</w:t>
      </w:r>
      <w:r w:rsidRPr="00920264">
        <w:rPr>
          <w:rFonts w:ascii="Times New Roman" w:eastAsia="Times New Roman" w:hAnsi="Times New Roman"/>
          <w:sz w:val="24"/>
          <w:szCs w:val="24"/>
        </w:rPr>
        <w:t xml:space="preserve">, Docket No. </w:t>
      </w:r>
      <w:r w:rsidR="00920264" w:rsidRPr="00920264">
        <w:rPr>
          <w:rFonts w:ascii="Times New Roman" w:hAnsi="Times New Roman"/>
          <w:sz w:val="24"/>
          <w:szCs w:val="24"/>
        </w:rPr>
        <w:t>C-2019-3010737</w:t>
      </w:r>
      <w:r w:rsidRPr="00920264">
        <w:rPr>
          <w:rFonts w:ascii="Times New Roman" w:eastAsia="Times New Roman" w:hAnsi="Times New Roman"/>
          <w:sz w:val="24"/>
          <w:szCs w:val="24"/>
        </w:rPr>
        <w:t>.</w:t>
      </w:r>
    </w:p>
    <w:p w14:paraId="68CF340C" w14:textId="77777777" w:rsidR="00563A47" w:rsidRDefault="00563A47" w:rsidP="00563A47">
      <w:pPr>
        <w:pStyle w:val="CommentText"/>
        <w:spacing w:after="0" w:line="360" w:lineRule="auto"/>
        <w:ind w:left="1440"/>
        <w:rPr>
          <w:rFonts w:ascii="Times New Roman" w:eastAsia="Times New Roman" w:hAnsi="Times New Roman"/>
          <w:sz w:val="24"/>
          <w:szCs w:val="24"/>
        </w:rPr>
      </w:pPr>
    </w:p>
    <w:p w14:paraId="58FECE3D" w14:textId="7FC8965E" w:rsidR="00563A47" w:rsidRPr="00210F27" w:rsidRDefault="00563A47" w:rsidP="00C1170D">
      <w:pPr>
        <w:pStyle w:val="CommentText"/>
        <w:numPr>
          <w:ilvl w:val="0"/>
          <w:numId w:val="2"/>
        </w:numPr>
        <w:spacing w:after="0" w:line="360" w:lineRule="auto"/>
        <w:ind w:left="0" w:firstLine="1440"/>
        <w:rPr>
          <w:rFonts w:ascii="Times New Roman" w:eastAsia="Times New Roman" w:hAnsi="Times New Roman"/>
          <w:sz w:val="24"/>
          <w:szCs w:val="24"/>
        </w:rPr>
      </w:pPr>
      <w:r w:rsidRPr="00210F27">
        <w:rPr>
          <w:rFonts w:ascii="Times New Roman" w:eastAsia="Times New Roman" w:hAnsi="Times New Roman"/>
          <w:sz w:val="24"/>
          <w:szCs w:val="24"/>
        </w:rPr>
        <w:t xml:space="preserve">That the filings of PECO Energy Company at Docket </w:t>
      </w:r>
      <w:r w:rsidR="008B3F3A" w:rsidRPr="00210F27">
        <w:rPr>
          <w:rFonts w:ascii="Times New Roman" w:eastAsia="Times New Roman" w:hAnsi="Times New Roman"/>
          <w:sz w:val="24"/>
          <w:szCs w:val="24"/>
        </w:rPr>
        <w:t xml:space="preserve">No. </w:t>
      </w:r>
      <w:r w:rsidR="008B3F3A" w:rsidRPr="00210F27">
        <w:rPr>
          <w:rFonts w:ascii="Times New Roman" w:hAnsi="Times New Roman"/>
          <w:sz w:val="24"/>
          <w:szCs w:val="24"/>
        </w:rPr>
        <w:t xml:space="preserve">M-2018-3005860 and M-2019-3010032 will be </w:t>
      </w:r>
      <w:r w:rsidR="008B3F3A" w:rsidRPr="00210F27">
        <w:rPr>
          <w:rFonts w:ascii="Times New Roman" w:hAnsi="Times New Roman"/>
          <w:spacing w:val="-3"/>
          <w:sz w:val="24"/>
          <w:szCs w:val="24"/>
        </w:rPr>
        <w:t>consolidated</w:t>
      </w:r>
      <w:r w:rsidR="008B3F3A" w:rsidRPr="00210F27">
        <w:rPr>
          <w:rFonts w:ascii="Times New Roman" w:hAnsi="Times New Roman"/>
          <w:sz w:val="24"/>
          <w:szCs w:val="24"/>
        </w:rPr>
        <w:t xml:space="preserve"> for hearing and adjudication</w:t>
      </w:r>
      <w:r w:rsidR="00210F27" w:rsidRPr="00210F27">
        <w:rPr>
          <w:rFonts w:ascii="Times New Roman" w:hAnsi="Times New Roman"/>
          <w:sz w:val="24"/>
          <w:szCs w:val="24"/>
        </w:rPr>
        <w:t>.</w:t>
      </w:r>
    </w:p>
    <w:p w14:paraId="6B2FDBC9" w14:textId="77777777" w:rsidR="00C1170D" w:rsidRDefault="00C1170D" w:rsidP="00C1170D">
      <w:pPr>
        <w:pStyle w:val="CommentText"/>
        <w:spacing w:after="0" w:line="360" w:lineRule="auto"/>
        <w:ind w:left="1440"/>
        <w:rPr>
          <w:rFonts w:ascii="Times New Roman" w:eastAsia="Times New Roman" w:hAnsi="Times New Roman"/>
          <w:sz w:val="24"/>
          <w:szCs w:val="24"/>
        </w:rPr>
      </w:pPr>
    </w:p>
    <w:p w14:paraId="260F9D97" w14:textId="159A01D3" w:rsidR="00C1170D" w:rsidRDefault="00C1170D" w:rsidP="00C1170D">
      <w:pPr>
        <w:pStyle w:val="CommentText"/>
        <w:numPr>
          <w:ilvl w:val="0"/>
          <w:numId w:val="2"/>
        </w:numPr>
        <w:spacing w:after="0" w:line="360" w:lineRule="auto"/>
        <w:ind w:left="0" w:firstLine="1440"/>
        <w:rPr>
          <w:rFonts w:ascii="Times New Roman" w:hAnsi="Times New Roman"/>
          <w:sz w:val="24"/>
          <w:szCs w:val="24"/>
        </w:rPr>
      </w:pPr>
      <w:r>
        <w:rPr>
          <w:rFonts w:ascii="Times New Roman" w:eastAsia="Times New Roman" w:hAnsi="Times New Roman"/>
          <w:sz w:val="24"/>
          <w:szCs w:val="24"/>
        </w:rPr>
        <w:t xml:space="preserve">That </w:t>
      </w:r>
      <w:r w:rsidR="00920264">
        <w:rPr>
          <w:rFonts w:ascii="Times New Roman" w:eastAsia="Times New Roman" w:hAnsi="Times New Roman"/>
          <w:sz w:val="24"/>
          <w:szCs w:val="24"/>
        </w:rPr>
        <w:t>the</w:t>
      </w:r>
      <w:r>
        <w:rPr>
          <w:rFonts w:ascii="Times New Roman" w:eastAsia="Times New Roman" w:hAnsi="Times New Roman"/>
          <w:sz w:val="24"/>
          <w:szCs w:val="24"/>
        </w:rPr>
        <w:t xml:space="preserve"> matters </w:t>
      </w:r>
      <w:r w:rsidR="00733FCD">
        <w:rPr>
          <w:rFonts w:ascii="Times New Roman" w:eastAsia="Times New Roman" w:hAnsi="Times New Roman"/>
          <w:sz w:val="24"/>
          <w:szCs w:val="24"/>
        </w:rPr>
        <w:t>will be briefed by the parties in accordance with the Briefing Order</w:t>
      </w:r>
      <w:r>
        <w:rPr>
          <w:rFonts w:ascii="Times New Roman" w:eastAsia="Times New Roman" w:hAnsi="Times New Roman"/>
          <w:sz w:val="24"/>
          <w:szCs w:val="24"/>
        </w:rPr>
        <w:t xml:space="preserve">.  </w:t>
      </w:r>
    </w:p>
    <w:p w14:paraId="443E78C5" w14:textId="77777777" w:rsidR="00C1170D" w:rsidRDefault="00C1170D" w:rsidP="00851C95">
      <w:pPr>
        <w:tabs>
          <w:tab w:val="left" w:pos="-720"/>
        </w:tabs>
        <w:suppressAutoHyphens/>
        <w:autoSpaceDE w:val="0"/>
        <w:autoSpaceDN w:val="0"/>
        <w:spacing w:line="360" w:lineRule="auto"/>
        <w:ind w:firstLine="1440"/>
        <w:rPr>
          <w:szCs w:val="24"/>
        </w:rPr>
      </w:pPr>
    </w:p>
    <w:p w14:paraId="2BAC0797" w14:textId="77777777" w:rsidR="00C1170D" w:rsidRDefault="00C1170D" w:rsidP="00851C95">
      <w:pPr>
        <w:tabs>
          <w:tab w:val="left" w:pos="-720"/>
        </w:tabs>
        <w:suppressAutoHyphens/>
        <w:autoSpaceDE w:val="0"/>
        <w:autoSpaceDN w:val="0"/>
        <w:spacing w:line="360" w:lineRule="auto"/>
        <w:ind w:firstLine="1440"/>
        <w:rPr>
          <w:szCs w:val="24"/>
        </w:rPr>
      </w:pPr>
    </w:p>
    <w:p w14:paraId="01AC0686" w14:textId="2C5152C5" w:rsidR="00C1170D" w:rsidRDefault="00C1170D" w:rsidP="00C1170D">
      <w:pPr>
        <w:autoSpaceDE w:val="0"/>
        <w:autoSpaceDN w:val="0"/>
        <w:rPr>
          <w:szCs w:val="24"/>
        </w:rPr>
      </w:pPr>
      <w:r>
        <w:rPr>
          <w:szCs w:val="24"/>
        </w:rPr>
        <w:t>Date:</w:t>
      </w:r>
      <w:r>
        <w:rPr>
          <w:szCs w:val="24"/>
        </w:rPr>
        <w:tab/>
      </w:r>
      <w:r>
        <w:rPr>
          <w:szCs w:val="24"/>
          <w:u w:val="single"/>
        </w:rPr>
        <w:t>November 27, 2019</w:t>
      </w:r>
      <w:r>
        <w:rPr>
          <w:szCs w:val="24"/>
        </w:rPr>
        <w:tab/>
      </w:r>
      <w:r>
        <w:rPr>
          <w:szCs w:val="24"/>
        </w:rPr>
        <w:tab/>
      </w:r>
      <w:r>
        <w:rPr>
          <w:szCs w:val="24"/>
        </w:rPr>
        <w:tab/>
      </w:r>
      <w:r>
        <w:rPr>
          <w:szCs w:val="24"/>
        </w:rPr>
        <w:tab/>
      </w:r>
      <w:r>
        <w:rPr>
          <w:szCs w:val="24"/>
          <w:u w:val="single"/>
        </w:rPr>
        <w:tab/>
      </w:r>
      <w:r>
        <w:rPr>
          <w:szCs w:val="24"/>
          <w:u w:val="single"/>
        </w:rPr>
        <w:tab/>
        <w:t>/s/</w:t>
      </w:r>
      <w:r>
        <w:rPr>
          <w:szCs w:val="24"/>
          <w:u w:val="single"/>
        </w:rPr>
        <w:tab/>
      </w:r>
      <w:r>
        <w:rPr>
          <w:szCs w:val="24"/>
          <w:u w:val="single"/>
        </w:rPr>
        <w:tab/>
      </w:r>
      <w:r>
        <w:rPr>
          <w:szCs w:val="24"/>
          <w:u w:val="single"/>
        </w:rPr>
        <w:tab/>
      </w:r>
    </w:p>
    <w:p w14:paraId="3F82EDEA" w14:textId="77777777" w:rsidR="00C1170D" w:rsidRDefault="00C1170D" w:rsidP="00C1170D">
      <w:pPr>
        <w:autoSpaceDE w:val="0"/>
        <w:autoSpaceDN w:val="0"/>
        <w:rPr>
          <w:szCs w:val="24"/>
        </w:rPr>
      </w:pPr>
      <w:r>
        <w:rPr>
          <w:szCs w:val="24"/>
        </w:rPr>
        <w:tab/>
      </w:r>
      <w:r>
        <w:rPr>
          <w:szCs w:val="24"/>
        </w:rPr>
        <w:tab/>
      </w:r>
      <w:r>
        <w:rPr>
          <w:szCs w:val="24"/>
        </w:rPr>
        <w:tab/>
      </w:r>
      <w:r>
        <w:rPr>
          <w:szCs w:val="24"/>
        </w:rPr>
        <w:tab/>
      </w:r>
      <w:r>
        <w:rPr>
          <w:szCs w:val="24"/>
        </w:rPr>
        <w:tab/>
      </w:r>
      <w:r>
        <w:rPr>
          <w:szCs w:val="24"/>
        </w:rPr>
        <w:tab/>
      </w:r>
      <w:r>
        <w:rPr>
          <w:szCs w:val="24"/>
        </w:rPr>
        <w:tab/>
        <w:t>Marta Guhl</w:t>
      </w:r>
    </w:p>
    <w:p w14:paraId="1CEDFC6F" w14:textId="77777777" w:rsidR="00C1170D" w:rsidRDefault="00C1170D" w:rsidP="00C1170D">
      <w:pPr>
        <w:autoSpaceDE w:val="0"/>
        <w:autoSpaceDN w:val="0"/>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70F9F14F" w14:textId="77777777" w:rsidR="00C1170D" w:rsidRDefault="00C1170D" w:rsidP="00C1170D">
      <w:pPr>
        <w:autoSpaceDE w:val="0"/>
        <w:autoSpaceDN w:val="0"/>
        <w:rPr>
          <w:szCs w:val="24"/>
        </w:rPr>
      </w:pPr>
    </w:p>
    <w:p w14:paraId="469CEB6E" w14:textId="2208E35D" w:rsidR="00851C95" w:rsidRDefault="00851C95">
      <w:pPr>
        <w:spacing w:after="200" w:line="276" w:lineRule="auto"/>
      </w:pPr>
      <w:r>
        <w:br w:type="page"/>
      </w:r>
    </w:p>
    <w:p w14:paraId="699F0F45" w14:textId="77777777" w:rsidR="00215DA8" w:rsidRPr="00215DA8" w:rsidRDefault="00215DA8" w:rsidP="00215DA8">
      <w:pPr>
        <w:spacing w:after="160"/>
        <w:contextualSpacing/>
        <w:rPr>
          <w:rFonts w:eastAsia="Microsoft Sans Serif"/>
          <w:i/>
          <w:szCs w:val="22"/>
        </w:rPr>
      </w:pPr>
      <w:r w:rsidRPr="00215DA8">
        <w:rPr>
          <w:rFonts w:eastAsia="Microsoft Sans Serif"/>
          <w:b/>
          <w:szCs w:val="22"/>
          <w:u w:val="single"/>
        </w:rPr>
        <w:lastRenderedPageBreak/>
        <w:t>C-2018-3006242 M-2018-3005860- OFFICE OF CONSUMER ADVOCATE v. PECO ENERGY COMPANY</w:t>
      </w:r>
      <w:r w:rsidRPr="00215DA8">
        <w:rPr>
          <w:rFonts w:eastAsia="Microsoft Sans Serif"/>
          <w:b/>
          <w:szCs w:val="22"/>
          <w:u w:val="single"/>
        </w:rPr>
        <w:cr/>
      </w:r>
      <w:r w:rsidRPr="00215DA8">
        <w:rPr>
          <w:rFonts w:eastAsia="Microsoft Sans Serif"/>
          <w:i/>
          <w:szCs w:val="22"/>
        </w:rPr>
        <w:t>Revised 11/12/19</w:t>
      </w:r>
    </w:p>
    <w:p w14:paraId="1619B225" w14:textId="77777777" w:rsidR="00215DA8" w:rsidRPr="00215DA8" w:rsidRDefault="00215DA8" w:rsidP="00215DA8">
      <w:pPr>
        <w:spacing w:after="160"/>
        <w:contextualSpacing/>
        <w:rPr>
          <w:rFonts w:eastAsia="Microsoft Sans Serif"/>
          <w:szCs w:val="24"/>
        </w:rPr>
      </w:pPr>
      <w:r w:rsidRPr="00215DA8">
        <w:rPr>
          <w:rFonts w:eastAsia="Microsoft Sans Serif"/>
          <w:szCs w:val="22"/>
        </w:rPr>
        <w:cr/>
      </w:r>
      <w:r w:rsidRPr="00215DA8">
        <w:rPr>
          <w:rFonts w:eastAsia="Microsoft Sans Serif"/>
          <w:szCs w:val="24"/>
        </w:rPr>
        <w:t>HARRISON W BREITMAN ESQUIRE</w:t>
      </w:r>
    </w:p>
    <w:p w14:paraId="72D3F461"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 xml:space="preserve">DARRYL A LAWRENCE ESQUIRE </w:t>
      </w:r>
    </w:p>
    <w:p w14:paraId="48531D42"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 xml:space="preserve">LAUREN M BURGE ESQUIRE </w:t>
      </w:r>
      <w:r w:rsidRPr="00215DA8">
        <w:rPr>
          <w:rFonts w:eastAsia="Microsoft Sans Serif"/>
          <w:szCs w:val="24"/>
        </w:rPr>
        <w:cr/>
        <w:t>OFFICE OF CONSUMER ADVOCATE</w:t>
      </w:r>
      <w:r w:rsidRPr="00215DA8">
        <w:rPr>
          <w:rFonts w:eastAsia="Microsoft Sans Serif"/>
          <w:szCs w:val="24"/>
        </w:rPr>
        <w:cr/>
        <w:t>555 WALNUT ST</w:t>
      </w:r>
    </w:p>
    <w:p w14:paraId="379635BC" w14:textId="77777777" w:rsidR="00215DA8" w:rsidRPr="00215DA8" w:rsidRDefault="00215DA8" w:rsidP="00215DA8">
      <w:pPr>
        <w:spacing w:after="160"/>
        <w:contextualSpacing/>
        <w:rPr>
          <w:rFonts w:eastAsia="Microsoft Sans Serif"/>
          <w:b/>
          <w:szCs w:val="24"/>
        </w:rPr>
      </w:pPr>
      <w:r w:rsidRPr="00215DA8">
        <w:rPr>
          <w:rFonts w:eastAsia="Microsoft Sans Serif"/>
          <w:szCs w:val="24"/>
        </w:rPr>
        <w:t>5</w:t>
      </w:r>
      <w:r w:rsidRPr="00215DA8">
        <w:rPr>
          <w:rFonts w:eastAsia="Microsoft Sans Serif"/>
          <w:szCs w:val="24"/>
          <w:vertAlign w:val="superscript"/>
        </w:rPr>
        <w:t>TH</w:t>
      </w:r>
      <w:r w:rsidRPr="00215DA8">
        <w:rPr>
          <w:rFonts w:eastAsia="Microsoft Sans Serif"/>
          <w:szCs w:val="24"/>
        </w:rPr>
        <w:t xml:space="preserve"> FLOOR FORUM PLACE </w:t>
      </w:r>
      <w:r w:rsidRPr="00215DA8">
        <w:rPr>
          <w:rFonts w:eastAsia="Microsoft Sans Serif"/>
          <w:szCs w:val="24"/>
        </w:rPr>
        <w:cr/>
        <w:t>HARRISBURG PA  17101</w:t>
      </w:r>
      <w:r w:rsidRPr="00215DA8">
        <w:rPr>
          <w:rFonts w:eastAsia="Microsoft Sans Serif"/>
          <w:szCs w:val="24"/>
        </w:rPr>
        <w:cr/>
      </w:r>
      <w:r w:rsidRPr="00215DA8">
        <w:rPr>
          <w:rFonts w:eastAsia="Microsoft Sans Serif"/>
          <w:b/>
          <w:szCs w:val="24"/>
        </w:rPr>
        <w:t>717.783.5048</w:t>
      </w:r>
    </w:p>
    <w:p w14:paraId="18982F16" w14:textId="77777777" w:rsidR="00215DA8" w:rsidRPr="00215DA8" w:rsidRDefault="00215DA8" w:rsidP="00215DA8">
      <w:pPr>
        <w:spacing w:after="160"/>
        <w:contextualSpacing/>
        <w:rPr>
          <w:rFonts w:eastAsia="Microsoft Sans Serif"/>
          <w:i/>
          <w:szCs w:val="24"/>
        </w:rPr>
      </w:pPr>
      <w:r w:rsidRPr="00215DA8">
        <w:rPr>
          <w:rFonts w:eastAsia="Microsoft Sans Serif"/>
          <w:b/>
          <w:i/>
          <w:szCs w:val="24"/>
          <w:u w:val="single"/>
        </w:rPr>
        <w:t xml:space="preserve">Accepts E-Service </w:t>
      </w:r>
      <w:r w:rsidRPr="00215DA8">
        <w:rPr>
          <w:rFonts w:eastAsia="Microsoft Sans Serif"/>
          <w:szCs w:val="24"/>
        </w:rPr>
        <w:cr/>
      </w:r>
      <w:r w:rsidRPr="00215DA8">
        <w:rPr>
          <w:rFonts w:eastAsia="Microsoft Sans Serif"/>
          <w:i/>
          <w:szCs w:val="24"/>
        </w:rPr>
        <w:t>Representing Office of Consumer Advocate</w:t>
      </w:r>
    </w:p>
    <w:p w14:paraId="215324E7" w14:textId="77777777" w:rsidR="00215DA8" w:rsidRPr="00215DA8" w:rsidRDefault="00215DA8" w:rsidP="00215DA8">
      <w:pPr>
        <w:spacing w:after="160"/>
        <w:contextualSpacing/>
        <w:rPr>
          <w:rFonts w:eastAsia="Microsoft Sans Serif"/>
          <w:i/>
          <w:szCs w:val="24"/>
        </w:rPr>
      </w:pPr>
    </w:p>
    <w:p w14:paraId="0DBB7774" w14:textId="77777777" w:rsidR="00215DA8" w:rsidRPr="00215DA8" w:rsidRDefault="00215DA8" w:rsidP="00215DA8">
      <w:pPr>
        <w:spacing w:after="160"/>
        <w:contextualSpacing/>
        <w:rPr>
          <w:rFonts w:eastAsia="Microsoft Sans Serif"/>
          <w:i/>
          <w:szCs w:val="24"/>
        </w:rPr>
      </w:pPr>
      <w:r w:rsidRPr="00215DA8">
        <w:rPr>
          <w:rFonts w:eastAsia="Microsoft Sans Serif"/>
          <w:szCs w:val="24"/>
        </w:rPr>
        <w:t>JACK GARFINKLE ESQUIRE</w:t>
      </w:r>
      <w:r w:rsidRPr="00215DA8">
        <w:rPr>
          <w:rFonts w:eastAsia="Microsoft Sans Serif"/>
          <w:i/>
          <w:szCs w:val="24"/>
        </w:rPr>
        <w:t xml:space="preserve"> </w:t>
      </w:r>
    </w:p>
    <w:p w14:paraId="6BE26631"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 xml:space="preserve">ROMULO L DIAZ JR ESQUIRE </w:t>
      </w:r>
      <w:r w:rsidRPr="00215DA8">
        <w:rPr>
          <w:rFonts w:eastAsia="Microsoft Sans Serif"/>
          <w:szCs w:val="24"/>
        </w:rPr>
        <w:cr/>
        <w:t>WARD L SMITH ESQUIRE</w:t>
      </w:r>
      <w:r w:rsidRPr="00215DA8">
        <w:rPr>
          <w:rFonts w:eastAsia="Microsoft Sans Serif"/>
          <w:szCs w:val="24"/>
        </w:rPr>
        <w:cr/>
        <w:t>PECO ENERGY COMPANY</w:t>
      </w:r>
      <w:r w:rsidRPr="00215DA8">
        <w:rPr>
          <w:rFonts w:eastAsia="Microsoft Sans Serif"/>
          <w:szCs w:val="24"/>
        </w:rPr>
        <w:cr/>
        <w:t xml:space="preserve">LEGAL DEPT S23-1 </w:t>
      </w:r>
      <w:r w:rsidRPr="00215DA8">
        <w:rPr>
          <w:rFonts w:eastAsia="Microsoft Sans Serif"/>
          <w:szCs w:val="24"/>
        </w:rPr>
        <w:cr/>
        <w:t>2301 MARKET ST</w:t>
      </w:r>
    </w:p>
    <w:p w14:paraId="677769D3"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PHILADELPHIA PA  19103</w:t>
      </w:r>
    </w:p>
    <w:p w14:paraId="6B239F96" w14:textId="77777777" w:rsidR="00215DA8" w:rsidRPr="00215DA8" w:rsidRDefault="00215DA8" w:rsidP="00215DA8">
      <w:pPr>
        <w:spacing w:after="160"/>
        <w:contextualSpacing/>
        <w:rPr>
          <w:rFonts w:eastAsia="Microsoft Sans Serif"/>
          <w:b/>
          <w:i/>
          <w:szCs w:val="24"/>
          <w:u w:val="single"/>
        </w:rPr>
      </w:pPr>
      <w:r w:rsidRPr="00215DA8">
        <w:rPr>
          <w:rFonts w:eastAsia="Microsoft Sans Serif"/>
          <w:b/>
          <w:bCs/>
          <w:szCs w:val="24"/>
        </w:rPr>
        <w:t>215.841.4608</w:t>
      </w:r>
      <w:r w:rsidRPr="00215DA8">
        <w:rPr>
          <w:rFonts w:eastAsia="Microsoft Sans Serif"/>
          <w:szCs w:val="24"/>
        </w:rPr>
        <w:cr/>
      </w:r>
      <w:r w:rsidRPr="00215DA8">
        <w:rPr>
          <w:rFonts w:eastAsia="Microsoft Sans Serif"/>
          <w:b/>
          <w:bCs/>
          <w:szCs w:val="24"/>
        </w:rPr>
        <w:t>215.841.6857</w:t>
      </w:r>
      <w:r w:rsidRPr="00215DA8">
        <w:rPr>
          <w:rFonts w:eastAsia="Microsoft Sans Serif"/>
          <w:szCs w:val="24"/>
        </w:rPr>
        <w:cr/>
      </w:r>
      <w:r w:rsidRPr="00215DA8">
        <w:rPr>
          <w:rFonts w:eastAsia="Microsoft Sans Serif"/>
          <w:b/>
          <w:szCs w:val="24"/>
        </w:rPr>
        <w:t>215.841.6863</w:t>
      </w:r>
      <w:r w:rsidRPr="00215DA8">
        <w:rPr>
          <w:rFonts w:eastAsia="Microsoft Sans Serif"/>
          <w:szCs w:val="24"/>
        </w:rPr>
        <w:cr/>
      </w:r>
      <w:r w:rsidRPr="00215DA8">
        <w:rPr>
          <w:rFonts w:eastAsia="Microsoft Sans Serif"/>
          <w:b/>
          <w:i/>
          <w:szCs w:val="24"/>
          <w:u w:val="single"/>
        </w:rPr>
        <w:t>Accepts E-Service</w:t>
      </w:r>
    </w:p>
    <w:p w14:paraId="50AE38D3" w14:textId="77777777" w:rsidR="00215DA8" w:rsidRPr="00215DA8" w:rsidRDefault="00215DA8" w:rsidP="00215DA8">
      <w:pPr>
        <w:spacing w:after="160"/>
        <w:contextualSpacing/>
        <w:rPr>
          <w:rFonts w:eastAsia="Microsoft Sans Serif"/>
          <w:i/>
          <w:szCs w:val="24"/>
        </w:rPr>
      </w:pPr>
      <w:r w:rsidRPr="00215DA8">
        <w:rPr>
          <w:rFonts w:eastAsia="Microsoft Sans Serif"/>
          <w:i/>
          <w:szCs w:val="24"/>
        </w:rPr>
        <w:t xml:space="preserve">Representing PECO Energy Company </w:t>
      </w:r>
    </w:p>
    <w:p w14:paraId="46C6CFE4" w14:textId="77777777" w:rsidR="00215DA8" w:rsidRPr="00215DA8" w:rsidRDefault="00215DA8" w:rsidP="00215DA8">
      <w:pPr>
        <w:spacing w:after="160"/>
        <w:contextualSpacing/>
        <w:rPr>
          <w:szCs w:val="24"/>
        </w:rPr>
      </w:pPr>
    </w:p>
    <w:p w14:paraId="5422447B"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KENNETH M KULAK ESQUIRE</w:t>
      </w:r>
    </w:p>
    <w:p w14:paraId="41A9F6AE"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BROOKE E MCGLINN ESQUIRE</w:t>
      </w:r>
    </w:p>
    <w:p w14:paraId="30693C71"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MORGAN LEWIS AND BOCKIUS LLP</w:t>
      </w:r>
    </w:p>
    <w:p w14:paraId="50407C9D"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1701 MARKET ST</w:t>
      </w:r>
    </w:p>
    <w:p w14:paraId="54F96A67" w14:textId="77777777" w:rsidR="00215DA8" w:rsidRPr="00215DA8" w:rsidRDefault="00215DA8" w:rsidP="00215DA8">
      <w:pPr>
        <w:spacing w:after="160"/>
        <w:contextualSpacing/>
        <w:rPr>
          <w:rFonts w:eastAsia="Microsoft Sans Serif"/>
          <w:szCs w:val="24"/>
        </w:rPr>
      </w:pPr>
      <w:r w:rsidRPr="00215DA8">
        <w:rPr>
          <w:rFonts w:eastAsia="Microsoft Sans Serif"/>
          <w:szCs w:val="24"/>
        </w:rPr>
        <w:t>PHILADELPHIA PA 19103</w:t>
      </w:r>
    </w:p>
    <w:p w14:paraId="7F73C350" w14:textId="77777777" w:rsidR="00215DA8" w:rsidRPr="00215DA8" w:rsidRDefault="00215DA8" w:rsidP="00215DA8">
      <w:pPr>
        <w:spacing w:after="160"/>
        <w:contextualSpacing/>
        <w:rPr>
          <w:rFonts w:eastAsia="Microsoft Sans Serif"/>
          <w:b/>
          <w:szCs w:val="24"/>
        </w:rPr>
      </w:pPr>
      <w:r w:rsidRPr="00215DA8">
        <w:rPr>
          <w:rFonts w:eastAsia="Microsoft Sans Serif"/>
          <w:b/>
          <w:szCs w:val="24"/>
        </w:rPr>
        <w:t>215.963.5384</w:t>
      </w:r>
    </w:p>
    <w:p w14:paraId="1718C25C" w14:textId="77777777" w:rsidR="00215DA8" w:rsidRPr="00215DA8" w:rsidRDefault="00215DA8" w:rsidP="00215DA8">
      <w:pPr>
        <w:spacing w:after="160"/>
        <w:contextualSpacing/>
        <w:rPr>
          <w:rFonts w:eastAsia="Microsoft Sans Serif"/>
          <w:szCs w:val="24"/>
        </w:rPr>
      </w:pPr>
      <w:r w:rsidRPr="00215DA8">
        <w:rPr>
          <w:rFonts w:eastAsia="Microsoft Sans Serif"/>
          <w:b/>
          <w:szCs w:val="24"/>
        </w:rPr>
        <w:t>215.963.5404</w:t>
      </w:r>
    </w:p>
    <w:p w14:paraId="2BE50549" w14:textId="77777777" w:rsidR="00215DA8" w:rsidRPr="00215DA8" w:rsidRDefault="00215DA8" w:rsidP="00215DA8">
      <w:pPr>
        <w:spacing w:after="160"/>
        <w:contextualSpacing/>
        <w:rPr>
          <w:rFonts w:eastAsia="Microsoft Sans Serif"/>
          <w:b/>
          <w:i/>
          <w:szCs w:val="24"/>
          <w:u w:val="single"/>
        </w:rPr>
      </w:pPr>
      <w:r w:rsidRPr="00215DA8">
        <w:rPr>
          <w:rFonts w:eastAsia="Microsoft Sans Serif"/>
          <w:b/>
          <w:i/>
          <w:szCs w:val="24"/>
          <w:u w:val="single"/>
        </w:rPr>
        <w:t xml:space="preserve">Accepts E-Service </w:t>
      </w:r>
    </w:p>
    <w:p w14:paraId="0C088E66" w14:textId="77777777" w:rsidR="00215DA8" w:rsidRPr="00215DA8" w:rsidRDefault="00215DA8" w:rsidP="00215DA8">
      <w:pPr>
        <w:spacing w:after="160"/>
        <w:contextualSpacing/>
        <w:rPr>
          <w:rFonts w:eastAsia="Microsoft Sans Serif"/>
          <w:i/>
          <w:szCs w:val="24"/>
        </w:rPr>
      </w:pPr>
      <w:r w:rsidRPr="00215DA8">
        <w:rPr>
          <w:rFonts w:eastAsia="Microsoft Sans Serif"/>
          <w:i/>
          <w:szCs w:val="24"/>
        </w:rPr>
        <w:t xml:space="preserve">Representing PECO Energy Company </w:t>
      </w:r>
    </w:p>
    <w:p w14:paraId="4A07219B" w14:textId="5AD82283" w:rsidR="003B6687" w:rsidRDefault="00215DA8" w:rsidP="00215DA8">
      <w:pPr>
        <w:spacing w:after="160"/>
        <w:contextualSpacing/>
      </w:pPr>
      <w:r w:rsidRPr="00215DA8">
        <w:rPr>
          <w:rFonts w:eastAsia="Microsoft Sans Serif"/>
          <w:sz w:val="22"/>
          <w:szCs w:val="22"/>
        </w:rPr>
        <w:cr/>
      </w:r>
      <w:bookmarkStart w:id="0" w:name="_GoBack"/>
      <w:bookmarkEnd w:id="0"/>
    </w:p>
    <w:sectPr w:rsidR="003B6687" w:rsidSect="004A64E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BA6C" w14:textId="77777777" w:rsidR="005C38F4" w:rsidRDefault="005C38F4" w:rsidP="004A64E7">
      <w:r>
        <w:separator/>
      </w:r>
    </w:p>
  </w:endnote>
  <w:endnote w:type="continuationSeparator" w:id="0">
    <w:p w14:paraId="3949E1B9" w14:textId="77777777" w:rsidR="005C38F4" w:rsidRDefault="005C38F4" w:rsidP="004A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B038" w14:textId="77777777" w:rsidR="004A64E7" w:rsidRPr="004A64E7" w:rsidRDefault="004A64E7">
    <w:pPr>
      <w:pStyle w:val="Footer"/>
      <w:jc w:val="center"/>
      <w:rPr>
        <w:caps/>
        <w:noProof/>
        <w:sz w:val="20"/>
      </w:rPr>
    </w:pPr>
    <w:r w:rsidRPr="004A64E7">
      <w:rPr>
        <w:caps/>
        <w:sz w:val="20"/>
      </w:rPr>
      <w:fldChar w:fldCharType="begin"/>
    </w:r>
    <w:r w:rsidRPr="004A64E7">
      <w:rPr>
        <w:caps/>
        <w:sz w:val="20"/>
      </w:rPr>
      <w:instrText xml:space="preserve"> PAGE   \* MERGEFORMAT </w:instrText>
    </w:r>
    <w:r w:rsidRPr="004A64E7">
      <w:rPr>
        <w:caps/>
        <w:sz w:val="20"/>
      </w:rPr>
      <w:fldChar w:fldCharType="separate"/>
    </w:r>
    <w:r w:rsidRPr="004A64E7">
      <w:rPr>
        <w:caps/>
        <w:noProof/>
        <w:sz w:val="20"/>
      </w:rPr>
      <w:t>2</w:t>
    </w:r>
    <w:r w:rsidRPr="004A64E7">
      <w:rPr>
        <w:caps/>
        <w:noProof/>
        <w:sz w:val="20"/>
      </w:rPr>
      <w:fldChar w:fldCharType="end"/>
    </w:r>
  </w:p>
  <w:p w14:paraId="10354D1E" w14:textId="77777777" w:rsidR="004A64E7" w:rsidRDefault="004A6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F1C2" w14:textId="77777777" w:rsidR="005C38F4" w:rsidRDefault="005C38F4" w:rsidP="004A64E7">
      <w:r>
        <w:separator/>
      </w:r>
    </w:p>
  </w:footnote>
  <w:footnote w:type="continuationSeparator" w:id="0">
    <w:p w14:paraId="27B66DAA" w14:textId="77777777" w:rsidR="005C38F4" w:rsidRDefault="005C38F4" w:rsidP="004A6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269"/>
    <w:multiLevelType w:val="hybridMultilevel"/>
    <w:tmpl w:val="936C0A82"/>
    <w:lvl w:ilvl="0" w:tplc="5A8E937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0C"/>
    <w:rsid w:val="000921B4"/>
    <w:rsid w:val="0019160C"/>
    <w:rsid w:val="0019770C"/>
    <w:rsid w:val="001C4C69"/>
    <w:rsid w:val="001D0FC8"/>
    <w:rsid w:val="001E395E"/>
    <w:rsid w:val="00210F27"/>
    <w:rsid w:val="00215DA8"/>
    <w:rsid w:val="002E2AC6"/>
    <w:rsid w:val="002F6698"/>
    <w:rsid w:val="00377167"/>
    <w:rsid w:val="003B0EE2"/>
    <w:rsid w:val="003B6687"/>
    <w:rsid w:val="00416BF3"/>
    <w:rsid w:val="00424F37"/>
    <w:rsid w:val="004600F6"/>
    <w:rsid w:val="0047024E"/>
    <w:rsid w:val="004A64E7"/>
    <w:rsid w:val="00563A47"/>
    <w:rsid w:val="005A00E4"/>
    <w:rsid w:val="005C38F4"/>
    <w:rsid w:val="00645675"/>
    <w:rsid w:val="00733FCD"/>
    <w:rsid w:val="0074502E"/>
    <w:rsid w:val="00796558"/>
    <w:rsid w:val="007A142B"/>
    <w:rsid w:val="00851C95"/>
    <w:rsid w:val="00865509"/>
    <w:rsid w:val="008A1C8C"/>
    <w:rsid w:val="008B3F3A"/>
    <w:rsid w:val="008C5F7F"/>
    <w:rsid w:val="008E4BD9"/>
    <w:rsid w:val="00920264"/>
    <w:rsid w:val="00995D21"/>
    <w:rsid w:val="009D7E32"/>
    <w:rsid w:val="00A73419"/>
    <w:rsid w:val="00AA5122"/>
    <w:rsid w:val="00B05903"/>
    <w:rsid w:val="00B12ABC"/>
    <w:rsid w:val="00C1170D"/>
    <w:rsid w:val="00CB35DE"/>
    <w:rsid w:val="00D60ED3"/>
    <w:rsid w:val="00DA6233"/>
    <w:rsid w:val="00E36B7A"/>
    <w:rsid w:val="00EA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98D3"/>
  <w15:chartTrackingRefBased/>
  <w15:docId w15:val="{2D2BB9E6-C398-4C62-8673-69D17435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0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9160C"/>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0C"/>
    <w:rPr>
      <w:rFonts w:ascii="Times New Roman" w:eastAsia="Times New Roman" w:hAnsi="Times New Roman" w:cs="Times New Roman"/>
      <w:sz w:val="24"/>
      <w:szCs w:val="20"/>
      <w:u w:val="single"/>
    </w:rPr>
  </w:style>
  <w:style w:type="paragraph" w:styleId="Footer">
    <w:name w:val="footer"/>
    <w:basedOn w:val="Normal"/>
    <w:link w:val="FooterChar"/>
    <w:uiPriority w:val="99"/>
    <w:unhideWhenUsed/>
    <w:rsid w:val="0019160C"/>
    <w:pPr>
      <w:tabs>
        <w:tab w:val="center" w:pos="4320"/>
        <w:tab w:val="right" w:pos="8640"/>
      </w:tabs>
    </w:pPr>
  </w:style>
  <w:style w:type="character" w:customStyle="1" w:styleId="FooterChar">
    <w:name w:val="Footer Char"/>
    <w:basedOn w:val="DefaultParagraphFont"/>
    <w:link w:val="Footer"/>
    <w:uiPriority w:val="99"/>
    <w:rsid w:val="0019160C"/>
    <w:rPr>
      <w:rFonts w:ascii="Times New Roman" w:eastAsia="Times New Roman" w:hAnsi="Times New Roman" w:cs="Times New Roman"/>
      <w:sz w:val="24"/>
      <w:szCs w:val="20"/>
    </w:rPr>
  </w:style>
  <w:style w:type="paragraph" w:styleId="Title">
    <w:name w:val="Title"/>
    <w:basedOn w:val="Normal"/>
    <w:link w:val="TitleChar"/>
    <w:qFormat/>
    <w:rsid w:val="0019160C"/>
    <w:pPr>
      <w:jc w:val="center"/>
    </w:pPr>
    <w:rPr>
      <w:b/>
    </w:rPr>
  </w:style>
  <w:style w:type="character" w:customStyle="1" w:styleId="TitleChar">
    <w:name w:val="Title Char"/>
    <w:basedOn w:val="DefaultParagraphFont"/>
    <w:link w:val="Title"/>
    <w:rsid w:val="0019160C"/>
    <w:rPr>
      <w:rFonts w:ascii="Times New Roman" w:eastAsia="Times New Roman" w:hAnsi="Times New Roman" w:cs="Times New Roman"/>
      <w:b/>
      <w:sz w:val="24"/>
      <w:szCs w:val="20"/>
    </w:rPr>
  </w:style>
  <w:style w:type="paragraph" w:styleId="Subtitle">
    <w:name w:val="Subtitle"/>
    <w:basedOn w:val="Normal"/>
    <w:link w:val="SubtitleChar"/>
    <w:qFormat/>
    <w:rsid w:val="0019160C"/>
    <w:pPr>
      <w:jc w:val="center"/>
    </w:pPr>
    <w:rPr>
      <w:b/>
    </w:rPr>
  </w:style>
  <w:style w:type="character" w:customStyle="1" w:styleId="SubtitleChar">
    <w:name w:val="Subtitle Char"/>
    <w:basedOn w:val="DefaultParagraphFont"/>
    <w:link w:val="Subtitle"/>
    <w:rsid w:val="0019160C"/>
    <w:rPr>
      <w:rFonts w:ascii="Times New Roman" w:eastAsia="Times New Roman" w:hAnsi="Times New Roman" w:cs="Times New Roman"/>
      <w:b/>
      <w:sz w:val="24"/>
      <w:szCs w:val="20"/>
    </w:rPr>
  </w:style>
  <w:style w:type="paragraph" w:styleId="NoSpacing">
    <w:name w:val="No Spacing"/>
    <w:uiPriority w:val="1"/>
    <w:qFormat/>
    <w:rsid w:val="0019160C"/>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19160C"/>
    <w:pPr>
      <w:ind w:left="720"/>
    </w:pPr>
  </w:style>
  <w:style w:type="paragraph" w:styleId="BodyText">
    <w:name w:val="Body Text"/>
    <w:basedOn w:val="Normal"/>
    <w:link w:val="BodyTextChar"/>
    <w:semiHidden/>
    <w:unhideWhenUsed/>
    <w:rsid w:val="002F6698"/>
    <w:pPr>
      <w:spacing w:after="120"/>
    </w:pPr>
  </w:style>
  <w:style w:type="character" w:customStyle="1" w:styleId="BodyTextChar">
    <w:name w:val="Body Text Char"/>
    <w:basedOn w:val="DefaultParagraphFont"/>
    <w:link w:val="BodyText"/>
    <w:semiHidden/>
    <w:rsid w:val="002F669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C1170D"/>
    <w:pPr>
      <w:spacing w:after="200"/>
    </w:pPr>
    <w:rPr>
      <w:rFonts w:ascii="Calibri" w:eastAsia="Calibri" w:hAnsi="Calibri"/>
      <w:sz w:val="20"/>
    </w:rPr>
  </w:style>
  <w:style w:type="character" w:customStyle="1" w:styleId="CommentTextChar">
    <w:name w:val="Comment Text Char"/>
    <w:basedOn w:val="DefaultParagraphFont"/>
    <w:link w:val="CommentText"/>
    <w:uiPriority w:val="99"/>
    <w:semiHidden/>
    <w:rsid w:val="00C1170D"/>
    <w:rPr>
      <w:rFonts w:ascii="Calibri" w:eastAsia="Calibri" w:hAnsi="Calibri" w:cs="Times New Roman"/>
      <w:sz w:val="20"/>
      <w:szCs w:val="20"/>
    </w:rPr>
  </w:style>
  <w:style w:type="paragraph" w:styleId="ListNumber">
    <w:name w:val="List Number"/>
    <w:basedOn w:val="Normal"/>
    <w:semiHidden/>
    <w:unhideWhenUsed/>
    <w:rsid w:val="008C5F7F"/>
    <w:pPr>
      <w:spacing w:after="120" w:line="480" w:lineRule="auto"/>
    </w:pPr>
    <w:rPr>
      <w:szCs w:val="24"/>
    </w:rPr>
  </w:style>
  <w:style w:type="paragraph" w:styleId="Header">
    <w:name w:val="header"/>
    <w:basedOn w:val="Normal"/>
    <w:link w:val="HeaderChar"/>
    <w:uiPriority w:val="99"/>
    <w:unhideWhenUsed/>
    <w:rsid w:val="004A64E7"/>
    <w:pPr>
      <w:tabs>
        <w:tab w:val="center" w:pos="4680"/>
        <w:tab w:val="right" w:pos="9360"/>
      </w:tabs>
    </w:pPr>
  </w:style>
  <w:style w:type="character" w:customStyle="1" w:styleId="HeaderChar">
    <w:name w:val="Header Char"/>
    <w:basedOn w:val="DefaultParagraphFont"/>
    <w:link w:val="Header"/>
    <w:uiPriority w:val="99"/>
    <w:rsid w:val="004A64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1124">
      <w:bodyDiv w:val="1"/>
      <w:marLeft w:val="0"/>
      <w:marRight w:val="0"/>
      <w:marTop w:val="0"/>
      <w:marBottom w:val="0"/>
      <w:divBdr>
        <w:top w:val="none" w:sz="0" w:space="0" w:color="auto"/>
        <w:left w:val="none" w:sz="0" w:space="0" w:color="auto"/>
        <w:bottom w:val="none" w:sz="0" w:space="0" w:color="auto"/>
        <w:right w:val="none" w:sz="0" w:space="0" w:color="auto"/>
      </w:divBdr>
    </w:div>
    <w:div w:id="104889129">
      <w:bodyDiv w:val="1"/>
      <w:marLeft w:val="0"/>
      <w:marRight w:val="0"/>
      <w:marTop w:val="0"/>
      <w:marBottom w:val="0"/>
      <w:divBdr>
        <w:top w:val="none" w:sz="0" w:space="0" w:color="auto"/>
        <w:left w:val="none" w:sz="0" w:space="0" w:color="auto"/>
        <w:bottom w:val="none" w:sz="0" w:space="0" w:color="auto"/>
        <w:right w:val="none" w:sz="0" w:space="0" w:color="auto"/>
      </w:divBdr>
    </w:div>
    <w:div w:id="462846238">
      <w:bodyDiv w:val="1"/>
      <w:marLeft w:val="0"/>
      <w:marRight w:val="0"/>
      <w:marTop w:val="0"/>
      <w:marBottom w:val="0"/>
      <w:divBdr>
        <w:top w:val="none" w:sz="0" w:space="0" w:color="auto"/>
        <w:left w:val="none" w:sz="0" w:space="0" w:color="auto"/>
        <w:bottom w:val="none" w:sz="0" w:space="0" w:color="auto"/>
        <w:right w:val="none" w:sz="0" w:space="0" w:color="auto"/>
      </w:divBdr>
    </w:div>
    <w:div w:id="482160499">
      <w:bodyDiv w:val="1"/>
      <w:marLeft w:val="0"/>
      <w:marRight w:val="0"/>
      <w:marTop w:val="0"/>
      <w:marBottom w:val="0"/>
      <w:divBdr>
        <w:top w:val="none" w:sz="0" w:space="0" w:color="auto"/>
        <w:left w:val="none" w:sz="0" w:space="0" w:color="auto"/>
        <w:bottom w:val="none" w:sz="0" w:space="0" w:color="auto"/>
        <w:right w:val="none" w:sz="0" w:space="0" w:color="auto"/>
      </w:divBdr>
    </w:div>
    <w:div w:id="1324551436">
      <w:bodyDiv w:val="1"/>
      <w:marLeft w:val="0"/>
      <w:marRight w:val="0"/>
      <w:marTop w:val="0"/>
      <w:marBottom w:val="0"/>
      <w:divBdr>
        <w:top w:val="none" w:sz="0" w:space="0" w:color="auto"/>
        <w:left w:val="none" w:sz="0" w:space="0" w:color="auto"/>
        <w:bottom w:val="none" w:sz="0" w:space="0" w:color="auto"/>
        <w:right w:val="none" w:sz="0" w:space="0" w:color="auto"/>
      </w:divBdr>
    </w:div>
    <w:div w:id="18889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E5909-7F54-41B7-A722-FC670920B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608BC-AD2E-4E48-8716-C4A117105D6F}">
  <ds:schemaRefs>
    <ds:schemaRef ds:uri="http://schemas.microsoft.com/sharepoint/v3/contenttype/forms"/>
  </ds:schemaRefs>
</ds:datastoreItem>
</file>

<file path=customXml/itemProps3.xml><?xml version="1.0" encoding="utf-8"?>
<ds:datastoreItem xmlns:ds="http://schemas.openxmlformats.org/officeDocument/2006/customXml" ds:itemID="{509DAA7F-AC7D-46D4-B073-0479630B59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19</cp:revision>
  <dcterms:created xsi:type="dcterms:W3CDTF">2019-12-02T20:08:00Z</dcterms:created>
  <dcterms:modified xsi:type="dcterms:W3CDTF">2019-12-02T20:26:00Z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