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BC64A" w14:textId="77777777" w:rsidR="00F514FB" w:rsidRPr="008F78A8" w:rsidRDefault="00F514FB" w:rsidP="009F0FBD">
      <w:pPr>
        <w:tabs>
          <w:tab w:val="center" w:pos="4680"/>
        </w:tabs>
        <w:suppressAutoHyphens/>
        <w:contextualSpacing/>
        <w:jc w:val="center"/>
        <w:rPr>
          <w:b/>
          <w:sz w:val="26"/>
          <w:szCs w:val="26"/>
        </w:rPr>
      </w:pPr>
      <w:r w:rsidRPr="008F78A8">
        <w:rPr>
          <w:b/>
          <w:sz w:val="26"/>
          <w:szCs w:val="26"/>
        </w:rPr>
        <w:t>PENNSYLVANIA</w:t>
      </w:r>
    </w:p>
    <w:p w14:paraId="4BC2D6EE" w14:textId="77777777" w:rsidR="00F514FB" w:rsidRPr="008F78A8" w:rsidRDefault="00F514FB" w:rsidP="009F0FBD">
      <w:pPr>
        <w:tabs>
          <w:tab w:val="center" w:pos="4680"/>
        </w:tabs>
        <w:suppressAutoHyphens/>
        <w:contextualSpacing/>
        <w:jc w:val="center"/>
        <w:rPr>
          <w:sz w:val="26"/>
          <w:szCs w:val="26"/>
        </w:rPr>
      </w:pPr>
      <w:r w:rsidRPr="008F78A8">
        <w:rPr>
          <w:b/>
          <w:sz w:val="26"/>
          <w:szCs w:val="26"/>
        </w:rPr>
        <w:t>PUBLIC UTILITY COMMISSION</w:t>
      </w:r>
    </w:p>
    <w:p w14:paraId="0CBC3E55" w14:textId="2CE69B7A" w:rsidR="00F514FB" w:rsidRPr="008F78A8" w:rsidRDefault="00F514FB" w:rsidP="009F0FBD">
      <w:pPr>
        <w:tabs>
          <w:tab w:val="center" w:pos="4680"/>
        </w:tabs>
        <w:suppressAutoHyphens/>
        <w:contextualSpacing/>
        <w:jc w:val="center"/>
        <w:rPr>
          <w:sz w:val="26"/>
          <w:szCs w:val="26"/>
        </w:rPr>
      </w:pPr>
      <w:r w:rsidRPr="008F78A8">
        <w:rPr>
          <w:b/>
          <w:sz w:val="26"/>
          <w:szCs w:val="26"/>
        </w:rPr>
        <w:t xml:space="preserve">Harrisburg, PA </w:t>
      </w:r>
      <w:r w:rsidR="000B2FBB" w:rsidRPr="000B2FBB">
        <w:rPr>
          <w:b/>
          <w:sz w:val="26"/>
          <w:szCs w:val="26"/>
        </w:rPr>
        <w:t>17120</w:t>
      </w:r>
    </w:p>
    <w:p w14:paraId="2CAFFC80" w14:textId="77777777" w:rsidR="00F514FB" w:rsidRPr="008F78A8" w:rsidRDefault="00F514FB" w:rsidP="009F0FBD">
      <w:pPr>
        <w:tabs>
          <w:tab w:val="left" w:pos="-720"/>
        </w:tabs>
        <w:suppressAutoHyphens/>
        <w:contextualSpacing/>
        <w:rPr>
          <w:sz w:val="26"/>
          <w:szCs w:val="26"/>
        </w:rPr>
      </w:pPr>
    </w:p>
    <w:p w14:paraId="7676881F" w14:textId="77777777" w:rsidR="00F514FB" w:rsidRPr="008F78A8" w:rsidRDefault="00F514FB" w:rsidP="009F0FBD">
      <w:pPr>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366"/>
      </w:tblGrid>
      <w:tr w:rsidR="008F78A8" w:rsidRPr="008F78A8" w14:paraId="7264E3FF" w14:textId="77777777" w:rsidTr="00DE25AC">
        <w:tc>
          <w:tcPr>
            <w:tcW w:w="5058" w:type="dxa"/>
          </w:tcPr>
          <w:p w14:paraId="3C51145C" w14:textId="77777777" w:rsidR="00F514FB" w:rsidRPr="008F78A8" w:rsidRDefault="00F514FB" w:rsidP="009F0FBD">
            <w:pPr>
              <w:contextualSpacing/>
              <w:rPr>
                <w:sz w:val="26"/>
                <w:szCs w:val="26"/>
              </w:rPr>
            </w:pPr>
          </w:p>
        </w:tc>
        <w:tc>
          <w:tcPr>
            <w:tcW w:w="4428" w:type="dxa"/>
          </w:tcPr>
          <w:p w14:paraId="0D86D415" w14:textId="536D5F11" w:rsidR="00F514FB" w:rsidRPr="008F78A8" w:rsidRDefault="00F514FB" w:rsidP="009F0FBD">
            <w:pPr>
              <w:contextualSpacing/>
              <w:jc w:val="right"/>
              <w:rPr>
                <w:sz w:val="26"/>
                <w:szCs w:val="26"/>
              </w:rPr>
            </w:pPr>
            <w:r w:rsidRPr="008F78A8">
              <w:rPr>
                <w:sz w:val="26"/>
                <w:szCs w:val="26"/>
              </w:rPr>
              <w:t>Public Meeting held</w:t>
            </w:r>
            <w:r w:rsidR="000D4288">
              <w:rPr>
                <w:sz w:val="26"/>
                <w:szCs w:val="26"/>
              </w:rPr>
              <w:t xml:space="preserve"> December 5, 2019</w:t>
            </w:r>
            <w:r w:rsidRPr="008F78A8">
              <w:rPr>
                <w:sz w:val="26"/>
                <w:szCs w:val="26"/>
              </w:rPr>
              <w:t xml:space="preserve"> </w:t>
            </w:r>
          </w:p>
          <w:p w14:paraId="0882E81F" w14:textId="77777777" w:rsidR="00F514FB" w:rsidRPr="008F78A8" w:rsidRDefault="00F514FB" w:rsidP="009F0FBD">
            <w:pPr>
              <w:contextualSpacing/>
              <w:jc w:val="right"/>
              <w:rPr>
                <w:sz w:val="26"/>
                <w:szCs w:val="26"/>
              </w:rPr>
            </w:pPr>
          </w:p>
          <w:p w14:paraId="210FB379" w14:textId="77777777" w:rsidR="00F514FB" w:rsidRPr="008F78A8" w:rsidRDefault="00F514FB" w:rsidP="009F0FBD">
            <w:pPr>
              <w:contextualSpacing/>
              <w:jc w:val="right"/>
              <w:rPr>
                <w:sz w:val="26"/>
                <w:szCs w:val="26"/>
              </w:rPr>
            </w:pPr>
          </w:p>
        </w:tc>
      </w:tr>
      <w:tr w:rsidR="008F78A8" w:rsidRPr="008F78A8" w14:paraId="69A6ADE9" w14:textId="77777777" w:rsidTr="00580F43">
        <w:tc>
          <w:tcPr>
            <w:tcW w:w="5058" w:type="dxa"/>
          </w:tcPr>
          <w:p w14:paraId="238BB2F0" w14:textId="77777777" w:rsidR="00580F43" w:rsidRPr="009D4A74" w:rsidRDefault="00580F43" w:rsidP="00580F43">
            <w:pPr>
              <w:contextualSpacing/>
              <w:rPr>
                <w:sz w:val="26"/>
                <w:szCs w:val="26"/>
              </w:rPr>
            </w:pPr>
            <w:r w:rsidRPr="009D4A74">
              <w:rPr>
                <w:sz w:val="26"/>
                <w:szCs w:val="26"/>
              </w:rPr>
              <w:t>Commissioners Present:</w:t>
            </w:r>
          </w:p>
          <w:p w14:paraId="415C5A0F" w14:textId="77777777" w:rsidR="00580F43" w:rsidRPr="009D4A74" w:rsidRDefault="00580F43" w:rsidP="00580F43">
            <w:pPr>
              <w:contextualSpacing/>
              <w:rPr>
                <w:sz w:val="26"/>
                <w:szCs w:val="26"/>
              </w:rPr>
            </w:pPr>
          </w:p>
          <w:p w14:paraId="208EB26C" w14:textId="77777777" w:rsidR="00620F36" w:rsidRPr="00620F36" w:rsidRDefault="00620F36" w:rsidP="00620F36">
            <w:pPr>
              <w:tabs>
                <w:tab w:val="left" w:pos="705"/>
              </w:tabs>
              <w:contextualSpacing/>
              <w:jc w:val="both"/>
              <w:rPr>
                <w:sz w:val="26"/>
                <w:szCs w:val="26"/>
              </w:rPr>
            </w:pPr>
            <w:r w:rsidRPr="00620F36">
              <w:rPr>
                <w:sz w:val="26"/>
                <w:szCs w:val="26"/>
              </w:rPr>
              <w:t>Gladys Brown Dutrieuille, Chairman</w:t>
            </w:r>
          </w:p>
          <w:p w14:paraId="1D5F8DAB" w14:textId="77777777" w:rsidR="00620F36" w:rsidRPr="00620F36" w:rsidRDefault="00620F36" w:rsidP="00620F36">
            <w:pPr>
              <w:tabs>
                <w:tab w:val="left" w:pos="705"/>
              </w:tabs>
              <w:contextualSpacing/>
              <w:jc w:val="both"/>
              <w:rPr>
                <w:sz w:val="26"/>
                <w:szCs w:val="26"/>
              </w:rPr>
            </w:pPr>
            <w:r w:rsidRPr="00620F36">
              <w:rPr>
                <w:sz w:val="26"/>
                <w:szCs w:val="26"/>
              </w:rPr>
              <w:t>David W. Sweet, Vice Chairman</w:t>
            </w:r>
          </w:p>
          <w:p w14:paraId="75CA9A28" w14:textId="77777777" w:rsidR="00620F36" w:rsidRPr="00620F36" w:rsidRDefault="00620F36" w:rsidP="00620F36">
            <w:pPr>
              <w:tabs>
                <w:tab w:val="left" w:pos="705"/>
              </w:tabs>
              <w:contextualSpacing/>
              <w:jc w:val="both"/>
              <w:rPr>
                <w:sz w:val="26"/>
                <w:szCs w:val="26"/>
              </w:rPr>
            </w:pPr>
            <w:r w:rsidRPr="00620F36">
              <w:rPr>
                <w:sz w:val="26"/>
                <w:szCs w:val="26"/>
              </w:rPr>
              <w:t>Andrew G. Place</w:t>
            </w:r>
          </w:p>
          <w:p w14:paraId="5A42660E" w14:textId="7888E3D8" w:rsidR="0097038B" w:rsidRPr="00665B4A" w:rsidRDefault="00620F36" w:rsidP="00620F36">
            <w:pPr>
              <w:tabs>
                <w:tab w:val="left" w:pos="705"/>
              </w:tabs>
              <w:contextualSpacing/>
              <w:rPr>
                <w:sz w:val="26"/>
                <w:szCs w:val="26"/>
              </w:rPr>
            </w:pPr>
            <w:r w:rsidRPr="00620F36">
              <w:rPr>
                <w:sz w:val="26"/>
                <w:szCs w:val="26"/>
              </w:rPr>
              <w:t>John F. Coleman, Jr.</w:t>
            </w:r>
          </w:p>
          <w:p w14:paraId="4051FFBA" w14:textId="3887B722" w:rsidR="00F514FB" w:rsidRPr="008F78A8" w:rsidRDefault="00795483" w:rsidP="00795483">
            <w:pPr>
              <w:tabs>
                <w:tab w:val="left" w:pos="705"/>
              </w:tabs>
              <w:contextualSpacing/>
              <w:rPr>
                <w:sz w:val="26"/>
                <w:szCs w:val="26"/>
              </w:rPr>
            </w:pPr>
            <w:r w:rsidRPr="00795483">
              <w:rPr>
                <w:sz w:val="26"/>
                <w:szCs w:val="26"/>
              </w:rPr>
              <w:t>Ralph V. Yanora</w:t>
            </w:r>
          </w:p>
          <w:p w14:paraId="24CC57D7" w14:textId="77777777" w:rsidR="00F514FB" w:rsidRPr="008F78A8" w:rsidRDefault="00F514FB" w:rsidP="009F0FBD">
            <w:pPr>
              <w:contextualSpacing/>
              <w:rPr>
                <w:sz w:val="26"/>
                <w:szCs w:val="26"/>
              </w:rPr>
            </w:pPr>
          </w:p>
          <w:p w14:paraId="4E52A1B4" w14:textId="77777777" w:rsidR="00F514FB" w:rsidRPr="008F78A8" w:rsidRDefault="00F514FB" w:rsidP="009F0FBD">
            <w:pPr>
              <w:contextualSpacing/>
              <w:rPr>
                <w:sz w:val="26"/>
                <w:szCs w:val="26"/>
              </w:rPr>
            </w:pPr>
          </w:p>
        </w:tc>
        <w:tc>
          <w:tcPr>
            <w:tcW w:w="4428" w:type="dxa"/>
          </w:tcPr>
          <w:p w14:paraId="531264FC" w14:textId="77777777" w:rsidR="00F514FB" w:rsidRPr="008F78A8" w:rsidRDefault="00F514FB" w:rsidP="009F0FBD">
            <w:pPr>
              <w:contextualSpacing/>
              <w:jc w:val="right"/>
              <w:rPr>
                <w:sz w:val="26"/>
                <w:szCs w:val="26"/>
              </w:rPr>
            </w:pPr>
          </w:p>
          <w:p w14:paraId="03B8F549" w14:textId="77777777" w:rsidR="00F514FB" w:rsidRPr="008F78A8" w:rsidRDefault="00F514FB" w:rsidP="009F0FBD">
            <w:pPr>
              <w:contextualSpacing/>
              <w:jc w:val="right"/>
              <w:rPr>
                <w:sz w:val="26"/>
                <w:szCs w:val="26"/>
              </w:rPr>
            </w:pPr>
          </w:p>
        </w:tc>
      </w:tr>
      <w:tr w:rsidR="008F78A8" w:rsidRPr="008F78A8" w14:paraId="09E7B8CC" w14:textId="77777777" w:rsidTr="00DE25AC">
        <w:tc>
          <w:tcPr>
            <w:tcW w:w="5058" w:type="dxa"/>
          </w:tcPr>
          <w:p w14:paraId="3A6AACEB" w14:textId="5563DA45" w:rsidR="00F514FB" w:rsidRPr="008F78A8" w:rsidRDefault="00E036E4" w:rsidP="009F0FBD">
            <w:pPr>
              <w:contextualSpacing/>
              <w:rPr>
                <w:sz w:val="26"/>
                <w:szCs w:val="26"/>
              </w:rPr>
            </w:pPr>
            <w:r w:rsidRPr="00E036E4">
              <w:rPr>
                <w:sz w:val="26"/>
                <w:szCs w:val="26"/>
              </w:rPr>
              <w:t>Kenneth Groschopp</w:t>
            </w:r>
          </w:p>
          <w:p w14:paraId="29789514" w14:textId="77777777" w:rsidR="00F514FB" w:rsidRPr="008F78A8" w:rsidRDefault="00F514FB" w:rsidP="009F0FBD">
            <w:pPr>
              <w:contextualSpacing/>
              <w:rPr>
                <w:sz w:val="26"/>
                <w:szCs w:val="26"/>
              </w:rPr>
            </w:pPr>
          </w:p>
        </w:tc>
        <w:tc>
          <w:tcPr>
            <w:tcW w:w="4428" w:type="dxa"/>
          </w:tcPr>
          <w:p w14:paraId="11FBF4B7" w14:textId="7C2DF91C" w:rsidR="00F514FB" w:rsidRPr="008F78A8" w:rsidRDefault="00E036E4" w:rsidP="009F0FBD">
            <w:pPr>
              <w:contextualSpacing/>
              <w:jc w:val="right"/>
              <w:rPr>
                <w:sz w:val="26"/>
                <w:szCs w:val="26"/>
              </w:rPr>
            </w:pPr>
            <w:r w:rsidRPr="00E036E4">
              <w:rPr>
                <w:sz w:val="26"/>
                <w:szCs w:val="26"/>
              </w:rPr>
              <w:t>C-2017-2594740</w:t>
            </w:r>
          </w:p>
        </w:tc>
      </w:tr>
      <w:tr w:rsidR="008F78A8" w:rsidRPr="008F78A8" w14:paraId="0BE582BE" w14:textId="77777777" w:rsidTr="00DE25AC">
        <w:tc>
          <w:tcPr>
            <w:tcW w:w="5058" w:type="dxa"/>
          </w:tcPr>
          <w:p w14:paraId="19A912F3" w14:textId="77777777" w:rsidR="00F514FB" w:rsidRPr="008F78A8" w:rsidRDefault="00F514FB" w:rsidP="009F0FBD">
            <w:pPr>
              <w:ind w:firstLine="720"/>
              <w:contextualSpacing/>
              <w:rPr>
                <w:sz w:val="26"/>
                <w:szCs w:val="26"/>
              </w:rPr>
            </w:pPr>
            <w:r w:rsidRPr="008F78A8">
              <w:rPr>
                <w:sz w:val="26"/>
                <w:szCs w:val="26"/>
              </w:rPr>
              <w:t>v.</w:t>
            </w:r>
          </w:p>
          <w:p w14:paraId="0648A788" w14:textId="77777777" w:rsidR="00F514FB" w:rsidRPr="008F78A8" w:rsidRDefault="00F514FB" w:rsidP="009F0FBD">
            <w:pPr>
              <w:ind w:firstLine="1440"/>
              <w:contextualSpacing/>
              <w:rPr>
                <w:sz w:val="26"/>
                <w:szCs w:val="26"/>
              </w:rPr>
            </w:pPr>
          </w:p>
        </w:tc>
        <w:tc>
          <w:tcPr>
            <w:tcW w:w="4428" w:type="dxa"/>
          </w:tcPr>
          <w:p w14:paraId="2C4FC92D" w14:textId="77777777" w:rsidR="00F514FB" w:rsidRPr="008F78A8" w:rsidRDefault="00F514FB" w:rsidP="009F0FBD">
            <w:pPr>
              <w:contextualSpacing/>
              <w:rPr>
                <w:sz w:val="26"/>
                <w:szCs w:val="26"/>
              </w:rPr>
            </w:pPr>
          </w:p>
        </w:tc>
      </w:tr>
      <w:tr w:rsidR="008F78A8" w:rsidRPr="008F78A8" w14:paraId="36CC35F6" w14:textId="77777777" w:rsidTr="00B67BFD">
        <w:trPr>
          <w:trHeight w:val="378"/>
        </w:trPr>
        <w:tc>
          <w:tcPr>
            <w:tcW w:w="5058" w:type="dxa"/>
          </w:tcPr>
          <w:p w14:paraId="7ED559C2" w14:textId="77777777" w:rsidR="00F514FB" w:rsidRPr="008F78A8" w:rsidRDefault="0097038B" w:rsidP="009F0FBD">
            <w:pPr>
              <w:contextualSpacing/>
              <w:rPr>
                <w:sz w:val="26"/>
                <w:szCs w:val="26"/>
              </w:rPr>
            </w:pPr>
            <w:r>
              <w:rPr>
                <w:sz w:val="26"/>
                <w:szCs w:val="26"/>
              </w:rPr>
              <w:t>PECO Energy Company</w:t>
            </w:r>
            <w:r w:rsidR="00940BD4" w:rsidRPr="008F78A8">
              <w:rPr>
                <w:sz w:val="26"/>
                <w:szCs w:val="26"/>
              </w:rPr>
              <w:t xml:space="preserve"> </w:t>
            </w:r>
          </w:p>
        </w:tc>
        <w:tc>
          <w:tcPr>
            <w:tcW w:w="4428" w:type="dxa"/>
          </w:tcPr>
          <w:p w14:paraId="59E16428" w14:textId="77777777" w:rsidR="00F514FB" w:rsidRPr="008F78A8" w:rsidRDefault="00F514FB" w:rsidP="009F0FBD">
            <w:pPr>
              <w:contextualSpacing/>
              <w:rPr>
                <w:sz w:val="26"/>
                <w:szCs w:val="26"/>
              </w:rPr>
            </w:pPr>
          </w:p>
        </w:tc>
      </w:tr>
    </w:tbl>
    <w:p w14:paraId="533EF9A1" w14:textId="77777777" w:rsidR="00F514FB" w:rsidRPr="008F78A8" w:rsidRDefault="00F514FB" w:rsidP="009F0FBD">
      <w:pPr>
        <w:contextualSpacing/>
        <w:rPr>
          <w:sz w:val="26"/>
          <w:szCs w:val="26"/>
        </w:rPr>
      </w:pPr>
    </w:p>
    <w:p w14:paraId="31FB7878" w14:textId="77777777" w:rsidR="00F514FB" w:rsidRPr="008F78A8" w:rsidRDefault="00F514FB" w:rsidP="009F0FBD">
      <w:pPr>
        <w:contextualSpacing/>
        <w:rPr>
          <w:sz w:val="26"/>
          <w:szCs w:val="26"/>
        </w:rPr>
      </w:pPr>
    </w:p>
    <w:p w14:paraId="76AA707C" w14:textId="25E75789" w:rsidR="00F514FB" w:rsidRPr="008F78A8" w:rsidRDefault="00F514FB" w:rsidP="00EC5D20">
      <w:pPr>
        <w:contextualSpacing/>
        <w:jc w:val="center"/>
        <w:rPr>
          <w:b/>
          <w:sz w:val="26"/>
          <w:szCs w:val="26"/>
        </w:rPr>
      </w:pPr>
      <w:r w:rsidRPr="008F78A8">
        <w:rPr>
          <w:b/>
          <w:sz w:val="26"/>
          <w:szCs w:val="26"/>
        </w:rPr>
        <w:t>OPINION AND ORDER</w:t>
      </w:r>
    </w:p>
    <w:p w14:paraId="03AA40FB" w14:textId="77777777" w:rsidR="00F514FB" w:rsidRPr="008F78A8" w:rsidRDefault="00F514FB" w:rsidP="009F0FBD">
      <w:pPr>
        <w:contextualSpacing/>
        <w:jc w:val="center"/>
        <w:rPr>
          <w:b/>
          <w:sz w:val="26"/>
          <w:szCs w:val="26"/>
        </w:rPr>
      </w:pPr>
    </w:p>
    <w:p w14:paraId="48BD5819" w14:textId="3715EFCC" w:rsidR="00F514FB" w:rsidRPr="008F78A8" w:rsidRDefault="00F514FB" w:rsidP="009F0FBD">
      <w:pPr>
        <w:contextualSpacing/>
        <w:rPr>
          <w:sz w:val="26"/>
          <w:szCs w:val="26"/>
        </w:rPr>
      </w:pPr>
      <w:r w:rsidRPr="008F78A8">
        <w:rPr>
          <w:b/>
          <w:sz w:val="26"/>
          <w:szCs w:val="26"/>
        </w:rPr>
        <w:t>BY THE COMMISSION:</w:t>
      </w:r>
    </w:p>
    <w:p w14:paraId="22E98E13" w14:textId="77777777" w:rsidR="00F514FB" w:rsidRPr="008F78A8" w:rsidRDefault="00F514FB" w:rsidP="009F0FBD">
      <w:pPr>
        <w:contextualSpacing/>
        <w:rPr>
          <w:sz w:val="26"/>
          <w:szCs w:val="26"/>
        </w:rPr>
      </w:pPr>
    </w:p>
    <w:p w14:paraId="74FC4451" w14:textId="2CF2540E" w:rsidR="00CA43A5" w:rsidRDefault="00CA43A5" w:rsidP="004C60FC">
      <w:pPr>
        <w:spacing w:line="360" w:lineRule="auto"/>
        <w:ind w:firstLine="1440"/>
        <w:contextualSpacing/>
        <w:rPr>
          <w:sz w:val="26"/>
          <w:szCs w:val="26"/>
        </w:rPr>
      </w:pPr>
      <w:r w:rsidRPr="008F78A8">
        <w:rPr>
          <w:sz w:val="26"/>
          <w:szCs w:val="26"/>
        </w:rPr>
        <w:t xml:space="preserve">Before the Pennsylvania Public Utility Commission (Commission) for consideration and disposition </w:t>
      </w:r>
      <w:r w:rsidR="00671E4C" w:rsidRPr="008F78A8">
        <w:rPr>
          <w:sz w:val="26"/>
        </w:rPr>
        <w:t xml:space="preserve">are the Exceptions (Exceptions) of </w:t>
      </w:r>
      <w:r w:rsidR="00620F36" w:rsidRPr="00620F36">
        <w:rPr>
          <w:sz w:val="26"/>
        </w:rPr>
        <w:t>Kenneth Groschopp</w:t>
      </w:r>
      <w:r w:rsidR="00671E4C" w:rsidRPr="008F78A8">
        <w:rPr>
          <w:sz w:val="26"/>
        </w:rPr>
        <w:t xml:space="preserve"> (</w:t>
      </w:r>
      <w:r w:rsidR="000F0AD9" w:rsidRPr="008F78A8">
        <w:rPr>
          <w:sz w:val="26"/>
        </w:rPr>
        <w:t>Complainant</w:t>
      </w:r>
      <w:r w:rsidR="00671E4C" w:rsidRPr="008F78A8">
        <w:rPr>
          <w:sz w:val="26"/>
        </w:rPr>
        <w:t>)</w:t>
      </w:r>
      <w:r w:rsidR="006E018F">
        <w:rPr>
          <w:sz w:val="26"/>
        </w:rPr>
        <w:t>,</w:t>
      </w:r>
      <w:r w:rsidR="00671E4C" w:rsidRPr="008F78A8">
        <w:rPr>
          <w:sz w:val="26"/>
        </w:rPr>
        <w:t xml:space="preserve"> filed on </w:t>
      </w:r>
      <w:r w:rsidR="00620F36">
        <w:rPr>
          <w:sz w:val="26"/>
        </w:rPr>
        <w:t>July 3, 2017</w:t>
      </w:r>
      <w:r w:rsidR="00CB4762" w:rsidRPr="008F78A8">
        <w:rPr>
          <w:sz w:val="26"/>
        </w:rPr>
        <w:t>,</w:t>
      </w:r>
      <w:r w:rsidR="00671E4C" w:rsidRPr="008F78A8">
        <w:rPr>
          <w:sz w:val="26"/>
        </w:rPr>
        <w:t xml:space="preserve"> to the Initial Decision (I.D.) of Administrative Law Judge (ALJ) </w:t>
      </w:r>
      <w:r w:rsidR="00620F36" w:rsidRPr="00620F36">
        <w:rPr>
          <w:sz w:val="26"/>
        </w:rPr>
        <w:t>David A. Salapa</w:t>
      </w:r>
      <w:r w:rsidR="00671E4C" w:rsidRPr="008F78A8">
        <w:rPr>
          <w:sz w:val="26"/>
        </w:rPr>
        <w:t xml:space="preserve">, which was </w:t>
      </w:r>
      <w:r w:rsidR="00580324">
        <w:rPr>
          <w:sz w:val="26"/>
        </w:rPr>
        <w:t xml:space="preserve">served on the Parties on </w:t>
      </w:r>
      <w:r w:rsidR="004E1189">
        <w:rPr>
          <w:sz w:val="26"/>
        </w:rPr>
        <w:t>June 12</w:t>
      </w:r>
      <w:r w:rsidR="00620F36">
        <w:rPr>
          <w:sz w:val="26"/>
        </w:rPr>
        <w:t>, 2017</w:t>
      </w:r>
      <w:r w:rsidR="00671E4C" w:rsidRPr="008F78A8">
        <w:rPr>
          <w:sz w:val="26"/>
        </w:rPr>
        <w:t>, in the above-captioned proceeding.</w:t>
      </w:r>
      <w:r w:rsidR="00495FBA">
        <w:rPr>
          <w:rStyle w:val="FootnoteReference"/>
          <w:sz w:val="26"/>
        </w:rPr>
        <w:footnoteReference w:id="1"/>
      </w:r>
      <w:r w:rsidR="001B1525">
        <w:rPr>
          <w:sz w:val="26"/>
        </w:rPr>
        <w:t xml:space="preserve"> </w:t>
      </w:r>
      <w:r w:rsidR="00671E4C" w:rsidRPr="008F78A8">
        <w:rPr>
          <w:sz w:val="26"/>
        </w:rPr>
        <w:t xml:space="preserve"> </w:t>
      </w:r>
      <w:r w:rsidR="0097038B">
        <w:rPr>
          <w:sz w:val="26"/>
        </w:rPr>
        <w:t>PECO Energy Company</w:t>
      </w:r>
      <w:r w:rsidR="00547BEA" w:rsidRPr="008F78A8">
        <w:rPr>
          <w:sz w:val="26"/>
        </w:rPr>
        <w:t xml:space="preserve"> (P</w:t>
      </w:r>
      <w:r w:rsidR="0097038B">
        <w:rPr>
          <w:sz w:val="26"/>
        </w:rPr>
        <w:t>ECO</w:t>
      </w:r>
      <w:r w:rsidR="00547BEA" w:rsidRPr="008F78A8">
        <w:rPr>
          <w:sz w:val="26"/>
        </w:rPr>
        <w:t>) filed</w:t>
      </w:r>
      <w:r w:rsidR="003D1F5A" w:rsidRPr="008F78A8">
        <w:rPr>
          <w:sz w:val="26"/>
        </w:rPr>
        <w:t xml:space="preserve"> </w:t>
      </w:r>
      <w:r w:rsidR="00671E4C" w:rsidRPr="008F78A8">
        <w:rPr>
          <w:sz w:val="26"/>
        </w:rPr>
        <w:t xml:space="preserve">Replies to </w:t>
      </w:r>
      <w:r w:rsidR="00671E4C" w:rsidRPr="008F78A8">
        <w:rPr>
          <w:sz w:val="26"/>
        </w:rPr>
        <w:lastRenderedPageBreak/>
        <w:t>Exceptions</w:t>
      </w:r>
      <w:r w:rsidR="00547BEA" w:rsidRPr="008F78A8">
        <w:rPr>
          <w:sz w:val="26"/>
        </w:rPr>
        <w:t xml:space="preserve"> on </w:t>
      </w:r>
      <w:r w:rsidR="00620F36">
        <w:rPr>
          <w:sz w:val="26"/>
        </w:rPr>
        <w:t>August 9, 2018</w:t>
      </w:r>
      <w:r w:rsidR="001E307A">
        <w:rPr>
          <w:sz w:val="26"/>
        </w:rPr>
        <w:t>.</w:t>
      </w:r>
      <w:r w:rsidR="001E307A">
        <w:rPr>
          <w:rStyle w:val="FootnoteReference"/>
          <w:sz w:val="26"/>
        </w:rPr>
        <w:footnoteReference w:id="2"/>
      </w:r>
      <w:r w:rsidR="001E307A">
        <w:rPr>
          <w:sz w:val="26"/>
        </w:rPr>
        <w:t xml:space="preserve">  </w:t>
      </w:r>
      <w:r w:rsidRPr="008F78A8">
        <w:rPr>
          <w:sz w:val="26"/>
          <w:szCs w:val="26"/>
        </w:rPr>
        <w:t xml:space="preserve">For the reasons stated below, we </w:t>
      </w:r>
      <w:r w:rsidR="006A224F" w:rsidRPr="008F78A8">
        <w:rPr>
          <w:sz w:val="26"/>
          <w:szCs w:val="26"/>
        </w:rPr>
        <w:t xml:space="preserve">shall deny the Exceptions and adopt the </w:t>
      </w:r>
      <w:r w:rsidR="00F5312C" w:rsidRPr="008F78A8">
        <w:rPr>
          <w:sz w:val="26"/>
          <w:szCs w:val="26"/>
        </w:rPr>
        <w:t xml:space="preserve">ALJ’s </w:t>
      </w:r>
      <w:r w:rsidR="006A224F" w:rsidRPr="008F78A8">
        <w:rPr>
          <w:sz w:val="26"/>
          <w:szCs w:val="26"/>
        </w:rPr>
        <w:t>Initial Decision</w:t>
      </w:r>
      <w:r w:rsidRPr="008F78A8">
        <w:rPr>
          <w:sz w:val="26"/>
          <w:szCs w:val="26"/>
        </w:rPr>
        <w:t>.</w:t>
      </w:r>
    </w:p>
    <w:p w14:paraId="53710040" w14:textId="77777777" w:rsidR="001221E4" w:rsidRPr="00620F36" w:rsidRDefault="001221E4" w:rsidP="004C60FC">
      <w:pPr>
        <w:spacing w:line="360" w:lineRule="auto"/>
        <w:ind w:firstLine="1440"/>
        <w:contextualSpacing/>
        <w:rPr>
          <w:sz w:val="26"/>
        </w:rPr>
      </w:pPr>
    </w:p>
    <w:p w14:paraId="03258895" w14:textId="77777777" w:rsidR="00CA43A5" w:rsidRPr="008F78A8" w:rsidRDefault="00CA43A5" w:rsidP="003663E7">
      <w:pPr>
        <w:keepNext/>
        <w:keepLines/>
        <w:spacing w:line="360" w:lineRule="auto"/>
        <w:contextualSpacing/>
        <w:jc w:val="center"/>
        <w:rPr>
          <w:b/>
          <w:sz w:val="26"/>
          <w:szCs w:val="26"/>
        </w:rPr>
      </w:pPr>
      <w:bookmarkStart w:id="0" w:name="OLE_LINK1"/>
      <w:bookmarkStart w:id="1" w:name="OLE_LINK2"/>
      <w:r w:rsidRPr="008F78A8">
        <w:rPr>
          <w:b/>
          <w:sz w:val="26"/>
          <w:szCs w:val="26"/>
        </w:rPr>
        <w:t>History of the Proceeding</w:t>
      </w:r>
    </w:p>
    <w:bookmarkEnd w:id="0"/>
    <w:bookmarkEnd w:id="1"/>
    <w:p w14:paraId="51F57B38" w14:textId="77777777" w:rsidR="00CA43A5" w:rsidRDefault="00CA43A5" w:rsidP="003663E7">
      <w:pPr>
        <w:keepNext/>
        <w:keepLines/>
        <w:spacing w:line="360" w:lineRule="auto"/>
        <w:contextualSpacing/>
        <w:jc w:val="center"/>
        <w:rPr>
          <w:b/>
          <w:sz w:val="26"/>
          <w:szCs w:val="26"/>
          <w:u w:val="single"/>
        </w:rPr>
      </w:pPr>
    </w:p>
    <w:p w14:paraId="5184EAF0" w14:textId="10950C88" w:rsidR="0097038B" w:rsidRPr="008C68E3" w:rsidRDefault="0097038B" w:rsidP="004C60FC">
      <w:pPr>
        <w:spacing w:line="360" w:lineRule="auto"/>
        <w:ind w:firstLine="1440"/>
        <w:contextualSpacing/>
        <w:rPr>
          <w:sz w:val="26"/>
          <w:szCs w:val="26"/>
        </w:rPr>
      </w:pPr>
      <w:r w:rsidRPr="008C68E3">
        <w:rPr>
          <w:sz w:val="26"/>
          <w:szCs w:val="26"/>
        </w:rPr>
        <w:t xml:space="preserve">On </w:t>
      </w:r>
      <w:r w:rsidR="0012112E">
        <w:rPr>
          <w:sz w:val="26"/>
          <w:szCs w:val="26"/>
        </w:rPr>
        <w:t>March 4, 2017</w:t>
      </w:r>
      <w:r w:rsidRPr="008C68E3">
        <w:rPr>
          <w:sz w:val="26"/>
          <w:szCs w:val="26"/>
        </w:rPr>
        <w:t>, the Complainant</w:t>
      </w:r>
      <w:r w:rsidR="0012112E">
        <w:rPr>
          <w:sz w:val="26"/>
          <w:szCs w:val="26"/>
        </w:rPr>
        <w:t xml:space="preserve"> </w:t>
      </w:r>
      <w:r w:rsidRPr="008C68E3">
        <w:rPr>
          <w:sz w:val="26"/>
          <w:szCs w:val="26"/>
        </w:rPr>
        <w:t>filed a Formal Complaint (Complaint) against PECO</w:t>
      </w:r>
      <w:r w:rsidR="000D4288">
        <w:rPr>
          <w:sz w:val="26"/>
          <w:szCs w:val="26"/>
        </w:rPr>
        <w:t>,</w:t>
      </w:r>
      <w:r w:rsidRPr="008C68E3">
        <w:rPr>
          <w:sz w:val="26"/>
          <w:szCs w:val="26"/>
        </w:rPr>
        <w:t xml:space="preserve"> alleging </w:t>
      </w:r>
      <w:r w:rsidR="008C68E3" w:rsidRPr="008C68E3">
        <w:rPr>
          <w:sz w:val="26"/>
          <w:szCs w:val="26"/>
        </w:rPr>
        <w:t xml:space="preserve">that he </w:t>
      </w:r>
      <w:r w:rsidR="000D4288">
        <w:rPr>
          <w:sz w:val="26"/>
          <w:szCs w:val="26"/>
        </w:rPr>
        <w:t xml:space="preserve">is the owner of </w:t>
      </w:r>
      <w:r w:rsidR="008C68E3" w:rsidRPr="008C68E3">
        <w:rPr>
          <w:sz w:val="26"/>
          <w:szCs w:val="26"/>
        </w:rPr>
        <w:t xml:space="preserve">a </w:t>
      </w:r>
      <w:r w:rsidR="00A6401F">
        <w:rPr>
          <w:sz w:val="26"/>
          <w:szCs w:val="26"/>
        </w:rPr>
        <w:t xml:space="preserve">rental </w:t>
      </w:r>
      <w:r w:rsidR="008C68E3" w:rsidRPr="008C68E3">
        <w:rPr>
          <w:sz w:val="26"/>
          <w:szCs w:val="26"/>
        </w:rPr>
        <w:t>property</w:t>
      </w:r>
      <w:r w:rsidR="00D56F2B">
        <w:rPr>
          <w:sz w:val="26"/>
          <w:szCs w:val="26"/>
        </w:rPr>
        <w:t xml:space="preserve"> located at 1015 Dekalb Street, 2</w:t>
      </w:r>
      <w:r w:rsidR="00D56F2B" w:rsidRPr="006F0A5C">
        <w:rPr>
          <w:sz w:val="26"/>
          <w:szCs w:val="26"/>
          <w:vertAlign w:val="superscript"/>
        </w:rPr>
        <w:t>nd</w:t>
      </w:r>
      <w:r w:rsidR="00D56F2B">
        <w:rPr>
          <w:sz w:val="26"/>
          <w:szCs w:val="26"/>
        </w:rPr>
        <w:t xml:space="preserve"> Floor, Norristown, PA 19401 (Service Address)</w:t>
      </w:r>
      <w:r w:rsidR="000D4288">
        <w:rPr>
          <w:sz w:val="26"/>
          <w:szCs w:val="26"/>
        </w:rPr>
        <w:t>, which</w:t>
      </w:r>
      <w:r w:rsidR="008C68E3" w:rsidRPr="008C68E3">
        <w:rPr>
          <w:sz w:val="26"/>
          <w:szCs w:val="26"/>
        </w:rPr>
        <w:t xml:space="preserve"> </w:t>
      </w:r>
      <w:r w:rsidR="000D4288">
        <w:rPr>
          <w:sz w:val="26"/>
          <w:szCs w:val="26"/>
        </w:rPr>
        <w:t>he leased for 36</w:t>
      </w:r>
      <w:r w:rsidR="0074491A">
        <w:rPr>
          <w:sz w:val="26"/>
          <w:szCs w:val="26"/>
        </w:rPr>
        <w:t> </w:t>
      </w:r>
      <w:r w:rsidR="000D4288">
        <w:rPr>
          <w:sz w:val="26"/>
          <w:szCs w:val="26"/>
        </w:rPr>
        <w:t xml:space="preserve">months to his </w:t>
      </w:r>
      <w:r w:rsidR="00F734D4">
        <w:rPr>
          <w:sz w:val="26"/>
          <w:szCs w:val="26"/>
        </w:rPr>
        <w:t>former tenant</w:t>
      </w:r>
      <w:r w:rsidR="000D4288">
        <w:rPr>
          <w:sz w:val="26"/>
          <w:szCs w:val="26"/>
        </w:rPr>
        <w:t>.</w:t>
      </w:r>
      <w:r w:rsidR="00D56F2B">
        <w:rPr>
          <w:sz w:val="26"/>
          <w:szCs w:val="26"/>
        </w:rPr>
        <w:t xml:space="preserve">  </w:t>
      </w:r>
      <w:r w:rsidR="00BA455E">
        <w:rPr>
          <w:sz w:val="26"/>
          <w:szCs w:val="26"/>
        </w:rPr>
        <w:t xml:space="preserve">By the time </w:t>
      </w:r>
      <w:r w:rsidR="000D4288">
        <w:rPr>
          <w:sz w:val="26"/>
          <w:szCs w:val="26"/>
        </w:rPr>
        <w:t xml:space="preserve">the former tenant vacated </w:t>
      </w:r>
      <w:r w:rsidR="00900D70">
        <w:rPr>
          <w:sz w:val="26"/>
          <w:szCs w:val="26"/>
        </w:rPr>
        <w:t>the property</w:t>
      </w:r>
      <w:r w:rsidR="000D4288">
        <w:rPr>
          <w:sz w:val="26"/>
          <w:szCs w:val="26"/>
        </w:rPr>
        <w:t xml:space="preserve">, the tenant </w:t>
      </w:r>
      <w:r w:rsidR="00BA455E">
        <w:rPr>
          <w:sz w:val="26"/>
          <w:szCs w:val="26"/>
        </w:rPr>
        <w:t xml:space="preserve">had </w:t>
      </w:r>
      <w:r w:rsidR="000D4288">
        <w:rPr>
          <w:sz w:val="26"/>
          <w:szCs w:val="26"/>
        </w:rPr>
        <w:t>accumulated</w:t>
      </w:r>
      <w:r w:rsidR="00900D70">
        <w:rPr>
          <w:sz w:val="26"/>
          <w:szCs w:val="26"/>
        </w:rPr>
        <w:t xml:space="preserve"> a</w:t>
      </w:r>
      <w:r w:rsidR="005460B0">
        <w:rPr>
          <w:sz w:val="26"/>
          <w:szCs w:val="26"/>
        </w:rPr>
        <w:t>n outstanding balance</w:t>
      </w:r>
      <w:r w:rsidR="000D4288">
        <w:rPr>
          <w:sz w:val="26"/>
          <w:szCs w:val="26"/>
        </w:rPr>
        <w:t xml:space="preserve"> owed to PECO for electric service</w:t>
      </w:r>
      <w:r w:rsidR="005460B0">
        <w:rPr>
          <w:sz w:val="26"/>
          <w:szCs w:val="26"/>
        </w:rPr>
        <w:t xml:space="preserve"> of</w:t>
      </w:r>
      <w:r w:rsidR="00900D70">
        <w:rPr>
          <w:sz w:val="26"/>
          <w:szCs w:val="26"/>
        </w:rPr>
        <w:t xml:space="preserve"> </w:t>
      </w:r>
      <w:r w:rsidR="00B51676">
        <w:rPr>
          <w:sz w:val="26"/>
          <w:szCs w:val="26"/>
        </w:rPr>
        <w:t xml:space="preserve">approximately </w:t>
      </w:r>
      <w:r w:rsidR="00900D70">
        <w:rPr>
          <w:sz w:val="26"/>
          <w:szCs w:val="26"/>
        </w:rPr>
        <w:t>$5,500</w:t>
      </w:r>
      <w:r w:rsidR="007D1348">
        <w:rPr>
          <w:sz w:val="26"/>
          <w:szCs w:val="26"/>
        </w:rPr>
        <w:t xml:space="preserve">.  </w:t>
      </w:r>
      <w:r w:rsidR="00BA455E">
        <w:rPr>
          <w:sz w:val="26"/>
          <w:szCs w:val="26"/>
        </w:rPr>
        <w:t>T</w:t>
      </w:r>
      <w:r w:rsidR="007D1348">
        <w:rPr>
          <w:sz w:val="26"/>
          <w:szCs w:val="26"/>
        </w:rPr>
        <w:t>he Complainant</w:t>
      </w:r>
      <w:r w:rsidR="00BA455E">
        <w:rPr>
          <w:sz w:val="26"/>
          <w:szCs w:val="26"/>
        </w:rPr>
        <w:t xml:space="preserve"> avers that when </w:t>
      </w:r>
      <w:r w:rsidR="000D4288">
        <w:rPr>
          <w:sz w:val="26"/>
          <w:szCs w:val="26"/>
        </w:rPr>
        <w:t xml:space="preserve">PECO </w:t>
      </w:r>
      <w:r w:rsidR="00B06AA4">
        <w:rPr>
          <w:sz w:val="26"/>
          <w:szCs w:val="26"/>
        </w:rPr>
        <w:t xml:space="preserve">shutoff </w:t>
      </w:r>
      <w:r w:rsidR="000D4288">
        <w:rPr>
          <w:sz w:val="26"/>
          <w:szCs w:val="26"/>
        </w:rPr>
        <w:t>the tenant’s</w:t>
      </w:r>
      <w:r w:rsidR="009E03F9">
        <w:rPr>
          <w:sz w:val="26"/>
          <w:szCs w:val="26"/>
        </w:rPr>
        <w:t xml:space="preserve"> electric service</w:t>
      </w:r>
      <w:r w:rsidR="006F6098">
        <w:rPr>
          <w:sz w:val="26"/>
          <w:szCs w:val="26"/>
        </w:rPr>
        <w:t>,</w:t>
      </w:r>
      <w:r w:rsidR="007D1348">
        <w:rPr>
          <w:sz w:val="26"/>
          <w:szCs w:val="26"/>
        </w:rPr>
        <w:t xml:space="preserve"> </w:t>
      </w:r>
      <w:r w:rsidR="00BA455E">
        <w:rPr>
          <w:sz w:val="26"/>
          <w:szCs w:val="26"/>
        </w:rPr>
        <w:t>it</w:t>
      </w:r>
      <w:r w:rsidR="006F0A5C">
        <w:rPr>
          <w:sz w:val="26"/>
          <w:szCs w:val="26"/>
        </w:rPr>
        <w:t xml:space="preserve"> </w:t>
      </w:r>
      <w:r w:rsidR="008C68E3" w:rsidRPr="008C68E3">
        <w:rPr>
          <w:sz w:val="26"/>
          <w:szCs w:val="26"/>
        </w:rPr>
        <w:t xml:space="preserve">determined that a hallway light </w:t>
      </w:r>
      <w:r w:rsidR="00BA455E">
        <w:rPr>
          <w:sz w:val="26"/>
          <w:szCs w:val="26"/>
        </w:rPr>
        <w:t xml:space="preserve">was </w:t>
      </w:r>
      <w:r w:rsidR="008C68E3" w:rsidRPr="008C68E3">
        <w:rPr>
          <w:sz w:val="26"/>
          <w:szCs w:val="26"/>
        </w:rPr>
        <w:t xml:space="preserve">attached to </w:t>
      </w:r>
      <w:r w:rsidR="000D4288">
        <w:rPr>
          <w:sz w:val="26"/>
          <w:szCs w:val="26"/>
        </w:rPr>
        <w:t>the tenant’s</w:t>
      </w:r>
      <w:r w:rsidR="00D345FC" w:rsidRPr="00D345FC">
        <w:rPr>
          <w:sz w:val="26"/>
          <w:szCs w:val="26"/>
        </w:rPr>
        <w:t xml:space="preserve"> </w:t>
      </w:r>
      <w:r w:rsidR="008C68E3" w:rsidRPr="008C68E3">
        <w:rPr>
          <w:sz w:val="26"/>
          <w:szCs w:val="26"/>
        </w:rPr>
        <w:t>meter</w:t>
      </w:r>
      <w:r w:rsidR="00BA455E">
        <w:rPr>
          <w:sz w:val="26"/>
          <w:szCs w:val="26"/>
        </w:rPr>
        <w:t xml:space="preserve"> and thus </w:t>
      </w:r>
      <w:r w:rsidR="000D4288">
        <w:rPr>
          <w:sz w:val="26"/>
          <w:szCs w:val="26"/>
        </w:rPr>
        <w:t>constituted foreign load</w:t>
      </w:r>
      <w:r w:rsidR="00BA455E">
        <w:rPr>
          <w:sz w:val="26"/>
          <w:szCs w:val="26"/>
        </w:rPr>
        <w:t>.</w:t>
      </w:r>
      <w:r w:rsidR="000D4288" w:rsidRPr="00242FE6">
        <w:rPr>
          <w:rStyle w:val="FootnoteReference"/>
          <w:sz w:val="26"/>
          <w:szCs w:val="26"/>
        </w:rPr>
        <w:footnoteReference w:id="3"/>
      </w:r>
      <w:r w:rsidR="000D4288">
        <w:rPr>
          <w:sz w:val="26"/>
          <w:szCs w:val="26"/>
        </w:rPr>
        <w:t xml:space="preserve"> </w:t>
      </w:r>
      <w:r w:rsidR="0074491A">
        <w:rPr>
          <w:sz w:val="26"/>
          <w:szCs w:val="26"/>
        </w:rPr>
        <w:t xml:space="preserve"> </w:t>
      </w:r>
      <w:r w:rsidR="00BA455E">
        <w:rPr>
          <w:sz w:val="26"/>
          <w:szCs w:val="26"/>
        </w:rPr>
        <w:t xml:space="preserve">Consequently, PECO </w:t>
      </w:r>
      <w:r w:rsidR="000D4288">
        <w:rPr>
          <w:sz w:val="26"/>
          <w:szCs w:val="26"/>
        </w:rPr>
        <w:t>transferred the tenant’s $5,500 outstanding balance to the Complainant for payment</w:t>
      </w:r>
      <w:r w:rsidR="00BA455E">
        <w:rPr>
          <w:sz w:val="26"/>
          <w:szCs w:val="26"/>
        </w:rPr>
        <w:t>.</w:t>
      </w:r>
      <w:r w:rsidR="000D4288">
        <w:rPr>
          <w:sz w:val="26"/>
          <w:szCs w:val="26"/>
        </w:rPr>
        <w:t xml:space="preserve">  </w:t>
      </w:r>
      <w:r w:rsidR="008C68E3" w:rsidRPr="008C68E3">
        <w:rPr>
          <w:sz w:val="26"/>
          <w:szCs w:val="26"/>
        </w:rPr>
        <w:t xml:space="preserve">The Complainant averred that </w:t>
      </w:r>
      <w:r w:rsidR="00C308C6">
        <w:rPr>
          <w:sz w:val="26"/>
          <w:szCs w:val="26"/>
        </w:rPr>
        <w:t>he</w:t>
      </w:r>
      <w:r w:rsidR="008C68E3" w:rsidRPr="008C68E3">
        <w:rPr>
          <w:sz w:val="26"/>
          <w:szCs w:val="26"/>
        </w:rPr>
        <w:t xml:space="preserve"> corrected the </w:t>
      </w:r>
      <w:r w:rsidR="000D4288">
        <w:rPr>
          <w:sz w:val="26"/>
          <w:szCs w:val="26"/>
        </w:rPr>
        <w:t xml:space="preserve">hallway light </w:t>
      </w:r>
      <w:r w:rsidR="008C68E3" w:rsidRPr="008C68E3">
        <w:rPr>
          <w:sz w:val="26"/>
          <w:szCs w:val="26"/>
        </w:rPr>
        <w:t>problem</w:t>
      </w:r>
      <w:r w:rsidR="000D4288">
        <w:rPr>
          <w:sz w:val="26"/>
          <w:szCs w:val="26"/>
        </w:rPr>
        <w:t>, but</w:t>
      </w:r>
      <w:r w:rsidR="008C68E3" w:rsidRPr="008C68E3">
        <w:rPr>
          <w:sz w:val="26"/>
          <w:szCs w:val="26"/>
        </w:rPr>
        <w:t xml:space="preserve"> PECO </w:t>
      </w:r>
      <w:r w:rsidR="000D4288">
        <w:rPr>
          <w:sz w:val="26"/>
          <w:szCs w:val="26"/>
        </w:rPr>
        <w:t xml:space="preserve">nevertheless </w:t>
      </w:r>
      <w:r w:rsidR="008C68E3" w:rsidRPr="008C68E3">
        <w:rPr>
          <w:sz w:val="26"/>
          <w:szCs w:val="26"/>
        </w:rPr>
        <w:t xml:space="preserve">billed </w:t>
      </w:r>
      <w:r w:rsidR="00BA455E">
        <w:rPr>
          <w:sz w:val="26"/>
          <w:szCs w:val="26"/>
        </w:rPr>
        <w:t>him</w:t>
      </w:r>
      <w:r w:rsidR="00C55324">
        <w:rPr>
          <w:sz w:val="26"/>
          <w:szCs w:val="26"/>
        </w:rPr>
        <w:t xml:space="preserve"> </w:t>
      </w:r>
      <w:r w:rsidR="00D818DD">
        <w:rPr>
          <w:sz w:val="26"/>
          <w:szCs w:val="26"/>
        </w:rPr>
        <w:t xml:space="preserve">the full amount </w:t>
      </w:r>
      <w:r w:rsidR="00BA455E">
        <w:rPr>
          <w:sz w:val="26"/>
          <w:szCs w:val="26"/>
        </w:rPr>
        <w:t xml:space="preserve">of $5,500 that </w:t>
      </w:r>
      <w:r w:rsidR="000D4288">
        <w:rPr>
          <w:sz w:val="26"/>
          <w:szCs w:val="26"/>
        </w:rPr>
        <w:t>the tenant</w:t>
      </w:r>
      <w:r w:rsidR="00E714FC">
        <w:rPr>
          <w:sz w:val="26"/>
          <w:szCs w:val="26"/>
        </w:rPr>
        <w:t xml:space="preserve"> </w:t>
      </w:r>
      <w:r w:rsidR="008070E1">
        <w:rPr>
          <w:sz w:val="26"/>
          <w:szCs w:val="26"/>
        </w:rPr>
        <w:t xml:space="preserve">accumulated </w:t>
      </w:r>
      <w:r w:rsidR="005D1DF4">
        <w:rPr>
          <w:sz w:val="26"/>
          <w:szCs w:val="26"/>
        </w:rPr>
        <w:t xml:space="preserve">during </w:t>
      </w:r>
      <w:r w:rsidR="00C55324">
        <w:rPr>
          <w:sz w:val="26"/>
          <w:szCs w:val="26"/>
        </w:rPr>
        <w:t xml:space="preserve">the </w:t>
      </w:r>
      <w:r w:rsidR="005968A9">
        <w:rPr>
          <w:sz w:val="26"/>
          <w:szCs w:val="26"/>
        </w:rPr>
        <w:t>36-month</w:t>
      </w:r>
      <w:r w:rsidR="005D1DF4">
        <w:rPr>
          <w:sz w:val="26"/>
          <w:szCs w:val="26"/>
        </w:rPr>
        <w:t xml:space="preserve"> lease</w:t>
      </w:r>
      <w:r w:rsidR="008C68E3" w:rsidRPr="008C68E3">
        <w:rPr>
          <w:sz w:val="26"/>
          <w:szCs w:val="26"/>
        </w:rPr>
        <w:t>.  As relief, the Complainant requested</w:t>
      </w:r>
      <w:r w:rsidR="00BA455E">
        <w:rPr>
          <w:sz w:val="26"/>
          <w:szCs w:val="26"/>
        </w:rPr>
        <w:t xml:space="preserve"> that he only have</w:t>
      </w:r>
      <w:r w:rsidR="008C68E3" w:rsidRPr="008C68E3">
        <w:rPr>
          <w:sz w:val="26"/>
          <w:szCs w:val="26"/>
        </w:rPr>
        <w:t xml:space="preserve"> </w:t>
      </w:r>
      <w:r w:rsidR="0081675B" w:rsidRPr="0081675B">
        <w:rPr>
          <w:sz w:val="26"/>
          <w:szCs w:val="26"/>
        </w:rPr>
        <w:t xml:space="preserve">to </w:t>
      </w:r>
      <w:r w:rsidR="002C58A1">
        <w:rPr>
          <w:sz w:val="26"/>
          <w:szCs w:val="26"/>
        </w:rPr>
        <w:t>pay</w:t>
      </w:r>
      <w:r w:rsidR="0081675B" w:rsidRPr="0081675B">
        <w:rPr>
          <w:sz w:val="26"/>
          <w:szCs w:val="26"/>
        </w:rPr>
        <w:t xml:space="preserve"> </w:t>
      </w:r>
      <w:r w:rsidR="00BA455E">
        <w:rPr>
          <w:sz w:val="26"/>
          <w:szCs w:val="26"/>
        </w:rPr>
        <w:t>a</w:t>
      </w:r>
      <w:r w:rsidR="0081675B" w:rsidRPr="0081675B">
        <w:rPr>
          <w:sz w:val="26"/>
          <w:szCs w:val="26"/>
        </w:rPr>
        <w:t xml:space="preserve"> portion of the</w:t>
      </w:r>
      <w:r w:rsidR="0081675B">
        <w:rPr>
          <w:sz w:val="26"/>
          <w:szCs w:val="26"/>
        </w:rPr>
        <w:t xml:space="preserve"> </w:t>
      </w:r>
      <w:r w:rsidR="0081675B" w:rsidRPr="0081675B">
        <w:rPr>
          <w:sz w:val="26"/>
          <w:szCs w:val="26"/>
        </w:rPr>
        <w:t xml:space="preserve">bill that is attributed to </w:t>
      </w:r>
      <w:r w:rsidR="007344D9">
        <w:rPr>
          <w:sz w:val="26"/>
          <w:szCs w:val="26"/>
        </w:rPr>
        <w:t>the foreign load</w:t>
      </w:r>
      <w:r w:rsidR="00C4069F">
        <w:rPr>
          <w:sz w:val="26"/>
          <w:szCs w:val="26"/>
        </w:rPr>
        <w:t xml:space="preserve"> and </w:t>
      </w:r>
      <w:r w:rsidR="00BA455E">
        <w:rPr>
          <w:sz w:val="26"/>
          <w:szCs w:val="26"/>
        </w:rPr>
        <w:t xml:space="preserve">that </w:t>
      </w:r>
      <w:r w:rsidR="00ED6467">
        <w:rPr>
          <w:sz w:val="26"/>
          <w:szCs w:val="26"/>
        </w:rPr>
        <w:t xml:space="preserve">the remaining balance be recovered </w:t>
      </w:r>
      <w:r w:rsidR="000D4288">
        <w:rPr>
          <w:sz w:val="26"/>
          <w:szCs w:val="26"/>
        </w:rPr>
        <w:t xml:space="preserve">by PECO </w:t>
      </w:r>
      <w:r w:rsidR="00264534">
        <w:rPr>
          <w:sz w:val="26"/>
          <w:szCs w:val="26"/>
        </w:rPr>
        <w:t xml:space="preserve">from </w:t>
      </w:r>
      <w:r w:rsidR="000D4288">
        <w:rPr>
          <w:sz w:val="26"/>
          <w:szCs w:val="26"/>
        </w:rPr>
        <w:t>the tenant</w:t>
      </w:r>
      <w:r w:rsidR="008C68E3" w:rsidRPr="008C68E3">
        <w:rPr>
          <w:sz w:val="26"/>
          <w:szCs w:val="26"/>
        </w:rPr>
        <w:t>.</w:t>
      </w:r>
      <w:r w:rsidR="00BA455E">
        <w:rPr>
          <w:rStyle w:val="FootnoteReference"/>
          <w:sz w:val="26"/>
          <w:szCs w:val="26"/>
        </w:rPr>
        <w:footnoteReference w:id="4"/>
      </w:r>
      <w:r w:rsidR="008C68E3" w:rsidRPr="008C68E3">
        <w:rPr>
          <w:sz w:val="26"/>
          <w:szCs w:val="26"/>
        </w:rPr>
        <w:t xml:space="preserve">  </w:t>
      </w:r>
    </w:p>
    <w:p w14:paraId="7291895A" w14:textId="4AB89415" w:rsidR="008C3EA6" w:rsidRDefault="008C3EA6" w:rsidP="004C60FC">
      <w:pPr>
        <w:spacing w:line="360" w:lineRule="auto"/>
        <w:ind w:firstLine="1440"/>
        <w:contextualSpacing/>
        <w:rPr>
          <w:sz w:val="26"/>
          <w:szCs w:val="26"/>
        </w:rPr>
      </w:pPr>
      <w:r w:rsidRPr="008C68E3">
        <w:rPr>
          <w:sz w:val="26"/>
          <w:szCs w:val="26"/>
        </w:rPr>
        <w:lastRenderedPageBreak/>
        <w:t xml:space="preserve">On </w:t>
      </w:r>
      <w:r w:rsidR="00F06AD8">
        <w:rPr>
          <w:sz w:val="26"/>
          <w:szCs w:val="26"/>
        </w:rPr>
        <w:t>March 27, 2017</w:t>
      </w:r>
      <w:r w:rsidRPr="008C68E3">
        <w:rPr>
          <w:sz w:val="26"/>
          <w:szCs w:val="26"/>
        </w:rPr>
        <w:t>, PECO filed an Answer</w:t>
      </w:r>
      <w:r w:rsidR="0022665D">
        <w:rPr>
          <w:rStyle w:val="FootnoteReference"/>
          <w:sz w:val="26"/>
          <w:szCs w:val="26"/>
        </w:rPr>
        <w:footnoteReference w:id="5"/>
      </w:r>
      <w:r w:rsidRPr="008C68E3">
        <w:rPr>
          <w:sz w:val="26"/>
          <w:szCs w:val="26"/>
        </w:rPr>
        <w:t xml:space="preserve"> and Preliminary Objections</w:t>
      </w:r>
      <w:r w:rsidR="00974423" w:rsidRPr="008C68E3">
        <w:rPr>
          <w:sz w:val="26"/>
          <w:szCs w:val="26"/>
        </w:rPr>
        <w:t xml:space="preserve">. </w:t>
      </w:r>
      <w:r w:rsidR="00974423" w:rsidRPr="00D438CE">
        <w:rPr>
          <w:color w:val="FF0000"/>
          <w:sz w:val="26"/>
          <w:szCs w:val="26"/>
        </w:rPr>
        <w:t xml:space="preserve"> </w:t>
      </w:r>
      <w:r w:rsidR="00E1187A" w:rsidRPr="00E1187A">
        <w:rPr>
          <w:sz w:val="26"/>
          <w:szCs w:val="26"/>
        </w:rPr>
        <w:t xml:space="preserve">In its Answer, PECO, </w:t>
      </w:r>
      <w:r w:rsidR="00E1187A" w:rsidRPr="00E1187A">
        <w:rPr>
          <w:i/>
          <w:sz w:val="26"/>
          <w:szCs w:val="26"/>
        </w:rPr>
        <w:t>inter alia,</w:t>
      </w:r>
      <w:r w:rsidR="00E1187A" w:rsidRPr="00E1187A">
        <w:rPr>
          <w:sz w:val="26"/>
          <w:szCs w:val="26"/>
        </w:rPr>
        <w:t xml:space="preserve"> admitted that </w:t>
      </w:r>
      <w:r w:rsidR="00890B75">
        <w:rPr>
          <w:sz w:val="26"/>
          <w:szCs w:val="26"/>
        </w:rPr>
        <w:t>on August 23, 2016</w:t>
      </w:r>
      <w:r w:rsidR="00C55324">
        <w:rPr>
          <w:sz w:val="26"/>
          <w:szCs w:val="26"/>
        </w:rPr>
        <w:t>,</w:t>
      </w:r>
      <w:r w:rsidR="0070314C">
        <w:rPr>
          <w:sz w:val="26"/>
          <w:szCs w:val="26"/>
        </w:rPr>
        <w:t xml:space="preserve"> a</w:t>
      </w:r>
      <w:r w:rsidR="00E1187A" w:rsidRPr="00E1187A">
        <w:rPr>
          <w:sz w:val="26"/>
          <w:szCs w:val="26"/>
        </w:rPr>
        <w:t xml:space="preserve"> PECO </w:t>
      </w:r>
      <w:r w:rsidR="004A02BE">
        <w:rPr>
          <w:sz w:val="26"/>
          <w:szCs w:val="26"/>
        </w:rPr>
        <w:t>employee</w:t>
      </w:r>
      <w:r w:rsidR="00E1187A" w:rsidRPr="00E1187A">
        <w:rPr>
          <w:sz w:val="26"/>
          <w:szCs w:val="26"/>
        </w:rPr>
        <w:t xml:space="preserve"> </w:t>
      </w:r>
      <w:r w:rsidR="0070314C">
        <w:rPr>
          <w:sz w:val="26"/>
          <w:szCs w:val="26"/>
        </w:rPr>
        <w:t xml:space="preserve">conducted a high bill investigation </w:t>
      </w:r>
      <w:r w:rsidR="00DC1465">
        <w:rPr>
          <w:sz w:val="26"/>
          <w:szCs w:val="26"/>
        </w:rPr>
        <w:t>in response to a high bill comp</w:t>
      </w:r>
      <w:r w:rsidR="00FA7EC9">
        <w:rPr>
          <w:sz w:val="26"/>
          <w:szCs w:val="26"/>
        </w:rPr>
        <w:t xml:space="preserve">laint from </w:t>
      </w:r>
      <w:r w:rsidR="00C55324">
        <w:rPr>
          <w:sz w:val="26"/>
          <w:szCs w:val="26"/>
        </w:rPr>
        <w:t>the Complainant’s former tenant</w:t>
      </w:r>
      <w:r w:rsidR="007C0887">
        <w:rPr>
          <w:sz w:val="26"/>
          <w:szCs w:val="26"/>
        </w:rPr>
        <w:t xml:space="preserve">.  </w:t>
      </w:r>
      <w:r w:rsidR="00275645">
        <w:rPr>
          <w:sz w:val="26"/>
          <w:szCs w:val="26"/>
        </w:rPr>
        <w:t xml:space="preserve">PECO </w:t>
      </w:r>
      <w:r w:rsidR="00E1187A" w:rsidRPr="00E1187A">
        <w:rPr>
          <w:sz w:val="26"/>
          <w:szCs w:val="26"/>
        </w:rPr>
        <w:t xml:space="preserve">determined that </w:t>
      </w:r>
      <w:r w:rsidR="004F1F43">
        <w:rPr>
          <w:sz w:val="26"/>
          <w:szCs w:val="26"/>
        </w:rPr>
        <w:t xml:space="preserve">the first and </w:t>
      </w:r>
      <w:r w:rsidR="00E1187A" w:rsidRPr="00E1187A">
        <w:rPr>
          <w:sz w:val="26"/>
          <w:szCs w:val="26"/>
        </w:rPr>
        <w:t xml:space="preserve">second floor </w:t>
      </w:r>
      <w:r w:rsidR="00836448">
        <w:rPr>
          <w:sz w:val="26"/>
          <w:szCs w:val="26"/>
        </w:rPr>
        <w:t xml:space="preserve">common </w:t>
      </w:r>
      <w:r w:rsidR="00E1187A" w:rsidRPr="00E1187A">
        <w:rPr>
          <w:sz w:val="26"/>
          <w:szCs w:val="26"/>
        </w:rPr>
        <w:t>hallway light</w:t>
      </w:r>
      <w:r w:rsidR="004F1F43">
        <w:rPr>
          <w:sz w:val="26"/>
          <w:szCs w:val="26"/>
        </w:rPr>
        <w:t>s</w:t>
      </w:r>
      <w:r w:rsidR="00E1187A" w:rsidRPr="00E1187A">
        <w:rPr>
          <w:sz w:val="26"/>
          <w:szCs w:val="26"/>
        </w:rPr>
        <w:t xml:space="preserve"> w</w:t>
      </w:r>
      <w:r w:rsidR="004F1F43">
        <w:rPr>
          <w:sz w:val="26"/>
          <w:szCs w:val="26"/>
        </w:rPr>
        <w:t>ere</w:t>
      </w:r>
      <w:r w:rsidR="00E1187A" w:rsidRPr="00E1187A">
        <w:rPr>
          <w:sz w:val="26"/>
          <w:szCs w:val="26"/>
        </w:rPr>
        <w:t xml:space="preserve"> connected to </w:t>
      </w:r>
      <w:r w:rsidR="00C55324">
        <w:rPr>
          <w:sz w:val="26"/>
          <w:szCs w:val="26"/>
        </w:rPr>
        <w:t>the tenant’s</w:t>
      </w:r>
      <w:r w:rsidR="00E1187A" w:rsidRPr="00E1187A">
        <w:rPr>
          <w:sz w:val="26"/>
          <w:szCs w:val="26"/>
        </w:rPr>
        <w:t xml:space="preserve"> meter and</w:t>
      </w:r>
      <w:r w:rsidR="00EE524B">
        <w:rPr>
          <w:sz w:val="26"/>
          <w:szCs w:val="26"/>
        </w:rPr>
        <w:t xml:space="preserve"> notified </w:t>
      </w:r>
      <w:r w:rsidR="00276C81">
        <w:rPr>
          <w:sz w:val="26"/>
          <w:szCs w:val="26"/>
        </w:rPr>
        <w:t xml:space="preserve">the Complainant </w:t>
      </w:r>
      <w:r w:rsidR="00F70729">
        <w:rPr>
          <w:sz w:val="26"/>
          <w:szCs w:val="26"/>
        </w:rPr>
        <w:t xml:space="preserve">that it had discovered foreign wiring.  </w:t>
      </w:r>
      <w:r w:rsidR="00D71734">
        <w:rPr>
          <w:sz w:val="26"/>
          <w:szCs w:val="26"/>
        </w:rPr>
        <w:t>As a result</w:t>
      </w:r>
      <w:r w:rsidR="00C55324">
        <w:rPr>
          <w:sz w:val="26"/>
          <w:szCs w:val="26"/>
        </w:rPr>
        <w:t xml:space="preserve"> of discovering the foreign load</w:t>
      </w:r>
      <w:r w:rsidR="00D71734">
        <w:rPr>
          <w:sz w:val="26"/>
          <w:szCs w:val="26"/>
        </w:rPr>
        <w:t>,</w:t>
      </w:r>
      <w:r w:rsidR="00E1187A" w:rsidRPr="00E1187A">
        <w:rPr>
          <w:sz w:val="26"/>
          <w:szCs w:val="26"/>
        </w:rPr>
        <w:t xml:space="preserve"> </w:t>
      </w:r>
      <w:r w:rsidR="004A6232">
        <w:rPr>
          <w:sz w:val="26"/>
          <w:szCs w:val="26"/>
        </w:rPr>
        <w:t xml:space="preserve">PECO transferred </w:t>
      </w:r>
      <w:r w:rsidR="00C55324">
        <w:rPr>
          <w:sz w:val="26"/>
          <w:szCs w:val="26"/>
        </w:rPr>
        <w:t>the tenant’s</w:t>
      </w:r>
      <w:r w:rsidR="005E72EC">
        <w:rPr>
          <w:sz w:val="26"/>
          <w:szCs w:val="26"/>
        </w:rPr>
        <w:t xml:space="preserve"> outstanding </w:t>
      </w:r>
      <w:r w:rsidR="0066175C">
        <w:rPr>
          <w:sz w:val="26"/>
          <w:szCs w:val="26"/>
        </w:rPr>
        <w:t>account balance of</w:t>
      </w:r>
      <w:r w:rsidR="00E1187A" w:rsidRPr="00E1187A">
        <w:rPr>
          <w:sz w:val="26"/>
          <w:szCs w:val="26"/>
        </w:rPr>
        <w:t xml:space="preserve"> $</w:t>
      </w:r>
      <w:r w:rsidR="00AC4FC2">
        <w:rPr>
          <w:sz w:val="26"/>
          <w:szCs w:val="26"/>
        </w:rPr>
        <w:t>5,439.05</w:t>
      </w:r>
      <w:r w:rsidR="0066175C">
        <w:rPr>
          <w:sz w:val="26"/>
          <w:szCs w:val="26"/>
        </w:rPr>
        <w:t xml:space="preserve"> to the </w:t>
      </w:r>
      <w:r w:rsidR="00544EBF">
        <w:rPr>
          <w:sz w:val="26"/>
          <w:szCs w:val="26"/>
        </w:rPr>
        <w:t>account established in the Complainant’s name</w:t>
      </w:r>
      <w:r w:rsidR="00E1187A">
        <w:rPr>
          <w:sz w:val="26"/>
          <w:szCs w:val="26"/>
        </w:rPr>
        <w:t xml:space="preserve">.  However, </w:t>
      </w:r>
      <w:r w:rsidR="00E1187A" w:rsidRPr="00E1187A">
        <w:rPr>
          <w:sz w:val="26"/>
          <w:szCs w:val="26"/>
        </w:rPr>
        <w:t>PECO</w:t>
      </w:r>
      <w:r w:rsidR="00E1187A">
        <w:rPr>
          <w:sz w:val="26"/>
          <w:szCs w:val="26"/>
        </w:rPr>
        <w:t xml:space="preserve"> denied that its actions </w:t>
      </w:r>
      <w:r w:rsidR="00E1187A" w:rsidRPr="00242FE6">
        <w:rPr>
          <w:sz w:val="26"/>
          <w:szCs w:val="26"/>
        </w:rPr>
        <w:t xml:space="preserve">constituted incorrect charges on the Complainant’s bill.  In this regard, PECO </w:t>
      </w:r>
      <w:r w:rsidR="00242FE6" w:rsidRPr="00242FE6">
        <w:rPr>
          <w:sz w:val="26"/>
          <w:szCs w:val="26"/>
        </w:rPr>
        <w:t>asserted that</w:t>
      </w:r>
      <w:r w:rsidR="00E1187A" w:rsidRPr="00242FE6">
        <w:rPr>
          <w:sz w:val="26"/>
          <w:szCs w:val="26"/>
        </w:rPr>
        <w:t xml:space="preserve"> </w:t>
      </w:r>
      <w:r w:rsidRPr="00242FE6">
        <w:rPr>
          <w:sz w:val="26"/>
          <w:szCs w:val="26"/>
        </w:rPr>
        <w:t xml:space="preserve">pursuant to the Pennsylvania Public Utility Code (Code) at 66 Pa. C.S. §§ 1529.1 (a) and (c), and Pennsylvania case law interpreting this provision, public utilities are required to list the account, including any arrearages, in the name of the </w:t>
      </w:r>
      <w:r w:rsidR="00C55324">
        <w:rPr>
          <w:sz w:val="26"/>
          <w:szCs w:val="26"/>
        </w:rPr>
        <w:t>property owner</w:t>
      </w:r>
      <w:r w:rsidR="00DD35FA" w:rsidRPr="00242FE6">
        <w:rPr>
          <w:sz w:val="26"/>
          <w:szCs w:val="26"/>
        </w:rPr>
        <w:t xml:space="preserve"> if</w:t>
      </w:r>
      <w:r w:rsidRPr="00242FE6">
        <w:rPr>
          <w:sz w:val="26"/>
          <w:szCs w:val="26"/>
        </w:rPr>
        <w:t xml:space="preserve"> </w:t>
      </w:r>
      <w:r w:rsidR="001F162B" w:rsidRPr="00242FE6">
        <w:rPr>
          <w:sz w:val="26"/>
          <w:szCs w:val="26"/>
        </w:rPr>
        <w:t xml:space="preserve">the presence of foreign load </w:t>
      </w:r>
      <w:r w:rsidR="00E96794" w:rsidRPr="00242FE6">
        <w:rPr>
          <w:sz w:val="26"/>
          <w:szCs w:val="26"/>
        </w:rPr>
        <w:t>is found at the property owner’s premises.</w:t>
      </w:r>
      <w:r w:rsidRPr="00242FE6">
        <w:rPr>
          <w:sz w:val="26"/>
          <w:szCs w:val="26"/>
        </w:rPr>
        <w:t xml:space="preserve"> </w:t>
      </w:r>
      <w:r w:rsidR="00974423" w:rsidRPr="00242FE6">
        <w:rPr>
          <w:sz w:val="26"/>
          <w:szCs w:val="26"/>
        </w:rPr>
        <w:t xml:space="preserve"> </w:t>
      </w:r>
      <w:r w:rsidR="00242FE6" w:rsidRPr="00242FE6">
        <w:rPr>
          <w:sz w:val="26"/>
          <w:szCs w:val="26"/>
        </w:rPr>
        <w:t xml:space="preserve">Answer at 1-3.  </w:t>
      </w:r>
      <w:r w:rsidR="00242FE6">
        <w:rPr>
          <w:sz w:val="26"/>
          <w:szCs w:val="26"/>
        </w:rPr>
        <w:t xml:space="preserve">In its Preliminary Objections, </w:t>
      </w:r>
      <w:r w:rsidR="00081322">
        <w:rPr>
          <w:sz w:val="26"/>
          <w:szCs w:val="26"/>
        </w:rPr>
        <w:t xml:space="preserve">PECO argued that consistent with this Commission precedent, there are no genuine issues of </w:t>
      </w:r>
      <w:r w:rsidR="00081322" w:rsidRPr="00081322">
        <w:rPr>
          <w:sz w:val="26"/>
          <w:szCs w:val="26"/>
        </w:rPr>
        <w:t xml:space="preserve">fact.  </w:t>
      </w:r>
      <w:r w:rsidR="00974423" w:rsidRPr="00081322">
        <w:rPr>
          <w:sz w:val="26"/>
          <w:szCs w:val="26"/>
        </w:rPr>
        <w:t xml:space="preserve">Therefore, PECO sought dismissal of the Complaint </w:t>
      </w:r>
      <w:r w:rsidR="009036EF" w:rsidRPr="00081322">
        <w:rPr>
          <w:sz w:val="26"/>
          <w:szCs w:val="26"/>
        </w:rPr>
        <w:t>based on</w:t>
      </w:r>
      <w:r w:rsidR="00974423" w:rsidRPr="00081322">
        <w:rPr>
          <w:sz w:val="26"/>
          <w:szCs w:val="26"/>
        </w:rPr>
        <w:t xml:space="preserve"> legal insufficiency</w:t>
      </w:r>
      <w:r w:rsidR="00817781">
        <w:rPr>
          <w:sz w:val="26"/>
          <w:szCs w:val="26"/>
        </w:rPr>
        <w:t xml:space="preserve"> pursuant to </w:t>
      </w:r>
      <w:r w:rsidR="00817781" w:rsidRPr="00D44CCD">
        <w:rPr>
          <w:sz w:val="26"/>
          <w:szCs w:val="26"/>
        </w:rPr>
        <w:t>52 Pa. Code § 5.101(a)(4)</w:t>
      </w:r>
      <w:r w:rsidR="00974423" w:rsidRPr="00081322">
        <w:rPr>
          <w:sz w:val="26"/>
          <w:szCs w:val="26"/>
        </w:rPr>
        <w:t xml:space="preserve">.  Preliminary Objections at </w:t>
      </w:r>
      <w:r w:rsidR="00511C9F">
        <w:rPr>
          <w:sz w:val="26"/>
          <w:szCs w:val="26"/>
        </w:rPr>
        <w:t>2</w:t>
      </w:r>
      <w:r w:rsidR="00974423" w:rsidRPr="00081322">
        <w:rPr>
          <w:sz w:val="26"/>
          <w:szCs w:val="26"/>
        </w:rPr>
        <w:t>-7.</w:t>
      </w:r>
      <w:r w:rsidR="00081322">
        <w:rPr>
          <w:sz w:val="26"/>
          <w:szCs w:val="26"/>
        </w:rPr>
        <w:t xml:space="preserve">  </w:t>
      </w:r>
    </w:p>
    <w:p w14:paraId="053D5C8A" w14:textId="77777777" w:rsidR="0030259A" w:rsidRDefault="0030259A" w:rsidP="009F0FBD">
      <w:pPr>
        <w:spacing w:line="360" w:lineRule="auto"/>
        <w:ind w:firstLine="1440"/>
        <w:contextualSpacing/>
        <w:rPr>
          <w:sz w:val="26"/>
          <w:szCs w:val="26"/>
        </w:rPr>
      </w:pPr>
    </w:p>
    <w:p w14:paraId="544F2C05" w14:textId="08DC4485" w:rsidR="00713192" w:rsidRDefault="00CC379A" w:rsidP="009F0FBD">
      <w:pPr>
        <w:spacing w:line="360" w:lineRule="auto"/>
        <w:ind w:firstLine="1440"/>
        <w:contextualSpacing/>
        <w:rPr>
          <w:sz w:val="26"/>
          <w:szCs w:val="26"/>
        </w:rPr>
      </w:pPr>
      <w:r>
        <w:rPr>
          <w:sz w:val="26"/>
          <w:szCs w:val="26"/>
        </w:rPr>
        <w:lastRenderedPageBreak/>
        <w:t xml:space="preserve">On </w:t>
      </w:r>
      <w:r w:rsidR="00AB1494">
        <w:rPr>
          <w:sz w:val="26"/>
          <w:szCs w:val="26"/>
        </w:rPr>
        <w:t>May 2</w:t>
      </w:r>
      <w:r>
        <w:rPr>
          <w:sz w:val="26"/>
          <w:szCs w:val="26"/>
        </w:rPr>
        <w:t xml:space="preserve">, 2017, </w:t>
      </w:r>
      <w:r w:rsidR="0085198F">
        <w:rPr>
          <w:sz w:val="26"/>
          <w:szCs w:val="26"/>
        </w:rPr>
        <w:t>the</w:t>
      </w:r>
      <w:r>
        <w:rPr>
          <w:sz w:val="26"/>
          <w:szCs w:val="26"/>
        </w:rPr>
        <w:t xml:space="preserve"> </w:t>
      </w:r>
      <w:r w:rsidR="00BA455E">
        <w:rPr>
          <w:sz w:val="26"/>
          <w:szCs w:val="26"/>
        </w:rPr>
        <w:t>Commission received a letter</w:t>
      </w:r>
      <w:r w:rsidR="00734B77" w:rsidRPr="00734B77">
        <w:rPr>
          <w:sz w:val="26"/>
          <w:szCs w:val="26"/>
        </w:rPr>
        <w:t xml:space="preserve"> </w:t>
      </w:r>
      <w:r w:rsidR="0019267B">
        <w:rPr>
          <w:sz w:val="26"/>
          <w:szCs w:val="26"/>
        </w:rPr>
        <w:t>(Letter)</w:t>
      </w:r>
      <w:r w:rsidR="00EC5D20">
        <w:rPr>
          <w:sz w:val="26"/>
          <w:szCs w:val="26"/>
        </w:rPr>
        <w:t>.  The Letter</w:t>
      </w:r>
      <w:r w:rsidR="00586FCD">
        <w:rPr>
          <w:sz w:val="26"/>
          <w:szCs w:val="26"/>
        </w:rPr>
        <w:t xml:space="preserve"> was dated April 19, 2017, and docketed by the Secretary’s Bureau as having been </w:t>
      </w:r>
      <w:r w:rsidR="00C74776">
        <w:rPr>
          <w:sz w:val="26"/>
          <w:szCs w:val="26"/>
        </w:rPr>
        <w:t xml:space="preserve">received by the Commission </w:t>
      </w:r>
      <w:r w:rsidR="00586FCD">
        <w:rPr>
          <w:sz w:val="26"/>
          <w:szCs w:val="26"/>
        </w:rPr>
        <w:t>on May 2, 2017</w:t>
      </w:r>
      <w:r>
        <w:rPr>
          <w:sz w:val="26"/>
          <w:szCs w:val="26"/>
        </w:rPr>
        <w:t>.</w:t>
      </w:r>
      <w:r w:rsidR="0085198F">
        <w:rPr>
          <w:rStyle w:val="FootnoteReference"/>
          <w:sz w:val="26"/>
          <w:szCs w:val="26"/>
        </w:rPr>
        <w:footnoteReference w:id="6"/>
      </w:r>
      <w:r>
        <w:rPr>
          <w:sz w:val="26"/>
          <w:szCs w:val="26"/>
        </w:rPr>
        <w:t xml:space="preserve">  </w:t>
      </w:r>
    </w:p>
    <w:p w14:paraId="48F0AB04" w14:textId="77777777" w:rsidR="00CC379A" w:rsidRPr="00081322" w:rsidRDefault="00CC379A" w:rsidP="009F0FBD">
      <w:pPr>
        <w:spacing w:line="360" w:lineRule="auto"/>
        <w:ind w:firstLine="1440"/>
        <w:contextualSpacing/>
        <w:rPr>
          <w:sz w:val="26"/>
          <w:szCs w:val="26"/>
        </w:rPr>
      </w:pPr>
    </w:p>
    <w:p w14:paraId="7C588C10" w14:textId="17920A0F" w:rsidR="00713192" w:rsidRPr="00081322" w:rsidRDefault="00713192" w:rsidP="009F0FBD">
      <w:pPr>
        <w:spacing w:line="360" w:lineRule="auto"/>
        <w:ind w:firstLine="1440"/>
        <w:contextualSpacing/>
        <w:rPr>
          <w:sz w:val="26"/>
          <w:szCs w:val="26"/>
        </w:rPr>
      </w:pPr>
      <w:r w:rsidRPr="00081322">
        <w:rPr>
          <w:sz w:val="26"/>
          <w:szCs w:val="26"/>
        </w:rPr>
        <w:t xml:space="preserve">On </w:t>
      </w:r>
      <w:r w:rsidR="001E307A">
        <w:rPr>
          <w:sz w:val="26"/>
          <w:szCs w:val="26"/>
        </w:rPr>
        <w:t>June 12, 2017</w:t>
      </w:r>
      <w:r w:rsidRPr="00081322">
        <w:rPr>
          <w:sz w:val="26"/>
          <w:szCs w:val="26"/>
        </w:rPr>
        <w:t xml:space="preserve">, the Commission </w:t>
      </w:r>
      <w:r w:rsidR="0022665D">
        <w:rPr>
          <w:sz w:val="26"/>
          <w:szCs w:val="26"/>
        </w:rPr>
        <w:t xml:space="preserve">served on the Parties </w:t>
      </w:r>
      <w:r w:rsidR="00081322" w:rsidRPr="00081322">
        <w:rPr>
          <w:sz w:val="26"/>
          <w:szCs w:val="26"/>
        </w:rPr>
        <w:t>the</w:t>
      </w:r>
      <w:r w:rsidRPr="00081322">
        <w:rPr>
          <w:sz w:val="26"/>
          <w:szCs w:val="26"/>
        </w:rPr>
        <w:t xml:space="preserve"> I</w:t>
      </w:r>
      <w:r w:rsidR="00BA455E">
        <w:rPr>
          <w:sz w:val="26"/>
          <w:szCs w:val="26"/>
        </w:rPr>
        <w:t>.</w:t>
      </w:r>
      <w:r w:rsidRPr="00081322">
        <w:rPr>
          <w:sz w:val="26"/>
          <w:szCs w:val="26"/>
        </w:rPr>
        <w:t>D</w:t>
      </w:r>
      <w:r w:rsidR="00BA455E">
        <w:rPr>
          <w:sz w:val="26"/>
          <w:szCs w:val="26"/>
        </w:rPr>
        <w:t>.</w:t>
      </w:r>
      <w:r w:rsidRPr="00081322">
        <w:rPr>
          <w:sz w:val="26"/>
          <w:szCs w:val="26"/>
        </w:rPr>
        <w:t xml:space="preserve"> </w:t>
      </w:r>
      <w:r w:rsidR="00081322" w:rsidRPr="00081322">
        <w:rPr>
          <w:sz w:val="26"/>
          <w:szCs w:val="26"/>
        </w:rPr>
        <w:t xml:space="preserve">of ALJ </w:t>
      </w:r>
      <w:r w:rsidR="001E307A">
        <w:rPr>
          <w:sz w:val="26"/>
          <w:szCs w:val="26"/>
        </w:rPr>
        <w:t>Salapa</w:t>
      </w:r>
      <w:r w:rsidR="00656A77">
        <w:rPr>
          <w:sz w:val="26"/>
          <w:szCs w:val="26"/>
        </w:rPr>
        <w:t>,</w:t>
      </w:r>
      <w:r w:rsidRPr="00081322">
        <w:rPr>
          <w:sz w:val="26"/>
          <w:szCs w:val="26"/>
        </w:rPr>
        <w:t xml:space="preserve"> which granted PECO’s Preliminary Objections and dismissed the Complaint.</w:t>
      </w:r>
      <w:r w:rsidR="00571DA5">
        <w:rPr>
          <w:sz w:val="26"/>
          <w:szCs w:val="26"/>
        </w:rPr>
        <w:t xml:space="preserve">  </w:t>
      </w:r>
    </w:p>
    <w:p w14:paraId="6C023041" w14:textId="77777777" w:rsidR="00713192" w:rsidRPr="007B2448" w:rsidRDefault="00713192" w:rsidP="009F0FBD">
      <w:pPr>
        <w:spacing w:line="360" w:lineRule="auto"/>
        <w:ind w:firstLine="1440"/>
        <w:contextualSpacing/>
        <w:rPr>
          <w:sz w:val="26"/>
          <w:szCs w:val="26"/>
        </w:rPr>
      </w:pPr>
    </w:p>
    <w:p w14:paraId="0C290DBF" w14:textId="58988F14" w:rsidR="008F2510" w:rsidRPr="00CD09D8" w:rsidRDefault="00713192" w:rsidP="00CD09D8">
      <w:pPr>
        <w:spacing w:line="360" w:lineRule="auto"/>
        <w:ind w:firstLine="1440"/>
        <w:contextualSpacing/>
        <w:rPr>
          <w:sz w:val="26"/>
          <w:szCs w:val="26"/>
        </w:rPr>
      </w:pPr>
      <w:r w:rsidRPr="00081322">
        <w:rPr>
          <w:sz w:val="26"/>
          <w:szCs w:val="26"/>
        </w:rPr>
        <w:t>As previously noted, the Complainant filed Exceptions to the I</w:t>
      </w:r>
      <w:r w:rsidR="0005264D">
        <w:rPr>
          <w:sz w:val="26"/>
          <w:szCs w:val="26"/>
        </w:rPr>
        <w:t>.</w:t>
      </w:r>
      <w:r w:rsidRPr="00081322">
        <w:rPr>
          <w:sz w:val="26"/>
          <w:szCs w:val="26"/>
        </w:rPr>
        <w:t>D</w:t>
      </w:r>
      <w:r w:rsidR="0005264D">
        <w:rPr>
          <w:sz w:val="26"/>
          <w:szCs w:val="26"/>
        </w:rPr>
        <w:t>.</w:t>
      </w:r>
      <w:r w:rsidRPr="00081322">
        <w:rPr>
          <w:sz w:val="26"/>
          <w:szCs w:val="26"/>
        </w:rPr>
        <w:t xml:space="preserve"> on </w:t>
      </w:r>
      <w:r w:rsidR="001E307A">
        <w:rPr>
          <w:sz w:val="26"/>
          <w:szCs w:val="26"/>
        </w:rPr>
        <w:t>July 3, 2017</w:t>
      </w:r>
      <w:r w:rsidR="00A36246">
        <w:rPr>
          <w:sz w:val="26"/>
          <w:szCs w:val="26"/>
        </w:rPr>
        <w:t>.  PECO filed Replies to</w:t>
      </w:r>
      <w:r w:rsidRPr="00081322">
        <w:rPr>
          <w:sz w:val="26"/>
          <w:szCs w:val="26"/>
        </w:rPr>
        <w:t xml:space="preserve"> Exceptions on </w:t>
      </w:r>
      <w:r w:rsidR="001E307A">
        <w:rPr>
          <w:sz w:val="26"/>
          <w:szCs w:val="26"/>
        </w:rPr>
        <w:t>August 9, 2018</w:t>
      </w:r>
      <w:r w:rsidRPr="00081322">
        <w:rPr>
          <w:sz w:val="26"/>
          <w:szCs w:val="26"/>
        </w:rPr>
        <w:t>.</w:t>
      </w:r>
      <w:r w:rsidR="001B6B0D">
        <w:rPr>
          <w:rStyle w:val="FootnoteReference"/>
          <w:sz w:val="26"/>
          <w:szCs w:val="26"/>
        </w:rPr>
        <w:footnoteReference w:id="7"/>
      </w:r>
    </w:p>
    <w:p w14:paraId="531A4785" w14:textId="77777777" w:rsidR="009108BF" w:rsidRDefault="009108BF" w:rsidP="009F0FBD">
      <w:pPr>
        <w:spacing w:line="360" w:lineRule="auto"/>
        <w:contextualSpacing/>
        <w:jc w:val="center"/>
        <w:rPr>
          <w:b/>
          <w:sz w:val="26"/>
          <w:szCs w:val="26"/>
        </w:rPr>
      </w:pPr>
    </w:p>
    <w:p w14:paraId="1E011947" w14:textId="323FC2A0" w:rsidR="00CA43A5" w:rsidRPr="008F78A8" w:rsidRDefault="00CA43A5" w:rsidP="00D07678">
      <w:pPr>
        <w:keepNext/>
        <w:keepLines/>
        <w:spacing w:after="0" w:line="360" w:lineRule="auto"/>
        <w:jc w:val="center"/>
        <w:rPr>
          <w:b/>
          <w:sz w:val="26"/>
          <w:szCs w:val="26"/>
        </w:rPr>
      </w:pPr>
      <w:r w:rsidRPr="008F78A8">
        <w:rPr>
          <w:b/>
          <w:sz w:val="26"/>
          <w:szCs w:val="26"/>
        </w:rPr>
        <w:t>Discussion</w:t>
      </w:r>
    </w:p>
    <w:p w14:paraId="2B3377CF" w14:textId="77777777" w:rsidR="000D5232" w:rsidRPr="008F78A8" w:rsidRDefault="000D5232" w:rsidP="00D07678">
      <w:pPr>
        <w:keepNext/>
        <w:keepLines/>
        <w:spacing w:after="0" w:line="360" w:lineRule="auto"/>
        <w:jc w:val="center"/>
        <w:rPr>
          <w:sz w:val="26"/>
          <w:szCs w:val="26"/>
        </w:rPr>
      </w:pPr>
    </w:p>
    <w:p w14:paraId="708810D2" w14:textId="77777777" w:rsidR="0043592C" w:rsidRPr="008F78A8" w:rsidRDefault="000D5232" w:rsidP="00D07678">
      <w:pPr>
        <w:keepNext/>
        <w:keepLines/>
        <w:spacing w:after="0" w:line="360" w:lineRule="auto"/>
        <w:rPr>
          <w:b/>
          <w:sz w:val="26"/>
          <w:szCs w:val="26"/>
        </w:rPr>
      </w:pPr>
      <w:r w:rsidRPr="008F78A8">
        <w:rPr>
          <w:b/>
          <w:sz w:val="26"/>
          <w:szCs w:val="26"/>
        </w:rPr>
        <w:t>Legal Standards</w:t>
      </w:r>
    </w:p>
    <w:p w14:paraId="0C80D4BA" w14:textId="77777777" w:rsidR="00CD09D8" w:rsidRPr="008F78A8" w:rsidRDefault="00CD09D8" w:rsidP="00D07678">
      <w:pPr>
        <w:keepNext/>
        <w:keepLines/>
        <w:spacing w:after="0" w:line="360" w:lineRule="auto"/>
        <w:contextualSpacing/>
        <w:rPr>
          <w:sz w:val="26"/>
          <w:szCs w:val="26"/>
        </w:rPr>
      </w:pPr>
    </w:p>
    <w:p w14:paraId="4F8B8040" w14:textId="77777777" w:rsidR="004C7B3D" w:rsidRDefault="004C7B3D" w:rsidP="00E01B86">
      <w:pPr>
        <w:spacing w:line="360" w:lineRule="auto"/>
        <w:ind w:firstLine="1440"/>
        <w:contextualSpacing/>
        <w:rPr>
          <w:sz w:val="26"/>
          <w:szCs w:val="26"/>
        </w:rPr>
      </w:pPr>
      <w:r w:rsidRPr="00241BE3">
        <w:rPr>
          <w:sz w:val="26"/>
          <w:szCs w:val="26"/>
        </w:rPr>
        <w:t>The Commission's Rules of Administrative Practice and Procedure permit the filing of preliminary objections, as follows:</w:t>
      </w:r>
    </w:p>
    <w:p w14:paraId="35C3E4BA" w14:textId="77777777" w:rsidR="00E01B86" w:rsidRDefault="00E01B86" w:rsidP="00E01B86">
      <w:pPr>
        <w:spacing w:line="360" w:lineRule="auto"/>
        <w:ind w:firstLine="1440"/>
        <w:contextualSpacing/>
        <w:rPr>
          <w:sz w:val="26"/>
          <w:szCs w:val="26"/>
        </w:rPr>
      </w:pPr>
    </w:p>
    <w:p w14:paraId="372A865E" w14:textId="77777777" w:rsidR="009F0FBD" w:rsidRDefault="004C7B3D" w:rsidP="009F0FBD">
      <w:pPr>
        <w:keepNext/>
        <w:ind w:left="1440" w:right="1440"/>
        <w:contextualSpacing/>
        <w:rPr>
          <w:rFonts w:eastAsiaTheme="minorHAnsi"/>
          <w:b/>
          <w:bCs/>
          <w:sz w:val="26"/>
          <w:szCs w:val="26"/>
        </w:rPr>
      </w:pPr>
      <w:r w:rsidRPr="00241BE3">
        <w:rPr>
          <w:rFonts w:eastAsiaTheme="minorHAnsi"/>
          <w:b/>
          <w:bCs/>
          <w:sz w:val="26"/>
          <w:szCs w:val="26"/>
        </w:rPr>
        <w:t>§ 5.101. Preliminary objections.</w:t>
      </w:r>
    </w:p>
    <w:p w14:paraId="757192F8" w14:textId="77777777" w:rsidR="009F0FBD" w:rsidRDefault="009F0FBD" w:rsidP="009F0FBD">
      <w:pPr>
        <w:keepNext/>
        <w:ind w:left="1440" w:right="1440"/>
        <w:contextualSpacing/>
        <w:rPr>
          <w:rFonts w:eastAsiaTheme="minorHAnsi"/>
          <w:sz w:val="26"/>
          <w:szCs w:val="26"/>
        </w:rPr>
      </w:pPr>
    </w:p>
    <w:p w14:paraId="21203798" w14:textId="77777777" w:rsidR="009F0FBD" w:rsidRDefault="004C7B3D" w:rsidP="009F0FBD">
      <w:pPr>
        <w:keepNext/>
        <w:ind w:left="1440" w:right="1440"/>
        <w:contextualSpacing/>
        <w:rPr>
          <w:rFonts w:eastAsiaTheme="minorHAnsi"/>
          <w:sz w:val="26"/>
          <w:szCs w:val="26"/>
        </w:rPr>
      </w:pPr>
      <w:r w:rsidRPr="00241BE3">
        <w:rPr>
          <w:rFonts w:eastAsiaTheme="minorHAnsi"/>
          <w:sz w:val="26"/>
          <w:szCs w:val="26"/>
        </w:rPr>
        <w:t xml:space="preserve">(a) </w:t>
      </w:r>
      <w:r w:rsidRPr="00241BE3">
        <w:rPr>
          <w:rFonts w:eastAsiaTheme="minorHAnsi"/>
          <w:i/>
          <w:iCs/>
          <w:sz w:val="26"/>
          <w:szCs w:val="26"/>
        </w:rPr>
        <w:t>Grounds.</w:t>
      </w:r>
      <w:r w:rsidRPr="00241BE3">
        <w:rPr>
          <w:rFonts w:eastAsiaTheme="minorHAnsi"/>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w:t>
      </w:r>
      <w:r w:rsidRPr="00241BE3">
        <w:rPr>
          <w:rFonts w:eastAsiaTheme="minorHAnsi"/>
          <w:sz w:val="26"/>
          <w:szCs w:val="26"/>
        </w:rPr>
        <w:lastRenderedPageBreak/>
        <w:t>legal and factual grounds relied upon and be limited to the following:</w:t>
      </w:r>
    </w:p>
    <w:p w14:paraId="6C0193AA" w14:textId="065F2B45" w:rsidR="009F0FBD" w:rsidRDefault="00326FCA" w:rsidP="00D07678">
      <w:pPr>
        <w:ind w:left="1440" w:right="1440"/>
        <w:contextualSpacing/>
        <w:jc w:val="center"/>
        <w:rPr>
          <w:rFonts w:eastAsiaTheme="minorHAnsi"/>
          <w:sz w:val="26"/>
          <w:szCs w:val="26"/>
        </w:rPr>
      </w:pPr>
      <w:r>
        <w:rPr>
          <w:rFonts w:eastAsiaTheme="minorHAnsi"/>
          <w:sz w:val="26"/>
          <w:szCs w:val="26"/>
        </w:rPr>
        <w:t>***</w:t>
      </w:r>
    </w:p>
    <w:p w14:paraId="42C01326" w14:textId="77777777" w:rsidR="009F0FBD" w:rsidRDefault="009F0FBD" w:rsidP="009F0FBD">
      <w:pPr>
        <w:ind w:left="1440" w:right="1440"/>
        <w:contextualSpacing/>
        <w:rPr>
          <w:rFonts w:eastAsiaTheme="minorHAnsi"/>
          <w:sz w:val="26"/>
          <w:szCs w:val="26"/>
        </w:rPr>
      </w:pPr>
    </w:p>
    <w:p w14:paraId="5DAB7A0F" w14:textId="15780DDD" w:rsidR="009F0FBD" w:rsidRDefault="004C7B3D" w:rsidP="009F0FBD">
      <w:pPr>
        <w:ind w:left="1440" w:right="1440"/>
        <w:contextualSpacing/>
        <w:rPr>
          <w:rFonts w:eastAsiaTheme="minorHAnsi"/>
          <w:sz w:val="26"/>
          <w:szCs w:val="26"/>
        </w:rPr>
      </w:pPr>
      <w:r w:rsidRPr="00241BE3">
        <w:rPr>
          <w:rFonts w:eastAsiaTheme="minorHAnsi"/>
          <w:sz w:val="26"/>
          <w:szCs w:val="26"/>
        </w:rPr>
        <w:t>(4) Legal insufficiency of a pleading.</w:t>
      </w:r>
    </w:p>
    <w:p w14:paraId="41E2F42E" w14:textId="77777777" w:rsidR="00E01B86" w:rsidRDefault="00E01B86" w:rsidP="002834FC">
      <w:pPr>
        <w:keepNext/>
        <w:keepLines/>
        <w:spacing w:after="0" w:line="360" w:lineRule="auto"/>
        <w:ind w:right="1440"/>
        <w:contextualSpacing/>
        <w:rPr>
          <w:rFonts w:eastAsiaTheme="minorHAnsi"/>
          <w:sz w:val="26"/>
          <w:szCs w:val="26"/>
        </w:rPr>
      </w:pPr>
    </w:p>
    <w:p w14:paraId="1208DF7D" w14:textId="6CA85561" w:rsidR="00F431A8" w:rsidRDefault="004C7B3D" w:rsidP="009F0FBD">
      <w:pPr>
        <w:spacing w:line="360" w:lineRule="auto"/>
        <w:contextualSpacing/>
        <w:rPr>
          <w:sz w:val="26"/>
          <w:szCs w:val="26"/>
        </w:rPr>
      </w:pPr>
      <w:r w:rsidRPr="00241BE3">
        <w:rPr>
          <w:sz w:val="26"/>
          <w:szCs w:val="26"/>
        </w:rPr>
        <w:t>52 Pa.</w:t>
      </w:r>
      <w:r>
        <w:rPr>
          <w:sz w:val="26"/>
          <w:szCs w:val="26"/>
        </w:rPr>
        <w:t xml:space="preserve"> </w:t>
      </w:r>
      <w:r w:rsidRPr="00241BE3">
        <w:rPr>
          <w:sz w:val="26"/>
          <w:szCs w:val="26"/>
        </w:rPr>
        <w:t>Code § 5.101</w:t>
      </w:r>
      <w:r w:rsidR="00326FCA">
        <w:rPr>
          <w:sz w:val="26"/>
          <w:szCs w:val="26"/>
        </w:rPr>
        <w:t>(a)</w:t>
      </w:r>
      <w:r w:rsidRPr="00241BE3">
        <w:rPr>
          <w:sz w:val="26"/>
          <w:szCs w:val="26"/>
        </w:rPr>
        <w:t xml:space="preserve">.  </w:t>
      </w:r>
      <w:r w:rsidR="00644ED2">
        <w:rPr>
          <w:sz w:val="26"/>
          <w:szCs w:val="26"/>
        </w:rPr>
        <w:t>Answers to preliminary objections are due within ten days of date of service.  52 Pa. Code §§ 5.61(a)(2), 5.101(f)(1).</w:t>
      </w:r>
    </w:p>
    <w:p w14:paraId="2CC2FDCE" w14:textId="77777777" w:rsidR="00F431A8" w:rsidRDefault="00F431A8" w:rsidP="009F0FBD">
      <w:pPr>
        <w:spacing w:line="360" w:lineRule="auto"/>
        <w:contextualSpacing/>
        <w:rPr>
          <w:sz w:val="26"/>
          <w:szCs w:val="26"/>
        </w:rPr>
      </w:pPr>
    </w:p>
    <w:p w14:paraId="44D3A706" w14:textId="0DDE95D8" w:rsidR="004C7B3D" w:rsidRPr="00241BE3" w:rsidRDefault="00F431A8" w:rsidP="00F431A8">
      <w:pPr>
        <w:tabs>
          <w:tab w:val="left" w:pos="-720"/>
        </w:tabs>
        <w:suppressAutoHyphens/>
        <w:spacing w:line="360" w:lineRule="auto"/>
        <w:ind w:firstLine="1440"/>
        <w:contextualSpacing/>
        <w:rPr>
          <w:sz w:val="26"/>
          <w:szCs w:val="26"/>
        </w:rPr>
      </w:pPr>
      <w:r w:rsidRPr="00F431A8">
        <w:rPr>
          <w:sz w:val="26"/>
          <w:szCs w:val="26"/>
        </w:rPr>
        <w:t xml:space="preserve">The Commission’s preliminary objection practice is analogous to Pennsylvania civil practice regarding preliminary objections.  </w:t>
      </w:r>
      <w:r w:rsidRPr="00F431A8">
        <w:rPr>
          <w:i/>
          <w:sz w:val="26"/>
          <w:szCs w:val="26"/>
        </w:rPr>
        <w:t>Equitable Small Transportation Intervenors v. Equitable Gas Company</w:t>
      </w:r>
      <w:r w:rsidRPr="00F431A8">
        <w:rPr>
          <w:sz w:val="26"/>
          <w:szCs w:val="26"/>
        </w:rPr>
        <w:t xml:space="preserve">, 1994 Pa PUC LEXIS 69, Docket No. C-00935435 (July 18, 1994).  Preliminary objections in civil practice requesting dismissal of a pleading will be granted only where the right to relief is clearly warranted and free from doubt.  </w:t>
      </w:r>
      <w:r w:rsidRPr="00F431A8">
        <w:rPr>
          <w:i/>
          <w:sz w:val="26"/>
          <w:szCs w:val="26"/>
        </w:rPr>
        <w:t>Interstate Traveller Services, Inc. v. Pa. Dept. of Environment Resources</w:t>
      </w:r>
      <w:r w:rsidRPr="00F431A8">
        <w:rPr>
          <w:sz w:val="26"/>
          <w:szCs w:val="26"/>
        </w:rPr>
        <w:t xml:space="preserve">, 406 A.2d 1020 (Pa. 1979); </w:t>
      </w:r>
      <w:r w:rsidRPr="00F431A8">
        <w:rPr>
          <w:i/>
          <w:sz w:val="26"/>
          <w:szCs w:val="26"/>
        </w:rPr>
        <w:t>Rivera v. Philadelphia Theological Seminary of St. Charles Borromeo, Inc</w:t>
      </w:r>
      <w:r w:rsidRPr="00F431A8">
        <w:rPr>
          <w:sz w:val="26"/>
          <w:szCs w:val="26"/>
        </w:rPr>
        <w:t xml:space="preserve">., 595 A.2d 172 (Pa. Super. 1991).  The Commission follows this standard.  </w:t>
      </w:r>
      <w:r w:rsidRPr="00F431A8">
        <w:rPr>
          <w:i/>
          <w:sz w:val="26"/>
          <w:szCs w:val="26"/>
        </w:rPr>
        <w:t>Montague v. Philadelphia Electric Company</w:t>
      </w:r>
      <w:r w:rsidRPr="00F431A8">
        <w:rPr>
          <w:sz w:val="26"/>
          <w:szCs w:val="26"/>
        </w:rPr>
        <w:t>, 66 Pa. PUC 24 (1988).</w:t>
      </w:r>
    </w:p>
    <w:p w14:paraId="78650450" w14:textId="77777777" w:rsidR="00F431A8" w:rsidRDefault="00F431A8" w:rsidP="009F0FBD">
      <w:pPr>
        <w:tabs>
          <w:tab w:val="left" w:pos="-720"/>
        </w:tabs>
        <w:suppressAutoHyphens/>
        <w:spacing w:line="360" w:lineRule="auto"/>
        <w:ind w:firstLine="1440"/>
        <w:contextualSpacing/>
        <w:rPr>
          <w:sz w:val="26"/>
          <w:szCs w:val="26"/>
        </w:rPr>
      </w:pPr>
    </w:p>
    <w:p w14:paraId="06BB786F" w14:textId="65EF0D6C" w:rsidR="004C7B3D" w:rsidRDefault="004C7B3D" w:rsidP="009F0FBD">
      <w:pPr>
        <w:tabs>
          <w:tab w:val="left" w:pos="-720"/>
        </w:tabs>
        <w:suppressAutoHyphens/>
        <w:spacing w:line="360" w:lineRule="auto"/>
        <w:ind w:firstLine="1440"/>
        <w:contextualSpacing/>
        <w:rPr>
          <w:sz w:val="26"/>
          <w:szCs w:val="26"/>
        </w:rPr>
      </w:pPr>
      <w:r w:rsidRPr="00241BE3">
        <w:rPr>
          <w:sz w:val="26"/>
          <w:szCs w:val="26"/>
        </w:rPr>
        <w:t xml:space="preserve">In </w:t>
      </w:r>
      <w:r w:rsidR="00A6683C">
        <w:rPr>
          <w:sz w:val="26"/>
          <w:szCs w:val="26"/>
        </w:rPr>
        <w:t xml:space="preserve">disposing of </w:t>
      </w:r>
      <w:r w:rsidRPr="00241BE3">
        <w:rPr>
          <w:sz w:val="26"/>
          <w:szCs w:val="26"/>
        </w:rPr>
        <w:t xml:space="preserve">preliminary objections, the Commission may not rely upon the factual assertions of the moving party but must accept as true all well-pleaded, material facts of the nonmoving party as well as every inference from those facts.  </w:t>
      </w:r>
      <w:r w:rsidRPr="00241BE3">
        <w:rPr>
          <w:i/>
          <w:sz w:val="26"/>
          <w:szCs w:val="26"/>
        </w:rPr>
        <w:t>County of Allegheny v. Commonwealth of Pennsylvania</w:t>
      </w:r>
      <w:r w:rsidRPr="00241BE3">
        <w:rPr>
          <w:sz w:val="26"/>
          <w:szCs w:val="26"/>
        </w:rPr>
        <w:t xml:space="preserve">, </w:t>
      </w:r>
      <w:r>
        <w:rPr>
          <w:sz w:val="26"/>
          <w:szCs w:val="26"/>
        </w:rPr>
        <w:t>507 Pa. 360, 490 A.2d 402 (</w:t>
      </w:r>
      <w:r w:rsidRPr="00241BE3">
        <w:rPr>
          <w:sz w:val="26"/>
          <w:szCs w:val="26"/>
        </w:rPr>
        <w:t>1985);</w:t>
      </w:r>
      <w:r w:rsidRPr="00241BE3">
        <w:rPr>
          <w:i/>
          <w:sz w:val="26"/>
          <w:szCs w:val="26"/>
        </w:rPr>
        <w:t xml:space="preserve"> Commonwealth of Pennsylvania v. Bell Telephone Co. of Pa.</w:t>
      </w:r>
      <w:r w:rsidRPr="00241BE3">
        <w:rPr>
          <w:sz w:val="26"/>
          <w:szCs w:val="26"/>
        </w:rPr>
        <w:t>, 551 A.2d 602 (Pa.</w:t>
      </w:r>
      <w:r>
        <w:rPr>
          <w:sz w:val="26"/>
          <w:szCs w:val="26"/>
        </w:rPr>
        <w:t xml:space="preserve"> Cmwlth. 1988).  </w:t>
      </w:r>
      <w:r w:rsidR="00F431A8" w:rsidRPr="00F431A8">
        <w:rPr>
          <w:sz w:val="26"/>
          <w:szCs w:val="26"/>
        </w:rPr>
        <w:t>Thus, the Commission must view a complaint in the light most favorable to the complainant and should dismiss the complaint only if it appears that the complainant would not be entitled to relief under any circumstances as a matter of law.</w:t>
      </w:r>
      <w:r w:rsidR="00D56F2B">
        <w:rPr>
          <w:sz w:val="26"/>
          <w:szCs w:val="26"/>
        </w:rPr>
        <w:t xml:space="preserve">  </w:t>
      </w:r>
      <w:r w:rsidR="00F431A8" w:rsidRPr="00F431A8">
        <w:rPr>
          <w:i/>
          <w:sz w:val="26"/>
          <w:szCs w:val="26"/>
        </w:rPr>
        <w:t>Equitable Small Transportation Intervenors v. Equitable Gas Company</w:t>
      </w:r>
      <w:r w:rsidR="00F431A8" w:rsidRPr="00F431A8">
        <w:rPr>
          <w:sz w:val="26"/>
          <w:szCs w:val="26"/>
        </w:rPr>
        <w:t>, 1994 Pa PUC LEXIS 69, Docket No. C-00935435 (Order entered July 18, 1994).</w:t>
      </w:r>
      <w:r w:rsidR="005B13B5">
        <w:rPr>
          <w:sz w:val="26"/>
          <w:szCs w:val="26"/>
        </w:rPr>
        <w:t xml:space="preserve">  </w:t>
      </w:r>
      <w:r w:rsidR="00543546">
        <w:rPr>
          <w:sz w:val="26"/>
          <w:szCs w:val="26"/>
        </w:rPr>
        <w:t>The Commission must view all</w:t>
      </w:r>
      <w:r w:rsidR="00F431A8" w:rsidRPr="00F431A8">
        <w:rPr>
          <w:sz w:val="26"/>
          <w:szCs w:val="26"/>
        </w:rPr>
        <w:t xml:space="preserve"> well-pleaded facts in the </w:t>
      </w:r>
      <w:r w:rsidR="00252C99">
        <w:rPr>
          <w:sz w:val="26"/>
          <w:szCs w:val="26"/>
        </w:rPr>
        <w:t>c</w:t>
      </w:r>
      <w:r w:rsidR="00F431A8" w:rsidRPr="00F431A8">
        <w:rPr>
          <w:sz w:val="26"/>
          <w:szCs w:val="26"/>
        </w:rPr>
        <w:t xml:space="preserve">omplaint and the </w:t>
      </w:r>
      <w:r w:rsidR="00252C99">
        <w:rPr>
          <w:sz w:val="26"/>
          <w:szCs w:val="26"/>
        </w:rPr>
        <w:t>r</w:t>
      </w:r>
      <w:r w:rsidR="00F431A8" w:rsidRPr="00F431A8">
        <w:rPr>
          <w:sz w:val="26"/>
          <w:szCs w:val="26"/>
        </w:rPr>
        <w:t xml:space="preserve">esponse to </w:t>
      </w:r>
      <w:r w:rsidR="00252C99">
        <w:rPr>
          <w:sz w:val="26"/>
          <w:szCs w:val="26"/>
        </w:rPr>
        <w:t>p</w:t>
      </w:r>
      <w:r w:rsidR="00F431A8" w:rsidRPr="00F431A8">
        <w:rPr>
          <w:sz w:val="26"/>
          <w:szCs w:val="26"/>
        </w:rPr>
        <w:t xml:space="preserve">reliminary </w:t>
      </w:r>
      <w:r w:rsidR="00252C99">
        <w:rPr>
          <w:sz w:val="26"/>
          <w:szCs w:val="26"/>
        </w:rPr>
        <w:t>o</w:t>
      </w:r>
      <w:r w:rsidR="00F431A8" w:rsidRPr="00F431A8">
        <w:rPr>
          <w:sz w:val="26"/>
          <w:szCs w:val="26"/>
        </w:rPr>
        <w:t xml:space="preserve">bjections in order to </w:t>
      </w:r>
      <w:r w:rsidR="00F431A8" w:rsidRPr="00F431A8">
        <w:rPr>
          <w:sz w:val="26"/>
          <w:szCs w:val="26"/>
        </w:rPr>
        <w:lastRenderedPageBreak/>
        <w:t xml:space="preserve">determine whether </w:t>
      </w:r>
      <w:r w:rsidR="00A3261F">
        <w:rPr>
          <w:sz w:val="26"/>
          <w:szCs w:val="26"/>
        </w:rPr>
        <w:t xml:space="preserve">a </w:t>
      </w:r>
      <w:r w:rsidR="00543546">
        <w:rPr>
          <w:sz w:val="26"/>
          <w:szCs w:val="26"/>
        </w:rPr>
        <w:t xml:space="preserve">request </w:t>
      </w:r>
      <w:r w:rsidR="00A3261F">
        <w:rPr>
          <w:sz w:val="26"/>
          <w:szCs w:val="26"/>
        </w:rPr>
        <w:t>for relief</w:t>
      </w:r>
      <w:r w:rsidR="00F431A8" w:rsidRPr="00F431A8">
        <w:rPr>
          <w:sz w:val="26"/>
          <w:szCs w:val="26"/>
        </w:rPr>
        <w:t xml:space="preserve"> is possible.  </w:t>
      </w:r>
      <w:r w:rsidR="00543546" w:rsidRPr="000E4734">
        <w:rPr>
          <w:i/>
          <w:iCs/>
          <w:sz w:val="26"/>
          <w:szCs w:val="26"/>
        </w:rPr>
        <w:t>See</w:t>
      </w:r>
      <w:r w:rsidR="00543546">
        <w:rPr>
          <w:sz w:val="26"/>
          <w:szCs w:val="26"/>
        </w:rPr>
        <w:t xml:space="preserve"> </w:t>
      </w:r>
      <w:r w:rsidR="00F431A8" w:rsidRPr="00F431A8">
        <w:rPr>
          <w:i/>
          <w:iCs/>
          <w:sz w:val="26"/>
          <w:szCs w:val="26"/>
        </w:rPr>
        <w:t>Cassie Wright v. PECO Energy Company</w:t>
      </w:r>
      <w:r w:rsidR="00B60479">
        <w:rPr>
          <w:sz w:val="26"/>
          <w:szCs w:val="26"/>
        </w:rPr>
        <w:t>, Docket No. C</w:t>
      </w:r>
      <w:r w:rsidR="00B60479">
        <w:rPr>
          <w:sz w:val="26"/>
          <w:szCs w:val="26"/>
        </w:rPr>
        <w:noBreakHyphen/>
        <w:t>2011</w:t>
      </w:r>
      <w:r w:rsidR="00B60479">
        <w:rPr>
          <w:sz w:val="26"/>
          <w:szCs w:val="26"/>
        </w:rPr>
        <w:noBreakHyphen/>
      </w:r>
      <w:r w:rsidR="00F431A8" w:rsidRPr="00F431A8">
        <w:rPr>
          <w:sz w:val="26"/>
          <w:szCs w:val="26"/>
        </w:rPr>
        <w:t>2253839 (Order entered December 15, 2011).</w:t>
      </w:r>
    </w:p>
    <w:p w14:paraId="79D3F53A" w14:textId="5373B040" w:rsidR="00881769" w:rsidRDefault="00881769" w:rsidP="009F0FBD">
      <w:pPr>
        <w:tabs>
          <w:tab w:val="left" w:pos="-720"/>
        </w:tabs>
        <w:suppressAutoHyphens/>
        <w:spacing w:line="360" w:lineRule="auto"/>
        <w:ind w:firstLine="1440"/>
        <w:contextualSpacing/>
        <w:rPr>
          <w:sz w:val="26"/>
          <w:szCs w:val="26"/>
        </w:rPr>
      </w:pPr>
    </w:p>
    <w:p w14:paraId="183D5C99" w14:textId="6ED4B28A" w:rsidR="00881769" w:rsidRPr="00241BE3" w:rsidRDefault="00881769" w:rsidP="009F0FBD">
      <w:pPr>
        <w:tabs>
          <w:tab w:val="left" w:pos="-720"/>
        </w:tabs>
        <w:suppressAutoHyphens/>
        <w:spacing w:line="360" w:lineRule="auto"/>
        <w:ind w:firstLine="1440"/>
        <w:contextualSpacing/>
        <w:rPr>
          <w:sz w:val="26"/>
          <w:szCs w:val="26"/>
        </w:rPr>
      </w:pPr>
      <w:r w:rsidRPr="00D44CCD">
        <w:rPr>
          <w:sz w:val="26"/>
          <w:szCs w:val="26"/>
        </w:rPr>
        <w:t>The provision at 52 Pa. Code § 5.101(a)(4) permits the filing of a preliminary objection to dismiss a pleading for legal insufficiency.  The provision at 52</w:t>
      </w:r>
      <w:r w:rsidR="00EF49D0">
        <w:rPr>
          <w:sz w:val="26"/>
          <w:szCs w:val="26"/>
        </w:rPr>
        <w:t> </w:t>
      </w:r>
      <w:r w:rsidRPr="00D44CCD">
        <w:rPr>
          <w:sz w:val="26"/>
          <w:szCs w:val="26"/>
        </w:rPr>
        <w:t>Pa. Code § 5.101(a)(4) serves judicial economy by avoiding a hearing where no factual dispute exists, and the matter in dispute is purely a legal question.  If no factual issue pertinent to the resolution of a case exists, a hearing is unnecessary.  66 Pa.</w:t>
      </w:r>
      <w:r w:rsidR="00EF49D0">
        <w:rPr>
          <w:sz w:val="26"/>
          <w:szCs w:val="26"/>
        </w:rPr>
        <w:t xml:space="preserve"> </w:t>
      </w:r>
      <w:r w:rsidRPr="00D44CCD">
        <w:rPr>
          <w:sz w:val="26"/>
          <w:szCs w:val="26"/>
        </w:rPr>
        <w:t>C.S. §</w:t>
      </w:r>
      <w:r w:rsidR="00EF49D0">
        <w:rPr>
          <w:sz w:val="26"/>
          <w:szCs w:val="26"/>
        </w:rPr>
        <w:t> </w:t>
      </w:r>
      <w:r w:rsidRPr="00D44CCD">
        <w:rPr>
          <w:sz w:val="26"/>
          <w:szCs w:val="26"/>
        </w:rPr>
        <w:t xml:space="preserve">703(a); </w:t>
      </w:r>
      <w:r w:rsidRPr="00D44CCD">
        <w:rPr>
          <w:i/>
          <w:sz w:val="26"/>
          <w:szCs w:val="26"/>
        </w:rPr>
        <w:t>Lehigh Valley Power Committee v. Pa. PUC</w:t>
      </w:r>
      <w:r w:rsidRPr="00D44CCD">
        <w:rPr>
          <w:sz w:val="26"/>
          <w:szCs w:val="26"/>
        </w:rPr>
        <w:t xml:space="preserve">, 563 A.2d 557, 564 (Pa. Cmwlth. 1989); </w:t>
      </w:r>
      <w:r w:rsidRPr="00D44CCD">
        <w:rPr>
          <w:i/>
          <w:sz w:val="26"/>
          <w:szCs w:val="26"/>
        </w:rPr>
        <w:t>Lehigh Valley Power Committee v. Pa. PUC</w:t>
      </w:r>
      <w:r w:rsidRPr="00D44CCD">
        <w:rPr>
          <w:sz w:val="26"/>
          <w:szCs w:val="26"/>
        </w:rPr>
        <w:t>, 563 A.2d 548, 556-557 (Pa.</w:t>
      </w:r>
      <w:r w:rsidR="00E0320F">
        <w:rPr>
          <w:sz w:val="26"/>
          <w:szCs w:val="26"/>
        </w:rPr>
        <w:t> C</w:t>
      </w:r>
      <w:r w:rsidRPr="00D44CCD">
        <w:rPr>
          <w:sz w:val="26"/>
          <w:szCs w:val="26"/>
        </w:rPr>
        <w:t xml:space="preserve">mwlth. 1989); </w:t>
      </w:r>
      <w:r w:rsidRPr="00D44CCD">
        <w:rPr>
          <w:i/>
          <w:sz w:val="26"/>
          <w:szCs w:val="26"/>
        </w:rPr>
        <w:t>S.M.E. Bessemer Cement, Inc. v. Pa. PUC</w:t>
      </w:r>
      <w:r w:rsidRPr="00D44CCD">
        <w:rPr>
          <w:sz w:val="26"/>
          <w:szCs w:val="26"/>
        </w:rPr>
        <w:t xml:space="preserve">, 540 A.2d 1006, 1008-9 (Pa. Cmwlth. 1988); </w:t>
      </w:r>
      <w:r w:rsidRPr="00D44CCD">
        <w:rPr>
          <w:i/>
          <w:sz w:val="26"/>
          <w:szCs w:val="26"/>
        </w:rPr>
        <w:t>White Oak Borough Authority v. Pa. PUC</w:t>
      </w:r>
      <w:r w:rsidRPr="00D44CCD">
        <w:rPr>
          <w:sz w:val="26"/>
          <w:szCs w:val="26"/>
        </w:rPr>
        <w:t>, 103 A.2d 502, 507 (Pa.</w:t>
      </w:r>
      <w:r w:rsidR="00E0320F">
        <w:rPr>
          <w:sz w:val="26"/>
          <w:szCs w:val="26"/>
        </w:rPr>
        <w:t> </w:t>
      </w:r>
      <w:r w:rsidRPr="00D44CCD">
        <w:rPr>
          <w:sz w:val="26"/>
          <w:szCs w:val="26"/>
        </w:rPr>
        <w:t>Super. 1954).</w:t>
      </w:r>
    </w:p>
    <w:p w14:paraId="0F247FEF" w14:textId="4C73BCF2" w:rsidR="00CD09D8" w:rsidRPr="00241BE3" w:rsidRDefault="00CD09D8" w:rsidP="009F0FBD">
      <w:pPr>
        <w:spacing w:line="360" w:lineRule="auto"/>
        <w:contextualSpacing/>
        <w:rPr>
          <w:sz w:val="26"/>
          <w:szCs w:val="26"/>
        </w:rPr>
      </w:pPr>
    </w:p>
    <w:p w14:paraId="09F54F3B" w14:textId="77777777" w:rsidR="00006F35" w:rsidRPr="008F78A8" w:rsidRDefault="007756C7" w:rsidP="00E01B86">
      <w:pPr>
        <w:keepNext/>
        <w:keepLines/>
        <w:spacing w:line="360" w:lineRule="auto"/>
        <w:contextualSpacing/>
        <w:rPr>
          <w:b/>
          <w:sz w:val="26"/>
          <w:szCs w:val="26"/>
        </w:rPr>
      </w:pPr>
      <w:r w:rsidRPr="008F78A8">
        <w:rPr>
          <w:b/>
          <w:sz w:val="26"/>
          <w:szCs w:val="26"/>
        </w:rPr>
        <w:t>ALJ’s Initial Decision</w:t>
      </w:r>
    </w:p>
    <w:p w14:paraId="22ED4EFF" w14:textId="77777777" w:rsidR="00006F35" w:rsidRDefault="00006F35" w:rsidP="00E01B86">
      <w:pPr>
        <w:keepNext/>
        <w:keepLines/>
        <w:spacing w:line="360" w:lineRule="auto"/>
        <w:ind w:firstLine="1440"/>
        <w:contextualSpacing/>
        <w:rPr>
          <w:sz w:val="26"/>
          <w:szCs w:val="26"/>
        </w:rPr>
      </w:pPr>
    </w:p>
    <w:p w14:paraId="04FC47D6" w14:textId="647B539C" w:rsidR="00087CC1" w:rsidRPr="00081322" w:rsidRDefault="00087CC1" w:rsidP="009F0FBD">
      <w:pPr>
        <w:spacing w:line="360" w:lineRule="auto"/>
        <w:ind w:firstLine="1440"/>
        <w:contextualSpacing/>
        <w:rPr>
          <w:sz w:val="26"/>
          <w:szCs w:val="26"/>
        </w:rPr>
      </w:pPr>
      <w:r w:rsidRPr="00081322">
        <w:rPr>
          <w:sz w:val="26"/>
          <w:szCs w:val="26"/>
        </w:rPr>
        <w:t xml:space="preserve">ALJ </w:t>
      </w:r>
      <w:r w:rsidR="00A92D2E">
        <w:rPr>
          <w:sz w:val="26"/>
          <w:szCs w:val="26"/>
        </w:rPr>
        <w:t>Salapa</w:t>
      </w:r>
      <w:r w:rsidRPr="00081322">
        <w:rPr>
          <w:sz w:val="26"/>
          <w:szCs w:val="26"/>
        </w:rPr>
        <w:t xml:space="preserve"> made </w:t>
      </w:r>
      <w:r w:rsidR="00081322" w:rsidRPr="00081322">
        <w:rPr>
          <w:sz w:val="26"/>
          <w:szCs w:val="26"/>
        </w:rPr>
        <w:t>s</w:t>
      </w:r>
      <w:r w:rsidR="000E7B0A">
        <w:rPr>
          <w:sz w:val="26"/>
          <w:szCs w:val="26"/>
        </w:rPr>
        <w:t>ix</w:t>
      </w:r>
      <w:r w:rsidRPr="00081322">
        <w:rPr>
          <w:sz w:val="26"/>
          <w:szCs w:val="26"/>
        </w:rPr>
        <w:t xml:space="preserve"> Findings of Fact an</w:t>
      </w:r>
      <w:r w:rsidR="00081322" w:rsidRPr="00081322">
        <w:rPr>
          <w:sz w:val="26"/>
          <w:szCs w:val="26"/>
        </w:rPr>
        <w:t xml:space="preserve">d reached </w:t>
      </w:r>
      <w:r w:rsidR="000E7B0A">
        <w:rPr>
          <w:sz w:val="26"/>
          <w:szCs w:val="26"/>
        </w:rPr>
        <w:t xml:space="preserve">four Conclusions of Law.  I.D. at </w:t>
      </w:r>
      <w:r w:rsidR="00081322" w:rsidRPr="00081322">
        <w:rPr>
          <w:sz w:val="26"/>
          <w:szCs w:val="26"/>
        </w:rPr>
        <w:t>4</w:t>
      </w:r>
      <w:r w:rsidR="000E7B0A">
        <w:rPr>
          <w:sz w:val="26"/>
          <w:szCs w:val="26"/>
        </w:rPr>
        <w:t xml:space="preserve">, </w:t>
      </w:r>
      <w:r w:rsidR="00081322" w:rsidRPr="00081322">
        <w:rPr>
          <w:sz w:val="26"/>
          <w:szCs w:val="26"/>
        </w:rPr>
        <w:t>12</w:t>
      </w:r>
      <w:r w:rsidRPr="00081322">
        <w:rPr>
          <w:sz w:val="26"/>
          <w:szCs w:val="26"/>
        </w:rPr>
        <w:t>.  The Findings of Fact and Conclusions of Law are incorporated herein by reference and are adopted without comment unless they are either expressly or by necessary implication rejected or modified by this Opinion and Order.</w:t>
      </w:r>
    </w:p>
    <w:p w14:paraId="750F0E7A" w14:textId="77777777" w:rsidR="00BA204F" w:rsidRDefault="00BA204F" w:rsidP="009F0FBD">
      <w:pPr>
        <w:spacing w:line="360" w:lineRule="auto"/>
        <w:ind w:firstLine="1440"/>
        <w:contextualSpacing/>
        <w:rPr>
          <w:sz w:val="26"/>
          <w:szCs w:val="26"/>
        </w:rPr>
      </w:pPr>
    </w:p>
    <w:p w14:paraId="4E5EBC9F" w14:textId="629E1207" w:rsidR="00AA6469" w:rsidRDefault="00AA6469" w:rsidP="009F0FBD">
      <w:pPr>
        <w:spacing w:line="360" w:lineRule="auto"/>
        <w:ind w:firstLine="1440"/>
        <w:contextualSpacing/>
        <w:rPr>
          <w:sz w:val="26"/>
          <w:szCs w:val="26"/>
        </w:rPr>
      </w:pPr>
      <w:r>
        <w:rPr>
          <w:sz w:val="26"/>
          <w:szCs w:val="26"/>
        </w:rPr>
        <w:t xml:space="preserve">In his Initial Decision, the ALJ stated that the Complainant had not filed an answer to PECO’s Preliminary Objections.  </w:t>
      </w:r>
    </w:p>
    <w:p w14:paraId="27D94908" w14:textId="77777777" w:rsidR="00AA6469" w:rsidRDefault="00AA6469" w:rsidP="009F0FBD">
      <w:pPr>
        <w:spacing w:line="360" w:lineRule="auto"/>
        <w:ind w:firstLine="1440"/>
        <w:contextualSpacing/>
        <w:rPr>
          <w:sz w:val="26"/>
          <w:szCs w:val="26"/>
        </w:rPr>
      </w:pPr>
    </w:p>
    <w:p w14:paraId="48C28F0A" w14:textId="70D25C74" w:rsidR="00C74776" w:rsidRDefault="0098429D" w:rsidP="00C74776">
      <w:pPr>
        <w:spacing w:line="360" w:lineRule="auto"/>
        <w:ind w:firstLine="1440"/>
        <w:contextualSpacing/>
        <w:rPr>
          <w:sz w:val="26"/>
          <w:szCs w:val="26"/>
        </w:rPr>
      </w:pPr>
      <w:r w:rsidRPr="007D4214">
        <w:rPr>
          <w:sz w:val="26"/>
          <w:szCs w:val="26"/>
        </w:rPr>
        <w:t>The ALJ noted that the Complainant apparently contended in his Complaint that the statute at 66 Pa.</w:t>
      </w:r>
      <w:r w:rsidR="00E0320F">
        <w:rPr>
          <w:sz w:val="26"/>
          <w:szCs w:val="26"/>
        </w:rPr>
        <w:t xml:space="preserve"> </w:t>
      </w:r>
      <w:r w:rsidRPr="007D4214">
        <w:rPr>
          <w:sz w:val="26"/>
          <w:szCs w:val="26"/>
        </w:rPr>
        <w:t xml:space="preserve">C.S. § 1529.1 does not apply to this case.  </w:t>
      </w:r>
      <w:r w:rsidR="00C74776">
        <w:rPr>
          <w:sz w:val="26"/>
          <w:szCs w:val="26"/>
        </w:rPr>
        <w:t>The ALJ stated that, when v</w:t>
      </w:r>
      <w:r w:rsidR="002F1DAD" w:rsidRPr="002F1DAD">
        <w:rPr>
          <w:sz w:val="26"/>
          <w:szCs w:val="26"/>
        </w:rPr>
        <w:t xml:space="preserve">iewing the </w:t>
      </w:r>
      <w:r w:rsidR="002F1DAD">
        <w:rPr>
          <w:sz w:val="26"/>
          <w:szCs w:val="26"/>
        </w:rPr>
        <w:t>C</w:t>
      </w:r>
      <w:r w:rsidR="002F1DAD" w:rsidRPr="002F1DAD">
        <w:rPr>
          <w:sz w:val="26"/>
          <w:szCs w:val="26"/>
        </w:rPr>
        <w:t>omplaint in this case in the light most favorable to the Complainant</w:t>
      </w:r>
      <w:r w:rsidR="002F1DAD">
        <w:rPr>
          <w:sz w:val="26"/>
          <w:szCs w:val="26"/>
        </w:rPr>
        <w:t>, th</w:t>
      </w:r>
      <w:r w:rsidRPr="007D4214">
        <w:rPr>
          <w:sz w:val="26"/>
          <w:szCs w:val="26"/>
        </w:rPr>
        <w:t>e Complainant alleged that the foreign wiring at the tenant’s meter is minimal</w:t>
      </w:r>
      <w:r w:rsidR="00644ED2">
        <w:rPr>
          <w:sz w:val="26"/>
          <w:szCs w:val="26"/>
        </w:rPr>
        <w:t xml:space="preserve"> </w:t>
      </w:r>
      <w:r w:rsidR="00660690">
        <w:rPr>
          <w:sz w:val="26"/>
          <w:szCs w:val="26"/>
        </w:rPr>
        <w:t>because</w:t>
      </w:r>
      <w:r w:rsidR="00644ED2">
        <w:rPr>
          <w:sz w:val="26"/>
          <w:szCs w:val="26"/>
        </w:rPr>
        <w:t xml:space="preserve"> the Complainant estimat</w:t>
      </w:r>
      <w:r w:rsidR="00660690">
        <w:rPr>
          <w:sz w:val="26"/>
          <w:szCs w:val="26"/>
        </w:rPr>
        <w:t xml:space="preserve">es the amount </w:t>
      </w:r>
      <w:r w:rsidR="00644ED2">
        <w:rPr>
          <w:sz w:val="26"/>
          <w:szCs w:val="26"/>
        </w:rPr>
        <w:t>for the foreign load wiring</w:t>
      </w:r>
      <w:r w:rsidR="00660690">
        <w:rPr>
          <w:sz w:val="26"/>
          <w:szCs w:val="26"/>
        </w:rPr>
        <w:t xml:space="preserve"> to be $540, as</w:t>
      </w:r>
      <w:r w:rsidR="00644ED2">
        <w:rPr>
          <w:sz w:val="26"/>
          <w:szCs w:val="26"/>
        </w:rPr>
        <w:t xml:space="preserve"> </w:t>
      </w:r>
      <w:r w:rsidR="00644ED2">
        <w:rPr>
          <w:sz w:val="26"/>
          <w:szCs w:val="26"/>
        </w:rPr>
        <w:lastRenderedPageBreak/>
        <w:t>compared to the tenant’s total bill</w:t>
      </w:r>
      <w:r w:rsidR="00D73E08">
        <w:rPr>
          <w:sz w:val="26"/>
          <w:szCs w:val="26"/>
        </w:rPr>
        <w:t xml:space="preserve"> of $5,500</w:t>
      </w:r>
      <w:r w:rsidRPr="007D4214">
        <w:rPr>
          <w:sz w:val="26"/>
          <w:szCs w:val="26"/>
        </w:rPr>
        <w:t xml:space="preserve">.  </w:t>
      </w:r>
      <w:r w:rsidR="00C74776">
        <w:rPr>
          <w:sz w:val="26"/>
          <w:szCs w:val="26"/>
        </w:rPr>
        <w:t>Because the</w:t>
      </w:r>
      <w:r w:rsidR="00D73E08">
        <w:rPr>
          <w:sz w:val="26"/>
          <w:szCs w:val="26"/>
        </w:rPr>
        <w:t xml:space="preserve"> Complainant views the</w:t>
      </w:r>
      <w:r w:rsidR="00C74776">
        <w:rPr>
          <w:sz w:val="26"/>
          <w:szCs w:val="26"/>
        </w:rPr>
        <w:t xml:space="preserve"> foreign load as minimal, the ALJ acknowledged the </w:t>
      </w:r>
      <w:r w:rsidRPr="007D4214">
        <w:rPr>
          <w:sz w:val="26"/>
          <w:szCs w:val="26"/>
        </w:rPr>
        <w:t>Complainant</w:t>
      </w:r>
      <w:r w:rsidR="00C74776">
        <w:rPr>
          <w:sz w:val="26"/>
          <w:szCs w:val="26"/>
        </w:rPr>
        <w:t>’s argument t</w:t>
      </w:r>
      <w:r w:rsidRPr="007D4214">
        <w:rPr>
          <w:sz w:val="26"/>
          <w:szCs w:val="26"/>
        </w:rPr>
        <w:t>hat the Commission should direct PECO to collect the larger portion of the account for the tenant’s meter from the tenant</w:t>
      </w:r>
      <w:r w:rsidR="00C74776">
        <w:rPr>
          <w:sz w:val="26"/>
          <w:szCs w:val="26"/>
        </w:rPr>
        <w:t xml:space="preserve"> rather than the Complainant</w:t>
      </w:r>
      <w:r w:rsidRPr="007D4214">
        <w:rPr>
          <w:sz w:val="26"/>
          <w:szCs w:val="26"/>
        </w:rPr>
        <w:t xml:space="preserve">.  </w:t>
      </w:r>
      <w:r w:rsidR="002F1DAD">
        <w:rPr>
          <w:sz w:val="26"/>
          <w:szCs w:val="26"/>
        </w:rPr>
        <w:t>I.D. at 6, 8-9.</w:t>
      </w:r>
      <w:r w:rsidR="00C74776">
        <w:rPr>
          <w:sz w:val="26"/>
          <w:szCs w:val="26"/>
        </w:rPr>
        <w:t xml:space="preserve">  </w:t>
      </w:r>
      <w:r w:rsidR="00D73E08">
        <w:rPr>
          <w:sz w:val="26"/>
          <w:szCs w:val="26"/>
        </w:rPr>
        <w:t xml:space="preserve">However, the ALJ stated the Complainant’s argument </w:t>
      </w:r>
      <w:r w:rsidR="00054E3E">
        <w:rPr>
          <w:sz w:val="26"/>
          <w:szCs w:val="26"/>
        </w:rPr>
        <w:t>is incorrect.</w:t>
      </w:r>
      <w:r w:rsidR="000E4734">
        <w:rPr>
          <w:rStyle w:val="FootnoteReference"/>
          <w:sz w:val="26"/>
          <w:szCs w:val="26"/>
        </w:rPr>
        <w:footnoteReference w:id="8"/>
      </w:r>
      <w:r w:rsidR="00054E3E">
        <w:rPr>
          <w:sz w:val="26"/>
          <w:szCs w:val="26"/>
        </w:rPr>
        <w:t xml:space="preserve">  I.D. at 9.</w:t>
      </w:r>
      <w:r w:rsidR="002F1DAD">
        <w:rPr>
          <w:sz w:val="26"/>
          <w:szCs w:val="26"/>
        </w:rPr>
        <w:t xml:space="preserve">  </w:t>
      </w:r>
    </w:p>
    <w:p w14:paraId="08F70C11" w14:textId="77777777" w:rsidR="00C74776" w:rsidRDefault="00C74776" w:rsidP="00C74776">
      <w:pPr>
        <w:spacing w:line="360" w:lineRule="auto"/>
        <w:ind w:firstLine="1440"/>
        <w:contextualSpacing/>
        <w:rPr>
          <w:sz w:val="26"/>
          <w:szCs w:val="26"/>
        </w:rPr>
      </w:pPr>
    </w:p>
    <w:p w14:paraId="7CF1128E" w14:textId="77777777" w:rsidR="0098429D" w:rsidRDefault="0098429D" w:rsidP="009F0FBD">
      <w:pPr>
        <w:spacing w:line="360" w:lineRule="auto"/>
        <w:ind w:firstLine="1440"/>
        <w:contextualSpacing/>
        <w:rPr>
          <w:sz w:val="26"/>
          <w:szCs w:val="26"/>
        </w:rPr>
      </w:pPr>
    </w:p>
    <w:p w14:paraId="402FE762" w14:textId="2443D6D5" w:rsidR="009B2262" w:rsidRDefault="0005264D" w:rsidP="009F0FBD">
      <w:pPr>
        <w:spacing w:line="360" w:lineRule="auto"/>
        <w:ind w:firstLine="1440"/>
        <w:contextualSpacing/>
        <w:rPr>
          <w:sz w:val="26"/>
          <w:szCs w:val="26"/>
        </w:rPr>
      </w:pPr>
      <w:r>
        <w:rPr>
          <w:sz w:val="26"/>
          <w:szCs w:val="26"/>
        </w:rPr>
        <w:t>I</w:t>
      </w:r>
      <w:r w:rsidR="00FC5E92" w:rsidRPr="00C57248">
        <w:rPr>
          <w:sz w:val="26"/>
          <w:szCs w:val="26"/>
        </w:rPr>
        <w:t xml:space="preserve">n </w:t>
      </w:r>
      <w:r w:rsidR="00033309" w:rsidRPr="00C57248">
        <w:rPr>
          <w:sz w:val="26"/>
          <w:szCs w:val="26"/>
        </w:rPr>
        <w:t>h</w:t>
      </w:r>
      <w:r w:rsidR="00F24F83" w:rsidRPr="00C57248">
        <w:rPr>
          <w:sz w:val="26"/>
          <w:szCs w:val="26"/>
        </w:rPr>
        <w:t>is</w:t>
      </w:r>
      <w:r w:rsidR="00FC5E92" w:rsidRPr="00C57248">
        <w:rPr>
          <w:sz w:val="26"/>
          <w:szCs w:val="26"/>
        </w:rPr>
        <w:t xml:space="preserve"> Initial Decision, ALJ </w:t>
      </w:r>
      <w:r w:rsidR="000E7B0A">
        <w:rPr>
          <w:sz w:val="26"/>
          <w:szCs w:val="26"/>
        </w:rPr>
        <w:t>Salapa</w:t>
      </w:r>
      <w:r w:rsidR="00FC5E92" w:rsidRPr="00C57248">
        <w:rPr>
          <w:sz w:val="26"/>
          <w:szCs w:val="26"/>
        </w:rPr>
        <w:t xml:space="preserve"> </w:t>
      </w:r>
      <w:r w:rsidR="00EB1383" w:rsidRPr="00C57248">
        <w:rPr>
          <w:sz w:val="26"/>
          <w:szCs w:val="26"/>
        </w:rPr>
        <w:t>determined</w:t>
      </w:r>
      <w:r w:rsidR="00FC5E92" w:rsidRPr="00C57248">
        <w:rPr>
          <w:sz w:val="26"/>
          <w:szCs w:val="26"/>
        </w:rPr>
        <w:t xml:space="preserve"> that based on </w:t>
      </w:r>
      <w:r w:rsidR="008D3B80" w:rsidRPr="00C57248">
        <w:rPr>
          <w:sz w:val="26"/>
          <w:szCs w:val="26"/>
        </w:rPr>
        <w:t>Section 1529.1 of the Code, 66 Pa. C.S. § 1529.1</w:t>
      </w:r>
      <w:r w:rsidR="007C03CE" w:rsidRPr="00C57248">
        <w:rPr>
          <w:sz w:val="26"/>
          <w:szCs w:val="26"/>
        </w:rPr>
        <w:t>,</w:t>
      </w:r>
      <w:r w:rsidR="008D3B80" w:rsidRPr="00C57248">
        <w:rPr>
          <w:sz w:val="26"/>
          <w:szCs w:val="26"/>
        </w:rPr>
        <w:t xml:space="preserve"> </w:t>
      </w:r>
      <w:r w:rsidR="008B75E0" w:rsidRPr="00C57248">
        <w:rPr>
          <w:sz w:val="26"/>
          <w:szCs w:val="26"/>
        </w:rPr>
        <w:t xml:space="preserve">and </w:t>
      </w:r>
      <w:r w:rsidR="00FC5E92" w:rsidRPr="00C57248">
        <w:rPr>
          <w:sz w:val="26"/>
          <w:szCs w:val="26"/>
        </w:rPr>
        <w:t xml:space="preserve">the applicable </w:t>
      </w:r>
      <w:r w:rsidR="007756C7" w:rsidRPr="00C57248">
        <w:rPr>
          <w:sz w:val="26"/>
          <w:szCs w:val="26"/>
        </w:rPr>
        <w:t xml:space="preserve">court and </w:t>
      </w:r>
      <w:r w:rsidR="00B57849" w:rsidRPr="00C57248">
        <w:rPr>
          <w:sz w:val="26"/>
          <w:szCs w:val="26"/>
        </w:rPr>
        <w:t>Commission decisions,</w:t>
      </w:r>
      <w:r w:rsidR="00D44CCD">
        <w:rPr>
          <w:sz w:val="26"/>
          <w:szCs w:val="26"/>
        </w:rPr>
        <w:t xml:space="preserve"> </w:t>
      </w:r>
      <w:r w:rsidR="006879DE" w:rsidRPr="00C57248">
        <w:rPr>
          <w:sz w:val="26"/>
          <w:szCs w:val="26"/>
        </w:rPr>
        <w:t>the Complainant failed</w:t>
      </w:r>
      <w:r w:rsidR="001A3E3B" w:rsidRPr="00C57248">
        <w:rPr>
          <w:sz w:val="26"/>
          <w:szCs w:val="26"/>
        </w:rPr>
        <w:t xml:space="preserve"> to</w:t>
      </w:r>
      <w:r w:rsidR="006879DE" w:rsidRPr="00C57248">
        <w:rPr>
          <w:sz w:val="26"/>
          <w:szCs w:val="26"/>
        </w:rPr>
        <w:t xml:space="preserve"> </w:t>
      </w:r>
      <w:r w:rsidR="00F24F83" w:rsidRPr="00C57248">
        <w:rPr>
          <w:sz w:val="26"/>
          <w:szCs w:val="26"/>
        </w:rPr>
        <w:t>state a claim upon which relief can be granted</w:t>
      </w:r>
      <w:r w:rsidR="006879DE" w:rsidRPr="00C57248">
        <w:rPr>
          <w:sz w:val="26"/>
          <w:szCs w:val="26"/>
        </w:rPr>
        <w:t>.</w:t>
      </w:r>
      <w:r w:rsidR="009B2262" w:rsidRPr="00C57248">
        <w:rPr>
          <w:sz w:val="26"/>
          <w:szCs w:val="26"/>
        </w:rPr>
        <w:t xml:space="preserve">  </w:t>
      </w:r>
      <w:r w:rsidR="00D53716">
        <w:rPr>
          <w:sz w:val="26"/>
          <w:szCs w:val="26"/>
        </w:rPr>
        <w:t xml:space="preserve">The ALJ </w:t>
      </w:r>
      <w:r w:rsidR="00554F4C">
        <w:rPr>
          <w:sz w:val="26"/>
          <w:szCs w:val="26"/>
        </w:rPr>
        <w:t xml:space="preserve">pointed out </w:t>
      </w:r>
      <w:r w:rsidR="00A036BD">
        <w:rPr>
          <w:sz w:val="26"/>
          <w:szCs w:val="26"/>
        </w:rPr>
        <w:t>that the Complainant’s</w:t>
      </w:r>
      <w:r w:rsidR="00D53716">
        <w:rPr>
          <w:sz w:val="26"/>
          <w:szCs w:val="26"/>
        </w:rPr>
        <w:t xml:space="preserve"> claim </w:t>
      </w:r>
      <w:r w:rsidR="00B86E2C">
        <w:rPr>
          <w:sz w:val="26"/>
          <w:szCs w:val="26"/>
        </w:rPr>
        <w:t>in the matter before us is</w:t>
      </w:r>
      <w:r w:rsidR="00D53716">
        <w:rPr>
          <w:sz w:val="26"/>
          <w:szCs w:val="26"/>
        </w:rPr>
        <w:t xml:space="preserve"> that he should not be held responsible for the tenant’s portion of the shared usage</w:t>
      </w:r>
      <w:r w:rsidR="00B86E2C">
        <w:rPr>
          <w:sz w:val="26"/>
          <w:szCs w:val="26"/>
        </w:rPr>
        <w:t>.  The ALJ noted that</w:t>
      </w:r>
      <w:r w:rsidR="00D53716">
        <w:rPr>
          <w:sz w:val="26"/>
          <w:szCs w:val="26"/>
        </w:rPr>
        <w:t xml:space="preserve"> this is precisely the issue </w:t>
      </w:r>
      <w:r w:rsidR="00D53716" w:rsidRPr="00B86E2C">
        <w:rPr>
          <w:sz w:val="26"/>
          <w:szCs w:val="26"/>
        </w:rPr>
        <w:t xml:space="preserve">that the Commission lacks jurisdiction to hear.  </w:t>
      </w:r>
      <w:r w:rsidR="009B2262" w:rsidRPr="00B86E2C">
        <w:rPr>
          <w:sz w:val="26"/>
          <w:szCs w:val="26"/>
        </w:rPr>
        <w:t xml:space="preserve">Specifically, the ALJ </w:t>
      </w:r>
      <w:r w:rsidR="009B2262" w:rsidRPr="00B86E2C">
        <w:rPr>
          <w:sz w:val="26"/>
          <w:szCs w:val="26"/>
        </w:rPr>
        <w:lastRenderedPageBreak/>
        <w:t xml:space="preserve">found that PECO was required by law to list the tenant’s account in the Complainant’s name immediately upon the discovery of foreign load.  </w:t>
      </w:r>
      <w:r w:rsidR="00B86E2C" w:rsidRPr="00B86E2C">
        <w:rPr>
          <w:sz w:val="26"/>
          <w:szCs w:val="26"/>
        </w:rPr>
        <w:t>The</w:t>
      </w:r>
      <w:r w:rsidR="00B86E2C">
        <w:rPr>
          <w:sz w:val="26"/>
          <w:szCs w:val="26"/>
        </w:rPr>
        <w:t>refore, the</w:t>
      </w:r>
      <w:r w:rsidR="00B86E2C" w:rsidRPr="00B86E2C">
        <w:rPr>
          <w:sz w:val="26"/>
          <w:szCs w:val="26"/>
        </w:rPr>
        <w:t xml:space="preserve"> ALJ concluded that PECO acted reasonably by transferring the entire </w:t>
      </w:r>
      <w:r w:rsidR="000C73A0">
        <w:rPr>
          <w:sz w:val="26"/>
          <w:szCs w:val="26"/>
        </w:rPr>
        <w:t>account balance</w:t>
      </w:r>
      <w:r w:rsidR="00B86E2C" w:rsidRPr="00B86E2C">
        <w:rPr>
          <w:sz w:val="26"/>
          <w:szCs w:val="26"/>
        </w:rPr>
        <w:t xml:space="preserve"> to the Complainant regardless of </w:t>
      </w:r>
      <w:r w:rsidR="00B86E2C">
        <w:rPr>
          <w:sz w:val="26"/>
          <w:szCs w:val="26"/>
        </w:rPr>
        <w:t xml:space="preserve">whether the amount of foreign load was </w:t>
      </w:r>
      <w:r w:rsidR="00B86E2C" w:rsidRPr="00B86E2C">
        <w:rPr>
          <w:i/>
          <w:sz w:val="26"/>
          <w:szCs w:val="26"/>
        </w:rPr>
        <w:t>de minim</w:t>
      </w:r>
      <w:r w:rsidR="00DC78AD">
        <w:rPr>
          <w:i/>
          <w:sz w:val="26"/>
          <w:szCs w:val="26"/>
        </w:rPr>
        <w:t>i</w:t>
      </w:r>
      <w:r w:rsidR="00B86E2C" w:rsidRPr="00B86E2C">
        <w:rPr>
          <w:i/>
          <w:sz w:val="26"/>
          <w:szCs w:val="26"/>
        </w:rPr>
        <w:t>s</w:t>
      </w:r>
      <w:r w:rsidR="00B86E2C" w:rsidRPr="00B86E2C">
        <w:rPr>
          <w:sz w:val="26"/>
          <w:szCs w:val="26"/>
        </w:rPr>
        <w:t xml:space="preserve">.  </w:t>
      </w:r>
      <w:r w:rsidR="009B2262" w:rsidRPr="00B86E2C">
        <w:rPr>
          <w:sz w:val="26"/>
          <w:szCs w:val="26"/>
        </w:rPr>
        <w:t xml:space="preserve">The ALJ pointed out that to the extent that there are amounts in dispute, the Commission lacks jurisdiction to adjudicate disputes regarding the financial responsibilities of private parties, such as a landlord and his tenant.  </w:t>
      </w:r>
      <w:r w:rsidR="00B86E2C" w:rsidRPr="00B86E2C">
        <w:rPr>
          <w:sz w:val="26"/>
          <w:szCs w:val="26"/>
        </w:rPr>
        <w:t xml:space="preserve">The ALJ explained </w:t>
      </w:r>
      <w:r w:rsidR="00A62404">
        <w:rPr>
          <w:sz w:val="26"/>
          <w:szCs w:val="26"/>
        </w:rPr>
        <w:t xml:space="preserve">the Complainant may seek damages from </w:t>
      </w:r>
      <w:r w:rsidR="0098429D">
        <w:rPr>
          <w:sz w:val="26"/>
          <w:szCs w:val="26"/>
        </w:rPr>
        <w:t>his former tenant</w:t>
      </w:r>
      <w:r w:rsidR="00A62404">
        <w:rPr>
          <w:sz w:val="26"/>
          <w:szCs w:val="26"/>
        </w:rPr>
        <w:t xml:space="preserve"> for any amounts </w:t>
      </w:r>
      <w:r w:rsidR="0098429D">
        <w:rPr>
          <w:sz w:val="26"/>
          <w:szCs w:val="26"/>
        </w:rPr>
        <w:t xml:space="preserve">the tenant may </w:t>
      </w:r>
      <w:r w:rsidR="00A62404">
        <w:rPr>
          <w:sz w:val="26"/>
          <w:szCs w:val="26"/>
        </w:rPr>
        <w:t>owe</w:t>
      </w:r>
      <w:r w:rsidR="0098429D">
        <w:rPr>
          <w:sz w:val="26"/>
          <w:szCs w:val="26"/>
        </w:rPr>
        <w:t xml:space="preserve"> to the Complainant based on their lease agreement or oth</w:t>
      </w:r>
      <w:r w:rsidR="007D4214">
        <w:rPr>
          <w:sz w:val="26"/>
          <w:szCs w:val="26"/>
        </w:rPr>
        <w:t>er theories in equity</w:t>
      </w:r>
      <w:r w:rsidR="00A62404">
        <w:rPr>
          <w:sz w:val="26"/>
          <w:szCs w:val="26"/>
        </w:rPr>
        <w:t>, through the courts</w:t>
      </w:r>
      <w:r w:rsidR="00B86E2C" w:rsidRPr="00B86E2C">
        <w:rPr>
          <w:sz w:val="26"/>
          <w:szCs w:val="26"/>
        </w:rPr>
        <w:t xml:space="preserve">.  </w:t>
      </w:r>
      <w:r w:rsidR="009B2262" w:rsidRPr="00B86E2C">
        <w:rPr>
          <w:sz w:val="26"/>
          <w:szCs w:val="26"/>
        </w:rPr>
        <w:t xml:space="preserve">In light of the above, the ALJ granted PECO’s Preliminary Objections and dismissed the Complaint.  I.D. at </w:t>
      </w:r>
      <w:r w:rsidR="00B86E2C" w:rsidRPr="00B86E2C">
        <w:rPr>
          <w:sz w:val="26"/>
          <w:szCs w:val="26"/>
        </w:rPr>
        <w:t>6-11</w:t>
      </w:r>
      <w:r w:rsidR="00252C99">
        <w:rPr>
          <w:sz w:val="26"/>
          <w:szCs w:val="26"/>
        </w:rPr>
        <w:t xml:space="preserve"> (citing </w:t>
      </w:r>
      <w:r w:rsidR="00252C99">
        <w:rPr>
          <w:i/>
          <w:sz w:val="26"/>
        </w:rPr>
        <w:t xml:space="preserve">David P. Boyce v Duquesne Light Company, </w:t>
      </w:r>
      <w:r w:rsidR="00252C99">
        <w:rPr>
          <w:sz w:val="26"/>
        </w:rPr>
        <w:t>Docket No. Z-00223698 (Order entered September 1, 1994) (</w:t>
      </w:r>
      <w:r w:rsidR="00252C99">
        <w:rPr>
          <w:i/>
          <w:sz w:val="26"/>
        </w:rPr>
        <w:t>Boyce</w:t>
      </w:r>
      <w:r w:rsidR="00252C99">
        <w:rPr>
          <w:sz w:val="26"/>
        </w:rPr>
        <w:t xml:space="preserve">), </w:t>
      </w:r>
      <w:r w:rsidR="00252C99" w:rsidRPr="004B07B9">
        <w:rPr>
          <w:i/>
          <w:sz w:val="26"/>
        </w:rPr>
        <w:t>Ace Check Cashing, Inc. v. Philadelphia Gas Works</w:t>
      </w:r>
      <w:r w:rsidR="00252C99" w:rsidRPr="004B07B9">
        <w:rPr>
          <w:sz w:val="26"/>
        </w:rPr>
        <w:t>, Docket No.</w:t>
      </w:r>
      <w:r w:rsidR="00252C99">
        <w:rPr>
          <w:sz w:val="26"/>
        </w:rPr>
        <w:t xml:space="preserve"> C</w:t>
      </w:r>
      <w:r w:rsidR="00252C99">
        <w:rPr>
          <w:sz w:val="26"/>
        </w:rPr>
        <w:noBreakHyphen/>
      </w:r>
      <w:r w:rsidR="00252C99" w:rsidRPr="004B07B9">
        <w:rPr>
          <w:sz w:val="26"/>
        </w:rPr>
        <w:t>2008-2056428 (Order entered May 21, 2010)</w:t>
      </w:r>
      <w:r w:rsidR="00252C99">
        <w:rPr>
          <w:sz w:val="26"/>
        </w:rPr>
        <w:t xml:space="preserve"> (</w:t>
      </w:r>
      <w:r w:rsidR="00252C99">
        <w:rPr>
          <w:i/>
          <w:sz w:val="26"/>
        </w:rPr>
        <w:t>Ace Check Cashing</w:t>
      </w:r>
      <w:r w:rsidR="00252C99" w:rsidRPr="006F5D5F">
        <w:rPr>
          <w:sz w:val="26"/>
        </w:rPr>
        <w:t xml:space="preserve">), and </w:t>
      </w:r>
      <w:r w:rsidR="00252C99" w:rsidRPr="006F5D5F">
        <w:rPr>
          <w:i/>
          <w:sz w:val="26"/>
        </w:rPr>
        <w:t>Santos v. Metropolitan Edison Co.</w:t>
      </w:r>
      <w:r w:rsidR="00252C99" w:rsidRPr="006F5D5F">
        <w:rPr>
          <w:sz w:val="26"/>
        </w:rPr>
        <w:t xml:space="preserve">, </w:t>
      </w:r>
      <w:r w:rsidR="00252C99" w:rsidRPr="006F5D5F">
        <w:rPr>
          <w:sz w:val="26"/>
          <w:szCs w:val="26"/>
        </w:rPr>
        <w:t>Docket No. C-00967757 (Order entered August 7, 1997) (</w:t>
      </w:r>
      <w:r w:rsidR="00252C99" w:rsidRPr="006F5D5F">
        <w:rPr>
          <w:i/>
          <w:sz w:val="26"/>
          <w:szCs w:val="26"/>
        </w:rPr>
        <w:t>Santos</w:t>
      </w:r>
      <w:r w:rsidR="00252C99" w:rsidRPr="006F5D5F">
        <w:rPr>
          <w:sz w:val="26"/>
          <w:szCs w:val="26"/>
        </w:rPr>
        <w:t>)</w:t>
      </w:r>
      <w:r w:rsidR="00252C99">
        <w:rPr>
          <w:sz w:val="26"/>
          <w:szCs w:val="26"/>
        </w:rPr>
        <w:t>)</w:t>
      </w:r>
      <w:r w:rsidR="009B2262" w:rsidRPr="00B86E2C">
        <w:rPr>
          <w:sz w:val="26"/>
          <w:szCs w:val="26"/>
        </w:rPr>
        <w:t>.</w:t>
      </w:r>
    </w:p>
    <w:p w14:paraId="08CC690E" w14:textId="77777777" w:rsidR="00A37AD7" w:rsidRPr="008F78A8" w:rsidRDefault="00A37AD7" w:rsidP="009F0FBD">
      <w:pPr>
        <w:spacing w:line="360" w:lineRule="auto"/>
        <w:ind w:firstLine="1440"/>
        <w:contextualSpacing/>
        <w:rPr>
          <w:sz w:val="26"/>
          <w:szCs w:val="26"/>
        </w:rPr>
      </w:pPr>
    </w:p>
    <w:p w14:paraId="24E6F862" w14:textId="77777777" w:rsidR="00006F35" w:rsidRPr="008F78A8" w:rsidRDefault="00172CC7" w:rsidP="00D07678">
      <w:pPr>
        <w:keepNext/>
        <w:spacing w:after="0" w:line="360" w:lineRule="auto"/>
        <w:contextualSpacing/>
        <w:rPr>
          <w:b/>
          <w:sz w:val="26"/>
          <w:szCs w:val="26"/>
        </w:rPr>
      </w:pPr>
      <w:r w:rsidRPr="008F78A8">
        <w:rPr>
          <w:b/>
          <w:sz w:val="26"/>
          <w:szCs w:val="26"/>
        </w:rPr>
        <w:t>Exceptions and Repl</w:t>
      </w:r>
      <w:r w:rsidR="001A3E3B">
        <w:rPr>
          <w:b/>
          <w:sz w:val="26"/>
          <w:szCs w:val="26"/>
        </w:rPr>
        <w:t>ies to</w:t>
      </w:r>
      <w:r w:rsidRPr="008F78A8">
        <w:rPr>
          <w:b/>
          <w:sz w:val="26"/>
          <w:szCs w:val="26"/>
        </w:rPr>
        <w:t xml:space="preserve"> Exceptions</w:t>
      </w:r>
    </w:p>
    <w:p w14:paraId="4BD38737" w14:textId="77777777" w:rsidR="00024D5A" w:rsidRPr="00837061" w:rsidRDefault="00024D5A" w:rsidP="00D07678">
      <w:pPr>
        <w:keepNext/>
        <w:spacing w:after="0" w:line="360" w:lineRule="auto"/>
        <w:ind w:firstLine="1440"/>
        <w:contextualSpacing/>
        <w:rPr>
          <w:sz w:val="26"/>
          <w:szCs w:val="26"/>
        </w:rPr>
      </w:pPr>
    </w:p>
    <w:p w14:paraId="0CF72AFD" w14:textId="3F4B9A15" w:rsidR="00CB44B1" w:rsidRDefault="00CB44B1" w:rsidP="009F0FBD">
      <w:pPr>
        <w:spacing w:line="360" w:lineRule="auto"/>
        <w:ind w:firstLine="1440"/>
        <w:contextualSpacing/>
        <w:rPr>
          <w:sz w:val="26"/>
          <w:szCs w:val="26"/>
        </w:rPr>
      </w:pPr>
      <w:r w:rsidRPr="00837061">
        <w:rPr>
          <w:sz w:val="26"/>
          <w:szCs w:val="26"/>
        </w:rPr>
        <w:t>Before addressing the Exceptions, we note that any issue or Exception that we do not specifically address shall be deemed to have been duly considered and denied without further discussion.  The Commission is not required to consider</w:t>
      </w:r>
      <w:r w:rsidR="008B75E0" w:rsidRPr="00837061">
        <w:rPr>
          <w:sz w:val="26"/>
          <w:szCs w:val="26"/>
        </w:rPr>
        <w:t>, either</w:t>
      </w:r>
      <w:r w:rsidRPr="00837061">
        <w:rPr>
          <w:sz w:val="26"/>
          <w:szCs w:val="26"/>
        </w:rPr>
        <w:t xml:space="preserve"> expressly or at length</w:t>
      </w:r>
      <w:r w:rsidR="008B75E0" w:rsidRPr="00837061">
        <w:rPr>
          <w:sz w:val="26"/>
          <w:szCs w:val="26"/>
        </w:rPr>
        <w:t>,</w:t>
      </w:r>
      <w:r w:rsidRPr="00837061">
        <w:rPr>
          <w:sz w:val="26"/>
          <w:szCs w:val="26"/>
        </w:rPr>
        <w:t xml:space="preserve"> each contention or argument raised by the Parties.  </w:t>
      </w:r>
      <w:r w:rsidR="00F959A7">
        <w:rPr>
          <w:rStyle w:val="Emphasis"/>
          <w:sz w:val="26"/>
          <w:szCs w:val="26"/>
        </w:rPr>
        <w:t>Consolidated Rail Corp. v.</w:t>
      </w:r>
      <w:r w:rsidRPr="00837061">
        <w:rPr>
          <w:rStyle w:val="Emphasis"/>
          <w:sz w:val="26"/>
          <w:szCs w:val="26"/>
        </w:rPr>
        <w:t xml:space="preserve"> Pa. PUC</w:t>
      </w:r>
      <w:r w:rsidRPr="0030259A">
        <w:rPr>
          <w:rStyle w:val="Emphasis"/>
          <w:i w:val="0"/>
          <w:sz w:val="26"/>
          <w:szCs w:val="26"/>
        </w:rPr>
        <w:t xml:space="preserve">, </w:t>
      </w:r>
      <w:r w:rsidRPr="00837061">
        <w:rPr>
          <w:sz w:val="26"/>
          <w:szCs w:val="26"/>
        </w:rPr>
        <w:t xml:space="preserve">625 A.2d 741 (Pa. Cmwlth. 1993); </w:t>
      </w:r>
      <w:r w:rsidRPr="00837061">
        <w:rPr>
          <w:i/>
          <w:sz w:val="26"/>
          <w:szCs w:val="26"/>
        </w:rPr>
        <w:t xml:space="preserve">also </w:t>
      </w:r>
      <w:r w:rsidRPr="00837061">
        <w:rPr>
          <w:rStyle w:val="Emphasis"/>
          <w:sz w:val="26"/>
          <w:szCs w:val="26"/>
        </w:rPr>
        <w:t>see, generally, University of Pennsylvania v. Pa. PUC</w:t>
      </w:r>
      <w:r w:rsidRPr="00837061">
        <w:rPr>
          <w:sz w:val="26"/>
          <w:szCs w:val="26"/>
        </w:rPr>
        <w:t>, 485 A.2d 1217 (Pa. Cmwlth. 1984).</w:t>
      </w:r>
    </w:p>
    <w:p w14:paraId="5262F776" w14:textId="77777777" w:rsidR="005B13B5" w:rsidRPr="00837061" w:rsidRDefault="005B13B5" w:rsidP="009F0FBD">
      <w:pPr>
        <w:spacing w:line="360" w:lineRule="auto"/>
        <w:ind w:firstLine="1440"/>
        <w:contextualSpacing/>
        <w:rPr>
          <w:sz w:val="26"/>
          <w:szCs w:val="26"/>
        </w:rPr>
      </w:pPr>
    </w:p>
    <w:p w14:paraId="013D03D8" w14:textId="6F86072F" w:rsidR="00CB44B1" w:rsidRDefault="00817781" w:rsidP="009F0FBD">
      <w:pPr>
        <w:spacing w:line="360" w:lineRule="auto"/>
        <w:ind w:firstLine="1440"/>
        <w:contextualSpacing/>
        <w:rPr>
          <w:sz w:val="26"/>
          <w:szCs w:val="26"/>
        </w:rPr>
      </w:pPr>
      <w:r>
        <w:rPr>
          <w:sz w:val="26"/>
          <w:szCs w:val="26"/>
        </w:rPr>
        <w:t xml:space="preserve">In his Exceptions, the Complainant </w:t>
      </w:r>
      <w:r w:rsidR="0085198F">
        <w:rPr>
          <w:sz w:val="26"/>
          <w:szCs w:val="26"/>
        </w:rPr>
        <w:t>essentially argues that the ALJ erred by not considering his response to</w:t>
      </w:r>
      <w:r>
        <w:rPr>
          <w:sz w:val="26"/>
          <w:szCs w:val="26"/>
        </w:rPr>
        <w:t xml:space="preserve"> </w:t>
      </w:r>
      <w:r w:rsidR="0085198F">
        <w:rPr>
          <w:sz w:val="26"/>
          <w:szCs w:val="26"/>
        </w:rPr>
        <w:t xml:space="preserve">PECO’s </w:t>
      </w:r>
      <w:r>
        <w:rPr>
          <w:sz w:val="26"/>
          <w:szCs w:val="26"/>
        </w:rPr>
        <w:t xml:space="preserve">Preliminary Objections, specifically his Letter.  </w:t>
      </w:r>
      <w:r w:rsidR="00FE030D">
        <w:rPr>
          <w:sz w:val="26"/>
          <w:szCs w:val="26"/>
        </w:rPr>
        <w:t xml:space="preserve">The Complainant states he sent </w:t>
      </w:r>
      <w:r w:rsidR="0085198F">
        <w:rPr>
          <w:sz w:val="26"/>
          <w:szCs w:val="26"/>
        </w:rPr>
        <w:t>the</w:t>
      </w:r>
      <w:r w:rsidR="00FE030D">
        <w:rPr>
          <w:sz w:val="26"/>
          <w:szCs w:val="26"/>
        </w:rPr>
        <w:t xml:space="preserve"> Letter via Certified Mail on April 20, 2017, for which he received confirmation of the Commission’s receipt on April 25, 2017.  </w:t>
      </w:r>
      <w:r w:rsidR="00D0535E">
        <w:rPr>
          <w:sz w:val="26"/>
          <w:szCs w:val="26"/>
        </w:rPr>
        <w:t xml:space="preserve">Based upon the </w:t>
      </w:r>
      <w:r w:rsidR="00D0535E">
        <w:rPr>
          <w:sz w:val="26"/>
          <w:szCs w:val="26"/>
        </w:rPr>
        <w:lastRenderedPageBreak/>
        <w:t xml:space="preserve">information provided in </w:t>
      </w:r>
      <w:r w:rsidR="005B13B5">
        <w:rPr>
          <w:sz w:val="26"/>
          <w:szCs w:val="26"/>
        </w:rPr>
        <w:t>the Letter</w:t>
      </w:r>
      <w:r w:rsidR="006337FA">
        <w:rPr>
          <w:sz w:val="26"/>
          <w:szCs w:val="26"/>
        </w:rPr>
        <w:t xml:space="preserve">, which is </w:t>
      </w:r>
      <w:r w:rsidR="00586FCD">
        <w:rPr>
          <w:sz w:val="26"/>
          <w:szCs w:val="26"/>
        </w:rPr>
        <w:t xml:space="preserve">enclosed with </w:t>
      </w:r>
      <w:r w:rsidR="006337FA">
        <w:rPr>
          <w:sz w:val="26"/>
          <w:szCs w:val="26"/>
        </w:rPr>
        <w:t xml:space="preserve">and made part of </w:t>
      </w:r>
      <w:r w:rsidR="00586FCD">
        <w:rPr>
          <w:sz w:val="26"/>
          <w:szCs w:val="26"/>
        </w:rPr>
        <w:t xml:space="preserve">the </w:t>
      </w:r>
      <w:r w:rsidR="00D0535E">
        <w:rPr>
          <w:sz w:val="26"/>
          <w:szCs w:val="26"/>
        </w:rPr>
        <w:t xml:space="preserve">Exceptions, </w:t>
      </w:r>
      <w:r w:rsidR="00E42C2E" w:rsidRPr="00E42C2E">
        <w:rPr>
          <w:sz w:val="26"/>
          <w:szCs w:val="26"/>
        </w:rPr>
        <w:t xml:space="preserve">the Complainant requests </w:t>
      </w:r>
      <w:r w:rsidR="00FE030D">
        <w:rPr>
          <w:sz w:val="26"/>
          <w:szCs w:val="26"/>
        </w:rPr>
        <w:t xml:space="preserve">in his Exceptions </w:t>
      </w:r>
      <w:r w:rsidR="00E42C2E" w:rsidRPr="00E42C2E">
        <w:rPr>
          <w:sz w:val="26"/>
          <w:szCs w:val="26"/>
        </w:rPr>
        <w:t>that he be given a</w:t>
      </w:r>
      <w:r w:rsidR="00FE030D">
        <w:rPr>
          <w:sz w:val="26"/>
          <w:szCs w:val="26"/>
        </w:rPr>
        <w:t>n opportunity to be heard in this matter</w:t>
      </w:r>
      <w:r w:rsidR="00E42C2E" w:rsidRPr="00E42C2E">
        <w:rPr>
          <w:sz w:val="26"/>
          <w:szCs w:val="26"/>
        </w:rPr>
        <w:t>.  Exc. at 1-3.</w:t>
      </w:r>
    </w:p>
    <w:p w14:paraId="423875BD" w14:textId="0A9FF837" w:rsidR="0085198F" w:rsidRDefault="0085198F" w:rsidP="009F0FBD">
      <w:pPr>
        <w:spacing w:line="360" w:lineRule="auto"/>
        <w:ind w:firstLine="1440"/>
        <w:contextualSpacing/>
        <w:rPr>
          <w:sz w:val="26"/>
          <w:szCs w:val="26"/>
        </w:rPr>
      </w:pPr>
    </w:p>
    <w:p w14:paraId="05DE6E71" w14:textId="4E2BE57C" w:rsidR="0085198F" w:rsidRDefault="0085198F" w:rsidP="0085198F">
      <w:pPr>
        <w:spacing w:line="360" w:lineRule="auto"/>
        <w:ind w:firstLine="1440"/>
        <w:contextualSpacing/>
        <w:rPr>
          <w:sz w:val="26"/>
          <w:szCs w:val="26"/>
        </w:rPr>
      </w:pPr>
      <w:r>
        <w:rPr>
          <w:sz w:val="26"/>
          <w:szCs w:val="26"/>
        </w:rPr>
        <w:t xml:space="preserve">In the Letter, the Complainant raised two issues.  The first issue involved guidance given by PECO to the Complainant for correcting the foreign load.  Per the Complainant, PECO suggested the only option for correcting foreign load was to install a common area meter, with all common area wiring connected to this meter.  The Complainant stated the common area meter was installed at a cost of $1,585 and increased the Complainant’s financial burden for minimal foreign load.  While the Complainant acknowledged PECO correctly transferred the account balance, he stated PECO failed to mention </w:t>
      </w:r>
      <w:r w:rsidRPr="00AE3569">
        <w:rPr>
          <w:sz w:val="26"/>
          <w:szCs w:val="26"/>
        </w:rPr>
        <w:t xml:space="preserve">the </w:t>
      </w:r>
      <w:r>
        <w:rPr>
          <w:sz w:val="26"/>
          <w:szCs w:val="26"/>
        </w:rPr>
        <w:t>possibility</w:t>
      </w:r>
      <w:r w:rsidRPr="00AE3569">
        <w:rPr>
          <w:sz w:val="26"/>
          <w:szCs w:val="26"/>
        </w:rPr>
        <w:t xml:space="preserve"> of </w:t>
      </w:r>
      <w:r>
        <w:rPr>
          <w:sz w:val="26"/>
          <w:szCs w:val="26"/>
        </w:rPr>
        <w:t xml:space="preserve">a </w:t>
      </w:r>
      <w:r w:rsidRPr="00AE3569">
        <w:rPr>
          <w:sz w:val="26"/>
          <w:szCs w:val="26"/>
        </w:rPr>
        <w:t xml:space="preserve">minimal foreign </w:t>
      </w:r>
      <w:r>
        <w:rPr>
          <w:sz w:val="26"/>
          <w:szCs w:val="26"/>
        </w:rPr>
        <w:t xml:space="preserve">load, as addressed </w:t>
      </w:r>
      <w:r w:rsidRPr="00AE3569">
        <w:rPr>
          <w:sz w:val="26"/>
          <w:szCs w:val="26"/>
        </w:rPr>
        <w:t>in</w:t>
      </w:r>
      <w:r>
        <w:rPr>
          <w:sz w:val="26"/>
          <w:szCs w:val="26"/>
        </w:rPr>
        <w:t xml:space="preserve"> the</w:t>
      </w:r>
      <w:r w:rsidRPr="00AE3569">
        <w:rPr>
          <w:sz w:val="26"/>
          <w:szCs w:val="26"/>
        </w:rPr>
        <w:t xml:space="preserve"> </w:t>
      </w:r>
      <w:r w:rsidRPr="003F12C9">
        <w:rPr>
          <w:i/>
          <w:iCs/>
          <w:sz w:val="26"/>
          <w:szCs w:val="26"/>
        </w:rPr>
        <w:t>1998 Proposed Policy Statement</w:t>
      </w:r>
      <w:r>
        <w:rPr>
          <w:sz w:val="26"/>
          <w:szCs w:val="26"/>
        </w:rPr>
        <w:t xml:space="preserve">.  Based on the </w:t>
      </w:r>
      <w:r w:rsidRPr="003F12C9">
        <w:rPr>
          <w:i/>
          <w:iCs/>
          <w:sz w:val="26"/>
          <w:szCs w:val="26"/>
        </w:rPr>
        <w:t>1998 Proposed Policy Statement</w:t>
      </w:r>
      <w:r>
        <w:rPr>
          <w:sz w:val="26"/>
          <w:szCs w:val="26"/>
        </w:rPr>
        <w:t xml:space="preserve">, the Complainant argued a landlord may be permitted to allow minimal foreign load to remain on a tenant’s meter, provided that the foreign load was agreed to be minimal, that the load was adequately disclosed to the tenant, and that the tenant explicitly accepted financial responsibility for the foreign load.  The second issue </w:t>
      </w:r>
      <w:r w:rsidR="005A24C0">
        <w:rPr>
          <w:sz w:val="26"/>
          <w:szCs w:val="26"/>
        </w:rPr>
        <w:t>raised in the</w:t>
      </w:r>
      <w:r w:rsidR="005B13B5">
        <w:rPr>
          <w:sz w:val="26"/>
          <w:szCs w:val="26"/>
        </w:rPr>
        <w:t xml:space="preserve"> </w:t>
      </w:r>
      <w:r w:rsidR="005A24C0">
        <w:rPr>
          <w:sz w:val="26"/>
          <w:szCs w:val="26"/>
        </w:rPr>
        <w:t xml:space="preserve">Letter is </w:t>
      </w:r>
      <w:r>
        <w:rPr>
          <w:sz w:val="26"/>
          <w:szCs w:val="26"/>
        </w:rPr>
        <w:t>the calculation of the $5,439.05 outstanding account balance.  The Complainant claimed the calculation is not clear and requested a detailed explanation from PECO.  Letter at 1-3.</w:t>
      </w:r>
    </w:p>
    <w:p w14:paraId="1CC91FCF" w14:textId="77777777" w:rsidR="00CB44B1" w:rsidRPr="00E42C2E" w:rsidRDefault="00CB44B1" w:rsidP="0085198F">
      <w:pPr>
        <w:spacing w:line="360" w:lineRule="auto"/>
        <w:contextualSpacing/>
        <w:rPr>
          <w:sz w:val="26"/>
          <w:szCs w:val="26"/>
        </w:rPr>
      </w:pPr>
    </w:p>
    <w:p w14:paraId="6AD5F8DC" w14:textId="40EDBCF0" w:rsidR="003C7EBB" w:rsidRPr="00782EDE" w:rsidRDefault="00504379" w:rsidP="00F959A7">
      <w:pPr>
        <w:spacing w:line="360" w:lineRule="auto"/>
        <w:ind w:firstLine="1440"/>
        <w:contextualSpacing/>
        <w:rPr>
          <w:sz w:val="26"/>
          <w:szCs w:val="26"/>
        </w:rPr>
      </w:pPr>
      <w:r>
        <w:rPr>
          <w:sz w:val="26"/>
          <w:szCs w:val="26"/>
        </w:rPr>
        <w:t xml:space="preserve">In Replies, </w:t>
      </w:r>
      <w:r w:rsidR="003C7EBB" w:rsidRPr="00782EDE">
        <w:rPr>
          <w:sz w:val="26"/>
          <w:szCs w:val="26"/>
        </w:rPr>
        <w:t xml:space="preserve">PECO </w:t>
      </w:r>
      <w:r>
        <w:rPr>
          <w:sz w:val="26"/>
          <w:szCs w:val="26"/>
        </w:rPr>
        <w:t>asserts</w:t>
      </w:r>
      <w:r w:rsidR="003C7EBB" w:rsidRPr="00782EDE">
        <w:rPr>
          <w:sz w:val="26"/>
          <w:szCs w:val="26"/>
        </w:rPr>
        <w:t xml:space="preserve"> that the ALJ’s Initial Decision is well reasoned and sh</w:t>
      </w:r>
      <w:r w:rsidR="006F5D5F" w:rsidRPr="00782EDE">
        <w:rPr>
          <w:sz w:val="26"/>
          <w:szCs w:val="26"/>
        </w:rPr>
        <w:t xml:space="preserve">ould be upheld.  </w:t>
      </w:r>
      <w:r w:rsidR="003C7EBB" w:rsidRPr="00782EDE">
        <w:rPr>
          <w:sz w:val="26"/>
          <w:szCs w:val="26"/>
        </w:rPr>
        <w:t xml:space="preserve">PECO notes that the Complainant, in his Exceptions, does not allege that PECO violated any provision of the Code or any Commission Regulation or Order, but instead </w:t>
      </w:r>
      <w:r w:rsidR="00C906FF">
        <w:rPr>
          <w:sz w:val="26"/>
          <w:szCs w:val="26"/>
        </w:rPr>
        <w:t xml:space="preserve">claims the </w:t>
      </w:r>
      <w:r w:rsidR="00C906FF" w:rsidRPr="00D07678">
        <w:rPr>
          <w:i/>
          <w:iCs/>
          <w:sz w:val="26"/>
          <w:szCs w:val="26"/>
        </w:rPr>
        <w:t>1998 Proposed Policy Statement</w:t>
      </w:r>
      <w:r w:rsidR="00C906FF">
        <w:rPr>
          <w:sz w:val="26"/>
          <w:szCs w:val="26"/>
        </w:rPr>
        <w:t xml:space="preserve"> acknowledges the financial hardship of foreign load to be minimal</w:t>
      </w:r>
      <w:r w:rsidR="003C7EBB" w:rsidRPr="00782EDE">
        <w:rPr>
          <w:sz w:val="26"/>
          <w:szCs w:val="26"/>
        </w:rPr>
        <w:t xml:space="preserve">.  </w:t>
      </w:r>
      <w:r w:rsidR="00C906FF">
        <w:rPr>
          <w:sz w:val="26"/>
          <w:szCs w:val="26"/>
        </w:rPr>
        <w:t xml:space="preserve">Additionally, </w:t>
      </w:r>
      <w:r w:rsidR="006F560B">
        <w:rPr>
          <w:sz w:val="26"/>
          <w:szCs w:val="26"/>
        </w:rPr>
        <w:t xml:space="preserve">PECO asserts the Complainant did not raise the calculation of the </w:t>
      </w:r>
      <w:r w:rsidR="00B46541">
        <w:rPr>
          <w:sz w:val="26"/>
          <w:szCs w:val="26"/>
        </w:rPr>
        <w:t>$5,439.05 balance transferred to him from his tenant</w:t>
      </w:r>
      <w:r w:rsidR="006F560B">
        <w:rPr>
          <w:sz w:val="26"/>
          <w:szCs w:val="26"/>
        </w:rPr>
        <w:t xml:space="preserve"> in his </w:t>
      </w:r>
      <w:r w:rsidR="00BA5F65">
        <w:rPr>
          <w:sz w:val="26"/>
          <w:szCs w:val="26"/>
        </w:rPr>
        <w:t>C</w:t>
      </w:r>
      <w:r w:rsidR="006F560B">
        <w:rPr>
          <w:sz w:val="26"/>
          <w:szCs w:val="26"/>
        </w:rPr>
        <w:t>omplaint but is now raising the issue for the first time in his Exceptions.  PECO contends the Complainant cannot raise additional issues that were not</w:t>
      </w:r>
      <w:r w:rsidR="00B46541">
        <w:rPr>
          <w:sz w:val="26"/>
          <w:szCs w:val="26"/>
        </w:rPr>
        <w:t xml:space="preserve"> </w:t>
      </w:r>
      <w:r w:rsidR="00284774">
        <w:rPr>
          <w:sz w:val="26"/>
          <w:szCs w:val="26"/>
        </w:rPr>
        <w:t xml:space="preserve">brought </w:t>
      </w:r>
      <w:r w:rsidR="00B46541">
        <w:rPr>
          <w:sz w:val="26"/>
          <w:szCs w:val="26"/>
        </w:rPr>
        <w:t xml:space="preserve">in the </w:t>
      </w:r>
      <w:r w:rsidR="00586FCD">
        <w:rPr>
          <w:sz w:val="26"/>
          <w:szCs w:val="26"/>
        </w:rPr>
        <w:t>Complaint</w:t>
      </w:r>
      <w:r w:rsidR="00B46541">
        <w:rPr>
          <w:sz w:val="26"/>
          <w:szCs w:val="26"/>
        </w:rPr>
        <w:t xml:space="preserve">.  </w:t>
      </w:r>
      <w:r w:rsidR="003C7EBB" w:rsidRPr="00782EDE">
        <w:rPr>
          <w:sz w:val="26"/>
          <w:szCs w:val="26"/>
        </w:rPr>
        <w:t xml:space="preserve">PECO argues that the ALJ correctly determined that when a utility discovers </w:t>
      </w:r>
      <w:r w:rsidR="003C7EBB" w:rsidRPr="00782EDE">
        <w:rPr>
          <w:sz w:val="26"/>
          <w:szCs w:val="26"/>
        </w:rPr>
        <w:lastRenderedPageBreak/>
        <w:t xml:space="preserve">foreign load at a rental property, the utility is required to transfer the tenant’s account, including any arrearages, into the </w:t>
      </w:r>
      <w:r w:rsidR="007D4214">
        <w:rPr>
          <w:sz w:val="26"/>
          <w:szCs w:val="26"/>
        </w:rPr>
        <w:t>property owner’s</w:t>
      </w:r>
      <w:r w:rsidR="003C7EBB" w:rsidRPr="00782EDE">
        <w:rPr>
          <w:sz w:val="26"/>
          <w:szCs w:val="26"/>
        </w:rPr>
        <w:t xml:space="preserve"> name.  Accordingly, PECO submits </w:t>
      </w:r>
      <w:r w:rsidR="00F959A7">
        <w:rPr>
          <w:sz w:val="26"/>
          <w:szCs w:val="26"/>
        </w:rPr>
        <w:t xml:space="preserve">that </w:t>
      </w:r>
      <w:r w:rsidR="003C7EBB" w:rsidRPr="00782EDE">
        <w:rPr>
          <w:sz w:val="26"/>
          <w:szCs w:val="26"/>
        </w:rPr>
        <w:t xml:space="preserve">upon </w:t>
      </w:r>
      <w:r w:rsidR="00F959A7">
        <w:rPr>
          <w:sz w:val="26"/>
          <w:szCs w:val="26"/>
        </w:rPr>
        <w:t>discovering the</w:t>
      </w:r>
      <w:r w:rsidR="003C7EBB" w:rsidRPr="00782EDE">
        <w:rPr>
          <w:sz w:val="26"/>
          <w:szCs w:val="26"/>
        </w:rPr>
        <w:t xml:space="preserve"> foreign wiring in the instant case, it properly transferred the account of the tenant, including arrearages, into the Complainant’s name consistent with Pennsylvania law.  PECO further submits that the ALJ correctly concluded that the Complainant’s case must be dismissed because the Complainant has not stated a claim upon which relief can be granted.  R. Exc. at 1-4.</w:t>
      </w:r>
    </w:p>
    <w:p w14:paraId="2DB90B5E" w14:textId="77777777" w:rsidR="00AE2026" w:rsidRPr="008F78A8" w:rsidRDefault="00AE2026" w:rsidP="00F959A7">
      <w:pPr>
        <w:spacing w:line="360" w:lineRule="auto"/>
        <w:ind w:firstLine="1440"/>
        <w:contextualSpacing/>
        <w:rPr>
          <w:sz w:val="26"/>
          <w:szCs w:val="26"/>
        </w:rPr>
      </w:pPr>
    </w:p>
    <w:p w14:paraId="2EF5E58C" w14:textId="77777777" w:rsidR="00006F35" w:rsidRPr="008F78A8" w:rsidRDefault="00006F35" w:rsidP="007B7FB7">
      <w:pPr>
        <w:keepNext/>
        <w:keepLines/>
        <w:spacing w:line="360" w:lineRule="auto"/>
        <w:contextualSpacing/>
        <w:rPr>
          <w:b/>
          <w:sz w:val="26"/>
          <w:szCs w:val="26"/>
        </w:rPr>
      </w:pPr>
      <w:r w:rsidRPr="008F78A8">
        <w:rPr>
          <w:b/>
          <w:sz w:val="26"/>
          <w:szCs w:val="26"/>
        </w:rPr>
        <w:t>Disposition</w:t>
      </w:r>
    </w:p>
    <w:p w14:paraId="2A7401E1" w14:textId="77777777" w:rsidR="00006F35" w:rsidRPr="0092195B" w:rsidRDefault="00006F35" w:rsidP="007B7FB7">
      <w:pPr>
        <w:keepNext/>
        <w:keepLines/>
        <w:spacing w:line="360" w:lineRule="auto"/>
        <w:ind w:firstLine="1440"/>
        <w:contextualSpacing/>
        <w:rPr>
          <w:b/>
          <w:sz w:val="26"/>
          <w:szCs w:val="26"/>
        </w:rPr>
      </w:pPr>
    </w:p>
    <w:p w14:paraId="3F78DC4C" w14:textId="7F966563" w:rsidR="00B12C2E" w:rsidRDefault="00B12C2E" w:rsidP="009F0FBD">
      <w:pPr>
        <w:spacing w:line="360" w:lineRule="auto"/>
        <w:ind w:firstLine="1440"/>
        <w:contextualSpacing/>
        <w:rPr>
          <w:sz w:val="26"/>
          <w:szCs w:val="26"/>
        </w:rPr>
      </w:pPr>
      <w:r w:rsidRPr="0092195B">
        <w:rPr>
          <w:sz w:val="26"/>
          <w:szCs w:val="26"/>
        </w:rPr>
        <w:t xml:space="preserve">We shall deny the Complainant’s Exceptions and adopt the Initial Decision of ALJ </w:t>
      </w:r>
      <w:r w:rsidR="006F560B">
        <w:rPr>
          <w:sz w:val="26"/>
          <w:szCs w:val="26"/>
        </w:rPr>
        <w:t>Salapa</w:t>
      </w:r>
      <w:r w:rsidRPr="0092195B">
        <w:rPr>
          <w:sz w:val="26"/>
          <w:szCs w:val="26"/>
        </w:rPr>
        <w:t xml:space="preserve"> consistent with the following discussion.  As noted, </w:t>
      </w:r>
      <w:r w:rsidRPr="00F0277D">
        <w:rPr>
          <w:i/>
          <w:sz w:val="26"/>
          <w:szCs w:val="26"/>
        </w:rPr>
        <w:t>supra</w:t>
      </w:r>
      <w:r w:rsidRPr="0092195B">
        <w:rPr>
          <w:sz w:val="26"/>
          <w:szCs w:val="26"/>
        </w:rPr>
        <w:t xml:space="preserve">, in considering </w:t>
      </w:r>
      <w:r w:rsidR="007D4214">
        <w:rPr>
          <w:sz w:val="26"/>
          <w:szCs w:val="26"/>
        </w:rPr>
        <w:t>PECO’s P</w:t>
      </w:r>
      <w:r w:rsidRPr="0092195B">
        <w:rPr>
          <w:sz w:val="26"/>
          <w:szCs w:val="26"/>
        </w:rPr>
        <w:t xml:space="preserve">reliminary </w:t>
      </w:r>
      <w:r w:rsidR="007D4214">
        <w:rPr>
          <w:sz w:val="26"/>
          <w:szCs w:val="26"/>
        </w:rPr>
        <w:t>O</w:t>
      </w:r>
      <w:r w:rsidRPr="0092195B">
        <w:rPr>
          <w:sz w:val="26"/>
          <w:szCs w:val="26"/>
        </w:rPr>
        <w:t xml:space="preserve">bjections, the Commission must view </w:t>
      </w:r>
      <w:r w:rsidR="0019242C">
        <w:rPr>
          <w:sz w:val="26"/>
          <w:szCs w:val="26"/>
        </w:rPr>
        <w:t xml:space="preserve">only </w:t>
      </w:r>
      <w:r w:rsidRPr="0092195B">
        <w:rPr>
          <w:sz w:val="26"/>
          <w:szCs w:val="26"/>
        </w:rPr>
        <w:t xml:space="preserve">the </w:t>
      </w:r>
      <w:r w:rsidR="007D4214" w:rsidRPr="00F431A8">
        <w:rPr>
          <w:sz w:val="26"/>
          <w:szCs w:val="26"/>
        </w:rPr>
        <w:t xml:space="preserve">well-pleaded facts in the </w:t>
      </w:r>
      <w:r w:rsidR="007D4214">
        <w:rPr>
          <w:sz w:val="26"/>
          <w:szCs w:val="26"/>
        </w:rPr>
        <w:t>C</w:t>
      </w:r>
      <w:r w:rsidR="007D4214" w:rsidRPr="00F431A8">
        <w:rPr>
          <w:sz w:val="26"/>
          <w:szCs w:val="26"/>
        </w:rPr>
        <w:t xml:space="preserve">omplaint and the </w:t>
      </w:r>
      <w:r w:rsidR="007D4214">
        <w:rPr>
          <w:sz w:val="26"/>
          <w:szCs w:val="26"/>
        </w:rPr>
        <w:t>r</w:t>
      </w:r>
      <w:r w:rsidR="007D4214" w:rsidRPr="00F431A8">
        <w:rPr>
          <w:sz w:val="26"/>
          <w:szCs w:val="26"/>
        </w:rPr>
        <w:t xml:space="preserve">esponse to </w:t>
      </w:r>
      <w:r w:rsidR="007D4214">
        <w:rPr>
          <w:sz w:val="26"/>
          <w:szCs w:val="26"/>
        </w:rPr>
        <w:t>P</w:t>
      </w:r>
      <w:r w:rsidR="007D4214" w:rsidRPr="00F431A8">
        <w:rPr>
          <w:sz w:val="26"/>
          <w:szCs w:val="26"/>
        </w:rPr>
        <w:t xml:space="preserve">reliminary </w:t>
      </w:r>
      <w:r w:rsidR="007D4214">
        <w:rPr>
          <w:sz w:val="26"/>
          <w:szCs w:val="26"/>
        </w:rPr>
        <w:t>O</w:t>
      </w:r>
      <w:r w:rsidR="007D4214" w:rsidRPr="00F431A8">
        <w:rPr>
          <w:sz w:val="26"/>
          <w:szCs w:val="26"/>
        </w:rPr>
        <w:t>bjections</w:t>
      </w:r>
      <w:r w:rsidRPr="0092195B">
        <w:rPr>
          <w:sz w:val="26"/>
          <w:szCs w:val="26"/>
        </w:rPr>
        <w:t xml:space="preserve"> in the light most favorable to the Complainant and should dismiss the Complaint only if it appears that the Complainant would not be entitled to relief under any circumstances as a matter of law.  </w:t>
      </w:r>
    </w:p>
    <w:p w14:paraId="1AA814FF" w14:textId="70AF545F" w:rsidR="00B12C2E" w:rsidRDefault="00B12C2E" w:rsidP="00881769">
      <w:pPr>
        <w:spacing w:line="360" w:lineRule="auto"/>
        <w:contextualSpacing/>
        <w:rPr>
          <w:sz w:val="26"/>
          <w:szCs w:val="26"/>
        </w:rPr>
      </w:pPr>
    </w:p>
    <w:p w14:paraId="31A3AD4F" w14:textId="02139668" w:rsidR="0085198F" w:rsidRDefault="00D44CCD" w:rsidP="00DB52BA">
      <w:pPr>
        <w:spacing w:line="360" w:lineRule="auto"/>
        <w:ind w:firstLine="1440"/>
        <w:contextualSpacing/>
        <w:rPr>
          <w:sz w:val="26"/>
          <w:szCs w:val="26"/>
        </w:rPr>
      </w:pPr>
      <w:r w:rsidRPr="00D44CCD">
        <w:rPr>
          <w:sz w:val="26"/>
          <w:szCs w:val="26"/>
        </w:rPr>
        <w:t xml:space="preserve">Here, </w:t>
      </w:r>
      <w:r>
        <w:rPr>
          <w:sz w:val="26"/>
          <w:szCs w:val="26"/>
        </w:rPr>
        <w:t>PECO’s</w:t>
      </w:r>
      <w:r w:rsidRPr="00D44CCD">
        <w:rPr>
          <w:sz w:val="26"/>
          <w:szCs w:val="26"/>
        </w:rPr>
        <w:t xml:space="preserve"> Preliminary Objection asserted that the Complaint is legally insufficient pursuant to 52 Pa. Code § 5.101(a)(4), in that the Complaint fails to allege that </w:t>
      </w:r>
      <w:r>
        <w:rPr>
          <w:sz w:val="26"/>
          <w:szCs w:val="26"/>
        </w:rPr>
        <w:t>PECO</w:t>
      </w:r>
      <w:r w:rsidRPr="00D44CCD">
        <w:rPr>
          <w:sz w:val="26"/>
          <w:szCs w:val="26"/>
        </w:rPr>
        <w:t xml:space="preserve"> violated the Code, Commission Regulations or Orders or its tariff provisions.</w:t>
      </w:r>
    </w:p>
    <w:p w14:paraId="7F55D1BC" w14:textId="77777777" w:rsidR="0085198F" w:rsidRDefault="0085198F" w:rsidP="00DB52BA">
      <w:pPr>
        <w:spacing w:line="360" w:lineRule="auto"/>
        <w:ind w:firstLine="1440"/>
        <w:contextualSpacing/>
        <w:rPr>
          <w:sz w:val="26"/>
          <w:szCs w:val="26"/>
        </w:rPr>
      </w:pPr>
    </w:p>
    <w:p w14:paraId="43BE5477" w14:textId="61A0803B" w:rsidR="002F1DAD" w:rsidRDefault="0085198F" w:rsidP="0085198F">
      <w:pPr>
        <w:spacing w:line="360" w:lineRule="auto"/>
        <w:ind w:firstLine="1440"/>
        <w:contextualSpacing/>
        <w:rPr>
          <w:sz w:val="26"/>
          <w:szCs w:val="26"/>
        </w:rPr>
      </w:pPr>
      <w:r>
        <w:rPr>
          <w:sz w:val="26"/>
          <w:szCs w:val="26"/>
        </w:rPr>
        <w:t>In Exceptions, the Complainant claims he filed the Letter via Certified Mail on April 20, 201</w:t>
      </w:r>
      <w:r w:rsidR="009B5A75">
        <w:rPr>
          <w:sz w:val="26"/>
          <w:szCs w:val="26"/>
        </w:rPr>
        <w:t>7</w:t>
      </w:r>
      <w:r>
        <w:rPr>
          <w:sz w:val="26"/>
          <w:szCs w:val="26"/>
        </w:rPr>
        <w:t>, and that the ALJ erred by not considering it.</w:t>
      </w:r>
      <w:r w:rsidR="00D56F2B">
        <w:rPr>
          <w:sz w:val="26"/>
          <w:szCs w:val="26"/>
        </w:rPr>
        <w:t xml:space="preserve">  </w:t>
      </w:r>
      <w:r>
        <w:rPr>
          <w:sz w:val="26"/>
          <w:szCs w:val="26"/>
        </w:rPr>
        <w:t xml:space="preserve">However, the date deposited in the United States Mail as shown by the United States Postal Service stamp on the envelope containing </w:t>
      </w:r>
      <w:r w:rsidR="005B13B5">
        <w:rPr>
          <w:sz w:val="26"/>
          <w:szCs w:val="26"/>
        </w:rPr>
        <w:t>the Letter</w:t>
      </w:r>
      <w:r>
        <w:rPr>
          <w:sz w:val="26"/>
          <w:szCs w:val="26"/>
        </w:rPr>
        <w:t xml:space="preserve"> was May 1, 2017.  </w:t>
      </w:r>
      <w:r w:rsidRPr="00743852">
        <w:rPr>
          <w:sz w:val="26"/>
          <w:szCs w:val="26"/>
        </w:rPr>
        <w:t>Whether we treat the Complainant’s</w:t>
      </w:r>
      <w:r w:rsidR="005B13B5">
        <w:rPr>
          <w:sz w:val="26"/>
          <w:szCs w:val="26"/>
        </w:rPr>
        <w:t xml:space="preserve"> </w:t>
      </w:r>
      <w:r w:rsidRPr="00743852">
        <w:rPr>
          <w:sz w:val="26"/>
          <w:szCs w:val="26"/>
        </w:rPr>
        <w:t xml:space="preserve">Letter as having been filed on </w:t>
      </w:r>
      <w:r>
        <w:rPr>
          <w:sz w:val="26"/>
          <w:szCs w:val="26"/>
        </w:rPr>
        <w:t>May 1</w:t>
      </w:r>
      <w:r w:rsidRPr="00743852">
        <w:rPr>
          <w:sz w:val="26"/>
          <w:szCs w:val="26"/>
        </w:rPr>
        <w:t xml:space="preserve">, 2017, or May 2, 2017, </w:t>
      </w:r>
      <w:r>
        <w:rPr>
          <w:sz w:val="26"/>
          <w:szCs w:val="26"/>
        </w:rPr>
        <w:t xml:space="preserve">per 52 Pa. Code § 1.11(a)(1),(3), </w:t>
      </w:r>
      <w:r w:rsidRPr="00743852">
        <w:rPr>
          <w:sz w:val="26"/>
          <w:szCs w:val="26"/>
        </w:rPr>
        <w:t>the</w:t>
      </w:r>
      <w:r w:rsidR="005B13B5">
        <w:rPr>
          <w:sz w:val="26"/>
          <w:szCs w:val="26"/>
        </w:rPr>
        <w:t xml:space="preserve"> </w:t>
      </w:r>
      <w:r w:rsidRPr="00743852">
        <w:rPr>
          <w:sz w:val="26"/>
          <w:szCs w:val="26"/>
        </w:rPr>
        <w:t xml:space="preserve">Letter was filed well beyond the </w:t>
      </w:r>
      <w:r w:rsidR="005A24C0">
        <w:rPr>
          <w:sz w:val="26"/>
          <w:szCs w:val="26"/>
        </w:rPr>
        <w:t>ten</w:t>
      </w:r>
      <w:r w:rsidRPr="00743852">
        <w:rPr>
          <w:sz w:val="26"/>
          <w:szCs w:val="26"/>
        </w:rPr>
        <w:t xml:space="preserve"> days from service of the Preliminary Objections, as required by the Commission’s Regulations at 52 Pa. Code </w:t>
      </w:r>
      <w:r w:rsidRPr="00743852">
        <w:rPr>
          <w:sz w:val="26"/>
          <w:szCs w:val="26"/>
        </w:rPr>
        <w:lastRenderedPageBreak/>
        <w:t>§§</w:t>
      </w:r>
      <w:r w:rsidR="00A54B0F">
        <w:rPr>
          <w:sz w:val="26"/>
          <w:szCs w:val="26"/>
        </w:rPr>
        <w:t> </w:t>
      </w:r>
      <w:r w:rsidRPr="00743852">
        <w:rPr>
          <w:sz w:val="26"/>
          <w:szCs w:val="26"/>
        </w:rPr>
        <w:t>5.61(a)(2), 5.101(f)(1</w:t>
      </w:r>
      <w:r>
        <w:rPr>
          <w:sz w:val="26"/>
          <w:szCs w:val="26"/>
        </w:rPr>
        <w:t>).  Therefore, the</w:t>
      </w:r>
      <w:r w:rsidR="005B13B5">
        <w:rPr>
          <w:sz w:val="26"/>
          <w:szCs w:val="26"/>
        </w:rPr>
        <w:t xml:space="preserve"> </w:t>
      </w:r>
      <w:r>
        <w:rPr>
          <w:sz w:val="26"/>
          <w:szCs w:val="26"/>
        </w:rPr>
        <w:t>Letter was untimely</w:t>
      </w:r>
      <w:r w:rsidR="005B13B5">
        <w:rPr>
          <w:sz w:val="26"/>
          <w:szCs w:val="26"/>
        </w:rPr>
        <w:t xml:space="preserve"> filed</w:t>
      </w:r>
      <w:r>
        <w:rPr>
          <w:sz w:val="26"/>
          <w:szCs w:val="26"/>
        </w:rPr>
        <w:t xml:space="preserve">.  </w:t>
      </w:r>
      <w:r w:rsidR="008F63CA">
        <w:rPr>
          <w:sz w:val="26"/>
          <w:szCs w:val="26"/>
        </w:rPr>
        <w:t xml:space="preserve">For this reason, </w:t>
      </w:r>
      <w:r w:rsidR="005207E2">
        <w:rPr>
          <w:sz w:val="26"/>
          <w:szCs w:val="26"/>
        </w:rPr>
        <w:t xml:space="preserve">the ALJ did not err </w:t>
      </w:r>
      <w:r w:rsidR="002F69CE">
        <w:rPr>
          <w:sz w:val="26"/>
          <w:szCs w:val="26"/>
        </w:rPr>
        <w:t>by</w:t>
      </w:r>
      <w:r w:rsidR="005207E2">
        <w:rPr>
          <w:sz w:val="26"/>
          <w:szCs w:val="26"/>
        </w:rPr>
        <w:t xml:space="preserve"> not considering </w:t>
      </w:r>
      <w:r w:rsidR="005B13B5">
        <w:rPr>
          <w:sz w:val="26"/>
          <w:szCs w:val="26"/>
        </w:rPr>
        <w:t>the Letter</w:t>
      </w:r>
      <w:r w:rsidR="008F63CA">
        <w:rPr>
          <w:sz w:val="26"/>
          <w:szCs w:val="26"/>
        </w:rPr>
        <w:t xml:space="preserve"> in his Initial Decision</w:t>
      </w:r>
      <w:r w:rsidR="005207E2">
        <w:rPr>
          <w:sz w:val="26"/>
          <w:szCs w:val="26"/>
        </w:rPr>
        <w:t>.</w:t>
      </w:r>
    </w:p>
    <w:p w14:paraId="6543D875" w14:textId="77777777" w:rsidR="002F1DAD" w:rsidRDefault="002F1DAD" w:rsidP="005207E2">
      <w:pPr>
        <w:spacing w:line="360" w:lineRule="auto"/>
        <w:ind w:firstLine="1440"/>
        <w:contextualSpacing/>
        <w:rPr>
          <w:sz w:val="26"/>
          <w:szCs w:val="26"/>
        </w:rPr>
      </w:pPr>
    </w:p>
    <w:p w14:paraId="24AE070E" w14:textId="1797BD73" w:rsidR="005207E2" w:rsidRDefault="0019242C" w:rsidP="005207E2">
      <w:pPr>
        <w:spacing w:line="360" w:lineRule="auto"/>
        <w:ind w:firstLine="1440"/>
        <w:contextualSpacing/>
        <w:rPr>
          <w:sz w:val="26"/>
          <w:szCs w:val="26"/>
        </w:rPr>
      </w:pPr>
      <w:r>
        <w:rPr>
          <w:sz w:val="26"/>
          <w:szCs w:val="26"/>
        </w:rPr>
        <w:t>We note that t</w:t>
      </w:r>
      <w:r w:rsidR="005207E2" w:rsidRPr="00F95C0F">
        <w:rPr>
          <w:sz w:val="26"/>
          <w:szCs w:val="26"/>
        </w:rPr>
        <w:t>he Complainant did not raise the calculation of the</w:t>
      </w:r>
      <w:r w:rsidR="005A24C0">
        <w:rPr>
          <w:sz w:val="26"/>
          <w:szCs w:val="26"/>
        </w:rPr>
        <w:t xml:space="preserve"> $5,439.05 </w:t>
      </w:r>
      <w:r w:rsidR="005207E2" w:rsidRPr="00F95C0F">
        <w:rPr>
          <w:sz w:val="26"/>
          <w:szCs w:val="26"/>
        </w:rPr>
        <w:t xml:space="preserve">account balance in his </w:t>
      </w:r>
      <w:r w:rsidR="005207E2">
        <w:rPr>
          <w:sz w:val="26"/>
          <w:szCs w:val="26"/>
        </w:rPr>
        <w:t>C</w:t>
      </w:r>
      <w:r w:rsidR="005207E2" w:rsidRPr="00F95C0F">
        <w:rPr>
          <w:sz w:val="26"/>
          <w:szCs w:val="26"/>
        </w:rPr>
        <w:t xml:space="preserve">omplaint but </w:t>
      </w:r>
      <w:r w:rsidR="005207E2">
        <w:rPr>
          <w:sz w:val="26"/>
          <w:szCs w:val="26"/>
        </w:rPr>
        <w:t xml:space="preserve">rather raised it in his </w:t>
      </w:r>
      <w:r w:rsidR="00CD09D8">
        <w:rPr>
          <w:sz w:val="26"/>
          <w:szCs w:val="26"/>
        </w:rPr>
        <w:t xml:space="preserve">untimely </w:t>
      </w:r>
      <w:r w:rsidR="005207E2">
        <w:rPr>
          <w:sz w:val="26"/>
          <w:szCs w:val="26"/>
        </w:rPr>
        <w:t xml:space="preserve">Letter and again </w:t>
      </w:r>
      <w:r w:rsidR="005207E2" w:rsidRPr="00F95C0F">
        <w:rPr>
          <w:sz w:val="26"/>
          <w:szCs w:val="26"/>
        </w:rPr>
        <w:t>in his Exceptions</w:t>
      </w:r>
      <w:r w:rsidR="00817781">
        <w:rPr>
          <w:sz w:val="26"/>
          <w:szCs w:val="26"/>
        </w:rPr>
        <w:t xml:space="preserve"> by attaching the Letter to his Exceptions</w:t>
      </w:r>
      <w:r w:rsidR="005207E2" w:rsidRPr="00F95C0F">
        <w:rPr>
          <w:sz w:val="26"/>
          <w:szCs w:val="26"/>
        </w:rPr>
        <w:t xml:space="preserve">.  </w:t>
      </w:r>
      <w:r w:rsidR="005A24C0">
        <w:rPr>
          <w:sz w:val="26"/>
          <w:szCs w:val="26"/>
        </w:rPr>
        <w:t xml:space="preserve">Because </w:t>
      </w:r>
      <w:r w:rsidR="005B13B5">
        <w:rPr>
          <w:sz w:val="26"/>
          <w:szCs w:val="26"/>
        </w:rPr>
        <w:t>the Letter</w:t>
      </w:r>
      <w:r w:rsidR="005A24C0">
        <w:rPr>
          <w:sz w:val="26"/>
          <w:szCs w:val="26"/>
        </w:rPr>
        <w:t xml:space="preserve"> was untimely, we shall disregard the issue about the calculation of the account balance for purposes of reviewing the ALJ’s disposition of the Preliminary Objections.  Moreover, t</w:t>
      </w:r>
      <w:r w:rsidR="005207E2" w:rsidRPr="00F95C0F">
        <w:rPr>
          <w:sz w:val="26"/>
          <w:szCs w:val="26"/>
        </w:rPr>
        <w:t xml:space="preserve">he Complainant cannot </w:t>
      </w:r>
      <w:r w:rsidR="005A24C0">
        <w:rPr>
          <w:sz w:val="26"/>
          <w:szCs w:val="26"/>
        </w:rPr>
        <w:t xml:space="preserve">now </w:t>
      </w:r>
      <w:r w:rsidR="005207E2" w:rsidRPr="00F95C0F">
        <w:rPr>
          <w:sz w:val="26"/>
          <w:szCs w:val="26"/>
        </w:rPr>
        <w:t xml:space="preserve">raise additional issues </w:t>
      </w:r>
      <w:r w:rsidR="005207E2">
        <w:rPr>
          <w:sz w:val="26"/>
          <w:szCs w:val="26"/>
        </w:rPr>
        <w:t xml:space="preserve">or facts in Exceptions </w:t>
      </w:r>
      <w:r w:rsidR="005207E2" w:rsidRPr="00F95C0F">
        <w:rPr>
          <w:sz w:val="26"/>
          <w:szCs w:val="26"/>
        </w:rPr>
        <w:t>that were not</w:t>
      </w:r>
      <w:r w:rsidR="00A3261F">
        <w:rPr>
          <w:sz w:val="26"/>
          <w:szCs w:val="26"/>
        </w:rPr>
        <w:t xml:space="preserve"> originally</w:t>
      </w:r>
      <w:r w:rsidR="005207E2" w:rsidRPr="00F95C0F">
        <w:rPr>
          <w:sz w:val="26"/>
          <w:szCs w:val="26"/>
        </w:rPr>
        <w:t xml:space="preserve"> plead</w:t>
      </w:r>
      <w:r w:rsidR="00CD09D8">
        <w:rPr>
          <w:sz w:val="26"/>
          <w:szCs w:val="26"/>
        </w:rPr>
        <w:t>ed</w:t>
      </w:r>
      <w:r w:rsidR="005207E2" w:rsidRPr="00F95C0F">
        <w:rPr>
          <w:sz w:val="26"/>
          <w:szCs w:val="26"/>
        </w:rPr>
        <w:t xml:space="preserve"> in the formal complaint</w:t>
      </w:r>
      <w:r w:rsidR="005207E2">
        <w:rPr>
          <w:sz w:val="26"/>
          <w:szCs w:val="26"/>
        </w:rPr>
        <w:t xml:space="preserve"> or</w:t>
      </w:r>
      <w:r w:rsidR="002F1DAD">
        <w:rPr>
          <w:sz w:val="26"/>
          <w:szCs w:val="26"/>
        </w:rPr>
        <w:t xml:space="preserve"> in a</w:t>
      </w:r>
      <w:r w:rsidR="005207E2">
        <w:rPr>
          <w:sz w:val="26"/>
          <w:szCs w:val="26"/>
        </w:rPr>
        <w:t xml:space="preserve"> </w:t>
      </w:r>
      <w:r w:rsidR="00F37379">
        <w:rPr>
          <w:sz w:val="26"/>
          <w:szCs w:val="26"/>
        </w:rPr>
        <w:t xml:space="preserve">timely </w:t>
      </w:r>
      <w:r w:rsidR="005207E2">
        <w:rPr>
          <w:sz w:val="26"/>
          <w:szCs w:val="26"/>
        </w:rPr>
        <w:t>response to preliminary objections</w:t>
      </w:r>
      <w:r w:rsidR="005207E2" w:rsidRPr="00F95C0F">
        <w:rPr>
          <w:sz w:val="26"/>
          <w:szCs w:val="26"/>
        </w:rPr>
        <w:t>.</w:t>
      </w:r>
      <w:r w:rsidR="00F37379">
        <w:rPr>
          <w:sz w:val="26"/>
          <w:szCs w:val="26"/>
        </w:rPr>
        <w:t xml:space="preserve">  </w:t>
      </w:r>
    </w:p>
    <w:p w14:paraId="6394DC04" w14:textId="60C97D30" w:rsidR="00F95C0F" w:rsidRDefault="00F95C0F" w:rsidP="005A24C0">
      <w:pPr>
        <w:spacing w:line="360" w:lineRule="auto"/>
        <w:contextualSpacing/>
        <w:rPr>
          <w:sz w:val="26"/>
          <w:szCs w:val="26"/>
        </w:rPr>
      </w:pPr>
    </w:p>
    <w:p w14:paraId="7D84A68B" w14:textId="7664A40D" w:rsidR="002F1DAD" w:rsidRDefault="002F69CE" w:rsidP="00F95C0F">
      <w:pPr>
        <w:spacing w:line="360" w:lineRule="auto"/>
        <w:ind w:firstLine="1440"/>
        <w:contextualSpacing/>
        <w:rPr>
          <w:sz w:val="26"/>
          <w:szCs w:val="26"/>
        </w:rPr>
      </w:pPr>
      <w:r>
        <w:rPr>
          <w:sz w:val="26"/>
          <w:szCs w:val="26"/>
        </w:rPr>
        <w:t xml:space="preserve">By attaching </w:t>
      </w:r>
      <w:r w:rsidR="005B13B5">
        <w:rPr>
          <w:sz w:val="26"/>
          <w:szCs w:val="26"/>
        </w:rPr>
        <w:t>his Letter</w:t>
      </w:r>
      <w:r>
        <w:rPr>
          <w:sz w:val="26"/>
          <w:szCs w:val="26"/>
        </w:rPr>
        <w:t xml:space="preserve"> to</w:t>
      </w:r>
      <w:r w:rsidR="002F1DAD">
        <w:rPr>
          <w:sz w:val="26"/>
          <w:szCs w:val="26"/>
        </w:rPr>
        <w:t xml:space="preserve"> his Exceptions, t</w:t>
      </w:r>
      <w:r w:rsidR="002F1DAD" w:rsidRPr="00BE58AF">
        <w:rPr>
          <w:sz w:val="26"/>
          <w:szCs w:val="26"/>
        </w:rPr>
        <w:t>he Complainant contends</w:t>
      </w:r>
      <w:r w:rsidR="00B51676">
        <w:rPr>
          <w:sz w:val="26"/>
          <w:szCs w:val="26"/>
        </w:rPr>
        <w:t xml:space="preserve"> the ALJ erred</w:t>
      </w:r>
      <w:r>
        <w:rPr>
          <w:sz w:val="26"/>
          <w:szCs w:val="26"/>
        </w:rPr>
        <w:t xml:space="preserve"> </w:t>
      </w:r>
      <w:r w:rsidR="008F63CA">
        <w:rPr>
          <w:sz w:val="26"/>
          <w:szCs w:val="26"/>
        </w:rPr>
        <w:t>in his legal conclusions</w:t>
      </w:r>
      <w:r w:rsidR="00B51676">
        <w:rPr>
          <w:sz w:val="26"/>
          <w:szCs w:val="26"/>
        </w:rPr>
        <w:t xml:space="preserve"> because</w:t>
      </w:r>
      <w:r w:rsidR="008F63CA">
        <w:rPr>
          <w:sz w:val="26"/>
          <w:szCs w:val="26"/>
        </w:rPr>
        <w:t>, according to the Complainant,</w:t>
      </w:r>
      <w:r w:rsidR="002F1DAD" w:rsidRPr="00BE58AF">
        <w:rPr>
          <w:sz w:val="26"/>
          <w:szCs w:val="26"/>
        </w:rPr>
        <w:t xml:space="preserve"> a minimal foreign load </w:t>
      </w:r>
      <w:r>
        <w:rPr>
          <w:sz w:val="26"/>
          <w:szCs w:val="26"/>
        </w:rPr>
        <w:t>may</w:t>
      </w:r>
      <w:r w:rsidR="002F1DAD" w:rsidRPr="00BE58AF">
        <w:rPr>
          <w:sz w:val="26"/>
          <w:szCs w:val="26"/>
        </w:rPr>
        <w:t xml:space="preserve"> be permitted </w:t>
      </w:r>
      <w:r>
        <w:rPr>
          <w:sz w:val="26"/>
          <w:szCs w:val="26"/>
        </w:rPr>
        <w:t>pursuant to</w:t>
      </w:r>
      <w:r w:rsidR="002F1DAD" w:rsidRPr="00BE58AF">
        <w:rPr>
          <w:sz w:val="26"/>
          <w:szCs w:val="26"/>
        </w:rPr>
        <w:t xml:space="preserve"> the </w:t>
      </w:r>
      <w:r w:rsidR="002F1DAD" w:rsidRPr="00881769">
        <w:rPr>
          <w:i/>
          <w:iCs/>
          <w:sz w:val="26"/>
          <w:szCs w:val="26"/>
        </w:rPr>
        <w:t>1998 Proposed Policy Statement</w:t>
      </w:r>
      <w:r w:rsidR="002F1DAD">
        <w:rPr>
          <w:sz w:val="26"/>
          <w:szCs w:val="26"/>
        </w:rPr>
        <w:t xml:space="preserve">.  </w:t>
      </w:r>
      <w:r w:rsidR="00817781">
        <w:rPr>
          <w:sz w:val="26"/>
          <w:szCs w:val="26"/>
        </w:rPr>
        <w:t xml:space="preserve">However, </w:t>
      </w:r>
      <w:r w:rsidR="002F1DAD">
        <w:rPr>
          <w:sz w:val="26"/>
          <w:szCs w:val="26"/>
        </w:rPr>
        <w:t xml:space="preserve">the ALJ explained </w:t>
      </w:r>
      <w:r w:rsidR="00817781">
        <w:rPr>
          <w:sz w:val="26"/>
          <w:szCs w:val="26"/>
        </w:rPr>
        <w:t>in the Initial Decision</w:t>
      </w:r>
      <w:r w:rsidR="00CD09D8">
        <w:rPr>
          <w:sz w:val="26"/>
          <w:szCs w:val="26"/>
        </w:rPr>
        <w:t xml:space="preserve">, discussed </w:t>
      </w:r>
      <w:r w:rsidR="00CD09D8" w:rsidRPr="00CD09D8">
        <w:rPr>
          <w:i/>
          <w:iCs/>
          <w:sz w:val="26"/>
          <w:szCs w:val="26"/>
        </w:rPr>
        <w:t>supra</w:t>
      </w:r>
      <w:r w:rsidR="00CD09D8">
        <w:rPr>
          <w:sz w:val="26"/>
          <w:szCs w:val="26"/>
        </w:rPr>
        <w:t>,</w:t>
      </w:r>
      <w:r w:rsidR="00817781">
        <w:rPr>
          <w:sz w:val="26"/>
          <w:szCs w:val="26"/>
        </w:rPr>
        <w:t xml:space="preserve"> </w:t>
      </w:r>
      <w:r w:rsidR="002F1DAD">
        <w:rPr>
          <w:sz w:val="26"/>
          <w:szCs w:val="26"/>
        </w:rPr>
        <w:t xml:space="preserve">that the </w:t>
      </w:r>
      <w:r w:rsidR="002F1DAD" w:rsidRPr="00881769">
        <w:rPr>
          <w:i/>
          <w:iCs/>
          <w:sz w:val="26"/>
          <w:szCs w:val="26"/>
        </w:rPr>
        <w:t>1998 Proposed Policy Statement</w:t>
      </w:r>
      <w:r w:rsidR="002F1DAD" w:rsidRPr="00D92FAD">
        <w:rPr>
          <w:sz w:val="26"/>
          <w:szCs w:val="26"/>
        </w:rPr>
        <w:t xml:space="preserve"> </w:t>
      </w:r>
      <w:r w:rsidR="002F1DAD">
        <w:rPr>
          <w:sz w:val="26"/>
          <w:szCs w:val="26"/>
        </w:rPr>
        <w:t>was withdrawn</w:t>
      </w:r>
      <w:r w:rsidR="0019242C">
        <w:rPr>
          <w:sz w:val="26"/>
          <w:szCs w:val="26"/>
        </w:rPr>
        <w:t xml:space="preserve"> by the Commission and was never finalized and, therefore, </w:t>
      </w:r>
      <w:r w:rsidR="002F1DAD">
        <w:rPr>
          <w:sz w:val="26"/>
          <w:szCs w:val="26"/>
        </w:rPr>
        <w:t>has no relevance to this case.  We agree</w:t>
      </w:r>
      <w:r w:rsidR="008F63CA">
        <w:rPr>
          <w:sz w:val="26"/>
          <w:szCs w:val="26"/>
        </w:rPr>
        <w:t xml:space="preserve"> with the ALJ, and w</w:t>
      </w:r>
      <w:r w:rsidR="00D9152B" w:rsidRPr="00D92FAD">
        <w:rPr>
          <w:sz w:val="26"/>
          <w:szCs w:val="26"/>
        </w:rPr>
        <w:t>e find that the law</w:t>
      </w:r>
      <w:r w:rsidR="008F63CA">
        <w:rPr>
          <w:sz w:val="26"/>
          <w:szCs w:val="26"/>
        </w:rPr>
        <w:t xml:space="preserve"> to be applied in this case</w:t>
      </w:r>
      <w:r w:rsidR="00D9152B" w:rsidRPr="00D92FAD">
        <w:rPr>
          <w:sz w:val="26"/>
          <w:szCs w:val="26"/>
        </w:rPr>
        <w:t xml:space="preserve"> is clear and </w:t>
      </w:r>
      <w:r w:rsidR="00F3659B">
        <w:rPr>
          <w:sz w:val="26"/>
          <w:szCs w:val="26"/>
        </w:rPr>
        <w:t xml:space="preserve">that it </w:t>
      </w:r>
      <w:r w:rsidR="00D9152B" w:rsidRPr="00D92FAD">
        <w:rPr>
          <w:sz w:val="26"/>
          <w:szCs w:val="26"/>
        </w:rPr>
        <w:t xml:space="preserve">has been </w:t>
      </w:r>
      <w:r w:rsidR="00D9152B">
        <w:rPr>
          <w:sz w:val="26"/>
          <w:szCs w:val="26"/>
        </w:rPr>
        <w:t xml:space="preserve">applied </w:t>
      </w:r>
      <w:r w:rsidR="00F3659B">
        <w:rPr>
          <w:sz w:val="26"/>
          <w:szCs w:val="26"/>
        </w:rPr>
        <w:t>correctly</w:t>
      </w:r>
      <w:r w:rsidR="00D9152B">
        <w:rPr>
          <w:sz w:val="26"/>
          <w:szCs w:val="26"/>
        </w:rPr>
        <w:t xml:space="preserve"> by the ALJ in </w:t>
      </w:r>
      <w:r w:rsidR="008F63CA">
        <w:rPr>
          <w:sz w:val="26"/>
          <w:szCs w:val="26"/>
        </w:rPr>
        <w:t>the Initial Decision</w:t>
      </w:r>
      <w:r w:rsidR="00D9152B">
        <w:rPr>
          <w:sz w:val="26"/>
          <w:szCs w:val="26"/>
        </w:rPr>
        <w:t>.</w:t>
      </w:r>
    </w:p>
    <w:p w14:paraId="67D37A27" w14:textId="77777777" w:rsidR="00881769" w:rsidRPr="0092195B" w:rsidRDefault="00881769" w:rsidP="0019242C">
      <w:pPr>
        <w:spacing w:line="360" w:lineRule="auto"/>
        <w:contextualSpacing/>
        <w:rPr>
          <w:sz w:val="26"/>
          <w:szCs w:val="26"/>
        </w:rPr>
      </w:pPr>
    </w:p>
    <w:p w14:paraId="3D3A35C1" w14:textId="118D50AD" w:rsidR="006B22C2" w:rsidRDefault="006B22C2" w:rsidP="003F0AAF">
      <w:pPr>
        <w:spacing w:line="360" w:lineRule="auto"/>
        <w:ind w:firstLine="1440"/>
        <w:contextualSpacing/>
        <w:rPr>
          <w:sz w:val="26"/>
          <w:szCs w:val="26"/>
        </w:rPr>
      </w:pPr>
      <w:r w:rsidRPr="0092195B">
        <w:rPr>
          <w:sz w:val="26"/>
          <w:szCs w:val="26"/>
        </w:rPr>
        <w:t>Section 1529.1 of the Code,</w:t>
      </w:r>
      <w:r w:rsidR="00D9152B">
        <w:rPr>
          <w:sz w:val="26"/>
          <w:szCs w:val="26"/>
        </w:rPr>
        <w:t xml:space="preserve"> </w:t>
      </w:r>
      <w:r w:rsidRPr="0092195B">
        <w:rPr>
          <w:sz w:val="26"/>
          <w:szCs w:val="26"/>
        </w:rPr>
        <w:t>s</w:t>
      </w:r>
      <w:r w:rsidR="00B378C2" w:rsidRPr="0092195B">
        <w:rPr>
          <w:sz w:val="26"/>
          <w:szCs w:val="26"/>
        </w:rPr>
        <w:t>tates</w:t>
      </w:r>
      <w:r w:rsidRPr="0092195B">
        <w:rPr>
          <w:sz w:val="26"/>
          <w:szCs w:val="26"/>
        </w:rPr>
        <w:t xml:space="preserve"> the following:  </w:t>
      </w:r>
    </w:p>
    <w:p w14:paraId="7D2D1303" w14:textId="77777777" w:rsidR="003F0AAF" w:rsidRDefault="003F0AAF" w:rsidP="003F0AAF">
      <w:pPr>
        <w:spacing w:line="360" w:lineRule="auto"/>
        <w:ind w:firstLine="1440"/>
        <w:contextualSpacing/>
        <w:rPr>
          <w:sz w:val="26"/>
          <w:szCs w:val="26"/>
        </w:rPr>
      </w:pPr>
    </w:p>
    <w:p w14:paraId="453F5B7E" w14:textId="77777777" w:rsidR="006B22C2" w:rsidRPr="0092195B" w:rsidRDefault="006B22C2" w:rsidP="009F0FBD">
      <w:pPr>
        <w:autoSpaceDE w:val="0"/>
        <w:autoSpaceDN w:val="0"/>
        <w:adjustRightInd w:val="0"/>
        <w:ind w:left="1440" w:right="1440"/>
        <w:contextualSpacing/>
        <w:rPr>
          <w:b/>
          <w:bCs/>
          <w:sz w:val="26"/>
          <w:szCs w:val="26"/>
        </w:rPr>
      </w:pPr>
      <w:r w:rsidRPr="0092195B">
        <w:rPr>
          <w:b/>
          <w:bCs/>
          <w:sz w:val="26"/>
          <w:szCs w:val="26"/>
        </w:rPr>
        <w:t>§ 1529.1.  Duty of owners of rental property.</w:t>
      </w:r>
    </w:p>
    <w:p w14:paraId="2AA5BEED" w14:textId="77777777" w:rsidR="006B22C2" w:rsidRPr="0092195B" w:rsidRDefault="006B22C2" w:rsidP="009F0FBD">
      <w:pPr>
        <w:autoSpaceDE w:val="0"/>
        <w:autoSpaceDN w:val="0"/>
        <w:adjustRightInd w:val="0"/>
        <w:ind w:left="1440" w:right="1440"/>
        <w:contextualSpacing/>
        <w:rPr>
          <w:b/>
          <w:bCs/>
          <w:sz w:val="26"/>
          <w:szCs w:val="26"/>
        </w:rPr>
      </w:pPr>
    </w:p>
    <w:p w14:paraId="339A4EE2" w14:textId="77777777" w:rsidR="006B22C2" w:rsidRPr="0092195B" w:rsidRDefault="006B22C2" w:rsidP="009F0FBD">
      <w:pPr>
        <w:autoSpaceDE w:val="0"/>
        <w:autoSpaceDN w:val="0"/>
        <w:adjustRightInd w:val="0"/>
        <w:ind w:left="1440" w:right="1440" w:firstLine="720"/>
        <w:contextualSpacing/>
        <w:rPr>
          <w:sz w:val="26"/>
          <w:szCs w:val="26"/>
        </w:rPr>
      </w:pPr>
      <w:r w:rsidRPr="0092195B">
        <w:rPr>
          <w:b/>
          <w:bCs/>
          <w:sz w:val="26"/>
          <w:szCs w:val="26"/>
        </w:rPr>
        <w:t>(a)  Notice to public utility.—</w:t>
      </w:r>
      <w:r w:rsidRPr="0092195B">
        <w:rPr>
          <w:sz w:val="26"/>
          <w:szCs w:val="26"/>
        </w:rPr>
        <w:t>It</w:t>
      </w:r>
      <w:r w:rsidR="00D051BD" w:rsidRPr="0092195B">
        <w:rPr>
          <w:sz w:val="26"/>
          <w:szCs w:val="26"/>
        </w:rPr>
        <w:t xml:space="preserve"> </w:t>
      </w:r>
      <w:r w:rsidRPr="0092195B">
        <w:rPr>
          <w:sz w:val="26"/>
          <w:szCs w:val="26"/>
        </w:rPr>
        <w:t xml:space="preserve">is the duty of every owner of a residential building or mobile home park which contains one or more dwelling units, not individually metered, to notify each public utility from whom utility </w:t>
      </w:r>
      <w:r w:rsidRPr="0092195B">
        <w:rPr>
          <w:sz w:val="26"/>
          <w:szCs w:val="26"/>
        </w:rPr>
        <w:lastRenderedPageBreak/>
        <w:t>service is received of their ownership and the fact that the premises served are used for rental purposes.</w:t>
      </w:r>
      <w:bookmarkStart w:id="3" w:name="IN;3"/>
      <w:bookmarkStart w:id="4" w:name="SP;a83b000018c76"/>
      <w:bookmarkEnd w:id="3"/>
      <w:bookmarkEnd w:id="4"/>
    </w:p>
    <w:p w14:paraId="41D10433" w14:textId="77777777" w:rsidR="006B22C2" w:rsidRPr="0092195B" w:rsidRDefault="006B22C2" w:rsidP="009F0FBD">
      <w:pPr>
        <w:autoSpaceDE w:val="0"/>
        <w:autoSpaceDN w:val="0"/>
        <w:adjustRightInd w:val="0"/>
        <w:ind w:left="1440" w:right="1440"/>
        <w:contextualSpacing/>
        <w:rPr>
          <w:b/>
          <w:bCs/>
          <w:sz w:val="26"/>
          <w:szCs w:val="26"/>
        </w:rPr>
      </w:pPr>
    </w:p>
    <w:p w14:paraId="0A9AF90A" w14:textId="77777777" w:rsidR="006B22C2" w:rsidRPr="0092195B" w:rsidRDefault="006B22C2" w:rsidP="009F0FBD">
      <w:pPr>
        <w:ind w:left="1440" w:right="1440" w:firstLine="720"/>
        <w:contextualSpacing/>
        <w:rPr>
          <w:sz w:val="26"/>
          <w:szCs w:val="26"/>
        </w:rPr>
      </w:pPr>
      <w:r w:rsidRPr="0092195B">
        <w:rPr>
          <w:b/>
          <w:bCs/>
          <w:sz w:val="26"/>
          <w:szCs w:val="26"/>
        </w:rPr>
        <w:t>(b)  History of account.—</w:t>
      </w:r>
      <w:r w:rsidRPr="0092195B">
        <w:rPr>
          <w:sz w:val="26"/>
          <w:szCs w:val="26"/>
        </w:rPr>
        <w:t xml:space="preserve">Upon receipt of the notice provided in this section, if the mobile home park or residential building contains one or more dwelling </w:t>
      </w:r>
      <w:bookmarkStart w:id="5" w:name="SDU_2"/>
      <w:bookmarkEnd w:id="5"/>
      <w:r w:rsidRPr="0092195B">
        <w:rPr>
          <w:sz w:val="26"/>
          <w:szCs w:val="26"/>
        </w:rPr>
        <w:t>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6" w:name="IN;4"/>
      <w:bookmarkStart w:id="7" w:name="SP;4b24000003ba5"/>
      <w:bookmarkEnd w:id="6"/>
      <w:bookmarkEnd w:id="7"/>
    </w:p>
    <w:p w14:paraId="7650A64F" w14:textId="77777777" w:rsidR="006B22C2" w:rsidRPr="0092195B" w:rsidRDefault="006B22C2" w:rsidP="009F0FBD">
      <w:pPr>
        <w:ind w:left="1440" w:right="1440"/>
        <w:contextualSpacing/>
        <w:rPr>
          <w:b/>
          <w:bCs/>
          <w:sz w:val="26"/>
          <w:szCs w:val="26"/>
        </w:rPr>
      </w:pPr>
    </w:p>
    <w:p w14:paraId="0F090EF3" w14:textId="77777777" w:rsidR="007655D8" w:rsidRDefault="006B22C2" w:rsidP="007F4AED">
      <w:pPr>
        <w:ind w:left="1440" w:right="1440" w:firstLine="720"/>
        <w:contextualSpacing/>
        <w:rPr>
          <w:sz w:val="26"/>
          <w:szCs w:val="26"/>
        </w:rPr>
      </w:pPr>
      <w:r w:rsidRPr="0092195B">
        <w:rPr>
          <w:b/>
          <w:bCs/>
          <w:sz w:val="26"/>
          <w:szCs w:val="26"/>
        </w:rPr>
        <w:t xml:space="preserve">(c) </w:t>
      </w:r>
      <w:r w:rsidR="002916C2" w:rsidRPr="0092195B">
        <w:rPr>
          <w:b/>
          <w:bCs/>
          <w:sz w:val="26"/>
          <w:szCs w:val="26"/>
        </w:rPr>
        <w:t xml:space="preserve"> </w:t>
      </w:r>
      <w:r w:rsidRPr="0092195B">
        <w:rPr>
          <w:b/>
          <w:bCs/>
          <w:sz w:val="26"/>
          <w:szCs w:val="26"/>
        </w:rPr>
        <w:t>Failure to give notice.</w:t>
      </w:r>
      <w:r w:rsidR="00723FB6" w:rsidRPr="0092195B">
        <w:rPr>
          <w:b/>
          <w:bCs/>
          <w:sz w:val="26"/>
          <w:szCs w:val="26"/>
        </w:rPr>
        <w:t>—</w:t>
      </w:r>
      <w:r w:rsidRPr="0092195B">
        <w:rPr>
          <w:sz w:val="26"/>
          <w:szCs w:val="26"/>
        </w:rPr>
        <w:t>Any owner of a residential building or mobile home park failing to notify affected public utilities as required by this section shall nonetheless be responsible for payment of the utility services as if the required notice had been given.</w:t>
      </w:r>
    </w:p>
    <w:p w14:paraId="698F49A1" w14:textId="77777777" w:rsidR="007F4AED" w:rsidRDefault="007F4AED" w:rsidP="007F4AED">
      <w:pPr>
        <w:ind w:left="1440" w:right="1440" w:firstLine="720"/>
        <w:contextualSpacing/>
        <w:rPr>
          <w:rFonts w:eastAsia="Calibri"/>
          <w:sz w:val="26"/>
          <w:szCs w:val="26"/>
        </w:rPr>
      </w:pPr>
    </w:p>
    <w:p w14:paraId="39089F06" w14:textId="2F8E4EE1" w:rsidR="007F4AED" w:rsidRDefault="00D9152B" w:rsidP="00D9152B">
      <w:pPr>
        <w:ind w:right="1440"/>
        <w:contextualSpacing/>
        <w:rPr>
          <w:sz w:val="26"/>
          <w:szCs w:val="26"/>
        </w:rPr>
      </w:pPr>
      <w:r w:rsidRPr="0092195B">
        <w:rPr>
          <w:sz w:val="26"/>
          <w:szCs w:val="26"/>
        </w:rPr>
        <w:t>66 Pa. C.S. § 1529.1</w:t>
      </w:r>
      <w:r>
        <w:rPr>
          <w:sz w:val="26"/>
          <w:szCs w:val="26"/>
        </w:rPr>
        <w:t>.</w:t>
      </w:r>
    </w:p>
    <w:p w14:paraId="0174E0B0" w14:textId="77777777" w:rsidR="00D9152B" w:rsidRDefault="00D9152B" w:rsidP="00D07678">
      <w:pPr>
        <w:ind w:right="1440"/>
        <w:contextualSpacing/>
        <w:rPr>
          <w:rFonts w:eastAsia="Calibri"/>
          <w:sz w:val="26"/>
          <w:szCs w:val="26"/>
        </w:rPr>
      </w:pPr>
    </w:p>
    <w:p w14:paraId="48AE3EEB" w14:textId="75D93AD8" w:rsidR="005A24C0" w:rsidRDefault="005A24C0" w:rsidP="009F0FBD">
      <w:pPr>
        <w:spacing w:line="360" w:lineRule="auto"/>
        <w:ind w:firstLine="1440"/>
        <w:contextualSpacing/>
        <w:rPr>
          <w:sz w:val="26"/>
          <w:szCs w:val="26"/>
        </w:rPr>
      </w:pPr>
      <w:r>
        <w:rPr>
          <w:sz w:val="26"/>
          <w:szCs w:val="26"/>
        </w:rPr>
        <w:t>T</w:t>
      </w:r>
      <w:r w:rsidR="00DB52BA">
        <w:rPr>
          <w:sz w:val="26"/>
          <w:szCs w:val="26"/>
        </w:rPr>
        <w:t>he Commission’s prior decisions on this issue is</w:t>
      </w:r>
      <w:r w:rsidR="00F42418" w:rsidRPr="0092195B">
        <w:rPr>
          <w:sz w:val="26"/>
          <w:szCs w:val="26"/>
        </w:rPr>
        <w:t xml:space="preserve"> </w:t>
      </w:r>
      <w:r w:rsidR="00CE3EC9" w:rsidRPr="0092195B">
        <w:rPr>
          <w:sz w:val="26"/>
          <w:szCs w:val="26"/>
        </w:rPr>
        <w:t xml:space="preserve">well-established </w:t>
      </w:r>
      <w:r w:rsidR="00DB52BA">
        <w:rPr>
          <w:sz w:val="26"/>
          <w:szCs w:val="26"/>
        </w:rPr>
        <w:t xml:space="preserve">in requiring the utility to hold </w:t>
      </w:r>
      <w:r w:rsidR="00CE3EC9" w:rsidRPr="0092195B">
        <w:rPr>
          <w:sz w:val="26"/>
          <w:szCs w:val="26"/>
        </w:rPr>
        <w:t>the</w:t>
      </w:r>
      <w:r w:rsidR="00B311F2" w:rsidRPr="0092195B">
        <w:rPr>
          <w:sz w:val="26"/>
          <w:szCs w:val="26"/>
        </w:rPr>
        <w:t xml:space="preserve"> property owner financially responsible for a tenant’s entire account, once foreign load is </w:t>
      </w:r>
      <w:r w:rsidR="00CE3EC9" w:rsidRPr="0092195B">
        <w:rPr>
          <w:sz w:val="26"/>
          <w:szCs w:val="26"/>
        </w:rPr>
        <w:t xml:space="preserve">verified on the tenant’s service.  </w:t>
      </w:r>
      <w:r w:rsidR="00CE3EC9" w:rsidRPr="0092195B">
        <w:rPr>
          <w:i/>
          <w:sz w:val="26"/>
          <w:szCs w:val="26"/>
        </w:rPr>
        <w:t>Ace Check Cashing</w:t>
      </w:r>
      <w:r w:rsidR="0024419F" w:rsidRPr="0092195B">
        <w:rPr>
          <w:i/>
          <w:sz w:val="26"/>
          <w:szCs w:val="26"/>
        </w:rPr>
        <w:t>,</w:t>
      </w:r>
      <w:r w:rsidR="00CE3EC9" w:rsidRPr="0092195B">
        <w:rPr>
          <w:i/>
          <w:sz w:val="26"/>
          <w:szCs w:val="26"/>
        </w:rPr>
        <w:t xml:space="preserve"> </w:t>
      </w:r>
      <w:r w:rsidR="004D5CFF" w:rsidRPr="0092195B">
        <w:rPr>
          <w:i/>
          <w:sz w:val="26"/>
          <w:szCs w:val="26"/>
        </w:rPr>
        <w:t>supra</w:t>
      </w:r>
      <w:r w:rsidR="004D5CFF" w:rsidRPr="0092195B">
        <w:rPr>
          <w:sz w:val="26"/>
          <w:szCs w:val="26"/>
        </w:rPr>
        <w:t>,</w:t>
      </w:r>
      <w:r w:rsidR="004E41CC" w:rsidRPr="0092195B">
        <w:rPr>
          <w:sz w:val="26"/>
          <w:szCs w:val="26"/>
        </w:rPr>
        <w:t xml:space="preserve"> at 6</w:t>
      </w:r>
      <w:r w:rsidR="00B102A9" w:rsidRPr="0092195B">
        <w:rPr>
          <w:sz w:val="26"/>
          <w:szCs w:val="26"/>
        </w:rPr>
        <w:t>; s</w:t>
      </w:r>
      <w:r w:rsidR="006B346F" w:rsidRPr="0092195B">
        <w:rPr>
          <w:i/>
          <w:sz w:val="26"/>
          <w:szCs w:val="26"/>
        </w:rPr>
        <w:t xml:space="preserve">ee also, </w:t>
      </w:r>
      <w:r w:rsidR="006A148D" w:rsidRPr="0092195B">
        <w:rPr>
          <w:i/>
          <w:sz w:val="26"/>
          <w:szCs w:val="26"/>
        </w:rPr>
        <w:t>Santos,</w:t>
      </w:r>
      <w:r w:rsidR="004D5CFF" w:rsidRPr="0092195B">
        <w:rPr>
          <w:sz w:val="26"/>
          <w:szCs w:val="26"/>
        </w:rPr>
        <w:t xml:space="preserve"> </w:t>
      </w:r>
      <w:r w:rsidR="004D5CFF" w:rsidRPr="0092195B">
        <w:rPr>
          <w:i/>
          <w:sz w:val="26"/>
          <w:szCs w:val="26"/>
        </w:rPr>
        <w:t>supra</w:t>
      </w:r>
      <w:r w:rsidR="00DB52BA">
        <w:rPr>
          <w:sz w:val="26"/>
          <w:szCs w:val="26"/>
        </w:rPr>
        <w:t xml:space="preserve">; </w:t>
      </w:r>
      <w:r w:rsidR="00DB52BA" w:rsidRPr="005A24C0">
        <w:rPr>
          <w:i/>
          <w:iCs/>
          <w:sz w:val="26"/>
          <w:szCs w:val="26"/>
        </w:rPr>
        <w:t>see also</w:t>
      </w:r>
      <w:r w:rsidR="00DB52BA">
        <w:rPr>
          <w:sz w:val="26"/>
          <w:szCs w:val="26"/>
        </w:rPr>
        <w:t>,</w:t>
      </w:r>
      <w:r w:rsidR="00DB52BA" w:rsidRPr="00DB52BA">
        <w:rPr>
          <w:i/>
          <w:sz w:val="26"/>
        </w:rPr>
        <w:t xml:space="preserve"> </w:t>
      </w:r>
      <w:r w:rsidR="00C74776" w:rsidRPr="007D4214">
        <w:rPr>
          <w:i/>
          <w:iCs/>
          <w:sz w:val="26"/>
          <w:szCs w:val="26"/>
        </w:rPr>
        <w:t>1-A Realty v PPL Electric Utilities Corp</w:t>
      </w:r>
      <w:r w:rsidR="00C74776" w:rsidRPr="007D4214">
        <w:rPr>
          <w:sz w:val="26"/>
          <w:szCs w:val="26"/>
        </w:rPr>
        <w:t xml:space="preserve">, Docket Nos. F-2010-2166554 and F-2010-2166976 </w:t>
      </w:r>
      <w:r w:rsidR="00C74776" w:rsidRPr="0092195B">
        <w:rPr>
          <w:sz w:val="26"/>
        </w:rPr>
        <w:t>(Order entered April 12, 2012) (</w:t>
      </w:r>
      <w:r w:rsidR="00C74776" w:rsidRPr="0092195B">
        <w:rPr>
          <w:i/>
          <w:sz w:val="26"/>
        </w:rPr>
        <w:t>1</w:t>
      </w:r>
      <w:r w:rsidR="00A54B0F">
        <w:rPr>
          <w:i/>
          <w:sz w:val="26"/>
        </w:rPr>
        <w:noBreakHyphen/>
      </w:r>
      <w:r w:rsidR="00C74776" w:rsidRPr="0092195B">
        <w:rPr>
          <w:i/>
          <w:sz w:val="26"/>
        </w:rPr>
        <w:t>A</w:t>
      </w:r>
      <w:r w:rsidR="00A54B0F">
        <w:rPr>
          <w:i/>
          <w:sz w:val="26"/>
        </w:rPr>
        <w:t> </w:t>
      </w:r>
      <w:r w:rsidR="00C74776" w:rsidRPr="0092195B">
        <w:rPr>
          <w:i/>
          <w:sz w:val="26"/>
        </w:rPr>
        <w:t>Realty</w:t>
      </w:r>
      <w:r w:rsidR="00C74776" w:rsidRPr="0092195B">
        <w:rPr>
          <w:sz w:val="26"/>
        </w:rPr>
        <w:t>),</w:t>
      </w:r>
      <w:r w:rsidR="00C74776" w:rsidRPr="0092195B">
        <w:rPr>
          <w:i/>
          <w:sz w:val="26"/>
        </w:rPr>
        <w:t xml:space="preserve"> aff’d</w:t>
      </w:r>
      <w:r w:rsidR="00C74776" w:rsidRPr="00A54B0F">
        <w:rPr>
          <w:iCs/>
          <w:sz w:val="26"/>
        </w:rPr>
        <w:t>,</w:t>
      </w:r>
      <w:r w:rsidR="00C74776" w:rsidRPr="0092195B">
        <w:rPr>
          <w:i/>
          <w:sz w:val="26"/>
        </w:rPr>
        <w:t xml:space="preserve"> 1-A Realty v. Pa. PUC</w:t>
      </w:r>
      <w:r w:rsidR="00C74776" w:rsidRPr="00A54B0F">
        <w:rPr>
          <w:iCs/>
          <w:sz w:val="26"/>
        </w:rPr>
        <w:t>,</w:t>
      </w:r>
      <w:r w:rsidR="00C74776" w:rsidRPr="0092195B">
        <w:rPr>
          <w:i/>
          <w:sz w:val="26"/>
        </w:rPr>
        <w:t xml:space="preserve"> </w:t>
      </w:r>
      <w:r w:rsidR="00C74776" w:rsidRPr="0092195B">
        <w:rPr>
          <w:sz w:val="26"/>
        </w:rPr>
        <w:t>63 A.3d 480 (Pa. Cmwlth. 2013)</w:t>
      </w:r>
      <w:r w:rsidR="00C74776">
        <w:rPr>
          <w:sz w:val="26"/>
        </w:rPr>
        <w:t xml:space="preserve"> </w:t>
      </w:r>
      <w:r w:rsidR="00DB52BA" w:rsidRPr="00DB52BA">
        <w:rPr>
          <w:i/>
          <w:iCs/>
          <w:sz w:val="26"/>
          <w:szCs w:val="26"/>
        </w:rPr>
        <w:t>(</w:t>
      </w:r>
      <w:r w:rsidR="00DB52BA" w:rsidRPr="00DB52BA">
        <w:rPr>
          <w:sz w:val="26"/>
          <w:szCs w:val="26"/>
        </w:rPr>
        <w:t xml:space="preserve">foreign load existed where communal </w:t>
      </w:r>
      <w:r w:rsidR="00A3261F" w:rsidRPr="00DB52BA">
        <w:rPr>
          <w:sz w:val="26"/>
          <w:szCs w:val="26"/>
        </w:rPr>
        <w:t>street</w:t>
      </w:r>
      <w:r w:rsidR="00A3261F">
        <w:rPr>
          <w:sz w:val="26"/>
          <w:szCs w:val="26"/>
        </w:rPr>
        <w:t>lights</w:t>
      </w:r>
      <w:r w:rsidR="00DB52BA" w:rsidRPr="00DB52BA">
        <w:rPr>
          <w:sz w:val="26"/>
          <w:szCs w:val="26"/>
        </w:rPr>
        <w:t xml:space="preserve"> in a mobile home park were connected to the electric boxes of the homes of the nearest tenants</w:t>
      </w:r>
      <w:r w:rsidR="00DB52BA" w:rsidRPr="008A137D">
        <w:rPr>
          <w:sz w:val="24"/>
          <w:szCs w:val="24"/>
        </w:rPr>
        <w:t>)</w:t>
      </w:r>
      <w:r w:rsidR="00DB52BA" w:rsidRPr="0092195B">
        <w:rPr>
          <w:sz w:val="26"/>
        </w:rPr>
        <w:t xml:space="preserve">.  </w:t>
      </w:r>
    </w:p>
    <w:p w14:paraId="15BF779E" w14:textId="77777777" w:rsidR="005A24C0" w:rsidRDefault="005A24C0" w:rsidP="009F0FBD">
      <w:pPr>
        <w:spacing w:line="360" w:lineRule="auto"/>
        <w:ind w:firstLine="1440"/>
        <w:contextualSpacing/>
        <w:rPr>
          <w:sz w:val="26"/>
          <w:szCs w:val="26"/>
        </w:rPr>
      </w:pPr>
    </w:p>
    <w:p w14:paraId="1AC9747C" w14:textId="49DFEB62" w:rsidR="00332DA2" w:rsidRPr="0092195B" w:rsidRDefault="00DB52BA" w:rsidP="009F0FBD">
      <w:pPr>
        <w:spacing w:line="360" w:lineRule="auto"/>
        <w:ind w:firstLine="1440"/>
        <w:contextualSpacing/>
        <w:rPr>
          <w:sz w:val="26"/>
          <w:szCs w:val="26"/>
        </w:rPr>
      </w:pPr>
      <w:r>
        <w:rPr>
          <w:sz w:val="26"/>
          <w:szCs w:val="26"/>
        </w:rPr>
        <w:lastRenderedPageBreak/>
        <w:t>U</w:t>
      </w:r>
      <w:r w:rsidR="00A74D85" w:rsidRPr="0092195B">
        <w:rPr>
          <w:sz w:val="26"/>
          <w:szCs w:val="26"/>
        </w:rPr>
        <w:t xml:space="preserve">pon </w:t>
      </w:r>
      <w:r w:rsidR="00A74D85">
        <w:rPr>
          <w:sz w:val="26"/>
          <w:szCs w:val="26"/>
        </w:rPr>
        <w:t>discoveri</w:t>
      </w:r>
      <w:r w:rsidR="00A74D85" w:rsidRPr="0092195B">
        <w:rPr>
          <w:sz w:val="26"/>
          <w:szCs w:val="26"/>
        </w:rPr>
        <w:t xml:space="preserve">ng foreign load, </w:t>
      </w:r>
      <w:r w:rsidR="00240E6F" w:rsidRPr="0092195B">
        <w:rPr>
          <w:sz w:val="26"/>
          <w:szCs w:val="26"/>
        </w:rPr>
        <w:t>the utility must list the account, including any arrearages, in the landlord’s name</w:t>
      </w:r>
      <w:r w:rsidR="00D456A6" w:rsidRPr="0092195B">
        <w:rPr>
          <w:sz w:val="26"/>
          <w:szCs w:val="26"/>
        </w:rPr>
        <w:t xml:space="preserve"> and the landlord must assume the responsibility of </w:t>
      </w:r>
      <w:r w:rsidR="00240E6F" w:rsidRPr="0092195B">
        <w:rPr>
          <w:sz w:val="26"/>
          <w:szCs w:val="26"/>
        </w:rPr>
        <w:t>paying the utility bills</w:t>
      </w:r>
      <w:r w:rsidR="00D456A6" w:rsidRPr="0092195B">
        <w:rPr>
          <w:sz w:val="26"/>
          <w:szCs w:val="26"/>
        </w:rPr>
        <w:t xml:space="preserve"> at the service address</w:t>
      </w:r>
      <w:r w:rsidR="00240E6F" w:rsidRPr="0092195B">
        <w:rPr>
          <w:sz w:val="26"/>
          <w:szCs w:val="26"/>
        </w:rPr>
        <w:t xml:space="preserve"> until the foreign load is corrected.  </w:t>
      </w:r>
      <w:r w:rsidRPr="0092195B">
        <w:rPr>
          <w:i/>
          <w:sz w:val="26"/>
          <w:szCs w:val="26"/>
        </w:rPr>
        <w:t>Ace Check Cashing</w:t>
      </w:r>
      <w:r w:rsidRPr="0092195B" w:rsidDel="00DB52BA">
        <w:rPr>
          <w:i/>
          <w:sz w:val="26"/>
          <w:szCs w:val="26"/>
        </w:rPr>
        <w:t xml:space="preserve"> </w:t>
      </w:r>
      <w:r w:rsidR="007A71F5" w:rsidRPr="0092195B">
        <w:rPr>
          <w:sz w:val="26"/>
          <w:szCs w:val="26"/>
        </w:rPr>
        <w:t xml:space="preserve">at </w:t>
      </w:r>
      <w:r w:rsidR="007A71F5">
        <w:rPr>
          <w:sz w:val="26"/>
          <w:szCs w:val="26"/>
        </w:rPr>
        <w:t>7-8</w:t>
      </w:r>
      <w:r w:rsidR="000472DB">
        <w:rPr>
          <w:sz w:val="26"/>
          <w:szCs w:val="26"/>
        </w:rPr>
        <w:t xml:space="preserve">. </w:t>
      </w:r>
      <w:r w:rsidR="007A71F5">
        <w:rPr>
          <w:sz w:val="26"/>
          <w:szCs w:val="26"/>
        </w:rPr>
        <w:t xml:space="preserve"> </w:t>
      </w:r>
      <w:r w:rsidR="00240E6F" w:rsidRPr="0092195B">
        <w:rPr>
          <w:sz w:val="26"/>
          <w:szCs w:val="26"/>
        </w:rPr>
        <w:t>After the foreign load is corrected by the landlord and verified by the utility, the utility is to place the account back into the tenant’s name</w:t>
      </w:r>
      <w:r w:rsidR="00701370" w:rsidRPr="0092195B">
        <w:rPr>
          <w:sz w:val="26"/>
          <w:szCs w:val="26"/>
        </w:rPr>
        <w:t>.</w:t>
      </w:r>
      <w:r w:rsidR="007A71F5">
        <w:rPr>
          <w:sz w:val="26"/>
          <w:szCs w:val="26"/>
        </w:rPr>
        <w:t xml:space="preserve">  </w:t>
      </w:r>
      <w:r w:rsidR="00701370" w:rsidRPr="0092195B">
        <w:rPr>
          <w:sz w:val="26"/>
          <w:szCs w:val="26"/>
        </w:rPr>
        <w:t>H</w:t>
      </w:r>
      <w:r w:rsidR="00240E6F" w:rsidRPr="0092195B">
        <w:rPr>
          <w:sz w:val="26"/>
          <w:szCs w:val="26"/>
        </w:rPr>
        <w:t>owever</w:t>
      </w:r>
      <w:r w:rsidR="002E1460" w:rsidRPr="0092195B">
        <w:rPr>
          <w:sz w:val="26"/>
          <w:szCs w:val="26"/>
        </w:rPr>
        <w:t>,</w:t>
      </w:r>
      <w:r w:rsidR="00240E6F" w:rsidRPr="0092195B">
        <w:rPr>
          <w:sz w:val="26"/>
          <w:szCs w:val="26"/>
        </w:rPr>
        <w:t xml:space="preserve"> </w:t>
      </w:r>
      <w:r w:rsidR="00701370" w:rsidRPr="0092195B">
        <w:rPr>
          <w:sz w:val="26"/>
          <w:szCs w:val="26"/>
        </w:rPr>
        <w:t xml:space="preserve">the landlord remains responsible for </w:t>
      </w:r>
      <w:r w:rsidR="00240E6F" w:rsidRPr="0092195B">
        <w:rPr>
          <w:sz w:val="26"/>
          <w:szCs w:val="26"/>
        </w:rPr>
        <w:t xml:space="preserve">any arrearages on the tenant’s account.  </w:t>
      </w:r>
      <w:r w:rsidR="00701370" w:rsidRPr="0092195B">
        <w:rPr>
          <w:sz w:val="26"/>
          <w:szCs w:val="26"/>
        </w:rPr>
        <w:t xml:space="preserve">This rule applies even if the amount </w:t>
      </w:r>
      <w:r w:rsidR="009356E6" w:rsidRPr="0092195B">
        <w:rPr>
          <w:sz w:val="26"/>
          <w:szCs w:val="26"/>
        </w:rPr>
        <w:t>of usage attributable</w:t>
      </w:r>
      <w:r w:rsidR="00701370" w:rsidRPr="0092195B">
        <w:rPr>
          <w:sz w:val="26"/>
          <w:szCs w:val="26"/>
        </w:rPr>
        <w:t xml:space="preserve"> to foreign load is considered </w:t>
      </w:r>
      <w:r w:rsidR="00701370" w:rsidRPr="0092195B">
        <w:rPr>
          <w:i/>
          <w:sz w:val="26"/>
          <w:szCs w:val="26"/>
        </w:rPr>
        <w:t>de minim</w:t>
      </w:r>
      <w:r w:rsidR="00E304B5" w:rsidRPr="0092195B">
        <w:rPr>
          <w:i/>
          <w:sz w:val="26"/>
          <w:szCs w:val="26"/>
        </w:rPr>
        <w:t>i</w:t>
      </w:r>
      <w:r w:rsidR="00701370" w:rsidRPr="0092195B">
        <w:rPr>
          <w:i/>
          <w:sz w:val="26"/>
          <w:szCs w:val="26"/>
        </w:rPr>
        <w:t>s</w:t>
      </w:r>
      <w:r w:rsidR="007A71F5">
        <w:rPr>
          <w:sz w:val="26"/>
          <w:szCs w:val="26"/>
        </w:rPr>
        <w:t xml:space="preserve">.  </w:t>
      </w:r>
      <w:r w:rsidR="00A74D85">
        <w:rPr>
          <w:sz w:val="26"/>
          <w:szCs w:val="26"/>
        </w:rPr>
        <w:t xml:space="preserve">We also previously determined that we </w:t>
      </w:r>
      <w:r w:rsidR="00240E6F" w:rsidRPr="0092195B">
        <w:rPr>
          <w:sz w:val="26"/>
          <w:szCs w:val="26"/>
        </w:rPr>
        <w:t xml:space="preserve">have </w:t>
      </w:r>
      <w:r w:rsidR="00A74D85">
        <w:rPr>
          <w:sz w:val="26"/>
          <w:szCs w:val="26"/>
        </w:rPr>
        <w:t xml:space="preserve">no </w:t>
      </w:r>
      <w:r w:rsidR="00240E6F" w:rsidRPr="0092195B">
        <w:rPr>
          <w:sz w:val="26"/>
          <w:szCs w:val="26"/>
        </w:rPr>
        <w:t xml:space="preserve">jurisdiction over disputes concerning the financial responsibilities of private parties, </w:t>
      </w:r>
      <w:r w:rsidR="006556A7" w:rsidRPr="0092195B">
        <w:rPr>
          <w:sz w:val="26"/>
          <w:szCs w:val="26"/>
        </w:rPr>
        <w:t xml:space="preserve">such as the landlord and tenant, </w:t>
      </w:r>
      <w:r w:rsidR="00240E6F" w:rsidRPr="0092195B">
        <w:rPr>
          <w:sz w:val="26"/>
          <w:szCs w:val="26"/>
        </w:rPr>
        <w:t xml:space="preserve">and such matters are to be resolved </w:t>
      </w:r>
      <w:r w:rsidR="00ED5BF3">
        <w:rPr>
          <w:sz w:val="26"/>
          <w:szCs w:val="26"/>
        </w:rPr>
        <w:t>through</w:t>
      </w:r>
      <w:r w:rsidR="00240E6F" w:rsidRPr="0092195B">
        <w:rPr>
          <w:sz w:val="26"/>
          <w:szCs w:val="26"/>
        </w:rPr>
        <w:t xml:space="preserve"> the Court of Common Pleas.</w:t>
      </w:r>
      <w:r w:rsidR="00701370" w:rsidRPr="0092195B">
        <w:rPr>
          <w:sz w:val="26"/>
          <w:szCs w:val="26"/>
        </w:rPr>
        <w:t xml:space="preserve">  </w:t>
      </w:r>
      <w:r w:rsidR="00701370" w:rsidRPr="0092195B">
        <w:rPr>
          <w:i/>
          <w:sz w:val="26"/>
          <w:szCs w:val="26"/>
        </w:rPr>
        <w:t>Id</w:t>
      </w:r>
      <w:r w:rsidR="00701370" w:rsidRPr="0092195B">
        <w:rPr>
          <w:sz w:val="26"/>
          <w:szCs w:val="26"/>
        </w:rPr>
        <w:t xml:space="preserve">. at </w:t>
      </w:r>
      <w:r w:rsidR="007A71F5">
        <w:rPr>
          <w:sz w:val="26"/>
          <w:szCs w:val="26"/>
        </w:rPr>
        <w:t>10</w:t>
      </w:r>
      <w:r w:rsidR="00701370" w:rsidRPr="0092195B">
        <w:rPr>
          <w:sz w:val="26"/>
          <w:szCs w:val="26"/>
        </w:rPr>
        <w:t>.</w:t>
      </w:r>
    </w:p>
    <w:p w14:paraId="03C2EB5D" w14:textId="4A051E35" w:rsidR="001C22A5" w:rsidRPr="0092195B" w:rsidRDefault="001C22A5" w:rsidP="00A3261F">
      <w:pPr>
        <w:spacing w:line="360" w:lineRule="auto"/>
        <w:ind w:firstLine="1440"/>
        <w:contextualSpacing/>
        <w:rPr>
          <w:sz w:val="26"/>
        </w:rPr>
      </w:pPr>
    </w:p>
    <w:p w14:paraId="67CC1358" w14:textId="187700E4" w:rsidR="009F1F02" w:rsidRPr="0092195B" w:rsidRDefault="0023353B" w:rsidP="009F0FBD">
      <w:pPr>
        <w:spacing w:line="360" w:lineRule="auto"/>
        <w:ind w:firstLine="1440"/>
        <w:contextualSpacing/>
        <w:rPr>
          <w:sz w:val="26"/>
        </w:rPr>
      </w:pPr>
      <w:r w:rsidRPr="0092195B">
        <w:rPr>
          <w:sz w:val="26"/>
        </w:rPr>
        <w:t xml:space="preserve">A utility has an affirmative duty to investigate a foreign load complaint.  If, after investigation, the utility </w:t>
      </w:r>
      <w:r w:rsidR="00923DEF" w:rsidRPr="0092195B">
        <w:rPr>
          <w:sz w:val="26"/>
        </w:rPr>
        <w:t>suspects a foreign load situation</w:t>
      </w:r>
      <w:r w:rsidRPr="0092195B">
        <w:rPr>
          <w:sz w:val="26"/>
        </w:rPr>
        <w:t xml:space="preserve">, the utility </w:t>
      </w:r>
      <w:r w:rsidR="00923DEF" w:rsidRPr="0092195B">
        <w:rPr>
          <w:sz w:val="26"/>
        </w:rPr>
        <w:t xml:space="preserve">is required to </w:t>
      </w:r>
      <w:r w:rsidRPr="0092195B">
        <w:rPr>
          <w:sz w:val="26"/>
        </w:rPr>
        <w:t xml:space="preserve">transfer the account to the name of the owner. </w:t>
      </w:r>
      <w:r w:rsidR="00923DEF" w:rsidRPr="0092195B">
        <w:rPr>
          <w:sz w:val="26"/>
        </w:rPr>
        <w:t xml:space="preserve"> </w:t>
      </w:r>
      <w:r w:rsidR="00923DEF" w:rsidRPr="0092195B">
        <w:rPr>
          <w:i/>
          <w:sz w:val="26"/>
        </w:rPr>
        <w:t>Franckowiak v. PPL Electric Utilities Corp.</w:t>
      </w:r>
      <w:r w:rsidR="00923DEF" w:rsidRPr="00A54B0F">
        <w:rPr>
          <w:iCs/>
          <w:sz w:val="26"/>
        </w:rPr>
        <w:t>,</w:t>
      </w:r>
      <w:r w:rsidR="00923DEF" w:rsidRPr="0092195B">
        <w:rPr>
          <w:i/>
          <w:sz w:val="26"/>
        </w:rPr>
        <w:t xml:space="preserve"> </w:t>
      </w:r>
      <w:r w:rsidR="00B102A9" w:rsidRPr="0092195B">
        <w:rPr>
          <w:sz w:val="26"/>
        </w:rPr>
        <w:t xml:space="preserve">101 Pa. P.U.C. 630 </w:t>
      </w:r>
      <w:r w:rsidR="00923DEF" w:rsidRPr="0092195B">
        <w:rPr>
          <w:sz w:val="26"/>
        </w:rPr>
        <w:t>(Order entered July 3, 2006</w:t>
      </w:r>
      <w:r w:rsidR="00B102A9" w:rsidRPr="0092195B">
        <w:rPr>
          <w:sz w:val="26"/>
        </w:rPr>
        <w:t>)</w:t>
      </w:r>
      <w:r w:rsidR="009F1F02" w:rsidRPr="0092195B">
        <w:rPr>
          <w:sz w:val="26"/>
        </w:rPr>
        <w:t>.</w:t>
      </w:r>
    </w:p>
    <w:p w14:paraId="1B0EF887" w14:textId="77777777" w:rsidR="00686A01" w:rsidRPr="0092195B" w:rsidRDefault="00686A01" w:rsidP="009F0FBD">
      <w:pPr>
        <w:spacing w:line="360" w:lineRule="auto"/>
        <w:ind w:firstLine="1440"/>
        <w:contextualSpacing/>
        <w:rPr>
          <w:sz w:val="26"/>
        </w:rPr>
      </w:pPr>
    </w:p>
    <w:p w14:paraId="7E924940" w14:textId="6D1FA24F" w:rsidR="00881769" w:rsidRDefault="00B12C2E" w:rsidP="009F0FBD">
      <w:pPr>
        <w:spacing w:line="360" w:lineRule="auto"/>
        <w:ind w:firstLine="1440"/>
        <w:contextualSpacing/>
        <w:rPr>
          <w:sz w:val="26"/>
          <w:szCs w:val="26"/>
        </w:rPr>
      </w:pPr>
      <w:r w:rsidRPr="00D92FAD">
        <w:rPr>
          <w:sz w:val="26"/>
          <w:szCs w:val="26"/>
        </w:rPr>
        <w:t>In the matter before us, the Complainant</w:t>
      </w:r>
      <w:r w:rsidR="00B73639" w:rsidRPr="00D92FAD">
        <w:rPr>
          <w:sz w:val="26"/>
          <w:szCs w:val="26"/>
        </w:rPr>
        <w:t xml:space="preserve"> </w:t>
      </w:r>
      <w:r w:rsidRPr="00D92FAD">
        <w:rPr>
          <w:sz w:val="26"/>
          <w:szCs w:val="26"/>
        </w:rPr>
        <w:t>does not dispute the ALJ’s finding that he is a landlord at the Service Address</w:t>
      </w:r>
      <w:r w:rsidR="001B2D77" w:rsidRPr="00D92FAD">
        <w:rPr>
          <w:sz w:val="26"/>
          <w:szCs w:val="26"/>
        </w:rPr>
        <w:t>;</w:t>
      </w:r>
      <w:r w:rsidRPr="00D92FAD">
        <w:rPr>
          <w:sz w:val="26"/>
          <w:szCs w:val="26"/>
        </w:rPr>
        <w:t xml:space="preserve"> nor does </w:t>
      </w:r>
      <w:r w:rsidR="00B73639" w:rsidRPr="00D92FAD">
        <w:rPr>
          <w:sz w:val="26"/>
          <w:szCs w:val="26"/>
        </w:rPr>
        <w:t>t</w:t>
      </w:r>
      <w:r w:rsidRPr="00D92FAD">
        <w:rPr>
          <w:sz w:val="26"/>
          <w:szCs w:val="26"/>
        </w:rPr>
        <w:t xml:space="preserve">he </w:t>
      </w:r>
      <w:r w:rsidR="00B73639" w:rsidRPr="00D92FAD">
        <w:rPr>
          <w:sz w:val="26"/>
          <w:szCs w:val="26"/>
        </w:rPr>
        <w:t xml:space="preserve">Complainant </w:t>
      </w:r>
      <w:r w:rsidR="001B2D77" w:rsidRPr="00D92FAD">
        <w:rPr>
          <w:sz w:val="26"/>
          <w:szCs w:val="26"/>
        </w:rPr>
        <w:t xml:space="preserve">make any </w:t>
      </w:r>
      <w:r w:rsidRPr="00D92FAD">
        <w:rPr>
          <w:sz w:val="26"/>
          <w:szCs w:val="26"/>
        </w:rPr>
        <w:t xml:space="preserve">claim that the ALJ erred in finding that PECO correctly </w:t>
      </w:r>
      <w:r w:rsidR="00D9152B">
        <w:rPr>
          <w:sz w:val="26"/>
          <w:szCs w:val="26"/>
        </w:rPr>
        <w:t xml:space="preserve">investigated the tenant’s high bill complaint and </w:t>
      </w:r>
      <w:r w:rsidRPr="00D92FAD">
        <w:rPr>
          <w:sz w:val="26"/>
          <w:szCs w:val="26"/>
        </w:rPr>
        <w:t xml:space="preserve">determined </w:t>
      </w:r>
      <w:r w:rsidR="00B17346" w:rsidRPr="00D92FAD">
        <w:rPr>
          <w:sz w:val="26"/>
          <w:szCs w:val="26"/>
        </w:rPr>
        <w:t>the presence of</w:t>
      </w:r>
      <w:r w:rsidRPr="00D92FAD">
        <w:rPr>
          <w:sz w:val="26"/>
          <w:szCs w:val="26"/>
        </w:rPr>
        <w:t xml:space="preserve"> foreign wiring at the Service Address.  Instead, the </w:t>
      </w:r>
      <w:r w:rsidR="00F95C0F">
        <w:rPr>
          <w:sz w:val="26"/>
          <w:szCs w:val="26"/>
        </w:rPr>
        <w:t>Complainant asks us to</w:t>
      </w:r>
      <w:r w:rsidR="000472DB">
        <w:rPr>
          <w:sz w:val="26"/>
          <w:szCs w:val="26"/>
        </w:rPr>
        <w:t xml:space="preserve"> </w:t>
      </w:r>
      <w:r w:rsidR="001A1FFD">
        <w:rPr>
          <w:sz w:val="26"/>
          <w:szCs w:val="26"/>
        </w:rPr>
        <w:t>determine the portion of the foreign load that is attributable to the hallway light and hold the tenant responsible for the remaining balance</w:t>
      </w:r>
      <w:r w:rsidR="00F95C0F">
        <w:rPr>
          <w:sz w:val="26"/>
          <w:szCs w:val="26"/>
        </w:rPr>
        <w:t xml:space="preserve">, which, as PECO correctly observed, we </w:t>
      </w:r>
      <w:r w:rsidR="005A24C0">
        <w:rPr>
          <w:sz w:val="26"/>
          <w:szCs w:val="26"/>
        </w:rPr>
        <w:t>lack the authority to do</w:t>
      </w:r>
      <w:r w:rsidR="001A1FFD">
        <w:rPr>
          <w:sz w:val="26"/>
          <w:szCs w:val="26"/>
        </w:rPr>
        <w:t>.</w:t>
      </w:r>
    </w:p>
    <w:p w14:paraId="0536D51D" w14:textId="55DEDDCC" w:rsidR="0038618F" w:rsidRDefault="0038618F" w:rsidP="009F0FBD">
      <w:pPr>
        <w:spacing w:line="360" w:lineRule="auto"/>
        <w:ind w:firstLine="1440"/>
        <w:contextualSpacing/>
        <w:rPr>
          <w:sz w:val="26"/>
          <w:szCs w:val="26"/>
        </w:rPr>
      </w:pPr>
    </w:p>
    <w:p w14:paraId="2861198D" w14:textId="0778161E" w:rsidR="00A81E8E" w:rsidRDefault="00B73639" w:rsidP="009F0FBD">
      <w:pPr>
        <w:spacing w:line="360" w:lineRule="auto"/>
        <w:ind w:firstLine="1440"/>
        <w:contextualSpacing/>
        <w:rPr>
          <w:sz w:val="26"/>
        </w:rPr>
      </w:pPr>
      <w:r w:rsidRPr="00D92FAD">
        <w:rPr>
          <w:sz w:val="26"/>
          <w:szCs w:val="26"/>
        </w:rPr>
        <w:t xml:space="preserve">We find that the law is clear </w:t>
      </w:r>
      <w:r w:rsidR="00C00037" w:rsidRPr="00D92FAD">
        <w:rPr>
          <w:sz w:val="26"/>
          <w:szCs w:val="26"/>
        </w:rPr>
        <w:t xml:space="preserve">and has been applied </w:t>
      </w:r>
      <w:r w:rsidR="0095716F" w:rsidRPr="00D92FAD">
        <w:rPr>
          <w:sz w:val="26"/>
          <w:szCs w:val="26"/>
        </w:rPr>
        <w:t xml:space="preserve">consistently </w:t>
      </w:r>
      <w:r w:rsidR="00C00037" w:rsidRPr="00D92FAD">
        <w:rPr>
          <w:sz w:val="26"/>
          <w:szCs w:val="26"/>
        </w:rPr>
        <w:t>in similar</w:t>
      </w:r>
      <w:r w:rsidR="0095716F" w:rsidRPr="00D92FAD">
        <w:rPr>
          <w:sz w:val="26"/>
          <w:szCs w:val="26"/>
        </w:rPr>
        <w:t xml:space="preserve">, past </w:t>
      </w:r>
      <w:r w:rsidR="00C00037" w:rsidRPr="00D92FAD">
        <w:rPr>
          <w:sz w:val="26"/>
          <w:szCs w:val="26"/>
        </w:rPr>
        <w:t>proceedings</w:t>
      </w:r>
      <w:r w:rsidR="0003194E" w:rsidRPr="00D92FAD">
        <w:rPr>
          <w:sz w:val="26"/>
          <w:szCs w:val="26"/>
        </w:rPr>
        <w:t xml:space="preserve"> involving foreign load</w:t>
      </w:r>
      <w:r w:rsidR="00D9152B">
        <w:rPr>
          <w:sz w:val="26"/>
          <w:szCs w:val="26"/>
        </w:rPr>
        <w:t>, as applied here by the ALJ</w:t>
      </w:r>
      <w:r w:rsidR="0003194E" w:rsidRPr="00D92FAD">
        <w:rPr>
          <w:sz w:val="26"/>
          <w:szCs w:val="26"/>
        </w:rPr>
        <w:t xml:space="preserve">.  </w:t>
      </w:r>
      <w:r w:rsidR="0095716F" w:rsidRPr="00D92FAD">
        <w:rPr>
          <w:sz w:val="26"/>
        </w:rPr>
        <w:t>Section 1529.1 of the Code</w:t>
      </w:r>
      <w:r w:rsidR="0095716F" w:rsidRPr="00D92FAD">
        <w:rPr>
          <w:sz w:val="26"/>
          <w:szCs w:val="26"/>
        </w:rPr>
        <w:t xml:space="preserve"> mandates that the owner of a rental property is responsible for the payment of all utility services </w:t>
      </w:r>
      <w:r w:rsidR="000769F3">
        <w:rPr>
          <w:sz w:val="26"/>
          <w:szCs w:val="26"/>
        </w:rPr>
        <w:t xml:space="preserve">that are </w:t>
      </w:r>
      <w:r w:rsidR="000769F3" w:rsidRPr="000769F3">
        <w:rPr>
          <w:sz w:val="26"/>
          <w:szCs w:val="26"/>
        </w:rPr>
        <w:t>not individually metered</w:t>
      </w:r>
      <w:r w:rsidR="0095716F" w:rsidRPr="00D92FAD">
        <w:rPr>
          <w:sz w:val="26"/>
          <w:szCs w:val="26"/>
        </w:rPr>
        <w:t>.</w:t>
      </w:r>
      <w:r w:rsidR="00B12EA1" w:rsidRPr="00D92FAD">
        <w:rPr>
          <w:sz w:val="26"/>
          <w:szCs w:val="26"/>
        </w:rPr>
        <w:t xml:space="preserve">  </w:t>
      </w:r>
      <w:r w:rsidR="00B12C2E" w:rsidRPr="00D92FAD">
        <w:rPr>
          <w:sz w:val="26"/>
          <w:szCs w:val="26"/>
        </w:rPr>
        <w:t xml:space="preserve">Accordingly, we are not persuaded </w:t>
      </w:r>
      <w:r w:rsidR="0003194E" w:rsidRPr="00D92FAD">
        <w:rPr>
          <w:sz w:val="26"/>
          <w:szCs w:val="26"/>
        </w:rPr>
        <w:t xml:space="preserve">by the </w:t>
      </w:r>
      <w:r w:rsidR="00BA204F">
        <w:rPr>
          <w:sz w:val="26"/>
          <w:szCs w:val="26"/>
        </w:rPr>
        <w:t xml:space="preserve">argument in the </w:t>
      </w:r>
      <w:r w:rsidR="0003194E" w:rsidRPr="00D92FAD">
        <w:rPr>
          <w:sz w:val="26"/>
          <w:szCs w:val="26"/>
        </w:rPr>
        <w:t xml:space="preserve">Complainant’s Exceptions </w:t>
      </w:r>
      <w:r w:rsidR="00BE58AF">
        <w:rPr>
          <w:sz w:val="26"/>
          <w:szCs w:val="26"/>
        </w:rPr>
        <w:t>that</w:t>
      </w:r>
      <w:r w:rsidR="00BE58AF" w:rsidRPr="00BE58AF">
        <w:rPr>
          <w:sz w:val="26"/>
          <w:szCs w:val="26"/>
        </w:rPr>
        <w:t xml:space="preserve"> PECO did not </w:t>
      </w:r>
      <w:r w:rsidR="000769F3">
        <w:rPr>
          <w:sz w:val="26"/>
          <w:szCs w:val="26"/>
        </w:rPr>
        <w:t>properly address the</w:t>
      </w:r>
      <w:r w:rsidR="00BE58AF" w:rsidRPr="00BE58AF">
        <w:rPr>
          <w:sz w:val="26"/>
          <w:szCs w:val="26"/>
        </w:rPr>
        <w:t xml:space="preserve"> </w:t>
      </w:r>
      <w:r w:rsidR="00BE58AF" w:rsidRPr="00BE58AF">
        <w:rPr>
          <w:sz w:val="26"/>
          <w:szCs w:val="26"/>
        </w:rPr>
        <w:lastRenderedPageBreak/>
        <w:t>foreign load.</w:t>
      </w:r>
      <w:r w:rsidR="00D56F2B">
        <w:rPr>
          <w:sz w:val="26"/>
        </w:rPr>
        <w:t xml:space="preserve">  </w:t>
      </w:r>
      <w:r w:rsidR="00B12EA1" w:rsidRPr="00D92FAD">
        <w:rPr>
          <w:sz w:val="26"/>
        </w:rPr>
        <w:t xml:space="preserve">Therefore, we shall deny the Complainant’s </w:t>
      </w:r>
      <w:r w:rsidR="001F036B" w:rsidRPr="00D92FAD">
        <w:rPr>
          <w:sz w:val="26"/>
        </w:rPr>
        <w:t xml:space="preserve">contention that he is not responsible for the outstanding </w:t>
      </w:r>
      <w:r w:rsidR="004F21E9" w:rsidRPr="00D92FAD">
        <w:rPr>
          <w:sz w:val="26"/>
        </w:rPr>
        <w:t xml:space="preserve">account </w:t>
      </w:r>
      <w:r w:rsidR="001F036B" w:rsidRPr="00D92FAD">
        <w:rPr>
          <w:sz w:val="26"/>
        </w:rPr>
        <w:t xml:space="preserve">balance </w:t>
      </w:r>
      <w:r w:rsidR="004F21E9" w:rsidRPr="00D92FAD">
        <w:rPr>
          <w:sz w:val="26"/>
        </w:rPr>
        <w:t>associated with the Service Address</w:t>
      </w:r>
      <w:r w:rsidR="00B12EA1" w:rsidRPr="00D92FAD">
        <w:rPr>
          <w:sz w:val="26"/>
        </w:rPr>
        <w:t>.</w:t>
      </w:r>
      <w:r w:rsidR="00D92FAD" w:rsidRPr="00D92FAD">
        <w:rPr>
          <w:sz w:val="26"/>
        </w:rPr>
        <w:t xml:space="preserve">  </w:t>
      </w:r>
      <w:r w:rsidR="009108BF" w:rsidRPr="00D92FAD">
        <w:rPr>
          <w:sz w:val="26"/>
        </w:rPr>
        <w:t>Additionally,</w:t>
      </w:r>
      <w:r w:rsidR="00D92FAD" w:rsidRPr="00D92FAD">
        <w:rPr>
          <w:sz w:val="26"/>
        </w:rPr>
        <w:t xml:space="preserve"> we shall deny the Complainant’s request for a hearing</w:t>
      </w:r>
      <w:r w:rsidR="00AA6469">
        <w:rPr>
          <w:sz w:val="26"/>
        </w:rPr>
        <w:t>.</w:t>
      </w:r>
    </w:p>
    <w:p w14:paraId="301E0D24" w14:textId="77777777" w:rsidR="00A81E8E" w:rsidRDefault="00A81E8E" w:rsidP="009F0FBD">
      <w:pPr>
        <w:spacing w:line="360" w:lineRule="auto"/>
        <w:ind w:firstLine="1440"/>
        <w:contextualSpacing/>
        <w:rPr>
          <w:sz w:val="26"/>
        </w:rPr>
      </w:pPr>
    </w:p>
    <w:p w14:paraId="054C04C0" w14:textId="5905A6E0" w:rsidR="00F95C0F" w:rsidRDefault="00D92FAD" w:rsidP="00F37379">
      <w:pPr>
        <w:spacing w:line="360" w:lineRule="auto"/>
        <w:ind w:firstLine="1440"/>
        <w:contextualSpacing/>
        <w:rPr>
          <w:sz w:val="26"/>
          <w:szCs w:val="26"/>
        </w:rPr>
      </w:pPr>
      <w:r w:rsidRPr="00D92FAD">
        <w:rPr>
          <w:sz w:val="26"/>
        </w:rPr>
        <w:t xml:space="preserve">Finally, we note that </w:t>
      </w:r>
      <w:r w:rsidR="0092195B" w:rsidRPr="00D92FAD">
        <w:rPr>
          <w:sz w:val="26"/>
          <w:szCs w:val="26"/>
        </w:rPr>
        <w:t xml:space="preserve">the ALJ </w:t>
      </w:r>
      <w:r w:rsidR="00B12EA1" w:rsidRPr="00D92FAD">
        <w:rPr>
          <w:sz w:val="26"/>
          <w:szCs w:val="26"/>
        </w:rPr>
        <w:t>correctly found</w:t>
      </w:r>
      <w:r w:rsidR="00480E78">
        <w:rPr>
          <w:sz w:val="26"/>
          <w:szCs w:val="26"/>
        </w:rPr>
        <w:t xml:space="preserve"> that</w:t>
      </w:r>
      <w:r w:rsidR="00B12EA1" w:rsidRPr="00D92FAD">
        <w:rPr>
          <w:sz w:val="26"/>
          <w:szCs w:val="26"/>
        </w:rPr>
        <w:t xml:space="preserve"> </w:t>
      </w:r>
      <w:r w:rsidR="007C7D9A">
        <w:rPr>
          <w:sz w:val="26"/>
          <w:szCs w:val="26"/>
        </w:rPr>
        <w:t xml:space="preserve">this Commission </w:t>
      </w:r>
      <w:r w:rsidR="00480E78">
        <w:rPr>
          <w:sz w:val="26"/>
          <w:szCs w:val="26"/>
        </w:rPr>
        <w:t xml:space="preserve">does not have the </w:t>
      </w:r>
      <w:r w:rsidR="0092195B" w:rsidRPr="00D92FAD">
        <w:rPr>
          <w:sz w:val="26"/>
          <w:szCs w:val="26"/>
        </w:rPr>
        <w:t xml:space="preserve">jurisdiction to </w:t>
      </w:r>
      <w:r w:rsidR="007C7D9A">
        <w:rPr>
          <w:sz w:val="26"/>
          <w:szCs w:val="26"/>
        </w:rPr>
        <w:t xml:space="preserve">direct the tenant to pay </w:t>
      </w:r>
      <w:r w:rsidR="00480E78">
        <w:rPr>
          <w:sz w:val="26"/>
          <w:szCs w:val="26"/>
        </w:rPr>
        <w:t xml:space="preserve">any </w:t>
      </w:r>
      <w:r w:rsidR="007C7D9A">
        <w:rPr>
          <w:sz w:val="26"/>
          <w:szCs w:val="26"/>
        </w:rPr>
        <w:t>outstanding account balance</w:t>
      </w:r>
      <w:r w:rsidR="00480E78">
        <w:rPr>
          <w:sz w:val="26"/>
          <w:szCs w:val="26"/>
        </w:rPr>
        <w:t>s.</w:t>
      </w:r>
      <w:r w:rsidR="0092195B" w:rsidRPr="00D92FAD">
        <w:rPr>
          <w:sz w:val="26"/>
          <w:szCs w:val="26"/>
        </w:rPr>
        <w:t xml:space="preserve">  </w:t>
      </w:r>
      <w:r w:rsidR="00B12EA1" w:rsidRPr="00D92FAD">
        <w:rPr>
          <w:sz w:val="26"/>
          <w:szCs w:val="26"/>
        </w:rPr>
        <w:t>A</w:t>
      </w:r>
      <w:r w:rsidR="00FD0759" w:rsidRPr="00D92FAD">
        <w:rPr>
          <w:sz w:val="26"/>
          <w:szCs w:val="26"/>
        </w:rPr>
        <w:t xml:space="preserve">s </w:t>
      </w:r>
      <w:r w:rsidR="00585EDB">
        <w:rPr>
          <w:sz w:val="26"/>
          <w:szCs w:val="26"/>
        </w:rPr>
        <w:t>PECO</w:t>
      </w:r>
      <w:r w:rsidR="00585EDB" w:rsidRPr="00585EDB">
        <w:rPr>
          <w:sz w:val="26"/>
          <w:szCs w:val="26"/>
        </w:rPr>
        <w:t xml:space="preserve"> </w:t>
      </w:r>
      <w:r w:rsidR="00585EDB">
        <w:rPr>
          <w:sz w:val="26"/>
          <w:szCs w:val="26"/>
        </w:rPr>
        <w:t>stated</w:t>
      </w:r>
      <w:r w:rsidR="00F738D6">
        <w:rPr>
          <w:sz w:val="26"/>
          <w:szCs w:val="26"/>
        </w:rPr>
        <w:t>,</w:t>
      </w:r>
      <w:r w:rsidR="00FD0759" w:rsidRPr="00D92FAD">
        <w:rPr>
          <w:sz w:val="26"/>
          <w:szCs w:val="26"/>
        </w:rPr>
        <w:t xml:space="preserve"> </w:t>
      </w:r>
      <w:r w:rsidR="0092195B" w:rsidRPr="00D92FAD">
        <w:rPr>
          <w:sz w:val="26"/>
          <w:szCs w:val="26"/>
        </w:rPr>
        <w:t xml:space="preserve">the Complainant </w:t>
      </w:r>
      <w:r w:rsidR="0001756A">
        <w:rPr>
          <w:sz w:val="26"/>
          <w:szCs w:val="26"/>
        </w:rPr>
        <w:t xml:space="preserve">may seek damages from </w:t>
      </w:r>
      <w:r w:rsidR="00881769">
        <w:rPr>
          <w:sz w:val="26"/>
          <w:szCs w:val="26"/>
        </w:rPr>
        <w:t>the former tenant</w:t>
      </w:r>
      <w:r w:rsidR="0001756A">
        <w:rPr>
          <w:sz w:val="26"/>
          <w:szCs w:val="26"/>
        </w:rPr>
        <w:t xml:space="preserve"> through the </w:t>
      </w:r>
      <w:r w:rsidR="00585EDB">
        <w:rPr>
          <w:sz w:val="26"/>
          <w:szCs w:val="26"/>
        </w:rPr>
        <w:t>Court of Common Pleas</w:t>
      </w:r>
      <w:r w:rsidR="0001756A">
        <w:rPr>
          <w:sz w:val="26"/>
          <w:szCs w:val="26"/>
        </w:rPr>
        <w:t>.</w:t>
      </w:r>
    </w:p>
    <w:p w14:paraId="76F891D2" w14:textId="77777777" w:rsidR="00585EDB" w:rsidRPr="00D92FAD" w:rsidRDefault="00585EDB" w:rsidP="009F0FBD">
      <w:pPr>
        <w:spacing w:line="360" w:lineRule="auto"/>
        <w:ind w:firstLine="1440"/>
        <w:contextualSpacing/>
        <w:rPr>
          <w:sz w:val="26"/>
          <w:szCs w:val="26"/>
        </w:rPr>
      </w:pPr>
    </w:p>
    <w:p w14:paraId="3FDFD401" w14:textId="792DB577" w:rsidR="0092195B" w:rsidRDefault="00B12EA1" w:rsidP="009F0FBD">
      <w:pPr>
        <w:spacing w:line="360" w:lineRule="auto"/>
        <w:ind w:firstLine="1440"/>
        <w:contextualSpacing/>
        <w:rPr>
          <w:sz w:val="26"/>
        </w:rPr>
      </w:pPr>
      <w:r>
        <w:rPr>
          <w:sz w:val="26"/>
          <w:szCs w:val="26"/>
        </w:rPr>
        <w:t xml:space="preserve">In light of the above discussion, </w:t>
      </w:r>
      <w:r w:rsidR="0092195B">
        <w:rPr>
          <w:sz w:val="26"/>
          <w:szCs w:val="26"/>
        </w:rPr>
        <w:t xml:space="preserve">we concur with the ALJ’s finding that </w:t>
      </w:r>
      <w:r w:rsidR="0092195B">
        <w:rPr>
          <w:sz w:val="26"/>
        </w:rPr>
        <w:t xml:space="preserve">the Complainant failed to </w:t>
      </w:r>
      <w:r w:rsidR="0092195B">
        <w:rPr>
          <w:sz w:val="26"/>
          <w:szCs w:val="26"/>
        </w:rPr>
        <w:t xml:space="preserve">state a claim upon which relief can be granted as well as his decision to dismiss the Complaint.  </w:t>
      </w:r>
      <w:r w:rsidR="0092195B">
        <w:rPr>
          <w:sz w:val="26"/>
        </w:rPr>
        <w:t>Accordingly, the</w:t>
      </w:r>
      <w:r w:rsidR="00B51676">
        <w:rPr>
          <w:sz w:val="26"/>
        </w:rPr>
        <w:t xml:space="preserve"> ALJ’s Initial Decision is adopted and the</w:t>
      </w:r>
      <w:r w:rsidR="0092195B">
        <w:rPr>
          <w:sz w:val="26"/>
        </w:rPr>
        <w:t xml:space="preserve"> Complainant’s Exceptions are denied.</w:t>
      </w:r>
    </w:p>
    <w:p w14:paraId="08D50C60" w14:textId="77777777" w:rsidR="00AE2026" w:rsidRPr="008F78A8" w:rsidRDefault="00AE2026" w:rsidP="009F0FBD">
      <w:pPr>
        <w:spacing w:line="360" w:lineRule="auto"/>
        <w:contextualSpacing/>
        <w:rPr>
          <w:sz w:val="26"/>
          <w:szCs w:val="26"/>
        </w:rPr>
      </w:pPr>
    </w:p>
    <w:p w14:paraId="70486277" w14:textId="77777777" w:rsidR="00CA43A5" w:rsidRPr="008F78A8" w:rsidRDefault="00CA43A5" w:rsidP="00D07678">
      <w:pPr>
        <w:keepNext/>
        <w:keepLines/>
        <w:spacing w:line="360" w:lineRule="auto"/>
        <w:contextualSpacing/>
        <w:jc w:val="center"/>
        <w:rPr>
          <w:b/>
          <w:sz w:val="26"/>
          <w:szCs w:val="26"/>
        </w:rPr>
      </w:pPr>
      <w:r w:rsidRPr="008F78A8">
        <w:rPr>
          <w:b/>
          <w:sz w:val="26"/>
          <w:szCs w:val="26"/>
        </w:rPr>
        <w:t>Conclusion</w:t>
      </w:r>
    </w:p>
    <w:p w14:paraId="23F653C9" w14:textId="77777777" w:rsidR="00CA43A5" w:rsidRPr="008F78A8" w:rsidRDefault="00CA43A5" w:rsidP="00D07678">
      <w:pPr>
        <w:keepNext/>
        <w:keepLines/>
        <w:spacing w:line="360" w:lineRule="auto"/>
        <w:ind w:firstLine="1440"/>
        <w:contextualSpacing/>
        <w:rPr>
          <w:sz w:val="26"/>
          <w:szCs w:val="26"/>
        </w:rPr>
      </w:pPr>
    </w:p>
    <w:p w14:paraId="3BF916DE" w14:textId="77777777" w:rsidR="00CA43A5" w:rsidRPr="008F78A8" w:rsidRDefault="00CA43A5" w:rsidP="009F0FBD">
      <w:pPr>
        <w:spacing w:line="360" w:lineRule="auto"/>
        <w:ind w:firstLine="1440"/>
        <w:contextualSpacing/>
        <w:rPr>
          <w:sz w:val="26"/>
          <w:szCs w:val="26"/>
        </w:rPr>
      </w:pPr>
      <w:r w:rsidRPr="008F78A8">
        <w:rPr>
          <w:sz w:val="26"/>
          <w:szCs w:val="26"/>
        </w:rPr>
        <w:t xml:space="preserve">Based </w:t>
      </w:r>
      <w:r w:rsidR="00234374">
        <w:rPr>
          <w:sz w:val="26"/>
          <w:szCs w:val="26"/>
        </w:rPr>
        <w:t xml:space="preserve">on the foregoing reasons, </w:t>
      </w:r>
      <w:r w:rsidRPr="008F78A8">
        <w:rPr>
          <w:sz w:val="26"/>
          <w:szCs w:val="26"/>
        </w:rPr>
        <w:t xml:space="preserve">we shall </w:t>
      </w:r>
      <w:r w:rsidR="006E4254" w:rsidRPr="008F78A8">
        <w:rPr>
          <w:sz w:val="26"/>
          <w:szCs w:val="26"/>
        </w:rPr>
        <w:t>deny the Complainant’s Exceptions</w:t>
      </w:r>
      <w:r w:rsidR="009D4C89" w:rsidRPr="008F78A8">
        <w:rPr>
          <w:sz w:val="26"/>
          <w:szCs w:val="26"/>
        </w:rPr>
        <w:t xml:space="preserve"> and adopt the Initial Decision</w:t>
      </w:r>
      <w:r w:rsidR="008F78A8" w:rsidRPr="008F78A8">
        <w:rPr>
          <w:sz w:val="26"/>
          <w:szCs w:val="26"/>
        </w:rPr>
        <w:t xml:space="preserve"> that </w:t>
      </w:r>
      <w:r w:rsidR="007A3B16">
        <w:rPr>
          <w:sz w:val="26"/>
          <w:szCs w:val="26"/>
        </w:rPr>
        <w:t xml:space="preserve">grants PECO’s Preliminary Objections and </w:t>
      </w:r>
      <w:r w:rsidR="008F78A8" w:rsidRPr="008F78A8">
        <w:rPr>
          <w:sz w:val="26"/>
          <w:szCs w:val="26"/>
        </w:rPr>
        <w:t xml:space="preserve">dismisses the Complaint </w:t>
      </w:r>
      <w:r w:rsidRPr="008F78A8">
        <w:rPr>
          <w:sz w:val="26"/>
          <w:szCs w:val="26"/>
        </w:rPr>
        <w:t>consistent with th</w:t>
      </w:r>
      <w:r w:rsidR="0008598C" w:rsidRPr="008F78A8">
        <w:rPr>
          <w:sz w:val="26"/>
          <w:szCs w:val="26"/>
        </w:rPr>
        <w:t>is Opinion and Order</w:t>
      </w:r>
      <w:r w:rsidRPr="008F78A8">
        <w:rPr>
          <w:sz w:val="26"/>
          <w:szCs w:val="26"/>
        </w:rPr>
        <w:t xml:space="preserve">; </w:t>
      </w:r>
      <w:r w:rsidRPr="008F78A8">
        <w:rPr>
          <w:b/>
          <w:sz w:val="26"/>
          <w:szCs w:val="26"/>
        </w:rPr>
        <w:t>THEREFORE,</w:t>
      </w:r>
    </w:p>
    <w:p w14:paraId="5DEF1C1C" w14:textId="77777777" w:rsidR="00AE2026" w:rsidRPr="008F78A8" w:rsidRDefault="00AE2026" w:rsidP="009F0FBD">
      <w:pPr>
        <w:spacing w:line="360" w:lineRule="auto"/>
        <w:ind w:firstLine="1440"/>
        <w:contextualSpacing/>
        <w:rPr>
          <w:sz w:val="26"/>
          <w:szCs w:val="26"/>
        </w:rPr>
      </w:pPr>
    </w:p>
    <w:p w14:paraId="391659BB" w14:textId="77777777" w:rsidR="00CA43A5" w:rsidRPr="008F78A8" w:rsidRDefault="00CA43A5" w:rsidP="009F0FBD">
      <w:pPr>
        <w:keepNext/>
        <w:ind w:firstLine="1440"/>
        <w:contextualSpacing/>
        <w:rPr>
          <w:b/>
          <w:sz w:val="26"/>
          <w:szCs w:val="26"/>
        </w:rPr>
      </w:pPr>
      <w:r w:rsidRPr="008F78A8">
        <w:rPr>
          <w:b/>
          <w:sz w:val="26"/>
          <w:szCs w:val="26"/>
        </w:rPr>
        <w:t>IT IS ORDERED:</w:t>
      </w:r>
    </w:p>
    <w:p w14:paraId="297D2291" w14:textId="77777777" w:rsidR="00A61618" w:rsidRPr="008F78A8" w:rsidRDefault="00A61618" w:rsidP="009F0FBD">
      <w:pPr>
        <w:keepNext/>
        <w:ind w:firstLine="1440"/>
        <w:contextualSpacing/>
        <w:rPr>
          <w:b/>
          <w:sz w:val="26"/>
          <w:szCs w:val="26"/>
        </w:rPr>
      </w:pPr>
    </w:p>
    <w:p w14:paraId="40A3E107" w14:textId="77777777" w:rsidR="00CA43A5" w:rsidRPr="008F78A8" w:rsidRDefault="00CA43A5" w:rsidP="009F0FBD">
      <w:pPr>
        <w:keepNext/>
        <w:contextualSpacing/>
        <w:rPr>
          <w:sz w:val="26"/>
          <w:szCs w:val="26"/>
        </w:rPr>
      </w:pPr>
    </w:p>
    <w:p w14:paraId="69FCA6E7" w14:textId="1D5667F6" w:rsidR="009155F7" w:rsidRPr="008F78A8" w:rsidRDefault="009155F7" w:rsidP="009F0FBD">
      <w:pPr>
        <w:numPr>
          <w:ilvl w:val="0"/>
          <w:numId w:val="1"/>
        </w:numPr>
        <w:tabs>
          <w:tab w:val="clear" w:pos="2160"/>
          <w:tab w:val="num" w:pos="0"/>
        </w:tabs>
        <w:spacing w:line="360" w:lineRule="auto"/>
        <w:ind w:left="0" w:firstLine="1440"/>
        <w:contextualSpacing/>
        <w:rPr>
          <w:sz w:val="26"/>
          <w:szCs w:val="26"/>
        </w:rPr>
      </w:pPr>
      <w:r w:rsidRPr="008F78A8">
        <w:rPr>
          <w:sz w:val="26"/>
          <w:szCs w:val="26"/>
        </w:rPr>
        <w:t>That the Exceptions of</w:t>
      </w:r>
      <w:r w:rsidR="009D4C89" w:rsidRPr="008F78A8">
        <w:rPr>
          <w:sz w:val="26"/>
          <w:szCs w:val="26"/>
        </w:rPr>
        <w:t xml:space="preserve"> </w:t>
      </w:r>
      <w:r w:rsidR="003F6BDE" w:rsidRPr="009108BF">
        <w:rPr>
          <w:sz w:val="26"/>
          <w:szCs w:val="26"/>
        </w:rPr>
        <w:t xml:space="preserve">Kenneth </w:t>
      </w:r>
      <w:r w:rsidR="009108BF" w:rsidRPr="009108BF">
        <w:rPr>
          <w:sz w:val="26"/>
          <w:szCs w:val="26"/>
        </w:rPr>
        <w:t>Groschopp</w:t>
      </w:r>
      <w:r w:rsidR="00234374">
        <w:rPr>
          <w:sz w:val="26"/>
          <w:szCs w:val="26"/>
        </w:rPr>
        <w:t xml:space="preserve"> that were </w:t>
      </w:r>
      <w:r w:rsidR="009D4C89" w:rsidRPr="008F78A8">
        <w:rPr>
          <w:sz w:val="26"/>
          <w:szCs w:val="26"/>
        </w:rPr>
        <w:t xml:space="preserve">filed on </w:t>
      </w:r>
      <w:r w:rsidR="009108BF">
        <w:rPr>
          <w:sz w:val="26"/>
          <w:szCs w:val="26"/>
        </w:rPr>
        <w:t>J</w:t>
      </w:r>
      <w:r w:rsidR="008D20D0">
        <w:rPr>
          <w:sz w:val="26"/>
          <w:szCs w:val="26"/>
        </w:rPr>
        <w:t>uly </w:t>
      </w:r>
      <w:r w:rsidR="009108BF">
        <w:rPr>
          <w:sz w:val="26"/>
          <w:szCs w:val="26"/>
        </w:rPr>
        <w:t>3</w:t>
      </w:r>
      <w:r w:rsidR="008D20D0">
        <w:rPr>
          <w:sz w:val="26"/>
          <w:szCs w:val="26"/>
        </w:rPr>
        <w:t>, </w:t>
      </w:r>
      <w:r w:rsidR="008431FD">
        <w:rPr>
          <w:sz w:val="26"/>
          <w:szCs w:val="26"/>
        </w:rPr>
        <w:t>201</w:t>
      </w:r>
      <w:r w:rsidR="009108BF">
        <w:rPr>
          <w:sz w:val="26"/>
          <w:szCs w:val="26"/>
        </w:rPr>
        <w:t>7</w:t>
      </w:r>
      <w:r w:rsidR="009D4C89" w:rsidRPr="008F78A8">
        <w:rPr>
          <w:sz w:val="26"/>
          <w:szCs w:val="26"/>
        </w:rPr>
        <w:t xml:space="preserve">, </w:t>
      </w:r>
      <w:r w:rsidRPr="008F78A8">
        <w:rPr>
          <w:sz w:val="26"/>
          <w:szCs w:val="26"/>
        </w:rPr>
        <w:t xml:space="preserve">are </w:t>
      </w:r>
      <w:r w:rsidR="009D4C89" w:rsidRPr="008F78A8">
        <w:rPr>
          <w:sz w:val="26"/>
          <w:szCs w:val="26"/>
        </w:rPr>
        <w:t>denied</w:t>
      </w:r>
      <w:r w:rsidR="003F51F4" w:rsidRPr="008F78A8">
        <w:rPr>
          <w:sz w:val="26"/>
          <w:szCs w:val="26"/>
        </w:rPr>
        <w:t xml:space="preserve">, consistent with this Opinion </w:t>
      </w:r>
      <w:r w:rsidR="00B80C43" w:rsidRPr="008F78A8">
        <w:rPr>
          <w:sz w:val="26"/>
          <w:szCs w:val="26"/>
        </w:rPr>
        <w:t>and Order</w:t>
      </w:r>
      <w:r w:rsidRPr="008F78A8">
        <w:rPr>
          <w:sz w:val="26"/>
          <w:szCs w:val="26"/>
        </w:rPr>
        <w:t>.</w:t>
      </w:r>
    </w:p>
    <w:p w14:paraId="1C9BD233" w14:textId="77777777" w:rsidR="0008598C" w:rsidRPr="008F78A8" w:rsidRDefault="0008598C" w:rsidP="009F0FBD">
      <w:pPr>
        <w:spacing w:line="360" w:lineRule="auto"/>
        <w:ind w:left="1440"/>
        <w:contextualSpacing/>
        <w:rPr>
          <w:sz w:val="26"/>
          <w:szCs w:val="26"/>
        </w:rPr>
      </w:pPr>
    </w:p>
    <w:p w14:paraId="20DB9FAF" w14:textId="317D3843" w:rsidR="003F51F4" w:rsidRPr="008F78A8" w:rsidRDefault="009D4C89" w:rsidP="009F0FBD">
      <w:pPr>
        <w:spacing w:line="360" w:lineRule="auto"/>
        <w:ind w:firstLine="1440"/>
        <w:contextualSpacing/>
        <w:rPr>
          <w:sz w:val="26"/>
          <w:szCs w:val="26"/>
        </w:rPr>
      </w:pPr>
      <w:r w:rsidRPr="008F78A8">
        <w:rPr>
          <w:sz w:val="26"/>
          <w:szCs w:val="26"/>
        </w:rPr>
        <w:t>2.</w:t>
      </w:r>
      <w:r w:rsidRPr="008F78A8">
        <w:rPr>
          <w:sz w:val="26"/>
          <w:szCs w:val="26"/>
        </w:rPr>
        <w:tab/>
      </w:r>
      <w:r w:rsidR="00CA43A5" w:rsidRPr="008F78A8">
        <w:rPr>
          <w:sz w:val="26"/>
          <w:szCs w:val="26"/>
        </w:rPr>
        <w:t>That the Initial Decision of Administrative Law Judge</w:t>
      </w:r>
      <w:r w:rsidR="002709CD" w:rsidRPr="008F78A8">
        <w:rPr>
          <w:sz w:val="26"/>
          <w:szCs w:val="26"/>
        </w:rPr>
        <w:t xml:space="preserve"> </w:t>
      </w:r>
      <w:r w:rsidR="009108BF" w:rsidRPr="009108BF">
        <w:rPr>
          <w:sz w:val="26"/>
        </w:rPr>
        <w:t>David A. Salapa</w:t>
      </w:r>
      <w:r w:rsidR="00B56D48" w:rsidRPr="008F78A8">
        <w:rPr>
          <w:sz w:val="26"/>
        </w:rPr>
        <w:t xml:space="preserve">, </w:t>
      </w:r>
      <w:r w:rsidRPr="008F78A8">
        <w:rPr>
          <w:sz w:val="26"/>
        </w:rPr>
        <w:t xml:space="preserve">issued on </w:t>
      </w:r>
      <w:r w:rsidR="009108BF">
        <w:rPr>
          <w:sz w:val="26"/>
        </w:rPr>
        <w:t>June 12, 2017</w:t>
      </w:r>
      <w:r w:rsidRPr="008F78A8">
        <w:rPr>
          <w:sz w:val="26"/>
        </w:rPr>
        <w:t>,</w:t>
      </w:r>
      <w:r w:rsidR="00CA43A5" w:rsidRPr="008F78A8">
        <w:rPr>
          <w:sz w:val="26"/>
          <w:szCs w:val="26"/>
        </w:rPr>
        <w:t xml:space="preserve"> is </w:t>
      </w:r>
      <w:r w:rsidRPr="008F78A8">
        <w:rPr>
          <w:sz w:val="26"/>
          <w:szCs w:val="26"/>
        </w:rPr>
        <w:t>adopted</w:t>
      </w:r>
      <w:r w:rsidR="00CA43A5" w:rsidRPr="008F78A8">
        <w:rPr>
          <w:sz w:val="26"/>
          <w:szCs w:val="26"/>
        </w:rPr>
        <w:t>, consistent with this Opinion and Order.</w:t>
      </w:r>
    </w:p>
    <w:p w14:paraId="2489B60C" w14:textId="77777777" w:rsidR="00CA43A5" w:rsidRPr="008F78A8" w:rsidRDefault="00CA43A5" w:rsidP="009F0FBD">
      <w:pPr>
        <w:spacing w:line="360" w:lineRule="auto"/>
        <w:ind w:firstLine="1440"/>
        <w:contextualSpacing/>
        <w:rPr>
          <w:sz w:val="26"/>
          <w:szCs w:val="26"/>
        </w:rPr>
      </w:pPr>
    </w:p>
    <w:p w14:paraId="193E91C8" w14:textId="3CC49526" w:rsidR="005B13B5" w:rsidRDefault="009D4C89" w:rsidP="0030259A">
      <w:pPr>
        <w:pStyle w:val="ListParagraph"/>
        <w:numPr>
          <w:ilvl w:val="0"/>
          <w:numId w:val="2"/>
        </w:numPr>
        <w:spacing w:after="0" w:line="360" w:lineRule="auto"/>
        <w:ind w:left="0" w:firstLine="1440"/>
        <w:rPr>
          <w:sz w:val="26"/>
          <w:szCs w:val="26"/>
        </w:rPr>
      </w:pPr>
      <w:r w:rsidRPr="005B13B5">
        <w:rPr>
          <w:sz w:val="26"/>
          <w:szCs w:val="26"/>
        </w:rPr>
        <w:lastRenderedPageBreak/>
        <w:t xml:space="preserve">That the Complaint of </w:t>
      </w:r>
      <w:r w:rsidR="009108BF" w:rsidRPr="005B13B5">
        <w:rPr>
          <w:sz w:val="26"/>
          <w:szCs w:val="26"/>
        </w:rPr>
        <w:t xml:space="preserve">Kenneth Groschopp </w:t>
      </w:r>
      <w:r w:rsidRPr="005B13B5">
        <w:rPr>
          <w:sz w:val="26"/>
          <w:szCs w:val="26"/>
        </w:rPr>
        <w:t xml:space="preserve">against </w:t>
      </w:r>
      <w:r w:rsidR="007A3B16" w:rsidRPr="005B13B5">
        <w:rPr>
          <w:sz w:val="26"/>
          <w:szCs w:val="26"/>
        </w:rPr>
        <w:t>PECO Energy Company</w:t>
      </w:r>
      <w:r w:rsidR="0008598C" w:rsidRPr="005B13B5">
        <w:rPr>
          <w:sz w:val="26"/>
          <w:szCs w:val="26"/>
        </w:rPr>
        <w:t>,</w:t>
      </w:r>
      <w:r w:rsidRPr="005B13B5">
        <w:rPr>
          <w:sz w:val="26"/>
          <w:szCs w:val="26"/>
        </w:rPr>
        <w:t xml:space="preserve"> at Docket No. </w:t>
      </w:r>
      <w:r w:rsidR="005B69B9" w:rsidRPr="005B13B5">
        <w:rPr>
          <w:sz w:val="26"/>
          <w:szCs w:val="26"/>
        </w:rPr>
        <w:t>C-2017-2594740</w:t>
      </w:r>
      <w:r w:rsidR="0008598C" w:rsidRPr="005B13B5">
        <w:rPr>
          <w:sz w:val="26"/>
          <w:szCs w:val="26"/>
        </w:rPr>
        <w:t>,</w:t>
      </w:r>
      <w:r w:rsidRPr="005B13B5">
        <w:rPr>
          <w:sz w:val="26"/>
          <w:szCs w:val="26"/>
        </w:rPr>
        <w:t xml:space="preserve"> is </w:t>
      </w:r>
      <w:r w:rsidR="000E33AF" w:rsidRPr="005B13B5">
        <w:rPr>
          <w:sz w:val="26"/>
          <w:szCs w:val="26"/>
        </w:rPr>
        <w:t>dismissed</w:t>
      </w:r>
      <w:r w:rsidRPr="005B13B5">
        <w:rPr>
          <w:sz w:val="26"/>
          <w:szCs w:val="26"/>
        </w:rPr>
        <w:t xml:space="preserve">. </w:t>
      </w:r>
    </w:p>
    <w:p w14:paraId="5C9A9A82" w14:textId="77777777" w:rsidR="0030259A" w:rsidRPr="0030259A" w:rsidRDefault="0030259A" w:rsidP="0030259A">
      <w:pPr>
        <w:pStyle w:val="ListParagraph"/>
        <w:spacing w:after="0" w:line="360" w:lineRule="auto"/>
        <w:ind w:left="1440"/>
        <w:rPr>
          <w:sz w:val="26"/>
          <w:szCs w:val="26"/>
        </w:rPr>
      </w:pPr>
    </w:p>
    <w:p w14:paraId="5CF7E413" w14:textId="77777777" w:rsidR="00372487" w:rsidRPr="008F78A8" w:rsidRDefault="00372487" w:rsidP="0030259A">
      <w:pPr>
        <w:spacing w:after="0" w:line="360" w:lineRule="auto"/>
        <w:ind w:firstLine="1440"/>
        <w:rPr>
          <w:sz w:val="26"/>
          <w:szCs w:val="26"/>
        </w:rPr>
      </w:pPr>
      <w:r w:rsidRPr="008F78A8">
        <w:rPr>
          <w:sz w:val="26"/>
          <w:szCs w:val="26"/>
        </w:rPr>
        <w:t>4.</w:t>
      </w:r>
      <w:r w:rsidRPr="008F78A8">
        <w:rPr>
          <w:sz w:val="26"/>
          <w:szCs w:val="26"/>
        </w:rPr>
        <w:tab/>
      </w:r>
      <w:r w:rsidR="008855BB" w:rsidRPr="008F78A8">
        <w:rPr>
          <w:sz w:val="26"/>
          <w:szCs w:val="26"/>
        </w:rPr>
        <w:t>That this proceeding be marked closed.</w:t>
      </w:r>
    </w:p>
    <w:p w14:paraId="63E8658E" w14:textId="00ED3654" w:rsidR="00AE2026" w:rsidRDefault="00AE2026" w:rsidP="00234374">
      <w:pPr>
        <w:keepNext/>
        <w:keepLines/>
        <w:contextualSpacing/>
        <w:rPr>
          <w:sz w:val="26"/>
          <w:szCs w:val="26"/>
        </w:rPr>
      </w:pPr>
    </w:p>
    <w:p w14:paraId="2749F15C" w14:textId="2EFFA14F" w:rsidR="0030259A" w:rsidRPr="008F78A8" w:rsidRDefault="0030259A" w:rsidP="00234374">
      <w:pPr>
        <w:keepNext/>
        <w:keepLines/>
        <w:contextualSpacing/>
        <w:rPr>
          <w:sz w:val="26"/>
          <w:szCs w:val="26"/>
        </w:rPr>
      </w:pPr>
    </w:p>
    <w:p w14:paraId="658CD5DF" w14:textId="1FDC2AFE" w:rsidR="00CA43A5" w:rsidRPr="008F78A8" w:rsidRDefault="00187064" w:rsidP="00234374">
      <w:pPr>
        <w:keepNext/>
        <w:keepLines/>
        <w:tabs>
          <w:tab w:val="left" w:pos="-720"/>
        </w:tabs>
        <w:ind w:firstLine="5040"/>
        <w:contextualSpacing/>
        <w:rPr>
          <w:sz w:val="26"/>
          <w:szCs w:val="26"/>
        </w:rPr>
      </w:pPr>
      <w:r>
        <w:rPr>
          <w:noProof/>
        </w:rPr>
        <w:drawing>
          <wp:anchor distT="0" distB="0" distL="114300" distR="114300" simplePos="0" relativeHeight="251659264" behindDoc="1" locked="0" layoutInCell="1" allowOverlap="1" wp14:anchorId="0FFBB158" wp14:editId="5BF267A0">
            <wp:simplePos x="0" y="0"/>
            <wp:positionH relativeFrom="column">
              <wp:posOffset>3133725</wp:posOffset>
            </wp:positionH>
            <wp:positionV relativeFrom="paragraph">
              <wp:posOffset>124460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3A5" w:rsidRPr="008F78A8">
        <w:rPr>
          <w:b/>
          <w:sz w:val="26"/>
          <w:szCs w:val="26"/>
        </w:rPr>
        <w:t>BY THE COMMISSION,</w:t>
      </w:r>
    </w:p>
    <w:p w14:paraId="66F5AB52" w14:textId="77777777" w:rsidR="00CA43A5" w:rsidRDefault="00CA43A5" w:rsidP="00234374">
      <w:pPr>
        <w:keepNext/>
        <w:keepLines/>
        <w:tabs>
          <w:tab w:val="left" w:pos="-720"/>
        </w:tabs>
        <w:contextualSpacing/>
        <w:rPr>
          <w:sz w:val="26"/>
          <w:szCs w:val="26"/>
        </w:rPr>
      </w:pPr>
    </w:p>
    <w:p w14:paraId="79BA446C" w14:textId="77777777" w:rsidR="00AE2026" w:rsidRDefault="00AE2026" w:rsidP="00234374">
      <w:pPr>
        <w:keepNext/>
        <w:keepLines/>
        <w:tabs>
          <w:tab w:val="left" w:pos="-720"/>
        </w:tabs>
        <w:contextualSpacing/>
        <w:rPr>
          <w:sz w:val="26"/>
          <w:szCs w:val="26"/>
        </w:rPr>
      </w:pPr>
    </w:p>
    <w:p w14:paraId="79DFE90E" w14:textId="77777777" w:rsidR="00C9299B" w:rsidRDefault="00C9299B" w:rsidP="00234374">
      <w:pPr>
        <w:keepNext/>
        <w:keepLines/>
        <w:tabs>
          <w:tab w:val="left" w:pos="-720"/>
        </w:tabs>
        <w:contextualSpacing/>
        <w:rPr>
          <w:sz w:val="26"/>
          <w:szCs w:val="26"/>
        </w:rPr>
      </w:pPr>
    </w:p>
    <w:p w14:paraId="00BE956E" w14:textId="77777777" w:rsidR="00CA43A5" w:rsidRPr="008F78A8" w:rsidRDefault="00564565" w:rsidP="00234374">
      <w:pPr>
        <w:keepNext/>
        <w:keepLines/>
        <w:tabs>
          <w:tab w:val="left" w:pos="-720"/>
        </w:tabs>
        <w:ind w:firstLine="5040"/>
        <w:contextualSpacing/>
        <w:rPr>
          <w:b/>
          <w:sz w:val="26"/>
          <w:szCs w:val="26"/>
        </w:rPr>
      </w:pPr>
      <w:r w:rsidRPr="008F78A8">
        <w:rPr>
          <w:sz w:val="26"/>
          <w:szCs w:val="26"/>
        </w:rPr>
        <w:t>Rosemary Chiavetta</w:t>
      </w:r>
    </w:p>
    <w:p w14:paraId="2A775FA6" w14:textId="77777777" w:rsidR="00CA43A5" w:rsidRPr="008F78A8" w:rsidRDefault="00CA43A5" w:rsidP="00234374">
      <w:pPr>
        <w:keepNext/>
        <w:keepLines/>
        <w:tabs>
          <w:tab w:val="left" w:pos="-720"/>
        </w:tabs>
        <w:ind w:firstLine="5040"/>
        <w:contextualSpacing/>
        <w:rPr>
          <w:sz w:val="26"/>
          <w:szCs w:val="26"/>
        </w:rPr>
      </w:pPr>
      <w:r w:rsidRPr="008F78A8">
        <w:rPr>
          <w:sz w:val="26"/>
          <w:szCs w:val="26"/>
        </w:rPr>
        <w:t>Secretary</w:t>
      </w:r>
    </w:p>
    <w:p w14:paraId="409D301C" w14:textId="77777777" w:rsidR="008F78A8" w:rsidRDefault="008F78A8" w:rsidP="00234374">
      <w:pPr>
        <w:keepNext/>
        <w:keepLines/>
        <w:tabs>
          <w:tab w:val="left" w:pos="-720"/>
        </w:tabs>
        <w:contextualSpacing/>
        <w:rPr>
          <w:sz w:val="26"/>
          <w:szCs w:val="26"/>
        </w:rPr>
      </w:pPr>
    </w:p>
    <w:p w14:paraId="55399CE1" w14:textId="77777777" w:rsidR="00CA43A5" w:rsidRPr="008F78A8" w:rsidRDefault="00CA43A5" w:rsidP="00234374">
      <w:pPr>
        <w:keepNext/>
        <w:keepLines/>
        <w:tabs>
          <w:tab w:val="left" w:pos="-720"/>
        </w:tabs>
        <w:contextualSpacing/>
        <w:rPr>
          <w:sz w:val="26"/>
          <w:szCs w:val="26"/>
        </w:rPr>
      </w:pPr>
      <w:r w:rsidRPr="008F78A8">
        <w:rPr>
          <w:sz w:val="26"/>
          <w:szCs w:val="26"/>
        </w:rPr>
        <w:t>(SEAL)</w:t>
      </w:r>
    </w:p>
    <w:p w14:paraId="1E443D94" w14:textId="77777777" w:rsidR="00CA43A5" w:rsidRPr="008F78A8" w:rsidRDefault="00CA43A5" w:rsidP="00234374">
      <w:pPr>
        <w:keepNext/>
        <w:keepLines/>
        <w:tabs>
          <w:tab w:val="left" w:pos="-720"/>
        </w:tabs>
        <w:contextualSpacing/>
        <w:rPr>
          <w:sz w:val="26"/>
          <w:szCs w:val="26"/>
        </w:rPr>
      </w:pPr>
    </w:p>
    <w:p w14:paraId="3AFB2870" w14:textId="701A1EF2" w:rsidR="00CA43A5" w:rsidRPr="008F78A8" w:rsidRDefault="00CA43A5" w:rsidP="00234374">
      <w:pPr>
        <w:keepNext/>
        <w:keepLines/>
        <w:tabs>
          <w:tab w:val="left" w:pos="-720"/>
        </w:tabs>
        <w:contextualSpacing/>
        <w:rPr>
          <w:sz w:val="26"/>
          <w:szCs w:val="26"/>
        </w:rPr>
      </w:pPr>
      <w:r w:rsidRPr="008F78A8">
        <w:rPr>
          <w:sz w:val="26"/>
          <w:szCs w:val="26"/>
        </w:rPr>
        <w:t>ORDER ADOPTED:</w:t>
      </w:r>
      <w:r w:rsidR="009D4C89" w:rsidRPr="008F78A8">
        <w:rPr>
          <w:sz w:val="26"/>
          <w:szCs w:val="26"/>
        </w:rPr>
        <w:t xml:space="preserve">  </w:t>
      </w:r>
      <w:r w:rsidR="00D56F2B">
        <w:rPr>
          <w:sz w:val="26"/>
          <w:szCs w:val="26"/>
        </w:rPr>
        <w:t>December 5, 2019</w:t>
      </w:r>
    </w:p>
    <w:p w14:paraId="504B2A14" w14:textId="77777777" w:rsidR="00857172" w:rsidRPr="008F78A8" w:rsidRDefault="00857172" w:rsidP="00234374">
      <w:pPr>
        <w:keepNext/>
        <w:keepLines/>
        <w:tabs>
          <w:tab w:val="left" w:pos="-720"/>
        </w:tabs>
        <w:contextualSpacing/>
        <w:rPr>
          <w:sz w:val="26"/>
          <w:szCs w:val="26"/>
        </w:rPr>
      </w:pPr>
    </w:p>
    <w:p w14:paraId="6E9A0F7D" w14:textId="1C1CEABA" w:rsidR="00CA43A5" w:rsidRPr="008F78A8" w:rsidRDefault="00CA43A5" w:rsidP="00234374">
      <w:pPr>
        <w:keepNext/>
        <w:keepLines/>
        <w:tabs>
          <w:tab w:val="left" w:pos="-720"/>
        </w:tabs>
        <w:contextualSpacing/>
        <w:rPr>
          <w:sz w:val="26"/>
          <w:szCs w:val="26"/>
        </w:rPr>
      </w:pPr>
      <w:r w:rsidRPr="008F78A8">
        <w:rPr>
          <w:sz w:val="26"/>
          <w:szCs w:val="26"/>
        </w:rPr>
        <w:t xml:space="preserve">ORDER ENTERED:  </w:t>
      </w:r>
      <w:r w:rsidR="00187064">
        <w:rPr>
          <w:sz w:val="26"/>
          <w:szCs w:val="26"/>
        </w:rPr>
        <w:t>December 5</w:t>
      </w:r>
      <w:bookmarkStart w:id="8" w:name="_GoBack"/>
      <w:bookmarkEnd w:id="8"/>
      <w:r w:rsidR="00187064">
        <w:rPr>
          <w:sz w:val="26"/>
          <w:szCs w:val="26"/>
        </w:rPr>
        <w:t>, 2019</w:t>
      </w:r>
    </w:p>
    <w:sectPr w:rsidR="00CA43A5" w:rsidRPr="008F78A8" w:rsidSect="009279B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1E283" w14:textId="77777777" w:rsidR="00F6705B" w:rsidRDefault="00F6705B" w:rsidP="001B7DA2">
      <w:r>
        <w:separator/>
      </w:r>
    </w:p>
  </w:endnote>
  <w:endnote w:type="continuationSeparator" w:id="0">
    <w:p w14:paraId="320CEB33" w14:textId="77777777" w:rsidR="00F6705B" w:rsidRDefault="00F6705B"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971551"/>
      <w:docPartObj>
        <w:docPartGallery w:val="Page Numbers (Bottom of Page)"/>
        <w:docPartUnique/>
      </w:docPartObj>
    </w:sdtPr>
    <w:sdtEndPr>
      <w:rPr>
        <w:noProof/>
        <w:sz w:val="26"/>
        <w:szCs w:val="26"/>
      </w:rPr>
    </w:sdtEndPr>
    <w:sdtContent>
      <w:p w14:paraId="4D89ABA1" w14:textId="0B2EE935" w:rsidR="005207E2" w:rsidRDefault="005207E2" w:rsidP="005A1A84">
        <w:pPr>
          <w:pStyle w:val="Footer"/>
          <w:spacing w:after="0"/>
          <w:jc w:val="center"/>
        </w:pPr>
        <w:r w:rsidRPr="004D0C36">
          <w:rPr>
            <w:sz w:val="26"/>
            <w:szCs w:val="26"/>
          </w:rPr>
          <w:fldChar w:fldCharType="begin"/>
        </w:r>
        <w:r w:rsidRPr="004D0C36">
          <w:rPr>
            <w:sz w:val="26"/>
            <w:szCs w:val="26"/>
          </w:rPr>
          <w:instrText xml:space="preserve"> PAGE   \* MERGEFORMAT </w:instrText>
        </w:r>
        <w:r w:rsidRPr="004D0C36">
          <w:rPr>
            <w:sz w:val="26"/>
            <w:szCs w:val="26"/>
          </w:rPr>
          <w:fldChar w:fldCharType="separate"/>
        </w:r>
        <w:r w:rsidR="0030259A">
          <w:rPr>
            <w:noProof/>
            <w:sz w:val="26"/>
            <w:szCs w:val="26"/>
          </w:rPr>
          <w:t>14</w:t>
        </w:r>
        <w:r w:rsidRPr="004D0C36">
          <w:rPr>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6F56E" w14:textId="77777777" w:rsidR="005207E2" w:rsidRPr="004D0C36" w:rsidRDefault="005207E2" w:rsidP="005F0FA9">
    <w:pPr>
      <w:pStyle w:val="Footer"/>
      <w:jc w:val="center"/>
      <w:rPr>
        <w:sz w:val="26"/>
        <w:szCs w:val="26"/>
      </w:rPr>
    </w:pPr>
  </w:p>
  <w:p w14:paraId="36224545" w14:textId="77777777" w:rsidR="005207E2" w:rsidRDefault="00520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42F6D" w14:textId="77777777" w:rsidR="00F6705B" w:rsidRDefault="00F6705B" w:rsidP="007B78A9">
      <w:pPr>
        <w:spacing w:after="0" w:line="240" w:lineRule="auto"/>
      </w:pPr>
      <w:r>
        <w:separator/>
      </w:r>
    </w:p>
  </w:footnote>
  <w:footnote w:type="continuationSeparator" w:id="0">
    <w:p w14:paraId="52E2D7B9" w14:textId="77777777" w:rsidR="00F6705B" w:rsidRDefault="00F6705B" w:rsidP="001B7DA2">
      <w:r>
        <w:continuationSeparator/>
      </w:r>
    </w:p>
  </w:footnote>
  <w:footnote w:id="1">
    <w:p w14:paraId="0191C619" w14:textId="24F52DFA" w:rsidR="005207E2" w:rsidRPr="00495FBA" w:rsidRDefault="005207E2" w:rsidP="00624E0A">
      <w:pPr>
        <w:pStyle w:val="FootnoteText"/>
        <w:spacing w:after="0" w:line="240" w:lineRule="auto"/>
        <w:ind w:firstLine="720"/>
        <w:rPr>
          <w:sz w:val="26"/>
          <w:szCs w:val="26"/>
        </w:rPr>
      </w:pPr>
      <w:r w:rsidRPr="00495FBA">
        <w:rPr>
          <w:rStyle w:val="FootnoteReference"/>
          <w:sz w:val="26"/>
          <w:szCs w:val="26"/>
        </w:rPr>
        <w:t>1</w:t>
      </w:r>
      <w:r>
        <w:rPr>
          <w:sz w:val="26"/>
          <w:szCs w:val="26"/>
        </w:rPr>
        <w:t xml:space="preserve">  </w:t>
      </w:r>
      <w:r w:rsidR="00F3659B">
        <w:rPr>
          <w:sz w:val="26"/>
          <w:szCs w:val="26"/>
        </w:rPr>
        <w:tab/>
      </w:r>
      <w:r>
        <w:rPr>
          <w:sz w:val="26"/>
          <w:szCs w:val="26"/>
        </w:rPr>
        <w:t xml:space="preserve">On July 19, 2017, the case was inadvertently closed.  On October </w:t>
      </w:r>
      <w:r w:rsidR="00D56F2B">
        <w:rPr>
          <w:sz w:val="26"/>
          <w:szCs w:val="26"/>
        </w:rPr>
        <w:t>3</w:t>
      </w:r>
      <w:r>
        <w:rPr>
          <w:sz w:val="26"/>
          <w:szCs w:val="26"/>
        </w:rPr>
        <w:t xml:space="preserve">, 2019, the case was reopened.  </w:t>
      </w:r>
    </w:p>
  </w:footnote>
  <w:footnote w:id="2">
    <w:p w14:paraId="6E47D74A" w14:textId="6240AD05" w:rsidR="005207E2" w:rsidRPr="001E307A" w:rsidRDefault="005207E2" w:rsidP="007D2974">
      <w:pPr>
        <w:pStyle w:val="FootnoteText"/>
        <w:spacing w:after="120" w:line="240" w:lineRule="auto"/>
        <w:ind w:firstLine="720"/>
        <w:rPr>
          <w:sz w:val="26"/>
          <w:szCs w:val="26"/>
        </w:rPr>
      </w:pPr>
      <w:r w:rsidRPr="001E307A">
        <w:rPr>
          <w:rStyle w:val="FootnoteReference"/>
          <w:sz w:val="26"/>
          <w:szCs w:val="26"/>
        </w:rPr>
        <w:footnoteRef/>
      </w:r>
      <w:r w:rsidRPr="001E307A">
        <w:rPr>
          <w:sz w:val="26"/>
          <w:szCs w:val="26"/>
        </w:rPr>
        <w:t xml:space="preserve"> </w:t>
      </w:r>
      <w:r w:rsidR="00F3659B">
        <w:rPr>
          <w:sz w:val="26"/>
          <w:szCs w:val="26"/>
        </w:rPr>
        <w:tab/>
      </w:r>
      <w:r>
        <w:rPr>
          <w:sz w:val="26"/>
          <w:szCs w:val="26"/>
        </w:rPr>
        <w:t>The Exceptions were never served on PECO from the Complainant or the Commission.  PECO identified the Exceptions on the docket and filed its Replies soon thereafter.  R. Exc. at 1.</w:t>
      </w:r>
    </w:p>
  </w:footnote>
  <w:footnote w:id="3">
    <w:p w14:paraId="5B0CFCD9" w14:textId="667F6416" w:rsidR="005207E2" w:rsidRPr="00F6485E" w:rsidRDefault="005207E2" w:rsidP="007D2974">
      <w:pPr>
        <w:pStyle w:val="FootnoteText"/>
        <w:keepLines/>
        <w:spacing w:after="120" w:line="240" w:lineRule="auto"/>
        <w:ind w:firstLine="720"/>
        <w:rPr>
          <w:sz w:val="26"/>
          <w:szCs w:val="26"/>
        </w:rPr>
      </w:pPr>
      <w:r w:rsidRPr="00F6485E">
        <w:rPr>
          <w:rStyle w:val="FootnoteReference"/>
          <w:sz w:val="26"/>
          <w:szCs w:val="26"/>
        </w:rPr>
        <w:footnoteRef/>
      </w:r>
      <w:r>
        <w:rPr>
          <w:sz w:val="26"/>
          <w:szCs w:val="26"/>
        </w:rPr>
        <w:t xml:space="preserve"> </w:t>
      </w:r>
      <w:r w:rsidR="00F3659B">
        <w:rPr>
          <w:sz w:val="26"/>
          <w:szCs w:val="26"/>
        </w:rPr>
        <w:tab/>
      </w:r>
      <w:r>
        <w:rPr>
          <w:sz w:val="26"/>
          <w:szCs w:val="26"/>
        </w:rPr>
        <w:t>The term “f</w:t>
      </w:r>
      <w:r w:rsidRPr="00687B34">
        <w:rPr>
          <w:sz w:val="26"/>
          <w:szCs w:val="26"/>
        </w:rPr>
        <w:t>oreign load</w:t>
      </w:r>
      <w:r>
        <w:rPr>
          <w:sz w:val="26"/>
          <w:szCs w:val="26"/>
        </w:rPr>
        <w:t>”</w:t>
      </w:r>
      <w:r w:rsidRPr="00687B34">
        <w:rPr>
          <w:sz w:val="26"/>
          <w:szCs w:val="26"/>
        </w:rPr>
        <w:t xml:space="preserve"> refers to the situation </w:t>
      </w:r>
      <w:r w:rsidRPr="00687B34">
        <w:rPr>
          <w:color w:val="000000"/>
          <w:sz w:val="26"/>
          <w:szCs w:val="26"/>
        </w:rPr>
        <w:t xml:space="preserve">where a </w:t>
      </w:r>
      <w:r>
        <w:rPr>
          <w:color w:val="000000"/>
          <w:sz w:val="26"/>
          <w:szCs w:val="26"/>
        </w:rPr>
        <w:t>customer</w:t>
      </w:r>
      <w:r w:rsidRPr="00687B34">
        <w:rPr>
          <w:color w:val="000000"/>
          <w:sz w:val="26"/>
          <w:szCs w:val="26"/>
        </w:rPr>
        <w:t xml:space="preserve">’s meter registers utility usage not </w:t>
      </w:r>
      <w:r w:rsidRPr="00687B34">
        <w:rPr>
          <w:sz w:val="26"/>
          <w:szCs w:val="26"/>
        </w:rPr>
        <w:t xml:space="preserve">exclusive to the </w:t>
      </w:r>
      <w:r>
        <w:rPr>
          <w:sz w:val="26"/>
          <w:szCs w:val="26"/>
        </w:rPr>
        <w:t>customer</w:t>
      </w:r>
      <w:r w:rsidRPr="00687B34">
        <w:rPr>
          <w:sz w:val="26"/>
          <w:szCs w:val="26"/>
        </w:rPr>
        <w:t>’s dwelling or its occupants.</w:t>
      </w:r>
      <w:r>
        <w:rPr>
          <w:sz w:val="26"/>
          <w:szCs w:val="26"/>
        </w:rPr>
        <w:t xml:space="preserve"> </w:t>
      </w:r>
      <w:r w:rsidRPr="00504379">
        <w:rPr>
          <w:i/>
          <w:iCs/>
          <w:sz w:val="26"/>
          <w:szCs w:val="26"/>
        </w:rPr>
        <w:t>Glenn DeHaven v. PECO Energy Company</w:t>
      </w:r>
      <w:r>
        <w:rPr>
          <w:sz w:val="26"/>
          <w:szCs w:val="26"/>
        </w:rPr>
        <w:t>, Docket No. C-2017-2585680 (Order entered March</w:t>
      </w:r>
      <w:r w:rsidR="007B78A9">
        <w:rPr>
          <w:sz w:val="26"/>
          <w:szCs w:val="26"/>
        </w:rPr>
        <w:t> </w:t>
      </w:r>
      <w:r>
        <w:rPr>
          <w:sz w:val="26"/>
          <w:szCs w:val="26"/>
        </w:rPr>
        <w:t>23, 20</w:t>
      </w:r>
      <w:r w:rsidR="00A3538C">
        <w:rPr>
          <w:sz w:val="26"/>
          <w:szCs w:val="26"/>
        </w:rPr>
        <w:t>0</w:t>
      </w:r>
      <w:r>
        <w:rPr>
          <w:sz w:val="26"/>
          <w:szCs w:val="26"/>
        </w:rPr>
        <w:t>8), at 5.</w:t>
      </w:r>
    </w:p>
  </w:footnote>
  <w:footnote w:id="4">
    <w:p w14:paraId="0626E8E0" w14:textId="48C598E0" w:rsidR="00BA455E" w:rsidRPr="001D2046" w:rsidRDefault="00BA455E" w:rsidP="001D2046">
      <w:pPr>
        <w:spacing w:after="0" w:line="240" w:lineRule="auto"/>
        <w:ind w:firstLine="720"/>
        <w:contextualSpacing/>
        <w:rPr>
          <w:sz w:val="26"/>
          <w:szCs w:val="26"/>
        </w:rPr>
      </w:pPr>
      <w:r w:rsidRPr="005B13B5">
        <w:rPr>
          <w:rStyle w:val="FootnoteReference"/>
          <w:sz w:val="26"/>
          <w:szCs w:val="26"/>
        </w:rPr>
        <w:footnoteRef/>
      </w:r>
      <w:r w:rsidRPr="005B13B5">
        <w:rPr>
          <w:sz w:val="26"/>
          <w:szCs w:val="26"/>
        </w:rPr>
        <w:t xml:space="preserve"> </w:t>
      </w:r>
      <w:r>
        <w:tab/>
      </w:r>
      <w:r>
        <w:rPr>
          <w:sz w:val="26"/>
          <w:szCs w:val="26"/>
        </w:rPr>
        <w:t>O</w:t>
      </w:r>
      <w:r w:rsidRPr="006D7180">
        <w:rPr>
          <w:sz w:val="26"/>
          <w:szCs w:val="26"/>
        </w:rPr>
        <w:t xml:space="preserve">ver the course of </w:t>
      </w:r>
      <w:r>
        <w:rPr>
          <w:sz w:val="26"/>
          <w:szCs w:val="26"/>
        </w:rPr>
        <w:t>the tenant’s</w:t>
      </w:r>
      <w:r w:rsidRPr="00E714FC">
        <w:rPr>
          <w:sz w:val="26"/>
          <w:szCs w:val="26"/>
        </w:rPr>
        <w:t xml:space="preserve"> </w:t>
      </w:r>
      <w:r>
        <w:rPr>
          <w:sz w:val="26"/>
          <w:szCs w:val="26"/>
        </w:rPr>
        <w:t xml:space="preserve">36-month </w:t>
      </w:r>
      <w:r w:rsidRPr="006D7180">
        <w:rPr>
          <w:sz w:val="26"/>
          <w:szCs w:val="26"/>
        </w:rPr>
        <w:t>lease</w:t>
      </w:r>
      <w:r>
        <w:rPr>
          <w:sz w:val="26"/>
          <w:szCs w:val="26"/>
        </w:rPr>
        <w:t>,</w:t>
      </w:r>
      <w:r w:rsidRPr="006D7180">
        <w:rPr>
          <w:sz w:val="26"/>
          <w:szCs w:val="26"/>
        </w:rPr>
        <w:t xml:space="preserve"> </w:t>
      </w:r>
      <w:r>
        <w:rPr>
          <w:sz w:val="26"/>
          <w:szCs w:val="26"/>
        </w:rPr>
        <w:t xml:space="preserve">the Complainant estimated </w:t>
      </w:r>
      <w:r w:rsidRPr="00CD337F">
        <w:rPr>
          <w:sz w:val="26"/>
          <w:szCs w:val="26"/>
        </w:rPr>
        <w:t>the foreign load</w:t>
      </w:r>
      <w:r>
        <w:rPr>
          <w:sz w:val="26"/>
          <w:szCs w:val="26"/>
        </w:rPr>
        <w:t xml:space="preserve"> balance to be approximately $540, a minimal amount in comparison to the total bill.  </w:t>
      </w:r>
      <w:r w:rsidRPr="008C68E3">
        <w:rPr>
          <w:sz w:val="26"/>
          <w:szCs w:val="26"/>
        </w:rPr>
        <w:t>Complaint at ¶¶ 4-5.</w:t>
      </w:r>
    </w:p>
  </w:footnote>
  <w:footnote w:id="5">
    <w:p w14:paraId="18D9895E" w14:textId="6DC2E255" w:rsidR="005207E2" w:rsidRPr="003C5012" w:rsidRDefault="005207E2" w:rsidP="00624E0A">
      <w:pPr>
        <w:pStyle w:val="FootnoteText"/>
        <w:spacing w:after="0" w:line="240" w:lineRule="auto"/>
        <w:ind w:firstLine="720"/>
        <w:rPr>
          <w:sz w:val="26"/>
          <w:szCs w:val="26"/>
        </w:rPr>
      </w:pPr>
      <w:r w:rsidRPr="003C5012">
        <w:rPr>
          <w:rStyle w:val="FootnoteReference"/>
          <w:sz w:val="26"/>
          <w:szCs w:val="26"/>
        </w:rPr>
        <w:footnoteRef/>
      </w:r>
      <w:r w:rsidRPr="003C5012">
        <w:rPr>
          <w:sz w:val="26"/>
          <w:szCs w:val="26"/>
        </w:rPr>
        <w:t xml:space="preserve"> </w:t>
      </w:r>
      <w:r w:rsidRPr="003C5012">
        <w:rPr>
          <w:sz w:val="26"/>
          <w:szCs w:val="26"/>
        </w:rPr>
        <w:tab/>
        <w:t>PECO’s Answer did not seek affirmative relief or contain new matter.</w:t>
      </w:r>
      <w:r>
        <w:rPr>
          <w:sz w:val="26"/>
          <w:szCs w:val="26"/>
        </w:rPr>
        <w:t xml:space="preserve">  Therefore, no reply to PECO’s Answer was due or permitted </w:t>
      </w:r>
      <w:r w:rsidR="0085198F">
        <w:rPr>
          <w:sz w:val="26"/>
          <w:szCs w:val="26"/>
        </w:rPr>
        <w:t>under</w:t>
      </w:r>
      <w:r>
        <w:rPr>
          <w:sz w:val="26"/>
          <w:szCs w:val="26"/>
        </w:rPr>
        <w:t xml:space="preserve"> the Commission’s Rules of Practice and Procedure.  </w:t>
      </w:r>
      <w:r w:rsidRPr="003C5012">
        <w:rPr>
          <w:i/>
          <w:iCs/>
          <w:sz w:val="26"/>
          <w:szCs w:val="26"/>
        </w:rPr>
        <w:t>See generally</w:t>
      </w:r>
      <w:r>
        <w:rPr>
          <w:sz w:val="26"/>
          <w:szCs w:val="26"/>
        </w:rPr>
        <w:t xml:space="preserve"> 52 Pa. Code §§ 5.61-5.63.</w:t>
      </w:r>
    </w:p>
  </w:footnote>
  <w:footnote w:id="6">
    <w:p w14:paraId="4C48B4A2" w14:textId="4A32588B" w:rsidR="0085198F" w:rsidRPr="00AB1494" w:rsidRDefault="0085198F" w:rsidP="007D2974">
      <w:pPr>
        <w:pStyle w:val="FootnoteText"/>
        <w:keepNext/>
        <w:keepLines/>
        <w:spacing w:after="120" w:line="240" w:lineRule="auto"/>
        <w:rPr>
          <w:sz w:val="26"/>
          <w:szCs w:val="26"/>
        </w:rPr>
      </w:pPr>
      <w:r>
        <w:rPr>
          <w:sz w:val="26"/>
          <w:szCs w:val="26"/>
        </w:rPr>
        <w:tab/>
      </w:r>
      <w:r w:rsidRPr="00AB1494">
        <w:rPr>
          <w:rStyle w:val="FootnoteReference"/>
          <w:sz w:val="26"/>
          <w:szCs w:val="26"/>
        </w:rPr>
        <w:footnoteRef/>
      </w:r>
      <w:r w:rsidRPr="00AB1494">
        <w:rPr>
          <w:sz w:val="26"/>
          <w:szCs w:val="26"/>
        </w:rPr>
        <w:t xml:space="preserve"> </w:t>
      </w:r>
      <w:r>
        <w:rPr>
          <w:sz w:val="26"/>
          <w:szCs w:val="26"/>
        </w:rPr>
        <w:tab/>
      </w:r>
      <w:bookmarkStart w:id="2" w:name="_Hlk23921981"/>
      <w:r>
        <w:rPr>
          <w:sz w:val="26"/>
          <w:szCs w:val="26"/>
        </w:rPr>
        <w:t xml:space="preserve">In Exceptions, the Complainant claims he filed </w:t>
      </w:r>
      <w:r w:rsidR="005B13B5">
        <w:rPr>
          <w:sz w:val="26"/>
          <w:szCs w:val="26"/>
        </w:rPr>
        <w:t>the Letter</w:t>
      </w:r>
      <w:r>
        <w:rPr>
          <w:sz w:val="26"/>
          <w:szCs w:val="26"/>
        </w:rPr>
        <w:t xml:space="preserve"> via Certified Mail on April 20, 201</w:t>
      </w:r>
      <w:r w:rsidR="00E80882">
        <w:rPr>
          <w:sz w:val="26"/>
          <w:szCs w:val="26"/>
        </w:rPr>
        <w:t>7</w:t>
      </w:r>
      <w:r>
        <w:rPr>
          <w:sz w:val="26"/>
          <w:szCs w:val="26"/>
        </w:rPr>
        <w:t xml:space="preserve">.  However, the date deposited in the United States Mail as shown by the United States Postal Service stamp on the envelope containing </w:t>
      </w:r>
      <w:r w:rsidR="005B13B5">
        <w:rPr>
          <w:sz w:val="26"/>
          <w:szCs w:val="26"/>
        </w:rPr>
        <w:t>the Letter</w:t>
      </w:r>
      <w:r>
        <w:rPr>
          <w:sz w:val="26"/>
          <w:szCs w:val="26"/>
        </w:rPr>
        <w:t xml:space="preserve"> was May 1, 2017.  </w:t>
      </w:r>
      <w:r w:rsidRPr="00743852">
        <w:rPr>
          <w:sz w:val="26"/>
          <w:szCs w:val="26"/>
        </w:rPr>
        <w:t xml:space="preserve">Whether we treat the Complainant’s Letter as having been filed on </w:t>
      </w:r>
      <w:r>
        <w:rPr>
          <w:sz w:val="26"/>
          <w:szCs w:val="26"/>
        </w:rPr>
        <w:t>May 1</w:t>
      </w:r>
      <w:r w:rsidRPr="00743852">
        <w:rPr>
          <w:sz w:val="26"/>
          <w:szCs w:val="26"/>
        </w:rPr>
        <w:t xml:space="preserve">, 2017, or May 2, 2017, </w:t>
      </w:r>
      <w:r>
        <w:rPr>
          <w:sz w:val="26"/>
          <w:szCs w:val="26"/>
        </w:rPr>
        <w:t xml:space="preserve">per 52 Pa. Code § 1.11(a)(1),(3), </w:t>
      </w:r>
      <w:r w:rsidRPr="00743852">
        <w:rPr>
          <w:sz w:val="26"/>
          <w:szCs w:val="26"/>
        </w:rPr>
        <w:t xml:space="preserve">the Letter was filed well beyond the </w:t>
      </w:r>
      <w:r w:rsidR="00624E0A">
        <w:rPr>
          <w:sz w:val="26"/>
          <w:szCs w:val="26"/>
        </w:rPr>
        <w:t>ten</w:t>
      </w:r>
      <w:r w:rsidRPr="00743852">
        <w:rPr>
          <w:sz w:val="26"/>
          <w:szCs w:val="26"/>
        </w:rPr>
        <w:t xml:space="preserve"> days from service of the Preliminary Objections, as required by the Commission’s Regulations at 52 Pa. Code §§ 5.61(a)(2), 5.101(f)(1</w:t>
      </w:r>
      <w:r>
        <w:rPr>
          <w:sz w:val="26"/>
          <w:szCs w:val="26"/>
        </w:rPr>
        <w:t xml:space="preserve">).  Therefore, </w:t>
      </w:r>
      <w:r w:rsidR="005B13B5">
        <w:rPr>
          <w:sz w:val="26"/>
          <w:szCs w:val="26"/>
        </w:rPr>
        <w:t>the Letter</w:t>
      </w:r>
      <w:r>
        <w:rPr>
          <w:sz w:val="26"/>
          <w:szCs w:val="26"/>
        </w:rPr>
        <w:t xml:space="preserve"> was untimely. </w:t>
      </w:r>
      <w:bookmarkEnd w:id="2"/>
    </w:p>
  </w:footnote>
  <w:footnote w:id="7">
    <w:p w14:paraId="117B3CBD" w14:textId="2C58514A" w:rsidR="005207E2" w:rsidRPr="001B6B0D" w:rsidRDefault="005207E2" w:rsidP="00624E0A">
      <w:pPr>
        <w:pStyle w:val="FootnoteText"/>
        <w:spacing w:after="0" w:line="240" w:lineRule="auto"/>
        <w:ind w:firstLine="720"/>
        <w:rPr>
          <w:sz w:val="26"/>
          <w:szCs w:val="26"/>
        </w:rPr>
      </w:pPr>
      <w:r w:rsidRPr="001B6B0D">
        <w:rPr>
          <w:rStyle w:val="FootnoteReference"/>
          <w:sz w:val="26"/>
          <w:szCs w:val="26"/>
        </w:rPr>
        <w:footnoteRef/>
      </w:r>
      <w:r w:rsidRPr="001B6B0D">
        <w:rPr>
          <w:sz w:val="26"/>
          <w:szCs w:val="26"/>
        </w:rPr>
        <w:t xml:space="preserve"> </w:t>
      </w:r>
      <w:r w:rsidRPr="001B6B0D">
        <w:rPr>
          <w:sz w:val="26"/>
          <w:szCs w:val="26"/>
        </w:rPr>
        <w:tab/>
      </w:r>
      <w:r w:rsidRPr="001B6B0D">
        <w:rPr>
          <w:i/>
          <w:iCs/>
          <w:sz w:val="26"/>
          <w:szCs w:val="26"/>
        </w:rPr>
        <w:t>See</w:t>
      </w:r>
      <w:r w:rsidRPr="001B6B0D">
        <w:rPr>
          <w:sz w:val="26"/>
          <w:szCs w:val="26"/>
        </w:rPr>
        <w:t xml:space="preserve">, </w:t>
      </w:r>
      <w:r w:rsidRPr="001B6B0D">
        <w:rPr>
          <w:i/>
          <w:iCs/>
          <w:sz w:val="26"/>
          <w:szCs w:val="26"/>
        </w:rPr>
        <w:t>supra</w:t>
      </w:r>
      <w:r w:rsidRPr="001B6B0D">
        <w:rPr>
          <w:sz w:val="26"/>
          <w:szCs w:val="26"/>
        </w:rPr>
        <w:t>, n. 2.</w:t>
      </w:r>
    </w:p>
  </w:footnote>
  <w:footnote w:id="8">
    <w:p w14:paraId="663C25E0" w14:textId="0DE76EA7" w:rsidR="00E61F66" w:rsidRDefault="000E4734" w:rsidP="00585FDC">
      <w:pPr>
        <w:pStyle w:val="FootnoteText"/>
        <w:spacing w:after="120" w:line="240" w:lineRule="auto"/>
        <w:rPr>
          <w:sz w:val="26"/>
          <w:szCs w:val="26"/>
        </w:rPr>
      </w:pPr>
      <w:r>
        <w:rPr>
          <w:sz w:val="26"/>
          <w:szCs w:val="26"/>
        </w:rPr>
        <w:tab/>
      </w:r>
      <w:r w:rsidRPr="007D2974">
        <w:rPr>
          <w:rStyle w:val="FootnoteReference"/>
          <w:sz w:val="26"/>
          <w:szCs w:val="26"/>
        </w:rPr>
        <w:footnoteRef/>
      </w:r>
      <w:r w:rsidRPr="007D2974">
        <w:rPr>
          <w:sz w:val="26"/>
          <w:szCs w:val="26"/>
        </w:rPr>
        <w:t xml:space="preserve"> </w:t>
      </w:r>
      <w:r>
        <w:rPr>
          <w:sz w:val="26"/>
          <w:szCs w:val="26"/>
        </w:rPr>
        <w:tab/>
      </w:r>
      <w:r w:rsidRPr="000E4734">
        <w:rPr>
          <w:sz w:val="26"/>
          <w:szCs w:val="26"/>
        </w:rPr>
        <w:t>The ALJ explained the background of the Commission’s previous rulemakings that were withdrawn.  Specifically, the ALJ acknowledged that the Commission previously addressed the issue of minimal foreign wiring in the</w:t>
      </w:r>
      <w:r w:rsidRPr="000E4734">
        <w:rPr>
          <w:i/>
          <w:sz w:val="26"/>
          <w:szCs w:val="26"/>
        </w:rPr>
        <w:t xml:space="preserve"> </w:t>
      </w:r>
      <w:r w:rsidRPr="000E4734">
        <w:rPr>
          <w:i/>
          <w:iCs/>
          <w:sz w:val="26"/>
          <w:szCs w:val="26"/>
        </w:rPr>
        <w:t>1998 Proposed Policy Statement</w:t>
      </w:r>
      <w:r w:rsidRPr="000E4734">
        <w:rPr>
          <w:sz w:val="26"/>
          <w:szCs w:val="26"/>
        </w:rPr>
        <w:t xml:space="preserve">, (citing </w:t>
      </w:r>
      <w:r w:rsidRPr="000E4734">
        <w:rPr>
          <w:i/>
          <w:sz w:val="26"/>
          <w:szCs w:val="26"/>
        </w:rPr>
        <w:t>Proposed Policy Statement Re: Resolution of Issues Common to Complaints Involving 66 Pa. C.S. § 1529.1 (relating to duty of owners of rental property)</w:t>
      </w:r>
      <w:r w:rsidRPr="000E4734">
        <w:rPr>
          <w:sz w:val="26"/>
          <w:szCs w:val="26"/>
        </w:rPr>
        <w:t>, Docket No. L-00980137 (Order entered September 23, 1998), 28</w:t>
      </w:r>
      <w:r w:rsidR="00BA6BAB">
        <w:rPr>
          <w:sz w:val="26"/>
          <w:szCs w:val="26"/>
        </w:rPr>
        <w:t> </w:t>
      </w:r>
      <w:r w:rsidRPr="000E4734">
        <w:rPr>
          <w:sz w:val="26"/>
          <w:szCs w:val="26"/>
        </w:rPr>
        <w:t>Pa.B.</w:t>
      </w:r>
      <w:r w:rsidR="00BA6BAB">
        <w:rPr>
          <w:sz w:val="26"/>
          <w:szCs w:val="26"/>
        </w:rPr>
        <w:t> </w:t>
      </w:r>
      <w:r w:rsidRPr="000E4734">
        <w:rPr>
          <w:sz w:val="26"/>
          <w:szCs w:val="26"/>
        </w:rPr>
        <w:t xml:space="preserve">5497 (October 31, 1998))  which allowed “acceptable foreign load,” defined as foreign load that had been disclosed in writing to the tenant and for which the tenant had notified the utility that he or she would accept responsibility.  I.D. at 9.  However, the ALJ explained that the </w:t>
      </w:r>
      <w:r w:rsidRPr="000E4734">
        <w:rPr>
          <w:i/>
          <w:iCs/>
          <w:sz w:val="26"/>
          <w:szCs w:val="26"/>
        </w:rPr>
        <w:t>1998 Proposed Policy Statement</w:t>
      </w:r>
      <w:r w:rsidRPr="000E4734">
        <w:rPr>
          <w:sz w:val="26"/>
          <w:szCs w:val="26"/>
        </w:rPr>
        <w:t xml:space="preserve"> was never finalized by the Commission, and instead was withdrawn and replaced by proposed regulations in 1999.  I.D. at 9</w:t>
      </w:r>
      <w:r w:rsidRPr="000E4734" w:rsidDel="001E79D2">
        <w:rPr>
          <w:sz w:val="26"/>
          <w:szCs w:val="26"/>
          <w:vertAlign w:val="superscript"/>
        </w:rPr>
        <w:t xml:space="preserve"> </w:t>
      </w:r>
      <w:r w:rsidRPr="000E4734">
        <w:rPr>
          <w:sz w:val="26"/>
          <w:szCs w:val="26"/>
        </w:rPr>
        <w:t xml:space="preserve">(citing </w:t>
      </w:r>
      <w:r w:rsidRPr="000E4734">
        <w:rPr>
          <w:i/>
          <w:iCs/>
          <w:sz w:val="26"/>
          <w:szCs w:val="26"/>
        </w:rPr>
        <w:t>Proposed Rulemaking Order Re: Residential Accounts Containing Charges for Foreign Load</w:t>
      </w:r>
      <w:r w:rsidRPr="000E4734">
        <w:rPr>
          <w:sz w:val="26"/>
          <w:szCs w:val="26"/>
        </w:rPr>
        <w:t>, Docket No. L-00990142 (Order entered August 13, 1999)) (</w:t>
      </w:r>
      <w:r w:rsidRPr="000E4734">
        <w:rPr>
          <w:i/>
          <w:iCs/>
          <w:sz w:val="26"/>
          <w:szCs w:val="26"/>
        </w:rPr>
        <w:t>1999 Proposed Rulemaking</w:t>
      </w:r>
      <w:r w:rsidRPr="000E4734">
        <w:rPr>
          <w:sz w:val="26"/>
          <w:szCs w:val="26"/>
        </w:rPr>
        <w:t xml:space="preserve">).  </w:t>
      </w:r>
    </w:p>
    <w:p w14:paraId="11E6E29F" w14:textId="627861C4" w:rsidR="000E4734" w:rsidRPr="007D2974" w:rsidRDefault="00E61F66" w:rsidP="00585FDC">
      <w:pPr>
        <w:pStyle w:val="FootnoteText"/>
        <w:spacing w:after="0" w:line="240" w:lineRule="auto"/>
        <w:rPr>
          <w:sz w:val="26"/>
          <w:szCs w:val="26"/>
        </w:rPr>
      </w:pPr>
      <w:r>
        <w:rPr>
          <w:sz w:val="26"/>
          <w:szCs w:val="26"/>
        </w:rPr>
        <w:tab/>
      </w:r>
      <w:r>
        <w:rPr>
          <w:sz w:val="26"/>
          <w:szCs w:val="26"/>
        </w:rPr>
        <w:tab/>
      </w:r>
      <w:r w:rsidR="000E4734" w:rsidRPr="000E4734">
        <w:rPr>
          <w:sz w:val="26"/>
          <w:szCs w:val="26"/>
        </w:rPr>
        <w:t xml:space="preserve">The ALJ also explained that the </w:t>
      </w:r>
      <w:r w:rsidR="000E4734" w:rsidRPr="000E4734">
        <w:rPr>
          <w:i/>
          <w:iCs/>
          <w:sz w:val="26"/>
          <w:szCs w:val="26"/>
        </w:rPr>
        <w:t>1999 Proposed Rulemaking</w:t>
      </w:r>
      <w:r w:rsidR="000E4734" w:rsidRPr="000E4734">
        <w:rPr>
          <w:sz w:val="26"/>
          <w:szCs w:val="26"/>
        </w:rPr>
        <w:t xml:space="preserve"> was never finalized, as the Commission discontinued it in 2005.  I.D. at 9</w:t>
      </w:r>
      <w:r w:rsidR="005B13B5">
        <w:rPr>
          <w:sz w:val="26"/>
          <w:szCs w:val="26"/>
        </w:rPr>
        <w:t xml:space="preserve"> </w:t>
      </w:r>
      <w:r w:rsidR="000E4734" w:rsidRPr="000E4734">
        <w:rPr>
          <w:sz w:val="26"/>
          <w:szCs w:val="26"/>
        </w:rPr>
        <w:t xml:space="preserve">(citing </w:t>
      </w:r>
      <w:r w:rsidR="000E4734" w:rsidRPr="000E4734">
        <w:rPr>
          <w:i/>
          <w:iCs/>
          <w:sz w:val="26"/>
          <w:szCs w:val="26"/>
        </w:rPr>
        <w:t>Discontinuance of Proposed Rulemaking Regarding Residential Accounts Containing Charges for Foreign Load</w:t>
      </w:r>
      <w:r w:rsidR="000E4734" w:rsidRPr="000E4734">
        <w:rPr>
          <w:sz w:val="26"/>
          <w:szCs w:val="26"/>
        </w:rPr>
        <w:t xml:space="preserve">, Docket No. L-00990142 (Order entered October 7, 2005)).  Accordingly, the ALJ concluded that neither the </w:t>
      </w:r>
      <w:r w:rsidR="000E4734" w:rsidRPr="000E4734">
        <w:rPr>
          <w:i/>
          <w:iCs/>
          <w:sz w:val="26"/>
          <w:szCs w:val="26"/>
        </w:rPr>
        <w:t>1998 Proposed Policy Statement</w:t>
      </w:r>
      <w:r w:rsidR="000E4734" w:rsidRPr="000E4734">
        <w:rPr>
          <w:sz w:val="26"/>
          <w:szCs w:val="26"/>
        </w:rPr>
        <w:t xml:space="preserve"> nor the </w:t>
      </w:r>
      <w:r w:rsidR="000E4734" w:rsidRPr="000E4734">
        <w:rPr>
          <w:i/>
          <w:iCs/>
          <w:sz w:val="26"/>
          <w:szCs w:val="26"/>
        </w:rPr>
        <w:t>1999 Proposed Rulemaking</w:t>
      </w:r>
      <w:r w:rsidR="000E4734" w:rsidRPr="000E4734">
        <w:rPr>
          <w:sz w:val="26"/>
          <w:szCs w:val="26"/>
        </w:rPr>
        <w:t xml:space="preserve"> has any relevance to this proceeding, since neither was adopted in final form by the Commission.  I.D. at 9</w:t>
      </w:r>
      <w:r w:rsidR="005B13B5">
        <w:rPr>
          <w:sz w:val="26"/>
          <w:szCs w:val="26"/>
        </w:rPr>
        <w:t xml:space="preserve"> </w:t>
      </w:r>
      <w:r w:rsidR="000E4734" w:rsidRPr="000E4734">
        <w:rPr>
          <w:sz w:val="26"/>
          <w:szCs w:val="26"/>
        </w:rPr>
        <w:t xml:space="preserve">(citing </w:t>
      </w:r>
      <w:r w:rsidR="000E4734" w:rsidRPr="000E4734">
        <w:rPr>
          <w:i/>
          <w:iCs/>
          <w:sz w:val="26"/>
          <w:szCs w:val="26"/>
        </w:rPr>
        <w:t>Kopf v. PECO Energy Company</w:t>
      </w:r>
      <w:r w:rsidR="000E4734" w:rsidRPr="000E4734">
        <w:rPr>
          <w:sz w:val="26"/>
          <w:szCs w:val="26"/>
        </w:rPr>
        <w:t>, Docket No. C</w:t>
      </w:r>
      <w:r w:rsidR="000E4734" w:rsidRPr="000E4734">
        <w:rPr>
          <w:sz w:val="26"/>
          <w:szCs w:val="26"/>
        </w:rPr>
        <w:noBreakHyphen/>
        <w:t>2012-2332993 (Order entered June 13,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79FF77BE"/>
    <w:multiLevelType w:val="hybridMultilevel"/>
    <w:tmpl w:val="E0829690"/>
    <w:lvl w:ilvl="0" w:tplc="1D00F1D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644"/>
    <w:rsid w:val="00000D47"/>
    <w:rsid w:val="00001FC8"/>
    <w:rsid w:val="00002451"/>
    <w:rsid w:val="000063B7"/>
    <w:rsid w:val="00006685"/>
    <w:rsid w:val="00006F35"/>
    <w:rsid w:val="00006FA2"/>
    <w:rsid w:val="000115B7"/>
    <w:rsid w:val="00016D57"/>
    <w:rsid w:val="0001756A"/>
    <w:rsid w:val="00017852"/>
    <w:rsid w:val="00021E46"/>
    <w:rsid w:val="00022B74"/>
    <w:rsid w:val="00023CD3"/>
    <w:rsid w:val="00024D5A"/>
    <w:rsid w:val="0002524C"/>
    <w:rsid w:val="00025F3F"/>
    <w:rsid w:val="00026CD2"/>
    <w:rsid w:val="00027BAA"/>
    <w:rsid w:val="0003194E"/>
    <w:rsid w:val="00033309"/>
    <w:rsid w:val="00040A8E"/>
    <w:rsid w:val="00040AEA"/>
    <w:rsid w:val="000472DB"/>
    <w:rsid w:val="00047834"/>
    <w:rsid w:val="00047874"/>
    <w:rsid w:val="00047F4A"/>
    <w:rsid w:val="0005145A"/>
    <w:rsid w:val="000516F3"/>
    <w:rsid w:val="000523D1"/>
    <w:rsid w:val="0005264D"/>
    <w:rsid w:val="00052B8F"/>
    <w:rsid w:val="00054612"/>
    <w:rsid w:val="00054E3E"/>
    <w:rsid w:val="0005572E"/>
    <w:rsid w:val="00056286"/>
    <w:rsid w:val="000607C4"/>
    <w:rsid w:val="000612FD"/>
    <w:rsid w:val="0006340D"/>
    <w:rsid w:val="000642AA"/>
    <w:rsid w:val="000649EC"/>
    <w:rsid w:val="00066A91"/>
    <w:rsid w:val="00066EE5"/>
    <w:rsid w:val="00067260"/>
    <w:rsid w:val="000676B7"/>
    <w:rsid w:val="00072808"/>
    <w:rsid w:val="000769F3"/>
    <w:rsid w:val="00076F35"/>
    <w:rsid w:val="00081322"/>
    <w:rsid w:val="00084573"/>
    <w:rsid w:val="00084AF9"/>
    <w:rsid w:val="0008598C"/>
    <w:rsid w:val="00086293"/>
    <w:rsid w:val="00087CC1"/>
    <w:rsid w:val="000918D4"/>
    <w:rsid w:val="00093164"/>
    <w:rsid w:val="00094D3B"/>
    <w:rsid w:val="000954A4"/>
    <w:rsid w:val="0009612D"/>
    <w:rsid w:val="00097504"/>
    <w:rsid w:val="000A365D"/>
    <w:rsid w:val="000A3C18"/>
    <w:rsid w:val="000A490A"/>
    <w:rsid w:val="000B1A58"/>
    <w:rsid w:val="000B1AD6"/>
    <w:rsid w:val="000B216D"/>
    <w:rsid w:val="000B2755"/>
    <w:rsid w:val="000B2FBB"/>
    <w:rsid w:val="000B4EAE"/>
    <w:rsid w:val="000B5238"/>
    <w:rsid w:val="000B607A"/>
    <w:rsid w:val="000B6B15"/>
    <w:rsid w:val="000C2AE3"/>
    <w:rsid w:val="000C2B39"/>
    <w:rsid w:val="000C346C"/>
    <w:rsid w:val="000C709A"/>
    <w:rsid w:val="000C73A0"/>
    <w:rsid w:val="000D0D64"/>
    <w:rsid w:val="000D4288"/>
    <w:rsid w:val="000D5232"/>
    <w:rsid w:val="000D7F4F"/>
    <w:rsid w:val="000E189C"/>
    <w:rsid w:val="000E2C45"/>
    <w:rsid w:val="000E33AF"/>
    <w:rsid w:val="000E4734"/>
    <w:rsid w:val="000E7B0A"/>
    <w:rsid w:val="000F0AD9"/>
    <w:rsid w:val="000F179E"/>
    <w:rsid w:val="000F1985"/>
    <w:rsid w:val="000F27F0"/>
    <w:rsid w:val="000F4307"/>
    <w:rsid w:val="000F7020"/>
    <w:rsid w:val="000F76F4"/>
    <w:rsid w:val="0010158F"/>
    <w:rsid w:val="00101F51"/>
    <w:rsid w:val="001026CA"/>
    <w:rsid w:val="00104D9B"/>
    <w:rsid w:val="00106ABA"/>
    <w:rsid w:val="001117FF"/>
    <w:rsid w:val="00117CB2"/>
    <w:rsid w:val="00120B39"/>
    <w:rsid w:val="0012112E"/>
    <w:rsid w:val="001221E4"/>
    <w:rsid w:val="00122E44"/>
    <w:rsid w:val="001238E5"/>
    <w:rsid w:val="00123A2E"/>
    <w:rsid w:val="00124071"/>
    <w:rsid w:val="00124128"/>
    <w:rsid w:val="001267D4"/>
    <w:rsid w:val="00134D42"/>
    <w:rsid w:val="00135972"/>
    <w:rsid w:val="001360FC"/>
    <w:rsid w:val="00136AF0"/>
    <w:rsid w:val="001404B2"/>
    <w:rsid w:val="001447A0"/>
    <w:rsid w:val="0014497F"/>
    <w:rsid w:val="00144A8F"/>
    <w:rsid w:val="00146DDD"/>
    <w:rsid w:val="00146E58"/>
    <w:rsid w:val="00147145"/>
    <w:rsid w:val="00150096"/>
    <w:rsid w:val="001508E4"/>
    <w:rsid w:val="0015380A"/>
    <w:rsid w:val="00154CB6"/>
    <w:rsid w:val="00164DA4"/>
    <w:rsid w:val="00166298"/>
    <w:rsid w:val="001663C8"/>
    <w:rsid w:val="00172CC7"/>
    <w:rsid w:val="00174D3D"/>
    <w:rsid w:val="00180331"/>
    <w:rsid w:val="00181ADE"/>
    <w:rsid w:val="00181F6E"/>
    <w:rsid w:val="00182478"/>
    <w:rsid w:val="00184E57"/>
    <w:rsid w:val="00186A97"/>
    <w:rsid w:val="00187064"/>
    <w:rsid w:val="0019242C"/>
    <w:rsid w:val="0019267B"/>
    <w:rsid w:val="0019339D"/>
    <w:rsid w:val="0019530E"/>
    <w:rsid w:val="00195390"/>
    <w:rsid w:val="00195407"/>
    <w:rsid w:val="00195585"/>
    <w:rsid w:val="00195F2E"/>
    <w:rsid w:val="001A1FFD"/>
    <w:rsid w:val="001A2305"/>
    <w:rsid w:val="001A3E3B"/>
    <w:rsid w:val="001B1525"/>
    <w:rsid w:val="001B1DB4"/>
    <w:rsid w:val="001B2D77"/>
    <w:rsid w:val="001B6B0D"/>
    <w:rsid w:val="001B7DA2"/>
    <w:rsid w:val="001B7F81"/>
    <w:rsid w:val="001C22A5"/>
    <w:rsid w:val="001C4978"/>
    <w:rsid w:val="001D0ED2"/>
    <w:rsid w:val="001D1F7B"/>
    <w:rsid w:val="001D2046"/>
    <w:rsid w:val="001D79F3"/>
    <w:rsid w:val="001E0B61"/>
    <w:rsid w:val="001E0C58"/>
    <w:rsid w:val="001E1276"/>
    <w:rsid w:val="001E2C66"/>
    <w:rsid w:val="001E307A"/>
    <w:rsid w:val="001E79D2"/>
    <w:rsid w:val="001F036B"/>
    <w:rsid w:val="001F162B"/>
    <w:rsid w:val="001F285E"/>
    <w:rsid w:val="001F5292"/>
    <w:rsid w:val="001F70B5"/>
    <w:rsid w:val="00200784"/>
    <w:rsid w:val="00201BEE"/>
    <w:rsid w:val="00202524"/>
    <w:rsid w:val="00203CAD"/>
    <w:rsid w:val="002063E1"/>
    <w:rsid w:val="00210736"/>
    <w:rsid w:val="00210F81"/>
    <w:rsid w:val="00211622"/>
    <w:rsid w:val="00212574"/>
    <w:rsid w:val="00214B3E"/>
    <w:rsid w:val="00214F8F"/>
    <w:rsid w:val="00222026"/>
    <w:rsid w:val="00224218"/>
    <w:rsid w:val="0022665D"/>
    <w:rsid w:val="0022698E"/>
    <w:rsid w:val="00227906"/>
    <w:rsid w:val="00227912"/>
    <w:rsid w:val="00230983"/>
    <w:rsid w:val="002311EE"/>
    <w:rsid w:val="0023353B"/>
    <w:rsid w:val="00234374"/>
    <w:rsid w:val="002370F5"/>
    <w:rsid w:val="00240ACA"/>
    <w:rsid w:val="00240D7B"/>
    <w:rsid w:val="00240DEB"/>
    <w:rsid w:val="00240E6F"/>
    <w:rsid w:val="00240F52"/>
    <w:rsid w:val="00241299"/>
    <w:rsid w:val="00242FE6"/>
    <w:rsid w:val="0024419F"/>
    <w:rsid w:val="00246002"/>
    <w:rsid w:val="00252C99"/>
    <w:rsid w:val="00252CDB"/>
    <w:rsid w:val="00255462"/>
    <w:rsid w:val="00260957"/>
    <w:rsid w:val="00264534"/>
    <w:rsid w:val="00264646"/>
    <w:rsid w:val="00266175"/>
    <w:rsid w:val="002709CD"/>
    <w:rsid w:val="00271EEF"/>
    <w:rsid w:val="0027232D"/>
    <w:rsid w:val="002732AB"/>
    <w:rsid w:val="0027400F"/>
    <w:rsid w:val="00274D0F"/>
    <w:rsid w:val="00275645"/>
    <w:rsid w:val="00276C81"/>
    <w:rsid w:val="0027743D"/>
    <w:rsid w:val="00277500"/>
    <w:rsid w:val="00277906"/>
    <w:rsid w:val="00281A5F"/>
    <w:rsid w:val="002834FC"/>
    <w:rsid w:val="00283DCC"/>
    <w:rsid w:val="00284774"/>
    <w:rsid w:val="00284971"/>
    <w:rsid w:val="00290D9F"/>
    <w:rsid w:val="0029101F"/>
    <w:rsid w:val="002916C2"/>
    <w:rsid w:val="00291F68"/>
    <w:rsid w:val="002963DD"/>
    <w:rsid w:val="002A060A"/>
    <w:rsid w:val="002A4450"/>
    <w:rsid w:val="002A60F5"/>
    <w:rsid w:val="002A6750"/>
    <w:rsid w:val="002A6B69"/>
    <w:rsid w:val="002A7BED"/>
    <w:rsid w:val="002B2296"/>
    <w:rsid w:val="002B34B6"/>
    <w:rsid w:val="002B3612"/>
    <w:rsid w:val="002B4407"/>
    <w:rsid w:val="002B57C1"/>
    <w:rsid w:val="002B67B7"/>
    <w:rsid w:val="002C0429"/>
    <w:rsid w:val="002C19E4"/>
    <w:rsid w:val="002C1CB9"/>
    <w:rsid w:val="002C58A1"/>
    <w:rsid w:val="002C6CC4"/>
    <w:rsid w:val="002C7E81"/>
    <w:rsid w:val="002D0E0C"/>
    <w:rsid w:val="002D13C4"/>
    <w:rsid w:val="002D275E"/>
    <w:rsid w:val="002D6357"/>
    <w:rsid w:val="002D7584"/>
    <w:rsid w:val="002E1460"/>
    <w:rsid w:val="002E168F"/>
    <w:rsid w:val="002E23A4"/>
    <w:rsid w:val="002E24B6"/>
    <w:rsid w:val="002E3026"/>
    <w:rsid w:val="002E3F06"/>
    <w:rsid w:val="002E5807"/>
    <w:rsid w:val="002E6FFA"/>
    <w:rsid w:val="002E7230"/>
    <w:rsid w:val="002E79DE"/>
    <w:rsid w:val="002E7F8F"/>
    <w:rsid w:val="002F1DAD"/>
    <w:rsid w:val="002F3F04"/>
    <w:rsid w:val="002F41BA"/>
    <w:rsid w:val="002F69CE"/>
    <w:rsid w:val="003018AA"/>
    <w:rsid w:val="0030259A"/>
    <w:rsid w:val="00303B99"/>
    <w:rsid w:val="00304757"/>
    <w:rsid w:val="0030533A"/>
    <w:rsid w:val="00305D99"/>
    <w:rsid w:val="0030714F"/>
    <w:rsid w:val="003073E2"/>
    <w:rsid w:val="00307DDF"/>
    <w:rsid w:val="0031014A"/>
    <w:rsid w:val="0031350F"/>
    <w:rsid w:val="00314A43"/>
    <w:rsid w:val="00322040"/>
    <w:rsid w:val="00323203"/>
    <w:rsid w:val="00323669"/>
    <w:rsid w:val="003240B8"/>
    <w:rsid w:val="00325422"/>
    <w:rsid w:val="00325D89"/>
    <w:rsid w:val="00326FCA"/>
    <w:rsid w:val="00332DA2"/>
    <w:rsid w:val="00333FDA"/>
    <w:rsid w:val="003340DE"/>
    <w:rsid w:val="00336ACB"/>
    <w:rsid w:val="00340D19"/>
    <w:rsid w:val="00343EED"/>
    <w:rsid w:val="00344804"/>
    <w:rsid w:val="00344A19"/>
    <w:rsid w:val="003518C8"/>
    <w:rsid w:val="003533B5"/>
    <w:rsid w:val="00357A7D"/>
    <w:rsid w:val="003622CA"/>
    <w:rsid w:val="00363030"/>
    <w:rsid w:val="0036462C"/>
    <w:rsid w:val="00364A42"/>
    <w:rsid w:val="00366281"/>
    <w:rsid w:val="003663E7"/>
    <w:rsid w:val="003710F8"/>
    <w:rsid w:val="003723B0"/>
    <w:rsid w:val="00372487"/>
    <w:rsid w:val="003755FB"/>
    <w:rsid w:val="0037577C"/>
    <w:rsid w:val="00377F25"/>
    <w:rsid w:val="00385502"/>
    <w:rsid w:val="0038618F"/>
    <w:rsid w:val="003901D9"/>
    <w:rsid w:val="00391A43"/>
    <w:rsid w:val="003A110B"/>
    <w:rsid w:val="003A7416"/>
    <w:rsid w:val="003B0611"/>
    <w:rsid w:val="003B42D9"/>
    <w:rsid w:val="003C3140"/>
    <w:rsid w:val="003C3E02"/>
    <w:rsid w:val="003C3FE8"/>
    <w:rsid w:val="003C5012"/>
    <w:rsid w:val="003C6FC8"/>
    <w:rsid w:val="003C73F9"/>
    <w:rsid w:val="003C7EBB"/>
    <w:rsid w:val="003D1F5A"/>
    <w:rsid w:val="003D2744"/>
    <w:rsid w:val="003D45D9"/>
    <w:rsid w:val="003D5F07"/>
    <w:rsid w:val="003D6AB5"/>
    <w:rsid w:val="003E3FF5"/>
    <w:rsid w:val="003E4F24"/>
    <w:rsid w:val="003E5354"/>
    <w:rsid w:val="003F0AAF"/>
    <w:rsid w:val="003F0BA5"/>
    <w:rsid w:val="003F51F4"/>
    <w:rsid w:val="003F52C6"/>
    <w:rsid w:val="003F558E"/>
    <w:rsid w:val="003F6BDE"/>
    <w:rsid w:val="00401660"/>
    <w:rsid w:val="00403D6E"/>
    <w:rsid w:val="00407AC0"/>
    <w:rsid w:val="00412E30"/>
    <w:rsid w:val="00417002"/>
    <w:rsid w:val="004170AF"/>
    <w:rsid w:val="004202C3"/>
    <w:rsid w:val="00432BB7"/>
    <w:rsid w:val="004331E9"/>
    <w:rsid w:val="00433E8D"/>
    <w:rsid w:val="00434136"/>
    <w:rsid w:val="0043592C"/>
    <w:rsid w:val="00437F71"/>
    <w:rsid w:val="00441207"/>
    <w:rsid w:val="004422CA"/>
    <w:rsid w:val="00443807"/>
    <w:rsid w:val="004462F7"/>
    <w:rsid w:val="00447270"/>
    <w:rsid w:val="00454114"/>
    <w:rsid w:val="004569E3"/>
    <w:rsid w:val="0046019D"/>
    <w:rsid w:val="0046055D"/>
    <w:rsid w:val="00464536"/>
    <w:rsid w:val="0046514E"/>
    <w:rsid w:val="0046623C"/>
    <w:rsid w:val="00467739"/>
    <w:rsid w:val="00470D0C"/>
    <w:rsid w:val="00474E22"/>
    <w:rsid w:val="0047608F"/>
    <w:rsid w:val="00476257"/>
    <w:rsid w:val="00476554"/>
    <w:rsid w:val="00480E78"/>
    <w:rsid w:val="004813D4"/>
    <w:rsid w:val="0048669C"/>
    <w:rsid w:val="00486AC9"/>
    <w:rsid w:val="00491D91"/>
    <w:rsid w:val="004931C7"/>
    <w:rsid w:val="00494037"/>
    <w:rsid w:val="0049580C"/>
    <w:rsid w:val="00495FBA"/>
    <w:rsid w:val="0049768F"/>
    <w:rsid w:val="004A02BE"/>
    <w:rsid w:val="004A04E5"/>
    <w:rsid w:val="004A1495"/>
    <w:rsid w:val="004A2165"/>
    <w:rsid w:val="004A468E"/>
    <w:rsid w:val="004A5F74"/>
    <w:rsid w:val="004A6232"/>
    <w:rsid w:val="004B0512"/>
    <w:rsid w:val="004B07B9"/>
    <w:rsid w:val="004B1052"/>
    <w:rsid w:val="004B6B14"/>
    <w:rsid w:val="004C39BC"/>
    <w:rsid w:val="004C60FC"/>
    <w:rsid w:val="004C7594"/>
    <w:rsid w:val="004C7B3D"/>
    <w:rsid w:val="004D0C36"/>
    <w:rsid w:val="004D3993"/>
    <w:rsid w:val="004D43D6"/>
    <w:rsid w:val="004D5CFF"/>
    <w:rsid w:val="004E1189"/>
    <w:rsid w:val="004E384C"/>
    <w:rsid w:val="004E41CC"/>
    <w:rsid w:val="004E47EC"/>
    <w:rsid w:val="004E514F"/>
    <w:rsid w:val="004E53D2"/>
    <w:rsid w:val="004E737F"/>
    <w:rsid w:val="004F03DE"/>
    <w:rsid w:val="004F1F43"/>
    <w:rsid w:val="004F21E9"/>
    <w:rsid w:val="004F22DA"/>
    <w:rsid w:val="0050156D"/>
    <w:rsid w:val="00502165"/>
    <w:rsid w:val="00502DCF"/>
    <w:rsid w:val="00504379"/>
    <w:rsid w:val="00504834"/>
    <w:rsid w:val="00504C7A"/>
    <w:rsid w:val="00505AEE"/>
    <w:rsid w:val="0050632E"/>
    <w:rsid w:val="005064EC"/>
    <w:rsid w:val="0050752D"/>
    <w:rsid w:val="00511C9F"/>
    <w:rsid w:val="00511EF3"/>
    <w:rsid w:val="0051386E"/>
    <w:rsid w:val="00514507"/>
    <w:rsid w:val="0051475B"/>
    <w:rsid w:val="00515B78"/>
    <w:rsid w:val="00516C4F"/>
    <w:rsid w:val="005207E2"/>
    <w:rsid w:val="00521350"/>
    <w:rsid w:val="00525549"/>
    <w:rsid w:val="0052690E"/>
    <w:rsid w:val="00530E8D"/>
    <w:rsid w:val="0053186F"/>
    <w:rsid w:val="005351B9"/>
    <w:rsid w:val="00536011"/>
    <w:rsid w:val="00540506"/>
    <w:rsid w:val="00540CB5"/>
    <w:rsid w:val="00543546"/>
    <w:rsid w:val="00544EBF"/>
    <w:rsid w:val="005460B0"/>
    <w:rsid w:val="00547BEA"/>
    <w:rsid w:val="00550B79"/>
    <w:rsid w:val="0055150B"/>
    <w:rsid w:val="005532F9"/>
    <w:rsid w:val="0055440B"/>
    <w:rsid w:val="00554F4C"/>
    <w:rsid w:val="00555116"/>
    <w:rsid w:val="0055708D"/>
    <w:rsid w:val="00560083"/>
    <w:rsid w:val="005606BE"/>
    <w:rsid w:val="00561CA6"/>
    <w:rsid w:val="00564565"/>
    <w:rsid w:val="005647BE"/>
    <w:rsid w:val="00565CE4"/>
    <w:rsid w:val="00565EC2"/>
    <w:rsid w:val="00566093"/>
    <w:rsid w:val="00566299"/>
    <w:rsid w:val="00566CA8"/>
    <w:rsid w:val="00570813"/>
    <w:rsid w:val="005719A3"/>
    <w:rsid w:val="00571DA5"/>
    <w:rsid w:val="005725F6"/>
    <w:rsid w:val="00572BAA"/>
    <w:rsid w:val="00573F90"/>
    <w:rsid w:val="0057643F"/>
    <w:rsid w:val="0057699D"/>
    <w:rsid w:val="00580324"/>
    <w:rsid w:val="00580F43"/>
    <w:rsid w:val="00581BCD"/>
    <w:rsid w:val="00585EDB"/>
    <w:rsid w:val="00585FDC"/>
    <w:rsid w:val="00586817"/>
    <w:rsid w:val="00586D92"/>
    <w:rsid w:val="00586FCD"/>
    <w:rsid w:val="00587507"/>
    <w:rsid w:val="005964C0"/>
    <w:rsid w:val="005968A9"/>
    <w:rsid w:val="00596A0B"/>
    <w:rsid w:val="00596E05"/>
    <w:rsid w:val="00596F85"/>
    <w:rsid w:val="005970FA"/>
    <w:rsid w:val="005A0176"/>
    <w:rsid w:val="005A088E"/>
    <w:rsid w:val="005A1A84"/>
    <w:rsid w:val="005A2298"/>
    <w:rsid w:val="005A24C0"/>
    <w:rsid w:val="005A28C1"/>
    <w:rsid w:val="005A72FC"/>
    <w:rsid w:val="005B0388"/>
    <w:rsid w:val="005B109A"/>
    <w:rsid w:val="005B13B5"/>
    <w:rsid w:val="005B44C8"/>
    <w:rsid w:val="005B5DE5"/>
    <w:rsid w:val="005B69B9"/>
    <w:rsid w:val="005C2FD5"/>
    <w:rsid w:val="005C5378"/>
    <w:rsid w:val="005D1DF4"/>
    <w:rsid w:val="005D2AB9"/>
    <w:rsid w:val="005D34E2"/>
    <w:rsid w:val="005D496E"/>
    <w:rsid w:val="005D4EE4"/>
    <w:rsid w:val="005D6C0B"/>
    <w:rsid w:val="005D7C20"/>
    <w:rsid w:val="005E6960"/>
    <w:rsid w:val="005E72EC"/>
    <w:rsid w:val="005E7EB8"/>
    <w:rsid w:val="005F0FA9"/>
    <w:rsid w:val="005F18D6"/>
    <w:rsid w:val="005F337A"/>
    <w:rsid w:val="005F7927"/>
    <w:rsid w:val="0060024E"/>
    <w:rsid w:val="00600FC6"/>
    <w:rsid w:val="00602089"/>
    <w:rsid w:val="00602E55"/>
    <w:rsid w:val="00603024"/>
    <w:rsid w:val="00610F97"/>
    <w:rsid w:val="006112A9"/>
    <w:rsid w:val="006116E3"/>
    <w:rsid w:val="00612064"/>
    <w:rsid w:val="00613994"/>
    <w:rsid w:val="00620F36"/>
    <w:rsid w:val="00624400"/>
    <w:rsid w:val="00624E0A"/>
    <w:rsid w:val="00624E51"/>
    <w:rsid w:val="00626162"/>
    <w:rsid w:val="006337FA"/>
    <w:rsid w:val="00634719"/>
    <w:rsid w:val="00636A5D"/>
    <w:rsid w:val="006373F9"/>
    <w:rsid w:val="00637AA3"/>
    <w:rsid w:val="00642F36"/>
    <w:rsid w:val="00644ED2"/>
    <w:rsid w:val="006503E8"/>
    <w:rsid w:val="006547E9"/>
    <w:rsid w:val="00654A4A"/>
    <w:rsid w:val="0065545A"/>
    <w:rsid w:val="00655657"/>
    <w:rsid w:val="006556A7"/>
    <w:rsid w:val="00656A77"/>
    <w:rsid w:val="00657A21"/>
    <w:rsid w:val="00660690"/>
    <w:rsid w:val="0066142E"/>
    <w:rsid w:val="0066175C"/>
    <w:rsid w:val="006626F6"/>
    <w:rsid w:val="006661CF"/>
    <w:rsid w:val="00670BFD"/>
    <w:rsid w:val="00671E4C"/>
    <w:rsid w:val="00672B22"/>
    <w:rsid w:val="00674295"/>
    <w:rsid w:val="00676343"/>
    <w:rsid w:val="0067681E"/>
    <w:rsid w:val="0068045A"/>
    <w:rsid w:val="006818A8"/>
    <w:rsid w:val="00681A51"/>
    <w:rsid w:val="00682469"/>
    <w:rsid w:val="00683266"/>
    <w:rsid w:val="00683D97"/>
    <w:rsid w:val="00684FCA"/>
    <w:rsid w:val="00685105"/>
    <w:rsid w:val="00686153"/>
    <w:rsid w:val="00686A01"/>
    <w:rsid w:val="00686B5C"/>
    <w:rsid w:val="006879DE"/>
    <w:rsid w:val="006959BD"/>
    <w:rsid w:val="006962FB"/>
    <w:rsid w:val="00696997"/>
    <w:rsid w:val="006A148D"/>
    <w:rsid w:val="006A224F"/>
    <w:rsid w:val="006A6460"/>
    <w:rsid w:val="006A758C"/>
    <w:rsid w:val="006B22C2"/>
    <w:rsid w:val="006B346F"/>
    <w:rsid w:val="006C1EEC"/>
    <w:rsid w:val="006C256E"/>
    <w:rsid w:val="006C3CB9"/>
    <w:rsid w:val="006C3F75"/>
    <w:rsid w:val="006C3FEA"/>
    <w:rsid w:val="006C4A20"/>
    <w:rsid w:val="006C4E0A"/>
    <w:rsid w:val="006C69E7"/>
    <w:rsid w:val="006C7201"/>
    <w:rsid w:val="006D10AE"/>
    <w:rsid w:val="006D29F2"/>
    <w:rsid w:val="006D7180"/>
    <w:rsid w:val="006D7CA2"/>
    <w:rsid w:val="006E018F"/>
    <w:rsid w:val="006E065B"/>
    <w:rsid w:val="006E09D3"/>
    <w:rsid w:val="006E1E68"/>
    <w:rsid w:val="006E1E6C"/>
    <w:rsid w:val="006E1FDD"/>
    <w:rsid w:val="006E4254"/>
    <w:rsid w:val="006E5505"/>
    <w:rsid w:val="006F0A5C"/>
    <w:rsid w:val="006F240A"/>
    <w:rsid w:val="006F2FB3"/>
    <w:rsid w:val="006F531B"/>
    <w:rsid w:val="006F560B"/>
    <w:rsid w:val="006F5D5F"/>
    <w:rsid w:val="006F6098"/>
    <w:rsid w:val="006F62BC"/>
    <w:rsid w:val="007003F1"/>
    <w:rsid w:val="00700691"/>
    <w:rsid w:val="00701370"/>
    <w:rsid w:val="0070142E"/>
    <w:rsid w:val="00702493"/>
    <w:rsid w:val="0070314C"/>
    <w:rsid w:val="007040DD"/>
    <w:rsid w:val="00706F91"/>
    <w:rsid w:val="00710851"/>
    <w:rsid w:val="0071266F"/>
    <w:rsid w:val="00713192"/>
    <w:rsid w:val="00714F3B"/>
    <w:rsid w:val="00715FA6"/>
    <w:rsid w:val="007166F7"/>
    <w:rsid w:val="00716AEF"/>
    <w:rsid w:val="00717076"/>
    <w:rsid w:val="00717296"/>
    <w:rsid w:val="00723FB6"/>
    <w:rsid w:val="00724B1E"/>
    <w:rsid w:val="00727370"/>
    <w:rsid w:val="00732CCF"/>
    <w:rsid w:val="007344D9"/>
    <w:rsid w:val="00734B77"/>
    <w:rsid w:val="00735D9E"/>
    <w:rsid w:val="00736611"/>
    <w:rsid w:val="00737CAB"/>
    <w:rsid w:val="0074109C"/>
    <w:rsid w:val="00742335"/>
    <w:rsid w:val="00742842"/>
    <w:rsid w:val="00743852"/>
    <w:rsid w:val="00743EE5"/>
    <w:rsid w:val="0074491A"/>
    <w:rsid w:val="00753376"/>
    <w:rsid w:val="007543B0"/>
    <w:rsid w:val="007568A9"/>
    <w:rsid w:val="00761514"/>
    <w:rsid w:val="00763CE7"/>
    <w:rsid w:val="007655D8"/>
    <w:rsid w:val="00770A31"/>
    <w:rsid w:val="0077128B"/>
    <w:rsid w:val="00772177"/>
    <w:rsid w:val="0077556F"/>
    <w:rsid w:val="007756C7"/>
    <w:rsid w:val="00775C65"/>
    <w:rsid w:val="0077639A"/>
    <w:rsid w:val="0078100C"/>
    <w:rsid w:val="00781571"/>
    <w:rsid w:val="0078157F"/>
    <w:rsid w:val="00782EDE"/>
    <w:rsid w:val="00786F48"/>
    <w:rsid w:val="0078772C"/>
    <w:rsid w:val="007878E4"/>
    <w:rsid w:val="00793078"/>
    <w:rsid w:val="007941A7"/>
    <w:rsid w:val="00795376"/>
    <w:rsid w:val="00795483"/>
    <w:rsid w:val="007963BD"/>
    <w:rsid w:val="007A3B16"/>
    <w:rsid w:val="007A4783"/>
    <w:rsid w:val="007A5191"/>
    <w:rsid w:val="007A71F5"/>
    <w:rsid w:val="007B0500"/>
    <w:rsid w:val="007B0E81"/>
    <w:rsid w:val="007B111B"/>
    <w:rsid w:val="007B2448"/>
    <w:rsid w:val="007B3AE8"/>
    <w:rsid w:val="007B4418"/>
    <w:rsid w:val="007B5F19"/>
    <w:rsid w:val="007B5F62"/>
    <w:rsid w:val="007B66B3"/>
    <w:rsid w:val="007B7077"/>
    <w:rsid w:val="007B7705"/>
    <w:rsid w:val="007B78A9"/>
    <w:rsid w:val="007B7FB7"/>
    <w:rsid w:val="007C03CE"/>
    <w:rsid w:val="007C0887"/>
    <w:rsid w:val="007C3003"/>
    <w:rsid w:val="007C455B"/>
    <w:rsid w:val="007C6B60"/>
    <w:rsid w:val="007C6F85"/>
    <w:rsid w:val="007C7D9A"/>
    <w:rsid w:val="007D1348"/>
    <w:rsid w:val="007D265E"/>
    <w:rsid w:val="007D2974"/>
    <w:rsid w:val="007D300D"/>
    <w:rsid w:val="007D3AA0"/>
    <w:rsid w:val="007D3FE2"/>
    <w:rsid w:val="007D4214"/>
    <w:rsid w:val="007D5690"/>
    <w:rsid w:val="007D69FA"/>
    <w:rsid w:val="007E1600"/>
    <w:rsid w:val="007E2395"/>
    <w:rsid w:val="007E6311"/>
    <w:rsid w:val="007F4AED"/>
    <w:rsid w:val="008009F2"/>
    <w:rsid w:val="008024D4"/>
    <w:rsid w:val="00806A36"/>
    <w:rsid w:val="008070E1"/>
    <w:rsid w:val="00810603"/>
    <w:rsid w:val="008130DB"/>
    <w:rsid w:val="00814283"/>
    <w:rsid w:val="00814AAE"/>
    <w:rsid w:val="0081675B"/>
    <w:rsid w:val="00817781"/>
    <w:rsid w:val="00820209"/>
    <w:rsid w:val="00820F35"/>
    <w:rsid w:val="00820FEC"/>
    <w:rsid w:val="00821F72"/>
    <w:rsid w:val="0082393D"/>
    <w:rsid w:val="00827CE5"/>
    <w:rsid w:val="0083324D"/>
    <w:rsid w:val="00836448"/>
    <w:rsid w:val="00837061"/>
    <w:rsid w:val="00841733"/>
    <w:rsid w:val="0084270A"/>
    <w:rsid w:val="00842FA6"/>
    <w:rsid w:val="008431FD"/>
    <w:rsid w:val="00844D38"/>
    <w:rsid w:val="00844D85"/>
    <w:rsid w:val="008454BC"/>
    <w:rsid w:val="00846D0D"/>
    <w:rsid w:val="00846E83"/>
    <w:rsid w:val="00847AB0"/>
    <w:rsid w:val="0085198F"/>
    <w:rsid w:val="008524BE"/>
    <w:rsid w:val="00853BC2"/>
    <w:rsid w:val="0085402A"/>
    <w:rsid w:val="00854278"/>
    <w:rsid w:val="00856063"/>
    <w:rsid w:val="00857172"/>
    <w:rsid w:val="0086236A"/>
    <w:rsid w:val="0087035A"/>
    <w:rsid w:val="0087282C"/>
    <w:rsid w:val="00872B70"/>
    <w:rsid w:val="0087347D"/>
    <w:rsid w:val="0087708E"/>
    <w:rsid w:val="00881673"/>
    <w:rsid w:val="00881769"/>
    <w:rsid w:val="00882DAD"/>
    <w:rsid w:val="00885263"/>
    <w:rsid w:val="008855BB"/>
    <w:rsid w:val="00886CC3"/>
    <w:rsid w:val="00890B02"/>
    <w:rsid w:val="00890B75"/>
    <w:rsid w:val="00891EF0"/>
    <w:rsid w:val="00892DA5"/>
    <w:rsid w:val="008949B1"/>
    <w:rsid w:val="0089713E"/>
    <w:rsid w:val="008A10F3"/>
    <w:rsid w:val="008A2E87"/>
    <w:rsid w:val="008A4DF6"/>
    <w:rsid w:val="008A5C0F"/>
    <w:rsid w:val="008B1596"/>
    <w:rsid w:val="008B75E0"/>
    <w:rsid w:val="008B7993"/>
    <w:rsid w:val="008C09C4"/>
    <w:rsid w:val="008C1F44"/>
    <w:rsid w:val="008C3EA6"/>
    <w:rsid w:val="008C6018"/>
    <w:rsid w:val="008C646F"/>
    <w:rsid w:val="008C68E3"/>
    <w:rsid w:val="008D20D0"/>
    <w:rsid w:val="008D3B80"/>
    <w:rsid w:val="008D7F20"/>
    <w:rsid w:val="008E3E4B"/>
    <w:rsid w:val="008E4EF9"/>
    <w:rsid w:val="008E6DFC"/>
    <w:rsid w:val="008E7710"/>
    <w:rsid w:val="008F2510"/>
    <w:rsid w:val="008F63CA"/>
    <w:rsid w:val="008F78A8"/>
    <w:rsid w:val="00900D4D"/>
    <w:rsid w:val="00900D70"/>
    <w:rsid w:val="009036EF"/>
    <w:rsid w:val="0090388D"/>
    <w:rsid w:val="00903F34"/>
    <w:rsid w:val="00905C0A"/>
    <w:rsid w:val="009108BF"/>
    <w:rsid w:val="00911BC6"/>
    <w:rsid w:val="009122F8"/>
    <w:rsid w:val="0091371B"/>
    <w:rsid w:val="00915520"/>
    <w:rsid w:val="009155F7"/>
    <w:rsid w:val="00916FA1"/>
    <w:rsid w:val="00921131"/>
    <w:rsid w:val="0092195B"/>
    <w:rsid w:val="00923DEF"/>
    <w:rsid w:val="009247F5"/>
    <w:rsid w:val="00926AB2"/>
    <w:rsid w:val="009279B1"/>
    <w:rsid w:val="009356E6"/>
    <w:rsid w:val="009407FE"/>
    <w:rsid w:val="00940BD4"/>
    <w:rsid w:val="009419FA"/>
    <w:rsid w:val="00942436"/>
    <w:rsid w:val="009550CD"/>
    <w:rsid w:val="0095716F"/>
    <w:rsid w:val="00957603"/>
    <w:rsid w:val="00957A1D"/>
    <w:rsid w:val="00961A29"/>
    <w:rsid w:val="0096487B"/>
    <w:rsid w:val="009667F7"/>
    <w:rsid w:val="0097038B"/>
    <w:rsid w:val="00974423"/>
    <w:rsid w:val="0097512B"/>
    <w:rsid w:val="00975572"/>
    <w:rsid w:val="009757D1"/>
    <w:rsid w:val="0097674C"/>
    <w:rsid w:val="00980205"/>
    <w:rsid w:val="00980754"/>
    <w:rsid w:val="00981535"/>
    <w:rsid w:val="0098222F"/>
    <w:rsid w:val="009825C8"/>
    <w:rsid w:val="00982994"/>
    <w:rsid w:val="0098409F"/>
    <w:rsid w:val="0098429D"/>
    <w:rsid w:val="00985537"/>
    <w:rsid w:val="009903EE"/>
    <w:rsid w:val="00991698"/>
    <w:rsid w:val="00991C17"/>
    <w:rsid w:val="00992D1E"/>
    <w:rsid w:val="00997EB2"/>
    <w:rsid w:val="009A06F5"/>
    <w:rsid w:val="009A0788"/>
    <w:rsid w:val="009A0E92"/>
    <w:rsid w:val="009A17EC"/>
    <w:rsid w:val="009A1E45"/>
    <w:rsid w:val="009A4C0F"/>
    <w:rsid w:val="009A7AA4"/>
    <w:rsid w:val="009B03DF"/>
    <w:rsid w:val="009B2262"/>
    <w:rsid w:val="009B5A75"/>
    <w:rsid w:val="009B6AF0"/>
    <w:rsid w:val="009C292D"/>
    <w:rsid w:val="009C2CED"/>
    <w:rsid w:val="009C41C8"/>
    <w:rsid w:val="009C5F0C"/>
    <w:rsid w:val="009C67C0"/>
    <w:rsid w:val="009D1035"/>
    <w:rsid w:val="009D13D0"/>
    <w:rsid w:val="009D2068"/>
    <w:rsid w:val="009D46F3"/>
    <w:rsid w:val="009D4C89"/>
    <w:rsid w:val="009D7D33"/>
    <w:rsid w:val="009E03F9"/>
    <w:rsid w:val="009E4DD4"/>
    <w:rsid w:val="009E4E3F"/>
    <w:rsid w:val="009E5E7D"/>
    <w:rsid w:val="009E698B"/>
    <w:rsid w:val="009F0FBD"/>
    <w:rsid w:val="009F1547"/>
    <w:rsid w:val="009F1F02"/>
    <w:rsid w:val="009F2CD1"/>
    <w:rsid w:val="009F494B"/>
    <w:rsid w:val="009F4ABA"/>
    <w:rsid w:val="00A030DD"/>
    <w:rsid w:val="00A036BD"/>
    <w:rsid w:val="00A04550"/>
    <w:rsid w:val="00A066AE"/>
    <w:rsid w:val="00A07C8C"/>
    <w:rsid w:val="00A10DD9"/>
    <w:rsid w:val="00A11194"/>
    <w:rsid w:val="00A12C6B"/>
    <w:rsid w:val="00A14117"/>
    <w:rsid w:val="00A149FA"/>
    <w:rsid w:val="00A1527B"/>
    <w:rsid w:val="00A17DF0"/>
    <w:rsid w:val="00A20F78"/>
    <w:rsid w:val="00A218F1"/>
    <w:rsid w:val="00A22121"/>
    <w:rsid w:val="00A27DEE"/>
    <w:rsid w:val="00A31758"/>
    <w:rsid w:val="00A31B93"/>
    <w:rsid w:val="00A3261F"/>
    <w:rsid w:val="00A3538C"/>
    <w:rsid w:val="00A36246"/>
    <w:rsid w:val="00A375EF"/>
    <w:rsid w:val="00A37AD7"/>
    <w:rsid w:val="00A42895"/>
    <w:rsid w:val="00A47557"/>
    <w:rsid w:val="00A50D8A"/>
    <w:rsid w:val="00A5159E"/>
    <w:rsid w:val="00A516C1"/>
    <w:rsid w:val="00A528C2"/>
    <w:rsid w:val="00A54AFD"/>
    <w:rsid w:val="00A54B0F"/>
    <w:rsid w:val="00A54E69"/>
    <w:rsid w:val="00A6006E"/>
    <w:rsid w:val="00A61618"/>
    <w:rsid w:val="00A61B06"/>
    <w:rsid w:val="00A62113"/>
    <w:rsid w:val="00A62404"/>
    <w:rsid w:val="00A634F6"/>
    <w:rsid w:val="00A6401F"/>
    <w:rsid w:val="00A6683C"/>
    <w:rsid w:val="00A66D9E"/>
    <w:rsid w:val="00A6759C"/>
    <w:rsid w:val="00A67923"/>
    <w:rsid w:val="00A71386"/>
    <w:rsid w:val="00A713ED"/>
    <w:rsid w:val="00A714B8"/>
    <w:rsid w:val="00A71EF0"/>
    <w:rsid w:val="00A7353B"/>
    <w:rsid w:val="00A74901"/>
    <w:rsid w:val="00A74D85"/>
    <w:rsid w:val="00A75733"/>
    <w:rsid w:val="00A75753"/>
    <w:rsid w:val="00A76308"/>
    <w:rsid w:val="00A77C08"/>
    <w:rsid w:val="00A81527"/>
    <w:rsid w:val="00A81C53"/>
    <w:rsid w:val="00A81E8E"/>
    <w:rsid w:val="00A82058"/>
    <w:rsid w:val="00A82431"/>
    <w:rsid w:val="00A825E1"/>
    <w:rsid w:val="00A82CA8"/>
    <w:rsid w:val="00A84AE7"/>
    <w:rsid w:val="00A867DC"/>
    <w:rsid w:val="00A869B0"/>
    <w:rsid w:val="00A9289F"/>
    <w:rsid w:val="00A92C1D"/>
    <w:rsid w:val="00A92D2E"/>
    <w:rsid w:val="00A9565E"/>
    <w:rsid w:val="00A96905"/>
    <w:rsid w:val="00AA0C77"/>
    <w:rsid w:val="00AA1D27"/>
    <w:rsid w:val="00AA204C"/>
    <w:rsid w:val="00AA27C1"/>
    <w:rsid w:val="00AA2D57"/>
    <w:rsid w:val="00AA3941"/>
    <w:rsid w:val="00AA56D0"/>
    <w:rsid w:val="00AA6469"/>
    <w:rsid w:val="00AB0C9F"/>
    <w:rsid w:val="00AB143A"/>
    <w:rsid w:val="00AB1494"/>
    <w:rsid w:val="00AB3104"/>
    <w:rsid w:val="00AB52E7"/>
    <w:rsid w:val="00AC003C"/>
    <w:rsid w:val="00AC0103"/>
    <w:rsid w:val="00AC1404"/>
    <w:rsid w:val="00AC4FC2"/>
    <w:rsid w:val="00AC5518"/>
    <w:rsid w:val="00AC65D2"/>
    <w:rsid w:val="00AD039F"/>
    <w:rsid w:val="00AD2726"/>
    <w:rsid w:val="00AD3902"/>
    <w:rsid w:val="00AD3CE4"/>
    <w:rsid w:val="00AD6010"/>
    <w:rsid w:val="00AE2026"/>
    <w:rsid w:val="00AE33FF"/>
    <w:rsid w:val="00AE3569"/>
    <w:rsid w:val="00AE47DB"/>
    <w:rsid w:val="00AE4C7A"/>
    <w:rsid w:val="00AF06D5"/>
    <w:rsid w:val="00AF09DD"/>
    <w:rsid w:val="00AF1842"/>
    <w:rsid w:val="00AF4D05"/>
    <w:rsid w:val="00B02494"/>
    <w:rsid w:val="00B02655"/>
    <w:rsid w:val="00B05102"/>
    <w:rsid w:val="00B06962"/>
    <w:rsid w:val="00B06AA4"/>
    <w:rsid w:val="00B102A9"/>
    <w:rsid w:val="00B1097E"/>
    <w:rsid w:val="00B12C2E"/>
    <w:rsid w:val="00B12EA1"/>
    <w:rsid w:val="00B16A34"/>
    <w:rsid w:val="00B17346"/>
    <w:rsid w:val="00B21710"/>
    <w:rsid w:val="00B25453"/>
    <w:rsid w:val="00B2549D"/>
    <w:rsid w:val="00B311F2"/>
    <w:rsid w:val="00B31B9C"/>
    <w:rsid w:val="00B34D6C"/>
    <w:rsid w:val="00B378C2"/>
    <w:rsid w:val="00B46541"/>
    <w:rsid w:val="00B51676"/>
    <w:rsid w:val="00B5544F"/>
    <w:rsid w:val="00B55E5D"/>
    <w:rsid w:val="00B56D48"/>
    <w:rsid w:val="00B5772F"/>
    <w:rsid w:val="00B57849"/>
    <w:rsid w:val="00B60479"/>
    <w:rsid w:val="00B60A36"/>
    <w:rsid w:val="00B629D3"/>
    <w:rsid w:val="00B63A06"/>
    <w:rsid w:val="00B66867"/>
    <w:rsid w:val="00B66994"/>
    <w:rsid w:val="00B6706C"/>
    <w:rsid w:val="00B67BFD"/>
    <w:rsid w:val="00B71AFB"/>
    <w:rsid w:val="00B71F3A"/>
    <w:rsid w:val="00B73639"/>
    <w:rsid w:val="00B73C97"/>
    <w:rsid w:val="00B76340"/>
    <w:rsid w:val="00B77B1D"/>
    <w:rsid w:val="00B80C43"/>
    <w:rsid w:val="00B86E2C"/>
    <w:rsid w:val="00B94786"/>
    <w:rsid w:val="00BA204F"/>
    <w:rsid w:val="00BA38C6"/>
    <w:rsid w:val="00BA455E"/>
    <w:rsid w:val="00BA5308"/>
    <w:rsid w:val="00BA5F65"/>
    <w:rsid w:val="00BA6BAB"/>
    <w:rsid w:val="00BA78B6"/>
    <w:rsid w:val="00BB26AD"/>
    <w:rsid w:val="00BB4FF1"/>
    <w:rsid w:val="00BB5CE8"/>
    <w:rsid w:val="00BB64E8"/>
    <w:rsid w:val="00BB79BD"/>
    <w:rsid w:val="00BC5C9F"/>
    <w:rsid w:val="00BC7208"/>
    <w:rsid w:val="00BD0B48"/>
    <w:rsid w:val="00BD2A0A"/>
    <w:rsid w:val="00BD5D0F"/>
    <w:rsid w:val="00BD7C68"/>
    <w:rsid w:val="00BE1CBC"/>
    <w:rsid w:val="00BE29DC"/>
    <w:rsid w:val="00BE58AF"/>
    <w:rsid w:val="00BE6403"/>
    <w:rsid w:val="00BE71FF"/>
    <w:rsid w:val="00BE7A7A"/>
    <w:rsid w:val="00BE7B14"/>
    <w:rsid w:val="00BF43DA"/>
    <w:rsid w:val="00BF697A"/>
    <w:rsid w:val="00BF6ADB"/>
    <w:rsid w:val="00C00037"/>
    <w:rsid w:val="00C03776"/>
    <w:rsid w:val="00C03C91"/>
    <w:rsid w:val="00C07DB4"/>
    <w:rsid w:val="00C13821"/>
    <w:rsid w:val="00C14051"/>
    <w:rsid w:val="00C15F73"/>
    <w:rsid w:val="00C16E76"/>
    <w:rsid w:val="00C1785A"/>
    <w:rsid w:val="00C20324"/>
    <w:rsid w:val="00C2037B"/>
    <w:rsid w:val="00C22F2D"/>
    <w:rsid w:val="00C22FF7"/>
    <w:rsid w:val="00C23E65"/>
    <w:rsid w:val="00C25B32"/>
    <w:rsid w:val="00C27F76"/>
    <w:rsid w:val="00C308C6"/>
    <w:rsid w:val="00C30DA4"/>
    <w:rsid w:val="00C32F43"/>
    <w:rsid w:val="00C33414"/>
    <w:rsid w:val="00C4005E"/>
    <w:rsid w:val="00C4069F"/>
    <w:rsid w:val="00C40C35"/>
    <w:rsid w:val="00C41ECA"/>
    <w:rsid w:val="00C44719"/>
    <w:rsid w:val="00C50108"/>
    <w:rsid w:val="00C51056"/>
    <w:rsid w:val="00C5308B"/>
    <w:rsid w:val="00C55076"/>
    <w:rsid w:val="00C55324"/>
    <w:rsid w:val="00C57248"/>
    <w:rsid w:val="00C62D1C"/>
    <w:rsid w:val="00C6572C"/>
    <w:rsid w:val="00C70CFF"/>
    <w:rsid w:val="00C74776"/>
    <w:rsid w:val="00C75655"/>
    <w:rsid w:val="00C75827"/>
    <w:rsid w:val="00C8070A"/>
    <w:rsid w:val="00C81CC8"/>
    <w:rsid w:val="00C837C3"/>
    <w:rsid w:val="00C84497"/>
    <w:rsid w:val="00C84840"/>
    <w:rsid w:val="00C868F6"/>
    <w:rsid w:val="00C9041D"/>
    <w:rsid w:val="00C906FF"/>
    <w:rsid w:val="00C9137C"/>
    <w:rsid w:val="00C91644"/>
    <w:rsid w:val="00C9299B"/>
    <w:rsid w:val="00C94D30"/>
    <w:rsid w:val="00C9663B"/>
    <w:rsid w:val="00CA32E1"/>
    <w:rsid w:val="00CA3C9B"/>
    <w:rsid w:val="00CA43A5"/>
    <w:rsid w:val="00CA7C0B"/>
    <w:rsid w:val="00CB1DD9"/>
    <w:rsid w:val="00CB44B1"/>
    <w:rsid w:val="00CB4762"/>
    <w:rsid w:val="00CB6E2B"/>
    <w:rsid w:val="00CB6FF7"/>
    <w:rsid w:val="00CB7302"/>
    <w:rsid w:val="00CC0B94"/>
    <w:rsid w:val="00CC1E9F"/>
    <w:rsid w:val="00CC3680"/>
    <w:rsid w:val="00CC379A"/>
    <w:rsid w:val="00CC5896"/>
    <w:rsid w:val="00CC76BB"/>
    <w:rsid w:val="00CD09D8"/>
    <w:rsid w:val="00CD337F"/>
    <w:rsid w:val="00CD6A72"/>
    <w:rsid w:val="00CD77FB"/>
    <w:rsid w:val="00CE0C35"/>
    <w:rsid w:val="00CE137D"/>
    <w:rsid w:val="00CE3810"/>
    <w:rsid w:val="00CE3EC9"/>
    <w:rsid w:val="00CE431C"/>
    <w:rsid w:val="00CE52B4"/>
    <w:rsid w:val="00CE5DCD"/>
    <w:rsid w:val="00CE701C"/>
    <w:rsid w:val="00CE7599"/>
    <w:rsid w:val="00CE7C2C"/>
    <w:rsid w:val="00CF414A"/>
    <w:rsid w:val="00CF4FF0"/>
    <w:rsid w:val="00CF5B47"/>
    <w:rsid w:val="00D051BD"/>
    <w:rsid w:val="00D0535E"/>
    <w:rsid w:val="00D07678"/>
    <w:rsid w:val="00D104F9"/>
    <w:rsid w:val="00D14323"/>
    <w:rsid w:val="00D16008"/>
    <w:rsid w:val="00D166D4"/>
    <w:rsid w:val="00D21327"/>
    <w:rsid w:val="00D229C9"/>
    <w:rsid w:val="00D22A30"/>
    <w:rsid w:val="00D234E0"/>
    <w:rsid w:val="00D30254"/>
    <w:rsid w:val="00D30FF5"/>
    <w:rsid w:val="00D32DF4"/>
    <w:rsid w:val="00D33768"/>
    <w:rsid w:val="00D33D87"/>
    <w:rsid w:val="00D33DCA"/>
    <w:rsid w:val="00D345FC"/>
    <w:rsid w:val="00D35077"/>
    <w:rsid w:val="00D35A6E"/>
    <w:rsid w:val="00D40736"/>
    <w:rsid w:val="00D408A8"/>
    <w:rsid w:val="00D438CE"/>
    <w:rsid w:val="00D44CCD"/>
    <w:rsid w:val="00D4561D"/>
    <w:rsid w:val="00D456A6"/>
    <w:rsid w:val="00D45FFE"/>
    <w:rsid w:val="00D46BB4"/>
    <w:rsid w:val="00D46DAE"/>
    <w:rsid w:val="00D51C8F"/>
    <w:rsid w:val="00D5204B"/>
    <w:rsid w:val="00D53716"/>
    <w:rsid w:val="00D54C10"/>
    <w:rsid w:val="00D55191"/>
    <w:rsid w:val="00D55CD0"/>
    <w:rsid w:val="00D56F2B"/>
    <w:rsid w:val="00D57544"/>
    <w:rsid w:val="00D57973"/>
    <w:rsid w:val="00D60CE2"/>
    <w:rsid w:val="00D612EC"/>
    <w:rsid w:val="00D6153E"/>
    <w:rsid w:val="00D623C4"/>
    <w:rsid w:val="00D71734"/>
    <w:rsid w:val="00D722DF"/>
    <w:rsid w:val="00D731D6"/>
    <w:rsid w:val="00D73E08"/>
    <w:rsid w:val="00D818DD"/>
    <w:rsid w:val="00D83E60"/>
    <w:rsid w:val="00D84675"/>
    <w:rsid w:val="00D8491F"/>
    <w:rsid w:val="00D8526A"/>
    <w:rsid w:val="00D86252"/>
    <w:rsid w:val="00D9152B"/>
    <w:rsid w:val="00D917F3"/>
    <w:rsid w:val="00D92FAD"/>
    <w:rsid w:val="00D95E27"/>
    <w:rsid w:val="00D97BAA"/>
    <w:rsid w:val="00DA3AF3"/>
    <w:rsid w:val="00DA5455"/>
    <w:rsid w:val="00DA559F"/>
    <w:rsid w:val="00DA5C2B"/>
    <w:rsid w:val="00DA69D5"/>
    <w:rsid w:val="00DB080F"/>
    <w:rsid w:val="00DB3295"/>
    <w:rsid w:val="00DB4B9E"/>
    <w:rsid w:val="00DB52BA"/>
    <w:rsid w:val="00DB5EFB"/>
    <w:rsid w:val="00DB6EF1"/>
    <w:rsid w:val="00DC1465"/>
    <w:rsid w:val="00DC19BB"/>
    <w:rsid w:val="00DC3789"/>
    <w:rsid w:val="00DC6404"/>
    <w:rsid w:val="00DC739B"/>
    <w:rsid w:val="00DC78AD"/>
    <w:rsid w:val="00DD35FA"/>
    <w:rsid w:val="00DD7139"/>
    <w:rsid w:val="00DD7FDF"/>
    <w:rsid w:val="00DE1703"/>
    <w:rsid w:val="00DE25AC"/>
    <w:rsid w:val="00DE2A11"/>
    <w:rsid w:val="00DF568D"/>
    <w:rsid w:val="00DF588C"/>
    <w:rsid w:val="00DF74E1"/>
    <w:rsid w:val="00E008C5"/>
    <w:rsid w:val="00E00CCB"/>
    <w:rsid w:val="00E0157A"/>
    <w:rsid w:val="00E01B86"/>
    <w:rsid w:val="00E0320F"/>
    <w:rsid w:val="00E036E4"/>
    <w:rsid w:val="00E042C7"/>
    <w:rsid w:val="00E0781A"/>
    <w:rsid w:val="00E11475"/>
    <w:rsid w:val="00E1187A"/>
    <w:rsid w:val="00E175A7"/>
    <w:rsid w:val="00E20168"/>
    <w:rsid w:val="00E20740"/>
    <w:rsid w:val="00E20E92"/>
    <w:rsid w:val="00E245DA"/>
    <w:rsid w:val="00E24645"/>
    <w:rsid w:val="00E25307"/>
    <w:rsid w:val="00E304B5"/>
    <w:rsid w:val="00E31BCB"/>
    <w:rsid w:val="00E32963"/>
    <w:rsid w:val="00E337BC"/>
    <w:rsid w:val="00E350CD"/>
    <w:rsid w:val="00E372A9"/>
    <w:rsid w:val="00E4001B"/>
    <w:rsid w:val="00E40032"/>
    <w:rsid w:val="00E42C2E"/>
    <w:rsid w:val="00E44856"/>
    <w:rsid w:val="00E45CBE"/>
    <w:rsid w:val="00E479BF"/>
    <w:rsid w:val="00E51FDE"/>
    <w:rsid w:val="00E52162"/>
    <w:rsid w:val="00E534B2"/>
    <w:rsid w:val="00E55462"/>
    <w:rsid w:val="00E56B66"/>
    <w:rsid w:val="00E579AF"/>
    <w:rsid w:val="00E61C35"/>
    <w:rsid w:val="00E61F66"/>
    <w:rsid w:val="00E64F3C"/>
    <w:rsid w:val="00E6515F"/>
    <w:rsid w:val="00E6699A"/>
    <w:rsid w:val="00E6720F"/>
    <w:rsid w:val="00E705B7"/>
    <w:rsid w:val="00E7086E"/>
    <w:rsid w:val="00E70ECC"/>
    <w:rsid w:val="00E714FC"/>
    <w:rsid w:val="00E7152F"/>
    <w:rsid w:val="00E71A89"/>
    <w:rsid w:val="00E77197"/>
    <w:rsid w:val="00E80882"/>
    <w:rsid w:val="00E81B1A"/>
    <w:rsid w:val="00E84F77"/>
    <w:rsid w:val="00E84FB3"/>
    <w:rsid w:val="00E87037"/>
    <w:rsid w:val="00E92BE9"/>
    <w:rsid w:val="00E96794"/>
    <w:rsid w:val="00E971BA"/>
    <w:rsid w:val="00EA0F03"/>
    <w:rsid w:val="00EA1EF9"/>
    <w:rsid w:val="00EA2CA0"/>
    <w:rsid w:val="00EA6041"/>
    <w:rsid w:val="00EA70AD"/>
    <w:rsid w:val="00EA7237"/>
    <w:rsid w:val="00EB055B"/>
    <w:rsid w:val="00EB0C40"/>
    <w:rsid w:val="00EB112A"/>
    <w:rsid w:val="00EB1383"/>
    <w:rsid w:val="00EB2A04"/>
    <w:rsid w:val="00EC1212"/>
    <w:rsid w:val="00EC1D3D"/>
    <w:rsid w:val="00EC3331"/>
    <w:rsid w:val="00EC5D20"/>
    <w:rsid w:val="00EC677E"/>
    <w:rsid w:val="00EC71DA"/>
    <w:rsid w:val="00EC76A0"/>
    <w:rsid w:val="00EC7E67"/>
    <w:rsid w:val="00ED293E"/>
    <w:rsid w:val="00ED5B5C"/>
    <w:rsid w:val="00ED5BF3"/>
    <w:rsid w:val="00ED6467"/>
    <w:rsid w:val="00ED70BD"/>
    <w:rsid w:val="00ED7819"/>
    <w:rsid w:val="00EE0B3E"/>
    <w:rsid w:val="00EE0CCE"/>
    <w:rsid w:val="00EE1F81"/>
    <w:rsid w:val="00EE378B"/>
    <w:rsid w:val="00EE37BB"/>
    <w:rsid w:val="00EE524B"/>
    <w:rsid w:val="00EE53BF"/>
    <w:rsid w:val="00EE5659"/>
    <w:rsid w:val="00EE5F9F"/>
    <w:rsid w:val="00EE6B67"/>
    <w:rsid w:val="00EE6EBC"/>
    <w:rsid w:val="00EE6F05"/>
    <w:rsid w:val="00EF064B"/>
    <w:rsid w:val="00EF4099"/>
    <w:rsid w:val="00EF49D0"/>
    <w:rsid w:val="00EF6BDC"/>
    <w:rsid w:val="00F01C4C"/>
    <w:rsid w:val="00F0277D"/>
    <w:rsid w:val="00F02786"/>
    <w:rsid w:val="00F0434F"/>
    <w:rsid w:val="00F04F14"/>
    <w:rsid w:val="00F06054"/>
    <w:rsid w:val="00F0670F"/>
    <w:rsid w:val="00F06AD8"/>
    <w:rsid w:val="00F07FA6"/>
    <w:rsid w:val="00F11BB3"/>
    <w:rsid w:val="00F11F6E"/>
    <w:rsid w:val="00F13036"/>
    <w:rsid w:val="00F17CF1"/>
    <w:rsid w:val="00F21D1A"/>
    <w:rsid w:val="00F22865"/>
    <w:rsid w:val="00F2321B"/>
    <w:rsid w:val="00F23DF6"/>
    <w:rsid w:val="00F2439E"/>
    <w:rsid w:val="00F24D75"/>
    <w:rsid w:val="00F24F83"/>
    <w:rsid w:val="00F261E3"/>
    <w:rsid w:val="00F27335"/>
    <w:rsid w:val="00F2797C"/>
    <w:rsid w:val="00F314A7"/>
    <w:rsid w:val="00F34B2F"/>
    <w:rsid w:val="00F34F33"/>
    <w:rsid w:val="00F3503D"/>
    <w:rsid w:val="00F35C58"/>
    <w:rsid w:val="00F3659B"/>
    <w:rsid w:val="00F36D1F"/>
    <w:rsid w:val="00F37379"/>
    <w:rsid w:val="00F3769E"/>
    <w:rsid w:val="00F40F06"/>
    <w:rsid w:val="00F42418"/>
    <w:rsid w:val="00F42669"/>
    <w:rsid w:val="00F431A8"/>
    <w:rsid w:val="00F438D0"/>
    <w:rsid w:val="00F4749B"/>
    <w:rsid w:val="00F514FB"/>
    <w:rsid w:val="00F5312C"/>
    <w:rsid w:val="00F56CE9"/>
    <w:rsid w:val="00F61151"/>
    <w:rsid w:val="00F635D3"/>
    <w:rsid w:val="00F64ECE"/>
    <w:rsid w:val="00F6705B"/>
    <w:rsid w:val="00F67B6E"/>
    <w:rsid w:val="00F70729"/>
    <w:rsid w:val="00F734D4"/>
    <w:rsid w:val="00F738D6"/>
    <w:rsid w:val="00F77765"/>
    <w:rsid w:val="00F77EC3"/>
    <w:rsid w:val="00F811C1"/>
    <w:rsid w:val="00F81DFB"/>
    <w:rsid w:val="00F85E98"/>
    <w:rsid w:val="00F86C22"/>
    <w:rsid w:val="00F9305F"/>
    <w:rsid w:val="00F93FC0"/>
    <w:rsid w:val="00F959A7"/>
    <w:rsid w:val="00F95C0F"/>
    <w:rsid w:val="00F9641D"/>
    <w:rsid w:val="00FA13DA"/>
    <w:rsid w:val="00FA3A0B"/>
    <w:rsid w:val="00FA4DF4"/>
    <w:rsid w:val="00FA7C8B"/>
    <w:rsid w:val="00FA7EC9"/>
    <w:rsid w:val="00FB0249"/>
    <w:rsid w:val="00FB4E2E"/>
    <w:rsid w:val="00FB793A"/>
    <w:rsid w:val="00FC0920"/>
    <w:rsid w:val="00FC448F"/>
    <w:rsid w:val="00FC5D6D"/>
    <w:rsid w:val="00FC5E92"/>
    <w:rsid w:val="00FC70DC"/>
    <w:rsid w:val="00FD0759"/>
    <w:rsid w:val="00FD1FD6"/>
    <w:rsid w:val="00FD6657"/>
    <w:rsid w:val="00FD7C75"/>
    <w:rsid w:val="00FE030D"/>
    <w:rsid w:val="00FE1443"/>
    <w:rsid w:val="00FE17D3"/>
    <w:rsid w:val="00FE6C25"/>
    <w:rsid w:val="00FE7D4B"/>
    <w:rsid w:val="00FF0735"/>
    <w:rsid w:val="00FF1A54"/>
    <w:rsid w:val="00FF3B3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B46A9"/>
  <w15:docId w15:val="{5DE5D4CC-27D3-4204-9866-9ACC89A2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1B7DA2"/>
  </w:style>
  <w:style w:type="character" w:customStyle="1" w:styleId="FootnoteTextChar">
    <w:name w:val="Footnote Text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F24F83"/>
  </w:style>
  <w:style w:type="character" w:customStyle="1" w:styleId="EndnoteTextChar">
    <w:name w:val="Endnote Text Char"/>
    <w:basedOn w:val="DefaultParagraphFont"/>
    <w:link w:val="EndnoteText"/>
    <w:uiPriority w:val="99"/>
    <w:semiHidden/>
    <w:rsid w:val="00F24F83"/>
    <w:rPr>
      <w:rFonts w:ascii="Times New Roman" w:eastAsia="Times New Roman" w:hAnsi="Times New Roman" w:cs="Times New Roman"/>
      <w:sz w:val="20"/>
      <w:szCs w:val="20"/>
    </w:rPr>
  </w:style>
  <w:style w:type="paragraph" w:customStyle="1" w:styleId="Default">
    <w:name w:val="Default"/>
    <w:rsid w:val="0098429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F7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61436">
      <w:bodyDiv w:val="1"/>
      <w:marLeft w:val="0"/>
      <w:marRight w:val="0"/>
      <w:marTop w:val="0"/>
      <w:marBottom w:val="0"/>
      <w:divBdr>
        <w:top w:val="none" w:sz="0" w:space="0" w:color="auto"/>
        <w:left w:val="none" w:sz="0" w:space="0" w:color="auto"/>
        <w:bottom w:val="none" w:sz="0" w:space="0" w:color="auto"/>
        <w:right w:val="none" w:sz="0" w:space="0" w:color="auto"/>
      </w:divBdr>
    </w:div>
    <w:div w:id="876044386">
      <w:bodyDiv w:val="1"/>
      <w:marLeft w:val="0"/>
      <w:marRight w:val="0"/>
      <w:marTop w:val="0"/>
      <w:marBottom w:val="0"/>
      <w:divBdr>
        <w:top w:val="none" w:sz="0" w:space="0" w:color="auto"/>
        <w:left w:val="none" w:sz="0" w:space="0" w:color="auto"/>
        <w:bottom w:val="none" w:sz="0" w:space="0" w:color="auto"/>
        <w:right w:val="none" w:sz="0" w:space="0" w:color="auto"/>
      </w:divBdr>
    </w:div>
    <w:div w:id="931856397">
      <w:bodyDiv w:val="1"/>
      <w:marLeft w:val="0"/>
      <w:marRight w:val="0"/>
      <w:marTop w:val="0"/>
      <w:marBottom w:val="0"/>
      <w:divBdr>
        <w:top w:val="none" w:sz="0" w:space="0" w:color="auto"/>
        <w:left w:val="none" w:sz="0" w:space="0" w:color="auto"/>
        <w:bottom w:val="none" w:sz="0" w:space="0" w:color="auto"/>
        <w:right w:val="none" w:sz="0" w:space="0" w:color="auto"/>
      </w:divBdr>
    </w:div>
    <w:div w:id="983124619">
      <w:bodyDiv w:val="1"/>
      <w:marLeft w:val="0"/>
      <w:marRight w:val="0"/>
      <w:marTop w:val="0"/>
      <w:marBottom w:val="0"/>
      <w:divBdr>
        <w:top w:val="none" w:sz="0" w:space="0" w:color="auto"/>
        <w:left w:val="none" w:sz="0" w:space="0" w:color="auto"/>
        <w:bottom w:val="none" w:sz="0" w:space="0" w:color="auto"/>
        <w:right w:val="none" w:sz="0" w:space="0" w:color="auto"/>
      </w:divBdr>
    </w:div>
    <w:div w:id="1018317202">
      <w:bodyDiv w:val="1"/>
      <w:marLeft w:val="0"/>
      <w:marRight w:val="0"/>
      <w:marTop w:val="0"/>
      <w:marBottom w:val="0"/>
      <w:divBdr>
        <w:top w:val="none" w:sz="0" w:space="0" w:color="auto"/>
        <w:left w:val="none" w:sz="0" w:space="0" w:color="auto"/>
        <w:bottom w:val="none" w:sz="0" w:space="0" w:color="auto"/>
        <w:right w:val="none" w:sz="0" w:space="0" w:color="auto"/>
      </w:divBdr>
    </w:div>
    <w:div w:id="130981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9" ma:contentTypeDescription="Create a new document." ma:contentTypeScope="" ma:versionID="3bf305fb2195ff9ee6481db631051078">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254da9b04d5e5c87337f16cda3790b6a"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FAC81-BB19-46BE-AFEA-474465CA3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1D85F-7C74-4C06-A74D-A0511D8B3D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D265AE-5005-4F93-A6C3-D4DAD31E1AE5}">
  <ds:schemaRefs>
    <ds:schemaRef ds:uri="http://schemas.microsoft.com/sharepoint/v3/contenttype/forms"/>
  </ds:schemaRefs>
</ds:datastoreItem>
</file>

<file path=customXml/itemProps4.xml><?xml version="1.0" encoding="utf-8"?>
<ds:datastoreItem xmlns:ds="http://schemas.openxmlformats.org/officeDocument/2006/customXml" ds:itemID="{E7A9EAA2-747E-469B-BC48-A736DF2C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3359</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Wagner, Nathan R</cp:lastModifiedBy>
  <cp:revision>19</cp:revision>
  <cp:lastPrinted>2019-11-21T18:29:00Z</cp:lastPrinted>
  <dcterms:created xsi:type="dcterms:W3CDTF">2019-11-21T16:19:00Z</dcterms:created>
  <dcterms:modified xsi:type="dcterms:W3CDTF">2019-12-04T21:00:00Z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