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9B2A" w14:textId="77777777" w:rsidR="001B0C5E" w:rsidRDefault="001B0C5E" w:rsidP="002625EC">
      <w:pPr>
        <w:widowControl/>
        <w:tabs>
          <w:tab w:val="center" w:pos="4680"/>
        </w:tabs>
        <w:contextualSpacing/>
        <w:jc w:val="center"/>
        <w:rPr>
          <w:b/>
          <w:sz w:val="26"/>
          <w:szCs w:val="26"/>
        </w:rPr>
      </w:pPr>
      <w:r>
        <w:rPr>
          <w:b/>
          <w:sz w:val="26"/>
          <w:szCs w:val="26"/>
        </w:rPr>
        <w:t>ENNSYLVANIA</w:t>
      </w:r>
    </w:p>
    <w:p w14:paraId="1E746ABC"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732F64EB" w14:textId="70063DA0" w:rsidR="001B0C5E" w:rsidRDefault="001B0C5E" w:rsidP="002625EC">
      <w:pPr>
        <w:widowControl/>
        <w:tabs>
          <w:tab w:val="center" w:pos="4680"/>
        </w:tabs>
        <w:contextualSpacing/>
        <w:jc w:val="center"/>
        <w:rPr>
          <w:sz w:val="26"/>
          <w:szCs w:val="26"/>
        </w:rPr>
      </w:pPr>
      <w:r>
        <w:rPr>
          <w:b/>
          <w:sz w:val="26"/>
          <w:szCs w:val="26"/>
        </w:rPr>
        <w:t>Harrisburg, PA 171</w:t>
      </w:r>
      <w:r w:rsidR="00CB7BC2">
        <w:rPr>
          <w:b/>
          <w:sz w:val="26"/>
          <w:szCs w:val="26"/>
        </w:rPr>
        <w:t>20</w:t>
      </w:r>
    </w:p>
    <w:p w14:paraId="7C3F752B" w14:textId="77777777" w:rsidR="001B0C5E" w:rsidRDefault="001B0C5E" w:rsidP="002625EC">
      <w:pPr>
        <w:widowControl/>
        <w:contextualSpacing/>
        <w:rPr>
          <w:sz w:val="26"/>
          <w:szCs w:val="26"/>
        </w:rPr>
      </w:pPr>
    </w:p>
    <w:p w14:paraId="297EDEBF"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55A84546" w14:textId="77777777" w:rsidTr="003161E5">
        <w:tc>
          <w:tcPr>
            <w:tcW w:w="4878" w:type="dxa"/>
          </w:tcPr>
          <w:p w14:paraId="0333FD10" w14:textId="77777777" w:rsidR="001B0C5E" w:rsidRDefault="001B0C5E" w:rsidP="002625EC">
            <w:pPr>
              <w:widowControl/>
              <w:contextualSpacing/>
              <w:rPr>
                <w:sz w:val="26"/>
                <w:szCs w:val="26"/>
              </w:rPr>
            </w:pPr>
          </w:p>
        </w:tc>
        <w:tc>
          <w:tcPr>
            <w:tcW w:w="4608" w:type="dxa"/>
            <w:hideMark/>
          </w:tcPr>
          <w:p w14:paraId="7C8000B6" w14:textId="3A7710F8" w:rsidR="001B0C5E" w:rsidRDefault="003F5257" w:rsidP="002625EC">
            <w:pPr>
              <w:widowControl/>
              <w:contextualSpacing/>
              <w:jc w:val="right"/>
              <w:rPr>
                <w:sz w:val="26"/>
                <w:szCs w:val="26"/>
              </w:rPr>
            </w:pPr>
            <w:r>
              <w:rPr>
                <w:sz w:val="26"/>
                <w:szCs w:val="26"/>
              </w:rPr>
              <w:t xml:space="preserve">Public Meeting held </w:t>
            </w:r>
            <w:r w:rsidR="00B06616">
              <w:rPr>
                <w:sz w:val="26"/>
                <w:szCs w:val="26"/>
              </w:rPr>
              <w:t>December 5</w:t>
            </w:r>
            <w:r w:rsidR="001B0C5E">
              <w:rPr>
                <w:sz w:val="26"/>
                <w:szCs w:val="26"/>
              </w:rPr>
              <w:t>, 201</w:t>
            </w:r>
            <w:r w:rsidR="00894660">
              <w:rPr>
                <w:sz w:val="26"/>
                <w:szCs w:val="26"/>
              </w:rPr>
              <w:t>9</w:t>
            </w:r>
          </w:p>
        </w:tc>
      </w:tr>
      <w:tr w:rsidR="001B0C5E" w14:paraId="46A20B3F" w14:textId="77777777" w:rsidTr="003161E5">
        <w:tc>
          <w:tcPr>
            <w:tcW w:w="4878" w:type="dxa"/>
          </w:tcPr>
          <w:p w14:paraId="33766247" w14:textId="77777777" w:rsidR="001B0C5E" w:rsidRDefault="001B0C5E" w:rsidP="002625EC">
            <w:pPr>
              <w:widowControl/>
              <w:contextualSpacing/>
              <w:rPr>
                <w:sz w:val="26"/>
                <w:szCs w:val="26"/>
              </w:rPr>
            </w:pPr>
          </w:p>
          <w:p w14:paraId="5FA4FB15" w14:textId="77777777" w:rsidR="001B0C5E" w:rsidRDefault="001B0C5E" w:rsidP="002625EC">
            <w:pPr>
              <w:widowControl/>
              <w:contextualSpacing/>
              <w:rPr>
                <w:sz w:val="26"/>
                <w:szCs w:val="26"/>
              </w:rPr>
            </w:pPr>
            <w:r>
              <w:rPr>
                <w:sz w:val="26"/>
                <w:szCs w:val="26"/>
              </w:rPr>
              <w:t>Commissioners Present:</w:t>
            </w:r>
          </w:p>
          <w:p w14:paraId="574144CC" w14:textId="77777777" w:rsidR="001B0C5E" w:rsidRDefault="001B0C5E" w:rsidP="002625EC">
            <w:pPr>
              <w:widowControl/>
              <w:contextualSpacing/>
              <w:rPr>
                <w:sz w:val="26"/>
                <w:szCs w:val="26"/>
              </w:rPr>
            </w:pPr>
          </w:p>
          <w:p w14:paraId="7DF91CB9"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w:t>
            </w:r>
            <w:proofErr w:type="spellStart"/>
            <w:r w:rsidR="00F560AF">
              <w:rPr>
                <w:sz w:val="26"/>
                <w:szCs w:val="26"/>
              </w:rPr>
              <w:t>Dutrie</w:t>
            </w:r>
            <w:r w:rsidR="001F39E7">
              <w:rPr>
                <w:sz w:val="26"/>
                <w:szCs w:val="26"/>
              </w:rPr>
              <w:t>u</w:t>
            </w:r>
            <w:r w:rsidR="00F560AF">
              <w:rPr>
                <w:sz w:val="26"/>
                <w:szCs w:val="26"/>
              </w:rPr>
              <w:t>ille</w:t>
            </w:r>
            <w:proofErr w:type="spellEnd"/>
            <w:r w:rsidRPr="002262C4">
              <w:rPr>
                <w:sz w:val="26"/>
                <w:szCs w:val="26"/>
              </w:rPr>
              <w:t>, Chairman</w:t>
            </w:r>
          </w:p>
          <w:p w14:paraId="58CFE482"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3A7E4072" w14:textId="77777777"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187B1A80" w14:textId="77777777" w:rsidR="001B0C5E" w:rsidRDefault="001B0C5E" w:rsidP="002625EC">
            <w:pPr>
              <w:widowControl/>
              <w:tabs>
                <w:tab w:val="left" w:pos="-720"/>
              </w:tabs>
              <w:ind w:left="720"/>
              <w:contextualSpacing/>
              <w:rPr>
                <w:sz w:val="26"/>
                <w:szCs w:val="26"/>
              </w:rPr>
            </w:pPr>
            <w:r w:rsidRPr="002262C4">
              <w:rPr>
                <w:sz w:val="26"/>
                <w:szCs w:val="26"/>
              </w:rPr>
              <w:t xml:space="preserve">John F. Coleman, Jr. </w:t>
            </w:r>
          </w:p>
          <w:p w14:paraId="45B4661C" w14:textId="77777777" w:rsidR="001F39E7" w:rsidRPr="002262C4" w:rsidRDefault="001F39E7" w:rsidP="002625EC">
            <w:pPr>
              <w:widowControl/>
              <w:tabs>
                <w:tab w:val="left" w:pos="-720"/>
              </w:tabs>
              <w:ind w:left="720"/>
              <w:contextualSpacing/>
              <w:rPr>
                <w:sz w:val="26"/>
                <w:szCs w:val="26"/>
              </w:rPr>
            </w:pPr>
            <w:r>
              <w:rPr>
                <w:sz w:val="26"/>
                <w:szCs w:val="26"/>
              </w:rPr>
              <w:t xml:space="preserve">Ralph V. </w:t>
            </w:r>
            <w:proofErr w:type="spellStart"/>
            <w:r>
              <w:rPr>
                <w:sz w:val="26"/>
                <w:szCs w:val="26"/>
              </w:rPr>
              <w:t>Yanora</w:t>
            </w:r>
            <w:proofErr w:type="spellEnd"/>
          </w:p>
          <w:p w14:paraId="34BE1032" w14:textId="77777777" w:rsidR="001B0C5E" w:rsidRDefault="001B0C5E" w:rsidP="002625EC">
            <w:pPr>
              <w:widowControl/>
              <w:contextualSpacing/>
              <w:rPr>
                <w:sz w:val="26"/>
                <w:szCs w:val="26"/>
              </w:rPr>
            </w:pPr>
          </w:p>
        </w:tc>
        <w:tc>
          <w:tcPr>
            <w:tcW w:w="4608" w:type="dxa"/>
          </w:tcPr>
          <w:p w14:paraId="7A8027B3" w14:textId="77777777" w:rsidR="001B0C5E" w:rsidRDefault="001B0C5E" w:rsidP="002625EC">
            <w:pPr>
              <w:widowControl/>
              <w:contextualSpacing/>
              <w:jc w:val="right"/>
              <w:rPr>
                <w:sz w:val="26"/>
                <w:szCs w:val="26"/>
              </w:rPr>
            </w:pPr>
          </w:p>
          <w:p w14:paraId="2180008E" w14:textId="77777777" w:rsidR="001B0C5E" w:rsidRDefault="001B0C5E" w:rsidP="002625EC">
            <w:pPr>
              <w:widowControl/>
              <w:contextualSpacing/>
              <w:jc w:val="right"/>
              <w:rPr>
                <w:sz w:val="26"/>
                <w:szCs w:val="26"/>
              </w:rPr>
            </w:pPr>
          </w:p>
        </w:tc>
      </w:tr>
      <w:tr w:rsidR="001B0C5E" w14:paraId="0EF35CDB" w14:textId="77777777" w:rsidTr="003161E5">
        <w:tc>
          <w:tcPr>
            <w:tcW w:w="4878" w:type="dxa"/>
          </w:tcPr>
          <w:p w14:paraId="0DB6D4D3" w14:textId="668FA042" w:rsidR="00D13E44" w:rsidRDefault="00D13E44" w:rsidP="002625EC">
            <w:pPr>
              <w:widowControl/>
              <w:contextualSpacing/>
              <w:rPr>
                <w:sz w:val="26"/>
                <w:szCs w:val="26"/>
              </w:rPr>
            </w:pPr>
          </w:p>
          <w:p w14:paraId="3A0F4EB6" w14:textId="77777777" w:rsidR="001B0C5E" w:rsidRDefault="001F39E7" w:rsidP="002625EC">
            <w:pPr>
              <w:widowControl/>
              <w:contextualSpacing/>
              <w:rPr>
                <w:sz w:val="26"/>
                <w:szCs w:val="26"/>
              </w:rPr>
            </w:pPr>
            <w:r>
              <w:rPr>
                <w:sz w:val="26"/>
                <w:szCs w:val="26"/>
              </w:rPr>
              <w:t>Thomas Aguirre</w:t>
            </w:r>
          </w:p>
          <w:p w14:paraId="784B6E76" w14:textId="77777777" w:rsidR="001B0C5E" w:rsidRDefault="001B0C5E" w:rsidP="002625EC">
            <w:pPr>
              <w:widowControl/>
              <w:contextualSpacing/>
              <w:rPr>
                <w:sz w:val="26"/>
                <w:szCs w:val="26"/>
              </w:rPr>
            </w:pPr>
          </w:p>
        </w:tc>
        <w:tc>
          <w:tcPr>
            <w:tcW w:w="4608" w:type="dxa"/>
            <w:hideMark/>
          </w:tcPr>
          <w:p w14:paraId="00D9969D" w14:textId="77777777" w:rsidR="001B0C5E" w:rsidRDefault="001B0C5E" w:rsidP="002625EC">
            <w:pPr>
              <w:widowControl/>
              <w:contextualSpacing/>
              <w:jc w:val="right"/>
              <w:rPr>
                <w:sz w:val="26"/>
                <w:szCs w:val="26"/>
              </w:rPr>
            </w:pPr>
          </w:p>
          <w:p w14:paraId="3673AE52" w14:textId="77777777" w:rsidR="001B0C5E" w:rsidRDefault="001B0C5E" w:rsidP="002625EC">
            <w:pPr>
              <w:widowControl/>
              <w:contextualSpacing/>
              <w:jc w:val="right"/>
              <w:rPr>
                <w:sz w:val="26"/>
                <w:szCs w:val="26"/>
              </w:rPr>
            </w:pPr>
            <w:r>
              <w:rPr>
                <w:sz w:val="26"/>
                <w:szCs w:val="26"/>
              </w:rPr>
              <w:t>C-</w:t>
            </w:r>
            <w:r w:rsidR="004F7ABC">
              <w:rPr>
                <w:sz w:val="26"/>
                <w:szCs w:val="26"/>
              </w:rPr>
              <w:t>201</w:t>
            </w:r>
            <w:r w:rsidR="001F39E7">
              <w:rPr>
                <w:sz w:val="26"/>
                <w:szCs w:val="26"/>
              </w:rPr>
              <w:t>8</w:t>
            </w:r>
            <w:r w:rsidR="004F7ABC">
              <w:rPr>
                <w:sz w:val="26"/>
                <w:szCs w:val="26"/>
              </w:rPr>
              <w:t>-</w:t>
            </w:r>
            <w:r w:rsidR="001F39E7">
              <w:rPr>
                <w:sz w:val="26"/>
                <w:szCs w:val="26"/>
              </w:rPr>
              <w:t>3005352</w:t>
            </w:r>
          </w:p>
        </w:tc>
      </w:tr>
      <w:tr w:rsidR="001B0C5E" w14:paraId="70505E07" w14:textId="77777777" w:rsidTr="003161E5">
        <w:tc>
          <w:tcPr>
            <w:tcW w:w="4878" w:type="dxa"/>
          </w:tcPr>
          <w:p w14:paraId="293DED11" w14:textId="77777777" w:rsidR="001B0C5E" w:rsidRDefault="001B0C5E" w:rsidP="002625EC">
            <w:pPr>
              <w:widowControl/>
              <w:ind w:firstLine="720"/>
              <w:contextualSpacing/>
              <w:rPr>
                <w:sz w:val="26"/>
                <w:szCs w:val="26"/>
              </w:rPr>
            </w:pPr>
            <w:r>
              <w:rPr>
                <w:sz w:val="26"/>
                <w:szCs w:val="26"/>
              </w:rPr>
              <w:t>v.</w:t>
            </w:r>
          </w:p>
          <w:p w14:paraId="47BC5ECC" w14:textId="77777777" w:rsidR="001B0C5E" w:rsidRDefault="001B0C5E" w:rsidP="002625EC">
            <w:pPr>
              <w:widowControl/>
              <w:ind w:firstLine="1440"/>
              <w:contextualSpacing/>
              <w:rPr>
                <w:sz w:val="26"/>
                <w:szCs w:val="26"/>
              </w:rPr>
            </w:pPr>
          </w:p>
        </w:tc>
        <w:tc>
          <w:tcPr>
            <w:tcW w:w="4608" w:type="dxa"/>
          </w:tcPr>
          <w:p w14:paraId="208D85BD" w14:textId="77777777" w:rsidR="001B0C5E" w:rsidRDefault="001B0C5E" w:rsidP="002625EC">
            <w:pPr>
              <w:widowControl/>
              <w:contextualSpacing/>
              <w:rPr>
                <w:sz w:val="26"/>
                <w:szCs w:val="26"/>
              </w:rPr>
            </w:pPr>
          </w:p>
        </w:tc>
      </w:tr>
      <w:tr w:rsidR="001B0C5E" w14:paraId="2134C101" w14:textId="77777777" w:rsidTr="003161E5">
        <w:tc>
          <w:tcPr>
            <w:tcW w:w="4878" w:type="dxa"/>
          </w:tcPr>
          <w:p w14:paraId="56341F7D" w14:textId="77777777" w:rsidR="001B0C5E" w:rsidRDefault="004F7ABC" w:rsidP="002625EC">
            <w:pPr>
              <w:widowControl/>
              <w:contextualSpacing/>
              <w:rPr>
                <w:sz w:val="26"/>
                <w:szCs w:val="26"/>
              </w:rPr>
            </w:pPr>
            <w:bookmarkStart w:id="0" w:name="_Hlk22554510"/>
            <w:r>
              <w:rPr>
                <w:sz w:val="26"/>
                <w:szCs w:val="26"/>
              </w:rPr>
              <w:t>P</w:t>
            </w:r>
            <w:r w:rsidR="001F39E7">
              <w:rPr>
                <w:sz w:val="26"/>
                <w:szCs w:val="26"/>
              </w:rPr>
              <w:t xml:space="preserve">PL </w:t>
            </w:r>
            <w:r>
              <w:rPr>
                <w:sz w:val="26"/>
                <w:szCs w:val="26"/>
              </w:rPr>
              <w:t xml:space="preserve">Electric </w:t>
            </w:r>
            <w:r w:rsidR="001F39E7">
              <w:rPr>
                <w:sz w:val="26"/>
                <w:szCs w:val="26"/>
              </w:rPr>
              <w:t xml:space="preserve">Utilities </w:t>
            </w:r>
            <w:r>
              <w:rPr>
                <w:sz w:val="26"/>
                <w:szCs w:val="26"/>
              </w:rPr>
              <w:t>Co</w:t>
            </w:r>
            <w:r w:rsidR="001F39E7">
              <w:rPr>
                <w:sz w:val="26"/>
                <w:szCs w:val="26"/>
              </w:rPr>
              <w:t>rporation</w:t>
            </w:r>
          </w:p>
          <w:bookmarkEnd w:id="0"/>
          <w:p w14:paraId="28A8DC72" w14:textId="77777777" w:rsidR="001B0C5E" w:rsidRDefault="001B0C5E" w:rsidP="002625EC">
            <w:pPr>
              <w:widowControl/>
              <w:contextualSpacing/>
              <w:rPr>
                <w:sz w:val="26"/>
                <w:szCs w:val="26"/>
              </w:rPr>
            </w:pPr>
          </w:p>
        </w:tc>
        <w:tc>
          <w:tcPr>
            <w:tcW w:w="4608" w:type="dxa"/>
          </w:tcPr>
          <w:p w14:paraId="711DD9AD" w14:textId="77777777" w:rsidR="001B0C5E" w:rsidRDefault="001B0C5E" w:rsidP="002625EC">
            <w:pPr>
              <w:widowControl/>
              <w:contextualSpacing/>
              <w:rPr>
                <w:sz w:val="26"/>
                <w:szCs w:val="26"/>
              </w:rPr>
            </w:pPr>
          </w:p>
        </w:tc>
      </w:tr>
    </w:tbl>
    <w:p w14:paraId="7FDD0047" w14:textId="77777777" w:rsidR="001B0C5E" w:rsidRDefault="001B0C5E" w:rsidP="002625EC">
      <w:pPr>
        <w:widowControl/>
        <w:contextualSpacing/>
        <w:rPr>
          <w:sz w:val="26"/>
          <w:szCs w:val="26"/>
        </w:rPr>
      </w:pPr>
    </w:p>
    <w:p w14:paraId="5C60977B" w14:textId="77777777" w:rsidR="00D13E44" w:rsidRDefault="00D13E44" w:rsidP="002625EC">
      <w:pPr>
        <w:widowControl/>
        <w:contextualSpacing/>
        <w:rPr>
          <w:sz w:val="26"/>
          <w:szCs w:val="26"/>
        </w:rPr>
      </w:pPr>
    </w:p>
    <w:p w14:paraId="00A034E9" w14:textId="77777777" w:rsidR="001B0C5E" w:rsidRDefault="001B0C5E" w:rsidP="002625EC">
      <w:pPr>
        <w:widowControl/>
        <w:contextualSpacing/>
        <w:jc w:val="center"/>
        <w:rPr>
          <w:b/>
          <w:sz w:val="26"/>
          <w:szCs w:val="26"/>
        </w:rPr>
      </w:pPr>
      <w:r>
        <w:rPr>
          <w:b/>
          <w:sz w:val="26"/>
          <w:szCs w:val="26"/>
        </w:rPr>
        <w:t>OPINION AND ORDER</w:t>
      </w:r>
    </w:p>
    <w:p w14:paraId="1D1A7F5A" w14:textId="77777777" w:rsidR="008F5FAC" w:rsidRDefault="008F5FAC" w:rsidP="002625EC">
      <w:pPr>
        <w:widowControl/>
        <w:contextualSpacing/>
        <w:jc w:val="center"/>
        <w:rPr>
          <w:b/>
          <w:sz w:val="26"/>
          <w:szCs w:val="26"/>
        </w:rPr>
      </w:pPr>
    </w:p>
    <w:p w14:paraId="1C9455B9" w14:textId="77777777" w:rsidR="001B0C5E" w:rsidRDefault="001B0C5E" w:rsidP="002625EC">
      <w:pPr>
        <w:widowControl/>
        <w:contextualSpacing/>
        <w:rPr>
          <w:sz w:val="26"/>
          <w:szCs w:val="26"/>
        </w:rPr>
      </w:pPr>
    </w:p>
    <w:p w14:paraId="01A957C4" w14:textId="77777777" w:rsidR="001B0C5E" w:rsidRDefault="001B0C5E" w:rsidP="002625EC">
      <w:pPr>
        <w:keepNext/>
        <w:widowControl/>
        <w:spacing w:line="360" w:lineRule="auto"/>
        <w:contextualSpacing/>
        <w:rPr>
          <w:b/>
          <w:sz w:val="26"/>
          <w:szCs w:val="26"/>
        </w:rPr>
      </w:pPr>
      <w:r>
        <w:rPr>
          <w:b/>
          <w:sz w:val="26"/>
          <w:szCs w:val="26"/>
        </w:rPr>
        <w:t>BY THE COMMISSION:</w:t>
      </w:r>
    </w:p>
    <w:p w14:paraId="5898A2DA" w14:textId="77777777" w:rsidR="001B0C5E" w:rsidRDefault="001B0C5E" w:rsidP="002625EC">
      <w:pPr>
        <w:widowControl/>
        <w:spacing w:line="360" w:lineRule="auto"/>
        <w:contextualSpacing/>
        <w:rPr>
          <w:b/>
          <w:sz w:val="26"/>
          <w:szCs w:val="26"/>
        </w:rPr>
      </w:pPr>
    </w:p>
    <w:p w14:paraId="72AC6092" w14:textId="77777777"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1F39E7">
        <w:rPr>
          <w:color w:val="000000"/>
          <w:sz w:val="26"/>
        </w:rPr>
        <w:t>Thomas Aguirre</w:t>
      </w:r>
      <w:r w:rsidR="005239D3">
        <w:rPr>
          <w:color w:val="000000"/>
          <w:sz w:val="26"/>
        </w:rPr>
        <w:t xml:space="preserve"> </w:t>
      </w:r>
      <w:r>
        <w:rPr>
          <w:color w:val="000000"/>
          <w:sz w:val="26"/>
        </w:rPr>
        <w:t>(</w:t>
      </w:r>
      <w:r w:rsidR="00216A44">
        <w:rPr>
          <w:color w:val="000000"/>
          <w:sz w:val="26"/>
        </w:rPr>
        <w:t>M</w:t>
      </w:r>
      <w:r w:rsidR="001F39E7">
        <w:rPr>
          <w:color w:val="000000"/>
          <w:sz w:val="26"/>
        </w:rPr>
        <w:t>r. Aguirre</w:t>
      </w:r>
      <w:r w:rsidR="00216A44">
        <w:rPr>
          <w:color w:val="000000"/>
          <w:sz w:val="26"/>
        </w:rPr>
        <w:t xml:space="preserve"> or </w:t>
      </w:r>
      <w:r>
        <w:rPr>
          <w:color w:val="000000"/>
          <w:sz w:val="26"/>
        </w:rPr>
        <w:t xml:space="preserve">the Complainant) filed on </w:t>
      </w:r>
      <w:r w:rsidR="00D521E1">
        <w:rPr>
          <w:color w:val="000000"/>
          <w:sz w:val="26"/>
        </w:rPr>
        <w:t>August 2, 2019</w:t>
      </w:r>
      <w:r w:rsidR="00217816">
        <w:rPr>
          <w:color w:val="000000"/>
          <w:sz w:val="26"/>
        </w:rPr>
        <w:t>,</w:t>
      </w:r>
      <w:r>
        <w:rPr>
          <w:color w:val="000000"/>
          <w:sz w:val="26"/>
        </w:rPr>
        <w:t xml:space="preserve"> to the Initial Decision (Initial Decision or I.D.) of Administrative Law Judge (ALJ) </w:t>
      </w:r>
      <w:r w:rsidR="001F39E7">
        <w:rPr>
          <w:color w:val="000000"/>
          <w:sz w:val="26"/>
        </w:rPr>
        <w:t>Elizabeth H. Barnes</w:t>
      </w:r>
      <w:r>
        <w:rPr>
          <w:color w:val="000000"/>
          <w:sz w:val="26"/>
        </w:rPr>
        <w:t xml:space="preserve">, </w:t>
      </w:r>
      <w:r w:rsidR="00894660">
        <w:rPr>
          <w:color w:val="000000"/>
          <w:sz w:val="26"/>
        </w:rPr>
        <w:t>serve</w:t>
      </w:r>
      <w:r>
        <w:rPr>
          <w:color w:val="000000"/>
          <w:sz w:val="26"/>
        </w:rPr>
        <w:t xml:space="preserve">d on </w:t>
      </w:r>
      <w:r w:rsidR="00D521E1">
        <w:rPr>
          <w:color w:val="000000"/>
          <w:sz w:val="26"/>
        </w:rPr>
        <w:t xml:space="preserve">July 17, 2019, </w:t>
      </w:r>
      <w:r>
        <w:rPr>
          <w:color w:val="000000"/>
          <w:sz w:val="26"/>
        </w:rPr>
        <w:t>in the above-captioned proceeding</w:t>
      </w:r>
      <w:r w:rsidR="00216A44">
        <w:rPr>
          <w:color w:val="000000"/>
          <w:sz w:val="26"/>
        </w:rPr>
        <w:t xml:space="preserve">.  </w:t>
      </w:r>
      <w:r w:rsidR="00217816">
        <w:rPr>
          <w:color w:val="000000"/>
          <w:sz w:val="26"/>
        </w:rPr>
        <w:t xml:space="preserve">On </w:t>
      </w:r>
      <w:r w:rsidR="00D521E1">
        <w:rPr>
          <w:color w:val="000000"/>
          <w:sz w:val="26"/>
        </w:rPr>
        <w:t>August 16, 2019</w:t>
      </w:r>
      <w:r w:rsidR="00217816">
        <w:rPr>
          <w:color w:val="000000"/>
          <w:sz w:val="26"/>
        </w:rPr>
        <w:t xml:space="preserve">, </w:t>
      </w:r>
      <w:r w:rsidR="004F7ABC">
        <w:rPr>
          <w:sz w:val="26"/>
          <w:szCs w:val="26"/>
        </w:rPr>
        <w:t>P</w:t>
      </w:r>
      <w:r w:rsidR="00D521E1">
        <w:rPr>
          <w:sz w:val="26"/>
          <w:szCs w:val="26"/>
        </w:rPr>
        <w:t xml:space="preserve">PL </w:t>
      </w:r>
      <w:r w:rsidR="004F7ABC">
        <w:rPr>
          <w:sz w:val="26"/>
          <w:szCs w:val="26"/>
        </w:rPr>
        <w:t xml:space="preserve">Electric </w:t>
      </w:r>
      <w:r w:rsidR="00D521E1">
        <w:rPr>
          <w:sz w:val="26"/>
          <w:szCs w:val="26"/>
        </w:rPr>
        <w:t xml:space="preserve">Utilities Corporation </w:t>
      </w:r>
      <w:r>
        <w:rPr>
          <w:color w:val="000000"/>
          <w:sz w:val="26"/>
        </w:rPr>
        <w:t>(P</w:t>
      </w:r>
      <w:r w:rsidR="00D521E1">
        <w:rPr>
          <w:color w:val="000000"/>
          <w:sz w:val="26"/>
        </w:rPr>
        <w:t>PL</w:t>
      </w:r>
      <w:r>
        <w:rPr>
          <w:color w:val="000000"/>
          <w:sz w:val="26"/>
        </w:rPr>
        <w:t xml:space="preserve"> or the </w:t>
      </w:r>
      <w:r w:rsidR="00FA05E1">
        <w:rPr>
          <w:color w:val="000000"/>
          <w:sz w:val="26"/>
        </w:rPr>
        <w:t>Company)</w:t>
      </w:r>
      <w:r w:rsidR="007C7EE2">
        <w:rPr>
          <w:color w:val="000000"/>
          <w:sz w:val="26"/>
        </w:rPr>
        <w:t xml:space="preserve"> filed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Complainant’s</w:t>
      </w:r>
      <w:r w:rsidRPr="00E8753D">
        <w:rPr>
          <w:sz w:val="26"/>
          <w:szCs w:val="26"/>
        </w:rPr>
        <w:t xml:space="preserve"> Exceptions</w:t>
      </w:r>
      <w:r w:rsidR="007B2F13">
        <w:rPr>
          <w:sz w:val="26"/>
          <w:szCs w:val="26"/>
        </w:rPr>
        <w:t xml:space="preserve"> and</w:t>
      </w:r>
      <w:r w:rsidRPr="00E8753D">
        <w:rPr>
          <w:sz w:val="26"/>
          <w:szCs w:val="26"/>
        </w:rPr>
        <w:t xml:space="preserve"> adopt</w:t>
      </w:r>
      <w:r w:rsidR="00FF56AE" w:rsidRPr="00E8753D">
        <w:rPr>
          <w:sz w:val="26"/>
          <w:szCs w:val="26"/>
        </w:rPr>
        <w:t xml:space="preserve"> </w:t>
      </w:r>
      <w:r w:rsidRPr="00E8753D">
        <w:rPr>
          <w:sz w:val="26"/>
          <w:szCs w:val="26"/>
        </w:rPr>
        <w:t xml:space="preserve">the Initial Decision of ALJ </w:t>
      </w:r>
      <w:r w:rsidR="00D521E1">
        <w:rPr>
          <w:sz w:val="26"/>
          <w:szCs w:val="26"/>
        </w:rPr>
        <w:t>B</w:t>
      </w:r>
      <w:r w:rsidR="00B26CD4">
        <w:rPr>
          <w:sz w:val="26"/>
          <w:szCs w:val="26"/>
        </w:rPr>
        <w:t>a</w:t>
      </w:r>
      <w:r w:rsidR="00D521E1">
        <w:rPr>
          <w:sz w:val="26"/>
          <w:szCs w:val="26"/>
        </w:rPr>
        <w:t>rnes</w:t>
      </w:r>
      <w:r w:rsidR="007177AF">
        <w:rPr>
          <w:sz w:val="26"/>
          <w:szCs w:val="26"/>
        </w:rPr>
        <w:t>,</w:t>
      </w:r>
      <w:r w:rsidR="00ED267B" w:rsidRPr="00E8753D">
        <w:rPr>
          <w:sz w:val="26"/>
          <w:szCs w:val="26"/>
        </w:rPr>
        <w:t xml:space="preserve"> </w:t>
      </w:r>
      <w:r w:rsidRPr="00E8753D">
        <w:rPr>
          <w:sz w:val="26"/>
          <w:szCs w:val="26"/>
        </w:rPr>
        <w:t>consistent with this Opinion and Order.</w:t>
      </w:r>
    </w:p>
    <w:p w14:paraId="0C688700" w14:textId="77777777" w:rsidR="00B73D28" w:rsidRDefault="00B73D28" w:rsidP="00B73D28">
      <w:pPr>
        <w:keepNext/>
        <w:widowControl/>
        <w:spacing w:line="360" w:lineRule="auto"/>
        <w:contextualSpacing/>
        <w:jc w:val="center"/>
        <w:rPr>
          <w:b/>
          <w:bCs/>
          <w:sz w:val="26"/>
          <w:szCs w:val="26"/>
        </w:rPr>
      </w:pPr>
      <w:r>
        <w:rPr>
          <w:b/>
          <w:bCs/>
          <w:sz w:val="26"/>
          <w:szCs w:val="26"/>
        </w:rPr>
        <w:lastRenderedPageBreak/>
        <w:t>I.</w:t>
      </w:r>
      <w:r>
        <w:rPr>
          <w:b/>
          <w:bCs/>
          <w:sz w:val="26"/>
          <w:szCs w:val="26"/>
        </w:rPr>
        <w:tab/>
        <w:t xml:space="preserve">Background </w:t>
      </w:r>
    </w:p>
    <w:p w14:paraId="210FC8E5" w14:textId="77777777" w:rsidR="00B73D28" w:rsidRDefault="00B73D28" w:rsidP="00B73D28">
      <w:pPr>
        <w:keepNext/>
        <w:widowControl/>
        <w:spacing w:line="360" w:lineRule="auto"/>
        <w:contextualSpacing/>
        <w:jc w:val="center"/>
        <w:rPr>
          <w:b/>
          <w:bCs/>
          <w:sz w:val="26"/>
          <w:szCs w:val="26"/>
        </w:rPr>
      </w:pPr>
    </w:p>
    <w:p w14:paraId="759AAE03" w14:textId="44A9F4AB" w:rsidR="003861FB" w:rsidRPr="003861FB" w:rsidRDefault="003861FB" w:rsidP="00A257BB">
      <w:pPr>
        <w:keepNext/>
        <w:keepLines/>
        <w:spacing w:line="360" w:lineRule="auto"/>
        <w:ind w:firstLine="1440"/>
        <w:rPr>
          <w:sz w:val="26"/>
          <w:szCs w:val="26"/>
        </w:rPr>
      </w:pPr>
      <w:r w:rsidRPr="003861FB">
        <w:rPr>
          <w:color w:val="000000"/>
          <w:sz w:val="26"/>
          <w:szCs w:val="26"/>
        </w:rPr>
        <w:t xml:space="preserve">This case involves </w:t>
      </w:r>
      <w:r w:rsidR="00A257BB">
        <w:rPr>
          <w:color w:val="000000"/>
          <w:sz w:val="26"/>
          <w:szCs w:val="26"/>
        </w:rPr>
        <w:t xml:space="preserve">inquiry into whether PPL’s proposed installation and use of </w:t>
      </w:r>
      <w:r w:rsidRPr="003861FB">
        <w:rPr>
          <w:sz w:val="26"/>
          <w:szCs w:val="26"/>
        </w:rPr>
        <w:t>advanced metering infrastructure (AMI),</w:t>
      </w:r>
      <w:r w:rsidRPr="003861FB">
        <w:rPr>
          <w:color w:val="000000"/>
          <w:sz w:val="26"/>
          <w:szCs w:val="26"/>
        </w:rPr>
        <w:t xml:space="preserve"> or </w:t>
      </w:r>
      <w:r w:rsidR="00A257BB">
        <w:rPr>
          <w:color w:val="000000"/>
          <w:sz w:val="26"/>
          <w:szCs w:val="26"/>
        </w:rPr>
        <w:t xml:space="preserve">a </w:t>
      </w:r>
      <w:r w:rsidRPr="003861FB">
        <w:rPr>
          <w:color w:val="000000"/>
          <w:sz w:val="26"/>
          <w:szCs w:val="26"/>
        </w:rPr>
        <w:t xml:space="preserve">smart meter, </w:t>
      </w:r>
      <w:r w:rsidR="00A257BB" w:rsidRPr="00A74E33">
        <w:rPr>
          <w:color w:val="000000"/>
          <w:sz w:val="26"/>
          <w:szCs w:val="26"/>
        </w:rPr>
        <w:t>at the Complainant’s residence for the purpose of measuring electricity consumption in the ordinary course of business constitutes safe and reasonable service under Section 1501 of the Public Utility Code (Code), 66 Pa. C.S. § 1501.</w:t>
      </w:r>
      <w:r w:rsidR="00A257BB">
        <w:rPr>
          <w:color w:val="000000"/>
          <w:sz w:val="26"/>
          <w:szCs w:val="26"/>
        </w:rPr>
        <w:t xml:space="preserve">  Specifically, it involves allegations of harm to the Complainant’s health due to exposure to the level of radiofrequency (RF) fields, or electromagnetic fields (EMFs), as well as cyber security risks and violations of privacy, relating to the smart meter. </w:t>
      </w:r>
    </w:p>
    <w:p w14:paraId="4A12AB77" w14:textId="77777777" w:rsidR="003861FB" w:rsidRPr="003861FB" w:rsidRDefault="003861FB" w:rsidP="003861FB">
      <w:pPr>
        <w:widowControl/>
        <w:autoSpaceDE w:val="0"/>
        <w:autoSpaceDN w:val="0"/>
        <w:adjustRightInd w:val="0"/>
        <w:spacing w:line="360" w:lineRule="auto"/>
        <w:ind w:firstLine="1440"/>
        <w:rPr>
          <w:color w:val="000000"/>
          <w:sz w:val="26"/>
          <w:szCs w:val="26"/>
        </w:rPr>
      </w:pPr>
      <w:r w:rsidRPr="003861FB">
        <w:rPr>
          <w:color w:val="000000"/>
          <w:sz w:val="26"/>
          <w:szCs w:val="26"/>
        </w:rPr>
        <w:t xml:space="preserve"> </w:t>
      </w:r>
    </w:p>
    <w:p w14:paraId="4948D02B" w14:textId="19A85157" w:rsidR="002131EC" w:rsidRDefault="00D521E1" w:rsidP="003861FB">
      <w:pPr>
        <w:widowControl/>
        <w:autoSpaceDE w:val="0"/>
        <w:autoSpaceDN w:val="0"/>
        <w:adjustRightInd w:val="0"/>
        <w:spacing w:line="360" w:lineRule="auto"/>
        <w:ind w:firstLine="1440"/>
        <w:rPr>
          <w:rFonts w:eastAsiaTheme="minorHAnsi"/>
          <w:color w:val="000000"/>
          <w:sz w:val="26"/>
          <w:szCs w:val="26"/>
        </w:rPr>
      </w:pPr>
      <w:r>
        <w:rPr>
          <w:sz w:val="26"/>
          <w:szCs w:val="26"/>
        </w:rPr>
        <w:t>PPL</w:t>
      </w:r>
      <w:r w:rsidR="003861FB" w:rsidRPr="003861FB">
        <w:rPr>
          <w:sz w:val="26"/>
          <w:szCs w:val="26"/>
        </w:rPr>
        <w:t xml:space="preserve"> is an </w:t>
      </w:r>
      <w:r w:rsidR="003861FB" w:rsidRPr="003861FB">
        <w:rPr>
          <w:rFonts w:eastAsiaTheme="minorHAnsi"/>
          <w:color w:val="000000"/>
          <w:sz w:val="26"/>
          <w:szCs w:val="26"/>
        </w:rPr>
        <w:t xml:space="preserve">electric distribution company (EDC) subject to the jurisdiction of the Commission.  </w:t>
      </w:r>
    </w:p>
    <w:p w14:paraId="0966D698" w14:textId="77777777" w:rsidR="002131EC" w:rsidRDefault="002131EC" w:rsidP="003861FB">
      <w:pPr>
        <w:widowControl/>
        <w:autoSpaceDE w:val="0"/>
        <w:autoSpaceDN w:val="0"/>
        <w:adjustRightInd w:val="0"/>
        <w:spacing w:line="360" w:lineRule="auto"/>
        <w:ind w:firstLine="1440"/>
        <w:rPr>
          <w:rFonts w:eastAsiaTheme="minorHAnsi"/>
          <w:color w:val="000000"/>
          <w:sz w:val="26"/>
          <w:szCs w:val="26"/>
        </w:rPr>
      </w:pPr>
    </w:p>
    <w:p w14:paraId="494337F2" w14:textId="77777777" w:rsidR="003861FB" w:rsidRPr="003861FB" w:rsidRDefault="00A257BB" w:rsidP="003861FB">
      <w:pPr>
        <w:widowControl/>
        <w:autoSpaceDE w:val="0"/>
        <w:autoSpaceDN w:val="0"/>
        <w:adjustRightInd w:val="0"/>
        <w:spacing w:line="360" w:lineRule="auto"/>
        <w:ind w:firstLine="1440"/>
        <w:rPr>
          <w:sz w:val="26"/>
          <w:szCs w:val="26"/>
        </w:rPr>
      </w:pPr>
      <w:r>
        <w:rPr>
          <w:rFonts w:eastAsiaTheme="minorHAnsi"/>
          <w:color w:val="000000"/>
          <w:sz w:val="26"/>
          <w:szCs w:val="26"/>
        </w:rPr>
        <w:t xml:space="preserve">The </w:t>
      </w:r>
      <w:r w:rsidR="002131EC">
        <w:rPr>
          <w:rFonts w:eastAsiaTheme="minorHAnsi"/>
          <w:color w:val="000000"/>
          <w:sz w:val="26"/>
          <w:szCs w:val="26"/>
        </w:rPr>
        <w:t>Complainant is a PPL customer who has been notified of PPL’s intent to install a smart meter at Complainant’</w:t>
      </w:r>
      <w:r>
        <w:rPr>
          <w:rFonts w:eastAsiaTheme="minorHAnsi"/>
          <w:color w:val="000000"/>
          <w:sz w:val="26"/>
          <w:szCs w:val="26"/>
        </w:rPr>
        <w:t>s</w:t>
      </w:r>
      <w:r w:rsidR="002131EC">
        <w:rPr>
          <w:rFonts w:eastAsiaTheme="minorHAnsi"/>
          <w:color w:val="000000"/>
          <w:sz w:val="26"/>
          <w:szCs w:val="26"/>
        </w:rPr>
        <w:t xml:space="preserve"> residence.</w:t>
      </w:r>
    </w:p>
    <w:p w14:paraId="32C617A1" w14:textId="77777777" w:rsidR="005703B8" w:rsidRDefault="005703B8" w:rsidP="003861FB">
      <w:pPr>
        <w:widowControl/>
        <w:autoSpaceDE w:val="0"/>
        <w:autoSpaceDN w:val="0"/>
        <w:adjustRightInd w:val="0"/>
        <w:spacing w:line="360" w:lineRule="auto"/>
        <w:ind w:firstLine="1440"/>
        <w:rPr>
          <w:sz w:val="26"/>
          <w:szCs w:val="26"/>
        </w:rPr>
      </w:pPr>
    </w:p>
    <w:p w14:paraId="748557B9" w14:textId="77777777" w:rsidR="003861FB" w:rsidRPr="003861FB" w:rsidRDefault="003861FB" w:rsidP="003861FB">
      <w:pPr>
        <w:widowControl/>
        <w:autoSpaceDE w:val="0"/>
        <w:autoSpaceDN w:val="0"/>
        <w:adjustRightInd w:val="0"/>
        <w:spacing w:line="360" w:lineRule="auto"/>
        <w:ind w:firstLine="1440"/>
        <w:rPr>
          <w:rFonts w:eastAsiaTheme="minorHAnsi"/>
          <w:color w:val="000000"/>
          <w:sz w:val="26"/>
          <w:szCs w:val="26"/>
        </w:rPr>
      </w:pPr>
      <w:r w:rsidRPr="003861FB">
        <w:rPr>
          <w:sz w:val="26"/>
          <w:szCs w:val="26"/>
        </w:rPr>
        <w:t xml:space="preserve">Act 129 of 2008 (Act 129 or Act), </w:t>
      </w:r>
      <w:r w:rsidRPr="003861FB">
        <w:rPr>
          <w:i/>
          <w:sz w:val="26"/>
          <w:szCs w:val="26"/>
        </w:rPr>
        <w:t>inter alia</w:t>
      </w:r>
      <w:r w:rsidRPr="003861FB">
        <w:rPr>
          <w:sz w:val="26"/>
          <w:szCs w:val="26"/>
        </w:rPr>
        <w:t xml:space="preserve">, amended Chapter 28 of the Public Utility Code (Code) and required </w:t>
      </w:r>
      <w:r w:rsidRPr="003861FB">
        <w:rPr>
          <w:rFonts w:eastAsiaTheme="minorHAnsi"/>
          <w:color w:val="000000"/>
          <w:sz w:val="26"/>
          <w:szCs w:val="26"/>
        </w:rPr>
        <w:t xml:space="preserve">EDCs with more than 100,000 customers to file smart meter technology procurement and installation plans for Commission approval and to furnish </w:t>
      </w:r>
      <w:r w:rsidRPr="003861FB">
        <w:rPr>
          <w:sz w:val="26"/>
          <w:szCs w:val="26"/>
        </w:rPr>
        <w:t>smart meter technology within its service territory in accordance with the provisions of</w:t>
      </w:r>
      <w:r w:rsidRPr="003861FB">
        <w:rPr>
          <w:rFonts w:eastAsiaTheme="minorHAnsi"/>
          <w:color w:val="000000"/>
          <w:sz w:val="26"/>
          <w:szCs w:val="26"/>
        </w:rPr>
        <w:t xml:space="preserve"> the Act.  Section 2807(f) of the Code provides as follows:</w:t>
      </w:r>
    </w:p>
    <w:p w14:paraId="3A83450D" w14:textId="77777777" w:rsidR="003861FB" w:rsidRPr="003861FB" w:rsidRDefault="003861FB" w:rsidP="003861FB">
      <w:pPr>
        <w:widowControl/>
        <w:autoSpaceDE w:val="0"/>
        <w:autoSpaceDN w:val="0"/>
        <w:adjustRightInd w:val="0"/>
        <w:spacing w:line="360" w:lineRule="auto"/>
        <w:rPr>
          <w:rFonts w:eastAsiaTheme="minorHAnsi"/>
          <w:color w:val="000000"/>
          <w:sz w:val="26"/>
          <w:szCs w:val="26"/>
        </w:rPr>
      </w:pPr>
    </w:p>
    <w:p w14:paraId="58FCCC7A"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r w:rsidRPr="003861FB">
        <w:rPr>
          <w:rFonts w:eastAsiaTheme="minorHAnsi"/>
          <w:color w:val="000000"/>
          <w:sz w:val="26"/>
          <w:szCs w:val="26"/>
        </w:rPr>
        <w:t xml:space="preserve">(f) </w:t>
      </w:r>
      <w:r w:rsidRPr="003861FB">
        <w:rPr>
          <w:rFonts w:eastAsiaTheme="minorHAnsi"/>
          <w:i/>
          <w:iCs/>
          <w:color w:val="000000"/>
          <w:sz w:val="26"/>
          <w:szCs w:val="26"/>
        </w:rPr>
        <w:t xml:space="preserve">Smart Meter technology and time of use rates. </w:t>
      </w:r>
    </w:p>
    <w:p w14:paraId="753D4C78"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p>
    <w:p w14:paraId="4BAB83DD"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(1) 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16AD3101"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lastRenderedPageBreak/>
        <w:t xml:space="preserve">(2) Electric distribution companies shall furnish Smart Meter technology as follows: </w:t>
      </w:r>
    </w:p>
    <w:p w14:paraId="0D3DA68B"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112AD84C" w14:textId="77777777"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w:t>
      </w:r>
      <w:proofErr w:type="spellStart"/>
      <w:r w:rsidRPr="003861FB">
        <w:rPr>
          <w:rFonts w:eastAsiaTheme="minorHAnsi"/>
          <w:color w:val="000000"/>
          <w:sz w:val="26"/>
          <w:szCs w:val="26"/>
        </w:rPr>
        <w:t>i</w:t>
      </w:r>
      <w:proofErr w:type="spellEnd"/>
      <w:r w:rsidRPr="003861FB">
        <w:rPr>
          <w:rFonts w:eastAsiaTheme="minorHAnsi"/>
          <w:color w:val="000000"/>
          <w:sz w:val="26"/>
          <w:szCs w:val="26"/>
        </w:rPr>
        <w:t>) Upon request from a customer that agrees to pay the cost of the Smart Meter at the time of the request.</w:t>
      </w:r>
    </w:p>
    <w:p w14:paraId="33B89F1F" w14:textId="77777777" w:rsidR="003861FB" w:rsidRPr="003861FB" w:rsidRDefault="003861FB" w:rsidP="003861FB">
      <w:pPr>
        <w:widowControl/>
        <w:ind w:left="1440" w:right="1440" w:firstLine="720"/>
        <w:rPr>
          <w:rFonts w:eastAsiaTheme="minorHAnsi"/>
          <w:color w:val="000000"/>
          <w:sz w:val="26"/>
          <w:szCs w:val="26"/>
        </w:rPr>
      </w:pPr>
      <w:r w:rsidRPr="003861FB">
        <w:rPr>
          <w:rFonts w:eastAsiaTheme="minorHAnsi"/>
          <w:color w:val="000000"/>
          <w:sz w:val="26"/>
          <w:szCs w:val="26"/>
        </w:rPr>
        <w:t>(ii) In new building construction.</w:t>
      </w:r>
    </w:p>
    <w:p w14:paraId="4CBD34FD"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p>
    <w:p w14:paraId="11A6A7C1" w14:textId="77777777"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(iii) In accordance with a depreciation schedule not to exceed 15 years.</w:t>
      </w:r>
    </w:p>
    <w:p w14:paraId="417E426C" w14:textId="77777777" w:rsidR="003861FB" w:rsidRPr="003861FB" w:rsidRDefault="003861FB" w:rsidP="003861FB">
      <w:pPr>
        <w:widowControl/>
        <w:autoSpaceDE w:val="0"/>
        <w:autoSpaceDN w:val="0"/>
        <w:adjustRightInd w:val="0"/>
        <w:spacing w:line="360" w:lineRule="auto"/>
        <w:ind w:right="1440"/>
        <w:rPr>
          <w:rFonts w:eastAsiaTheme="minorHAnsi"/>
          <w:color w:val="000000"/>
          <w:sz w:val="26"/>
          <w:szCs w:val="26"/>
        </w:rPr>
      </w:pPr>
    </w:p>
    <w:p w14:paraId="23C702A0" w14:textId="77777777" w:rsidR="003861FB" w:rsidRPr="003861FB" w:rsidRDefault="003861FB" w:rsidP="003861FB">
      <w:pPr>
        <w:widowControl/>
        <w:tabs>
          <w:tab w:val="left" w:pos="720"/>
        </w:tabs>
        <w:spacing w:line="360" w:lineRule="auto"/>
        <w:rPr>
          <w:sz w:val="26"/>
          <w:szCs w:val="26"/>
        </w:rPr>
      </w:pPr>
      <w:r w:rsidRPr="003861FB">
        <w:rPr>
          <w:rFonts w:eastAsiaTheme="minorHAnsi"/>
          <w:color w:val="000000"/>
          <w:sz w:val="26"/>
          <w:szCs w:val="26"/>
        </w:rPr>
        <w:t xml:space="preserve">66 Pa. C.S. § 2807(f).  </w:t>
      </w:r>
      <w:r w:rsidRPr="003861FB">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3861FB">
        <w:rPr>
          <w:i/>
          <w:sz w:val="26"/>
          <w:szCs w:val="26"/>
        </w:rPr>
        <w:t>See</w:t>
      </w:r>
      <w:r w:rsidRPr="003861FB">
        <w:rPr>
          <w:sz w:val="26"/>
          <w:szCs w:val="26"/>
        </w:rPr>
        <w:t xml:space="preserve"> H.B. 2200, 192d Gen. </w:t>
      </w:r>
      <w:proofErr w:type="spellStart"/>
      <w:r w:rsidRPr="003861FB">
        <w:rPr>
          <w:sz w:val="26"/>
          <w:szCs w:val="26"/>
        </w:rPr>
        <w:t>Assemb</w:t>
      </w:r>
      <w:proofErr w:type="spellEnd"/>
      <w:r w:rsidRPr="003861FB">
        <w:rPr>
          <w:sz w:val="26"/>
          <w:szCs w:val="26"/>
        </w:rPr>
        <w:t xml:space="preserve">., Reg. Sess. (Pa. 2008)).  </w:t>
      </w:r>
    </w:p>
    <w:p w14:paraId="24BC825A" w14:textId="77777777" w:rsidR="003861FB" w:rsidRPr="003861FB" w:rsidRDefault="003861FB" w:rsidP="003861FB">
      <w:pPr>
        <w:widowControl/>
        <w:spacing w:line="360" w:lineRule="auto"/>
        <w:contextualSpacing/>
        <w:rPr>
          <w:sz w:val="26"/>
          <w:szCs w:val="26"/>
        </w:rPr>
      </w:pPr>
    </w:p>
    <w:p w14:paraId="6EE18272" w14:textId="77777777" w:rsidR="00104496" w:rsidRDefault="003861FB" w:rsidP="003861FB">
      <w:pPr>
        <w:widowControl/>
        <w:spacing w:line="360" w:lineRule="auto"/>
        <w:ind w:firstLine="1440"/>
        <w:contextualSpacing/>
        <w:rPr>
          <w:sz w:val="26"/>
          <w:szCs w:val="26"/>
        </w:rPr>
      </w:pPr>
      <w:r w:rsidRPr="003861FB">
        <w:rPr>
          <w:sz w:val="26"/>
          <w:szCs w:val="26"/>
        </w:rPr>
        <w:t>By Order entered in 2009, the Commission directed all EDCs subject to Act 129’s smart meter requirements, including P</w:t>
      </w:r>
      <w:r w:rsidR="005703B8">
        <w:rPr>
          <w:sz w:val="26"/>
          <w:szCs w:val="26"/>
        </w:rPr>
        <w:t>PL</w:t>
      </w:r>
      <w:r w:rsidRPr="003861FB">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3861FB">
        <w:rPr>
          <w:i/>
          <w:iCs/>
          <w:sz w:val="26"/>
          <w:szCs w:val="26"/>
        </w:rPr>
        <w:t>See Smart Meter Procurement and Installation</w:t>
      </w:r>
      <w:r w:rsidRPr="003861FB">
        <w:rPr>
          <w:sz w:val="26"/>
          <w:szCs w:val="26"/>
        </w:rPr>
        <w:t>, Docket No. M-2009-2092655 (Implementation Order entered June 24, 2009) (</w:t>
      </w:r>
      <w:bookmarkStart w:id="1" w:name="_Hlk22627194"/>
      <w:r w:rsidRPr="003861FB">
        <w:rPr>
          <w:i/>
          <w:iCs/>
          <w:sz w:val="26"/>
          <w:szCs w:val="26"/>
        </w:rPr>
        <w:t>Smart Meter Procurement and Installation Order</w:t>
      </w:r>
      <w:bookmarkEnd w:id="1"/>
      <w:r w:rsidRPr="003861FB">
        <w:rPr>
          <w:sz w:val="26"/>
          <w:szCs w:val="26"/>
        </w:rPr>
        <w:t xml:space="preserve">).  </w:t>
      </w:r>
      <w:r w:rsidR="002557E0">
        <w:rPr>
          <w:sz w:val="26"/>
          <w:szCs w:val="26"/>
        </w:rPr>
        <w:t xml:space="preserve"> </w:t>
      </w:r>
    </w:p>
    <w:p w14:paraId="5C5641C1" w14:textId="77777777" w:rsidR="00104496" w:rsidRDefault="00104496" w:rsidP="003861FB">
      <w:pPr>
        <w:widowControl/>
        <w:spacing w:line="360" w:lineRule="auto"/>
        <w:ind w:firstLine="1440"/>
        <w:contextualSpacing/>
        <w:rPr>
          <w:sz w:val="26"/>
          <w:szCs w:val="26"/>
        </w:rPr>
      </w:pPr>
    </w:p>
    <w:p w14:paraId="74256A24" w14:textId="1335050E" w:rsidR="002131EC" w:rsidRDefault="005703B8" w:rsidP="003861FB">
      <w:pPr>
        <w:widowControl/>
        <w:spacing w:line="360" w:lineRule="auto"/>
        <w:ind w:firstLine="1440"/>
        <w:contextualSpacing/>
        <w:rPr>
          <w:sz w:val="26"/>
          <w:szCs w:val="26"/>
        </w:rPr>
      </w:pPr>
      <w:r w:rsidRPr="001C2D5B">
        <w:rPr>
          <w:sz w:val="26"/>
          <w:szCs w:val="26"/>
        </w:rPr>
        <w:t>PPL</w:t>
      </w:r>
      <w:r w:rsidR="002557E0" w:rsidRPr="001C2D5B">
        <w:rPr>
          <w:sz w:val="26"/>
          <w:szCs w:val="26"/>
        </w:rPr>
        <w:t xml:space="preserve"> </w:t>
      </w:r>
      <w:r w:rsidR="003861FB" w:rsidRPr="001C2D5B">
        <w:rPr>
          <w:sz w:val="26"/>
          <w:szCs w:val="26"/>
        </w:rPr>
        <w:t>sought and obtained the Commission’s approval</w:t>
      </w:r>
      <w:r w:rsidR="002557E0" w:rsidRPr="001C2D5B">
        <w:rPr>
          <w:sz w:val="26"/>
          <w:szCs w:val="26"/>
        </w:rPr>
        <w:t xml:space="preserve"> </w:t>
      </w:r>
      <w:r w:rsidR="003861FB" w:rsidRPr="001C2D5B">
        <w:rPr>
          <w:sz w:val="26"/>
          <w:szCs w:val="26"/>
        </w:rPr>
        <w:t xml:space="preserve">to complete the installation of AMI meters </w:t>
      </w:r>
      <w:r w:rsidR="000203E2" w:rsidRPr="001C2D5B">
        <w:rPr>
          <w:sz w:val="26"/>
          <w:szCs w:val="26"/>
        </w:rPr>
        <w:t>with s</w:t>
      </w:r>
      <w:r w:rsidR="003861FB" w:rsidRPr="001C2D5B">
        <w:rPr>
          <w:sz w:val="26"/>
          <w:szCs w:val="26"/>
        </w:rPr>
        <w:t xml:space="preserve">ubstantially all customers </w:t>
      </w:r>
      <w:r w:rsidR="000203E2" w:rsidRPr="001C2D5B">
        <w:rPr>
          <w:sz w:val="26"/>
          <w:szCs w:val="26"/>
        </w:rPr>
        <w:t xml:space="preserve">to receive an AMI meter by </w:t>
      </w:r>
      <w:r w:rsidR="00A257BB">
        <w:rPr>
          <w:sz w:val="26"/>
          <w:szCs w:val="26"/>
        </w:rPr>
        <w:t xml:space="preserve">late 2019.  </w:t>
      </w:r>
      <w:r w:rsidR="004F7ABC" w:rsidRPr="001C2D5B">
        <w:rPr>
          <w:i/>
          <w:iCs/>
          <w:sz w:val="26"/>
          <w:szCs w:val="26"/>
        </w:rPr>
        <w:t xml:space="preserve">See Petition of </w:t>
      </w:r>
      <w:r w:rsidR="002131EC" w:rsidRPr="001C2D5B">
        <w:rPr>
          <w:i/>
          <w:iCs/>
          <w:sz w:val="26"/>
          <w:szCs w:val="26"/>
        </w:rPr>
        <w:t xml:space="preserve">PPL Electric Company </w:t>
      </w:r>
      <w:r w:rsidR="002557E0" w:rsidRPr="001C2D5B">
        <w:rPr>
          <w:i/>
          <w:iCs/>
          <w:sz w:val="26"/>
          <w:szCs w:val="26"/>
        </w:rPr>
        <w:t>f</w:t>
      </w:r>
      <w:r w:rsidR="004F7ABC" w:rsidRPr="001C2D5B">
        <w:rPr>
          <w:i/>
          <w:iCs/>
          <w:sz w:val="26"/>
          <w:szCs w:val="26"/>
        </w:rPr>
        <w:t xml:space="preserve">or Approval of </w:t>
      </w:r>
      <w:r w:rsidR="002131EC" w:rsidRPr="001C2D5B">
        <w:rPr>
          <w:i/>
          <w:iCs/>
          <w:sz w:val="26"/>
          <w:szCs w:val="26"/>
        </w:rPr>
        <w:t xml:space="preserve">Its </w:t>
      </w:r>
      <w:r w:rsidR="004F7ABC" w:rsidRPr="001C2D5B">
        <w:rPr>
          <w:i/>
          <w:iCs/>
          <w:sz w:val="26"/>
          <w:szCs w:val="26"/>
        </w:rPr>
        <w:t>Smart Meter Deployment Plan</w:t>
      </w:r>
      <w:r w:rsidR="004F7ABC" w:rsidRPr="001C2D5B">
        <w:rPr>
          <w:sz w:val="26"/>
          <w:szCs w:val="26"/>
        </w:rPr>
        <w:t>, Docket Nos. M-</w:t>
      </w:r>
      <w:r w:rsidR="002131EC" w:rsidRPr="001C2D5B">
        <w:rPr>
          <w:sz w:val="26"/>
          <w:szCs w:val="26"/>
        </w:rPr>
        <w:t xml:space="preserve">2014-2430781, p. 24 </w:t>
      </w:r>
      <w:r w:rsidR="004F7ABC" w:rsidRPr="001C2D5B">
        <w:rPr>
          <w:sz w:val="26"/>
          <w:szCs w:val="26"/>
        </w:rPr>
        <w:t xml:space="preserve">(Opinion and Order entered </w:t>
      </w:r>
      <w:r w:rsidR="002131EC" w:rsidRPr="001C2D5B">
        <w:rPr>
          <w:sz w:val="26"/>
          <w:szCs w:val="26"/>
        </w:rPr>
        <w:t>September 3, 2015)</w:t>
      </w:r>
      <w:r w:rsidR="00A257BB">
        <w:rPr>
          <w:sz w:val="26"/>
          <w:szCs w:val="26"/>
        </w:rPr>
        <w:t xml:space="preserve"> </w:t>
      </w:r>
      <w:r w:rsidR="00A257BB" w:rsidRPr="001C2D5B">
        <w:rPr>
          <w:sz w:val="26"/>
          <w:szCs w:val="26"/>
        </w:rPr>
        <w:t>(PPL’s Deployment Plan</w:t>
      </w:r>
      <w:r w:rsidR="000C4245">
        <w:rPr>
          <w:sz w:val="26"/>
          <w:szCs w:val="26"/>
        </w:rPr>
        <w:t>, Smart Meter Deployment Plan</w:t>
      </w:r>
      <w:r w:rsidR="00A257BB">
        <w:rPr>
          <w:sz w:val="26"/>
          <w:szCs w:val="26"/>
        </w:rPr>
        <w:t xml:space="preserve"> or Plan</w:t>
      </w:r>
      <w:r w:rsidR="00A257BB" w:rsidRPr="001C2D5B">
        <w:rPr>
          <w:sz w:val="26"/>
          <w:szCs w:val="26"/>
        </w:rPr>
        <w:t>)</w:t>
      </w:r>
      <w:r w:rsidR="004F7ABC" w:rsidRPr="001C2D5B">
        <w:rPr>
          <w:sz w:val="26"/>
          <w:szCs w:val="26"/>
        </w:rPr>
        <w:t>.</w:t>
      </w:r>
    </w:p>
    <w:p w14:paraId="5A65EFE5" w14:textId="77777777" w:rsidR="003861FB" w:rsidRDefault="004F7ABC" w:rsidP="003861FB">
      <w:pPr>
        <w:widowControl/>
        <w:spacing w:line="360" w:lineRule="auto"/>
        <w:ind w:firstLine="1440"/>
        <w:contextualSpacing/>
      </w:pPr>
      <w:r>
        <w:t xml:space="preserve"> </w:t>
      </w:r>
    </w:p>
    <w:p w14:paraId="13B1181C" w14:textId="694525BC" w:rsidR="00104496" w:rsidRPr="00104496" w:rsidRDefault="00104496" w:rsidP="0065514C">
      <w:pPr>
        <w:widowControl/>
        <w:spacing w:line="360" w:lineRule="auto"/>
        <w:ind w:firstLine="1440"/>
        <w:contextualSpacing/>
        <w:rPr>
          <w:sz w:val="26"/>
          <w:szCs w:val="26"/>
        </w:rPr>
      </w:pPr>
      <w:r w:rsidRPr="001C2D5B">
        <w:rPr>
          <w:sz w:val="26"/>
          <w:szCs w:val="26"/>
        </w:rPr>
        <w:lastRenderedPageBreak/>
        <w:t>Additionally,</w:t>
      </w:r>
      <w:r w:rsidR="001C2D5B" w:rsidRPr="001C2D5B">
        <w:rPr>
          <w:sz w:val="26"/>
          <w:szCs w:val="26"/>
        </w:rPr>
        <w:t xml:space="preserve"> PPL’s approved </w:t>
      </w:r>
      <w:r w:rsidR="00A257BB">
        <w:rPr>
          <w:sz w:val="26"/>
          <w:szCs w:val="26"/>
        </w:rPr>
        <w:t>Deployment P</w:t>
      </w:r>
      <w:r w:rsidR="001C2D5B" w:rsidRPr="001C2D5B">
        <w:rPr>
          <w:sz w:val="26"/>
          <w:szCs w:val="26"/>
        </w:rPr>
        <w:t xml:space="preserve">lan </w:t>
      </w:r>
      <w:r w:rsidRPr="001C2D5B">
        <w:rPr>
          <w:sz w:val="26"/>
          <w:szCs w:val="26"/>
        </w:rPr>
        <w:t xml:space="preserve">outlines the privacy protections adhered to by </w:t>
      </w:r>
      <w:r w:rsidR="005703B8" w:rsidRPr="001C2D5B">
        <w:rPr>
          <w:sz w:val="26"/>
          <w:szCs w:val="26"/>
        </w:rPr>
        <w:t>PPL</w:t>
      </w:r>
      <w:r w:rsidRPr="001C2D5B">
        <w:rPr>
          <w:sz w:val="26"/>
          <w:szCs w:val="26"/>
        </w:rPr>
        <w:t xml:space="preserve"> in its deployment of smart meters.  These</w:t>
      </w:r>
      <w:r w:rsidRPr="00104496">
        <w:rPr>
          <w:sz w:val="26"/>
          <w:szCs w:val="26"/>
        </w:rPr>
        <w:t xml:space="preserve"> protections provide that no sensitive customer information, such as the customer’s name, address, Social Security number, driver’s license number, employer identification number, date of birth, credit card number, passport number or bank account number, is accessible through </w:t>
      </w:r>
      <w:r w:rsidR="005703B8">
        <w:rPr>
          <w:sz w:val="26"/>
          <w:szCs w:val="26"/>
        </w:rPr>
        <w:t>PPL</w:t>
      </w:r>
      <w:r w:rsidRPr="00104496">
        <w:rPr>
          <w:sz w:val="26"/>
          <w:szCs w:val="26"/>
        </w:rPr>
        <w:t xml:space="preserve">’s smart meter network.  According to the </w:t>
      </w:r>
      <w:r w:rsidR="00A257BB">
        <w:rPr>
          <w:sz w:val="26"/>
          <w:szCs w:val="26"/>
        </w:rPr>
        <w:t>P</w:t>
      </w:r>
      <w:r w:rsidR="001C2D5B">
        <w:rPr>
          <w:sz w:val="26"/>
          <w:szCs w:val="26"/>
        </w:rPr>
        <w:t>lan’s provisions</w:t>
      </w:r>
      <w:r w:rsidRPr="00104496">
        <w:rPr>
          <w:sz w:val="26"/>
          <w:szCs w:val="26"/>
        </w:rPr>
        <w:t xml:space="preserve">, the only customer information collected by the Company’s smart meters is the Service Location usage data. </w:t>
      </w:r>
      <w:r w:rsidR="001C2D5B">
        <w:rPr>
          <w:sz w:val="26"/>
          <w:szCs w:val="26"/>
        </w:rPr>
        <w:t xml:space="preserve"> T</w:t>
      </w:r>
      <w:r w:rsidRPr="00104496">
        <w:rPr>
          <w:sz w:val="26"/>
          <w:szCs w:val="26"/>
        </w:rPr>
        <w:t xml:space="preserve">he smart meter is unable to determine what the individual sources of the electric usage are, only the total amount of electricity consumed and recorded by the installed meter at the property for a period of time. </w:t>
      </w:r>
      <w:r w:rsidR="007E4C92">
        <w:rPr>
          <w:sz w:val="26"/>
          <w:szCs w:val="26"/>
        </w:rPr>
        <w:t xml:space="preserve"> </w:t>
      </w:r>
      <w:r w:rsidRPr="00104496">
        <w:rPr>
          <w:sz w:val="26"/>
          <w:szCs w:val="26"/>
        </w:rPr>
        <w:t xml:space="preserve">The </w:t>
      </w:r>
      <w:r w:rsidR="00A257BB">
        <w:rPr>
          <w:sz w:val="26"/>
          <w:szCs w:val="26"/>
        </w:rPr>
        <w:t>P</w:t>
      </w:r>
      <w:r w:rsidR="001C2D5B">
        <w:rPr>
          <w:sz w:val="26"/>
          <w:szCs w:val="26"/>
        </w:rPr>
        <w:t>lan</w:t>
      </w:r>
      <w:r w:rsidRPr="00104496">
        <w:rPr>
          <w:sz w:val="26"/>
          <w:szCs w:val="26"/>
        </w:rPr>
        <w:t xml:space="preserve"> also specifies how it protects against unauthorized access to usage information within its smart meter network through cyber security tools, including encryption, firewalls, password protection and continuous security monitoring.  </w:t>
      </w:r>
      <w:r w:rsidRPr="001C2D5B">
        <w:rPr>
          <w:i/>
          <w:iCs/>
          <w:sz w:val="26"/>
          <w:szCs w:val="26"/>
        </w:rPr>
        <w:t>See</w:t>
      </w:r>
      <w:r w:rsidR="001C2D5B" w:rsidRPr="001C2D5B">
        <w:rPr>
          <w:sz w:val="26"/>
          <w:szCs w:val="26"/>
        </w:rPr>
        <w:t xml:space="preserve">, I.D. at 25-27; PPL Statement No. 3 and PPL Statement No. 4. </w:t>
      </w:r>
    </w:p>
    <w:p w14:paraId="0BF69D94" w14:textId="77777777" w:rsidR="003861FB" w:rsidRPr="003861FB" w:rsidRDefault="003861FB" w:rsidP="0065514C">
      <w:pPr>
        <w:widowControl/>
        <w:spacing w:line="360" w:lineRule="auto"/>
        <w:ind w:firstLine="1440"/>
        <w:contextualSpacing/>
        <w:rPr>
          <w:sz w:val="26"/>
          <w:szCs w:val="26"/>
        </w:rPr>
      </w:pPr>
    </w:p>
    <w:p w14:paraId="0F07DB1C" w14:textId="77777777" w:rsidR="000B2AC8" w:rsidRPr="00B73D28" w:rsidRDefault="00B73D28" w:rsidP="0065514C">
      <w:pPr>
        <w:keepNext/>
        <w:widowControl/>
        <w:spacing w:line="360" w:lineRule="auto"/>
        <w:jc w:val="center"/>
        <w:rPr>
          <w:b/>
          <w:bCs/>
          <w:sz w:val="26"/>
          <w:szCs w:val="26"/>
        </w:rPr>
      </w:pPr>
      <w:r w:rsidRPr="00B73D28">
        <w:rPr>
          <w:b/>
          <w:bCs/>
          <w:sz w:val="26"/>
          <w:szCs w:val="26"/>
        </w:rPr>
        <w:t>II.</w:t>
      </w:r>
      <w:r w:rsidRPr="00B73D28">
        <w:rPr>
          <w:b/>
          <w:bCs/>
          <w:sz w:val="26"/>
          <w:szCs w:val="26"/>
        </w:rPr>
        <w:tab/>
        <w:t>History of the Proceeding</w:t>
      </w:r>
    </w:p>
    <w:p w14:paraId="3B6D7852" w14:textId="77777777" w:rsidR="004F7ABC" w:rsidRPr="004F7ABC" w:rsidRDefault="004F7ABC" w:rsidP="0065514C">
      <w:pPr>
        <w:keepNext/>
        <w:widowControl/>
        <w:autoSpaceDE w:val="0"/>
        <w:autoSpaceDN w:val="0"/>
        <w:adjustRightInd w:val="0"/>
        <w:spacing w:line="360" w:lineRule="auto"/>
        <w:rPr>
          <w:rFonts w:eastAsiaTheme="minorHAnsi"/>
          <w:color w:val="000000"/>
          <w:sz w:val="26"/>
          <w:szCs w:val="26"/>
        </w:rPr>
      </w:pPr>
    </w:p>
    <w:p w14:paraId="71ADAFA3" w14:textId="5FEB1AB4" w:rsidR="00DD5ED1" w:rsidRPr="00DD5ED1" w:rsidRDefault="004F7ABC" w:rsidP="0065514C">
      <w:pPr>
        <w:pStyle w:val="Default"/>
        <w:spacing w:line="360" w:lineRule="auto"/>
        <w:ind w:firstLine="1440"/>
        <w:rPr>
          <w:sz w:val="26"/>
          <w:szCs w:val="26"/>
        </w:rPr>
      </w:pPr>
      <w:r w:rsidRPr="00DD5ED1">
        <w:rPr>
          <w:sz w:val="26"/>
          <w:szCs w:val="26"/>
        </w:rPr>
        <w:t xml:space="preserve">On </w:t>
      </w:r>
      <w:r w:rsidR="00D521E1">
        <w:rPr>
          <w:sz w:val="26"/>
          <w:szCs w:val="26"/>
        </w:rPr>
        <w:t>October 10, 2018</w:t>
      </w:r>
      <w:r w:rsidRPr="00DD5ED1">
        <w:rPr>
          <w:sz w:val="26"/>
          <w:szCs w:val="26"/>
        </w:rPr>
        <w:t xml:space="preserve">, </w:t>
      </w:r>
      <w:r w:rsidR="00DD5ED1" w:rsidRPr="00DD5ED1">
        <w:rPr>
          <w:sz w:val="26"/>
          <w:szCs w:val="26"/>
        </w:rPr>
        <w:t>M</w:t>
      </w:r>
      <w:r w:rsidR="00D521E1">
        <w:rPr>
          <w:sz w:val="26"/>
          <w:szCs w:val="26"/>
        </w:rPr>
        <w:t>r</w:t>
      </w:r>
      <w:r w:rsidR="00DD5ED1" w:rsidRPr="00DD5ED1">
        <w:rPr>
          <w:sz w:val="26"/>
          <w:szCs w:val="26"/>
        </w:rPr>
        <w:t>.</w:t>
      </w:r>
      <w:r w:rsidRPr="00DD5ED1">
        <w:rPr>
          <w:sz w:val="26"/>
          <w:szCs w:val="26"/>
        </w:rPr>
        <w:t xml:space="preserve"> </w:t>
      </w:r>
      <w:r w:rsidR="00D521E1">
        <w:rPr>
          <w:sz w:val="26"/>
          <w:szCs w:val="26"/>
        </w:rPr>
        <w:t>Aguirre</w:t>
      </w:r>
      <w:r w:rsidRPr="00DD5ED1">
        <w:rPr>
          <w:sz w:val="26"/>
          <w:szCs w:val="26"/>
        </w:rPr>
        <w:t xml:space="preserve"> filed a </w:t>
      </w:r>
      <w:r w:rsidR="00DD5ED1" w:rsidRPr="00DD5ED1">
        <w:rPr>
          <w:sz w:val="26"/>
          <w:szCs w:val="26"/>
        </w:rPr>
        <w:t xml:space="preserve">Formal </w:t>
      </w:r>
      <w:r w:rsidRPr="00DD5ED1">
        <w:rPr>
          <w:sz w:val="26"/>
          <w:szCs w:val="26"/>
        </w:rPr>
        <w:t>Complaint</w:t>
      </w:r>
      <w:r w:rsidR="00DD5ED1" w:rsidRPr="00DD5ED1">
        <w:rPr>
          <w:sz w:val="26"/>
          <w:szCs w:val="26"/>
        </w:rPr>
        <w:t xml:space="preserve"> (Complaint)</w:t>
      </w:r>
      <w:r w:rsidRPr="00DD5ED1">
        <w:rPr>
          <w:sz w:val="26"/>
          <w:szCs w:val="26"/>
        </w:rPr>
        <w:t xml:space="preserve"> </w:t>
      </w:r>
      <w:r w:rsidR="00C16D79">
        <w:rPr>
          <w:sz w:val="26"/>
          <w:szCs w:val="26"/>
        </w:rPr>
        <w:t>disputing P</w:t>
      </w:r>
      <w:r w:rsidR="00D521E1">
        <w:rPr>
          <w:sz w:val="26"/>
          <w:szCs w:val="26"/>
        </w:rPr>
        <w:t xml:space="preserve">PL’s </w:t>
      </w:r>
      <w:r w:rsidR="00C16D79">
        <w:rPr>
          <w:sz w:val="26"/>
          <w:szCs w:val="26"/>
        </w:rPr>
        <w:t xml:space="preserve">authority to require installation of a smart meter at </w:t>
      </w:r>
      <w:r w:rsidR="00A257BB">
        <w:rPr>
          <w:sz w:val="26"/>
          <w:szCs w:val="26"/>
        </w:rPr>
        <w:t xml:space="preserve">the </w:t>
      </w:r>
      <w:r w:rsidR="00C16D79">
        <w:rPr>
          <w:sz w:val="26"/>
          <w:szCs w:val="26"/>
        </w:rPr>
        <w:t xml:space="preserve">Complainant’s home.  </w:t>
      </w:r>
      <w:r w:rsidR="000817E0">
        <w:rPr>
          <w:sz w:val="26"/>
          <w:szCs w:val="26"/>
        </w:rPr>
        <w:t>Mr. Aguirre</w:t>
      </w:r>
      <w:r w:rsidR="00C16D79">
        <w:rPr>
          <w:sz w:val="26"/>
          <w:szCs w:val="26"/>
        </w:rPr>
        <w:t xml:space="preserve"> alleged,</w:t>
      </w:r>
      <w:r w:rsidRPr="00DD5ED1">
        <w:rPr>
          <w:sz w:val="26"/>
          <w:szCs w:val="26"/>
        </w:rPr>
        <w:t xml:space="preserve"> </w:t>
      </w:r>
      <w:r w:rsidRPr="00DD5ED1">
        <w:rPr>
          <w:i/>
          <w:iCs/>
          <w:sz w:val="26"/>
          <w:szCs w:val="26"/>
        </w:rPr>
        <w:t>inter alia</w:t>
      </w:r>
      <w:r w:rsidRPr="00DD5ED1">
        <w:rPr>
          <w:sz w:val="26"/>
          <w:szCs w:val="26"/>
        </w:rPr>
        <w:t xml:space="preserve">, that </w:t>
      </w:r>
      <w:r w:rsidR="00997C62">
        <w:rPr>
          <w:sz w:val="26"/>
          <w:szCs w:val="26"/>
        </w:rPr>
        <w:t xml:space="preserve">if installed at his residence, </w:t>
      </w:r>
      <w:r w:rsidR="002131EC">
        <w:rPr>
          <w:sz w:val="26"/>
          <w:szCs w:val="26"/>
        </w:rPr>
        <w:t xml:space="preserve">a </w:t>
      </w:r>
      <w:r w:rsidRPr="00DD5ED1">
        <w:rPr>
          <w:sz w:val="26"/>
          <w:szCs w:val="26"/>
        </w:rPr>
        <w:t xml:space="preserve">smart meter </w:t>
      </w:r>
      <w:r w:rsidR="002131EC">
        <w:rPr>
          <w:sz w:val="26"/>
          <w:szCs w:val="26"/>
        </w:rPr>
        <w:t xml:space="preserve">would cause adverse effects to </w:t>
      </w:r>
      <w:r w:rsidR="00A257BB">
        <w:rPr>
          <w:sz w:val="26"/>
          <w:szCs w:val="26"/>
        </w:rPr>
        <w:t xml:space="preserve">the </w:t>
      </w:r>
      <w:r w:rsidR="002131EC">
        <w:rPr>
          <w:sz w:val="26"/>
          <w:szCs w:val="26"/>
        </w:rPr>
        <w:t xml:space="preserve">Complainant’s health and safety, </w:t>
      </w:r>
      <w:r w:rsidR="00997C62">
        <w:rPr>
          <w:sz w:val="26"/>
          <w:szCs w:val="26"/>
        </w:rPr>
        <w:t>pose cyber security risks and violate</w:t>
      </w:r>
      <w:r w:rsidRPr="00DD5ED1">
        <w:rPr>
          <w:sz w:val="26"/>
          <w:szCs w:val="26"/>
        </w:rPr>
        <w:t xml:space="preserve"> privacy</w:t>
      </w:r>
      <w:r w:rsidR="00997C62">
        <w:rPr>
          <w:sz w:val="26"/>
          <w:szCs w:val="26"/>
        </w:rPr>
        <w:t xml:space="preserve"> rights.</w:t>
      </w:r>
      <w:r w:rsidRPr="00DD5ED1">
        <w:rPr>
          <w:sz w:val="26"/>
          <w:szCs w:val="26"/>
        </w:rPr>
        <w:t xml:space="preserve">  </w:t>
      </w:r>
      <w:r w:rsidR="000817E0">
        <w:rPr>
          <w:sz w:val="26"/>
          <w:szCs w:val="26"/>
        </w:rPr>
        <w:t>He</w:t>
      </w:r>
      <w:r w:rsidRPr="00DD5ED1">
        <w:rPr>
          <w:sz w:val="26"/>
          <w:szCs w:val="26"/>
        </w:rPr>
        <w:t xml:space="preserve"> request</w:t>
      </w:r>
      <w:r w:rsidR="000817E0">
        <w:rPr>
          <w:sz w:val="26"/>
          <w:szCs w:val="26"/>
        </w:rPr>
        <w:t>ed</w:t>
      </w:r>
      <w:r w:rsidRPr="00DD5ED1">
        <w:rPr>
          <w:sz w:val="26"/>
          <w:szCs w:val="26"/>
        </w:rPr>
        <w:t xml:space="preserve">, </w:t>
      </w:r>
      <w:r w:rsidRPr="00DD5ED1">
        <w:rPr>
          <w:i/>
          <w:iCs/>
          <w:sz w:val="26"/>
          <w:szCs w:val="26"/>
        </w:rPr>
        <w:t>inter alia</w:t>
      </w:r>
      <w:r w:rsidRPr="00DD5ED1">
        <w:rPr>
          <w:sz w:val="26"/>
          <w:szCs w:val="26"/>
        </w:rPr>
        <w:t xml:space="preserve">, that the Commission order </w:t>
      </w:r>
      <w:r w:rsidR="00DD5ED1" w:rsidRPr="00DD5ED1">
        <w:rPr>
          <w:sz w:val="26"/>
          <w:szCs w:val="26"/>
        </w:rPr>
        <w:t>the Company</w:t>
      </w:r>
      <w:r w:rsidRPr="00DD5ED1">
        <w:rPr>
          <w:sz w:val="26"/>
          <w:szCs w:val="26"/>
        </w:rPr>
        <w:t xml:space="preserve"> to forego installation of a smart meter at h</w:t>
      </w:r>
      <w:r w:rsidR="00D521E1">
        <w:rPr>
          <w:sz w:val="26"/>
          <w:szCs w:val="26"/>
        </w:rPr>
        <w:t>is</w:t>
      </w:r>
      <w:r w:rsidRPr="00DD5ED1">
        <w:rPr>
          <w:sz w:val="26"/>
          <w:szCs w:val="26"/>
        </w:rPr>
        <w:t xml:space="preserve"> residence</w:t>
      </w:r>
      <w:r w:rsidR="00D521E1" w:rsidRPr="00E16300">
        <w:rPr>
          <w:sz w:val="26"/>
          <w:szCs w:val="26"/>
        </w:rPr>
        <w:t>.</w:t>
      </w:r>
      <w:r w:rsidR="00DD5ED1" w:rsidRPr="00E16300">
        <w:rPr>
          <w:sz w:val="26"/>
          <w:szCs w:val="26"/>
        </w:rPr>
        <w:t xml:space="preserve">  </w:t>
      </w:r>
      <w:r w:rsidR="00CB7BC2">
        <w:rPr>
          <w:sz w:val="26"/>
          <w:szCs w:val="26"/>
        </w:rPr>
        <w:t xml:space="preserve">Complaint at 2-3; </w:t>
      </w:r>
      <w:r w:rsidR="00DD5ED1" w:rsidRPr="00E16300">
        <w:rPr>
          <w:sz w:val="26"/>
          <w:szCs w:val="26"/>
        </w:rPr>
        <w:t>I.D. at 1-2.</w:t>
      </w:r>
    </w:p>
    <w:p w14:paraId="2F37F5DB" w14:textId="77777777" w:rsidR="00DD5ED1" w:rsidRPr="00DD5ED1" w:rsidRDefault="00DD5ED1" w:rsidP="00DD5ED1">
      <w:pPr>
        <w:pStyle w:val="Default"/>
        <w:spacing w:line="360" w:lineRule="auto"/>
        <w:ind w:firstLine="1440"/>
        <w:rPr>
          <w:sz w:val="26"/>
          <w:szCs w:val="26"/>
        </w:rPr>
      </w:pPr>
    </w:p>
    <w:p w14:paraId="10DF8CEE" w14:textId="094F367D" w:rsidR="00E532DF" w:rsidRDefault="004F7ABC" w:rsidP="00E532DF">
      <w:pPr>
        <w:pStyle w:val="Default"/>
        <w:spacing w:line="360" w:lineRule="auto"/>
        <w:ind w:firstLine="1440"/>
        <w:rPr>
          <w:sz w:val="26"/>
          <w:szCs w:val="26"/>
        </w:rPr>
      </w:pPr>
      <w:r w:rsidRPr="00DD5ED1">
        <w:rPr>
          <w:sz w:val="26"/>
          <w:szCs w:val="26"/>
        </w:rPr>
        <w:t xml:space="preserve">On </w:t>
      </w:r>
      <w:r w:rsidR="00D521E1">
        <w:rPr>
          <w:sz w:val="26"/>
          <w:szCs w:val="26"/>
        </w:rPr>
        <w:t>November 5, 2018</w:t>
      </w:r>
      <w:r w:rsidRPr="00DD5ED1">
        <w:rPr>
          <w:sz w:val="26"/>
          <w:szCs w:val="26"/>
        </w:rPr>
        <w:t xml:space="preserve">, </w:t>
      </w:r>
      <w:r w:rsidR="00DD5ED1" w:rsidRPr="00DD5ED1">
        <w:rPr>
          <w:sz w:val="26"/>
          <w:szCs w:val="26"/>
        </w:rPr>
        <w:t>the Company</w:t>
      </w:r>
      <w:r w:rsidRPr="00DD5ED1">
        <w:rPr>
          <w:sz w:val="26"/>
          <w:szCs w:val="26"/>
        </w:rPr>
        <w:t xml:space="preserve"> filed an Answer to the Complaint</w:t>
      </w:r>
      <w:r w:rsidR="00CB7BC2">
        <w:rPr>
          <w:sz w:val="26"/>
          <w:szCs w:val="26"/>
        </w:rPr>
        <w:t xml:space="preserve"> (Answer)</w:t>
      </w:r>
      <w:r w:rsidRPr="00DD5ED1">
        <w:rPr>
          <w:sz w:val="26"/>
          <w:szCs w:val="26"/>
        </w:rPr>
        <w:t xml:space="preserve">, admitting that </w:t>
      </w:r>
      <w:r w:rsidR="00DD5ED1" w:rsidRPr="00DD5ED1">
        <w:rPr>
          <w:sz w:val="26"/>
          <w:szCs w:val="26"/>
        </w:rPr>
        <w:t xml:space="preserve">the </w:t>
      </w:r>
      <w:r w:rsidR="00D521E1">
        <w:rPr>
          <w:sz w:val="26"/>
          <w:szCs w:val="26"/>
        </w:rPr>
        <w:t>Company provides electric service to Complainant’s residence and provided notice of the intent to install a smart meter at the address</w:t>
      </w:r>
      <w:r w:rsidR="00E16300">
        <w:rPr>
          <w:sz w:val="26"/>
          <w:szCs w:val="26"/>
        </w:rPr>
        <w:t xml:space="preserve">, per the </w:t>
      </w:r>
      <w:r w:rsidR="00DD5ED1" w:rsidRPr="00DD5ED1">
        <w:rPr>
          <w:sz w:val="26"/>
          <w:szCs w:val="26"/>
        </w:rPr>
        <w:t>Company</w:t>
      </w:r>
      <w:r w:rsidR="00E16300">
        <w:rPr>
          <w:sz w:val="26"/>
          <w:szCs w:val="26"/>
        </w:rPr>
        <w:t xml:space="preserve">’s duty to do so </w:t>
      </w:r>
      <w:r w:rsidRPr="00DD5ED1">
        <w:rPr>
          <w:sz w:val="26"/>
          <w:szCs w:val="26"/>
        </w:rPr>
        <w:t>by Act 129 of 2008, 66 Pa.</w:t>
      </w:r>
      <w:r w:rsidR="0065514C">
        <w:rPr>
          <w:sz w:val="26"/>
          <w:szCs w:val="26"/>
        </w:rPr>
        <w:t xml:space="preserve"> </w:t>
      </w:r>
      <w:r w:rsidRPr="00DD5ED1">
        <w:rPr>
          <w:sz w:val="26"/>
          <w:szCs w:val="26"/>
        </w:rPr>
        <w:t xml:space="preserve">C.S. § 2806.1 </w:t>
      </w:r>
      <w:r w:rsidRPr="00DD5ED1">
        <w:rPr>
          <w:i/>
          <w:iCs/>
          <w:sz w:val="26"/>
          <w:szCs w:val="26"/>
        </w:rPr>
        <w:t>et seq</w:t>
      </w:r>
      <w:r w:rsidRPr="00DD5ED1">
        <w:rPr>
          <w:sz w:val="26"/>
          <w:szCs w:val="26"/>
        </w:rPr>
        <w:t>.</w:t>
      </w:r>
      <w:r w:rsidR="00DD5ED1" w:rsidRPr="00DD5ED1">
        <w:rPr>
          <w:sz w:val="26"/>
          <w:szCs w:val="26"/>
        </w:rPr>
        <w:t xml:space="preserve">  </w:t>
      </w:r>
      <w:r w:rsidR="0065514C">
        <w:rPr>
          <w:sz w:val="26"/>
          <w:szCs w:val="26"/>
        </w:rPr>
        <w:t>Answer at 1</w:t>
      </w:r>
      <w:r w:rsidR="0065514C">
        <w:rPr>
          <w:sz w:val="26"/>
          <w:szCs w:val="26"/>
        </w:rPr>
        <w:noBreakHyphen/>
      </w:r>
      <w:r w:rsidR="00CB7BC2">
        <w:rPr>
          <w:sz w:val="26"/>
          <w:szCs w:val="26"/>
        </w:rPr>
        <w:t xml:space="preserve">5; </w:t>
      </w:r>
      <w:r w:rsidR="00DD5ED1" w:rsidRPr="00E16300">
        <w:rPr>
          <w:sz w:val="26"/>
          <w:szCs w:val="26"/>
        </w:rPr>
        <w:t xml:space="preserve">I.D. at </w:t>
      </w:r>
      <w:r w:rsidR="00E16300" w:rsidRPr="00E16300">
        <w:rPr>
          <w:sz w:val="26"/>
          <w:szCs w:val="26"/>
        </w:rPr>
        <w:t>2</w:t>
      </w:r>
      <w:r w:rsidR="00DD5ED1" w:rsidRPr="00E16300">
        <w:rPr>
          <w:sz w:val="26"/>
          <w:szCs w:val="26"/>
        </w:rPr>
        <w:t>.</w:t>
      </w:r>
    </w:p>
    <w:p w14:paraId="552EA0DD" w14:textId="78851E3E" w:rsidR="00E532DF" w:rsidRDefault="00CB7BC2" w:rsidP="00E532DF">
      <w:pPr>
        <w:pStyle w:val="Default"/>
        <w:spacing w:line="360" w:lineRule="auto"/>
        <w:ind w:firstLine="1440"/>
        <w:rPr>
          <w:sz w:val="26"/>
          <w:szCs w:val="26"/>
        </w:rPr>
      </w:pPr>
      <w:r>
        <w:rPr>
          <w:sz w:val="26"/>
          <w:szCs w:val="26"/>
        </w:rPr>
        <w:lastRenderedPageBreak/>
        <w:t>A</w:t>
      </w:r>
      <w:r w:rsidR="004F7ABC" w:rsidRPr="004F7ABC">
        <w:rPr>
          <w:sz w:val="26"/>
          <w:szCs w:val="26"/>
        </w:rPr>
        <w:t xml:space="preserve"> hearing </w:t>
      </w:r>
      <w:r w:rsidR="00E16300">
        <w:rPr>
          <w:sz w:val="26"/>
          <w:szCs w:val="26"/>
        </w:rPr>
        <w:t>was convened</w:t>
      </w:r>
      <w:r w:rsidR="004F7ABC" w:rsidRPr="004F7ABC">
        <w:rPr>
          <w:sz w:val="26"/>
          <w:szCs w:val="26"/>
        </w:rPr>
        <w:t xml:space="preserve"> </w:t>
      </w:r>
      <w:r w:rsidR="00E16300">
        <w:rPr>
          <w:sz w:val="26"/>
          <w:szCs w:val="26"/>
        </w:rPr>
        <w:t xml:space="preserve">as scheduled </w:t>
      </w:r>
      <w:r w:rsidR="004F7ABC" w:rsidRPr="004F7ABC">
        <w:rPr>
          <w:sz w:val="26"/>
          <w:szCs w:val="26"/>
        </w:rPr>
        <w:t xml:space="preserve">on May </w:t>
      </w:r>
      <w:r w:rsidR="00E16300">
        <w:rPr>
          <w:sz w:val="26"/>
          <w:szCs w:val="26"/>
        </w:rPr>
        <w:t xml:space="preserve">16, 2019.  </w:t>
      </w:r>
      <w:r w:rsidR="00E532DF" w:rsidRPr="00E532DF">
        <w:rPr>
          <w:sz w:val="26"/>
          <w:szCs w:val="26"/>
        </w:rPr>
        <w:t xml:space="preserve">The </w:t>
      </w:r>
      <w:r w:rsidR="004F7ABC" w:rsidRPr="004F7ABC">
        <w:rPr>
          <w:sz w:val="26"/>
          <w:szCs w:val="26"/>
        </w:rPr>
        <w:t xml:space="preserve">Complainant </w:t>
      </w:r>
      <w:r w:rsidR="00E16300">
        <w:rPr>
          <w:sz w:val="26"/>
          <w:szCs w:val="26"/>
        </w:rPr>
        <w:t xml:space="preserve">appeared in person, </w:t>
      </w:r>
      <w:r w:rsidR="00E16300" w:rsidRPr="00E16300">
        <w:rPr>
          <w:i/>
          <w:iCs/>
          <w:sz w:val="26"/>
          <w:szCs w:val="26"/>
        </w:rPr>
        <w:t>pro se</w:t>
      </w:r>
      <w:r w:rsidR="00B9344A">
        <w:rPr>
          <w:sz w:val="26"/>
          <w:szCs w:val="26"/>
        </w:rPr>
        <w:t xml:space="preserve">, </w:t>
      </w:r>
      <w:r w:rsidR="00A257BB">
        <w:rPr>
          <w:sz w:val="26"/>
          <w:szCs w:val="26"/>
        </w:rPr>
        <w:t>and t</w:t>
      </w:r>
      <w:r w:rsidR="00E16300">
        <w:rPr>
          <w:sz w:val="26"/>
          <w:szCs w:val="26"/>
        </w:rPr>
        <w:t>h</w:t>
      </w:r>
      <w:r w:rsidR="00B9344A">
        <w:rPr>
          <w:sz w:val="26"/>
          <w:szCs w:val="26"/>
        </w:rPr>
        <w:t>e</w:t>
      </w:r>
      <w:r w:rsidR="00E16300">
        <w:rPr>
          <w:sz w:val="26"/>
          <w:szCs w:val="26"/>
        </w:rPr>
        <w:t xml:space="preserve"> Company appeared represented by counsel, Devin Ryan, Esquire and Curtis Renner, Esquire</w:t>
      </w:r>
      <w:r w:rsidR="00A257BB">
        <w:rPr>
          <w:sz w:val="26"/>
          <w:szCs w:val="26"/>
        </w:rPr>
        <w:t>.</w:t>
      </w:r>
    </w:p>
    <w:p w14:paraId="78DE1C9E" w14:textId="77777777" w:rsidR="00E532DF" w:rsidRDefault="00E532DF" w:rsidP="00E532DF">
      <w:pPr>
        <w:pStyle w:val="Default"/>
        <w:spacing w:line="360" w:lineRule="auto"/>
        <w:ind w:firstLine="1440"/>
        <w:rPr>
          <w:sz w:val="26"/>
          <w:szCs w:val="26"/>
        </w:rPr>
      </w:pPr>
    </w:p>
    <w:p w14:paraId="7BFCCD89" w14:textId="66642094" w:rsidR="00B9344A" w:rsidRDefault="000817E0" w:rsidP="00E532DF">
      <w:pPr>
        <w:pStyle w:val="Default"/>
        <w:spacing w:line="360" w:lineRule="auto"/>
        <w:ind w:firstLine="1440"/>
        <w:rPr>
          <w:sz w:val="26"/>
          <w:szCs w:val="26"/>
        </w:rPr>
      </w:pPr>
      <w:r>
        <w:rPr>
          <w:sz w:val="26"/>
          <w:szCs w:val="26"/>
        </w:rPr>
        <w:t>T</w:t>
      </w:r>
      <w:r w:rsidR="00B9344A">
        <w:rPr>
          <w:sz w:val="26"/>
          <w:szCs w:val="26"/>
        </w:rPr>
        <w:t xml:space="preserve">he record closed on June 24, 2019.  </w:t>
      </w:r>
    </w:p>
    <w:p w14:paraId="2C65EF97" w14:textId="77777777" w:rsidR="00B9344A" w:rsidRDefault="00B9344A" w:rsidP="00E532DF">
      <w:pPr>
        <w:widowControl/>
        <w:spacing w:line="360" w:lineRule="auto"/>
        <w:ind w:firstLine="1440"/>
        <w:rPr>
          <w:rFonts w:eastAsiaTheme="minorHAnsi"/>
          <w:color w:val="000000"/>
          <w:sz w:val="26"/>
          <w:szCs w:val="26"/>
        </w:rPr>
      </w:pPr>
    </w:p>
    <w:p w14:paraId="279D0E9E" w14:textId="2A42CC05" w:rsidR="00D13E44" w:rsidRDefault="00186CEC" w:rsidP="00D704F2">
      <w:pPr>
        <w:widowControl/>
        <w:spacing w:line="360" w:lineRule="auto"/>
        <w:ind w:firstLine="1440"/>
        <w:rPr>
          <w:rFonts w:eastAsiaTheme="minorHAnsi"/>
          <w:color w:val="000000"/>
          <w:sz w:val="26"/>
          <w:szCs w:val="26"/>
        </w:rPr>
      </w:pPr>
      <w:r>
        <w:rPr>
          <w:rFonts w:eastAsiaTheme="minorHAnsi"/>
          <w:color w:val="000000"/>
          <w:sz w:val="26"/>
          <w:szCs w:val="26"/>
        </w:rPr>
        <w:t>On</w:t>
      </w:r>
      <w:r w:rsidR="005213A8">
        <w:rPr>
          <w:rFonts w:eastAsiaTheme="minorHAnsi"/>
          <w:color w:val="000000"/>
          <w:sz w:val="26"/>
          <w:szCs w:val="26"/>
        </w:rPr>
        <w:t xml:space="preserve"> </w:t>
      </w:r>
      <w:r w:rsidR="00B9344A">
        <w:rPr>
          <w:rFonts w:eastAsiaTheme="minorHAnsi"/>
          <w:color w:val="000000"/>
          <w:sz w:val="26"/>
          <w:szCs w:val="26"/>
        </w:rPr>
        <w:t xml:space="preserve">July 17, 2019, </w:t>
      </w:r>
      <w:r>
        <w:rPr>
          <w:rFonts w:eastAsiaTheme="minorHAnsi"/>
          <w:color w:val="000000"/>
          <w:sz w:val="26"/>
          <w:szCs w:val="26"/>
        </w:rPr>
        <w:t xml:space="preserve">the Commission </w:t>
      </w:r>
      <w:r w:rsidR="00397292">
        <w:rPr>
          <w:rFonts w:eastAsiaTheme="minorHAnsi"/>
          <w:color w:val="000000"/>
          <w:sz w:val="26"/>
          <w:szCs w:val="26"/>
        </w:rPr>
        <w:t>served</w:t>
      </w:r>
      <w:r>
        <w:rPr>
          <w:rFonts w:eastAsiaTheme="minorHAnsi"/>
          <w:color w:val="000000"/>
          <w:sz w:val="26"/>
          <w:szCs w:val="26"/>
        </w:rPr>
        <w:t xml:space="preserve"> the Initial Decision of ALJ </w:t>
      </w:r>
      <w:r w:rsidR="00B9344A">
        <w:rPr>
          <w:rFonts w:eastAsiaTheme="minorHAnsi"/>
          <w:color w:val="000000"/>
          <w:sz w:val="26"/>
          <w:szCs w:val="26"/>
        </w:rPr>
        <w:t>Barnes</w:t>
      </w:r>
      <w:r>
        <w:rPr>
          <w:rFonts w:eastAsiaTheme="minorHAnsi"/>
          <w:color w:val="000000"/>
          <w:sz w:val="26"/>
          <w:szCs w:val="26"/>
        </w:rPr>
        <w:t>.</w:t>
      </w:r>
      <w:r w:rsidR="00E86C6A">
        <w:rPr>
          <w:rFonts w:eastAsiaTheme="minorHAnsi"/>
          <w:color w:val="000000"/>
          <w:sz w:val="26"/>
          <w:szCs w:val="26"/>
        </w:rPr>
        <w:t xml:space="preserve">  As previously noted, the Complainant filed Exceptions on </w:t>
      </w:r>
      <w:r w:rsidR="00B9344A">
        <w:rPr>
          <w:rFonts w:eastAsiaTheme="minorHAnsi"/>
          <w:color w:val="000000"/>
          <w:sz w:val="26"/>
          <w:szCs w:val="26"/>
        </w:rPr>
        <w:t>August 2, 2019</w:t>
      </w:r>
      <w:r w:rsidR="00E86C6A">
        <w:rPr>
          <w:rFonts w:eastAsiaTheme="minorHAnsi"/>
          <w:color w:val="000000"/>
          <w:sz w:val="26"/>
          <w:szCs w:val="26"/>
        </w:rPr>
        <w:t>, and P</w:t>
      </w:r>
      <w:r w:rsidR="00B9344A">
        <w:rPr>
          <w:rFonts w:eastAsiaTheme="minorHAnsi"/>
          <w:color w:val="000000"/>
          <w:sz w:val="26"/>
          <w:szCs w:val="26"/>
        </w:rPr>
        <w:t>PL</w:t>
      </w:r>
      <w:r w:rsidR="00E86C6A">
        <w:rPr>
          <w:rFonts w:eastAsiaTheme="minorHAnsi"/>
          <w:color w:val="000000"/>
          <w:sz w:val="26"/>
          <w:szCs w:val="26"/>
        </w:rPr>
        <w:t xml:space="preserve"> filed Replies to Exceptions on </w:t>
      </w:r>
      <w:r w:rsidR="00B9344A">
        <w:rPr>
          <w:rFonts w:eastAsiaTheme="minorHAnsi"/>
          <w:color w:val="000000"/>
          <w:sz w:val="26"/>
          <w:szCs w:val="26"/>
        </w:rPr>
        <w:t>August 16, 2019</w:t>
      </w:r>
      <w:r w:rsidR="00E86C6A">
        <w:rPr>
          <w:rFonts w:eastAsiaTheme="minorHAnsi"/>
          <w:color w:val="000000"/>
          <w:sz w:val="26"/>
          <w:szCs w:val="26"/>
        </w:rPr>
        <w:t>.</w:t>
      </w:r>
      <w:r w:rsidR="009133D1">
        <w:rPr>
          <w:rFonts w:eastAsiaTheme="minorHAnsi"/>
          <w:color w:val="000000"/>
          <w:sz w:val="26"/>
          <w:szCs w:val="26"/>
        </w:rPr>
        <w:t xml:space="preserve">  </w:t>
      </w:r>
      <w:r w:rsidR="00CC2E2A">
        <w:rPr>
          <w:sz w:val="26"/>
          <w:szCs w:val="26"/>
        </w:rPr>
        <w:t>The Exceptions and Replies are</w:t>
      </w:r>
      <w:r w:rsidR="00E532DF">
        <w:rPr>
          <w:sz w:val="26"/>
          <w:szCs w:val="26"/>
        </w:rPr>
        <w:t xml:space="preserve"> the subject of</w:t>
      </w:r>
      <w:r w:rsidR="00CC2E2A">
        <w:rPr>
          <w:sz w:val="26"/>
          <w:szCs w:val="26"/>
        </w:rPr>
        <w:t xml:space="preserve"> our consideration and disposition</w:t>
      </w:r>
      <w:r w:rsidR="00E532DF">
        <w:rPr>
          <w:sz w:val="26"/>
          <w:szCs w:val="26"/>
        </w:rPr>
        <w:t xml:space="preserve"> below</w:t>
      </w:r>
      <w:r w:rsidR="00CC2E2A">
        <w:rPr>
          <w:sz w:val="26"/>
          <w:szCs w:val="26"/>
        </w:rPr>
        <w:t>.</w:t>
      </w:r>
    </w:p>
    <w:p w14:paraId="4F468350" w14:textId="77777777" w:rsidR="001C2D5B" w:rsidRDefault="001C2D5B" w:rsidP="00D13E44">
      <w:pPr>
        <w:keepNext/>
        <w:keepLines/>
        <w:widowControl/>
        <w:spacing w:line="360" w:lineRule="auto"/>
        <w:rPr>
          <w:rFonts w:eastAsiaTheme="minorHAnsi"/>
          <w:color w:val="000000"/>
          <w:sz w:val="26"/>
          <w:szCs w:val="26"/>
        </w:rPr>
      </w:pPr>
    </w:p>
    <w:p w14:paraId="5F286B94" w14:textId="77777777" w:rsidR="001B0C5E" w:rsidRPr="00A707C9" w:rsidRDefault="00A707C9" w:rsidP="002625EC">
      <w:pPr>
        <w:keepNext/>
        <w:keepLines/>
        <w:widowControl/>
        <w:spacing w:line="360" w:lineRule="auto"/>
        <w:contextualSpacing/>
        <w:jc w:val="center"/>
        <w:rPr>
          <w:b/>
          <w:sz w:val="26"/>
          <w:szCs w:val="26"/>
        </w:rPr>
      </w:pPr>
      <w:r w:rsidRPr="00A707C9">
        <w:rPr>
          <w:b/>
          <w:sz w:val="26"/>
          <w:szCs w:val="26"/>
        </w:rPr>
        <w:t>II</w:t>
      </w:r>
      <w:r w:rsidR="00B73D28">
        <w:rPr>
          <w:b/>
          <w:sz w:val="26"/>
          <w:szCs w:val="26"/>
        </w:rPr>
        <w:t>I</w:t>
      </w:r>
      <w:r w:rsidRPr="00A707C9">
        <w:rPr>
          <w:b/>
          <w:sz w:val="26"/>
          <w:szCs w:val="26"/>
        </w:rPr>
        <w:t>.</w:t>
      </w:r>
      <w:r w:rsidRPr="00A707C9">
        <w:rPr>
          <w:b/>
          <w:sz w:val="26"/>
          <w:szCs w:val="26"/>
        </w:rPr>
        <w:tab/>
        <w:t>Discussion</w:t>
      </w:r>
    </w:p>
    <w:p w14:paraId="2CB3EC9A" w14:textId="77777777" w:rsidR="00A707C9" w:rsidRDefault="00A707C9" w:rsidP="002625EC">
      <w:pPr>
        <w:keepNext/>
        <w:keepLines/>
        <w:widowControl/>
        <w:spacing w:line="360" w:lineRule="auto"/>
        <w:ind w:firstLine="1440"/>
        <w:contextualSpacing/>
        <w:rPr>
          <w:sz w:val="26"/>
          <w:szCs w:val="26"/>
        </w:rPr>
      </w:pPr>
    </w:p>
    <w:p w14:paraId="0D888FA3" w14:textId="77777777" w:rsidR="009644F4" w:rsidRPr="00431FCF" w:rsidRDefault="006164CC" w:rsidP="002625EC">
      <w:pPr>
        <w:keepNext/>
        <w:keepLines/>
        <w:widowControl/>
        <w:spacing w:line="360" w:lineRule="auto"/>
        <w:contextualSpacing/>
        <w:rPr>
          <w:b/>
          <w:sz w:val="26"/>
          <w:szCs w:val="26"/>
        </w:rPr>
      </w:pPr>
      <w:r w:rsidRPr="00431FCF">
        <w:rPr>
          <w:b/>
          <w:sz w:val="26"/>
          <w:szCs w:val="26"/>
        </w:rPr>
        <w:t>A.</w:t>
      </w:r>
      <w:r w:rsidR="00545BA8">
        <w:rPr>
          <w:b/>
          <w:sz w:val="26"/>
          <w:szCs w:val="26"/>
        </w:rPr>
        <w:tab/>
      </w:r>
      <w:r w:rsidRPr="00431FCF">
        <w:rPr>
          <w:b/>
          <w:sz w:val="26"/>
          <w:szCs w:val="26"/>
        </w:rPr>
        <w:t xml:space="preserve">Legal </w:t>
      </w:r>
      <w:r w:rsidR="00431FCF" w:rsidRPr="00431FCF">
        <w:rPr>
          <w:b/>
          <w:sz w:val="26"/>
          <w:szCs w:val="26"/>
        </w:rPr>
        <w:t>Standards</w:t>
      </w:r>
    </w:p>
    <w:p w14:paraId="4AFB22D3" w14:textId="77777777" w:rsidR="006164CC" w:rsidRDefault="006164CC" w:rsidP="002625EC">
      <w:pPr>
        <w:keepNext/>
        <w:keepLines/>
        <w:widowControl/>
        <w:spacing w:line="360" w:lineRule="auto"/>
        <w:contextualSpacing/>
        <w:rPr>
          <w:sz w:val="26"/>
          <w:szCs w:val="26"/>
        </w:rPr>
      </w:pPr>
    </w:p>
    <w:p w14:paraId="1F73E4DA" w14:textId="77777777" w:rsidR="00545BA8" w:rsidRDefault="00545BA8" w:rsidP="00545BA8">
      <w:pPr>
        <w:widowControl/>
        <w:spacing w:line="360" w:lineRule="auto"/>
        <w:ind w:firstLine="1440"/>
        <w:contextualSpacing/>
        <w:rPr>
          <w:sz w:val="26"/>
          <w:szCs w:val="26"/>
        </w:rPr>
      </w:pPr>
      <w:r w:rsidRPr="00545BA8">
        <w:rPr>
          <w:sz w:val="26"/>
          <w:szCs w:val="26"/>
        </w:rPr>
        <w:t xml:space="preserve">As a matter of law, to establish a legally sufficient claim, a complainant must show that the named utility is responsible or accountable for the problem described in the complaint in order to prevail.  </w:t>
      </w:r>
      <w:r w:rsidRPr="00545BA8">
        <w:rPr>
          <w:i/>
          <w:sz w:val="26"/>
          <w:szCs w:val="26"/>
        </w:rPr>
        <w:t>Patterson v. The Bell Telephone Company of Pennsylvania</w:t>
      </w:r>
      <w:r w:rsidRPr="00545BA8">
        <w:rPr>
          <w:sz w:val="26"/>
          <w:szCs w:val="26"/>
        </w:rPr>
        <w:t xml:space="preserve">, 72 Pa. P.U.C. 196 (1990).  The offense must be a violation of the Public Utility Code (Code), a Commission Regulation or Order or a violation of a Commission-approved tariff.  66 Pa. C.S. § 701.  </w:t>
      </w:r>
    </w:p>
    <w:p w14:paraId="3C1F3DC3" w14:textId="77777777" w:rsidR="00163A41" w:rsidRPr="00545BA8" w:rsidRDefault="00163A41" w:rsidP="00545BA8">
      <w:pPr>
        <w:widowControl/>
        <w:spacing w:line="360" w:lineRule="auto"/>
        <w:ind w:firstLine="1440"/>
        <w:contextualSpacing/>
        <w:rPr>
          <w:sz w:val="26"/>
          <w:szCs w:val="26"/>
        </w:rPr>
      </w:pPr>
    </w:p>
    <w:p w14:paraId="15912F05" w14:textId="370FB64B" w:rsidR="00545BA8" w:rsidRPr="00545BA8" w:rsidRDefault="00545BA8" w:rsidP="00545BA8">
      <w:pPr>
        <w:widowControl/>
        <w:spacing w:line="360" w:lineRule="auto"/>
        <w:ind w:firstLine="1440"/>
        <w:rPr>
          <w:sz w:val="26"/>
          <w:szCs w:val="26"/>
        </w:rPr>
      </w:pPr>
      <w:r w:rsidRPr="00545BA8">
        <w:rPr>
          <w:sz w:val="26"/>
          <w:szCs w:val="26"/>
        </w:rPr>
        <w:t xml:space="preserve">As the party seeking affirmative relief from the Commission, the complainant in a formal complaint proceeding has the burden of proof.  66 Pa. C.S. § 332(a).  The burden of proof is the “preponderance of the evidence” standard.  </w:t>
      </w:r>
      <w:proofErr w:type="spellStart"/>
      <w:r w:rsidRPr="00545BA8">
        <w:rPr>
          <w:i/>
          <w:sz w:val="26"/>
          <w:szCs w:val="26"/>
        </w:rPr>
        <w:t>Suber</w:t>
      </w:r>
      <w:proofErr w:type="spellEnd"/>
      <w:r w:rsidRPr="00545BA8">
        <w:rPr>
          <w:i/>
          <w:sz w:val="26"/>
          <w:szCs w:val="26"/>
        </w:rPr>
        <w:t xml:space="preserve"> v. Pennsylvania </w:t>
      </w:r>
      <w:proofErr w:type="spellStart"/>
      <w:r w:rsidRPr="00545BA8">
        <w:rPr>
          <w:i/>
          <w:sz w:val="26"/>
          <w:szCs w:val="26"/>
        </w:rPr>
        <w:t>Com’n</w:t>
      </w:r>
      <w:proofErr w:type="spellEnd"/>
      <w:r w:rsidRPr="00545BA8">
        <w:rPr>
          <w:i/>
          <w:sz w:val="26"/>
          <w:szCs w:val="26"/>
        </w:rPr>
        <w:t xml:space="preserve"> on Crime and </w:t>
      </w:r>
      <w:r w:rsidR="00512775" w:rsidRPr="00545BA8">
        <w:rPr>
          <w:i/>
          <w:sz w:val="26"/>
          <w:szCs w:val="26"/>
        </w:rPr>
        <w:t>Delinquency</w:t>
      </w:r>
      <w:r w:rsidRPr="00545BA8">
        <w:rPr>
          <w:sz w:val="26"/>
          <w:szCs w:val="26"/>
        </w:rPr>
        <w:t xml:space="preserve">, 885 A. 2d 678, 682 (Pa. </w:t>
      </w:r>
      <w:proofErr w:type="spellStart"/>
      <w:r w:rsidRPr="00545BA8">
        <w:rPr>
          <w:sz w:val="26"/>
          <w:szCs w:val="26"/>
        </w:rPr>
        <w:t>Cmwlth</w:t>
      </w:r>
      <w:proofErr w:type="spellEnd"/>
      <w:r w:rsidRPr="00545BA8">
        <w:rPr>
          <w:sz w:val="26"/>
          <w:szCs w:val="26"/>
        </w:rPr>
        <w:t>. 2005) (</w:t>
      </w:r>
      <w:proofErr w:type="spellStart"/>
      <w:r w:rsidRPr="00545BA8">
        <w:rPr>
          <w:i/>
          <w:sz w:val="26"/>
          <w:szCs w:val="26"/>
        </w:rPr>
        <w:t>Suber</w:t>
      </w:r>
      <w:proofErr w:type="spellEnd"/>
      <w:r w:rsidRPr="00545BA8">
        <w:rPr>
          <w:sz w:val="26"/>
          <w:szCs w:val="26"/>
        </w:rPr>
        <w:t xml:space="preserve">); </w:t>
      </w:r>
      <w:r w:rsidRPr="00545BA8">
        <w:rPr>
          <w:i/>
          <w:iCs/>
          <w:sz w:val="26"/>
          <w:szCs w:val="26"/>
        </w:rPr>
        <w:t xml:space="preserve">Samuel J. </w:t>
      </w:r>
      <w:proofErr w:type="spellStart"/>
      <w:r w:rsidRPr="00545BA8">
        <w:rPr>
          <w:i/>
          <w:iCs/>
          <w:sz w:val="26"/>
          <w:szCs w:val="26"/>
        </w:rPr>
        <w:t>Lansberry</w:t>
      </w:r>
      <w:proofErr w:type="spellEnd"/>
      <w:r w:rsidRPr="00545BA8">
        <w:rPr>
          <w:i/>
          <w:iCs/>
          <w:sz w:val="26"/>
          <w:szCs w:val="26"/>
        </w:rPr>
        <w:t>, Inc. v. Pa. PUC</w:t>
      </w:r>
      <w:r w:rsidRPr="00545BA8">
        <w:rPr>
          <w:sz w:val="26"/>
          <w:szCs w:val="26"/>
        </w:rPr>
        <w:t xml:space="preserve">, 578 A.2d 600 (Pa. </w:t>
      </w:r>
      <w:proofErr w:type="spellStart"/>
      <w:r w:rsidRPr="00545BA8">
        <w:rPr>
          <w:sz w:val="26"/>
          <w:szCs w:val="26"/>
        </w:rPr>
        <w:t>Cmwlth</w:t>
      </w:r>
      <w:proofErr w:type="spellEnd"/>
      <w:r w:rsidRPr="00545BA8">
        <w:rPr>
          <w:sz w:val="26"/>
          <w:szCs w:val="26"/>
        </w:rPr>
        <w:t xml:space="preserve">. 1990), </w:t>
      </w:r>
      <w:proofErr w:type="spellStart"/>
      <w:r w:rsidRPr="00545BA8">
        <w:rPr>
          <w:i/>
          <w:sz w:val="26"/>
          <w:szCs w:val="26"/>
        </w:rPr>
        <w:t>alloc</w:t>
      </w:r>
      <w:proofErr w:type="spellEnd"/>
      <w:r w:rsidRPr="00545BA8">
        <w:rPr>
          <w:i/>
          <w:sz w:val="26"/>
          <w:szCs w:val="26"/>
        </w:rPr>
        <w:t>. denied,</w:t>
      </w:r>
      <w:r w:rsidRPr="00545BA8">
        <w:rPr>
          <w:sz w:val="26"/>
          <w:szCs w:val="26"/>
        </w:rPr>
        <w:t xml:space="preserve"> 529 Pa. 654, 602 A.2d 863 (1992) (</w:t>
      </w:r>
      <w:proofErr w:type="spellStart"/>
      <w:r w:rsidRPr="00545BA8">
        <w:rPr>
          <w:i/>
          <w:sz w:val="26"/>
          <w:szCs w:val="26"/>
        </w:rPr>
        <w:t>Lansberry</w:t>
      </w:r>
      <w:proofErr w:type="spellEnd"/>
      <w:r w:rsidRPr="00545BA8">
        <w:rPr>
          <w:sz w:val="26"/>
          <w:szCs w:val="26"/>
        </w:rPr>
        <w:t xml:space="preserve">); </w:t>
      </w:r>
      <w:r w:rsidRPr="00545BA8">
        <w:rPr>
          <w:i/>
          <w:sz w:val="26"/>
          <w:szCs w:val="26"/>
        </w:rPr>
        <w:t>see also</w:t>
      </w:r>
      <w:r w:rsidRPr="00545BA8">
        <w:rPr>
          <w:rFonts w:cs="Arial"/>
          <w:i/>
          <w:sz w:val="26"/>
          <w:szCs w:val="21"/>
        </w:rPr>
        <w:t xml:space="preserve"> </w:t>
      </w:r>
      <w:r w:rsidRPr="00545BA8">
        <w:rPr>
          <w:i/>
          <w:iCs/>
          <w:sz w:val="26"/>
          <w:szCs w:val="26"/>
        </w:rPr>
        <w:t>North American Coal Corp. v. Air Pollution Commission</w:t>
      </w:r>
      <w:r w:rsidRPr="00545BA8">
        <w:rPr>
          <w:sz w:val="26"/>
          <w:szCs w:val="26"/>
        </w:rPr>
        <w:t xml:space="preserve">, 279 A.2d 356 (Pa. </w:t>
      </w:r>
      <w:proofErr w:type="spellStart"/>
      <w:r w:rsidRPr="00545BA8">
        <w:rPr>
          <w:sz w:val="26"/>
          <w:szCs w:val="26"/>
        </w:rPr>
        <w:t>Cmwlth</w:t>
      </w:r>
      <w:proofErr w:type="spellEnd"/>
      <w:r w:rsidRPr="00545BA8">
        <w:rPr>
          <w:sz w:val="26"/>
          <w:szCs w:val="26"/>
        </w:rPr>
        <w:t xml:space="preserve">. 1971).  To establish a </w:t>
      </w:r>
      <w:r w:rsidRPr="00545BA8">
        <w:rPr>
          <w:sz w:val="26"/>
          <w:szCs w:val="26"/>
        </w:rPr>
        <w:lastRenderedPageBreak/>
        <w:t xml:space="preserve">fact or claim by a preponderance of the evidence means to offer the greater weight of the evidence, or evidence that outweighs, or is more convincing than, by even the smallest amount, the probative value of the evidence presented by the other party.  </w:t>
      </w:r>
      <w:r w:rsidRPr="00545BA8">
        <w:rPr>
          <w:i/>
          <w:sz w:val="26"/>
          <w:szCs w:val="26"/>
        </w:rPr>
        <w:t xml:space="preserve">See </w:t>
      </w:r>
      <w:r w:rsidRPr="00545BA8">
        <w:rPr>
          <w:i/>
          <w:iCs/>
          <w:sz w:val="26"/>
          <w:szCs w:val="26"/>
        </w:rPr>
        <w:t>Se-Ling Hosiery, Inc. v. Margulies</w:t>
      </w:r>
      <w:r w:rsidRPr="00545BA8">
        <w:rPr>
          <w:sz w:val="26"/>
          <w:szCs w:val="26"/>
        </w:rPr>
        <w:t>, 364 Pa. 45, 48-49, 70 A.2d 854, 855 (1950).</w:t>
      </w:r>
    </w:p>
    <w:p w14:paraId="7DC589BC" w14:textId="77777777" w:rsidR="00545BA8" w:rsidRPr="00545BA8" w:rsidRDefault="00545BA8" w:rsidP="00545BA8">
      <w:pPr>
        <w:widowControl/>
        <w:spacing w:line="360" w:lineRule="auto"/>
        <w:ind w:firstLine="1440"/>
        <w:rPr>
          <w:sz w:val="26"/>
          <w:szCs w:val="26"/>
        </w:rPr>
      </w:pPr>
    </w:p>
    <w:p w14:paraId="677ADC64" w14:textId="31EDCB7F" w:rsidR="00545BA8" w:rsidRPr="00545BA8" w:rsidRDefault="00545BA8" w:rsidP="000817E0">
      <w:pPr>
        <w:widowControl/>
        <w:spacing w:line="360" w:lineRule="auto"/>
        <w:ind w:firstLine="1440"/>
        <w:rPr>
          <w:sz w:val="26"/>
          <w:szCs w:val="26"/>
        </w:rPr>
      </w:pPr>
      <w:r w:rsidRPr="00545BA8">
        <w:rPr>
          <w:sz w:val="26"/>
          <w:szCs w:val="26"/>
        </w:rPr>
        <w:t xml:space="preserve">The burden of proof is comprised of two distinct burdens:  the burden of production and the burden of persuasion.  </w:t>
      </w:r>
      <w:r w:rsidRPr="00545BA8">
        <w:rPr>
          <w:i/>
          <w:sz w:val="26"/>
          <w:szCs w:val="26"/>
        </w:rPr>
        <w:t>Hurley v. Hurley</w:t>
      </w:r>
      <w:r w:rsidRPr="00545BA8">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545BA8">
        <w:rPr>
          <w:i/>
          <w:sz w:val="26"/>
          <w:szCs w:val="26"/>
        </w:rPr>
        <w:t>Scott and Linda Moore v. National Fuel Gas Distribution</w:t>
      </w:r>
      <w:r w:rsidRPr="00545BA8">
        <w:rPr>
          <w:sz w:val="26"/>
          <w:szCs w:val="26"/>
        </w:rPr>
        <w:t>, Docket No. C-2014-2458555 (Initial Decision issued May 11, 2015) (</w:t>
      </w:r>
      <w:r w:rsidRPr="00545BA8">
        <w:rPr>
          <w:i/>
          <w:sz w:val="26"/>
          <w:szCs w:val="26"/>
        </w:rPr>
        <w:t>Moore</w:t>
      </w:r>
      <w:r w:rsidRPr="00545BA8">
        <w:rPr>
          <w:sz w:val="26"/>
          <w:szCs w:val="26"/>
        </w:rPr>
        <w:t xml:space="preserve">).  The burden of production goes to the legal sufficiency of a party’s claim or affirmative defense.  </w:t>
      </w:r>
      <w:r w:rsidRPr="00545BA8">
        <w:rPr>
          <w:i/>
          <w:sz w:val="26"/>
          <w:szCs w:val="26"/>
        </w:rPr>
        <w:t xml:space="preserve">See </w:t>
      </w:r>
      <w:r w:rsidR="001A2E0A">
        <w:rPr>
          <w:i/>
          <w:sz w:val="26"/>
          <w:szCs w:val="26"/>
        </w:rPr>
        <w:t>Moore</w:t>
      </w:r>
      <w:r w:rsidRPr="00545BA8">
        <w:rPr>
          <w:sz w:val="26"/>
          <w:szCs w:val="26"/>
        </w:rPr>
        <w:t xml:space="preserve">.  It may shift between the parties during a hearing.  A complainant may establish a </w:t>
      </w:r>
      <w:r w:rsidRPr="00545BA8">
        <w:rPr>
          <w:i/>
          <w:iCs/>
          <w:sz w:val="26"/>
          <w:szCs w:val="26"/>
        </w:rPr>
        <w:t xml:space="preserve">prima facie </w:t>
      </w:r>
      <w:r w:rsidRPr="00545BA8">
        <w:rPr>
          <w:sz w:val="26"/>
          <w:szCs w:val="26"/>
        </w:rPr>
        <w:t xml:space="preserve">case with circumstantial evidence.  </w:t>
      </w:r>
      <w:r w:rsidRPr="00545BA8">
        <w:rPr>
          <w:i/>
          <w:sz w:val="26"/>
          <w:szCs w:val="26"/>
        </w:rPr>
        <w:t>See</w:t>
      </w:r>
      <w:r w:rsidRPr="00545BA8">
        <w:rPr>
          <w:sz w:val="26"/>
          <w:szCs w:val="26"/>
        </w:rPr>
        <w:t xml:space="preserve"> </w:t>
      </w:r>
      <w:proofErr w:type="spellStart"/>
      <w:r w:rsidRPr="00545BA8">
        <w:rPr>
          <w:i/>
          <w:iCs/>
          <w:sz w:val="26"/>
          <w:szCs w:val="26"/>
        </w:rPr>
        <w:t>Milkie</w:t>
      </w:r>
      <w:proofErr w:type="spellEnd"/>
      <w:r w:rsidRPr="00545BA8">
        <w:rPr>
          <w:i/>
          <w:iCs/>
          <w:sz w:val="26"/>
          <w:szCs w:val="26"/>
        </w:rPr>
        <w:t xml:space="preserve"> v. Pa. </w:t>
      </w:r>
      <w:r w:rsidR="00261020">
        <w:rPr>
          <w:i/>
          <w:iCs/>
          <w:sz w:val="26"/>
          <w:szCs w:val="26"/>
        </w:rPr>
        <w:t>PUC</w:t>
      </w:r>
      <w:r w:rsidR="00261020" w:rsidRPr="00261020">
        <w:rPr>
          <w:sz w:val="26"/>
          <w:szCs w:val="26"/>
        </w:rPr>
        <w:t>,</w:t>
      </w:r>
      <w:r w:rsidRPr="00545BA8">
        <w:rPr>
          <w:sz w:val="26"/>
          <w:szCs w:val="26"/>
        </w:rPr>
        <w:t xml:space="preserve"> 768 A.2d 1217, 1220 (Pa. </w:t>
      </w:r>
      <w:proofErr w:type="spellStart"/>
      <w:r w:rsidRPr="00545BA8">
        <w:rPr>
          <w:sz w:val="26"/>
          <w:szCs w:val="26"/>
        </w:rPr>
        <w:t>Cmwlth</w:t>
      </w:r>
      <w:proofErr w:type="spellEnd"/>
      <w:r w:rsidRPr="00545BA8">
        <w:rPr>
          <w:sz w:val="26"/>
          <w:szCs w:val="26"/>
        </w:rPr>
        <w:t>. 2001) (</w:t>
      </w:r>
      <w:proofErr w:type="spellStart"/>
      <w:r w:rsidRPr="00545BA8">
        <w:rPr>
          <w:i/>
          <w:sz w:val="26"/>
          <w:szCs w:val="26"/>
        </w:rPr>
        <w:t>Milkie</w:t>
      </w:r>
      <w:proofErr w:type="spellEnd"/>
      <w:r w:rsidRPr="00545BA8">
        <w:rPr>
          <w:sz w:val="26"/>
          <w:szCs w:val="26"/>
        </w:rPr>
        <w:t xml:space="preserve">).  </w:t>
      </w:r>
      <w:r w:rsidRPr="00545BA8">
        <w:rPr>
          <w:sz w:val="26"/>
        </w:rPr>
        <w:t xml:space="preserve">If a complainant introduces sufficient evidence to establish legal sufficiency of the claim, also called a </w:t>
      </w:r>
      <w:r w:rsidRPr="00545BA8">
        <w:rPr>
          <w:i/>
          <w:sz w:val="26"/>
        </w:rPr>
        <w:t>prima facie</w:t>
      </w:r>
      <w:r w:rsidRPr="00545BA8">
        <w:rPr>
          <w:sz w:val="26"/>
        </w:rPr>
        <w:t xml:space="preserve"> case, the burden of production shifts to the utility to rebut the complainant’s evidence.  </w:t>
      </w:r>
      <w:r w:rsidRPr="00545BA8">
        <w:rPr>
          <w:i/>
          <w:sz w:val="26"/>
          <w:szCs w:val="26"/>
        </w:rPr>
        <w:t>See Moore</w:t>
      </w:r>
      <w:r w:rsidR="00E56517">
        <w:rPr>
          <w:sz w:val="26"/>
          <w:szCs w:val="26"/>
        </w:rPr>
        <w:t xml:space="preserve">; </w:t>
      </w:r>
      <w:r w:rsidR="00E56517" w:rsidRPr="00D704F2">
        <w:rPr>
          <w:i/>
          <w:iCs/>
          <w:sz w:val="26"/>
          <w:szCs w:val="26"/>
        </w:rPr>
        <w:t>see also</w:t>
      </w:r>
      <w:r w:rsidR="00E56517" w:rsidRPr="00E56517">
        <w:rPr>
          <w:i/>
          <w:iCs/>
          <w:sz w:val="26"/>
          <w:szCs w:val="26"/>
        </w:rPr>
        <w:t xml:space="preserve"> </w:t>
      </w:r>
      <w:r w:rsidR="00E56517" w:rsidRPr="00B26CD4">
        <w:rPr>
          <w:i/>
          <w:iCs/>
          <w:sz w:val="26"/>
          <w:szCs w:val="26"/>
        </w:rPr>
        <w:t>MacDonald v. Pa. R.R. Co.</w:t>
      </w:r>
      <w:r w:rsidR="00E56517">
        <w:rPr>
          <w:sz w:val="26"/>
          <w:szCs w:val="26"/>
        </w:rPr>
        <w:t>, 348 Pa. 558, 36 A.2d 492 (1944).</w:t>
      </w:r>
    </w:p>
    <w:p w14:paraId="6F65D1E6" w14:textId="77777777" w:rsidR="00545BA8" w:rsidRPr="00545BA8" w:rsidRDefault="00545BA8" w:rsidP="00545BA8">
      <w:pPr>
        <w:widowControl/>
        <w:spacing w:line="360" w:lineRule="auto"/>
        <w:ind w:firstLine="1440"/>
        <w:rPr>
          <w:sz w:val="26"/>
        </w:rPr>
      </w:pPr>
    </w:p>
    <w:p w14:paraId="30326223" w14:textId="59DE68C7" w:rsidR="00545BA8" w:rsidRPr="00545BA8" w:rsidRDefault="00545BA8" w:rsidP="00545BA8">
      <w:pPr>
        <w:widowControl/>
        <w:spacing w:line="360" w:lineRule="auto"/>
        <w:ind w:firstLine="1440"/>
        <w:rPr>
          <w:iCs/>
          <w:sz w:val="26"/>
        </w:rPr>
      </w:pPr>
      <w:r w:rsidRPr="00545BA8">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545BA8">
        <w:rPr>
          <w:i/>
          <w:sz w:val="26"/>
        </w:rPr>
        <w:t xml:space="preserve">See </w:t>
      </w:r>
      <w:proofErr w:type="spellStart"/>
      <w:r w:rsidRPr="00545BA8">
        <w:rPr>
          <w:i/>
          <w:sz w:val="26"/>
        </w:rPr>
        <w:t>Milkie</w:t>
      </w:r>
      <w:proofErr w:type="spellEnd"/>
      <w:r w:rsidRPr="00545BA8">
        <w:rPr>
          <w:iCs/>
          <w:sz w:val="26"/>
        </w:rPr>
        <w:t>,</w:t>
      </w:r>
      <w:r w:rsidRPr="00545BA8">
        <w:rPr>
          <w:i/>
          <w:sz w:val="26"/>
        </w:rPr>
        <w:t xml:space="preserve"> </w:t>
      </w:r>
      <w:r w:rsidRPr="00545BA8">
        <w:rPr>
          <w:sz w:val="26"/>
        </w:rPr>
        <w:t>768 A.2d at 1220</w:t>
      </w:r>
      <w:r w:rsidRPr="00817488">
        <w:rPr>
          <w:iCs/>
          <w:sz w:val="26"/>
        </w:rPr>
        <w:t>;</w:t>
      </w:r>
      <w:r w:rsidRPr="00545BA8">
        <w:rPr>
          <w:i/>
          <w:sz w:val="26"/>
        </w:rPr>
        <w:t xml:space="preserve"> see also </w:t>
      </w:r>
      <w:hyperlink r:id="rId11" w:history="1">
        <w:r w:rsidRPr="00545BA8">
          <w:rPr>
            <w:i/>
            <w:iCs/>
            <w:sz w:val="26"/>
          </w:rPr>
          <w:t>Burleson v. Pa. PUC</w:t>
        </w:r>
        <w:r w:rsidRPr="00545BA8">
          <w:rPr>
            <w:sz w:val="26"/>
          </w:rPr>
          <w:t>,</w:t>
        </w:r>
        <w:r w:rsidRPr="00545BA8">
          <w:rPr>
            <w:iCs/>
            <w:sz w:val="26"/>
          </w:rPr>
          <w:t xml:space="preserve"> 443 A.2d 1373 (Pa. </w:t>
        </w:r>
        <w:proofErr w:type="spellStart"/>
        <w:r w:rsidRPr="00545BA8">
          <w:rPr>
            <w:iCs/>
            <w:sz w:val="26"/>
          </w:rPr>
          <w:t>Cmwlth</w:t>
        </w:r>
        <w:proofErr w:type="spellEnd"/>
        <w:r w:rsidRPr="00545BA8">
          <w:rPr>
            <w:iCs/>
            <w:sz w:val="26"/>
          </w:rPr>
          <w:t xml:space="preserve">. 1982), </w:t>
        </w:r>
        <w:r w:rsidRPr="00545BA8">
          <w:rPr>
            <w:i/>
            <w:iCs/>
            <w:sz w:val="26"/>
          </w:rPr>
          <w:t>aff’d</w:t>
        </w:r>
        <w:r w:rsidRPr="00545BA8">
          <w:rPr>
            <w:sz w:val="26"/>
          </w:rPr>
          <w:t>,</w:t>
        </w:r>
        <w:r w:rsidRPr="00545BA8">
          <w:rPr>
            <w:iCs/>
            <w:sz w:val="26"/>
          </w:rPr>
          <w:t xml:space="preserve"> 501 Pa. 433, 461 A.2d 1234 (1983).</w:t>
        </w:r>
      </w:hyperlink>
    </w:p>
    <w:p w14:paraId="17EB9CAD" w14:textId="77777777" w:rsidR="00545BA8" w:rsidRPr="00545BA8" w:rsidRDefault="00545BA8" w:rsidP="00545BA8">
      <w:pPr>
        <w:widowControl/>
        <w:spacing w:line="360" w:lineRule="auto"/>
        <w:ind w:firstLine="1440"/>
        <w:rPr>
          <w:sz w:val="26"/>
        </w:rPr>
      </w:pPr>
    </w:p>
    <w:p w14:paraId="44E66905" w14:textId="77777777" w:rsidR="00545BA8" w:rsidRPr="00545BA8" w:rsidRDefault="00545BA8" w:rsidP="00545BA8">
      <w:pPr>
        <w:widowControl/>
        <w:spacing w:line="360" w:lineRule="auto"/>
        <w:ind w:firstLine="1440"/>
        <w:rPr>
          <w:sz w:val="26"/>
          <w:szCs w:val="26"/>
        </w:rPr>
      </w:pPr>
      <w:r w:rsidRPr="00545BA8">
        <w:rPr>
          <w:sz w:val="26"/>
        </w:rPr>
        <w:t xml:space="preserve">Having produced sufficient evidence to establish legal sufficiency of a claim, the party with the burden of proof must also carry the burden of persuasion to be </w:t>
      </w:r>
      <w:r w:rsidRPr="00545BA8">
        <w:rPr>
          <w:sz w:val="26"/>
        </w:rPr>
        <w:lastRenderedPageBreak/>
        <w:t xml:space="preserve">entitled to a favorable ruling.  </w:t>
      </w:r>
      <w:r w:rsidRPr="00545BA8">
        <w:rPr>
          <w:i/>
          <w:sz w:val="26"/>
        </w:rPr>
        <w:t>See Moore</w:t>
      </w:r>
      <w:r w:rsidRPr="00545BA8">
        <w:rPr>
          <w:sz w:val="26"/>
        </w:rPr>
        <w:t xml:space="preserve">.  While the burden of production may shift back and forth during a proceeding, the burden of persuasion never shifts; it always remains on a complainant as the party seeking affirmative relief from the Commission.  </w:t>
      </w:r>
      <w:r w:rsidRPr="00545BA8">
        <w:rPr>
          <w:i/>
          <w:sz w:val="26"/>
        </w:rPr>
        <w:t xml:space="preserve">See </w:t>
      </w:r>
      <w:bookmarkStart w:id="2" w:name="_Hlk1639687"/>
      <w:proofErr w:type="spellStart"/>
      <w:r w:rsidRPr="00545BA8">
        <w:rPr>
          <w:i/>
          <w:sz w:val="26"/>
        </w:rPr>
        <w:t>Milkie</w:t>
      </w:r>
      <w:proofErr w:type="spellEnd"/>
      <w:r w:rsidRPr="00817488">
        <w:rPr>
          <w:iCs/>
          <w:sz w:val="26"/>
        </w:rPr>
        <w:t>,</w:t>
      </w:r>
      <w:r w:rsidRPr="00545BA8">
        <w:rPr>
          <w:i/>
          <w:sz w:val="26"/>
        </w:rPr>
        <w:t xml:space="preserve"> </w:t>
      </w:r>
      <w:r w:rsidRPr="00545BA8">
        <w:rPr>
          <w:sz w:val="26"/>
        </w:rPr>
        <w:t>768 A.2d at 1220</w:t>
      </w:r>
      <w:bookmarkEnd w:id="2"/>
      <w:r w:rsidRPr="00545BA8">
        <w:rPr>
          <w:sz w:val="26"/>
        </w:rPr>
        <w:t xml:space="preserve">; </w:t>
      </w:r>
      <w:r w:rsidRPr="00545BA8">
        <w:rPr>
          <w:i/>
          <w:sz w:val="26"/>
        </w:rPr>
        <w:t>see also, Riedel v. County of Allegheny</w:t>
      </w:r>
      <w:r w:rsidRPr="00545BA8">
        <w:rPr>
          <w:sz w:val="26"/>
        </w:rPr>
        <w:t xml:space="preserve">, 633 A.2d 1325, 1328, n.11 (Pa. </w:t>
      </w:r>
      <w:proofErr w:type="spellStart"/>
      <w:r w:rsidRPr="00545BA8">
        <w:rPr>
          <w:sz w:val="26"/>
        </w:rPr>
        <w:t>Cmwlth</w:t>
      </w:r>
      <w:proofErr w:type="spellEnd"/>
      <w:r w:rsidRPr="00545BA8">
        <w:rPr>
          <w:sz w:val="26"/>
        </w:rPr>
        <w:t xml:space="preserve">. 1993); </w:t>
      </w:r>
      <w:r w:rsidRPr="00545BA8">
        <w:rPr>
          <w:i/>
          <w:sz w:val="26"/>
        </w:rPr>
        <w:t>see also</w:t>
      </w:r>
      <w:r w:rsidRPr="00545BA8">
        <w:rPr>
          <w:sz w:val="26"/>
        </w:rPr>
        <w:t>,</w:t>
      </w:r>
      <w:r w:rsidRPr="00545BA8">
        <w:rPr>
          <w:i/>
          <w:sz w:val="26"/>
        </w:rPr>
        <w:t xml:space="preserve"> Burleson</w:t>
      </w:r>
      <w:r w:rsidRPr="00545BA8">
        <w:rPr>
          <w:sz w:val="26"/>
        </w:rPr>
        <w:t>, 443 A.2d at 1375</w:t>
      </w:r>
      <w:hyperlink r:id="rId12" w:history="1">
        <w:r w:rsidRPr="00545BA8">
          <w:rPr>
            <w:sz w:val="26"/>
            <w:szCs w:val="26"/>
          </w:rPr>
          <w:t>.</w:t>
        </w:r>
      </w:hyperlink>
      <w:r w:rsidRPr="00545BA8">
        <w:rPr>
          <w:sz w:val="26"/>
          <w:szCs w:val="26"/>
        </w:rPr>
        <w:t xml:space="preserve">  It is entirely possible for a party to carry the burden of production but not be entitled to a favorable ruling because the party did not carry the burden of persuasion.  </w:t>
      </w:r>
      <w:r w:rsidRPr="00545BA8">
        <w:rPr>
          <w:i/>
          <w:sz w:val="26"/>
          <w:szCs w:val="26"/>
        </w:rPr>
        <w:t>See Moore.</w:t>
      </w:r>
      <w:r w:rsidRPr="00545BA8">
        <w:rPr>
          <w:sz w:val="26"/>
          <w:szCs w:val="26"/>
        </w:rPr>
        <w:t xml:space="preserve">  In determining whether a complainant has met the burden of persuasion, the fact-finder</w:t>
      </w:r>
      <w:r w:rsidRPr="00545BA8">
        <w:rPr>
          <w:rStyle w:val="FootnoteReference"/>
          <w:sz w:val="26"/>
          <w:szCs w:val="26"/>
        </w:rPr>
        <w:footnoteReference w:id="1"/>
      </w:r>
      <w:r w:rsidRPr="00545BA8">
        <w:rPr>
          <w:sz w:val="26"/>
          <w:szCs w:val="26"/>
        </w:rPr>
        <w:t xml:space="preserve"> may engage in determinations of credibility, may accept or reject testimony of any witness in whole or in part, and may accept or reject inferences from the evidence.</w:t>
      </w:r>
      <w:r w:rsidRPr="00545BA8">
        <w:rPr>
          <w:i/>
          <w:sz w:val="26"/>
          <w:szCs w:val="26"/>
        </w:rPr>
        <w:t xml:space="preserve">  See Moore</w:t>
      </w:r>
      <w:r w:rsidRPr="00545BA8">
        <w:rPr>
          <w:sz w:val="26"/>
          <w:szCs w:val="26"/>
        </w:rPr>
        <w:t>,</w:t>
      </w:r>
      <w:r w:rsidRPr="00545BA8">
        <w:rPr>
          <w:i/>
          <w:sz w:val="26"/>
          <w:szCs w:val="26"/>
        </w:rPr>
        <w:t xml:space="preserve"> </w:t>
      </w:r>
      <w:r w:rsidRPr="00545BA8">
        <w:rPr>
          <w:sz w:val="26"/>
          <w:szCs w:val="26"/>
        </w:rPr>
        <w:t xml:space="preserve">citing </w:t>
      </w:r>
      <w:proofErr w:type="spellStart"/>
      <w:r w:rsidRPr="00545BA8">
        <w:rPr>
          <w:i/>
          <w:sz w:val="26"/>
          <w:szCs w:val="26"/>
        </w:rPr>
        <w:t>Suber</w:t>
      </w:r>
      <w:proofErr w:type="spellEnd"/>
      <w:r w:rsidRPr="00545BA8">
        <w:rPr>
          <w:sz w:val="26"/>
          <w:szCs w:val="26"/>
        </w:rPr>
        <w:t>.</w:t>
      </w:r>
    </w:p>
    <w:p w14:paraId="5657CC4B" w14:textId="77777777" w:rsidR="00545BA8" w:rsidRPr="00545BA8" w:rsidRDefault="00545BA8" w:rsidP="00545BA8">
      <w:pPr>
        <w:widowControl/>
        <w:spacing w:line="360" w:lineRule="auto"/>
        <w:ind w:firstLine="1440"/>
        <w:rPr>
          <w:sz w:val="26"/>
          <w:szCs w:val="26"/>
        </w:rPr>
      </w:pPr>
    </w:p>
    <w:p w14:paraId="0B05B67B" w14:textId="596C4A40" w:rsidR="00652995" w:rsidRPr="007E4C92" w:rsidRDefault="00545BA8" w:rsidP="007E4C92">
      <w:pPr>
        <w:widowControl/>
        <w:spacing w:line="360" w:lineRule="auto"/>
        <w:ind w:firstLine="1440"/>
        <w:rPr>
          <w:rFonts w:eastAsiaTheme="minorHAnsi"/>
          <w:sz w:val="26"/>
          <w:szCs w:val="26"/>
        </w:rPr>
      </w:pPr>
      <w:r w:rsidRPr="00545BA8">
        <w:rPr>
          <w:rFonts w:eastAsiaTheme="minorHAnsi"/>
          <w:sz w:val="26"/>
          <w:szCs w:val="26"/>
        </w:rPr>
        <w:t xml:space="preserve">Adjudications by the Commission must be supported by substantial evidence in the record.  2 Pa. C.S. § 704; </w:t>
      </w:r>
      <w:proofErr w:type="spellStart"/>
      <w:r w:rsidRPr="00545BA8">
        <w:rPr>
          <w:rFonts w:eastAsiaTheme="minorHAnsi"/>
          <w:i/>
          <w:sz w:val="26"/>
          <w:szCs w:val="26"/>
        </w:rPr>
        <w:t>Lansberry</w:t>
      </w:r>
      <w:proofErr w:type="spellEnd"/>
      <w:r w:rsidRPr="00545BA8">
        <w:rPr>
          <w:rFonts w:eastAsiaTheme="minorHAnsi"/>
          <w:sz w:val="26"/>
          <w:szCs w:val="26"/>
        </w:rPr>
        <w:t xml:space="preserve">, 578 A.2d at 602.  Substantial evidence is such relevant evidence that a reasonable mind might accept as adequate to support a conclusion.  </w:t>
      </w:r>
      <w:r w:rsidRPr="00545BA8">
        <w:rPr>
          <w:rFonts w:eastAsiaTheme="minorHAnsi"/>
          <w:i/>
          <w:sz w:val="26"/>
          <w:szCs w:val="26"/>
        </w:rPr>
        <w:t>Consolidated Edison Company of New York v. National Labor Relations Board</w:t>
      </w:r>
      <w:r w:rsidRPr="00545BA8">
        <w:rPr>
          <w:rFonts w:eastAsiaTheme="minorHAnsi"/>
          <w:sz w:val="26"/>
          <w:szCs w:val="26"/>
        </w:rPr>
        <w:t xml:space="preserve">, 305 U.S. 197, 229, 59 S. Ct. 206, 217.  More is required than a mere trace of evidence or a suspicion of the existence of a fact sought to be established.  </w:t>
      </w:r>
      <w:r w:rsidRPr="00545BA8">
        <w:rPr>
          <w:rFonts w:eastAsiaTheme="minorHAnsi"/>
          <w:i/>
          <w:sz w:val="26"/>
          <w:szCs w:val="26"/>
        </w:rPr>
        <w:t>Norfolk &amp; Western Ry. Co. v. Pa. PUC</w:t>
      </w:r>
      <w:r w:rsidRPr="00545BA8">
        <w:rPr>
          <w:rFonts w:eastAsiaTheme="minorHAnsi"/>
          <w:iCs/>
          <w:sz w:val="26"/>
          <w:szCs w:val="26"/>
        </w:rPr>
        <w:t>,</w:t>
      </w:r>
      <w:r w:rsidRPr="00545BA8">
        <w:rPr>
          <w:rFonts w:eastAsiaTheme="minorHAnsi"/>
          <w:i/>
          <w:sz w:val="26"/>
          <w:szCs w:val="26"/>
        </w:rPr>
        <w:t xml:space="preserve"> </w:t>
      </w:r>
      <w:r w:rsidRPr="00545BA8">
        <w:rPr>
          <w:rFonts w:eastAsiaTheme="minorHAnsi"/>
          <w:sz w:val="26"/>
          <w:szCs w:val="26"/>
        </w:rPr>
        <w:t>489 Pa. 109, 413 A.2d 1037 (1980)</w:t>
      </w:r>
      <w:r w:rsidR="006B14DD">
        <w:rPr>
          <w:rFonts w:eastAsiaTheme="minorHAnsi"/>
          <w:sz w:val="26"/>
          <w:szCs w:val="26"/>
        </w:rPr>
        <w:t xml:space="preserve"> (</w:t>
      </w:r>
      <w:r w:rsidR="006B14DD" w:rsidRPr="006B14DD">
        <w:rPr>
          <w:rFonts w:eastAsiaTheme="minorHAnsi"/>
          <w:i/>
          <w:iCs/>
          <w:sz w:val="26"/>
          <w:szCs w:val="26"/>
        </w:rPr>
        <w:t>Norfolk</w:t>
      </w:r>
      <w:r w:rsidR="006B14DD">
        <w:rPr>
          <w:rFonts w:eastAsiaTheme="minorHAnsi"/>
          <w:sz w:val="26"/>
          <w:szCs w:val="26"/>
        </w:rPr>
        <w:t>)</w:t>
      </w:r>
      <w:r w:rsidRPr="00545BA8">
        <w:rPr>
          <w:rFonts w:eastAsiaTheme="minorHAnsi"/>
          <w:sz w:val="26"/>
          <w:szCs w:val="26"/>
        </w:rPr>
        <w:t xml:space="preserve">; </w:t>
      </w:r>
      <w:r w:rsidRPr="00545BA8">
        <w:rPr>
          <w:rFonts w:eastAsiaTheme="minorHAnsi"/>
          <w:i/>
          <w:sz w:val="26"/>
          <w:szCs w:val="26"/>
        </w:rPr>
        <w:t>Erie Resistor Corp. v. Unemployment Comp. Bd. of Review</w:t>
      </w:r>
      <w:r w:rsidRPr="00545BA8">
        <w:rPr>
          <w:rFonts w:eastAsiaTheme="minorHAnsi"/>
          <w:sz w:val="26"/>
          <w:szCs w:val="26"/>
        </w:rPr>
        <w:t>, 166 A.2d 96 (Pa. Super. 1961)</w:t>
      </w:r>
      <w:r w:rsidR="006B14DD">
        <w:rPr>
          <w:rFonts w:eastAsiaTheme="minorHAnsi"/>
          <w:sz w:val="26"/>
          <w:szCs w:val="26"/>
        </w:rPr>
        <w:t xml:space="preserve"> (</w:t>
      </w:r>
      <w:r w:rsidR="006B14DD" w:rsidRPr="006B14DD">
        <w:rPr>
          <w:rFonts w:eastAsiaTheme="minorHAnsi"/>
          <w:i/>
          <w:iCs/>
          <w:sz w:val="26"/>
          <w:szCs w:val="26"/>
        </w:rPr>
        <w:t>Erie Resistor</w:t>
      </w:r>
      <w:r w:rsidR="006B14DD">
        <w:rPr>
          <w:rFonts w:eastAsiaTheme="minorHAnsi"/>
          <w:sz w:val="26"/>
          <w:szCs w:val="26"/>
        </w:rPr>
        <w:t>)</w:t>
      </w:r>
      <w:r w:rsidRPr="00545BA8">
        <w:rPr>
          <w:rFonts w:eastAsiaTheme="minorHAnsi"/>
          <w:sz w:val="26"/>
          <w:szCs w:val="26"/>
        </w:rPr>
        <w:t xml:space="preserve">; </w:t>
      </w:r>
      <w:r w:rsidRPr="00545BA8">
        <w:rPr>
          <w:rFonts w:eastAsiaTheme="minorHAnsi"/>
          <w:i/>
          <w:sz w:val="26"/>
          <w:szCs w:val="26"/>
        </w:rPr>
        <w:t>Murphy v. Comm. Dept. of Public Welfare, White Haven Center</w:t>
      </w:r>
      <w:r w:rsidRPr="00545BA8">
        <w:rPr>
          <w:rFonts w:eastAsiaTheme="minorHAnsi"/>
          <w:sz w:val="26"/>
          <w:szCs w:val="26"/>
        </w:rPr>
        <w:t xml:space="preserve">, 480 A.2d 382 (Pa. </w:t>
      </w:r>
      <w:proofErr w:type="spellStart"/>
      <w:r w:rsidRPr="00545BA8">
        <w:rPr>
          <w:rFonts w:eastAsiaTheme="minorHAnsi"/>
          <w:sz w:val="26"/>
          <w:szCs w:val="26"/>
        </w:rPr>
        <w:t>Cmwlth</w:t>
      </w:r>
      <w:proofErr w:type="spellEnd"/>
      <w:r w:rsidRPr="00545BA8">
        <w:rPr>
          <w:rFonts w:eastAsiaTheme="minorHAnsi"/>
          <w:sz w:val="26"/>
          <w:szCs w:val="26"/>
        </w:rPr>
        <w:t>. 1984)</w:t>
      </w:r>
      <w:r w:rsidR="006B14DD">
        <w:rPr>
          <w:rFonts w:eastAsiaTheme="minorHAnsi"/>
          <w:sz w:val="26"/>
          <w:szCs w:val="26"/>
        </w:rPr>
        <w:t xml:space="preserve"> (</w:t>
      </w:r>
      <w:r w:rsidR="006B14DD" w:rsidRPr="006B14DD">
        <w:rPr>
          <w:rFonts w:eastAsiaTheme="minorHAnsi"/>
          <w:i/>
          <w:iCs/>
          <w:sz w:val="26"/>
          <w:szCs w:val="26"/>
        </w:rPr>
        <w:t>Murphy</w:t>
      </w:r>
      <w:r w:rsidR="006B14DD">
        <w:rPr>
          <w:rFonts w:eastAsiaTheme="minorHAnsi"/>
          <w:sz w:val="26"/>
          <w:szCs w:val="26"/>
        </w:rPr>
        <w:t>)</w:t>
      </w:r>
      <w:r w:rsidRPr="00545BA8">
        <w:rPr>
          <w:rFonts w:eastAsiaTheme="minorHAnsi"/>
          <w:sz w:val="26"/>
          <w:szCs w:val="26"/>
        </w:rPr>
        <w:t>.</w:t>
      </w:r>
    </w:p>
    <w:p w14:paraId="3B70CBC7" w14:textId="77777777" w:rsidR="00545BA8" w:rsidRPr="00545BA8" w:rsidRDefault="00545BA8" w:rsidP="00545BA8">
      <w:pPr>
        <w:widowControl/>
        <w:spacing w:line="360" w:lineRule="auto"/>
        <w:contextualSpacing/>
        <w:rPr>
          <w:sz w:val="26"/>
          <w:szCs w:val="26"/>
        </w:rPr>
      </w:pPr>
    </w:p>
    <w:p w14:paraId="71465C25" w14:textId="25662DE0" w:rsidR="00E56517" w:rsidRPr="00E56517" w:rsidRDefault="00E56517" w:rsidP="00E56517">
      <w:pPr>
        <w:widowControl/>
        <w:spacing w:line="360" w:lineRule="auto"/>
        <w:ind w:firstLine="1440"/>
        <w:rPr>
          <w:sz w:val="26"/>
          <w:szCs w:val="26"/>
        </w:rPr>
      </w:pPr>
      <w:bookmarkStart w:id="3" w:name="_Hlk24718624"/>
      <w:r w:rsidRPr="00E56517">
        <w:rPr>
          <w:sz w:val="26"/>
          <w:szCs w:val="26"/>
        </w:rPr>
        <w:t xml:space="preserve">The Commission has determined that there is no provision in Act 129 or in the Code, the Commission’s </w:t>
      </w:r>
      <w:r>
        <w:rPr>
          <w:sz w:val="26"/>
          <w:szCs w:val="26"/>
        </w:rPr>
        <w:t>R</w:t>
      </w:r>
      <w:r w:rsidRPr="00E56517">
        <w:rPr>
          <w:sz w:val="26"/>
          <w:szCs w:val="26"/>
        </w:rPr>
        <w:t xml:space="preserve">egulations or Orders that permits a customer to “opt-out” </w:t>
      </w:r>
      <w:r w:rsidRPr="00E56517">
        <w:rPr>
          <w:sz w:val="26"/>
          <w:szCs w:val="26"/>
        </w:rPr>
        <w:lastRenderedPageBreak/>
        <w:t xml:space="preserve">of smart meter installation.  </w:t>
      </w:r>
      <w:r w:rsidRPr="00E56517">
        <w:rPr>
          <w:i/>
          <w:iCs/>
          <w:sz w:val="26"/>
          <w:szCs w:val="26"/>
        </w:rPr>
        <w:t>See</w:t>
      </w:r>
      <w:r w:rsidRPr="00E56517">
        <w:rPr>
          <w:sz w:val="26"/>
          <w:szCs w:val="26"/>
        </w:rPr>
        <w:t xml:space="preserve"> </w:t>
      </w:r>
      <w:r w:rsidRPr="00E56517">
        <w:rPr>
          <w:i/>
          <w:iCs/>
          <w:sz w:val="26"/>
          <w:szCs w:val="26"/>
        </w:rPr>
        <w:t xml:space="preserve">Maria </w:t>
      </w:r>
      <w:proofErr w:type="spellStart"/>
      <w:r w:rsidRPr="00E56517">
        <w:rPr>
          <w:i/>
          <w:iCs/>
          <w:sz w:val="26"/>
          <w:szCs w:val="26"/>
        </w:rPr>
        <w:t>Povacz</w:t>
      </w:r>
      <w:proofErr w:type="spellEnd"/>
      <w:r w:rsidRPr="00E56517">
        <w:rPr>
          <w:i/>
          <w:iCs/>
          <w:sz w:val="26"/>
          <w:szCs w:val="26"/>
        </w:rPr>
        <w:t xml:space="preserve"> v. PECO Energy Company</w:t>
      </w:r>
      <w:r w:rsidRPr="00E56517">
        <w:rPr>
          <w:sz w:val="26"/>
          <w:szCs w:val="26"/>
        </w:rPr>
        <w:t>, Docket No. C</w:t>
      </w:r>
      <w:r w:rsidR="007E4C92">
        <w:rPr>
          <w:sz w:val="26"/>
          <w:szCs w:val="26"/>
        </w:rPr>
        <w:noBreakHyphen/>
      </w:r>
      <w:r w:rsidRPr="00E56517">
        <w:rPr>
          <w:sz w:val="26"/>
          <w:szCs w:val="26"/>
        </w:rPr>
        <w:t>2012-2317176 (Order entered January 24, 2013) (</w:t>
      </w:r>
      <w:r w:rsidRPr="00E56517">
        <w:rPr>
          <w:i/>
          <w:sz w:val="26"/>
          <w:szCs w:val="26"/>
        </w:rPr>
        <w:t xml:space="preserve">2013 </w:t>
      </w:r>
      <w:proofErr w:type="spellStart"/>
      <w:r w:rsidRPr="00E56517">
        <w:rPr>
          <w:i/>
          <w:sz w:val="26"/>
          <w:szCs w:val="26"/>
        </w:rPr>
        <w:t>Povacz</w:t>
      </w:r>
      <w:proofErr w:type="spellEnd"/>
      <w:r w:rsidRPr="00E56517">
        <w:rPr>
          <w:i/>
          <w:sz w:val="26"/>
          <w:szCs w:val="26"/>
        </w:rPr>
        <w:t xml:space="preserve"> Order</w:t>
      </w:r>
      <w:r w:rsidRPr="00E56517">
        <w:rPr>
          <w:sz w:val="26"/>
          <w:szCs w:val="26"/>
        </w:rPr>
        <w:t xml:space="preserve">); </w:t>
      </w:r>
      <w:r w:rsidRPr="00E56517">
        <w:rPr>
          <w:i/>
          <w:iCs/>
          <w:sz w:val="26"/>
          <w:szCs w:val="26"/>
        </w:rPr>
        <w:t>see also</w:t>
      </w:r>
      <w:r w:rsidRPr="00E56517">
        <w:rPr>
          <w:sz w:val="26"/>
          <w:szCs w:val="26"/>
        </w:rPr>
        <w:t xml:space="preserve"> </w:t>
      </w:r>
      <w:proofErr w:type="spellStart"/>
      <w:r w:rsidRPr="00E56517">
        <w:rPr>
          <w:i/>
          <w:iCs/>
          <w:sz w:val="26"/>
          <w:szCs w:val="26"/>
        </w:rPr>
        <w:t>Frompovich</w:t>
      </w:r>
      <w:proofErr w:type="spellEnd"/>
      <w:r w:rsidRPr="00E56517">
        <w:rPr>
          <w:i/>
          <w:iCs/>
          <w:sz w:val="26"/>
          <w:szCs w:val="26"/>
        </w:rPr>
        <w:t xml:space="preserve"> v. PECO Energy Co</w:t>
      </w:r>
      <w:r w:rsidRPr="00E56517">
        <w:rPr>
          <w:sz w:val="26"/>
          <w:szCs w:val="26"/>
        </w:rPr>
        <w:t>., Docket No. C-2015-2474602 (Opinion and Order entered May 3, 2018) (</w:t>
      </w:r>
      <w:proofErr w:type="spellStart"/>
      <w:r w:rsidRPr="00E56517">
        <w:rPr>
          <w:i/>
          <w:iCs/>
          <w:sz w:val="26"/>
          <w:szCs w:val="26"/>
        </w:rPr>
        <w:t>Frompovich</w:t>
      </w:r>
      <w:proofErr w:type="spellEnd"/>
      <w:r w:rsidRPr="00E56517">
        <w:rPr>
          <w:sz w:val="26"/>
          <w:szCs w:val="26"/>
        </w:rPr>
        <w:t>).  However, the Commission has determined that a customer’s formal complaint can raise a claim under Section 1501 of the Code, 66 Pa. C.S. § 1501, related to the safety of a utility’s installation and use of a smart meter at the customer’s residence and, if such a claim is raise</w:t>
      </w:r>
      <w:r>
        <w:rPr>
          <w:sz w:val="26"/>
          <w:szCs w:val="26"/>
        </w:rPr>
        <w:t>d</w:t>
      </w:r>
      <w:r w:rsidRPr="00E56517">
        <w:rPr>
          <w:sz w:val="26"/>
          <w:szCs w:val="26"/>
        </w:rPr>
        <w:t xml:space="preserve">, it is legally sufficient to proceed to an evidentiary hearing before an ALJ.  </w:t>
      </w:r>
      <w:r w:rsidRPr="00E56517">
        <w:rPr>
          <w:i/>
          <w:iCs/>
          <w:sz w:val="26"/>
          <w:szCs w:val="26"/>
        </w:rPr>
        <w:t>See</w:t>
      </w:r>
      <w:r w:rsidRPr="00E56517">
        <w:rPr>
          <w:sz w:val="26"/>
          <w:szCs w:val="26"/>
        </w:rPr>
        <w:t xml:space="preserve"> </w:t>
      </w:r>
      <w:r w:rsidRPr="00E56517">
        <w:rPr>
          <w:i/>
          <w:sz w:val="26"/>
          <w:szCs w:val="26"/>
        </w:rPr>
        <w:t>Susan Kreider v. PECO Energy Company</w:t>
      </w:r>
      <w:r w:rsidRPr="00E56517">
        <w:rPr>
          <w:sz w:val="26"/>
          <w:szCs w:val="26"/>
        </w:rPr>
        <w:t>,</w:t>
      </w:r>
      <w:r w:rsidRPr="00E56517">
        <w:rPr>
          <w:kern w:val="20"/>
          <w:sz w:val="26"/>
          <w:szCs w:val="26"/>
        </w:rPr>
        <w:t xml:space="preserve"> P</w:t>
      </w:r>
      <w:r w:rsidRPr="00E56517">
        <w:rPr>
          <w:kern w:val="20"/>
          <w:sz w:val="26"/>
          <w:szCs w:val="26"/>
        </w:rPr>
        <w:noBreakHyphen/>
        <w:t>2015-2495064</w:t>
      </w:r>
      <w:r w:rsidRPr="00E56517">
        <w:rPr>
          <w:sz w:val="26"/>
          <w:szCs w:val="26"/>
        </w:rPr>
        <w:t xml:space="preserve"> (Order entered January 28, 2016).  At the hearing, a </w:t>
      </w:r>
      <w:r w:rsidRPr="00E56517">
        <w:rPr>
          <w:color w:val="000000"/>
          <w:sz w:val="26"/>
          <w:szCs w:val="26"/>
        </w:rPr>
        <w:t xml:space="preserve">complainant may prove his/her claim through the complainant’s own personal testimony and/or “the testimony of others as well as other evidence that goes to that issue.”  </w:t>
      </w:r>
      <w:r w:rsidRPr="00E56517">
        <w:rPr>
          <w:i/>
          <w:color w:val="000000"/>
          <w:sz w:val="26"/>
          <w:szCs w:val="26"/>
        </w:rPr>
        <w:t xml:space="preserve">Romeo v. </w:t>
      </w:r>
      <w:r w:rsidRPr="00E56517">
        <w:rPr>
          <w:i/>
          <w:color w:val="000000"/>
          <w:sz w:val="26"/>
        </w:rPr>
        <w:t xml:space="preserve">Pa. </w:t>
      </w:r>
      <w:r w:rsidRPr="00E56517">
        <w:rPr>
          <w:i/>
          <w:color w:val="000000"/>
          <w:sz w:val="26"/>
          <w:szCs w:val="26"/>
        </w:rPr>
        <w:t>PUC</w:t>
      </w:r>
      <w:r w:rsidRPr="00E56517">
        <w:rPr>
          <w:color w:val="000000"/>
          <w:sz w:val="26"/>
          <w:szCs w:val="26"/>
        </w:rPr>
        <w:t>, 154 A.3d 422</w:t>
      </w:r>
      <w:r w:rsidRPr="00E56517">
        <w:rPr>
          <w:sz w:val="26"/>
          <w:szCs w:val="26"/>
        </w:rPr>
        <w:t>, 430</w:t>
      </w:r>
      <w:r w:rsidRPr="00E56517">
        <w:rPr>
          <w:color w:val="000000"/>
          <w:sz w:val="26"/>
          <w:szCs w:val="26"/>
        </w:rPr>
        <w:t xml:space="preserve"> (Pa. </w:t>
      </w:r>
      <w:proofErr w:type="spellStart"/>
      <w:r w:rsidRPr="00E56517">
        <w:rPr>
          <w:color w:val="000000"/>
          <w:sz w:val="26"/>
          <w:szCs w:val="26"/>
        </w:rPr>
        <w:t>Cmwlth</w:t>
      </w:r>
      <w:proofErr w:type="spellEnd"/>
      <w:r w:rsidRPr="00E56517">
        <w:rPr>
          <w:color w:val="000000"/>
          <w:sz w:val="26"/>
          <w:szCs w:val="26"/>
        </w:rPr>
        <w:t>. 2017).</w:t>
      </w:r>
    </w:p>
    <w:bookmarkEnd w:id="3"/>
    <w:p w14:paraId="3349E2E4" w14:textId="77777777" w:rsidR="00E56517" w:rsidRDefault="00E56517" w:rsidP="00545BA8">
      <w:pPr>
        <w:widowControl/>
        <w:spacing w:line="360" w:lineRule="auto"/>
        <w:ind w:firstLine="1440"/>
        <w:rPr>
          <w:color w:val="000000"/>
          <w:sz w:val="26"/>
          <w:szCs w:val="26"/>
        </w:rPr>
      </w:pPr>
    </w:p>
    <w:p w14:paraId="34920A96" w14:textId="27B13C43" w:rsidR="00545BA8" w:rsidRDefault="00545BA8" w:rsidP="00545BA8">
      <w:pPr>
        <w:widowControl/>
        <w:spacing w:line="360" w:lineRule="auto"/>
        <w:ind w:firstLine="1440"/>
        <w:rPr>
          <w:sz w:val="26"/>
          <w:szCs w:val="26"/>
        </w:rPr>
      </w:pPr>
      <w:r w:rsidRPr="00545BA8">
        <w:rPr>
          <w:color w:val="000000"/>
          <w:sz w:val="26"/>
          <w:szCs w:val="26"/>
        </w:rPr>
        <w:t>As</w:t>
      </w:r>
      <w:r w:rsidRPr="00545BA8">
        <w:rPr>
          <w:sz w:val="26"/>
          <w:szCs w:val="26"/>
        </w:rPr>
        <w:t xml:space="preserve"> we ruled in </w:t>
      </w:r>
      <w:r w:rsidR="00A257BB" w:rsidRPr="00D704F2">
        <w:rPr>
          <w:i/>
          <w:iCs/>
          <w:sz w:val="26"/>
          <w:szCs w:val="26"/>
        </w:rPr>
        <w:t xml:space="preserve">Maria </w:t>
      </w:r>
      <w:proofErr w:type="spellStart"/>
      <w:r w:rsidRPr="00545BA8">
        <w:rPr>
          <w:i/>
          <w:sz w:val="26"/>
          <w:szCs w:val="26"/>
        </w:rPr>
        <w:t>Povacz</w:t>
      </w:r>
      <w:proofErr w:type="spellEnd"/>
      <w:r w:rsidRPr="00545BA8">
        <w:rPr>
          <w:i/>
          <w:sz w:val="26"/>
          <w:szCs w:val="26"/>
        </w:rPr>
        <w:t xml:space="preserve"> v. PECO Energy Company</w:t>
      </w:r>
      <w:r w:rsidRPr="00545BA8">
        <w:rPr>
          <w:sz w:val="26"/>
          <w:szCs w:val="26"/>
        </w:rPr>
        <w:t>, Docket No. C</w:t>
      </w:r>
      <w:r w:rsidRPr="00545BA8">
        <w:rPr>
          <w:sz w:val="26"/>
          <w:szCs w:val="26"/>
        </w:rPr>
        <w:noBreakHyphen/>
        <w:t>2015-2475023 (Order entered March 28, 2019) (</w:t>
      </w:r>
      <w:r w:rsidRPr="00545BA8">
        <w:rPr>
          <w:i/>
          <w:sz w:val="26"/>
          <w:szCs w:val="26"/>
        </w:rPr>
        <w:t xml:space="preserve">2019 </w:t>
      </w:r>
      <w:proofErr w:type="spellStart"/>
      <w:r w:rsidRPr="00545BA8">
        <w:rPr>
          <w:i/>
          <w:sz w:val="26"/>
          <w:szCs w:val="26"/>
        </w:rPr>
        <w:t>Povacz</w:t>
      </w:r>
      <w:proofErr w:type="spellEnd"/>
      <w:r w:rsidRPr="00545BA8">
        <w:rPr>
          <w:i/>
          <w:sz w:val="26"/>
          <w:szCs w:val="26"/>
        </w:rPr>
        <w:t xml:space="preserve"> Order</w:t>
      </w:r>
      <w:r w:rsidRPr="00545BA8">
        <w:rPr>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545BA8">
        <w:rPr>
          <w:i/>
          <w:sz w:val="26"/>
          <w:szCs w:val="26"/>
        </w:rPr>
        <w:t xml:space="preserve">See 2019 </w:t>
      </w:r>
      <w:proofErr w:type="spellStart"/>
      <w:r w:rsidRPr="00545BA8">
        <w:rPr>
          <w:i/>
          <w:sz w:val="26"/>
          <w:szCs w:val="26"/>
        </w:rPr>
        <w:t>Povacz</w:t>
      </w:r>
      <w:proofErr w:type="spellEnd"/>
      <w:r w:rsidRPr="00545BA8">
        <w:rPr>
          <w:i/>
          <w:sz w:val="26"/>
          <w:szCs w:val="26"/>
        </w:rPr>
        <w:t xml:space="preserve"> Order</w:t>
      </w:r>
      <w:r w:rsidRPr="00545BA8">
        <w:rPr>
          <w:sz w:val="26"/>
          <w:szCs w:val="26"/>
        </w:rPr>
        <w:t xml:space="preserve">, slip op., at 28-29 (citing </w:t>
      </w:r>
      <w:r w:rsidRPr="00545BA8">
        <w:rPr>
          <w:i/>
          <w:iCs/>
          <w:sz w:val="26"/>
          <w:szCs w:val="26"/>
        </w:rPr>
        <w:t>Letter of Notification of Philadelphia Electric Company Relative to the Reconstructing and Rebuilding of the Existing 138 kV Line to Operate as the Woodbourne-Heaton 230 kV Line in Montgomery and Bucks Counties</w:t>
      </w:r>
      <w:r w:rsidRPr="00545BA8">
        <w:rPr>
          <w:sz w:val="26"/>
          <w:szCs w:val="26"/>
        </w:rPr>
        <w:t>, 1993 WL 855896 (Pa. P.U.C. 1993), Docket No. 110550F0055 (Final Order entered November 12, 1993) (</w:t>
      </w:r>
      <w:r w:rsidRPr="00545BA8">
        <w:rPr>
          <w:i/>
          <w:sz w:val="26"/>
          <w:szCs w:val="26"/>
        </w:rPr>
        <w:t>Woodbourne-Heaton Final Order</w:t>
      </w:r>
      <w:r w:rsidRPr="00545BA8">
        <w:rPr>
          <w:sz w:val="26"/>
          <w:szCs w:val="26"/>
        </w:rPr>
        <w:t>), slip op. at 11).</w:t>
      </w:r>
    </w:p>
    <w:p w14:paraId="61ACFA73" w14:textId="77777777" w:rsidR="00E56517" w:rsidRDefault="00E56517" w:rsidP="00545BA8">
      <w:pPr>
        <w:widowControl/>
        <w:spacing w:line="360" w:lineRule="auto"/>
        <w:ind w:firstLine="1440"/>
        <w:rPr>
          <w:sz w:val="26"/>
          <w:szCs w:val="26"/>
        </w:rPr>
      </w:pPr>
    </w:p>
    <w:p w14:paraId="44110570" w14:textId="77777777" w:rsidR="00E56517" w:rsidRPr="00545BA8" w:rsidRDefault="00E56517" w:rsidP="00E56517">
      <w:pPr>
        <w:widowControl/>
        <w:spacing w:line="360" w:lineRule="auto"/>
        <w:ind w:firstLine="1440"/>
        <w:rPr>
          <w:sz w:val="26"/>
          <w:szCs w:val="26"/>
        </w:rPr>
      </w:pPr>
      <w:r w:rsidRPr="00545BA8">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545BA8">
        <w:rPr>
          <w:i/>
          <w:sz w:val="26"/>
          <w:szCs w:val="26"/>
        </w:rPr>
        <w:lastRenderedPageBreak/>
        <w:t>See</w:t>
      </w:r>
      <w:r w:rsidRPr="00545BA8">
        <w:rPr>
          <w:sz w:val="26"/>
          <w:szCs w:val="26"/>
        </w:rPr>
        <w:t> 66 Pa. C.S. § 1501.  Section 1501 of the Code, 66 Pa. C.S. § 1501, provides, in pertinent part, as follows:</w:t>
      </w:r>
    </w:p>
    <w:p w14:paraId="5C0A7699" w14:textId="77777777" w:rsidR="00E56517" w:rsidRPr="00545BA8" w:rsidRDefault="00E56517" w:rsidP="00E56517">
      <w:pPr>
        <w:widowControl/>
        <w:spacing w:line="360" w:lineRule="auto"/>
        <w:ind w:firstLine="1440"/>
        <w:rPr>
          <w:sz w:val="26"/>
          <w:szCs w:val="26"/>
        </w:rPr>
      </w:pPr>
    </w:p>
    <w:p w14:paraId="1874AE6A" w14:textId="77777777" w:rsidR="00E56517" w:rsidRPr="00545BA8" w:rsidRDefault="00E56517" w:rsidP="00E56517">
      <w:pPr>
        <w:widowControl/>
        <w:ind w:left="1440" w:right="1440"/>
        <w:rPr>
          <w:sz w:val="26"/>
          <w:szCs w:val="26"/>
        </w:rPr>
      </w:pPr>
      <w:r w:rsidRPr="00545BA8">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4F53E263" w14:textId="77777777" w:rsidR="00E56517" w:rsidRPr="00545BA8" w:rsidRDefault="00E56517" w:rsidP="00E56517">
      <w:pPr>
        <w:widowControl/>
        <w:spacing w:line="360" w:lineRule="auto"/>
        <w:ind w:right="1440"/>
        <w:rPr>
          <w:sz w:val="26"/>
          <w:szCs w:val="26"/>
        </w:rPr>
      </w:pPr>
    </w:p>
    <w:p w14:paraId="63336C81" w14:textId="5259794E" w:rsidR="00E56517" w:rsidRPr="00545BA8" w:rsidRDefault="00612F67" w:rsidP="007E4C92">
      <w:pPr>
        <w:kinsoku w:val="0"/>
        <w:overflowPunct w:val="0"/>
        <w:spacing w:line="360" w:lineRule="auto"/>
        <w:ind w:firstLine="1440"/>
        <w:textAlignment w:val="baseline"/>
        <w:rPr>
          <w:sz w:val="26"/>
          <w:szCs w:val="26"/>
        </w:rPr>
      </w:pPr>
      <w:r w:rsidRPr="00D52E0D">
        <w:rPr>
          <w:sz w:val="26"/>
          <w:szCs w:val="26"/>
        </w:rPr>
        <w:t>The term “service” is defined broadly under Section 102 of the Code</w:t>
      </w:r>
      <w:r>
        <w:rPr>
          <w:sz w:val="26"/>
          <w:szCs w:val="26"/>
        </w:rPr>
        <w:t xml:space="preserve"> to include any and all acts done or rendered, or performed and any and all things furnished or supplied and any and all facilities, used, furnished or supplied by public utilities,  </w:t>
      </w:r>
      <w:r w:rsidRPr="008C22E8">
        <w:rPr>
          <w:i/>
          <w:sz w:val="26"/>
          <w:szCs w:val="26"/>
        </w:rPr>
        <w:t>See</w:t>
      </w:r>
      <w:r>
        <w:rPr>
          <w:sz w:val="26"/>
          <w:szCs w:val="26"/>
        </w:rPr>
        <w:t>,</w:t>
      </w:r>
      <w:r w:rsidRPr="001853B4">
        <w:rPr>
          <w:sz w:val="26"/>
          <w:szCs w:val="26"/>
        </w:rPr>
        <w:t xml:space="preserve"> </w:t>
      </w:r>
      <w:hyperlink r:id="rId13" w:history="1">
        <w:r w:rsidRPr="00D52E0D">
          <w:rPr>
            <w:sz w:val="26"/>
            <w:szCs w:val="26"/>
          </w:rPr>
          <w:t>66 Pa.</w:t>
        </w:r>
        <w:r w:rsidR="001B461E">
          <w:rPr>
            <w:sz w:val="26"/>
            <w:szCs w:val="26"/>
          </w:rPr>
          <w:t xml:space="preserve"> </w:t>
        </w:r>
        <w:r w:rsidRPr="00D52E0D">
          <w:rPr>
            <w:sz w:val="26"/>
            <w:szCs w:val="26"/>
          </w:rPr>
          <w:t>C.S. § 102</w:t>
        </w:r>
      </w:hyperlink>
      <w:r w:rsidRPr="00D52E0D">
        <w:rPr>
          <w:sz w:val="26"/>
          <w:szCs w:val="26"/>
        </w:rPr>
        <w:t xml:space="preserve">. </w:t>
      </w:r>
      <w:r>
        <w:rPr>
          <w:sz w:val="26"/>
          <w:szCs w:val="26"/>
        </w:rPr>
        <w:t xml:space="preserve"> </w:t>
      </w:r>
      <w:r w:rsidRPr="00D52E0D">
        <w:rPr>
          <w:sz w:val="26"/>
          <w:szCs w:val="26"/>
        </w:rPr>
        <w:t xml:space="preserve">The statutory definition of “service” is also to be broadly construed by the Commission and the courts.  </w:t>
      </w:r>
      <w:hyperlink r:id="rId14" w:history="1">
        <w:r w:rsidRPr="00D52E0D">
          <w:rPr>
            <w:i/>
            <w:iCs/>
            <w:sz w:val="26"/>
            <w:szCs w:val="26"/>
          </w:rPr>
          <w:t>Country Place Waste Treatment Co., Inc. v. Pa. PUC</w:t>
        </w:r>
        <w:r w:rsidRPr="00D52E0D">
          <w:rPr>
            <w:sz w:val="26"/>
            <w:szCs w:val="26"/>
          </w:rPr>
          <w:t xml:space="preserve">, 654 A.2d 72 (Pa. </w:t>
        </w:r>
        <w:proofErr w:type="spellStart"/>
        <w:r w:rsidRPr="00D52E0D">
          <w:rPr>
            <w:sz w:val="26"/>
            <w:szCs w:val="26"/>
          </w:rPr>
          <w:t>Cmwlth</w:t>
        </w:r>
        <w:proofErr w:type="spellEnd"/>
        <w:r w:rsidRPr="00D52E0D">
          <w:rPr>
            <w:sz w:val="26"/>
            <w:szCs w:val="26"/>
          </w:rPr>
          <w:t>. 1995)</w:t>
        </w:r>
      </w:hyperlink>
      <w:r w:rsidRPr="00D52E0D">
        <w:rPr>
          <w:sz w:val="26"/>
          <w:szCs w:val="26"/>
        </w:rPr>
        <w:t>.</w:t>
      </w:r>
    </w:p>
    <w:p w14:paraId="45E980C4" w14:textId="77777777" w:rsidR="00545BA8" w:rsidRPr="00545BA8" w:rsidRDefault="00545BA8" w:rsidP="00545BA8">
      <w:pPr>
        <w:widowControl/>
        <w:spacing w:line="360" w:lineRule="auto"/>
        <w:ind w:firstLine="1440"/>
        <w:rPr>
          <w:color w:val="000000"/>
          <w:sz w:val="26"/>
          <w:szCs w:val="26"/>
        </w:rPr>
      </w:pPr>
    </w:p>
    <w:p w14:paraId="29FDBC57" w14:textId="77777777" w:rsidR="00A85A38" w:rsidRDefault="00545BA8" w:rsidP="002625EC">
      <w:pPr>
        <w:widowControl/>
        <w:spacing w:line="360" w:lineRule="auto"/>
        <w:ind w:firstLine="1440"/>
        <w:rPr>
          <w:sz w:val="26"/>
          <w:szCs w:val="26"/>
        </w:rPr>
      </w:pPr>
      <w:r>
        <w:rPr>
          <w:sz w:val="26"/>
          <w:szCs w:val="26"/>
        </w:rPr>
        <w:t xml:space="preserve">In the Initial Decision, </w:t>
      </w:r>
      <w:r w:rsidR="00A85A38" w:rsidRPr="00CA43A5">
        <w:rPr>
          <w:sz w:val="26"/>
          <w:szCs w:val="26"/>
        </w:rPr>
        <w:t xml:space="preserve">ALJ </w:t>
      </w:r>
      <w:r w:rsidR="00B9344A">
        <w:rPr>
          <w:sz w:val="26"/>
          <w:szCs w:val="26"/>
        </w:rPr>
        <w:t xml:space="preserve">Barnes </w:t>
      </w:r>
      <w:r w:rsidR="00A85A38" w:rsidRPr="00CA43A5">
        <w:rPr>
          <w:sz w:val="26"/>
          <w:szCs w:val="26"/>
        </w:rPr>
        <w:t xml:space="preserve">made </w:t>
      </w:r>
      <w:r w:rsidR="00B9344A">
        <w:rPr>
          <w:sz w:val="26"/>
          <w:szCs w:val="26"/>
        </w:rPr>
        <w:t>sixty-eight</w:t>
      </w:r>
      <w:r w:rsidR="00A85A38" w:rsidRPr="00CA43A5">
        <w:rPr>
          <w:sz w:val="26"/>
          <w:szCs w:val="26"/>
        </w:rPr>
        <w:t xml:space="preserve"> Findings of Fact and reached </w:t>
      </w:r>
      <w:r w:rsidR="00C208A6">
        <w:rPr>
          <w:sz w:val="26"/>
          <w:szCs w:val="26"/>
        </w:rPr>
        <w:t>s</w:t>
      </w:r>
      <w:r w:rsidR="00ED5EE6">
        <w:rPr>
          <w:sz w:val="26"/>
          <w:szCs w:val="26"/>
        </w:rPr>
        <w:t>ixteen</w:t>
      </w:r>
      <w:r w:rsidR="00C208A6">
        <w:rPr>
          <w:sz w:val="26"/>
          <w:szCs w:val="26"/>
        </w:rPr>
        <w:t xml:space="preserve"> </w:t>
      </w:r>
      <w:r w:rsidR="00A85A38" w:rsidRPr="00CA43A5">
        <w:rPr>
          <w:sz w:val="26"/>
          <w:szCs w:val="26"/>
        </w:rPr>
        <w:t xml:space="preserve">Conclusions of Law.  </w:t>
      </w:r>
      <w:r w:rsidR="00A85A38">
        <w:rPr>
          <w:sz w:val="26"/>
          <w:szCs w:val="26"/>
        </w:rPr>
        <w:t xml:space="preserve">I.D. at </w:t>
      </w:r>
      <w:r w:rsidR="00B9344A">
        <w:rPr>
          <w:sz w:val="26"/>
          <w:szCs w:val="26"/>
        </w:rPr>
        <w:t>3</w:t>
      </w:r>
      <w:r w:rsidR="00A85A38">
        <w:rPr>
          <w:sz w:val="26"/>
          <w:szCs w:val="26"/>
        </w:rPr>
        <w:t>-</w:t>
      </w:r>
      <w:r w:rsidR="00C208A6">
        <w:rPr>
          <w:sz w:val="26"/>
          <w:szCs w:val="26"/>
        </w:rPr>
        <w:t>1</w:t>
      </w:r>
      <w:r w:rsidR="00B9344A">
        <w:rPr>
          <w:sz w:val="26"/>
          <w:szCs w:val="26"/>
        </w:rPr>
        <w:t>1</w:t>
      </w:r>
      <w:r w:rsidR="00A85A38">
        <w:rPr>
          <w:sz w:val="26"/>
          <w:szCs w:val="26"/>
        </w:rPr>
        <w:t xml:space="preserve">, </w:t>
      </w:r>
      <w:r w:rsidR="00ED5EE6">
        <w:rPr>
          <w:sz w:val="26"/>
          <w:szCs w:val="26"/>
        </w:rPr>
        <w:t>27-30</w:t>
      </w:r>
      <w:r w:rsidR="00A85A38">
        <w:rPr>
          <w:sz w:val="26"/>
          <w:szCs w:val="26"/>
        </w:rPr>
        <w:t xml:space="preserve">.  </w:t>
      </w:r>
      <w:r w:rsidR="00A85A38"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14:paraId="062F26FB" w14:textId="77777777" w:rsidR="00545BA8" w:rsidRDefault="00545BA8" w:rsidP="002625EC">
      <w:pPr>
        <w:widowControl/>
        <w:spacing w:line="360" w:lineRule="auto"/>
        <w:ind w:firstLine="1440"/>
        <w:rPr>
          <w:sz w:val="26"/>
          <w:szCs w:val="26"/>
        </w:rPr>
      </w:pPr>
    </w:p>
    <w:p w14:paraId="59F728B3" w14:textId="77777777" w:rsidR="00A85A38" w:rsidRPr="002A6750" w:rsidRDefault="00A85A38" w:rsidP="002625EC">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5" w:history="1">
        <w:r w:rsidRPr="002A6750">
          <w:rPr>
            <w:rStyle w:val="Emphasis"/>
            <w:color w:val="000000"/>
            <w:sz w:val="26"/>
            <w:szCs w:val="26"/>
          </w:rPr>
          <w:t xml:space="preserve">Consolidated Rail Corp. v. Pa. PUC, </w:t>
        </w:r>
        <w:r w:rsidRPr="002A6750">
          <w:rPr>
            <w:rStyle w:val="Hyperlink"/>
            <w:color w:val="000000"/>
            <w:sz w:val="26"/>
            <w:szCs w:val="26"/>
            <w:u w:val="none"/>
          </w:rPr>
          <w:t xml:space="preserve">625 A.2d 741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6" w:history="1">
        <w:r w:rsidRPr="002A6750">
          <w:rPr>
            <w:rStyle w:val="Emphasis"/>
            <w:color w:val="000000"/>
            <w:sz w:val="26"/>
            <w:szCs w:val="26"/>
          </w:rPr>
          <w:t>University of Pennsylvania v. Pa. PUC</w:t>
        </w:r>
        <w:r w:rsidRPr="002A6750">
          <w:rPr>
            <w:rStyle w:val="Hyperlink"/>
            <w:color w:val="000000"/>
            <w:sz w:val="26"/>
            <w:szCs w:val="26"/>
            <w:u w:val="none"/>
          </w:rPr>
          <w:t xml:space="preserve">, 485 A.2d 1217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1984).</w:t>
        </w:r>
      </w:hyperlink>
    </w:p>
    <w:p w14:paraId="5070D1EA" w14:textId="77777777" w:rsidR="001B0C5E" w:rsidRPr="00047197" w:rsidRDefault="00C56CC3" w:rsidP="002625EC">
      <w:pPr>
        <w:keepNext/>
        <w:keepLines/>
        <w:widowControl/>
        <w:spacing w:line="360" w:lineRule="auto"/>
        <w:rPr>
          <w:b/>
          <w:sz w:val="26"/>
          <w:szCs w:val="26"/>
        </w:rPr>
      </w:pPr>
      <w:r w:rsidRPr="00047197">
        <w:rPr>
          <w:b/>
          <w:sz w:val="26"/>
          <w:szCs w:val="26"/>
        </w:rPr>
        <w:lastRenderedPageBreak/>
        <w:t>B.</w:t>
      </w:r>
      <w:r w:rsidR="00545BA8" w:rsidRPr="00047197">
        <w:rPr>
          <w:b/>
          <w:sz w:val="26"/>
          <w:szCs w:val="26"/>
        </w:rPr>
        <w:tab/>
      </w:r>
      <w:r w:rsidR="00A675D0" w:rsidRPr="00047197">
        <w:rPr>
          <w:b/>
          <w:sz w:val="26"/>
          <w:szCs w:val="26"/>
        </w:rPr>
        <w:t xml:space="preserve">The </w:t>
      </w:r>
      <w:r w:rsidR="001B0C5E" w:rsidRPr="00047197">
        <w:rPr>
          <w:b/>
          <w:sz w:val="26"/>
          <w:szCs w:val="26"/>
        </w:rPr>
        <w:t>ALJ’s Initial Decision</w:t>
      </w:r>
    </w:p>
    <w:p w14:paraId="1331D826" w14:textId="77777777" w:rsidR="001B0C5E" w:rsidRPr="00047197" w:rsidRDefault="001B0C5E" w:rsidP="002625EC">
      <w:pPr>
        <w:keepNext/>
        <w:keepLines/>
        <w:widowControl/>
        <w:spacing w:line="360" w:lineRule="auto"/>
        <w:ind w:firstLine="1440"/>
        <w:contextualSpacing/>
        <w:rPr>
          <w:sz w:val="26"/>
          <w:szCs w:val="26"/>
        </w:rPr>
      </w:pPr>
    </w:p>
    <w:p w14:paraId="7A3DF0FC" w14:textId="17A716C1" w:rsidR="00047197" w:rsidRPr="00047197" w:rsidRDefault="000817E0" w:rsidP="00047197">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T</w:t>
      </w:r>
      <w:r w:rsidR="00047197" w:rsidRPr="00047197">
        <w:rPr>
          <w:rFonts w:eastAsiaTheme="minorHAnsi"/>
          <w:color w:val="000000"/>
          <w:sz w:val="26"/>
          <w:szCs w:val="26"/>
        </w:rPr>
        <w:t xml:space="preserve">he ALJ noted that </w:t>
      </w:r>
      <w:r>
        <w:rPr>
          <w:rFonts w:eastAsiaTheme="minorHAnsi"/>
          <w:color w:val="000000"/>
          <w:sz w:val="26"/>
          <w:szCs w:val="26"/>
        </w:rPr>
        <w:t>Mr. Aguirre</w:t>
      </w:r>
      <w:r w:rsidR="00047197" w:rsidRPr="00047197">
        <w:rPr>
          <w:rFonts w:eastAsiaTheme="minorHAnsi"/>
          <w:color w:val="000000"/>
          <w:sz w:val="26"/>
          <w:szCs w:val="26"/>
        </w:rPr>
        <w:t xml:space="preserve"> provided testimony in support of h</w:t>
      </w:r>
      <w:r w:rsidR="00ED5EE6">
        <w:rPr>
          <w:rFonts w:eastAsiaTheme="minorHAnsi"/>
          <w:color w:val="000000"/>
          <w:sz w:val="26"/>
          <w:szCs w:val="26"/>
        </w:rPr>
        <w:t>is</w:t>
      </w:r>
      <w:r w:rsidR="00047197" w:rsidRPr="00047197">
        <w:rPr>
          <w:rFonts w:eastAsiaTheme="minorHAnsi"/>
          <w:color w:val="000000"/>
          <w:sz w:val="26"/>
          <w:szCs w:val="26"/>
        </w:rPr>
        <w:t xml:space="preserve"> Complaint and testified, </w:t>
      </w:r>
      <w:r w:rsidR="00047197" w:rsidRPr="00047197">
        <w:rPr>
          <w:rFonts w:eastAsiaTheme="minorHAnsi"/>
          <w:i/>
          <w:iCs/>
          <w:color w:val="000000"/>
          <w:sz w:val="26"/>
          <w:szCs w:val="26"/>
        </w:rPr>
        <w:t>inter alia</w:t>
      </w:r>
      <w:r w:rsidR="00047197" w:rsidRPr="00047197">
        <w:rPr>
          <w:rFonts w:eastAsiaTheme="minorHAnsi"/>
          <w:color w:val="000000"/>
          <w:sz w:val="26"/>
          <w:szCs w:val="26"/>
        </w:rPr>
        <w:t xml:space="preserve">, </w:t>
      </w:r>
      <w:r w:rsidR="00ED5EE6">
        <w:rPr>
          <w:rFonts w:eastAsiaTheme="minorHAnsi"/>
          <w:color w:val="000000"/>
          <w:sz w:val="26"/>
          <w:szCs w:val="26"/>
        </w:rPr>
        <w:t xml:space="preserve">that </w:t>
      </w:r>
      <w:r w:rsidR="00047197" w:rsidRPr="00047197">
        <w:rPr>
          <w:rFonts w:eastAsiaTheme="minorHAnsi"/>
          <w:color w:val="000000"/>
          <w:sz w:val="26"/>
          <w:szCs w:val="26"/>
        </w:rPr>
        <w:t xml:space="preserve">smart meters </w:t>
      </w:r>
      <w:r w:rsidR="00ED5EE6">
        <w:rPr>
          <w:rFonts w:eastAsiaTheme="minorHAnsi"/>
          <w:color w:val="000000"/>
          <w:sz w:val="26"/>
          <w:szCs w:val="26"/>
        </w:rPr>
        <w:t xml:space="preserve">would </w:t>
      </w:r>
      <w:r w:rsidR="00997C62">
        <w:rPr>
          <w:rFonts w:eastAsiaTheme="minorHAnsi"/>
          <w:color w:val="000000"/>
          <w:sz w:val="26"/>
          <w:szCs w:val="26"/>
        </w:rPr>
        <w:t xml:space="preserve">cause </w:t>
      </w:r>
      <w:r w:rsidR="00ED5EE6">
        <w:rPr>
          <w:rFonts w:eastAsiaTheme="minorHAnsi"/>
          <w:color w:val="000000"/>
          <w:sz w:val="26"/>
          <w:szCs w:val="26"/>
        </w:rPr>
        <w:t xml:space="preserve">negative </w:t>
      </w:r>
      <w:r w:rsidR="00997C62">
        <w:rPr>
          <w:rFonts w:eastAsiaTheme="minorHAnsi"/>
          <w:color w:val="000000"/>
          <w:sz w:val="26"/>
          <w:szCs w:val="26"/>
        </w:rPr>
        <w:t xml:space="preserve">health and safety </w:t>
      </w:r>
      <w:r w:rsidR="00ED5EE6">
        <w:rPr>
          <w:rFonts w:eastAsiaTheme="minorHAnsi"/>
          <w:color w:val="000000"/>
          <w:sz w:val="26"/>
          <w:szCs w:val="26"/>
        </w:rPr>
        <w:t xml:space="preserve">impact on the Complainant as well as </w:t>
      </w:r>
      <w:r w:rsidR="00997C62">
        <w:rPr>
          <w:rFonts w:eastAsiaTheme="minorHAnsi"/>
          <w:color w:val="000000"/>
          <w:sz w:val="26"/>
          <w:szCs w:val="26"/>
        </w:rPr>
        <w:t xml:space="preserve">cyber security risks and violation of </w:t>
      </w:r>
      <w:r w:rsidR="00047197" w:rsidRPr="00047197">
        <w:rPr>
          <w:rFonts w:eastAsiaTheme="minorHAnsi"/>
          <w:color w:val="000000"/>
          <w:sz w:val="26"/>
          <w:szCs w:val="26"/>
        </w:rPr>
        <w:t xml:space="preserve">privacy. </w:t>
      </w:r>
      <w:r w:rsidR="007E4C92">
        <w:rPr>
          <w:rFonts w:eastAsiaTheme="minorHAnsi"/>
          <w:color w:val="000000"/>
          <w:sz w:val="26"/>
          <w:szCs w:val="26"/>
        </w:rPr>
        <w:t xml:space="preserve"> </w:t>
      </w:r>
      <w:r w:rsidR="00047197" w:rsidRPr="00047197">
        <w:rPr>
          <w:rFonts w:eastAsiaTheme="minorHAnsi"/>
          <w:color w:val="000000"/>
          <w:sz w:val="26"/>
          <w:szCs w:val="26"/>
        </w:rPr>
        <w:t>Complainant Exhibits A</w:t>
      </w:r>
      <w:r w:rsidR="00ED5EE6">
        <w:rPr>
          <w:rFonts w:eastAsiaTheme="minorHAnsi"/>
          <w:color w:val="000000"/>
          <w:sz w:val="26"/>
          <w:szCs w:val="26"/>
        </w:rPr>
        <w:t xml:space="preserve">-N (excepting G) </w:t>
      </w:r>
      <w:r w:rsidR="00047197" w:rsidRPr="00047197">
        <w:rPr>
          <w:rFonts w:eastAsiaTheme="minorHAnsi"/>
          <w:color w:val="000000"/>
          <w:sz w:val="26"/>
          <w:szCs w:val="26"/>
        </w:rPr>
        <w:t>were admitted into evidence.</w:t>
      </w:r>
      <w:r w:rsidR="007E5D3C">
        <w:rPr>
          <w:rFonts w:eastAsiaTheme="minorHAnsi"/>
          <w:color w:val="000000"/>
          <w:sz w:val="26"/>
          <w:szCs w:val="26"/>
        </w:rPr>
        <w:t xml:space="preserve">  </w:t>
      </w:r>
      <w:r w:rsidR="00997C62">
        <w:rPr>
          <w:rFonts w:eastAsiaTheme="minorHAnsi"/>
          <w:color w:val="000000"/>
          <w:sz w:val="26"/>
          <w:szCs w:val="26"/>
        </w:rPr>
        <w:t>I.D. at 2.</w:t>
      </w:r>
      <w:r w:rsidR="00047197" w:rsidRPr="00047197">
        <w:rPr>
          <w:rFonts w:eastAsiaTheme="minorHAnsi"/>
          <w:color w:val="000000"/>
          <w:sz w:val="26"/>
          <w:szCs w:val="26"/>
        </w:rPr>
        <w:t xml:space="preserve"> </w:t>
      </w:r>
    </w:p>
    <w:p w14:paraId="3552E2D1" w14:textId="77777777" w:rsidR="00047197" w:rsidRPr="00047197" w:rsidRDefault="00047197" w:rsidP="00047197">
      <w:pPr>
        <w:widowControl/>
        <w:autoSpaceDE w:val="0"/>
        <w:autoSpaceDN w:val="0"/>
        <w:adjustRightInd w:val="0"/>
        <w:spacing w:line="360" w:lineRule="auto"/>
        <w:rPr>
          <w:rFonts w:eastAsiaTheme="minorHAnsi"/>
          <w:color w:val="000000"/>
          <w:sz w:val="26"/>
          <w:szCs w:val="26"/>
        </w:rPr>
      </w:pPr>
    </w:p>
    <w:p w14:paraId="47D43BB9" w14:textId="4FDB8C8E" w:rsidR="002B7899" w:rsidRDefault="002B7899" w:rsidP="002B7899">
      <w:pPr>
        <w:pStyle w:val="Default"/>
        <w:spacing w:line="360" w:lineRule="auto"/>
        <w:ind w:firstLine="1440"/>
        <w:rPr>
          <w:sz w:val="26"/>
          <w:szCs w:val="26"/>
        </w:rPr>
      </w:pPr>
      <w:r>
        <w:rPr>
          <w:sz w:val="26"/>
          <w:szCs w:val="26"/>
        </w:rPr>
        <w:t xml:space="preserve">PPL appeared represented by counsel, Devin Ryan, Esquire and Curtis Renner, Esquire, with four written statements, 15 exhibits and four witnesses: Kevin Durkin, Donald </w:t>
      </w:r>
      <w:proofErr w:type="spellStart"/>
      <w:r>
        <w:rPr>
          <w:sz w:val="26"/>
          <w:szCs w:val="26"/>
        </w:rPr>
        <w:t>Vinciguerra</w:t>
      </w:r>
      <w:proofErr w:type="spellEnd"/>
      <w:r>
        <w:rPr>
          <w:sz w:val="26"/>
          <w:szCs w:val="26"/>
        </w:rPr>
        <w:t>, Christopher Davis, Ph.D., and Mark Israel, M.D.  The Company’s Exhibits 1-4 and Exhibits CD-1-CD-5; M1-1-M1-3; KD-1-KD-6 and DV-1 were admitted into the record. I.D. at 2.</w:t>
      </w:r>
    </w:p>
    <w:p w14:paraId="34041335" w14:textId="77777777" w:rsidR="007F10CB" w:rsidRDefault="007F10CB" w:rsidP="002B7899">
      <w:pPr>
        <w:pStyle w:val="Default"/>
        <w:spacing w:line="360" w:lineRule="auto"/>
        <w:ind w:firstLine="1440"/>
        <w:rPr>
          <w:sz w:val="26"/>
          <w:szCs w:val="26"/>
        </w:rPr>
      </w:pPr>
    </w:p>
    <w:p w14:paraId="1B619A6B" w14:textId="21BC248E" w:rsidR="00997C62" w:rsidRDefault="000817E0" w:rsidP="002625EC">
      <w:pPr>
        <w:widowControl/>
        <w:spacing w:line="360" w:lineRule="auto"/>
        <w:ind w:firstLine="1440"/>
        <w:contextualSpacing/>
        <w:rPr>
          <w:sz w:val="26"/>
          <w:szCs w:val="26"/>
        </w:rPr>
      </w:pPr>
      <w:r>
        <w:rPr>
          <w:sz w:val="26"/>
          <w:szCs w:val="26"/>
        </w:rPr>
        <w:t>B</w:t>
      </w:r>
      <w:r w:rsidRPr="0068357D">
        <w:rPr>
          <w:sz w:val="26"/>
          <w:szCs w:val="26"/>
        </w:rPr>
        <w:t xml:space="preserve">ased on consideration and analysis of the record evidence, </w:t>
      </w:r>
      <w:r>
        <w:rPr>
          <w:sz w:val="26"/>
          <w:szCs w:val="26"/>
        </w:rPr>
        <w:t>t</w:t>
      </w:r>
      <w:r w:rsidR="009337A9" w:rsidRPr="0068357D">
        <w:rPr>
          <w:sz w:val="26"/>
          <w:szCs w:val="26"/>
        </w:rPr>
        <w:t>he ALJ concluded that the Complainant</w:t>
      </w:r>
      <w:r w:rsidR="00047197" w:rsidRPr="0068357D">
        <w:rPr>
          <w:sz w:val="26"/>
          <w:szCs w:val="26"/>
        </w:rPr>
        <w:t xml:space="preserve"> did not make</w:t>
      </w:r>
      <w:r w:rsidR="009337A9" w:rsidRPr="0068357D">
        <w:rPr>
          <w:sz w:val="26"/>
          <w:szCs w:val="26"/>
        </w:rPr>
        <w:t xml:space="preserve"> </w:t>
      </w:r>
      <w:proofErr w:type="gramStart"/>
      <w:r w:rsidR="009337A9" w:rsidRPr="0068357D">
        <w:rPr>
          <w:sz w:val="26"/>
          <w:szCs w:val="26"/>
        </w:rPr>
        <w:t xml:space="preserve">a </w:t>
      </w:r>
      <w:r w:rsidR="009337A9" w:rsidRPr="0068357D">
        <w:rPr>
          <w:i/>
          <w:iCs/>
          <w:sz w:val="26"/>
          <w:szCs w:val="26"/>
        </w:rPr>
        <w:t>prima facie</w:t>
      </w:r>
      <w:proofErr w:type="gramEnd"/>
      <w:r w:rsidR="009337A9" w:rsidRPr="0068357D">
        <w:rPr>
          <w:i/>
          <w:iCs/>
          <w:sz w:val="26"/>
          <w:szCs w:val="26"/>
        </w:rPr>
        <w:t xml:space="preserve"> </w:t>
      </w:r>
      <w:r w:rsidR="001A2E0A" w:rsidRPr="001A2E0A">
        <w:rPr>
          <w:sz w:val="26"/>
          <w:szCs w:val="26"/>
        </w:rPr>
        <w:t xml:space="preserve">showing </w:t>
      </w:r>
      <w:r w:rsidR="009337A9" w:rsidRPr="001A2E0A">
        <w:rPr>
          <w:sz w:val="26"/>
          <w:szCs w:val="26"/>
        </w:rPr>
        <w:t>t</w:t>
      </w:r>
      <w:r w:rsidR="009337A9" w:rsidRPr="0068357D">
        <w:rPr>
          <w:sz w:val="26"/>
          <w:szCs w:val="26"/>
        </w:rPr>
        <w:t xml:space="preserve">hat smart meter technology </w:t>
      </w:r>
      <w:r w:rsidR="001A2E0A">
        <w:rPr>
          <w:sz w:val="26"/>
          <w:szCs w:val="26"/>
        </w:rPr>
        <w:t xml:space="preserve">would cause negative health </w:t>
      </w:r>
      <w:r w:rsidR="00997C62">
        <w:rPr>
          <w:sz w:val="26"/>
          <w:szCs w:val="26"/>
        </w:rPr>
        <w:t xml:space="preserve">and safety </w:t>
      </w:r>
      <w:r w:rsidR="001A2E0A">
        <w:rPr>
          <w:sz w:val="26"/>
          <w:szCs w:val="26"/>
        </w:rPr>
        <w:t>effects to the Complain</w:t>
      </w:r>
      <w:r w:rsidR="00474421">
        <w:rPr>
          <w:sz w:val="26"/>
          <w:szCs w:val="26"/>
        </w:rPr>
        <w:t>an</w:t>
      </w:r>
      <w:r w:rsidR="001A2E0A">
        <w:rPr>
          <w:sz w:val="26"/>
          <w:szCs w:val="26"/>
        </w:rPr>
        <w:t xml:space="preserve">t, </w:t>
      </w:r>
      <w:r w:rsidR="009337A9" w:rsidRPr="0068357D">
        <w:rPr>
          <w:sz w:val="26"/>
          <w:szCs w:val="26"/>
        </w:rPr>
        <w:t xml:space="preserve">or </w:t>
      </w:r>
      <w:r w:rsidR="00997C62">
        <w:rPr>
          <w:sz w:val="26"/>
          <w:szCs w:val="26"/>
        </w:rPr>
        <w:t>pose a cybersecurity risk and</w:t>
      </w:r>
      <w:r w:rsidR="00474421">
        <w:rPr>
          <w:sz w:val="26"/>
          <w:szCs w:val="26"/>
        </w:rPr>
        <w:t xml:space="preserve">/or </w:t>
      </w:r>
      <w:r w:rsidR="00997C62">
        <w:rPr>
          <w:sz w:val="26"/>
          <w:szCs w:val="26"/>
        </w:rPr>
        <w:t xml:space="preserve">violation of privacy.  Therefore, the ALJ concluded </w:t>
      </w:r>
      <w:r w:rsidR="009337A9" w:rsidRPr="0068357D">
        <w:rPr>
          <w:sz w:val="26"/>
          <w:szCs w:val="26"/>
        </w:rPr>
        <w:t xml:space="preserve">that the service-related claims </w:t>
      </w:r>
      <w:r w:rsidR="00997C62">
        <w:rPr>
          <w:sz w:val="26"/>
          <w:szCs w:val="26"/>
        </w:rPr>
        <w:t xml:space="preserve">did not </w:t>
      </w:r>
      <w:r w:rsidR="009337A9" w:rsidRPr="0068357D">
        <w:rPr>
          <w:sz w:val="26"/>
          <w:szCs w:val="26"/>
        </w:rPr>
        <w:t xml:space="preserve">constitute unreasonable service.  I.D. </w:t>
      </w:r>
      <w:r w:rsidR="009337A9" w:rsidRPr="002B7899">
        <w:rPr>
          <w:sz w:val="26"/>
          <w:szCs w:val="26"/>
        </w:rPr>
        <w:t>at 29.</w:t>
      </w:r>
      <w:r w:rsidR="009337A9" w:rsidRPr="0068357D">
        <w:rPr>
          <w:sz w:val="26"/>
          <w:szCs w:val="26"/>
        </w:rPr>
        <w:t xml:space="preserve">  </w:t>
      </w:r>
    </w:p>
    <w:p w14:paraId="0A6DBD43" w14:textId="77777777" w:rsidR="00997C62" w:rsidRDefault="00997C62" w:rsidP="002625EC">
      <w:pPr>
        <w:widowControl/>
        <w:spacing w:line="360" w:lineRule="auto"/>
        <w:ind w:firstLine="1440"/>
        <w:contextualSpacing/>
        <w:rPr>
          <w:sz w:val="26"/>
          <w:szCs w:val="26"/>
        </w:rPr>
      </w:pPr>
    </w:p>
    <w:p w14:paraId="09CD7600" w14:textId="410724E1" w:rsidR="00DE5F11" w:rsidRDefault="00047197" w:rsidP="002A48C8">
      <w:pPr>
        <w:widowControl/>
        <w:spacing w:line="360" w:lineRule="auto"/>
        <w:ind w:firstLine="1440"/>
        <w:contextualSpacing/>
        <w:rPr>
          <w:sz w:val="26"/>
          <w:szCs w:val="26"/>
        </w:rPr>
      </w:pPr>
      <w:r w:rsidRPr="0068357D">
        <w:rPr>
          <w:sz w:val="26"/>
          <w:szCs w:val="26"/>
        </w:rPr>
        <w:t>Specifically</w:t>
      </w:r>
      <w:r w:rsidR="009337A9" w:rsidRPr="0068357D">
        <w:rPr>
          <w:sz w:val="26"/>
          <w:szCs w:val="26"/>
        </w:rPr>
        <w:t xml:space="preserve">, the ALJ </w:t>
      </w:r>
      <w:r w:rsidRPr="0068357D">
        <w:rPr>
          <w:sz w:val="26"/>
          <w:szCs w:val="26"/>
        </w:rPr>
        <w:t>determined that the</w:t>
      </w:r>
      <w:r w:rsidR="009337A9" w:rsidRPr="0068357D">
        <w:rPr>
          <w:sz w:val="26"/>
          <w:szCs w:val="26"/>
        </w:rPr>
        <w:t xml:space="preserve"> Complainant’s unsubstantiated testimony is insufficient to support a finding that the smart technology utilized by P</w:t>
      </w:r>
      <w:r w:rsidR="00ED5EE6">
        <w:rPr>
          <w:sz w:val="26"/>
          <w:szCs w:val="26"/>
        </w:rPr>
        <w:t>PL</w:t>
      </w:r>
      <w:r w:rsidR="001A2E0A">
        <w:rPr>
          <w:sz w:val="26"/>
          <w:szCs w:val="26"/>
        </w:rPr>
        <w:t xml:space="preserve"> either causes harm to the Complainant’s health and </w:t>
      </w:r>
      <w:proofErr w:type="gramStart"/>
      <w:r w:rsidR="001A2E0A">
        <w:rPr>
          <w:sz w:val="26"/>
          <w:szCs w:val="26"/>
        </w:rPr>
        <w:t>safety, or</w:t>
      </w:r>
      <w:proofErr w:type="gramEnd"/>
      <w:r w:rsidR="001A2E0A">
        <w:rPr>
          <w:sz w:val="26"/>
          <w:szCs w:val="26"/>
        </w:rPr>
        <w:t xml:space="preserve"> poses cybersecurity risk or violation of privacy </w:t>
      </w:r>
      <w:r w:rsidR="009337A9" w:rsidRPr="0068357D">
        <w:rPr>
          <w:sz w:val="26"/>
          <w:szCs w:val="26"/>
        </w:rPr>
        <w:t>in violation of the Code or its Commission-approved Smart Meter Deployment Plan.</w:t>
      </w:r>
      <w:r w:rsidR="001A2E0A">
        <w:rPr>
          <w:sz w:val="26"/>
          <w:szCs w:val="26"/>
        </w:rPr>
        <w:t xml:space="preserve"> </w:t>
      </w:r>
      <w:r w:rsidR="009337A9" w:rsidRPr="0068357D">
        <w:rPr>
          <w:sz w:val="26"/>
          <w:szCs w:val="26"/>
        </w:rPr>
        <w:t xml:space="preserve"> </w:t>
      </w:r>
      <w:r w:rsidR="001A2E0A">
        <w:rPr>
          <w:sz w:val="26"/>
          <w:szCs w:val="26"/>
        </w:rPr>
        <w:t xml:space="preserve">Consequently, </w:t>
      </w:r>
      <w:r w:rsidR="00E56517">
        <w:rPr>
          <w:sz w:val="26"/>
          <w:szCs w:val="26"/>
        </w:rPr>
        <w:t xml:space="preserve">according to the ALJ, the </w:t>
      </w:r>
      <w:r w:rsidR="009337A9" w:rsidRPr="0068357D">
        <w:rPr>
          <w:sz w:val="26"/>
          <w:szCs w:val="26"/>
        </w:rPr>
        <w:t>Complainant</w:t>
      </w:r>
      <w:r w:rsidR="00E56517">
        <w:rPr>
          <w:sz w:val="26"/>
          <w:szCs w:val="26"/>
        </w:rPr>
        <w:t xml:space="preserve"> </w:t>
      </w:r>
      <w:r w:rsidR="001A2E0A">
        <w:rPr>
          <w:sz w:val="26"/>
          <w:szCs w:val="26"/>
        </w:rPr>
        <w:t xml:space="preserve">failed to make </w:t>
      </w:r>
      <w:r w:rsidR="009337A9" w:rsidRPr="0068357D">
        <w:rPr>
          <w:sz w:val="26"/>
          <w:szCs w:val="26"/>
        </w:rPr>
        <w:t xml:space="preserve">a </w:t>
      </w:r>
      <w:r w:rsidR="009337A9" w:rsidRPr="0068357D">
        <w:rPr>
          <w:i/>
          <w:iCs/>
          <w:sz w:val="26"/>
          <w:szCs w:val="26"/>
        </w:rPr>
        <w:t xml:space="preserve">prima facie </w:t>
      </w:r>
      <w:r w:rsidR="009337A9" w:rsidRPr="0068357D">
        <w:rPr>
          <w:sz w:val="26"/>
          <w:szCs w:val="26"/>
        </w:rPr>
        <w:t>case that the alleged actions and</w:t>
      </w:r>
      <w:r w:rsidRPr="0068357D">
        <w:rPr>
          <w:sz w:val="26"/>
          <w:szCs w:val="26"/>
        </w:rPr>
        <w:t xml:space="preserve"> proposed actions by </w:t>
      </w:r>
      <w:r w:rsidR="001A2E0A">
        <w:rPr>
          <w:sz w:val="26"/>
          <w:szCs w:val="26"/>
        </w:rPr>
        <w:t>PPL</w:t>
      </w:r>
      <w:r w:rsidR="002B7899">
        <w:rPr>
          <w:sz w:val="26"/>
          <w:szCs w:val="26"/>
        </w:rPr>
        <w:t xml:space="preserve"> </w:t>
      </w:r>
      <w:r w:rsidRPr="0068357D">
        <w:rPr>
          <w:sz w:val="26"/>
          <w:szCs w:val="26"/>
        </w:rPr>
        <w:t>constitute unsafe or unreasonable service under 66 Pa.</w:t>
      </w:r>
      <w:r w:rsidR="0065514C">
        <w:rPr>
          <w:sz w:val="26"/>
          <w:szCs w:val="26"/>
        </w:rPr>
        <w:t xml:space="preserve"> </w:t>
      </w:r>
      <w:r w:rsidRPr="0068357D">
        <w:rPr>
          <w:sz w:val="26"/>
          <w:szCs w:val="26"/>
        </w:rPr>
        <w:t xml:space="preserve">C.S. § 1501.  I.D. at </w:t>
      </w:r>
      <w:r w:rsidRPr="002B7899">
        <w:rPr>
          <w:sz w:val="26"/>
          <w:szCs w:val="26"/>
        </w:rPr>
        <w:t>29-30</w:t>
      </w:r>
      <w:r w:rsidR="00612F67">
        <w:rPr>
          <w:sz w:val="26"/>
          <w:szCs w:val="26"/>
        </w:rPr>
        <w:t xml:space="preserve"> as determined with the following analysis.</w:t>
      </w:r>
    </w:p>
    <w:p w14:paraId="3BACDECA" w14:textId="77777777" w:rsidR="00FC721D" w:rsidRDefault="00FC721D" w:rsidP="00651209">
      <w:pPr>
        <w:widowControl/>
        <w:spacing w:line="360" w:lineRule="auto"/>
        <w:ind w:firstLine="1440"/>
        <w:contextualSpacing/>
        <w:rPr>
          <w:sz w:val="26"/>
          <w:szCs w:val="26"/>
          <w:u w:val="single"/>
        </w:rPr>
      </w:pPr>
    </w:p>
    <w:p w14:paraId="1BBA3AC1" w14:textId="77777777" w:rsidR="001B461E" w:rsidRDefault="001B461E" w:rsidP="002A48C8">
      <w:pPr>
        <w:widowControl/>
        <w:spacing w:line="360" w:lineRule="auto"/>
        <w:contextualSpacing/>
        <w:rPr>
          <w:sz w:val="26"/>
          <w:szCs w:val="26"/>
          <w:u w:val="single"/>
        </w:rPr>
      </w:pPr>
    </w:p>
    <w:p w14:paraId="71EBBBC7" w14:textId="2DA52136" w:rsidR="00ED5EE6" w:rsidRPr="00ED5EE6" w:rsidRDefault="0044497D" w:rsidP="002A48C8">
      <w:pPr>
        <w:widowControl/>
        <w:spacing w:line="360" w:lineRule="auto"/>
        <w:contextualSpacing/>
        <w:rPr>
          <w:sz w:val="26"/>
          <w:szCs w:val="26"/>
          <w:u w:val="single"/>
        </w:rPr>
      </w:pPr>
      <w:r>
        <w:rPr>
          <w:sz w:val="26"/>
          <w:szCs w:val="26"/>
          <w:u w:val="single"/>
        </w:rPr>
        <w:lastRenderedPageBreak/>
        <w:t>Act</w:t>
      </w:r>
      <w:r w:rsidRPr="00ED5EE6">
        <w:rPr>
          <w:sz w:val="26"/>
          <w:szCs w:val="26"/>
          <w:u w:val="single"/>
        </w:rPr>
        <w:t xml:space="preserve"> </w:t>
      </w:r>
      <w:r w:rsidR="0065514C" w:rsidRPr="00ED5EE6">
        <w:rPr>
          <w:sz w:val="26"/>
          <w:szCs w:val="26"/>
          <w:u w:val="single"/>
        </w:rPr>
        <w:t xml:space="preserve">129 Has No </w:t>
      </w:r>
      <w:r w:rsidR="0065514C">
        <w:rPr>
          <w:sz w:val="26"/>
          <w:szCs w:val="26"/>
          <w:u w:val="single"/>
        </w:rPr>
        <w:t xml:space="preserve">Customer </w:t>
      </w:r>
      <w:r w:rsidR="0065514C" w:rsidRPr="00ED5EE6">
        <w:rPr>
          <w:sz w:val="26"/>
          <w:szCs w:val="26"/>
          <w:u w:val="single"/>
        </w:rPr>
        <w:t>“</w:t>
      </w:r>
      <w:proofErr w:type="spellStart"/>
      <w:r w:rsidR="0065514C">
        <w:rPr>
          <w:sz w:val="26"/>
          <w:szCs w:val="26"/>
          <w:u w:val="single"/>
        </w:rPr>
        <w:t>O</w:t>
      </w:r>
      <w:r w:rsidR="0065514C" w:rsidRPr="00ED5EE6">
        <w:rPr>
          <w:sz w:val="26"/>
          <w:szCs w:val="26"/>
          <w:u w:val="single"/>
        </w:rPr>
        <w:t>pt</w:t>
      </w:r>
      <w:proofErr w:type="spellEnd"/>
      <w:r w:rsidR="0065514C" w:rsidRPr="00ED5EE6">
        <w:rPr>
          <w:sz w:val="26"/>
          <w:szCs w:val="26"/>
          <w:u w:val="single"/>
        </w:rPr>
        <w:t xml:space="preserve"> Out” Provision</w:t>
      </w:r>
      <w:r w:rsidR="0065514C">
        <w:rPr>
          <w:sz w:val="26"/>
          <w:szCs w:val="26"/>
          <w:u w:val="single"/>
        </w:rPr>
        <w:t xml:space="preserve"> </w:t>
      </w:r>
    </w:p>
    <w:p w14:paraId="7B8FBDAC" w14:textId="77777777" w:rsidR="00FC721D" w:rsidRDefault="00FC721D" w:rsidP="00651209">
      <w:pPr>
        <w:widowControl/>
        <w:spacing w:line="360" w:lineRule="auto"/>
        <w:ind w:firstLine="1440"/>
        <w:contextualSpacing/>
        <w:rPr>
          <w:sz w:val="26"/>
          <w:szCs w:val="26"/>
        </w:rPr>
      </w:pPr>
    </w:p>
    <w:p w14:paraId="546C5D67" w14:textId="059E4EF4" w:rsidR="00651209" w:rsidRDefault="00ED5EE6" w:rsidP="00651209">
      <w:pPr>
        <w:widowControl/>
        <w:spacing w:line="360" w:lineRule="auto"/>
        <w:ind w:firstLine="1440"/>
        <w:contextualSpacing/>
        <w:rPr>
          <w:sz w:val="26"/>
          <w:szCs w:val="26"/>
        </w:rPr>
      </w:pPr>
      <w:r>
        <w:rPr>
          <w:sz w:val="26"/>
          <w:szCs w:val="26"/>
        </w:rPr>
        <w:t xml:space="preserve">The ALJ </w:t>
      </w:r>
      <w:r w:rsidR="001A2E0A">
        <w:rPr>
          <w:sz w:val="26"/>
          <w:szCs w:val="26"/>
        </w:rPr>
        <w:t xml:space="preserve">reviewed the </w:t>
      </w:r>
      <w:r>
        <w:rPr>
          <w:sz w:val="26"/>
          <w:szCs w:val="26"/>
        </w:rPr>
        <w:t>Complainant</w:t>
      </w:r>
      <w:r w:rsidR="007E5D3C">
        <w:rPr>
          <w:sz w:val="26"/>
          <w:szCs w:val="26"/>
        </w:rPr>
        <w:t>’s</w:t>
      </w:r>
      <w:r>
        <w:rPr>
          <w:sz w:val="26"/>
          <w:szCs w:val="26"/>
        </w:rPr>
        <w:t xml:space="preserve"> request to “opt out” of the </w:t>
      </w:r>
      <w:r w:rsidR="00FC721D">
        <w:rPr>
          <w:sz w:val="26"/>
          <w:szCs w:val="26"/>
        </w:rPr>
        <w:t>Act 129 plan requiring EDCs to install smart</w:t>
      </w:r>
      <w:r>
        <w:rPr>
          <w:sz w:val="26"/>
          <w:szCs w:val="26"/>
        </w:rPr>
        <w:t xml:space="preserve"> </w:t>
      </w:r>
      <w:r w:rsidR="00FC721D">
        <w:rPr>
          <w:sz w:val="26"/>
          <w:szCs w:val="26"/>
        </w:rPr>
        <w:t xml:space="preserve">meters </w:t>
      </w:r>
      <w:r w:rsidR="00D1197F" w:rsidRPr="0068357D">
        <w:rPr>
          <w:sz w:val="26"/>
          <w:szCs w:val="26"/>
        </w:rPr>
        <w:t>at all of its customers’ service locations</w:t>
      </w:r>
      <w:r w:rsidR="00FC721D">
        <w:rPr>
          <w:sz w:val="26"/>
          <w:szCs w:val="26"/>
        </w:rPr>
        <w:t>.</w:t>
      </w:r>
      <w:r w:rsidR="00D1197F" w:rsidRPr="0068357D">
        <w:rPr>
          <w:sz w:val="26"/>
          <w:szCs w:val="26"/>
        </w:rPr>
        <w:t xml:space="preserve">  </w:t>
      </w:r>
      <w:r w:rsidR="002B7899">
        <w:rPr>
          <w:sz w:val="26"/>
          <w:szCs w:val="26"/>
        </w:rPr>
        <w:t xml:space="preserve">The ALJ acknowledged that </w:t>
      </w:r>
      <w:r w:rsidR="00D1197F" w:rsidRPr="0068357D">
        <w:rPr>
          <w:sz w:val="26"/>
          <w:szCs w:val="26"/>
        </w:rPr>
        <w:t>P</w:t>
      </w:r>
      <w:r w:rsidR="00FC721D">
        <w:rPr>
          <w:sz w:val="26"/>
          <w:szCs w:val="26"/>
        </w:rPr>
        <w:t>PL</w:t>
      </w:r>
      <w:r w:rsidR="00D1197F" w:rsidRPr="0068357D">
        <w:rPr>
          <w:sz w:val="26"/>
          <w:szCs w:val="26"/>
        </w:rPr>
        <w:t xml:space="preserve"> </w:t>
      </w:r>
      <w:r w:rsidR="001A2E0A">
        <w:rPr>
          <w:sz w:val="26"/>
          <w:szCs w:val="26"/>
        </w:rPr>
        <w:t xml:space="preserve">opposed the “opt out” and </w:t>
      </w:r>
      <w:r w:rsidR="00D1197F" w:rsidRPr="0068357D">
        <w:rPr>
          <w:sz w:val="26"/>
          <w:szCs w:val="26"/>
        </w:rPr>
        <w:t>presented testimony that Act 129 does not provide any language that permits customers to “opt out” from smart meter installation.</w:t>
      </w:r>
      <w:r w:rsidR="003B4D55">
        <w:rPr>
          <w:sz w:val="26"/>
          <w:szCs w:val="26"/>
        </w:rPr>
        <w:t xml:space="preserve"> </w:t>
      </w:r>
      <w:r w:rsidR="00D1197F" w:rsidRPr="0068357D">
        <w:rPr>
          <w:sz w:val="26"/>
          <w:szCs w:val="26"/>
        </w:rPr>
        <w:t xml:space="preserve"> </w:t>
      </w:r>
      <w:r w:rsidR="00D1197F" w:rsidRPr="002B7899">
        <w:rPr>
          <w:sz w:val="26"/>
          <w:szCs w:val="26"/>
        </w:rPr>
        <w:t>I.D. at</w:t>
      </w:r>
      <w:r w:rsidR="002B7899" w:rsidRPr="002B7899">
        <w:rPr>
          <w:sz w:val="26"/>
          <w:szCs w:val="26"/>
        </w:rPr>
        <w:t xml:space="preserve"> 14-16</w:t>
      </w:r>
      <w:r w:rsidR="00D1197F" w:rsidRPr="002B7899">
        <w:rPr>
          <w:sz w:val="26"/>
          <w:szCs w:val="26"/>
        </w:rPr>
        <w:t>.</w:t>
      </w:r>
      <w:r w:rsidR="00D1197F" w:rsidRPr="0068357D">
        <w:rPr>
          <w:sz w:val="26"/>
          <w:szCs w:val="26"/>
        </w:rPr>
        <w:t xml:space="preserve"> </w:t>
      </w:r>
    </w:p>
    <w:p w14:paraId="5C48243D" w14:textId="77777777" w:rsidR="002B7899" w:rsidRDefault="002B7899" w:rsidP="00573E3D">
      <w:pPr>
        <w:widowControl/>
        <w:spacing w:line="360" w:lineRule="auto"/>
        <w:ind w:firstLine="1440"/>
        <w:contextualSpacing/>
        <w:rPr>
          <w:sz w:val="26"/>
          <w:szCs w:val="26"/>
        </w:rPr>
      </w:pPr>
    </w:p>
    <w:p w14:paraId="56A3209C" w14:textId="3B561B14" w:rsidR="00B812D1" w:rsidRDefault="00651209" w:rsidP="00573E3D">
      <w:pPr>
        <w:widowControl/>
        <w:spacing w:line="360" w:lineRule="auto"/>
        <w:ind w:firstLine="1440"/>
        <w:contextualSpacing/>
        <w:rPr>
          <w:sz w:val="26"/>
          <w:szCs w:val="26"/>
        </w:rPr>
      </w:pPr>
      <w:r w:rsidRPr="00573E3D">
        <w:rPr>
          <w:sz w:val="26"/>
          <w:szCs w:val="26"/>
        </w:rPr>
        <w:t>The</w:t>
      </w:r>
      <w:r w:rsidR="00573E3D" w:rsidRPr="00573E3D">
        <w:rPr>
          <w:sz w:val="26"/>
          <w:szCs w:val="26"/>
        </w:rPr>
        <w:t xml:space="preserve"> ALJ noted that the</w:t>
      </w:r>
      <w:r w:rsidRPr="00573E3D">
        <w:rPr>
          <w:sz w:val="26"/>
          <w:szCs w:val="26"/>
        </w:rPr>
        <w:t xml:space="preserve"> Commission has ruled that there is no provision in the Code, the Commission’s regulations or Orders that permit a </w:t>
      </w:r>
      <w:r w:rsidR="005703B8">
        <w:rPr>
          <w:sz w:val="26"/>
          <w:szCs w:val="26"/>
        </w:rPr>
        <w:t>PPL</w:t>
      </w:r>
      <w:r w:rsidRPr="00573E3D">
        <w:rPr>
          <w:sz w:val="26"/>
          <w:szCs w:val="26"/>
        </w:rPr>
        <w:t xml:space="preserve"> customer to “opt-out” of smart meter installation</w:t>
      </w:r>
      <w:r w:rsidRPr="00D10647">
        <w:rPr>
          <w:sz w:val="26"/>
          <w:szCs w:val="26"/>
        </w:rPr>
        <w:t>.</w:t>
      </w:r>
      <w:r w:rsidR="00573E3D" w:rsidRPr="00D10647">
        <w:rPr>
          <w:sz w:val="26"/>
          <w:szCs w:val="26"/>
        </w:rPr>
        <w:t xml:space="preserve">  I.D. at </w:t>
      </w:r>
      <w:r w:rsidR="00D10647" w:rsidRPr="00D10647">
        <w:rPr>
          <w:sz w:val="26"/>
          <w:szCs w:val="26"/>
        </w:rPr>
        <w:t>14</w:t>
      </w:r>
      <w:r w:rsidR="0044497D">
        <w:rPr>
          <w:sz w:val="26"/>
          <w:szCs w:val="26"/>
        </w:rPr>
        <w:t xml:space="preserve"> (</w:t>
      </w:r>
      <w:r w:rsidR="00D10647" w:rsidRPr="00D10647">
        <w:rPr>
          <w:i/>
          <w:iCs/>
          <w:sz w:val="26"/>
          <w:szCs w:val="26"/>
        </w:rPr>
        <w:t xml:space="preserve">citing </w:t>
      </w:r>
      <w:r w:rsidR="0044497D">
        <w:rPr>
          <w:i/>
          <w:iCs/>
          <w:sz w:val="26"/>
          <w:szCs w:val="26"/>
        </w:rPr>
        <w:t xml:space="preserve">2013 </w:t>
      </w:r>
      <w:proofErr w:type="spellStart"/>
      <w:r w:rsidR="00D10647" w:rsidRPr="00D10647">
        <w:rPr>
          <w:i/>
          <w:iCs/>
          <w:sz w:val="26"/>
          <w:szCs w:val="26"/>
        </w:rPr>
        <w:t>Povacz</w:t>
      </w:r>
      <w:proofErr w:type="spellEnd"/>
      <w:r w:rsidR="00D10647" w:rsidRPr="00D10647">
        <w:rPr>
          <w:i/>
          <w:iCs/>
          <w:sz w:val="26"/>
          <w:szCs w:val="26"/>
        </w:rPr>
        <w:t xml:space="preserve"> </w:t>
      </w:r>
      <w:r w:rsidR="0044497D">
        <w:rPr>
          <w:i/>
          <w:iCs/>
          <w:sz w:val="26"/>
          <w:szCs w:val="26"/>
        </w:rPr>
        <w:t>Order</w:t>
      </w:r>
      <w:r w:rsidR="00D10647" w:rsidRPr="00D10647">
        <w:rPr>
          <w:sz w:val="26"/>
          <w:szCs w:val="26"/>
        </w:rPr>
        <w:t>)</w:t>
      </w:r>
      <w:r w:rsidR="00D10647">
        <w:rPr>
          <w:sz w:val="26"/>
          <w:szCs w:val="26"/>
        </w:rPr>
        <w:t>.</w:t>
      </w:r>
    </w:p>
    <w:p w14:paraId="4B26E274" w14:textId="77777777" w:rsidR="00D10647" w:rsidRPr="0050354A" w:rsidRDefault="00D10647" w:rsidP="00573E3D">
      <w:pPr>
        <w:widowControl/>
        <w:spacing w:line="360" w:lineRule="auto"/>
        <w:ind w:firstLine="1440"/>
        <w:contextualSpacing/>
        <w:rPr>
          <w:sz w:val="26"/>
          <w:szCs w:val="26"/>
        </w:rPr>
      </w:pPr>
    </w:p>
    <w:p w14:paraId="2DCA578E" w14:textId="17F1C137" w:rsidR="00B812D1" w:rsidRDefault="0050354A" w:rsidP="00573E3D">
      <w:pPr>
        <w:widowControl/>
        <w:spacing w:line="360" w:lineRule="auto"/>
        <w:ind w:firstLine="1440"/>
        <w:contextualSpacing/>
        <w:rPr>
          <w:sz w:val="26"/>
          <w:szCs w:val="26"/>
        </w:rPr>
      </w:pPr>
      <w:r w:rsidRPr="0050354A">
        <w:rPr>
          <w:sz w:val="26"/>
          <w:szCs w:val="26"/>
        </w:rPr>
        <w:t xml:space="preserve">The ALJ </w:t>
      </w:r>
      <w:r w:rsidR="00A66ADE">
        <w:rPr>
          <w:sz w:val="26"/>
          <w:szCs w:val="26"/>
        </w:rPr>
        <w:t xml:space="preserve">concluded that </w:t>
      </w:r>
      <w:r w:rsidRPr="0050354A">
        <w:rPr>
          <w:sz w:val="26"/>
          <w:szCs w:val="26"/>
        </w:rPr>
        <w:t>b</w:t>
      </w:r>
      <w:r w:rsidR="00B812D1" w:rsidRPr="0050354A">
        <w:rPr>
          <w:sz w:val="26"/>
          <w:szCs w:val="26"/>
        </w:rPr>
        <w:t xml:space="preserve">ased upon the statutory mandate and </w:t>
      </w:r>
      <w:r w:rsidR="00A66ADE">
        <w:rPr>
          <w:sz w:val="26"/>
          <w:szCs w:val="26"/>
        </w:rPr>
        <w:t xml:space="preserve">prior Commission </w:t>
      </w:r>
      <w:r w:rsidR="000C4245">
        <w:rPr>
          <w:sz w:val="26"/>
          <w:szCs w:val="26"/>
        </w:rPr>
        <w:t>decisions</w:t>
      </w:r>
      <w:r w:rsidR="00FC721D">
        <w:rPr>
          <w:sz w:val="26"/>
          <w:szCs w:val="26"/>
        </w:rPr>
        <w:t xml:space="preserve">, there is no customer right to “opt-out” of smart meter installation. </w:t>
      </w:r>
      <w:r w:rsidR="000C4245">
        <w:rPr>
          <w:sz w:val="26"/>
          <w:szCs w:val="26"/>
        </w:rPr>
        <w:t xml:space="preserve"> </w:t>
      </w:r>
      <w:r w:rsidR="00FC721D">
        <w:rPr>
          <w:sz w:val="26"/>
          <w:szCs w:val="26"/>
        </w:rPr>
        <w:t xml:space="preserve">Further, PPL </w:t>
      </w:r>
      <w:r w:rsidR="00272C8B">
        <w:rPr>
          <w:sz w:val="26"/>
          <w:szCs w:val="26"/>
        </w:rPr>
        <w:t>has not only the right, but the duty to</w:t>
      </w:r>
      <w:r w:rsidR="00B812D1" w:rsidRPr="0050354A">
        <w:rPr>
          <w:sz w:val="26"/>
          <w:szCs w:val="26"/>
        </w:rPr>
        <w:t xml:space="preserve"> install a smart meter at the </w:t>
      </w:r>
      <w:r w:rsidR="00FC721D">
        <w:rPr>
          <w:sz w:val="26"/>
          <w:szCs w:val="26"/>
        </w:rPr>
        <w:t>s</w:t>
      </w:r>
      <w:r w:rsidR="00B812D1" w:rsidRPr="0050354A">
        <w:rPr>
          <w:sz w:val="26"/>
          <w:szCs w:val="26"/>
        </w:rPr>
        <w:t xml:space="preserve">ervice </w:t>
      </w:r>
      <w:r w:rsidR="00FC721D">
        <w:rPr>
          <w:sz w:val="26"/>
          <w:szCs w:val="26"/>
        </w:rPr>
        <w:t>l</w:t>
      </w:r>
      <w:r w:rsidR="00B812D1" w:rsidRPr="0050354A">
        <w:rPr>
          <w:sz w:val="26"/>
          <w:szCs w:val="26"/>
        </w:rPr>
        <w:t>ocation to remain in compliance with Chapter 28 of the Code, related Commission orders and its Commission-</w:t>
      </w:r>
      <w:r w:rsidR="00B812D1" w:rsidRPr="00D10647">
        <w:rPr>
          <w:sz w:val="26"/>
          <w:szCs w:val="26"/>
        </w:rPr>
        <w:t>approved Smart Meter Deployment Plan.</w:t>
      </w:r>
      <w:r w:rsidRPr="00D10647">
        <w:rPr>
          <w:sz w:val="26"/>
          <w:szCs w:val="26"/>
        </w:rPr>
        <w:t xml:space="preserve">  I.D. at </w:t>
      </w:r>
      <w:r w:rsidR="00D10647" w:rsidRPr="00D10647">
        <w:rPr>
          <w:sz w:val="26"/>
          <w:szCs w:val="26"/>
        </w:rPr>
        <w:t>15-16</w:t>
      </w:r>
      <w:r w:rsidRPr="00D10647">
        <w:rPr>
          <w:sz w:val="26"/>
          <w:szCs w:val="26"/>
        </w:rPr>
        <w:t>.</w:t>
      </w:r>
    </w:p>
    <w:p w14:paraId="468DAD24" w14:textId="77777777" w:rsidR="009D084B" w:rsidRDefault="009D084B" w:rsidP="002B785E">
      <w:pPr>
        <w:widowControl/>
        <w:spacing w:line="360" w:lineRule="auto"/>
        <w:contextualSpacing/>
        <w:rPr>
          <w:sz w:val="26"/>
          <w:szCs w:val="26"/>
        </w:rPr>
      </w:pPr>
    </w:p>
    <w:p w14:paraId="44380DA7" w14:textId="77777777" w:rsidR="002B785E" w:rsidRPr="002B785E" w:rsidRDefault="00AC3AFA" w:rsidP="00FC3AF7">
      <w:pPr>
        <w:widowControl/>
        <w:spacing w:line="360" w:lineRule="auto"/>
        <w:contextualSpacing/>
        <w:rPr>
          <w:sz w:val="26"/>
          <w:szCs w:val="26"/>
          <w:u w:val="single"/>
        </w:rPr>
      </w:pPr>
      <w:r>
        <w:rPr>
          <w:sz w:val="26"/>
          <w:szCs w:val="26"/>
          <w:u w:val="single"/>
        </w:rPr>
        <w:t xml:space="preserve">Unreasonable Service </w:t>
      </w:r>
      <w:r w:rsidR="00054291">
        <w:rPr>
          <w:sz w:val="26"/>
          <w:szCs w:val="26"/>
          <w:u w:val="single"/>
        </w:rPr>
        <w:t>Claim B</w:t>
      </w:r>
      <w:r>
        <w:rPr>
          <w:sz w:val="26"/>
          <w:szCs w:val="26"/>
          <w:u w:val="single"/>
        </w:rPr>
        <w:t xml:space="preserve">ased on </w:t>
      </w:r>
      <w:r w:rsidR="00054291">
        <w:rPr>
          <w:sz w:val="26"/>
          <w:szCs w:val="26"/>
          <w:u w:val="single"/>
        </w:rPr>
        <w:t>H</w:t>
      </w:r>
      <w:r>
        <w:rPr>
          <w:sz w:val="26"/>
          <w:szCs w:val="26"/>
          <w:u w:val="single"/>
        </w:rPr>
        <w:t xml:space="preserve">arm to </w:t>
      </w:r>
      <w:r w:rsidR="00054291">
        <w:rPr>
          <w:sz w:val="26"/>
          <w:szCs w:val="26"/>
          <w:u w:val="single"/>
        </w:rPr>
        <w:t xml:space="preserve">Complainant’s </w:t>
      </w:r>
      <w:r w:rsidR="00FC721D">
        <w:rPr>
          <w:sz w:val="26"/>
          <w:szCs w:val="26"/>
          <w:u w:val="single"/>
        </w:rPr>
        <w:t xml:space="preserve">Health and </w:t>
      </w:r>
      <w:r w:rsidR="002B785E" w:rsidRPr="002B785E">
        <w:rPr>
          <w:sz w:val="26"/>
          <w:szCs w:val="26"/>
          <w:u w:val="single"/>
        </w:rPr>
        <w:t>Safety</w:t>
      </w:r>
    </w:p>
    <w:p w14:paraId="357095C3" w14:textId="77777777" w:rsidR="002B785E" w:rsidRPr="00E561DE" w:rsidRDefault="002B785E" w:rsidP="00E561DE">
      <w:pPr>
        <w:widowControl/>
        <w:spacing w:line="360" w:lineRule="auto"/>
        <w:ind w:firstLine="1440"/>
        <w:rPr>
          <w:sz w:val="26"/>
          <w:szCs w:val="26"/>
        </w:rPr>
      </w:pPr>
    </w:p>
    <w:p w14:paraId="3B2E285E" w14:textId="77777777" w:rsidR="00E561DE" w:rsidRPr="00E561DE" w:rsidRDefault="00E561DE" w:rsidP="00E561DE">
      <w:pPr>
        <w:pStyle w:val="Default"/>
        <w:spacing w:line="360" w:lineRule="auto"/>
        <w:ind w:firstLine="1440"/>
        <w:rPr>
          <w:sz w:val="26"/>
          <w:szCs w:val="26"/>
        </w:rPr>
      </w:pPr>
      <w:r>
        <w:rPr>
          <w:sz w:val="26"/>
          <w:szCs w:val="26"/>
        </w:rPr>
        <w:t xml:space="preserve">The ALJ </w:t>
      </w:r>
      <w:r w:rsidR="00FC721D">
        <w:rPr>
          <w:sz w:val="26"/>
          <w:szCs w:val="26"/>
        </w:rPr>
        <w:t xml:space="preserve">denied the </w:t>
      </w:r>
      <w:r>
        <w:rPr>
          <w:sz w:val="26"/>
          <w:szCs w:val="26"/>
        </w:rPr>
        <w:t>Complainant</w:t>
      </w:r>
      <w:r w:rsidR="00FC721D">
        <w:rPr>
          <w:sz w:val="26"/>
          <w:szCs w:val="26"/>
        </w:rPr>
        <w:t>’s claim</w:t>
      </w:r>
      <w:r w:rsidR="00D10647">
        <w:rPr>
          <w:sz w:val="26"/>
          <w:szCs w:val="26"/>
        </w:rPr>
        <w:t>s</w:t>
      </w:r>
      <w:r w:rsidR="00FC721D">
        <w:rPr>
          <w:sz w:val="26"/>
          <w:szCs w:val="26"/>
        </w:rPr>
        <w:t xml:space="preserve"> for unreasonable service based on </w:t>
      </w:r>
      <w:r w:rsidR="00D10647">
        <w:rPr>
          <w:sz w:val="26"/>
          <w:szCs w:val="26"/>
        </w:rPr>
        <w:t xml:space="preserve">PPL’s installation of a smart meter at </w:t>
      </w:r>
      <w:r w:rsidR="000817E0">
        <w:rPr>
          <w:sz w:val="26"/>
          <w:szCs w:val="26"/>
        </w:rPr>
        <w:t xml:space="preserve">the </w:t>
      </w:r>
      <w:r w:rsidR="00D10647">
        <w:rPr>
          <w:sz w:val="26"/>
          <w:szCs w:val="26"/>
        </w:rPr>
        <w:t xml:space="preserve">Complainant’s residence. </w:t>
      </w:r>
      <w:r w:rsidR="00BD24D5">
        <w:rPr>
          <w:sz w:val="26"/>
          <w:szCs w:val="26"/>
        </w:rPr>
        <w:t xml:space="preserve"> Specifically, the ALJ </w:t>
      </w:r>
      <w:r w:rsidR="005069AE">
        <w:rPr>
          <w:sz w:val="26"/>
          <w:szCs w:val="26"/>
        </w:rPr>
        <w:t xml:space="preserve">concluded that the </w:t>
      </w:r>
      <w:r w:rsidR="00BD24D5">
        <w:rPr>
          <w:sz w:val="26"/>
          <w:szCs w:val="26"/>
        </w:rPr>
        <w:t>Complainant</w:t>
      </w:r>
      <w:r w:rsidR="005069AE">
        <w:rPr>
          <w:sz w:val="26"/>
          <w:szCs w:val="26"/>
        </w:rPr>
        <w:t xml:space="preserve"> </w:t>
      </w:r>
      <w:r w:rsidR="00A27F6D">
        <w:rPr>
          <w:sz w:val="26"/>
          <w:szCs w:val="26"/>
        </w:rPr>
        <w:t xml:space="preserve">failed to establish </w:t>
      </w:r>
      <w:r w:rsidR="00A27F6D" w:rsidRPr="00A27F6D">
        <w:rPr>
          <w:i/>
          <w:iCs/>
          <w:sz w:val="26"/>
          <w:szCs w:val="26"/>
        </w:rPr>
        <w:t>prima faci</w:t>
      </w:r>
      <w:r w:rsidR="00D10647">
        <w:rPr>
          <w:i/>
          <w:iCs/>
          <w:sz w:val="26"/>
          <w:szCs w:val="26"/>
        </w:rPr>
        <w:t>e</w:t>
      </w:r>
      <w:r w:rsidR="00A27F6D">
        <w:rPr>
          <w:i/>
          <w:iCs/>
          <w:sz w:val="26"/>
          <w:szCs w:val="26"/>
        </w:rPr>
        <w:t xml:space="preserve"> </w:t>
      </w:r>
      <w:r w:rsidR="00A27F6D" w:rsidRPr="00A27F6D">
        <w:rPr>
          <w:sz w:val="26"/>
          <w:szCs w:val="26"/>
        </w:rPr>
        <w:t>medical and technical evidence</w:t>
      </w:r>
      <w:r w:rsidR="00A27F6D">
        <w:rPr>
          <w:sz w:val="26"/>
          <w:szCs w:val="26"/>
        </w:rPr>
        <w:t xml:space="preserve"> required </w:t>
      </w:r>
      <w:r w:rsidR="00D10647">
        <w:rPr>
          <w:sz w:val="26"/>
          <w:szCs w:val="26"/>
        </w:rPr>
        <w:t xml:space="preserve">for </w:t>
      </w:r>
      <w:r w:rsidR="00A27F6D">
        <w:rPr>
          <w:sz w:val="26"/>
          <w:szCs w:val="26"/>
        </w:rPr>
        <w:t xml:space="preserve">a claim based on either the </w:t>
      </w:r>
      <w:r w:rsidR="00D162B5">
        <w:rPr>
          <w:sz w:val="26"/>
          <w:szCs w:val="26"/>
        </w:rPr>
        <w:t xml:space="preserve">negative health effects </w:t>
      </w:r>
      <w:r w:rsidR="00A27F6D">
        <w:rPr>
          <w:sz w:val="26"/>
          <w:szCs w:val="26"/>
        </w:rPr>
        <w:t xml:space="preserve">to </w:t>
      </w:r>
      <w:r w:rsidR="000817E0">
        <w:rPr>
          <w:sz w:val="26"/>
          <w:szCs w:val="26"/>
        </w:rPr>
        <w:t xml:space="preserve">the </w:t>
      </w:r>
      <w:r w:rsidR="00A27F6D">
        <w:rPr>
          <w:sz w:val="26"/>
          <w:szCs w:val="26"/>
        </w:rPr>
        <w:t xml:space="preserve">Complainant </w:t>
      </w:r>
      <w:r w:rsidR="005069AE">
        <w:rPr>
          <w:sz w:val="26"/>
          <w:szCs w:val="26"/>
        </w:rPr>
        <w:t xml:space="preserve">or </w:t>
      </w:r>
      <w:r w:rsidR="00A27F6D">
        <w:rPr>
          <w:sz w:val="26"/>
          <w:szCs w:val="26"/>
        </w:rPr>
        <w:t xml:space="preserve">the safety risk posed from excessive exposure to </w:t>
      </w:r>
      <w:r w:rsidR="00D162B5">
        <w:rPr>
          <w:sz w:val="26"/>
          <w:szCs w:val="26"/>
        </w:rPr>
        <w:t xml:space="preserve">RF </w:t>
      </w:r>
      <w:r w:rsidR="00A27F6D">
        <w:rPr>
          <w:sz w:val="26"/>
          <w:szCs w:val="26"/>
        </w:rPr>
        <w:t xml:space="preserve">caused by </w:t>
      </w:r>
      <w:r w:rsidR="00D162B5">
        <w:rPr>
          <w:sz w:val="26"/>
          <w:szCs w:val="26"/>
        </w:rPr>
        <w:t xml:space="preserve">smart meter installation </w:t>
      </w:r>
      <w:r w:rsidR="00A27F6D">
        <w:rPr>
          <w:sz w:val="26"/>
          <w:szCs w:val="26"/>
        </w:rPr>
        <w:t xml:space="preserve">at the Complainant’s residence. </w:t>
      </w:r>
      <w:r w:rsidRPr="00D162B5">
        <w:rPr>
          <w:sz w:val="26"/>
          <w:szCs w:val="26"/>
        </w:rPr>
        <w:t xml:space="preserve"> I.D. at </w:t>
      </w:r>
      <w:r w:rsidR="00D162B5" w:rsidRPr="00D162B5">
        <w:rPr>
          <w:sz w:val="26"/>
          <w:szCs w:val="26"/>
        </w:rPr>
        <w:t>24-25</w:t>
      </w:r>
    </w:p>
    <w:p w14:paraId="74CF5F68" w14:textId="77777777" w:rsidR="00E561DE" w:rsidRPr="00E561DE" w:rsidRDefault="00E561DE" w:rsidP="00E561DE">
      <w:pPr>
        <w:widowControl/>
        <w:autoSpaceDE w:val="0"/>
        <w:autoSpaceDN w:val="0"/>
        <w:adjustRightInd w:val="0"/>
        <w:spacing w:line="360" w:lineRule="auto"/>
        <w:ind w:firstLine="1440"/>
        <w:rPr>
          <w:rFonts w:eastAsiaTheme="minorHAnsi"/>
          <w:color w:val="000000"/>
          <w:sz w:val="26"/>
          <w:szCs w:val="26"/>
        </w:rPr>
      </w:pPr>
    </w:p>
    <w:p w14:paraId="528C2100" w14:textId="30446E24" w:rsidR="0072318F" w:rsidRDefault="00E561DE" w:rsidP="00E561DE">
      <w:pPr>
        <w:widowControl/>
        <w:autoSpaceDE w:val="0"/>
        <w:autoSpaceDN w:val="0"/>
        <w:adjustRightInd w:val="0"/>
        <w:spacing w:line="360" w:lineRule="auto"/>
        <w:ind w:firstLine="1440"/>
        <w:rPr>
          <w:rFonts w:eastAsiaTheme="minorHAnsi"/>
          <w:color w:val="000000"/>
          <w:sz w:val="26"/>
          <w:szCs w:val="26"/>
        </w:rPr>
      </w:pPr>
      <w:r w:rsidRPr="00B5234D">
        <w:rPr>
          <w:rFonts w:eastAsiaTheme="minorHAnsi"/>
          <w:color w:val="000000"/>
          <w:sz w:val="26"/>
          <w:szCs w:val="26"/>
        </w:rPr>
        <w:t xml:space="preserve">The ALJ </w:t>
      </w:r>
      <w:r w:rsidR="00BD24D5" w:rsidRPr="00B5234D">
        <w:rPr>
          <w:rFonts w:eastAsiaTheme="minorHAnsi"/>
          <w:color w:val="000000"/>
          <w:sz w:val="26"/>
          <w:szCs w:val="26"/>
        </w:rPr>
        <w:t>reviewed the exhibits presented in support of the Compl</w:t>
      </w:r>
      <w:r w:rsidR="00A27F6D">
        <w:rPr>
          <w:rFonts w:eastAsiaTheme="minorHAnsi"/>
          <w:color w:val="000000"/>
          <w:sz w:val="26"/>
          <w:szCs w:val="26"/>
        </w:rPr>
        <w:t>ai</w:t>
      </w:r>
      <w:r w:rsidR="00BD24D5" w:rsidRPr="00B5234D">
        <w:rPr>
          <w:rFonts w:eastAsiaTheme="minorHAnsi"/>
          <w:color w:val="000000"/>
          <w:sz w:val="26"/>
          <w:szCs w:val="26"/>
        </w:rPr>
        <w:t>nt d</w:t>
      </w:r>
      <w:r w:rsidRPr="00B5234D">
        <w:rPr>
          <w:rFonts w:eastAsiaTheme="minorHAnsi"/>
          <w:color w:val="000000"/>
          <w:sz w:val="26"/>
          <w:szCs w:val="26"/>
        </w:rPr>
        <w:t xml:space="preserve">uring </w:t>
      </w:r>
      <w:r w:rsidR="000817E0">
        <w:rPr>
          <w:rFonts w:eastAsiaTheme="minorHAnsi"/>
          <w:color w:val="000000"/>
          <w:sz w:val="26"/>
          <w:szCs w:val="26"/>
        </w:rPr>
        <w:t xml:space="preserve">the </w:t>
      </w:r>
      <w:r w:rsidR="00BD24D5" w:rsidRPr="00B5234D">
        <w:rPr>
          <w:rFonts w:eastAsiaTheme="minorHAnsi"/>
          <w:color w:val="000000"/>
          <w:sz w:val="26"/>
          <w:szCs w:val="26"/>
        </w:rPr>
        <w:t xml:space="preserve">Complainant’s </w:t>
      </w:r>
      <w:r w:rsidRPr="00B5234D">
        <w:rPr>
          <w:rFonts w:eastAsiaTheme="minorHAnsi"/>
          <w:color w:val="000000"/>
          <w:sz w:val="26"/>
          <w:szCs w:val="26"/>
        </w:rPr>
        <w:t>direct testimony at the hearing</w:t>
      </w:r>
      <w:r w:rsidR="00B5234D" w:rsidRPr="00B5234D">
        <w:rPr>
          <w:rFonts w:eastAsiaTheme="minorHAnsi"/>
          <w:color w:val="000000"/>
          <w:sz w:val="26"/>
          <w:szCs w:val="26"/>
        </w:rPr>
        <w:t xml:space="preserve">.  </w:t>
      </w:r>
      <w:r w:rsidR="00B5234D">
        <w:rPr>
          <w:rFonts w:eastAsiaTheme="minorHAnsi"/>
          <w:color w:val="000000"/>
          <w:sz w:val="26"/>
          <w:szCs w:val="26"/>
        </w:rPr>
        <w:t xml:space="preserve">Specifically, the ALJ gave no </w:t>
      </w:r>
      <w:r w:rsidR="00B5234D">
        <w:rPr>
          <w:rFonts w:eastAsiaTheme="minorHAnsi"/>
          <w:color w:val="000000"/>
          <w:sz w:val="26"/>
          <w:szCs w:val="26"/>
        </w:rPr>
        <w:lastRenderedPageBreak/>
        <w:t xml:space="preserve">weight to the </w:t>
      </w:r>
      <w:r w:rsidR="0072318F">
        <w:rPr>
          <w:rFonts w:eastAsiaTheme="minorHAnsi"/>
          <w:color w:val="000000"/>
          <w:sz w:val="26"/>
          <w:szCs w:val="26"/>
        </w:rPr>
        <w:t xml:space="preserve">Complainant’s submission of opinion </w:t>
      </w:r>
      <w:r w:rsidR="009932D3">
        <w:rPr>
          <w:rFonts w:eastAsiaTheme="minorHAnsi"/>
          <w:color w:val="000000"/>
          <w:sz w:val="26"/>
          <w:szCs w:val="26"/>
        </w:rPr>
        <w:t xml:space="preserve">articles </w:t>
      </w:r>
      <w:r w:rsidR="00B5234D">
        <w:rPr>
          <w:rFonts w:eastAsiaTheme="minorHAnsi"/>
          <w:color w:val="000000"/>
          <w:sz w:val="26"/>
          <w:szCs w:val="26"/>
        </w:rPr>
        <w:t xml:space="preserve">offered to support the </w:t>
      </w:r>
      <w:r w:rsidR="009932D3">
        <w:rPr>
          <w:rFonts w:eastAsiaTheme="minorHAnsi"/>
          <w:color w:val="000000"/>
          <w:sz w:val="26"/>
          <w:szCs w:val="26"/>
        </w:rPr>
        <w:t xml:space="preserve">opinion of </w:t>
      </w:r>
      <w:r w:rsidR="00B5234D">
        <w:rPr>
          <w:rFonts w:eastAsiaTheme="minorHAnsi"/>
          <w:color w:val="000000"/>
          <w:sz w:val="26"/>
          <w:szCs w:val="26"/>
        </w:rPr>
        <w:t>non-thermal health effects</w:t>
      </w:r>
      <w:r w:rsidR="009932D3">
        <w:rPr>
          <w:rFonts w:eastAsiaTheme="minorHAnsi"/>
          <w:color w:val="000000"/>
          <w:sz w:val="26"/>
          <w:szCs w:val="26"/>
        </w:rPr>
        <w:t xml:space="preserve"> due to smart meters</w:t>
      </w:r>
      <w:r w:rsidR="00B5234D">
        <w:rPr>
          <w:rFonts w:eastAsiaTheme="minorHAnsi"/>
          <w:color w:val="000000"/>
          <w:sz w:val="26"/>
          <w:szCs w:val="26"/>
        </w:rPr>
        <w:t xml:space="preserve">. I.D. at 20, </w:t>
      </w:r>
      <w:r w:rsidR="007E5D3C" w:rsidRPr="00D704F2">
        <w:rPr>
          <w:rFonts w:eastAsiaTheme="minorHAnsi"/>
          <w:i/>
          <w:iCs/>
          <w:color w:val="000000"/>
          <w:sz w:val="26"/>
          <w:szCs w:val="26"/>
        </w:rPr>
        <w:t>citing</w:t>
      </w:r>
      <w:r w:rsidR="007E5D3C">
        <w:rPr>
          <w:rFonts w:eastAsiaTheme="minorHAnsi"/>
          <w:color w:val="000000"/>
          <w:sz w:val="26"/>
          <w:szCs w:val="26"/>
        </w:rPr>
        <w:t xml:space="preserve"> </w:t>
      </w:r>
      <w:r w:rsidR="00B5234D">
        <w:rPr>
          <w:rFonts w:eastAsiaTheme="minorHAnsi"/>
          <w:color w:val="000000"/>
          <w:sz w:val="26"/>
          <w:szCs w:val="26"/>
        </w:rPr>
        <w:t>Exhibits C, D, and E</w:t>
      </w:r>
      <w:r w:rsidR="009932D3">
        <w:rPr>
          <w:rFonts w:eastAsiaTheme="minorHAnsi"/>
          <w:color w:val="000000"/>
          <w:sz w:val="26"/>
          <w:szCs w:val="26"/>
        </w:rPr>
        <w:t xml:space="preserve">. </w:t>
      </w:r>
      <w:r w:rsidR="007E4C92">
        <w:rPr>
          <w:rFonts w:eastAsiaTheme="minorHAnsi"/>
          <w:color w:val="000000"/>
          <w:sz w:val="26"/>
          <w:szCs w:val="26"/>
        </w:rPr>
        <w:t xml:space="preserve"> </w:t>
      </w:r>
      <w:r w:rsidR="009932D3">
        <w:rPr>
          <w:rFonts w:eastAsiaTheme="minorHAnsi"/>
          <w:color w:val="000000"/>
          <w:sz w:val="26"/>
          <w:szCs w:val="26"/>
        </w:rPr>
        <w:t xml:space="preserve">Similarly, the ALJ gave little or no weight to </w:t>
      </w:r>
      <w:r w:rsidR="0072318F">
        <w:rPr>
          <w:rFonts w:eastAsiaTheme="minorHAnsi"/>
          <w:color w:val="000000"/>
          <w:sz w:val="26"/>
          <w:szCs w:val="26"/>
        </w:rPr>
        <w:t>the lab</w:t>
      </w:r>
      <w:r w:rsidR="007E5D3C">
        <w:rPr>
          <w:rFonts w:eastAsiaTheme="minorHAnsi"/>
          <w:color w:val="000000"/>
          <w:sz w:val="26"/>
          <w:szCs w:val="26"/>
        </w:rPr>
        <w:t>oratory</w:t>
      </w:r>
      <w:r w:rsidR="0072318F">
        <w:rPr>
          <w:rFonts w:eastAsiaTheme="minorHAnsi"/>
          <w:color w:val="000000"/>
          <w:sz w:val="26"/>
          <w:szCs w:val="26"/>
        </w:rPr>
        <w:t xml:space="preserve"> reports, medical bills and Letter of David </w:t>
      </w:r>
      <w:proofErr w:type="spellStart"/>
      <w:r w:rsidR="0072318F">
        <w:rPr>
          <w:rFonts w:eastAsiaTheme="minorHAnsi"/>
          <w:color w:val="000000"/>
          <w:sz w:val="26"/>
          <w:szCs w:val="26"/>
        </w:rPr>
        <w:t>Watto</w:t>
      </w:r>
      <w:proofErr w:type="spellEnd"/>
      <w:r w:rsidR="0072318F">
        <w:rPr>
          <w:rFonts w:eastAsiaTheme="minorHAnsi"/>
          <w:color w:val="000000"/>
          <w:sz w:val="26"/>
          <w:szCs w:val="26"/>
        </w:rPr>
        <w:t>, D</w:t>
      </w:r>
      <w:r w:rsidR="00F56950">
        <w:rPr>
          <w:rFonts w:eastAsiaTheme="minorHAnsi"/>
          <w:color w:val="000000"/>
          <w:sz w:val="26"/>
          <w:szCs w:val="26"/>
        </w:rPr>
        <w:t>C</w:t>
      </w:r>
      <w:r w:rsidR="00C63DD3">
        <w:rPr>
          <w:rFonts w:eastAsiaTheme="minorHAnsi"/>
          <w:color w:val="000000"/>
          <w:sz w:val="26"/>
          <w:szCs w:val="26"/>
        </w:rPr>
        <w:t xml:space="preserve">. </w:t>
      </w:r>
      <w:r w:rsidR="000817E0">
        <w:rPr>
          <w:rFonts w:eastAsiaTheme="minorHAnsi"/>
          <w:color w:val="000000"/>
          <w:sz w:val="26"/>
          <w:szCs w:val="26"/>
        </w:rPr>
        <w:t xml:space="preserve"> </w:t>
      </w:r>
      <w:r w:rsidR="0072318F" w:rsidRPr="00C63DD3">
        <w:rPr>
          <w:rFonts w:eastAsiaTheme="minorHAnsi"/>
          <w:color w:val="000000"/>
          <w:sz w:val="26"/>
          <w:szCs w:val="26"/>
        </w:rPr>
        <w:t>Complainant’s</w:t>
      </w:r>
      <w:r w:rsidR="0072318F">
        <w:rPr>
          <w:rFonts w:eastAsiaTheme="minorHAnsi"/>
          <w:color w:val="000000"/>
          <w:sz w:val="26"/>
          <w:szCs w:val="26"/>
        </w:rPr>
        <w:t xml:space="preserve"> </w:t>
      </w:r>
      <w:r w:rsidR="009932D3">
        <w:rPr>
          <w:rFonts w:eastAsiaTheme="minorHAnsi"/>
          <w:color w:val="000000"/>
          <w:sz w:val="26"/>
          <w:szCs w:val="26"/>
        </w:rPr>
        <w:t xml:space="preserve">Exhibits J, K and M, which were offered to </w:t>
      </w:r>
      <w:r w:rsidR="0072318F">
        <w:rPr>
          <w:rFonts w:eastAsiaTheme="minorHAnsi"/>
          <w:color w:val="000000"/>
          <w:sz w:val="26"/>
          <w:szCs w:val="26"/>
        </w:rPr>
        <w:t xml:space="preserve">support </w:t>
      </w:r>
      <w:r w:rsidR="009932D3">
        <w:rPr>
          <w:rFonts w:eastAsiaTheme="minorHAnsi"/>
          <w:color w:val="000000"/>
          <w:sz w:val="26"/>
          <w:szCs w:val="26"/>
        </w:rPr>
        <w:t xml:space="preserve">the finding that the Complainant is electromagnetically hypersensitive or that the installation of a smart meter at Complainant’s residence would </w:t>
      </w:r>
      <w:r w:rsidR="0072318F">
        <w:rPr>
          <w:rFonts w:eastAsiaTheme="minorHAnsi"/>
          <w:color w:val="000000"/>
          <w:sz w:val="26"/>
          <w:szCs w:val="26"/>
        </w:rPr>
        <w:t>cause, contribute to or exacerbate the Complainant’s illnesses.</w:t>
      </w:r>
      <w:r w:rsidR="000817E0">
        <w:rPr>
          <w:rFonts w:eastAsiaTheme="minorHAnsi"/>
          <w:color w:val="000000"/>
          <w:sz w:val="26"/>
          <w:szCs w:val="26"/>
        </w:rPr>
        <w:t xml:space="preserve"> </w:t>
      </w:r>
      <w:r w:rsidR="0072318F">
        <w:rPr>
          <w:rFonts w:eastAsiaTheme="minorHAnsi"/>
          <w:color w:val="000000"/>
          <w:sz w:val="26"/>
          <w:szCs w:val="26"/>
        </w:rPr>
        <w:t xml:space="preserve"> Id. </w:t>
      </w:r>
      <w:r w:rsidR="000817E0">
        <w:rPr>
          <w:rFonts w:eastAsiaTheme="minorHAnsi"/>
          <w:color w:val="000000"/>
          <w:sz w:val="26"/>
          <w:szCs w:val="26"/>
        </w:rPr>
        <w:t xml:space="preserve">Complainant </w:t>
      </w:r>
      <w:r w:rsidR="0072318F">
        <w:rPr>
          <w:rFonts w:eastAsiaTheme="minorHAnsi"/>
          <w:color w:val="000000"/>
          <w:sz w:val="26"/>
          <w:szCs w:val="26"/>
        </w:rPr>
        <w:t xml:space="preserve">Exhibits J, K and M. </w:t>
      </w:r>
      <w:r w:rsidR="007E4C92">
        <w:rPr>
          <w:rFonts w:eastAsiaTheme="minorHAnsi"/>
          <w:color w:val="000000"/>
          <w:sz w:val="26"/>
          <w:szCs w:val="26"/>
        </w:rPr>
        <w:t xml:space="preserve"> </w:t>
      </w:r>
      <w:r w:rsidR="009932D3">
        <w:rPr>
          <w:rFonts w:eastAsiaTheme="minorHAnsi"/>
          <w:color w:val="000000"/>
          <w:sz w:val="26"/>
          <w:szCs w:val="26"/>
        </w:rPr>
        <w:t xml:space="preserve">The ALJ concluded that, where the author of </w:t>
      </w:r>
      <w:r w:rsidR="0072318F">
        <w:rPr>
          <w:rFonts w:eastAsiaTheme="minorHAnsi"/>
          <w:color w:val="000000"/>
          <w:sz w:val="26"/>
          <w:szCs w:val="26"/>
        </w:rPr>
        <w:t xml:space="preserve">technical and medical </w:t>
      </w:r>
      <w:r w:rsidR="009932D3">
        <w:rPr>
          <w:rFonts w:eastAsiaTheme="minorHAnsi"/>
          <w:color w:val="000000"/>
          <w:sz w:val="26"/>
          <w:szCs w:val="26"/>
        </w:rPr>
        <w:t xml:space="preserve">opinion testimony was not available for cross-examination by the Company, the evidence could not be considered. </w:t>
      </w:r>
      <w:r w:rsidR="007E4C92">
        <w:rPr>
          <w:rFonts w:eastAsiaTheme="minorHAnsi"/>
          <w:color w:val="000000"/>
          <w:sz w:val="26"/>
          <w:szCs w:val="26"/>
        </w:rPr>
        <w:t xml:space="preserve"> </w:t>
      </w:r>
      <w:r w:rsidR="009932D3" w:rsidRPr="009932D3">
        <w:rPr>
          <w:rFonts w:eastAsiaTheme="minorHAnsi"/>
          <w:i/>
          <w:iCs/>
          <w:color w:val="000000"/>
          <w:sz w:val="26"/>
          <w:szCs w:val="26"/>
        </w:rPr>
        <w:t>Id.</w:t>
      </w:r>
      <w:r w:rsidR="009932D3">
        <w:rPr>
          <w:rFonts w:eastAsiaTheme="minorHAnsi"/>
          <w:color w:val="000000"/>
          <w:sz w:val="26"/>
          <w:szCs w:val="26"/>
        </w:rPr>
        <w:t xml:space="preserve">, </w:t>
      </w:r>
      <w:r w:rsidR="009932D3" w:rsidRPr="009932D3">
        <w:rPr>
          <w:rFonts w:eastAsiaTheme="minorHAnsi"/>
          <w:i/>
          <w:iCs/>
          <w:color w:val="000000"/>
          <w:sz w:val="26"/>
          <w:szCs w:val="26"/>
        </w:rPr>
        <w:t>citing</w:t>
      </w:r>
      <w:r w:rsidR="009932D3">
        <w:rPr>
          <w:rFonts w:eastAsiaTheme="minorHAnsi"/>
          <w:color w:val="000000"/>
          <w:sz w:val="26"/>
          <w:szCs w:val="26"/>
        </w:rPr>
        <w:t xml:space="preserve">, 66 Pa. C.S.§ 332(c); </w:t>
      </w:r>
      <w:r w:rsidR="009932D3" w:rsidRPr="009932D3">
        <w:rPr>
          <w:rFonts w:eastAsiaTheme="minorHAnsi"/>
          <w:i/>
          <w:iCs/>
          <w:color w:val="000000"/>
          <w:sz w:val="26"/>
          <w:szCs w:val="26"/>
        </w:rPr>
        <w:t>Answerphone, Inc. &amp; Elite Answering Serv. V. the Bell Tele. Co. of Pa.</w:t>
      </w:r>
      <w:r w:rsidR="009932D3">
        <w:rPr>
          <w:rFonts w:eastAsiaTheme="minorHAnsi"/>
          <w:color w:val="000000"/>
          <w:sz w:val="26"/>
          <w:szCs w:val="26"/>
        </w:rPr>
        <w:t>, PUC LEXIS 70, at *29-30 (Order entered, April 1, 1993).</w:t>
      </w:r>
    </w:p>
    <w:p w14:paraId="64DADF87" w14:textId="77777777" w:rsidR="005069AE" w:rsidRDefault="005069AE" w:rsidP="00E561DE">
      <w:pPr>
        <w:widowControl/>
        <w:autoSpaceDE w:val="0"/>
        <w:autoSpaceDN w:val="0"/>
        <w:adjustRightInd w:val="0"/>
        <w:spacing w:line="360" w:lineRule="auto"/>
        <w:ind w:firstLine="1440"/>
        <w:rPr>
          <w:rFonts w:eastAsiaTheme="minorHAnsi"/>
          <w:color w:val="000000"/>
          <w:sz w:val="26"/>
          <w:szCs w:val="26"/>
        </w:rPr>
      </w:pPr>
    </w:p>
    <w:p w14:paraId="3BBE38C7" w14:textId="575CD2B0" w:rsidR="00B5234D" w:rsidRDefault="00B5234D" w:rsidP="00E561DE">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ALJ </w:t>
      </w:r>
      <w:r w:rsidR="0072318F">
        <w:rPr>
          <w:rFonts w:eastAsiaTheme="minorHAnsi"/>
          <w:color w:val="000000"/>
          <w:sz w:val="26"/>
          <w:szCs w:val="26"/>
        </w:rPr>
        <w:t>found the Complainant’s Exhibits L and M, unpersuasive to support a finding of various alleged medical conditions</w:t>
      </w:r>
      <w:r w:rsidR="0088183A">
        <w:rPr>
          <w:rFonts w:eastAsiaTheme="minorHAnsi"/>
          <w:color w:val="000000"/>
          <w:sz w:val="26"/>
          <w:szCs w:val="26"/>
        </w:rPr>
        <w:t>, including EHS (electromagnetic hypersensitivity)</w:t>
      </w:r>
      <w:r w:rsidR="0072318F">
        <w:rPr>
          <w:rFonts w:eastAsiaTheme="minorHAnsi"/>
          <w:color w:val="000000"/>
          <w:sz w:val="26"/>
          <w:szCs w:val="26"/>
        </w:rPr>
        <w:t xml:space="preserve">.  In addition, the ALJ concluded that even if the alleged medical conditions could be established, the exhibits offered did not support a causal connection between the alleged medical conditions and any exacerbation of the condition due to smart meter installation.  The ALJ </w:t>
      </w:r>
      <w:r w:rsidR="0088183A">
        <w:rPr>
          <w:rFonts w:eastAsiaTheme="minorHAnsi"/>
          <w:color w:val="000000"/>
          <w:sz w:val="26"/>
          <w:szCs w:val="26"/>
        </w:rPr>
        <w:t xml:space="preserve">concluded no causation could be established between Complainant’s alleged negative health effects, based upon the more persuasive </w:t>
      </w:r>
      <w:r w:rsidR="0072318F">
        <w:rPr>
          <w:rFonts w:eastAsiaTheme="minorHAnsi"/>
          <w:color w:val="000000"/>
          <w:sz w:val="26"/>
          <w:szCs w:val="26"/>
        </w:rPr>
        <w:t xml:space="preserve">medical testimony of PPL’s witness Dr. Israel, </w:t>
      </w:r>
      <w:r w:rsidR="0088183A">
        <w:rPr>
          <w:rFonts w:eastAsiaTheme="minorHAnsi"/>
          <w:color w:val="000000"/>
          <w:sz w:val="26"/>
          <w:szCs w:val="26"/>
        </w:rPr>
        <w:t xml:space="preserve">which described EHS as an idiopathic environmental intolerance, diagnosis of which depends upon self-reporting of adverse reactions to electromagnetic fields.  I.D. at 20-21, </w:t>
      </w:r>
      <w:r w:rsidR="0088183A" w:rsidRPr="0088183A">
        <w:rPr>
          <w:rFonts w:eastAsiaTheme="minorHAnsi"/>
          <w:i/>
          <w:iCs/>
          <w:color w:val="000000"/>
          <w:sz w:val="26"/>
          <w:szCs w:val="26"/>
        </w:rPr>
        <w:t>citing</w:t>
      </w:r>
      <w:r w:rsidR="0088183A">
        <w:rPr>
          <w:rFonts w:eastAsiaTheme="minorHAnsi"/>
          <w:color w:val="000000"/>
          <w:sz w:val="26"/>
          <w:szCs w:val="26"/>
        </w:rPr>
        <w:t xml:space="preserve"> PPL Electric Statement No. 2</w:t>
      </w:r>
      <w:r w:rsidR="00612F67">
        <w:rPr>
          <w:rFonts w:eastAsiaTheme="minorHAnsi"/>
          <w:color w:val="000000"/>
          <w:sz w:val="26"/>
          <w:szCs w:val="26"/>
        </w:rPr>
        <w:t>.</w:t>
      </w:r>
    </w:p>
    <w:p w14:paraId="0B94F201" w14:textId="77777777" w:rsidR="00E22288" w:rsidRDefault="00E22288" w:rsidP="00E561DE">
      <w:pPr>
        <w:widowControl/>
        <w:autoSpaceDE w:val="0"/>
        <w:autoSpaceDN w:val="0"/>
        <w:adjustRightInd w:val="0"/>
        <w:spacing w:line="360" w:lineRule="auto"/>
        <w:ind w:firstLine="1440"/>
        <w:rPr>
          <w:rFonts w:eastAsiaTheme="minorHAnsi"/>
          <w:color w:val="000000"/>
          <w:sz w:val="26"/>
          <w:szCs w:val="26"/>
        </w:rPr>
      </w:pPr>
    </w:p>
    <w:p w14:paraId="6C14BD51" w14:textId="1F0B96D0" w:rsidR="004B4653" w:rsidRDefault="00E22288" w:rsidP="00E561DE">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ALJ also rejected the Complainant’s technical evidence offered to support the claim of </w:t>
      </w:r>
      <w:r w:rsidR="001A2E0A">
        <w:rPr>
          <w:rFonts w:eastAsiaTheme="minorHAnsi"/>
          <w:color w:val="000000"/>
          <w:sz w:val="26"/>
          <w:szCs w:val="26"/>
        </w:rPr>
        <w:t>safety risk</w:t>
      </w:r>
      <w:r w:rsidR="00C91BAF">
        <w:rPr>
          <w:rFonts w:eastAsiaTheme="minorHAnsi"/>
          <w:color w:val="000000"/>
          <w:sz w:val="26"/>
          <w:szCs w:val="26"/>
        </w:rPr>
        <w:t xml:space="preserve">, including the Complainant’s </w:t>
      </w:r>
      <w:r w:rsidR="005069AE">
        <w:rPr>
          <w:rFonts w:eastAsiaTheme="minorHAnsi"/>
          <w:color w:val="000000"/>
          <w:sz w:val="26"/>
          <w:szCs w:val="26"/>
        </w:rPr>
        <w:t>opinion</w:t>
      </w:r>
      <w:r w:rsidR="00C91BAF">
        <w:rPr>
          <w:rFonts w:eastAsiaTheme="minorHAnsi"/>
          <w:color w:val="000000"/>
          <w:sz w:val="26"/>
          <w:szCs w:val="26"/>
        </w:rPr>
        <w:t xml:space="preserve"> </w:t>
      </w:r>
      <w:r w:rsidR="004B4653">
        <w:rPr>
          <w:rFonts w:eastAsiaTheme="minorHAnsi"/>
          <w:color w:val="000000"/>
          <w:sz w:val="26"/>
          <w:szCs w:val="26"/>
        </w:rPr>
        <w:t xml:space="preserve">testimony </w:t>
      </w:r>
      <w:r w:rsidR="00C91BAF">
        <w:rPr>
          <w:rFonts w:eastAsiaTheme="minorHAnsi"/>
          <w:color w:val="000000"/>
          <w:sz w:val="26"/>
          <w:szCs w:val="26"/>
        </w:rPr>
        <w:t xml:space="preserve">and </w:t>
      </w:r>
      <w:r w:rsidR="004B4653">
        <w:rPr>
          <w:rFonts w:eastAsiaTheme="minorHAnsi"/>
          <w:color w:val="000000"/>
          <w:sz w:val="26"/>
          <w:szCs w:val="26"/>
        </w:rPr>
        <w:t xml:space="preserve">the representation of Exhibit I, regarding the technical </w:t>
      </w:r>
      <w:r w:rsidR="00C91BAF">
        <w:rPr>
          <w:rFonts w:eastAsiaTheme="minorHAnsi"/>
          <w:color w:val="000000"/>
          <w:sz w:val="26"/>
          <w:szCs w:val="26"/>
        </w:rPr>
        <w:t xml:space="preserve">opinion of </w:t>
      </w:r>
      <w:r w:rsidR="004B4653">
        <w:rPr>
          <w:rFonts w:eastAsiaTheme="minorHAnsi"/>
          <w:color w:val="000000"/>
          <w:sz w:val="26"/>
          <w:szCs w:val="26"/>
        </w:rPr>
        <w:t xml:space="preserve">Matt </w:t>
      </w:r>
      <w:proofErr w:type="spellStart"/>
      <w:r w:rsidR="004B4653">
        <w:rPr>
          <w:rFonts w:eastAsiaTheme="minorHAnsi"/>
          <w:color w:val="000000"/>
          <w:sz w:val="26"/>
          <w:szCs w:val="26"/>
        </w:rPr>
        <w:t>Fiskin</w:t>
      </w:r>
      <w:proofErr w:type="spellEnd"/>
      <w:r w:rsidR="004B4653">
        <w:rPr>
          <w:rFonts w:eastAsiaTheme="minorHAnsi"/>
          <w:color w:val="000000"/>
          <w:sz w:val="26"/>
          <w:szCs w:val="26"/>
        </w:rPr>
        <w:t xml:space="preserve">, on the basis that neither the Complainant nor Mr. </w:t>
      </w:r>
      <w:proofErr w:type="spellStart"/>
      <w:r w:rsidR="004B4653">
        <w:rPr>
          <w:rFonts w:eastAsiaTheme="minorHAnsi"/>
          <w:color w:val="000000"/>
          <w:sz w:val="26"/>
          <w:szCs w:val="26"/>
        </w:rPr>
        <w:t>Fiskin</w:t>
      </w:r>
      <w:proofErr w:type="spellEnd"/>
      <w:r w:rsidR="004B4653">
        <w:rPr>
          <w:rFonts w:eastAsiaTheme="minorHAnsi"/>
          <w:color w:val="000000"/>
          <w:sz w:val="26"/>
          <w:szCs w:val="26"/>
        </w:rPr>
        <w:t xml:space="preserve"> qualified as technical experts in any relevant technical or medical field. I.D. at 23.</w:t>
      </w:r>
      <w:r>
        <w:rPr>
          <w:rFonts w:eastAsiaTheme="minorHAnsi"/>
          <w:color w:val="000000"/>
          <w:sz w:val="26"/>
          <w:szCs w:val="26"/>
        </w:rPr>
        <w:t xml:space="preserve">  </w:t>
      </w:r>
      <w:r w:rsidR="004B4653">
        <w:rPr>
          <w:rFonts w:eastAsiaTheme="minorHAnsi"/>
          <w:color w:val="000000"/>
          <w:sz w:val="26"/>
          <w:szCs w:val="26"/>
        </w:rPr>
        <w:t xml:space="preserve">The ALJ further rejected the technical evidence of </w:t>
      </w:r>
      <w:r w:rsidR="004B4653">
        <w:rPr>
          <w:rFonts w:eastAsiaTheme="minorHAnsi"/>
          <w:color w:val="000000"/>
          <w:sz w:val="26"/>
          <w:szCs w:val="26"/>
        </w:rPr>
        <w:lastRenderedPageBreak/>
        <w:t xml:space="preserve">Mr. </w:t>
      </w:r>
      <w:proofErr w:type="spellStart"/>
      <w:r w:rsidR="004B4653">
        <w:rPr>
          <w:rFonts w:eastAsiaTheme="minorHAnsi"/>
          <w:color w:val="000000"/>
          <w:sz w:val="26"/>
          <w:szCs w:val="26"/>
        </w:rPr>
        <w:t>Fiskin</w:t>
      </w:r>
      <w:proofErr w:type="spellEnd"/>
      <w:r w:rsidR="004B4653">
        <w:rPr>
          <w:rFonts w:eastAsiaTheme="minorHAnsi"/>
          <w:color w:val="000000"/>
          <w:sz w:val="26"/>
          <w:szCs w:val="26"/>
        </w:rPr>
        <w:t>, on the basis that he was not made available for cross-examination by PPL.</w:t>
      </w:r>
      <w:r w:rsidR="00612F67">
        <w:rPr>
          <w:rFonts w:eastAsiaTheme="minorHAnsi"/>
          <w:color w:val="000000"/>
          <w:sz w:val="26"/>
          <w:szCs w:val="26"/>
        </w:rPr>
        <w:t xml:space="preserve"> </w:t>
      </w:r>
      <w:r w:rsidR="004B4653">
        <w:rPr>
          <w:rFonts w:eastAsiaTheme="minorHAnsi"/>
          <w:color w:val="000000"/>
          <w:sz w:val="26"/>
          <w:szCs w:val="26"/>
        </w:rPr>
        <w:t xml:space="preserve"> </w:t>
      </w:r>
      <w:r w:rsidR="004B4653" w:rsidRPr="004B4653">
        <w:rPr>
          <w:rFonts w:eastAsiaTheme="minorHAnsi"/>
          <w:i/>
          <w:iCs/>
          <w:color w:val="000000"/>
          <w:sz w:val="26"/>
          <w:szCs w:val="26"/>
        </w:rPr>
        <w:t>Id</w:t>
      </w:r>
      <w:r w:rsidR="004B4653">
        <w:rPr>
          <w:rFonts w:eastAsiaTheme="minorHAnsi"/>
          <w:color w:val="000000"/>
          <w:sz w:val="26"/>
          <w:szCs w:val="26"/>
        </w:rPr>
        <w:t>.</w:t>
      </w:r>
    </w:p>
    <w:p w14:paraId="72AFCC07" w14:textId="77777777" w:rsidR="004B4653" w:rsidRDefault="004B4653" w:rsidP="00E561DE">
      <w:pPr>
        <w:widowControl/>
        <w:autoSpaceDE w:val="0"/>
        <w:autoSpaceDN w:val="0"/>
        <w:adjustRightInd w:val="0"/>
        <w:spacing w:line="360" w:lineRule="auto"/>
        <w:ind w:firstLine="1440"/>
        <w:rPr>
          <w:rFonts w:eastAsiaTheme="minorHAnsi"/>
          <w:color w:val="000000"/>
          <w:sz w:val="26"/>
          <w:szCs w:val="26"/>
        </w:rPr>
      </w:pPr>
    </w:p>
    <w:p w14:paraId="5D330F45" w14:textId="2716D9FE" w:rsidR="00E22288" w:rsidRDefault="00E22288" w:rsidP="00E561DE">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ALJ found that the Complainant’s </w:t>
      </w:r>
      <w:r w:rsidR="004B4653">
        <w:rPr>
          <w:rFonts w:eastAsiaTheme="minorHAnsi"/>
          <w:color w:val="000000"/>
          <w:sz w:val="26"/>
          <w:szCs w:val="26"/>
        </w:rPr>
        <w:t xml:space="preserve">assertions regarding </w:t>
      </w:r>
      <w:r w:rsidR="005703B8">
        <w:rPr>
          <w:rFonts w:eastAsiaTheme="minorHAnsi"/>
          <w:color w:val="000000"/>
          <w:sz w:val="26"/>
          <w:szCs w:val="26"/>
        </w:rPr>
        <w:t xml:space="preserve">safety risk due to </w:t>
      </w:r>
      <w:r w:rsidR="004B4653">
        <w:rPr>
          <w:rFonts w:eastAsiaTheme="minorHAnsi"/>
          <w:color w:val="000000"/>
          <w:sz w:val="26"/>
          <w:szCs w:val="26"/>
        </w:rPr>
        <w:t xml:space="preserve">RF levels </w:t>
      </w:r>
      <w:r w:rsidR="005703B8">
        <w:rPr>
          <w:rFonts w:eastAsiaTheme="minorHAnsi"/>
          <w:color w:val="000000"/>
          <w:sz w:val="26"/>
          <w:szCs w:val="26"/>
        </w:rPr>
        <w:t xml:space="preserve">emitted by </w:t>
      </w:r>
      <w:r w:rsidR="004B4653">
        <w:rPr>
          <w:rFonts w:eastAsiaTheme="minorHAnsi"/>
          <w:color w:val="000000"/>
          <w:sz w:val="26"/>
          <w:szCs w:val="26"/>
        </w:rPr>
        <w:t xml:space="preserve">an AMI meter </w:t>
      </w:r>
      <w:r>
        <w:rPr>
          <w:rFonts w:eastAsiaTheme="minorHAnsi"/>
          <w:color w:val="000000"/>
          <w:sz w:val="26"/>
          <w:szCs w:val="26"/>
        </w:rPr>
        <w:t>w</w:t>
      </w:r>
      <w:r w:rsidR="005703B8">
        <w:rPr>
          <w:rFonts w:eastAsiaTheme="minorHAnsi"/>
          <w:color w:val="000000"/>
          <w:sz w:val="26"/>
          <w:szCs w:val="26"/>
        </w:rPr>
        <w:t xml:space="preserve">ere </w:t>
      </w:r>
      <w:r>
        <w:rPr>
          <w:rFonts w:eastAsiaTheme="minorHAnsi"/>
          <w:color w:val="000000"/>
          <w:sz w:val="26"/>
          <w:szCs w:val="26"/>
        </w:rPr>
        <w:t xml:space="preserve">refuted by the expert </w:t>
      </w:r>
      <w:r w:rsidR="00B26CD4">
        <w:rPr>
          <w:rFonts w:eastAsiaTheme="minorHAnsi"/>
          <w:color w:val="000000"/>
          <w:sz w:val="26"/>
          <w:szCs w:val="26"/>
        </w:rPr>
        <w:t xml:space="preserve">technical </w:t>
      </w:r>
      <w:r>
        <w:rPr>
          <w:rFonts w:eastAsiaTheme="minorHAnsi"/>
          <w:color w:val="000000"/>
          <w:sz w:val="26"/>
          <w:szCs w:val="26"/>
        </w:rPr>
        <w:t xml:space="preserve">testimony presented by PPL’s witness Dr. Davis, who offered credible testimony regarding the extensive research he has conducted into RF levels produced by AMI meters.  Dr. Davis’ expert opinion compared the RF levels produced by AMI meters against both the applicable </w:t>
      </w:r>
      <w:r w:rsidR="007E5D3C">
        <w:rPr>
          <w:rFonts w:eastAsiaTheme="minorHAnsi"/>
          <w:color w:val="000000"/>
          <w:sz w:val="26"/>
          <w:szCs w:val="26"/>
        </w:rPr>
        <w:t>Federal Communications Commission (</w:t>
      </w:r>
      <w:r>
        <w:rPr>
          <w:rFonts w:eastAsiaTheme="minorHAnsi"/>
          <w:color w:val="000000"/>
          <w:sz w:val="26"/>
          <w:szCs w:val="26"/>
        </w:rPr>
        <w:t>FCC</w:t>
      </w:r>
      <w:r w:rsidR="007E5D3C">
        <w:rPr>
          <w:rFonts w:eastAsiaTheme="minorHAnsi"/>
          <w:color w:val="000000"/>
          <w:sz w:val="26"/>
          <w:szCs w:val="26"/>
        </w:rPr>
        <w:t>)</w:t>
      </w:r>
      <w:r>
        <w:rPr>
          <w:rFonts w:eastAsiaTheme="minorHAnsi"/>
          <w:color w:val="000000"/>
          <w:sz w:val="26"/>
          <w:szCs w:val="26"/>
        </w:rPr>
        <w:t xml:space="preserve"> standards for safe public exposure to RF fields and against the relative exposure to RF fields from </w:t>
      </w:r>
      <w:r w:rsidR="004B4653">
        <w:rPr>
          <w:rFonts w:eastAsiaTheme="minorHAnsi"/>
          <w:color w:val="000000"/>
          <w:sz w:val="26"/>
          <w:szCs w:val="26"/>
        </w:rPr>
        <w:t xml:space="preserve">routine exposure to </w:t>
      </w:r>
      <w:r>
        <w:rPr>
          <w:rFonts w:eastAsiaTheme="minorHAnsi"/>
          <w:color w:val="000000"/>
          <w:sz w:val="26"/>
          <w:szCs w:val="26"/>
        </w:rPr>
        <w:t>environmental factors such as cell phones and television broadcast towers.</w:t>
      </w:r>
      <w:r w:rsidR="00B26CD4">
        <w:rPr>
          <w:rFonts w:eastAsiaTheme="minorHAnsi"/>
          <w:color w:val="000000"/>
          <w:sz w:val="26"/>
          <w:szCs w:val="26"/>
        </w:rPr>
        <w:t xml:space="preserve"> I.D. at 21-22.</w:t>
      </w:r>
      <w:r>
        <w:rPr>
          <w:rFonts w:eastAsiaTheme="minorHAnsi"/>
          <w:color w:val="000000"/>
          <w:sz w:val="26"/>
          <w:szCs w:val="26"/>
        </w:rPr>
        <w:t xml:space="preserve">  Dr. Davis illustrated that the RF exposure due to an AMI meter </w:t>
      </w:r>
      <w:r w:rsidR="00C91BAF">
        <w:rPr>
          <w:rFonts w:eastAsiaTheme="minorHAnsi"/>
          <w:color w:val="000000"/>
          <w:sz w:val="26"/>
          <w:szCs w:val="26"/>
        </w:rPr>
        <w:t>measures at 98,0000 times lower than the FFC’s standard for safe public exposure and that RF exposure due to cell phone use at a distance</w:t>
      </w:r>
      <w:r>
        <w:rPr>
          <w:rFonts w:eastAsiaTheme="minorHAnsi"/>
          <w:color w:val="000000"/>
          <w:sz w:val="26"/>
          <w:szCs w:val="26"/>
        </w:rPr>
        <w:t xml:space="preserve"> </w:t>
      </w:r>
      <w:r w:rsidR="00C91BAF">
        <w:rPr>
          <w:rFonts w:eastAsiaTheme="minorHAnsi"/>
          <w:color w:val="000000"/>
          <w:sz w:val="26"/>
          <w:szCs w:val="26"/>
        </w:rPr>
        <w:t xml:space="preserve">of 30 feet is three times greater than that of an AMI.  Specifically, Dr. Davis opined that RF exposure from the </w:t>
      </w:r>
      <w:r w:rsidR="00993C2E">
        <w:rPr>
          <w:rFonts w:eastAsiaTheme="minorHAnsi"/>
          <w:color w:val="000000"/>
          <w:sz w:val="26"/>
          <w:szCs w:val="26"/>
        </w:rPr>
        <w:t>six</w:t>
      </w:r>
      <w:r w:rsidR="00C91BAF">
        <w:rPr>
          <w:rFonts w:eastAsiaTheme="minorHAnsi"/>
          <w:color w:val="000000"/>
          <w:sz w:val="26"/>
          <w:szCs w:val="26"/>
        </w:rPr>
        <w:t xml:space="preserve"> </w:t>
      </w:r>
      <w:r w:rsidR="004B4653">
        <w:rPr>
          <w:rFonts w:eastAsiaTheme="minorHAnsi"/>
          <w:color w:val="000000"/>
          <w:sz w:val="26"/>
          <w:szCs w:val="26"/>
        </w:rPr>
        <w:t>television</w:t>
      </w:r>
      <w:r w:rsidR="00C91BAF">
        <w:rPr>
          <w:rFonts w:eastAsiaTheme="minorHAnsi"/>
          <w:color w:val="000000"/>
          <w:sz w:val="26"/>
          <w:szCs w:val="26"/>
        </w:rPr>
        <w:t xml:space="preserve"> towers located within a 50 mile </w:t>
      </w:r>
      <w:r w:rsidR="004B4653">
        <w:rPr>
          <w:rFonts w:eastAsiaTheme="minorHAnsi"/>
          <w:color w:val="000000"/>
          <w:sz w:val="26"/>
          <w:szCs w:val="26"/>
        </w:rPr>
        <w:t>radius</w:t>
      </w:r>
      <w:r w:rsidR="00C91BAF">
        <w:rPr>
          <w:rFonts w:eastAsiaTheme="minorHAnsi"/>
          <w:color w:val="000000"/>
          <w:sz w:val="26"/>
          <w:szCs w:val="26"/>
        </w:rPr>
        <w:t xml:space="preserve"> of Complainant’s residence was 5.44 times higher than that of the RF exposure from the AMI meter. </w:t>
      </w:r>
      <w:r w:rsidR="003B4D55">
        <w:rPr>
          <w:rFonts w:eastAsiaTheme="minorHAnsi"/>
          <w:color w:val="000000"/>
          <w:sz w:val="26"/>
          <w:szCs w:val="26"/>
        </w:rPr>
        <w:t xml:space="preserve"> </w:t>
      </w:r>
      <w:r w:rsidR="00C91BAF">
        <w:rPr>
          <w:rFonts w:eastAsiaTheme="minorHAnsi"/>
          <w:color w:val="000000"/>
          <w:sz w:val="26"/>
          <w:szCs w:val="26"/>
        </w:rPr>
        <w:t xml:space="preserve">I.D. at 22, </w:t>
      </w:r>
      <w:r w:rsidR="00C91BAF" w:rsidRPr="00C91BAF">
        <w:rPr>
          <w:rFonts w:eastAsiaTheme="minorHAnsi"/>
          <w:i/>
          <w:iCs/>
          <w:color w:val="000000"/>
          <w:sz w:val="26"/>
          <w:szCs w:val="26"/>
        </w:rPr>
        <w:t>citing</w:t>
      </w:r>
      <w:r w:rsidR="00C91BAF">
        <w:rPr>
          <w:rFonts w:eastAsiaTheme="minorHAnsi"/>
          <w:color w:val="000000"/>
          <w:sz w:val="26"/>
          <w:szCs w:val="26"/>
        </w:rPr>
        <w:t>, PPL Statement No. 1 at 7, 9-10, and 14-15.</w:t>
      </w:r>
    </w:p>
    <w:p w14:paraId="0ADDA51C" w14:textId="77777777" w:rsidR="00B5234D" w:rsidRDefault="00B5234D" w:rsidP="00E561DE">
      <w:pPr>
        <w:widowControl/>
        <w:autoSpaceDE w:val="0"/>
        <w:autoSpaceDN w:val="0"/>
        <w:adjustRightInd w:val="0"/>
        <w:spacing w:line="360" w:lineRule="auto"/>
        <w:ind w:firstLine="1440"/>
        <w:rPr>
          <w:rFonts w:eastAsiaTheme="minorHAnsi"/>
          <w:color w:val="000000"/>
          <w:sz w:val="26"/>
          <w:szCs w:val="26"/>
        </w:rPr>
      </w:pPr>
    </w:p>
    <w:p w14:paraId="7413CAE2" w14:textId="77777777" w:rsidR="002B785E" w:rsidRPr="00D162B5" w:rsidRDefault="00B5234D" w:rsidP="00D162B5">
      <w:pPr>
        <w:widowControl/>
        <w:autoSpaceDE w:val="0"/>
        <w:autoSpaceDN w:val="0"/>
        <w:adjustRightInd w:val="0"/>
        <w:spacing w:line="360" w:lineRule="auto"/>
        <w:ind w:firstLine="1440"/>
        <w:rPr>
          <w:rFonts w:eastAsiaTheme="minorHAnsi"/>
          <w:color w:val="000000"/>
          <w:sz w:val="26"/>
          <w:szCs w:val="26"/>
        </w:rPr>
      </w:pPr>
      <w:r w:rsidRPr="00B5234D">
        <w:rPr>
          <w:rFonts w:eastAsiaTheme="minorHAnsi"/>
          <w:color w:val="000000"/>
          <w:sz w:val="26"/>
          <w:szCs w:val="26"/>
        </w:rPr>
        <w:t xml:space="preserve">In weighing the evidence presented, the ALJ concluded that the </w:t>
      </w:r>
      <w:r w:rsidR="00E561DE" w:rsidRPr="00B5234D">
        <w:rPr>
          <w:rFonts w:eastAsiaTheme="minorHAnsi"/>
          <w:color w:val="000000"/>
          <w:sz w:val="26"/>
          <w:szCs w:val="26"/>
        </w:rPr>
        <w:t xml:space="preserve">Complainant </w:t>
      </w:r>
      <w:r w:rsidRPr="00B5234D">
        <w:rPr>
          <w:rFonts w:eastAsiaTheme="minorHAnsi"/>
          <w:color w:val="000000"/>
          <w:sz w:val="26"/>
          <w:szCs w:val="26"/>
        </w:rPr>
        <w:t xml:space="preserve">offered </w:t>
      </w:r>
      <w:r w:rsidR="00D162B5">
        <w:rPr>
          <w:rFonts w:eastAsiaTheme="minorHAnsi"/>
          <w:color w:val="000000"/>
          <w:sz w:val="26"/>
          <w:szCs w:val="26"/>
        </w:rPr>
        <w:t xml:space="preserve">neither any </w:t>
      </w:r>
      <w:r w:rsidRPr="00B5234D">
        <w:rPr>
          <w:rFonts w:eastAsiaTheme="minorHAnsi"/>
          <w:color w:val="000000"/>
          <w:sz w:val="26"/>
          <w:szCs w:val="26"/>
        </w:rPr>
        <w:t>corroborative medical evidence that PPL’s installation of an AMI meter at his residence would cause him to suffer deleterious health effects or insomnia</w:t>
      </w:r>
      <w:r w:rsidR="00D162B5">
        <w:rPr>
          <w:rFonts w:eastAsiaTheme="minorHAnsi"/>
          <w:color w:val="000000"/>
          <w:sz w:val="26"/>
          <w:szCs w:val="26"/>
        </w:rPr>
        <w:t xml:space="preserve">, nor any credible </w:t>
      </w:r>
      <w:r w:rsidR="00B26CD4">
        <w:rPr>
          <w:rFonts w:eastAsiaTheme="minorHAnsi"/>
          <w:color w:val="000000"/>
          <w:sz w:val="26"/>
          <w:szCs w:val="26"/>
        </w:rPr>
        <w:t xml:space="preserve">technical </w:t>
      </w:r>
      <w:r w:rsidR="00D162B5">
        <w:rPr>
          <w:rFonts w:eastAsiaTheme="minorHAnsi"/>
          <w:color w:val="000000"/>
          <w:sz w:val="26"/>
          <w:szCs w:val="26"/>
        </w:rPr>
        <w:t xml:space="preserve">evidence to support a finding that the RF exposure levels due to an AMI meter posed any safety risks. </w:t>
      </w:r>
      <w:r w:rsidR="00E561DE" w:rsidRPr="00B5234D">
        <w:rPr>
          <w:rFonts w:eastAsiaTheme="minorHAnsi"/>
          <w:color w:val="000000"/>
          <w:sz w:val="26"/>
          <w:szCs w:val="26"/>
        </w:rPr>
        <w:t>I.D. at 2</w:t>
      </w:r>
      <w:r w:rsidRPr="00B5234D">
        <w:rPr>
          <w:rFonts w:eastAsiaTheme="minorHAnsi"/>
          <w:color w:val="000000"/>
          <w:sz w:val="26"/>
          <w:szCs w:val="26"/>
        </w:rPr>
        <w:t>4</w:t>
      </w:r>
      <w:r w:rsidR="00D162B5">
        <w:rPr>
          <w:rFonts w:eastAsiaTheme="minorHAnsi"/>
          <w:color w:val="000000"/>
          <w:sz w:val="26"/>
          <w:szCs w:val="26"/>
        </w:rPr>
        <w:t>-25</w:t>
      </w:r>
      <w:r w:rsidR="00E561DE" w:rsidRPr="00B5234D">
        <w:rPr>
          <w:rFonts w:eastAsiaTheme="minorHAnsi"/>
          <w:color w:val="000000"/>
          <w:sz w:val="26"/>
          <w:szCs w:val="26"/>
        </w:rPr>
        <w:t>.</w:t>
      </w:r>
      <w:r w:rsidR="00D162B5">
        <w:rPr>
          <w:rFonts w:eastAsiaTheme="minorHAnsi"/>
          <w:color w:val="000000"/>
          <w:sz w:val="26"/>
          <w:szCs w:val="26"/>
        </w:rPr>
        <w:t xml:space="preserve">  </w:t>
      </w:r>
      <w:r w:rsidR="00E561DE">
        <w:rPr>
          <w:rFonts w:eastAsiaTheme="minorHAnsi"/>
          <w:color w:val="000000"/>
          <w:sz w:val="26"/>
          <w:szCs w:val="26"/>
        </w:rPr>
        <w:t>Th</w:t>
      </w:r>
      <w:r w:rsidR="00D162B5">
        <w:rPr>
          <w:rFonts w:eastAsiaTheme="minorHAnsi"/>
          <w:color w:val="000000"/>
          <w:sz w:val="26"/>
          <w:szCs w:val="26"/>
        </w:rPr>
        <w:t>erefore, th</w:t>
      </w:r>
      <w:r w:rsidR="00E561DE">
        <w:rPr>
          <w:rFonts w:eastAsiaTheme="minorHAnsi"/>
          <w:color w:val="000000"/>
          <w:sz w:val="26"/>
          <w:szCs w:val="26"/>
        </w:rPr>
        <w:t>e ALJ concluded that</w:t>
      </w:r>
      <w:r w:rsidR="00D162B5">
        <w:rPr>
          <w:rFonts w:eastAsiaTheme="minorHAnsi"/>
          <w:color w:val="000000"/>
          <w:sz w:val="26"/>
          <w:szCs w:val="26"/>
        </w:rPr>
        <w:t xml:space="preserve"> </w:t>
      </w:r>
      <w:r w:rsidR="00E561DE">
        <w:rPr>
          <w:rFonts w:eastAsiaTheme="minorHAnsi"/>
          <w:color w:val="000000"/>
          <w:sz w:val="26"/>
          <w:szCs w:val="26"/>
        </w:rPr>
        <w:t xml:space="preserve">the </w:t>
      </w:r>
      <w:r w:rsidR="00E561DE" w:rsidRPr="00E561DE">
        <w:rPr>
          <w:rFonts w:eastAsiaTheme="minorHAnsi"/>
          <w:color w:val="000000"/>
          <w:sz w:val="26"/>
          <w:szCs w:val="26"/>
        </w:rPr>
        <w:t>Complainant</w:t>
      </w:r>
      <w:r>
        <w:rPr>
          <w:rFonts w:eastAsiaTheme="minorHAnsi"/>
          <w:color w:val="000000"/>
          <w:sz w:val="26"/>
          <w:szCs w:val="26"/>
        </w:rPr>
        <w:t xml:space="preserve"> failed to establish </w:t>
      </w:r>
      <w:r w:rsidRPr="00B5234D">
        <w:rPr>
          <w:rFonts w:eastAsiaTheme="minorHAnsi"/>
          <w:i/>
          <w:iCs/>
          <w:color w:val="000000"/>
          <w:sz w:val="26"/>
          <w:szCs w:val="26"/>
        </w:rPr>
        <w:t>prima facia</w:t>
      </w:r>
      <w:r>
        <w:rPr>
          <w:rFonts w:eastAsiaTheme="minorHAnsi"/>
          <w:color w:val="000000"/>
          <w:sz w:val="26"/>
          <w:szCs w:val="26"/>
        </w:rPr>
        <w:t xml:space="preserve"> evidence of a </w:t>
      </w:r>
      <w:r w:rsidR="00E561DE" w:rsidRPr="00E561DE">
        <w:rPr>
          <w:rFonts w:eastAsiaTheme="minorHAnsi"/>
          <w:color w:val="000000"/>
          <w:sz w:val="26"/>
          <w:szCs w:val="26"/>
        </w:rPr>
        <w:t>claim</w:t>
      </w:r>
      <w:r>
        <w:rPr>
          <w:rFonts w:eastAsiaTheme="minorHAnsi"/>
          <w:color w:val="000000"/>
          <w:sz w:val="26"/>
          <w:szCs w:val="26"/>
        </w:rPr>
        <w:t xml:space="preserve"> based upon risks to Complainant’s health and safety due to smart meter installation, and therefore, the claim must be dismissed. </w:t>
      </w:r>
      <w:r w:rsidR="003B4D55">
        <w:rPr>
          <w:rFonts w:eastAsiaTheme="minorHAnsi"/>
          <w:color w:val="000000"/>
          <w:sz w:val="26"/>
          <w:szCs w:val="26"/>
        </w:rPr>
        <w:t xml:space="preserve"> </w:t>
      </w:r>
      <w:r w:rsidR="00D162B5" w:rsidRPr="00D162B5">
        <w:rPr>
          <w:rFonts w:eastAsiaTheme="minorHAnsi"/>
          <w:i/>
          <w:iCs/>
          <w:color w:val="000000"/>
          <w:sz w:val="26"/>
          <w:szCs w:val="26"/>
        </w:rPr>
        <w:t>Id</w:t>
      </w:r>
      <w:r w:rsidR="00D162B5">
        <w:rPr>
          <w:rFonts w:eastAsiaTheme="minorHAnsi"/>
          <w:color w:val="000000"/>
          <w:sz w:val="26"/>
          <w:szCs w:val="26"/>
        </w:rPr>
        <w:t xml:space="preserve">. </w:t>
      </w:r>
    </w:p>
    <w:p w14:paraId="365B2448" w14:textId="77777777" w:rsidR="002B785E" w:rsidRDefault="002B785E" w:rsidP="002B785E">
      <w:pPr>
        <w:widowControl/>
        <w:spacing w:line="360" w:lineRule="auto"/>
        <w:contextualSpacing/>
        <w:rPr>
          <w:sz w:val="26"/>
          <w:szCs w:val="26"/>
        </w:rPr>
      </w:pPr>
    </w:p>
    <w:p w14:paraId="315E2314" w14:textId="77777777" w:rsidR="001B461E" w:rsidRDefault="001B461E" w:rsidP="00206677">
      <w:pPr>
        <w:widowControl/>
        <w:spacing w:line="360" w:lineRule="auto"/>
        <w:contextualSpacing/>
        <w:rPr>
          <w:sz w:val="26"/>
          <w:szCs w:val="26"/>
          <w:u w:val="single"/>
        </w:rPr>
      </w:pPr>
    </w:p>
    <w:p w14:paraId="618BB273" w14:textId="1C8799E4" w:rsidR="00206677" w:rsidRPr="009B2BC2" w:rsidRDefault="00206677" w:rsidP="00206677">
      <w:pPr>
        <w:widowControl/>
        <w:spacing w:line="360" w:lineRule="auto"/>
        <w:contextualSpacing/>
        <w:rPr>
          <w:sz w:val="26"/>
          <w:szCs w:val="26"/>
          <w:u w:val="single"/>
        </w:rPr>
      </w:pPr>
      <w:r w:rsidRPr="009B2BC2">
        <w:rPr>
          <w:sz w:val="26"/>
          <w:szCs w:val="26"/>
          <w:u w:val="single"/>
        </w:rPr>
        <w:lastRenderedPageBreak/>
        <w:t>Unreasonable Service</w:t>
      </w:r>
      <w:r>
        <w:rPr>
          <w:sz w:val="26"/>
          <w:szCs w:val="26"/>
          <w:u w:val="single"/>
        </w:rPr>
        <w:t xml:space="preserve"> Claim </w:t>
      </w:r>
      <w:r w:rsidR="0065514C" w:rsidRPr="009B2BC2">
        <w:rPr>
          <w:sz w:val="26"/>
          <w:szCs w:val="26"/>
          <w:u w:val="single"/>
        </w:rPr>
        <w:t>B</w:t>
      </w:r>
      <w:r w:rsidRPr="009B2BC2">
        <w:rPr>
          <w:sz w:val="26"/>
          <w:szCs w:val="26"/>
          <w:u w:val="single"/>
        </w:rPr>
        <w:t xml:space="preserve">ased on Cyber Security </w:t>
      </w:r>
      <w:r>
        <w:rPr>
          <w:sz w:val="26"/>
          <w:szCs w:val="26"/>
          <w:u w:val="single"/>
        </w:rPr>
        <w:t>R</w:t>
      </w:r>
      <w:r w:rsidRPr="009B2BC2">
        <w:rPr>
          <w:sz w:val="26"/>
          <w:szCs w:val="26"/>
          <w:u w:val="single"/>
        </w:rPr>
        <w:t xml:space="preserve">isk and Violation of Privacy </w:t>
      </w:r>
    </w:p>
    <w:p w14:paraId="4749CCE1" w14:textId="77777777" w:rsidR="00206677" w:rsidRDefault="00206677" w:rsidP="00206677">
      <w:pPr>
        <w:widowControl/>
        <w:spacing w:line="360" w:lineRule="auto"/>
        <w:ind w:firstLine="1440"/>
        <w:contextualSpacing/>
        <w:rPr>
          <w:sz w:val="26"/>
          <w:szCs w:val="26"/>
        </w:rPr>
      </w:pPr>
    </w:p>
    <w:p w14:paraId="7545AB2D" w14:textId="7D837A78" w:rsidR="00206677" w:rsidRDefault="00D10647" w:rsidP="00D10647">
      <w:pPr>
        <w:widowControl/>
        <w:spacing w:line="360" w:lineRule="auto"/>
        <w:ind w:firstLine="1440"/>
        <w:contextualSpacing/>
        <w:rPr>
          <w:sz w:val="26"/>
          <w:szCs w:val="26"/>
        </w:rPr>
      </w:pPr>
      <w:r>
        <w:rPr>
          <w:sz w:val="26"/>
          <w:szCs w:val="26"/>
        </w:rPr>
        <w:t>The ALJ likewise rejected</w:t>
      </w:r>
      <w:r w:rsidR="00F15B64">
        <w:rPr>
          <w:sz w:val="26"/>
          <w:szCs w:val="26"/>
        </w:rPr>
        <w:t xml:space="preserve"> the</w:t>
      </w:r>
      <w:r>
        <w:rPr>
          <w:sz w:val="26"/>
          <w:szCs w:val="26"/>
        </w:rPr>
        <w:t xml:space="preserve"> </w:t>
      </w:r>
      <w:r w:rsidR="00206677" w:rsidRPr="009D084B">
        <w:rPr>
          <w:sz w:val="26"/>
          <w:szCs w:val="26"/>
        </w:rPr>
        <w:t xml:space="preserve">Complainant’s </w:t>
      </w:r>
      <w:r w:rsidR="00206677">
        <w:rPr>
          <w:sz w:val="26"/>
          <w:szCs w:val="26"/>
        </w:rPr>
        <w:t xml:space="preserve">claims </w:t>
      </w:r>
      <w:r>
        <w:rPr>
          <w:sz w:val="26"/>
          <w:szCs w:val="26"/>
        </w:rPr>
        <w:t xml:space="preserve">for unreasonable service </w:t>
      </w:r>
      <w:r w:rsidR="00206677">
        <w:rPr>
          <w:sz w:val="26"/>
          <w:szCs w:val="26"/>
        </w:rPr>
        <w:t xml:space="preserve">based on </w:t>
      </w:r>
      <w:r w:rsidR="00206677" w:rsidRPr="009D084B">
        <w:rPr>
          <w:sz w:val="26"/>
          <w:szCs w:val="26"/>
        </w:rPr>
        <w:t xml:space="preserve">cybersecurity </w:t>
      </w:r>
      <w:r w:rsidR="00206677">
        <w:rPr>
          <w:sz w:val="26"/>
          <w:szCs w:val="26"/>
        </w:rPr>
        <w:t xml:space="preserve">risk </w:t>
      </w:r>
      <w:r w:rsidR="00206677" w:rsidRPr="009D084B">
        <w:rPr>
          <w:sz w:val="26"/>
          <w:szCs w:val="26"/>
        </w:rPr>
        <w:t xml:space="preserve">and </w:t>
      </w:r>
      <w:r w:rsidR="00206677">
        <w:rPr>
          <w:sz w:val="26"/>
          <w:szCs w:val="26"/>
        </w:rPr>
        <w:t xml:space="preserve">violation of </w:t>
      </w:r>
      <w:r w:rsidR="00206677" w:rsidRPr="009D084B">
        <w:rPr>
          <w:sz w:val="26"/>
          <w:szCs w:val="26"/>
        </w:rPr>
        <w:t>privacy</w:t>
      </w:r>
      <w:r>
        <w:rPr>
          <w:sz w:val="26"/>
          <w:szCs w:val="26"/>
        </w:rPr>
        <w:t xml:space="preserve"> posed by PPL’s installation of a smart meter. </w:t>
      </w:r>
      <w:r w:rsidR="00206677" w:rsidRPr="009D084B">
        <w:rPr>
          <w:sz w:val="26"/>
          <w:szCs w:val="26"/>
        </w:rPr>
        <w:t xml:space="preserve"> </w:t>
      </w:r>
      <w:r w:rsidR="00BB702B">
        <w:rPr>
          <w:sz w:val="26"/>
          <w:szCs w:val="26"/>
        </w:rPr>
        <w:t xml:space="preserve">Specifically, the ALJ concluded that </w:t>
      </w:r>
      <w:r w:rsidR="00F15B64">
        <w:rPr>
          <w:sz w:val="26"/>
          <w:szCs w:val="26"/>
        </w:rPr>
        <w:t xml:space="preserve">the </w:t>
      </w:r>
      <w:r w:rsidR="00206677" w:rsidRPr="009D084B">
        <w:rPr>
          <w:sz w:val="26"/>
          <w:szCs w:val="26"/>
        </w:rPr>
        <w:t xml:space="preserve">Complainant </w:t>
      </w:r>
      <w:r w:rsidR="00BB702B">
        <w:rPr>
          <w:sz w:val="26"/>
          <w:szCs w:val="26"/>
        </w:rPr>
        <w:t>failed to carry the burden of proof to support the claim</w:t>
      </w:r>
      <w:r w:rsidR="00206677" w:rsidRPr="009D084B">
        <w:rPr>
          <w:sz w:val="26"/>
          <w:szCs w:val="26"/>
        </w:rPr>
        <w:t xml:space="preserve"> that smart meters are vulnerable to cyber threats</w:t>
      </w:r>
      <w:r w:rsidR="00206677">
        <w:rPr>
          <w:sz w:val="26"/>
          <w:szCs w:val="26"/>
        </w:rPr>
        <w:t xml:space="preserve"> and pose </w:t>
      </w:r>
      <w:r w:rsidR="00BB702B">
        <w:rPr>
          <w:sz w:val="26"/>
          <w:szCs w:val="26"/>
        </w:rPr>
        <w:t>c</w:t>
      </w:r>
      <w:r w:rsidR="00206677">
        <w:rPr>
          <w:sz w:val="26"/>
          <w:szCs w:val="26"/>
        </w:rPr>
        <w:t>oncerns for violation of privacy</w:t>
      </w:r>
      <w:r w:rsidR="00206677" w:rsidRPr="009D084B">
        <w:rPr>
          <w:sz w:val="26"/>
          <w:szCs w:val="26"/>
        </w:rPr>
        <w:t xml:space="preserve">.  </w:t>
      </w:r>
      <w:r w:rsidR="00206677" w:rsidRPr="00BB702B">
        <w:rPr>
          <w:sz w:val="26"/>
          <w:szCs w:val="26"/>
        </w:rPr>
        <w:t xml:space="preserve">I.D. at </w:t>
      </w:r>
      <w:r w:rsidR="00BB702B" w:rsidRPr="00BB702B">
        <w:rPr>
          <w:sz w:val="26"/>
          <w:szCs w:val="26"/>
        </w:rPr>
        <w:t>26-27</w:t>
      </w:r>
      <w:r w:rsidR="00206677" w:rsidRPr="00BB702B">
        <w:rPr>
          <w:sz w:val="26"/>
          <w:szCs w:val="26"/>
        </w:rPr>
        <w:t>.</w:t>
      </w:r>
    </w:p>
    <w:p w14:paraId="0CC4DC94" w14:textId="77777777" w:rsidR="00206677" w:rsidRDefault="00206677" w:rsidP="00206677">
      <w:pPr>
        <w:widowControl/>
        <w:spacing w:line="360" w:lineRule="auto"/>
        <w:ind w:firstLine="1440"/>
        <w:contextualSpacing/>
        <w:rPr>
          <w:sz w:val="26"/>
          <w:szCs w:val="26"/>
        </w:rPr>
      </w:pPr>
    </w:p>
    <w:p w14:paraId="774EDDB9" w14:textId="37FE3DE9" w:rsidR="00206677" w:rsidRDefault="00206677" w:rsidP="00206677">
      <w:pPr>
        <w:widowControl/>
        <w:spacing w:line="360" w:lineRule="auto"/>
        <w:ind w:firstLine="1440"/>
        <w:contextualSpacing/>
        <w:rPr>
          <w:sz w:val="26"/>
          <w:szCs w:val="26"/>
        </w:rPr>
      </w:pPr>
      <w:r w:rsidRPr="002B785E">
        <w:rPr>
          <w:sz w:val="26"/>
          <w:szCs w:val="26"/>
        </w:rPr>
        <w:t xml:space="preserve">The ALJ </w:t>
      </w:r>
      <w:r w:rsidR="0099550A">
        <w:rPr>
          <w:sz w:val="26"/>
          <w:szCs w:val="26"/>
        </w:rPr>
        <w:t xml:space="preserve">reviewed the requirements of the </w:t>
      </w:r>
      <w:r w:rsidRPr="002B785E">
        <w:rPr>
          <w:sz w:val="26"/>
          <w:szCs w:val="26"/>
        </w:rPr>
        <w:t xml:space="preserve">Company’s Privacy Policy </w:t>
      </w:r>
      <w:r w:rsidR="0099550A">
        <w:rPr>
          <w:sz w:val="26"/>
          <w:szCs w:val="26"/>
        </w:rPr>
        <w:t xml:space="preserve">to ensure the protections are in place for customer privacy </w:t>
      </w:r>
      <w:r w:rsidRPr="002B785E">
        <w:rPr>
          <w:sz w:val="26"/>
          <w:szCs w:val="26"/>
        </w:rPr>
        <w:t xml:space="preserve">as </w:t>
      </w:r>
      <w:r w:rsidR="0099550A">
        <w:rPr>
          <w:sz w:val="26"/>
          <w:szCs w:val="26"/>
        </w:rPr>
        <w:t xml:space="preserve">required and </w:t>
      </w:r>
      <w:r w:rsidRPr="002B785E">
        <w:rPr>
          <w:sz w:val="26"/>
          <w:szCs w:val="26"/>
        </w:rPr>
        <w:t>approved by the Commission</w:t>
      </w:r>
      <w:r w:rsidR="00BB702B">
        <w:rPr>
          <w:sz w:val="26"/>
          <w:szCs w:val="26"/>
        </w:rPr>
        <w:t xml:space="preserve">. </w:t>
      </w:r>
      <w:r w:rsidRPr="00BB702B">
        <w:rPr>
          <w:sz w:val="26"/>
          <w:szCs w:val="26"/>
        </w:rPr>
        <w:t>I.D. at 2</w:t>
      </w:r>
      <w:r w:rsidR="00BB702B" w:rsidRPr="00BB702B">
        <w:rPr>
          <w:sz w:val="26"/>
          <w:szCs w:val="26"/>
        </w:rPr>
        <w:t xml:space="preserve">6, </w:t>
      </w:r>
      <w:r w:rsidR="00BB702B" w:rsidRPr="00BB702B">
        <w:rPr>
          <w:i/>
          <w:iCs/>
          <w:sz w:val="26"/>
          <w:szCs w:val="26"/>
        </w:rPr>
        <w:t>citing</w:t>
      </w:r>
      <w:r w:rsidR="00BB702B" w:rsidRPr="00BB702B">
        <w:rPr>
          <w:sz w:val="26"/>
          <w:szCs w:val="26"/>
        </w:rPr>
        <w:t xml:space="preserve"> PPL Electric Exhibit No. DV-1</w:t>
      </w:r>
      <w:r w:rsidRPr="00BB702B">
        <w:rPr>
          <w:sz w:val="26"/>
          <w:szCs w:val="26"/>
        </w:rPr>
        <w:t>.</w:t>
      </w:r>
      <w:r w:rsidRPr="002B785E">
        <w:rPr>
          <w:sz w:val="26"/>
          <w:szCs w:val="26"/>
        </w:rPr>
        <w:t xml:space="preserve">  In addition, the ALJ stated that P</w:t>
      </w:r>
      <w:r>
        <w:rPr>
          <w:sz w:val="26"/>
          <w:szCs w:val="26"/>
        </w:rPr>
        <w:t xml:space="preserve">PL’s </w:t>
      </w:r>
      <w:r w:rsidRPr="002B785E">
        <w:rPr>
          <w:sz w:val="26"/>
          <w:szCs w:val="26"/>
        </w:rPr>
        <w:t>smart meter network adheres to the cybersecurity standards developed and published by the North American Energy Standards Board and the National Institute of Standards and Technology</w:t>
      </w:r>
      <w:r w:rsidRPr="00BB702B">
        <w:rPr>
          <w:sz w:val="26"/>
          <w:szCs w:val="26"/>
        </w:rPr>
        <w:t xml:space="preserve">. </w:t>
      </w:r>
      <w:r w:rsidR="003B4D55">
        <w:rPr>
          <w:sz w:val="26"/>
          <w:szCs w:val="26"/>
        </w:rPr>
        <w:t xml:space="preserve"> </w:t>
      </w:r>
      <w:r w:rsidRPr="00BB702B">
        <w:rPr>
          <w:sz w:val="26"/>
          <w:szCs w:val="26"/>
        </w:rPr>
        <w:t>I.D. at 2</w:t>
      </w:r>
      <w:r w:rsidR="00BB702B" w:rsidRPr="00BB702B">
        <w:rPr>
          <w:sz w:val="26"/>
          <w:szCs w:val="26"/>
        </w:rPr>
        <w:t xml:space="preserve">6, </w:t>
      </w:r>
      <w:r w:rsidR="00BB702B" w:rsidRPr="00BB702B">
        <w:rPr>
          <w:i/>
          <w:iCs/>
          <w:sz w:val="26"/>
          <w:szCs w:val="26"/>
        </w:rPr>
        <w:t>citing</w:t>
      </w:r>
      <w:r w:rsidR="00BB702B" w:rsidRPr="00BB702B">
        <w:rPr>
          <w:sz w:val="26"/>
          <w:szCs w:val="26"/>
        </w:rPr>
        <w:t xml:space="preserve"> PPL Statement No. 4.</w:t>
      </w:r>
    </w:p>
    <w:p w14:paraId="279CF8BF" w14:textId="77777777" w:rsidR="00206677" w:rsidRDefault="00206677" w:rsidP="00206677">
      <w:pPr>
        <w:widowControl/>
        <w:spacing w:line="360" w:lineRule="auto"/>
        <w:contextualSpacing/>
        <w:rPr>
          <w:sz w:val="26"/>
          <w:szCs w:val="26"/>
        </w:rPr>
      </w:pPr>
    </w:p>
    <w:p w14:paraId="4BFF78A6" w14:textId="40D66D19" w:rsidR="0095070E" w:rsidRDefault="0099550A" w:rsidP="00206677">
      <w:pPr>
        <w:widowControl/>
        <w:spacing w:line="360" w:lineRule="auto"/>
        <w:ind w:firstLine="1440"/>
        <w:contextualSpacing/>
        <w:rPr>
          <w:sz w:val="26"/>
          <w:szCs w:val="26"/>
        </w:rPr>
      </w:pPr>
      <w:r>
        <w:rPr>
          <w:sz w:val="26"/>
          <w:szCs w:val="26"/>
        </w:rPr>
        <w:t xml:space="preserve">In addition, </w:t>
      </w:r>
      <w:r w:rsidR="00BB702B">
        <w:rPr>
          <w:sz w:val="26"/>
          <w:szCs w:val="26"/>
        </w:rPr>
        <w:t xml:space="preserve">the ALJ rejected </w:t>
      </w:r>
      <w:r w:rsidR="00F15B64">
        <w:rPr>
          <w:sz w:val="26"/>
          <w:szCs w:val="26"/>
        </w:rPr>
        <w:t xml:space="preserve">the </w:t>
      </w:r>
      <w:r w:rsidR="00BB702B">
        <w:rPr>
          <w:sz w:val="26"/>
          <w:szCs w:val="26"/>
        </w:rPr>
        <w:t>Complainant’s assertion that</w:t>
      </w:r>
      <w:r w:rsidR="0095070E">
        <w:rPr>
          <w:sz w:val="26"/>
          <w:szCs w:val="26"/>
        </w:rPr>
        <w:t xml:space="preserve">, pursuant to the Opinion and Order of the United States Court of Appeals for the Seventh Circuit, in </w:t>
      </w:r>
      <w:r w:rsidR="0095070E" w:rsidRPr="0095070E">
        <w:rPr>
          <w:i/>
          <w:iCs/>
          <w:sz w:val="26"/>
          <w:szCs w:val="26"/>
        </w:rPr>
        <w:t>Naperville Smart Meter Awareness v. City of Naperville</w:t>
      </w:r>
      <w:r w:rsidR="0095070E">
        <w:rPr>
          <w:sz w:val="26"/>
          <w:szCs w:val="26"/>
        </w:rPr>
        <w:t>, 900 E. 3d 521 (7</w:t>
      </w:r>
      <w:r w:rsidR="0095070E" w:rsidRPr="0095070E">
        <w:rPr>
          <w:sz w:val="26"/>
          <w:szCs w:val="26"/>
          <w:vertAlign w:val="superscript"/>
        </w:rPr>
        <w:t>th</w:t>
      </w:r>
      <w:r w:rsidR="0095070E">
        <w:rPr>
          <w:sz w:val="26"/>
          <w:szCs w:val="26"/>
        </w:rPr>
        <w:t xml:space="preserve"> Cir. 2018) (</w:t>
      </w:r>
      <w:r w:rsidR="0095070E" w:rsidRPr="0095070E">
        <w:rPr>
          <w:i/>
          <w:iCs/>
          <w:sz w:val="26"/>
          <w:szCs w:val="26"/>
        </w:rPr>
        <w:t>Naperville</w:t>
      </w:r>
      <w:r w:rsidR="0095070E">
        <w:rPr>
          <w:sz w:val="26"/>
          <w:szCs w:val="26"/>
        </w:rPr>
        <w:t xml:space="preserve">), </w:t>
      </w:r>
      <w:r w:rsidR="00BB702B">
        <w:rPr>
          <w:sz w:val="26"/>
          <w:szCs w:val="26"/>
        </w:rPr>
        <w:t xml:space="preserve">installation of </w:t>
      </w:r>
      <w:r w:rsidR="000817E0">
        <w:rPr>
          <w:sz w:val="26"/>
          <w:szCs w:val="26"/>
        </w:rPr>
        <w:t>a</w:t>
      </w:r>
      <w:r w:rsidR="00BB702B">
        <w:rPr>
          <w:sz w:val="26"/>
          <w:szCs w:val="26"/>
        </w:rPr>
        <w:t xml:space="preserve"> smart meter would violate the </w:t>
      </w:r>
      <w:r w:rsidR="0095070E">
        <w:rPr>
          <w:sz w:val="26"/>
          <w:szCs w:val="26"/>
        </w:rPr>
        <w:t xml:space="preserve">Complainant’s </w:t>
      </w:r>
      <w:r w:rsidR="00BB702B">
        <w:rPr>
          <w:sz w:val="26"/>
          <w:szCs w:val="26"/>
        </w:rPr>
        <w:t xml:space="preserve">Fourth Amendment right to freedom from unlawful search and seizure, based upon </w:t>
      </w:r>
      <w:r w:rsidR="0095070E" w:rsidRPr="0095070E">
        <w:rPr>
          <w:i/>
          <w:iCs/>
          <w:sz w:val="26"/>
          <w:szCs w:val="26"/>
        </w:rPr>
        <w:t>Naperville</w:t>
      </w:r>
      <w:r w:rsidR="0095070E">
        <w:rPr>
          <w:sz w:val="26"/>
          <w:szCs w:val="26"/>
        </w:rPr>
        <w:t xml:space="preserve"> and relevant United States Supreme Court precedent, which recognize a distinction between a utility and a “state actor” for purposes of Fourth Amendment rights, and between a </w:t>
      </w:r>
      <w:r w:rsidR="00BB702B">
        <w:rPr>
          <w:sz w:val="26"/>
          <w:szCs w:val="26"/>
        </w:rPr>
        <w:t xml:space="preserve">legitimate administrative purpose for gathering data </w:t>
      </w:r>
      <w:r w:rsidR="00BB702B" w:rsidRPr="0095070E">
        <w:rPr>
          <w:i/>
          <w:iCs/>
          <w:sz w:val="26"/>
          <w:szCs w:val="26"/>
        </w:rPr>
        <w:t>via</w:t>
      </w:r>
      <w:r w:rsidR="00BB702B">
        <w:rPr>
          <w:sz w:val="26"/>
          <w:szCs w:val="26"/>
        </w:rPr>
        <w:t xml:space="preserve"> a smart meter, as opposed to a state actor’s “prosecutorial intent” in conducting a search. I.D. at 2</w:t>
      </w:r>
      <w:r>
        <w:rPr>
          <w:sz w:val="26"/>
          <w:szCs w:val="26"/>
        </w:rPr>
        <w:t>5</w:t>
      </w:r>
      <w:r w:rsidR="00BB702B">
        <w:rPr>
          <w:sz w:val="26"/>
          <w:szCs w:val="26"/>
        </w:rPr>
        <w:t xml:space="preserve">6-27, </w:t>
      </w:r>
      <w:r w:rsidR="00BB702B" w:rsidRPr="0095070E">
        <w:rPr>
          <w:i/>
          <w:iCs/>
          <w:sz w:val="26"/>
          <w:szCs w:val="26"/>
        </w:rPr>
        <w:t>citing</w:t>
      </w:r>
      <w:r w:rsidR="0095070E">
        <w:rPr>
          <w:i/>
          <w:iCs/>
          <w:sz w:val="26"/>
          <w:szCs w:val="26"/>
        </w:rPr>
        <w:t xml:space="preserve"> Naperville; See, Jackson v. Metropolitan Edison Company, </w:t>
      </w:r>
      <w:r w:rsidR="0095070E" w:rsidRPr="0095070E">
        <w:rPr>
          <w:sz w:val="26"/>
          <w:szCs w:val="26"/>
        </w:rPr>
        <w:t>419 U.S. 345(1974)</w:t>
      </w:r>
      <w:r w:rsidR="003B4D55">
        <w:rPr>
          <w:sz w:val="26"/>
          <w:szCs w:val="26"/>
        </w:rPr>
        <w:t xml:space="preserve">. </w:t>
      </w:r>
      <w:r w:rsidR="00BB702B">
        <w:rPr>
          <w:sz w:val="26"/>
          <w:szCs w:val="26"/>
        </w:rPr>
        <w:t xml:space="preserve"> </w:t>
      </w:r>
    </w:p>
    <w:p w14:paraId="22C45A2A" w14:textId="77777777" w:rsidR="0095070E" w:rsidRDefault="0095070E" w:rsidP="00206677">
      <w:pPr>
        <w:widowControl/>
        <w:spacing w:line="360" w:lineRule="auto"/>
        <w:ind w:firstLine="1440"/>
        <w:contextualSpacing/>
        <w:rPr>
          <w:sz w:val="26"/>
          <w:szCs w:val="26"/>
        </w:rPr>
      </w:pPr>
    </w:p>
    <w:p w14:paraId="61C3B946" w14:textId="33853A12" w:rsidR="0099550A" w:rsidRDefault="0095070E" w:rsidP="0099550A">
      <w:pPr>
        <w:widowControl/>
        <w:spacing w:line="360" w:lineRule="auto"/>
        <w:ind w:firstLine="1440"/>
        <w:contextualSpacing/>
        <w:rPr>
          <w:sz w:val="26"/>
          <w:szCs w:val="26"/>
        </w:rPr>
      </w:pPr>
      <w:r>
        <w:rPr>
          <w:sz w:val="26"/>
          <w:szCs w:val="26"/>
        </w:rPr>
        <w:t xml:space="preserve">Therefore, </w:t>
      </w:r>
      <w:r w:rsidR="0099550A">
        <w:rPr>
          <w:sz w:val="26"/>
          <w:szCs w:val="26"/>
        </w:rPr>
        <w:t xml:space="preserve">based upon evidence of PPL’s protections in place to prevent cybersecurity risk and customer privacy violations, and </w:t>
      </w:r>
      <w:r w:rsidR="00726525">
        <w:rPr>
          <w:sz w:val="26"/>
          <w:szCs w:val="26"/>
        </w:rPr>
        <w:t xml:space="preserve">the </w:t>
      </w:r>
      <w:r w:rsidR="0099550A">
        <w:rPr>
          <w:sz w:val="26"/>
          <w:szCs w:val="26"/>
        </w:rPr>
        <w:t xml:space="preserve">rejection of the claim regarding Fourth Amendment rights, </w:t>
      </w:r>
      <w:r>
        <w:rPr>
          <w:sz w:val="26"/>
          <w:szCs w:val="26"/>
        </w:rPr>
        <w:t xml:space="preserve">the </w:t>
      </w:r>
      <w:r w:rsidR="00206677" w:rsidRPr="006F1E78">
        <w:rPr>
          <w:sz w:val="26"/>
          <w:szCs w:val="26"/>
        </w:rPr>
        <w:t xml:space="preserve">ALJ </w:t>
      </w:r>
      <w:r>
        <w:rPr>
          <w:sz w:val="26"/>
          <w:szCs w:val="26"/>
        </w:rPr>
        <w:t xml:space="preserve">rejected the Complainant’s claim </w:t>
      </w:r>
      <w:r w:rsidR="0099550A">
        <w:rPr>
          <w:sz w:val="26"/>
          <w:szCs w:val="26"/>
        </w:rPr>
        <w:t xml:space="preserve">that </w:t>
      </w:r>
      <w:r w:rsidR="0099550A">
        <w:rPr>
          <w:sz w:val="26"/>
          <w:szCs w:val="26"/>
        </w:rPr>
        <w:lastRenderedPageBreak/>
        <w:t xml:space="preserve">PPL’s </w:t>
      </w:r>
      <w:r w:rsidR="00206677" w:rsidRPr="006F1E78">
        <w:rPr>
          <w:sz w:val="26"/>
          <w:szCs w:val="26"/>
        </w:rPr>
        <w:t>installation of a smart meter would constitute unreasonable service</w:t>
      </w:r>
      <w:r>
        <w:rPr>
          <w:sz w:val="26"/>
          <w:szCs w:val="26"/>
        </w:rPr>
        <w:t xml:space="preserve"> due to cyber security risk and/or a violation of </w:t>
      </w:r>
      <w:r w:rsidRPr="0095070E">
        <w:rPr>
          <w:sz w:val="26"/>
          <w:szCs w:val="26"/>
        </w:rPr>
        <w:t>privacy</w:t>
      </w:r>
      <w:r w:rsidR="00206677" w:rsidRPr="0095070E">
        <w:rPr>
          <w:sz w:val="26"/>
          <w:szCs w:val="26"/>
        </w:rPr>
        <w:t>.</w:t>
      </w:r>
      <w:r w:rsidR="003B4D55">
        <w:rPr>
          <w:sz w:val="26"/>
          <w:szCs w:val="26"/>
        </w:rPr>
        <w:t xml:space="preserve"> </w:t>
      </w:r>
      <w:r w:rsidR="00206677" w:rsidRPr="0095070E">
        <w:rPr>
          <w:sz w:val="26"/>
          <w:szCs w:val="26"/>
        </w:rPr>
        <w:t xml:space="preserve"> I.D. at 2</w:t>
      </w:r>
      <w:r w:rsidR="00993C2E">
        <w:rPr>
          <w:sz w:val="26"/>
          <w:szCs w:val="26"/>
        </w:rPr>
        <w:t>7</w:t>
      </w:r>
      <w:r w:rsidR="00206677" w:rsidRPr="0095070E">
        <w:rPr>
          <w:sz w:val="26"/>
          <w:szCs w:val="26"/>
        </w:rPr>
        <w:t>.</w:t>
      </w:r>
    </w:p>
    <w:p w14:paraId="2CA79F3A" w14:textId="77777777" w:rsidR="0099550A" w:rsidRDefault="0099550A" w:rsidP="0099550A">
      <w:pPr>
        <w:widowControl/>
        <w:spacing w:line="360" w:lineRule="auto"/>
        <w:ind w:firstLine="1440"/>
        <w:contextualSpacing/>
        <w:rPr>
          <w:sz w:val="26"/>
          <w:szCs w:val="26"/>
        </w:rPr>
      </w:pPr>
    </w:p>
    <w:p w14:paraId="35944405" w14:textId="77777777" w:rsidR="0099550A" w:rsidRDefault="0099550A" w:rsidP="00D704F2">
      <w:pPr>
        <w:keepNext/>
        <w:keepLines/>
        <w:widowControl/>
        <w:spacing w:line="360" w:lineRule="auto"/>
        <w:contextualSpacing/>
        <w:rPr>
          <w:b/>
          <w:sz w:val="26"/>
          <w:szCs w:val="26"/>
        </w:rPr>
      </w:pPr>
      <w:r>
        <w:rPr>
          <w:sz w:val="26"/>
          <w:szCs w:val="26"/>
        </w:rPr>
        <w:t>C</w:t>
      </w:r>
      <w:r w:rsidR="00456195">
        <w:rPr>
          <w:b/>
          <w:sz w:val="26"/>
          <w:szCs w:val="26"/>
        </w:rPr>
        <w:t>.</w:t>
      </w:r>
      <w:r w:rsidR="00545BA8">
        <w:rPr>
          <w:b/>
          <w:sz w:val="26"/>
          <w:szCs w:val="26"/>
        </w:rPr>
        <w:tab/>
      </w:r>
      <w:r w:rsidR="001B0C5E" w:rsidRPr="00456195">
        <w:rPr>
          <w:b/>
          <w:sz w:val="26"/>
          <w:szCs w:val="26"/>
        </w:rPr>
        <w:t>Exceptions</w:t>
      </w:r>
      <w:r w:rsidR="002A0787">
        <w:rPr>
          <w:b/>
          <w:sz w:val="26"/>
          <w:szCs w:val="26"/>
        </w:rPr>
        <w:t>,</w:t>
      </w:r>
      <w:r w:rsidR="001A7AE8" w:rsidRPr="00456195">
        <w:rPr>
          <w:b/>
          <w:sz w:val="26"/>
          <w:szCs w:val="26"/>
        </w:rPr>
        <w:t xml:space="preserve"> </w:t>
      </w:r>
      <w:r w:rsidR="00843F7A" w:rsidRPr="00456195">
        <w:rPr>
          <w:b/>
          <w:sz w:val="26"/>
          <w:szCs w:val="26"/>
        </w:rPr>
        <w:t>Repl</w:t>
      </w:r>
      <w:r w:rsidR="00456195">
        <w:rPr>
          <w:b/>
          <w:sz w:val="26"/>
          <w:szCs w:val="26"/>
        </w:rPr>
        <w:t>ies</w:t>
      </w:r>
      <w:r w:rsidR="001B0C5E" w:rsidRPr="00456195">
        <w:rPr>
          <w:b/>
          <w:sz w:val="26"/>
          <w:szCs w:val="26"/>
        </w:rPr>
        <w:t xml:space="preserve"> </w:t>
      </w:r>
      <w:r w:rsidR="00456195">
        <w:rPr>
          <w:b/>
          <w:sz w:val="26"/>
          <w:szCs w:val="26"/>
        </w:rPr>
        <w:t xml:space="preserve">to </w:t>
      </w:r>
      <w:r w:rsidR="001B0C5E" w:rsidRPr="00456195">
        <w:rPr>
          <w:b/>
          <w:sz w:val="26"/>
          <w:szCs w:val="26"/>
        </w:rPr>
        <w:t>Exceptions</w:t>
      </w:r>
      <w:r w:rsidR="00456195">
        <w:rPr>
          <w:b/>
          <w:sz w:val="26"/>
          <w:szCs w:val="26"/>
        </w:rPr>
        <w:t>,</w:t>
      </w:r>
      <w:r w:rsidR="001A7AE8" w:rsidRPr="00456195">
        <w:rPr>
          <w:b/>
          <w:sz w:val="26"/>
          <w:szCs w:val="26"/>
        </w:rPr>
        <w:t xml:space="preserve"> and Dispositio</w:t>
      </w:r>
      <w:r>
        <w:rPr>
          <w:b/>
          <w:sz w:val="26"/>
          <w:szCs w:val="26"/>
        </w:rPr>
        <w:t>n</w:t>
      </w:r>
    </w:p>
    <w:p w14:paraId="14024664" w14:textId="77777777" w:rsidR="0099550A" w:rsidRDefault="0099550A" w:rsidP="00D704F2">
      <w:pPr>
        <w:keepNext/>
        <w:keepLines/>
        <w:widowControl/>
        <w:spacing w:line="360" w:lineRule="auto"/>
        <w:ind w:firstLine="720"/>
        <w:contextualSpacing/>
        <w:rPr>
          <w:b/>
          <w:sz w:val="26"/>
          <w:szCs w:val="26"/>
        </w:rPr>
      </w:pPr>
    </w:p>
    <w:p w14:paraId="36532440" w14:textId="77777777" w:rsidR="0099550A" w:rsidRDefault="0099550A" w:rsidP="00D704F2">
      <w:pPr>
        <w:keepNext/>
        <w:keepLines/>
        <w:widowControl/>
        <w:spacing w:line="360" w:lineRule="auto"/>
        <w:ind w:firstLine="720"/>
        <w:contextualSpacing/>
        <w:rPr>
          <w:b/>
          <w:sz w:val="26"/>
          <w:szCs w:val="26"/>
        </w:rPr>
      </w:pPr>
      <w:r>
        <w:rPr>
          <w:b/>
          <w:sz w:val="26"/>
          <w:szCs w:val="26"/>
        </w:rPr>
        <w:t xml:space="preserve">1. </w:t>
      </w:r>
      <w:r w:rsidR="00993C2E">
        <w:rPr>
          <w:b/>
          <w:sz w:val="26"/>
          <w:szCs w:val="26"/>
        </w:rPr>
        <w:tab/>
      </w:r>
      <w:r w:rsidR="008944A1" w:rsidRPr="0099550A">
        <w:rPr>
          <w:b/>
          <w:sz w:val="26"/>
          <w:szCs w:val="26"/>
        </w:rPr>
        <w:t>Complainant’s Exception</w:t>
      </w:r>
      <w:r w:rsidR="00AC3AFA" w:rsidRPr="0099550A">
        <w:rPr>
          <w:b/>
          <w:sz w:val="26"/>
          <w:szCs w:val="26"/>
        </w:rPr>
        <w:t>s</w:t>
      </w:r>
      <w:r w:rsidR="00054291" w:rsidRPr="0099550A">
        <w:rPr>
          <w:b/>
          <w:sz w:val="26"/>
          <w:szCs w:val="26"/>
        </w:rPr>
        <w:t xml:space="preserve"> </w:t>
      </w:r>
      <w:r w:rsidR="00172F07" w:rsidRPr="0099550A">
        <w:rPr>
          <w:b/>
          <w:sz w:val="26"/>
          <w:szCs w:val="26"/>
        </w:rPr>
        <w:t xml:space="preserve">Nos. </w:t>
      </w:r>
      <w:r w:rsidR="00054291" w:rsidRPr="0099550A">
        <w:rPr>
          <w:b/>
          <w:sz w:val="26"/>
          <w:szCs w:val="26"/>
        </w:rPr>
        <w:t>1-25</w:t>
      </w:r>
    </w:p>
    <w:p w14:paraId="2EA26E63" w14:textId="77777777" w:rsidR="0099550A" w:rsidRDefault="0099550A" w:rsidP="00D704F2">
      <w:pPr>
        <w:keepNext/>
        <w:keepLines/>
        <w:widowControl/>
        <w:spacing w:line="360" w:lineRule="auto"/>
        <w:ind w:firstLine="720"/>
        <w:contextualSpacing/>
        <w:rPr>
          <w:b/>
          <w:sz w:val="26"/>
          <w:szCs w:val="26"/>
        </w:rPr>
      </w:pPr>
    </w:p>
    <w:p w14:paraId="28719C37" w14:textId="7A608655" w:rsidR="001C2D5B" w:rsidRDefault="00054291" w:rsidP="001C2D5B">
      <w:pPr>
        <w:widowControl/>
        <w:spacing w:line="360" w:lineRule="auto"/>
        <w:ind w:firstLine="1440"/>
        <w:contextualSpacing/>
        <w:rPr>
          <w:bCs/>
          <w:sz w:val="26"/>
          <w:szCs w:val="26"/>
        </w:rPr>
      </w:pPr>
      <w:r w:rsidRPr="00054291">
        <w:rPr>
          <w:bCs/>
          <w:sz w:val="26"/>
          <w:szCs w:val="26"/>
        </w:rPr>
        <w:t>The Complainant’s Exceptions</w:t>
      </w:r>
      <w:r w:rsidR="00172F07">
        <w:rPr>
          <w:bCs/>
          <w:sz w:val="26"/>
          <w:szCs w:val="26"/>
        </w:rPr>
        <w:t xml:space="preserve">, designated as Exceptions Nos. 1-25, </w:t>
      </w:r>
      <w:r w:rsidRPr="00054291">
        <w:rPr>
          <w:bCs/>
          <w:sz w:val="26"/>
          <w:szCs w:val="26"/>
        </w:rPr>
        <w:t>address</w:t>
      </w:r>
      <w:r>
        <w:rPr>
          <w:bCs/>
          <w:sz w:val="26"/>
          <w:szCs w:val="26"/>
        </w:rPr>
        <w:t xml:space="preserve"> </w:t>
      </w:r>
      <w:r w:rsidR="00172F07">
        <w:rPr>
          <w:bCs/>
          <w:sz w:val="26"/>
          <w:szCs w:val="26"/>
        </w:rPr>
        <w:t xml:space="preserve">successive </w:t>
      </w:r>
      <w:r w:rsidRPr="00054291">
        <w:rPr>
          <w:bCs/>
          <w:sz w:val="26"/>
          <w:szCs w:val="26"/>
        </w:rPr>
        <w:t>paragraphs in the ALJ’s order</w:t>
      </w:r>
      <w:r w:rsidR="000C4245">
        <w:rPr>
          <w:bCs/>
          <w:sz w:val="26"/>
          <w:szCs w:val="26"/>
        </w:rPr>
        <w:t>.</w:t>
      </w:r>
      <w:r w:rsidR="005069AE">
        <w:rPr>
          <w:rStyle w:val="FootnoteReference"/>
          <w:bCs/>
          <w:sz w:val="26"/>
          <w:szCs w:val="26"/>
        </w:rPr>
        <w:footnoteReference w:id="2"/>
      </w:r>
      <w:r>
        <w:rPr>
          <w:bCs/>
          <w:sz w:val="26"/>
          <w:szCs w:val="26"/>
        </w:rPr>
        <w:t xml:space="preserve"> </w:t>
      </w:r>
      <w:r w:rsidR="000C4245">
        <w:rPr>
          <w:bCs/>
          <w:sz w:val="26"/>
          <w:szCs w:val="26"/>
        </w:rPr>
        <w:t xml:space="preserve"> </w:t>
      </w:r>
      <w:r>
        <w:rPr>
          <w:bCs/>
          <w:sz w:val="26"/>
          <w:szCs w:val="26"/>
        </w:rPr>
        <w:t>Exc. at 1</w:t>
      </w:r>
      <w:r w:rsidR="00172F07">
        <w:rPr>
          <w:bCs/>
          <w:sz w:val="26"/>
          <w:szCs w:val="26"/>
        </w:rPr>
        <w:t>-</w:t>
      </w:r>
      <w:r w:rsidR="005069AE">
        <w:rPr>
          <w:bCs/>
          <w:sz w:val="26"/>
          <w:szCs w:val="26"/>
        </w:rPr>
        <w:t>11</w:t>
      </w:r>
      <w:r w:rsidR="00172F07">
        <w:rPr>
          <w:bCs/>
          <w:sz w:val="26"/>
          <w:szCs w:val="26"/>
        </w:rPr>
        <w:t xml:space="preserve">.  Each Exception </w:t>
      </w:r>
      <w:r w:rsidR="00042F28">
        <w:rPr>
          <w:bCs/>
          <w:sz w:val="26"/>
          <w:szCs w:val="26"/>
        </w:rPr>
        <w:t xml:space="preserve">proposes certain “clarifications” to the ALJ’s findings, designated by page and paragraph. </w:t>
      </w:r>
      <w:r w:rsidR="00F109A0" w:rsidRPr="00F109A0">
        <w:rPr>
          <w:bCs/>
          <w:i/>
          <w:iCs/>
          <w:sz w:val="26"/>
          <w:szCs w:val="26"/>
        </w:rPr>
        <w:t>Id</w:t>
      </w:r>
      <w:r w:rsidR="00F109A0">
        <w:rPr>
          <w:bCs/>
          <w:sz w:val="26"/>
          <w:szCs w:val="26"/>
        </w:rPr>
        <w:t>.  In order to a</w:t>
      </w:r>
      <w:r w:rsidR="00172F07">
        <w:rPr>
          <w:bCs/>
          <w:sz w:val="26"/>
          <w:szCs w:val="26"/>
        </w:rPr>
        <w:t>naly</w:t>
      </w:r>
      <w:r w:rsidR="00F109A0">
        <w:rPr>
          <w:bCs/>
          <w:sz w:val="26"/>
          <w:szCs w:val="26"/>
        </w:rPr>
        <w:t xml:space="preserve">ze </w:t>
      </w:r>
      <w:r w:rsidR="00172F07">
        <w:rPr>
          <w:bCs/>
          <w:sz w:val="26"/>
          <w:szCs w:val="26"/>
        </w:rPr>
        <w:t xml:space="preserve">the </w:t>
      </w:r>
      <w:r w:rsidR="00042F28">
        <w:rPr>
          <w:bCs/>
          <w:sz w:val="26"/>
          <w:szCs w:val="26"/>
        </w:rPr>
        <w:t xml:space="preserve">objections to the ALJ’s decision </w:t>
      </w:r>
      <w:r w:rsidR="00F109A0">
        <w:rPr>
          <w:bCs/>
          <w:sz w:val="26"/>
          <w:szCs w:val="26"/>
        </w:rPr>
        <w:t>raised by the Exceptions</w:t>
      </w:r>
      <w:r w:rsidR="00172F07">
        <w:rPr>
          <w:bCs/>
          <w:sz w:val="26"/>
          <w:szCs w:val="26"/>
        </w:rPr>
        <w:t xml:space="preserve">, we </w:t>
      </w:r>
      <w:r w:rsidR="002978D2">
        <w:rPr>
          <w:bCs/>
          <w:sz w:val="26"/>
          <w:szCs w:val="26"/>
        </w:rPr>
        <w:t xml:space="preserve">shall view </w:t>
      </w:r>
      <w:r w:rsidR="00172F07">
        <w:rPr>
          <w:bCs/>
          <w:sz w:val="26"/>
          <w:szCs w:val="26"/>
        </w:rPr>
        <w:t xml:space="preserve">the Complainant’s Exceptions </w:t>
      </w:r>
      <w:r w:rsidR="00707954">
        <w:rPr>
          <w:bCs/>
          <w:sz w:val="26"/>
          <w:szCs w:val="26"/>
        </w:rPr>
        <w:t xml:space="preserve">as challenging the medical and technical opinion evidence offered by the PPL’s witnesses, which the ALJ weighed </w:t>
      </w:r>
      <w:r w:rsidR="00042F28">
        <w:rPr>
          <w:bCs/>
          <w:sz w:val="26"/>
          <w:szCs w:val="26"/>
        </w:rPr>
        <w:t xml:space="preserve">and adopted as </w:t>
      </w:r>
      <w:r w:rsidR="00707954">
        <w:rPr>
          <w:bCs/>
          <w:sz w:val="26"/>
          <w:szCs w:val="26"/>
        </w:rPr>
        <w:t>credible</w:t>
      </w:r>
      <w:r w:rsidR="00042F28">
        <w:rPr>
          <w:bCs/>
          <w:sz w:val="26"/>
          <w:szCs w:val="26"/>
        </w:rPr>
        <w:t xml:space="preserve"> to refute the basis for the </w:t>
      </w:r>
      <w:r w:rsidR="00707954">
        <w:rPr>
          <w:bCs/>
          <w:sz w:val="26"/>
          <w:szCs w:val="26"/>
        </w:rPr>
        <w:t>Complainant’s allegations.</w:t>
      </w:r>
    </w:p>
    <w:p w14:paraId="2982B210" w14:textId="77777777" w:rsidR="001C2D5B" w:rsidRDefault="001C2D5B" w:rsidP="001C2D5B">
      <w:pPr>
        <w:widowControl/>
        <w:spacing w:line="360" w:lineRule="auto"/>
        <w:ind w:firstLine="1440"/>
        <w:contextualSpacing/>
        <w:rPr>
          <w:bCs/>
          <w:sz w:val="26"/>
          <w:szCs w:val="26"/>
        </w:rPr>
      </w:pPr>
    </w:p>
    <w:p w14:paraId="15F5DF9D" w14:textId="09BE599C" w:rsidR="002978D2" w:rsidRPr="001C2D5B" w:rsidRDefault="002978D2" w:rsidP="001C2D5B">
      <w:pPr>
        <w:widowControl/>
        <w:spacing w:line="360" w:lineRule="auto"/>
        <w:ind w:firstLine="1440"/>
        <w:contextualSpacing/>
        <w:rPr>
          <w:b/>
          <w:sz w:val="26"/>
          <w:szCs w:val="26"/>
        </w:rPr>
      </w:pPr>
      <w:r>
        <w:rPr>
          <w:bCs/>
          <w:sz w:val="26"/>
          <w:szCs w:val="26"/>
        </w:rPr>
        <w:t>Generally, the Exceptions set forth either</w:t>
      </w:r>
      <w:r w:rsidR="00726525">
        <w:rPr>
          <w:bCs/>
          <w:sz w:val="26"/>
          <w:szCs w:val="26"/>
        </w:rPr>
        <w:t xml:space="preserve"> -</w:t>
      </w:r>
      <w:r>
        <w:rPr>
          <w:bCs/>
          <w:sz w:val="26"/>
          <w:szCs w:val="26"/>
        </w:rPr>
        <w:t xml:space="preserve"> additional information contained in testimony or exhibits presented by the Complainant in the proceeding below, which the ALJ did not </w:t>
      </w:r>
      <w:r w:rsidR="001C2D5B">
        <w:rPr>
          <w:bCs/>
          <w:sz w:val="26"/>
          <w:szCs w:val="26"/>
        </w:rPr>
        <w:t xml:space="preserve">adopt or deem </w:t>
      </w:r>
      <w:r>
        <w:rPr>
          <w:bCs/>
          <w:sz w:val="26"/>
          <w:szCs w:val="26"/>
        </w:rPr>
        <w:t xml:space="preserve">material to </w:t>
      </w:r>
      <w:r w:rsidR="001C2D5B">
        <w:rPr>
          <w:bCs/>
          <w:sz w:val="26"/>
          <w:szCs w:val="26"/>
        </w:rPr>
        <w:t xml:space="preserve">the </w:t>
      </w:r>
      <w:r>
        <w:rPr>
          <w:bCs/>
          <w:sz w:val="26"/>
          <w:szCs w:val="26"/>
        </w:rPr>
        <w:t>findings underpinning the decision, or new information which was not entered into the record in the proceeding which</w:t>
      </w:r>
      <w:r w:rsidR="001C2D5B">
        <w:rPr>
          <w:bCs/>
          <w:sz w:val="26"/>
          <w:szCs w:val="26"/>
        </w:rPr>
        <w:t xml:space="preserve"> </w:t>
      </w:r>
      <w:r>
        <w:rPr>
          <w:bCs/>
          <w:sz w:val="26"/>
          <w:szCs w:val="26"/>
        </w:rPr>
        <w:t>is not appropriate for our present consideration.</w:t>
      </w:r>
      <w:r w:rsidR="003B4D55">
        <w:rPr>
          <w:bCs/>
          <w:sz w:val="26"/>
          <w:szCs w:val="26"/>
        </w:rPr>
        <w:t xml:space="preserve"> </w:t>
      </w:r>
      <w:r>
        <w:rPr>
          <w:bCs/>
          <w:sz w:val="26"/>
          <w:szCs w:val="26"/>
        </w:rPr>
        <w:t xml:space="preserve"> </w:t>
      </w:r>
      <w:r w:rsidRPr="007F10CB">
        <w:rPr>
          <w:bCs/>
          <w:i/>
          <w:iCs/>
          <w:sz w:val="26"/>
          <w:szCs w:val="26"/>
        </w:rPr>
        <w:t>See</w:t>
      </w:r>
      <w:r>
        <w:rPr>
          <w:bCs/>
          <w:sz w:val="26"/>
          <w:szCs w:val="26"/>
        </w:rPr>
        <w:t xml:space="preserve">, Exc. </w:t>
      </w:r>
      <w:r w:rsidR="00993C2E">
        <w:rPr>
          <w:bCs/>
          <w:sz w:val="26"/>
          <w:szCs w:val="26"/>
        </w:rPr>
        <w:t xml:space="preserve">at </w:t>
      </w:r>
      <w:r>
        <w:rPr>
          <w:bCs/>
          <w:sz w:val="26"/>
          <w:szCs w:val="26"/>
        </w:rPr>
        <w:t xml:space="preserve">1-25.  As the information is not offered in the form of an objection, </w:t>
      </w:r>
      <w:r w:rsidRPr="002978D2">
        <w:rPr>
          <w:bCs/>
          <w:i/>
          <w:iCs/>
          <w:sz w:val="26"/>
          <w:szCs w:val="26"/>
        </w:rPr>
        <w:t>i.e</w:t>
      </w:r>
      <w:r>
        <w:rPr>
          <w:bCs/>
          <w:sz w:val="26"/>
          <w:szCs w:val="26"/>
        </w:rPr>
        <w:t xml:space="preserve">., setting forth a rational to support reversal of a given finding of fact or conclusion of law, we shall not </w:t>
      </w:r>
      <w:r w:rsidR="00C23D7C">
        <w:rPr>
          <w:bCs/>
          <w:sz w:val="26"/>
          <w:szCs w:val="26"/>
        </w:rPr>
        <w:t xml:space="preserve">restate the Exceptions. </w:t>
      </w:r>
      <w:r>
        <w:rPr>
          <w:bCs/>
          <w:sz w:val="26"/>
          <w:szCs w:val="26"/>
        </w:rPr>
        <w:t xml:space="preserve"> </w:t>
      </w:r>
      <w:r w:rsidR="00C23D7C">
        <w:rPr>
          <w:bCs/>
          <w:sz w:val="26"/>
          <w:szCs w:val="26"/>
        </w:rPr>
        <w:t>For purposes of our review, we infer that t</w:t>
      </w:r>
      <w:r>
        <w:rPr>
          <w:bCs/>
          <w:sz w:val="26"/>
          <w:szCs w:val="26"/>
        </w:rPr>
        <w:t>he information</w:t>
      </w:r>
      <w:r w:rsidR="00726525" w:rsidRPr="00726525">
        <w:rPr>
          <w:bCs/>
          <w:sz w:val="26"/>
          <w:szCs w:val="26"/>
        </w:rPr>
        <w:t xml:space="preserve"> </w:t>
      </w:r>
      <w:r w:rsidR="00726525">
        <w:rPr>
          <w:bCs/>
          <w:sz w:val="26"/>
          <w:szCs w:val="26"/>
        </w:rPr>
        <w:t xml:space="preserve">which was presented on the record </w:t>
      </w:r>
      <w:r w:rsidR="00726525">
        <w:rPr>
          <w:bCs/>
          <w:sz w:val="26"/>
          <w:szCs w:val="26"/>
        </w:rPr>
        <w:lastRenderedPageBreak/>
        <w:t xml:space="preserve">but not adopted or relied upon by the ALJ and is </w:t>
      </w:r>
      <w:r>
        <w:rPr>
          <w:bCs/>
          <w:sz w:val="26"/>
          <w:szCs w:val="26"/>
        </w:rPr>
        <w:t xml:space="preserve">offered </w:t>
      </w:r>
      <w:r w:rsidR="00E823D0">
        <w:rPr>
          <w:bCs/>
          <w:sz w:val="26"/>
          <w:szCs w:val="26"/>
        </w:rPr>
        <w:t xml:space="preserve">on Exception </w:t>
      </w:r>
      <w:r>
        <w:rPr>
          <w:bCs/>
          <w:sz w:val="26"/>
          <w:szCs w:val="26"/>
        </w:rPr>
        <w:t xml:space="preserve">by the Complainant to “clarify” the </w:t>
      </w:r>
      <w:r w:rsidR="00E823D0">
        <w:rPr>
          <w:bCs/>
          <w:sz w:val="26"/>
          <w:szCs w:val="26"/>
        </w:rPr>
        <w:t xml:space="preserve">ALJ’s finding to which it refers. </w:t>
      </w:r>
      <w:r w:rsidR="003B4D55">
        <w:rPr>
          <w:bCs/>
          <w:sz w:val="26"/>
          <w:szCs w:val="26"/>
        </w:rPr>
        <w:t xml:space="preserve"> </w:t>
      </w:r>
      <w:r w:rsidR="00C23D7C" w:rsidRPr="00C23D7C">
        <w:rPr>
          <w:bCs/>
          <w:i/>
          <w:iCs/>
          <w:sz w:val="26"/>
          <w:szCs w:val="26"/>
        </w:rPr>
        <w:t>Id</w:t>
      </w:r>
      <w:r w:rsidR="00C23D7C">
        <w:rPr>
          <w:bCs/>
          <w:sz w:val="26"/>
          <w:szCs w:val="26"/>
        </w:rPr>
        <w:t>.</w:t>
      </w:r>
    </w:p>
    <w:p w14:paraId="14904EAC" w14:textId="77777777" w:rsidR="003D6F56" w:rsidRDefault="003D6F56" w:rsidP="00042F28">
      <w:pPr>
        <w:pStyle w:val="ListParagraph"/>
        <w:keepNext/>
        <w:keepLines/>
        <w:widowControl/>
        <w:tabs>
          <w:tab w:val="left" w:pos="720"/>
        </w:tabs>
        <w:spacing w:line="360" w:lineRule="auto"/>
        <w:ind w:left="0" w:firstLine="1440"/>
        <w:rPr>
          <w:bCs/>
          <w:sz w:val="26"/>
          <w:szCs w:val="26"/>
        </w:rPr>
      </w:pPr>
    </w:p>
    <w:p w14:paraId="7F26DEA4" w14:textId="77777777" w:rsidR="00172F07" w:rsidRDefault="00707954" w:rsidP="00054291">
      <w:pPr>
        <w:pStyle w:val="ListParagraph"/>
        <w:keepNext/>
        <w:keepLines/>
        <w:widowControl/>
        <w:tabs>
          <w:tab w:val="left" w:pos="720"/>
        </w:tabs>
        <w:spacing w:line="360" w:lineRule="auto"/>
        <w:ind w:left="0" w:firstLine="1440"/>
        <w:rPr>
          <w:bCs/>
          <w:sz w:val="26"/>
          <w:szCs w:val="26"/>
        </w:rPr>
      </w:pPr>
      <w:r>
        <w:rPr>
          <w:bCs/>
          <w:sz w:val="26"/>
          <w:szCs w:val="26"/>
        </w:rPr>
        <w:t>The Complainant’s Exceptions conclude by requesting relief in the form of a “deferral” of PPL’s scheduled smart meter installation at the Complainant’s residence, and permission for the Complainant to retain his present meter until the end of 2021.</w:t>
      </w:r>
      <w:r w:rsidR="00E35744">
        <w:rPr>
          <w:bCs/>
          <w:sz w:val="26"/>
          <w:szCs w:val="26"/>
        </w:rPr>
        <w:t xml:space="preserve"> </w:t>
      </w:r>
      <w:r>
        <w:rPr>
          <w:bCs/>
          <w:sz w:val="26"/>
          <w:szCs w:val="26"/>
        </w:rPr>
        <w:t xml:space="preserve"> </w:t>
      </w:r>
      <w:r w:rsidR="00C23D7C">
        <w:rPr>
          <w:bCs/>
          <w:sz w:val="26"/>
          <w:szCs w:val="26"/>
        </w:rPr>
        <w:t>Exc. at 11.</w:t>
      </w:r>
    </w:p>
    <w:p w14:paraId="113848B2" w14:textId="77777777" w:rsidR="00172F07" w:rsidRDefault="00172F07" w:rsidP="00054291">
      <w:pPr>
        <w:pStyle w:val="ListParagraph"/>
        <w:keepNext/>
        <w:keepLines/>
        <w:widowControl/>
        <w:tabs>
          <w:tab w:val="left" w:pos="720"/>
        </w:tabs>
        <w:spacing w:line="360" w:lineRule="auto"/>
        <w:ind w:left="0" w:firstLine="1440"/>
        <w:rPr>
          <w:bCs/>
          <w:sz w:val="26"/>
          <w:szCs w:val="26"/>
        </w:rPr>
      </w:pPr>
    </w:p>
    <w:p w14:paraId="374985BE" w14:textId="77777777" w:rsidR="00E02A17" w:rsidRPr="00D704F2" w:rsidRDefault="000C4245" w:rsidP="00D704F2">
      <w:pPr>
        <w:keepNext/>
        <w:keepLines/>
        <w:widowControl/>
        <w:tabs>
          <w:tab w:val="left" w:pos="720"/>
        </w:tabs>
        <w:rPr>
          <w:b/>
          <w:sz w:val="26"/>
          <w:szCs w:val="26"/>
        </w:rPr>
      </w:pPr>
      <w:r>
        <w:rPr>
          <w:b/>
          <w:sz w:val="26"/>
          <w:szCs w:val="26"/>
        </w:rPr>
        <w:t>2.</w:t>
      </w:r>
      <w:r>
        <w:rPr>
          <w:b/>
          <w:sz w:val="26"/>
          <w:szCs w:val="26"/>
        </w:rPr>
        <w:tab/>
      </w:r>
      <w:r w:rsidR="00E02A17" w:rsidRPr="00D704F2">
        <w:rPr>
          <w:b/>
          <w:sz w:val="26"/>
          <w:szCs w:val="26"/>
        </w:rPr>
        <w:t>Replies to Exceptions</w:t>
      </w:r>
    </w:p>
    <w:p w14:paraId="1A9CA2E4" w14:textId="77777777" w:rsidR="00E02A17" w:rsidRDefault="00E02A17" w:rsidP="000D7003">
      <w:pPr>
        <w:keepNext/>
        <w:keepLines/>
        <w:widowControl/>
        <w:spacing w:line="360" w:lineRule="auto"/>
        <w:contextualSpacing/>
        <w:rPr>
          <w:sz w:val="26"/>
          <w:szCs w:val="26"/>
        </w:rPr>
      </w:pPr>
    </w:p>
    <w:p w14:paraId="0621C8A4" w14:textId="640E6AB4" w:rsidR="00206677" w:rsidRDefault="00E02A17" w:rsidP="002625EC">
      <w:pPr>
        <w:widowControl/>
        <w:spacing w:line="360" w:lineRule="auto"/>
        <w:contextualSpacing/>
        <w:rPr>
          <w:sz w:val="26"/>
          <w:szCs w:val="26"/>
        </w:rPr>
      </w:pPr>
      <w:r>
        <w:rPr>
          <w:sz w:val="26"/>
          <w:szCs w:val="26"/>
        </w:rPr>
        <w:tab/>
      </w:r>
      <w:r>
        <w:rPr>
          <w:sz w:val="26"/>
          <w:szCs w:val="26"/>
        </w:rPr>
        <w:tab/>
      </w:r>
      <w:r w:rsidR="00AA617A">
        <w:rPr>
          <w:sz w:val="26"/>
          <w:szCs w:val="26"/>
        </w:rPr>
        <w:t>In its Replies to Exceptions, P</w:t>
      </w:r>
      <w:r w:rsidR="00AC3AFA">
        <w:rPr>
          <w:sz w:val="26"/>
          <w:szCs w:val="26"/>
        </w:rPr>
        <w:t xml:space="preserve">PL asserts </w:t>
      </w:r>
      <w:r w:rsidR="00AA617A">
        <w:rPr>
          <w:sz w:val="26"/>
          <w:szCs w:val="26"/>
        </w:rPr>
        <w:t>that</w:t>
      </w:r>
      <w:r w:rsidR="008944A1">
        <w:rPr>
          <w:sz w:val="26"/>
          <w:szCs w:val="26"/>
        </w:rPr>
        <w:t xml:space="preserve"> the Complainant’s position is without merit.  </w:t>
      </w:r>
      <w:r w:rsidR="00206677">
        <w:rPr>
          <w:sz w:val="26"/>
          <w:szCs w:val="26"/>
        </w:rPr>
        <w:t>PPL note</w:t>
      </w:r>
      <w:r w:rsidR="00993C2E">
        <w:rPr>
          <w:sz w:val="26"/>
          <w:szCs w:val="26"/>
        </w:rPr>
        <w:t>s</w:t>
      </w:r>
      <w:r w:rsidR="00206677">
        <w:rPr>
          <w:sz w:val="26"/>
          <w:szCs w:val="26"/>
        </w:rPr>
        <w:t xml:space="preserve"> the Complainant’s Exceptions are not numbered and therefore, treated the Exceptions as a challeng</w:t>
      </w:r>
      <w:r w:rsidR="000C4245">
        <w:rPr>
          <w:sz w:val="26"/>
          <w:szCs w:val="26"/>
        </w:rPr>
        <w:t>e</w:t>
      </w:r>
      <w:r w:rsidR="00206677">
        <w:rPr>
          <w:sz w:val="26"/>
          <w:szCs w:val="26"/>
        </w:rPr>
        <w:t xml:space="preserve"> to the ALJ’s material factual and legal findings. </w:t>
      </w:r>
      <w:r w:rsidR="007E4C92">
        <w:rPr>
          <w:sz w:val="26"/>
          <w:szCs w:val="26"/>
        </w:rPr>
        <w:t xml:space="preserve"> </w:t>
      </w:r>
    </w:p>
    <w:p w14:paraId="591AFDD0" w14:textId="469C6A45" w:rsidR="00C862EC" w:rsidRDefault="008944A1" w:rsidP="00042F28">
      <w:pPr>
        <w:widowControl/>
        <w:spacing w:line="360" w:lineRule="auto"/>
        <w:contextualSpacing/>
        <w:rPr>
          <w:sz w:val="26"/>
          <w:szCs w:val="26"/>
        </w:rPr>
      </w:pPr>
      <w:r>
        <w:rPr>
          <w:sz w:val="26"/>
          <w:szCs w:val="26"/>
        </w:rPr>
        <w:t>P</w:t>
      </w:r>
      <w:r w:rsidR="00AC3AFA">
        <w:rPr>
          <w:sz w:val="26"/>
          <w:szCs w:val="26"/>
        </w:rPr>
        <w:t>PL</w:t>
      </w:r>
      <w:r w:rsidR="00042F28">
        <w:rPr>
          <w:sz w:val="26"/>
          <w:szCs w:val="26"/>
        </w:rPr>
        <w:t xml:space="preserve">’s rejects the Exceptions to the extent they may be construed to assert that the ALJ’s decision was improperly decided.  </w:t>
      </w:r>
      <w:r w:rsidR="008A1E24">
        <w:rPr>
          <w:sz w:val="26"/>
          <w:szCs w:val="26"/>
        </w:rPr>
        <w:t xml:space="preserve">Specifically, PPL notes that </w:t>
      </w:r>
      <w:r w:rsidR="00C862EC">
        <w:rPr>
          <w:sz w:val="26"/>
          <w:szCs w:val="26"/>
        </w:rPr>
        <w:t xml:space="preserve">as a matter of due process, </w:t>
      </w:r>
      <w:r w:rsidR="008A1E24">
        <w:rPr>
          <w:sz w:val="26"/>
          <w:szCs w:val="26"/>
        </w:rPr>
        <w:t>matters not raised by the Complainant on the record below, should not be considered by the Commission on Exception.  R. Exc. at</w:t>
      </w:r>
      <w:r w:rsidR="00C23D7C">
        <w:rPr>
          <w:sz w:val="26"/>
          <w:szCs w:val="26"/>
        </w:rPr>
        <w:t xml:space="preserve"> 15</w:t>
      </w:r>
      <w:r w:rsidR="00C862EC">
        <w:rPr>
          <w:sz w:val="26"/>
          <w:szCs w:val="26"/>
        </w:rPr>
        <w:t xml:space="preserve">-19, </w:t>
      </w:r>
      <w:r w:rsidR="00C862EC" w:rsidRPr="00E823D0">
        <w:rPr>
          <w:i/>
          <w:iCs/>
          <w:sz w:val="26"/>
          <w:szCs w:val="26"/>
        </w:rPr>
        <w:t>citing Hess v. Pa. PUC</w:t>
      </w:r>
      <w:r w:rsidR="00E823D0" w:rsidRPr="0065514C">
        <w:rPr>
          <w:iCs/>
          <w:sz w:val="26"/>
          <w:szCs w:val="26"/>
        </w:rPr>
        <w:t>,</w:t>
      </w:r>
      <w:r w:rsidR="0065514C">
        <w:rPr>
          <w:iCs/>
          <w:sz w:val="26"/>
          <w:szCs w:val="26"/>
        </w:rPr>
        <w:t xml:space="preserve"> </w:t>
      </w:r>
      <w:r w:rsidR="00C862EC">
        <w:rPr>
          <w:sz w:val="26"/>
          <w:szCs w:val="26"/>
        </w:rPr>
        <w:t>107 A.3d 246, 266</w:t>
      </w:r>
      <w:r w:rsidR="001B461E">
        <w:rPr>
          <w:sz w:val="26"/>
          <w:szCs w:val="26"/>
        </w:rPr>
        <w:t xml:space="preserve"> </w:t>
      </w:r>
      <w:r w:rsidR="00C862EC">
        <w:rPr>
          <w:sz w:val="26"/>
          <w:szCs w:val="26"/>
        </w:rPr>
        <w:t xml:space="preserve">(Pa. </w:t>
      </w:r>
      <w:proofErr w:type="spellStart"/>
      <w:r w:rsidR="00C862EC">
        <w:rPr>
          <w:sz w:val="26"/>
          <w:szCs w:val="26"/>
        </w:rPr>
        <w:t>Cmwlth</w:t>
      </w:r>
      <w:proofErr w:type="spellEnd"/>
      <w:r w:rsidR="00C862EC">
        <w:rPr>
          <w:sz w:val="26"/>
          <w:szCs w:val="26"/>
        </w:rPr>
        <w:t>. 2014) (citations omitted).</w:t>
      </w:r>
    </w:p>
    <w:p w14:paraId="7B880447" w14:textId="77777777" w:rsidR="00C862EC" w:rsidRDefault="00C862EC" w:rsidP="00042F28">
      <w:pPr>
        <w:widowControl/>
        <w:spacing w:line="360" w:lineRule="auto"/>
        <w:contextualSpacing/>
        <w:rPr>
          <w:sz w:val="26"/>
          <w:szCs w:val="26"/>
        </w:rPr>
      </w:pPr>
    </w:p>
    <w:p w14:paraId="2C191154" w14:textId="1820771A" w:rsidR="00C862EC" w:rsidRDefault="00042F28" w:rsidP="00C862EC">
      <w:pPr>
        <w:widowControl/>
        <w:spacing w:line="360" w:lineRule="auto"/>
        <w:ind w:firstLine="1440"/>
        <w:contextualSpacing/>
        <w:rPr>
          <w:sz w:val="26"/>
          <w:szCs w:val="26"/>
        </w:rPr>
      </w:pPr>
      <w:r>
        <w:rPr>
          <w:sz w:val="26"/>
          <w:szCs w:val="26"/>
        </w:rPr>
        <w:t xml:space="preserve">PPL recounts </w:t>
      </w:r>
      <w:r w:rsidR="00C862EC">
        <w:rPr>
          <w:sz w:val="26"/>
          <w:szCs w:val="26"/>
        </w:rPr>
        <w:t xml:space="preserve">the record evidence </w:t>
      </w:r>
      <w:r w:rsidR="00726525">
        <w:rPr>
          <w:sz w:val="26"/>
          <w:szCs w:val="26"/>
        </w:rPr>
        <w:t xml:space="preserve">it </w:t>
      </w:r>
      <w:r w:rsidR="00C862EC">
        <w:rPr>
          <w:sz w:val="26"/>
          <w:szCs w:val="26"/>
        </w:rPr>
        <w:t xml:space="preserve">presented by </w:t>
      </w:r>
      <w:r w:rsidR="00726525">
        <w:rPr>
          <w:sz w:val="26"/>
          <w:szCs w:val="26"/>
        </w:rPr>
        <w:t>and</w:t>
      </w:r>
      <w:r w:rsidR="00C862EC">
        <w:rPr>
          <w:sz w:val="26"/>
          <w:szCs w:val="26"/>
        </w:rPr>
        <w:t xml:space="preserve"> avers that </w:t>
      </w:r>
      <w:r w:rsidR="002C4B9A">
        <w:rPr>
          <w:sz w:val="26"/>
          <w:szCs w:val="26"/>
        </w:rPr>
        <w:t xml:space="preserve">each of the </w:t>
      </w:r>
      <w:r>
        <w:rPr>
          <w:sz w:val="26"/>
          <w:szCs w:val="26"/>
        </w:rPr>
        <w:t xml:space="preserve">ALJ’s material findings </w:t>
      </w:r>
      <w:r w:rsidR="00C862EC">
        <w:rPr>
          <w:sz w:val="26"/>
          <w:szCs w:val="26"/>
        </w:rPr>
        <w:t xml:space="preserve">were </w:t>
      </w:r>
      <w:r>
        <w:rPr>
          <w:sz w:val="26"/>
          <w:szCs w:val="26"/>
        </w:rPr>
        <w:t xml:space="preserve">properly decided. </w:t>
      </w:r>
      <w:r w:rsidR="00E35744">
        <w:rPr>
          <w:sz w:val="26"/>
          <w:szCs w:val="26"/>
        </w:rPr>
        <w:t xml:space="preserve"> </w:t>
      </w:r>
      <w:r>
        <w:rPr>
          <w:sz w:val="26"/>
          <w:szCs w:val="26"/>
        </w:rPr>
        <w:t xml:space="preserve">R. Exc. </w:t>
      </w:r>
      <w:r w:rsidR="00993C2E">
        <w:rPr>
          <w:sz w:val="26"/>
          <w:szCs w:val="26"/>
        </w:rPr>
        <w:t xml:space="preserve">at </w:t>
      </w:r>
      <w:r w:rsidR="008A1E24">
        <w:rPr>
          <w:sz w:val="26"/>
          <w:szCs w:val="26"/>
        </w:rPr>
        <w:t>1-25.</w:t>
      </w:r>
    </w:p>
    <w:p w14:paraId="3085CFA7" w14:textId="77777777" w:rsidR="007E4C92" w:rsidRDefault="007E4C92" w:rsidP="00C862EC">
      <w:pPr>
        <w:widowControl/>
        <w:spacing w:line="360" w:lineRule="auto"/>
        <w:ind w:firstLine="1440"/>
        <w:contextualSpacing/>
        <w:rPr>
          <w:sz w:val="26"/>
          <w:szCs w:val="26"/>
        </w:rPr>
      </w:pPr>
    </w:p>
    <w:p w14:paraId="080B9691" w14:textId="77777777" w:rsidR="008A1E24" w:rsidRDefault="008A1E24" w:rsidP="00C862EC">
      <w:pPr>
        <w:widowControl/>
        <w:spacing w:line="360" w:lineRule="auto"/>
        <w:ind w:firstLine="1440"/>
        <w:contextualSpacing/>
        <w:rPr>
          <w:sz w:val="26"/>
          <w:szCs w:val="26"/>
        </w:rPr>
      </w:pPr>
      <w:r>
        <w:rPr>
          <w:sz w:val="26"/>
          <w:szCs w:val="26"/>
        </w:rPr>
        <w:t xml:space="preserve">With respect to the claims regarding health and safety, PPL </w:t>
      </w:r>
      <w:r w:rsidR="00C862EC">
        <w:rPr>
          <w:sz w:val="26"/>
          <w:szCs w:val="26"/>
        </w:rPr>
        <w:t xml:space="preserve">recounts the record evidence presented by PPL.  PPL </w:t>
      </w:r>
      <w:r>
        <w:rPr>
          <w:sz w:val="26"/>
          <w:szCs w:val="26"/>
        </w:rPr>
        <w:t xml:space="preserve">asserts that the ALJ properly relied upon the substantial medical and technical evidence offered by PPL’s expert medical and technical witnesses, to conclude that the Complainant failed to assert any basis for unreasonable service based on health and safety concerns due to PPL’s installation of a smart meter at the Complainant’s residence. </w:t>
      </w:r>
      <w:r w:rsidR="003B4D55">
        <w:rPr>
          <w:sz w:val="26"/>
          <w:szCs w:val="26"/>
        </w:rPr>
        <w:t xml:space="preserve"> </w:t>
      </w:r>
      <w:r>
        <w:rPr>
          <w:sz w:val="26"/>
          <w:szCs w:val="26"/>
        </w:rPr>
        <w:t xml:space="preserve">R. Exc. </w:t>
      </w:r>
      <w:r w:rsidR="00993C2E">
        <w:rPr>
          <w:sz w:val="26"/>
          <w:szCs w:val="26"/>
        </w:rPr>
        <w:t xml:space="preserve">at </w:t>
      </w:r>
      <w:r w:rsidR="00C862EC">
        <w:rPr>
          <w:sz w:val="26"/>
          <w:szCs w:val="26"/>
        </w:rPr>
        <w:t>1-10, and 11-12.</w:t>
      </w:r>
    </w:p>
    <w:p w14:paraId="3F9BDD51" w14:textId="77777777" w:rsidR="008A1E24" w:rsidRDefault="008A1E24" w:rsidP="008A1E24">
      <w:pPr>
        <w:widowControl/>
        <w:spacing w:line="360" w:lineRule="auto"/>
        <w:ind w:firstLine="1440"/>
        <w:contextualSpacing/>
        <w:rPr>
          <w:sz w:val="26"/>
          <w:szCs w:val="26"/>
        </w:rPr>
      </w:pPr>
    </w:p>
    <w:p w14:paraId="59863F72" w14:textId="6FBAC353" w:rsidR="008A1E24" w:rsidRDefault="008A1E24" w:rsidP="008A1E24">
      <w:pPr>
        <w:widowControl/>
        <w:spacing w:line="360" w:lineRule="auto"/>
        <w:ind w:firstLine="1440"/>
        <w:contextualSpacing/>
        <w:rPr>
          <w:sz w:val="26"/>
          <w:szCs w:val="26"/>
        </w:rPr>
      </w:pPr>
      <w:r>
        <w:rPr>
          <w:sz w:val="26"/>
          <w:szCs w:val="26"/>
        </w:rPr>
        <w:lastRenderedPageBreak/>
        <w:t xml:space="preserve">With respect to the claims regarding </w:t>
      </w:r>
      <w:r w:rsidR="003D6F56">
        <w:rPr>
          <w:sz w:val="26"/>
          <w:szCs w:val="26"/>
        </w:rPr>
        <w:t>cyber security risk and violation of privacy</w:t>
      </w:r>
      <w:r>
        <w:rPr>
          <w:sz w:val="26"/>
          <w:szCs w:val="26"/>
        </w:rPr>
        <w:t xml:space="preserve">, PPL </w:t>
      </w:r>
      <w:r w:rsidR="00C862EC">
        <w:rPr>
          <w:sz w:val="26"/>
          <w:szCs w:val="26"/>
        </w:rPr>
        <w:t xml:space="preserve">recounts the record evidence presented by PPL.  PPL </w:t>
      </w:r>
      <w:r>
        <w:rPr>
          <w:sz w:val="26"/>
          <w:szCs w:val="26"/>
        </w:rPr>
        <w:t xml:space="preserve">asserts that the ALJ properly relied upon the substantial technical evidence offered by PPL’s expert technical witnesses, to conclude that the Complainant failed to assert </w:t>
      </w:r>
      <w:r w:rsidR="00C862EC">
        <w:rPr>
          <w:sz w:val="26"/>
          <w:szCs w:val="26"/>
        </w:rPr>
        <w:t xml:space="preserve">sufficient </w:t>
      </w:r>
      <w:r>
        <w:rPr>
          <w:sz w:val="26"/>
          <w:szCs w:val="26"/>
        </w:rPr>
        <w:t>basis for</w:t>
      </w:r>
      <w:r w:rsidR="00C862EC">
        <w:rPr>
          <w:sz w:val="26"/>
          <w:szCs w:val="26"/>
        </w:rPr>
        <w:t xml:space="preserve"> a finding of </w:t>
      </w:r>
      <w:r>
        <w:rPr>
          <w:sz w:val="26"/>
          <w:szCs w:val="26"/>
        </w:rPr>
        <w:t xml:space="preserve">unreasonable service based on </w:t>
      </w:r>
      <w:r w:rsidR="003D6F56">
        <w:rPr>
          <w:sz w:val="26"/>
          <w:szCs w:val="26"/>
        </w:rPr>
        <w:t xml:space="preserve">cybersecurity risk and violation of privacy </w:t>
      </w:r>
      <w:r>
        <w:rPr>
          <w:sz w:val="26"/>
          <w:szCs w:val="26"/>
        </w:rPr>
        <w:t>due to PPL’s installation of a smart meter at the Complainant’s residence.</w:t>
      </w:r>
      <w:r w:rsidR="00E35744">
        <w:rPr>
          <w:sz w:val="26"/>
          <w:szCs w:val="26"/>
        </w:rPr>
        <w:t xml:space="preserve"> </w:t>
      </w:r>
      <w:r>
        <w:rPr>
          <w:sz w:val="26"/>
          <w:szCs w:val="26"/>
        </w:rPr>
        <w:t xml:space="preserve"> R. Exc.</w:t>
      </w:r>
      <w:r w:rsidR="00993C2E">
        <w:rPr>
          <w:sz w:val="26"/>
          <w:szCs w:val="26"/>
        </w:rPr>
        <w:t xml:space="preserve"> at</w:t>
      </w:r>
      <w:r>
        <w:rPr>
          <w:sz w:val="26"/>
          <w:szCs w:val="26"/>
        </w:rPr>
        <w:t xml:space="preserve"> </w:t>
      </w:r>
      <w:r w:rsidR="00C862EC">
        <w:rPr>
          <w:sz w:val="26"/>
          <w:szCs w:val="26"/>
        </w:rPr>
        <w:t>13-15.</w:t>
      </w:r>
    </w:p>
    <w:p w14:paraId="0E3CDC26" w14:textId="77777777" w:rsidR="008A1E24" w:rsidRDefault="008A1E24" w:rsidP="008A1E24">
      <w:pPr>
        <w:widowControl/>
        <w:spacing w:line="360" w:lineRule="auto"/>
        <w:ind w:firstLine="1440"/>
        <w:contextualSpacing/>
        <w:rPr>
          <w:sz w:val="26"/>
          <w:szCs w:val="26"/>
        </w:rPr>
      </w:pPr>
    </w:p>
    <w:p w14:paraId="4FD64837" w14:textId="187BFDC8" w:rsidR="008A1E24" w:rsidRDefault="00C862EC" w:rsidP="008A1E24">
      <w:pPr>
        <w:widowControl/>
        <w:spacing w:line="360" w:lineRule="auto"/>
        <w:ind w:firstLine="1440"/>
        <w:contextualSpacing/>
        <w:rPr>
          <w:sz w:val="26"/>
          <w:szCs w:val="26"/>
        </w:rPr>
      </w:pPr>
      <w:r>
        <w:rPr>
          <w:sz w:val="26"/>
          <w:szCs w:val="26"/>
        </w:rPr>
        <w:t xml:space="preserve">Finally, </w:t>
      </w:r>
      <w:r w:rsidR="008A1E24">
        <w:rPr>
          <w:sz w:val="26"/>
          <w:szCs w:val="26"/>
        </w:rPr>
        <w:t xml:space="preserve">PPL notes that the relief requested, </w:t>
      </w:r>
      <w:r w:rsidR="006152D1">
        <w:rPr>
          <w:sz w:val="26"/>
          <w:szCs w:val="26"/>
        </w:rPr>
        <w:t xml:space="preserve">of </w:t>
      </w:r>
      <w:r w:rsidR="008A1E24">
        <w:rPr>
          <w:sz w:val="26"/>
          <w:szCs w:val="26"/>
        </w:rPr>
        <w:t xml:space="preserve">an extension of the schedule for PPL’s installation the Complainant’ smart meter, is improperly </w:t>
      </w:r>
      <w:r w:rsidR="006152D1">
        <w:rPr>
          <w:sz w:val="26"/>
          <w:szCs w:val="26"/>
        </w:rPr>
        <w:t>raised</w:t>
      </w:r>
      <w:r w:rsidR="008A1E24">
        <w:rPr>
          <w:sz w:val="26"/>
          <w:szCs w:val="26"/>
        </w:rPr>
        <w:t xml:space="preserve"> for the first time </w:t>
      </w:r>
      <w:r w:rsidR="006152D1">
        <w:rPr>
          <w:sz w:val="26"/>
          <w:szCs w:val="26"/>
        </w:rPr>
        <w:t>in an</w:t>
      </w:r>
      <w:r w:rsidR="008A1E24">
        <w:rPr>
          <w:sz w:val="26"/>
          <w:szCs w:val="26"/>
        </w:rPr>
        <w:t xml:space="preserve"> Exception, and not provided for under the applicable statutory and regulatory provisions. </w:t>
      </w:r>
      <w:r w:rsidR="003B4D55">
        <w:rPr>
          <w:sz w:val="26"/>
          <w:szCs w:val="26"/>
        </w:rPr>
        <w:t xml:space="preserve"> </w:t>
      </w:r>
      <w:r w:rsidR="008A1E24">
        <w:rPr>
          <w:sz w:val="26"/>
          <w:szCs w:val="26"/>
        </w:rPr>
        <w:t>R. Exc. at</w:t>
      </w:r>
      <w:r>
        <w:rPr>
          <w:sz w:val="26"/>
          <w:szCs w:val="26"/>
        </w:rPr>
        <w:t xml:space="preserve"> 19-21.</w:t>
      </w:r>
    </w:p>
    <w:p w14:paraId="6A9D3879" w14:textId="77777777" w:rsidR="00CA68E5" w:rsidRDefault="00CA68E5" w:rsidP="009B2BC2">
      <w:pPr>
        <w:widowControl/>
        <w:spacing w:line="360" w:lineRule="auto"/>
        <w:contextualSpacing/>
        <w:rPr>
          <w:sz w:val="26"/>
          <w:szCs w:val="26"/>
          <w:u w:val="single"/>
        </w:rPr>
      </w:pPr>
    </w:p>
    <w:p w14:paraId="2C8C79A3" w14:textId="55E0E3A7" w:rsidR="00E02A17" w:rsidRPr="00D704F2" w:rsidRDefault="008518BF" w:rsidP="00D704F2">
      <w:pPr>
        <w:keepNext/>
        <w:keepLines/>
        <w:widowControl/>
        <w:spacing w:line="360" w:lineRule="auto"/>
        <w:rPr>
          <w:b/>
          <w:sz w:val="26"/>
          <w:szCs w:val="26"/>
        </w:rPr>
      </w:pPr>
      <w:r>
        <w:rPr>
          <w:b/>
          <w:sz w:val="26"/>
          <w:szCs w:val="26"/>
        </w:rPr>
        <w:t>3.</w:t>
      </w:r>
      <w:r w:rsidR="00993C2E">
        <w:rPr>
          <w:b/>
          <w:sz w:val="26"/>
          <w:szCs w:val="26"/>
        </w:rPr>
        <w:tab/>
      </w:r>
      <w:r w:rsidR="00E02A17" w:rsidRPr="00D704F2">
        <w:rPr>
          <w:b/>
          <w:sz w:val="26"/>
          <w:szCs w:val="26"/>
        </w:rPr>
        <w:t>Disposition</w:t>
      </w:r>
    </w:p>
    <w:p w14:paraId="24232979" w14:textId="77777777" w:rsidR="00E02A17" w:rsidRDefault="00E02A17" w:rsidP="00D13E44">
      <w:pPr>
        <w:keepNext/>
        <w:keepLines/>
        <w:widowControl/>
        <w:spacing w:line="360" w:lineRule="auto"/>
        <w:contextualSpacing/>
        <w:rPr>
          <w:sz w:val="26"/>
          <w:szCs w:val="26"/>
        </w:rPr>
      </w:pPr>
    </w:p>
    <w:p w14:paraId="73FAD6D4" w14:textId="4A713E47" w:rsidR="002C1CEC" w:rsidRDefault="00CB2280" w:rsidP="008518BF">
      <w:pPr>
        <w:widowControl/>
        <w:spacing w:line="360" w:lineRule="auto"/>
        <w:ind w:firstLine="1440"/>
        <w:rPr>
          <w:spacing w:val="-3"/>
          <w:sz w:val="26"/>
          <w:szCs w:val="26"/>
        </w:rPr>
      </w:pPr>
      <w:r>
        <w:rPr>
          <w:sz w:val="26"/>
          <w:szCs w:val="26"/>
        </w:rPr>
        <w:t xml:space="preserve">At the outset, we </w:t>
      </w:r>
      <w:r w:rsidR="00BF5E1E">
        <w:rPr>
          <w:sz w:val="26"/>
          <w:szCs w:val="26"/>
        </w:rPr>
        <w:t>note that</w:t>
      </w:r>
      <w:r w:rsidR="009B2BC2">
        <w:rPr>
          <w:sz w:val="26"/>
          <w:szCs w:val="26"/>
        </w:rPr>
        <w:t>,</w:t>
      </w:r>
      <w:r w:rsidR="00BF5E1E">
        <w:rPr>
          <w:sz w:val="26"/>
          <w:szCs w:val="26"/>
        </w:rPr>
        <w:t xml:space="preserve"> </w:t>
      </w:r>
      <w:proofErr w:type="spellStart"/>
      <w:r w:rsidR="009B2BC2">
        <w:rPr>
          <w:sz w:val="26"/>
          <w:szCs w:val="26"/>
        </w:rPr>
        <w:t>t</w:t>
      </w:r>
      <w:r w:rsidR="009B2BC2" w:rsidRPr="002C1CEC">
        <w:rPr>
          <w:sz w:val="26"/>
          <w:szCs w:val="26"/>
          <w:lang w:val="en"/>
        </w:rPr>
        <w:t>o</w:t>
      </w:r>
      <w:proofErr w:type="spellEnd"/>
      <w:r w:rsidR="009B2BC2" w:rsidRPr="002C1CEC">
        <w:rPr>
          <w:sz w:val="26"/>
          <w:szCs w:val="26"/>
          <w:lang w:val="en"/>
        </w:rPr>
        <w:t xml:space="preserve"> the extent the Complainant </w:t>
      </w:r>
      <w:r w:rsidR="009B2BC2">
        <w:rPr>
          <w:sz w:val="26"/>
          <w:szCs w:val="26"/>
          <w:lang w:val="en"/>
        </w:rPr>
        <w:t xml:space="preserve">asserts a legal right </w:t>
      </w:r>
      <w:r w:rsidR="009B2BC2" w:rsidRPr="002C1CEC">
        <w:rPr>
          <w:sz w:val="26"/>
          <w:szCs w:val="26"/>
          <w:lang w:val="en"/>
        </w:rPr>
        <w:t xml:space="preserve">to “opt out” of the smart meter installation, </w:t>
      </w:r>
      <w:r w:rsidR="009B2BC2">
        <w:rPr>
          <w:sz w:val="26"/>
          <w:szCs w:val="26"/>
          <w:lang w:val="en"/>
        </w:rPr>
        <w:t>that assertion is rejected as a matter of law.  As we have previously held, under the existing iteration of S</w:t>
      </w:r>
      <w:r w:rsidR="009B2BC2" w:rsidRPr="002C1CEC">
        <w:rPr>
          <w:sz w:val="26"/>
          <w:szCs w:val="26"/>
          <w:lang w:val="en"/>
        </w:rPr>
        <w:t>ection 2807(f)</w:t>
      </w:r>
      <w:r w:rsidR="008518BF">
        <w:rPr>
          <w:sz w:val="26"/>
          <w:szCs w:val="26"/>
          <w:lang w:val="en"/>
        </w:rPr>
        <w:t xml:space="preserve"> of the Code,</w:t>
      </w:r>
      <w:r w:rsidR="009B2BC2">
        <w:rPr>
          <w:sz w:val="26"/>
          <w:szCs w:val="26"/>
          <w:lang w:val="en"/>
        </w:rPr>
        <w:t xml:space="preserve"> no “opt out” provision exists. </w:t>
      </w:r>
      <w:r w:rsidR="009B2BC2" w:rsidRPr="007F10CB">
        <w:rPr>
          <w:i/>
          <w:iCs/>
          <w:sz w:val="26"/>
          <w:szCs w:val="26"/>
          <w:lang w:val="en"/>
        </w:rPr>
        <w:t>See</w:t>
      </w:r>
      <w:r w:rsidR="009B2BC2">
        <w:rPr>
          <w:sz w:val="26"/>
          <w:szCs w:val="26"/>
          <w:lang w:val="en"/>
        </w:rPr>
        <w:t xml:space="preserve">, </w:t>
      </w:r>
      <w:r w:rsidR="009B2BC2" w:rsidRPr="00D704F2">
        <w:rPr>
          <w:i/>
          <w:iCs/>
          <w:sz w:val="26"/>
          <w:szCs w:val="26"/>
          <w:lang w:val="en"/>
        </w:rPr>
        <w:t>generally</w:t>
      </w:r>
      <w:r w:rsidR="009B2BC2">
        <w:rPr>
          <w:sz w:val="26"/>
          <w:szCs w:val="26"/>
          <w:lang w:val="en"/>
        </w:rPr>
        <w:t xml:space="preserve">, </w:t>
      </w:r>
      <w:r w:rsidR="009B2BC2" w:rsidRPr="002C1CEC">
        <w:rPr>
          <w:i/>
          <w:iCs/>
          <w:sz w:val="26"/>
          <w:szCs w:val="26"/>
        </w:rPr>
        <w:t>201</w:t>
      </w:r>
      <w:r w:rsidR="008518BF">
        <w:rPr>
          <w:i/>
          <w:iCs/>
          <w:sz w:val="26"/>
          <w:szCs w:val="26"/>
        </w:rPr>
        <w:t>3</w:t>
      </w:r>
      <w:r w:rsidR="009B2BC2" w:rsidRPr="002C1CEC">
        <w:rPr>
          <w:i/>
          <w:iCs/>
          <w:sz w:val="26"/>
          <w:szCs w:val="26"/>
        </w:rPr>
        <w:t xml:space="preserve"> </w:t>
      </w:r>
      <w:proofErr w:type="spellStart"/>
      <w:r w:rsidR="009B2BC2" w:rsidRPr="002C1CEC">
        <w:rPr>
          <w:i/>
          <w:iCs/>
          <w:sz w:val="26"/>
          <w:szCs w:val="26"/>
        </w:rPr>
        <w:t>Povacz</w:t>
      </w:r>
      <w:proofErr w:type="spellEnd"/>
      <w:r w:rsidR="009B2BC2" w:rsidRPr="002C1CEC">
        <w:rPr>
          <w:i/>
          <w:iCs/>
          <w:sz w:val="26"/>
          <w:szCs w:val="26"/>
        </w:rPr>
        <w:t xml:space="preserve"> Order</w:t>
      </w:r>
      <w:r w:rsidR="009B2BC2">
        <w:rPr>
          <w:i/>
          <w:iCs/>
          <w:sz w:val="26"/>
          <w:szCs w:val="26"/>
        </w:rPr>
        <w:t>;</w:t>
      </w:r>
      <w:r w:rsidR="009B2BC2" w:rsidRPr="00BF5E1E">
        <w:rPr>
          <w:i/>
          <w:iCs/>
          <w:sz w:val="26"/>
          <w:szCs w:val="26"/>
          <w:lang w:val="en"/>
        </w:rPr>
        <w:t xml:space="preserve"> </w:t>
      </w:r>
      <w:proofErr w:type="spellStart"/>
      <w:r w:rsidR="009B2BC2" w:rsidRPr="002C1CEC">
        <w:rPr>
          <w:i/>
          <w:iCs/>
          <w:sz w:val="26"/>
          <w:szCs w:val="26"/>
          <w:lang w:val="en"/>
        </w:rPr>
        <w:t>Frompovich</w:t>
      </w:r>
      <w:proofErr w:type="spellEnd"/>
      <w:r w:rsidR="008518BF">
        <w:rPr>
          <w:sz w:val="26"/>
          <w:szCs w:val="26"/>
          <w:lang w:val="en"/>
        </w:rPr>
        <w:t>.</w:t>
      </w:r>
      <w:r w:rsidR="009B2BC2">
        <w:rPr>
          <w:i/>
          <w:iCs/>
          <w:sz w:val="26"/>
          <w:szCs w:val="26"/>
        </w:rPr>
        <w:t xml:space="preserve"> </w:t>
      </w:r>
      <w:r w:rsidR="009B2BC2" w:rsidRPr="002C1CEC" w:rsidDel="00BF5E1E">
        <w:rPr>
          <w:sz w:val="26"/>
          <w:szCs w:val="26"/>
          <w:lang w:val="en"/>
        </w:rPr>
        <w:t xml:space="preserve"> </w:t>
      </w:r>
      <w:r w:rsidR="000D7003">
        <w:rPr>
          <w:sz w:val="26"/>
          <w:szCs w:val="26"/>
          <w:lang w:val="en"/>
        </w:rPr>
        <w:t xml:space="preserve">We have concluded </w:t>
      </w:r>
      <w:r w:rsidR="002C1CEC" w:rsidRPr="002C1CEC">
        <w:rPr>
          <w:sz w:val="26"/>
          <w:szCs w:val="26"/>
          <w:lang w:val="en"/>
        </w:rPr>
        <w:t xml:space="preserve">that we do not have the authority, absent directive in the form of legislation, to prohibit </w:t>
      </w:r>
      <w:r w:rsidR="000D7003">
        <w:rPr>
          <w:sz w:val="26"/>
          <w:szCs w:val="26"/>
          <w:lang w:val="en"/>
        </w:rPr>
        <w:t>an EDC</w:t>
      </w:r>
      <w:r w:rsidR="002C1CEC" w:rsidRPr="002C1CEC">
        <w:rPr>
          <w:sz w:val="26"/>
          <w:szCs w:val="26"/>
          <w:lang w:val="en"/>
        </w:rPr>
        <w:t xml:space="preserve"> from installing a smart meter where a customer does not want one.  </w:t>
      </w:r>
      <w:r w:rsidR="002C1CEC" w:rsidRPr="002C1CEC">
        <w:rPr>
          <w:i/>
          <w:sz w:val="26"/>
          <w:szCs w:val="26"/>
          <w:lang w:val="en"/>
        </w:rPr>
        <w:t xml:space="preserve">See </w:t>
      </w:r>
      <w:r w:rsidR="002C1CEC" w:rsidRPr="002C1CEC">
        <w:rPr>
          <w:i/>
          <w:sz w:val="26"/>
          <w:szCs w:val="26"/>
        </w:rPr>
        <w:t xml:space="preserve">2013 </w:t>
      </w:r>
      <w:proofErr w:type="spellStart"/>
      <w:r w:rsidR="002C1CEC" w:rsidRPr="002C1CEC">
        <w:rPr>
          <w:i/>
          <w:sz w:val="26"/>
          <w:szCs w:val="26"/>
        </w:rPr>
        <w:t>Povacz</w:t>
      </w:r>
      <w:proofErr w:type="spellEnd"/>
      <w:r w:rsidR="002C1CEC" w:rsidRPr="002C1CEC">
        <w:rPr>
          <w:i/>
          <w:sz w:val="26"/>
          <w:szCs w:val="26"/>
        </w:rPr>
        <w:t xml:space="preserve"> Order</w:t>
      </w:r>
      <w:r w:rsidR="002C1CEC" w:rsidRPr="002C1CEC">
        <w:rPr>
          <w:sz w:val="26"/>
          <w:szCs w:val="26"/>
          <w:lang w:val="en"/>
        </w:rPr>
        <w:t xml:space="preserve">.  </w:t>
      </w:r>
      <w:r w:rsidR="009B2BC2">
        <w:rPr>
          <w:sz w:val="26"/>
          <w:szCs w:val="26"/>
          <w:lang w:val="en"/>
        </w:rPr>
        <w:t>Because</w:t>
      </w:r>
      <w:r w:rsidR="002C1CEC" w:rsidRPr="002C1CEC">
        <w:rPr>
          <w:sz w:val="26"/>
          <w:szCs w:val="26"/>
          <w:lang w:val="en"/>
        </w:rPr>
        <w:t xml:space="preserve"> </w:t>
      </w:r>
      <w:r w:rsidR="002C1CEC" w:rsidRPr="002C1CEC">
        <w:rPr>
          <w:spacing w:val="-3"/>
          <w:sz w:val="26"/>
          <w:szCs w:val="26"/>
        </w:rPr>
        <w:t xml:space="preserve">there is no provision in Pennsylvania law to allow a customer to opt-out </w:t>
      </w:r>
      <w:r w:rsidR="006152D1">
        <w:rPr>
          <w:spacing w:val="-3"/>
          <w:sz w:val="26"/>
          <w:szCs w:val="26"/>
        </w:rPr>
        <w:t>of</w:t>
      </w:r>
      <w:r w:rsidR="00FA5C0D">
        <w:rPr>
          <w:spacing w:val="-3"/>
          <w:sz w:val="26"/>
          <w:szCs w:val="26"/>
        </w:rPr>
        <w:t xml:space="preserve"> </w:t>
      </w:r>
      <w:r w:rsidR="002C1CEC" w:rsidRPr="002C1CEC">
        <w:rPr>
          <w:spacing w:val="-3"/>
          <w:sz w:val="26"/>
          <w:szCs w:val="26"/>
        </w:rPr>
        <w:t xml:space="preserve">the installation of an AMI meter, </w:t>
      </w:r>
      <w:r w:rsidR="006152D1">
        <w:rPr>
          <w:spacing w:val="-3"/>
          <w:sz w:val="26"/>
          <w:szCs w:val="26"/>
        </w:rPr>
        <w:t>t</w:t>
      </w:r>
      <w:r w:rsidR="002C4B9A">
        <w:rPr>
          <w:spacing w:val="-3"/>
          <w:sz w:val="26"/>
          <w:szCs w:val="26"/>
        </w:rPr>
        <w:t xml:space="preserve">he ALJ correctly concluded that such </w:t>
      </w:r>
      <w:r w:rsidR="009B2BC2">
        <w:rPr>
          <w:spacing w:val="-3"/>
          <w:sz w:val="26"/>
          <w:szCs w:val="26"/>
        </w:rPr>
        <w:t xml:space="preserve">a request to “opt out” of </w:t>
      </w:r>
      <w:r w:rsidR="006152D1">
        <w:rPr>
          <w:spacing w:val="-3"/>
          <w:sz w:val="26"/>
          <w:szCs w:val="26"/>
        </w:rPr>
        <w:t>a</w:t>
      </w:r>
      <w:r w:rsidR="009B2BC2">
        <w:rPr>
          <w:spacing w:val="-3"/>
          <w:sz w:val="26"/>
          <w:szCs w:val="26"/>
        </w:rPr>
        <w:t xml:space="preserve"> smart meter installation is </w:t>
      </w:r>
      <w:r w:rsidR="002C1CEC" w:rsidRPr="002C1CEC">
        <w:rPr>
          <w:spacing w:val="-3"/>
          <w:sz w:val="26"/>
          <w:szCs w:val="26"/>
        </w:rPr>
        <w:t>outside of the Commission’s jurisdiction and authority.</w:t>
      </w:r>
      <w:r w:rsidR="002C4B9A">
        <w:rPr>
          <w:spacing w:val="-3"/>
          <w:sz w:val="26"/>
          <w:szCs w:val="26"/>
        </w:rPr>
        <w:t xml:space="preserve"> </w:t>
      </w:r>
      <w:r w:rsidR="00E35744">
        <w:rPr>
          <w:spacing w:val="-3"/>
          <w:sz w:val="26"/>
          <w:szCs w:val="26"/>
        </w:rPr>
        <w:t xml:space="preserve"> </w:t>
      </w:r>
      <w:r w:rsidR="002C4B9A" w:rsidRPr="00D704F2">
        <w:rPr>
          <w:i/>
          <w:iCs/>
          <w:spacing w:val="-3"/>
          <w:sz w:val="26"/>
          <w:szCs w:val="26"/>
        </w:rPr>
        <w:t>See</w:t>
      </w:r>
      <w:r w:rsidR="002C4B9A">
        <w:rPr>
          <w:spacing w:val="-3"/>
          <w:sz w:val="26"/>
          <w:szCs w:val="26"/>
        </w:rPr>
        <w:t xml:space="preserve">, </w:t>
      </w:r>
      <w:r w:rsidR="002C4B9A" w:rsidRPr="002C4B9A">
        <w:rPr>
          <w:i/>
          <w:iCs/>
          <w:spacing w:val="-3"/>
          <w:sz w:val="26"/>
          <w:szCs w:val="26"/>
        </w:rPr>
        <w:t>Id</w:t>
      </w:r>
      <w:r w:rsidR="002C4B9A">
        <w:rPr>
          <w:spacing w:val="-3"/>
          <w:sz w:val="26"/>
          <w:szCs w:val="26"/>
        </w:rPr>
        <w:t>., I.D. at 14-16.</w:t>
      </w:r>
    </w:p>
    <w:p w14:paraId="791074FA" w14:textId="77777777" w:rsidR="007F10CB" w:rsidRDefault="007F10CB" w:rsidP="009B2BC2">
      <w:pPr>
        <w:widowControl/>
        <w:spacing w:line="360" w:lineRule="auto"/>
        <w:rPr>
          <w:spacing w:val="-3"/>
          <w:sz w:val="26"/>
          <w:szCs w:val="26"/>
        </w:rPr>
      </w:pPr>
    </w:p>
    <w:p w14:paraId="3B343490" w14:textId="6010B71E" w:rsidR="00554D3B" w:rsidRDefault="00554D3B" w:rsidP="0065514C">
      <w:pPr>
        <w:widowControl/>
        <w:spacing w:line="360" w:lineRule="auto"/>
        <w:ind w:firstLine="1440"/>
        <w:rPr>
          <w:spacing w:val="-3"/>
          <w:sz w:val="26"/>
          <w:szCs w:val="26"/>
        </w:rPr>
      </w:pPr>
      <w:r>
        <w:rPr>
          <w:spacing w:val="-3"/>
          <w:sz w:val="26"/>
          <w:szCs w:val="26"/>
        </w:rPr>
        <w:t xml:space="preserve">Turning to the Complainant’s Exceptions </w:t>
      </w:r>
      <w:r w:rsidR="00993C2E">
        <w:rPr>
          <w:spacing w:val="-3"/>
          <w:sz w:val="26"/>
          <w:szCs w:val="26"/>
        </w:rPr>
        <w:t xml:space="preserve">Nos. </w:t>
      </w:r>
      <w:r>
        <w:rPr>
          <w:spacing w:val="-3"/>
          <w:sz w:val="26"/>
          <w:szCs w:val="26"/>
        </w:rPr>
        <w:t>1-25, we find that the Complainant fail</w:t>
      </w:r>
      <w:r w:rsidR="008518BF">
        <w:rPr>
          <w:spacing w:val="-3"/>
          <w:sz w:val="26"/>
          <w:szCs w:val="26"/>
        </w:rPr>
        <w:t>ed</w:t>
      </w:r>
      <w:r>
        <w:rPr>
          <w:spacing w:val="-3"/>
          <w:sz w:val="26"/>
          <w:szCs w:val="26"/>
        </w:rPr>
        <w:t xml:space="preserve"> to assert any basis upon which to overturn the ALJ’s Findings of Facts and Conclusions of Law</w:t>
      </w:r>
      <w:r w:rsidR="008518BF">
        <w:rPr>
          <w:spacing w:val="-3"/>
          <w:sz w:val="26"/>
          <w:szCs w:val="26"/>
        </w:rPr>
        <w:t>.</w:t>
      </w:r>
      <w:r>
        <w:rPr>
          <w:spacing w:val="-3"/>
          <w:sz w:val="26"/>
          <w:szCs w:val="26"/>
        </w:rPr>
        <w:t xml:space="preserve"> </w:t>
      </w:r>
      <w:r w:rsidR="008518BF">
        <w:rPr>
          <w:spacing w:val="-3"/>
          <w:sz w:val="26"/>
          <w:szCs w:val="26"/>
        </w:rPr>
        <w:t xml:space="preserve"> A</w:t>
      </w:r>
      <w:r>
        <w:rPr>
          <w:spacing w:val="-3"/>
          <w:sz w:val="26"/>
          <w:szCs w:val="26"/>
        </w:rPr>
        <w:t>ccordingly</w:t>
      </w:r>
      <w:r w:rsidR="008518BF">
        <w:rPr>
          <w:spacing w:val="-3"/>
          <w:sz w:val="26"/>
          <w:szCs w:val="26"/>
        </w:rPr>
        <w:t>,</w:t>
      </w:r>
      <w:r>
        <w:rPr>
          <w:spacing w:val="-3"/>
          <w:sz w:val="26"/>
          <w:szCs w:val="26"/>
        </w:rPr>
        <w:t xml:space="preserve"> we shall deny the Exceptions</w:t>
      </w:r>
      <w:r w:rsidR="00993C2E">
        <w:rPr>
          <w:spacing w:val="-3"/>
          <w:sz w:val="26"/>
          <w:szCs w:val="26"/>
        </w:rPr>
        <w:t>, consistent with the discussions below</w:t>
      </w:r>
      <w:r>
        <w:rPr>
          <w:spacing w:val="-3"/>
          <w:sz w:val="26"/>
          <w:szCs w:val="26"/>
        </w:rPr>
        <w:t>.</w:t>
      </w:r>
    </w:p>
    <w:p w14:paraId="5CD14EEE" w14:textId="77777777" w:rsidR="00554D3B" w:rsidRPr="00054291" w:rsidRDefault="00554D3B" w:rsidP="00D704F2">
      <w:pPr>
        <w:keepNext/>
        <w:keepLines/>
        <w:widowControl/>
        <w:spacing w:line="360" w:lineRule="auto"/>
        <w:rPr>
          <w:spacing w:val="-3"/>
          <w:sz w:val="26"/>
          <w:szCs w:val="26"/>
          <w:u w:val="single"/>
        </w:rPr>
      </w:pPr>
      <w:r w:rsidRPr="00054291">
        <w:rPr>
          <w:spacing w:val="-3"/>
          <w:sz w:val="26"/>
          <w:szCs w:val="26"/>
          <w:u w:val="single"/>
        </w:rPr>
        <w:lastRenderedPageBreak/>
        <w:t xml:space="preserve">Claim </w:t>
      </w:r>
      <w:r w:rsidR="00054291">
        <w:rPr>
          <w:spacing w:val="-3"/>
          <w:sz w:val="26"/>
          <w:szCs w:val="26"/>
          <w:u w:val="single"/>
        </w:rPr>
        <w:t xml:space="preserve">Based on Harm to </w:t>
      </w:r>
      <w:r w:rsidR="00F15B64">
        <w:rPr>
          <w:spacing w:val="-3"/>
          <w:sz w:val="26"/>
          <w:szCs w:val="26"/>
          <w:u w:val="single"/>
        </w:rPr>
        <w:t xml:space="preserve">the </w:t>
      </w:r>
      <w:r w:rsidR="00054291">
        <w:rPr>
          <w:spacing w:val="-3"/>
          <w:sz w:val="26"/>
          <w:szCs w:val="26"/>
          <w:u w:val="single"/>
        </w:rPr>
        <w:t>Complainant’s H</w:t>
      </w:r>
      <w:r w:rsidRPr="00054291">
        <w:rPr>
          <w:spacing w:val="-3"/>
          <w:sz w:val="26"/>
          <w:szCs w:val="26"/>
          <w:u w:val="single"/>
        </w:rPr>
        <w:t xml:space="preserve">ealth </w:t>
      </w:r>
      <w:r w:rsidR="00054291">
        <w:rPr>
          <w:spacing w:val="-3"/>
          <w:sz w:val="26"/>
          <w:szCs w:val="26"/>
          <w:u w:val="single"/>
        </w:rPr>
        <w:t>and Safety</w:t>
      </w:r>
      <w:r w:rsidRPr="00054291">
        <w:rPr>
          <w:spacing w:val="-3"/>
          <w:sz w:val="26"/>
          <w:szCs w:val="26"/>
          <w:u w:val="single"/>
        </w:rPr>
        <w:t xml:space="preserve"> </w:t>
      </w:r>
    </w:p>
    <w:p w14:paraId="64CDD966" w14:textId="77777777" w:rsidR="00554D3B" w:rsidRDefault="00554D3B" w:rsidP="00D704F2">
      <w:pPr>
        <w:keepNext/>
        <w:keepLines/>
        <w:widowControl/>
        <w:spacing w:line="360" w:lineRule="auto"/>
        <w:rPr>
          <w:spacing w:val="-3"/>
          <w:sz w:val="26"/>
          <w:szCs w:val="26"/>
        </w:rPr>
      </w:pPr>
    </w:p>
    <w:p w14:paraId="481A0F32" w14:textId="118D2BE7" w:rsidR="00C77D29" w:rsidRDefault="006152D1" w:rsidP="004B62EF">
      <w:pPr>
        <w:widowControl/>
        <w:spacing w:line="360" w:lineRule="auto"/>
        <w:ind w:firstLine="1440"/>
        <w:rPr>
          <w:sz w:val="26"/>
          <w:szCs w:val="26"/>
        </w:rPr>
      </w:pPr>
      <w:r>
        <w:rPr>
          <w:sz w:val="26"/>
          <w:szCs w:val="26"/>
        </w:rPr>
        <w:t>I</w:t>
      </w:r>
      <w:r w:rsidR="00C77D29">
        <w:rPr>
          <w:sz w:val="26"/>
          <w:szCs w:val="26"/>
        </w:rPr>
        <w:t xml:space="preserve">n order to overcome the ALJ’s conclusion that the Complainant failed to offer </w:t>
      </w:r>
      <w:r w:rsidR="00C77D29" w:rsidRPr="004B62EF">
        <w:rPr>
          <w:i/>
          <w:iCs/>
          <w:sz w:val="26"/>
          <w:szCs w:val="26"/>
        </w:rPr>
        <w:t>any</w:t>
      </w:r>
      <w:r w:rsidR="00C77D29">
        <w:rPr>
          <w:sz w:val="26"/>
          <w:szCs w:val="26"/>
        </w:rPr>
        <w:t xml:space="preserve"> corroborative medical evidence to support a finding that PPL’s installation of a smart meter would cause the Complainant’s health to suffer negative effects</w:t>
      </w:r>
      <w:r>
        <w:rPr>
          <w:sz w:val="26"/>
          <w:szCs w:val="26"/>
        </w:rPr>
        <w:t xml:space="preserve"> on Exception</w:t>
      </w:r>
      <w:r w:rsidR="00C77D29">
        <w:rPr>
          <w:sz w:val="26"/>
          <w:szCs w:val="26"/>
        </w:rPr>
        <w:t xml:space="preserve">, the Complainant must, at a minimum, point to a credible medical </w:t>
      </w:r>
      <w:r w:rsidR="001479B9">
        <w:rPr>
          <w:sz w:val="26"/>
          <w:szCs w:val="26"/>
        </w:rPr>
        <w:t xml:space="preserve">or technical </w:t>
      </w:r>
      <w:r w:rsidR="00C77D29">
        <w:rPr>
          <w:sz w:val="26"/>
          <w:szCs w:val="26"/>
        </w:rPr>
        <w:t xml:space="preserve">basis on the record which the ALJ failed to acknowledge, or some factual or legal error in the ALJ’s conclusion that the Complainant failed to make a </w:t>
      </w:r>
      <w:r w:rsidR="00C77D29" w:rsidRPr="004B62EF">
        <w:rPr>
          <w:i/>
          <w:iCs/>
          <w:sz w:val="26"/>
          <w:szCs w:val="26"/>
        </w:rPr>
        <w:t>prima faci</w:t>
      </w:r>
      <w:r w:rsidR="00E823D0">
        <w:rPr>
          <w:i/>
          <w:iCs/>
          <w:sz w:val="26"/>
          <w:szCs w:val="26"/>
        </w:rPr>
        <w:t>e</w:t>
      </w:r>
      <w:r w:rsidR="00C77D29">
        <w:rPr>
          <w:sz w:val="26"/>
          <w:szCs w:val="26"/>
        </w:rPr>
        <w:t xml:space="preserve"> claim for unreasonable service.  However, o</w:t>
      </w:r>
      <w:r w:rsidR="00CA68E5">
        <w:rPr>
          <w:sz w:val="26"/>
          <w:szCs w:val="26"/>
        </w:rPr>
        <w:t xml:space="preserve">n Exceptions, </w:t>
      </w:r>
      <w:r w:rsidR="00C77D29">
        <w:rPr>
          <w:sz w:val="26"/>
          <w:szCs w:val="26"/>
        </w:rPr>
        <w:t xml:space="preserve">rather than assert that credible medical </w:t>
      </w:r>
      <w:r w:rsidR="001479B9">
        <w:rPr>
          <w:sz w:val="26"/>
          <w:szCs w:val="26"/>
        </w:rPr>
        <w:t xml:space="preserve">or technical </w:t>
      </w:r>
      <w:r w:rsidR="00C77D29">
        <w:rPr>
          <w:sz w:val="26"/>
          <w:szCs w:val="26"/>
        </w:rPr>
        <w:t xml:space="preserve">evidence exists on the record to support the claim, or that the ALJ erred as a material factual or legal matter, </w:t>
      </w:r>
      <w:r w:rsidR="00CA68E5">
        <w:rPr>
          <w:sz w:val="26"/>
          <w:szCs w:val="26"/>
        </w:rPr>
        <w:t xml:space="preserve">the Complainant </w:t>
      </w:r>
      <w:r w:rsidR="00C77D29">
        <w:rPr>
          <w:sz w:val="26"/>
          <w:szCs w:val="26"/>
        </w:rPr>
        <w:t xml:space="preserve">offers </w:t>
      </w:r>
      <w:r w:rsidR="00DF42C1">
        <w:rPr>
          <w:sz w:val="26"/>
          <w:szCs w:val="26"/>
        </w:rPr>
        <w:t xml:space="preserve">proposed “clarifications” for certain findings reached by </w:t>
      </w:r>
      <w:r w:rsidR="002646F1">
        <w:rPr>
          <w:sz w:val="26"/>
          <w:szCs w:val="26"/>
        </w:rPr>
        <w:t>the</w:t>
      </w:r>
      <w:r w:rsidR="00C77D29">
        <w:rPr>
          <w:sz w:val="26"/>
          <w:szCs w:val="26"/>
        </w:rPr>
        <w:t xml:space="preserve"> ALJ, with</w:t>
      </w:r>
      <w:r w:rsidR="00DF42C1">
        <w:rPr>
          <w:sz w:val="26"/>
          <w:szCs w:val="26"/>
        </w:rPr>
        <w:t>out providing any rational for reversal of the ALJ’s conclusions.</w:t>
      </w:r>
      <w:r w:rsidR="00C77D29">
        <w:rPr>
          <w:sz w:val="26"/>
          <w:szCs w:val="26"/>
        </w:rPr>
        <w:t xml:space="preserve">  </w:t>
      </w:r>
      <w:r w:rsidR="00C77D29" w:rsidRPr="00E823D0">
        <w:rPr>
          <w:i/>
          <w:iCs/>
          <w:sz w:val="26"/>
          <w:szCs w:val="26"/>
        </w:rPr>
        <w:t>See</w:t>
      </w:r>
      <w:r w:rsidR="00C77D29">
        <w:rPr>
          <w:sz w:val="26"/>
          <w:szCs w:val="26"/>
        </w:rPr>
        <w:t>,</w:t>
      </w:r>
      <w:r w:rsidR="002646F1">
        <w:rPr>
          <w:sz w:val="26"/>
          <w:szCs w:val="26"/>
        </w:rPr>
        <w:t xml:space="preserve"> </w:t>
      </w:r>
      <w:r w:rsidR="00C77D29">
        <w:rPr>
          <w:sz w:val="26"/>
          <w:szCs w:val="26"/>
        </w:rPr>
        <w:t>Exceptions</w:t>
      </w:r>
      <w:r w:rsidR="002646F1">
        <w:rPr>
          <w:sz w:val="26"/>
          <w:szCs w:val="26"/>
        </w:rPr>
        <w:t xml:space="preserve"> </w:t>
      </w:r>
      <w:r w:rsidR="00E823D0">
        <w:rPr>
          <w:sz w:val="26"/>
          <w:szCs w:val="26"/>
        </w:rPr>
        <w:t xml:space="preserve">Nos. </w:t>
      </w:r>
      <w:r w:rsidR="002646F1">
        <w:rPr>
          <w:sz w:val="26"/>
          <w:szCs w:val="26"/>
        </w:rPr>
        <w:t>1-25.</w:t>
      </w:r>
    </w:p>
    <w:p w14:paraId="2AC5D5A5" w14:textId="77777777" w:rsidR="00C77D29" w:rsidRDefault="00C77D29" w:rsidP="004B62EF">
      <w:pPr>
        <w:widowControl/>
        <w:spacing w:line="360" w:lineRule="auto"/>
        <w:ind w:firstLine="1440"/>
        <w:rPr>
          <w:sz w:val="26"/>
          <w:szCs w:val="26"/>
        </w:rPr>
      </w:pPr>
    </w:p>
    <w:p w14:paraId="02A1E4AD" w14:textId="1079C873" w:rsidR="001479B9" w:rsidRDefault="00DF42C1" w:rsidP="004B62EF">
      <w:pPr>
        <w:widowControl/>
        <w:spacing w:line="360" w:lineRule="auto"/>
        <w:ind w:firstLine="1440"/>
        <w:rPr>
          <w:sz w:val="26"/>
          <w:szCs w:val="26"/>
        </w:rPr>
      </w:pPr>
      <w:r>
        <w:rPr>
          <w:sz w:val="26"/>
          <w:szCs w:val="26"/>
        </w:rPr>
        <w:t>W</w:t>
      </w:r>
      <w:r w:rsidR="00C77D29">
        <w:rPr>
          <w:sz w:val="26"/>
          <w:szCs w:val="26"/>
        </w:rPr>
        <w:t>e</w:t>
      </w:r>
      <w:r w:rsidR="002646F1">
        <w:rPr>
          <w:sz w:val="26"/>
          <w:szCs w:val="26"/>
        </w:rPr>
        <w:t xml:space="preserve"> can infer from the Exceptions that the Complainant disputes the factual findings as “incomplete” and</w:t>
      </w:r>
      <w:r w:rsidR="008518BF">
        <w:rPr>
          <w:sz w:val="26"/>
          <w:szCs w:val="26"/>
        </w:rPr>
        <w:t>,</w:t>
      </w:r>
      <w:r w:rsidR="002646F1">
        <w:rPr>
          <w:sz w:val="26"/>
          <w:szCs w:val="26"/>
        </w:rPr>
        <w:t xml:space="preserve"> </w:t>
      </w:r>
      <w:r w:rsidR="006152D1">
        <w:rPr>
          <w:sz w:val="26"/>
          <w:szCs w:val="26"/>
        </w:rPr>
        <w:t>thus</w:t>
      </w:r>
      <w:r w:rsidR="002646F1">
        <w:rPr>
          <w:sz w:val="26"/>
          <w:szCs w:val="26"/>
        </w:rPr>
        <w:t>, requiring clarification</w:t>
      </w:r>
      <w:r>
        <w:rPr>
          <w:sz w:val="26"/>
          <w:szCs w:val="26"/>
        </w:rPr>
        <w:t>.  However</w:t>
      </w:r>
      <w:r w:rsidR="002646F1">
        <w:rPr>
          <w:sz w:val="26"/>
          <w:szCs w:val="26"/>
        </w:rPr>
        <w:t xml:space="preserve">, we cannot </w:t>
      </w:r>
      <w:r>
        <w:rPr>
          <w:sz w:val="26"/>
          <w:szCs w:val="26"/>
        </w:rPr>
        <w:t>infer</w:t>
      </w:r>
      <w:r w:rsidR="002646F1">
        <w:rPr>
          <w:sz w:val="26"/>
          <w:szCs w:val="26"/>
        </w:rPr>
        <w:t xml:space="preserve"> any discernable factual or legal argument from the Exceptions,</w:t>
      </w:r>
      <w:r>
        <w:rPr>
          <w:sz w:val="26"/>
          <w:szCs w:val="26"/>
        </w:rPr>
        <w:t xml:space="preserve"> as stated, </w:t>
      </w:r>
      <w:r w:rsidR="002646F1">
        <w:rPr>
          <w:sz w:val="26"/>
          <w:szCs w:val="26"/>
        </w:rPr>
        <w:t xml:space="preserve">which would support the reversal of the ALJ’s </w:t>
      </w:r>
      <w:r w:rsidR="001479B9">
        <w:rPr>
          <w:sz w:val="26"/>
          <w:szCs w:val="26"/>
        </w:rPr>
        <w:t xml:space="preserve">medical and technical </w:t>
      </w:r>
      <w:r w:rsidR="002646F1">
        <w:rPr>
          <w:sz w:val="26"/>
          <w:szCs w:val="26"/>
        </w:rPr>
        <w:t>finding</w:t>
      </w:r>
      <w:r w:rsidR="001479B9">
        <w:rPr>
          <w:sz w:val="26"/>
          <w:szCs w:val="26"/>
        </w:rPr>
        <w:t>s</w:t>
      </w:r>
      <w:r w:rsidR="002646F1">
        <w:rPr>
          <w:sz w:val="26"/>
          <w:szCs w:val="26"/>
        </w:rPr>
        <w:t xml:space="preserve"> </w:t>
      </w:r>
      <w:r w:rsidR="008518BF">
        <w:rPr>
          <w:sz w:val="26"/>
          <w:szCs w:val="26"/>
        </w:rPr>
        <w:t xml:space="preserve">to support the ALJ’s conclusion </w:t>
      </w:r>
      <w:r w:rsidR="002646F1">
        <w:rPr>
          <w:sz w:val="26"/>
          <w:szCs w:val="26"/>
        </w:rPr>
        <w:t xml:space="preserve">that the Complainant failed to establish a </w:t>
      </w:r>
      <w:r w:rsidR="002646F1" w:rsidRPr="002646F1">
        <w:rPr>
          <w:i/>
          <w:iCs/>
          <w:sz w:val="26"/>
          <w:szCs w:val="26"/>
        </w:rPr>
        <w:t>prima faci</w:t>
      </w:r>
      <w:r w:rsidR="00E823D0">
        <w:rPr>
          <w:i/>
          <w:iCs/>
          <w:sz w:val="26"/>
          <w:szCs w:val="26"/>
        </w:rPr>
        <w:t>e</w:t>
      </w:r>
      <w:r w:rsidR="002646F1">
        <w:rPr>
          <w:sz w:val="26"/>
          <w:szCs w:val="26"/>
        </w:rPr>
        <w:t xml:space="preserve"> claim for unreasonable </w:t>
      </w:r>
      <w:r w:rsidR="008518BF">
        <w:rPr>
          <w:sz w:val="26"/>
          <w:szCs w:val="26"/>
        </w:rPr>
        <w:t xml:space="preserve">or unsafe </w:t>
      </w:r>
      <w:r w:rsidR="002646F1">
        <w:rPr>
          <w:sz w:val="26"/>
          <w:szCs w:val="26"/>
        </w:rPr>
        <w:t xml:space="preserve">service based on harm to </w:t>
      </w:r>
      <w:r w:rsidR="00F15B64">
        <w:rPr>
          <w:sz w:val="26"/>
          <w:szCs w:val="26"/>
        </w:rPr>
        <w:t xml:space="preserve">the </w:t>
      </w:r>
      <w:r w:rsidR="002646F1">
        <w:rPr>
          <w:sz w:val="26"/>
          <w:szCs w:val="26"/>
        </w:rPr>
        <w:t xml:space="preserve">Complainant’s health and safety caused by PPL’s installation of smart meter.  </w:t>
      </w:r>
      <w:r w:rsidR="0009621E">
        <w:rPr>
          <w:sz w:val="26"/>
          <w:szCs w:val="26"/>
        </w:rPr>
        <w:t xml:space="preserve">Where the </w:t>
      </w:r>
      <w:r>
        <w:rPr>
          <w:sz w:val="26"/>
          <w:szCs w:val="26"/>
        </w:rPr>
        <w:t>AL</w:t>
      </w:r>
      <w:r w:rsidR="0009621E">
        <w:rPr>
          <w:sz w:val="26"/>
          <w:szCs w:val="26"/>
        </w:rPr>
        <w:t xml:space="preserve">J </w:t>
      </w:r>
      <w:r w:rsidR="00B500BA">
        <w:rPr>
          <w:sz w:val="26"/>
          <w:szCs w:val="26"/>
        </w:rPr>
        <w:t xml:space="preserve">has </w:t>
      </w:r>
      <w:r w:rsidR="0009621E">
        <w:rPr>
          <w:sz w:val="26"/>
          <w:szCs w:val="26"/>
        </w:rPr>
        <w:t xml:space="preserve">concluded </w:t>
      </w:r>
      <w:r w:rsidR="00B500BA">
        <w:rPr>
          <w:sz w:val="26"/>
          <w:szCs w:val="26"/>
        </w:rPr>
        <w:t xml:space="preserve">that </w:t>
      </w:r>
      <w:r w:rsidR="0009621E">
        <w:rPr>
          <w:sz w:val="26"/>
          <w:szCs w:val="26"/>
        </w:rPr>
        <w:t xml:space="preserve">the Complainant failed to satisfy the </w:t>
      </w:r>
      <w:r w:rsidR="0009621E" w:rsidRPr="0009621E">
        <w:rPr>
          <w:i/>
          <w:iCs/>
          <w:sz w:val="26"/>
          <w:szCs w:val="26"/>
        </w:rPr>
        <w:t>prima faci</w:t>
      </w:r>
      <w:r w:rsidR="002C4B9A">
        <w:rPr>
          <w:i/>
          <w:iCs/>
          <w:sz w:val="26"/>
          <w:szCs w:val="26"/>
        </w:rPr>
        <w:t>e</w:t>
      </w:r>
      <w:r w:rsidR="0009621E">
        <w:rPr>
          <w:sz w:val="26"/>
          <w:szCs w:val="26"/>
        </w:rPr>
        <w:t xml:space="preserve"> burden of proof, the burden of proof will not shift to the </w:t>
      </w:r>
      <w:r w:rsidR="00B500BA">
        <w:rPr>
          <w:sz w:val="26"/>
          <w:szCs w:val="26"/>
        </w:rPr>
        <w:t>Respondent</w:t>
      </w:r>
      <w:r w:rsidR="0009621E">
        <w:rPr>
          <w:sz w:val="26"/>
          <w:szCs w:val="26"/>
        </w:rPr>
        <w:t xml:space="preserve">, unless, on Exception, the Complainant establishes that sufficient evidence of record exists to support the claim. </w:t>
      </w:r>
      <w:r w:rsidR="007E4C92">
        <w:rPr>
          <w:sz w:val="26"/>
          <w:szCs w:val="26"/>
        </w:rPr>
        <w:t xml:space="preserve"> </w:t>
      </w:r>
      <w:r w:rsidR="002C4B9A" w:rsidRPr="002C4B9A">
        <w:rPr>
          <w:i/>
          <w:iCs/>
          <w:sz w:val="26"/>
          <w:szCs w:val="26"/>
        </w:rPr>
        <w:t>See, MacDonald v. Pa. R.R. Co.</w:t>
      </w:r>
      <w:r w:rsidR="002C4B9A">
        <w:rPr>
          <w:sz w:val="26"/>
          <w:szCs w:val="26"/>
        </w:rPr>
        <w:t>, 348 Pa. 558, 36 A.2d 492(1944).</w:t>
      </w:r>
    </w:p>
    <w:p w14:paraId="17CE6A23" w14:textId="77777777" w:rsidR="001479B9" w:rsidRDefault="001479B9" w:rsidP="004B62EF">
      <w:pPr>
        <w:widowControl/>
        <w:spacing w:line="360" w:lineRule="auto"/>
        <w:ind w:firstLine="1440"/>
        <w:rPr>
          <w:sz w:val="26"/>
          <w:szCs w:val="26"/>
        </w:rPr>
      </w:pPr>
    </w:p>
    <w:p w14:paraId="64CA776A" w14:textId="3F6AAE33" w:rsidR="00DF42C1" w:rsidRDefault="001479B9" w:rsidP="004B62EF">
      <w:pPr>
        <w:widowControl/>
        <w:spacing w:line="360" w:lineRule="auto"/>
        <w:ind w:firstLine="1440"/>
        <w:rPr>
          <w:sz w:val="26"/>
          <w:szCs w:val="26"/>
        </w:rPr>
      </w:pPr>
      <w:r>
        <w:rPr>
          <w:sz w:val="26"/>
          <w:szCs w:val="26"/>
        </w:rPr>
        <w:t xml:space="preserve">With respect to the medical evidence </w:t>
      </w:r>
      <w:r w:rsidR="00DF42C1">
        <w:rPr>
          <w:sz w:val="26"/>
          <w:szCs w:val="26"/>
        </w:rPr>
        <w:t xml:space="preserve">to overcome </w:t>
      </w:r>
      <w:r w:rsidR="0009621E">
        <w:rPr>
          <w:sz w:val="26"/>
          <w:szCs w:val="26"/>
        </w:rPr>
        <w:t xml:space="preserve">the ALJ’s </w:t>
      </w:r>
      <w:r w:rsidR="00DF42C1">
        <w:rPr>
          <w:sz w:val="26"/>
          <w:szCs w:val="26"/>
        </w:rPr>
        <w:t xml:space="preserve">finding that </w:t>
      </w:r>
      <w:r w:rsidR="00820ED7">
        <w:rPr>
          <w:sz w:val="26"/>
          <w:szCs w:val="26"/>
        </w:rPr>
        <w:t xml:space="preserve">there is insufficient medical evidence to support </w:t>
      </w:r>
      <w:r w:rsidR="00DF42C1">
        <w:rPr>
          <w:sz w:val="26"/>
          <w:szCs w:val="26"/>
        </w:rPr>
        <w:t>the claim</w:t>
      </w:r>
      <w:r w:rsidR="00820ED7" w:rsidRPr="00820ED7">
        <w:rPr>
          <w:sz w:val="26"/>
          <w:szCs w:val="26"/>
        </w:rPr>
        <w:t xml:space="preserve"> </w:t>
      </w:r>
      <w:r w:rsidR="00820ED7">
        <w:rPr>
          <w:sz w:val="26"/>
          <w:szCs w:val="26"/>
        </w:rPr>
        <w:t>based on negative health effect caused by the smart meter</w:t>
      </w:r>
      <w:r w:rsidR="00DF42C1">
        <w:rPr>
          <w:sz w:val="26"/>
          <w:szCs w:val="26"/>
        </w:rPr>
        <w:t xml:space="preserve">, the Complainant must, at a minimum, point to medical </w:t>
      </w:r>
      <w:r w:rsidR="00DF42C1">
        <w:rPr>
          <w:sz w:val="26"/>
          <w:szCs w:val="26"/>
        </w:rPr>
        <w:lastRenderedPageBreak/>
        <w:t>evidence of record which supports the claim.  In the present case, however, the Complainant fails to assert any medical evidence of record which supports the claim that PPL’</w:t>
      </w:r>
      <w:r w:rsidR="008518BF">
        <w:rPr>
          <w:sz w:val="26"/>
          <w:szCs w:val="26"/>
        </w:rPr>
        <w:t>s</w:t>
      </w:r>
      <w:r w:rsidR="00DF42C1">
        <w:rPr>
          <w:sz w:val="26"/>
          <w:szCs w:val="26"/>
        </w:rPr>
        <w:t xml:space="preserve"> installation of a smart meter will negatively impact </w:t>
      </w:r>
      <w:r w:rsidR="008518BF">
        <w:rPr>
          <w:sz w:val="26"/>
          <w:szCs w:val="26"/>
        </w:rPr>
        <w:t xml:space="preserve">the </w:t>
      </w:r>
      <w:r w:rsidR="00DF42C1">
        <w:rPr>
          <w:sz w:val="26"/>
          <w:szCs w:val="26"/>
        </w:rPr>
        <w:t xml:space="preserve">Complainant’s health.  Instead, </w:t>
      </w:r>
      <w:r>
        <w:rPr>
          <w:sz w:val="26"/>
          <w:szCs w:val="26"/>
        </w:rPr>
        <w:t>t</w:t>
      </w:r>
      <w:r w:rsidR="002646F1">
        <w:rPr>
          <w:sz w:val="26"/>
          <w:szCs w:val="26"/>
        </w:rPr>
        <w:t xml:space="preserve">he Complainant generally disputes the </w:t>
      </w:r>
      <w:r w:rsidR="00C14721">
        <w:rPr>
          <w:sz w:val="26"/>
          <w:szCs w:val="26"/>
        </w:rPr>
        <w:t xml:space="preserve">ALJ’s </w:t>
      </w:r>
      <w:r w:rsidR="002646F1">
        <w:rPr>
          <w:sz w:val="26"/>
          <w:szCs w:val="26"/>
        </w:rPr>
        <w:t xml:space="preserve">findings </w:t>
      </w:r>
      <w:r w:rsidR="00C14721">
        <w:rPr>
          <w:sz w:val="26"/>
          <w:szCs w:val="26"/>
        </w:rPr>
        <w:t xml:space="preserve">and </w:t>
      </w:r>
      <w:r w:rsidR="00DF42C1">
        <w:rPr>
          <w:sz w:val="26"/>
          <w:szCs w:val="26"/>
        </w:rPr>
        <w:t xml:space="preserve">proposes certain </w:t>
      </w:r>
      <w:r w:rsidR="00C14721">
        <w:rPr>
          <w:sz w:val="26"/>
          <w:szCs w:val="26"/>
        </w:rPr>
        <w:t>clar</w:t>
      </w:r>
      <w:r w:rsidR="00DF42C1">
        <w:rPr>
          <w:sz w:val="26"/>
          <w:szCs w:val="26"/>
        </w:rPr>
        <w:t>i</w:t>
      </w:r>
      <w:r w:rsidR="00C14721">
        <w:rPr>
          <w:sz w:val="26"/>
          <w:szCs w:val="26"/>
        </w:rPr>
        <w:t xml:space="preserve">fications </w:t>
      </w:r>
      <w:r w:rsidR="002646F1">
        <w:rPr>
          <w:sz w:val="26"/>
          <w:szCs w:val="26"/>
        </w:rPr>
        <w:t xml:space="preserve">related to the </w:t>
      </w:r>
      <w:r w:rsidR="00CA68E5">
        <w:rPr>
          <w:sz w:val="26"/>
          <w:szCs w:val="26"/>
        </w:rPr>
        <w:t xml:space="preserve">medical </w:t>
      </w:r>
      <w:r w:rsidR="00C77D29">
        <w:rPr>
          <w:sz w:val="26"/>
          <w:szCs w:val="26"/>
        </w:rPr>
        <w:t xml:space="preserve">opinion </w:t>
      </w:r>
      <w:r w:rsidR="00CA68E5">
        <w:rPr>
          <w:sz w:val="26"/>
          <w:szCs w:val="26"/>
        </w:rPr>
        <w:t>testimony of PPL’s witness</w:t>
      </w:r>
      <w:r w:rsidR="00DF42C1">
        <w:rPr>
          <w:sz w:val="26"/>
          <w:szCs w:val="26"/>
        </w:rPr>
        <w:t>,</w:t>
      </w:r>
      <w:r w:rsidR="00081036">
        <w:rPr>
          <w:sz w:val="26"/>
          <w:szCs w:val="26"/>
        </w:rPr>
        <w:t xml:space="preserve"> without explaining how the proposed clarification supports reversal of the ALJ’s conclusion that </w:t>
      </w:r>
      <w:r w:rsidR="00F15B64">
        <w:rPr>
          <w:sz w:val="26"/>
          <w:szCs w:val="26"/>
        </w:rPr>
        <w:t xml:space="preserve">the </w:t>
      </w:r>
      <w:r w:rsidR="00081036">
        <w:rPr>
          <w:sz w:val="26"/>
          <w:szCs w:val="26"/>
        </w:rPr>
        <w:t xml:space="preserve">Complainant’s allegation lacks sufficient evidence.  </w:t>
      </w:r>
    </w:p>
    <w:p w14:paraId="4653FEEA" w14:textId="77777777" w:rsidR="00081036" w:rsidRDefault="00081036" w:rsidP="004B62EF">
      <w:pPr>
        <w:widowControl/>
        <w:spacing w:line="360" w:lineRule="auto"/>
        <w:ind w:firstLine="1440"/>
        <w:rPr>
          <w:sz w:val="26"/>
          <w:szCs w:val="26"/>
        </w:rPr>
      </w:pPr>
    </w:p>
    <w:p w14:paraId="1F6735F2" w14:textId="76910BF7" w:rsidR="000F00B7" w:rsidRDefault="00081036" w:rsidP="004B62EF">
      <w:pPr>
        <w:widowControl/>
        <w:spacing w:line="360" w:lineRule="auto"/>
        <w:ind w:firstLine="1440"/>
        <w:rPr>
          <w:sz w:val="26"/>
          <w:szCs w:val="26"/>
        </w:rPr>
      </w:pPr>
      <w:r>
        <w:rPr>
          <w:sz w:val="26"/>
          <w:szCs w:val="26"/>
        </w:rPr>
        <w:t xml:space="preserve">For example, </w:t>
      </w:r>
      <w:r w:rsidR="000F00B7">
        <w:rPr>
          <w:sz w:val="26"/>
          <w:szCs w:val="26"/>
        </w:rPr>
        <w:t xml:space="preserve">regarding </w:t>
      </w:r>
      <w:r>
        <w:rPr>
          <w:sz w:val="26"/>
          <w:szCs w:val="26"/>
        </w:rPr>
        <w:t xml:space="preserve">the </w:t>
      </w:r>
      <w:r w:rsidR="000F00B7">
        <w:rPr>
          <w:sz w:val="26"/>
          <w:szCs w:val="26"/>
        </w:rPr>
        <w:t xml:space="preserve">ALJ’s </w:t>
      </w:r>
      <w:r>
        <w:rPr>
          <w:sz w:val="26"/>
          <w:szCs w:val="26"/>
        </w:rPr>
        <w:t xml:space="preserve">factual finding </w:t>
      </w:r>
      <w:r w:rsidR="000F00B7">
        <w:rPr>
          <w:sz w:val="26"/>
          <w:szCs w:val="26"/>
        </w:rPr>
        <w:t xml:space="preserve">based on </w:t>
      </w:r>
      <w:r>
        <w:rPr>
          <w:sz w:val="26"/>
          <w:szCs w:val="26"/>
        </w:rPr>
        <w:t xml:space="preserve">PPL’s witness’ medical testimony, that the idiopathy of the medical condition </w:t>
      </w:r>
      <w:r w:rsidR="000F00B7">
        <w:rPr>
          <w:sz w:val="26"/>
          <w:szCs w:val="26"/>
        </w:rPr>
        <w:t xml:space="preserve">from which </w:t>
      </w:r>
      <w:r w:rsidR="00F15B64">
        <w:rPr>
          <w:sz w:val="26"/>
          <w:szCs w:val="26"/>
        </w:rPr>
        <w:t xml:space="preserve">the </w:t>
      </w:r>
      <w:r w:rsidR="000F00B7">
        <w:rPr>
          <w:sz w:val="26"/>
          <w:szCs w:val="26"/>
        </w:rPr>
        <w:t xml:space="preserve">Complainant alleges to suffer has no known cause, the Complainant asserts that the lack of a known origin, does not refute that the validity of a disease’s existence. </w:t>
      </w:r>
      <w:r>
        <w:rPr>
          <w:sz w:val="26"/>
          <w:szCs w:val="26"/>
        </w:rPr>
        <w:t xml:space="preserve"> Exc. at 6, </w:t>
      </w:r>
      <w:r w:rsidRPr="00081036">
        <w:rPr>
          <w:i/>
          <w:iCs/>
          <w:sz w:val="26"/>
          <w:szCs w:val="26"/>
        </w:rPr>
        <w:t>citing</w:t>
      </w:r>
      <w:r>
        <w:rPr>
          <w:sz w:val="26"/>
          <w:szCs w:val="26"/>
        </w:rPr>
        <w:t xml:space="preserve"> I.D. at 9.</w:t>
      </w:r>
      <w:r w:rsidR="000F00B7">
        <w:rPr>
          <w:sz w:val="26"/>
          <w:szCs w:val="26"/>
        </w:rPr>
        <w:t xml:space="preserve">  Here, the Complainant’s assertion, even if true, does not refute the material issue of fact, that where the Complainant cannot establish causation between PPL’s installation of the smart meter and the alleged negative health effect, there is insufficient proof to support a claim </w:t>
      </w:r>
      <w:r w:rsidR="008518BF">
        <w:rPr>
          <w:sz w:val="26"/>
          <w:szCs w:val="26"/>
        </w:rPr>
        <w:t>that PPL’s proposed meter installation will violate PPL’s duty to provide safe and</w:t>
      </w:r>
      <w:r w:rsidR="000F00B7">
        <w:rPr>
          <w:sz w:val="26"/>
          <w:szCs w:val="26"/>
        </w:rPr>
        <w:t xml:space="preserve"> reasonable service under Section 1501. </w:t>
      </w:r>
    </w:p>
    <w:p w14:paraId="558D3DB5" w14:textId="77777777" w:rsidR="000F00B7" w:rsidRDefault="000F00B7" w:rsidP="004B62EF">
      <w:pPr>
        <w:widowControl/>
        <w:spacing w:line="360" w:lineRule="auto"/>
        <w:ind w:firstLine="1440"/>
        <w:rPr>
          <w:sz w:val="26"/>
          <w:szCs w:val="26"/>
        </w:rPr>
      </w:pPr>
    </w:p>
    <w:p w14:paraId="26853CD2" w14:textId="6E47BA57" w:rsidR="0009621E" w:rsidRDefault="001479B9" w:rsidP="0009621E">
      <w:pPr>
        <w:widowControl/>
        <w:spacing w:line="360" w:lineRule="auto"/>
        <w:ind w:firstLine="1440"/>
        <w:rPr>
          <w:sz w:val="26"/>
          <w:szCs w:val="26"/>
        </w:rPr>
      </w:pPr>
      <w:r>
        <w:rPr>
          <w:sz w:val="26"/>
          <w:szCs w:val="26"/>
        </w:rPr>
        <w:t>Similarly,</w:t>
      </w:r>
      <w:r w:rsidR="0009621E">
        <w:rPr>
          <w:sz w:val="26"/>
          <w:szCs w:val="26"/>
        </w:rPr>
        <w:t xml:space="preserve"> with respect to the technical evidence</w:t>
      </w:r>
      <w:r w:rsidR="00820ED7">
        <w:rPr>
          <w:sz w:val="26"/>
          <w:szCs w:val="26"/>
        </w:rPr>
        <w:t xml:space="preserve">, </w:t>
      </w:r>
      <w:r w:rsidR="0009621E">
        <w:rPr>
          <w:sz w:val="26"/>
          <w:szCs w:val="26"/>
        </w:rPr>
        <w:t xml:space="preserve">to overcome the ALJ’s finding that </w:t>
      </w:r>
      <w:r w:rsidR="00820ED7">
        <w:rPr>
          <w:sz w:val="26"/>
          <w:szCs w:val="26"/>
        </w:rPr>
        <w:t xml:space="preserve">there is insufficient technical evidence to support </w:t>
      </w:r>
      <w:r w:rsidR="0009621E">
        <w:rPr>
          <w:sz w:val="26"/>
          <w:szCs w:val="26"/>
        </w:rPr>
        <w:t>the claim</w:t>
      </w:r>
      <w:r w:rsidR="00820ED7">
        <w:rPr>
          <w:sz w:val="26"/>
          <w:szCs w:val="26"/>
        </w:rPr>
        <w:t xml:space="preserve"> based on</w:t>
      </w:r>
      <w:r w:rsidR="00820ED7" w:rsidRPr="00820ED7">
        <w:rPr>
          <w:sz w:val="26"/>
          <w:szCs w:val="26"/>
        </w:rPr>
        <w:t xml:space="preserve"> </w:t>
      </w:r>
      <w:r w:rsidR="00820ED7">
        <w:rPr>
          <w:sz w:val="26"/>
          <w:szCs w:val="26"/>
        </w:rPr>
        <w:t xml:space="preserve">safety risk due to RF exposure from a smart meter, </w:t>
      </w:r>
      <w:r w:rsidR="0009621E">
        <w:rPr>
          <w:sz w:val="26"/>
          <w:szCs w:val="26"/>
        </w:rPr>
        <w:t xml:space="preserve">the Complainant must, at a minimum, point to </w:t>
      </w:r>
      <w:r w:rsidR="00820ED7">
        <w:rPr>
          <w:sz w:val="26"/>
          <w:szCs w:val="26"/>
        </w:rPr>
        <w:t xml:space="preserve">technical </w:t>
      </w:r>
      <w:r w:rsidR="0009621E">
        <w:rPr>
          <w:sz w:val="26"/>
          <w:szCs w:val="26"/>
        </w:rPr>
        <w:t xml:space="preserve">evidence of record which supports the claim.  In the present case, however, the Complainant fails to assert any </w:t>
      </w:r>
      <w:r w:rsidR="00820ED7">
        <w:rPr>
          <w:sz w:val="26"/>
          <w:szCs w:val="26"/>
        </w:rPr>
        <w:t xml:space="preserve">technical </w:t>
      </w:r>
      <w:r w:rsidR="0009621E">
        <w:rPr>
          <w:sz w:val="26"/>
          <w:szCs w:val="26"/>
        </w:rPr>
        <w:t xml:space="preserve">evidence of record </w:t>
      </w:r>
      <w:r w:rsidR="002C4B9A">
        <w:rPr>
          <w:sz w:val="26"/>
          <w:szCs w:val="26"/>
        </w:rPr>
        <w:t xml:space="preserve">found credible to </w:t>
      </w:r>
      <w:r w:rsidR="00433D56">
        <w:rPr>
          <w:sz w:val="26"/>
          <w:szCs w:val="26"/>
        </w:rPr>
        <w:t xml:space="preserve">establish </w:t>
      </w:r>
      <w:r w:rsidR="0009621E">
        <w:rPr>
          <w:sz w:val="26"/>
          <w:szCs w:val="26"/>
        </w:rPr>
        <w:t>the claim that PPL’</w:t>
      </w:r>
      <w:r w:rsidR="008518BF">
        <w:rPr>
          <w:sz w:val="26"/>
          <w:szCs w:val="26"/>
        </w:rPr>
        <w:t>s</w:t>
      </w:r>
      <w:r w:rsidR="0009621E">
        <w:rPr>
          <w:sz w:val="26"/>
          <w:szCs w:val="26"/>
        </w:rPr>
        <w:t xml:space="preserve"> installation of a smart meter will </w:t>
      </w:r>
      <w:r w:rsidR="00820ED7">
        <w:rPr>
          <w:sz w:val="26"/>
          <w:szCs w:val="26"/>
        </w:rPr>
        <w:t>pose a safety risk due to RF exposure.</w:t>
      </w:r>
      <w:r w:rsidR="0009621E">
        <w:rPr>
          <w:sz w:val="26"/>
          <w:szCs w:val="26"/>
        </w:rPr>
        <w:t xml:space="preserve"> </w:t>
      </w:r>
      <w:r w:rsidR="008518BF">
        <w:rPr>
          <w:sz w:val="26"/>
          <w:szCs w:val="26"/>
        </w:rPr>
        <w:t xml:space="preserve"> </w:t>
      </w:r>
      <w:r w:rsidR="0009621E">
        <w:rPr>
          <w:sz w:val="26"/>
          <w:szCs w:val="26"/>
        </w:rPr>
        <w:t xml:space="preserve">Instead, the Complainant generally disputes the ALJ’s findings and proposes certain clarifications related to the </w:t>
      </w:r>
      <w:r w:rsidR="00820ED7">
        <w:rPr>
          <w:sz w:val="26"/>
          <w:szCs w:val="26"/>
        </w:rPr>
        <w:t xml:space="preserve">technical expert </w:t>
      </w:r>
      <w:r w:rsidR="0009621E">
        <w:rPr>
          <w:sz w:val="26"/>
          <w:szCs w:val="26"/>
        </w:rPr>
        <w:t>opinion testimony of PPL’s witness, without explaining how the proposed clarification supports reversal of the ALJ’s conclusion that Complainant’s allegation lacks sufficient evidence.</w:t>
      </w:r>
    </w:p>
    <w:p w14:paraId="6A93B3F3" w14:textId="0C7FE6E9" w:rsidR="001479B9" w:rsidRDefault="008E63A1" w:rsidP="008E63A1">
      <w:pPr>
        <w:widowControl/>
        <w:spacing w:line="360" w:lineRule="auto"/>
        <w:ind w:firstLine="1440"/>
        <w:rPr>
          <w:sz w:val="26"/>
          <w:szCs w:val="26"/>
        </w:rPr>
      </w:pPr>
      <w:r>
        <w:rPr>
          <w:sz w:val="26"/>
          <w:szCs w:val="26"/>
        </w:rPr>
        <w:lastRenderedPageBreak/>
        <w:t>Every</w:t>
      </w:r>
      <w:r w:rsidR="00433D56">
        <w:rPr>
          <w:sz w:val="26"/>
          <w:szCs w:val="26"/>
        </w:rPr>
        <w:t xml:space="preserve"> Exception</w:t>
      </w:r>
      <w:r w:rsidR="003A1573">
        <w:rPr>
          <w:sz w:val="26"/>
          <w:szCs w:val="26"/>
        </w:rPr>
        <w:t xml:space="preserve"> of </w:t>
      </w:r>
      <w:r w:rsidR="00F15B64">
        <w:rPr>
          <w:sz w:val="26"/>
          <w:szCs w:val="26"/>
        </w:rPr>
        <w:t xml:space="preserve">the </w:t>
      </w:r>
      <w:r w:rsidR="003A1573">
        <w:rPr>
          <w:sz w:val="26"/>
          <w:szCs w:val="26"/>
        </w:rPr>
        <w:t>Complainant,</w:t>
      </w:r>
      <w:r w:rsidR="00433D56">
        <w:rPr>
          <w:sz w:val="26"/>
          <w:szCs w:val="26"/>
        </w:rPr>
        <w:t xml:space="preserve"> Nos. 1-25, which could arguably be asserted as “clarification” challenging the expert testimony of PPL’s technical witnesses, </w:t>
      </w:r>
      <w:r>
        <w:rPr>
          <w:sz w:val="26"/>
          <w:szCs w:val="26"/>
        </w:rPr>
        <w:t>were not rejected by the ALJ’s proper application of the Pennsylvania Rules of Evidence in administrative proceedings.  First, the Complainant made</w:t>
      </w:r>
      <w:r w:rsidR="00433D56">
        <w:rPr>
          <w:sz w:val="26"/>
          <w:szCs w:val="26"/>
        </w:rPr>
        <w:t xml:space="preserve"> references to articles</w:t>
      </w:r>
      <w:r>
        <w:rPr>
          <w:sz w:val="26"/>
          <w:szCs w:val="26"/>
        </w:rPr>
        <w:t xml:space="preserve"> to support his claims</w:t>
      </w:r>
      <w:r w:rsidR="00433D56">
        <w:rPr>
          <w:sz w:val="26"/>
          <w:szCs w:val="26"/>
        </w:rPr>
        <w:t>, which the ALJ correctly gave no weight</w:t>
      </w:r>
      <w:r>
        <w:rPr>
          <w:sz w:val="26"/>
          <w:szCs w:val="26"/>
        </w:rPr>
        <w:t xml:space="preserve"> in her Initial Decision.  The articles</w:t>
      </w:r>
      <w:r w:rsidRPr="008E63A1">
        <w:rPr>
          <w:sz w:val="26"/>
          <w:szCs w:val="26"/>
        </w:rPr>
        <w:t xml:space="preserve"> constitute hearsay (out of court statements made by the authors of the documents that were offered by the Complainant to prove the truth of the matter asserted in the documents), and do not fall within one of the recognized exceptions to the rule against hearsay.  </w:t>
      </w:r>
      <w:r w:rsidRPr="008E63A1">
        <w:rPr>
          <w:i/>
          <w:sz w:val="26"/>
          <w:szCs w:val="26"/>
        </w:rPr>
        <w:t>See</w:t>
      </w:r>
      <w:r w:rsidRPr="008E63A1">
        <w:rPr>
          <w:sz w:val="26"/>
          <w:szCs w:val="26"/>
        </w:rPr>
        <w:t xml:space="preserve"> Pa. R.E. 801, 802, 803, 803.1, and 804.  </w:t>
      </w:r>
      <w:r>
        <w:rPr>
          <w:sz w:val="26"/>
          <w:szCs w:val="26"/>
        </w:rPr>
        <w:t xml:space="preserve">PPL objected to the admission of these articles.  </w:t>
      </w:r>
      <w:r w:rsidRPr="008E63A1">
        <w:rPr>
          <w:sz w:val="26"/>
          <w:szCs w:val="26"/>
        </w:rPr>
        <w:t xml:space="preserve">Nevertheless, even if these articles/opinions had been admitted into evidence without </w:t>
      </w:r>
      <w:r>
        <w:rPr>
          <w:sz w:val="26"/>
          <w:szCs w:val="26"/>
        </w:rPr>
        <w:t>PPL</w:t>
      </w:r>
      <w:r w:rsidRPr="008E63A1">
        <w:rPr>
          <w:sz w:val="26"/>
          <w:szCs w:val="26"/>
        </w:rPr>
        <w:t xml:space="preserve"> objection, </w:t>
      </w:r>
      <w:r w:rsidRPr="008E63A1">
        <w:rPr>
          <w:rFonts w:eastAsiaTheme="minorHAnsi"/>
          <w:sz w:val="26"/>
          <w:szCs w:val="26"/>
        </w:rPr>
        <w:t xml:space="preserve">the </w:t>
      </w:r>
      <w:r>
        <w:rPr>
          <w:rFonts w:eastAsiaTheme="minorHAnsi"/>
          <w:sz w:val="26"/>
          <w:szCs w:val="26"/>
        </w:rPr>
        <w:t>articles</w:t>
      </w:r>
      <w:r w:rsidRPr="008E63A1">
        <w:rPr>
          <w:rFonts w:eastAsiaTheme="minorHAnsi"/>
          <w:sz w:val="26"/>
          <w:szCs w:val="26"/>
        </w:rPr>
        <w:t xml:space="preserve"> would have been insufficient to support a finding of fact in this proceeding pursuant</w:t>
      </w:r>
      <w:r w:rsidRPr="008E63A1">
        <w:rPr>
          <w:sz w:val="26"/>
          <w:szCs w:val="26"/>
        </w:rPr>
        <w:t xml:space="preserve"> to the </w:t>
      </w:r>
      <w:r w:rsidRPr="008E63A1">
        <w:rPr>
          <w:i/>
          <w:sz w:val="26"/>
          <w:szCs w:val="26"/>
        </w:rPr>
        <w:t>Walker/Chapman</w:t>
      </w:r>
      <w:r w:rsidRPr="008E63A1">
        <w:rPr>
          <w:sz w:val="26"/>
          <w:szCs w:val="26"/>
        </w:rPr>
        <w:t xml:space="preserve"> rule</w:t>
      </w:r>
      <w:r w:rsidRPr="008E63A1">
        <w:rPr>
          <w:sz w:val="26"/>
          <w:szCs w:val="26"/>
          <w:vertAlign w:val="superscript"/>
        </w:rPr>
        <w:footnoteReference w:id="3"/>
      </w:r>
      <w:r w:rsidRPr="008E63A1">
        <w:rPr>
          <w:sz w:val="26"/>
          <w:szCs w:val="26"/>
        </w:rPr>
        <w:t xml:space="preserve"> </w:t>
      </w:r>
      <w:r w:rsidRPr="008E63A1">
        <w:rPr>
          <w:rFonts w:eastAsiaTheme="minorHAnsi"/>
          <w:sz w:val="26"/>
          <w:szCs w:val="26"/>
        </w:rPr>
        <w:t xml:space="preserve">because </w:t>
      </w:r>
      <w:r>
        <w:rPr>
          <w:rFonts w:eastAsiaTheme="minorHAnsi"/>
          <w:sz w:val="26"/>
          <w:szCs w:val="26"/>
        </w:rPr>
        <w:t>the Complainant</w:t>
      </w:r>
      <w:r w:rsidRPr="008E63A1">
        <w:rPr>
          <w:rFonts w:eastAsiaTheme="minorHAnsi"/>
          <w:sz w:val="26"/>
          <w:szCs w:val="26"/>
        </w:rPr>
        <w:t xml:space="preserve"> did not present any </w:t>
      </w:r>
      <w:r w:rsidRPr="008E63A1">
        <w:rPr>
          <w:sz w:val="26"/>
          <w:szCs w:val="26"/>
        </w:rPr>
        <w:t>other non-hearsay, competent evidence to corroborate the documents.</w:t>
      </w:r>
      <w:r>
        <w:rPr>
          <w:sz w:val="26"/>
          <w:szCs w:val="26"/>
        </w:rPr>
        <w:t xml:space="preserve">  Second, the Complainant offered his opinion testimony based on such articles.  However, such </w:t>
      </w:r>
      <w:r w:rsidR="00433D56">
        <w:rPr>
          <w:sz w:val="26"/>
          <w:szCs w:val="26"/>
        </w:rPr>
        <w:t xml:space="preserve">assertions by the Complainant were </w:t>
      </w:r>
      <w:r>
        <w:rPr>
          <w:sz w:val="26"/>
          <w:szCs w:val="26"/>
        </w:rPr>
        <w:t xml:space="preserve">properly </w:t>
      </w:r>
      <w:r w:rsidR="00433D56">
        <w:rPr>
          <w:sz w:val="26"/>
          <w:szCs w:val="26"/>
        </w:rPr>
        <w:t xml:space="preserve">given no weight </w:t>
      </w:r>
      <w:r>
        <w:rPr>
          <w:sz w:val="26"/>
          <w:szCs w:val="26"/>
        </w:rPr>
        <w:t>by</w:t>
      </w:r>
      <w:r w:rsidR="00433D56">
        <w:rPr>
          <w:sz w:val="26"/>
          <w:szCs w:val="26"/>
        </w:rPr>
        <w:t xml:space="preserve"> the ALJ </w:t>
      </w:r>
      <w:r>
        <w:rPr>
          <w:sz w:val="26"/>
          <w:szCs w:val="26"/>
        </w:rPr>
        <w:t xml:space="preserve">in her Initial Decision, </w:t>
      </w:r>
      <w:r w:rsidR="00433D56">
        <w:rPr>
          <w:sz w:val="26"/>
          <w:szCs w:val="26"/>
        </w:rPr>
        <w:t xml:space="preserve">as the Complainant </w:t>
      </w:r>
      <w:r>
        <w:rPr>
          <w:sz w:val="26"/>
          <w:szCs w:val="26"/>
        </w:rPr>
        <w:t xml:space="preserve">was </w:t>
      </w:r>
      <w:r w:rsidR="00433D56">
        <w:rPr>
          <w:sz w:val="26"/>
          <w:szCs w:val="26"/>
        </w:rPr>
        <w:t xml:space="preserve">not qualified as an expert in any relevant technical or medical field. </w:t>
      </w:r>
      <w:r w:rsidR="00433D56" w:rsidRPr="003A1573">
        <w:rPr>
          <w:i/>
          <w:iCs/>
          <w:sz w:val="26"/>
          <w:szCs w:val="26"/>
        </w:rPr>
        <w:t>See</w:t>
      </w:r>
      <w:r w:rsidR="00433D56">
        <w:rPr>
          <w:sz w:val="26"/>
          <w:szCs w:val="26"/>
        </w:rPr>
        <w:t xml:space="preserve">, Exc. at 1-11; I.D. at 20 and 23 </w:t>
      </w:r>
      <w:r w:rsidR="008518BF">
        <w:rPr>
          <w:sz w:val="26"/>
          <w:szCs w:val="26"/>
        </w:rPr>
        <w:t>(</w:t>
      </w:r>
      <w:r w:rsidR="00433D56" w:rsidRPr="003A1573">
        <w:rPr>
          <w:i/>
          <w:iCs/>
          <w:sz w:val="26"/>
          <w:szCs w:val="26"/>
        </w:rPr>
        <w:t>citing</w:t>
      </w:r>
      <w:r w:rsidR="003A1573">
        <w:rPr>
          <w:sz w:val="26"/>
          <w:szCs w:val="26"/>
        </w:rPr>
        <w:t xml:space="preserve">, </w:t>
      </w:r>
      <w:r w:rsidR="003A1573" w:rsidRPr="003A1573">
        <w:rPr>
          <w:i/>
          <w:iCs/>
          <w:sz w:val="26"/>
          <w:szCs w:val="26"/>
        </w:rPr>
        <w:t>Walker</w:t>
      </w:r>
      <w:r w:rsidR="003A1573">
        <w:rPr>
          <w:sz w:val="26"/>
          <w:szCs w:val="26"/>
        </w:rPr>
        <w:t xml:space="preserve">, 367 A.2d </w:t>
      </w:r>
      <w:r>
        <w:rPr>
          <w:sz w:val="26"/>
          <w:szCs w:val="26"/>
        </w:rPr>
        <w:t>at</w:t>
      </w:r>
      <w:r w:rsidR="003A1573">
        <w:rPr>
          <w:sz w:val="26"/>
          <w:szCs w:val="26"/>
        </w:rPr>
        <w:t xml:space="preserve"> 370 and</w:t>
      </w:r>
      <w:r w:rsidR="008518BF">
        <w:rPr>
          <w:sz w:val="26"/>
          <w:szCs w:val="26"/>
        </w:rPr>
        <w:t xml:space="preserve"> </w:t>
      </w:r>
      <w:r w:rsidR="008518BF" w:rsidRPr="008518BF">
        <w:rPr>
          <w:i/>
          <w:iCs/>
          <w:sz w:val="26"/>
          <w:szCs w:val="26"/>
        </w:rPr>
        <w:t>2019</w:t>
      </w:r>
      <w:r w:rsidR="003A1573" w:rsidRPr="008518BF">
        <w:rPr>
          <w:i/>
          <w:iCs/>
          <w:sz w:val="26"/>
          <w:szCs w:val="26"/>
        </w:rPr>
        <w:t xml:space="preserve"> </w:t>
      </w:r>
      <w:proofErr w:type="spellStart"/>
      <w:r w:rsidR="003A1573" w:rsidRPr="003A1573">
        <w:rPr>
          <w:i/>
          <w:iCs/>
          <w:sz w:val="26"/>
          <w:szCs w:val="26"/>
        </w:rPr>
        <w:t>Povacz</w:t>
      </w:r>
      <w:proofErr w:type="spellEnd"/>
      <w:r w:rsidR="008518BF">
        <w:rPr>
          <w:i/>
          <w:iCs/>
          <w:sz w:val="26"/>
          <w:szCs w:val="26"/>
        </w:rPr>
        <w:t xml:space="preserve"> Order</w:t>
      </w:r>
      <w:r w:rsidR="008518BF">
        <w:rPr>
          <w:sz w:val="26"/>
          <w:szCs w:val="26"/>
        </w:rPr>
        <w:t>)</w:t>
      </w:r>
      <w:r>
        <w:rPr>
          <w:sz w:val="26"/>
          <w:szCs w:val="26"/>
        </w:rPr>
        <w:t xml:space="preserve">; </w:t>
      </w:r>
      <w:r w:rsidRPr="008E63A1">
        <w:rPr>
          <w:i/>
          <w:iCs/>
          <w:sz w:val="26"/>
          <w:szCs w:val="26"/>
        </w:rPr>
        <w:t>see also</w:t>
      </w:r>
      <w:r>
        <w:rPr>
          <w:sz w:val="26"/>
          <w:szCs w:val="26"/>
        </w:rPr>
        <w:t xml:space="preserve"> Pa. R.E. 701 and 702.</w:t>
      </w:r>
      <w:r w:rsidR="003A1573" w:rsidRPr="003A1573">
        <w:rPr>
          <w:i/>
          <w:iCs/>
          <w:sz w:val="26"/>
          <w:szCs w:val="26"/>
        </w:rPr>
        <w:t xml:space="preserve"> </w:t>
      </w:r>
    </w:p>
    <w:p w14:paraId="3F6B4F8A" w14:textId="77777777" w:rsidR="00820ED7" w:rsidRDefault="00820ED7" w:rsidP="004B62EF">
      <w:pPr>
        <w:widowControl/>
        <w:spacing w:line="360" w:lineRule="auto"/>
        <w:ind w:firstLine="1440"/>
        <w:rPr>
          <w:sz w:val="26"/>
          <w:szCs w:val="26"/>
        </w:rPr>
      </w:pPr>
    </w:p>
    <w:p w14:paraId="12D727F1" w14:textId="3AFAF32A" w:rsidR="00CA68E5" w:rsidRDefault="00362F0F" w:rsidP="004B62EF">
      <w:pPr>
        <w:widowControl/>
        <w:spacing w:line="360" w:lineRule="auto"/>
        <w:ind w:firstLine="1440"/>
        <w:rPr>
          <w:sz w:val="26"/>
          <w:szCs w:val="26"/>
        </w:rPr>
      </w:pPr>
      <w:r>
        <w:rPr>
          <w:sz w:val="26"/>
          <w:szCs w:val="26"/>
        </w:rPr>
        <w:t>Generally, w</w:t>
      </w:r>
      <w:r w:rsidR="00F0088A">
        <w:rPr>
          <w:sz w:val="26"/>
          <w:szCs w:val="26"/>
        </w:rPr>
        <w:t>e are unpersuaded by t</w:t>
      </w:r>
      <w:r w:rsidR="001479B9">
        <w:rPr>
          <w:sz w:val="26"/>
          <w:szCs w:val="26"/>
        </w:rPr>
        <w:t xml:space="preserve">he Complainant’s Exceptions </w:t>
      </w:r>
      <w:r w:rsidR="00F0088A">
        <w:rPr>
          <w:sz w:val="26"/>
          <w:szCs w:val="26"/>
        </w:rPr>
        <w:t xml:space="preserve">which </w:t>
      </w:r>
      <w:r w:rsidR="001479B9">
        <w:rPr>
          <w:sz w:val="26"/>
          <w:szCs w:val="26"/>
        </w:rPr>
        <w:t>fail to refute t</w:t>
      </w:r>
      <w:r w:rsidR="000F00B7">
        <w:rPr>
          <w:sz w:val="26"/>
          <w:szCs w:val="26"/>
        </w:rPr>
        <w:t xml:space="preserve">he material factual and legal findings which formed the basis of the ALJ’s conclusion that the </w:t>
      </w:r>
      <w:r w:rsidR="00CA68E5">
        <w:rPr>
          <w:sz w:val="26"/>
          <w:szCs w:val="26"/>
        </w:rPr>
        <w:t>Complainant</w:t>
      </w:r>
      <w:r w:rsidR="000F00B7">
        <w:rPr>
          <w:sz w:val="26"/>
          <w:szCs w:val="26"/>
        </w:rPr>
        <w:t xml:space="preserve"> offered insufficient proof to establish a claim for </w:t>
      </w:r>
      <w:r w:rsidR="00F15B64">
        <w:rPr>
          <w:sz w:val="26"/>
          <w:szCs w:val="26"/>
        </w:rPr>
        <w:t xml:space="preserve">unsafe or </w:t>
      </w:r>
      <w:r w:rsidR="000F00B7">
        <w:rPr>
          <w:sz w:val="26"/>
          <w:szCs w:val="26"/>
        </w:rPr>
        <w:t>unreason</w:t>
      </w:r>
      <w:r w:rsidR="001479B9">
        <w:rPr>
          <w:sz w:val="26"/>
          <w:szCs w:val="26"/>
        </w:rPr>
        <w:t>able service based on claim</w:t>
      </w:r>
      <w:r w:rsidR="00820ED7">
        <w:rPr>
          <w:sz w:val="26"/>
          <w:szCs w:val="26"/>
        </w:rPr>
        <w:t>s</w:t>
      </w:r>
      <w:r w:rsidR="001479B9">
        <w:rPr>
          <w:sz w:val="26"/>
          <w:szCs w:val="26"/>
        </w:rPr>
        <w:t xml:space="preserve"> that PPL’s installation of a smart meter </w:t>
      </w:r>
      <w:r w:rsidR="00CA68E5">
        <w:rPr>
          <w:sz w:val="26"/>
          <w:szCs w:val="26"/>
        </w:rPr>
        <w:t xml:space="preserve">would </w:t>
      </w:r>
      <w:r w:rsidR="001479B9">
        <w:rPr>
          <w:sz w:val="26"/>
          <w:szCs w:val="26"/>
        </w:rPr>
        <w:t xml:space="preserve">cause </w:t>
      </w:r>
      <w:r w:rsidR="00CA68E5">
        <w:rPr>
          <w:sz w:val="26"/>
          <w:szCs w:val="26"/>
        </w:rPr>
        <w:t>negative effects</w:t>
      </w:r>
      <w:r w:rsidR="001479B9">
        <w:rPr>
          <w:sz w:val="26"/>
          <w:szCs w:val="26"/>
        </w:rPr>
        <w:t xml:space="preserve"> to Complainant’s health and safety.</w:t>
      </w:r>
      <w:r w:rsidR="00F0088A">
        <w:rPr>
          <w:sz w:val="26"/>
          <w:szCs w:val="26"/>
        </w:rPr>
        <w:t xml:space="preserve">  We agree with PPL’s position, </w:t>
      </w:r>
      <w:r w:rsidR="00F0088A">
        <w:rPr>
          <w:sz w:val="26"/>
          <w:szCs w:val="26"/>
        </w:rPr>
        <w:lastRenderedPageBreak/>
        <w:t xml:space="preserve">as asserted in </w:t>
      </w:r>
      <w:r w:rsidR="006152D1">
        <w:rPr>
          <w:sz w:val="26"/>
          <w:szCs w:val="26"/>
        </w:rPr>
        <w:t>its</w:t>
      </w:r>
      <w:r w:rsidR="00F0088A">
        <w:rPr>
          <w:sz w:val="26"/>
          <w:szCs w:val="26"/>
        </w:rPr>
        <w:t xml:space="preserve"> Reply Exceptions, that the ALJ’s findings regarding Complainant’s claims based on health and safety are supported by substantial evidence and should be adopted.</w:t>
      </w:r>
    </w:p>
    <w:p w14:paraId="632414FA" w14:textId="77777777" w:rsidR="00E823D0" w:rsidRDefault="00E823D0" w:rsidP="004B62EF">
      <w:pPr>
        <w:widowControl/>
        <w:spacing w:line="360" w:lineRule="auto"/>
        <w:ind w:firstLine="1440"/>
        <w:rPr>
          <w:sz w:val="26"/>
          <w:szCs w:val="26"/>
        </w:rPr>
      </w:pPr>
    </w:p>
    <w:p w14:paraId="7A459F25" w14:textId="4744E53C" w:rsidR="00C77D29" w:rsidRPr="003A1573" w:rsidRDefault="00820ED7" w:rsidP="007E4C92">
      <w:pPr>
        <w:widowControl/>
        <w:spacing w:line="360" w:lineRule="auto"/>
        <w:ind w:firstLine="1440"/>
        <w:rPr>
          <w:sz w:val="26"/>
          <w:szCs w:val="26"/>
        </w:rPr>
      </w:pPr>
      <w:r>
        <w:rPr>
          <w:spacing w:val="-3"/>
          <w:sz w:val="26"/>
          <w:szCs w:val="26"/>
        </w:rPr>
        <w:t>W</w:t>
      </w:r>
      <w:r w:rsidR="00C77D29">
        <w:rPr>
          <w:sz w:val="26"/>
          <w:szCs w:val="26"/>
        </w:rPr>
        <w:t xml:space="preserve">e </w:t>
      </w:r>
      <w:r w:rsidR="00E823D0">
        <w:rPr>
          <w:sz w:val="26"/>
          <w:szCs w:val="26"/>
        </w:rPr>
        <w:t xml:space="preserve">find that the </w:t>
      </w:r>
      <w:r w:rsidR="00C77D29">
        <w:rPr>
          <w:sz w:val="26"/>
          <w:szCs w:val="26"/>
        </w:rPr>
        <w:t xml:space="preserve">ALJ </w:t>
      </w:r>
      <w:r w:rsidR="00E823D0">
        <w:rPr>
          <w:sz w:val="26"/>
          <w:szCs w:val="26"/>
        </w:rPr>
        <w:t xml:space="preserve">properly concluded </w:t>
      </w:r>
      <w:r w:rsidR="00C77D29" w:rsidRPr="0068357D">
        <w:rPr>
          <w:sz w:val="26"/>
          <w:szCs w:val="26"/>
        </w:rPr>
        <w:t xml:space="preserve">that the Complainant </w:t>
      </w:r>
      <w:r w:rsidR="00C77D29">
        <w:rPr>
          <w:sz w:val="26"/>
          <w:szCs w:val="26"/>
        </w:rPr>
        <w:t>failed to</w:t>
      </w:r>
      <w:r w:rsidR="00C77D29" w:rsidRPr="0068357D">
        <w:rPr>
          <w:sz w:val="26"/>
          <w:szCs w:val="26"/>
        </w:rPr>
        <w:t xml:space="preserve"> make a </w:t>
      </w:r>
      <w:r w:rsidR="00C77D29" w:rsidRPr="0068357D">
        <w:rPr>
          <w:i/>
          <w:iCs/>
          <w:sz w:val="26"/>
          <w:szCs w:val="26"/>
        </w:rPr>
        <w:t xml:space="preserve">prima facie </w:t>
      </w:r>
      <w:r w:rsidR="00C77D29" w:rsidRPr="0068357D">
        <w:rPr>
          <w:sz w:val="26"/>
          <w:szCs w:val="26"/>
        </w:rPr>
        <w:t xml:space="preserve">case </w:t>
      </w:r>
      <w:r>
        <w:rPr>
          <w:sz w:val="26"/>
          <w:szCs w:val="26"/>
        </w:rPr>
        <w:t xml:space="preserve">based on medical or technical evidence </w:t>
      </w:r>
      <w:r w:rsidR="00C77D29" w:rsidRPr="0068357D">
        <w:rPr>
          <w:sz w:val="26"/>
          <w:szCs w:val="26"/>
        </w:rPr>
        <w:t xml:space="preserve">that </w:t>
      </w:r>
      <w:r w:rsidR="00C77D29">
        <w:rPr>
          <w:sz w:val="26"/>
          <w:szCs w:val="26"/>
        </w:rPr>
        <w:t xml:space="preserve">installation of a </w:t>
      </w:r>
      <w:r w:rsidR="00C77D29" w:rsidRPr="0068357D">
        <w:rPr>
          <w:sz w:val="26"/>
          <w:szCs w:val="26"/>
        </w:rPr>
        <w:t xml:space="preserve">smart meter </w:t>
      </w:r>
      <w:r w:rsidR="00C77D29">
        <w:rPr>
          <w:sz w:val="26"/>
          <w:szCs w:val="26"/>
        </w:rPr>
        <w:t xml:space="preserve">causes </w:t>
      </w:r>
      <w:r w:rsidR="00F15B64">
        <w:rPr>
          <w:sz w:val="26"/>
          <w:szCs w:val="26"/>
        </w:rPr>
        <w:t xml:space="preserve">adverse </w:t>
      </w:r>
      <w:r>
        <w:rPr>
          <w:sz w:val="26"/>
          <w:szCs w:val="26"/>
        </w:rPr>
        <w:t xml:space="preserve">effects to the Complainant’s </w:t>
      </w:r>
      <w:r w:rsidR="00C77D29">
        <w:rPr>
          <w:sz w:val="26"/>
          <w:szCs w:val="26"/>
        </w:rPr>
        <w:t>health and safety</w:t>
      </w:r>
      <w:r>
        <w:rPr>
          <w:sz w:val="26"/>
          <w:szCs w:val="26"/>
        </w:rPr>
        <w:t xml:space="preserve">.  Therefore, we find that the ALJ properly </w:t>
      </w:r>
      <w:r w:rsidR="00F0088A">
        <w:rPr>
          <w:sz w:val="26"/>
          <w:szCs w:val="26"/>
        </w:rPr>
        <w:t>found</w:t>
      </w:r>
      <w:r>
        <w:rPr>
          <w:sz w:val="26"/>
          <w:szCs w:val="26"/>
        </w:rPr>
        <w:t xml:space="preserve"> that the </w:t>
      </w:r>
      <w:r>
        <w:rPr>
          <w:spacing w:val="-3"/>
          <w:sz w:val="26"/>
          <w:szCs w:val="26"/>
        </w:rPr>
        <w:t>Complainant’s claims for unreasonable service based on health and safety concerns due to PPL’s plan to install a smart meter at the service address should be dismissed</w:t>
      </w:r>
      <w:r w:rsidR="00C77D29" w:rsidRPr="0068357D">
        <w:rPr>
          <w:sz w:val="26"/>
          <w:szCs w:val="26"/>
        </w:rPr>
        <w:t xml:space="preserve">. </w:t>
      </w:r>
      <w:r w:rsidR="00C77D29" w:rsidRPr="003A1573">
        <w:rPr>
          <w:sz w:val="26"/>
          <w:szCs w:val="26"/>
        </w:rPr>
        <w:t xml:space="preserve">I.D. at </w:t>
      </w:r>
      <w:r w:rsidR="003A1573" w:rsidRPr="003A1573">
        <w:rPr>
          <w:sz w:val="26"/>
          <w:szCs w:val="26"/>
        </w:rPr>
        <w:t>24-25.</w:t>
      </w:r>
    </w:p>
    <w:p w14:paraId="5BF756F6" w14:textId="77777777" w:rsidR="00554D3B" w:rsidRDefault="00554D3B" w:rsidP="009B2BC2">
      <w:pPr>
        <w:widowControl/>
        <w:spacing w:line="360" w:lineRule="auto"/>
        <w:rPr>
          <w:sz w:val="26"/>
          <w:szCs w:val="26"/>
          <w:highlight w:val="yellow"/>
        </w:rPr>
      </w:pPr>
    </w:p>
    <w:p w14:paraId="3ACFF369" w14:textId="383FEFD7" w:rsidR="00054291" w:rsidRPr="00054291" w:rsidRDefault="0065514C" w:rsidP="00D704F2">
      <w:pPr>
        <w:keepNext/>
        <w:keepLines/>
        <w:widowControl/>
        <w:spacing w:line="360" w:lineRule="auto"/>
        <w:rPr>
          <w:spacing w:val="-3"/>
          <w:sz w:val="26"/>
          <w:szCs w:val="26"/>
          <w:u w:val="single"/>
        </w:rPr>
      </w:pPr>
      <w:r>
        <w:rPr>
          <w:spacing w:val="-3"/>
          <w:sz w:val="26"/>
          <w:szCs w:val="26"/>
          <w:u w:val="single"/>
        </w:rPr>
        <w:t>Claim R</w:t>
      </w:r>
      <w:r w:rsidR="00054291" w:rsidRPr="00054291">
        <w:rPr>
          <w:spacing w:val="-3"/>
          <w:sz w:val="26"/>
          <w:szCs w:val="26"/>
          <w:u w:val="single"/>
        </w:rPr>
        <w:t>egarding</w:t>
      </w:r>
      <w:r w:rsidR="00054291">
        <w:rPr>
          <w:spacing w:val="-3"/>
          <w:sz w:val="26"/>
          <w:szCs w:val="26"/>
          <w:u w:val="single"/>
        </w:rPr>
        <w:t xml:space="preserve"> </w:t>
      </w:r>
      <w:r>
        <w:rPr>
          <w:spacing w:val="-3"/>
          <w:sz w:val="26"/>
          <w:szCs w:val="26"/>
          <w:u w:val="single"/>
        </w:rPr>
        <w:t>C</w:t>
      </w:r>
      <w:r w:rsidR="00054291" w:rsidRPr="00054291">
        <w:rPr>
          <w:spacing w:val="-3"/>
          <w:sz w:val="26"/>
          <w:szCs w:val="26"/>
          <w:u w:val="single"/>
        </w:rPr>
        <w:t>ybersecurity</w:t>
      </w:r>
      <w:r w:rsidR="003A1573">
        <w:rPr>
          <w:spacing w:val="-3"/>
          <w:sz w:val="26"/>
          <w:szCs w:val="26"/>
          <w:u w:val="single"/>
        </w:rPr>
        <w:t xml:space="preserve"> </w:t>
      </w:r>
      <w:r>
        <w:rPr>
          <w:spacing w:val="-3"/>
          <w:sz w:val="26"/>
          <w:szCs w:val="26"/>
          <w:u w:val="single"/>
        </w:rPr>
        <w:t>R</w:t>
      </w:r>
      <w:r w:rsidR="003A1573">
        <w:rPr>
          <w:spacing w:val="-3"/>
          <w:sz w:val="26"/>
          <w:szCs w:val="26"/>
          <w:u w:val="single"/>
        </w:rPr>
        <w:t>isk</w:t>
      </w:r>
      <w:r>
        <w:rPr>
          <w:spacing w:val="-3"/>
          <w:sz w:val="26"/>
          <w:szCs w:val="26"/>
          <w:u w:val="single"/>
        </w:rPr>
        <w:t xml:space="preserve"> and Violation of P</w:t>
      </w:r>
      <w:r w:rsidR="00054291" w:rsidRPr="00054291">
        <w:rPr>
          <w:spacing w:val="-3"/>
          <w:sz w:val="26"/>
          <w:szCs w:val="26"/>
          <w:u w:val="single"/>
        </w:rPr>
        <w:t>rivacy</w:t>
      </w:r>
    </w:p>
    <w:p w14:paraId="56B9C707" w14:textId="77777777" w:rsidR="00054291" w:rsidRDefault="00054291" w:rsidP="00D704F2">
      <w:pPr>
        <w:keepNext/>
        <w:keepLines/>
        <w:widowControl/>
        <w:spacing w:line="360" w:lineRule="auto"/>
        <w:rPr>
          <w:spacing w:val="-3"/>
          <w:sz w:val="26"/>
          <w:szCs w:val="26"/>
        </w:rPr>
      </w:pPr>
    </w:p>
    <w:p w14:paraId="3015471D" w14:textId="6212EDC1" w:rsidR="00054291" w:rsidRPr="007F10CB" w:rsidRDefault="00A51F1B" w:rsidP="00054291">
      <w:pPr>
        <w:widowControl/>
        <w:spacing w:line="360" w:lineRule="auto"/>
        <w:ind w:firstLine="1440"/>
        <w:rPr>
          <w:sz w:val="26"/>
          <w:szCs w:val="26"/>
        </w:rPr>
      </w:pPr>
      <w:r>
        <w:rPr>
          <w:spacing w:val="-3"/>
          <w:sz w:val="26"/>
          <w:szCs w:val="26"/>
        </w:rPr>
        <w:t xml:space="preserve">Although the Complainant’s </w:t>
      </w:r>
      <w:r w:rsidR="0065514C">
        <w:rPr>
          <w:spacing w:val="-3"/>
          <w:sz w:val="26"/>
          <w:szCs w:val="26"/>
        </w:rPr>
        <w:t xml:space="preserve">Exceptions did not address his </w:t>
      </w:r>
      <w:r w:rsidR="00054291">
        <w:rPr>
          <w:spacing w:val="-3"/>
          <w:sz w:val="26"/>
          <w:szCs w:val="26"/>
        </w:rPr>
        <w:t xml:space="preserve">claims for unreasonable service </w:t>
      </w:r>
      <w:r w:rsidR="00F0088A">
        <w:rPr>
          <w:spacing w:val="-3"/>
          <w:sz w:val="26"/>
          <w:szCs w:val="26"/>
        </w:rPr>
        <w:t xml:space="preserve">based on </w:t>
      </w:r>
      <w:r w:rsidR="00F0088A" w:rsidRPr="00F0088A">
        <w:rPr>
          <w:spacing w:val="-3"/>
          <w:sz w:val="26"/>
          <w:szCs w:val="26"/>
        </w:rPr>
        <w:t>cybersecurity</w:t>
      </w:r>
      <w:r w:rsidR="003A1573">
        <w:rPr>
          <w:spacing w:val="-3"/>
          <w:sz w:val="26"/>
          <w:szCs w:val="26"/>
        </w:rPr>
        <w:t xml:space="preserve"> risk</w:t>
      </w:r>
      <w:r w:rsidR="00F0088A" w:rsidRPr="00F0088A">
        <w:rPr>
          <w:spacing w:val="-3"/>
          <w:sz w:val="26"/>
          <w:szCs w:val="26"/>
        </w:rPr>
        <w:t xml:space="preserve"> and violation of privacy</w:t>
      </w:r>
      <w:r w:rsidR="00F0088A">
        <w:rPr>
          <w:spacing w:val="-3"/>
          <w:sz w:val="26"/>
          <w:szCs w:val="26"/>
        </w:rPr>
        <w:t xml:space="preserve"> </w:t>
      </w:r>
      <w:r w:rsidR="00054291">
        <w:rPr>
          <w:spacing w:val="-3"/>
          <w:sz w:val="26"/>
          <w:szCs w:val="26"/>
        </w:rPr>
        <w:t>due to PPL’s plan to install a smart meter at the service address,</w:t>
      </w:r>
      <w:r w:rsidR="00054291">
        <w:rPr>
          <w:sz w:val="26"/>
          <w:szCs w:val="26"/>
        </w:rPr>
        <w:t xml:space="preserve"> </w:t>
      </w:r>
      <w:r>
        <w:rPr>
          <w:sz w:val="26"/>
          <w:szCs w:val="26"/>
        </w:rPr>
        <w:t xml:space="preserve">for the sake of completeness, </w:t>
      </w:r>
      <w:r w:rsidR="00054291">
        <w:rPr>
          <w:sz w:val="26"/>
          <w:szCs w:val="26"/>
        </w:rPr>
        <w:t xml:space="preserve">we </w:t>
      </w:r>
      <w:r>
        <w:rPr>
          <w:sz w:val="26"/>
          <w:szCs w:val="26"/>
        </w:rPr>
        <w:t>note our agreement</w:t>
      </w:r>
      <w:r w:rsidR="00054291">
        <w:rPr>
          <w:sz w:val="26"/>
          <w:szCs w:val="26"/>
        </w:rPr>
        <w:t xml:space="preserve"> with </w:t>
      </w:r>
      <w:r w:rsidR="007F10CB">
        <w:rPr>
          <w:sz w:val="26"/>
          <w:szCs w:val="26"/>
        </w:rPr>
        <w:t>PPL’s position in its Reply Exceptions.  T</w:t>
      </w:r>
      <w:r w:rsidR="00054291">
        <w:rPr>
          <w:sz w:val="26"/>
          <w:szCs w:val="26"/>
        </w:rPr>
        <w:t>he ALJ</w:t>
      </w:r>
      <w:r w:rsidR="007F10CB">
        <w:rPr>
          <w:sz w:val="26"/>
          <w:szCs w:val="26"/>
        </w:rPr>
        <w:t xml:space="preserve"> properly concluded </w:t>
      </w:r>
      <w:r w:rsidR="00054291" w:rsidRPr="0068357D">
        <w:rPr>
          <w:sz w:val="26"/>
          <w:szCs w:val="26"/>
        </w:rPr>
        <w:t xml:space="preserve">that the Complainant </w:t>
      </w:r>
      <w:r w:rsidR="00054291">
        <w:rPr>
          <w:sz w:val="26"/>
          <w:szCs w:val="26"/>
        </w:rPr>
        <w:t>failed to</w:t>
      </w:r>
      <w:r w:rsidR="00054291" w:rsidRPr="0068357D">
        <w:rPr>
          <w:sz w:val="26"/>
          <w:szCs w:val="26"/>
        </w:rPr>
        <w:t xml:space="preserve"> </w:t>
      </w:r>
      <w:r w:rsidR="007F10CB">
        <w:rPr>
          <w:sz w:val="26"/>
          <w:szCs w:val="26"/>
        </w:rPr>
        <w:t xml:space="preserve">establish </w:t>
      </w:r>
      <w:r w:rsidR="00054291" w:rsidRPr="0068357D">
        <w:rPr>
          <w:sz w:val="26"/>
          <w:szCs w:val="26"/>
        </w:rPr>
        <w:t xml:space="preserve">that </w:t>
      </w:r>
      <w:r w:rsidR="00054291">
        <w:rPr>
          <w:sz w:val="26"/>
          <w:szCs w:val="26"/>
        </w:rPr>
        <w:t xml:space="preserve">installation of a </w:t>
      </w:r>
      <w:r w:rsidR="00054291" w:rsidRPr="0068357D">
        <w:rPr>
          <w:sz w:val="26"/>
          <w:szCs w:val="26"/>
        </w:rPr>
        <w:t xml:space="preserve">smart meter </w:t>
      </w:r>
      <w:r w:rsidR="00054291">
        <w:rPr>
          <w:sz w:val="26"/>
          <w:szCs w:val="26"/>
        </w:rPr>
        <w:t>causes</w:t>
      </w:r>
      <w:r w:rsidR="00054291" w:rsidRPr="00054291">
        <w:rPr>
          <w:sz w:val="26"/>
          <w:szCs w:val="26"/>
        </w:rPr>
        <w:t xml:space="preserve"> </w:t>
      </w:r>
      <w:r w:rsidR="00054291">
        <w:rPr>
          <w:sz w:val="26"/>
          <w:szCs w:val="26"/>
        </w:rPr>
        <w:t>risks to cybersecurity or violation of privacy</w:t>
      </w:r>
      <w:r w:rsidR="007F10CB">
        <w:rPr>
          <w:sz w:val="26"/>
          <w:szCs w:val="26"/>
        </w:rPr>
        <w:t>.</w:t>
      </w:r>
      <w:r w:rsidR="0065514C">
        <w:rPr>
          <w:sz w:val="26"/>
          <w:szCs w:val="26"/>
        </w:rPr>
        <w:t xml:space="preserve"> </w:t>
      </w:r>
      <w:r w:rsidR="007F10CB">
        <w:rPr>
          <w:sz w:val="26"/>
          <w:szCs w:val="26"/>
        </w:rPr>
        <w:t xml:space="preserve"> </w:t>
      </w:r>
      <w:r w:rsidR="00054291" w:rsidRPr="007F10CB">
        <w:rPr>
          <w:sz w:val="26"/>
          <w:szCs w:val="26"/>
        </w:rPr>
        <w:t xml:space="preserve">I.D. at </w:t>
      </w:r>
      <w:r w:rsidR="007F10CB" w:rsidRPr="007F10CB">
        <w:rPr>
          <w:sz w:val="26"/>
          <w:szCs w:val="26"/>
        </w:rPr>
        <w:t>25-26</w:t>
      </w:r>
      <w:r w:rsidR="007F10CB">
        <w:rPr>
          <w:sz w:val="26"/>
          <w:szCs w:val="26"/>
        </w:rPr>
        <w:t>; R. Exc. at 13-15.</w:t>
      </w:r>
    </w:p>
    <w:p w14:paraId="3B55E8C5" w14:textId="77777777" w:rsidR="003A1573" w:rsidRDefault="003A1573" w:rsidP="00054291">
      <w:pPr>
        <w:widowControl/>
        <w:spacing w:line="360" w:lineRule="auto"/>
        <w:ind w:firstLine="1440"/>
        <w:rPr>
          <w:sz w:val="26"/>
          <w:szCs w:val="26"/>
          <w:highlight w:val="yellow"/>
        </w:rPr>
      </w:pPr>
    </w:p>
    <w:p w14:paraId="69CFA11C" w14:textId="3A2D83BF" w:rsidR="003A1573" w:rsidRDefault="003A1573" w:rsidP="003A1573">
      <w:pPr>
        <w:widowControl/>
        <w:spacing w:line="360" w:lineRule="auto"/>
        <w:ind w:firstLine="1440"/>
        <w:contextualSpacing/>
        <w:rPr>
          <w:sz w:val="26"/>
          <w:szCs w:val="26"/>
        </w:rPr>
      </w:pPr>
      <w:r>
        <w:rPr>
          <w:sz w:val="26"/>
          <w:szCs w:val="26"/>
        </w:rPr>
        <w:t xml:space="preserve">The record evidence presented by PPL of the protections in place to prevent cybersecurity risk and customer privacy violations </w:t>
      </w:r>
      <w:r w:rsidR="007F10CB">
        <w:rPr>
          <w:sz w:val="26"/>
          <w:szCs w:val="26"/>
        </w:rPr>
        <w:t xml:space="preserve">establishes that there is no viable claim for unreasonable provision of service by PPL due to cybersecurity risks and alleged privacy violations as a result of smart meter installation. </w:t>
      </w:r>
      <w:r w:rsidR="007F10CB" w:rsidRPr="0095070E">
        <w:rPr>
          <w:sz w:val="26"/>
          <w:szCs w:val="26"/>
        </w:rPr>
        <w:t>I.D. at 2</w:t>
      </w:r>
      <w:r w:rsidR="007F10CB">
        <w:rPr>
          <w:sz w:val="26"/>
          <w:szCs w:val="26"/>
        </w:rPr>
        <w:t>6</w:t>
      </w:r>
      <w:r w:rsidR="007F10CB" w:rsidRPr="0095070E">
        <w:rPr>
          <w:sz w:val="26"/>
          <w:szCs w:val="26"/>
        </w:rPr>
        <w:t>.</w:t>
      </w:r>
      <w:r w:rsidR="007F10CB" w:rsidRPr="006F1E78">
        <w:rPr>
          <w:sz w:val="26"/>
          <w:szCs w:val="26"/>
        </w:rPr>
        <w:t xml:space="preserve"> </w:t>
      </w:r>
      <w:r w:rsidR="007F10CB">
        <w:rPr>
          <w:sz w:val="26"/>
          <w:szCs w:val="26"/>
        </w:rPr>
        <w:t xml:space="preserve"> Therefore, we find that the ALJ properly </w:t>
      </w:r>
      <w:r>
        <w:rPr>
          <w:sz w:val="26"/>
          <w:szCs w:val="26"/>
        </w:rPr>
        <w:t xml:space="preserve">rejected the Complainant’s claim that PPL’s </w:t>
      </w:r>
      <w:r w:rsidRPr="006F1E78">
        <w:rPr>
          <w:sz w:val="26"/>
          <w:szCs w:val="26"/>
        </w:rPr>
        <w:t>installation of a smart meter would constitute unreasonable service</w:t>
      </w:r>
      <w:r>
        <w:rPr>
          <w:sz w:val="26"/>
          <w:szCs w:val="26"/>
        </w:rPr>
        <w:t xml:space="preserve"> due to cybersecurity risk and/or a violation of </w:t>
      </w:r>
      <w:r w:rsidRPr="0095070E">
        <w:rPr>
          <w:sz w:val="26"/>
          <w:szCs w:val="26"/>
        </w:rPr>
        <w:t xml:space="preserve">privacy. </w:t>
      </w:r>
    </w:p>
    <w:p w14:paraId="5D649D51" w14:textId="77777777" w:rsidR="00554D3B" w:rsidRDefault="00554D3B" w:rsidP="009B2BC2">
      <w:pPr>
        <w:widowControl/>
        <w:spacing w:line="360" w:lineRule="auto"/>
        <w:rPr>
          <w:sz w:val="26"/>
          <w:szCs w:val="26"/>
          <w:highlight w:val="yellow"/>
        </w:rPr>
      </w:pPr>
    </w:p>
    <w:p w14:paraId="77F406B6" w14:textId="77777777" w:rsidR="001B0C5E" w:rsidRPr="00CA43A5" w:rsidRDefault="005C4831" w:rsidP="002625EC">
      <w:pPr>
        <w:keepNext/>
        <w:keepLines/>
        <w:widowControl/>
        <w:spacing w:line="360" w:lineRule="auto"/>
        <w:contextualSpacing/>
        <w:jc w:val="center"/>
        <w:rPr>
          <w:b/>
          <w:sz w:val="26"/>
          <w:szCs w:val="26"/>
        </w:rPr>
      </w:pPr>
      <w:r>
        <w:rPr>
          <w:b/>
          <w:sz w:val="26"/>
          <w:szCs w:val="26"/>
        </w:rPr>
        <w:lastRenderedPageBreak/>
        <w:t>I</w:t>
      </w:r>
      <w:r w:rsidR="004A7A35">
        <w:rPr>
          <w:b/>
          <w:sz w:val="26"/>
          <w:szCs w:val="26"/>
        </w:rPr>
        <w:t>V</w:t>
      </w:r>
      <w:r>
        <w:rPr>
          <w:b/>
          <w:sz w:val="26"/>
          <w:szCs w:val="26"/>
        </w:rPr>
        <w:t>.</w:t>
      </w:r>
      <w:r>
        <w:rPr>
          <w:b/>
          <w:sz w:val="26"/>
          <w:szCs w:val="26"/>
        </w:rPr>
        <w:tab/>
      </w:r>
      <w:r w:rsidR="001B0C5E" w:rsidRPr="00CA43A5">
        <w:rPr>
          <w:b/>
          <w:sz w:val="26"/>
          <w:szCs w:val="26"/>
        </w:rPr>
        <w:t>Conclusion</w:t>
      </w:r>
    </w:p>
    <w:p w14:paraId="67B26F99" w14:textId="77777777" w:rsidR="001B0C5E" w:rsidRPr="00CA43A5" w:rsidRDefault="001B0C5E" w:rsidP="002625EC">
      <w:pPr>
        <w:keepNext/>
        <w:keepLines/>
        <w:widowControl/>
        <w:spacing w:line="360" w:lineRule="auto"/>
        <w:ind w:firstLine="1440"/>
        <w:contextualSpacing/>
        <w:rPr>
          <w:sz w:val="26"/>
          <w:szCs w:val="26"/>
        </w:rPr>
      </w:pPr>
    </w:p>
    <w:p w14:paraId="4370279C" w14:textId="7F240D86" w:rsidR="001B0C5E" w:rsidRDefault="001B0C5E" w:rsidP="002625EC">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 and the applicable law</w:t>
      </w:r>
      <w:r w:rsidR="00BE44AB">
        <w:rPr>
          <w:sz w:val="26"/>
          <w:szCs w:val="26"/>
        </w:rPr>
        <w:t xml:space="preserve">, </w:t>
      </w:r>
      <w:r w:rsidR="00F0088A">
        <w:rPr>
          <w:sz w:val="26"/>
          <w:szCs w:val="26"/>
        </w:rPr>
        <w:t xml:space="preserve">we agree with the ALJ’s conclusion that the Complainant failed to establish a </w:t>
      </w:r>
      <w:r w:rsidR="00F0088A" w:rsidRPr="00554D3B">
        <w:rPr>
          <w:i/>
          <w:iCs/>
          <w:sz w:val="26"/>
          <w:szCs w:val="26"/>
        </w:rPr>
        <w:t>prima faci</w:t>
      </w:r>
      <w:r w:rsidR="007F10CB">
        <w:rPr>
          <w:i/>
          <w:iCs/>
          <w:sz w:val="26"/>
          <w:szCs w:val="26"/>
        </w:rPr>
        <w:t>e</w:t>
      </w:r>
      <w:r w:rsidR="00F0088A">
        <w:rPr>
          <w:sz w:val="26"/>
          <w:szCs w:val="26"/>
        </w:rPr>
        <w:t xml:space="preserve"> case that PPL’s plan to install a smart meter at Complainants residence constitutes </w:t>
      </w:r>
      <w:r w:rsidR="00F15B64">
        <w:rPr>
          <w:sz w:val="26"/>
          <w:szCs w:val="26"/>
        </w:rPr>
        <w:t xml:space="preserve">unsafe or </w:t>
      </w:r>
      <w:r w:rsidR="00F0088A">
        <w:rPr>
          <w:sz w:val="26"/>
          <w:szCs w:val="26"/>
        </w:rPr>
        <w:t xml:space="preserve">unreasonable service based on the Complainant’s claim for adverse health and safety effects and based on risks to cybersecurity and for violation of privacy.  Therefore, </w:t>
      </w:r>
      <w:r w:rsidR="00BE44AB">
        <w:rPr>
          <w:sz w:val="26"/>
          <w:szCs w:val="26"/>
        </w:rPr>
        <w:t xml:space="preserve">we </w:t>
      </w:r>
      <w:r w:rsidRPr="00CA43A5">
        <w:rPr>
          <w:sz w:val="26"/>
          <w:szCs w:val="26"/>
        </w:rPr>
        <w:t xml:space="preserve">shall </w:t>
      </w:r>
      <w:r>
        <w:rPr>
          <w:sz w:val="26"/>
          <w:szCs w:val="26"/>
        </w:rPr>
        <w:t>deny the Complainant’s Exceptions</w:t>
      </w:r>
      <w:r w:rsidR="008E1EC1">
        <w:rPr>
          <w:sz w:val="26"/>
          <w:szCs w:val="26"/>
        </w:rPr>
        <w:t xml:space="preserve"> and</w:t>
      </w:r>
      <w:r>
        <w:rPr>
          <w:sz w:val="26"/>
          <w:szCs w:val="26"/>
        </w:rPr>
        <w:t xml:space="preserve"> adopt the Initial Decision, consistent with this Opinion and Order</w:t>
      </w:r>
      <w:r w:rsidRPr="00CA43A5">
        <w:rPr>
          <w:sz w:val="26"/>
          <w:szCs w:val="26"/>
        </w:rPr>
        <w:t xml:space="preserve">; </w:t>
      </w:r>
      <w:r w:rsidRPr="00CA43A5">
        <w:rPr>
          <w:b/>
          <w:sz w:val="26"/>
          <w:szCs w:val="26"/>
        </w:rPr>
        <w:t>THEREFORE,</w:t>
      </w:r>
    </w:p>
    <w:p w14:paraId="40AC5C25" w14:textId="77777777" w:rsidR="001B0C5E" w:rsidRDefault="001B0C5E" w:rsidP="006F26C8">
      <w:pPr>
        <w:widowControl/>
        <w:spacing w:line="360" w:lineRule="auto"/>
        <w:contextualSpacing/>
        <w:rPr>
          <w:sz w:val="26"/>
          <w:szCs w:val="26"/>
        </w:rPr>
      </w:pPr>
    </w:p>
    <w:p w14:paraId="2F57D46E" w14:textId="77777777" w:rsidR="001B0C5E" w:rsidRDefault="001B0C5E" w:rsidP="002625EC">
      <w:pPr>
        <w:keepNext/>
        <w:keepLines/>
        <w:widowControl/>
        <w:ind w:firstLine="1440"/>
        <w:contextualSpacing/>
        <w:rPr>
          <w:b/>
          <w:sz w:val="26"/>
          <w:szCs w:val="26"/>
        </w:rPr>
      </w:pPr>
      <w:r w:rsidRPr="00CA43A5">
        <w:rPr>
          <w:b/>
          <w:sz w:val="26"/>
          <w:szCs w:val="26"/>
        </w:rPr>
        <w:t>IT IS ORDERED:</w:t>
      </w:r>
    </w:p>
    <w:p w14:paraId="577D4365" w14:textId="77777777" w:rsidR="00757AE7" w:rsidRDefault="00757AE7" w:rsidP="006F26C8">
      <w:pPr>
        <w:keepNext/>
        <w:keepLines/>
        <w:widowControl/>
        <w:spacing w:line="360" w:lineRule="auto"/>
        <w:contextualSpacing/>
        <w:rPr>
          <w:sz w:val="26"/>
          <w:szCs w:val="26"/>
        </w:rPr>
      </w:pPr>
    </w:p>
    <w:p w14:paraId="7B8F65CF" w14:textId="77777777" w:rsidR="00707559" w:rsidRPr="007B2F13"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Exceptions </w:t>
      </w:r>
      <w:r w:rsidR="00405DB2">
        <w:rPr>
          <w:sz w:val="26"/>
          <w:szCs w:val="26"/>
        </w:rPr>
        <w:t xml:space="preserve">filed by </w:t>
      </w:r>
      <w:r w:rsidR="00AC3AFA">
        <w:rPr>
          <w:sz w:val="26"/>
          <w:szCs w:val="26"/>
        </w:rPr>
        <w:t>Thomas Aguirre</w:t>
      </w:r>
      <w:r w:rsidR="00707559">
        <w:rPr>
          <w:color w:val="000000"/>
          <w:sz w:val="26"/>
        </w:rPr>
        <w:t xml:space="preserve"> on </w:t>
      </w:r>
      <w:r w:rsidR="00AC3AFA">
        <w:rPr>
          <w:color w:val="000000"/>
          <w:sz w:val="26"/>
        </w:rPr>
        <w:t xml:space="preserve">August 2, 2019, </w:t>
      </w:r>
      <w:r w:rsidR="00707559">
        <w:rPr>
          <w:color w:val="000000"/>
          <w:sz w:val="26"/>
        </w:rPr>
        <w:t>are denied.</w:t>
      </w:r>
    </w:p>
    <w:p w14:paraId="4741BA86" w14:textId="77777777" w:rsidR="007B2F13" w:rsidRPr="007B2F13" w:rsidRDefault="007B2F13" w:rsidP="002625EC">
      <w:pPr>
        <w:widowControl/>
        <w:spacing w:line="360" w:lineRule="auto"/>
        <w:ind w:left="1440"/>
        <w:contextualSpacing/>
        <w:rPr>
          <w:sz w:val="26"/>
          <w:szCs w:val="26"/>
        </w:rPr>
      </w:pPr>
    </w:p>
    <w:p w14:paraId="3F9D7821" w14:textId="77777777" w:rsidR="001B0C5E" w:rsidRPr="007B2F13" w:rsidRDefault="00707559" w:rsidP="002625EC">
      <w:pPr>
        <w:widowControl/>
        <w:numPr>
          <w:ilvl w:val="0"/>
          <w:numId w:val="1"/>
        </w:numPr>
        <w:tabs>
          <w:tab w:val="clear" w:pos="2160"/>
          <w:tab w:val="num" w:pos="0"/>
        </w:tabs>
        <w:spacing w:line="360" w:lineRule="auto"/>
        <w:ind w:left="0" w:firstLine="1440"/>
        <w:contextualSpacing/>
        <w:rPr>
          <w:sz w:val="26"/>
          <w:szCs w:val="26"/>
        </w:rPr>
      </w:pPr>
      <w:r>
        <w:rPr>
          <w:color w:val="000000"/>
          <w:sz w:val="26"/>
        </w:rPr>
        <w:t xml:space="preserve">That the Initial Decision of Administrative Law Judge </w:t>
      </w:r>
      <w:r w:rsidR="00AC3AFA">
        <w:rPr>
          <w:color w:val="000000"/>
          <w:sz w:val="26"/>
        </w:rPr>
        <w:t>Elizabeth H. Barns</w:t>
      </w:r>
      <w:r>
        <w:rPr>
          <w:color w:val="000000"/>
          <w:sz w:val="26"/>
        </w:rPr>
        <w:t xml:space="preserve">, served on </w:t>
      </w:r>
      <w:r w:rsidR="00AC3AFA">
        <w:rPr>
          <w:color w:val="000000"/>
          <w:sz w:val="26"/>
        </w:rPr>
        <w:t xml:space="preserve">July 17, 2019, </w:t>
      </w:r>
      <w:r>
        <w:rPr>
          <w:color w:val="000000"/>
          <w:sz w:val="26"/>
        </w:rPr>
        <w:t>is adopted</w:t>
      </w:r>
      <w:r w:rsidR="001B0C5E">
        <w:rPr>
          <w:color w:val="000000"/>
          <w:sz w:val="26"/>
        </w:rPr>
        <w:t>.</w:t>
      </w:r>
    </w:p>
    <w:p w14:paraId="17164E7A" w14:textId="77777777" w:rsidR="007B2F13" w:rsidRPr="00757AE7" w:rsidRDefault="007B2F13" w:rsidP="002625EC">
      <w:pPr>
        <w:widowControl/>
        <w:spacing w:line="360" w:lineRule="auto"/>
        <w:ind w:left="1440"/>
        <w:contextualSpacing/>
        <w:rPr>
          <w:sz w:val="26"/>
          <w:szCs w:val="26"/>
        </w:rPr>
      </w:pPr>
    </w:p>
    <w:p w14:paraId="4DCD528B" w14:textId="77777777" w:rsidR="00D62069" w:rsidRPr="004B0712" w:rsidRDefault="001B0C5E" w:rsidP="004B0712">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2625EC">
        <w:rPr>
          <w:sz w:val="26"/>
          <w:szCs w:val="26"/>
        </w:rPr>
        <w:t xml:space="preserve">Formal </w:t>
      </w:r>
      <w:r>
        <w:rPr>
          <w:sz w:val="26"/>
          <w:szCs w:val="26"/>
        </w:rPr>
        <w:t>Complaint filed by</w:t>
      </w:r>
      <w:r w:rsidR="00B71163">
        <w:rPr>
          <w:sz w:val="26"/>
          <w:szCs w:val="26"/>
        </w:rPr>
        <w:t xml:space="preserve"> </w:t>
      </w:r>
      <w:r w:rsidR="00AC3AFA">
        <w:rPr>
          <w:sz w:val="26"/>
          <w:szCs w:val="26"/>
        </w:rPr>
        <w:t xml:space="preserve">Thomas Aguirre </w:t>
      </w:r>
      <w:r>
        <w:rPr>
          <w:sz w:val="26"/>
          <w:szCs w:val="26"/>
        </w:rPr>
        <w:t xml:space="preserve">on </w:t>
      </w:r>
      <w:r w:rsidR="00AC3AFA">
        <w:rPr>
          <w:sz w:val="26"/>
          <w:szCs w:val="26"/>
        </w:rPr>
        <w:t>October 10, 2018</w:t>
      </w:r>
      <w:r>
        <w:rPr>
          <w:sz w:val="26"/>
          <w:szCs w:val="26"/>
        </w:rPr>
        <w:t xml:space="preserve">, </w:t>
      </w:r>
      <w:r w:rsidR="00707559">
        <w:rPr>
          <w:sz w:val="26"/>
          <w:szCs w:val="26"/>
        </w:rPr>
        <w:t>at</w:t>
      </w:r>
      <w:r>
        <w:rPr>
          <w:sz w:val="26"/>
          <w:szCs w:val="26"/>
        </w:rPr>
        <w:t xml:space="preserve"> this docket, is d</w:t>
      </w:r>
      <w:r w:rsidR="00744869">
        <w:rPr>
          <w:sz w:val="26"/>
          <w:szCs w:val="26"/>
        </w:rPr>
        <w:t>ismissed</w:t>
      </w:r>
      <w:r>
        <w:rPr>
          <w:sz w:val="26"/>
          <w:szCs w:val="26"/>
        </w:rPr>
        <w:t>.</w:t>
      </w:r>
    </w:p>
    <w:p w14:paraId="536184F4" w14:textId="77777777" w:rsidR="00744869" w:rsidRDefault="00744869" w:rsidP="00D704F2">
      <w:pPr>
        <w:widowControl/>
        <w:spacing w:after="160" w:line="259" w:lineRule="auto"/>
        <w:rPr>
          <w:sz w:val="26"/>
          <w:szCs w:val="26"/>
        </w:rPr>
      </w:pPr>
    </w:p>
    <w:p w14:paraId="5F36569C" w14:textId="77777777" w:rsidR="001B0C5E" w:rsidRPr="00630395" w:rsidRDefault="00744869" w:rsidP="006F26C8">
      <w:pPr>
        <w:keepNext/>
        <w:keepLines/>
        <w:widowControl/>
        <w:spacing w:line="360" w:lineRule="auto"/>
        <w:contextualSpacing/>
        <w:rPr>
          <w:sz w:val="26"/>
          <w:szCs w:val="26"/>
        </w:rPr>
      </w:pPr>
      <w:r>
        <w:rPr>
          <w:sz w:val="26"/>
          <w:szCs w:val="26"/>
        </w:rPr>
        <w:lastRenderedPageBreak/>
        <w:tab/>
      </w:r>
      <w:r>
        <w:rPr>
          <w:sz w:val="26"/>
          <w:szCs w:val="26"/>
        </w:rPr>
        <w:tab/>
        <w:t>4.</w:t>
      </w:r>
      <w:r>
        <w:rPr>
          <w:sz w:val="26"/>
          <w:szCs w:val="26"/>
        </w:rPr>
        <w:tab/>
        <w:t>That</w:t>
      </w:r>
      <w:r w:rsidR="00D62069">
        <w:rPr>
          <w:sz w:val="26"/>
          <w:szCs w:val="26"/>
        </w:rPr>
        <w:t xml:space="preserve"> </w:t>
      </w:r>
      <w:r w:rsidR="001B0C5E">
        <w:rPr>
          <w:sz w:val="26"/>
          <w:szCs w:val="26"/>
        </w:rPr>
        <w:t>th</w:t>
      </w:r>
      <w:r w:rsidR="001B0C5E" w:rsidRPr="00630395">
        <w:rPr>
          <w:sz w:val="26"/>
          <w:szCs w:val="26"/>
        </w:rPr>
        <w:t>is proceeding</w:t>
      </w:r>
      <w:r w:rsidR="001B0C5E">
        <w:rPr>
          <w:sz w:val="26"/>
          <w:szCs w:val="26"/>
        </w:rPr>
        <w:t xml:space="preserve"> </w:t>
      </w:r>
      <w:r w:rsidR="00CE5EB0">
        <w:rPr>
          <w:sz w:val="26"/>
          <w:szCs w:val="26"/>
        </w:rPr>
        <w:t xml:space="preserve">shall be marked </w:t>
      </w:r>
      <w:r w:rsidR="001B0C5E">
        <w:rPr>
          <w:sz w:val="26"/>
          <w:szCs w:val="26"/>
        </w:rPr>
        <w:t>closed.</w:t>
      </w:r>
    </w:p>
    <w:p w14:paraId="42A593EF" w14:textId="77777777" w:rsidR="001B0C5E" w:rsidRDefault="001B0C5E" w:rsidP="006F26C8">
      <w:pPr>
        <w:keepNext/>
        <w:keepLines/>
        <w:widowControl/>
        <w:spacing w:line="360" w:lineRule="auto"/>
        <w:contextualSpacing/>
        <w:rPr>
          <w:sz w:val="26"/>
          <w:szCs w:val="26"/>
        </w:rPr>
      </w:pPr>
    </w:p>
    <w:p w14:paraId="752146B6" w14:textId="146733F5" w:rsidR="001B0C5E" w:rsidRPr="00CA43A5" w:rsidRDefault="003B763C" w:rsidP="006F26C8">
      <w:pPr>
        <w:keepNext/>
        <w:keepLines/>
        <w:widowControl/>
        <w:tabs>
          <w:tab w:val="left" w:pos="-720"/>
        </w:tabs>
        <w:ind w:firstLine="5040"/>
        <w:contextualSpacing/>
        <w:rPr>
          <w:sz w:val="26"/>
          <w:szCs w:val="26"/>
        </w:rPr>
      </w:pPr>
      <w:bookmarkStart w:id="4" w:name="_GoBack"/>
      <w:r w:rsidRPr="009F01BA">
        <w:rPr>
          <w:b/>
          <w:noProof/>
        </w:rPr>
        <w:drawing>
          <wp:anchor distT="0" distB="0" distL="114300" distR="114300" simplePos="0" relativeHeight="251659264" behindDoc="1" locked="0" layoutInCell="1" allowOverlap="1" wp14:anchorId="094D5D52" wp14:editId="6EF649B7">
            <wp:simplePos x="0" y="0"/>
            <wp:positionH relativeFrom="column">
              <wp:posOffset>2990850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1B0C5E" w:rsidRPr="00CA43A5">
        <w:rPr>
          <w:b/>
          <w:sz w:val="26"/>
          <w:szCs w:val="26"/>
        </w:rPr>
        <w:t>BY THE COMMISSION,</w:t>
      </w:r>
    </w:p>
    <w:p w14:paraId="18A29860" w14:textId="2361460E" w:rsidR="001B0C5E" w:rsidRPr="00CA43A5" w:rsidRDefault="001B0C5E" w:rsidP="006F26C8">
      <w:pPr>
        <w:keepNext/>
        <w:keepLines/>
        <w:widowControl/>
        <w:tabs>
          <w:tab w:val="left" w:pos="-720"/>
        </w:tabs>
        <w:contextualSpacing/>
        <w:rPr>
          <w:sz w:val="26"/>
          <w:szCs w:val="26"/>
        </w:rPr>
      </w:pPr>
    </w:p>
    <w:p w14:paraId="30BC4FDA" w14:textId="01181841" w:rsidR="001B0C5E" w:rsidRDefault="003B763C" w:rsidP="003B763C">
      <w:pPr>
        <w:keepNext/>
        <w:keepLines/>
        <w:widowControl/>
        <w:tabs>
          <w:tab w:val="left" w:pos="-720"/>
          <w:tab w:val="left" w:pos="6495"/>
        </w:tabs>
        <w:contextualSpacing/>
        <w:rPr>
          <w:sz w:val="26"/>
          <w:szCs w:val="26"/>
        </w:rPr>
      </w:pPr>
      <w:r>
        <w:rPr>
          <w:sz w:val="26"/>
          <w:szCs w:val="26"/>
        </w:rPr>
        <w:tab/>
      </w:r>
    </w:p>
    <w:p w14:paraId="435021C8" w14:textId="77777777" w:rsidR="001B0C5E" w:rsidRPr="00CA43A5" w:rsidRDefault="001B0C5E" w:rsidP="006F26C8">
      <w:pPr>
        <w:keepNext/>
        <w:keepLines/>
        <w:widowControl/>
        <w:tabs>
          <w:tab w:val="left" w:pos="-720"/>
        </w:tabs>
        <w:contextualSpacing/>
        <w:rPr>
          <w:sz w:val="26"/>
          <w:szCs w:val="26"/>
        </w:rPr>
      </w:pPr>
    </w:p>
    <w:p w14:paraId="742CC959" w14:textId="77777777" w:rsidR="001B0C5E" w:rsidRPr="00CA43A5" w:rsidRDefault="001B0C5E" w:rsidP="006F26C8">
      <w:pPr>
        <w:keepNext/>
        <w:keepLines/>
        <w:widowControl/>
        <w:tabs>
          <w:tab w:val="left" w:pos="-720"/>
        </w:tabs>
        <w:ind w:firstLine="5040"/>
        <w:contextualSpacing/>
        <w:rPr>
          <w:b/>
          <w:sz w:val="26"/>
          <w:szCs w:val="26"/>
        </w:rPr>
      </w:pPr>
      <w:r>
        <w:rPr>
          <w:sz w:val="26"/>
          <w:szCs w:val="26"/>
        </w:rPr>
        <w:t>Rosemary Chiavetta</w:t>
      </w:r>
    </w:p>
    <w:p w14:paraId="75355769" w14:textId="77777777" w:rsidR="001B0C5E" w:rsidRDefault="001B0C5E" w:rsidP="006F26C8">
      <w:pPr>
        <w:keepNext/>
        <w:keepLines/>
        <w:widowControl/>
        <w:tabs>
          <w:tab w:val="left" w:pos="-720"/>
        </w:tabs>
        <w:ind w:firstLine="5040"/>
        <w:contextualSpacing/>
        <w:rPr>
          <w:sz w:val="26"/>
          <w:szCs w:val="26"/>
        </w:rPr>
      </w:pPr>
      <w:r w:rsidRPr="00CA43A5">
        <w:rPr>
          <w:sz w:val="26"/>
          <w:szCs w:val="26"/>
        </w:rPr>
        <w:t>Secretary</w:t>
      </w:r>
    </w:p>
    <w:p w14:paraId="1A674F8F" w14:textId="77777777" w:rsidR="008A7709" w:rsidRPr="00CA43A5" w:rsidRDefault="008A7709" w:rsidP="006F26C8">
      <w:pPr>
        <w:keepNext/>
        <w:keepLines/>
        <w:widowControl/>
        <w:tabs>
          <w:tab w:val="left" w:pos="-720"/>
        </w:tabs>
        <w:ind w:firstLine="5040"/>
        <w:contextualSpacing/>
        <w:rPr>
          <w:sz w:val="26"/>
          <w:szCs w:val="26"/>
        </w:rPr>
      </w:pPr>
    </w:p>
    <w:p w14:paraId="0863D088" w14:textId="77777777" w:rsidR="001B0C5E" w:rsidRPr="00CA43A5" w:rsidRDefault="001B0C5E" w:rsidP="006F26C8">
      <w:pPr>
        <w:keepNext/>
        <w:keepLines/>
        <w:widowControl/>
        <w:tabs>
          <w:tab w:val="left" w:pos="-720"/>
        </w:tabs>
        <w:contextualSpacing/>
        <w:rPr>
          <w:sz w:val="26"/>
          <w:szCs w:val="26"/>
        </w:rPr>
      </w:pPr>
    </w:p>
    <w:p w14:paraId="7843B1FE" w14:textId="77777777" w:rsidR="001B0C5E" w:rsidRPr="00CA43A5" w:rsidRDefault="001B0C5E" w:rsidP="006F26C8">
      <w:pPr>
        <w:keepNext/>
        <w:keepLines/>
        <w:widowControl/>
        <w:tabs>
          <w:tab w:val="left" w:pos="-720"/>
        </w:tabs>
        <w:contextualSpacing/>
        <w:rPr>
          <w:sz w:val="26"/>
          <w:szCs w:val="26"/>
        </w:rPr>
      </w:pPr>
      <w:r w:rsidRPr="00CA43A5">
        <w:rPr>
          <w:sz w:val="26"/>
          <w:szCs w:val="26"/>
        </w:rPr>
        <w:t>(SEAL)</w:t>
      </w:r>
    </w:p>
    <w:p w14:paraId="58104D24" w14:textId="77777777" w:rsidR="001B0C5E" w:rsidRPr="00CA43A5" w:rsidRDefault="001B0C5E" w:rsidP="002625EC">
      <w:pPr>
        <w:widowControl/>
        <w:tabs>
          <w:tab w:val="left" w:pos="-720"/>
        </w:tabs>
        <w:contextualSpacing/>
        <w:rPr>
          <w:sz w:val="26"/>
          <w:szCs w:val="26"/>
        </w:rPr>
      </w:pPr>
    </w:p>
    <w:p w14:paraId="046C3F44" w14:textId="047F3881" w:rsidR="001B0C5E" w:rsidRPr="00CA43A5" w:rsidRDefault="001B0C5E" w:rsidP="002625EC">
      <w:pPr>
        <w:widowControl/>
        <w:tabs>
          <w:tab w:val="left" w:pos="-720"/>
        </w:tabs>
        <w:contextualSpacing/>
        <w:rPr>
          <w:sz w:val="26"/>
          <w:szCs w:val="26"/>
        </w:rPr>
      </w:pPr>
      <w:r w:rsidRPr="00CA43A5">
        <w:rPr>
          <w:sz w:val="26"/>
          <w:szCs w:val="26"/>
        </w:rPr>
        <w:t xml:space="preserve">ORDER ADOPTED: </w:t>
      </w:r>
      <w:r>
        <w:rPr>
          <w:sz w:val="26"/>
          <w:szCs w:val="26"/>
        </w:rPr>
        <w:t xml:space="preserve"> </w:t>
      </w:r>
      <w:r w:rsidR="00B06616">
        <w:rPr>
          <w:sz w:val="26"/>
          <w:szCs w:val="26"/>
        </w:rPr>
        <w:t>December 5</w:t>
      </w:r>
      <w:r w:rsidR="004D56A6">
        <w:rPr>
          <w:sz w:val="26"/>
          <w:szCs w:val="26"/>
        </w:rPr>
        <w:t>, 2019</w:t>
      </w:r>
    </w:p>
    <w:p w14:paraId="47C3B75E" w14:textId="77777777" w:rsidR="001B0C5E" w:rsidRDefault="001B0C5E" w:rsidP="002625EC">
      <w:pPr>
        <w:widowControl/>
        <w:tabs>
          <w:tab w:val="left" w:pos="-720"/>
        </w:tabs>
        <w:contextualSpacing/>
        <w:rPr>
          <w:sz w:val="26"/>
          <w:szCs w:val="26"/>
        </w:rPr>
      </w:pPr>
    </w:p>
    <w:p w14:paraId="3A5E7CAC" w14:textId="715F9DE0" w:rsidR="001B0C5E" w:rsidRPr="00CA43A5" w:rsidRDefault="001B0C5E" w:rsidP="002625EC">
      <w:pPr>
        <w:widowControl/>
        <w:tabs>
          <w:tab w:val="left" w:pos="-720"/>
        </w:tabs>
        <w:contextualSpacing/>
        <w:rPr>
          <w:sz w:val="26"/>
          <w:szCs w:val="26"/>
        </w:rPr>
      </w:pPr>
      <w:r>
        <w:rPr>
          <w:sz w:val="26"/>
          <w:szCs w:val="26"/>
        </w:rPr>
        <w:t>ORDER ENTERED:</w:t>
      </w:r>
      <w:r w:rsidR="00621081">
        <w:rPr>
          <w:sz w:val="26"/>
          <w:szCs w:val="26"/>
        </w:rPr>
        <w:t xml:space="preserve">  </w:t>
      </w:r>
      <w:r w:rsidR="003B763C">
        <w:rPr>
          <w:sz w:val="26"/>
          <w:szCs w:val="26"/>
        </w:rPr>
        <w:t>December 5, 2019</w:t>
      </w:r>
    </w:p>
    <w:p w14:paraId="55E19F0F" w14:textId="77777777" w:rsidR="003D5C5F" w:rsidRDefault="003D5C5F" w:rsidP="002625EC">
      <w:pPr>
        <w:widowControl/>
      </w:pPr>
    </w:p>
    <w:sectPr w:rsidR="003D5C5F" w:rsidSect="003161E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1836D" w14:textId="77777777" w:rsidR="00B616C7" w:rsidRDefault="00B616C7" w:rsidP="001B0C5E">
      <w:r>
        <w:separator/>
      </w:r>
    </w:p>
  </w:endnote>
  <w:endnote w:type="continuationSeparator" w:id="0">
    <w:p w14:paraId="2415579F" w14:textId="77777777" w:rsidR="00B616C7" w:rsidRDefault="00B616C7"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1012CD31" w14:textId="550FD7F0" w:rsidR="001A2E0A" w:rsidRPr="007E4C92" w:rsidRDefault="001A2E0A" w:rsidP="007E4C92">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65514C">
          <w:rPr>
            <w:noProof/>
            <w:sz w:val="24"/>
            <w:szCs w:val="24"/>
          </w:rPr>
          <w:t>21</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5511" w14:textId="77777777" w:rsidR="00B616C7" w:rsidRDefault="00B616C7" w:rsidP="001B0C5E">
      <w:r>
        <w:separator/>
      </w:r>
    </w:p>
  </w:footnote>
  <w:footnote w:type="continuationSeparator" w:id="0">
    <w:p w14:paraId="550FF6BB" w14:textId="77777777" w:rsidR="00B616C7" w:rsidRDefault="00B616C7" w:rsidP="001B0C5E">
      <w:r>
        <w:continuationSeparator/>
      </w:r>
    </w:p>
  </w:footnote>
  <w:footnote w:id="1">
    <w:p w14:paraId="178B2068" w14:textId="77777777" w:rsidR="001A2E0A" w:rsidRPr="002128EA" w:rsidRDefault="001A2E0A" w:rsidP="00545BA8">
      <w:pPr>
        <w:keepNext/>
        <w:keepLines/>
        <w:widowControl/>
        <w:spacing w:after="120"/>
        <w:ind w:firstLine="720"/>
        <w:rPr>
          <w:sz w:val="26"/>
        </w:rPr>
      </w:pPr>
      <w:r w:rsidRPr="002128EA">
        <w:rPr>
          <w:rStyle w:val="FootnoteReference"/>
          <w:sz w:val="26"/>
        </w:rPr>
        <w:footnoteRef/>
      </w:r>
      <w:r w:rsidRPr="002128EA">
        <w:rPr>
          <w:sz w:val="26"/>
        </w:rPr>
        <w:tab/>
      </w:r>
      <w:r w:rsidRPr="002128EA">
        <w:rPr>
          <w:sz w:val="26"/>
          <w:szCs w:val="26"/>
        </w:rPr>
        <w:t>I</w:t>
      </w:r>
      <w:r w:rsidRPr="002128EA">
        <w:rPr>
          <w:color w:val="000000"/>
          <w:sz w:val="26"/>
          <w:szCs w:val="26"/>
        </w:rPr>
        <w:t>n formal complaint proceedings</w:t>
      </w:r>
      <w:r w:rsidRPr="002128EA">
        <w:rPr>
          <w:color w:val="000000" w:themeColor="text1"/>
          <w:sz w:val="26"/>
          <w:szCs w:val="26"/>
        </w:rPr>
        <w:t xml:space="preserve">, </w:t>
      </w:r>
      <w:r w:rsidRPr="002128EA">
        <w:rPr>
          <w:color w:val="000000"/>
          <w:sz w:val="26"/>
          <w:szCs w:val="26"/>
        </w:rPr>
        <w:t>the Commission, not the ALJ, is the ultimate fact-finder</w:t>
      </w:r>
      <w:r w:rsidRPr="002128EA">
        <w:rPr>
          <w:color w:val="000000" w:themeColor="text1"/>
          <w:sz w:val="26"/>
          <w:szCs w:val="26"/>
        </w:rPr>
        <w:t xml:space="preserve">; it weighs the evidence and resolves conflicts in testimony.  </w:t>
      </w:r>
      <w:r w:rsidRPr="002128EA">
        <w:rPr>
          <w:color w:val="000000"/>
          <w:sz w:val="26"/>
          <w:szCs w:val="26"/>
        </w:rPr>
        <w:t>When reviewing the initial decision of an ALJ, the Commission has all the powers that it would have had in making the initial decision except as to any limits that it may impose by notice or by rule</w:t>
      </w:r>
      <w:r w:rsidRPr="002128EA">
        <w:rPr>
          <w:color w:val="000000" w:themeColor="text1"/>
          <w:sz w:val="26"/>
          <w:szCs w:val="26"/>
        </w:rPr>
        <w:t xml:space="preserve">.  </w:t>
      </w:r>
      <w:r w:rsidRPr="002128EA">
        <w:rPr>
          <w:i/>
          <w:color w:val="000000" w:themeColor="text1"/>
          <w:sz w:val="26"/>
        </w:rPr>
        <w:t>Milkie</w:t>
      </w:r>
      <w:r w:rsidRPr="002128EA">
        <w:rPr>
          <w:color w:val="000000" w:themeColor="text1"/>
          <w:sz w:val="26"/>
        </w:rPr>
        <w:t xml:space="preserve">, 768 A.2d at 1220, n. 7 (citing, </w:t>
      </w:r>
      <w:r w:rsidRPr="002128EA">
        <w:rPr>
          <w:i/>
          <w:color w:val="000000" w:themeColor="text1"/>
          <w:sz w:val="26"/>
        </w:rPr>
        <w:t>inter alia</w:t>
      </w:r>
      <w:r w:rsidRPr="002128EA">
        <w:rPr>
          <w:color w:val="000000" w:themeColor="text1"/>
          <w:sz w:val="26"/>
        </w:rPr>
        <w:t xml:space="preserve">, </w:t>
      </w:r>
      <w:r w:rsidRPr="002128EA">
        <w:rPr>
          <w:color w:val="000000" w:themeColor="text1"/>
          <w:sz w:val="26"/>
          <w:szCs w:val="26"/>
        </w:rPr>
        <w:t>66 Pa. C.S. § 335(a)).</w:t>
      </w:r>
    </w:p>
  </w:footnote>
  <w:footnote w:id="2">
    <w:p w14:paraId="3C066404" w14:textId="26149829" w:rsidR="001A2E0A" w:rsidRDefault="001A2E0A" w:rsidP="005069AE">
      <w:pPr>
        <w:pStyle w:val="FootnoteText"/>
        <w:ind w:firstLine="720"/>
      </w:pPr>
      <w:r w:rsidRPr="0065514C">
        <w:rPr>
          <w:rStyle w:val="FootnoteReference"/>
          <w:sz w:val="26"/>
          <w:szCs w:val="26"/>
        </w:rPr>
        <w:footnoteRef/>
      </w:r>
      <w:r w:rsidRPr="0065514C">
        <w:rPr>
          <w:sz w:val="26"/>
          <w:szCs w:val="26"/>
        </w:rPr>
        <w:t xml:space="preserve"> </w:t>
      </w:r>
      <w:r w:rsidRPr="0065514C">
        <w:rPr>
          <w:sz w:val="26"/>
          <w:szCs w:val="26"/>
        </w:rPr>
        <w:tab/>
        <w:t>The</w:t>
      </w:r>
      <w:r w:rsidRPr="005069AE">
        <w:rPr>
          <w:sz w:val="26"/>
          <w:szCs w:val="26"/>
        </w:rPr>
        <w:t xml:space="preserve"> Exceptions are not set forth in numbered paragraphs, therefore, each separate reference</w:t>
      </w:r>
      <w:r w:rsidR="0099550A">
        <w:rPr>
          <w:sz w:val="26"/>
          <w:szCs w:val="26"/>
        </w:rPr>
        <w:t xml:space="preserve"> to the ALJ’s findings are designated as Exceptions Nos. </w:t>
      </w:r>
      <w:r w:rsidRPr="005069AE">
        <w:rPr>
          <w:sz w:val="26"/>
          <w:szCs w:val="26"/>
        </w:rPr>
        <w:t>1-25</w:t>
      </w:r>
      <w:r w:rsidR="0099550A">
        <w:rPr>
          <w:sz w:val="26"/>
          <w:szCs w:val="26"/>
        </w:rPr>
        <w:t xml:space="preserve">. </w:t>
      </w:r>
      <w:r w:rsidRPr="005069AE">
        <w:rPr>
          <w:sz w:val="26"/>
          <w:szCs w:val="26"/>
        </w:rPr>
        <w:t xml:space="preserve"> </w:t>
      </w:r>
      <w:r w:rsidRPr="005069AE">
        <w:rPr>
          <w:bCs/>
          <w:sz w:val="26"/>
          <w:szCs w:val="26"/>
        </w:rPr>
        <w:t xml:space="preserve">We note that certain </w:t>
      </w:r>
      <w:r w:rsidR="00C23D7C">
        <w:rPr>
          <w:bCs/>
          <w:sz w:val="26"/>
          <w:szCs w:val="26"/>
        </w:rPr>
        <w:t xml:space="preserve">of the </w:t>
      </w:r>
      <w:r w:rsidRPr="005069AE">
        <w:rPr>
          <w:bCs/>
          <w:sz w:val="26"/>
          <w:szCs w:val="26"/>
        </w:rPr>
        <w:t>Exceptions raise additional information</w:t>
      </w:r>
      <w:r>
        <w:rPr>
          <w:bCs/>
          <w:sz w:val="26"/>
          <w:szCs w:val="26"/>
        </w:rPr>
        <w:t xml:space="preserve">, </w:t>
      </w:r>
      <w:r w:rsidRPr="005069AE">
        <w:rPr>
          <w:bCs/>
          <w:sz w:val="26"/>
          <w:szCs w:val="26"/>
        </w:rPr>
        <w:t>which was not included in the record</w:t>
      </w:r>
      <w:r>
        <w:rPr>
          <w:bCs/>
          <w:sz w:val="26"/>
          <w:szCs w:val="26"/>
        </w:rPr>
        <w:t xml:space="preserve"> below, and which, therefore, we will not consider. </w:t>
      </w:r>
      <w:r w:rsidR="00C23D7C" w:rsidRPr="00C23D7C">
        <w:rPr>
          <w:bCs/>
          <w:i/>
          <w:iCs/>
          <w:sz w:val="26"/>
          <w:szCs w:val="26"/>
        </w:rPr>
        <w:t>See, e.g., Application of Apollo Gas Co</w:t>
      </w:r>
      <w:r w:rsidR="00C23D7C">
        <w:rPr>
          <w:bCs/>
          <w:sz w:val="26"/>
          <w:szCs w:val="26"/>
        </w:rPr>
        <w:t>., 1994 Pa. PUC LEXIS 45 at *8-9 (Opinion and Order entered February</w:t>
      </w:r>
      <w:r w:rsidR="001B461E">
        <w:rPr>
          <w:bCs/>
          <w:sz w:val="26"/>
          <w:szCs w:val="26"/>
        </w:rPr>
        <w:t> </w:t>
      </w:r>
      <w:r w:rsidR="00C23D7C">
        <w:rPr>
          <w:bCs/>
          <w:sz w:val="26"/>
          <w:szCs w:val="26"/>
        </w:rPr>
        <w:t xml:space="preserve">10, 1994). </w:t>
      </w:r>
    </w:p>
  </w:footnote>
  <w:footnote w:id="3">
    <w:p w14:paraId="5C37CE8F" w14:textId="77777777" w:rsidR="008E63A1" w:rsidRPr="00F969C6" w:rsidRDefault="008E63A1" w:rsidP="008E63A1">
      <w:pPr>
        <w:pStyle w:val="FootnoteText"/>
        <w:keepNext/>
        <w:keepLines/>
        <w:widowControl/>
        <w:rPr>
          <w:sz w:val="26"/>
          <w:szCs w:val="26"/>
        </w:rPr>
      </w:pPr>
      <w:r>
        <w:tab/>
      </w:r>
      <w:r w:rsidRPr="00F969C6">
        <w:rPr>
          <w:rStyle w:val="FootnoteReference"/>
          <w:sz w:val="26"/>
          <w:szCs w:val="26"/>
        </w:rPr>
        <w:footnoteRef/>
      </w:r>
      <w:r w:rsidRPr="00F969C6">
        <w:rPr>
          <w:sz w:val="26"/>
          <w:szCs w:val="26"/>
        </w:rPr>
        <w:tab/>
        <w:t xml:space="preserve">The </w:t>
      </w:r>
      <w:r w:rsidRPr="00F969C6">
        <w:rPr>
          <w:i/>
          <w:sz w:val="26"/>
          <w:szCs w:val="26"/>
        </w:rPr>
        <w:t>Walker/Chapman</w:t>
      </w:r>
      <w:r w:rsidRPr="00F969C6">
        <w:rPr>
          <w:sz w:val="26"/>
          <w:szCs w:val="26"/>
        </w:rPr>
        <w:t xml:space="preserve"> rule provides that simple hearsay evidence may support an agency’s finding of fact so long as the hearsay is admitted into the record without objection and is corroborated by competent evidence in the record.  </w:t>
      </w:r>
      <w:r w:rsidRPr="00F969C6">
        <w:rPr>
          <w:i/>
          <w:sz w:val="26"/>
          <w:szCs w:val="26"/>
        </w:rPr>
        <w:t>See Walker v. Unemployment Compensation Board of Review</w:t>
      </w:r>
      <w:r w:rsidRPr="00F969C6">
        <w:rPr>
          <w:sz w:val="26"/>
          <w:szCs w:val="26"/>
        </w:rPr>
        <w:t>, 367 A.2d 366, 370 (Pa. Cmwlth. 1976)</w:t>
      </w:r>
      <w:r>
        <w:rPr>
          <w:sz w:val="26"/>
          <w:szCs w:val="26"/>
        </w:rPr>
        <w:t xml:space="preserve"> (</w:t>
      </w:r>
      <w:r w:rsidRPr="008E63A1">
        <w:rPr>
          <w:i/>
          <w:iCs/>
          <w:sz w:val="26"/>
          <w:szCs w:val="26"/>
        </w:rPr>
        <w:t>Walker</w:t>
      </w:r>
      <w:r>
        <w:rPr>
          <w:sz w:val="26"/>
          <w:szCs w:val="26"/>
        </w:rPr>
        <w:t>)</w:t>
      </w:r>
      <w:r w:rsidRPr="00F969C6">
        <w:rPr>
          <w:sz w:val="26"/>
          <w:szCs w:val="26"/>
        </w:rPr>
        <w:t xml:space="preserve">; </w:t>
      </w:r>
      <w:r w:rsidRPr="00F969C6">
        <w:rPr>
          <w:i/>
          <w:sz w:val="26"/>
          <w:szCs w:val="26"/>
        </w:rPr>
        <w:t>see also Chapman v. Unemployment Compensation Board of Review</w:t>
      </w:r>
      <w:r w:rsidRPr="00F969C6">
        <w:rPr>
          <w:sz w:val="26"/>
          <w:szCs w:val="26"/>
        </w:rPr>
        <w:t>, 20 A.3d 603, n. 8 (Pa. Cmwlth.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7"/>
  </w:num>
  <w:num w:numId="16">
    <w:abstractNumId w:val="0"/>
  </w:num>
  <w:num w:numId="17">
    <w:abstractNumId w:val="1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03E2"/>
    <w:rsid w:val="000236E4"/>
    <w:rsid w:val="00023FFD"/>
    <w:rsid w:val="0002506D"/>
    <w:rsid w:val="00025076"/>
    <w:rsid w:val="000259EB"/>
    <w:rsid w:val="00025DF9"/>
    <w:rsid w:val="00025E69"/>
    <w:rsid w:val="00030EE5"/>
    <w:rsid w:val="00032EFB"/>
    <w:rsid w:val="000359C0"/>
    <w:rsid w:val="00036D74"/>
    <w:rsid w:val="00041F45"/>
    <w:rsid w:val="00042D57"/>
    <w:rsid w:val="00042F28"/>
    <w:rsid w:val="00043176"/>
    <w:rsid w:val="00047197"/>
    <w:rsid w:val="000473BF"/>
    <w:rsid w:val="00050267"/>
    <w:rsid w:val="00050351"/>
    <w:rsid w:val="00051A66"/>
    <w:rsid w:val="0005338E"/>
    <w:rsid w:val="00054291"/>
    <w:rsid w:val="00054989"/>
    <w:rsid w:val="00055921"/>
    <w:rsid w:val="00055DC6"/>
    <w:rsid w:val="000571B2"/>
    <w:rsid w:val="00057FF2"/>
    <w:rsid w:val="0006149A"/>
    <w:rsid w:val="00064338"/>
    <w:rsid w:val="0006698F"/>
    <w:rsid w:val="00070145"/>
    <w:rsid w:val="0007078A"/>
    <w:rsid w:val="00070BE0"/>
    <w:rsid w:val="00072FB2"/>
    <w:rsid w:val="00077644"/>
    <w:rsid w:val="00077D2C"/>
    <w:rsid w:val="00077D3D"/>
    <w:rsid w:val="00080A5D"/>
    <w:rsid w:val="00081036"/>
    <w:rsid w:val="000817E0"/>
    <w:rsid w:val="00083ABE"/>
    <w:rsid w:val="00084203"/>
    <w:rsid w:val="00086CEC"/>
    <w:rsid w:val="00086F0B"/>
    <w:rsid w:val="00087914"/>
    <w:rsid w:val="00090C69"/>
    <w:rsid w:val="000939C7"/>
    <w:rsid w:val="00094518"/>
    <w:rsid w:val="000959E2"/>
    <w:rsid w:val="0009621E"/>
    <w:rsid w:val="0009637B"/>
    <w:rsid w:val="00096DEE"/>
    <w:rsid w:val="0009777B"/>
    <w:rsid w:val="000A1BD3"/>
    <w:rsid w:val="000A3525"/>
    <w:rsid w:val="000A5F88"/>
    <w:rsid w:val="000A7C2C"/>
    <w:rsid w:val="000B255B"/>
    <w:rsid w:val="000B2AC8"/>
    <w:rsid w:val="000B46BD"/>
    <w:rsid w:val="000B4D47"/>
    <w:rsid w:val="000B674B"/>
    <w:rsid w:val="000C0FE0"/>
    <w:rsid w:val="000C2859"/>
    <w:rsid w:val="000C4245"/>
    <w:rsid w:val="000C585B"/>
    <w:rsid w:val="000D1BCC"/>
    <w:rsid w:val="000D20DD"/>
    <w:rsid w:val="000D2D66"/>
    <w:rsid w:val="000D3D1A"/>
    <w:rsid w:val="000D4DCA"/>
    <w:rsid w:val="000D7003"/>
    <w:rsid w:val="000D77E6"/>
    <w:rsid w:val="000D7C55"/>
    <w:rsid w:val="000E0683"/>
    <w:rsid w:val="000E0830"/>
    <w:rsid w:val="000E5C56"/>
    <w:rsid w:val="000E7543"/>
    <w:rsid w:val="000F00B7"/>
    <w:rsid w:val="000F03E5"/>
    <w:rsid w:val="000F0A1B"/>
    <w:rsid w:val="000F2344"/>
    <w:rsid w:val="000F236A"/>
    <w:rsid w:val="000F4166"/>
    <w:rsid w:val="000F4FA5"/>
    <w:rsid w:val="000F72BD"/>
    <w:rsid w:val="000F7450"/>
    <w:rsid w:val="000F76C2"/>
    <w:rsid w:val="00104496"/>
    <w:rsid w:val="00105601"/>
    <w:rsid w:val="0010585D"/>
    <w:rsid w:val="0010681B"/>
    <w:rsid w:val="00107339"/>
    <w:rsid w:val="001104DF"/>
    <w:rsid w:val="00114BA6"/>
    <w:rsid w:val="00115DC3"/>
    <w:rsid w:val="00115F20"/>
    <w:rsid w:val="00120C01"/>
    <w:rsid w:val="00122B7C"/>
    <w:rsid w:val="00122E03"/>
    <w:rsid w:val="00124F6E"/>
    <w:rsid w:val="00126DE3"/>
    <w:rsid w:val="00127620"/>
    <w:rsid w:val="00130237"/>
    <w:rsid w:val="00130895"/>
    <w:rsid w:val="00135575"/>
    <w:rsid w:val="001429A6"/>
    <w:rsid w:val="00143206"/>
    <w:rsid w:val="001436E5"/>
    <w:rsid w:val="00145453"/>
    <w:rsid w:val="001479B9"/>
    <w:rsid w:val="00151849"/>
    <w:rsid w:val="00151CF5"/>
    <w:rsid w:val="00152023"/>
    <w:rsid w:val="00152A79"/>
    <w:rsid w:val="0015304B"/>
    <w:rsid w:val="001550CF"/>
    <w:rsid w:val="00155718"/>
    <w:rsid w:val="00163A41"/>
    <w:rsid w:val="00166F8A"/>
    <w:rsid w:val="00172F07"/>
    <w:rsid w:val="00172F11"/>
    <w:rsid w:val="00173C8A"/>
    <w:rsid w:val="00176EE0"/>
    <w:rsid w:val="00177400"/>
    <w:rsid w:val="001816D6"/>
    <w:rsid w:val="001817E2"/>
    <w:rsid w:val="00183C71"/>
    <w:rsid w:val="00185079"/>
    <w:rsid w:val="001863FF"/>
    <w:rsid w:val="00186CEC"/>
    <w:rsid w:val="0019185E"/>
    <w:rsid w:val="00195578"/>
    <w:rsid w:val="001A184F"/>
    <w:rsid w:val="001A2E0A"/>
    <w:rsid w:val="001A462D"/>
    <w:rsid w:val="001A6F37"/>
    <w:rsid w:val="001A7AE8"/>
    <w:rsid w:val="001A7B5F"/>
    <w:rsid w:val="001B0C5E"/>
    <w:rsid w:val="001B2D87"/>
    <w:rsid w:val="001B461E"/>
    <w:rsid w:val="001B68CD"/>
    <w:rsid w:val="001C076F"/>
    <w:rsid w:val="001C19A6"/>
    <w:rsid w:val="001C296F"/>
    <w:rsid w:val="001C2D5B"/>
    <w:rsid w:val="001C3984"/>
    <w:rsid w:val="001C3BA2"/>
    <w:rsid w:val="001C5325"/>
    <w:rsid w:val="001C554A"/>
    <w:rsid w:val="001C6105"/>
    <w:rsid w:val="001C6C22"/>
    <w:rsid w:val="001C6E41"/>
    <w:rsid w:val="001C78D5"/>
    <w:rsid w:val="001C7900"/>
    <w:rsid w:val="001D1839"/>
    <w:rsid w:val="001E1233"/>
    <w:rsid w:val="001E39B8"/>
    <w:rsid w:val="001E69AF"/>
    <w:rsid w:val="001F22E6"/>
    <w:rsid w:val="001F39E7"/>
    <w:rsid w:val="001F5463"/>
    <w:rsid w:val="001F61E9"/>
    <w:rsid w:val="001F6470"/>
    <w:rsid w:val="001F6B8E"/>
    <w:rsid w:val="001F7D11"/>
    <w:rsid w:val="002039CE"/>
    <w:rsid w:val="00206677"/>
    <w:rsid w:val="00211464"/>
    <w:rsid w:val="002115CE"/>
    <w:rsid w:val="00212284"/>
    <w:rsid w:val="002128EA"/>
    <w:rsid w:val="002131EC"/>
    <w:rsid w:val="002141A4"/>
    <w:rsid w:val="00216A44"/>
    <w:rsid w:val="0021736B"/>
    <w:rsid w:val="00217816"/>
    <w:rsid w:val="0022174D"/>
    <w:rsid w:val="0022489D"/>
    <w:rsid w:val="00231D72"/>
    <w:rsid w:val="002327DF"/>
    <w:rsid w:val="002331C5"/>
    <w:rsid w:val="002332EF"/>
    <w:rsid w:val="00234CB2"/>
    <w:rsid w:val="002370E8"/>
    <w:rsid w:val="00241720"/>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811"/>
    <w:rsid w:val="00260523"/>
    <w:rsid w:val="00260C7C"/>
    <w:rsid w:val="00261020"/>
    <w:rsid w:val="00261465"/>
    <w:rsid w:val="002617ED"/>
    <w:rsid w:val="002625EC"/>
    <w:rsid w:val="00263C79"/>
    <w:rsid w:val="002646F1"/>
    <w:rsid w:val="002711AF"/>
    <w:rsid w:val="00271EEB"/>
    <w:rsid w:val="00272C8B"/>
    <w:rsid w:val="0027391D"/>
    <w:rsid w:val="002754DA"/>
    <w:rsid w:val="00276874"/>
    <w:rsid w:val="00280CE1"/>
    <w:rsid w:val="00283A74"/>
    <w:rsid w:val="00283EF3"/>
    <w:rsid w:val="00284EAD"/>
    <w:rsid w:val="0028632D"/>
    <w:rsid w:val="00291A07"/>
    <w:rsid w:val="0029212A"/>
    <w:rsid w:val="00292825"/>
    <w:rsid w:val="002931D5"/>
    <w:rsid w:val="00295C7D"/>
    <w:rsid w:val="002978D2"/>
    <w:rsid w:val="002A0787"/>
    <w:rsid w:val="002A23B1"/>
    <w:rsid w:val="002A4572"/>
    <w:rsid w:val="002A48C8"/>
    <w:rsid w:val="002A71C9"/>
    <w:rsid w:val="002A740F"/>
    <w:rsid w:val="002B20B1"/>
    <w:rsid w:val="002B50E9"/>
    <w:rsid w:val="002B785E"/>
    <w:rsid w:val="002B7899"/>
    <w:rsid w:val="002B78A1"/>
    <w:rsid w:val="002C1CEC"/>
    <w:rsid w:val="002C45A2"/>
    <w:rsid w:val="002C4B9A"/>
    <w:rsid w:val="002C4E17"/>
    <w:rsid w:val="002C591A"/>
    <w:rsid w:val="002C5963"/>
    <w:rsid w:val="002C780B"/>
    <w:rsid w:val="002D114E"/>
    <w:rsid w:val="002E21E2"/>
    <w:rsid w:val="002E5EE2"/>
    <w:rsid w:val="002E69CA"/>
    <w:rsid w:val="002E6BE4"/>
    <w:rsid w:val="002F18C2"/>
    <w:rsid w:val="002F205F"/>
    <w:rsid w:val="002F380D"/>
    <w:rsid w:val="002F4247"/>
    <w:rsid w:val="002F4A69"/>
    <w:rsid w:val="002F4A77"/>
    <w:rsid w:val="002F6D54"/>
    <w:rsid w:val="0030220E"/>
    <w:rsid w:val="00302502"/>
    <w:rsid w:val="003063B3"/>
    <w:rsid w:val="003077E0"/>
    <w:rsid w:val="00311CC9"/>
    <w:rsid w:val="00313456"/>
    <w:rsid w:val="003150DF"/>
    <w:rsid w:val="0031552B"/>
    <w:rsid w:val="00315701"/>
    <w:rsid w:val="003161E5"/>
    <w:rsid w:val="0032366A"/>
    <w:rsid w:val="00323DE8"/>
    <w:rsid w:val="003266AC"/>
    <w:rsid w:val="00326996"/>
    <w:rsid w:val="00337586"/>
    <w:rsid w:val="00340D2A"/>
    <w:rsid w:val="00343135"/>
    <w:rsid w:val="0034456A"/>
    <w:rsid w:val="003450C3"/>
    <w:rsid w:val="00350ACB"/>
    <w:rsid w:val="003541EF"/>
    <w:rsid w:val="003569F1"/>
    <w:rsid w:val="00360ED2"/>
    <w:rsid w:val="00362F0F"/>
    <w:rsid w:val="0037391C"/>
    <w:rsid w:val="003820E8"/>
    <w:rsid w:val="00383B51"/>
    <w:rsid w:val="00385076"/>
    <w:rsid w:val="003861FB"/>
    <w:rsid w:val="00390ACB"/>
    <w:rsid w:val="00391C7D"/>
    <w:rsid w:val="00392FDE"/>
    <w:rsid w:val="003932B1"/>
    <w:rsid w:val="00395DED"/>
    <w:rsid w:val="00397292"/>
    <w:rsid w:val="00397482"/>
    <w:rsid w:val="003A04EA"/>
    <w:rsid w:val="003A1573"/>
    <w:rsid w:val="003A3427"/>
    <w:rsid w:val="003A39CB"/>
    <w:rsid w:val="003A4C73"/>
    <w:rsid w:val="003A53E7"/>
    <w:rsid w:val="003A7E8E"/>
    <w:rsid w:val="003B4D55"/>
    <w:rsid w:val="003B541E"/>
    <w:rsid w:val="003B55E8"/>
    <w:rsid w:val="003B756B"/>
    <w:rsid w:val="003B763C"/>
    <w:rsid w:val="003C0051"/>
    <w:rsid w:val="003C1F85"/>
    <w:rsid w:val="003C30D5"/>
    <w:rsid w:val="003C3166"/>
    <w:rsid w:val="003C3D46"/>
    <w:rsid w:val="003C4D05"/>
    <w:rsid w:val="003C77B3"/>
    <w:rsid w:val="003D1A05"/>
    <w:rsid w:val="003D4807"/>
    <w:rsid w:val="003D5842"/>
    <w:rsid w:val="003D5B48"/>
    <w:rsid w:val="003D5C5F"/>
    <w:rsid w:val="003D6ECB"/>
    <w:rsid w:val="003D6F56"/>
    <w:rsid w:val="003E1486"/>
    <w:rsid w:val="003E709F"/>
    <w:rsid w:val="003F0635"/>
    <w:rsid w:val="003F3202"/>
    <w:rsid w:val="003F5257"/>
    <w:rsid w:val="003F54B9"/>
    <w:rsid w:val="003F6C57"/>
    <w:rsid w:val="00401106"/>
    <w:rsid w:val="004029D7"/>
    <w:rsid w:val="00402B04"/>
    <w:rsid w:val="00403017"/>
    <w:rsid w:val="00405C53"/>
    <w:rsid w:val="00405DB2"/>
    <w:rsid w:val="00410EE7"/>
    <w:rsid w:val="004112A0"/>
    <w:rsid w:val="00411B3E"/>
    <w:rsid w:val="004128CD"/>
    <w:rsid w:val="004130CE"/>
    <w:rsid w:val="0041393A"/>
    <w:rsid w:val="00417D1B"/>
    <w:rsid w:val="00422537"/>
    <w:rsid w:val="00422F3A"/>
    <w:rsid w:val="00425EC8"/>
    <w:rsid w:val="00426EBD"/>
    <w:rsid w:val="00427E2E"/>
    <w:rsid w:val="0043125D"/>
    <w:rsid w:val="004313EE"/>
    <w:rsid w:val="00431FCF"/>
    <w:rsid w:val="00432A5B"/>
    <w:rsid w:val="00433D56"/>
    <w:rsid w:val="0043421A"/>
    <w:rsid w:val="004371DE"/>
    <w:rsid w:val="00440633"/>
    <w:rsid w:val="0044497D"/>
    <w:rsid w:val="004507F8"/>
    <w:rsid w:val="004533B5"/>
    <w:rsid w:val="00453409"/>
    <w:rsid w:val="00456195"/>
    <w:rsid w:val="00457281"/>
    <w:rsid w:val="00460433"/>
    <w:rsid w:val="00460720"/>
    <w:rsid w:val="00461D62"/>
    <w:rsid w:val="004665E4"/>
    <w:rsid w:val="00466A11"/>
    <w:rsid w:val="00470A07"/>
    <w:rsid w:val="00472CDF"/>
    <w:rsid w:val="00472E1A"/>
    <w:rsid w:val="004734AB"/>
    <w:rsid w:val="004737E6"/>
    <w:rsid w:val="00474421"/>
    <w:rsid w:val="00475B12"/>
    <w:rsid w:val="00481036"/>
    <w:rsid w:val="0048490F"/>
    <w:rsid w:val="00484B83"/>
    <w:rsid w:val="00484C8A"/>
    <w:rsid w:val="00497130"/>
    <w:rsid w:val="004A01F5"/>
    <w:rsid w:val="004A44B1"/>
    <w:rsid w:val="004A6609"/>
    <w:rsid w:val="004A7A35"/>
    <w:rsid w:val="004B0538"/>
    <w:rsid w:val="004B0712"/>
    <w:rsid w:val="004B4653"/>
    <w:rsid w:val="004B62CD"/>
    <w:rsid w:val="004B62EF"/>
    <w:rsid w:val="004B6C9A"/>
    <w:rsid w:val="004B7AD1"/>
    <w:rsid w:val="004C135A"/>
    <w:rsid w:val="004C46A9"/>
    <w:rsid w:val="004C524E"/>
    <w:rsid w:val="004C54E3"/>
    <w:rsid w:val="004C5C91"/>
    <w:rsid w:val="004C630A"/>
    <w:rsid w:val="004C7BEB"/>
    <w:rsid w:val="004D41D9"/>
    <w:rsid w:val="004D4AC1"/>
    <w:rsid w:val="004D56A6"/>
    <w:rsid w:val="004D6EC7"/>
    <w:rsid w:val="004E3B84"/>
    <w:rsid w:val="004E5167"/>
    <w:rsid w:val="004E676D"/>
    <w:rsid w:val="004E6A20"/>
    <w:rsid w:val="004E7C32"/>
    <w:rsid w:val="004E7F4B"/>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69AE"/>
    <w:rsid w:val="0051153E"/>
    <w:rsid w:val="00511AC7"/>
    <w:rsid w:val="0051227F"/>
    <w:rsid w:val="0051253C"/>
    <w:rsid w:val="00512775"/>
    <w:rsid w:val="005127C6"/>
    <w:rsid w:val="00517C0F"/>
    <w:rsid w:val="00520A50"/>
    <w:rsid w:val="00520CAB"/>
    <w:rsid w:val="005213A8"/>
    <w:rsid w:val="005239D3"/>
    <w:rsid w:val="00525AEB"/>
    <w:rsid w:val="00526BBB"/>
    <w:rsid w:val="0053117B"/>
    <w:rsid w:val="0053279A"/>
    <w:rsid w:val="005333D2"/>
    <w:rsid w:val="00534263"/>
    <w:rsid w:val="0053736E"/>
    <w:rsid w:val="00537A3D"/>
    <w:rsid w:val="00537CAD"/>
    <w:rsid w:val="0054268B"/>
    <w:rsid w:val="00543167"/>
    <w:rsid w:val="00543B7B"/>
    <w:rsid w:val="00543EAE"/>
    <w:rsid w:val="00545BA8"/>
    <w:rsid w:val="00546F4C"/>
    <w:rsid w:val="00550CEC"/>
    <w:rsid w:val="00553530"/>
    <w:rsid w:val="00554A2B"/>
    <w:rsid w:val="00554D3B"/>
    <w:rsid w:val="00555560"/>
    <w:rsid w:val="00556231"/>
    <w:rsid w:val="00556B14"/>
    <w:rsid w:val="005574D8"/>
    <w:rsid w:val="00557870"/>
    <w:rsid w:val="00560D55"/>
    <w:rsid w:val="00561582"/>
    <w:rsid w:val="0056368E"/>
    <w:rsid w:val="00564F2E"/>
    <w:rsid w:val="005659E7"/>
    <w:rsid w:val="005667E5"/>
    <w:rsid w:val="0056719D"/>
    <w:rsid w:val="00567DA0"/>
    <w:rsid w:val="005703B8"/>
    <w:rsid w:val="00570974"/>
    <w:rsid w:val="005709B0"/>
    <w:rsid w:val="00570FAC"/>
    <w:rsid w:val="00573E3D"/>
    <w:rsid w:val="005756F5"/>
    <w:rsid w:val="00576E0A"/>
    <w:rsid w:val="00576FE0"/>
    <w:rsid w:val="00580B29"/>
    <w:rsid w:val="00582CD7"/>
    <w:rsid w:val="0058799D"/>
    <w:rsid w:val="00592360"/>
    <w:rsid w:val="005945FE"/>
    <w:rsid w:val="0059604F"/>
    <w:rsid w:val="005965F9"/>
    <w:rsid w:val="005A12D8"/>
    <w:rsid w:val="005A1CC8"/>
    <w:rsid w:val="005A1F11"/>
    <w:rsid w:val="005A2166"/>
    <w:rsid w:val="005A2B95"/>
    <w:rsid w:val="005A3385"/>
    <w:rsid w:val="005A3862"/>
    <w:rsid w:val="005A7474"/>
    <w:rsid w:val="005A7977"/>
    <w:rsid w:val="005B1655"/>
    <w:rsid w:val="005B3D7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2290"/>
    <w:rsid w:val="005E4767"/>
    <w:rsid w:val="005E4B55"/>
    <w:rsid w:val="005E4BC8"/>
    <w:rsid w:val="005E705C"/>
    <w:rsid w:val="005E785E"/>
    <w:rsid w:val="005F0AC7"/>
    <w:rsid w:val="005F1E33"/>
    <w:rsid w:val="005F2574"/>
    <w:rsid w:val="005F3814"/>
    <w:rsid w:val="00601675"/>
    <w:rsid w:val="00602153"/>
    <w:rsid w:val="00603006"/>
    <w:rsid w:val="00604EEC"/>
    <w:rsid w:val="00604F89"/>
    <w:rsid w:val="0060711F"/>
    <w:rsid w:val="00610D03"/>
    <w:rsid w:val="00612F67"/>
    <w:rsid w:val="006152D1"/>
    <w:rsid w:val="00615D32"/>
    <w:rsid w:val="00615F30"/>
    <w:rsid w:val="006164CC"/>
    <w:rsid w:val="00617CEA"/>
    <w:rsid w:val="00621081"/>
    <w:rsid w:val="00621B2C"/>
    <w:rsid w:val="006225D5"/>
    <w:rsid w:val="00626D9E"/>
    <w:rsid w:val="00633CBD"/>
    <w:rsid w:val="006412AB"/>
    <w:rsid w:val="00642399"/>
    <w:rsid w:val="00644045"/>
    <w:rsid w:val="00645A8F"/>
    <w:rsid w:val="00646E90"/>
    <w:rsid w:val="006475CC"/>
    <w:rsid w:val="00650461"/>
    <w:rsid w:val="0065112C"/>
    <w:rsid w:val="00651209"/>
    <w:rsid w:val="00651CE3"/>
    <w:rsid w:val="00652520"/>
    <w:rsid w:val="00652995"/>
    <w:rsid w:val="00652B25"/>
    <w:rsid w:val="0065514C"/>
    <w:rsid w:val="00655864"/>
    <w:rsid w:val="00655D41"/>
    <w:rsid w:val="006569C9"/>
    <w:rsid w:val="006573C0"/>
    <w:rsid w:val="00660020"/>
    <w:rsid w:val="0066489A"/>
    <w:rsid w:val="0066563C"/>
    <w:rsid w:val="00666027"/>
    <w:rsid w:val="0066685E"/>
    <w:rsid w:val="00671555"/>
    <w:rsid w:val="006774A4"/>
    <w:rsid w:val="00682154"/>
    <w:rsid w:val="0068321A"/>
    <w:rsid w:val="0068357D"/>
    <w:rsid w:val="00686A71"/>
    <w:rsid w:val="006901E1"/>
    <w:rsid w:val="0069331A"/>
    <w:rsid w:val="006953E5"/>
    <w:rsid w:val="006A030E"/>
    <w:rsid w:val="006A0977"/>
    <w:rsid w:val="006A5947"/>
    <w:rsid w:val="006A6367"/>
    <w:rsid w:val="006A669D"/>
    <w:rsid w:val="006B14DD"/>
    <w:rsid w:val="006B55F8"/>
    <w:rsid w:val="006C0757"/>
    <w:rsid w:val="006C303F"/>
    <w:rsid w:val="006C4D4A"/>
    <w:rsid w:val="006C6455"/>
    <w:rsid w:val="006D0347"/>
    <w:rsid w:val="006D29AD"/>
    <w:rsid w:val="006D4340"/>
    <w:rsid w:val="006D496B"/>
    <w:rsid w:val="006D5081"/>
    <w:rsid w:val="006D59E3"/>
    <w:rsid w:val="006D5FCE"/>
    <w:rsid w:val="006E0D74"/>
    <w:rsid w:val="006E0E01"/>
    <w:rsid w:val="006E178E"/>
    <w:rsid w:val="006E1B6D"/>
    <w:rsid w:val="006E2C45"/>
    <w:rsid w:val="006E5DA4"/>
    <w:rsid w:val="006F1E78"/>
    <w:rsid w:val="006F26C8"/>
    <w:rsid w:val="006F44B6"/>
    <w:rsid w:val="006F6412"/>
    <w:rsid w:val="00701B05"/>
    <w:rsid w:val="007029F1"/>
    <w:rsid w:val="00703B4E"/>
    <w:rsid w:val="00703D3A"/>
    <w:rsid w:val="00707559"/>
    <w:rsid w:val="00707954"/>
    <w:rsid w:val="00713352"/>
    <w:rsid w:val="00714797"/>
    <w:rsid w:val="00714E16"/>
    <w:rsid w:val="007157C6"/>
    <w:rsid w:val="00715966"/>
    <w:rsid w:val="007177AF"/>
    <w:rsid w:val="00717D84"/>
    <w:rsid w:val="0072318F"/>
    <w:rsid w:val="007237F6"/>
    <w:rsid w:val="00724050"/>
    <w:rsid w:val="00726525"/>
    <w:rsid w:val="00730AA1"/>
    <w:rsid w:val="00732750"/>
    <w:rsid w:val="00732B1A"/>
    <w:rsid w:val="0073516F"/>
    <w:rsid w:val="00735235"/>
    <w:rsid w:val="00737FD2"/>
    <w:rsid w:val="00741E22"/>
    <w:rsid w:val="00744869"/>
    <w:rsid w:val="0074690D"/>
    <w:rsid w:val="007510E2"/>
    <w:rsid w:val="00751590"/>
    <w:rsid w:val="00751A7E"/>
    <w:rsid w:val="00753029"/>
    <w:rsid w:val="007540DF"/>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97EA0"/>
    <w:rsid w:val="007A1682"/>
    <w:rsid w:val="007A256C"/>
    <w:rsid w:val="007A336C"/>
    <w:rsid w:val="007A4135"/>
    <w:rsid w:val="007A44AB"/>
    <w:rsid w:val="007A5E97"/>
    <w:rsid w:val="007B2F13"/>
    <w:rsid w:val="007B3C60"/>
    <w:rsid w:val="007B5240"/>
    <w:rsid w:val="007B66DF"/>
    <w:rsid w:val="007C00AB"/>
    <w:rsid w:val="007C0630"/>
    <w:rsid w:val="007C4EA5"/>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4C92"/>
    <w:rsid w:val="007E51F7"/>
    <w:rsid w:val="007E5D3C"/>
    <w:rsid w:val="007F0BD9"/>
    <w:rsid w:val="007F10CB"/>
    <w:rsid w:val="007F2EB3"/>
    <w:rsid w:val="007F541F"/>
    <w:rsid w:val="007F55DC"/>
    <w:rsid w:val="007F5C35"/>
    <w:rsid w:val="007F6100"/>
    <w:rsid w:val="00801D74"/>
    <w:rsid w:val="008029A5"/>
    <w:rsid w:val="00804EAE"/>
    <w:rsid w:val="00805A62"/>
    <w:rsid w:val="008067C8"/>
    <w:rsid w:val="00807609"/>
    <w:rsid w:val="008100CA"/>
    <w:rsid w:val="00811120"/>
    <w:rsid w:val="0081122A"/>
    <w:rsid w:val="00811562"/>
    <w:rsid w:val="00816C29"/>
    <w:rsid w:val="00816F5C"/>
    <w:rsid w:val="00817488"/>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18BF"/>
    <w:rsid w:val="0085266D"/>
    <w:rsid w:val="00854200"/>
    <w:rsid w:val="00854A17"/>
    <w:rsid w:val="00855869"/>
    <w:rsid w:val="00855B90"/>
    <w:rsid w:val="00855FCC"/>
    <w:rsid w:val="008573E5"/>
    <w:rsid w:val="00861F61"/>
    <w:rsid w:val="00870455"/>
    <w:rsid w:val="0087365B"/>
    <w:rsid w:val="00875350"/>
    <w:rsid w:val="00875D9C"/>
    <w:rsid w:val="00880BA3"/>
    <w:rsid w:val="0088183A"/>
    <w:rsid w:val="00886FF6"/>
    <w:rsid w:val="0089169E"/>
    <w:rsid w:val="00891DCD"/>
    <w:rsid w:val="00891F0D"/>
    <w:rsid w:val="0089200A"/>
    <w:rsid w:val="00892EE2"/>
    <w:rsid w:val="00893A2D"/>
    <w:rsid w:val="008944A1"/>
    <w:rsid w:val="00894660"/>
    <w:rsid w:val="0089503F"/>
    <w:rsid w:val="008950B6"/>
    <w:rsid w:val="00895B4B"/>
    <w:rsid w:val="008A1A80"/>
    <w:rsid w:val="008A1E24"/>
    <w:rsid w:val="008A2FE5"/>
    <w:rsid w:val="008A3435"/>
    <w:rsid w:val="008A6B0D"/>
    <w:rsid w:val="008A7709"/>
    <w:rsid w:val="008B10BA"/>
    <w:rsid w:val="008B2418"/>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E63A1"/>
    <w:rsid w:val="008F2998"/>
    <w:rsid w:val="008F2FDC"/>
    <w:rsid w:val="008F5FAC"/>
    <w:rsid w:val="008F7996"/>
    <w:rsid w:val="009001E8"/>
    <w:rsid w:val="0090062F"/>
    <w:rsid w:val="00901755"/>
    <w:rsid w:val="00903404"/>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D05"/>
    <w:rsid w:val="009306BB"/>
    <w:rsid w:val="0093231B"/>
    <w:rsid w:val="009333F3"/>
    <w:rsid w:val="009337A9"/>
    <w:rsid w:val="00933FB3"/>
    <w:rsid w:val="00944EE3"/>
    <w:rsid w:val="0095070E"/>
    <w:rsid w:val="00956E3B"/>
    <w:rsid w:val="0095757F"/>
    <w:rsid w:val="00962EEC"/>
    <w:rsid w:val="009644F4"/>
    <w:rsid w:val="009652BB"/>
    <w:rsid w:val="00965F5C"/>
    <w:rsid w:val="0097048B"/>
    <w:rsid w:val="00972EEF"/>
    <w:rsid w:val="00973A7E"/>
    <w:rsid w:val="00973E9E"/>
    <w:rsid w:val="0097442B"/>
    <w:rsid w:val="0097636D"/>
    <w:rsid w:val="009765CD"/>
    <w:rsid w:val="00981A41"/>
    <w:rsid w:val="009826BC"/>
    <w:rsid w:val="00983357"/>
    <w:rsid w:val="00986E98"/>
    <w:rsid w:val="00990E70"/>
    <w:rsid w:val="009932D3"/>
    <w:rsid w:val="00993C2E"/>
    <w:rsid w:val="0099550A"/>
    <w:rsid w:val="00997C62"/>
    <w:rsid w:val="009A6211"/>
    <w:rsid w:val="009A6243"/>
    <w:rsid w:val="009A6556"/>
    <w:rsid w:val="009A6CCE"/>
    <w:rsid w:val="009A783D"/>
    <w:rsid w:val="009B051D"/>
    <w:rsid w:val="009B0C73"/>
    <w:rsid w:val="009B18C2"/>
    <w:rsid w:val="009B18EA"/>
    <w:rsid w:val="009B2BC2"/>
    <w:rsid w:val="009C27CA"/>
    <w:rsid w:val="009C2B42"/>
    <w:rsid w:val="009C54C2"/>
    <w:rsid w:val="009C5C69"/>
    <w:rsid w:val="009D084B"/>
    <w:rsid w:val="009D13C5"/>
    <w:rsid w:val="009D209B"/>
    <w:rsid w:val="009D6256"/>
    <w:rsid w:val="009D6F71"/>
    <w:rsid w:val="009E1775"/>
    <w:rsid w:val="009E42D2"/>
    <w:rsid w:val="009F102B"/>
    <w:rsid w:val="009F428A"/>
    <w:rsid w:val="00A01E92"/>
    <w:rsid w:val="00A030EE"/>
    <w:rsid w:val="00A073B9"/>
    <w:rsid w:val="00A10841"/>
    <w:rsid w:val="00A1672A"/>
    <w:rsid w:val="00A226FE"/>
    <w:rsid w:val="00A257BB"/>
    <w:rsid w:val="00A27F6D"/>
    <w:rsid w:val="00A3269A"/>
    <w:rsid w:val="00A33306"/>
    <w:rsid w:val="00A33FE3"/>
    <w:rsid w:val="00A34856"/>
    <w:rsid w:val="00A35CF1"/>
    <w:rsid w:val="00A36566"/>
    <w:rsid w:val="00A42C23"/>
    <w:rsid w:val="00A43150"/>
    <w:rsid w:val="00A43FA9"/>
    <w:rsid w:val="00A451BD"/>
    <w:rsid w:val="00A4592F"/>
    <w:rsid w:val="00A51F1B"/>
    <w:rsid w:val="00A56EE8"/>
    <w:rsid w:val="00A574D5"/>
    <w:rsid w:val="00A57D5D"/>
    <w:rsid w:val="00A600FF"/>
    <w:rsid w:val="00A6086E"/>
    <w:rsid w:val="00A611E2"/>
    <w:rsid w:val="00A6443B"/>
    <w:rsid w:val="00A650C6"/>
    <w:rsid w:val="00A65719"/>
    <w:rsid w:val="00A66ADE"/>
    <w:rsid w:val="00A674BD"/>
    <w:rsid w:val="00A675D0"/>
    <w:rsid w:val="00A707C9"/>
    <w:rsid w:val="00A71BF8"/>
    <w:rsid w:val="00A730BD"/>
    <w:rsid w:val="00A75ADB"/>
    <w:rsid w:val="00A778FD"/>
    <w:rsid w:val="00A80635"/>
    <w:rsid w:val="00A81848"/>
    <w:rsid w:val="00A82ED3"/>
    <w:rsid w:val="00A83509"/>
    <w:rsid w:val="00A85A38"/>
    <w:rsid w:val="00A9045A"/>
    <w:rsid w:val="00A95228"/>
    <w:rsid w:val="00A965EC"/>
    <w:rsid w:val="00A97647"/>
    <w:rsid w:val="00AA1B54"/>
    <w:rsid w:val="00AA1B8C"/>
    <w:rsid w:val="00AA2B09"/>
    <w:rsid w:val="00AA3086"/>
    <w:rsid w:val="00AA4BD3"/>
    <w:rsid w:val="00AA5F8C"/>
    <w:rsid w:val="00AA617A"/>
    <w:rsid w:val="00AA7909"/>
    <w:rsid w:val="00AB0261"/>
    <w:rsid w:val="00AB4FF2"/>
    <w:rsid w:val="00AB6237"/>
    <w:rsid w:val="00AB73FA"/>
    <w:rsid w:val="00AC0AED"/>
    <w:rsid w:val="00AC0CE4"/>
    <w:rsid w:val="00AC2344"/>
    <w:rsid w:val="00AC3691"/>
    <w:rsid w:val="00AC38B5"/>
    <w:rsid w:val="00AC3AFA"/>
    <w:rsid w:val="00AC76FB"/>
    <w:rsid w:val="00AE1390"/>
    <w:rsid w:val="00AE1CBA"/>
    <w:rsid w:val="00AE2658"/>
    <w:rsid w:val="00AE2CC7"/>
    <w:rsid w:val="00AE6808"/>
    <w:rsid w:val="00AF334E"/>
    <w:rsid w:val="00AF5F0C"/>
    <w:rsid w:val="00AF6BC3"/>
    <w:rsid w:val="00AF6BD8"/>
    <w:rsid w:val="00B00FA4"/>
    <w:rsid w:val="00B06616"/>
    <w:rsid w:val="00B06C9A"/>
    <w:rsid w:val="00B07B07"/>
    <w:rsid w:val="00B12014"/>
    <w:rsid w:val="00B125A5"/>
    <w:rsid w:val="00B12AFD"/>
    <w:rsid w:val="00B1329D"/>
    <w:rsid w:val="00B132AB"/>
    <w:rsid w:val="00B136CD"/>
    <w:rsid w:val="00B162C0"/>
    <w:rsid w:val="00B17981"/>
    <w:rsid w:val="00B17A71"/>
    <w:rsid w:val="00B17C9E"/>
    <w:rsid w:val="00B20E37"/>
    <w:rsid w:val="00B2379D"/>
    <w:rsid w:val="00B2553C"/>
    <w:rsid w:val="00B2689B"/>
    <w:rsid w:val="00B26CD4"/>
    <w:rsid w:val="00B27151"/>
    <w:rsid w:val="00B30AEB"/>
    <w:rsid w:val="00B3368A"/>
    <w:rsid w:val="00B360CE"/>
    <w:rsid w:val="00B41887"/>
    <w:rsid w:val="00B42B84"/>
    <w:rsid w:val="00B43273"/>
    <w:rsid w:val="00B44C83"/>
    <w:rsid w:val="00B45A07"/>
    <w:rsid w:val="00B500BA"/>
    <w:rsid w:val="00B5234D"/>
    <w:rsid w:val="00B52E79"/>
    <w:rsid w:val="00B530CC"/>
    <w:rsid w:val="00B57120"/>
    <w:rsid w:val="00B5754A"/>
    <w:rsid w:val="00B60E4E"/>
    <w:rsid w:val="00B616C7"/>
    <w:rsid w:val="00B619BD"/>
    <w:rsid w:val="00B63918"/>
    <w:rsid w:val="00B63EEA"/>
    <w:rsid w:val="00B648C9"/>
    <w:rsid w:val="00B665CA"/>
    <w:rsid w:val="00B67F2E"/>
    <w:rsid w:val="00B71163"/>
    <w:rsid w:val="00B71FCC"/>
    <w:rsid w:val="00B73D28"/>
    <w:rsid w:val="00B74FAB"/>
    <w:rsid w:val="00B77D02"/>
    <w:rsid w:val="00B80CFA"/>
    <w:rsid w:val="00B812D1"/>
    <w:rsid w:val="00B82937"/>
    <w:rsid w:val="00B84727"/>
    <w:rsid w:val="00B871A9"/>
    <w:rsid w:val="00B87AA2"/>
    <w:rsid w:val="00B907B0"/>
    <w:rsid w:val="00B91274"/>
    <w:rsid w:val="00B9344A"/>
    <w:rsid w:val="00B93477"/>
    <w:rsid w:val="00B94853"/>
    <w:rsid w:val="00B968E1"/>
    <w:rsid w:val="00B96A27"/>
    <w:rsid w:val="00BA0D8F"/>
    <w:rsid w:val="00BA4066"/>
    <w:rsid w:val="00BA492C"/>
    <w:rsid w:val="00BA5158"/>
    <w:rsid w:val="00BA6A0E"/>
    <w:rsid w:val="00BB41D1"/>
    <w:rsid w:val="00BB58C6"/>
    <w:rsid w:val="00BB6018"/>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4399"/>
    <w:rsid w:val="00BE44AB"/>
    <w:rsid w:val="00BE4769"/>
    <w:rsid w:val="00BE79AF"/>
    <w:rsid w:val="00BF0B7B"/>
    <w:rsid w:val="00BF459D"/>
    <w:rsid w:val="00BF48AC"/>
    <w:rsid w:val="00BF5E1E"/>
    <w:rsid w:val="00C01934"/>
    <w:rsid w:val="00C024F2"/>
    <w:rsid w:val="00C02844"/>
    <w:rsid w:val="00C02A03"/>
    <w:rsid w:val="00C03670"/>
    <w:rsid w:val="00C064DC"/>
    <w:rsid w:val="00C14721"/>
    <w:rsid w:val="00C15257"/>
    <w:rsid w:val="00C15EC2"/>
    <w:rsid w:val="00C167BD"/>
    <w:rsid w:val="00C16D79"/>
    <w:rsid w:val="00C208A6"/>
    <w:rsid w:val="00C22F2B"/>
    <w:rsid w:val="00C23D7C"/>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57FB"/>
    <w:rsid w:val="00C568DF"/>
    <w:rsid w:val="00C56CC3"/>
    <w:rsid w:val="00C578EE"/>
    <w:rsid w:val="00C57F10"/>
    <w:rsid w:val="00C6063A"/>
    <w:rsid w:val="00C62577"/>
    <w:rsid w:val="00C63DD3"/>
    <w:rsid w:val="00C65D48"/>
    <w:rsid w:val="00C67AD2"/>
    <w:rsid w:val="00C70378"/>
    <w:rsid w:val="00C7394B"/>
    <w:rsid w:val="00C756C9"/>
    <w:rsid w:val="00C778AE"/>
    <w:rsid w:val="00C77D29"/>
    <w:rsid w:val="00C8253A"/>
    <w:rsid w:val="00C84DA2"/>
    <w:rsid w:val="00C862EC"/>
    <w:rsid w:val="00C91BAF"/>
    <w:rsid w:val="00C93787"/>
    <w:rsid w:val="00CA5021"/>
    <w:rsid w:val="00CA68E5"/>
    <w:rsid w:val="00CB055A"/>
    <w:rsid w:val="00CB07E6"/>
    <w:rsid w:val="00CB2280"/>
    <w:rsid w:val="00CB4BFA"/>
    <w:rsid w:val="00CB518E"/>
    <w:rsid w:val="00CB621F"/>
    <w:rsid w:val="00CB652C"/>
    <w:rsid w:val="00CB7BC2"/>
    <w:rsid w:val="00CC0490"/>
    <w:rsid w:val="00CC055F"/>
    <w:rsid w:val="00CC241A"/>
    <w:rsid w:val="00CC29EE"/>
    <w:rsid w:val="00CC2E2A"/>
    <w:rsid w:val="00CD07B1"/>
    <w:rsid w:val="00CD17C3"/>
    <w:rsid w:val="00CD299F"/>
    <w:rsid w:val="00CD2AE0"/>
    <w:rsid w:val="00CD4042"/>
    <w:rsid w:val="00CD5786"/>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329F"/>
    <w:rsid w:val="00D036E5"/>
    <w:rsid w:val="00D04F16"/>
    <w:rsid w:val="00D071D1"/>
    <w:rsid w:val="00D10647"/>
    <w:rsid w:val="00D106AB"/>
    <w:rsid w:val="00D108D6"/>
    <w:rsid w:val="00D10DB3"/>
    <w:rsid w:val="00D1197F"/>
    <w:rsid w:val="00D1210E"/>
    <w:rsid w:val="00D125A9"/>
    <w:rsid w:val="00D13E44"/>
    <w:rsid w:val="00D150F3"/>
    <w:rsid w:val="00D162B5"/>
    <w:rsid w:val="00D17320"/>
    <w:rsid w:val="00D225E0"/>
    <w:rsid w:val="00D266F6"/>
    <w:rsid w:val="00D33CC7"/>
    <w:rsid w:val="00D34B0D"/>
    <w:rsid w:val="00D369AF"/>
    <w:rsid w:val="00D3714A"/>
    <w:rsid w:val="00D37BE6"/>
    <w:rsid w:val="00D41058"/>
    <w:rsid w:val="00D41F13"/>
    <w:rsid w:val="00D43C73"/>
    <w:rsid w:val="00D45128"/>
    <w:rsid w:val="00D45ED5"/>
    <w:rsid w:val="00D4684E"/>
    <w:rsid w:val="00D5047F"/>
    <w:rsid w:val="00D521E1"/>
    <w:rsid w:val="00D52258"/>
    <w:rsid w:val="00D53D81"/>
    <w:rsid w:val="00D54C85"/>
    <w:rsid w:val="00D559F3"/>
    <w:rsid w:val="00D55EE7"/>
    <w:rsid w:val="00D5778A"/>
    <w:rsid w:val="00D61F48"/>
    <w:rsid w:val="00D62069"/>
    <w:rsid w:val="00D64381"/>
    <w:rsid w:val="00D65B3A"/>
    <w:rsid w:val="00D6690A"/>
    <w:rsid w:val="00D704F2"/>
    <w:rsid w:val="00D71D3D"/>
    <w:rsid w:val="00D7289B"/>
    <w:rsid w:val="00D77F3A"/>
    <w:rsid w:val="00D80837"/>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F7D"/>
    <w:rsid w:val="00DD3473"/>
    <w:rsid w:val="00DD4D18"/>
    <w:rsid w:val="00DD5B96"/>
    <w:rsid w:val="00DD5ED1"/>
    <w:rsid w:val="00DD689C"/>
    <w:rsid w:val="00DE0F7B"/>
    <w:rsid w:val="00DE5F11"/>
    <w:rsid w:val="00DE783F"/>
    <w:rsid w:val="00DF010A"/>
    <w:rsid w:val="00DF1464"/>
    <w:rsid w:val="00DF42C1"/>
    <w:rsid w:val="00DF4506"/>
    <w:rsid w:val="00DF4A5A"/>
    <w:rsid w:val="00DF5A85"/>
    <w:rsid w:val="00DF7560"/>
    <w:rsid w:val="00E00318"/>
    <w:rsid w:val="00E02A17"/>
    <w:rsid w:val="00E04596"/>
    <w:rsid w:val="00E134E3"/>
    <w:rsid w:val="00E13C75"/>
    <w:rsid w:val="00E13F6A"/>
    <w:rsid w:val="00E16300"/>
    <w:rsid w:val="00E16ABA"/>
    <w:rsid w:val="00E179DC"/>
    <w:rsid w:val="00E20F8C"/>
    <w:rsid w:val="00E21E69"/>
    <w:rsid w:val="00E22288"/>
    <w:rsid w:val="00E22F20"/>
    <w:rsid w:val="00E24302"/>
    <w:rsid w:val="00E266C0"/>
    <w:rsid w:val="00E266FD"/>
    <w:rsid w:val="00E26BA3"/>
    <w:rsid w:val="00E31EBD"/>
    <w:rsid w:val="00E33383"/>
    <w:rsid w:val="00E35744"/>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56517"/>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271D"/>
    <w:rsid w:val="00E9534C"/>
    <w:rsid w:val="00EA48F0"/>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2303"/>
    <w:rsid w:val="00EE723E"/>
    <w:rsid w:val="00EE7279"/>
    <w:rsid w:val="00EF0368"/>
    <w:rsid w:val="00EF0B9E"/>
    <w:rsid w:val="00EF2482"/>
    <w:rsid w:val="00EF3542"/>
    <w:rsid w:val="00EF56AA"/>
    <w:rsid w:val="00EF6624"/>
    <w:rsid w:val="00F0088A"/>
    <w:rsid w:val="00F02897"/>
    <w:rsid w:val="00F02C70"/>
    <w:rsid w:val="00F03092"/>
    <w:rsid w:val="00F039C6"/>
    <w:rsid w:val="00F109A0"/>
    <w:rsid w:val="00F10BD6"/>
    <w:rsid w:val="00F10D82"/>
    <w:rsid w:val="00F13E13"/>
    <w:rsid w:val="00F13EA0"/>
    <w:rsid w:val="00F15B64"/>
    <w:rsid w:val="00F237D6"/>
    <w:rsid w:val="00F256FD"/>
    <w:rsid w:val="00F25B1B"/>
    <w:rsid w:val="00F262B8"/>
    <w:rsid w:val="00F33BF8"/>
    <w:rsid w:val="00F36007"/>
    <w:rsid w:val="00F41939"/>
    <w:rsid w:val="00F438AB"/>
    <w:rsid w:val="00F43A9F"/>
    <w:rsid w:val="00F44B5D"/>
    <w:rsid w:val="00F4721D"/>
    <w:rsid w:val="00F506CD"/>
    <w:rsid w:val="00F51513"/>
    <w:rsid w:val="00F5159D"/>
    <w:rsid w:val="00F560AF"/>
    <w:rsid w:val="00F56950"/>
    <w:rsid w:val="00F57115"/>
    <w:rsid w:val="00F600A0"/>
    <w:rsid w:val="00F6496C"/>
    <w:rsid w:val="00F65C2B"/>
    <w:rsid w:val="00F6636D"/>
    <w:rsid w:val="00F66C02"/>
    <w:rsid w:val="00F703F4"/>
    <w:rsid w:val="00F71941"/>
    <w:rsid w:val="00F72574"/>
    <w:rsid w:val="00F73FAE"/>
    <w:rsid w:val="00F7745C"/>
    <w:rsid w:val="00F774A3"/>
    <w:rsid w:val="00F80493"/>
    <w:rsid w:val="00F805C6"/>
    <w:rsid w:val="00F8688E"/>
    <w:rsid w:val="00F87F99"/>
    <w:rsid w:val="00F900BB"/>
    <w:rsid w:val="00F912E9"/>
    <w:rsid w:val="00F921CF"/>
    <w:rsid w:val="00F942B5"/>
    <w:rsid w:val="00F95269"/>
    <w:rsid w:val="00F96269"/>
    <w:rsid w:val="00F9643E"/>
    <w:rsid w:val="00F969C6"/>
    <w:rsid w:val="00F97BA1"/>
    <w:rsid w:val="00FA0285"/>
    <w:rsid w:val="00FA05E1"/>
    <w:rsid w:val="00FA2D9F"/>
    <w:rsid w:val="00FA59E9"/>
    <w:rsid w:val="00FA5C0D"/>
    <w:rsid w:val="00FA6F8A"/>
    <w:rsid w:val="00FA73DA"/>
    <w:rsid w:val="00FB0799"/>
    <w:rsid w:val="00FB089E"/>
    <w:rsid w:val="00FB10E1"/>
    <w:rsid w:val="00FB1478"/>
    <w:rsid w:val="00FB2275"/>
    <w:rsid w:val="00FB443F"/>
    <w:rsid w:val="00FB5FE1"/>
    <w:rsid w:val="00FC2C3B"/>
    <w:rsid w:val="00FC3AF7"/>
    <w:rsid w:val="00FC6EBF"/>
    <w:rsid w:val="00FC721D"/>
    <w:rsid w:val="00FD1716"/>
    <w:rsid w:val="00FD6EB8"/>
    <w:rsid w:val="00FE2BBF"/>
    <w:rsid w:val="00FE2E1B"/>
    <w:rsid w:val="00FE3664"/>
    <w:rsid w:val="00FE3EEA"/>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3.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36F614-E10D-4694-9988-5221A287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6267</Words>
  <Characters>35726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11</cp:revision>
  <cp:lastPrinted>2019-11-13T21:16:00Z</cp:lastPrinted>
  <dcterms:created xsi:type="dcterms:W3CDTF">2019-11-21T20:05:00Z</dcterms:created>
  <dcterms:modified xsi:type="dcterms:W3CDTF">2019-12-05T12:38:00Z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