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DB97" w14:textId="77777777" w:rsidR="004F0E7F" w:rsidRPr="00A50BA7" w:rsidRDefault="004F0E7F" w:rsidP="00933554">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6ACC2005" w14:textId="77777777" w:rsidR="004F0E7F" w:rsidRPr="00A50BA7" w:rsidRDefault="004F0E7F" w:rsidP="00933554">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33F55CDF" w14:textId="77777777" w:rsidR="004F0E7F" w:rsidRPr="00A50BA7" w:rsidRDefault="004F0E7F" w:rsidP="00933554">
      <w:pPr>
        <w:spacing w:after="0" w:line="240" w:lineRule="auto"/>
        <w:jc w:val="center"/>
        <w:rPr>
          <w:rFonts w:ascii="Times New Roman" w:eastAsia="Calibri" w:hAnsi="Times New Roman" w:cs="Times New Roman"/>
          <w:b/>
          <w:sz w:val="24"/>
          <w:szCs w:val="24"/>
          <w:u w:val="single"/>
        </w:rPr>
      </w:pPr>
    </w:p>
    <w:p w14:paraId="66F8B6FE" w14:textId="77777777" w:rsidR="004F0E7F" w:rsidRPr="00A50BA7" w:rsidRDefault="004F0E7F" w:rsidP="00933554">
      <w:pPr>
        <w:spacing w:after="0" w:line="240" w:lineRule="auto"/>
        <w:jc w:val="center"/>
        <w:rPr>
          <w:rFonts w:ascii="Times New Roman" w:eastAsia="Calibri" w:hAnsi="Times New Roman" w:cs="Times New Roman"/>
          <w:b/>
          <w:sz w:val="24"/>
          <w:szCs w:val="24"/>
          <w:u w:val="single"/>
        </w:rPr>
      </w:pPr>
    </w:p>
    <w:p w14:paraId="6E912243" w14:textId="77777777" w:rsidR="004F0E7F" w:rsidRPr="00A50BA7" w:rsidRDefault="004F0E7F" w:rsidP="00933554">
      <w:pPr>
        <w:spacing w:after="0" w:line="240" w:lineRule="auto"/>
        <w:jc w:val="center"/>
        <w:rPr>
          <w:rFonts w:ascii="Times New Roman" w:eastAsia="Calibri" w:hAnsi="Times New Roman" w:cs="Times New Roman"/>
          <w:b/>
          <w:sz w:val="24"/>
          <w:szCs w:val="24"/>
          <w:u w:val="single"/>
        </w:rPr>
      </w:pPr>
    </w:p>
    <w:p w14:paraId="50DC4512" w14:textId="3C789CCB"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Michele Hriadil and</w:t>
      </w:r>
      <w:r w:rsidR="00933554">
        <w:rPr>
          <w:rFonts w:ascii="Times New Roman" w:eastAsia="Calibri" w:hAnsi="Times New Roman" w:cs="Times New Roman"/>
          <w:sz w:val="24"/>
          <w:szCs w:val="24"/>
        </w:rPr>
        <w:t xml:space="preserve"> </w:t>
      </w:r>
      <w:r w:rsidR="00933554" w:rsidRPr="00933554">
        <w:rPr>
          <w:rFonts w:ascii="Times New Roman" w:eastAsia="Calibri" w:hAnsi="Times New Roman" w:cs="Times New Roman"/>
          <w:sz w:val="24"/>
          <w:szCs w:val="24"/>
        </w:rPr>
        <w:t>Francis Hriadil</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84C42CD" w14:textId="77777777"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0AB9F0C" w14:textId="77777777"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53014A67" w14:textId="77777777"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7390305A" w14:textId="77777777"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7D9BD751" w14:textId="77777777" w:rsidR="004F0E7F" w:rsidRPr="00A50BA7" w:rsidRDefault="004F0E7F" w:rsidP="00933554">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5EA02A8C" w14:textId="77777777" w:rsidR="004F0E7F" w:rsidRPr="00A50BA7" w:rsidRDefault="004F0E7F" w:rsidP="00933554">
      <w:pPr>
        <w:spacing w:after="0" w:line="240" w:lineRule="auto"/>
        <w:rPr>
          <w:rFonts w:ascii="Times New Roman" w:eastAsia="Calibri" w:hAnsi="Times New Roman" w:cs="Times New Roman"/>
          <w:sz w:val="24"/>
          <w:szCs w:val="24"/>
        </w:rPr>
      </w:pPr>
    </w:p>
    <w:p w14:paraId="418D1AE5" w14:textId="77777777" w:rsidR="004F0E7F" w:rsidRPr="00A50BA7" w:rsidRDefault="004F0E7F" w:rsidP="00933554">
      <w:pPr>
        <w:spacing w:after="0" w:line="240" w:lineRule="auto"/>
        <w:rPr>
          <w:rFonts w:ascii="Times New Roman" w:eastAsia="Calibri" w:hAnsi="Times New Roman" w:cs="Times New Roman"/>
          <w:sz w:val="24"/>
          <w:szCs w:val="24"/>
        </w:rPr>
      </w:pPr>
    </w:p>
    <w:p w14:paraId="3C76D0B1" w14:textId="77777777" w:rsidR="00933554" w:rsidRDefault="004F0E7F" w:rsidP="00933554">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INTERIM ORDER</w:t>
      </w:r>
    </w:p>
    <w:p w14:paraId="0551B04C" w14:textId="428326DD" w:rsidR="004F0E7F" w:rsidRPr="00933554" w:rsidRDefault="006B4C14" w:rsidP="00933554">
      <w:pPr>
        <w:tabs>
          <w:tab w:val="left" w:pos="1440"/>
        </w:tabs>
        <w:spacing w:after="0" w:line="240" w:lineRule="auto"/>
        <w:jc w:val="center"/>
        <w:rPr>
          <w:rFonts w:ascii="Times New Roman" w:eastAsia="Times New Roman" w:hAnsi="Times New Roman" w:cs="Times New Roman"/>
          <w:b/>
          <w:sz w:val="24"/>
          <w:szCs w:val="24"/>
          <w:u w:val="single"/>
        </w:rPr>
      </w:pPr>
      <w:r w:rsidRPr="00933554">
        <w:rPr>
          <w:rFonts w:ascii="Times New Roman" w:eastAsia="Times New Roman" w:hAnsi="Times New Roman" w:cs="Times New Roman"/>
          <w:b/>
          <w:sz w:val="24"/>
          <w:szCs w:val="24"/>
          <w:u w:val="single"/>
        </w:rPr>
        <w:t xml:space="preserve">REQUIRING STATUS REPORT </w:t>
      </w:r>
    </w:p>
    <w:p w14:paraId="1D9CC81E" w14:textId="22B5F880" w:rsidR="006B4C14" w:rsidRDefault="006B4C14" w:rsidP="00933554">
      <w:pPr>
        <w:spacing w:after="0" w:line="360" w:lineRule="auto"/>
        <w:ind w:firstLine="1440"/>
        <w:rPr>
          <w:rFonts w:ascii="Times New Roman" w:eastAsia="Calibri" w:hAnsi="Times New Roman" w:cs="Times New Roman"/>
          <w:sz w:val="24"/>
          <w:szCs w:val="24"/>
        </w:rPr>
      </w:pPr>
    </w:p>
    <w:p w14:paraId="7669FD51" w14:textId="690E105D" w:rsidR="006B4C14" w:rsidRDefault="006B4C14" w:rsidP="00933554">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5E6907">
        <w:rPr>
          <w:rFonts w:ascii="Times New Roman" w:eastAsia="Calibri" w:hAnsi="Times New Roman" w:cs="Times New Roman"/>
          <w:i/>
          <w:sz w:val="24"/>
          <w:szCs w:val="24"/>
        </w:rPr>
        <w:t>inter alia</w:t>
      </w:r>
      <w:r w:rsidRPr="005E690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smart meters are unsafe, present privacy concerns, are vulnerable to cyber threats, are inferior in quality to analog meters and present serious health concerns.  Complainants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there is a correlation to radio frequency (RF) exposure </w:t>
      </w:r>
      <w:r>
        <w:rPr>
          <w:rFonts w:ascii="Times New Roman" w:eastAsia="Calibri" w:hAnsi="Times New Roman" w:cs="Times New Roman"/>
          <w:sz w:val="24"/>
          <w:szCs w:val="24"/>
        </w:rPr>
        <w:t>and</w:t>
      </w:r>
      <w:r w:rsidRPr="005E690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young and elderly populations, are particularly susceptible to these harmful effects and that Complainants are elderly and suffer from chronic conditions.  Complainants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smart meters are not certified by </w:t>
      </w:r>
      <w:r>
        <w:rPr>
          <w:rFonts w:ascii="Times New Roman" w:eastAsia="Calibri" w:hAnsi="Times New Roman" w:cs="Times New Roman"/>
          <w:sz w:val="24"/>
          <w:szCs w:val="24"/>
        </w:rPr>
        <w:t>U</w:t>
      </w:r>
      <w:r w:rsidRPr="005E6907">
        <w:rPr>
          <w:rFonts w:ascii="Times New Roman" w:eastAsia="Calibri" w:hAnsi="Times New Roman" w:cs="Times New Roman"/>
          <w:sz w:val="24"/>
          <w:szCs w:val="24"/>
        </w:rPr>
        <w:t xml:space="preserve">nderwriters </w:t>
      </w:r>
      <w:r>
        <w:rPr>
          <w:rFonts w:ascii="Times New Roman" w:eastAsia="Calibri" w:hAnsi="Times New Roman" w:cs="Times New Roman"/>
          <w:sz w:val="24"/>
          <w:szCs w:val="24"/>
        </w:rPr>
        <w:t>L</w:t>
      </w:r>
      <w:r w:rsidRPr="005E690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5B96A34A" w14:textId="77777777" w:rsidR="00933554" w:rsidRPr="005E6907" w:rsidRDefault="00933554" w:rsidP="00933554">
      <w:pPr>
        <w:spacing w:after="0" w:line="360" w:lineRule="auto"/>
        <w:ind w:firstLine="1440"/>
        <w:rPr>
          <w:rFonts w:ascii="Times New Roman" w:eastAsia="Calibri" w:hAnsi="Times New Roman" w:cs="Times New Roman"/>
          <w:sz w:val="24"/>
          <w:szCs w:val="24"/>
        </w:rPr>
      </w:pPr>
    </w:p>
    <w:p w14:paraId="080C2A67" w14:textId="77777777" w:rsidR="006B4C14" w:rsidRDefault="006B4C14" w:rsidP="00933554">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On November 4, 2016, Respondent filed an Answer and New Matter to the Complaint, essentially denying the material allegations set forth in the Complaint.  Respondent </w:t>
      </w:r>
      <w:r w:rsidRPr="005E6907">
        <w:rPr>
          <w:rFonts w:ascii="Times New Roman" w:eastAsia="Calibri" w:hAnsi="Times New Roman" w:cs="Times New Roman"/>
          <w:sz w:val="24"/>
          <w:szCs w:val="24"/>
        </w:rPr>
        <w:lastRenderedPageBreak/>
        <w:t>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Complainants have refused to permit technicians to install a smart meter in their home.  Respondent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it is required by Act 129 of 2008,</w:t>
      </w:r>
      <w:r w:rsidRPr="005E6907">
        <w:rPr>
          <w:rFonts w:ascii="Times New Roman" w:eastAsia="Calibri" w:hAnsi="Times New Roman" w:cs="Times New Roman"/>
          <w:sz w:val="24"/>
          <w:szCs w:val="24"/>
          <w:vertAlign w:val="superscript"/>
        </w:rPr>
        <w:footnoteReference w:id="1"/>
      </w:r>
      <w:r w:rsidRPr="005E6907">
        <w:rPr>
          <w:rFonts w:ascii="Times New Roman" w:eastAsia="Calibri" w:hAnsi="Times New Roman" w:cs="Times New Roman"/>
          <w:sz w:val="24"/>
          <w:szCs w:val="24"/>
        </w:rPr>
        <w:t xml:space="preserve"> to install the </w:t>
      </w:r>
      <w:r>
        <w:rPr>
          <w:rFonts w:ascii="Times New Roman" w:eastAsia="Calibri" w:hAnsi="Times New Roman" w:cs="Times New Roman"/>
          <w:sz w:val="24"/>
          <w:szCs w:val="24"/>
        </w:rPr>
        <w:t>smart</w:t>
      </w:r>
      <w:r w:rsidRPr="005E6907">
        <w:rPr>
          <w:rFonts w:ascii="Times New Roman" w:eastAsia="Calibri" w:hAnsi="Times New Roman" w:cs="Times New Roman"/>
          <w:sz w:val="24"/>
          <w:szCs w:val="24"/>
        </w:rPr>
        <w:t xml:space="preserve"> meter. </w:t>
      </w:r>
    </w:p>
    <w:p w14:paraId="41E04F6F" w14:textId="77777777" w:rsidR="006B4C14" w:rsidRDefault="006B4C14" w:rsidP="00933554">
      <w:pPr>
        <w:spacing w:after="0" w:line="360" w:lineRule="auto"/>
        <w:ind w:firstLine="1440"/>
        <w:rPr>
          <w:rFonts w:ascii="Times New Roman" w:eastAsia="Calibri" w:hAnsi="Times New Roman" w:cs="Times New Roman"/>
          <w:sz w:val="24"/>
          <w:szCs w:val="24"/>
        </w:rPr>
      </w:pPr>
    </w:p>
    <w:p w14:paraId="5B281146" w14:textId="7F272162" w:rsidR="006B4C14" w:rsidRPr="005E6907" w:rsidRDefault="00D76DEF" w:rsidP="009335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evidentiary hearing was scheduled for </w:t>
      </w:r>
      <w:r w:rsidR="006B4C14">
        <w:rPr>
          <w:rFonts w:ascii="Times New Roman" w:eastAsia="Calibri" w:hAnsi="Times New Roman" w:cs="Times New Roman"/>
          <w:sz w:val="24"/>
          <w:szCs w:val="24"/>
        </w:rPr>
        <w:t>November 20-21, 2019.</w:t>
      </w:r>
      <w:r w:rsidR="006B4C14" w:rsidRPr="005E6907">
        <w:rPr>
          <w:rFonts w:ascii="Times New Roman" w:eastAsia="Calibri" w:hAnsi="Times New Roman" w:cs="Times New Roman"/>
          <w:sz w:val="24"/>
          <w:szCs w:val="24"/>
        </w:rPr>
        <w:t xml:space="preserve">  </w:t>
      </w:r>
    </w:p>
    <w:p w14:paraId="2B2B8638" w14:textId="77777777" w:rsidR="006B4C14" w:rsidRPr="005E6907" w:rsidRDefault="006B4C14" w:rsidP="00933554">
      <w:pPr>
        <w:spacing w:after="0" w:line="360" w:lineRule="auto"/>
        <w:ind w:firstLine="1530"/>
        <w:rPr>
          <w:rFonts w:ascii="Times New Roman" w:eastAsia="Calibri" w:hAnsi="Times New Roman" w:cs="Times New Roman"/>
          <w:sz w:val="24"/>
          <w:szCs w:val="24"/>
        </w:rPr>
      </w:pPr>
    </w:p>
    <w:p w14:paraId="31BBB7E6" w14:textId="55806121" w:rsidR="006B4C14" w:rsidRDefault="006B4C14" w:rsidP="00933554">
      <w:pPr>
        <w:tabs>
          <w:tab w:val="left" w:pos="1543"/>
        </w:tabs>
        <w:spacing w:after="0" w:line="360" w:lineRule="auto"/>
        <w:ind w:firstLine="810"/>
        <w:rPr>
          <w:rFonts w:ascii="Times New Roman" w:hAnsi="Times New Roman" w:cs="Times New Roman"/>
          <w:sz w:val="24"/>
          <w:szCs w:val="24"/>
        </w:rPr>
      </w:pPr>
      <w:r>
        <w:rPr>
          <w:rFonts w:ascii="Times New Roman" w:hAnsi="Times New Roman" w:cs="Times New Roman"/>
          <w:sz w:val="24"/>
          <w:szCs w:val="24"/>
        </w:rPr>
        <w:t xml:space="preserve">            On November 12, 2019, Complainant filed a Motion For A Continuance To Provide The Complainants With Sufficient Time To Both Properly Review And Address The Respondent’s Detailed, Concurrent Motions In Limine And Complete Our Final Hearing Preparations.  Complainants indicated they were seeking a fair remedy of circumstances created by Respondent’s filing of multiple Motions in Limine</w:t>
      </w:r>
      <w:r w:rsidR="00933554">
        <w:rPr>
          <w:rFonts w:ascii="Times New Roman" w:hAnsi="Times New Roman" w:cs="Times New Roman"/>
          <w:sz w:val="24"/>
          <w:szCs w:val="24"/>
        </w:rPr>
        <w:t xml:space="preserve">.  </w:t>
      </w:r>
      <w:r>
        <w:rPr>
          <w:rFonts w:ascii="Times New Roman" w:hAnsi="Times New Roman" w:cs="Times New Roman"/>
          <w:sz w:val="24"/>
          <w:szCs w:val="24"/>
        </w:rPr>
        <w:t>Complainants also filed other documentation, not in the form of motions, including letters dated November 8, 2019, explaining their position and requesting a continuance, among other things.  Complainants requested that the hearing be continued until April of 2020.</w:t>
      </w:r>
    </w:p>
    <w:p w14:paraId="098AC9A0" w14:textId="77777777" w:rsidR="006B4C14" w:rsidRDefault="006B4C14" w:rsidP="00933554">
      <w:pPr>
        <w:tabs>
          <w:tab w:val="left" w:pos="2160"/>
        </w:tabs>
        <w:spacing w:after="0" w:line="360" w:lineRule="auto"/>
        <w:ind w:firstLine="1440"/>
        <w:rPr>
          <w:rFonts w:ascii="Times New Roman" w:hAnsi="Times New Roman" w:cs="Times New Roman"/>
          <w:sz w:val="24"/>
          <w:szCs w:val="24"/>
        </w:rPr>
      </w:pPr>
    </w:p>
    <w:p w14:paraId="2C65B526" w14:textId="77777777" w:rsidR="006B4C14" w:rsidRDefault="006B4C14" w:rsidP="009335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did not establish that good cause existed to continue the hearing scheduled for November 20-21, 2019.  In addition, the issues raised by the filing of the Motions in Limine were addressed in the Interim Order entered on November 14, 2019 and the order addressing the Motion in Limine to Preclude Complainants’ Purported Expert Testimony entered on November 15, 2019.  Accordingly, the request for continuance was denied by interim order entered on November 15, 2019.  </w:t>
      </w:r>
    </w:p>
    <w:p w14:paraId="54E34B38" w14:textId="77777777" w:rsidR="006B4C14" w:rsidRDefault="006B4C14" w:rsidP="00933554">
      <w:pPr>
        <w:spacing w:after="0" w:line="360" w:lineRule="auto"/>
        <w:ind w:firstLine="1440"/>
        <w:rPr>
          <w:rFonts w:ascii="Times New Roman" w:eastAsia="Calibri" w:hAnsi="Times New Roman" w:cs="Times New Roman"/>
          <w:sz w:val="24"/>
          <w:szCs w:val="24"/>
        </w:rPr>
      </w:pPr>
    </w:p>
    <w:p w14:paraId="2EC98A12" w14:textId="02BDDF94" w:rsidR="006B4C14" w:rsidRDefault="006B4C14" w:rsidP="009335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17, 2019, Complainants filed a pleading entitled “Objection To A</w:t>
      </w:r>
      <w:r w:rsidR="00933554">
        <w:rPr>
          <w:rFonts w:ascii="Times New Roman" w:eastAsia="Calibri" w:hAnsi="Times New Roman" w:cs="Times New Roman"/>
          <w:sz w:val="24"/>
          <w:szCs w:val="24"/>
        </w:rPr>
        <w:t>LJ</w:t>
      </w:r>
      <w:r>
        <w:rPr>
          <w:rFonts w:ascii="Times New Roman" w:eastAsia="Calibri" w:hAnsi="Times New Roman" w:cs="Times New Roman"/>
          <w:sz w:val="24"/>
          <w:szCs w:val="24"/>
        </w:rPr>
        <w:t xml:space="preserve"> Watson’s Two (2) November 14 and 15 Interim Orders Holding In Abeyance Respondent’s Two Motions In Limine Until The Morning Of Our Hearing, </w:t>
      </w:r>
      <w:r w:rsidR="00056F64">
        <w:rPr>
          <w:rFonts w:ascii="Times New Roman" w:eastAsia="Calibri" w:hAnsi="Times New Roman" w:cs="Times New Roman"/>
          <w:sz w:val="24"/>
          <w:szCs w:val="24"/>
        </w:rPr>
        <w:t>A</w:t>
      </w:r>
      <w:r>
        <w:rPr>
          <w:rFonts w:ascii="Times New Roman" w:eastAsia="Calibri" w:hAnsi="Times New Roman" w:cs="Times New Roman"/>
          <w:sz w:val="24"/>
          <w:szCs w:val="24"/>
        </w:rPr>
        <w:t>nd Three (3) November 15 Interim Orders Denying A Summary Judgment Because Of The Circumstances Or Even A Continuance, And Motion For Reconsideration”.  Complainant’s essentially argue</w:t>
      </w:r>
      <w:r w:rsidR="00D76DEF">
        <w:rPr>
          <w:rFonts w:ascii="Times New Roman" w:eastAsia="Calibri" w:hAnsi="Times New Roman" w:cs="Times New Roman"/>
          <w:sz w:val="24"/>
          <w:szCs w:val="24"/>
        </w:rPr>
        <w:t>d</w:t>
      </w:r>
      <w:r>
        <w:rPr>
          <w:rFonts w:ascii="Times New Roman" w:eastAsia="Calibri" w:hAnsi="Times New Roman" w:cs="Times New Roman"/>
          <w:sz w:val="24"/>
          <w:szCs w:val="24"/>
        </w:rPr>
        <w:t xml:space="preserve"> that the recent interim </w:t>
      </w:r>
      <w:r w:rsidR="00D76DEF">
        <w:rPr>
          <w:rFonts w:ascii="Times New Roman" w:eastAsia="Calibri" w:hAnsi="Times New Roman" w:cs="Times New Roman"/>
          <w:sz w:val="24"/>
          <w:szCs w:val="24"/>
        </w:rPr>
        <w:t>ord</w:t>
      </w:r>
      <w:r>
        <w:rPr>
          <w:rFonts w:ascii="Times New Roman" w:eastAsia="Calibri" w:hAnsi="Times New Roman" w:cs="Times New Roman"/>
          <w:sz w:val="24"/>
          <w:szCs w:val="24"/>
        </w:rPr>
        <w:t xml:space="preserve">ers entered in this proceeding were unfair, excessive and placed an undue burden upon Complainants and that Complainants could not properly prepare for the hearing scheduled in November of 2019 in a case filed by Complainants on October 3, 2016.  </w:t>
      </w:r>
      <w:r>
        <w:rPr>
          <w:rFonts w:ascii="Times New Roman" w:eastAsia="Calibri" w:hAnsi="Times New Roman" w:cs="Times New Roman"/>
          <w:sz w:val="24"/>
          <w:szCs w:val="24"/>
        </w:rPr>
        <w:lastRenderedPageBreak/>
        <w:t>Complainants also asserted that the harm being done to Complainants and their case constitute</w:t>
      </w:r>
      <w:r w:rsidR="00D76DEF">
        <w:rPr>
          <w:rFonts w:ascii="Times New Roman" w:eastAsia="Calibri" w:hAnsi="Times New Roman" w:cs="Times New Roman"/>
          <w:sz w:val="24"/>
          <w:szCs w:val="24"/>
        </w:rPr>
        <w:t>d</w:t>
      </w:r>
      <w:r>
        <w:rPr>
          <w:rFonts w:ascii="Times New Roman" w:eastAsia="Calibri" w:hAnsi="Times New Roman" w:cs="Times New Roman"/>
          <w:sz w:val="24"/>
          <w:szCs w:val="24"/>
        </w:rPr>
        <w:t xml:space="preserve"> violations of “Pa Code § 5.361(a)(2) and the Americans with Disabilities Act (ADA)…”.  No specific relief or remedy was requested other than that “our request for a continuance be granted, at a minimum.”  The Pleading was received by the Commission secretary on November 18, 2019. </w:t>
      </w:r>
    </w:p>
    <w:p w14:paraId="04C2AF82" w14:textId="77777777" w:rsidR="006B4C14" w:rsidRDefault="006B4C14" w:rsidP="009335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BD3AEF9" w14:textId="09E93C12" w:rsidR="006B4C14" w:rsidRDefault="006B4C14" w:rsidP="009335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18, 2019, Complainant, Francis Hriadil provided a one-page letter to the undersigned presiding officer which stated that a copy was provided to counsel for Respondent and to the Commission Secretary.  The letter</w:t>
      </w:r>
      <w:r w:rsidR="00D76DEF">
        <w:rPr>
          <w:rFonts w:ascii="Times New Roman" w:eastAsia="Calibri" w:hAnsi="Times New Roman" w:cs="Times New Roman"/>
          <w:sz w:val="24"/>
          <w:szCs w:val="24"/>
        </w:rPr>
        <w:t xml:space="preserve"> was</w:t>
      </w:r>
      <w:r>
        <w:rPr>
          <w:rFonts w:ascii="Times New Roman" w:eastAsia="Calibri" w:hAnsi="Times New Roman" w:cs="Times New Roman"/>
          <w:sz w:val="24"/>
          <w:szCs w:val="24"/>
        </w:rPr>
        <w:t xml:space="preserve"> treated as a request for a continuance based upon Complainant’s statement that he received a message from Respondent which provided Respondent’s Supplemental Exhibit F-8.  Complainant state</w:t>
      </w:r>
      <w:r w:rsidR="00D76DEF">
        <w:rPr>
          <w:rFonts w:ascii="Times New Roman" w:eastAsia="Calibri" w:hAnsi="Times New Roman" w:cs="Times New Roman"/>
          <w:sz w:val="24"/>
          <w:szCs w:val="24"/>
        </w:rPr>
        <w:t>d</w:t>
      </w:r>
      <w:r>
        <w:rPr>
          <w:rFonts w:ascii="Times New Roman" w:eastAsia="Calibri" w:hAnsi="Times New Roman" w:cs="Times New Roman"/>
          <w:sz w:val="24"/>
          <w:szCs w:val="24"/>
        </w:rPr>
        <w:t xml:space="preserve"> in his letter that counsel advised Complainant in the message of November 18, 2019 , in part:</w:t>
      </w:r>
    </w:p>
    <w:p w14:paraId="42EC4865" w14:textId="77777777" w:rsidR="006B4C14" w:rsidRDefault="006B4C14" w:rsidP="00933554">
      <w:pPr>
        <w:spacing w:after="0" w:line="360" w:lineRule="auto"/>
        <w:ind w:firstLine="1440"/>
        <w:rPr>
          <w:rFonts w:ascii="Times New Roman" w:eastAsia="Calibri" w:hAnsi="Times New Roman" w:cs="Times New Roman"/>
          <w:sz w:val="24"/>
          <w:szCs w:val="24"/>
        </w:rPr>
      </w:pPr>
    </w:p>
    <w:p w14:paraId="7DA21E88"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 was informed this morning that Duquesne Light </w:t>
      </w:r>
    </w:p>
    <w:p w14:paraId="4F7A516C"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is deploying new IPv6 routers in your neighborhood.  </w:t>
      </w:r>
    </w:p>
    <w:p w14:paraId="22928C8E"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I’ve been told that these routers may alter the duty cycle </w:t>
      </w:r>
    </w:p>
    <w:p w14:paraId="6B26E1C6"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for the smart meters being deployed in your neighborhood.  </w:t>
      </w:r>
    </w:p>
    <w:p w14:paraId="4DB05FFE"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The attached supplemental exhibit contains information </w:t>
      </w:r>
    </w:p>
    <w:p w14:paraId="025F5EE1"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about the meter’s duty cycle.  We also may be following </w:t>
      </w:r>
    </w:p>
    <w:p w14:paraId="1FC79BC8"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up with supplemental calculations from Dr. Cotts as soon </w:t>
      </w:r>
    </w:p>
    <w:p w14:paraId="47B00A6B" w14:textId="77777777" w:rsidR="006B4C14" w:rsidRDefault="006B4C14" w:rsidP="006B4C14">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as we receive them.”</w:t>
      </w:r>
    </w:p>
    <w:p w14:paraId="478C95A5" w14:textId="77777777" w:rsidR="006B4C14" w:rsidRDefault="006B4C14" w:rsidP="00933554">
      <w:pPr>
        <w:spacing w:after="0" w:line="360" w:lineRule="auto"/>
        <w:rPr>
          <w:rFonts w:ascii="Times New Roman" w:eastAsia="Calibri" w:hAnsi="Times New Roman" w:cs="Times New Roman"/>
          <w:sz w:val="24"/>
          <w:szCs w:val="24"/>
        </w:rPr>
      </w:pPr>
    </w:p>
    <w:p w14:paraId="6F32E28B" w14:textId="4D035D9E" w:rsidR="006B4C14" w:rsidRDefault="006B4C14" w:rsidP="00933554">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056F64">
        <w:rPr>
          <w:rFonts w:ascii="Times New Roman" w:eastAsia="Calibri" w:hAnsi="Times New Roman" w:cs="Times New Roman"/>
          <w:sz w:val="24"/>
          <w:szCs w:val="24"/>
        </w:rPr>
        <w:tab/>
      </w:r>
      <w:r>
        <w:rPr>
          <w:rFonts w:ascii="Times New Roman" w:eastAsia="Calibri" w:hAnsi="Times New Roman" w:cs="Times New Roman"/>
          <w:sz w:val="24"/>
          <w:szCs w:val="24"/>
        </w:rPr>
        <w:t xml:space="preserve">Complainant, Francis Hriadil stated that he did not have sufficient time to properly review and assess this new information and that Complainants required a continuance to properly prepare for the hearing based upon this new information.  Based upon the concerns raised in the letter from Complainant, Francis Hriadil, dated November 18, 2019, </w:t>
      </w:r>
      <w:r>
        <w:rPr>
          <w:rFonts w:ascii="Times New Roman" w:hAnsi="Times New Roman" w:cs="Times New Roman"/>
          <w:sz w:val="24"/>
          <w:szCs w:val="24"/>
        </w:rPr>
        <w:t xml:space="preserve">an interim order was entered on November 19, 2019 granting the Motion </w:t>
      </w:r>
      <w:r w:rsidR="005A7544">
        <w:rPr>
          <w:rFonts w:ascii="Times New Roman" w:hAnsi="Times New Roman" w:cs="Times New Roman"/>
          <w:sz w:val="24"/>
          <w:szCs w:val="24"/>
        </w:rPr>
        <w:t>to</w:t>
      </w:r>
      <w:r>
        <w:rPr>
          <w:rFonts w:ascii="Times New Roman" w:hAnsi="Times New Roman" w:cs="Times New Roman"/>
          <w:sz w:val="24"/>
          <w:szCs w:val="24"/>
        </w:rPr>
        <w:t xml:space="preserve"> Continue </w:t>
      </w:r>
      <w:r w:rsidR="00D11664">
        <w:rPr>
          <w:rFonts w:ascii="Times New Roman" w:hAnsi="Times New Roman" w:cs="Times New Roman"/>
          <w:sz w:val="24"/>
          <w:szCs w:val="24"/>
        </w:rPr>
        <w:t xml:space="preserve">of </w:t>
      </w:r>
      <w:r>
        <w:rPr>
          <w:rFonts w:ascii="Times New Roman" w:hAnsi="Times New Roman" w:cs="Times New Roman"/>
          <w:sz w:val="24"/>
          <w:szCs w:val="24"/>
        </w:rPr>
        <w:t>the evidentiary hearing scheduled for November 20-21, 2019 for the reason set forth above.</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Times New Roman" w:hAnsi="Times New Roman" w:cs="Times New Roman"/>
          <w:sz w:val="24"/>
          <w:szCs w:val="24"/>
        </w:rPr>
        <w:tab/>
      </w:r>
      <w:r w:rsidR="00E56518">
        <w:rPr>
          <w:rFonts w:ascii="Times New Roman" w:eastAsia="Times New Roman" w:hAnsi="Times New Roman" w:cs="Times New Roman"/>
          <w:sz w:val="24"/>
          <w:szCs w:val="24"/>
        </w:rPr>
        <w:tab/>
      </w:r>
      <w:bookmarkStart w:id="0" w:name="_GoBack"/>
      <w:bookmarkEnd w:id="0"/>
      <w:r w:rsidR="00D76DEF">
        <w:rPr>
          <w:rFonts w:ascii="Times New Roman" w:eastAsia="Times New Roman" w:hAnsi="Times New Roman" w:cs="Times New Roman"/>
          <w:sz w:val="24"/>
          <w:szCs w:val="24"/>
        </w:rPr>
        <w:t>Under the circumstances, the following order will be entered.</w:t>
      </w:r>
    </w:p>
    <w:p w14:paraId="79646675" w14:textId="77777777" w:rsidR="00D76DEF" w:rsidRDefault="00D76DEF" w:rsidP="00933554">
      <w:pPr>
        <w:spacing w:after="0" w:line="360" w:lineRule="auto"/>
        <w:rPr>
          <w:rFonts w:ascii="Times New Roman" w:eastAsia="Times New Roman" w:hAnsi="Times New Roman" w:cs="Times New Roman"/>
          <w:sz w:val="24"/>
          <w:szCs w:val="24"/>
        </w:rPr>
      </w:pPr>
    </w:p>
    <w:p w14:paraId="0E29F43F" w14:textId="77777777" w:rsidR="006B4C14" w:rsidRDefault="006B4C14" w:rsidP="00933554">
      <w:pPr>
        <w:spacing w:after="0" w:line="360" w:lineRule="auto"/>
        <w:rPr>
          <w:rFonts w:ascii="Times New Roman" w:eastAsia="Times New Roman" w:hAnsi="Times New Roman" w:cs="Times New Roman"/>
          <w:sz w:val="24"/>
          <w:szCs w:val="24"/>
        </w:rPr>
      </w:pPr>
    </w:p>
    <w:p w14:paraId="7A8BD133" w14:textId="77777777" w:rsidR="006B4C14" w:rsidRDefault="006B4C14" w:rsidP="00933554">
      <w:pPr>
        <w:spacing w:after="0" w:line="360" w:lineRule="auto"/>
        <w:rPr>
          <w:rFonts w:ascii="Times New Roman" w:eastAsia="Times New Roman" w:hAnsi="Times New Roman" w:cs="Times New Roman"/>
          <w:sz w:val="24"/>
          <w:szCs w:val="24"/>
        </w:rPr>
      </w:pPr>
    </w:p>
    <w:p w14:paraId="60E59A32" w14:textId="77777777" w:rsidR="006B4C14" w:rsidRDefault="006B4C14" w:rsidP="00933554">
      <w:pPr>
        <w:spacing w:after="0" w:line="360" w:lineRule="auto"/>
        <w:rPr>
          <w:rFonts w:ascii="Times New Roman" w:eastAsia="Times New Roman" w:hAnsi="Times New Roman" w:cs="Times New Roman"/>
          <w:sz w:val="24"/>
          <w:szCs w:val="24"/>
        </w:rPr>
      </w:pPr>
    </w:p>
    <w:p w14:paraId="6A53932A" w14:textId="77777777" w:rsidR="006B4C14" w:rsidRDefault="006B4C14" w:rsidP="00933554">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THEREFORE,</w:t>
      </w:r>
    </w:p>
    <w:p w14:paraId="23419624" w14:textId="77777777" w:rsidR="006B4C14" w:rsidRDefault="006B4C14" w:rsidP="00933554">
      <w:pPr>
        <w:spacing w:after="0" w:line="360" w:lineRule="auto"/>
        <w:ind w:firstLine="1530"/>
        <w:rPr>
          <w:rFonts w:ascii="Times New Roman" w:eastAsia="Calibri" w:hAnsi="Times New Roman" w:cs="Times New Roman"/>
          <w:sz w:val="24"/>
          <w:szCs w:val="24"/>
        </w:rPr>
      </w:pPr>
    </w:p>
    <w:p w14:paraId="26299B6D" w14:textId="77777777" w:rsidR="006B4C14" w:rsidRDefault="006B4C14" w:rsidP="00933554">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14:paraId="253C6EDB" w14:textId="77777777" w:rsidR="006B4C14" w:rsidRDefault="006B4C14" w:rsidP="00933554">
      <w:pPr>
        <w:spacing w:after="0" w:line="360" w:lineRule="auto"/>
        <w:ind w:firstLine="1530"/>
        <w:rPr>
          <w:rFonts w:ascii="Times New Roman" w:eastAsia="Calibri" w:hAnsi="Times New Roman" w:cs="Times New Roman"/>
          <w:sz w:val="24"/>
          <w:szCs w:val="24"/>
        </w:rPr>
      </w:pPr>
    </w:p>
    <w:p w14:paraId="1A757B43" w14:textId="3197C945" w:rsidR="006B4C14" w:rsidRPr="00913355" w:rsidRDefault="006B4C14" w:rsidP="00933554">
      <w:pPr>
        <w:numPr>
          <w:ilvl w:val="0"/>
          <w:numId w:val="5"/>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Pr>
          <w:rFonts w:ascii="Times New Roman" w:eastAsia="Times New Roman" w:hAnsi="Times New Roman" w:cs="Times New Roman"/>
          <w:sz w:val="24"/>
          <w:szCs w:val="24"/>
        </w:rPr>
        <w:t xml:space="preserve">That the </w:t>
      </w:r>
      <w:r w:rsidR="00D76DEF">
        <w:rPr>
          <w:rFonts w:ascii="Times New Roman" w:eastAsia="Times New Roman" w:hAnsi="Times New Roman" w:cs="Times New Roman"/>
          <w:sz w:val="24"/>
          <w:szCs w:val="24"/>
        </w:rPr>
        <w:t xml:space="preserve">Parties may engage in discovery related to Respondent’s proposed </w:t>
      </w:r>
      <w:r w:rsidR="00D76DEF">
        <w:rPr>
          <w:rFonts w:ascii="Times New Roman" w:eastAsia="Calibri" w:hAnsi="Times New Roman" w:cs="Times New Roman"/>
          <w:sz w:val="24"/>
          <w:szCs w:val="24"/>
        </w:rPr>
        <w:t xml:space="preserve">Respondent’s Proposed Supplemental Exhibit F-8 provided to the undersigned presiding officer and Complainants on or about November 18, 2019 and any expert opinions or changes to expert opinions of either party related to the substance of Respondent’s Proposed Supplemental Exhibit F-8.  The discovery shall be completed on or before </w:t>
      </w:r>
      <w:r w:rsidR="005614B2">
        <w:rPr>
          <w:rFonts w:ascii="Times New Roman" w:eastAsia="Calibri" w:hAnsi="Times New Roman" w:cs="Times New Roman"/>
          <w:sz w:val="24"/>
          <w:szCs w:val="24"/>
        </w:rPr>
        <w:t>December 31, 2019.</w:t>
      </w:r>
      <w:r>
        <w:rPr>
          <w:rFonts w:ascii="Times New Roman" w:hAnsi="Times New Roman" w:cs="Times New Roman"/>
          <w:sz w:val="24"/>
          <w:szCs w:val="24"/>
        </w:rPr>
        <w:br/>
      </w:r>
    </w:p>
    <w:p w14:paraId="2806798E" w14:textId="2711269F" w:rsidR="006B4C14" w:rsidRDefault="005614B2" w:rsidP="00933554">
      <w:pPr>
        <w:numPr>
          <w:ilvl w:val="0"/>
          <w:numId w:val="5"/>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Pr>
          <w:rFonts w:ascii="Times New Roman" w:hAnsi="Times New Roman" w:cs="Times New Roman"/>
          <w:sz w:val="24"/>
          <w:szCs w:val="24"/>
        </w:rPr>
        <w:t xml:space="preserve">Any expert reports or changes to expert reports or opinions of any experts related to </w:t>
      </w:r>
      <w:r>
        <w:rPr>
          <w:rFonts w:ascii="Times New Roman" w:eastAsia="Calibri" w:hAnsi="Times New Roman" w:cs="Times New Roman"/>
          <w:sz w:val="24"/>
          <w:szCs w:val="24"/>
        </w:rPr>
        <w:t xml:space="preserve">Respondent’s Proposed Supplemental Exhibit F-8 </w:t>
      </w:r>
      <w:r>
        <w:rPr>
          <w:rFonts w:ascii="Times New Roman" w:hAnsi="Times New Roman" w:cs="Times New Roman"/>
          <w:sz w:val="24"/>
          <w:szCs w:val="24"/>
        </w:rPr>
        <w:t>shall be exchanged by the parties on or before January 31, 2020.</w:t>
      </w:r>
      <w:r w:rsidR="003436A7">
        <w:rPr>
          <w:rFonts w:ascii="Times New Roman" w:hAnsi="Times New Roman" w:cs="Times New Roman"/>
          <w:sz w:val="24"/>
          <w:szCs w:val="24"/>
        </w:rPr>
        <w:br/>
      </w:r>
    </w:p>
    <w:p w14:paraId="648EB30B" w14:textId="466B6687" w:rsidR="003436A7" w:rsidRPr="003436A7"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t>3</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t>The parties are encouraged to attempt to discuss and attempt to resolve any issues regarding the preparation or presentation of evidence prior to the rescheduled 2-day hearing in this proceeding.</w:t>
      </w:r>
    </w:p>
    <w:p w14:paraId="51778FE7" w14:textId="77777777" w:rsidR="003436A7" w:rsidRPr="003436A7" w:rsidRDefault="003436A7"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p>
    <w:p w14:paraId="72D861C3" w14:textId="0D842D03" w:rsidR="003436A7" w:rsidRPr="003436A7"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t>4</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t>The in-person hearing shall be rescheduled for 2 consecutive days in March of 2020, beginning each day at 10:00 a.m.</w:t>
      </w:r>
    </w:p>
    <w:p w14:paraId="722B75AA" w14:textId="77777777" w:rsidR="003436A7" w:rsidRPr="003436A7" w:rsidRDefault="003436A7"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p>
    <w:p w14:paraId="084DF678" w14:textId="3CE0D89A" w:rsidR="003436A7" w:rsidRPr="003436A7"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t>5</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t xml:space="preserve">The parties shall promptly contact all of their respective witnesses and identify all dates in which the witnesses will be able to provide testimony in this proceeding from </w:t>
      </w:r>
      <w:r w:rsidR="00D11664">
        <w:rPr>
          <w:rFonts w:ascii="Times New Roman" w:eastAsia="Times New Roman" w:hAnsi="Times New Roman"/>
          <w:sz w:val="24"/>
          <w:szCs w:val="20"/>
        </w:rPr>
        <w:t>March 2 – 5, 11, 12, 1</w:t>
      </w:r>
      <w:r w:rsidR="0014146C">
        <w:rPr>
          <w:rFonts w:ascii="Times New Roman" w:eastAsia="Times New Roman" w:hAnsi="Times New Roman"/>
          <w:sz w:val="24"/>
          <w:szCs w:val="20"/>
        </w:rPr>
        <w:t>7 -</w:t>
      </w:r>
      <w:r w:rsidR="00D11664">
        <w:rPr>
          <w:rFonts w:ascii="Times New Roman" w:eastAsia="Times New Roman" w:hAnsi="Times New Roman"/>
          <w:sz w:val="24"/>
          <w:szCs w:val="20"/>
        </w:rPr>
        <w:t xml:space="preserve"> 19</w:t>
      </w:r>
      <w:r w:rsidR="0014146C">
        <w:rPr>
          <w:rFonts w:ascii="Times New Roman" w:eastAsia="Times New Roman" w:hAnsi="Times New Roman"/>
          <w:sz w:val="24"/>
          <w:szCs w:val="20"/>
        </w:rPr>
        <w:t>, 23 – 26, 2020</w:t>
      </w:r>
      <w:r w:rsidR="003436A7" w:rsidRPr="003436A7">
        <w:rPr>
          <w:rFonts w:ascii="Times New Roman" w:eastAsia="Times New Roman" w:hAnsi="Times New Roman"/>
          <w:sz w:val="24"/>
          <w:szCs w:val="20"/>
        </w:rPr>
        <w:t>.  The parties shall promptly confer after contacting their witnesses and attempt to agree on the dates for the rescheduled hearing in March of 2020 from the available dates set forth above.  If the parties can agree on the hearing dates, the parties shall identify the agreed upon dates for the rescheduled hearing in their status report.</w:t>
      </w:r>
    </w:p>
    <w:p w14:paraId="31F508E0" w14:textId="77777777" w:rsidR="003436A7" w:rsidRPr="003436A7" w:rsidRDefault="003436A7"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p>
    <w:p w14:paraId="20624475" w14:textId="694EAF91" w:rsidR="003436A7" w:rsidRPr="003436A7"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t>6</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r>
      <w:r w:rsidR="003436A7" w:rsidRPr="0014146C">
        <w:rPr>
          <w:rFonts w:ascii="Times New Roman" w:eastAsia="Times New Roman" w:hAnsi="Times New Roman"/>
          <w:b/>
          <w:bCs/>
          <w:sz w:val="24"/>
          <w:szCs w:val="20"/>
        </w:rPr>
        <w:t>On or before December 31, 2019</w:t>
      </w:r>
      <w:r w:rsidR="003436A7" w:rsidRPr="003436A7">
        <w:rPr>
          <w:rFonts w:ascii="Times New Roman" w:eastAsia="Times New Roman" w:hAnsi="Times New Roman"/>
          <w:sz w:val="24"/>
          <w:szCs w:val="20"/>
        </w:rPr>
        <w:t>, the Parties shall file a status report and serve the opposing party and the undersigned presiding officer.</w:t>
      </w:r>
    </w:p>
    <w:p w14:paraId="74E8F020" w14:textId="77777777" w:rsidR="003436A7" w:rsidRPr="003436A7" w:rsidRDefault="003436A7"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p>
    <w:p w14:paraId="27510199" w14:textId="752BE4DD" w:rsidR="003436A7" w:rsidRPr="003436A7"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lastRenderedPageBreak/>
        <w:t>7</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t xml:space="preserve">  In the event the parties cannot agree on a hearing date, the parties shall specify, in their status report, at least three periods of consecutive days from the dates provided above in which the parties and their witnesses will be available to testify.</w:t>
      </w:r>
    </w:p>
    <w:p w14:paraId="69B71BBA" w14:textId="77777777" w:rsidR="003436A7" w:rsidRPr="003436A7" w:rsidRDefault="003436A7"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p>
    <w:p w14:paraId="58037156" w14:textId="5649954A" w:rsidR="003436A7" w:rsidRPr="005614B2" w:rsidRDefault="00933554" w:rsidP="00933554">
      <w:pPr>
        <w:tabs>
          <w:tab w:val="left" w:pos="0"/>
        </w:tabs>
        <w:autoSpaceDE w:val="0"/>
        <w:autoSpaceDN w:val="0"/>
        <w:spacing w:after="0" w:line="360" w:lineRule="auto"/>
        <w:ind w:firstLine="1440"/>
        <w:contextualSpacing/>
        <w:rPr>
          <w:rFonts w:ascii="Times New Roman" w:eastAsia="Times New Roman" w:hAnsi="Times New Roman"/>
          <w:sz w:val="24"/>
          <w:szCs w:val="20"/>
        </w:rPr>
      </w:pPr>
      <w:r>
        <w:rPr>
          <w:rFonts w:ascii="Times New Roman" w:eastAsia="Times New Roman" w:hAnsi="Times New Roman"/>
          <w:sz w:val="24"/>
          <w:szCs w:val="20"/>
        </w:rPr>
        <w:t>8</w:t>
      </w:r>
      <w:r w:rsidR="003436A7" w:rsidRPr="003436A7">
        <w:rPr>
          <w:rFonts w:ascii="Times New Roman" w:eastAsia="Times New Roman" w:hAnsi="Times New Roman"/>
          <w:sz w:val="24"/>
          <w:szCs w:val="20"/>
        </w:rPr>
        <w:t>.</w:t>
      </w:r>
      <w:r w:rsidR="003436A7" w:rsidRPr="003436A7">
        <w:rPr>
          <w:rFonts w:ascii="Times New Roman" w:eastAsia="Times New Roman" w:hAnsi="Times New Roman"/>
          <w:sz w:val="24"/>
          <w:szCs w:val="20"/>
        </w:rPr>
        <w:tab/>
        <w:t xml:space="preserve">That the deadline to comply with all of the terms and provisions of the interim order entered on June 7, 2019, including but not limited to serving copies of any additional proposed exhibits to the opposing party and the undersigned presiding officer is hereby extended until February 14, 2020.  </w:t>
      </w:r>
    </w:p>
    <w:p w14:paraId="585220F8" w14:textId="77777777" w:rsidR="00420EC4" w:rsidRDefault="00420EC4" w:rsidP="00933554">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61C7A4FB" w14:textId="77777777" w:rsidR="00420EC4" w:rsidRPr="008C4C28" w:rsidRDefault="00420EC4" w:rsidP="00933554">
      <w:pPr>
        <w:spacing w:after="0" w:line="36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14:paraId="431117B0" w14:textId="3E3B5DB7" w:rsidR="00420EC4" w:rsidRPr="002C4677" w:rsidRDefault="00420EC4" w:rsidP="00420EC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Pr="00933554">
        <w:rPr>
          <w:rFonts w:ascii="Times New Roman" w:eastAsia="Times New Roman" w:hAnsi="Times New Roman" w:cs="Times New Roman"/>
          <w:sz w:val="24"/>
          <w:szCs w:val="24"/>
          <w:u w:val="single"/>
        </w:rPr>
        <w:t>December 11,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01C68100" w14:textId="77777777" w:rsidR="00420EC4" w:rsidRPr="002C4677" w:rsidRDefault="00420EC4" w:rsidP="00420EC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109BFCF6" w14:textId="0319545C" w:rsidR="00420EC4" w:rsidRDefault="00420EC4" w:rsidP="00420EC4">
      <w:pPr>
        <w:widowControl w:val="0"/>
        <w:tabs>
          <w:tab w:val="left" w:pos="0"/>
        </w:tabs>
        <w:autoSpaceDE w:val="0"/>
        <w:autoSpaceDN w:val="0"/>
        <w:adjustRightInd w:val="0"/>
        <w:spacing w:after="0" w:line="240" w:lineRule="auto"/>
        <w:jc w:val="both"/>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7FBC6D6B" w14:textId="7ABE97A8" w:rsidR="006B4C14" w:rsidRDefault="006B4C14" w:rsidP="004F0E7F">
      <w:pPr>
        <w:spacing w:after="0" w:line="360" w:lineRule="auto"/>
        <w:ind w:firstLine="1440"/>
        <w:rPr>
          <w:rFonts w:ascii="Times New Roman" w:eastAsia="Calibri" w:hAnsi="Times New Roman" w:cs="Times New Roman"/>
          <w:sz w:val="24"/>
          <w:szCs w:val="24"/>
        </w:rPr>
      </w:pPr>
    </w:p>
    <w:p w14:paraId="7CCCF68C" w14:textId="5E1B5610" w:rsidR="006B4C14" w:rsidRDefault="006B4C14" w:rsidP="004F0E7F">
      <w:pPr>
        <w:spacing w:after="0" w:line="360" w:lineRule="auto"/>
        <w:ind w:firstLine="1440"/>
        <w:rPr>
          <w:rFonts w:ascii="Times New Roman" w:eastAsia="Calibri" w:hAnsi="Times New Roman" w:cs="Times New Roman"/>
          <w:sz w:val="24"/>
          <w:szCs w:val="24"/>
        </w:rPr>
      </w:pPr>
    </w:p>
    <w:p w14:paraId="59C191BB" w14:textId="72009EAE" w:rsidR="006B4C14" w:rsidRDefault="006B4C14" w:rsidP="004F0E7F">
      <w:pPr>
        <w:spacing w:after="0" w:line="360" w:lineRule="auto"/>
        <w:ind w:firstLine="1440"/>
        <w:rPr>
          <w:rFonts w:ascii="Times New Roman" w:eastAsia="Calibri" w:hAnsi="Times New Roman" w:cs="Times New Roman"/>
          <w:sz w:val="24"/>
          <w:szCs w:val="24"/>
        </w:rPr>
      </w:pPr>
    </w:p>
    <w:p w14:paraId="0DD52073" w14:textId="77777777" w:rsidR="0014146C" w:rsidRDefault="0014146C" w:rsidP="0014146C">
      <w:pPr>
        <w:spacing w:after="0" w:line="360" w:lineRule="auto"/>
        <w:rPr>
          <w:rFonts w:ascii="Times New Roman" w:eastAsia="Calibri" w:hAnsi="Times New Roman" w:cs="Times New Roman"/>
          <w:sz w:val="24"/>
          <w:szCs w:val="24"/>
        </w:rPr>
        <w:sectPr w:rsidR="0014146C" w:rsidSect="0014146C">
          <w:footerReference w:type="default" r:id="rId7"/>
          <w:pgSz w:w="12240" w:h="15840"/>
          <w:pgMar w:top="1440" w:right="1440" w:bottom="1440" w:left="1440" w:header="720" w:footer="720" w:gutter="0"/>
          <w:cols w:space="720"/>
          <w:titlePg/>
          <w:docGrid w:linePitch="360"/>
        </w:sectPr>
      </w:pPr>
    </w:p>
    <w:p w14:paraId="444A9207" w14:textId="77777777" w:rsidR="0014146C" w:rsidRPr="0014146C" w:rsidRDefault="0014146C" w:rsidP="0014146C">
      <w:pPr>
        <w:spacing w:after="0" w:line="240" w:lineRule="auto"/>
        <w:contextualSpacing/>
        <w:rPr>
          <w:rFonts w:ascii="Microsoft Sans Serif" w:eastAsiaTheme="minorEastAsia"/>
          <w:sz w:val="24"/>
        </w:rPr>
      </w:pPr>
      <w:r w:rsidRPr="0014146C">
        <w:rPr>
          <w:rFonts w:ascii="Microsoft Sans Serif" w:eastAsiaTheme="minorEastAsia"/>
          <w:b/>
          <w:sz w:val="24"/>
          <w:u w:val="single"/>
        </w:rPr>
        <w:lastRenderedPageBreak/>
        <w:t>C-2016-2571726 - MICHELE HRIADIL &amp; FRANCIS HRIADIL v. DUQUESNE LIGHT COMPANY</w:t>
      </w:r>
      <w:r w:rsidRPr="0014146C">
        <w:rPr>
          <w:rFonts w:ascii="Microsoft Sans Serif" w:eastAsiaTheme="minorEastAsia"/>
          <w:b/>
          <w:sz w:val="24"/>
          <w:u w:val="single"/>
        </w:rPr>
        <w:cr/>
      </w:r>
      <w:r w:rsidRPr="0014146C">
        <w:rPr>
          <w:rFonts w:ascii="Microsoft Sans Serif" w:eastAsiaTheme="minorEastAsia"/>
          <w:b/>
          <w:sz w:val="24"/>
          <w:u w:val="single"/>
        </w:rPr>
        <w:cr/>
      </w:r>
      <w:r w:rsidRPr="0014146C">
        <w:rPr>
          <w:rFonts w:ascii="Microsoft Sans Serif" w:eastAsiaTheme="minorEastAsia"/>
          <w:sz w:val="24"/>
        </w:rPr>
        <w:t xml:space="preserve"> </w:t>
      </w:r>
      <w:r w:rsidRPr="0014146C">
        <w:rPr>
          <w:rFonts w:ascii="Microsoft Sans Serif" w:eastAsiaTheme="minorEastAsia"/>
          <w:sz w:val="24"/>
        </w:rPr>
        <w:cr/>
        <w:t xml:space="preserve"> </w:t>
      </w:r>
      <w:r w:rsidRPr="0014146C">
        <w:rPr>
          <w:rFonts w:ascii="Microsoft Sans Serif" w:eastAsiaTheme="minorEastAsia"/>
          <w:sz w:val="24"/>
        </w:rPr>
        <w:cr/>
        <w:t>MICHELE HRIADIL</w:t>
      </w:r>
    </w:p>
    <w:p w14:paraId="7BD0DD7F" w14:textId="77777777" w:rsidR="0014146C" w:rsidRPr="0014146C" w:rsidRDefault="0014146C" w:rsidP="0014146C">
      <w:pPr>
        <w:spacing w:after="0" w:line="240" w:lineRule="auto"/>
        <w:contextualSpacing/>
        <w:rPr>
          <w:rFonts w:eastAsiaTheme="minorEastAsia"/>
        </w:rPr>
      </w:pPr>
      <w:r w:rsidRPr="0014146C">
        <w:rPr>
          <w:rFonts w:ascii="Microsoft Sans Serif" w:eastAsiaTheme="minorEastAsia"/>
          <w:sz w:val="24"/>
        </w:rPr>
        <w:t>FRANCIS HRIADIL</w:t>
      </w:r>
      <w:r w:rsidRPr="0014146C">
        <w:rPr>
          <w:rFonts w:ascii="Microsoft Sans Serif" w:eastAsiaTheme="minorEastAsia"/>
          <w:sz w:val="24"/>
        </w:rPr>
        <w:cr/>
        <w:t>331 SHADY RIDGE DRIVE</w:t>
      </w:r>
      <w:r w:rsidRPr="0014146C">
        <w:rPr>
          <w:rFonts w:ascii="Microsoft Sans Serif" w:eastAsiaTheme="minorEastAsia"/>
          <w:sz w:val="24"/>
        </w:rPr>
        <w:cr/>
        <w:t>MONROEVILLE PA  15146-7510</w:t>
      </w:r>
      <w:r w:rsidRPr="0014146C">
        <w:rPr>
          <w:rFonts w:ascii="Microsoft Sans Serif" w:eastAsiaTheme="minorEastAsia"/>
          <w:sz w:val="24"/>
        </w:rPr>
        <w:cr/>
        <w:t>412.779.3314</w:t>
      </w:r>
      <w:r w:rsidRPr="0014146C">
        <w:rPr>
          <w:rFonts w:ascii="Microsoft Sans Serif" w:eastAsiaTheme="minorEastAsia"/>
          <w:sz w:val="24"/>
        </w:rPr>
        <w:cr/>
      </w:r>
    </w:p>
    <w:p w14:paraId="16CE51DE" w14:textId="77777777" w:rsidR="0014146C" w:rsidRPr="0014146C" w:rsidRDefault="0014146C" w:rsidP="0014146C">
      <w:pPr>
        <w:spacing w:after="0" w:line="240" w:lineRule="auto"/>
        <w:rPr>
          <w:rFonts w:ascii="Microsoft Sans Serif" w:eastAsiaTheme="minorEastAsia"/>
          <w:sz w:val="24"/>
        </w:rPr>
      </w:pPr>
      <w:r w:rsidRPr="0014146C">
        <w:rPr>
          <w:rFonts w:ascii="Microsoft Sans Serif" w:eastAsiaTheme="minorEastAsia"/>
          <w:sz w:val="24"/>
        </w:rPr>
        <w:t xml:space="preserve">JEREMY V FARRELL ESQUIRE </w:t>
      </w:r>
      <w:r w:rsidRPr="0014146C">
        <w:rPr>
          <w:rFonts w:ascii="Microsoft Sans Serif" w:eastAsiaTheme="minorEastAsia"/>
          <w:sz w:val="24"/>
        </w:rPr>
        <w:cr/>
        <w:t>PAUL SHANE MILLER ESQUIRE</w:t>
      </w:r>
    </w:p>
    <w:p w14:paraId="04276787" w14:textId="77777777" w:rsidR="0014146C" w:rsidRPr="0014146C" w:rsidRDefault="0014146C" w:rsidP="0014146C">
      <w:pPr>
        <w:spacing w:after="0" w:line="240" w:lineRule="auto"/>
        <w:rPr>
          <w:rFonts w:ascii="Microsoft Sans Serif" w:eastAsiaTheme="minorEastAsia"/>
          <w:sz w:val="24"/>
        </w:rPr>
      </w:pPr>
      <w:r w:rsidRPr="0014146C">
        <w:rPr>
          <w:rFonts w:ascii="Microsoft Sans Serif" w:eastAsiaTheme="minorEastAsia"/>
          <w:sz w:val="24"/>
        </w:rPr>
        <w:t xml:space="preserve">LAUREN N </w:t>
      </w:r>
      <w:proofErr w:type="spellStart"/>
      <w:r w:rsidRPr="0014146C">
        <w:rPr>
          <w:rFonts w:ascii="Microsoft Sans Serif" w:eastAsiaTheme="minorEastAsia"/>
          <w:sz w:val="24"/>
        </w:rPr>
        <w:t>RULLI</w:t>
      </w:r>
      <w:proofErr w:type="spellEnd"/>
      <w:r w:rsidRPr="0014146C">
        <w:rPr>
          <w:rFonts w:ascii="Microsoft Sans Serif" w:eastAsiaTheme="minorEastAsia"/>
          <w:sz w:val="24"/>
        </w:rPr>
        <w:t xml:space="preserve"> ESQUIRE</w:t>
      </w:r>
      <w:r w:rsidRPr="0014146C">
        <w:rPr>
          <w:rFonts w:ascii="Microsoft Sans Serif" w:eastAsiaTheme="minorEastAsia"/>
          <w:sz w:val="24"/>
        </w:rPr>
        <w:cr/>
        <w:t xml:space="preserve">TUCKER </w:t>
      </w:r>
      <w:proofErr w:type="spellStart"/>
      <w:r w:rsidRPr="0014146C">
        <w:rPr>
          <w:rFonts w:ascii="Microsoft Sans Serif" w:eastAsiaTheme="minorEastAsia"/>
          <w:sz w:val="24"/>
        </w:rPr>
        <w:t>ARENSBERG</w:t>
      </w:r>
      <w:proofErr w:type="spellEnd"/>
      <w:r w:rsidRPr="0014146C">
        <w:rPr>
          <w:rFonts w:ascii="Microsoft Sans Serif" w:eastAsiaTheme="minorEastAsia"/>
          <w:sz w:val="24"/>
        </w:rPr>
        <w:t xml:space="preserve"> PC</w:t>
      </w:r>
      <w:r w:rsidRPr="0014146C">
        <w:rPr>
          <w:rFonts w:ascii="Microsoft Sans Serif" w:eastAsiaTheme="minorEastAsia"/>
          <w:sz w:val="24"/>
        </w:rPr>
        <w:cr/>
        <w:t>1500 ONE PPG PLACE</w:t>
      </w:r>
      <w:r w:rsidRPr="0014146C">
        <w:rPr>
          <w:rFonts w:ascii="Microsoft Sans Serif" w:eastAsiaTheme="minorEastAsia"/>
          <w:sz w:val="24"/>
        </w:rPr>
        <w:cr/>
        <w:t>PITTSBURGH PA  15222</w:t>
      </w:r>
      <w:r w:rsidRPr="0014146C">
        <w:rPr>
          <w:rFonts w:ascii="Microsoft Sans Serif" w:eastAsiaTheme="minorEastAsia"/>
          <w:sz w:val="24"/>
        </w:rPr>
        <w:cr/>
        <w:t>412.594.3938</w:t>
      </w:r>
    </w:p>
    <w:p w14:paraId="76BB4A28" w14:textId="77777777" w:rsidR="0014146C" w:rsidRPr="0014146C" w:rsidRDefault="0014146C" w:rsidP="0014146C">
      <w:pPr>
        <w:spacing w:after="0" w:line="240" w:lineRule="auto"/>
        <w:rPr>
          <w:rFonts w:eastAsiaTheme="minorEastAsia"/>
          <w:b/>
          <w:i/>
          <w:u w:val="single"/>
        </w:rPr>
      </w:pPr>
      <w:r w:rsidRPr="0014146C">
        <w:rPr>
          <w:rFonts w:ascii="Microsoft Sans Serif" w:eastAsiaTheme="minorEastAsia"/>
          <w:sz w:val="24"/>
        </w:rPr>
        <w:t>412.594.5503</w:t>
      </w:r>
      <w:r w:rsidRPr="0014146C">
        <w:rPr>
          <w:rFonts w:ascii="Microsoft Sans Serif" w:eastAsiaTheme="minorEastAsia"/>
          <w:sz w:val="24"/>
        </w:rPr>
        <w:cr/>
        <w:t>412.594.5510</w:t>
      </w:r>
      <w:r w:rsidRPr="0014146C">
        <w:rPr>
          <w:rFonts w:ascii="Microsoft Sans Serif" w:eastAsiaTheme="minorEastAsia"/>
          <w:sz w:val="24"/>
        </w:rPr>
        <w:cr/>
      </w:r>
      <w:r w:rsidRPr="0014146C">
        <w:rPr>
          <w:rFonts w:ascii="Microsoft Sans Serif" w:eastAsiaTheme="minorEastAsia"/>
          <w:b/>
          <w:i/>
          <w:sz w:val="24"/>
          <w:u w:val="single"/>
        </w:rPr>
        <w:t>-E-SERVE-</w:t>
      </w:r>
    </w:p>
    <w:p w14:paraId="0A18CF81" w14:textId="77777777" w:rsidR="0014146C" w:rsidRPr="0014146C" w:rsidRDefault="0014146C" w:rsidP="0014146C">
      <w:pPr>
        <w:rPr>
          <w:rFonts w:eastAsiaTheme="minorEastAsia"/>
          <w:b/>
          <w:i/>
          <w:u w:val="single"/>
        </w:rPr>
      </w:pPr>
    </w:p>
    <w:p w14:paraId="1CD45AB2" w14:textId="1BC5C9A3" w:rsidR="006B4C14" w:rsidRDefault="006B4C14" w:rsidP="0014146C">
      <w:pPr>
        <w:spacing w:after="0" w:line="360" w:lineRule="auto"/>
        <w:rPr>
          <w:rFonts w:ascii="Times New Roman" w:eastAsia="Calibri" w:hAnsi="Times New Roman" w:cs="Times New Roman"/>
          <w:sz w:val="24"/>
          <w:szCs w:val="24"/>
        </w:rPr>
      </w:pPr>
    </w:p>
    <w:p w14:paraId="619E6BCC" w14:textId="159A616E" w:rsidR="006B4C14" w:rsidRDefault="006B4C14" w:rsidP="004F0E7F">
      <w:pPr>
        <w:spacing w:after="0" w:line="360" w:lineRule="auto"/>
        <w:ind w:firstLine="1440"/>
        <w:rPr>
          <w:rFonts w:ascii="Times New Roman" w:eastAsia="Calibri" w:hAnsi="Times New Roman" w:cs="Times New Roman"/>
          <w:sz w:val="24"/>
          <w:szCs w:val="24"/>
        </w:rPr>
      </w:pPr>
    </w:p>
    <w:p w14:paraId="5E987726" w14:textId="1A1FE3DE" w:rsidR="006B4C14" w:rsidRDefault="006B4C14" w:rsidP="004F0E7F">
      <w:pPr>
        <w:spacing w:after="0" w:line="360" w:lineRule="auto"/>
        <w:ind w:firstLine="1440"/>
        <w:rPr>
          <w:rFonts w:ascii="Times New Roman" w:eastAsia="Calibri" w:hAnsi="Times New Roman" w:cs="Times New Roman"/>
          <w:sz w:val="24"/>
          <w:szCs w:val="24"/>
        </w:rPr>
      </w:pPr>
    </w:p>
    <w:p w14:paraId="5475872D" w14:textId="3BCFA6C9" w:rsidR="006B4C14" w:rsidRDefault="006B4C14" w:rsidP="004F0E7F">
      <w:pPr>
        <w:spacing w:after="0" w:line="360" w:lineRule="auto"/>
        <w:ind w:firstLine="1440"/>
        <w:rPr>
          <w:rFonts w:ascii="Times New Roman" w:eastAsia="Calibri" w:hAnsi="Times New Roman" w:cs="Times New Roman"/>
          <w:sz w:val="24"/>
          <w:szCs w:val="24"/>
        </w:rPr>
      </w:pPr>
    </w:p>
    <w:p w14:paraId="283E33E7" w14:textId="77777777" w:rsidR="006B4C14" w:rsidRDefault="006B4C14" w:rsidP="004F0E7F">
      <w:pPr>
        <w:spacing w:after="0" w:line="360" w:lineRule="auto"/>
        <w:ind w:firstLine="1440"/>
        <w:rPr>
          <w:rFonts w:ascii="Times New Roman" w:eastAsia="Calibri" w:hAnsi="Times New Roman" w:cs="Times New Roman"/>
          <w:sz w:val="24"/>
          <w:szCs w:val="24"/>
        </w:rPr>
      </w:pPr>
    </w:p>
    <w:sectPr w:rsidR="006B4C14" w:rsidSect="001414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1374" w14:textId="77777777" w:rsidR="003776F0" w:rsidRDefault="003776F0" w:rsidP="006B4C14">
      <w:pPr>
        <w:spacing w:after="0" w:line="240" w:lineRule="auto"/>
      </w:pPr>
      <w:r>
        <w:separator/>
      </w:r>
    </w:p>
  </w:endnote>
  <w:endnote w:type="continuationSeparator" w:id="0">
    <w:p w14:paraId="6337DDBC" w14:textId="77777777" w:rsidR="003776F0" w:rsidRDefault="003776F0" w:rsidP="006B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56884"/>
      <w:docPartObj>
        <w:docPartGallery w:val="Page Numbers (Bottom of Page)"/>
        <w:docPartUnique/>
      </w:docPartObj>
    </w:sdtPr>
    <w:sdtEndPr>
      <w:rPr>
        <w:rFonts w:ascii="Times New Roman" w:hAnsi="Times New Roman" w:cs="Times New Roman"/>
        <w:noProof/>
        <w:sz w:val="20"/>
        <w:szCs w:val="20"/>
      </w:rPr>
    </w:sdtEndPr>
    <w:sdtContent>
      <w:p w14:paraId="7F468A26" w14:textId="2D911908" w:rsidR="0014146C" w:rsidRPr="0014146C" w:rsidRDefault="0014146C">
        <w:pPr>
          <w:pStyle w:val="Footer"/>
          <w:jc w:val="center"/>
          <w:rPr>
            <w:rFonts w:ascii="Times New Roman" w:hAnsi="Times New Roman" w:cs="Times New Roman"/>
            <w:sz w:val="20"/>
            <w:szCs w:val="20"/>
          </w:rPr>
        </w:pPr>
        <w:r w:rsidRPr="0014146C">
          <w:rPr>
            <w:rFonts w:ascii="Times New Roman" w:hAnsi="Times New Roman" w:cs="Times New Roman"/>
            <w:sz w:val="20"/>
            <w:szCs w:val="20"/>
          </w:rPr>
          <w:fldChar w:fldCharType="begin"/>
        </w:r>
        <w:r w:rsidRPr="0014146C">
          <w:rPr>
            <w:rFonts w:ascii="Times New Roman" w:hAnsi="Times New Roman" w:cs="Times New Roman"/>
            <w:sz w:val="20"/>
            <w:szCs w:val="20"/>
          </w:rPr>
          <w:instrText xml:space="preserve"> PAGE   \* MERGEFORMAT </w:instrText>
        </w:r>
        <w:r w:rsidRPr="0014146C">
          <w:rPr>
            <w:rFonts w:ascii="Times New Roman" w:hAnsi="Times New Roman" w:cs="Times New Roman"/>
            <w:sz w:val="20"/>
            <w:szCs w:val="20"/>
          </w:rPr>
          <w:fldChar w:fldCharType="separate"/>
        </w:r>
        <w:r w:rsidRPr="0014146C">
          <w:rPr>
            <w:rFonts w:ascii="Times New Roman" w:hAnsi="Times New Roman" w:cs="Times New Roman"/>
            <w:noProof/>
            <w:sz w:val="20"/>
            <w:szCs w:val="20"/>
          </w:rPr>
          <w:t>2</w:t>
        </w:r>
        <w:r w:rsidRPr="0014146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D96BF" w14:textId="77777777" w:rsidR="003776F0" w:rsidRDefault="003776F0" w:rsidP="006B4C14">
      <w:pPr>
        <w:spacing w:after="0" w:line="240" w:lineRule="auto"/>
      </w:pPr>
      <w:r>
        <w:separator/>
      </w:r>
    </w:p>
  </w:footnote>
  <w:footnote w:type="continuationSeparator" w:id="0">
    <w:p w14:paraId="15A642CE" w14:textId="77777777" w:rsidR="003776F0" w:rsidRDefault="003776F0" w:rsidP="006B4C14">
      <w:pPr>
        <w:spacing w:after="0" w:line="240" w:lineRule="auto"/>
      </w:pPr>
      <w:r>
        <w:continuationSeparator/>
      </w:r>
    </w:p>
  </w:footnote>
  <w:footnote w:id="1">
    <w:p w14:paraId="3E2EA80D" w14:textId="74E8E739" w:rsidR="006B4C14" w:rsidRPr="00100B64" w:rsidRDefault="006B4C14" w:rsidP="006B4C14">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w:t>
      </w:r>
      <w:r w:rsidR="0014146C">
        <w:rPr>
          <w:rFonts w:ascii="Times New Roman" w:hAnsi="Times New Roman" w:cs="Times New Roman"/>
        </w:rPr>
        <w:t>§§</w:t>
      </w:r>
      <w:r w:rsidRPr="00100B64">
        <w:rPr>
          <w:rFonts w:ascii="Times New Roman" w:hAnsi="Times New Roman" w:cs="Times New Roman"/>
        </w:rPr>
        <w:t xml:space="preserve"> 2806.1, </w:t>
      </w:r>
      <w:r w:rsidRPr="00100B64">
        <w:rPr>
          <w:rFonts w:ascii="Times New Roman" w:hAnsi="Times New Roman" w:cs="Times New Roman"/>
          <w:i/>
        </w:rPr>
        <w:t>et seq</w:t>
      </w:r>
      <w:r w:rsidRPr="00100B64">
        <w:rPr>
          <w:rFonts w:ascii="Times New Roman" w:hAnsi="Times New Roman" w:cs="Times New Roman"/>
        </w:rPr>
        <w:t xml:space="preserve">. </w:t>
      </w:r>
    </w:p>
    <w:p w14:paraId="1EF1DF21" w14:textId="77777777" w:rsidR="006B4C14" w:rsidRPr="00100B64" w:rsidRDefault="006B4C14" w:rsidP="006B4C14">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4A57E07"/>
    <w:multiLevelType w:val="hybridMultilevel"/>
    <w:tmpl w:val="62BAE896"/>
    <w:lvl w:ilvl="0" w:tplc="5FE433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C665F9"/>
    <w:multiLevelType w:val="hybridMultilevel"/>
    <w:tmpl w:val="49B2B186"/>
    <w:lvl w:ilvl="0" w:tplc="9B7A13E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7F"/>
    <w:rsid w:val="00056F64"/>
    <w:rsid w:val="0014146C"/>
    <w:rsid w:val="001E3BBB"/>
    <w:rsid w:val="003436A7"/>
    <w:rsid w:val="0036089F"/>
    <w:rsid w:val="003776F0"/>
    <w:rsid w:val="00420EC4"/>
    <w:rsid w:val="004770E4"/>
    <w:rsid w:val="004F0E7F"/>
    <w:rsid w:val="005614B2"/>
    <w:rsid w:val="005A7544"/>
    <w:rsid w:val="005C1B0F"/>
    <w:rsid w:val="0064253E"/>
    <w:rsid w:val="006B4C14"/>
    <w:rsid w:val="007B5C79"/>
    <w:rsid w:val="00933554"/>
    <w:rsid w:val="00993570"/>
    <w:rsid w:val="009B01C3"/>
    <w:rsid w:val="00B913DA"/>
    <w:rsid w:val="00BC4FBE"/>
    <w:rsid w:val="00C06751"/>
    <w:rsid w:val="00C832FD"/>
    <w:rsid w:val="00D11664"/>
    <w:rsid w:val="00D76DEF"/>
    <w:rsid w:val="00E5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FE3B"/>
  <w15:chartTrackingRefBased/>
  <w15:docId w15:val="{3F271EE6-F149-4957-B685-A81FEEE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7F"/>
    <w:pPr>
      <w:ind w:left="720"/>
      <w:contextualSpacing/>
    </w:pPr>
  </w:style>
  <w:style w:type="paragraph" w:styleId="FootnoteText">
    <w:name w:val="footnote text"/>
    <w:aliases w:val="Car"/>
    <w:basedOn w:val="Normal"/>
    <w:link w:val="FootnoteTextChar"/>
    <w:uiPriority w:val="99"/>
    <w:unhideWhenUsed/>
    <w:qFormat/>
    <w:rsid w:val="006B4C14"/>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6B4C14"/>
    <w:rPr>
      <w:sz w:val="20"/>
      <w:szCs w:val="20"/>
    </w:rPr>
  </w:style>
  <w:style w:type="character" w:styleId="FootnoteReference">
    <w:name w:val="footnote reference"/>
    <w:aliases w:val="o,fr"/>
    <w:uiPriority w:val="99"/>
    <w:unhideWhenUsed/>
    <w:rsid w:val="006B4C14"/>
    <w:rPr>
      <w:vertAlign w:val="superscript"/>
    </w:rPr>
  </w:style>
  <w:style w:type="paragraph" w:styleId="Header">
    <w:name w:val="header"/>
    <w:basedOn w:val="Normal"/>
    <w:link w:val="HeaderChar"/>
    <w:uiPriority w:val="99"/>
    <w:unhideWhenUsed/>
    <w:rsid w:val="00141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6C"/>
  </w:style>
  <w:style w:type="paragraph" w:styleId="Footer">
    <w:name w:val="footer"/>
    <w:basedOn w:val="Normal"/>
    <w:link w:val="FooterChar"/>
    <w:uiPriority w:val="99"/>
    <w:unhideWhenUsed/>
    <w:rsid w:val="00141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864110">
      <w:bodyDiv w:val="1"/>
      <w:marLeft w:val="0"/>
      <w:marRight w:val="0"/>
      <w:marTop w:val="0"/>
      <w:marBottom w:val="0"/>
      <w:divBdr>
        <w:top w:val="none" w:sz="0" w:space="0" w:color="auto"/>
        <w:left w:val="none" w:sz="0" w:space="0" w:color="auto"/>
        <w:bottom w:val="none" w:sz="0" w:space="0" w:color="auto"/>
        <w:right w:val="none" w:sz="0" w:space="0" w:color="auto"/>
      </w:divBdr>
    </w:div>
    <w:div w:id="160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Watson</dc:creator>
  <cp:keywords/>
  <dc:description/>
  <cp:lastModifiedBy>Pallas, Dan</cp:lastModifiedBy>
  <cp:revision>5</cp:revision>
  <dcterms:created xsi:type="dcterms:W3CDTF">2019-12-11T16:36:00Z</dcterms:created>
  <dcterms:modified xsi:type="dcterms:W3CDTF">2019-12-11T17:09:00Z</dcterms:modified>
</cp:coreProperties>
</file>