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7D5D0" w14:textId="77777777" w:rsidR="009304FE" w:rsidRPr="00D17C77" w:rsidRDefault="009304FE" w:rsidP="009C4BD6">
      <w:pPr>
        <w:contextualSpacing/>
        <w:jc w:val="center"/>
        <w:rPr>
          <w:b/>
          <w:color w:val="000000" w:themeColor="text1"/>
          <w:sz w:val="26"/>
          <w:szCs w:val="26"/>
        </w:rPr>
      </w:pPr>
      <w:r w:rsidRPr="00D17C77">
        <w:rPr>
          <w:b/>
          <w:color w:val="000000" w:themeColor="text1"/>
          <w:sz w:val="26"/>
          <w:szCs w:val="26"/>
        </w:rPr>
        <w:t>PENNSYLVANIA</w:t>
      </w:r>
    </w:p>
    <w:p w14:paraId="5FD239F8" w14:textId="77777777" w:rsidR="009304FE" w:rsidRPr="00D17C77" w:rsidRDefault="009304FE" w:rsidP="009C4BD6">
      <w:pPr>
        <w:contextualSpacing/>
        <w:jc w:val="center"/>
        <w:rPr>
          <w:b/>
          <w:color w:val="000000" w:themeColor="text1"/>
          <w:sz w:val="26"/>
          <w:szCs w:val="26"/>
        </w:rPr>
      </w:pPr>
      <w:r w:rsidRPr="00D17C77">
        <w:rPr>
          <w:b/>
          <w:color w:val="000000" w:themeColor="text1"/>
          <w:sz w:val="26"/>
          <w:szCs w:val="26"/>
        </w:rPr>
        <w:t>PUBLIC UTILITY COMMISSION</w:t>
      </w:r>
    </w:p>
    <w:p w14:paraId="1F06BBC8" w14:textId="77777777" w:rsidR="009304FE" w:rsidRPr="00D17C77" w:rsidRDefault="009304FE" w:rsidP="009C4BD6">
      <w:pPr>
        <w:contextualSpacing/>
        <w:jc w:val="center"/>
        <w:rPr>
          <w:b/>
          <w:color w:val="000000" w:themeColor="text1"/>
          <w:sz w:val="26"/>
          <w:szCs w:val="26"/>
        </w:rPr>
      </w:pPr>
      <w:r w:rsidRPr="00D17C77">
        <w:rPr>
          <w:b/>
          <w:color w:val="000000" w:themeColor="text1"/>
          <w:sz w:val="26"/>
          <w:szCs w:val="26"/>
        </w:rPr>
        <w:t xml:space="preserve">Harrisburg, PA </w:t>
      </w:r>
      <w:r w:rsidR="005610F0" w:rsidRPr="00D17C77">
        <w:rPr>
          <w:b/>
          <w:color w:val="000000" w:themeColor="text1"/>
          <w:sz w:val="26"/>
          <w:szCs w:val="26"/>
        </w:rPr>
        <w:t>17120</w:t>
      </w:r>
    </w:p>
    <w:p w14:paraId="605EB594" w14:textId="77777777" w:rsidR="009304FE" w:rsidRPr="00D17C77" w:rsidRDefault="009304FE" w:rsidP="009C4BD6">
      <w:pPr>
        <w:contextualSpacing/>
        <w:rPr>
          <w:color w:val="000000" w:themeColor="text1"/>
          <w:sz w:val="26"/>
          <w:szCs w:val="26"/>
        </w:rPr>
      </w:pPr>
    </w:p>
    <w:p w14:paraId="2C68EB5F" w14:textId="77777777" w:rsidR="009304FE" w:rsidRPr="00D17C77" w:rsidRDefault="009304FE" w:rsidP="009C4BD6">
      <w:pPr>
        <w:contextualSpacing/>
        <w:jc w:val="right"/>
        <w:rPr>
          <w:color w:val="000000" w:themeColor="text1"/>
          <w:sz w:val="26"/>
          <w:szCs w:val="26"/>
        </w:rPr>
      </w:pPr>
      <w:r w:rsidRPr="00D17C77">
        <w:rPr>
          <w:color w:val="000000" w:themeColor="text1"/>
          <w:sz w:val="26"/>
          <w:szCs w:val="26"/>
        </w:rPr>
        <w:t xml:space="preserve">Public Meeting held </w:t>
      </w:r>
      <w:r w:rsidR="00AC7D10" w:rsidRPr="00D17C77">
        <w:rPr>
          <w:color w:val="000000" w:themeColor="text1"/>
          <w:sz w:val="26"/>
          <w:szCs w:val="26"/>
        </w:rPr>
        <w:t>Dec</w:t>
      </w:r>
      <w:r w:rsidR="000472AB" w:rsidRPr="00D17C77">
        <w:rPr>
          <w:color w:val="000000" w:themeColor="text1"/>
          <w:sz w:val="26"/>
          <w:szCs w:val="26"/>
        </w:rPr>
        <w:t>em</w:t>
      </w:r>
      <w:r w:rsidR="003B1C9B" w:rsidRPr="00D17C77">
        <w:rPr>
          <w:color w:val="000000" w:themeColor="text1"/>
          <w:sz w:val="26"/>
          <w:szCs w:val="26"/>
        </w:rPr>
        <w:t xml:space="preserve">ber </w:t>
      </w:r>
      <w:r w:rsidR="005607AE" w:rsidRPr="00D17C77">
        <w:rPr>
          <w:color w:val="000000" w:themeColor="text1"/>
          <w:sz w:val="26"/>
          <w:szCs w:val="26"/>
        </w:rPr>
        <w:t>19</w:t>
      </w:r>
      <w:r w:rsidR="003B1C9B" w:rsidRPr="00D17C77">
        <w:rPr>
          <w:color w:val="000000" w:themeColor="text1"/>
          <w:sz w:val="26"/>
          <w:szCs w:val="26"/>
        </w:rPr>
        <w:t>, 2019</w:t>
      </w:r>
    </w:p>
    <w:p w14:paraId="501A77F9" w14:textId="77777777" w:rsidR="00CE6D07" w:rsidRPr="00D17C77" w:rsidRDefault="00CE6D07" w:rsidP="009C4BD6">
      <w:pPr>
        <w:tabs>
          <w:tab w:val="left" w:pos="-720"/>
        </w:tabs>
        <w:suppressAutoHyphens/>
        <w:contextualSpacing/>
        <w:rPr>
          <w:color w:val="000000" w:themeColor="text1"/>
          <w:sz w:val="26"/>
          <w:szCs w:val="26"/>
        </w:rPr>
      </w:pPr>
    </w:p>
    <w:p w14:paraId="22796AD8" w14:textId="77777777" w:rsidR="00FA4B27" w:rsidRPr="00D17C77" w:rsidRDefault="00FA4B27" w:rsidP="009C4BD6">
      <w:pPr>
        <w:tabs>
          <w:tab w:val="left" w:pos="-720"/>
        </w:tabs>
        <w:suppressAutoHyphens/>
        <w:contextualSpacing/>
        <w:rPr>
          <w:color w:val="000000" w:themeColor="text1"/>
          <w:sz w:val="26"/>
          <w:szCs w:val="26"/>
        </w:rPr>
      </w:pPr>
    </w:p>
    <w:p w14:paraId="27049CB7" w14:textId="77777777" w:rsidR="00CE6D07" w:rsidRPr="00D17C77" w:rsidRDefault="00CE6D07" w:rsidP="009C4BD6">
      <w:pPr>
        <w:tabs>
          <w:tab w:val="left" w:pos="-720"/>
        </w:tabs>
        <w:suppressAutoHyphens/>
        <w:contextualSpacing/>
        <w:rPr>
          <w:color w:val="000000" w:themeColor="text1"/>
          <w:sz w:val="26"/>
          <w:szCs w:val="26"/>
        </w:rPr>
      </w:pPr>
      <w:r w:rsidRPr="00D17C77">
        <w:rPr>
          <w:color w:val="000000" w:themeColor="text1"/>
          <w:sz w:val="26"/>
          <w:szCs w:val="26"/>
        </w:rPr>
        <w:t>Commissioners Present:</w:t>
      </w:r>
    </w:p>
    <w:p w14:paraId="76FCCD74" w14:textId="77777777" w:rsidR="003B1C9B" w:rsidRPr="00D17C77" w:rsidRDefault="003B1C9B" w:rsidP="009C4BD6">
      <w:pPr>
        <w:tabs>
          <w:tab w:val="left" w:pos="-720"/>
        </w:tabs>
        <w:suppressAutoHyphens/>
        <w:ind w:firstLine="720"/>
        <w:contextualSpacing/>
        <w:rPr>
          <w:color w:val="000000" w:themeColor="text1"/>
          <w:sz w:val="26"/>
          <w:szCs w:val="26"/>
        </w:rPr>
      </w:pPr>
    </w:p>
    <w:p w14:paraId="5B62C517" w14:textId="77777777" w:rsidR="00CE6D07" w:rsidRPr="00D17C77" w:rsidRDefault="00CE6D07" w:rsidP="009C4BD6">
      <w:pPr>
        <w:tabs>
          <w:tab w:val="left" w:pos="-720"/>
        </w:tabs>
        <w:suppressAutoHyphens/>
        <w:ind w:firstLine="720"/>
        <w:contextualSpacing/>
        <w:rPr>
          <w:color w:val="000000" w:themeColor="text1"/>
          <w:sz w:val="26"/>
          <w:szCs w:val="26"/>
        </w:rPr>
      </w:pPr>
      <w:r w:rsidRPr="00D17C77">
        <w:rPr>
          <w:color w:val="000000" w:themeColor="text1"/>
          <w:sz w:val="26"/>
          <w:szCs w:val="26"/>
        </w:rPr>
        <w:t>Gladys Brown</w:t>
      </w:r>
      <w:r w:rsidR="003B1C9B" w:rsidRPr="00D17C77">
        <w:rPr>
          <w:color w:val="000000" w:themeColor="text1"/>
          <w:sz w:val="26"/>
          <w:szCs w:val="26"/>
        </w:rPr>
        <w:t xml:space="preserve"> Dutrieuille</w:t>
      </w:r>
      <w:r w:rsidRPr="00D17C77">
        <w:rPr>
          <w:color w:val="000000" w:themeColor="text1"/>
          <w:sz w:val="26"/>
          <w:szCs w:val="26"/>
        </w:rPr>
        <w:t>, Chairman</w:t>
      </w:r>
    </w:p>
    <w:p w14:paraId="772FD732" w14:textId="77777777" w:rsidR="00CE6D07" w:rsidRPr="00D17C77" w:rsidRDefault="003B1C9B" w:rsidP="009C4BD6">
      <w:pPr>
        <w:tabs>
          <w:tab w:val="left" w:pos="-720"/>
        </w:tabs>
        <w:suppressAutoHyphens/>
        <w:ind w:firstLine="720"/>
        <w:contextualSpacing/>
        <w:rPr>
          <w:color w:val="000000" w:themeColor="text1"/>
          <w:sz w:val="26"/>
          <w:szCs w:val="26"/>
        </w:rPr>
      </w:pPr>
      <w:r w:rsidRPr="00D17C77">
        <w:rPr>
          <w:color w:val="000000" w:themeColor="text1"/>
          <w:sz w:val="26"/>
          <w:szCs w:val="26"/>
        </w:rPr>
        <w:t>David W. Sweet</w:t>
      </w:r>
      <w:r w:rsidR="00CE6D07" w:rsidRPr="00D17C77">
        <w:rPr>
          <w:color w:val="000000" w:themeColor="text1"/>
          <w:sz w:val="26"/>
          <w:szCs w:val="26"/>
        </w:rPr>
        <w:t>, Vice Chairman</w:t>
      </w:r>
    </w:p>
    <w:p w14:paraId="015FA330" w14:textId="77777777" w:rsidR="00CE6D07" w:rsidRPr="00D17C77" w:rsidRDefault="003B1C9B" w:rsidP="009C4BD6">
      <w:pPr>
        <w:tabs>
          <w:tab w:val="left" w:pos="-720"/>
        </w:tabs>
        <w:suppressAutoHyphens/>
        <w:ind w:firstLine="720"/>
        <w:contextualSpacing/>
        <w:rPr>
          <w:color w:val="000000" w:themeColor="text1"/>
          <w:sz w:val="26"/>
          <w:szCs w:val="26"/>
        </w:rPr>
      </w:pPr>
      <w:r w:rsidRPr="00D17C77">
        <w:rPr>
          <w:color w:val="000000" w:themeColor="text1"/>
          <w:sz w:val="26"/>
          <w:szCs w:val="26"/>
        </w:rPr>
        <w:t>Andrew G. Place</w:t>
      </w:r>
    </w:p>
    <w:p w14:paraId="4D040C07" w14:textId="77777777" w:rsidR="00CE6D07" w:rsidRPr="00D17C77" w:rsidRDefault="00CE6D07" w:rsidP="009C4BD6">
      <w:pPr>
        <w:tabs>
          <w:tab w:val="left" w:pos="-720"/>
        </w:tabs>
        <w:suppressAutoHyphens/>
        <w:ind w:firstLine="720"/>
        <w:contextualSpacing/>
        <w:rPr>
          <w:color w:val="000000" w:themeColor="text1"/>
          <w:sz w:val="26"/>
          <w:szCs w:val="26"/>
        </w:rPr>
      </w:pPr>
      <w:r w:rsidRPr="00D17C77">
        <w:rPr>
          <w:color w:val="000000" w:themeColor="text1"/>
          <w:sz w:val="26"/>
          <w:szCs w:val="26"/>
        </w:rPr>
        <w:t>John F. Coleman, Jr.</w:t>
      </w:r>
    </w:p>
    <w:p w14:paraId="2F4E4D19" w14:textId="77777777" w:rsidR="00A1551F" w:rsidRPr="00D17C77" w:rsidRDefault="00A1551F" w:rsidP="009C4BD6">
      <w:pPr>
        <w:tabs>
          <w:tab w:val="left" w:pos="-720"/>
        </w:tabs>
        <w:suppressAutoHyphens/>
        <w:ind w:firstLine="720"/>
        <w:contextualSpacing/>
        <w:rPr>
          <w:color w:val="000000" w:themeColor="text1"/>
          <w:sz w:val="26"/>
          <w:szCs w:val="26"/>
        </w:rPr>
      </w:pPr>
      <w:r w:rsidRPr="00D17C77">
        <w:rPr>
          <w:color w:val="000000" w:themeColor="text1"/>
          <w:sz w:val="26"/>
          <w:szCs w:val="26"/>
        </w:rPr>
        <w:t xml:space="preserve">Ralph </w:t>
      </w:r>
      <w:r w:rsidR="00CD35DE" w:rsidRPr="00D17C77">
        <w:rPr>
          <w:color w:val="000000" w:themeColor="text1"/>
          <w:sz w:val="26"/>
          <w:szCs w:val="26"/>
        </w:rPr>
        <w:t xml:space="preserve">V. </w:t>
      </w:r>
      <w:r w:rsidRPr="00D17C77">
        <w:rPr>
          <w:color w:val="000000" w:themeColor="text1"/>
          <w:sz w:val="26"/>
          <w:szCs w:val="26"/>
        </w:rPr>
        <w:t>Yanora</w:t>
      </w:r>
    </w:p>
    <w:p w14:paraId="69F0943E" w14:textId="77777777" w:rsidR="009304FE" w:rsidRPr="00D17C77" w:rsidRDefault="009304FE" w:rsidP="009C4BD6">
      <w:pPr>
        <w:contextualSpacing/>
        <w:rPr>
          <w:color w:val="000000" w:themeColor="text1"/>
          <w:sz w:val="26"/>
          <w:szCs w:val="26"/>
        </w:rPr>
      </w:pPr>
    </w:p>
    <w:p w14:paraId="4D73F866" w14:textId="77777777" w:rsidR="003B1C9B" w:rsidRPr="00D17C77" w:rsidRDefault="003B1C9B" w:rsidP="009C4BD6">
      <w:pPr>
        <w:tabs>
          <w:tab w:val="left" w:pos="720"/>
        </w:tabs>
        <w:overflowPunct w:val="0"/>
        <w:autoSpaceDE w:val="0"/>
        <w:autoSpaceDN w:val="0"/>
        <w:adjustRightInd w:val="0"/>
        <w:contextualSpacing/>
        <w:textAlignment w:val="baseline"/>
        <w:rPr>
          <w:color w:val="000000" w:themeColor="text1"/>
          <w:sz w:val="26"/>
          <w:szCs w:val="26"/>
        </w:rPr>
      </w:pPr>
      <w:r w:rsidRPr="00D17C77">
        <w:rPr>
          <w:color w:val="000000" w:themeColor="text1"/>
          <w:sz w:val="26"/>
          <w:szCs w:val="26"/>
        </w:rPr>
        <w:t>Verizon Pennsylvania LLC</w:t>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000D1E31" w:rsidRPr="00D17C77">
        <w:rPr>
          <w:color w:val="000000" w:themeColor="text1"/>
          <w:sz w:val="26"/>
          <w:szCs w:val="26"/>
        </w:rPr>
        <w:tab/>
      </w:r>
      <w:r w:rsidRPr="00D17C77">
        <w:rPr>
          <w:color w:val="000000" w:themeColor="text1"/>
          <w:sz w:val="26"/>
          <w:szCs w:val="26"/>
        </w:rPr>
        <w:t>R-2017-</w:t>
      </w:r>
      <w:bookmarkStart w:id="0" w:name="_Hlk529434748"/>
      <w:r w:rsidRPr="00D17C77">
        <w:rPr>
          <w:color w:val="000000" w:themeColor="text1"/>
          <w:sz w:val="26"/>
          <w:szCs w:val="26"/>
        </w:rPr>
        <w:t>2632523</w:t>
      </w:r>
      <w:bookmarkEnd w:id="0"/>
    </w:p>
    <w:p w14:paraId="750D2DC7" w14:textId="675EBDC2" w:rsidR="003B1C9B" w:rsidRPr="00D17C77" w:rsidRDefault="003B1C9B" w:rsidP="009C4BD6">
      <w:pPr>
        <w:tabs>
          <w:tab w:val="left" w:pos="-720"/>
        </w:tabs>
        <w:suppressAutoHyphens/>
        <w:contextualSpacing/>
        <w:jc w:val="both"/>
        <w:rPr>
          <w:color w:val="000000" w:themeColor="text1"/>
          <w:sz w:val="26"/>
          <w:szCs w:val="26"/>
        </w:rPr>
      </w:pPr>
      <w:r w:rsidRPr="00D17C77">
        <w:rPr>
          <w:color w:val="000000" w:themeColor="text1"/>
          <w:sz w:val="26"/>
          <w:szCs w:val="26"/>
        </w:rPr>
        <w:t>2018 Price Change Opportunity Filing</w:t>
      </w:r>
    </w:p>
    <w:p w14:paraId="15A22B80" w14:textId="2BA4F2C1" w:rsidR="003B1C9B" w:rsidRPr="00D17C77" w:rsidRDefault="003B1C9B" w:rsidP="009C4BD6">
      <w:pPr>
        <w:tabs>
          <w:tab w:val="left" w:pos="-720"/>
        </w:tabs>
        <w:suppressAutoHyphens/>
        <w:contextualSpacing/>
        <w:jc w:val="both"/>
        <w:rPr>
          <w:rFonts w:eastAsiaTheme="minorHAnsi"/>
          <w:color w:val="000000" w:themeColor="text1"/>
          <w:sz w:val="26"/>
          <w:szCs w:val="26"/>
        </w:rPr>
      </w:pPr>
    </w:p>
    <w:p w14:paraId="096B78E3" w14:textId="77777777" w:rsidR="003B1C9B" w:rsidRPr="00D17C77" w:rsidRDefault="003B1C9B" w:rsidP="009C4BD6">
      <w:pPr>
        <w:tabs>
          <w:tab w:val="left" w:pos="-720"/>
        </w:tabs>
        <w:suppressAutoHyphens/>
        <w:contextualSpacing/>
        <w:rPr>
          <w:color w:val="000000" w:themeColor="text1"/>
          <w:sz w:val="26"/>
          <w:szCs w:val="26"/>
        </w:rPr>
      </w:pPr>
      <w:r w:rsidRPr="00D17C77">
        <w:rPr>
          <w:color w:val="000000" w:themeColor="text1"/>
          <w:sz w:val="26"/>
          <w:szCs w:val="26"/>
        </w:rPr>
        <w:t>Verizon Pennsylvania LLC Amended Alternative</w:t>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t>P-00930715F1000</w:t>
      </w:r>
    </w:p>
    <w:p w14:paraId="7B095675" w14:textId="409AD0EF" w:rsidR="003B1C9B" w:rsidRPr="00D17C77" w:rsidRDefault="003B1C9B" w:rsidP="009C4BD6">
      <w:pPr>
        <w:tabs>
          <w:tab w:val="left" w:pos="-720"/>
        </w:tabs>
        <w:suppressAutoHyphens/>
        <w:contextualSpacing/>
        <w:rPr>
          <w:color w:val="000000" w:themeColor="text1"/>
          <w:sz w:val="26"/>
          <w:szCs w:val="26"/>
        </w:rPr>
      </w:pPr>
      <w:r w:rsidRPr="00D17C77">
        <w:rPr>
          <w:color w:val="000000" w:themeColor="text1"/>
          <w:sz w:val="26"/>
          <w:szCs w:val="26"/>
        </w:rPr>
        <w:t>Regulation and Network Modernization Plan</w:t>
      </w:r>
    </w:p>
    <w:p w14:paraId="3046B6F9" w14:textId="1F1EAFE2" w:rsidR="003B1C9B" w:rsidRPr="00D17C77" w:rsidRDefault="003B1C9B" w:rsidP="009C4BD6">
      <w:pPr>
        <w:tabs>
          <w:tab w:val="left" w:pos="-720"/>
        </w:tabs>
        <w:suppressAutoHyphens/>
        <w:contextualSpacing/>
        <w:rPr>
          <w:rFonts w:eastAsiaTheme="minorHAnsi"/>
          <w:color w:val="000000" w:themeColor="text1"/>
          <w:sz w:val="26"/>
          <w:szCs w:val="26"/>
        </w:rPr>
      </w:pPr>
    </w:p>
    <w:p w14:paraId="23E63AA9" w14:textId="77777777" w:rsidR="003B1C9B" w:rsidRPr="00D17C77" w:rsidRDefault="003B1C9B" w:rsidP="009C4BD6">
      <w:pPr>
        <w:overflowPunct w:val="0"/>
        <w:autoSpaceDE w:val="0"/>
        <w:autoSpaceDN w:val="0"/>
        <w:adjustRightInd w:val="0"/>
        <w:contextualSpacing/>
        <w:textAlignment w:val="baseline"/>
        <w:rPr>
          <w:color w:val="000000" w:themeColor="text1"/>
          <w:sz w:val="26"/>
          <w:szCs w:val="26"/>
        </w:rPr>
      </w:pPr>
      <w:r w:rsidRPr="00D17C77">
        <w:rPr>
          <w:color w:val="000000" w:themeColor="text1"/>
          <w:sz w:val="26"/>
          <w:szCs w:val="26"/>
        </w:rPr>
        <w:t xml:space="preserve">Office of Small Business Advocate v. </w:t>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000D1E31" w:rsidRPr="00D17C77">
        <w:rPr>
          <w:color w:val="000000" w:themeColor="text1"/>
          <w:sz w:val="26"/>
          <w:szCs w:val="26"/>
        </w:rPr>
        <w:tab/>
      </w:r>
      <w:r w:rsidRPr="00D17C77">
        <w:rPr>
          <w:color w:val="000000" w:themeColor="text1"/>
          <w:sz w:val="26"/>
          <w:szCs w:val="26"/>
        </w:rPr>
        <w:t>C-2017-2633476</w:t>
      </w:r>
    </w:p>
    <w:p w14:paraId="526534D1" w14:textId="3F93CC7F" w:rsidR="003B1C9B" w:rsidRPr="00D17C77" w:rsidRDefault="003B1C9B" w:rsidP="009C4BD6">
      <w:pPr>
        <w:tabs>
          <w:tab w:val="left" w:pos="-720"/>
        </w:tabs>
        <w:suppressAutoHyphens/>
        <w:contextualSpacing/>
        <w:rPr>
          <w:color w:val="000000" w:themeColor="text1"/>
          <w:sz w:val="26"/>
          <w:szCs w:val="26"/>
        </w:rPr>
      </w:pPr>
      <w:r w:rsidRPr="00D17C77">
        <w:rPr>
          <w:color w:val="000000" w:themeColor="text1"/>
          <w:sz w:val="26"/>
          <w:szCs w:val="26"/>
        </w:rPr>
        <w:t>Verizon Pennsylvania LLC</w:t>
      </w:r>
      <w:r w:rsidRPr="00D17C77">
        <w:rPr>
          <w:color w:val="000000" w:themeColor="text1"/>
          <w:sz w:val="26"/>
          <w:szCs w:val="26"/>
        </w:rPr>
        <w:tab/>
      </w:r>
    </w:p>
    <w:p w14:paraId="0FA82473" w14:textId="77777777" w:rsidR="003B1C9B" w:rsidRPr="00D17C77" w:rsidRDefault="003B1C9B" w:rsidP="009C4BD6">
      <w:pPr>
        <w:tabs>
          <w:tab w:val="left" w:pos="-720"/>
        </w:tabs>
        <w:suppressAutoHyphens/>
        <w:contextualSpacing/>
        <w:rPr>
          <w:rFonts w:eastAsiaTheme="minorHAnsi"/>
          <w:color w:val="000000" w:themeColor="text1"/>
          <w:sz w:val="26"/>
          <w:szCs w:val="26"/>
        </w:rPr>
      </w:pPr>
    </w:p>
    <w:p w14:paraId="1E156F07" w14:textId="77777777" w:rsidR="00986A55" w:rsidRDefault="00986A55" w:rsidP="009C4BD6">
      <w:pPr>
        <w:keepNext/>
        <w:keepLines/>
        <w:tabs>
          <w:tab w:val="center" w:pos="4680"/>
        </w:tabs>
        <w:suppressAutoHyphens/>
        <w:spacing w:line="360" w:lineRule="auto"/>
        <w:contextualSpacing/>
        <w:jc w:val="center"/>
        <w:rPr>
          <w:b/>
          <w:color w:val="000000" w:themeColor="text1"/>
          <w:sz w:val="26"/>
          <w:szCs w:val="26"/>
        </w:rPr>
      </w:pPr>
    </w:p>
    <w:p w14:paraId="408B002E" w14:textId="7C7B37B7" w:rsidR="009304FE" w:rsidRPr="00D17C77" w:rsidRDefault="009304FE" w:rsidP="009C4BD6">
      <w:pPr>
        <w:keepNext/>
        <w:keepLines/>
        <w:tabs>
          <w:tab w:val="center" w:pos="4680"/>
        </w:tabs>
        <w:suppressAutoHyphens/>
        <w:spacing w:line="360" w:lineRule="auto"/>
        <w:contextualSpacing/>
        <w:jc w:val="center"/>
        <w:rPr>
          <w:b/>
          <w:color w:val="000000" w:themeColor="text1"/>
          <w:sz w:val="26"/>
          <w:szCs w:val="26"/>
        </w:rPr>
      </w:pPr>
      <w:r w:rsidRPr="00D17C77">
        <w:rPr>
          <w:b/>
          <w:color w:val="000000" w:themeColor="text1"/>
          <w:sz w:val="26"/>
          <w:szCs w:val="26"/>
        </w:rPr>
        <w:t>OPINION AND ORDER</w:t>
      </w:r>
    </w:p>
    <w:p w14:paraId="2F92CB97" w14:textId="77777777" w:rsidR="00CA6BAF" w:rsidRPr="00D17C77" w:rsidRDefault="00CA6BAF" w:rsidP="009C4BD6">
      <w:pPr>
        <w:keepNext/>
        <w:keepLines/>
        <w:tabs>
          <w:tab w:val="left" w:pos="-720"/>
        </w:tabs>
        <w:suppressAutoHyphens/>
        <w:spacing w:line="360" w:lineRule="auto"/>
        <w:contextualSpacing/>
        <w:rPr>
          <w:b/>
          <w:color w:val="000000" w:themeColor="text1"/>
          <w:sz w:val="26"/>
          <w:szCs w:val="26"/>
        </w:rPr>
      </w:pPr>
    </w:p>
    <w:p w14:paraId="2D992265" w14:textId="77777777" w:rsidR="009304FE" w:rsidRPr="00D17C77" w:rsidRDefault="009304FE" w:rsidP="009C4BD6">
      <w:pPr>
        <w:keepNext/>
        <w:keepLines/>
        <w:tabs>
          <w:tab w:val="left" w:pos="-720"/>
        </w:tabs>
        <w:suppressAutoHyphens/>
        <w:spacing w:line="360" w:lineRule="auto"/>
        <w:contextualSpacing/>
        <w:rPr>
          <w:color w:val="000000" w:themeColor="text1"/>
          <w:sz w:val="26"/>
          <w:szCs w:val="26"/>
        </w:rPr>
      </w:pPr>
      <w:r w:rsidRPr="00D17C77">
        <w:rPr>
          <w:b/>
          <w:color w:val="000000" w:themeColor="text1"/>
          <w:sz w:val="26"/>
          <w:szCs w:val="26"/>
        </w:rPr>
        <w:t>BY THE COMMISSION:</w:t>
      </w:r>
    </w:p>
    <w:p w14:paraId="66C93B8E" w14:textId="77777777" w:rsidR="009304FE" w:rsidRPr="00D17C77" w:rsidRDefault="009304FE" w:rsidP="009C4BD6">
      <w:pPr>
        <w:keepNext/>
        <w:keepLines/>
        <w:spacing w:line="360" w:lineRule="auto"/>
        <w:contextualSpacing/>
        <w:rPr>
          <w:color w:val="000000" w:themeColor="text1"/>
          <w:sz w:val="26"/>
          <w:szCs w:val="26"/>
        </w:rPr>
      </w:pPr>
    </w:p>
    <w:p w14:paraId="50FE9FA2" w14:textId="383E3355" w:rsidR="00044C58" w:rsidRPr="00D17C77" w:rsidRDefault="00044C58" w:rsidP="009C4BD6">
      <w:pPr>
        <w:keepNext/>
        <w:keepLines/>
        <w:spacing w:line="360" w:lineRule="auto"/>
        <w:contextualSpacing/>
        <w:jc w:val="center"/>
        <w:rPr>
          <w:b/>
          <w:color w:val="000000" w:themeColor="text1"/>
          <w:sz w:val="26"/>
          <w:szCs w:val="26"/>
        </w:rPr>
      </w:pPr>
      <w:r w:rsidRPr="00D17C77">
        <w:rPr>
          <w:b/>
          <w:color w:val="000000" w:themeColor="text1"/>
          <w:sz w:val="26"/>
          <w:szCs w:val="26"/>
        </w:rPr>
        <w:t>I.</w:t>
      </w:r>
      <w:r w:rsidR="00B94C20" w:rsidRPr="00D17C77">
        <w:rPr>
          <w:b/>
          <w:color w:val="000000" w:themeColor="text1"/>
          <w:sz w:val="26"/>
          <w:szCs w:val="26"/>
        </w:rPr>
        <w:tab/>
      </w:r>
      <w:r w:rsidR="00122641">
        <w:rPr>
          <w:b/>
          <w:color w:val="000000" w:themeColor="text1"/>
          <w:sz w:val="26"/>
          <w:szCs w:val="26"/>
        </w:rPr>
        <w:t>Matter Before T</w:t>
      </w:r>
      <w:r w:rsidRPr="00D17C77">
        <w:rPr>
          <w:b/>
          <w:color w:val="000000" w:themeColor="text1"/>
          <w:sz w:val="26"/>
          <w:szCs w:val="26"/>
        </w:rPr>
        <w:t>he Commission</w:t>
      </w:r>
    </w:p>
    <w:p w14:paraId="533EFD04" w14:textId="77777777" w:rsidR="00044C58" w:rsidRPr="00D17C77" w:rsidRDefault="00044C58" w:rsidP="009C4BD6">
      <w:pPr>
        <w:keepNext/>
        <w:keepLines/>
        <w:spacing w:line="360" w:lineRule="auto"/>
        <w:contextualSpacing/>
        <w:rPr>
          <w:color w:val="000000" w:themeColor="text1"/>
          <w:sz w:val="26"/>
          <w:szCs w:val="26"/>
        </w:rPr>
      </w:pPr>
    </w:p>
    <w:p w14:paraId="327D6343" w14:textId="2418EEEB" w:rsidR="008B2738" w:rsidRPr="00D17C77" w:rsidRDefault="00001F19" w:rsidP="009C4BD6">
      <w:pPr>
        <w:spacing w:line="360" w:lineRule="auto"/>
        <w:ind w:firstLine="1440"/>
        <w:contextualSpacing/>
        <w:rPr>
          <w:color w:val="000000" w:themeColor="text1"/>
          <w:sz w:val="26"/>
          <w:szCs w:val="26"/>
        </w:rPr>
      </w:pPr>
      <w:r w:rsidRPr="00D17C77">
        <w:rPr>
          <w:color w:val="000000" w:themeColor="text1"/>
          <w:sz w:val="26"/>
          <w:szCs w:val="26"/>
        </w:rPr>
        <w:t>Before the Pennsylvania Public Utility Commission (Commission) for consideration and disposition is the Initial Decision (I.D.) of Deputy Chief Administrative Law Judge Joel H. Cheskis and Administrative Law Judge Andrew M. Calvelli (collectively, the ALJs), issued on November 9, 2018, relative to the above captioned proceeding.  Also</w:t>
      </w:r>
      <w:r w:rsidR="00CB33F6">
        <w:rPr>
          <w:color w:val="000000" w:themeColor="text1"/>
          <w:sz w:val="26"/>
          <w:szCs w:val="26"/>
        </w:rPr>
        <w:t>,</w:t>
      </w:r>
      <w:r w:rsidRPr="00D17C77">
        <w:rPr>
          <w:color w:val="000000" w:themeColor="text1"/>
          <w:sz w:val="26"/>
          <w:szCs w:val="26"/>
        </w:rPr>
        <w:t xml:space="preserve"> before the Commission are the Exceptions and the Replies to Exceptions filed with respect thereto.</w:t>
      </w:r>
    </w:p>
    <w:p w14:paraId="69EEDA97" w14:textId="77777777" w:rsidR="00001F19" w:rsidRPr="00D17C77" w:rsidRDefault="00001F19" w:rsidP="009C4BD6">
      <w:pPr>
        <w:spacing w:line="360" w:lineRule="auto"/>
        <w:ind w:firstLine="1440"/>
        <w:contextualSpacing/>
        <w:rPr>
          <w:color w:val="000000" w:themeColor="text1"/>
          <w:sz w:val="26"/>
          <w:szCs w:val="26"/>
        </w:rPr>
      </w:pPr>
      <w:r w:rsidRPr="00D17C77">
        <w:rPr>
          <w:color w:val="000000" w:themeColor="text1"/>
          <w:sz w:val="26"/>
          <w:szCs w:val="26"/>
        </w:rPr>
        <w:lastRenderedPageBreak/>
        <w:t>Exceptions to the Initial Decision were filed on November 29, 2018 by the Office of Small Business Advocate (OSBA).  On December 10, 2018, Verizon Pennsylvania LLC (Verizon PA</w:t>
      </w:r>
      <w:r w:rsidR="00EB5E16" w:rsidRPr="00D17C77">
        <w:rPr>
          <w:color w:val="000000" w:themeColor="text1"/>
          <w:sz w:val="26"/>
          <w:szCs w:val="26"/>
        </w:rPr>
        <w:t>, or Company</w:t>
      </w:r>
      <w:r w:rsidRPr="00D17C77">
        <w:rPr>
          <w:color w:val="000000" w:themeColor="text1"/>
          <w:sz w:val="26"/>
          <w:szCs w:val="26"/>
        </w:rPr>
        <w:t xml:space="preserve">) filed Replies to Exceptions.  For the reasons stated, </w:t>
      </w:r>
      <w:r w:rsidRPr="00D17C77">
        <w:rPr>
          <w:i/>
          <w:iCs/>
          <w:color w:val="000000" w:themeColor="text1"/>
          <w:sz w:val="26"/>
          <w:szCs w:val="26"/>
        </w:rPr>
        <w:t>infra</w:t>
      </w:r>
      <w:r w:rsidRPr="00095CD4">
        <w:rPr>
          <w:iCs/>
          <w:color w:val="000000" w:themeColor="text1"/>
          <w:sz w:val="26"/>
          <w:szCs w:val="26"/>
        </w:rPr>
        <w:t>,</w:t>
      </w:r>
      <w:r w:rsidRPr="00D17C77">
        <w:rPr>
          <w:i/>
          <w:iCs/>
          <w:color w:val="000000" w:themeColor="text1"/>
          <w:sz w:val="26"/>
          <w:szCs w:val="26"/>
        </w:rPr>
        <w:t xml:space="preserve"> </w:t>
      </w:r>
      <w:r w:rsidRPr="00D17C77">
        <w:rPr>
          <w:color w:val="000000" w:themeColor="text1"/>
          <w:sz w:val="26"/>
          <w:szCs w:val="26"/>
        </w:rPr>
        <w:t xml:space="preserve">we shall </w:t>
      </w:r>
      <w:r w:rsidR="00495410" w:rsidRPr="00D17C77">
        <w:rPr>
          <w:color w:val="000000" w:themeColor="text1"/>
          <w:sz w:val="26"/>
          <w:szCs w:val="26"/>
        </w:rPr>
        <w:t>grant, in part, and deny, in part,</w:t>
      </w:r>
      <w:r w:rsidRPr="00D17C77">
        <w:rPr>
          <w:color w:val="000000" w:themeColor="text1"/>
          <w:sz w:val="26"/>
          <w:szCs w:val="26"/>
        </w:rPr>
        <w:t xml:space="preserve"> the Exceptions of the OSBA and adopt the ALJs’ Initial Decision,</w:t>
      </w:r>
      <w:r w:rsidR="00495410" w:rsidRPr="00D17C77">
        <w:rPr>
          <w:color w:val="000000" w:themeColor="text1"/>
          <w:sz w:val="26"/>
          <w:szCs w:val="26"/>
        </w:rPr>
        <w:t xml:space="preserve"> as modified,</w:t>
      </w:r>
      <w:r w:rsidRPr="00D17C77">
        <w:rPr>
          <w:color w:val="000000" w:themeColor="text1"/>
          <w:sz w:val="26"/>
          <w:szCs w:val="26"/>
        </w:rPr>
        <w:t xml:space="preserve"> consistent with this Opinion and Order. </w:t>
      </w:r>
    </w:p>
    <w:p w14:paraId="0B44C3ED" w14:textId="77777777" w:rsidR="009B7FAC" w:rsidRPr="00D17C77" w:rsidRDefault="009B7FAC" w:rsidP="009C4BD6">
      <w:pPr>
        <w:spacing w:line="360" w:lineRule="auto"/>
        <w:ind w:firstLine="1440"/>
        <w:contextualSpacing/>
        <w:rPr>
          <w:color w:val="000000" w:themeColor="text1"/>
          <w:sz w:val="26"/>
          <w:szCs w:val="26"/>
        </w:rPr>
      </w:pPr>
    </w:p>
    <w:p w14:paraId="681D123E" w14:textId="77777777" w:rsidR="006E0FBC" w:rsidRPr="00D17C77" w:rsidRDefault="00044C58" w:rsidP="009C4BD6">
      <w:pPr>
        <w:keepNext/>
        <w:spacing w:line="360" w:lineRule="auto"/>
        <w:contextualSpacing/>
        <w:jc w:val="center"/>
        <w:rPr>
          <w:b/>
          <w:color w:val="000000" w:themeColor="text1"/>
          <w:sz w:val="26"/>
          <w:szCs w:val="26"/>
        </w:rPr>
      </w:pPr>
      <w:r w:rsidRPr="00D17C77">
        <w:rPr>
          <w:b/>
          <w:color w:val="000000" w:themeColor="text1"/>
          <w:sz w:val="26"/>
          <w:szCs w:val="26"/>
        </w:rPr>
        <w:t>II.</w:t>
      </w:r>
      <w:r w:rsidRPr="00D17C77">
        <w:rPr>
          <w:b/>
          <w:color w:val="000000" w:themeColor="text1"/>
          <w:sz w:val="26"/>
          <w:szCs w:val="26"/>
        </w:rPr>
        <w:tab/>
      </w:r>
      <w:r w:rsidR="006E0FBC" w:rsidRPr="00D17C77">
        <w:rPr>
          <w:b/>
          <w:color w:val="000000" w:themeColor="text1"/>
          <w:sz w:val="26"/>
          <w:szCs w:val="26"/>
        </w:rPr>
        <w:t>Backgroun</w:t>
      </w:r>
      <w:r w:rsidR="00990A9F" w:rsidRPr="00D17C77">
        <w:rPr>
          <w:b/>
          <w:color w:val="000000" w:themeColor="text1"/>
          <w:sz w:val="26"/>
          <w:szCs w:val="26"/>
        </w:rPr>
        <w:t>d</w:t>
      </w:r>
    </w:p>
    <w:p w14:paraId="3E51C8BD" w14:textId="77777777" w:rsidR="006E0FBC" w:rsidRPr="00D17C77" w:rsidRDefault="006E0FBC" w:rsidP="009C4BD6">
      <w:pPr>
        <w:keepNext/>
        <w:spacing w:line="360" w:lineRule="auto"/>
        <w:contextualSpacing/>
        <w:rPr>
          <w:color w:val="000000" w:themeColor="text1"/>
          <w:sz w:val="26"/>
          <w:szCs w:val="26"/>
        </w:rPr>
      </w:pPr>
    </w:p>
    <w:p w14:paraId="628EC9EF" w14:textId="698F89C8" w:rsidR="00312325" w:rsidRPr="00D17C77" w:rsidRDefault="00387A71" w:rsidP="009C4BD6">
      <w:pPr>
        <w:spacing w:line="360" w:lineRule="auto"/>
        <w:ind w:firstLine="1440"/>
        <w:contextualSpacing/>
        <w:rPr>
          <w:color w:val="000000" w:themeColor="text1"/>
          <w:sz w:val="26"/>
          <w:szCs w:val="26"/>
        </w:rPr>
      </w:pPr>
      <w:r w:rsidRPr="00D17C77">
        <w:rPr>
          <w:color w:val="000000" w:themeColor="text1"/>
          <w:sz w:val="26"/>
          <w:szCs w:val="26"/>
        </w:rPr>
        <w:t xml:space="preserve">Verizon PA’s 2018 Price Change Opportunity (PCO) </w:t>
      </w:r>
      <w:r w:rsidR="009C2CC3" w:rsidRPr="00D17C77">
        <w:rPr>
          <w:color w:val="000000" w:themeColor="text1"/>
          <w:sz w:val="26"/>
          <w:szCs w:val="26"/>
        </w:rPr>
        <w:t>F</w:t>
      </w:r>
      <w:r w:rsidRPr="00D17C77">
        <w:rPr>
          <w:color w:val="000000" w:themeColor="text1"/>
          <w:sz w:val="26"/>
          <w:szCs w:val="26"/>
        </w:rPr>
        <w:t xml:space="preserve">iling was made under the provisions of Act 183 of 2004, P.L. 1398.  This is codified in the Pennsylvania Public Utility Code (Code), 66 Pa. C.S. §§ 3011-3019 (Chapter 30).  </w:t>
      </w:r>
      <w:r w:rsidR="00312325" w:rsidRPr="00D17C77">
        <w:rPr>
          <w:color w:val="000000" w:themeColor="text1"/>
          <w:sz w:val="26"/>
          <w:szCs w:val="26"/>
        </w:rPr>
        <w:t>Through Chapter</w:t>
      </w:r>
      <w:r w:rsidR="00B718C0">
        <w:rPr>
          <w:color w:val="000000" w:themeColor="text1"/>
          <w:sz w:val="26"/>
          <w:szCs w:val="26"/>
        </w:rPr>
        <w:t> </w:t>
      </w:r>
      <w:r w:rsidR="00312325" w:rsidRPr="00D17C77">
        <w:rPr>
          <w:color w:val="000000" w:themeColor="text1"/>
          <w:sz w:val="26"/>
          <w:szCs w:val="26"/>
        </w:rPr>
        <w:t xml:space="preserve">30, the Pennsylvania General Assembly declared it to be the policy of the Commonwealth to, </w:t>
      </w:r>
      <w:r w:rsidR="00EF6783" w:rsidRPr="00D17C77">
        <w:rPr>
          <w:i/>
          <w:color w:val="000000" w:themeColor="text1"/>
          <w:sz w:val="26"/>
          <w:szCs w:val="26"/>
        </w:rPr>
        <w:t>inter alia</w:t>
      </w:r>
      <w:r w:rsidR="00312325" w:rsidRPr="00D17C77">
        <w:rPr>
          <w:color w:val="000000" w:themeColor="text1"/>
          <w:sz w:val="26"/>
          <w:szCs w:val="26"/>
        </w:rPr>
        <w:t>: “maintain universal telecommunications service at affordable rates while encouraging the accelerated provision of advanced services and deployment of a universally available, state-of-the-art, interactive broadband telecommunications network in r</w:t>
      </w:r>
      <w:r w:rsidR="00122641">
        <w:rPr>
          <w:color w:val="000000" w:themeColor="text1"/>
          <w:sz w:val="26"/>
          <w:szCs w:val="26"/>
        </w:rPr>
        <w:t>ural, suburban and urban areas”</w:t>
      </w:r>
      <w:r w:rsidR="00312325" w:rsidRPr="00D17C77">
        <w:rPr>
          <w:color w:val="000000" w:themeColor="text1"/>
          <w:sz w:val="26"/>
          <w:szCs w:val="26"/>
        </w:rPr>
        <w:t xml:space="preserve"> </w:t>
      </w:r>
      <w:r w:rsidR="00EF6783" w:rsidRPr="00D17C77">
        <w:rPr>
          <w:color w:val="000000" w:themeColor="text1"/>
          <w:sz w:val="26"/>
          <w:szCs w:val="26"/>
        </w:rPr>
        <w:t>(</w:t>
      </w:r>
      <w:r w:rsidR="00312325" w:rsidRPr="00D17C77">
        <w:rPr>
          <w:color w:val="000000" w:themeColor="text1"/>
          <w:sz w:val="26"/>
          <w:szCs w:val="26"/>
        </w:rPr>
        <w:t xml:space="preserve">66 </w:t>
      </w:r>
      <w:r w:rsidR="00EF6783" w:rsidRPr="00D17C77">
        <w:rPr>
          <w:color w:val="000000" w:themeColor="text1"/>
          <w:sz w:val="26"/>
          <w:szCs w:val="26"/>
        </w:rPr>
        <w:t>Pa. C.S.</w:t>
      </w:r>
      <w:r w:rsidR="00312325" w:rsidRPr="00D17C77">
        <w:rPr>
          <w:color w:val="000000" w:themeColor="text1"/>
          <w:sz w:val="26"/>
          <w:szCs w:val="26"/>
        </w:rPr>
        <w:t xml:space="preserve"> §</w:t>
      </w:r>
      <w:r w:rsidR="00A73C9B" w:rsidRPr="00D17C77">
        <w:rPr>
          <w:color w:val="000000" w:themeColor="text1"/>
          <w:sz w:val="26"/>
          <w:szCs w:val="26"/>
        </w:rPr>
        <w:t> </w:t>
      </w:r>
      <w:r w:rsidR="00312325" w:rsidRPr="00D17C77">
        <w:rPr>
          <w:color w:val="000000" w:themeColor="text1"/>
          <w:sz w:val="26"/>
          <w:szCs w:val="26"/>
        </w:rPr>
        <w:t>3011(2)</w:t>
      </w:r>
      <w:r w:rsidR="00EF6783" w:rsidRPr="00D17C77">
        <w:rPr>
          <w:color w:val="000000" w:themeColor="text1"/>
          <w:sz w:val="26"/>
          <w:szCs w:val="26"/>
        </w:rPr>
        <w:t>);</w:t>
      </w:r>
      <w:r w:rsidR="00312325" w:rsidRPr="00D17C77">
        <w:rPr>
          <w:color w:val="000000" w:themeColor="text1"/>
          <w:sz w:val="26"/>
          <w:szCs w:val="26"/>
        </w:rPr>
        <w:t xml:space="preserve">.  </w:t>
      </w:r>
      <w:r w:rsidR="00052A46" w:rsidRPr="00D17C77">
        <w:rPr>
          <w:color w:val="000000" w:themeColor="text1"/>
          <w:sz w:val="26"/>
          <w:szCs w:val="26"/>
        </w:rPr>
        <w:t xml:space="preserve">and </w:t>
      </w:r>
      <w:r w:rsidR="00312325" w:rsidRPr="00D17C77">
        <w:rPr>
          <w:color w:val="000000" w:themeColor="text1"/>
          <w:sz w:val="26"/>
          <w:szCs w:val="26"/>
        </w:rPr>
        <w:t xml:space="preserve">“ensure that customers pay only reasonable charges for protected services which shall be available on a nondiscriminatory basis.”  66 </w:t>
      </w:r>
      <w:r w:rsidR="00EF6783" w:rsidRPr="00D17C77">
        <w:rPr>
          <w:color w:val="000000" w:themeColor="text1"/>
          <w:sz w:val="26"/>
          <w:szCs w:val="26"/>
        </w:rPr>
        <w:t>Pa. C.S.</w:t>
      </w:r>
      <w:r w:rsidR="00312325" w:rsidRPr="00D17C77">
        <w:rPr>
          <w:color w:val="000000" w:themeColor="text1"/>
          <w:sz w:val="26"/>
          <w:szCs w:val="26"/>
        </w:rPr>
        <w:t xml:space="preserve"> § 3011(3).  Under Chapter</w:t>
      </w:r>
      <w:r w:rsidR="00E00407">
        <w:rPr>
          <w:color w:val="000000" w:themeColor="text1"/>
          <w:sz w:val="26"/>
          <w:szCs w:val="26"/>
        </w:rPr>
        <w:t> </w:t>
      </w:r>
      <w:r w:rsidR="00312325" w:rsidRPr="00D17C77">
        <w:rPr>
          <w:color w:val="000000" w:themeColor="text1"/>
          <w:sz w:val="26"/>
          <w:szCs w:val="26"/>
        </w:rPr>
        <w:t>30, rates for services provided by local exchange telecommunications companies would no longer be established pursuant to traditional rate base</w:t>
      </w:r>
      <w:r w:rsidR="003A080A" w:rsidRPr="00D17C77">
        <w:rPr>
          <w:color w:val="000000" w:themeColor="text1"/>
          <w:sz w:val="26"/>
          <w:szCs w:val="26"/>
        </w:rPr>
        <w:t xml:space="preserve">, </w:t>
      </w:r>
      <w:r w:rsidR="00312325" w:rsidRPr="00D17C77">
        <w:rPr>
          <w:color w:val="000000" w:themeColor="text1"/>
          <w:sz w:val="26"/>
          <w:szCs w:val="26"/>
        </w:rPr>
        <w:t xml:space="preserve">rate of return regulation.  66 </w:t>
      </w:r>
      <w:r w:rsidR="00EF6783" w:rsidRPr="00D17C77">
        <w:rPr>
          <w:color w:val="000000" w:themeColor="text1"/>
          <w:sz w:val="26"/>
          <w:szCs w:val="26"/>
        </w:rPr>
        <w:t>Pa. C.S.</w:t>
      </w:r>
      <w:r w:rsidR="00312325" w:rsidRPr="00D17C77">
        <w:rPr>
          <w:color w:val="000000" w:themeColor="text1"/>
          <w:sz w:val="26"/>
          <w:szCs w:val="26"/>
        </w:rPr>
        <w:t xml:space="preserve"> § 3015.  </w:t>
      </w:r>
    </w:p>
    <w:p w14:paraId="1AE5B669" w14:textId="77777777" w:rsidR="00312325" w:rsidRPr="00D17C77" w:rsidRDefault="00312325" w:rsidP="009C4BD6">
      <w:pPr>
        <w:spacing w:line="360" w:lineRule="auto"/>
        <w:ind w:firstLine="1440"/>
        <w:contextualSpacing/>
        <w:rPr>
          <w:color w:val="000000" w:themeColor="text1"/>
          <w:sz w:val="26"/>
          <w:szCs w:val="26"/>
        </w:rPr>
      </w:pPr>
    </w:p>
    <w:p w14:paraId="799392CA" w14:textId="670F0755" w:rsidR="00E21533" w:rsidRPr="00D17C77" w:rsidRDefault="00EB5E16" w:rsidP="009C4BD6">
      <w:pPr>
        <w:spacing w:line="360" w:lineRule="auto"/>
        <w:ind w:firstLine="1440"/>
        <w:contextualSpacing/>
        <w:rPr>
          <w:color w:val="000000" w:themeColor="text1"/>
          <w:sz w:val="26"/>
          <w:szCs w:val="26"/>
        </w:rPr>
      </w:pPr>
      <w:r w:rsidRPr="00D17C77">
        <w:rPr>
          <w:color w:val="000000" w:themeColor="text1"/>
          <w:sz w:val="26"/>
          <w:szCs w:val="26"/>
        </w:rPr>
        <w:t>Verizon PA’s</w:t>
      </w:r>
      <w:r w:rsidR="00387A71" w:rsidRPr="00D17C77">
        <w:rPr>
          <w:color w:val="000000" w:themeColor="text1"/>
          <w:sz w:val="26"/>
          <w:szCs w:val="26"/>
        </w:rPr>
        <w:t xml:space="preserve"> PCO filing was also made pursuant to the </w:t>
      </w:r>
      <w:r w:rsidRPr="00D17C77">
        <w:rPr>
          <w:color w:val="000000" w:themeColor="text1"/>
          <w:sz w:val="26"/>
          <w:szCs w:val="26"/>
        </w:rPr>
        <w:t>Company’s</w:t>
      </w:r>
      <w:r w:rsidR="00387A71" w:rsidRPr="00D17C77">
        <w:rPr>
          <w:color w:val="000000" w:themeColor="text1"/>
          <w:sz w:val="26"/>
          <w:szCs w:val="26"/>
        </w:rPr>
        <w:t xml:space="preserve"> Alternative Regulation and Network Modernization Plan (Chapter 30 Plan) that this </w:t>
      </w:r>
      <w:r w:rsidR="00387A71" w:rsidRPr="00D17C77">
        <w:rPr>
          <w:color w:val="000000" w:themeColor="text1"/>
          <w:sz w:val="26"/>
          <w:szCs w:val="26"/>
        </w:rPr>
        <w:lastRenderedPageBreak/>
        <w:t>Commission approved at Docket Nos. P</w:t>
      </w:r>
      <w:r w:rsidR="00387A71" w:rsidRPr="00D17C77">
        <w:rPr>
          <w:color w:val="000000" w:themeColor="text1"/>
          <w:sz w:val="26"/>
          <w:szCs w:val="26"/>
        </w:rPr>
        <w:noBreakHyphen/>
        <w:t>00930715, P</w:t>
      </w:r>
      <w:r w:rsidR="00387A71" w:rsidRPr="00D17C77">
        <w:rPr>
          <w:color w:val="000000" w:themeColor="text1"/>
          <w:sz w:val="26"/>
          <w:szCs w:val="26"/>
        </w:rPr>
        <w:noBreakHyphen/>
        <w:t>00930715F1000 and R-00051228.</w:t>
      </w:r>
      <w:r w:rsidR="00387A71" w:rsidRPr="00D17C77">
        <w:rPr>
          <w:color w:val="000000" w:themeColor="text1"/>
          <w:sz w:val="26"/>
          <w:szCs w:val="26"/>
          <w:vertAlign w:val="superscript"/>
        </w:rPr>
        <w:footnoteReference w:id="1"/>
      </w:r>
      <w:r w:rsidR="00387A71" w:rsidRPr="00D17C77">
        <w:rPr>
          <w:color w:val="000000" w:themeColor="text1"/>
          <w:sz w:val="26"/>
          <w:szCs w:val="26"/>
        </w:rPr>
        <w:t xml:space="preserve">  </w:t>
      </w:r>
      <w:r w:rsidR="00312325" w:rsidRPr="00D17C77">
        <w:rPr>
          <w:color w:val="000000" w:themeColor="text1"/>
          <w:sz w:val="26"/>
          <w:szCs w:val="26"/>
        </w:rPr>
        <w:t xml:space="preserve">Verizon PA’s Chapter 30 Plan contains a Price Stability Mechanism (PSM), </w:t>
      </w:r>
      <w:r w:rsidR="00052A46" w:rsidRPr="00D17C77">
        <w:rPr>
          <w:color w:val="000000" w:themeColor="text1"/>
          <w:sz w:val="26"/>
          <w:szCs w:val="26"/>
        </w:rPr>
        <w:t>that includes</w:t>
      </w:r>
      <w:r w:rsidRPr="00D17C77">
        <w:rPr>
          <w:color w:val="000000" w:themeColor="text1"/>
          <w:sz w:val="26"/>
          <w:szCs w:val="26"/>
        </w:rPr>
        <w:t xml:space="preserve"> the formula for Verizon PA’s PCO and caps revenue increases resulting from tariff rate changes for noncompetitive services.  Namely, the PCO calculates the allowable change (increase or decrease) in rates for noncompetitive services based on the annual change in the Gross Domestic Product Price Index (GDP</w:t>
      </w:r>
      <w:r w:rsidRPr="00D17C77">
        <w:rPr>
          <w:color w:val="000000" w:themeColor="text1"/>
          <w:sz w:val="26"/>
          <w:szCs w:val="26"/>
        </w:rPr>
        <w:noBreakHyphen/>
        <w:t xml:space="preserve">PI).  As a result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Verizon PA’s case, the inflation offset was reduced from 2.93% to 0.5%.  Accordingly, annual PCO filings have the potential for substantial revenue and rate impacts on end-user consumers.  </w:t>
      </w:r>
      <w:r w:rsidR="004D0F87" w:rsidRPr="00D17C77">
        <w:rPr>
          <w:color w:val="000000" w:themeColor="text1"/>
          <w:sz w:val="26"/>
          <w:szCs w:val="26"/>
        </w:rPr>
        <w:t>The PSM also contains special provisions for protected services</w:t>
      </w:r>
      <w:r w:rsidR="00656231" w:rsidRPr="00D17C77">
        <w:rPr>
          <w:rStyle w:val="FootnoteReference"/>
          <w:color w:val="000000" w:themeColor="text1"/>
        </w:rPr>
        <w:footnoteReference w:id="2"/>
      </w:r>
      <w:r w:rsidR="004D0F87" w:rsidRPr="00D17C77">
        <w:rPr>
          <w:color w:val="000000" w:themeColor="text1"/>
          <w:sz w:val="26"/>
          <w:szCs w:val="26"/>
        </w:rPr>
        <w:t xml:space="preserve"> and </w:t>
      </w:r>
      <w:r w:rsidR="004D0F87" w:rsidRPr="00D17C77">
        <w:rPr>
          <w:color w:val="000000" w:themeColor="text1"/>
          <w:sz w:val="26"/>
          <w:szCs w:val="26"/>
        </w:rPr>
        <w:lastRenderedPageBreak/>
        <w:t xml:space="preserve">addresses revenue neutral adjustments to the rates of noncompetitive services.  </w:t>
      </w:r>
      <w:r w:rsidRPr="00D17C77">
        <w:rPr>
          <w:color w:val="000000" w:themeColor="text1"/>
          <w:sz w:val="26"/>
          <w:szCs w:val="26"/>
        </w:rPr>
        <w:t>The PSM set forth in Verizon PA’s Chapter 30 Plan is a complete substitution of the rate base</w:t>
      </w:r>
      <w:r w:rsidR="003A080A" w:rsidRPr="00D17C77">
        <w:rPr>
          <w:color w:val="000000" w:themeColor="text1"/>
          <w:sz w:val="26"/>
          <w:szCs w:val="26"/>
        </w:rPr>
        <w:t xml:space="preserve">, </w:t>
      </w:r>
      <w:r w:rsidRPr="00D17C77">
        <w:rPr>
          <w:color w:val="000000" w:themeColor="text1"/>
          <w:sz w:val="26"/>
          <w:szCs w:val="26"/>
        </w:rPr>
        <w:t>rate-of-return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w:t>
      </w:r>
      <w:r w:rsidR="00A73C9B" w:rsidRPr="00D17C77">
        <w:rPr>
          <w:color w:val="000000" w:themeColor="text1"/>
          <w:sz w:val="26"/>
          <w:szCs w:val="26"/>
        </w:rPr>
        <w:t xml:space="preserve"> </w:t>
      </w:r>
      <w:r w:rsidRPr="00D17C77">
        <w:rPr>
          <w:color w:val="000000" w:themeColor="text1"/>
          <w:sz w:val="26"/>
          <w:szCs w:val="26"/>
        </w:rPr>
        <w:t xml:space="preserve">C.S. § 1301 that rates shall be just and reasonable.  </w:t>
      </w:r>
      <w:r w:rsidR="001273AC" w:rsidRPr="00D17C77">
        <w:rPr>
          <w:i/>
          <w:iCs/>
          <w:color w:val="000000" w:themeColor="text1"/>
          <w:sz w:val="26"/>
          <w:szCs w:val="26"/>
        </w:rPr>
        <w:t xml:space="preserve">See </w:t>
      </w:r>
      <w:r w:rsidRPr="00D17C77">
        <w:rPr>
          <w:color w:val="000000" w:themeColor="text1"/>
          <w:sz w:val="26"/>
          <w:szCs w:val="26"/>
        </w:rPr>
        <w:t>Verizon PA Chapter 30 Plan, Part 1 at 4-12.</w:t>
      </w:r>
    </w:p>
    <w:p w14:paraId="2D733583" w14:textId="77777777" w:rsidR="00EB5E16" w:rsidRPr="00D17C77" w:rsidRDefault="00EB5E16" w:rsidP="009C4BD6">
      <w:pPr>
        <w:spacing w:line="360" w:lineRule="auto"/>
        <w:ind w:firstLine="1440"/>
        <w:contextualSpacing/>
        <w:rPr>
          <w:color w:val="000000" w:themeColor="text1"/>
          <w:sz w:val="26"/>
          <w:szCs w:val="26"/>
        </w:rPr>
      </w:pPr>
    </w:p>
    <w:p w14:paraId="37D8AC3F" w14:textId="4699453C" w:rsidR="00EB5E16" w:rsidRPr="00D17C77" w:rsidRDefault="002516BB" w:rsidP="009C4BD6">
      <w:pPr>
        <w:spacing w:line="360" w:lineRule="auto"/>
        <w:ind w:firstLine="1440"/>
        <w:contextualSpacing/>
        <w:rPr>
          <w:color w:val="000000" w:themeColor="text1"/>
          <w:sz w:val="26"/>
          <w:szCs w:val="26"/>
        </w:rPr>
      </w:pPr>
      <w:r w:rsidRPr="00D17C77">
        <w:rPr>
          <w:color w:val="000000" w:themeColor="text1"/>
          <w:sz w:val="26"/>
          <w:szCs w:val="26"/>
        </w:rPr>
        <w:t>Verizon PA made</w:t>
      </w:r>
      <w:r w:rsidR="00EB5E16" w:rsidRPr="00D17C77">
        <w:rPr>
          <w:color w:val="000000" w:themeColor="text1"/>
          <w:sz w:val="26"/>
          <w:szCs w:val="26"/>
        </w:rPr>
        <w:t xml:space="preserve"> its 2018 PCO Filing</w:t>
      </w:r>
      <w:r w:rsidR="007D51AD" w:rsidRPr="00D17C77">
        <w:rPr>
          <w:color w:val="000000" w:themeColor="text1"/>
          <w:sz w:val="26"/>
          <w:szCs w:val="26"/>
        </w:rPr>
        <w:t xml:space="preserve"> using the change in 2016 and 2017 first quarter </w:t>
      </w:r>
      <w:smartTag w:uri="urn:schemas-microsoft-com:office:smarttags" w:element="stockticker">
        <w:r w:rsidR="007D51AD" w:rsidRPr="00D17C77">
          <w:rPr>
            <w:color w:val="000000" w:themeColor="text1"/>
            <w:sz w:val="26"/>
            <w:szCs w:val="26"/>
          </w:rPr>
          <w:t>GDP</w:t>
        </w:r>
      </w:smartTag>
      <w:r w:rsidR="007D51AD" w:rsidRPr="00D17C77">
        <w:rPr>
          <w:color w:val="000000" w:themeColor="text1"/>
          <w:sz w:val="26"/>
          <w:szCs w:val="26"/>
        </w:rPr>
        <w:t>-PI of 2.02%.  After deducting the inflation offset of 0.5%, this equated to a 2018 PCO of $1,257,000</w:t>
      </w:r>
      <w:r w:rsidR="007D51AD" w:rsidRPr="00D17C77">
        <w:rPr>
          <w:rStyle w:val="FootnoteReference"/>
          <w:color w:val="000000" w:themeColor="text1"/>
        </w:rPr>
        <w:footnoteReference w:id="3"/>
      </w:r>
      <w:r w:rsidR="007D51AD" w:rsidRPr="00D17C77">
        <w:rPr>
          <w:color w:val="000000" w:themeColor="text1"/>
          <w:sz w:val="26"/>
          <w:szCs w:val="26"/>
        </w:rPr>
        <w:t xml:space="preserve"> based on </w:t>
      </w:r>
      <w:r w:rsidR="00602CE1" w:rsidRPr="00D17C77">
        <w:rPr>
          <w:color w:val="000000" w:themeColor="text1"/>
          <w:sz w:val="26"/>
          <w:szCs w:val="26"/>
        </w:rPr>
        <w:t xml:space="preserve">annual </w:t>
      </w:r>
      <w:r w:rsidR="007D51AD" w:rsidRPr="00D17C77">
        <w:rPr>
          <w:color w:val="000000" w:themeColor="text1"/>
          <w:sz w:val="26"/>
          <w:szCs w:val="26"/>
        </w:rPr>
        <w:t>noncompetitive revenues of $82,665,000.</w:t>
      </w:r>
      <w:r w:rsidR="00602CE1" w:rsidRPr="00D17C77">
        <w:rPr>
          <w:rStyle w:val="FootnoteReference"/>
          <w:color w:val="000000" w:themeColor="text1"/>
        </w:rPr>
        <w:footnoteReference w:id="4"/>
      </w:r>
      <w:r w:rsidR="007D51AD" w:rsidRPr="00D17C77">
        <w:rPr>
          <w:color w:val="000000" w:themeColor="text1"/>
          <w:sz w:val="26"/>
          <w:szCs w:val="26"/>
        </w:rPr>
        <w:t xml:space="preserve"> </w:t>
      </w:r>
      <w:r w:rsidR="00EB5E16" w:rsidRPr="00D17C77">
        <w:rPr>
          <w:color w:val="000000" w:themeColor="text1"/>
          <w:sz w:val="26"/>
          <w:szCs w:val="26"/>
        </w:rPr>
        <w:t xml:space="preserve"> </w:t>
      </w:r>
      <w:r w:rsidR="00602CE1" w:rsidRPr="00D17C77">
        <w:rPr>
          <w:color w:val="000000" w:themeColor="text1"/>
          <w:sz w:val="26"/>
          <w:szCs w:val="26"/>
        </w:rPr>
        <w:t xml:space="preserve">In its 2018 PCO Filing, Verizon PA proposed to increase its annual noncompetitive revenues by $934,700.  Verizon PA proposed to implement its 2018 PCO by increasing </w:t>
      </w:r>
      <w:r w:rsidR="00602CE1" w:rsidRPr="00D17C77">
        <w:rPr>
          <w:color w:val="000000" w:themeColor="text1"/>
          <w:sz w:val="26"/>
          <w:szCs w:val="26"/>
        </w:rPr>
        <w:lastRenderedPageBreak/>
        <w:t>rates for the following</w:t>
      </w:r>
      <w:r w:rsidR="009C2CC3" w:rsidRPr="00D17C77">
        <w:rPr>
          <w:color w:val="000000" w:themeColor="text1"/>
          <w:sz w:val="26"/>
          <w:szCs w:val="26"/>
        </w:rPr>
        <w:t xml:space="preserve"> services</w:t>
      </w:r>
      <w:r w:rsidR="00602CE1" w:rsidRPr="00D17C77">
        <w:rPr>
          <w:color w:val="000000" w:themeColor="text1"/>
          <w:sz w:val="26"/>
          <w:szCs w:val="26"/>
        </w:rPr>
        <w:t>: (1) Residential Dial Tone Line (</w:t>
      </w:r>
      <w:r w:rsidR="009C2CC3" w:rsidRPr="00D17C77">
        <w:rPr>
          <w:color w:val="000000" w:themeColor="text1"/>
          <w:sz w:val="26"/>
          <w:szCs w:val="26"/>
        </w:rPr>
        <w:t xml:space="preserve">in </w:t>
      </w:r>
      <w:r w:rsidR="00602CE1" w:rsidRPr="00D17C77">
        <w:rPr>
          <w:color w:val="000000" w:themeColor="text1"/>
          <w:sz w:val="26"/>
          <w:szCs w:val="26"/>
        </w:rPr>
        <w:t>all Density Cells)</w:t>
      </w:r>
      <w:r w:rsidR="00A73C9B" w:rsidRPr="00D17C77">
        <w:rPr>
          <w:color w:val="000000" w:themeColor="text1"/>
          <w:sz w:val="26"/>
          <w:szCs w:val="26"/>
        </w:rPr>
        <w:t>;</w:t>
      </w:r>
      <w:r w:rsidR="005C09C5" w:rsidRPr="00D17C77">
        <w:rPr>
          <w:rStyle w:val="FootnoteReference"/>
          <w:color w:val="000000" w:themeColor="text1"/>
        </w:rPr>
        <w:footnoteReference w:id="5"/>
      </w:r>
      <w:r w:rsidR="00602CE1" w:rsidRPr="00D17C77">
        <w:rPr>
          <w:color w:val="000000" w:themeColor="text1"/>
          <w:sz w:val="26"/>
          <w:szCs w:val="26"/>
        </w:rPr>
        <w:t xml:space="preserve"> (2)</w:t>
      </w:r>
      <w:r w:rsidR="00F64E20" w:rsidRPr="00D17C77">
        <w:rPr>
          <w:color w:val="000000" w:themeColor="text1"/>
          <w:sz w:val="26"/>
          <w:szCs w:val="26"/>
        </w:rPr>
        <w:t> </w:t>
      </w:r>
      <w:r w:rsidR="00602CE1" w:rsidRPr="00D17C77">
        <w:rPr>
          <w:color w:val="000000" w:themeColor="text1"/>
          <w:sz w:val="26"/>
          <w:szCs w:val="26"/>
        </w:rPr>
        <w:t>Business Dial Tone Line (in Density Cells 1, 2, and 3)</w:t>
      </w:r>
      <w:r w:rsidR="00F727CD" w:rsidRPr="00D17C77">
        <w:rPr>
          <w:color w:val="000000" w:themeColor="text1"/>
          <w:sz w:val="26"/>
          <w:szCs w:val="26"/>
        </w:rPr>
        <w:t xml:space="preserve">; and (3) increasing the Business Late Payment Charge from 1.5% to the greater of 1.5% or $5.00, consistent with the Joint Settlement Petition approved by the Commission </w:t>
      </w:r>
      <w:r w:rsidR="00F661C4" w:rsidRPr="00D17C77">
        <w:rPr>
          <w:color w:val="000000" w:themeColor="text1"/>
          <w:sz w:val="26"/>
          <w:szCs w:val="26"/>
        </w:rPr>
        <w:t xml:space="preserve">in </w:t>
      </w:r>
      <w:r w:rsidR="00F661C4" w:rsidRPr="00D17C77">
        <w:rPr>
          <w:i/>
          <w:iCs/>
          <w:color w:val="000000" w:themeColor="text1"/>
          <w:sz w:val="26"/>
          <w:szCs w:val="26"/>
        </w:rPr>
        <w:t>Office of Small Business Advocate v Verizon Pennsylvania Inc</w:t>
      </w:r>
      <w:r w:rsidR="00F661C4" w:rsidRPr="00D17C77">
        <w:rPr>
          <w:color w:val="000000" w:themeColor="text1"/>
          <w:sz w:val="26"/>
          <w:szCs w:val="26"/>
        </w:rPr>
        <w:t xml:space="preserve">., </w:t>
      </w:r>
      <w:r w:rsidR="00F661C4" w:rsidRPr="00D17C77">
        <w:rPr>
          <w:i/>
          <w:iCs/>
          <w:color w:val="000000" w:themeColor="text1"/>
          <w:sz w:val="26"/>
          <w:szCs w:val="26"/>
        </w:rPr>
        <w:t>et al</w:t>
      </w:r>
      <w:r w:rsidR="00A73C9B" w:rsidRPr="00D17C77">
        <w:rPr>
          <w:i/>
          <w:iCs/>
          <w:color w:val="000000" w:themeColor="text1"/>
          <w:sz w:val="26"/>
          <w:szCs w:val="26"/>
        </w:rPr>
        <w:t>.</w:t>
      </w:r>
      <w:r w:rsidR="00F661C4" w:rsidRPr="00D17C77">
        <w:rPr>
          <w:color w:val="000000" w:themeColor="text1"/>
          <w:sz w:val="26"/>
          <w:szCs w:val="26"/>
        </w:rPr>
        <w:t xml:space="preserve">, Docket No. R-2015-2510231, </w:t>
      </w:r>
      <w:r w:rsidR="00F661C4" w:rsidRPr="00D17C77">
        <w:rPr>
          <w:i/>
          <w:iCs/>
          <w:color w:val="000000" w:themeColor="text1"/>
          <w:sz w:val="26"/>
          <w:szCs w:val="26"/>
        </w:rPr>
        <w:t>et al</w:t>
      </w:r>
      <w:r w:rsidR="005050B0">
        <w:rPr>
          <w:i/>
          <w:iCs/>
          <w:color w:val="000000" w:themeColor="text1"/>
          <w:sz w:val="26"/>
          <w:szCs w:val="26"/>
        </w:rPr>
        <w:t>.</w:t>
      </w:r>
      <w:r w:rsidR="00F661C4" w:rsidRPr="00D17C77">
        <w:rPr>
          <w:i/>
          <w:iCs/>
          <w:color w:val="000000" w:themeColor="text1"/>
          <w:sz w:val="26"/>
          <w:szCs w:val="26"/>
        </w:rPr>
        <w:t xml:space="preserve"> </w:t>
      </w:r>
      <w:r w:rsidR="00F661C4" w:rsidRPr="00D17C77">
        <w:rPr>
          <w:color w:val="000000" w:themeColor="text1"/>
          <w:sz w:val="26"/>
          <w:szCs w:val="26"/>
        </w:rPr>
        <w:t xml:space="preserve">(Final Order entered January 19, </w:t>
      </w:r>
      <w:r w:rsidR="009E375C" w:rsidRPr="00D17C77">
        <w:rPr>
          <w:color w:val="000000" w:themeColor="text1"/>
          <w:sz w:val="26"/>
          <w:szCs w:val="26"/>
        </w:rPr>
        <w:t>2017) (</w:t>
      </w:r>
      <w:r w:rsidR="00F661C4" w:rsidRPr="00D17C77">
        <w:rPr>
          <w:i/>
          <w:iCs/>
          <w:color w:val="000000" w:themeColor="text1"/>
          <w:sz w:val="26"/>
          <w:szCs w:val="26"/>
        </w:rPr>
        <w:t>January 2017 Order</w:t>
      </w:r>
      <w:r w:rsidR="00F661C4" w:rsidRPr="00D17C77">
        <w:rPr>
          <w:color w:val="000000" w:themeColor="text1"/>
          <w:sz w:val="26"/>
          <w:szCs w:val="26"/>
        </w:rPr>
        <w:t>)</w:t>
      </w:r>
      <w:r w:rsidR="00F727CD" w:rsidRPr="00D17C77">
        <w:rPr>
          <w:color w:val="000000" w:themeColor="text1"/>
          <w:sz w:val="26"/>
          <w:szCs w:val="26"/>
        </w:rPr>
        <w:t>.</w:t>
      </w:r>
      <w:r w:rsidR="004844D5" w:rsidRPr="00D17C77">
        <w:rPr>
          <w:color w:val="000000" w:themeColor="text1"/>
          <w:sz w:val="26"/>
          <w:szCs w:val="26"/>
        </w:rPr>
        <w:t xml:space="preserve">  </w:t>
      </w:r>
      <w:r w:rsidR="004844D5" w:rsidRPr="00D17C77">
        <w:rPr>
          <w:i/>
          <w:iCs/>
          <w:color w:val="000000" w:themeColor="text1"/>
          <w:sz w:val="26"/>
          <w:szCs w:val="26"/>
        </w:rPr>
        <w:t>See</w:t>
      </w:r>
      <w:r w:rsidR="00F727CD" w:rsidRPr="00D17C77">
        <w:rPr>
          <w:color w:val="000000" w:themeColor="text1"/>
          <w:sz w:val="26"/>
          <w:szCs w:val="26"/>
        </w:rPr>
        <w:t xml:space="preserve"> Verizon 2018 PCO Filing at Executive Summary.</w:t>
      </w:r>
    </w:p>
    <w:p w14:paraId="0E54B592" w14:textId="77777777" w:rsidR="00F727CD" w:rsidRPr="00D17C77" w:rsidRDefault="00F727CD" w:rsidP="0050607C">
      <w:pPr>
        <w:spacing w:line="360" w:lineRule="auto"/>
        <w:ind w:firstLine="1440"/>
        <w:contextualSpacing/>
        <w:rPr>
          <w:color w:val="000000" w:themeColor="text1"/>
          <w:sz w:val="26"/>
          <w:szCs w:val="26"/>
        </w:rPr>
      </w:pPr>
    </w:p>
    <w:p w14:paraId="62C65CDB" w14:textId="77777777" w:rsidR="00F727CD" w:rsidRPr="003B1997" w:rsidRDefault="00F727CD" w:rsidP="009C4BD6">
      <w:pPr>
        <w:spacing w:line="360" w:lineRule="auto"/>
        <w:ind w:firstLine="1440"/>
        <w:contextualSpacing/>
        <w:rPr>
          <w:color w:val="000000" w:themeColor="text1"/>
          <w:sz w:val="26"/>
          <w:szCs w:val="26"/>
        </w:rPr>
      </w:pPr>
      <w:r w:rsidRPr="00D17C77">
        <w:rPr>
          <w:color w:val="000000" w:themeColor="text1"/>
          <w:sz w:val="26"/>
          <w:szCs w:val="26"/>
        </w:rPr>
        <w:t xml:space="preserve">The </w:t>
      </w:r>
      <w:r w:rsidRPr="003B1997">
        <w:rPr>
          <w:color w:val="000000" w:themeColor="text1"/>
          <w:sz w:val="26"/>
          <w:szCs w:val="26"/>
        </w:rPr>
        <w:t>following table summarizes Verizon PA’s rates prior to its 2018 PCO filing and the rates Verizon PA proposed in its 2018 PCO Filing:</w:t>
      </w:r>
    </w:p>
    <w:tbl>
      <w:tblPr>
        <w:tblW w:w="8038" w:type="dxa"/>
        <w:jc w:val="center"/>
        <w:tblLook w:val="04A0" w:firstRow="1" w:lastRow="0" w:firstColumn="1" w:lastColumn="0" w:noHBand="0" w:noVBand="1"/>
      </w:tblPr>
      <w:tblGrid>
        <w:gridCol w:w="2690"/>
        <w:gridCol w:w="1256"/>
        <w:gridCol w:w="1414"/>
        <w:gridCol w:w="1256"/>
        <w:gridCol w:w="7"/>
        <w:gridCol w:w="1408"/>
        <w:gridCol w:w="7"/>
      </w:tblGrid>
      <w:tr w:rsidR="00D17C77" w:rsidRPr="003B1997" w14:paraId="513CD6F0" w14:textId="77777777" w:rsidTr="00F727CD">
        <w:trPr>
          <w:gridAfter w:val="1"/>
          <w:wAfter w:w="7" w:type="dxa"/>
          <w:trHeight w:val="330"/>
          <w:jc w:val="center"/>
        </w:trPr>
        <w:tc>
          <w:tcPr>
            <w:tcW w:w="2690" w:type="dxa"/>
            <w:tcBorders>
              <w:top w:val="single" w:sz="8" w:space="0" w:color="auto"/>
              <w:left w:val="single" w:sz="8" w:space="0" w:color="auto"/>
              <w:bottom w:val="nil"/>
              <w:right w:val="nil"/>
            </w:tcBorders>
            <w:shd w:val="clear" w:color="auto" w:fill="auto"/>
            <w:noWrap/>
            <w:vAlign w:val="bottom"/>
            <w:hideMark/>
          </w:tcPr>
          <w:p w14:paraId="6920AECC"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lastRenderedPageBreak/>
              <w:t> </w:t>
            </w:r>
          </w:p>
        </w:tc>
        <w:tc>
          <w:tcPr>
            <w:tcW w:w="1256" w:type="dxa"/>
            <w:tcBorders>
              <w:top w:val="single" w:sz="8" w:space="0" w:color="auto"/>
              <w:left w:val="nil"/>
              <w:bottom w:val="nil"/>
              <w:right w:val="nil"/>
            </w:tcBorders>
            <w:shd w:val="clear" w:color="auto" w:fill="auto"/>
            <w:noWrap/>
            <w:vAlign w:val="center"/>
            <w:hideMark/>
          </w:tcPr>
          <w:p w14:paraId="25DEBB20" w14:textId="77777777" w:rsidR="00F727CD" w:rsidRPr="003B1997" w:rsidRDefault="00F727CD" w:rsidP="003B1997">
            <w:pPr>
              <w:keepNext/>
              <w:keepLines/>
              <w:contextualSpacing/>
              <w:jc w:val="center"/>
              <w:rPr>
                <w:b/>
                <w:bCs/>
                <w:color w:val="000000" w:themeColor="text1"/>
                <w:sz w:val="26"/>
                <w:szCs w:val="26"/>
                <w:u w:val="single"/>
              </w:rPr>
            </w:pPr>
            <w:r w:rsidRPr="003B1997">
              <w:rPr>
                <w:b/>
                <w:bCs/>
                <w:color w:val="000000" w:themeColor="text1"/>
                <w:sz w:val="26"/>
                <w:szCs w:val="26"/>
                <w:u w:val="single"/>
              </w:rPr>
              <w:t>Old Rate</w:t>
            </w:r>
          </w:p>
        </w:tc>
        <w:tc>
          <w:tcPr>
            <w:tcW w:w="1414" w:type="dxa"/>
            <w:tcBorders>
              <w:top w:val="single" w:sz="8" w:space="0" w:color="auto"/>
              <w:left w:val="nil"/>
              <w:bottom w:val="nil"/>
              <w:right w:val="nil"/>
            </w:tcBorders>
            <w:shd w:val="clear" w:color="auto" w:fill="auto"/>
            <w:noWrap/>
            <w:vAlign w:val="center"/>
            <w:hideMark/>
          </w:tcPr>
          <w:p w14:paraId="6CBD8D7E" w14:textId="77777777" w:rsidR="00F727CD" w:rsidRPr="003B1997" w:rsidRDefault="00F727CD" w:rsidP="003B1997">
            <w:pPr>
              <w:keepNext/>
              <w:keepLines/>
              <w:contextualSpacing/>
              <w:jc w:val="center"/>
              <w:rPr>
                <w:b/>
                <w:bCs/>
                <w:color w:val="000000" w:themeColor="text1"/>
                <w:sz w:val="26"/>
                <w:szCs w:val="26"/>
                <w:u w:val="single"/>
              </w:rPr>
            </w:pPr>
            <w:r w:rsidRPr="003B1997">
              <w:rPr>
                <w:b/>
                <w:bCs/>
                <w:color w:val="000000" w:themeColor="text1"/>
                <w:sz w:val="26"/>
                <w:szCs w:val="26"/>
                <w:u w:val="single"/>
              </w:rPr>
              <w:t>New Rate</w:t>
            </w:r>
          </w:p>
        </w:tc>
        <w:tc>
          <w:tcPr>
            <w:tcW w:w="1256" w:type="dxa"/>
            <w:tcBorders>
              <w:top w:val="single" w:sz="8" w:space="0" w:color="auto"/>
              <w:left w:val="nil"/>
              <w:bottom w:val="nil"/>
              <w:right w:val="nil"/>
            </w:tcBorders>
            <w:shd w:val="clear" w:color="auto" w:fill="auto"/>
            <w:noWrap/>
            <w:vAlign w:val="center"/>
            <w:hideMark/>
          </w:tcPr>
          <w:p w14:paraId="3EEA16EE" w14:textId="77777777" w:rsidR="00F727CD" w:rsidRPr="003B1997" w:rsidRDefault="00F727CD" w:rsidP="003B1997">
            <w:pPr>
              <w:keepNext/>
              <w:keepLines/>
              <w:contextualSpacing/>
              <w:jc w:val="center"/>
              <w:rPr>
                <w:b/>
                <w:bCs/>
                <w:color w:val="000000" w:themeColor="text1"/>
                <w:sz w:val="26"/>
                <w:szCs w:val="26"/>
                <w:u w:val="single"/>
              </w:rPr>
            </w:pPr>
            <w:r w:rsidRPr="003B1997">
              <w:rPr>
                <w:b/>
                <w:bCs/>
                <w:color w:val="000000" w:themeColor="text1"/>
                <w:sz w:val="26"/>
                <w:szCs w:val="26"/>
                <w:u w:val="single"/>
              </w:rPr>
              <w:t>Increase</w:t>
            </w:r>
          </w:p>
        </w:tc>
        <w:tc>
          <w:tcPr>
            <w:tcW w:w="1415" w:type="dxa"/>
            <w:gridSpan w:val="2"/>
            <w:tcBorders>
              <w:top w:val="single" w:sz="8" w:space="0" w:color="auto"/>
              <w:left w:val="nil"/>
              <w:bottom w:val="nil"/>
              <w:right w:val="single" w:sz="8" w:space="0" w:color="auto"/>
            </w:tcBorders>
            <w:shd w:val="clear" w:color="auto" w:fill="auto"/>
            <w:noWrap/>
            <w:vAlign w:val="center"/>
            <w:hideMark/>
          </w:tcPr>
          <w:p w14:paraId="357E818D" w14:textId="77777777" w:rsidR="00F727CD" w:rsidRPr="003B1997" w:rsidRDefault="00F727CD" w:rsidP="003B1997">
            <w:pPr>
              <w:keepNext/>
              <w:keepLines/>
              <w:contextualSpacing/>
              <w:jc w:val="center"/>
              <w:rPr>
                <w:b/>
                <w:bCs/>
                <w:color w:val="000000" w:themeColor="text1"/>
                <w:sz w:val="26"/>
                <w:szCs w:val="26"/>
                <w:u w:val="single"/>
              </w:rPr>
            </w:pPr>
            <w:r w:rsidRPr="003B1997">
              <w:rPr>
                <w:b/>
                <w:bCs/>
                <w:color w:val="000000" w:themeColor="text1"/>
                <w:sz w:val="26"/>
                <w:szCs w:val="26"/>
                <w:u w:val="single"/>
              </w:rPr>
              <w:t>%Increase</w:t>
            </w:r>
          </w:p>
        </w:tc>
      </w:tr>
      <w:tr w:rsidR="00D17C77" w:rsidRPr="003B1997" w14:paraId="5469DF7E"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260E916D"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c>
          <w:tcPr>
            <w:tcW w:w="1256" w:type="dxa"/>
            <w:tcBorders>
              <w:top w:val="nil"/>
              <w:left w:val="nil"/>
              <w:bottom w:val="nil"/>
              <w:right w:val="nil"/>
            </w:tcBorders>
            <w:shd w:val="clear" w:color="auto" w:fill="auto"/>
            <w:noWrap/>
            <w:vAlign w:val="center"/>
            <w:hideMark/>
          </w:tcPr>
          <w:p w14:paraId="17EDCD14"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(monthly)</w:t>
            </w:r>
          </w:p>
        </w:tc>
        <w:tc>
          <w:tcPr>
            <w:tcW w:w="1414" w:type="dxa"/>
            <w:tcBorders>
              <w:top w:val="nil"/>
              <w:left w:val="nil"/>
              <w:bottom w:val="nil"/>
              <w:right w:val="nil"/>
            </w:tcBorders>
            <w:shd w:val="clear" w:color="auto" w:fill="auto"/>
            <w:noWrap/>
            <w:vAlign w:val="center"/>
            <w:hideMark/>
          </w:tcPr>
          <w:p w14:paraId="18E140E0"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(monthly)</w:t>
            </w:r>
          </w:p>
        </w:tc>
        <w:tc>
          <w:tcPr>
            <w:tcW w:w="1256" w:type="dxa"/>
            <w:tcBorders>
              <w:top w:val="nil"/>
              <w:left w:val="nil"/>
              <w:bottom w:val="nil"/>
              <w:right w:val="nil"/>
            </w:tcBorders>
            <w:shd w:val="clear" w:color="auto" w:fill="auto"/>
            <w:noWrap/>
            <w:vAlign w:val="center"/>
            <w:hideMark/>
          </w:tcPr>
          <w:p w14:paraId="1482853A"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(monthly)</w:t>
            </w:r>
          </w:p>
        </w:tc>
        <w:tc>
          <w:tcPr>
            <w:tcW w:w="1415" w:type="dxa"/>
            <w:gridSpan w:val="2"/>
            <w:tcBorders>
              <w:top w:val="nil"/>
              <w:left w:val="nil"/>
              <w:bottom w:val="nil"/>
              <w:right w:val="single" w:sz="8" w:space="0" w:color="auto"/>
            </w:tcBorders>
            <w:shd w:val="clear" w:color="auto" w:fill="auto"/>
            <w:noWrap/>
            <w:vAlign w:val="center"/>
            <w:hideMark/>
          </w:tcPr>
          <w:p w14:paraId="6E3DD038"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(monthly)</w:t>
            </w:r>
          </w:p>
        </w:tc>
      </w:tr>
      <w:tr w:rsidR="00D17C77" w:rsidRPr="003B1997" w14:paraId="097E4EA1"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7CAFB505" w14:textId="77777777" w:rsidR="00F727CD" w:rsidRPr="003B1997" w:rsidRDefault="00F727CD" w:rsidP="003B1997">
            <w:pPr>
              <w:keepNext/>
              <w:keepLines/>
              <w:contextualSpacing/>
              <w:rPr>
                <w:b/>
                <w:bCs/>
                <w:color w:val="000000" w:themeColor="text1"/>
                <w:sz w:val="26"/>
                <w:szCs w:val="26"/>
                <w:u w:val="single"/>
              </w:rPr>
            </w:pPr>
            <w:r w:rsidRPr="003B1997">
              <w:rPr>
                <w:b/>
                <w:bCs/>
                <w:color w:val="000000" w:themeColor="text1"/>
                <w:sz w:val="26"/>
                <w:szCs w:val="26"/>
                <w:u w:val="single"/>
              </w:rPr>
              <w:t>RESIDENTIAL</w:t>
            </w:r>
          </w:p>
        </w:tc>
        <w:tc>
          <w:tcPr>
            <w:tcW w:w="1256" w:type="dxa"/>
            <w:tcBorders>
              <w:top w:val="nil"/>
              <w:left w:val="nil"/>
              <w:bottom w:val="nil"/>
              <w:right w:val="nil"/>
            </w:tcBorders>
            <w:shd w:val="clear" w:color="auto" w:fill="auto"/>
            <w:noWrap/>
            <w:vAlign w:val="bottom"/>
            <w:hideMark/>
          </w:tcPr>
          <w:p w14:paraId="7BC06F42" w14:textId="77777777" w:rsidR="00F727CD" w:rsidRPr="003B1997" w:rsidRDefault="00F727CD" w:rsidP="003B1997">
            <w:pPr>
              <w:keepNext/>
              <w:keepLines/>
              <w:contextualSpacing/>
              <w:rPr>
                <w:b/>
                <w:bCs/>
                <w:color w:val="000000" w:themeColor="text1"/>
                <w:sz w:val="26"/>
                <w:szCs w:val="26"/>
                <w:u w:val="single"/>
              </w:rPr>
            </w:pPr>
          </w:p>
        </w:tc>
        <w:tc>
          <w:tcPr>
            <w:tcW w:w="1414" w:type="dxa"/>
            <w:tcBorders>
              <w:top w:val="nil"/>
              <w:left w:val="nil"/>
              <w:bottom w:val="nil"/>
              <w:right w:val="nil"/>
            </w:tcBorders>
            <w:shd w:val="clear" w:color="auto" w:fill="auto"/>
            <w:noWrap/>
            <w:vAlign w:val="bottom"/>
            <w:hideMark/>
          </w:tcPr>
          <w:p w14:paraId="20792D4A" w14:textId="77777777" w:rsidR="00F727CD" w:rsidRPr="003B1997" w:rsidRDefault="00F727CD" w:rsidP="003B1997">
            <w:pPr>
              <w:keepNext/>
              <w:keepLines/>
              <w:contextualSpacing/>
              <w:rPr>
                <w:color w:val="000000" w:themeColor="text1"/>
                <w:sz w:val="26"/>
                <w:szCs w:val="26"/>
              </w:rPr>
            </w:pPr>
          </w:p>
        </w:tc>
        <w:tc>
          <w:tcPr>
            <w:tcW w:w="1256" w:type="dxa"/>
            <w:tcBorders>
              <w:top w:val="nil"/>
              <w:left w:val="nil"/>
              <w:bottom w:val="nil"/>
              <w:right w:val="nil"/>
            </w:tcBorders>
            <w:shd w:val="clear" w:color="auto" w:fill="auto"/>
            <w:noWrap/>
            <w:vAlign w:val="center"/>
            <w:hideMark/>
          </w:tcPr>
          <w:p w14:paraId="63CB4287" w14:textId="77777777" w:rsidR="00F727CD" w:rsidRPr="003B1997" w:rsidRDefault="00F727CD" w:rsidP="003B1997">
            <w:pPr>
              <w:keepNext/>
              <w:keepLines/>
              <w:contextualSpacing/>
              <w:rPr>
                <w:color w:val="000000" w:themeColor="text1"/>
                <w:sz w:val="26"/>
                <w:szCs w:val="26"/>
              </w:rPr>
            </w:pPr>
          </w:p>
        </w:tc>
        <w:tc>
          <w:tcPr>
            <w:tcW w:w="1415" w:type="dxa"/>
            <w:gridSpan w:val="2"/>
            <w:tcBorders>
              <w:top w:val="nil"/>
              <w:left w:val="nil"/>
              <w:bottom w:val="nil"/>
              <w:right w:val="single" w:sz="8" w:space="0" w:color="auto"/>
            </w:tcBorders>
            <w:shd w:val="clear" w:color="auto" w:fill="auto"/>
            <w:noWrap/>
            <w:vAlign w:val="bottom"/>
            <w:hideMark/>
          </w:tcPr>
          <w:p w14:paraId="07C41C4C"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D17C77" w:rsidRPr="003B1997" w14:paraId="1C95ED0E"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4D9B20BF" w14:textId="77777777" w:rsidR="00F727CD" w:rsidRPr="003B1997" w:rsidRDefault="00F727CD" w:rsidP="003B1997">
            <w:pPr>
              <w:keepNext/>
              <w:keepLines/>
              <w:contextualSpacing/>
              <w:rPr>
                <w:color w:val="000000" w:themeColor="text1"/>
                <w:sz w:val="26"/>
                <w:szCs w:val="26"/>
                <w:u w:val="single"/>
              </w:rPr>
            </w:pPr>
            <w:r w:rsidRPr="003B1997">
              <w:rPr>
                <w:color w:val="000000" w:themeColor="text1"/>
                <w:sz w:val="26"/>
                <w:szCs w:val="26"/>
                <w:u w:val="single"/>
              </w:rPr>
              <w:t>Dial Tone Line</w:t>
            </w:r>
          </w:p>
        </w:tc>
        <w:tc>
          <w:tcPr>
            <w:tcW w:w="1256" w:type="dxa"/>
            <w:tcBorders>
              <w:top w:val="nil"/>
              <w:left w:val="nil"/>
              <w:bottom w:val="nil"/>
              <w:right w:val="nil"/>
            </w:tcBorders>
            <w:shd w:val="clear" w:color="auto" w:fill="auto"/>
            <w:noWrap/>
            <w:vAlign w:val="bottom"/>
            <w:hideMark/>
          </w:tcPr>
          <w:p w14:paraId="53442A4F" w14:textId="77777777" w:rsidR="00F727CD" w:rsidRPr="003B1997" w:rsidRDefault="00F727CD" w:rsidP="003B1997">
            <w:pPr>
              <w:keepNext/>
              <w:keepLines/>
              <w:contextualSpacing/>
              <w:rPr>
                <w:color w:val="000000" w:themeColor="text1"/>
                <w:sz w:val="26"/>
                <w:szCs w:val="26"/>
                <w:u w:val="single"/>
              </w:rPr>
            </w:pPr>
          </w:p>
        </w:tc>
        <w:tc>
          <w:tcPr>
            <w:tcW w:w="1414" w:type="dxa"/>
            <w:tcBorders>
              <w:top w:val="nil"/>
              <w:left w:val="nil"/>
              <w:bottom w:val="nil"/>
              <w:right w:val="nil"/>
            </w:tcBorders>
            <w:shd w:val="clear" w:color="auto" w:fill="auto"/>
            <w:noWrap/>
            <w:vAlign w:val="bottom"/>
            <w:hideMark/>
          </w:tcPr>
          <w:p w14:paraId="7917FA41" w14:textId="77777777" w:rsidR="00F727CD" w:rsidRPr="003B1997" w:rsidRDefault="00F727CD" w:rsidP="003B1997">
            <w:pPr>
              <w:keepNext/>
              <w:keepLines/>
              <w:contextualSpacing/>
              <w:rPr>
                <w:color w:val="000000" w:themeColor="text1"/>
                <w:sz w:val="26"/>
                <w:szCs w:val="26"/>
              </w:rPr>
            </w:pPr>
          </w:p>
        </w:tc>
        <w:tc>
          <w:tcPr>
            <w:tcW w:w="1256" w:type="dxa"/>
            <w:tcBorders>
              <w:top w:val="nil"/>
              <w:left w:val="nil"/>
              <w:bottom w:val="nil"/>
              <w:right w:val="nil"/>
            </w:tcBorders>
            <w:shd w:val="clear" w:color="auto" w:fill="auto"/>
            <w:noWrap/>
            <w:vAlign w:val="center"/>
            <w:hideMark/>
          </w:tcPr>
          <w:p w14:paraId="27E87C7C" w14:textId="77777777" w:rsidR="00F727CD" w:rsidRPr="003B1997" w:rsidRDefault="00F727CD" w:rsidP="003B1997">
            <w:pPr>
              <w:keepNext/>
              <w:keepLines/>
              <w:contextualSpacing/>
              <w:rPr>
                <w:color w:val="000000" w:themeColor="text1"/>
                <w:sz w:val="26"/>
                <w:szCs w:val="26"/>
              </w:rPr>
            </w:pPr>
          </w:p>
        </w:tc>
        <w:tc>
          <w:tcPr>
            <w:tcW w:w="1415" w:type="dxa"/>
            <w:gridSpan w:val="2"/>
            <w:tcBorders>
              <w:top w:val="nil"/>
              <w:left w:val="nil"/>
              <w:bottom w:val="nil"/>
              <w:right w:val="single" w:sz="8" w:space="0" w:color="auto"/>
            </w:tcBorders>
            <w:shd w:val="clear" w:color="auto" w:fill="auto"/>
            <w:noWrap/>
            <w:vAlign w:val="bottom"/>
            <w:hideMark/>
          </w:tcPr>
          <w:p w14:paraId="1CFC780B"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D17C77" w:rsidRPr="003B1997" w14:paraId="4CBEA3F3"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3EB3E842"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xml:space="preserve">           All Cells</w:t>
            </w:r>
          </w:p>
        </w:tc>
        <w:tc>
          <w:tcPr>
            <w:tcW w:w="1256" w:type="dxa"/>
            <w:tcBorders>
              <w:top w:val="nil"/>
              <w:left w:val="nil"/>
              <w:bottom w:val="nil"/>
              <w:right w:val="nil"/>
            </w:tcBorders>
            <w:shd w:val="clear" w:color="auto" w:fill="auto"/>
            <w:noWrap/>
            <w:vAlign w:val="center"/>
            <w:hideMark/>
          </w:tcPr>
          <w:p w14:paraId="16E21255"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$9.00 </w:t>
            </w:r>
          </w:p>
        </w:tc>
        <w:tc>
          <w:tcPr>
            <w:tcW w:w="1414" w:type="dxa"/>
            <w:tcBorders>
              <w:top w:val="nil"/>
              <w:left w:val="nil"/>
              <w:bottom w:val="nil"/>
              <w:right w:val="nil"/>
            </w:tcBorders>
            <w:shd w:val="clear" w:color="auto" w:fill="auto"/>
            <w:noWrap/>
            <w:vAlign w:val="center"/>
            <w:hideMark/>
          </w:tcPr>
          <w:p w14:paraId="79E5FEFF"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$9.20 </w:t>
            </w:r>
          </w:p>
        </w:tc>
        <w:tc>
          <w:tcPr>
            <w:tcW w:w="1256" w:type="dxa"/>
            <w:tcBorders>
              <w:top w:val="nil"/>
              <w:left w:val="nil"/>
              <w:bottom w:val="nil"/>
              <w:right w:val="nil"/>
            </w:tcBorders>
            <w:shd w:val="clear" w:color="auto" w:fill="auto"/>
            <w:noWrap/>
            <w:vAlign w:val="center"/>
            <w:hideMark/>
          </w:tcPr>
          <w:p w14:paraId="07747EB7"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$0.20 </w:t>
            </w:r>
          </w:p>
        </w:tc>
        <w:tc>
          <w:tcPr>
            <w:tcW w:w="1415" w:type="dxa"/>
            <w:gridSpan w:val="2"/>
            <w:tcBorders>
              <w:top w:val="nil"/>
              <w:left w:val="nil"/>
              <w:bottom w:val="nil"/>
              <w:right w:val="single" w:sz="8" w:space="0" w:color="auto"/>
            </w:tcBorders>
            <w:shd w:val="clear" w:color="auto" w:fill="auto"/>
            <w:noWrap/>
            <w:vAlign w:val="bottom"/>
            <w:hideMark/>
          </w:tcPr>
          <w:p w14:paraId="1B2DF28C" w14:textId="77777777" w:rsidR="00F727CD" w:rsidRPr="003B1997" w:rsidRDefault="00F727CD" w:rsidP="003B1997">
            <w:pPr>
              <w:keepNext/>
              <w:keepLines/>
              <w:contextualSpacing/>
              <w:jc w:val="right"/>
              <w:rPr>
                <w:color w:val="000000" w:themeColor="text1"/>
                <w:sz w:val="26"/>
                <w:szCs w:val="26"/>
              </w:rPr>
            </w:pPr>
            <w:r w:rsidRPr="003B1997">
              <w:rPr>
                <w:color w:val="000000" w:themeColor="text1"/>
                <w:sz w:val="26"/>
                <w:szCs w:val="26"/>
              </w:rPr>
              <w:t>2.22%</w:t>
            </w:r>
          </w:p>
        </w:tc>
      </w:tr>
      <w:tr w:rsidR="00D17C77" w:rsidRPr="003B1997" w14:paraId="38742096" w14:textId="77777777" w:rsidTr="0050607C">
        <w:trPr>
          <w:gridAfter w:val="1"/>
          <w:wAfter w:w="7" w:type="dxa"/>
          <w:trHeight w:val="153"/>
          <w:jc w:val="center"/>
        </w:trPr>
        <w:tc>
          <w:tcPr>
            <w:tcW w:w="2690" w:type="dxa"/>
            <w:tcBorders>
              <w:top w:val="nil"/>
              <w:left w:val="single" w:sz="8" w:space="0" w:color="auto"/>
              <w:bottom w:val="nil"/>
              <w:right w:val="nil"/>
            </w:tcBorders>
            <w:shd w:val="clear" w:color="auto" w:fill="auto"/>
            <w:noWrap/>
            <w:vAlign w:val="center"/>
            <w:hideMark/>
          </w:tcPr>
          <w:p w14:paraId="48A478DE"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c>
          <w:tcPr>
            <w:tcW w:w="1256" w:type="dxa"/>
            <w:tcBorders>
              <w:top w:val="nil"/>
              <w:left w:val="nil"/>
              <w:bottom w:val="nil"/>
              <w:right w:val="nil"/>
            </w:tcBorders>
            <w:shd w:val="clear" w:color="auto" w:fill="auto"/>
            <w:noWrap/>
            <w:vAlign w:val="bottom"/>
            <w:hideMark/>
          </w:tcPr>
          <w:p w14:paraId="68BDC373" w14:textId="77777777" w:rsidR="00F727CD" w:rsidRPr="003B1997" w:rsidRDefault="00F727CD" w:rsidP="003B1997">
            <w:pPr>
              <w:keepNext/>
              <w:keepLines/>
              <w:contextualSpacing/>
              <w:rPr>
                <w:color w:val="000000" w:themeColor="text1"/>
                <w:sz w:val="26"/>
                <w:szCs w:val="26"/>
              </w:rPr>
            </w:pPr>
          </w:p>
        </w:tc>
        <w:tc>
          <w:tcPr>
            <w:tcW w:w="1414" w:type="dxa"/>
            <w:tcBorders>
              <w:top w:val="nil"/>
              <w:left w:val="nil"/>
              <w:bottom w:val="nil"/>
              <w:right w:val="nil"/>
            </w:tcBorders>
            <w:shd w:val="clear" w:color="auto" w:fill="auto"/>
            <w:noWrap/>
            <w:vAlign w:val="bottom"/>
            <w:hideMark/>
          </w:tcPr>
          <w:p w14:paraId="52FFF4B5" w14:textId="77777777" w:rsidR="00F727CD" w:rsidRPr="003B1997" w:rsidRDefault="00F727CD" w:rsidP="003B1997">
            <w:pPr>
              <w:keepNext/>
              <w:keepLines/>
              <w:contextualSpacing/>
              <w:rPr>
                <w:color w:val="000000" w:themeColor="text1"/>
                <w:sz w:val="26"/>
                <w:szCs w:val="26"/>
              </w:rPr>
            </w:pPr>
          </w:p>
        </w:tc>
        <w:tc>
          <w:tcPr>
            <w:tcW w:w="1256" w:type="dxa"/>
            <w:tcBorders>
              <w:top w:val="nil"/>
              <w:left w:val="nil"/>
              <w:bottom w:val="nil"/>
              <w:right w:val="nil"/>
            </w:tcBorders>
            <w:shd w:val="clear" w:color="auto" w:fill="auto"/>
            <w:noWrap/>
            <w:vAlign w:val="center"/>
            <w:hideMark/>
          </w:tcPr>
          <w:p w14:paraId="405BAD1A" w14:textId="77777777" w:rsidR="00F727CD" w:rsidRPr="003B1997" w:rsidRDefault="00F727CD" w:rsidP="003B1997">
            <w:pPr>
              <w:keepNext/>
              <w:keepLines/>
              <w:contextualSpacing/>
              <w:rPr>
                <w:color w:val="000000" w:themeColor="text1"/>
                <w:sz w:val="26"/>
                <w:szCs w:val="26"/>
              </w:rPr>
            </w:pPr>
          </w:p>
        </w:tc>
        <w:tc>
          <w:tcPr>
            <w:tcW w:w="1415" w:type="dxa"/>
            <w:gridSpan w:val="2"/>
            <w:tcBorders>
              <w:top w:val="nil"/>
              <w:left w:val="nil"/>
              <w:bottom w:val="nil"/>
              <w:right w:val="single" w:sz="8" w:space="0" w:color="auto"/>
            </w:tcBorders>
            <w:shd w:val="clear" w:color="auto" w:fill="auto"/>
            <w:noWrap/>
            <w:vAlign w:val="bottom"/>
            <w:hideMark/>
          </w:tcPr>
          <w:p w14:paraId="180CA71F"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D17C77" w:rsidRPr="003B1997" w14:paraId="1996F12C"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5A12E98A" w14:textId="77777777" w:rsidR="00F727CD" w:rsidRPr="003B1997" w:rsidRDefault="00F727CD" w:rsidP="003B1997">
            <w:pPr>
              <w:keepNext/>
              <w:keepLines/>
              <w:contextualSpacing/>
              <w:rPr>
                <w:b/>
                <w:bCs/>
                <w:color w:val="000000" w:themeColor="text1"/>
                <w:sz w:val="26"/>
                <w:szCs w:val="26"/>
                <w:u w:val="single"/>
              </w:rPr>
            </w:pPr>
            <w:r w:rsidRPr="003B1997">
              <w:rPr>
                <w:b/>
                <w:bCs/>
                <w:color w:val="000000" w:themeColor="text1"/>
                <w:sz w:val="26"/>
                <w:szCs w:val="26"/>
                <w:u w:val="single"/>
              </w:rPr>
              <w:t>BUSINESS</w:t>
            </w:r>
          </w:p>
        </w:tc>
        <w:tc>
          <w:tcPr>
            <w:tcW w:w="1256" w:type="dxa"/>
            <w:tcBorders>
              <w:top w:val="nil"/>
              <w:left w:val="nil"/>
              <w:bottom w:val="nil"/>
              <w:right w:val="nil"/>
            </w:tcBorders>
            <w:shd w:val="clear" w:color="auto" w:fill="auto"/>
            <w:noWrap/>
            <w:vAlign w:val="bottom"/>
            <w:hideMark/>
          </w:tcPr>
          <w:p w14:paraId="2296452D" w14:textId="77777777" w:rsidR="00F727CD" w:rsidRPr="003B1997" w:rsidRDefault="00F727CD" w:rsidP="003B1997">
            <w:pPr>
              <w:keepNext/>
              <w:keepLines/>
              <w:contextualSpacing/>
              <w:rPr>
                <w:b/>
                <w:bCs/>
                <w:color w:val="000000" w:themeColor="text1"/>
                <w:sz w:val="26"/>
                <w:szCs w:val="26"/>
                <w:u w:val="single"/>
              </w:rPr>
            </w:pPr>
          </w:p>
        </w:tc>
        <w:tc>
          <w:tcPr>
            <w:tcW w:w="1414" w:type="dxa"/>
            <w:tcBorders>
              <w:top w:val="nil"/>
              <w:left w:val="nil"/>
              <w:bottom w:val="nil"/>
              <w:right w:val="nil"/>
            </w:tcBorders>
            <w:shd w:val="clear" w:color="auto" w:fill="auto"/>
            <w:noWrap/>
            <w:vAlign w:val="bottom"/>
            <w:hideMark/>
          </w:tcPr>
          <w:p w14:paraId="79E8945A" w14:textId="77777777" w:rsidR="00F727CD" w:rsidRPr="003B1997" w:rsidRDefault="00F727CD" w:rsidP="003B1997">
            <w:pPr>
              <w:keepNext/>
              <w:keepLines/>
              <w:contextualSpacing/>
              <w:rPr>
                <w:color w:val="000000" w:themeColor="text1"/>
                <w:sz w:val="26"/>
                <w:szCs w:val="26"/>
              </w:rPr>
            </w:pPr>
          </w:p>
        </w:tc>
        <w:tc>
          <w:tcPr>
            <w:tcW w:w="1256" w:type="dxa"/>
            <w:tcBorders>
              <w:top w:val="nil"/>
              <w:left w:val="nil"/>
              <w:bottom w:val="nil"/>
              <w:right w:val="nil"/>
            </w:tcBorders>
            <w:shd w:val="clear" w:color="auto" w:fill="auto"/>
            <w:noWrap/>
            <w:vAlign w:val="center"/>
            <w:hideMark/>
          </w:tcPr>
          <w:p w14:paraId="6A904C0F" w14:textId="77777777" w:rsidR="00F727CD" w:rsidRPr="003B1997" w:rsidRDefault="00F727CD" w:rsidP="003B1997">
            <w:pPr>
              <w:keepNext/>
              <w:keepLines/>
              <w:contextualSpacing/>
              <w:rPr>
                <w:color w:val="000000" w:themeColor="text1"/>
                <w:sz w:val="26"/>
                <w:szCs w:val="26"/>
              </w:rPr>
            </w:pPr>
          </w:p>
        </w:tc>
        <w:tc>
          <w:tcPr>
            <w:tcW w:w="1415" w:type="dxa"/>
            <w:gridSpan w:val="2"/>
            <w:tcBorders>
              <w:top w:val="nil"/>
              <w:left w:val="nil"/>
              <w:bottom w:val="nil"/>
              <w:right w:val="single" w:sz="8" w:space="0" w:color="auto"/>
            </w:tcBorders>
            <w:shd w:val="clear" w:color="auto" w:fill="auto"/>
            <w:noWrap/>
            <w:vAlign w:val="bottom"/>
            <w:hideMark/>
          </w:tcPr>
          <w:p w14:paraId="3CC2D5F5"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D17C77" w:rsidRPr="003B1997" w14:paraId="418D6506"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4EAEDE4E" w14:textId="77777777" w:rsidR="00F727CD" w:rsidRPr="003B1997" w:rsidRDefault="00F727CD" w:rsidP="003B1997">
            <w:pPr>
              <w:keepNext/>
              <w:keepLines/>
              <w:contextualSpacing/>
              <w:rPr>
                <w:color w:val="000000" w:themeColor="text1"/>
                <w:sz w:val="26"/>
                <w:szCs w:val="26"/>
                <w:u w:val="single"/>
              </w:rPr>
            </w:pPr>
            <w:r w:rsidRPr="003B1997">
              <w:rPr>
                <w:color w:val="000000" w:themeColor="text1"/>
                <w:sz w:val="26"/>
                <w:szCs w:val="26"/>
                <w:u w:val="single"/>
              </w:rPr>
              <w:t>Dial Tone Line</w:t>
            </w:r>
          </w:p>
        </w:tc>
        <w:tc>
          <w:tcPr>
            <w:tcW w:w="1256" w:type="dxa"/>
            <w:tcBorders>
              <w:top w:val="nil"/>
              <w:left w:val="nil"/>
              <w:bottom w:val="nil"/>
              <w:right w:val="nil"/>
            </w:tcBorders>
            <w:shd w:val="clear" w:color="auto" w:fill="auto"/>
            <w:noWrap/>
            <w:vAlign w:val="bottom"/>
            <w:hideMark/>
          </w:tcPr>
          <w:p w14:paraId="25932E74" w14:textId="77777777" w:rsidR="00F727CD" w:rsidRPr="003B1997" w:rsidRDefault="00F727CD" w:rsidP="003B1997">
            <w:pPr>
              <w:keepNext/>
              <w:keepLines/>
              <w:contextualSpacing/>
              <w:rPr>
                <w:color w:val="000000" w:themeColor="text1"/>
                <w:sz w:val="26"/>
                <w:szCs w:val="26"/>
                <w:u w:val="single"/>
              </w:rPr>
            </w:pPr>
          </w:p>
        </w:tc>
        <w:tc>
          <w:tcPr>
            <w:tcW w:w="1414" w:type="dxa"/>
            <w:tcBorders>
              <w:top w:val="nil"/>
              <w:left w:val="nil"/>
              <w:bottom w:val="nil"/>
              <w:right w:val="nil"/>
            </w:tcBorders>
            <w:shd w:val="clear" w:color="auto" w:fill="auto"/>
            <w:noWrap/>
            <w:vAlign w:val="bottom"/>
            <w:hideMark/>
          </w:tcPr>
          <w:p w14:paraId="1A69E2FF" w14:textId="77777777" w:rsidR="00F727CD" w:rsidRPr="003B1997" w:rsidRDefault="00F727CD" w:rsidP="003B1997">
            <w:pPr>
              <w:keepNext/>
              <w:keepLines/>
              <w:contextualSpacing/>
              <w:rPr>
                <w:color w:val="000000" w:themeColor="text1"/>
                <w:sz w:val="26"/>
                <w:szCs w:val="26"/>
              </w:rPr>
            </w:pPr>
          </w:p>
        </w:tc>
        <w:tc>
          <w:tcPr>
            <w:tcW w:w="1256" w:type="dxa"/>
            <w:tcBorders>
              <w:top w:val="nil"/>
              <w:left w:val="nil"/>
              <w:bottom w:val="nil"/>
              <w:right w:val="nil"/>
            </w:tcBorders>
            <w:shd w:val="clear" w:color="auto" w:fill="auto"/>
            <w:noWrap/>
            <w:vAlign w:val="center"/>
            <w:hideMark/>
          </w:tcPr>
          <w:p w14:paraId="6B3615B8" w14:textId="77777777" w:rsidR="00F727CD" w:rsidRPr="003B1997" w:rsidRDefault="00F727CD" w:rsidP="003B1997">
            <w:pPr>
              <w:keepNext/>
              <w:keepLines/>
              <w:contextualSpacing/>
              <w:rPr>
                <w:color w:val="000000" w:themeColor="text1"/>
                <w:sz w:val="26"/>
                <w:szCs w:val="26"/>
              </w:rPr>
            </w:pPr>
          </w:p>
        </w:tc>
        <w:tc>
          <w:tcPr>
            <w:tcW w:w="1415" w:type="dxa"/>
            <w:gridSpan w:val="2"/>
            <w:tcBorders>
              <w:top w:val="nil"/>
              <w:left w:val="nil"/>
              <w:bottom w:val="nil"/>
              <w:right w:val="single" w:sz="8" w:space="0" w:color="auto"/>
            </w:tcBorders>
            <w:shd w:val="clear" w:color="auto" w:fill="auto"/>
            <w:noWrap/>
            <w:vAlign w:val="bottom"/>
            <w:hideMark/>
          </w:tcPr>
          <w:p w14:paraId="14EC1FD2"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D17C77" w:rsidRPr="003B1997" w14:paraId="37EF652E"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686977AF"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xml:space="preserve">           Cell 1</w:t>
            </w:r>
          </w:p>
        </w:tc>
        <w:tc>
          <w:tcPr>
            <w:tcW w:w="1256" w:type="dxa"/>
            <w:tcBorders>
              <w:top w:val="nil"/>
              <w:left w:val="nil"/>
              <w:bottom w:val="nil"/>
              <w:right w:val="nil"/>
            </w:tcBorders>
            <w:shd w:val="clear" w:color="auto" w:fill="auto"/>
            <w:noWrap/>
            <w:vAlign w:val="center"/>
            <w:hideMark/>
          </w:tcPr>
          <w:p w14:paraId="312172FB"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$15.45 </w:t>
            </w:r>
          </w:p>
        </w:tc>
        <w:tc>
          <w:tcPr>
            <w:tcW w:w="1414" w:type="dxa"/>
            <w:tcBorders>
              <w:top w:val="nil"/>
              <w:left w:val="nil"/>
              <w:bottom w:val="nil"/>
              <w:right w:val="nil"/>
            </w:tcBorders>
            <w:shd w:val="clear" w:color="auto" w:fill="auto"/>
            <w:noWrap/>
            <w:vAlign w:val="center"/>
            <w:hideMark/>
          </w:tcPr>
          <w:p w14:paraId="6B44CB11"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$18.00 </w:t>
            </w:r>
          </w:p>
        </w:tc>
        <w:tc>
          <w:tcPr>
            <w:tcW w:w="1256" w:type="dxa"/>
            <w:tcBorders>
              <w:top w:val="nil"/>
              <w:left w:val="nil"/>
              <w:bottom w:val="nil"/>
              <w:right w:val="nil"/>
            </w:tcBorders>
            <w:shd w:val="clear" w:color="auto" w:fill="auto"/>
            <w:noWrap/>
            <w:vAlign w:val="center"/>
            <w:hideMark/>
          </w:tcPr>
          <w:p w14:paraId="492F3ABE"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$2.55 </w:t>
            </w:r>
          </w:p>
        </w:tc>
        <w:tc>
          <w:tcPr>
            <w:tcW w:w="1415" w:type="dxa"/>
            <w:gridSpan w:val="2"/>
            <w:tcBorders>
              <w:top w:val="nil"/>
              <w:left w:val="nil"/>
              <w:bottom w:val="nil"/>
              <w:right w:val="single" w:sz="8" w:space="0" w:color="auto"/>
            </w:tcBorders>
            <w:shd w:val="clear" w:color="auto" w:fill="auto"/>
            <w:noWrap/>
            <w:vAlign w:val="bottom"/>
            <w:hideMark/>
          </w:tcPr>
          <w:p w14:paraId="33ED76B2" w14:textId="77777777" w:rsidR="00F727CD" w:rsidRPr="003B1997" w:rsidRDefault="00F727CD" w:rsidP="003B1997">
            <w:pPr>
              <w:keepNext/>
              <w:keepLines/>
              <w:contextualSpacing/>
              <w:jc w:val="right"/>
              <w:rPr>
                <w:color w:val="000000" w:themeColor="text1"/>
                <w:sz w:val="26"/>
                <w:szCs w:val="26"/>
              </w:rPr>
            </w:pPr>
            <w:r w:rsidRPr="003B1997">
              <w:rPr>
                <w:color w:val="000000" w:themeColor="text1"/>
                <w:sz w:val="26"/>
                <w:szCs w:val="26"/>
              </w:rPr>
              <w:t>16.50%</w:t>
            </w:r>
          </w:p>
        </w:tc>
      </w:tr>
      <w:tr w:rsidR="00D17C77" w:rsidRPr="003B1997" w14:paraId="013ACA62"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7609595E"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xml:space="preserve">           Cell 2</w:t>
            </w:r>
          </w:p>
        </w:tc>
        <w:tc>
          <w:tcPr>
            <w:tcW w:w="1256" w:type="dxa"/>
            <w:tcBorders>
              <w:top w:val="nil"/>
              <w:left w:val="nil"/>
              <w:bottom w:val="nil"/>
              <w:right w:val="nil"/>
            </w:tcBorders>
            <w:shd w:val="clear" w:color="auto" w:fill="auto"/>
            <w:noWrap/>
            <w:vAlign w:val="center"/>
            <w:hideMark/>
          </w:tcPr>
          <w:p w14:paraId="5FB66C2C"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$17.55 </w:t>
            </w:r>
          </w:p>
        </w:tc>
        <w:tc>
          <w:tcPr>
            <w:tcW w:w="1414" w:type="dxa"/>
            <w:tcBorders>
              <w:top w:val="nil"/>
              <w:left w:val="nil"/>
              <w:bottom w:val="nil"/>
              <w:right w:val="nil"/>
            </w:tcBorders>
            <w:shd w:val="clear" w:color="auto" w:fill="auto"/>
            <w:noWrap/>
            <w:vAlign w:val="center"/>
            <w:hideMark/>
          </w:tcPr>
          <w:p w14:paraId="7460CC17"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$20.00 </w:t>
            </w:r>
          </w:p>
        </w:tc>
        <w:tc>
          <w:tcPr>
            <w:tcW w:w="1256" w:type="dxa"/>
            <w:tcBorders>
              <w:top w:val="nil"/>
              <w:left w:val="nil"/>
              <w:bottom w:val="nil"/>
              <w:right w:val="nil"/>
            </w:tcBorders>
            <w:shd w:val="clear" w:color="auto" w:fill="auto"/>
            <w:noWrap/>
            <w:vAlign w:val="center"/>
            <w:hideMark/>
          </w:tcPr>
          <w:p w14:paraId="40829514"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$2.45 </w:t>
            </w:r>
          </w:p>
        </w:tc>
        <w:tc>
          <w:tcPr>
            <w:tcW w:w="1415" w:type="dxa"/>
            <w:gridSpan w:val="2"/>
            <w:tcBorders>
              <w:top w:val="nil"/>
              <w:left w:val="nil"/>
              <w:bottom w:val="nil"/>
              <w:right w:val="single" w:sz="8" w:space="0" w:color="auto"/>
            </w:tcBorders>
            <w:shd w:val="clear" w:color="auto" w:fill="auto"/>
            <w:noWrap/>
            <w:vAlign w:val="bottom"/>
            <w:hideMark/>
          </w:tcPr>
          <w:p w14:paraId="6C9DEA84" w14:textId="77777777" w:rsidR="00F727CD" w:rsidRPr="003B1997" w:rsidRDefault="00F727CD" w:rsidP="003B1997">
            <w:pPr>
              <w:keepNext/>
              <w:keepLines/>
              <w:contextualSpacing/>
              <w:jc w:val="right"/>
              <w:rPr>
                <w:color w:val="000000" w:themeColor="text1"/>
                <w:sz w:val="26"/>
                <w:szCs w:val="26"/>
              </w:rPr>
            </w:pPr>
            <w:r w:rsidRPr="003B1997">
              <w:rPr>
                <w:color w:val="000000" w:themeColor="text1"/>
                <w:sz w:val="26"/>
                <w:szCs w:val="26"/>
              </w:rPr>
              <w:t>13.96%</w:t>
            </w:r>
          </w:p>
        </w:tc>
      </w:tr>
      <w:tr w:rsidR="00D17C77" w:rsidRPr="003B1997" w14:paraId="703FFB73" w14:textId="77777777" w:rsidTr="00F727CD">
        <w:trPr>
          <w:gridAfter w:val="1"/>
          <w:wAfter w:w="7" w:type="dxa"/>
          <w:trHeight w:val="330"/>
          <w:jc w:val="center"/>
        </w:trPr>
        <w:tc>
          <w:tcPr>
            <w:tcW w:w="2690" w:type="dxa"/>
            <w:tcBorders>
              <w:top w:val="nil"/>
              <w:left w:val="single" w:sz="8" w:space="0" w:color="auto"/>
              <w:bottom w:val="nil"/>
              <w:right w:val="nil"/>
            </w:tcBorders>
            <w:shd w:val="clear" w:color="auto" w:fill="auto"/>
            <w:noWrap/>
            <w:vAlign w:val="center"/>
            <w:hideMark/>
          </w:tcPr>
          <w:p w14:paraId="4772D1F7"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xml:space="preserve">           Cell 3</w:t>
            </w:r>
          </w:p>
        </w:tc>
        <w:tc>
          <w:tcPr>
            <w:tcW w:w="1256" w:type="dxa"/>
            <w:tcBorders>
              <w:top w:val="nil"/>
              <w:left w:val="nil"/>
              <w:bottom w:val="nil"/>
              <w:right w:val="nil"/>
            </w:tcBorders>
            <w:shd w:val="clear" w:color="auto" w:fill="auto"/>
            <w:noWrap/>
            <w:vAlign w:val="center"/>
            <w:hideMark/>
          </w:tcPr>
          <w:p w14:paraId="1AEDCBB2"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$21.45 </w:t>
            </w:r>
          </w:p>
        </w:tc>
        <w:tc>
          <w:tcPr>
            <w:tcW w:w="1414" w:type="dxa"/>
            <w:tcBorders>
              <w:top w:val="nil"/>
              <w:left w:val="nil"/>
              <w:bottom w:val="nil"/>
              <w:right w:val="nil"/>
            </w:tcBorders>
            <w:shd w:val="clear" w:color="auto" w:fill="auto"/>
            <w:noWrap/>
            <w:vAlign w:val="center"/>
            <w:hideMark/>
          </w:tcPr>
          <w:p w14:paraId="2FAC3E3D"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$22.25 </w:t>
            </w:r>
          </w:p>
        </w:tc>
        <w:tc>
          <w:tcPr>
            <w:tcW w:w="1256" w:type="dxa"/>
            <w:tcBorders>
              <w:top w:val="nil"/>
              <w:left w:val="nil"/>
              <w:bottom w:val="nil"/>
              <w:right w:val="nil"/>
            </w:tcBorders>
            <w:shd w:val="clear" w:color="auto" w:fill="auto"/>
            <w:noWrap/>
            <w:vAlign w:val="center"/>
            <w:hideMark/>
          </w:tcPr>
          <w:p w14:paraId="7DDC6414"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 xml:space="preserve">$0.80 </w:t>
            </w:r>
          </w:p>
        </w:tc>
        <w:tc>
          <w:tcPr>
            <w:tcW w:w="1415" w:type="dxa"/>
            <w:gridSpan w:val="2"/>
            <w:tcBorders>
              <w:top w:val="nil"/>
              <w:left w:val="nil"/>
              <w:bottom w:val="nil"/>
              <w:right w:val="single" w:sz="8" w:space="0" w:color="auto"/>
            </w:tcBorders>
            <w:shd w:val="clear" w:color="auto" w:fill="auto"/>
            <w:noWrap/>
            <w:vAlign w:val="bottom"/>
            <w:hideMark/>
          </w:tcPr>
          <w:p w14:paraId="0AF83CC5" w14:textId="77777777" w:rsidR="00F727CD" w:rsidRPr="003B1997" w:rsidRDefault="00F727CD" w:rsidP="003B1997">
            <w:pPr>
              <w:keepNext/>
              <w:keepLines/>
              <w:contextualSpacing/>
              <w:jc w:val="right"/>
              <w:rPr>
                <w:color w:val="000000" w:themeColor="text1"/>
                <w:sz w:val="26"/>
                <w:szCs w:val="26"/>
              </w:rPr>
            </w:pPr>
            <w:r w:rsidRPr="003B1997">
              <w:rPr>
                <w:color w:val="000000" w:themeColor="text1"/>
                <w:sz w:val="26"/>
                <w:szCs w:val="26"/>
              </w:rPr>
              <w:t>3.73%</w:t>
            </w:r>
          </w:p>
        </w:tc>
      </w:tr>
      <w:tr w:rsidR="00D17C77" w:rsidRPr="003B1997" w14:paraId="0BC5114A" w14:textId="77777777" w:rsidTr="007A5C3E">
        <w:trPr>
          <w:gridAfter w:val="1"/>
          <w:wAfter w:w="7" w:type="dxa"/>
          <w:trHeight w:val="153"/>
          <w:jc w:val="center"/>
        </w:trPr>
        <w:tc>
          <w:tcPr>
            <w:tcW w:w="2690" w:type="dxa"/>
            <w:tcBorders>
              <w:top w:val="nil"/>
              <w:left w:val="single" w:sz="8" w:space="0" w:color="auto"/>
              <w:bottom w:val="nil"/>
              <w:right w:val="nil"/>
            </w:tcBorders>
            <w:shd w:val="clear" w:color="auto" w:fill="auto"/>
            <w:noWrap/>
            <w:vAlign w:val="center"/>
            <w:hideMark/>
          </w:tcPr>
          <w:p w14:paraId="619E5938"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c>
          <w:tcPr>
            <w:tcW w:w="1256" w:type="dxa"/>
            <w:tcBorders>
              <w:top w:val="nil"/>
              <w:left w:val="nil"/>
              <w:bottom w:val="nil"/>
              <w:right w:val="nil"/>
            </w:tcBorders>
            <w:shd w:val="clear" w:color="auto" w:fill="auto"/>
            <w:noWrap/>
            <w:vAlign w:val="center"/>
            <w:hideMark/>
          </w:tcPr>
          <w:p w14:paraId="12D1AFA9" w14:textId="77777777" w:rsidR="00F727CD" w:rsidRPr="003B1997" w:rsidRDefault="00F727CD" w:rsidP="003B1997">
            <w:pPr>
              <w:keepNext/>
              <w:keepLines/>
              <w:contextualSpacing/>
              <w:rPr>
                <w:color w:val="000000" w:themeColor="text1"/>
                <w:sz w:val="26"/>
                <w:szCs w:val="26"/>
              </w:rPr>
            </w:pPr>
          </w:p>
        </w:tc>
        <w:tc>
          <w:tcPr>
            <w:tcW w:w="1414" w:type="dxa"/>
            <w:tcBorders>
              <w:top w:val="nil"/>
              <w:left w:val="nil"/>
              <w:bottom w:val="nil"/>
              <w:right w:val="nil"/>
            </w:tcBorders>
            <w:shd w:val="clear" w:color="auto" w:fill="auto"/>
            <w:noWrap/>
            <w:vAlign w:val="center"/>
            <w:hideMark/>
          </w:tcPr>
          <w:p w14:paraId="114C929B" w14:textId="77777777" w:rsidR="00F727CD" w:rsidRPr="003B1997" w:rsidRDefault="00F727CD" w:rsidP="003B1997">
            <w:pPr>
              <w:keepNext/>
              <w:keepLines/>
              <w:contextualSpacing/>
              <w:jc w:val="center"/>
              <w:rPr>
                <w:color w:val="000000" w:themeColor="text1"/>
                <w:sz w:val="26"/>
                <w:szCs w:val="26"/>
              </w:rPr>
            </w:pPr>
          </w:p>
        </w:tc>
        <w:tc>
          <w:tcPr>
            <w:tcW w:w="1256" w:type="dxa"/>
            <w:tcBorders>
              <w:top w:val="nil"/>
              <w:left w:val="nil"/>
              <w:bottom w:val="nil"/>
              <w:right w:val="nil"/>
            </w:tcBorders>
            <w:shd w:val="clear" w:color="auto" w:fill="auto"/>
            <w:noWrap/>
            <w:vAlign w:val="center"/>
            <w:hideMark/>
          </w:tcPr>
          <w:p w14:paraId="41A0FE3A" w14:textId="77777777" w:rsidR="00F727CD" w:rsidRPr="003B1997" w:rsidRDefault="00F727CD" w:rsidP="003B1997">
            <w:pPr>
              <w:keepNext/>
              <w:keepLines/>
              <w:contextualSpacing/>
              <w:jc w:val="center"/>
              <w:rPr>
                <w:color w:val="000000" w:themeColor="text1"/>
                <w:sz w:val="26"/>
                <w:szCs w:val="26"/>
              </w:rPr>
            </w:pPr>
          </w:p>
        </w:tc>
        <w:tc>
          <w:tcPr>
            <w:tcW w:w="1415" w:type="dxa"/>
            <w:gridSpan w:val="2"/>
            <w:tcBorders>
              <w:top w:val="nil"/>
              <w:left w:val="nil"/>
              <w:bottom w:val="nil"/>
              <w:right w:val="single" w:sz="8" w:space="0" w:color="auto"/>
            </w:tcBorders>
            <w:shd w:val="clear" w:color="auto" w:fill="auto"/>
            <w:noWrap/>
            <w:vAlign w:val="bottom"/>
            <w:hideMark/>
          </w:tcPr>
          <w:p w14:paraId="5845E091"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D17C77" w:rsidRPr="003B1997" w14:paraId="355F9F48" w14:textId="77777777" w:rsidTr="00F727CD">
        <w:trPr>
          <w:trHeight w:val="330"/>
          <w:jc w:val="center"/>
        </w:trPr>
        <w:tc>
          <w:tcPr>
            <w:tcW w:w="2690" w:type="dxa"/>
            <w:tcBorders>
              <w:top w:val="nil"/>
              <w:left w:val="single" w:sz="8" w:space="0" w:color="auto"/>
              <w:bottom w:val="nil"/>
              <w:right w:val="nil"/>
            </w:tcBorders>
            <w:shd w:val="clear" w:color="auto" w:fill="auto"/>
            <w:noWrap/>
            <w:vAlign w:val="center"/>
            <w:hideMark/>
          </w:tcPr>
          <w:p w14:paraId="22350BF7"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c>
          <w:tcPr>
            <w:tcW w:w="1256" w:type="dxa"/>
            <w:tcBorders>
              <w:top w:val="nil"/>
              <w:left w:val="nil"/>
              <w:bottom w:val="nil"/>
              <w:right w:val="nil"/>
            </w:tcBorders>
            <w:shd w:val="clear" w:color="auto" w:fill="auto"/>
            <w:noWrap/>
            <w:vAlign w:val="center"/>
            <w:hideMark/>
          </w:tcPr>
          <w:p w14:paraId="6818D287" w14:textId="77777777" w:rsidR="00F727CD" w:rsidRPr="003B1997" w:rsidRDefault="00F727CD" w:rsidP="003B1997">
            <w:pPr>
              <w:keepNext/>
              <w:keepLines/>
              <w:contextualSpacing/>
              <w:jc w:val="center"/>
              <w:rPr>
                <w:b/>
                <w:bCs/>
                <w:color w:val="000000" w:themeColor="text1"/>
                <w:sz w:val="26"/>
                <w:szCs w:val="26"/>
                <w:u w:val="single"/>
              </w:rPr>
            </w:pPr>
            <w:r w:rsidRPr="003B1997">
              <w:rPr>
                <w:b/>
                <w:bCs/>
                <w:color w:val="000000" w:themeColor="text1"/>
                <w:sz w:val="26"/>
                <w:szCs w:val="26"/>
                <w:u w:val="single"/>
              </w:rPr>
              <w:t>Old Rate</w:t>
            </w:r>
          </w:p>
        </w:tc>
        <w:tc>
          <w:tcPr>
            <w:tcW w:w="2677" w:type="dxa"/>
            <w:gridSpan w:val="3"/>
            <w:tcBorders>
              <w:top w:val="nil"/>
              <w:left w:val="nil"/>
              <w:bottom w:val="nil"/>
              <w:right w:val="nil"/>
            </w:tcBorders>
            <w:shd w:val="clear" w:color="auto" w:fill="auto"/>
            <w:noWrap/>
            <w:vAlign w:val="center"/>
            <w:hideMark/>
          </w:tcPr>
          <w:p w14:paraId="1B51700B" w14:textId="77777777" w:rsidR="00F727CD" w:rsidRPr="003B1997" w:rsidRDefault="00F727CD" w:rsidP="003B1997">
            <w:pPr>
              <w:keepNext/>
              <w:keepLines/>
              <w:contextualSpacing/>
              <w:jc w:val="center"/>
              <w:rPr>
                <w:b/>
                <w:bCs/>
                <w:color w:val="000000" w:themeColor="text1"/>
                <w:sz w:val="26"/>
                <w:szCs w:val="26"/>
                <w:u w:val="single"/>
              </w:rPr>
            </w:pPr>
            <w:r w:rsidRPr="003B1997">
              <w:rPr>
                <w:b/>
                <w:bCs/>
                <w:color w:val="000000" w:themeColor="text1"/>
                <w:sz w:val="26"/>
                <w:szCs w:val="26"/>
                <w:u w:val="single"/>
              </w:rPr>
              <w:t>New Rate</w:t>
            </w:r>
          </w:p>
        </w:tc>
        <w:tc>
          <w:tcPr>
            <w:tcW w:w="1415" w:type="dxa"/>
            <w:gridSpan w:val="2"/>
            <w:tcBorders>
              <w:top w:val="nil"/>
              <w:left w:val="nil"/>
              <w:bottom w:val="nil"/>
              <w:right w:val="single" w:sz="8" w:space="0" w:color="auto"/>
            </w:tcBorders>
            <w:shd w:val="clear" w:color="auto" w:fill="auto"/>
            <w:noWrap/>
            <w:vAlign w:val="bottom"/>
            <w:hideMark/>
          </w:tcPr>
          <w:p w14:paraId="1E441829"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r w:rsidR="00F727CD" w:rsidRPr="003B1997" w14:paraId="7BEA6355" w14:textId="77777777" w:rsidTr="00F727CD">
        <w:trPr>
          <w:trHeight w:val="345"/>
          <w:jc w:val="center"/>
        </w:trPr>
        <w:tc>
          <w:tcPr>
            <w:tcW w:w="2690" w:type="dxa"/>
            <w:tcBorders>
              <w:top w:val="nil"/>
              <w:left w:val="single" w:sz="8" w:space="0" w:color="auto"/>
              <w:bottom w:val="single" w:sz="8" w:space="0" w:color="auto"/>
              <w:right w:val="nil"/>
            </w:tcBorders>
            <w:shd w:val="clear" w:color="auto" w:fill="auto"/>
            <w:noWrap/>
            <w:vAlign w:val="center"/>
            <w:hideMark/>
          </w:tcPr>
          <w:p w14:paraId="306E6473" w14:textId="77777777" w:rsidR="00F727CD" w:rsidRPr="003B1997" w:rsidRDefault="00F727CD" w:rsidP="003B1997">
            <w:pPr>
              <w:keepNext/>
              <w:keepLines/>
              <w:contextualSpacing/>
              <w:rPr>
                <w:color w:val="000000" w:themeColor="text1"/>
                <w:sz w:val="26"/>
                <w:szCs w:val="26"/>
                <w:u w:val="single"/>
              </w:rPr>
            </w:pPr>
            <w:r w:rsidRPr="003B1997">
              <w:rPr>
                <w:color w:val="000000" w:themeColor="text1"/>
                <w:sz w:val="26"/>
                <w:szCs w:val="26"/>
                <w:u w:val="single"/>
              </w:rPr>
              <w:t>Late Payment Charge</w:t>
            </w:r>
          </w:p>
        </w:tc>
        <w:tc>
          <w:tcPr>
            <w:tcW w:w="1256" w:type="dxa"/>
            <w:tcBorders>
              <w:top w:val="nil"/>
              <w:left w:val="nil"/>
              <w:bottom w:val="single" w:sz="8" w:space="0" w:color="auto"/>
              <w:right w:val="nil"/>
            </w:tcBorders>
            <w:shd w:val="clear" w:color="auto" w:fill="auto"/>
            <w:noWrap/>
            <w:vAlign w:val="center"/>
            <w:hideMark/>
          </w:tcPr>
          <w:p w14:paraId="16105AB5" w14:textId="77777777" w:rsidR="00F727CD" w:rsidRPr="003B1997" w:rsidRDefault="00F727CD" w:rsidP="003B1997">
            <w:pPr>
              <w:keepNext/>
              <w:keepLines/>
              <w:contextualSpacing/>
              <w:jc w:val="center"/>
              <w:rPr>
                <w:color w:val="000000" w:themeColor="text1"/>
                <w:sz w:val="26"/>
                <w:szCs w:val="26"/>
              </w:rPr>
            </w:pPr>
            <w:r w:rsidRPr="003B1997">
              <w:rPr>
                <w:color w:val="000000" w:themeColor="text1"/>
                <w:sz w:val="26"/>
                <w:szCs w:val="26"/>
              </w:rPr>
              <w:t>1.50%</w:t>
            </w:r>
          </w:p>
        </w:tc>
        <w:tc>
          <w:tcPr>
            <w:tcW w:w="2677" w:type="dxa"/>
            <w:gridSpan w:val="3"/>
            <w:tcBorders>
              <w:top w:val="nil"/>
              <w:left w:val="nil"/>
              <w:bottom w:val="single" w:sz="8" w:space="0" w:color="auto"/>
              <w:right w:val="nil"/>
            </w:tcBorders>
            <w:shd w:val="clear" w:color="auto" w:fill="auto"/>
            <w:noWrap/>
            <w:vAlign w:val="center"/>
            <w:hideMark/>
          </w:tcPr>
          <w:p w14:paraId="0C749DCF"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Greater of 1.5% or $5</w:t>
            </w:r>
          </w:p>
        </w:tc>
        <w:tc>
          <w:tcPr>
            <w:tcW w:w="1415" w:type="dxa"/>
            <w:gridSpan w:val="2"/>
            <w:tcBorders>
              <w:top w:val="nil"/>
              <w:left w:val="nil"/>
              <w:bottom w:val="single" w:sz="8" w:space="0" w:color="auto"/>
              <w:right w:val="single" w:sz="8" w:space="0" w:color="auto"/>
            </w:tcBorders>
            <w:shd w:val="clear" w:color="auto" w:fill="auto"/>
            <w:noWrap/>
            <w:vAlign w:val="bottom"/>
            <w:hideMark/>
          </w:tcPr>
          <w:p w14:paraId="70D6CFAF" w14:textId="77777777" w:rsidR="00F727CD" w:rsidRPr="003B1997" w:rsidRDefault="00F727CD" w:rsidP="003B1997">
            <w:pPr>
              <w:keepNext/>
              <w:keepLines/>
              <w:contextualSpacing/>
              <w:rPr>
                <w:color w:val="000000" w:themeColor="text1"/>
                <w:sz w:val="26"/>
                <w:szCs w:val="26"/>
              </w:rPr>
            </w:pPr>
            <w:r w:rsidRPr="003B1997">
              <w:rPr>
                <w:color w:val="000000" w:themeColor="text1"/>
                <w:sz w:val="26"/>
                <w:szCs w:val="26"/>
              </w:rPr>
              <w:t> </w:t>
            </w:r>
          </w:p>
        </w:tc>
      </w:tr>
    </w:tbl>
    <w:p w14:paraId="7806A1D7" w14:textId="256F5DFA" w:rsidR="00001F19" w:rsidRPr="00D17C77" w:rsidRDefault="00F727CD" w:rsidP="00DA3CC2">
      <w:pPr>
        <w:spacing w:before="360" w:line="360" w:lineRule="auto"/>
        <w:rPr>
          <w:bCs/>
          <w:color w:val="000000" w:themeColor="text1"/>
          <w:sz w:val="26"/>
          <w:szCs w:val="26"/>
        </w:rPr>
      </w:pPr>
      <w:r w:rsidRPr="00D17C77">
        <w:rPr>
          <w:bCs/>
          <w:color w:val="000000" w:themeColor="text1"/>
          <w:sz w:val="26"/>
          <w:szCs w:val="26"/>
        </w:rPr>
        <w:t>Verizon PA 2018 PCO Filing at Attachment B.</w:t>
      </w:r>
    </w:p>
    <w:p w14:paraId="317BA3B3" w14:textId="77777777" w:rsidR="00F727CD" w:rsidRPr="00D17C77" w:rsidRDefault="00F727CD" w:rsidP="009C4BD6">
      <w:pPr>
        <w:spacing w:line="360" w:lineRule="auto"/>
        <w:contextualSpacing/>
        <w:rPr>
          <w:bCs/>
          <w:color w:val="000000" w:themeColor="text1"/>
          <w:sz w:val="26"/>
          <w:szCs w:val="26"/>
        </w:rPr>
      </w:pPr>
    </w:p>
    <w:p w14:paraId="6F43E7C3" w14:textId="32AC8340" w:rsidR="00521429" w:rsidRPr="00D17C77" w:rsidRDefault="00945643" w:rsidP="009C4BD6">
      <w:pPr>
        <w:spacing w:line="360" w:lineRule="auto"/>
        <w:ind w:firstLine="1440"/>
        <w:contextualSpacing/>
        <w:rPr>
          <w:bCs/>
          <w:color w:val="000000" w:themeColor="text1"/>
          <w:sz w:val="26"/>
          <w:szCs w:val="26"/>
        </w:rPr>
      </w:pPr>
      <w:r w:rsidRPr="00D17C77">
        <w:rPr>
          <w:bCs/>
          <w:color w:val="000000" w:themeColor="text1"/>
          <w:sz w:val="26"/>
          <w:szCs w:val="26"/>
        </w:rPr>
        <w:t xml:space="preserve">Per </w:t>
      </w:r>
      <w:r w:rsidR="004B4D44" w:rsidRPr="00D17C77">
        <w:rPr>
          <w:bCs/>
          <w:color w:val="000000" w:themeColor="text1"/>
          <w:sz w:val="26"/>
          <w:szCs w:val="26"/>
        </w:rPr>
        <w:t>our</w:t>
      </w:r>
      <w:r w:rsidRPr="00D17C77">
        <w:rPr>
          <w:bCs/>
          <w:color w:val="000000" w:themeColor="text1"/>
          <w:sz w:val="26"/>
          <w:szCs w:val="26"/>
        </w:rPr>
        <w:t xml:space="preserve"> Order at Docket Nos. P-0093071</w:t>
      </w:r>
      <w:r w:rsidR="00122641">
        <w:rPr>
          <w:bCs/>
          <w:color w:val="000000" w:themeColor="text1"/>
          <w:sz w:val="26"/>
          <w:szCs w:val="26"/>
        </w:rPr>
        <w:t>5 and P-0001854 entered October </w:t>
      </w:r>
      <w:r w:rsidRPr="00D17C77">
        <w:rPr>
          <w:bCs/>
          <w:color w:val="000000" w:themeColor="text1"/>
          <w:sz w:val="26"/>
          <w:szCs w:val="26"/>
        </w:rPr>
        <w:t>11, 2005,</w:t>
      </w:r>
      <w:r w:rsidRPr="00D17C77">
        <w:rPr>
          <w:bCs/>
          <w:color w:val="000000" w:themeColor="text1"/>
          <w:sz w:val="26"/>
          <w:szCs w:val="26"/>
          <w:vertAlign w:val="superscript"/>
        </w:rPr>
        <w:footnoteReference w:id="6"/>
      </w:r>
      <w:r w:rsidRPr="00D17C77">
        <w:rPr>
          <w:bCs/>
          <w:color w:val="000000" w:themeColor="text1"/>
          <w:sz w:val="26"/>
          <w:szCs w:val="26"/>
        </w:rPr>
        <w:t xml:space="preserve"> Verizon PA request</w:t>
      </w:r>
      <w:r w:rsidR="00521429" w:rsidRPr="00D17C77">
        <w:rPr>
          <w:bCs/>
          <w:color w:val="000000" w:themeColor="text1"/>
          <w:sz w:val="26"/>
          <w:szCs w:val="26"/>
        </w:rPr>
        <w:t>ed</w:t>
      </w:r>
      <w:r w:rsidRPr="00D17C77">
        <w:rPr>
          <w:bCs/>
          <w:color w:val="000000" w:themeColor="text1"/>
          <w:sz w:val="26"/>
          <w:szCs w:val="26"/>
        </w:rPr>
        <w:t xml:space="preserve"> permission to continue in 2018 to use the ongoing negative value of its 2003 PCO to support its payments to the PA Universal Service Fund (PaUSF).  Verizon PA </w:t>
      </w:r>
      <w:r w:rsidR="00521429" w:rsidRPr="00D17C77">
        <w:rPr>
          <w:bCs/>
          <w:color w:val="000000" w:themeColor="text1"/>
          <w:sz w:val="26"/>
          <w:szCs w:val="26"/>
        </w:rPr>
        <w:t>stated that it would use</w:t>
      </w:r>
      <w:r w:rsidRPr="00D17C77">
        <w:rPr>
          <w:bCs/>
          <w:color w:val="000000" w:themeColor="text1"/>
          <w:sz w:val="26"/>
          <w:szCs w:val="26"/>
        </w:rPr>
        <w:t xml:space="preserve"> the remaining $322,300 of its 2018 PCO to net against the gap between the remaining ongoing negative value of its 2003 PCO and its calendar year 2017 PaUSF payments.</w:t>
      </w:r>
      <w:r w:rsidR="00521429" w:rsidRPr="00D17C77">
        <w:rPr>
          <w:bCs/>
          <w:color w:val="000000" w:themeColor="text1"/>
          <w:sz w:val="26"/>
          <w:szCs w:val="26"/>
        </w:rPr>
        <w:t xml:space="preserve">  Verizon PA 2018 PCO Filing at Executive Summary.  Verizon PA provided supporting calculations in Attachment C to its 2018 PCO Filing.</w:t>
      </w:r>
    </w:p>
    <w:p w14:paraId="1B1F0699" w14:textId="77777777" w:rsidR="00521429" w:rsidRPr="00D17C77" w:rsidRDefault="00521429" w:rsidP="009C4BD6">
      <w:pPr>
        <w:spacing w:line="360" w:lineRule="auto"/>
        <w:ind w:firstLine="1440"/>
        <w:contextualSpacing/>
        <w:rPr>
          <w:bCs/>
          <w:color w:val="000000" w:themeColor="text1"/>
          <w:sz w:val="26"/>
          <w:szCs w:val="26"/>
        </w:rPr>
      </w:pPr>
    </w:p>
    <w:p w14:paraId="104CDEA5" w14:textId="77777777" w:rsidR="00945643" w:rsidRPr="00D17C77" w:rsidRDefault="00521429" w:rsidP="009C4BD6">
      <w:pPr>
        <w:spacing w:line="360" w:lineRule="auto"/>
        <w:ind w:firstLine="1440"/>
        <w:contextualSpacing/>
        <w:rPr>
          <w:bCs/>
          <w:color w:val="000000" w:themeColor="text1"/>
          <w:sz w:val="26"/>
          <w:szCs w:val="26"/>
        </w:rPr>
      </w:pPr>
      <w:r w:rsidRPr="00D17C77">
        <w:rPr>
          <w:bCs/>
          <w:color w:val="000000" w:themeColor="text1"/>
          <w:sz w:val="26"/>
          <w:szCs w:val="26"/>
        </w:rPr>
        <w:t>By order dated December 21, 2017 (</w:t>
      </w:r>
      <w:r w:rsidRPr="00D17C77">
        <w:rPr>
          <w:bCs/>
          <w:i/>
          <w:iCs/>
          <w:color w:val="000000" w:themeColor="text1"/>
          <w:sz w:val="26"/>
          <w:szCs w:val="26"/>
        </w:rPr>
        <w:t>December 2017 Order</w:t>
      </w:r>
      <w:r w:rsidRPr="00D17C77">
        <w:rPr>
          <w:bCs/>
          <w:color w:val="000000" w:themeColor="text1"/>
          <w:sz w:val="26"/>
          <w:szCs w:val="26"/>
        </w:rPr>
        <w:t xml:space="preserve">), we permitted Verizon PA’s </w:t>
      </w:r>
      <w:r w:rsidR="00205D9E" w:rsidRPr="00D17C77">
        <w:rPr>
          <w:bCs/>
          <w:color w:val="000000" w:themeColor="text1"/>
          <w:sz w:val="26"/>
          <w:szCs w:val="26"/>
        </w:rPr>
        <w:t xml:space="preserve">2018 </w:t>
      </w:r>
      <w:r w:rsidRPr="00D17C77">
        <w:rPr>
          <w:bCs/>
          <w:color w:val="000000" w:themeColor="text1"/>
          <w:sz w:val="26"/>
          <w:szCs w:val="26"/>
        </w:rPr>
        <w:t xml:space="preserve">PCO </w:t>
      </w:r>
      <w:r w:rsidR="00205D9E" w:rsidRPr="00D17C77">
        <w:rPr>
          <w:bCs/>
          <w:color w:val="000000" w:themeColor="text1"/>
          <w:sz w:val="26"/>
          <w:szCs w:val="26"/>
        </w:rPr>
        <w:t>F</w:t>
      </w:r>
      <w:r w:rsidRPr="00D17C77">
        <w:rPr>
          <w:bCs/>
          <w:color w:val="000000" w:themeColor="text1"/>
          <w:sz w:val="26"/>
          <w:szCs w:val="26"/>
        </w:rPr>
        <w:t>iling to go into effect subject to the adjudication of the OSBA’s Formal Complaint (Complaint) filed in this proceeding.</w:t>
      </w:r>
      <w:r w:rsidR="00430109" w:rsidRPr="00D17C77">
        <w:rPr>
          <w:bCs/>
          <w:color w:val="000000" w:themeColor="text1"/>
          <w:sz w:val="26"/>
          <w:szCs w:val="26"/>
        </w:rPr>
        <w:t xml:space="preserve">  As discussed below, the OSBA takes issue with Verizon PA’s proposed increases to its business dial tone line </w:t>
      </w:r>
      <w:r w:rsidR="00430109" w:rsidRPr="00D17C77">
        <w:rPr>
          <w:bCs/>
          <w:color w:val="000000" w:themeColor="text1"/>
          <w:sz w:val="26"/>
          <w:szCs w:val="26"/>
        </w:rPr>
        <w:lastRenderedPageBreak/>
        <w:t>rates.  According to the OSBA, these rate increases, when compared to Verizon PA’s proposed increases to its residential dial tone line rates</w:t>
      </w:r>
      <w:r w:rsidR="00D73F7D" w:rsidRPr="00D17C77">
        <w:rPr>
          <w:bCs/>
          <w:color w:val="000000" w:themeColor="text1"/>
          <w:sz w:val="26"/>
          <w:szCs w:val="26"/>
        </w:rPr>
        <w:t>,</w:t>
      </w:r>
      <w:r w:rsidR="00430109" w:rsidRPr="00D17C77">
        <w:rPr>
          <w:bCs/>
          <w:color w:val="000000" w:themeColor="text1"/>
          <w:sz w:val="26"/>
          <w:szCs w:val="26"/>
        </w:rPr>
        <w:t xml:space="preserve"> are unjust, unreasonable, and unduly discriminatory.</w:t>
      </w:r>
    </w:p>
    <w:p w14:paraId="70062938" w14:textId="77777777" w:rsidR="00F727CD" w:rsidRPr="00D17C77" w:rsidRDefault="00F727CD" w:rsidP="009C4BD6">
      <w:pPr>
        <w:spacing w:line="360" w:lineRule="auto"/>
        <w:ind w:firstLine="1440"/>
        <w:contextualSpacing/>
        <w:rPr>
          <w:bCs/>
          <w:color w:val="000000" w:themeColor="text1"/>
          <w:sz w:val="26"/>
          <w:szCs w:val="26"/>
        </w:rPr>
      </w:pPr>
    </w:p>
    <w:p w14:paraId="37683BE9" w14:textId="5ED25680" w:rsidR="009304FE" w:rsidRPr="00D17C77" w:rsidRDefault="00044C58" w:rsidP="009C4BD6">
      <w:pPr>
        <w:keepNext/>
        <w:keepLines/>
        <w:spacing w:line="360" w:lineRule="auto"/>
        <w:contextualSpacing/>
        <w:jc w:val="center"/>
        <w:rPr>
          <w:b/>
          <w:color w:val="000000" w:themeColor="text1"/>
          <w:sz w:val="26"/>
          <w:szCs w:val="26"/>
        </w:rPr>
      </w:pPr>
      <w:r w:rsidRPr="00D17C77">
        <w:rPr>
          <w:b/>
          <w:color w:val="000000" w:themeColor="text1"/>
          <w:sz w:val="26"/>
          <w:szCs w:val="26"/>
        </w:rPr>
        <w:t>III.</w:t>
      </w:r>
      <w:r w:rsidR="00B94C20" w:rsidRPr="00D17C77">
        <w:rPr>
          <w:b/>
          <w:color w:val="000000" w:themeColor="text1"/>
          <w:sz w:val="26"/>
          <w:szCs w:val="26"/>
        </w:rPr>
        <w:tab/>
      </w:r>
      <w:r w:rsidR="00122641">
        <w:rPr>
          <w:b/>
          <w:color w:val="000000" w:themeColor="text1"/>
          <w:sz w:val="26"/>
          <w:szCs w:val="26"/>
        </w:rPr>
        <w:t xml:space="preserve">History </w:t>
      </w:r>
      <w:r w:rsidR="00A2169D">
        <w:rPr>
          <w:b/>
          <w:color w:val="000000" w:themeColor="text1"/>
          <w:sz w:val="26"/>
          <w:szCs w:val="26"/>
        </w:rPr>
        <w:t>Of T</w:t>
      </w:r>
      <w:r w:rsidR="00A2169D" w:rsidRPr="00D17C77">
        <w:rPr>
          <w:b/>
          <w:color w:val="000000" w:themeColor="text1"/>
          <w:sz w:val="26"/>
          <w:szCs w:val="26"/>
        </w:rPr>
        <w:t xml:space="preserve">he </w:t>
      </w:r>
      <w:r w:rsidR="00F55BED" w:rsidRPr="00D17C77">
        <w:rPr>
          <w:b/>
          <w:color w:val="000000" w:themeColor="text1"/>
          <w:sz w:val="26"/>
          <w:szCs w:val="26"/>
        </w:rPr>
        <w:t>Proceeding</w:t>
      </w:r>
    </w:p>
    <w:p w14:paraId="34CF2925" w14:textId="77777777" w:rsidR="008218D6" w:rsidRPr="00D17C77" w:rsidRDefault="008218D6" w:rsidP="009C4BD6">
      <w:pPr>
        <w:keepNext/>
        <w:keepLines/>
        <w:spacing w:line="360" w:lineRule="auto"/>
        <w:ind w:firstLine="1440"/>
        <w:contextualSpacing/>
        <w:rPr>
          <w:color w:val="000000" w:themeColor="text1"/>
          <w:sz w:val="26"/>
          <w:szCs w:val="26"/>
        </w:rPr>
      </w:pPr>
    </w:p>
    <w:p w14:paraId="0A6A3F92" w14:textId="77777777" w:rsidR="0079572F" w:rsidRPr="00D17C77" w:rsidRDefault="0079572F" w:rsidP="009C4BD6">
      <w:pPr>
        <w:spacing w:line="360" w:lineRule="auto"/>
        <w:ind w:firstLine="1440"/>
        <w:contextualSpacing/>
        <w:rPr>
          <w:color w:val="000000" w:themeColor="text1"/>
          <w:sz w:val="26"/>
          <w:szCs w:val="26"/>
        </w:rPr>
      </w:pPr>
      <w:r w:rsidRPr="00D17C77">
        <w:rPr>
          <w:color w:val="000000" w:themeColor="text1"/>
          <w:sz w:val="26"/>
          <w:szCs w:val="26"/>
        </w:rPr>
        <w:t>The history of this proceeding that follows is summarized from the Initial Decision of ALJs Cheskis and Calvelli, the majority of which may be found at pages one through five of that decision.</w:t>
      </w:r>
    </w:p>
    <w:p w14:paraId="29157053" w14:textId="77777777" w:rsidR="0079572F" w:rsidRPr="00D17C77" w:rsidRDefault="0079572F" w:rsidP="009C4BD6">
      <w:pPr>
        <w:spacing w:line="360" w:lineRule="auto"/>
        <w:ind w:firstLine="1440"/>
        <w:contextualSpacing/>
        <w:rPr>
          <w:color w:val="000000" w:themeColor="text1"/>
          <w:sz w:val="26"/>
          <w:szCs w:val="26"/>
        </w:rPr>
      </w:pPr>
    </w:p>
    <w:p w14:paraId="3682E10B" w14:textId="77777777" w:rsidR="008218D6" w:rsidRPr="00D17C77" w:rsidRDefault="00893209" w:rsidP="009C4BD6">
      <w:pPr>
        <w:spacing w:line="360" w:lineRule="auto"/>
        <w:ind w:firstLine="1440"/>
        <w:contextualSpacing/>
        <w:rPr>
          <w:color w:val="000000" w:themeColor="text1"/>
          <w:sz w:val="26"/>
          <w:szCs w:val="26"/>
        </w:rPr>
      </w:pPr>
      <w:r w:rsidRPr="00D17C77">
        <w:rPr>
          <w:color w:val="000000" w:themeColor="text1"/>
          <w:sz w:val="26"/>
          <w:szCs w:val="26"/>
        </w:rPr>
        <w:t>On November 1, 2017, Verizon PA made its 2018 PCO Filing</w:t>
      </w:r>
      <w:r w:rsidR="00430109" w:rsidRPr="00D17C77">
        <w:rPr>
          <w:color w:val="000000" w:themeColor="text1"/>
          <w:sz w:val="26"/>
          <w:szCs w:val="26"/>
        </w:rPr>
        <w:t>, as required under its Chapter 30 Plan.  Additionally, Verizon PA filed</w:t>
      </w:r>
      <w:r w:rsidR="001D6FE6" w:rsidRPr="00D17C77">
        <w:rPr>
          <w:color w:val="000000" w:themeColor="text1"/>
          <w:sz w:val="26"/>
          <w:szCs w:val="26"/>
        </w:rPr>
        <w:t xml:space="preserve"> proposed revisions to </w:t>
      </w:r>
      <w:bookmarkStart w:id="1" w:name="_Hlk24721938"/>
      <w:r w:rsidR="001D6FE6" w:rsidRPr="00D17C77">
        <w:rPr>
          <w:color w:val="000000" w:themeColor="text1"/>
          <w:sz w:val="26"/>
          <w:szCs w:val="26"/>
        </w:rPr>
        <w:t>Tariffs Telephone Pa P.U.C. Nos. 1, 180A, 182, 182A, 185B, and 185C</w:t>
      </w:r>
      <w:bookmarkEnd w:id="1"/>
      <w:r w:rsidR="001D6FE6" w:rsidRPr="00D17C77">
        <w:rPr>
          <w:color w:val="000000" w:themeColor="text1"/>
          <w:sz w:val="26"/>
          <w:szCs w:val="26"/>
        </w:rPr>
        <w:t xml:space="preserve">, to become effective January 1, 2018.  </w:t>
      </w:r>
    </w:p>
    <w:p w14:paraId="56002203" w14:textId="77777777" w:rsidR="00001F19" w:rsidRPr="00D17C77" w:rsidRDefault="00001F19" w:rsidP="009C4BD6">
      <w:pPr>
        <w:spacing w:line="360" w:lineRule="auto"/>
        <w:ind w:firstLine="1440"/>
        <w:contextualSpacing/>
        <w:rPr>
          <w:color w:val="000000" w:themeColor="text1"/>
          <w:sz w:val="26"/>
          <w:szCs w:val="26"/>
        </w:rPr>
      </w:pPr>
    </w:p>
    <w:p w14:paraId="5E259DB6" w14:textId="3209A3E9" w:rsidR="00001F19" w:rsidRPr="00D17C77" w:rsidRDefault="00001F19" w:rsidP="009C4BD6">
      <w:pPr>
        <w:spacing w:line="360" w:lineRule="auto"/>
        <w:ind w:firstLine="1440"/>
        <w:contextualSpacing/>
        <w:rPr>
          <w:color w:val="000000" w:themeColor="text1"/>
          <w:sz w:val="26"/>
          <w:szCs w:val="26"/>
        </w:rPr>
      </w:pPr>
      <w:r w:rsidRPr="00D17C77">
        <w:rPr>
          <w:color w:val="000000" w:themeColor="text1"/>
          <w:sz w:val="26"/>
          <w:szCs w:val="26"/>
        </w:rPr>
        <w:t xml:space="preserve">On November 13, 2017, the OSBA filed </w:t>
      </w:r>
      <w:r w:rsidR="00B36D22" w:rsidRPr="00D17C77">
        <w:rPr>
          <w:color w:val="000000" w:themeColor="text1"/>
          <w:sz w:val="26"/>
          <w:szCs w:val="26"/>
        </w:rPr>
        <w:t xml:space="preserve">its Complaint </w:t>
      </w:r>
      <w:r w:rsidR="00FC16A7" w:rsidRPr="00D17C77">
        <w:rPr>
          <w:color w:val="000000" w:themeColor="text1"/>
          <w:sz w:val="26"/>
          <w:szCs w:val="26"/>
        </w:rPr>
        <w:t>against Verizon PA’s filing</w:t>
      </w:r>
      <w:r w:rsidRPr="00D17C77">
        <w:rPr>
          <w:color w:val="000000" w:themeColor="text1"/>
          <w:sz w:val="26"/>
          <w:szCs w:val="26"/>
        </w:rPr>
        <w:t xml:space="preserve">.  In its </w:t>
      </w:r>
      <w:r w:rsidR="00B36D22" w:rsidRPr="00D17C77">
        <w:rPr>
          <w:color w:val="000000" w:themeColor="text1"/>
          <w:sz w:val="26"/>
          <w:szCs w:val="26"/>
        </w:rPr>
        <w:t>C</w:t>
      </w:r>
      <w:r w:rsidRPr="00D17C77">
        <w:rPr>
          <w:color w:val="000000" w:themeColor="text1"/>
          <w:sz w:val="26"/>
          <w:szCs w:val="26"/>
        </w:rPr>
        <w:t xml:space="preserve">omplaint, </w:t>
      </w:r>
      <w:r w:rsidR="001900DD" w:rsidRPr="00D17C77">
        <w:rPr>
          <w:color w:val="000000" w:themeColor="text1"/>
          <w:sz w:val="26"/>
          <w:szCs w:val="26"/>
        </w:rPr>
        <w:t xml:space="preserve">the </w:t>
      </w:r>
      <w:r w:rsidRPr="00D17C77">
        <w:rPr>
          <w:color w:val="000000" w:themeColor="text1"/>
          <w:sz w:val="26"/>
          <w:szCs w:val="26"/>
        </w:rPr>
        <w:t xml:space="preserve">OSBA argued that </w:t>
      </w:r>
      <w:r w:rsidR="001900DD" w:rsidRPr="00D17C77">
        <w:rPr>
          <w:color w:val="000000" w:themeColor="text1"/>
          <w:sz w:val="26"/>
          <w:szCs w:val="26"/>
        </w:rPr>
        <w:t xml:space="preserve">Verizon PA’s </w:t>
      </w:r>
      <w:r w:rsidRPr="00D17C77">
        <w:rPr>
          <w:color w:val="000000" w:themeColor="text1"/>
          <w:sz w:val="26"/>
          <w:szCs w:val="26"/>
        </w:rPr>
        <w:t xml:space="preserve">2018 PCO </w:t>
      </w:r>
      <w:r w:rsidR="00D01319" w:rsidRPr="00D17C77">
        <w:rPr>
          <w:color w:val="000000" w:themeColor="text1"/>
          <w:sz w:val="26"/>
          <w:szCs w:val="26"/>
        </w:rPr>
        <w:t>F</w:t>
      </w:r>
      <w:r w:rsidRPr="00D17C77">
        <w:rPr>
          <w:color w:val="000000" w:themeColor="text1"/>
          <w:sz w:val="26"/>
          <w:szCs w:val="26"/>
        </w:rPr>
        <w:t xml:space="preserve">iling may be insufficient to justify the proposed rate adjustments and that the proposed rates, rules and conditions of service may be unjust, unreasonable, unduly discriminatory and otherwise contrary to law as they pertain to </w:t>
      </w:r>
      <w:r w:rsidR="000C5FB7" w:rsidRPr="00D17C77">
        <w:rPr>
          <w:color w:val="000000" w:themeColor="text1"/>
          <w:sz w:val="26"/>
          <w:szCs w:val="26"/>
        </w:rPr>
        <w:t>the Company</w:t>
      </w:r>
      <w:r w:rsidRPr="00D17C77">
        <w:rPr>
          <w:color w:val="000000" w:themeColor="text1"/>
          <w:sz w:val="26"/>
          <w:szCs w:val="26"/>
        </w:rPr>
        <w:t xml:space="preserve">’s small business customers.  The OSBA further averred that the proposed rate adjustments for </w:t>
      </w:r>
      <w:r w:rsidR="000C5FB7" w:rsidRPr="00D17C77">
        <w:rPr>
          <w:color w:val="000000" w:themeColor="text1"/>
          <w:sz w:val="26"/>
          <w:szCs w:val="26"/>
        </w:rPr>
        <w:t>Verizon PA</w:t>
      </w:r>
      <w:r w:rsidRPr="00D17C77">
        <w:rPr>
          <w:color w:val="000000" w:themeColor="text1"/>
          <w:sz w:val="26"/>
          <w:szCs w:val="26"/>
        </w:rPr>
        <w:t xml:space="preserve">’s business customers may violate Sections 1301 and 3015(g) of the Code, 66 </w:t>
      </w:r>
      <w:r w:rsidR="00EF6783" w:rsidRPr="00D17C77">
        <w:rPr>
          <w:color w:val="000000" w:themeColor="text1"/>
          <w:sz w:val="26"/>
          <w:szCs w:val="26"/>
        </w:rPr>
        <w:t>Pa. C.S.</w:t>
      </w:r>
      <w:r w:rsidRPr="00D17C77">
        <w:rPr>
          <w:color w:val="000000" w:themeColor="text1"/>
          <w:sz w:val="26"/>
          <w:szCs w:val="26"/>
        </w:rPr>
        <w:t xml:space="preserve"> §§ 1301 and 3015</w:t>
      </w:r>
      <w:r w:rsidR="000C5FB7" w:rsidRPr="00D17C77">
        <w:rPr>
          <w:color w:val="000000" w:themeColor="text1"/>
          <w:sz w:val="26"/>
          <w:szCs w:val="26"/>
        </w:rPr>
        <w:t>,</w:t>
      </w:r>
      <w:r w:rsidRPr="00D17C77">
        <w:rPr>
          <w:color w:val="000000" w:themeColor="text1"/>
          <w:sz w:val="26"/>
          <w:szCs w:val="26"/>
        </w:rPr>
        <w:t xml:space="preserve"> respectively.  The OSBA requested that the Commission suspend and investigate the 2018 PCO </w:t>
      </w:r>
      <w:r w:rsidR="001B51EB" w:rsidRPr="00D17C77">
        <w:rPr>
          <w:color w:val="000000" w:themeColor="text1"/>
          <w:sz w:val="26"/>
          <w:szCs w:val="26"/>
        </w:rPr>
        <w:t>F</w:t>
      </w:r>
      <w:r w:rsidRPr="00D17C77">
        <w:rPr>
          <w:color w:val="000000" w:themeColor="text1"/>
          <w:sz w:val="26"/>
          <w:szCs w:val="26"/>
        </w:rPr>
        <w:t xml:space="preserve">iling and, at the conclusion of the investigation, reject the proposed new rates and tariff changes proposed in the filing to the extent required to ensure that </w:t>
      </w:r>
      <w:r w:rsidR="000C5FB7" w:rsidRPr="00D17C77">
        <w:rPr>
          <w:color w:val="000000" w:themeColor="text1"/>
          <w:sz w:val="26"/>
          <w:szCs w:val="26"/>
        </w:rPr>
        <w:t>Verizon PA</w:t>
      </w:r>
      <w:r w:rsidRPr="00D17C77">
        <w:rPr>
          <w:color w:val="000000" w:themeColor="text1"/>
          <w:sz w:val="26"/>
          <w:szCs w:val="26"/>
        </w:rPr>
        <w:t>’s rates are lawful, just, reasonable</w:t>
      </w:r>
      <w:r w:rsidR="00367065" w:rsidRPr="00D17C77">
        <w:rPr>
          <w:color w:val="000000" w:themeColor="text1"/>
          <w:sz w:val="26"/>
          <w:szCs w:val="26"/>
        </w:rPr>
        <w:t>,</w:t>
      </w:r>
      <w:r w:rsidRPr="00D17C77">
        <w:rPr>
          <w:color w:val="000000" w:themeColor="text1"/>
          <w:sz w:val="26"/>
          <w:szCs w:val="26"/>
        </w:rPr>
        <w:t xml:space="preserve"> and not unduly discriminatory to any class of customer</w:t>
      </w:r>
      <w:r w:rsidR="00430109" w:rsidRPr="00D17C77">
        <w:rPr>
          <w:color w:val="000000" w:themeColor="text1"/>
          <w:sz w:val="26"/>
          <w:szCs w:val="26"/>
        </w:rPr>
        <w:t>.</w:t>
      </w:r>
    </w:p>
    <w:p w14:paraId="64203A0A" w14:textId="77777777" w:rsidR="001900DD" w:rsidRPr="00D17C77" w:rsidRDefault="001900DD" w:rsidP="009C4BD6">
      <w:pPr>
        <w:spacing w:line="360" w:lineRule="auto"/>
        <w:ind w:firstLine="1440"/>
        <w:contextualSpacing/>
        <w:rPr>
          <w:color w:val="000000" w:themeColor="text1"/>
          <w:sz w:val="26"/>
          <w:szCs w:val="26"/>
        </w:rPr>
      </w:pPr>
    </w:p>
    <w:p w14:paraId="435F7331" w14:textId="77777777" w:rsidR="00805FE1" w:rsidRPr="00D17C77" w:rsidRDefault="00805FE1" w:rsidP="009C4BD6">
      <w:pPr>
        <w:tabs>
          <w:tab w:val="left" w:pos="-720"/>
          <w:tab w:val="left" w:pos="2070"/>
        </w:tabs>
        <w:suppressAutoHyphens/>
        <w:autoSpaceDE w:val="0"/>
        <w:autoSpaceDN w:val="0"/>
        <w:spacing w:line="360" w:lineRule="auto"/>
        <w:ind w:firstLine="1440"/>
        <w:contextualSpacing/>
        <w:rPr>
          <w:color w:val="000000" w:themeColor="text1"/>
          <w:sz w:val="26"/>
          <w:szCs w:val="26"/>
        </w:rPr>
      </w:pPr>
      <w:bookmarkStart w:id="2" w:name="_Hlk527549909"/>
      <w:r w:rsidRPr="00D17C77">
        <w:rPr>
          <w:color w:val="000000" w:themeColor="text1"/>
          <w:sz w:val="26"/>
          <w:szCs w:val="26"/>
        </w:rPr>
        <w:lastRenderedPageBreak/>
        <w:t>On November 27, 2017, Verizon PA filed an Answer to the Complaint (Answer)</w:t>
      </w:r>
      <w:bookmarkEnd w:id="2"/>
      <w:r w:rsidRPr="00D17C77">
        <w:rPr>
          <w:color w:val="000000" w:themeColor="text1"/>
          <w:sz w:val="26"/>
          <w:szCs w:val="26"/>
        </w:rPr>
        <w:t xml:space="preserve">.  In its Answer, Verizon PA admitted that it filed its 2018 PCO on November 1, 2017 seeking an increase in revenue from noncompetitive services.  Verizon PA denied all other averments made by </w:t>
      </w:r>
      <w:r w:rsidR="000C5FB7" w:rsidRPr="00D17C77">
        <w:rPr>
          <w:color w:val="000000" w:themeColor="text1"/>
          <w:sz w:val="26"/>
          <w:szCs w:val="26"/>
        </w:rPr>
        <w:t xml:space="preserve">the </w:t>
      </w:r>
      <w:r w:rsidRPr="00D17C77">
        <w:rPr>
          <w:color w:val="000000" w:themeColor="text1"/>
          <w:sz w:val="26"/>
          <w:szCs w:val="26"/>
        </w:rPr>
        <w:t>OSBA, arguing that they were vague and insufficient as to substance, making a response impossible.  Verizon PA asserted that its filings comply with Chapter 30 and its Chapter 30 Plan.  Verizon PA requested that the Complaint be dismissed, and if not dismissed, that the rate changes should be permitted to go into effect</w:t>
      </w:r>
      <w:r w:rsidR="00A9311D" w:rsidRPr="00D17C77">
        <w:rPr>
          <w:color w:val="000000" w:themeColor="text1"/>
          <w:sz w:val="26"/>
          <w:szCs w:val="26"/>
        </w:rPr>
        <w:t>,</w:t>
      </w:r>
      <w:r w:rsidRPr="00D17C77">
        <w:rPr>
          <w:color w:val="000000" w:themeColor="text1"/>
          <w:sz w:val="26"/>
          <w:szCs w:val="26"/>
        </w:rPr>
        <w:t xml:space="preserve"> subject to </w:t>
      </w:r>
      <w:r w:rsidR="00052A46" w:rsidRPr="00D17C77">
        <w:rPr>
          <w:color w:val="000000" w:themeColor="text1"/>
          <w:sz w:val="26"/>
          <w:szCs w:val="26"/>
        </w:rPr>
        <w:t xml:space="preserve">a </w:t>
      </w:r>
      <w:r w:rsidRPr="00D17C77">
        <w:rPr>
          <w:color w:val="000000" w:themeColor="text1"/>
          <w:sz w:val="26"/>
          <w:szCs w:val="26"/>
        </w:rPr>
        <w:t xml:space="preserve">refund based on the resolution of the issues raised in the </w:t>
      </w:r>
      <w:r w:rsidR="00D15021" w:rsidRPr="00D17C77">
        <w:rPr>
          <w:color w:val="000000" w:themeColor="text1"/>
          <w:sz w:val="26"/>
          <w:szCs w:val="26"/>
        </w:rPr>
        <w:t>C</w:t>
      </w:r>
      <w:r w:rsidRPr="00D17C77">
        <w:rPr>
          <w:color w:val="000000" w:themeColor="text1"/>
          <w:sz w:val="26"/>
          <w:szCs w:val="26"/>
        </w:rPr>
        <w:t>omplaint.</w:t>
      </w:r>
    </w:p>
    <w:p w14:paraId="3FD2E54F" w14:textId="77777777" w:rsidR="001900DD" w:rsidRPr="00D17C77" w:rsidRDefault="001900DD" w:rsidP="009C4BD6">
      <w:pPr>
        <w:spacing w:line="360" w:lineRule="auto"/>
        <w:ind w:firstLine="1440"/>
        <w:contextualSpacing/>
        <w:rPr>
          <w:color w:val="000000" w:themeColor="text1"/>
          <w:sz w:val="26"/>
          <w:szCs w:val="26"/>
        </w:rPr>
      </w:pPr>
    </w:p>
    <w:p w14:paraId="18B3DE9E" w14:textId="77777777" w:rsidR="00001F19" w:rsidRPr="00D17C77" w:rsidRDefault="00F75A73" w:rsidP="009C4BD6">
      <w:pPr>
        <w:spacing w:line="360" w:lineRule="auto"/>
        <w:ind w:firstLine="1440"/>
        <w:contextualSpacing/>
        <w:rPr>
          <w:color w:val="000000" w:themeColor="text1"/>
          <w:sz w:val="26"/>
          <w:szCs w:val="26"/>
        </w:rPr>
      </w:pPr>
      <w:r w:rsidRPr="00D17C77">
        <w:rPr>
          <w:color w:val="000000" w:themeColor="text1"/>
          <w:sz w:val="26"/>
          <w:szCs w:val="26"/>
        </w:rPr>
        <w:t>On December 21, 2017, the Office of Consumer Advocate (OCA) filed a Notice of Intervention and Public Statement in this proceeding.</w:t>
      </w:r>
    </w:p>
    <w:p w14:paraId="477021D9" w14:textId="77777777" w:rsidR="00F75A73" w:rsidRPr="00D17C77" w:rsidRDefault="00F75A73" w:rsidP="009C4BD6">
      <w:pPr>
        <w:spacing w:line="360" w:lineRule="auto"/>
        <w:ind w:firstLine="1440"/>
        <w:contextualSpacing/>
        <w:rPr>
          <w:color w:val="000000" w:themeColor="text1"/>
          <w:sz w:val="26"/>
          <w:szCs w:val="26"/>
        </w:rPr>
      </w:pPr>
    </w:p>
    <w:p w14:paraId="33CF627E" w14:textId="77777777" w:rsidR="00F75A73" w:rsidRPr="00D17C77" w:rsidRDefault="00F75A73" w:rsidP="009C4BD6">
      <w:pPr>
        <w:spacing w:line="360" w:lineRule="auto"/>
        <w:ind w:firstLine="1440"/>
        <w:contextualSpacing/>
        <w:rPr>
          <w:color w:val="000000" w:themeColor="text1"/>
          <w:sz w:val="26"/>
          <w:szCs w:val="26"/>
        </w:rPr>
      </w:pPr>
      <w:r w:rsidRPr="00D17C77">
        <w:rPr>
          <w:color w:val="000000" w:themeColor="text1"/>
          <w:sz w:val="26"/>
          <w:szCs w:val="26"/>
        </w:rPr>
        <w:t xml:space="preserve">Also on December 21, 2017, we entered our </w:t>
      </w:r>
      <w:r w:rsidRPr="00D17C77">
        <w:rPr>
          <w:i/>
          <w:iCs/>
          <w:color w:val="000000" w:themeColor="text1"/>
          <w:sz w:val="26"/>
          <w:szCs w:val="26"/>
        </w:rPr>
        <w:t xml:space="preserve">December 2017 Order, </w:t>
      </w:r>
      <w:r w:rsidRPr="00D17C77">
        <w:rPr>
          <w:color w:val="000000" w:themeColor="text1"/>
          <w:sz w:val="26"/>
          <w:szCs w:val="26"/>
        </w:rPr>
        <w:t xml:space="preserve">in which we deemed that, based on the data provided, </w:t>
      </w:r>
      <w:r w:rsidR="004A3DBF" w:rsidRPr="00D17C77">
        <w:rPr>
          <w:color w:val="000000" w:themeColor="text1"/>
          <w:sz w:val="26"/>
          <w:szCs w:val="26"/>
        </w:rPr>
        <w:t>Verizon PA’s 2018 PCO Filing</w:t>
      </w:r>
      <w:r w:rsidRPr="00D17C77">
        <w:rPr>
          <w:color w:val="000000" w:themeColor="text1"/>
          <w:sz w:val="26"/>
          <w:szCs w:val="26"/>
        </w:rPr>
        <w:t xml:space="preserve"> was in compliance with </w:t>
      </w:r>
      <w:r w:rsidR="00A17957" w:rsidRPr="00D17C77">
        <w:rPr>
          <w:color w:val="000000" w:themeColor="text1"/>
          <w:sz w:val="26"/>
          <w:szCs w:val="26"/>
        </w:rPr>
        <w:t>its Commission-approved Chapter 30 Plan</w:t>
      </w:r>
      <w:r w:rsidRPr="00D17C77">
        <w:rPr>
          <w:color w:val="000000" w:themeColor="text1"/>
          <w:sz w:val="26"/>
          <w:szCs w:val="26"/>
        </w:rPr>
        <w:t xml:space="preserve"> and assigned the Complaint to the Office of Administrative Law Judge (OALJ) for adjudication.  Our </w:t>
      </w:r>
      <w:r w:rsidRPr="00D17C77">
        <w:rPr>
          <w:i/>
          <w:iCs/>
          <w:color w:val="000000" w:themeColor="text1"/>
          <w:sz w:val="26"/>
          <w:szCs w:val="26"/>
        </w:rPr>
        <w:t>December 2017 Order</w:t>
      </w:r>
      <w:r w:rsidRPr="00D17C77">
        <w:rPr>
          <w:color w:val="000000" w:themeColor="text1"/>
          <w:sz w:val="26"/>
          <w:szCs w:val="26"/>
        </w:rPr>
        <w:t xml:space="preserve"> allowed the filing to go </w:t>
      </w:r>
      <w:r w:rsidR="00A17957" w:rsidRPr="00D17C77">
        <w:rPr>
          <w:color w:val="000000" w:themeColor="text1"/>
          <w:sz w:val="26"/>
          <w:szCs w:val="26"/>
        </w:rPr>
        <w:t>into</w:t>
      </w:r>
      <w:r w:rsidRPr="00D17C77">
        <w:rPr>
          <w:color w:val="000000" w:themeColor="text1"/>
          <w:sz w:val="26"/>
          <w:szCs w:val="26"/>
        </w:rPr>
        <w:t xml:space="preserve"> effect as filed and </w:t>
      </w:r>
      <w:r w:rsidR="00FC16A7" w:rsidRPr="00D17C77">
        <w:rPr>
          <w:color w:val="000000" w:themeColor="text1"/>
          <w:sz w:val="26"/>
          <w:szCs w:val="26"/>
        </w:rPr>
        <w:t xml:space="preserve">has </w:t>
      </w:r>
      <w:r w:rsidRPr="00D17C77">
        <w:rPr>
          <w:color w:val="000000" w:themeColor="text1"/>
          <w:sz w:val="26"/>
          <w:szCs w:val="26"/>
        </w:rPr>
        <w:t>remain</w:t>
      </w:r>
      <w:r w:rsidR="00FC16A7" w:rsidRPr="00D17C77">
        <w:rPr>
          <w:color w:val="000000" w:themeColor="text1"/>
          <w:sz w:val="26"/>
          <w:szCs w:val="26"/>
        </w:rPr>
        <w:t>ed</w:t>
      </w:r>
      <w:r w:rsidRPr="00D17C77">
        <w:rPr>
          <w:color w:val="000000" w:themeColor="text1"/>
          <w:sz w:val="26"/>
          <w:szCs w:val="26"/>
        </w:rPr>
        <w:t xml:space="preserve"> in effect during the pendency of the Complaint, subject to refund.</w:t>
      </w:r>
    </w:p>
    <w:p w14:paraId="36023B63" w14:textId="77777777" w:rsidR="001B5887" w:rsidRPr="00D17C77" w:rsidRDefault="001B5887" w:rsidP="009C4BD6">
      <w:pPr>
        <w:spacing w:line="360" w:lineRule="auto"/>
        <w:ind w:firstLine="1440"/>
        <w:contextualSpacing/>
        <w:rPr>
          <w:color w:val="000000" w:themeColor="text1"/>
          <w:sz w:val="26"/>
          <w:szCs w:val="26"/>
        </w:rPr>
      </w:pPr>
    </w:p>
    <w:p w14:paraId="0EAD26F9" w14:textId="77777777" w:rsidR="001B5887" w:rsidRPr="00D17C77" w:rsidRDefault="001B5887" w:rsidP="009C4BD6">
      <w:pPr>
        <w:spacing w:line="360" w:lineRule="auto"/>
        <w:ind w:firstLine="1440"/>
        <w:contextualSpacing/>
        <w:rPr>
          <w:color w:val="000000" w:themeColor="text1"/>
          <w:sz w:val="26"/>
          <w:szCs w:val="26"/>
        </w:rPr>
      </w:pPr>
      <w:r w:rsidRPr="00D17C77">
        <w:rPr>
          <w:color w:val="000000" w:themeColor="text1"/>
          <w:sz w:val="26"/>
          <w:szCs w:val="26"/>
        </w:rPr>
        <w:t xml:space="preserve">On January 29, </w:t>
      </w:r>
      <w:r w:rsidR="00996091" w:rsidRPr="00D17C77">
        <w:rPr>
          <w:color w:val="000000" w:themeColor="text1"/>
          <w:sz w:val="26"/>
          <w:szCs w:val="26"/>
        </w:rPr>
        <w:t>2018, Verizon</w:t>
      </w:r>
      <w:r w:rsidRPr="00D17C77">
        <w:rPr>
          <w:color w:val="000000" w:themeColor="text1"/>
          <w:sz w:val="26"/>
          <w:szCs w:val="26"/>
        </w:rPr>
        <w:t xml:space="preserve"> PA’s 2018 PCO </w:t>
      </w:r>
      <w:r w:rsidR="00A5320E" w:rsidRPr="00D17C77">
        <w:rPr>
          <w:color w:val="000000" w:themeColor="text1"/>
          <w:sz w:val="26"/>
          <w:szCs w:val="26"/>
        </w:rPr>
        <w:t>F</w:t>
      </w:r>
      <w:r w:rsidRPr="00D17C77">
        <w:rPr>
          <w:color w:val="000000" w:themeColor="text1"/>
          <w:sz w:val="26"/>
          <w:szCs w:val="26"/>
        </w:rPr>
        <w:t>iling was consolidated with the Complaint filed by the OSBA.</w:t>
      </w:r>
    </w:p>
    <w:p w14:paraId="23BCE86A" w14:textId="77777777" w:rsidR="001B5887" w:rsidRPr="00D17C77" w:rsidRDefault="001B5887" w:rsidP="009C4BD6">
      <w:pPr>
        <w:spacing w:line="360" w:lineRule="auto"/>
        <w:ind w:firstLine="1440"/>
        <w:contextualSpacing/>
        <w:rPr>
          <w:color w:val="000000" w:themeColor="text1"/>
          <w:sz w:val="26"/>
          <w:szCs w:val="26"/>
        </w:rPr>
      </w:pPr>
    </w:p>
    <w:p w14:paraId="212CE8B3" w14:textId="77777777" w:rsidR="001B5887" w:rsidRPr="00D17C77" w:rsidRDefault="001B5887" w:rsidP="009C4BD6">
      <w:pPr>
        <w:spacing w:line="360" w:lineRule="auto"/>
        <w:ind w:firstLine="1440"/>
        <w:contextualSpacing/>
        <w:rPr>
          <w:color w:val="000000" w:themeColor="text1"/>
          <w:sz w:val="26"/>
          <w:szCs w:val="26"/>
        </w:rPr>
      </w:pPr>
      <w:r w:rsidRPr="00D17C77">
        <w:rPr>
          <w:color w:val="000000" w:themeColor="text1"/>
          <w:sz w:val="26"/>
          <w:szCs w:val="26"/>
        </w:rPr>
        <w:t>On July 9, 2018, the Parties advised the ALJs that they had agreed to waive all cross-examination of witnesses and that they agreed to have all pre</w:t>
      </w:r>
      <w:r w:rsidR="00FC16A7" w:rsidRPr="00D17C77">
        <w:rPr>
          <w:color w:val="000000" w:themeColor="text1"/>
          <w:sz w:val="26"/>
          <w:szCs w:val="26"/>
        </w:rPr>
        <w:t>-</w:t>
      </w:r>
      <w:r w:rsidRPr="00D17C77">
        <w:rPr>
          <w:color w:val="000000" w:themeColor="text1"/>
          <w:sz w:val="26"/>
          <w:szCs w:val="26"/>
        </w:rPr>
        <w:t xml:space="preserve">served testimony </w:t>
      </w:r>
      <w:r w:rsidR="00FC16A7" w:rsidRPr="00D17C77">
        <w:rPr>
          <w:color w:val="000000" w:themeColor="text1"/>
          <w:sz w:val="26"/>
          <w:szCs w:val="26"/>
        </w:rPr>
        <w:t xml:space="preserve">entered </w:t>
      </w:r>
      <w:r w:rsidRPr="00D17C77">
        <w:rPr>
          <w:color w:val="000000" w:themeColor="text1"/>
          <w:sz w:val="26"/>
          <w:szCs w:val="26"/>
        </w:rPr>
        <w:t>into the record via stipulation.</w:t>
      </w:r>
      <w:r w:rsidRPr="00D17C77">
        <w:rPr>
          <w:rStyle w:val="FootnoteReference"/>
          <w:color w:val="000000" w:themeColor="text1"/>
        </w:rPr>
        <w:footnoteReference w:id="7"/>
      </w:r>
    </w:p>
    <w:p w14:paraId="52E7EBB9" w14:textId="77777777" w:rsidR="003A1222" w:rsidRPr="00D17C77" w:rsidRDefault="003A1222" w:rsidP="009C4BD6">
      <w:pPr>
        <w:spacing w:line="360" w:lineRule="auto"/>
        <w:ind w:firstLine="1440"/>
        <w:contextualSpacing/>
        <w:rPr>
          <w:color w:val="000000" w:themeColor="text1"/>
          <w:sz w:val="26"/>
          <w:szCs w:val="26"/>
        </w:rPr>
      </w:pPr>
    </w:p>
    <w:p w14:paraId="264B0A1A" w14:textId="77777777" w:rsidR="001B5887" w:rsidRPr="00D17C77" w:rsidRDefault="001B5887" w:rsidP="009C4BD6">
      <w:pPr>
        <w:spacing w:line="360" w:lineRule="auto"/>
        <w:ind w:firstLine="1440"/>
        <w:contextualSpacing/>
        <w:rPr>
          <w:color w:val="000000" w:themeColor="text1"/>
          <w:sz w:val="26"/>
          <w:szCs w:val="26"/>
        </w:rPr>
      </w:pPr>
      <w:r w:rsidRPr="00D17C77">
        <w:rPr>
          <w:color w:val="000000" w:themeColor="text1"/>
          <w:sz w:val="26"/>
          <w:szCs w:val="26"/>
        </w:rPr>
        <w:lastRenderedPageBreak/>
        <w:t xml:space="preserve">On August 20, 2018, Verizon PA, the OSBA, and the OCA each filed Main Briefs.  </w:t>
      </w:r>
    </w:p>
    <w:p w14:paraId="27CF3E85" w14:textId="77777777" w:rsidR="001B5887" w:rsidRPr="00D17C77" w:rsidRDefault="001B5887" w:rsidP="009C4BD6">
      <w:pPr>
        <w:spacing w:line="360" w:lineRule="auto"/>
        <w:ind w:firstLine="1440"/>
        <w:contextualSpacing/>
        <w:rPr>
          <w:color w:val="000000" w:themeColor="text1"/>
          <w:sz w:val="26"/>
          <w:szCs w:val="26"/>
        </w:rPr>
      </w:pPr>
    </w:p>
    <w:p w14:paraId="549E3B33" w14:textId="77777777" w:rsidR="001B5887" w:rsidRPr="00D17C77" w:rsidRDefault="001B5887" w:rsidP="009C4BD6">
      <w:pPr>
        <w:spacing w:line="360" w:lineRule="auto"/>
        <w:ind w:firstLine="1440"/>
        <w:contextualSpacing/>
        <w:rPr>
          <w:color w:val="000000" w:themeColor="text1"/>
          <w:sz w:val="26"/>
          <w:szCs w:val="26"/>
        </w:rPr>
      </w:pPr>
      <w:r w:rsidRPr="00D17C77">
        <w:rPr>
          <w:color w:val="000000" w:themeColor="text1"/>
          <w:sz w:val="26"/>
          <w:szCs w:val="26"/>
        </w:rPr>
        <w:t>On September 13, 2018, the OCA filed an Errata to its Main Briefs to correct certain minor errors.</w:t>
      </w:r>
    </w:p>
    <w:p w14:paraId="5551E6EC" w14:textId="77777777" w:rsidR="001B5887" w:rsidRPr="00D17C77" w:rsidRDefault="001B5887" w:rsidP="009C4BD6">
      <w:pPr>
        <w:spacing w:line="360" w:lineRule="auto"/>
        <w:ind w:firstLine="1440"/>
        <w:contextualSpacing/>
        <w:rPr>
          <w:color w:val="000000" w:themeColor="text1"/>
          <w:sz w:val="26"/>
          <w:szCs w:val="26"/>
        </w:rPr>
      </w:pPr>
    </w:p>
    <w:p w14:paraId="4214CBF1" w14:textId="77777777" w:rsidR="001B5887" w:rsidRPr="00D17C77" w:rsidRDefault="001B5887" w:rsidP="009C4BD6">
      <w:pPr>
        <w:spacing w:line="360" w:lineRule="auto"/>
        <w:ind w:firstLine="1440"/>
        <w:contextualSpacing/>
        <w:rPr>
          <w:color w:val="000000" w:themeColor="text1"/>
          <w:sz w:val="26"/>
          <w:szCs w:val="26"/>
        </w:rPr>
      </w:pPr>
      <w:r w:rsidRPr="00D17C77">
        <w:rPr>
          <w:color w:val="000000" w:themeColor="text1"/>
          <w:sz w:val="26"/>
          <w:szCs w:val="26"/>
        </w:rPr>
        <w:t>On September 20, 2018, Verizon PA, the OCA, and the OSBA each filed Reply Briefs.</w:t>
      </w:r>
    </w:p>
    <w:p w14:paraId="32E0BF15" w14:textId="77777777" w:rsidR="001B5887" w:rsidRPr="00D17C77" w:rsidRDefault="001B5887" w:rsidP="009C4BD6">
      <w:pPr>
        <w:spacing w:line="360" w:lineRule="auto"/>
        <w:ind w:firstLine="1440"/>
        <w:contextualSpacing/>
        <w:rPr>
          <w:color w:val="000000" w:themeColor="text1"/>
          <w:sz w:val="26"/>
          <w:szCs w:val="26"/>
        </w:rPr>
      </w:pPr>
    </w:p>
    <w:p w14:paraId="730F5CFF" w14:textId="77777777" w:rsidR="001B5887" w:rsidRPr="00D17C77" w:rsidRDefault="001B5887" w:rsidP="009C4BD6">
      <w:pPr>
        <w:spacing w:line="360" w:lineRule="auto"/>
        <w:ind w:firstLine="1440"/>
        <w:contextualSpacing/>
        <w:rPr>
          <w:color w:val="000000" w:themeColor="text1"/>
          <w:sz w:val="26"/>
          <w:szCs w:val="26"/>
        </w:rPr>
      </w:pPr>
      <w:r w:rsidRPr="00D17C77">
        <w:rPr>
          <w:color w:val="000000" w:themeColor="text1"/>
          <w:sz w:val="26"/>
          <w:szCs w:val="26"/>
        </w:rPr>
        <w:t xml:space="preserve">On November 9, 2018, we issued the Initial Decision of ALJs Cheskis and Calvelli, wherein the ALJs dismissed the OSBA’s Complaint and </w:t>
      </w:r>
      <w:r w:rsidR="003D7727" w:rsidRPr="00D17C77">
        <w:rPr>
          <w:color w:val="000000" w:themeColor="text1"/>
          <w:sz w:val="26"/>
          <w:szCs w:val="26"/>
        </w:rPr>
        <w:t>permitted Verizon PA’s 2018 PCO filing to remain in effect without modification.</w:t>
      </w:r>
    </w:p>
    <w:p w14:paraId="2F6F90B5" w14:textId="77777777" w:rsidR="003D7727" w:rsidRPr="00D17C77" w:rsidRDefault="003D7727" w:rsidP="009C4BD6">
      <w:pPr>
        <w:spacing w:line="360" w:lineRule="auto"/>
        <w:ind w:firstLine="1440"/>
        <w:contextualSpacing/>
        <w:rPr>
          <w:color w:val="000000" w:themeColor="text1"/>
          <w:sz w:val="26"/>
          <w:szCs w:val="26"/>
        </w:rPr>
      </w:pPr>
    </w:p>
    <w:p w14:paraId="660F4326" w14:textId="77777777" w:rsidR="003D7727" w:rsidRPr="00D17C77" w:rsidRDefault="003D7727" w:rsidP="009C4BD6">
      <w:pPr>
        <w:spacing w:line="360" w:lineRule="auto"/>
        <w:ind w:firstLine="1440"/>
        <w:contextualSpacing/>
        <w:rPr>
          <w:color w:val="000000" w:themeColor="text1"/>
          <w:sz w:val="26"/>
          <w:szCs w:val="26"/>
        </w:rPr>
      </w:pPr>
      <w:r w:rsidRPr="00D17C77">
        <w:rPr>
          <w:color w:val="000000" w:themeColor="text1"/>
          <w:sz w:val="26"/>
          <w:szCs w:val="26"/>
        </w:rPr>
        <w:t>As previously noted, the OSBA filed Exceptions to the Initial Decision on November 29, 2018.  Verizon PA filed Replies to th</w:t>
      </w:r>
      <w:r w:rsidR="00D17C77">
        <w:rPr>
          <w:color w:val="000000" w:themeColor="text1"/>
          <w:sz w:val="26"/>
          <w:szCs w:val="26"/>
        </w:rPr>
        <w:t>e OSBA’s Exceptions on December </w:t>
      </w:r>
      <w:r w:rsidRPr="00D17C77">
        <w:rPr>
          <w:color w:val="000000" w:themeColor="text1"/>
          <w:sz w:val="26"/>
          <w:szCs w:val="26"/>
        </w:rPr>
        <w:t>10, 2018.</w:t>
      </w:r>
    </w:p>
    <w:p w14:paraId="728FE903" w14:textId="77777777" w:rsidR="0071577D" w:rsidRPr="00D17C77" w:rsidRDefault="0071577D" w:rsidP="009C4BD6">
      <w:pPr>
        <w:spacing w:line="360" w:lineRule="auto"/>
        <w:ind w:firstLine="1440"/>
        <w:contextualSpacing/>
        <w:rPr>
          <w:color w:val="000000" w:themeColor="text1"/>
          <w:sz w:val="26"/>
          <w:szCs w:val="26"/>
        </w:rPr>
      </w:pPr>
    </w:p>
    <w:p w14:paraId="15EAFAA0" w14:textId="77777777" w:rsidR="00340D2E" w:rsidRPr="00D17C77" w:rsidRDefault="00044C58" w:rsidP="009C4BD6">
      <w:pPr>
        <w:keepNext/>
        <w:keepLines/>
        <w:spacing w:line="360" w:lineRule="auto"/>
        <w:contextualSpacing/>
        <w:jc w:val="center"/>
        <w:rPr>
          <w:b/>
          <w:color w:val="000000" w:themeColor="text1"/>
          <w:sz w:val="26"/>
          <w:szCs w:val="26"/>
        </w:rPr>
      </w:pPr>
      <w:r w:rsidRPr="00D17C77">
        <w:rPr>
          <w:b/>
          <w:color w:val="000000" w:themeColor="text1"/>
          <w:sz w:val="26"/>
          <w:szCs w:val="26"/>
        </w:rPr>
        <w:t>IV.</w:t>
      </w:r>
      <w:r w:rsidR="00B94C20" w:rsidRPr="00D17C77">
        <w:rPr>
          <w:b/>
          <w:color w:val="000000" w:themeColor="text1"/>
          <w:sz w:val="26"/>
          <w:szCs w:val="26"/>
        </w:rPr>
        <w:tab/>
      </w:r>
      <w:r w:rsidR="00FF27E0" w:rsidRPr="00D17C77">
        <w:rPr>
          <w:b/>
          <w:color w:val="000000" w:themeColor="text1"/>
          <w:sz w:val="26"/>
          <w:szCs w:val="26"/>
        </w:rPr>
        <w:t>Legal Standards</w:t>
      </w:r>
    </w:p>
    <w:p w14:paraId="729D7A34" w14:textId="77777777" w:rsidR="002C480C" w:rsidRPr="00D17C77" w:rsidRDefault="002C480C" w:rsidP="009C4BD6">
      <w:pPr>
        <w:keepNext/>
        <w:keepLines/>
        <w:spacing w:line="360" w:lineRule="auto"/>
        <w:ind w:firstLine="1440"/>
        <w:contextualSpacing/>
        <w:rPr>
          <w:color w:val="000000" w:themeColor="text1"/>
          <w:sz w:val="26"/>
          <w:szCs w:val="26"/>
        </w:rPr>
      </w:pPr>
    </w:p>
    <w:p w14:paraId="1E6611EE" w14:textId="77777777" w:rsidR="00C76D25" w:rsidRPr="00D17C77" w:rsidRDefault="00C91A11" w:rsidP="009C4BD6">
      <w:pPr>
        <w:spacing w:line="360" w:lineRule="auto"/>
        <w:ind w:firstLine="1440"/>
        <w:contextualSpacing/>
        <w:rPr>
          <w:color w:val="000000" w:themeColor="text1"/>
          <w:sz w:val="26"/>
          <w:szCs w:val="26"/>
        </w:rPr>
      </w:pPr>
      <w:r w:rsidRPr="00D17C77">
        <w:rPr>
          <w:color w:val="000000" w:themeColor="text1"/>
          <w:sz w:val="26"/>
          <w:szCs w:val="26"/>
        </w:rPr>
        <w:t xml:space="preserve">As </w:t>
      </w:r>
      <w:r w:rsidR="00FB686C" w:rsidRPr="00D17C77">
        <w:rPr>
          <w:color w:val="000000" w:themeColor="text1"/>
          <w:sz w:val="26"/>
          <w:szCs w:val="26"/>
        </w:rPr>
        <w:t>discussed</w:t>
      </w:r>
      <w:r w:rsidRPr="00D17C77">
        <w:rPr>
          <w:color w:val="000000" w:themeColor="text1"/>
          <w:sz w:val="26"/>
          <w:szCs w:val="26"/>
        </w:rPr>
        <w:t xml:space="preserve"> above, in lieu of rate base</w:t>
      </w:r>
      <w:r w:rsidR="003A080A" w:rsidRPr="00D17C77">
        <w:rPr>
          <w:color w:val="000000" w:themeColor="text1"/>
          <w:sz w:val="26"/>
          <w:szCs w:val="26"/>
        </w:rPr>
        <w:t xml:space="preserve">, </w:t>
      </w:r>
      <w:r w:rsidRPr="00D17C77">
        <w:rPr>
          <w:color w:val="000000" w:themeColor="text1"/>
          <w:sz w:val="26"/>
          <w:szCs w:val="26"/>
        </w:rPr>
        <w:t>rate of return regulation, Verizon PA is governed both by the Chapter 30 law and by the terms of its Commission-</w:t>
      </w:r>
      <w:r w:rsidR="00AF637A" w:rsidRPr="00D17C77">
        <w:rPr>
          <w:color w:val="000000" w:themeColor="text1"/>
          <w:sz w:val="26"/>
          <w:szCs w:val="26"/>
        </w:rPr>
        <w:t>a</w:t>
      </w:r>
      <w:r w:rsidRPr="00D17C77">
        <w:rPr>
          <w:color w:val="000000" w:themeColor="text1"/>
          <w:sz w:val="26"/>
          <w:szCs w:val="26"/>
        </w:rPr>
        <w:t xml:space="preserve">pproved Chapter 30 Plan.  </w:t>
      </w:r>
      <w:r w:rsidR="00C76D25" w:rsidRPr="00D17C77">
        <w:rPr>
          <w:color w:val="000000" w:themeColor="text1"/>
          <w:sz w:val="26"/>
          <w:szCs w:val="26"/>
        </w:rPr>
        <w:t xml:space="preserve">Of note, Verizon PA’s </w:t>
      </w:r>
      <w:r w:rsidR="00F340B2" w:rsidRPr="00D17C77">
        <w:rPr>
          <w:color w:val="000000" w:themeColor="text1"/>
          <w:sz w:val="26"/>
          <w:szCs w:val="26"/>
        </w:rPr>
        <w:t>Chapter 30 P</w:t>
      </w:r>
      <w:r w:rsidR="00C76D25" w:rsidRPr="00D17C77">
        <w:rPr>
          <w:color w:val="000000" w:themeColor="text1"/>
          <w:sz w:val="26"/>
          <w:szCs w:val="26"/>
        </w:rPr>
        <w:t xml:space="preserve">lan incorporates the limit </w:t>
      </w:r>
      <w:r w:rsidR="00AF637A" w:rsidRPr="00D17C77">
        <w:rPr>
          <w:color w:val="000000" w:themeColor="text1"/>
          <w:sz w:val="26"/>
          <w:szCs w:val="26"/>
        </w:rPr>
        <w:t xml:space="preserve">set forth in </w:t>
      </w:r>
      <w:r w:rsidR="00C76D25" w:rsidRPr="00D17C77">
        <w:rPr>
          <w:color w:val="000000" w:themeColor="text1"/>
          <w:sz w:val="26"/>
          <w:szCs w:val="26"/>
        </w:rPr>
        <w:t xml:space="preserve">Section 3015 </w:t>
      </w:r>
      <w:r w:rsidR="00AF637A" w:rsidRPr="00D17C77">
        <w:rPr>
          <w:color w:val="000000" w:themeColor="text1"/>
          <w:sz w:val="26"/>
          <w:szCs w:val="26"/>
        </w:rPr>
        <w:t>of Chapter 30, regarding</w:t>
      </w:r>
      <w:r w:rsidR="00C76D25" w:rsidRPr="00D17C77">
        <w:rPr>
          <w:color w:val="000000" w:themeColor="text1"/>
          <w:sz w:val="26"/>
          <w:szCs w:val="26"/>
        </w:rPr>
        <w:t xml:space="preserve"> the average rate adjustment for protected residential local exchange telecommunications</w:t>
      </w:r>
      <w:r w:rsidR="00C25625" w:rsidRPr="00D17C77">
        <w:rPr>
          <w:color w:val="000000" w:themeColor="text1"/>
          <w:sz w:val="26"/>
          <w:szCs w:val="26"/>
        </w:rPr>
        <w:t xml:space="preserve"> services</w:t>
      </w:r>
      <w:r w:rsidR="00C76D25" w:rsidRPr="00D17C77">
        <w:rPr>
          <w:color w:val="000000" w:themeColor="text1"/>
          <w:sz w:val="26"/>
          <w:szCs w:val="26"/>
        </w:rPr>
        <w:t>.  This statute provides in part:</w:t>
      </w:r>
    </w:p>
    <w:p w14:paraId="4CCAA6CF" w14:textId="77777777" w:rsidR="00FF27E0" w:rsidRPr="00D17C77" w:rsidRDefault="00FF27E0" w:rsidP="009C4BD6">
      <w:pPr>
        <w:spacing w:line="360" w:lineRule="auto"/>
        <w:ind w:firstLine="1440"/>
        <w:contextualSpacing/>
        <w:rPr>
          <w:color w:val="000000" w:themeColor="text1"/>
          <w:sz w:val="26"/>
          <w:szCs w:val="26"/>
        </w:rPr>
      </w:pPr>
    </w:p>
    <w:p w14:paraId="156E3AC1" w14:textId="18CAB888" w:rsidR="00C76D25" w:rsidRPr="00D17C77" w:rsidRDefault="00C76D25" w:rsidP="009C4BD6">
      <w:pPr>
        <w:autoSpaceDE w:val="0"/>
        <w:autoSpaceDN w:val="0"/>
        <w:ind w:left="1440" w:right="1440"/>
        <w:contextualSpacing/>
        <w:rPr>
          <w:color w:val="000000" w:themeColor="text1"/>
          <w:sz w:val="26"/>
          <w:szCs w:val="26"/>
        </w:rPr>
      </w:pPr>
      <w:r w:rsidRPr="00D17C77">
        <w:rPr>
          <w:color w:val="000000" w:themeColor="text1"/>
          <w:sz w:val="26"/>
          <w:szCs w:val="26"/>
        </w:rPr>
        <w:t>(3)</w:t>
      </w:r>
      <w:r w:rsidR="00D2049B">
        <w:rPr>
          <w:color w:val="000000" w:themeColor="text1"/>
          <w:sz w:val="26"/>
          <w:szCs w:val="26"/>
        </w:rPr>
        <w:tab/>
      </w:r>
      <w:r w:rsidRPr="00D17C77">
        <w:rPr>
          <w:color w:val="000000" w:themeColor="text1"/>
          <w:sz w:val="26"/>
          <w:szCs w:val="26"/>
        </w:rPr>
        <w:t xml:space="preserve">Where annual rate adjustments made under a nonrural telecommunications carrier’s price stability mechanism are calculated using revenues from protected services, an average rate adjustment for protected </w:t>
      </w:r>
      <w:r w:rsidRPr="00D17C77">
        <w:rPr>
          <w:b/>
          <w:i/>
          <w:color w:val="000000" w:themeColor="text1"/>
          <w:sz w:val="26"/>
          <w:szCs w:val="26"/>
        </w:rPr>
        <w:t>residential customer</w:t>
      </w:r>
      <w:r w:rsidRPr="00D17C77">
        <w:rPr>
          <w:color w:val="000000" w:themeColor="text1"/>
          <w:sz w:val="26"/>
          <w:szCs w:val="26"/>
        </w:rPr>
        <w:t xml:space="preserve"> local exchange telecommunications service lines shall be </w:t>
      </w:r>
      <w:r w:rsidRPr="00D17C77">
        <w:rPr>
          <w:color w:val="000000" w:themeColor="text1"/>
          <w:sz w:val="26"/>
          <w:szCs w:val="26"/>
        </w:rPr>
        <w:lastRenderedPageBreak/>
        <w:t>determined by dividing the total protected service revenues associated with such lines, as adjusted by the price stability formula, by the number of such lines, and the rate adjustment for any individual line shall not vary from this average rate adjustment by more than 20%.</w:t>
      </w:r>
    </w:p>
    <w:p w14:paraId="40D0B2A3" w14:textId="77777777" w:rsidR="00C76D25" w:rsidRPr="00D17C77" w:rsidRDefault="00C76D25" w:rsidP="00934D4D">
      <w:pPr>
        <w:spacing w:line="480" w:lineRule="auto"/>
        <w:ind w:firstLine="1440"/>
        <w:contextualSpacing/>
        <w:rPr>
          <w:color w:val="000000" w:themeColor="text1"/>
          <w:sz w:val="26"/>
          <w:szCs w:val="26"/>
        </w:rPr>
      </w:pPr>
    </w:p>
    <w:p w14:paraId="2161FDB8" w14:textId="77777777" w:rsidR="00C76D25" w:rsidRPr="00D17C77" w:rsidRDefault="00C76D25" w:rsidP="009C4BD6">
      <w:pPr>
        <w:autoSpaceDE w:val="0"/>
        <w:autoSpaceDN w:val="0"/>
        <w:spacing w:line="360" w:lineRule="auto"/>
        <w:contextualSpacing/>
        <w:rPr>
          <w:color w:val="000000" w:themeColor="text1"/>
          <w:sz w:val="26"/>
          <w:szCs w:val="26"/>
        </w:rPr>
      </w:pPr>
      <w:r w:rsidRPr="00D17C77">
        <w:rPr>
          <w:color w:val="000000" w:themeColor="text1"/>
          <w:sz w:val="26"/>
          <w:szCs w:val="26"/>
        </w:rPr>
        <w:t xml:space="preserve">66 </w:t>
      </w:r>
      <w:r w:rsidR="00EF6783" w:rsidRPr="00D17C77">
        <w:rPr>
          <w:color w:val="000000" w:themeColor="text1"/>
          <w:sz w:val="26"/>
          <w:szCs w:val="26"/>
        </w:rPr>
        <w:t>Pa. C.S.</w:t>
      </w:r>
      <w:r w:rsidRPr="00D17C77">
        <w:rPr>
          <w:color w:val="000000" w:themeColor="text1"/>
          <w:sz w:val="26"/>
          <w:szCs w:val="26"/>
        </w:rPr>
        <w:t xml:space="preserve"> § 3015(a)(3)</w:t>
      </w:r>
      <w:r w:rsidR="00BA409F" w:rsidRPr="00D17C77">
        <w:rPr>
          <w:color w:val="000000" w:themeColor="text1"/>
          <w:sz w:val="26"/>
          <w:szCs w:val="26"/>
        </w:rPr>
        <w:t xml:space="preserve"> </w:t>
      </w:r>
      <w:r w:rsidRPr="00D17C77">
        <w:rPr>
          <w:color w:val="000000" w:themeColor="text1"/>
          <w:sz w:val="26"/>
          <w:szCs w:val="26"/>
        </w:rPr>
        <w:t>(emphasis added).  Section 3019 of Chapter 30 also provides: “Nothing in this chapter shall be construed to limit the authority of the Commission to ensure that local exchange telecommunications companies do not make or impose unreasonable preferences, discriminations or classifications for protected services and other non-competitive services.”  66 Pa.</w:t>
      </w:r>
      <w:r w:rsidR="00882647" w:rsidRPr="00D17C77">
        <w:rPr>
          <w:color w:val="000000" w:themeColor="text1"/>
          <w:sz w:val="26"/>
          <w:szCs w:val="26"/>
        </w:rPr>
        <w:t xml:space="preserve"> </w:t>
      </w:r>
      <w:r w:rsidRPr="00D17C77">
        <w:rPr>
          <w:color w:val="000000" w:themeColor="text1"/>
          <w:sz w:val="26"/>
          <w:szCs w:val="26"/>
        </w:rPr>
        <w:t>C.S. § 3019(e).</w:t>
      </w:r>
    </w:p>
    <w:p w14:paraId="474F41E7" w14:textId="77777777" w:rsidR="00C76D25" w:rsidRPr="00D17C77" w:rsidRDefault="00C76D25" w:rsidP="009C4BD6">
      <w:pPr>
        <w:autoSpaceDE w:val="0"/>
        <w:autoSpaceDN w:val="0"/>
        <w:spacing w:line="360" w:lineRule="auto"/>
        <w:ind w:firstLine="1440"/>
        <w:contextualSpacing/>
        <w:rPr>
          <w:color w:val="000000" w:themeColor="text1"/>
          <w:sz w:val="26"/>
          <w:szCs w:val="26"/>
        </w:rPr>
      </w:pPr>
    </w:p>
    <w:p w14:paraId="46A00E63" w14:textId="77777777" w:rsidR="00C76D25" w:rsidRPr="00D17C77" w:rsidRDefault="00C76D25" w:rsidP="009C4BD6">
      <w:pPr>
        <w:autoSpaceDE w:val="0"/>
        <w:autoSpaceDN w:val="0"/>
        <w:spacing w:line="360" w:lineRule="auto"/>
        <w:ind w:firstLine="1440"/>
        <w:contextualSpacing/>
        <w:rPr>
          <w:color w:val="000000" w:themeColor="text1"/>
          <w:sz w:val="26"/>
          <w:szCs w:val="26"/>
        </w:rPr>
      </w:pPr>
      <w:r w:rsidRPr="00D17C77">
        <w:rPr>
          <w:color w:val="000000" w:themeColor="text1"/>
          <w:sz w:val="26"/>
          <w:szCs w:val="26"/>
        </w:rPr>
        <w:t xml:space="preserve">In addition, </w:t>
      </w:r>
      <w:r w:rsidR="000F7E7A" w:rsidRPr="00D17C77">
        <w:rPr>
          <w:color w:val="000000" w:themeColor="text1"/>
          <w:sz w:val="26"/>
          <w:szCs w:val="26"/>
        </w:rPr>
        <w:t>S</w:t>
      </w:r>
      <w:r w:rsidRPr="00D17C77">
        <w:rPr>
          <w:color w:val="000000" w:themeColor="text1"/>
          <w:sz w:val="26"/>
          <w:szCs w:val="26"/>
        </w:rPr>
        <w:t>ections 1301 and 1304 of the Code</w:t>
      </w:r>
      <w:r w:rsidR="00C66D35" w:rsidRPr="00D17C77">
        <w:rPr>
          <w:color w:val="000000" w:themeColor="text1"/>
          <w:sz w:val="26"/>
          <w:szCs w:val="26"/>
        </w:rPr>
        <w:t xml:space="preserve">, 66 </w:t>
      </w:r>
      <w:r w:rsidR="00EF6783" w:rsidRPr="00D17C77">
        <w:rPr>
          <w:color w:val="000000" w:themeColor="text1"/>
          <w:sz w:val="26"/>
          <w:szCs w:val="26"/>
        </w:rPr>
        <w:t>Pa. C.S.</w:t>
      </w:r>
      <w:r w:rsidR="00C66D35" w:rsidRPr="00D17C77">
        <w:rPr>
          <w:color w:val="000000" w:themeColor="text1"/>
          <w:sz w:val="26"/>
          <w:szCs w:val="26"/>
        </w:rPr>
        <w:t xml:space="preserve"> §§ 1301;1304,</w:t>
      </w:r>
      <w:r w:rsidRPr="00D17C77">
        <w:rPr>
          <w:color w:val="000000" w:themeColor="text1"/>
          <w:sz w:val="26"/>
          <w:szCs w:val="26"/>
        </w:rPr>
        <w:t xml:space="preserve"> also apply to any determination regarding the reasonableness of rates for protected and other noncompetitive telecommunications services.  Section 1301 provides, in part, that “every rate made, demanded or received by any public utility, or by any two or more public utilities jointly, shall be just and reasonable, and in conformity with regulations or orders of the Commission.”  66 </w:t>
      </w:r>
      <w:r w:rsidR="00EF6783" w:rsidRPr="00D17C77">
        <w:rPr>
          <w:color w:val="000000" w:themeColor="text1"/>
          <w:sz w:val="26"/>
          <w:szCs w:val="26"/>
        </w:rPr>
        <w:t>Pa. C.S.</w:t>
      </w:r>
      <w:r w:rsidRPr="00D17C77">
        <w:rPr>
          <w:color w:val="000000" w:themeColor="text1"/>
          <w:sz w:val="26"/>
          <w:szCs w:val="26"/>
        </w:rPr>
        <w:t xml:space="preserve"> § 1301.  Section 1304 provides, in part, that “no public utility shall, as to rates, make or grant any unreasonable preference or advantage to any person, corporation or municipal corporation, or subject any person, corporation or municipal corporation to any unreasonable prejudice or disadvantage.”  66 Pa.</w:t>
      </w:r>
      <w:r w:rsidR="000B1F13" w:rsidRPr="00D17C77">
        <w:rPr>
          <w:color w:val="000000" w:themeColor="text1"/>
          <w:sz w:val="26"/>
          <w:szCs w:val="26"/>
        </w:rPr>
        <w:t xml:space="preserve"> </w:t>
      </w:r>
      <w:r w:rsidRPr="00D17C77">
        <w:rPr>
          <w:color w:val="000000" w:themeColor="text1"/>
          <w:sz w:val="26"/>
          <w:szCs w:val="26"/>
        </w:rPr>
        <w:t>C.S. § 1304.</w:t>
      </w:r>
    </w:p>
    <w:p w14:paraId="0554D325" w14:textId="77777777" w:rsidR="00C76D25" w:rsidRPr="00D17C77" w:rsidRDefault="00C76D25" w:rsidP="009C4BD6">
      <w:pPr>
        <w:autoSpaceDE w:val="0"/>
        <w:autoSpaceDN w:val="0"/>
        <w:spacing w:line="360" w:lineRule="auto"/>
        <w:ind w:firstLine="1440"/>
        <w:contextualSpacing/>
        <w:rPr>
          <w:color w:val="000000" w:themeColor="text1"/>
          <w:sz w:val="26"/>
          <w:szCs w:val="26"/>
        </w:rPr>
      </w:pPr>
    </w:p>
    <w:p w14:paraId="2234EA7D" w14:textId="77777777" w:rsidR="00C76D25" w:rsidRPr="00D17C77" w:rsidRDefault="00C76D25" w:rsidP="009C4BD6">
      <w:pPr>
        <w:autoSpaceDE w:val="0"/>
        <w:autoSpaceDN w:val="0"/>
        <w:spacing w:line="360" w:lineRule="auto"/>
        <w:ind w:firstLine="1440"/>
        <w:contextualSpacing/>
        <w:rPr>
          <w:color w:val="000000" w:themeColor="text1"/>
          <w:sz w:val="26"/>
          <w:szCs w:val="26"/>
        </w:rPr>
      </w:pPr>
      <w:r w:rsidRPr="00D17C77">
        <w:rPr>
          <w:color w:val="000000" w:themeColor="text1"/>
          <w:sz w:val="26"/>
          <w:szCs w:val="26"/>
        </w:rPr>
        <w:t xml:space="preserve">Furthermore, pursuant to Section 315(a) of the Code, Verizon </w:t>
      </w:r>
      <w:r w:rsidR="006A7A95" w:rsidRPr="00D17C77">
        <w:rPr>
          <w:color w:val="000000" w:themeColor="text1"/>
          <w:sz w:val="26"/>
          <w:szCs w:val="26"/>
        </w:rPr>
        <w:t xml:space="preserve">PA </w:t>
      </w:r>
      <w:r w:rsidRPr="00D17C77">
        <w:rPr>
          <w:color w:val="000000" w:themeColor="text1"/>
          <w:sz w:val="26"/>
          <w:szCs w:val="26"/>
        </w:rPr>
        <w:t xml:space="preserve">has the burden of proving that the PCO filing and related tariff supplements to increase rates through non-competitive tariffs comply with the Code and </w:t>
      </w:r>
      <w:r w:rsidR="006A7A95" w:rsidRPr="00D17C77">
        <w:rPr>
          <w:color w:val="000000" w:themeColor="text1"/>
          <w:sz w:val="26"/>
          <w:szCs w:val="26"/>
        </w:rPr>
        <w:t>Verizon PA</w:t>
      </w:r>
      <w:r w:rsidRPr="00D17C77">
        <w:rPr>
          <w:color w:val="000000" w:themeColor="text1"/>
          <w:sz w:val="26"/>
          <w:szCs w:val="26"/>
        </w:rPr>
        <w:t xml:space="preserve">’s Chapter 30 </w:t>
      </w:r>
      <w:r w:rsidR="006A7A95" w:rsidRPr="00D17C77">
        <w:rPr>
          <w:color w:val="000000" w:themeColor="text1"/>
          <w:sz w:val="26"/>
          <w:szCs w:val="26"/>
        </w:rPr>
        <w:t>P</w:t>
      </w:r>
      <w:r w:rsidRPr="00D17C77">
        <w:rPr>
          <w:color w:val="000000" w:themeColor="text1"/>
          <w:sz w:val="26"/>
          <w:szCs w:val="26"/>
        </w:rPr>
        <w:t xml:space="preserve">lan.  Section 315(a) provides: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66 </w:t>
      </w:r>
      <w:r w:rsidR="00EF6783" w:rsidRPr="00D17C77">
        <w:rPr>
          <w:color w:val="000000" w:themeColor="text1"/>
          <w:sz w:val="26"/>
          <w:szCs w:val="26"/>
        </w:rPr>
        <w:t>Pa. C.S.</w:t>
      </w:r>
      <w:r w:rsidRPr="00D17C77">
        <w:rPr>
          <w:color w:val="000000" w:themeColor="text1"/>
          <w:sz w:val="26"/>
          <w:szCs w:val="26"/>
        </w:rPr>
        <w:t xml:space="preserve"> </w:t>
      </w:r>
      <w:r w:rsidRPr="00D17C77">
        <w:rPr>
          <w:color w:val="000000" w:themeColor="text1"/>
          <w:sz w:val="26"/>
          <w:szCs w:val="26"/>
        </w:rPr>
        <w:lastRenderedPageBreak/>
        <w:t>§</w:t>
      </w:r>
      <w:r w:rsidR="00846B7A">
        <w:rPr>
          <w:color w:val="000000" w:themeColor="text1"/>
          <w:sz w:val="26"/>
          <w:szCs w:val="26"/>
        </w:rPr>
        <w:t> </w:t>
      </w:r>
      <w:r w:rsidRPr="00D17C77">
        <w:rPr>
          <w:color w:val="000000" w:themeColor="text1"/>
          <w:sz w:val="26"/>
          <w:szCs w:val="26"/>
        </w:rPr>
        <w:t xml:space="preserve">315(a).  Therefore, </w:t>
      </w:r>
      <w:r w:rsidR="006A7A95" w:rsidRPr="00D17C77">
        <w:rPr>
          <w:color w:val="000000" w:themeColor="text1"/>
          <w:sz w:val="26"/>
          <w:szCs w:val="26"/>
        </w:rPr>
        <w:t>Verizon PA</w:t>
      </w:r>
      <w:r w:rsidRPr="00D17C77">
        <w:rPr>
          <w:color w:val="000000" w:themeColor="text1"/>
          <w:sz w:val="26"/>
          <w:szCs w:val="26"/>
        </w:rPr>
        <w:t xml:space="preserve"> has </w:t>
      </w:r>
      <w:r w:rsidR="00C66D35" w:rsidRPr="00D17C77">
        <w:rPr>
          <w:color w:val="000000" w:themeColor="text1"/>
          <w:sz w:val="26"/>
          <w:szCs w:val="26"/>
        </w:rPr>
        <w:t xml:space="preserve">the burden of proof in this proceeding </w:t>
      </w:r>
      <w:r w:rsidRPr="00D17C77">
        <w:rPr>
          <w:color w:val="000000" w:themeColor="text1"/>
          <w:sz w:val="26"/>
          <w:szCs w:val="26"/>
        </w:rPr>
        <w:t>to prove by a preponderance of the evidence that the proposed rates are reasonable</w:t>
      </w:r>
    </w:p>
    <w:p w14:paraId="63149227" w14:textId="77777777" w:rsidR="00C76D25" w:rsidRPr="00D17C77" w:rsidRDefault="00C76D25" w:rsidP="009C4BD6">
      <w:pPr>
        <w:autoSpaceDE w:val="0"/>
        <w:autoSpaceDN w:val="0"/>
        <w:spacing w:line="360" w:lineRule="auto"/>
        <w:ind w:firstLine="1440"/>
        <w:contextualSpacing/>
        <w:rPr>
          <w:color w:val="000000" w:themeColor="text1"/>
          <w:sz w:val="26"/>
          <w:szCs w:val="26"/>
        </w:rPr>
      </w:pPr>
    </w:p>
    <w:p w14:paraId="2737CCB8" w14:textId="77777777" w:rsidR="00C76D25" w:rsidRPr="00D17C77" w:rsidRDefault="00C76D25" w:rsidP="009C4BD6">
      <w:pPr>
        <w:autoSpaceDE w:val="0"/>
        <w:autoSpaceDN w:val="0"/>
        <w:spacing w:line="360" w:lineRule="auto"/>
        <w:ind w:firstLine="1440"/>
        <w:contextualSpacing/>
        <w:rPr>
          <w:color w:val="000000" w:themeColor="text1"/>
          <w:sz w:val="26"/>
          <w:szCs w:val="26"/>
        </w:rPr>
      </w:pPr>
      <w:r w:rsidRPr="00D17C77">
        <w:rPr>
          <w:color w:val="000000" w:themeColor="text1"/>
          <w:sz w:val="26"/>
          <w:szCs w:val="26"/>
        </w:rPr>
        <w:t>Finally, we note that, on appeal, a decision of the Commission must be supported by substantial evidence.  2 </w:t>
      </w:r>
      <w:r w:rsidR="00EF6783" w:rsidRPr="00D17C77">
        <w:rPr>
          <w:color w:val="000000" w:themeColor="text1"/>
          <w:sz w:val="26"/>
          <w:szCs w:val="26"/>
        </w:rPr>
        <w:t>Pa. C.S.</w:t>
      </w:r>
      <w:r w:rsidRPr="00D17C77">
        <w:rPr>
          <w:color w:val="000000" w:themeColor="text1"/>
          <w:sz w:val="26"/>
          <w:szCs w:val="26"/>
        </w:rPr>
        <w:t xml:space="preserve"> § 704.  </w:t>
      </w:r>
      <w:r w:rsidR="00C66D35" w:rsidRPr="00D17C77">
        <w:rPr>
          <w:color w:val="000000" w:themeColor="text1"/>
          <w:sz w:val="26"/>
          <w:szCs w:val="26"/>
        </w:rPr>
        <w:t>“</w:t>
      </w:r>
      <w:r w:rsidRPr="00D17C77">
        <w:rPr>
          <w:color w:val="000000" w:themeColor="text1"/>
          <w:sz w:val="26"/>
          <w:szCs w:val="26"/>
        </w:rPr>
        <w:t>Substantial evidence</w:t>
      </w:r>
      <w:r w:rsidR="00C66D35" w:rsidRPr="00D17C77">
        <w:rPr>
          <w:color w:val="000000" w:themeColor="text1"/>
          <w:sz w:val="26"/>
          <w:szCs w:val="26"/>
        </w:rPr>
        <w:t>”</w:t>
      </w:r>
      <w:r w:rsidRPr="00D17C77">
        <w:rPr>
          <w:color w:val="000000" w:themeColor="text1"/>
          <w:sz w:val="26"/>
          <w:szCs w:val="26"/>
        </w:rPr>
        <w:t xml:space="preserve"> is such relevant evidence that a reasonable mind might accept as adequate to support a conclusion.  More is required than a mere trace of evidence or a suspicion of the existence of a fact sought to be established.  </w:t>
      </w:r>
      <w:r w:rsidRPr="00D17C77">
        <w:rPr>
          <w:i/>
          <w:iCs/>
          <w:color w:val="000000" w:themeColor="text1"/>
          <w:sz w:val="26"/>
          <w:szCs w:val="26"/>
        </w:rPr>
        <w:t xml:space="preserve">Norfolk &amp; Western Ry. Co. v. Pa. </w:t>
      </w:r>
      <w:r w:rsidR="00846B7A">
        <w:rPr>
          <w:i/>
          <w:iCs/>
          <w:color w:val="000000" w:themeColor="text1"/>
          <w:sz w:val="26"/>
          <w:szCs w:val="26"/>
        </w:rPr>
        <w:t>PUC</w:t>
      </w:r>
      <w:r w:rsidR="00846B7A">
        <w:rPr>
          <w:color w:val="000000" w:themeColor="text1"/>
          <w:sz w:val="26"/>
          <w:szCs w:val="26"/>
        </w:rPr>
        <w:t>, 489 </w:t>
      </w:r>
      <w:r w:rsidRPr="00D17C77">
        <w:rPr>
          <w:color w:val="000000" w:themeColor="text1"/>
          <w:sz w:val="26"/>
          <w:szCs w:val="26"/>
        </w:rPr>
        <w:t xml:space="preserve">Pa. 109, 413 A.2d 1037 (1980); </w:t>
      </w:r>
      <w:r w:rsidRPr="00D17C77">
        <w:rPr>
          <w:i/>
          <w:iCs/>
          <w:color w:val="000000" w:themeColor="text1"/>
          <w:sz w:val="26"/>
          <w:szCs w:val="26"/>
        </w:rPr>
        <w:t>Erie Resistor Corp. v. Unemployment Comp. Bd. of Review</w:t>
      </w:r>
      <w:r w:rsidRPr="00D17C77">
        <w:rPr>
          <w:color w:val="000000" w:themeColor="text1"/>
          <w:sz w:val="26"/>
          <w:szCs w:val="26"/>
        </w:rPr>
        <w:t>, 166 A.2d 96 (Pa.</w:t>
      </w:r>
      <w:r w:rsidR="00C66D35" w:rsidRPr="00D17C77">
        <w:rPr>
          <w:color w:val="000000" w:themeColor="text1"/>
          <w:sz w:val="26"/>
          <w:szCs w:val="26"/>
        </w:rPr>
        <w:t xml:space="preserve"> </w:t>
      </w:r>
      <w:r w:rsidRPr="00D17C77">
        <w:rPr>
          <w:color w:val="000000" w:themeColor="text1"/>
          <w:sz w:val="26"/>
          <w:szCs w:val="26"/>
        </w:rPr>
        <w:t>Sup.</w:t>
      </w:r>
      <w:r w:rsidR="00C66D35" w:rsidRPr="00D17C77">
        <w:rPr>
          <w:color w:val="000000" w:themeColor="text1"/>
          <w:sz w:val="26"/>
          <w:szCs w:val="26"/>
        </w:rPr>
        <w:t xml:space="preserve"> Ct.</w:t>
      </w:r>
      <w:r w:rsidRPr="00D17C77">
        <w:rPr>
          <w:color w:val="000000" w:themeColor="text1"/>
          <w:sz w:val="26"/>
          <w:szCs w:val="26"/>
        </w:rPr>
        <w:t xml:space="preserve"> 1961); and </w:t>
      </w:r>
      <w:r w:rsidRPr="00D17C77">
        <w:rPr>
          <w:i/>
          <w:iCs/>
          <w:color w:val="000000" w:themeColor="text1"/>
          <w:sz w:val="26"/>
          <w:szCs w:val="26"/>
        </w:rPr>
        <w:t>Murphy v. Comm., Dept. of Public Welfare, White Haven Center</w:t>
      </w:r>
      <w:r w:rsidRPr="00D17C77">
        <w:rPr>
          <w:color w:val="000000" w:themeColor="text1"/>
          <w:sz w:val="26"/>
          <w:szCs w:val="26"/>
        </w:rPr>
        <w:t>, 480 A.2d 382 (Pa.</w:t>
      </w:r>
      <w:r w:rsidR="00C66D35" w:rsidRPr="00D17C77">
        <w:rPr>
          <w:color w:val="000000" w:themeColor="text1"/>
          <w:sz w:val="26"/>
          <w:szCs w:val="26"/>
        </w:rPr>
        <w:t xml:space="preserve"> </w:t>
      </w:r>
      <w:r w:rsidRPr="00D17C77">
        <w:rPr>
          <w:color w:val="000000" w:themeColor="text1"/>
          <w:sz w:val="26"/>
          <w:szCs w:val="26"/>
        </w:rPr>
        <w:t>Cmwlth. 1984).</w:t>
      </w:r>
    </w:p>
    <w:p w14:paraId="22B56D90" w14:textId="77777777" w:rsidR="00FF27E0" w:rsidRPr="00D17C77" w:rsidRDefault="00FF27E0" w:rsidP="009C4BD6">
      <w:pPr>
        <w:spacing w:line="360" w:lineRule="auto"/>
        <w:ind w:firstLine="1440"/>
        <w:contextualSpacing/>
        <w:rPr>
          <w:color w:val="000000" w:themeColor="text1"/>
          <w:sz w:val="26"/>
          <w:szCs w:val="26"/>
        </w:rPr>
      </w:pPr>
    </w:p>
    <w:p w14:paraId="2538E210" w14:textId="77777777" w:rsidR="00631539" w:rsidRPr="00D17C77" w:rsidRDefault="00FF27E0" w:rsidP="009C4BD6">
      <w:pPr>
        <w:keepNext/>
        <w:keepLines/>
        <w:spacing w:line="360" w:lineRule="auto"/>
        <w:contextualSpacing/>
        <w:jc w:val="center"/>
        <w:rPr>
          <w:b/>
          <w:bCs/>
          <w:color w:val="000000" w:themeColor="text1"/>
          <w:sz w:val="26"/>
          <w:szCs w:val="26"/>
        </w:rPr>
      </w:pPr>
      <w:r w:rsidRPr="00D17C77">
        <w:rPr>
          <w:b/>
          <w:bCs/>
          <w:color w:val="000000" w:themeColor="text1"/>
          <w:sz w:val="26"/>
          <w:szCs w:val="26"/>
        </w:rPr>
        <w:t>V.</w:t>
      </w:r>
      <w:r w:rsidRPr="00D17C77">
        <w:rPr>
          <w:b/>
          <w:bCs/>
          <w:color w:val="000000" w:themeColor="text1"/>
          <w:sz w:val="26"/>
          <w:szCs w:val="26"/>
        </w:rPr>
        <w:tab/>
        <w:t>Discussion</w:t>
      </w:r>
    </w:p>
    <w:p w14:paraId="124554DC" w14:textId="77777777" w:rsidR="00FF27E0" w:rsidRPr="00D17C77" w:rsidRDefault="00FF27E0" w:rsidP="009C4BD6">
      <w:pPr>
        <w:keepNext/>
        <w:keepLines/>
        <w:spacing w:line="360" w:lineRule="auto"/>
        <w:ind w:firstLine="1440"/>
        <w:contextualSpacing/>
        <w:rPr>
          <w:color w:val="000000" w:themeColor="text1"/>
          <w:sz w:val="26"/>
          <w:szCs w:val="26"/>
        </w:rPr>
      </w:pPr>
    </w:p>
    <w:p w14:paraId="08D5359F" w14:textId="2F460A59" w:rsidR="00FF27E0" w:rsidRPr="00D17C77" w:rsidRDefault="004C6FDA" w:rsidP="00846B7A">
      <w:pPr>
        <w:keepNext/>
        <w:keepLines/>
        <w:spacing w:line="360" w:lineRule="auto"/>
        <w:contextualSpacing/>
        <w:rPr>
          <w:b/>
          <w:bCs/>
          <w:color w:val="000000" w:themeColor="text1"/>
          <w:sz w:val="26"/>
          <w:szCs w:val="26"/>
        </w:rPr>
      </w:pPr>
      <w:r>
        <w:rPr>
          <w:b/>
          <w:bCs/>
          <w:color w:val="000000" w:themeColor="text1"/>
          <w:sz w:val="26"/>
          <w:szCs w:val="26"/>
        </w:rPr>
        <w:t>A</w:t>
      </w:r>
      <w:r w:rsidR="00116E83" w:rsidRPr="00D17C77">
        <w:rPr>
          <w:b/>
          <w:bCs/>
          <w:color w:val="000000" w:themeColor="text1"/>
          <w:sz w:val="26"/>
          <w:szCs w:val="26"/>
        </w:rPr>
        <w:t>.</w:t>
      </w:r>
      <w:r w:rsidR="00116E83" w:rsidRPr="00D17C77">
        <w:rPr>
          <w:b/>
          <w:bCs/>
          <w:color w:val="000000" w:themeColor="text1"/>
          <w:sz w:val="26"/>
          <w:szCs w:val="26"/>
        </w:rPr>
        <w:tab/>
        <w:t xml:space="preserve">Positions </w:t>
      </w:r>
      <w:r w:rsidR="00122641">
        <w:rPr>
          <w:b/>
          <w:bCs/>
          <w:color w:val="000000" w:themeColor="text1"/>
          <w:sz w:val="26"/>
          <w:szCs w:val="26"/>
        </w:rPr>
        <w:t>O</w:t>
      </w:r>
      <w:r w:rsidR="00095CD4" w:rsidRPr="00D17C77">
        <w:rPr>
          <w:b/>
          <w:bCs/>
          <w:color w:val="000000" w:themeColor="text1"/>
          <w:sz w:val="26"/>
          <w:szCs w:val="26"/>
        </w:rPr>
        <w:t xml:space="preserve">f The </w:t>
      </w:r>
      <w:r w:rsidR="00116E83" w:rsidRPr="00D17C77">
        <w:rPr>
          <w:b/>
          <w:bCs/>
          <w:color w:val="000000" w:themeColor="text1"/>
          <w:sz w:val="26"/>
          <w:szCs w:val="26"/>
        </w:rPr>
        <w:t>Parties</w:t>
      </w:r>
    </w:p>
    <w:p w14:paraId="7676C2FD" w14:textId="77777777" w:rsidR="00116E83" w:rsidRPr="00D17C77" w:rsidRDefault="00116E83" w:rsidP="009C4BD6">
      <w:pPr>
        <w:keepNext/>
        <w:keepLines/>
        <w:spacing w:line="360" w:lineRule="auto"/>
        <w:contextualSpacing/>
        <w:rPr>
          <w:color w:val="000000" w:themeColor="text1"/>
          <w:sz w:val="26"/>
          <w:szCs w:val="26"/>
        </w:rPr>
      </w:pPr>
    </w:p>
    <w:p w14:paraId="452366E3" w14:textId="3D7F14EF" w:rsidR="00116E83" w:rsidRPr="00D17C77" w:rsidRDefault="004C6FDA" w:rsidP="00846B7A">
      <w:pPr>
        <w:keepNext/>
        <w:keepLines/>
        <w:spacing w:line="360" w:lineRule="auto"/>
        <w:ind w:firstLine="720"/>
        <w:contextualSpacing/>
        <w:rPr>
          <w:b/>
          <w:bCs/>
          <w:color w:val="000000" w:themeColor="text1"/>
          <w:sz w:val="26"/>
          <w:szCs w:val="26"/>
        </w:rPr>
      </w:pPr>
      <w:r>
        <w:rPr>
          <w:b/>
          <w:bCs/>
          <w:color w:val="000000" w:themeColor="text1"/>
          <w:sz w:val="26"/>
          <w:szCs w:val="26"/>
        </w:rPr>
        <w:t>1</w:t>
      </w:r>
      <w:r w:rsidR="00116E83" w:rsidRPr="00D17C77">
        <w:rPr>
          <w:b/>
          <w:bCs/>
          <w:color w:val="000000" w:themeColor="text1"/>
          <w:sz w:val="26"/>
          <w:szCs w:val="26"/>
        </w:rPr>
        <w:t>.</w:t>
      </w:r>
      <w:r w:rsidR="00116E83" w:rsidRPr="00D17C77">
        <w:rPr>
          <w:b/>
          <w:bCs/>
          <w:color w:val="000000" w:themeColor="text1"/>
          <w:sz w:val="26"/>
          <w:szCs w:val="26"/>
        </w:rPr>
        <w:tab/>
        <w:t>Verizon PA</w:t>
      </w:r>
    </w:p>
    <w:p w14:paraId="7A2ED96B" w14:textId="77777777" w:rsidR="00116E83" w:rsidRPr="00D17C77" w:rsidRDefault="00116E83" w:rsidP="009C4BD6">
      <w:pPr>
        <w:keepNext/>
        <w:keepLines/>
        <w:spacing w:line="360" w:lineRule="auto"/>
        <w:ind w:firstLine="1440"/>
        <w:contextualSpacing/>
        <w:rPr>
          <w:color w:val="000000" w:themeColor="text1"/>
          <w:sz w:val="26"/>
          <w:szCs w:val="26"/>
        </w:rPr>
      </w:pPr>
    </w:p>
    <w:p w14:paraId="7257DE98" w14:textId="77777777" w:rsidR="00CA2808" w:rsidRPr="00D17C77" w:rsidRDefault="00CA2808" w:rsidP="009C4BD6">
      <w:pPr>
        <w:spacing w:line="360" w:lineRule="auto"/>
        <w:ind w:firstLine="1440"/>
        <w:contextualSpacing/>
        <w:rPr>
          <w:color w:val="000000" w:themeColor="text1"/>
          <w:sz w:val="26"/>
          <w:szCs w:val="26"/>
        </w:rPr>
      </w:pPr>
      <w:r w:rsidRPr="00D17C77">
        <w:rPr>
          <w:color w:val="000000" w:themeColor="text1"/>
          <w:sz w:val="26"/>
          <w:szCs w:val="26"/>
        </w:rPr>
        <w:t xml:space="preserve">Verizon PA </w:t>
      </w:r>
      <w:r w:rsidR="003F1ECA" w:rsidRPr="00D17C77">
        <w:rPr>
          <w:color w:val="000000" w:themeColor="text1"/>
          <w:sz w:val="26"/>
          <w:szCs w:val="26"/>
        </w:rPr>
        <w:t xml:space="preserve">explained </w:t>
      </w:r>
      <w:r w:rsidRPr="00D17C77">
        <w:rPr>
          <w:color w:val="000000" w:themeColor="text1"/>
          <w:sz w:val="26"/>
          <w:szCs w:val="26"/>
        </w:rPr>
        <w:t xml:space="preserve">that the rate increases to which the OSBA objects in this proceeding are the </w:t>
      </w:r>
      <w:r w:rsidR="00290EAA" w:rsidRPr="00D17C77">
        <w:rPr>
          <w:color w:val="000000" w:themeColor="text1"/>
          <w:sz w:val="26"/>
          <w:szCs w:val="26"/>
        </w:rPr>
        <w:t xml:space="preserve">proposed </w:t>
      </w:r>
      <w:r w:rsidRPr="00D17C77">
        <w:rPr>
          <w:color w:val="000000" w:themeColor="text1"/>
          <w:sz w:val="26"/>
          <w:szCs w:val="26"/>
        </w:rPr>
        <w:t xml:space="preserve">increases to Verizon PA’s monthly business dial tone line rates for Density Cells 1, 2, and 3.  Verizon PA </w:t>
      </w:r>
      <w:r w:rsidR="003F1ECA" w:rsidRPr="00D17C77">
        <w:rPr>
          <w:color w:val="000000" w:themeColor="text1"/>
          <w:sz w:val="26"/>
          <w:szCs w:val="26"/>
        </w:rPr>
        <w:t>stated</w:t>
      </w:r>
      <w:r w:rsidRPr="00D17C77">
        <w:rPr>
          <w:color w:val="000000" w:themeColor="text1"/>
          <w:sz w:val="26"/>
          <w:szCs w:val="26"/>
        </w:rPr>
        <w:t xml:space="preserve"> that it did not propose an increase to the monthly business dial tone line rate in Density Cell 4, which remains at </w:t>
      </w:r>
      <w:r w:rsidRPr="00D17C77">
        <w:rPr>
          <w:color w:val="000000" w:themeColor="text1"/>
          <w:sz w:val="26"/>
          <w:szCs w:val="26"/>
        </w:rPr>
        <w:lastRenderedPageBreak/>
        <w:t>$22.25 and has been in effect for more than two years.</w:t>
      </w:r>
      <w:r w:rsidR="0019762A" w:rsidRPr="00D17C77">
        <w:rPr>
          <w:rStyle w:val="FootnoteReference"/>
          <w:color w:val="000000" w:themeColor="text1"/>
        </w:rPr>
        <w:footnoteReference w:id="8"/>
      </w:r>
      <w:r w:rsidRPr="00D17C77">
        <w:rPr>
          <w:color w:val="000000" w:themeColor="text1"/>
          <w:sz w:val="26"/>
          <w:szCs w:val="26"/>
        </w:rPr>
        <w:t xml:space="preserve">  Rather, Verizon PA asserted that it made only a modest increase of $0.80 per month in Density Cell 3, to bring it equal to the rate of $22.25 in Density Cell 4.  Verizon PA noted that Density Cells 3 and 4 cover suburban and rural areas and have the largest number of customers for noncompetitive business dial tone line service.  Additionally, Verizon PA argued that although its proposed increases for business dial tone line rates were lar</w:t>
      </w:r>
      <w:r w:rsidR="00846B7A">
        <w:rPr>
          <w:color w:val="000000" w:themeColor="text1"/>
          <w:sz w:val="26"/>
          <w:szCs w:val="26"/>
        </w:rPr>
        <w:t>ger, per-line, in Density Cells </w:t>
      </w:r>
      <w:r w:rsidRPr="00D17C77">
        <w:rPr>
          <w:color w:val="000000" w:themeColor="text1"/>
          <w:sz w:val="26"/>
          <w:szCs w:val="26"/>
        </w:rPr>
        <w:t>1 and 2, the resulting monthly rates are still more than $2 to $4 lower than the rate for the same service in the suburban and rural Density Cells 3 and 4.  Verizon PA pointed out that it has already achieved a common state-wide rate for residential dial tone line service.  As such, Verizon PA argued that it would also be reasonable to try to achieve a common state</w:t>
      </w:r>
      <w:r w:rsidRPr="00D17C77">
        <w:rPr>
          <w:color w:val="000000" w:themeColor="text1"/>
          <w:sz w:val="26"/>
          <w:szCs w:val="26"/>
        </w:rPr>
        <w:noBreakHyphen/>
        <w:t xml:space="preserve">wide rate for business dial tone line service.  </w:t>
      </w:r>
      <w:r w:rsidR="00C674D7" w:rsidRPr="00D17C77">
        <w:rPr>
          <w:color w:val="000000" w:themeColor="text1"/>
          <w:sz w:val="26"/>
          <w:szCs w:val="26"/>
        </w:rPr>
        <w:t>Further, Verizon PA</w:t>
      </w:r>
      <w:r w:rsidRPr="00D17C77">
        <w:rPr>
          <w:color w:val="000000" w:themeColor="text1"/>
          <w:sz w:val="26"/>
          <w:szCs w:val="26"/>
        </w:rPr>
        <w:t xml:space="preserve"> stressed that the OSBA took no issue with the 2018 PCO filing of Verizon PA’s affiliate Verizon North LLC (Verizon North), which was approved by the Commission, and which established a $22.25</w:t>
      </w:r>
      <w:r w:rsidR="00165E3F" w:rsidRPr="00D17C77">
        <w:rPr>
          <w:color w:val="000000" w:themeColor="text1"/>
          <w:sz w:val="26"/>
          <w:szCs w:val="26"/>
        </w:rPr>
        <w:t xml:space="preserve"> monthly</w:t>
      </w:r>
      <w:r w:rsidRPr="00D17C77">
        <w:rPr>
          <w:color w:val="000000" w:themeColor="text1"/>
          <w:sz w:val="26"/>
          <w:szCs w:val="26"/>
        </w:rPr>
        <w:t xml:space="preserve"> rate for the same business dial tone line service in all of its regulated exchanges.  </w:t>
      </w:r>
      <w:r w:rsidRPr="00D17C77">
        <w:rPr>
          <w:i/>
          <w:iCs/>
          <w:color w:val="000000" w:themeColor="text1"/>
          <w:sz w:val="26"/>
          <w:szCs w:val="26"/>
        </w:rPr>
        <w:t>See Verizon North LLC 2018 Price Change Opportunity Filing</w:t>
      </w:r>
      <w:r w:rsidRPr="00D17C77">
        <w:rPr>
          <w:color w:val="000000" w:themeColor="text1"/>
          <w:sz w:val="26"/>
          <w:szCs w:val="26"/>
        </w:rPr>
        <w:t>, Docket No. R-2017-2632498 (Order entered December 21, 2017) (</w:t>
      </w:r>
      <w:r w:rsidRPr="00D17C77">
        <w:rPr>
          <w:i/>
          <w:iCs/>
          <w:color w:val="000000" w:themeColor="text1"/>
          <w:sz w:val="26"/>
          <w:szCs w:val="26"/>
        </w:rPr>
        <w:t>2017 Verizon North Order</w:t>
      </w:r>
      <w:r w:rsidRPr="00D17C77">
        <w:rPr>
          <w:color w:val="000000" w:themeColor="text1"/>
          <w:sz w:val="26"/>
          <w:szCs w:val="26"/>
        </w:rPr>
        <w:t>).  According to Verizon PA, this illustrates that the Commission has found the highest rate Verizon PA is charging for business dial tone line service to be just and reasonable.  Verizon PA M.B. at 4, 13.</w:t>
      </w:r>
    </w:p>
    <w:p w14:paraId="30036FD2" w14:textId="77777777" w:rsidR="00CA2808" w:rsidRPr="00D17C77" w:rsidRDefault="00CA2808" w:rsidP="009C4BD6">
      <w:pPr>
        <w:spacing w:line="360" w:lineRule="auto"/>
        <w:ind w:firstLine="1440"/>
        <w:contextualSpacing/>
        <w:rPr>
          <w:color w:val="000000" w:themeColor="text1"/>
          <w:sz w:val="26"/>
          <w:szCs w:val="26"/>
        </w:rPr>
      </w:pPr>
    </w:p>
    <w:p w14:paraId="0EE595D9" w14:textId="77777777" w:rsidR="00CA2808" w:rsidRPr="00D17C77" w:rsidRDefault="00CA2808" w:rsidP="009C4BD6">
      <w:pPr>
        <w:spacing w:line="360" w:lineRule="auto"/>
        <w:ind w:firstLine="1440"/>
        <w:contextualSpacing/>
        <w:rPr>
          <w:color w:val="000000" w:themeColor="text1"/>
          <w:sz w:val="26"/>
          <w:szCs w:val="26"/>
        </w:rPr>
      </w:pPr>
      <w:r w:rsidRPr="00D17C77">
        <w:rPr>
          <w:color w:val="000000" w:themeColor="text1"/>
          <w:sz w:val="26"/>
          <w:szCs w:val="26"/>
        </w:rPr>
        <w:t xml:space="preserve">Verizon PA submitted that the OSBA has failed to provide specific evidence to demonstrate that Verizon PA’s proposed rate increases violate the applicable </w:t>
      </w:r>
      <w:r w:rsidRPr="00D17C77">
        <w:rPr>
          <w:color w:val="000000" w:themeColor="text1"/>
          <w:sz w:val="26"/>
          <w:szCs w:val="26"/>
        </w:rPr>
        <w:lastRenderedPageBreak/>
        <w:t xml:space="preserve">law or Verizon PA’s Chapter 30 Plan.  Rather, Verizon PA argued that the OSBA made only vague and hypothetical arguments in </w:t>
      </w:r>
      <w:r w:rsidR="000F53E6" w:rsidRPr="00D17C77">
        <w:rPr>
          <w:color w:val="000000" w:themeColor="text1"/>
          <w:sz w:val="26"/>
          <w:szCs w:val="26"/>
        </w:rPr>
        <w:t xml:space="preserve">an </w:t>
      </w:r>
      <w:r w:rsidRPr="00D17C77">
        <w:rPr>
          <w:color w:val="000000" w:themeColor="text1"/>
          <w:sz w:val="26"/>
          <w:szCs w:val="26"/>
        </w:rPr>
        <w:t>attempt to remedy what it views as an unfair disparity between business and residential service rates.  Verizon PA explained that pursuant to 66 Pa.</w:t>
      </w:r>
      <w:r w:rsidR="00846B7A">
        <w:rPr>
          <w:color w:val="000000" w:themeColor="text1"/>
          <w:sz w:val="26"/>
          <w:szCs w:val="26"/>
        </w:rPr>
        <w:t xml:space="preserve"> </w:t>
      </w:r>
      <w:r w:rsidRPr="00D17C77">
        <w:rPr>
          <w:color w:val="000000" w:themeColor="text1"/>
          <w:sz w:val="26"/>
          <w:szCs w:val="26"/>
        </w:rPr>
        <w:t xml:space="preserve">C.S. § 3015(a)(3), </w:t>
      </w:r>
      <w:r w:rsidRPr="00D17C77">
        <w:rPr>
          <w:i/>
          <w:iCs/>
          <w:color w:val="000000" w:themeColor="text1"/>
          <w:sz w:val="26"/>
          <w:szCs w:val="26"/>
        </w:rPr>
        <w:t>supra,</w:t>
      </w:r>
      <w:r w:rsidRPr="00D17C77">
        <w:rPr>
          <w:color w:val="000000" w:themeColor="text1"/>
          <w:sz w:val="26"/>
          <w:szCs w:val="26"/>
        </w:rPr>
        <w:t xml:space="preserve"> there is a statutorily mandated cap on the amount by which it is permitted to increase its residential dial tone line rates.  Verizon PA assert</w:t>
      </w:r>
      <w:r w:rsidR="00E65B34" w:rsidRPr="00D17C77">
        <w:rPr>
          <w:color w:val="000000" w:themeColor="text1"/>
          <w:sz w:val="26"/>
          <w:szCs w:val="26"/>
        </w:rPr>
        <w:t>ed</w:t>
      </w:r>
      <w:r w:rsidRPr="00D17C77">
        <w:rPr>
          <w:color w:val="000000" w:themeColor="text1"/>
          <w:sz w:val="26"/>
          <w:szCs w:val="26"/>
        </w:rPr>
        <w:t xml:space="preserve"> that in the instant filing, it complied with this mandate by only raising its residential dial tone line rates by the maximum per-line increase for this filing of $0.20 per month, as allowed under the Code.  However, Verizon PA refuted the OSBA’s argument, </w:t>
      </w:r>
      <w:r w:rsidRPr="00D17C77">
        <w:rPr>
          <w:i/>
          <w:iCs/>
          <w:color w:val="000000" w:themeColor="text1"/>
          <w:sz w:val="26"/>
          <w:szCs w:val="26"/>
        </w:rPr>
        <w:t>infra</w:t>
      </w:r>
      <w:r w:rsidRPr="00D17C77">
        <w:rPr>
          <w:color w:val="000000" w:themeColor="text1"/>
          <w:sz w:val="26"/>
          <w:szCs w:val="26"/>
        </w:rPr>
        <w:t>, that Verizon PA’s business dial tone line rate increase should be limited by a level tied to its residential rates.  Verizon PA asserted that</w:t>
      </w:r>
      <w:r w:rsidR="000F53E6" w:rsidRPr="00D17C77">
        <w:rPr>
          <w:color w:val="000000" w:themeColor="text1"/>
          <w:sz w:val="26"/>
          <w:szCs w:val="26"/>
        </w:rPr>
        <w:t>,</w:t>
      </w:r>
      <w:r w:rsidRPr="00D17C77">
        <w:rPr>
          <w:color w:val="000000" w:themeColor="text1"/>
          <w:sz w:val="26"/>
          <w:szCs w:val="26"/>
        </w:rPr>
        <w:t xml:space="preserve"> although there is a statutorily mandated cap on increases to Verizon PA’s residential dial tone line rates, no such cap exists for increases to Verizon PA’s business dial tone line rates.  According to Verizon PA, the OSBA’s argument would effectively create a business rate cap and thwart the intent of the Pennsylvania Legislature.  Verizon PA M.B. at 7-8.</w:t>
      </w:r>
    </w:p>
    <w:p w14:paraId="18B24F0C" w14:textId="77777777" w:rsidR="00CA2808" w:rsidRPr="00D17C77" w:rsidRDefault="00CA2808" w:rsidP="009C4BD6">
      <w:pPr>
        <w:spacing w:line="360" w:lineRule="auto"/>
        <w:ind w:firstLine="1440"/>
        <w:contextualSpacing/>
        <w:rPr>
          <w:color w:val="000000" w:themeColor="text1"/>
          <w:sz w:val="26"/>
          <w:szCs w:val="26"/>
        </w:rPr>
      </w:pPr>
    </w:p>
    <w:p w14:paraId="0B8F2F18" w14:textId="77777777" w:rsidR="00CA2808" w:rsidRPr="00D17C77" w:rsidRDefault="00CA2808" w:rsidP="009C4BD6">
      <w:pPr>
        <w:spacing w:line="360" w:lineRule="auto"/>
        <w:ind w:firstLine="1440"/>
        <w:contextualSpacing/>
        <w:rPr>
          <w:color w:val="000000" w:themeColor="text1"/>
          <w:sz w:val="26"/>
          <w:szCs w:val="26"/>
        </w:rPr>
      </w:pPr>
      <w:r w:rsidRPr="00D17C77">
        <w:rPr>
          <w:color w:val="000000" w:themeColor="text1"/>
          <w:sz w:val="26"/>
          <w:szCs w:val="26"/>
        </w:rPr>
        <w:t xml:space="preserve">Verizon PA </w:t>
      </w:r>
      <w:r w:rsidR="003A080A" w:rsidRPr="00D17C77">
        <w:rPr>
          <w:color w:val="000000" w:themeColor="text1"/>
          <w:sz w:val="26"/>
          <w:szCs w:val="26"/>
        </w:rPr>
        <w:t>argued</w:t>
      </w:r>
      <w:r w:rsidRPr="00D17C77">
        <w:rPr>
          <w:color w:val="000000" w:themeColor="text1"/>
          <w:sz w:val="26"/>
          <w:szCs w:val="26"/>
        </w:rPr>
        <w:t xml:space="preserve"> that the OSBA previously sought a cap on business rates based on language that was in the Chapter 30 Plan Verizon PA had in effect prior to the passage of Act 183 of 2004.  </w:t>
      </w:r>
      <w:r w:rsidRPr="00D17C77">
        <w:rPr>
          <w:i/>
          <w:iCs/>
          <w:color w:val="000000" w:themeColor="text1"/>
          <w:sz w:val="26"/>
          <w:szCs w:val="26"/>
        </w:rPr>
        <w:t>See</w:t>
      </w:r>
      <w:r w:rsidRPr="00D17C77">
        <w:rPr>
          <w:color w:val="000000" w:themeColor="text1"/>
          <w:sz w:val="26"/>
          <w:szCs w:val="26"/>
        </w:rPr>
        <w:t xml:space="preserve"> </w:t>
      </w:r>
      <w:bookmarkStart w:id="3" w:name="_Hlk23507296"/>
      <w:r w:rsidRPr="00D17C77">
        <w:rPr>
          <w:i/>
          <w:iCs/>
          <w:color w:val="000000" w:themeColor="text1"/>
          <w:sz w:val="26"/>
          <w:szCs w:val="26"/>
        </w:rPr>
        <w:t>Pennsylvania Public Utility Commission, et al</w:t>
      </w:r>
      <w:r w:rsidR="00A73C9B" w:rsidRPr="00D17C77">
        <w:rPr>
          <w:i/>
          <w:iCs/>
          <w:color w:val="000000" w:themeColor="text1"/>
          <w:sz w:val="26"/>
          <w:szCs w:val="26"/>
        </w:rPr>
        <w:t>.</w:t>
      </w:r>
      <w:r w:rsidRPr="00D17C77">
        <w:rPr>
          <w:i/>
          <w:iCs/>
          <w:color w:val="000000" w:themeColor="text1"/>
          <w:sz w:val="26"/>
          <w:szCs w:val="26"/>
        </w:rPr>
        <w:t xml:space="preserve"> v Verizon Pennsylvania Inc</w:t>
      </w:r>
      <w:r w:rsidRPr="00D17C77">
        <w:rPr>
          <w:color w:val="000000" w:themeColor="text1"/>
          <w:sz w:val="26"/>
          <w:szCs w:val="26"/>
        </w:rPr>
        <w:t xml:space="preserve">., </w:t>
      </w:r>
      <w:r w:rsidR="00A73C9B" w:rsidRPr="00D17C77">
        <w:rPr>
          <w:i/>
          <w:iCs/>
          <w:color w:val="000000" w:themeColor="text1"/>
          <w:sz w:val="26"/>
          <w:szCs w:val="26"/>
        </w:rPr>
        <w:t>et</w:t>
      </w:r>
      <w:r w:rsidRPr="00D17C77">
        <w:rPr>
          <w:i/>
          <w:iCs/>
          <w:color w:val="000000" w:themeColor="text1"/>
          <w:sz w:val="26"/>
          <w:szCs w:val="26"/>
        </w:rPr>
        <w:t xml:space="preserve"> al</w:t>
      </w:r>
      <w:r w:rsidR="00A73C9B" w:rsidRPr="00D17C77">
        <w:rPr>
          <w:i/>
          <w:iCs/>
          <w:color w:val="000000" w:themeColor="text1"/>
          <w:sz w:val="26"/>
          <w:szCs w:val="26"/>
        </w:rPr>
        <w:t>.</w:t>
      </w:r>
      <w:r w:rsidRPr="00D17C77">
        <w:rPr>
          <w:color w:val="000000" w:themeColor="text1"/>
          <w:sz w:val="26"/>
          <w:szCs w:val="26"/>
        </w:rPr>
        <w:t xml:space="preserve">, Docket No. R-00051228, </w:t>
      </w:r>
      <w:r w:rsidRPr="00D17C77">
        <w:rPr>
          <w:i/>
          <w:iCs/>
          <w:color w:val="000000" w:themeColor="text1"/>
          <w:sz w:val="26"/>
          <w:szCs w:val="26"/>
        </w:rPr>
        <w:t>et al</w:t>
      </w:r>
      <w:r w:rsidR="00A73C9B" w:rsidRPr="00D17C77">
        <w:rPr>
          <w:i/>
          <w:iCs/>
          <w:color w:val="000000" w:themeColor="text1"/>
          <w:sz w:val="26"/>
          <w:szCs w:val="26"/>
        </w:rPr>
        <w:t>.</w:t>
      </w:r>
      <w:r w:rsidRPr="00D17C77">
        <w:rPr>
          <w:i/>
          <w:iCs/>
          <w:color w:val="000000" w:themeColor="text1"/>
          <w:sz w:val="26"/>
          <w:szCs w:val="26"/>
        </w:rPr>
        <w:t xml:space="preserve"> </w:t>
      </w:r>
      <w:r w:rsidR="00846B7A">
        <w:rPr>
          <w:color w:val="000000" w:themeColor="text1"/>
          <w:sz w:val="26"/>
          <w:szCs w:val="26"/>
        </w:rPr>
        <w:t>(Order entered March </w:t>
      </w:r>
      <w:r w:rsidRPr="00D17C77">
        <w:rPr>
          <w:color w:val="000000" w:themeColor="text1"/>
          <w:sz w:val="26"/>
          <w:szCs w:val="26"/>
        </w:rPr>
        <w:t>22, 2007)</w:t>
      </w:r>
      <w:r w:rsidR="00BA409F" w:rsidRPr="00D17C77">
        <w:rPr>
          <w:color w:val="000000" w:themeColor="text1"/>
          <w:sz w:val="26"/>
          <w:szCs w:val="26"/>
        </w:rPr>
        <w:t xml:space="preserve"> </w:t>
      </w:r>
      <w:r w:rsidR="00A25D8E" w:rsidRPr="00D17C77">
        <w:rPr>
          <w:color w:val="000000" w:themeColor="text1"/>
          <w:sz w:val="26"/>
          <w:szCs w:val="26"/>
        </w:rPr>
        <w:t>(</w:t>
      </w:r>
      <w:r w:rsidR="00A25D8E" w:rsidRPr="00D17C77">
        <w:rPr>
          <w:i/>
          <w:iCs/>
          <w:color w:val="000000" w:themeColor="text1"/>
          <w:sz w:val="26"/>
          <w:szCs w:val="26"/>
        </w:rPr>
        <w:t>2006 Verizon PCO Proceeding</w:t>
      </w:r>
      <w:r w:rsidR="00A25D8E" w:rsidRPr="00D17C77">
        <w:rPr>
          <w:color w:val="000000" w:themeColor="text1"/>
          <w:sz w:val="26"/>
          <w:szCs w:val="26"/>
        </w:rPr>
        <w:t>)</w:t>
      </w:r>
      <w:r w:rsidR="00BA409F" w:rsidRPr="00D17C77">
        <w:rPr>
          <w:color w:val="000000" w:themeColor="text1"/>
          <w:sz w:val="26"/>
          <w:szCs w:val="26"/>
        </w:rPr>
        <w:t xml:space="preserve"> </w:t>
      </w:r>
      <w:r w:rsidRPr="00D17C77">
        <w:rPr>
          <w:color w:val="000000" w:themeColor="text1"/>
          <w:sz w:val="26"/>
          <w:szCs w:val="26"/>
        </w:rPr>
        <w:t>(</w:t>
      </w:r>
      <w:r w:rsidRPr="00D17C77">
        <w:rPr>
          <w:i/>
          <w:iCs/>
          <w:color w:val="000000" w:themeColor="text1"/>
          <w:sz w:val="26"/>
          <w:szCs w:val="26"/>
        </w:rPr>
        <w:t>March 2007 Order</w:t>
      </w:r>
      <w:r w:rsidRPr="00D17C77">
        <w:rPr>
          <w:color w:val="000000" w:themeColor="text1"/>
          <w:sz w:val="26"/>
          <w:szCs w:val="26"/>
        </w:rPr>
        <w:t>)</w:t>
      </w:r>
      <w:bookmarkEnd w:id="3"/>
      <w:r w:rsidRPr="00D17C77">
        <w:rPr>
          <w:color w:val="000000" w:themeColor="text1"/>
          <w:sz w:val="26"/>
          <w:szCs w:val="26"/>
        </w:rPr>
        <w:t xml:space="preserve">.  However, Verizon PA noted that </w:t>
      </w:r>
      <w:r w:rsidR="000F53E6" w:rsidRPr="00D17C77">
        <w:rPr>
          <w:color w:val="000000" w:themeColor="text1"/>
          <w:sz w:val="26"/>
          <w:szCs w:val="26"/>
        </w:rPr>
        <w:t>the Commission</w:t>
      </w:r>
      <w:r w:rsidRPr="00D17C77">
        <w:rPr>
          <w:color w:val="000000" w:themeColor="text1"/>
          <w:sz w:val="26"/>
          <w:szCs w:val="26"/>
        </w:rPr>
        <w:t xml:space="preserve"> rejected the arguments of the OSBA, finding that the language in Verizon PA’s then existing Chapter 30 Plan was no longer in effect and that there was, therefore, no reason to direct Verizon PA to limit its increases on business rates.  Verizon PA M.B. at 8-9 (citing </w:t>
      </w:r>
      <w:r w:rsidRPr="00D17C77">
        <w:rPr>
          <w:i/>
          <w:iCs/>
          <w:color w:val="000000" w:themeColor="text1"/>
          <w:sz w:val="26"/>
          <w:szCs w:val="26"/>
        </w:rPr>
        <w:t xml:space="preserve">March 2007 Order </w:t>
      </w:r>
      <w:r w:rsidRPr="00D17C77">
        <w:rPr>
          <w:color w:val="000000" w:themeColor="text1"/>
          <w:sz w:val="26"/>
          <w:szCs w:val="26"/>
        </w:rPr>
        <w:t xml:space="preserve">at 36).  According to Verizon PA, although there is no explicit cap on the rates for noncompetitive business services, Chapter 30 nonetheless contains general protections that are designed to control increases in these rates.  More specifically, Verizon PA argues that, </w:t>
      </w:r>
      <w:r w:rsidRPr="00D17C77">
        <w:rPr>
          <w:i/>
          <w:iCs/>
          <w:color w:val="000000" w:themeColor="text1"/>
          <w:sz w:val="26"/>
          <w:szCs w:val="26"/>
        </w:rPr>
        <w:t xml:space="preserve">inter alia, </w:t>
      </w:r>
      <w:r w:rsidR="00846B7A">
        <w:rPr>
          <w:color w:val="000000" w:themeColor="text1"/>
          <w:sz w:val="26"/>
          <w:szCs w:val="26"/>
        </w:rPr>
        <w:t>Chapter 30: (1) </w:t>
      </w:r>
      <w:r w:rsidRPr="00D17C77">
        <w:rPr>
          <w:color w:val="000000" w:themeColor="text1"/>
          <w:sz w:val="26"/>
          <w:szCs w:val="26"/>
        </w:rPr>
        <w:t xml:space="preserve">limits Verizon PA’s total noncompetitive revenue increases each year based on a formula tied to the rate of inflation less an inflationary offset; (2) relies on competitive </w:t>
      </w:r>
      <w:r w:rsidRPr="00D17C77">
        <w:rPr>
          <w:color w:val="000000" w:themeColor="text1"/>
          <w:sz w:val="26"/>
          <w:szCs w:val="26"/>
        </w:rPr>
        <w:lastRenderedPageBreak/>
        <w:t>pressures to control rates; and (3) explicitly states that rates must be just and reasonable in accordance with Section 1301 of the Code and thereby preserves the Commission’s authority to review individual rates on a case</w:t>
      </w:r>
      <w:r w:rsidR="00FC7FFB" w:rsidRPr="00D17C77">
        <w:rPr>
          <w:color w:val="000000" w:themeColor="text1"/>
          <w:sz w:val="26"/>
          <w:szCs w:val="26"/>
        </w:rPr>
        <w:noBreakHyphen/>
      </w:r>
      <w:r w:rsidRPr="00D17C77">
        <w:rPr>
          <w:color w:val="000000" w:themeColor="text1"/>
          <w:sz w:val="26"/>
          <w:szCs w:val="26"/>
        </w:rPr>
        <w:t>by</w:t>
      </w:r>
      <w:r w:rsidR="00FC7FFB" w:rsidRPr="00D17C77">
        <w:rPr>
          <w:color w:val="000000" w:themeColor="text1"/>
          <w:sz w:val="26"/>
          <w:szCs w:val="26"/>
        </w:rPr>
        <w:noBreakHyphen/>
      </w:r>
      <w:r w:rsidRPr="00D17C77">
        <w:rPr>
          <w:color w:val="000000" w:themeColor="text1"/>
          <w:sz w:val="26"/>
          <w:szCs w:val="26"/>
        </w:rPr>
        <w:t xml:space="preserve">case basis.  Verizon PA M.B. at 9-11. </w:t>
      </w:r>
    </w:p>
    <w:p w14:paraId="0F0E53E2" w14:textId="77777777" w:rsidR="00CA2808" w:rsidRPr="00D17C77" w:rsidRDefault="00CA2808" w:rsidP="009C4BD6">
      <w:pPr>
        <w:spacing w:line="360" w:lineRule="auto"/>
        <w:ind w:firstLine="1440"/>
        <w:contextualSpacing/>
        <w:rPr>
          <w:color w:val="000000" w:themeColor="text1"/>
          <w:sz w:val="26"/>
          <w:szCs w:val="26"/>
        </w:rPr>
      </w:pPr>
    </w:p>
    <w:p w14:paraId="33B4C65D" w14:textId="77777777" w:rsidR="00CA2808" w:rsidRPr="00D17C77" w:rsidRDefault="00CA2808" w:rsidP="009C4BD6">
      <w:pPr>
        <w:spacing w:line="360" w:lineRule="auto"/>
        <w:ind w:firstLine="1440"/>
        <w:contextualSpacing/>
        <w:rPr>
          <w:color w:val="000000" w:themeColor="text1"/>
          <w:sz w:val="26"/>
          <w:szCs w:val="26"/>
        </w:rPr>
      </w:pPr>
      <w:r w:rsidRPr="00D17C77">
        <w:rPr>
          <w:color w:val="000000" w:themeColor="text1"/>
          <w:sz w:val="26"/>
          <w:szCs w:val="26"/>
        </w:rPr>
        <w:t xml:space="preserve">Verizon PA also claimed that the fact that business rates are generally higher than residential rates is not a new concept and is not, by definition, unreasonable.  Verizon PA submitted that this is evidenced by the fact that the Commission has approved these rates over the years despite this disparity.  In addition, Verizon PA asserted that it designed its 2018 PCO reasonably and made efforts, within the constraints allowed by Chapter 30 and its Chapter 30 Plan, to minimize the impact on business rates.  In this regard, Verizon PA noted that it did not increase any business rates in its 2017 PCO filing, which afforded its business customers two years of rate stability prior to the filing of its 2018 PCO.  Verizon PA also argued that it only allocated $411,900 of the total $934,700 it proposed to implement under its 2018 PCO </w:t>
      </w:r>
      <w:r w:rsidR="00211B12" w:rsidRPr="00D17C77">
        <w:rPr>
          <w:color w:val="000000" w:themeColor="text1"/>
          <w:sz w:val="26"/>
          <w:szCs w:val="26"/>
        </w:rPr>
        <w:t>F</w:t>
      </w:r>
      <w:r w:rsidRPr="00D17C77">
        <w:rPr>
          <w:color w:val="000000" w:themeColor="text1"/>
          <w:sz w:val="26"/>
          <w:szCs w:val="26"/>
        </w:rPr>
        <w:t>iling to increases to business dial tone line rates.  Further, Verizon PA restated that it did not propose to increase the dial tone line rate in Density Cell 4.  As such, Verizon PA argued that the OSBA’s Complaint should be dismissed.  Verizon PA M.B. at 14-20.</w:t>
      </w:r>
    </w:p>
    <w:p w14:paraId="392ABFA4" w14:textId="77777777" w:rsidR="00116E83" w:rsidRPr="00D17C77" w:rsidRDefault="00116E83" w:rsidP="009C4BD6">
      <w:pPr>
        <w:spacing w:line="360" w:lineRule="auto"/>
        <w:ind w:firstLine="1440"/>
        <w:contextualSpacing/>
        <w:rPr>
          <w:color w:val="000000" w:themeColor="text1"/>
          <w:sz w:val="26"/>
          <w:szCs w:val="26"/>
        </w:rPr>
      </w:pPr>
    </w:p>
    <w:p w14:paraId="3806D8F6" w14:textId="3B5B8447" w:rsidR="00116E83" w:rsidRPr="00D17C77" w:rsidRDefault="004C6FDA" w:rsidP="00846B7A">
      <w:pPr>
        <w:keepNext/>
        <w:keepLines/>
        <w:spacing w:line="360" w:lineRule="auto"/>
        <w:ind w:firstLine="720"/>
        <w:contextualSpacing/>
        <w:rPr>
          <w:b/>
          <w:bCs/>
          <w:color w:val="000000" w:themeColor="text1"/>
          <w:sz w:val="26"/>
          <w:szCs w:val="26"/>
        </w:rPr>
      </w:pPr>
      <w:r>
        <w:rPr>
          <w:b/>
          <w:bCs/>
          <w:color w:val="000000" w:themeColor="text1"/>
          <w:sz w:val="26"/>
          <w:szCs w:val="26"/>
        </w:rPr>
        <w:t>2</w:t>
      </w:r>
      <w:r w:rsidR="00116E83" w:rsidRPr="00D17C77">
        <w:rPr>
          <w:b/>
          <w:bCs/>
          <w:color w:val="000000" w:themeColor="text1"/>
          <w:sz w:val="26"/>
          <w:szCs w:val="26"/>
        </w:rPr>
        <w:t>.</w:t>
      </w:r>
      <w:r w:rsidR="00116E83" w:rsidRPr="00D17C77">
        <w:rPr>
          <w:b/>
          <w:bCs/>
          <w:color w:val="000000" w:themeColor="text1"/>
          <w:sz w:val="26"/>
          <w:szCs w:val="26"/>
        </w:rPr>
        <w:tab/>
        <w:t>The OSBA</w:t>
      </w:r>
    </w:p>
    <w:p w14:paraId="79BE1BCC" w14:textId="77777777" w:rsidR="00116E83" w:rsidRPr="00D17C77" w:rsidRDefault="00116E83" w:rsidP="009E1F7E">
      <w:pPr>
        <w:keepNext/>
        <w:keepLines/>
        <w:spacing w:line="360" w:lineRule="auto"/>
        <w:ind w:firstLine="1440"/>
        <w:contextualSpacing/>
        <w:rPr>
          <w:color w:val="000000" w:themeColor="text1"/>
          <w:sz w:val="26"/>
          <w:szCs w:val="26"/>
        </w:rPr>
      </w:pPr>
    </w:p>
    <w:p w14:paraId="0D3D576D" w14:textId="77777777" w:rsidR="00B620CC" w:rsidRPr="00D17C77" w:rsidRDefault="00DC43FC" w:rsidP="009C4BD6">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 xml:space="preserve">The OSBA argued that although Verizon PA’s annual PCO filings are a complete substitution for rate base, rate of return regulation, such filings represent a price change </w:t>
      </w:r>
      <w:r w:rsidRPr="00D17C77">
        <w:rPr>
          <w:rFonts w:eastAsia="Calibri"/>
          <w:i/>
          <w:iCs/>
          <w:color w:val="000000" w:themeColor="text1"/>
          <w:sz w:val="26"/>
          <w:szCs w:val="26"/>
        </w:rPr>
        <w:t>opportunity</w:t>
      </w:r>
      <w:r w:rsidRPr="00D17C77">
        <w:rPr>
          <w:rFonts w:eastAsia="Calibri"/>
          <w:color w:val="000000" w:themeColor="text1"/>
          <w:sz w:val="26"/>
          <w:szCs w:val="26"/>
        </w:rPr>
        <w:t xml:space="preserve">, and not an automatic, guaranteed stream of ever increasing revenues.  In this regard, the OSBA submitted that the proposed rate increases in any PCO filing must still withstand Commission scrutiny.  According to the OSBA, the mathematics and methodology underlying annual Verizon PA PCO filings do not preempt the statutory requirements of Section 1301, Section 1304, and Section 3019(e) </w:t>
      </w:r>
      <w:r w:rsidR="00B620CC" w:rsidRPr="00D17C77">
        <w:rPr>
          <w:rFonts w:eastAsia="Calibri"/>
          <w:color w:val="000000" w:themeColor="text1"/>
          <w:sz w:val="26"/>
          <w:szCs w:val="26"/>
        </w:rPr>
        <w:t xml:space="preserve">of the Code </w:t>
      </w:r>
      <w:r w:rsidRPr="00D17C77">
        <w:rPr>
          <w:rFonts w:eastAsia="Calibri"/>
          <w:color w:val="000000" w:themeColor="text1"/>
          <w:sz w:val="26"/>
          <w:szCs w:val="26"/>
        </w:rPr>
        <w:t xml:space="preserve">that noncompetitive business rate increases must be just, reasonable, non-discriminatory, and must not grant an unreasonable preference.  Applying this </w:t>
      </w:r>
      <w:r w:rsidR="00B620CC" w:rsidRPr="00D17C77">
        <w:rPr>
          <w:rFonts w:eastAsia="Calibri"/>
          <w:color w:val="000000" w:themeColor="text1"/>
          <w:sz w:val="26"/>
          <w:szCs w:val="26"/>
        </w:rPr>
        <w:t xml:space="preserve">principle </w:t>
      </w:r>
      <w:r w:rsidRPr="00D17C77">
        <w:rPr>
          <w:rFonts w:eastAsia="Calibri"/>
          <w:color w:val="000000" w:themeColor="text1"/>
          <w:sz w:val="26"/>
          <w:szCs w:val="26"/>
        </w:rPr>
        <w:t xml:space="preserve">to the instant </w:t>
      </w:r>
      <w:r w:rsidRPr="00D17C77">
        <w:rPr>
          <w:rFonts w:eastAsia="Calibri"/>
          <w:color w:val="000000" w:themeColor="text1"/>
          <w:sz w:val="26"/>
          <w:szCs w:val="26"/>
        </w:rPr>
        <w:lastRenderedPageBreak/>
        <w:t xml:space="preserve">proceeding, the OSBA took the position that Verizon PA’s proposed increases to its noncompetitive business rates, when compared to its proposed residential rate increases, represent the textbook definition of an unreasonable preference.  </w:t>
      </w:r>
    </w:p>
    <w:p w14:paraId="054F9CE2" w14:textId="77777777" w:rsidR="00B620CC" w:rsidRPr="00D17C77" w:rsidRDefault="00B620CC" w:rsidP="009C4BD6">
      <w:pPr>
        <w:spacing w:after="200" w:line="360" w:lineRule="auto"/>
        <w:ind w:firstLine="1440"/>
        <w:contextualSpacing/>
        <w:rPr>
          <w:rFonts w:eastAsia="Calibri"/>
          <w:color w:val="000000" w:themeColor="text1"/>
          <w:sz w:val="26"/>
          <w:szCs w:val="26"/>
        </w:rPr>
      </w:pPr>
    </w:p>
    <w:p w14:paraId="5A424AFD" w14:textId="09C1E74B" w:rsidR="00DC43FC" w:rsidRPr="00D17C77" w:rsidRDefault="00DC43FC" w:rsidP="009C4BD6">
      <w:pPr>
        <w:spacing w:after="200" w:line="360" w:lineRule="auto"/>
        <w:ind w:firstLine="1440"/>
        <w:contextualSpacing/>
        <w:rPr>
          <w:color w:val="000000" w:themeColor="text1"/>
          <w:sz w:val="26"/>
          <w:szCs w:val="26"/>
        </w:rPr>
      </w:pPr>
      <w:r w:rsidRPr="00D17C77">
        <w:rPr>
          <w:rFonts w:eastAsia="Calibri"/>
          <w:color w:val="000000" w:themeColor="text1"/>
          <w:sz w:val="26"/>
          <w:szCs w:val="26"/>
        </w:rPr>
        <w:t xml:space="preserve">Namely, </w:t>
      </w:r>
      <w:r w:rsidR="00F85367" w:rsidRPr="00D17C77">
        <w:rPr>
          <w:rFonts w:eastAsia="Calibri"/>
          <w:color w:val="000000" w:themeColor="text1"/>
          <w:sz w:val="26"/>
          <w:szCs w:val="26"/>
        </w:rPr>
        <w:t>the OSB</w:t>
      </w:r>
      <w:r w:rsidR="00800EB6" w:rsidRPr="00D17C77">
        <w:rPr>
          <w:rFonts w:eastAsia="Calibri"/>
          <w:color w:val="000000" w:themeColor="text1"/>
          <w:sz w:val="26"/>
          <w:szCs w:val="26"/>
        </w:rPr>
        <w:t>A</w:t>
      </w:r>
      <w:r w:rsidRPr="00D17C77">
        <w:rPr>
          <w:rFonts w:eastAsia="Calibri"/>
          <w:color w:val="000000" w:themeColor="text1"/>
          <w:sz w:val="26"/>
          <w:szCs w:val="26"/>
        </w:rPr>
        <w:t xml:space="preserve"> pointed out that while Verizon PA proposed to increase noncompetitive rates for residential dial tone lines by $0.20 per month for all Density Cells, Verizon PA proposed </w:t>
      </w:r>
      <w:r w:rsidRPr="00D17C77">
        <w:rPr>
          <w:color w:val="000000" w:themeColor="text1"/>
          <w:sz w:val="26"/>
          <w:szCs w:val="26"/>
        </w:rPr>
        <w:t xml:space="preserve">much larger monthly increases of </w:t>
      </w:r>
      <w:r w:rsidR="00B159AD" w:rsidRPr="00D17C77">
        <w:rPr>
          <w:color w:val="000000" w:themeColor="text1"/>
          <w:sz w:val="26"/>
          <w:szCs w:val="26"/>
        </w:rPr>
        <w:t xml:space="preserve">$2.55 </w:t>
      </w:r>
      <w:r w:rsidR="00CE2E8B" w:rsidRPr="00D17C77">
        <w:rPr>
          <w:color w:val="000000" w:themeColor="text1"/>
          <w:sz w:val="26"/>
          <w:szCs w:val="26"/>
        </w:rPr>
        <w:t xml:space="preserve">in </w:t>
      </w:r>
      <w:r w:rsidRPr="00D17C77">
        <w:rPr>
          <w:color w:val="000000" w:themeColor="text1"/>
          <w:sz w:val="26"/>
          <w:szCs w:val="26"/>
        </w:rPr>
        <w:t xml:space="preserve">Density Cell 1, $2.45 </w:t>
      </w:r>
      <w:r w:rsidR="00CE2E8B" w:rsidRPr="00D17C77">
        <w:rPr>
          <w:color w:val="000000" w:themeColor="text1"/>
          <w:sz w:val="26"/>
          <w:szCs w:val="26"/>
        </w:rPr>
        <w:t xml:space="preserve">in </w:t>
      </w:r>
      <w:r w:rsidRPr="00D17C77">
        <w:rPr>
          <w:color w:val="000000" w:themeColor="text1"/>
          <w:sz w:val="26"/>
          <w:szCs w:val="26"/>
        </w:rPr>
        <w:t xml:space="preserve">Density Cell 2, </w:t>
      </w:r>
      <w:r w:rsidR="00CE2E8B" w:rsidRPr="00D17C77">
        <w:rPr>
          <w:color w:val="000000" w:themeColor="text1"/>
          <w:sz w:val="26"/>
          <w:szCs w:val="26"/>
        </w:rPr>
        <w:t>and</w:t>
      </w:r>
      <w:r w:rsidRPr="00D17C77">
        <w:rPr>
          <w:color w:val="000000" w:themeColor="text1"/>
          <w:sz w:val="26"/>
          <w:szCs w:val="26"/>
        </w:rPr>
        <w:t xml:space="preserve"> </w:t>
      </w:r>
      <w:r w:rsidR="00B159AD" w:rsidRPr="00D17C77">
        <w:rPr>
          <w:color w:val="000000" w:themeColor="text1"/>
          <w:sz w:val="26"/>
          <w:szCs w:val="26"/>
        </w:rPr>
        <w:t>$0.80</w:t>
      </w:r>
      <w:r w:rsidRPr="00D17C77">
        <w:rPr>
          <w:color w:val="000000" w:themeColor="text1"/>
          <w:sz w:val="26"/>
          <w:szCs w:val="26"/>
        </w:rPr>
        <w:t xml:space="preserve"> </w:t>
      </w:r>
      <w:r w:rsidR="00CE2E8B" w:rsidRPr="00D17C77">
        <w:rPr>
          <w:color w:val="000000" w:themeColor="text1"/>
          <w:sz w:val="26"/>
          <w:szCs w:val="26"/>
        </w:rPr>
        <w:t xml:space="preserve">in </w:t>
      </w:r>
      <w:r w:rsidRPr="00D17C77">
        <w:rPr>
          <w:color w:val="000000" w:themeColor="text1"/>
          <w:sz w:val="26"/>
          <w:szCs w:val="26"/>
        </w:rPr>
        <w:t xml:space="preserve">Density Cell 3.  The OSBA </w:t>
      </w:r>
      <w:r w:rsidR="00F40BE9" w:rsidRPr="00D17C77">
        <w:rPr>
          <w:color w:val="000000" w:themeColor="text1"/>
          <w:sz w:val="26"/>
          <w:szCs w:val="26"/>
        </w:rPr>
        <w:t>asserted</w:t>
      </w:r>
      <w:r w:rsidRPr="00D17C77">
        <w:rPr>
          <w:color w:val="000000" w:themeColor="text1"/>
          <w:sz w:val="26"/>
          <w:szCs w:val="26"/>
        </w:rPr>
        <w:t xml:space="preserve"> that as a result, noncompetitive business dial tone line rates would receive a rate increase over current rates of 16.50% </w:t>
      </w:r>
      <w:r w:rsidR="00F40BE9" w:rsidRPr="00D17C77">
        <w:rPr>
          <w:color w:val="000000" w:themeColor="text1"/>
          <w:sz w:val="26"/>
          <w:szCs w:val="26"/>
        </w:rPr>
        <w:t xml:space="preserve">in </w:t>
      </w:r>
      <w:r w:rsidRPr="00D17C77">
        <w:rPr>
          <w:color w:val="000000" w:themeColor="text1"/>
          <w:sz w:val="26"/>
          <w:szCs w:val="26"/>
        </w:rPr>
        <w:t xml:space="preserve">Density Cell 1, 13.96% </w:t>
      </w:r>
      <w:r w:rsidR="00F40BE9" w:rsidRPr="00D17C77">
        <w:rPr>
          <w:color w:val="000000" w:themeColor="text1"/>
          <w:sz w:val="26"/>
          <w:szCs w:val="26"/>
        </w:rPr>
        <w:t xml:space="preserve">in </w:t>
      </w:r>
      <w:r w:rsidRPr="00D17C77">
        <w:rPr>
          <w:color w:val="000000" w:themeColor="text1"/>
          <w:sz w:val="26"/>
          <w:szCs w:val="26"/>
        </w:rPr>
        <w:t>Density Cell 2</w:t>
      </w:r>
      <w:r w:rsidR="00F40BE9" w:rsidRPr="00D17C77">
        <w:rPr>
          <w:color w:val="000000" w:themeColor="text1"/>
          <w:sz w:val="26"/>
          <w:szCs w:val="26"/>
        </w:rPr>
        <w:t>, and</w:t>
      </w:r>
      <w:r w:rsidRPr="00D17C77">
        <w:rPr>
          <w:color w:val="000000" w:themeColor="text1"/>
          <w:sz w:val="26"/>
          <w:szCs w:val="26"/>
        </w:rPr>
        <w:t xml:space="preserve"> 3.73% </w:t>
      </w:r>
      <w:r w:rsidR="00F40BE9" w:rsidRPr="00D17C77">
        <w:rPr>
          <w:color w:val="000000" w:themeColor="text1"/>
          <w:sz w:val="26"/>
          <w:szCs w:val="26"/>
        </w:rPr>
        <w:t xml:space="preserve">in </w:t>
      </w:r>
      <w:r w:rsidR="00122641">
        <w:rPr>
          <w:color w:val="000000" w:themeColor="text1"/>
          <w:sz w:val="26"/>
          <w:szCs w:val="26"/>
        </w:rPr>
        <w:t>Density Cell </w:t>
      </w:r>
      <w:r w:rsidRPr="00D17C77">
        <w:rPr>
          <w:color w:val="000000" w:themeColor="text1"/>
          <w:sz w:val="26"/>
          <w:szCs w:val="26"/>
        </w:rPr>
        <w:t>3, compared to an increase of 2.22% for noncompetitive residential dial tone rates across all Density Cells.  The OSBA further noted that if Verizon PA’s proposed increases are permitted to stand, this would represent increases to business dial tone</w:t>
      </w:r>
      <w:r w:rsidR="00C34ADF" w:rsidRPr="00D17C77">
        <w:rPr>
          <w:color w:val="000000" w:themeColor="text1"/>
          <w:sz w:val="26"/>
          <w:szCs w:val="26"/>
        </w:rPr>
        <w:t xml:space="preserve"> line</w:t>
      </w:r>
      <w:r w:rsidRPr="00D17C77">
        <w:rPr>
          <w:color w:val="000000" w:themeColor="text1"/>
          <w:sz w:val="26"/>
          <w:szCs w:val="26"/>
        </w:rPr>
        <w:t xml:space="preserve"> rates that are between 300% and 1,125% higher than </w:t>
      </w:r>
      <w:r w:rsidR="00876DC1" w:rsidRPr="00D17C77">
        <w:rPr>
          <w:color w:val="000000" w:themeColor="text1"/>
          <w:sz w:val="26"/>
          <w:szCs w:val="26"/>
        </w:rPr>
        <w:t xml:space="preserve">the corresponding </w:t>
      </w:r>
      <w:r w:rsidRPr="00D17C77">
        <w:rPr>
          <w:color w:val="000000" w:themeColor="text1"/>
          <w:sz w:val="26"/>
          <w:szCs w:val="26"/>
        </w:rPr>
        <w:t xml:space="preserve">increases to </w:t>
      </w:r>
      <w:r w:rsidR="00876DC1" w:rsidRPr="00D17C77">
        <w:rPr>
          <w:color w:val="000000" w:themeColor="text1"/>
          <w:sz w:val="26"/>
          <w:szCs w:val="26"/>
        </w:rPr>
        <w:t>Verizon PA</w:t>
      </w:r>
      <w:r w:rsidR="00CF1560" w:rsidRPr="00D17C77">
        <w:rPr>
          <w:color w:val="000000" w:themeColor="text1"/>
          <w:sz w:val="26"/>
          <w:szCs w:val="26"/>
        </w:rPr>
        <w:t>’</w:t>
      </w:r>
      <w:r w:rsidR="00876DC1" w:rsidRPr="00D17C77">
        <w:rPr>
          <w:color w:val="000000" w:themeColor="text1"/>
          <w:sz w:val="26"/>
          <w:szCs w:val="26"/>
        </w:rPr>
        <w:t>s r</w:t>
      </w:r>
      <w:r w:rsidRPr="00D17C77">
        <w:rPr>
          <w:color w:val="000000" w:themeColor="text1"/>
          <w:sz w:val="26"/>
          <w:szCs w:val="26"/>
        </w:rPr>
        <w:t xml:space="preserve">esidential dial </w:t>
      </w:r>
      <w:r w:rsidR="00876DC1" w:rsidRPr="00D17C77">
        <w:rPr>
          <w:color w:val="000000" w:themeColor="text1"/>
          <w:sz w:val="26"/>
          <w:szCs w:val="26"/>
        </w:rPr>
        <w:t>t</w:t>
      </w:r>
      <w:r w:rsidRPr="00D17C77">
        <w:rPr>
          <w:color w:val="000000" w:themeColor="text1"/>
          <w:sz w:val="26"/>
          <w:szCs w:val="26"/>
        </w:rPr>
        <w:t>one</w:t>
      </w:r>
      <w:r w:rsidR="00876DC1" w:rsidRPr="00D17C77">
        <w:rPr>
          <w:color w:val="000000" w:themeColor="text1"/>
          <w:sz w:val="26"/>
          <w:szCs w:val="26"/>
        </w:rPr>
        <w:t xml:space="preserve"> line</w:t>
      </w:r>
      <w:r w:rsidRPr="00D17C77">
        <w:rPr>
          <w:color w:val="000000" w:themeColor="text1"/>
          <w:sz w:val="26"/>
          <w:szCs w:val="26"/>
        </w:rPr>
        <w:t xml:space="preserve"> rates.  OSBA M.B. at 9-10, 11.</w:t>
      </w:r>
    </w:p>
    <w:p w14:paraId="3C43B14A" w14:textId="77777777" w:rsidR="00DC43FC" w:rsidRPr="00D17C77" w:rsidRDefault="00DC43FC" w:rsidP="009C4BD6">
      <w:pPr>
        <w:spacing w:after="200" w:line="360" w:lineRule="auto"/>
        <w:contextualSpacing/>
        <w:rPr>
          <w:color w:val="000000" w:themeColor="text1"/>
          <w:sz w:val="26"/>
          <w:szCs w:val="26"/>
        </w:rPr>
      </w:pPr>
    </w:p>
    <w:p w14:paraId="0BF53482" w14:textId="77777777" w:rsidR="00DC43FC" w:rsidRPr="00D17C77" w:rsidRDefault="00DC43FC" w:rsidP="009C4BD6">
      <w:pPr>
        <w:spacing w:after="200" w:line="360" w:lineRule="auto"/>
        <w:ind w:firstLine="1440"/>
        <w:contextualSpacing/>
        <w:rPr>
          <w:color w:val="000000" w:themeColor="text1"/>
          <w:sz w:val="26"/>
          <w:szCs w:val="26"/>
        </w:rPr>
      </w:pPr>
      <w:r w:rsidRPr="00D17C77">
        <w:rPr>
          <w:rFonts w:eastAsia="Calibri"/>
          <w:color w:val="000000" w:themeColor="text1"/>
          <w:sz w:val="26"/>
          <w:szCs w:val="26"/>
        </w:rPr>
        <w:t xml:space="preserve">The OSBA dismissed Verizon PA’s citation to the </w:t>
      </w:r>
      <w:r w:rsidRPr="00D17C77">
        <w:rPr>
          <w:rFonts w:eastAsia="Calibri"/>
          <w:i/>
          <w:iCs/>
          <w:color w:val="000000" w:themeColor="text1"/>
          <w:sz w:val="26"/>
          <w:szCs w:val="26"/>
        </w:rPr>
        <w:t xml:space="preserve">March 2007 Order.  </w:t>
      </w:r>
      <w:r w:rsidRPr="00D17C77">
        <w:rPr>
          <w:rFonts w:eastAsia="Calibri"/>
          <w:color w:val="000000" w:themeColor="text1"/>
          <w:sz w:val="26"/>
          <w:szCs w:val="26"/>
        </w:rPr>
        <w:t xml:space="preserve">According to the OSBA, that Commission Order is not relevant to the instant proceeding because this current proceeding </w:t>
      </w:r>
      <w:r w:rsidRPr="00D17C77">
        <w:rPr>
          <w:color w:val="000000" w:themeColor="text1"/>
          <w:sz w:val="26"/>
          <w:szCs w:val="26"/>
        </w:rPr>
        <w:t xml:space="preserve">addresses the issue of whether Verizon PA's proposed noncompetitive business rate increases are just, reasonable, and non-discriminatory, and not whether a small business rate cap was, is, or should be in place.  In the OSBA’s view, in the </w:t>
      </w:r>
      <w:r w:rsidRPr="00D17C77">
        <w:rPr>
          <w:i/>
          <w:iCs/>
          <w:color w:val="000000" w:themeColor="text1"/>
          <w:sz w:val="26"/>
          <w:szCs w:val="26"/>
        </w:rPr>
        <w:t xml:space="preserve">March 2007 Order, </w:t>
      </w:r>
      <w:r w:rsidRPr="00D17C77">
        <w:rPr>
          <w:color w:val="000000" w:themeColor="text1"/>
          <w:sz w:val="26"/>
          <w:szCs w:val="26"/>
        </w:rPr>
        <w:t xml:space="preserve">we stated only that the language regarding a business rate cap was no longer applicable in Verizon PA’s Chapter 30 Plan.  The OSBA asseverated that our ruling in the </w:t>
      </w:r>
      <w:r w:rsidRPr="00D17C77">
        <w:rPr>
          <w:i/>
          <w:iCs/>
          <w:color w:val="000000" w:themeColor="text1"/>
          <w:sz w:val="26"/>
          <w:szCs w:val="26"/>
        </w:rPr>
        <w:t xml:space="preserve">March 2007 Order </w:t>
      </w:r>
      <w:r w:rsidRPr="00D17C77">
        <w:rPr>
          <w:color w:val="000000" w:themeColor="text1"/>
          <w:sz w:val="26"/>
          <w:szCs w:val="26"/>
        </w:rPr>
        <w:t>provides no basis for concluding that Verizon PA may increase rates for its noncompetitive business services, without limitation.  The OSBA asserted that Chapter 30 explicitly bars such an interpretation.  OSBA R.B. at 7-9.</w:t>
      </w:r>
    </w:p>
    <w:p w14:paraId="58EC23C9" w14:textId="77777777" w:rsidR="00DC43FC" w:rsidRPr="00D17C77" w:rsidRDefault="00DC43FC" w:rsidP="009C4BD6">
      <w:pPr>
        <w:spacing w:after="200" w:line="360" w:lineRule="auto"/>
        <w:contextualSpacing/>
        <w:rPr>
          <w:color w:val="000000" w:themeColor="text1"/>
          <w:sz w:val="26"/>
          <w:szCs w:val="26"/>
        </w:rPr>
      </w:pPr>
    </w:p>
    <w:p w14:paraId="7625B793" w14:textId="0101E438" w:rsidR="00DC43FC" w:rsidRPr="00D17C77" w:rsidRDefault="00DC43FC" w:rsidP="009C4BD6">
      <w:pPr>
        <w:spacing w:after="200" w:line="360" w:lineRule="auto"/>
        <w:ind w:firstLine="1440"/>
        <w:contextualSpacing/>
        <w:rPr>
          <w:color w:val="000000" w:themeColor="text1"/>
          <w:sz w:val="26"/>
          <w:szCs w:val="26"/>
        </w:rPr>
      </w:pPr>
      <w:r w:rsidRPr="00D17C77">
        <w:rPr>
          <w:color w:val="000000" w:themeColor="text1"/>
          <w:sz w:val="26"/>
          <w:szCs w:val="26"/>
        </w:rPr>
        <w:t xml:space="preserve">According to the OSBA, there is nothing in Chapter 30 that permits Verizon PA to collect revenues from unreasonable rates.  The OSBA stressed that </w:t>
      </w:r>
      <w:r w:rsidRPr="00D17C77">
        <w:rPr>
          <w:color w:val="000000" w:themeColor="text1"/>
          <w:sz w:val="26"/>
          <w:szCs w:val="26"/>
        </w:rPr>
        <w:lastRenderedPageBreak/>
        <w:t>although Section 3015(a)(3) of the Code may limit the amount by which Verizon PA m</w:t>
      </w:r>
      <w:r w:rsidR="00B43389" w:rsidRPr="00D17C77">
        <w:rPr>
          <w:color w:val="000000" w:themeColor="text1"/>
          <w:sz w:val="26"/>
          <w:szCs w:val="26"/>
        </w:rPr>
        <w:t>a</w:t>
      </w:r>
      <w:r w:rsidRPr="00D17C77">
        <w:rPr>
          <w:color w:val="000000" w:themeColor="text1"/>
          <w:sz w:val="26"/>
          <w:szCs w:val="26"/>
        </w:rPr>
        <w:t>y increase its rates, this section of Chapter 30 does not permit Verizon PA to increase rates for noncompetitive business services beyond reasonable levels.  Rather, the OSBA argued that the provisions of Section 3015(a)(3) that limit increases to residential dial tone line rates work in tandem with Sections 3019(e), 1301, and 1304, to place a statutory cap on the rates that can be charged to Verizon PA’s business customers.  As such, the OSBA claimed that such a cap on business rates is not set forth in a mathematical formula</w:t>
      </w:r>
      <w:r w:rsidR="00E6391E" w:rsidRPr="00D17C77">
        <w:rPr>
          <w:color w:val="000000" w:themeColor="text1"/>
          <w:sz w:val="26"/>
          <w:szCs w:val="26"/>
        </w:rPr>
        <w:t xml:space="preserve"> in either the Chapter 30 </w:t>
      </w:r>
      <w:r w:rsidR="00E62E8C" w:rsidRPr="00D17C77">
        <w:rPr>
          <w:color w:val="000000" w:themeColor="text1"/>
          <w:sz w:val="26"/>
          <w:szCs w:val="26"/>
        </w:rPr>
        <w:t>s</w:t>
      </w:r>
      <w:r w:rsidR="00E6391E" w:rsidRPr="00D17C77">
        <w:rPr>
          <w:color w:val="000000" w:themeColor="text1"/>
          <w:sz w:val="26"/>
          <w:szCs w:val="26"/>
        </w:rPr>
        <w:t>tatute or Verizon PA’s Chapter 30 Plan</w:t>
      </w:r>
      <w:r w:rsidRPr="00D17C77">
        <w:rPr>
          <w:color w:val="000000" w:themeColor="text1"/>
          <w:sz w:val="26"/>
          <w:szCs w:val="26"/>
        </w:rPr>
        <w:t>, but instead requires the Commission to use judgment.  OSBA M.B. at 10.</w:t>
      </w:r>
      <w:r w:rsidR="00E6391E" w:rsidRPr="00D17C77">
        <w:rPr>
          <w:color w:val="000000" w:themeColor="text1"/>
          <w:sz w:val="26"/>
          <w:szCs w:val="26"/>
        </w:rPr>
        <w:t xml:space="preserve">  The OSBA’s witness</w:t>
      </w:r>
      <w:r w:rsidR="007811FF" w:rsidRPr="00D17C77">
        <w:rPr>
          <w:color w:val="000000" w:themeColor="text1"/>
          <w:sz w:val="26"/>
          <w:szCs w:val="26"/>
        </w:rPr>
        <w:t>,</w:t>
      </w:r>
      <w:r w:rsidR="00E6391E" w:rsidRPr="00D17C77">
        <w:rPr>
          <w:color w:val="000000" w:themeColor="text1"/>
          <w:sz w:val="26"/>
          <w:szCs w:val="26"/>
        </w:rPr>
        <w:t xml:space="preserve"> </w:t>
      </w:r>
      <w:bookmarkStart w:id="4" w:name="_Hlk22304512"/>
      <w:r w:rsidR="00E6391E" w:rsidRPr="00D17C77">
        <w:rPr>
          <w:color w:val="000000" w:themeColor="text1"/>
          <w:sz w:val="26"/>
          <w:szCs w:val="26"/>
        </w:rPr>
        <w:t>Mr. Gillan</w:t>
      </w:r>
      <w:r w:rsidR="007811FF" w:rsidRPr="00D17C77">
        <w:rPr>
          <w:color w:val="000000" w:themeColor="text1"/>
          <w:sz w:val="26"/>
          <w:szCs w:val="26"/>
        </w:rPr>
        <w:t>,</w:t>
      </w:r>
      <w:r w:rsidR="00E6391E" w:rsidRPr="00D17C77">
        <w:rPr>
          <w:color w:val="000000" w:themeColor="text1"/>
          <w:sz w:val="26"/>
          <w:szCs w:val="26"/>
        </w:rPr>
        <w:t xml:space="preserve"> suggested that </w:t>
      </w:r>
      <w:bookmarkStart w:id="5" w:name="_Hlk26874454"/>
      <w:r w:rsidR="00E6391E" w:rsidRPr="00D17C77">
        <w:rPr>
          <w:color w:val="000000" w:themeColor="text1"/>
          <w:sz w:val="26"/>
          <w:szCs w:val="26"/>
        </w:rPr>
        <w:t xml:space="preserve">to judge the reasonableness of Verizon PA’s noncompetitive rates, the Commission could require that </w:t>
      </w:r>
      <w:r w:rsidR="00F731F3" w:rsidRPr="00D17C77">
        <w:rPr>
          <w:color w:val="000000" w:themeColor="text1"/>
          <w:sz w:val="26"/>
          <w:szCs w:val="26"/>
        </w:rPr>
        <w:t>Verizon PA</w:t>
      </w:r>
      <w:r w:rsidR="00E6391E" w:rsidRPr="00D17C77">
        <w:rPr>
          <w:color w:val="000000" w:themeColor="text1"/>
          <w:sz w:val="26"/>
          <w:szCs w:val="26"/>
        </w:rPr>
        <w:t xml:space="preserve"> may not maintain a business-to-residential rate relationship of greater than 1.7</w:t>
      </w:r>
      <w:r w:rsidR="00965393" w:rsidRPr="00D17C77">
        <w:rPr>
          <w:color w:val="000000" w:themeColor="text1"/>
          <w:sz w:val="26"/>
          <w:szCs w:val="26"/>
        </w:rPr>
        <w:t>-to-</w:t>
      </w:r>
      <w:r w:rsidR="00E6391E" w:rsidRPr="00D17C77">
        <w:rPr>
          <w:color w:val="000000" w:themeColor="text1"/>
          <w:sz w:val="26"/>
          <w:szCs w:val="26"/>
        </w:rPr>
        <w:t>1</w:t>
      </w:r>
      <w:bookmarkEnd w:id="4"/>
      <w:r w:rsidR="00E6391E" w:rsidRPr="00D17C77">
        <w:rPr>
          <w:color w:val="000000" w:themeColor="text1"/>
          <w:sz w:val="26"/>
          <w:szCs w:val="26"/>
        </w:rPr>
        <w:t xml:space="preserve">, which </w:t>
      </w:r>
      <w:r w:rsidR="00CF0E78" w:rsidRPr="00D17C77">
        <w:rPr>
          <w:color w:val="000000" w:themeColor="text1"/>
          <w:sz w:val="26"/>
          <w:szCs w:val="26"/>
        </w:rPr>
        <w:t>was</w:t>
      </w:r>
      <w:r w:rsidR="00E6391E" w:rsidRPr="00D17C77">
        <w:rPr>
          <w:color w:val="000000" w:themeColor="text1"/>
          <w:sz w:val="26"/>
          <w:szCs w:val="26"/>
        </w:rPr>
        <w:t xml:space="preserve"> the current relationship between rates in Density Cell 1</w:t>
      </w:r>
      <w:r w:rsidR="00CF0E78" w:rsidRPr="00D17C77">
        <w:rPr>
          <w:color w:val="000000" w:themeColor="text1"/>
          <w:sz w:val="26"/>
          <w:szCs w:val="26"/>
        </w:rPr>
        <w:t xml:space="preserve"> as of the close of the record in this proceeding</w:t>
      </w:r>
      <w:r w:rsidR="00E6391E" w:rsidRPr="00D17C77">
        <w:rPr>
          <w:color w:val="000000" w:themeColor="text1"/>
          <w:sz w:val="26"/>
          <w:szCs w:val="26"/>
        </w:rPr>
        <w:t xml:space="preserve">.  </w:t>
      </w:r>
      <w:bookmarkEnd w:id="5"/>
      <w:r w:rsidR="00E6391E" w:rsidRPr="00D17C77">
        <w:rPr>
          <w:color w:val="000000" w:themeColor="text1"/>
          <w:sz w:val="26"/>
          <w:szCs w:val="26"/>
        </w:rPr>
        <w:t>The OSBA stressed tha</w:t>
      </w:r>
      <w:r w:rsidR="00965393" w:rsidRPr="00D17C77">
        <w:rPr>
          <w:color w:val="000000" w:themeColor="text1"/>
          <w:sz w:val="26"/>
          <w:szCs w:val="26"/>
        </w:rPr>
        <w:t>t</w:t>
      </w:r>
      <w:r w:rsidR="00E6391E" w:rsidRPr="00D17C77">
        <w:rPr>
          <w:color w:val="000000" w:themeColor="text1"/>
          <w:sz w:val="26"/>
          <w:szCs w:val="26"/>
        </w:rPr>
        <w:t>, in any event, the Commission should not ignore the statutory mandate that Verizon PA’s business rates be just, reasonable, and non-discriminatory.  OSBA St. 1.0 at 12.</w:t>
      </w:r>
    </w:p>
    <w:p w14:paraId="20006F47" w14:textId="77777777" w:rsidR="00116E83" w:rsidRPr="00D17C77" w:rsidRDefault="00116E83" w:rsidP="009C4BD6">
      <w:pPr>
        <w:spacing w:line="360" w:lineRule="auto"/>
        <w:ind w:firstLine="1440"/>
        <w:contextualSpacing/>
        <w:rPr>
          <w:color w:val="000000" w:themeColor="text1"/>
          <w:sz w:val="26"/>
          <w:szCs w:val="26"/>
        </w:rPr>
      </w:pPr>
    </w:p>
    <w:p w14:paraId="4BB9A76C" w14:textId="71022793" w:rsidR="00F85CD5" w:rsidRPr="00D17C77" w:rsidRDefault="00F85CD5" w:rsidP="007F3942">
      <w:pPr>
        <w:spacing w:line="360" w:lineRule="auto"/>
        <w:ind w:firstLine="1440"/>
        <w:contextualSpacing/>
        <w:rPr>
          <w:color w:val="000000" w:themeColor="text1"/>
          <w:sz w:val="26"/>
          <w:szCs w:val="26"/>
        </w:rPr>
      </w:pPr>
      <w:r w:rsidRPr="00D17C77">
        <w:rPr>
          <w:color w:val="000000" w:themeColor="text1"/>
          <w:sz w:val="26"/>
          <w:szCs w:val="26"/>
        </w:rPr>
        <w:t xml:space="preserve">The OSBA also submitted that the above sections of Chapter 30 can coexist in harmony, </w:t>
      </w:r>
      <w:r w:rsidR="00CD2493" w:rsidRPr="00D17C77">
        <w:rPr>
          <w:color w:val="000000" w:themeColor="text1"/>
          <w:sz w:val="26"/>
          <w:szCs w:val="26"/>
        </w:rPr>
        <w:t>such that both residential and business service rates are protected by some statutory rate cap</w:t>
      </w:r>
      <w:r w:rsidRPr="00D17C77">
        <w:rPr>
          <w:color w:val="000000" w:themeColor="text1"/>
          <w:sz w:val="26"/>
          <w:szCs w:val="26"/>
        </w:rPr>
        <w:t xml:space="preserve">, </w:t>
      </w:r>
      <w:r w:rsidR="00CD2493" w:rsidRPr="00D17C77">
        <w:rPr>
          <w:color w:val="000000" w:themeColor="text1"/>
          <w:sz w:val="26"/>
          <w:szCs w:val="26"/>
        </w:rPr>
        <w:t>even if this</w:t>
      </w:r>
      <w:r w:rsidRPr="00D17C77">
        <w:rPr>
          <w:color w:val="000000" w:themeColor="text1"/>
          <w:sz w:val="26"/>
          <w:szCs w:val="26"/>
        </w:rPr>
        <w:t xml:space="preserve"> cause</w:t>
      </w:r>
      <w:r w:rsidR="00CD2493" w:rsidRPr="00D17C77">
        <w:rPr>
          <w:color w:val="000000" w:themeColor="text1"/>
          <w:sz w:val="26"/>
          <w:szCs w:val="26"/>
        </w:rPr>
        <w:t>s</w:t>
      </w:r>
      <w:r w:rsidRPr="00D17C77">
        <w:rPr>
          <w:color w:val="000000" w:themeColor="text1"/>
          <w:sz w:val="26"/>
          <w:szCs w:val="26"/>
        </w:rPr>
        <w:t xml:space="preserve"> Verizon PA to be able to collect less than </w:t>
      </w:r>
      <w:r w:rsidR="00CD2493" w:rsidRPr="00D17C77">
        <w:rPr>
          <w:color w:val="000000" w:themeColor="text1"/>
          <w:sz w:val="26"/>
          <w:szCs w:val="26"/>
        </w:rPr>
        <w:t>the annual revenues permitted by its PSM</w:t>
      </w:r>
      <w:r w:rsidRPr="00D17C77">
        <w:rPr>
          <w:color w:val="000000" w:themeColor="text1"/>
          <w:sz w:val="26"/>
          <w:szCs w:val="26"/>
        </w:rPr>
        <w:t>.  However, the OSBA posited that to the extent Section</w:t>
      </w:r>
      <w:r w:rsidR="007F3942">
        <w:rPr>
          <w:color w:val="000000" w:themeColor="text1"/>
          <w:sz w:val="26"/>
          <w:szCs w:val="26"/>
        </w:rPr>
        <w:t> </w:t>
      </w:r>
      <w:r w:rsidRPr="00D17C77">
        <w:rPr>
          <w:color w:val="000000" w:themeColor="text1"/>
          <w:sz w:val="26"/>
          <w:szCs w:val="26"/>
        </w:rPr>
        <w:t xml:space="preserve">3015(a)(3) and </w:t>
      </w:r>
      <w:r w:rsidR="00A0392D">
        <w:rPr>
          <w:color w:val="000000" w:themeColor="text1"/>
          <w:sz w:val="26"/>
          <w:szCs w:val="26"/>
        </w:rPr>
        <w:t xml:space="preserve">Section </w:t>
      </w:r>
      <w:r w:rsidRPr="00D17C77">
        <w:rPr>
          <w:color w:val="000000" w:themeColor="text1"/>
          <w:sz w:val="26"/>
          <w:szCs w:val="26"/>
        </w:rPr>
        <w:t>3019(e) are in conflict, the rules of statutory construction, as set forth in 1 Pa.</w:t>
      </w:r>
      <w:r w:rsidR="00846B7A">
        <w:rPr>
          <w:color w:val="000000" w:themeColor="text1"/>
          <w:sz w:val="26"/>
          <w:szCs w:val="26"/>
        </w:rPr>
        <w:t xml:space="preserve"> </w:t>
      </w:r>
      <w:r w:rsidRPr="00D17C77">
        <w:rPr>
          <w:color w:val="000000" w:themeColor="text1"/>
          <w:sz w:val="26"/>
          <w:szCs w:val="26"/>
        </w:rPr>
        <w:t>C.S. §§ 1922, 1933, and 1934, require that each of the provisions be given effect, that the special provisions shall prevail over the general provisions</w:t>
      </w:r>
      <w:r w:rsidR="008A2494" w:rsidRPr="00D17C77">
        <w:rPr>
          <w:color w:val="000000" w:themeColor="text1"/>
          <w:sz w:val="26"/>
          <w:szCs w:val="26"/>
        </w:rPr>
        <w:t>,</w:t>
      </w:r>
      <w:r w:rsidRPr="00D17C77">
        <w:rPr>
          <w:color w:val="000000" w:themeColor="text1"/>
          <w:sz w:val="26"/>
          <w:szCs w:val="26"/>
        </w:rPr>
        <w:t xml:space="preserve"> and that the later statute </w:t>
      </w:r>
      <w:r w:rsidR="008A2494" w:rsidRPr="00D17C77">
        <w:rPr>
          <w:color w:val="000000" w:themeColor="text1"/>
          <w:sz w:val="26"/>
          <w:szCs w:val="26"/>
        </w:rPr>
        <w:t xml:space="preserve">shall </w:t>
      </w:r>
      <w:r w:rsidRPr="00D17C77">
        <w:rPr>
          <w:color w:val="000000" w:themeColor="text1"/>
          <w:sz w:val="26"/>
          <w:szCs w:val="26"/>
        </w:rPr>
        <w:t xml:space="preserve">prevail over the earlier statute.  In the OSBA’s view, if a conflict exists between </w:t>
      </w:r>
      <w:r w:rsidR="008A2494" w:rsidRPr="00D17C77">
        <w:rPr>
          <w:color w:val="000000" w:themeColor="text1"/>
          <w:sz w:val="26"/>
          <w:szCs w:val="26"/>
        </w:rPr>
        <w:t>Verizon PA’s</w:t>
      </w:r>
      <w:r w:rsidRPr="00D17C77">
        <w:rPr>
          <w:color w:val="000000" w:themeColor="text1"/>
          <w:sz w:val="26"/>
          <w:szCs w:val="26"/>
        </w:rPr>
        <w:t xml:space="preserve"> residential rate limitation and </w:t>
      </w:r>
      <w:r w:rsidR="008A2494" w:rsidRPr="00D17C77">
        <w:rPr>
          <w:color w:val="000000" w:themeColor="text1"/>
          <w:sz w:val="26"/>
          <w:szCs w:val="26"/>
        </w:rPr>
        <w:t>its</w:t>
      </w:r>
      <w:r w:rsidRPr="00D17C77">
        <w:rPr>
          <w:color w:val="000000" w:themeColor="text1"/>
          <w:sz w:val="26"/>
          <w:szCs w:val="26"/>
        </w:rPr>
        <w:t xml:space="preserve"> residually priced business services, the prohibitions of Section 3019(e) </w:t>
      </w:r>
      <w:r w:rsidR="008A2494" w:rsidRPr="00D17C77">
        <w:rPr>
          <w:color w:val="000000" w:themeColor="text1"/>
          <w:sz w:val="26"/>
          <w:szCs w:val="26"/>
        </w:rPr>
        <w:t xml:space="preserve">shall </w:t>
      </w:r>
      <w:r w:rsidRPr="00D17C77">
        <w:rPr>
          <w:color w:val="000000" w:themeColor="text1"/>
          <w:sz w:val="26"/>
          <w:szCs w:val="26"/>
        </w:rPr>
        <w:t xml:space="preserve">prevail over the residential rate restrictions of Section 3015(a)(3).  According to the OSBA, </w:t>
      </w:r>
      <w:r w:rsidR="00AB7C4C" w:rsidRPr="00D17C77">
        <w:rPr>
          <w:color w:val="000000" w:themeColor="text1"/>
          <w:sz w:val="26"/>
          <w:szCs w:val="26"/>
        </w:rPr>
        <w:t xml:space="preserve">although </w:t>
      </w:r>
      <w:r w:rsidRPr="00D17C77">
        <w:rPr>
          <w:color w:val="000000" w:themeColor="text1"/>
          <w:sz w:val="26"/>
          <w:szCs w:val="26"/>
        </w:rPr>
        <w:t xml:space="preserve">Section 3015(a)(3) is a special provision, the language set forth in Section 3019(e) that states “Nothing in </w:t>
      </w:r>
      <w:r w:rsidRPr="00D17C77">
        <w:rPr>
          <w:color w:val="000000" w:themeColor="text1"/>
          <w:sz w:val="26"/>
          <w:szCs w:val="26"/>
        </w:rPr>
        <w:lastRenderedPageBreak/>
        <w:t xml:space="preserve">this chapter” indicates the intent of the Legislature that Section 3019(e) should prevail over the special provisions of Section 3015(a)(3).  The OSBA further reasoned that given that Section 3019(e) appears </w:t>
      </w:r>
      <w:r w:rsidR="008A2494" w:rsidRPr="00D17C77">
        <w:rPr>
          <w:color w:val="000000" w:themeColor="text1"/>
          <w:sz w:val="26"/>
          <w:szCs w:val="26"/>
        </w:rPr>
        <w:t xml:space="preserve">in the Chapter 30 statute </w:t>
      </w:r>
      <w:r w:rsidRPr="00D17C77">
        <w:rPr>
          <w:color w:val="000000" w:themeColor="text1"/>
          <w:sz w:val="26"/>
          <w:szCs w:val="26"/>
        </w:rPr>
        <w:t>after Section 3015(a)(3), Section 3019(</w:t>
      </w:r>
      <w:r w:rsidR="00671D2F" w:rsidRPr="00D17C77">
        <w:rPr>
          <w:color w:val="000000" w:themeColor="text1"/>
          <w:sz w:val="26"/>
          <w:szCs w:val="26"/>
        </w:rPr>
        <w:t>e</w:t>
      </w:r>
      <w:r w:rsidRPr="00D17C77">
        <w:rPr>
          <w:color w:val="000000" w:themeColor="text1"/>
          <w:sz w:val="26"/>
          <w:szCs w:val="26"/>
        </w:rPr>
        <w:t>) should prevail in accordance with 1 Pa.</w:t>
      </w:r>
      <w:r w:rsidR="00CA35DF">
        <w:rPr>
          <w:color w:val="000000" w:themeColor="text1"/>
          <w:sz w:val="26"/>
          <w:szCs w:val="26"/>
        </w:rPr>
        <w:t xml:space="preserve"> </w:t>
      </w:r>
      <w:r w:rsidRPr="00D17C77">
        <w:rPr>
          <w:color w:val="000000" w:themeColor="text1"/>
          <w:sz w:val="26"/>
          <w:szCs w:val="26"/>
        </w:rPr>
        <w:t>C.S. § 1934.  Thus, the OSBA asserted that the residential rate caps set forth</w:t>
      </w:r>
      <w:r w:rsidR="007B6771" w:rsidRPr="00D17C77">
        <w:rPr>
          <w:color w:val="000000" w:themeColor="text1"/>
          <w:sz w:val="26"/>
          <w:szCs w:val="26"/>
        </w:rPr>
        <w:t xml:space="preserve"> in</w:t>
      </w:r>
      <w:r w:rsidRPr="00D17C77">
        <w:rPr>
          <w:color w:val="000000" w:themeColor="text1"/>
          <w:sz w:val="26"/>
          <w:szCs w:val="26"/>
        </w:rPr>
        <w:t xml:space="preserve"> Section 3015(a)(3) must be abandoned when the result is an unreasonable and discriminatory preference at the expense of business customers.  OSBA M.B. at 10-12.</w:t>
      </w:r>
    </w:p>
    <w:p w14:paraId="2C58AFA7" w14:textId="77777777" w:rsidR="00DC43FC" w:rsidRPr="00D17C77" w:rsidRDefault="00DC43FC" w:rsidP="009C4BD6">
      <w:pPr>
        <w:spacing w:line="360" w:lineRule="auto"/>
        <w:ind w:firstLine="1440"/>
        <w:contextualSpacing/>
        <w:rPr>
          <w:color w:val="000000" w:themeColor="text1"/>
          <w:sz w:val="26"/>
          <w:szCs w:val="26"/>
        </w:rPr>
      </w:pPr>
    </w:p>
    <w:p w14:paraId="61577634" w14:textId="12CFD076" w:rsidR="00116E83" w:rsidRPr="00D17C77" w:rsidRDefault="004C6FDA" w:rsidP="00846B7A">
      <w:pPr>
        <w:keepNext/>
        <w:keepLines/>
        <w:spacing w:line="360" w:lineRule="auto"/>
        <w:ind w:firstLine="720"/>
        <w:contextualSpacing/>
        <w:rPr>
          <w:b/>
          <w:bCs/>
          <w:color w:val="000000" w:themeColor="text1"/>
          <w:sz w:val="26"/>
          <w:szCs w:val="26"/>
        </w:rPr>
      </w:pPr>
      <w:r>
        <w:rPr>
          <w:b/>
          <w:bCs/>
          <w:color w:val="000000" w:themeColor="text1"/>
          <w:sz w:val="26"/>
          <w:szCs w:val="26"/>
        </w:rPr>
        <w:t>3</w:t>
      </w:r>
      <w:r w:rsidR="00116E83" w:rsidRPr="00D17C77">
        <w:rPr>
          <w:b/>
          <w:bCs/>
          <w:color w:val="000000" w:themeColor="text1"/>
          <w:sz w:val="26"/>
          <w:szCs w:val="26"/>
        </w:rPr>
        <w:t>.</w:t>
      </w:r>
      <w:r w:rsidR="00116E83" w:rsidRPr="00D17C77">
        <w:rPr>
          <w:b/>
          <w:bCs/>
          <w:color w:val="000000" w:themeColor="text1"/>
          <w:sz w:val="26"/>
          <w:szCs w:val="26"/>
        </w:rPr>
        <w:tab/>
        <w:t>The OCA</w:t>
      </w:r>
    </w:p>
    <w:p w14:paraId="735E8F3D" w14:textId="77777777" w:rsidR="00940FE7" w:rsidRPr="00D17C77" w:rsidRDefault="00940FE7" w:rsidP="009E1F7E">
      <w:pPr>
        <w:keepNext/>
        <w:keepLines/>
        <w:spacing w:line="360" w:lineRule="auto"/>
        <w:ind w:firstLine="1440"/>
        <w:contextualSpacing/>
        <w:rPr>
          <w:color w:val="000000" w:themeColor="text1"/>
          <w:sz w:val="26"/>
          <w:szCs w:val="26"/>
        </w:rPr>
      </w:pPr>
    </w:p>
    <w:p w14:paraId="0DAA1C03" w14:textId="77777777" w:rsidR="00F85CD5" w:rsidRPr="00D17C77" w:rsidRDefault="00F85CD5" w:rsidP="009C4BD6">
      <w:pPr>
        <w:spacing w:line="360" w:lineRule="auto"/>
        <w:ind w:firstLine="1440"/>
        <w:contextualSpacing/>
        <w:rPr>
          <w:color w:val="000000" w:themeColor="text1"/>
          <w:sz w:val="26"/>
          <w:szCs w:val="26"/>
        </w:rPr>
      </w:pPr>
      <w:r w:rsidRPr="00D17C77">
        <w:rPr>
          <w:color w:val="000000" w:themeColor="text1"/>
          <w:sz w:val="26"/>
          <w:szCs w:val="26"/>
        </w:rPr>
        <w:t>The OCA stated that the Commission’s process for the review of Verizon PA’s PCO filings already includes consideration as to whether the filings are in compliance with both Section 1301 of the Code and Verizon PA’s Chapter 30 Plan.  The OCA took the position that Verizon PA’s proposed rate increases in its 2018 PCO</w:t>
      </w:r>
      <w:r w:rsidR="00672B37" w:rsidRPr="00D17C77">
        <w:rPr>
          <w:color w:val="000000" w:themeColor="text1"/>
          <w:sz w:val="26"/>
          <w:szCs w:val="26"/>
        </w:rPr>
        <w:t xml:space="preserve"> filing</w:t>
      </w:r>
      <w:r w:rsidRPr="00D17C77">
        <w:rPr>
          <w:color w:val="000000" w:themeColor="text1"/>
          <w:sz w:val="26"/>
          <w:szCs w:val="26"/>
        </w:rPr>
        <w:t xml:space="preserve"> are just</w:t>
      </w:r>
      <w:r w:rsidR="00672B37" w:rsidRPr="00D17C77">
        <w:rPr>
          <w:color w:val="000000" w:themeColor="text1"/>
          <w:sz w:val="26"/>
          <w:szCs w:val="26"/>
        </w:rPr>
        <w:t>,</w:t>
      </w:r>
      <w:r w:rsidRPr="00D17C77">
        <w:rPr>
          <w:color w:val="000000" w:themeColor="text1"/>
          <w:sz w:val="26"/>
          <w:szCs w:val="26"/>
        </w:rPr>
        <w:t xml:space="preserve"> </w:t>
      </w:r>
      <w:r w:rsidR="007B6771" w:rsidRPr="00D17C77">
        <w:rPr>
          <w:color w:val="000000" w:themeColor="text1"/>
          <w:sz w:val="26"/>
          <w:szCs w:val="26"/>
        </w:rPr>
        <w:t>reasonable</w:t>
      </w:r>
      <w:r w:rsidRPr="00D17C77">
        <w:rPr>
          <w:color w:val="000000" w:themeColor="text1"/>
          <w:sz w:val="26"/>
          <w:szCs w:val="26"/>
        </w:rPr>
        <w:t xml:space="preserve"> and non-discriminatory.  The OCA submitted that Verizon</w:t>
      </w:r>
      <w:r w:rsidR="007811FF" w:rsidRPr="00D17C77">
        <w:rPr>
          <w:color w:val="000000" w:themeColor="text1"/>
          <w:sz w:val="26"/>
          <w:szCs w:val="26"/>
        </w:rPr>
        <w:t xml:space="preserve"> </w:t>
      </w:r>
      <w:r w:rsidRPr="00D17C77">
        <w:rPr>
          <w:color w:val="000000" w:themeColor="text1"/>
          <w:sz w:val="26"/>
          <w:szCs w:val="26"/>
        </w:rPr>
        <w:t xml:space="preserve">PA’s allocation of the 2018 PCO allowed revenue increase is supported by its compliance with the statutory residential rate limitation set forth in Section 3015(a)(3) of the Code.  The OCA echoed the assertion of Verizon PA, </w:t>
      </w:r>
      <w:r w:rsidRPr="00D17C77">
        <w:rPr>
          <w:i/>
          <w:iCs/>
          <w:color w:val="000000" w:themeColor="text1"/>
          <w:sz w:val="26"/>
          <w:szCs w:val="26"/>
        </w:rPr>
        <w:t>supra,</w:t>
      </w:r>
      <w:r w:rsidRPr="00D17C77">
        <w:rPr>
          <w:color w:val="000000" w:themeColor="text1"/>
          <w:sz w:val="26"/>
          <w:szCs w:val="26"/>
        </w:rPr>
        <w:t xml:space="preserve"> that the allocation of $495,100 in revenues and a $0.20 per month increase to residential dial </w:t>
      </w:r>
      <w:r w:rsidR="007B6771" w:rsidRPr="00D17C77">
        <w:rPr>
          <w:color w:val="000000" w:themeColor="text1"/>
          <w:sz w:val="26"/>
          <w:szCs w:val="26"/>
        </w:rPr>
        <w:t>t</w:t>
      </w:r>
      <w:r w:rsidRPr="00D17C77">
        <w:rPr>
          <w:color w:val="000000" w:themeColor="text1"/>
          <w:sz w:val="26"/>
          <w:szCs w:val="26"/>
        </w:rPr>
        <w:t xml:space="preserve">one line rates in all four Density Cells represents the maximum that the Company is permitted to allocate to residential protected services under Section 3015(a)(3).  </w:t>
      </w:r>
      <w:r w:rsidR="00F731F3" w:rsidRPr="00D17C77">
        <w:rPr>
          <w:color w:val="000000" w:themeColor="text1"/>
          <w:sz w:val="26"/>
          <w:szCs w:val="26"/>
        </w:rPr>
        <w:t>Accordingly</w:t>
      </w:r>
      <w:r w:rsidRPr="00D17C77">
        <w:rPr>
          <w:color w:val="000000" w:themeColor="text1"/>
          <w:sz w:val="26"/>
          <w:szCs w:val="26"/>
        </w:rPr>
        <w:t>, the OCA submitted that Verizon PA’s PCO filing does not discriminate against business service customers.  OCA M.B. at 2-9.</w:t>
      </w:r>
    </w:p>
    <w:p w14:paraId="52015483" w14:textId="77777777" w:rsidR="00F85CD5" w:rsidRPr="00D17C77" w:rsidRDefault="00F85CD5" w:rsidP="009C4BD6">
      <w:pPr>
        <w:spacing w:line="360" w:lineRule="auto"/>
        <w:ind w:firstLine="1440"/>
        <w:contextualSpacing/>
        <w:rPr>
          <w:color w:val="000000" w:themeColor="text1"/>
          <w:sz w:val="26"/>
          <w:szCs w:val="26"/>
        </w:rPr>
      </w:pPr>
    </w:p>
    <w:p w14:paraId="181412FD" w14:textId="3C01D89E" w:rsidR="00F85CD5" w:rsidRPr="00D17C77" w:rsidRDefault="00F85CD5" w:rsidP="009C4BD6">
      <w:pPr>
        <w:spacing w:line="360" w:lineRule="auto"/>
        <w:ind w:firstLine="1440"/>
        <w:contextualSpacing/>
        <w:rPr>
          <w:color w:val="000000" w:themeColor="text1"/>
          <w:sz w:val="26"/>
          <w:szCs w:val="26"/>
        </w:rPr>
      </w:pPr>
      <w:r w:rsidRPr="00D17C77">
        <w:rPr>
          <w:color w:val="000000" w:themeColor="text1"/>
          <w:sz w:val="26"/>
          <w:szCs w:val="26"/>
        </w:rPr>
        <w:t xml:space="preserve">The OCA also pointed to the testimony of its witness </w:t>
      </w:r>
      <w:r w:rsidR="00943DA8">
        <w:rPr>
          <w:color w:val="000000" w:themeColor="text1"/>
          <w:sz w:val="26"/>
          <w:szCs w:val="26"/>
        </w:rPr>
        <w:t>D</w:t>
      </w:r>
      <w:r w:rsidRPr="00D17C77">
        <w:rPr>
          <w:color w:val="000000" w:themeColor="text1"/>
          <w:sz w:val="26"/>
          <w:szCs w:val="26"/>
        </w:rPr>
        <w:t xml:space="preserve">r. Loube that the Commission has permitted carriers to maintain different rates between different classes of service.  According to the OCA, it is common for </w:t>
      </w:r>
      <w:r w:rsidR="0088508E" w:rsidRPr="00D17C77">
        <w:rPr>
          <w:color w:val="000000" w:themeColor="text1"/>
          <w:sz w:val="26"/>
          <w:szCs w:val="26"/>
        </w:rPr>
        <w:t xml:space="preserve">incumbent </w:t>
      </w:r>
      <w:r w:rsidR="00672B37" w:rsidRPr="00D17C77">
        <w:rPr>
          <w:color w:val="000000" w:themeColor="text1"/>
          <w:sz w:val="26"/>
          <w:szCs w:val="26"/>
        </w:rPr>
        <w:t xml:space="preserve">local exchange </w:t>
      </w:r>
      <w:r w:rsidR="00091096" w:rsidRPr="00D17C77">
        <w:rPr>
          <w:color w:val="000000" w:themeColor="text1"/>
          <w:sz w:val="26"/>
          <w:szCs w:val="26"/>
        </w:rPr>
        <w:t xml:space="preserve">telecommunications </w:t>
      </w:r>
      <w:r w:rsidR="00672B37" w:rsidRPr="00D17C77">
        <w:rPr>
          <w:color w:val="000000" w:themeColor="text1"/>
          <w:sz w:val="26"/>
          <w:szCs w:val="26"/>
        </w:rPr>
        <w:t>carriers (</w:t>
      </w:r>
      <w:r w:rsidR="0088508E" w:rsidRPr="00D17C77">
        <w:rPr>
          <w:color w:val="000000" w:themeColor="text1"/>
          <w:sz w:val="26"/>
          <w:szCs w:val="26"/>
        </w:rPr>
        <w:t>I</w:t>
      </w:r>
      <w:r w:rsidR="00672B37" w:rsidRPr="00D17C77">
        <w:rPr>
          <w:color w:val="000000" w:themeColor="text1"/>
          <w:sz w:val="26"/>
          <w:szCs w:val="26"/>
        </w:rPr>
        <w:t>LECs)</w:t>
      </w:r>
      <w:r w:rsidRPr="00D17C77">
        <w:rPr>
          <w:color w:val="000000" w:themeColor="text1"/>
          <w:sz w:val="26"/>
          <w:szCs w:val="26"/>
        </w:rPr>
        <w:t xml:space="preserve"> in Pennsylvania to price the</w:t>
      </w:r>
      <w:r w:rsidR="00672B37" w:rsidRPr="00D17C77">
        <w:rPr>
          <w:color w:val="000000" w:themeColor="text1"/>
          <w:sz w:val="26"/>
          <w:szCs w:val="26"/>
        </w:rPr>
        <w:t>ir</w:t>
      </w:r>
      <w:r w:rsidRPr="00D17C77">
        <w:rPr>
          <w:color w:val="000000" w:themeColor="text1"/>
          <w:sz w:val="26"/>
          <w:szCs w:val="26"/>
        </w:rPr>
        <w:t xml:space="preserve"> rates for local business service higher than their rates for local residential service.  As such, the OCA </w:t>
      </w:r>
      <w:r w:rsidRPr="00D17C77">
        <w:rPr>
          <w:color w:val="000000" w:themeColor="text1"/>
          <w:sz w:val="26"/>
          <w:szCs w:val="26"/>
        </w:rPr>
        <w:lastRenderedPageBreak/>
        <w:t>claims that Section 1301 does not bar Verizon PA fr</w:t>
      </w:r>
      <w:r w:rsidR="0057476E" w:rsidRPr="00D17C77">
        <w:rPr>
          <w:color w:val="000000" w:themeColor="text1"/>
          <w:sz w:val="26"/>
          <w:szCs w:val="26"/>
        </w:rPr>
        <w:t>o</w:t>
      </w:r>
      <w:r w:rsidRPr="00D17C77">
        <w:rPr>
          <w:color w:val="000000" w:themeColor="text1"/>
          <w:sz w:val="26"/>
          <w:szCs w:val="26"/>
        </w:rPr>
        <w:t xml:space="preserve">m setting different rates for different classes of service.  The OCA further </w:t>
      </w:r>
      <w:r w:rsidR="00CC612C">
        <w:rPr>
          <w:color w:val="000000" w:themeColor="text1"/>
          <w:sz w:val="26"/>
          <w:szCs w:val="26"/>
        </w:rPr>
        <w:t>relied on</w:t>
      </w:r>
      <w:r w:rsidR="00CC612C" w:rsidRPr="00D17C77">
        <w:rPr>
          <w:color w:val="000000" w:themeColor="text1"/>
          <w:sz w:val="26"/>
          <w:szCs w:val="26"/>
        </w:rPr>
        <w:t xml:space="preserve"> </w:t>
      </w:r>
      <w:r w:rsidRPr="00D17C77">
        <w:rPr>
          <w:color w:val="000000" w:themeColor="text1"/>
          <w:sz w:val="26"/>
          <w:szCs w:val="26"/>
        </w:rPr>
        <w:t xml:space="preserve">the testimony of </w:t>
      </w:r>
      <w:r w:rsidR="00943DA8">
        <w:rPr>
          <w:color w:val="000000" w:themeColor="text1"/>
          <w:sz w:val="26"/>
          <w:szCs w:val="26"/>
        </w:rPr>
        <w:t>D</w:t>
      </w:r>
      <w:r w:rsidRPr="00D17C77">
        <w:rPr>
          <w:color w:val="000000" w:themeColor="text1"/>
          <w:sz w:val="26"/>
          <w:szCs w:val="26"/>
        </w:rPr>
        <w:t xml:space="preserve">r. Loube </w:t>
      </w:r>
      <w:r w:rsidR="00CC612C">
        <w:rPr>
          <w:color w:val="000000" w:themeColor="text1"/>
          <w:sz w:val="26"/>
          <w:szCs w:val="26"/>
        </w:rPr>
        <w:t xml:space="preserve">regarding cross-subsidization standards, and noted </w:t>
      </w:r>
      <w:r w:rsidRPr="00D17C77">
        <w:rPr>
          <w:color w:val="000000" w:themeColor="text1"/>
          <w:sz w:val="26"/>
          <w:szCs w:val="26"/>
        </w:rPr>
        <w:t>that while Chapter 30 prohibits cross</w:t>
      </w:r>
      <w:r w:rsidR="00CC0AC4" w:rsidRPr="00D17C77">
        <w:rPr>
          <w:color w:val="000000" w:themeColor="text1"/>
          <w:sz w:val="26"/>
          <w:szCs w:val="26"/>
        </w:rPr>
        <w:noBreakHyphen/>
      </w:r>
      <w:r w:rsidRPr="00D17C77">
        <w:rPr>
          <w:color w:val="000000" w:themeColor="text1"/>
          <w:sz w:val="26"/>
          <w:szCs w:val="26"/>
        </w:rPr>
        <w:t xml:space="preserve">subsidization between competitive and noncompetitive services, there is no such prohibition between retail noncompetitive services to different classes of customers.  OCA M.B. at 11 (citing OCA St. 1 at </w:t>
      </w:r>
      <w:r w:rsidR="00CC612C">
        <w:rPr>
          <w:color w:val="000000" w:themeColor="text1"/>
          <w:sz w:val="26"/>
          <w:szCs w:val="26"/>
        </w:rPr>
        <w:t>13</w:t>
      </w:r>
      <w:r w:rsidRPr="00D17C77">
        <w:rPr>
          <w:color w:val="000000" w:themeColor="text1"/>
          <w:sz w:val="26"/>
          <w:szCs w:val="26"/>
        </w:rPr>
        <w:noBreakHyphen/>
        <w:t>18).</w:t>
      </w:r>
    </w:p>
    <w:p w14:paraId="55292EE1" w14:textId="77777777" w:rsidR="00116E83" w:rsidRPr="00D17C77" w:rsidRDefault="00116E83" w:rsidP="009C4BD6">
      <w:pPr>
        <w:spacing w:line="360" w:lineRule="auto"/>
        <w:ind w:firstLine="1440"/>
        <w:contextualSpacing/>
        <w:rPr>
          <w:color w:val="000000" w:themeColor="text1"/>
          <w:sz w:val="26"/>
          <w:szCs w:val="26"/>
        </w:rPr>
      </w:pPr>
    </w:p>
    <w:p w14:paraId="27F845B5" w14:textId="77777777" w:rsidR="00F85CD5" w:rsidRPr="00D17C77" w:rsidRDefault="00545433" w:rsidP="009C4BD6">
      <w:pPr>
        <w:spacing w:line="360" w:lineRule="auto"/>
        <w:ind w:firstLine="1440"/>
        <w:contextualSpacing/>
        <w:rPr>
          <w:color w:val="000000" w:themeColor="text1"/>
          <w:sz w:val="26"/>
          <w:szCs w:val="26"/>
        </w:rPr>
      </w:pPr>
      <w:r w:rsidRPr="00D17C77">
        <w:rPr>
          <w:color w:val="000000" w:themeColor="text1"/>
          <w:sz w:val="26"/>
          <w:szCs w:val="26"/>
        </w:rPr>
        <w:t xml:space="preserve">Finally, </w:t>
      </w:r>
      <w:r w:rsidR="00F731F3" w:rsidRPr="00D17C77">
        <w:rPr>
          <w:color w:val="000000" w:themeColor="text1"/>
          <w:sz w:val="26"/>
          <w:szCs w:val="26"/>
        </w:rPr>
        <w:t>the OCA disagreed with the</w:t>
      </w:r>
      <w:r w:rsidRPr="00D17C77">
        <w:rPr>
          <w:color w:val="000000" w:themeColor="text1"/>
          <w:sz w:val="26"/>
          <w:szCs w:val="26"/>
        </w:rPr>
        <w:t xml:space="preserve"> OSBA’s </w:t>
      </w:r>
      <w:r w:rsidR="00672B37" w:rsidRPr="00D17C77">
        <w:rPr>
          <w:color w:val="000000" w:themeColor="text1"/>
          <w:sz w:val="26"/>
          <w:szCs w:val="26"/>
        </w:rPr>
        <w:t>claim</w:t>
      </w:r>
      <w:r w:rsidRPr="00D17C77">
        <w:rPr>
          <w:color w:val="000000" w:themeColor="text1"/>
          <w:sz w:val="26"/>
          <w:szCs w:val="26"/>
        </w:rPr>
        <w:t>s regarding statutory construction</w:t>
      </w:r>
      <w:r w:rsidR="00F731F3" w:rsidRPr="00D17C77">
        <w:rPr>
          <w:color w:val="000000" w:themeColor="text1"/>
          <w:sz w:val="26"/>
          <w:szCs w:val="26"/>
        </w:rPr>
        <w:t>.  Namely,</w:t>
      </w:r>
      <w:r w:rsidRPr="00D17C77">
        <w:rPr>
          <w:color w:val="000000" w:themeColor="text1"/>
          <w:sz w:val="26"/>
          <w:szCs w:val="26"/>
        </w:rPr>
        <w:t xml:space="preserve"> the OCA argued that the Commission has the expertise and authority to review and evaluate Verizon’s PCO filings based upon all relevant provisions of Chapters 13 and 30.  Therefore, the OCA contended that the rules of statutory construction provide no useful guidance.  OCA R.B. at 5-6.</w:t>
      </w:r>
    </w:p>
    <w:p w14:paraId="7A96EDAB" w14:textId="77777777" w:rsidR="00F85CD5" w:rsidRPr="00D17C77" w:rsidRDefault="00F85CD5" w:rsidP="009C4BD6">
      <w:pPr>
        <w:spacing w:line="360" w:lineRule="auto"/>
        <w:ind w:firstLine="1440"/>
        <w:contextualSpacing/>
        <w:rPr>
          <w:color w:val="000000" w:themeColor="text1"/>
          <w:sz w:val="26"/>
          <w:szCs w:val="26"/>
        </w:rPr>
      </w:pPr>
    </w:p>
    <w:p w14:paraId="0B28ACD0" w14:textId="4674CCDE" w:rsidR="00116E83" w:rsidRPr="00D17C77" w:rsidRDefault="00791B5E" w:rsidP="00846B7A">
      <w:pPr>
        <w:keepNext/>
        <w:keepLines/>
        <w:spacing w:line="360" w:lineRule="auto"/>
        <w:contextualSpacing/>
        <w:rPr>
          <w:b/>
          <w:bCs/>
          <w:color w:val="000000" w:themeColor="text1"/>
          <w:sz w:val="26"/>
          <w:szCs w:val="26"/>
        </w:rPr>
      </w:pPr>
      <w:r>
        <w:rPr>
          <w:b/>
          <w:bCs/>
          <w:color w:val="000000" w:themeColor="text1"/>
          <w:sz w:val="26"/>
          <w:szCs w:val="26"/>
        </w:rPr>
        <w:t>B</w:t>
      </w:r>
      <w:r w:rsidR="00095CD4">
        <w:rPr>
          <w:b/>
          <w:bCs/>
          <w:color w:val="000000" w:themeColor="text1"/>
          <w:sz w:val="26"/>
          <w:szCs w:val="26"/>
        </w:rPr>
        <w:t>.</w:t>
      </w:r>
      <w:r w:rsidR="00095CD4">
        <w:rPr>
          <w:b/>
          <w:bCs/>
          <w:color w:val="000000" w:themeColor="text1"/>
          <w:sz w:val="26"/>
          <w:szCs w:val="26"/>
        </w:rPr>
        <w:tab/>
        <w:t xml:space="preserve">Summary </w:t>
      </w:r>
      <w:r w:rsidR="00A2169D">
        <w:rPr>
          <w:b/>
          <w:bCs/>
          <w:color w:val="000000" w:themeColor="text1"/>
          <w:sz w:val="26"/>
          <w:szCs w:val="26"/>
        </w:rPr>
        <w:t>O</w:t>
      </w:r>
      <w:r w:rsidR="00A2169D" w:rsidRPr="00D17C77">
        <w:rPr>
          <w:b/>
          <w:bCs/>
          <w:color w:val="000000" w:themeColor="text1"/>
          <w:sz w:val="26"/>
          <w:szCs w:val="26"/>
        </w:rPr>
        <w:t>f</w:t>
      </w:r>
      <w:r w:rsidR="00116E83" w:rsidRPr="00D17C77">
        <w:rPr>
          <w:b/>
          <w:bCs/>
          <w:color w:val="000000" w:themeColor="text1"/>
          <w:sz w:val="26"/>
          <w:szCs w:val="26"/>
        </w:rPr>
        <w:t xml:space="preserve"> ALJs’ Findings</w:t>
      </w:r>
    </w:p>
    <w:p w14:paraId="327A6C6C" w14:textId="77777777" w:rsidR="00116E83" w:rsidRPr="00D17C77" w:rsidRDefault="00116E83" w:rsidP="009C4BD6">
      <w:pPr>
        <w:keepNext/>
        <w:keepLines/>
        <w:spacing w:line="360" w:lineRule="auto"/>
        <w:ind w:firstLine="1440"/>
        <w:contextualSpacing/>
        <w:rPr>
          <w:color w:val="000000" w:themeColor="text1"/>
          <w:sz w:val="26"/>
          <w:szCs w:val="26"/>
        </w:rPr>
      </w:pPr>
    </w:p>
    <w:p w14:paraId="1D9E424E" w14:textId="77777777" w:rsidR="00CA5CB0" w:rsidRPr="00D17C77" w:rsidRDefault="004602F5" w:rsidP="009C4BD6">
      <w:pPr>
        <w:spacing w:line="360" w:lineRule="auto"/>
        <w:ind w:firstLine="1440"/>
        <w:contextualSpacing/>
        <w:rPr>
          <w:color w:val="000000" w:themeColor="text1"/>
          <w:sz w:val="26"/>
          <w:szCs w:val="26"/>
        </w:rPr>
      </w:pPr>
      <w:r w:rsidRPr="00D17C77">
        <w:rPr>
          <w:color w:val="000000" w:themeColor="text1"/>
          <w:sz w:val="26"/>
          <w:szCs w:val="26"/>
        </w:rPr>
        <w:t xml:space="preserve">ALJs Cheskis and Calvelli made seventeen Findings of </w:t>
      </w:r>
      <w:r w:rsidR="009335D3" w:rsidRPr="00D17C77">
        <w:rPr>
          <w:color w:val="000000" w:themeColor="text1"/>
          <w:sz w:val="26"/>
          <w:szCs w:val="26"/>
        </w:rPr>
        <w:t>F</w:t>
      </w:r>
      <w:r w:rsidRPr="00D17C77">
        <w:rPr>
          <w:color w:val="000000" w:themeColor="text1"/>
          <w:sz w:val="26"/>
          <w:szCs w:val="26"/>
        </w:rPr>
        <w:t xml:space="preserve">act and reached fifteen Conclusions of Law.  I.D. at </w:t>
      </w:r>
      <w:r w:rsidR="00AB5AEF" w:rsidRPr="00D17C77">
        <w:rPr>
          <w:color w:val="000000" w:themeColor="text1"/>
          <w:sz w:val="26"/>
          <w:szCs w:val="26"/>
        </w:rPr>
        <w:t xml:space="preserve">5-8, </w:t>
      </w:r>
      <w:r w:rsidRPr="00D17C77">
        <w:rPr>
          <w:color w:val="000000" w:themeColor="text1"/>
          <w:sz w:val="26"/>
          <w:szCs w:val="26"/>
        </w:rPr>
        <w:t xml:space="preserve">22-25.  We shall adopt and incorporate herein by reference the ALJs’ Findings of Fact and Conclusions of Law, unless they are reversed or modified by this Opinion and Order, either expressly or by necessary implication.  </w:t>
      </w:r>
      <w:r w:rsidR="00CA5CB0" w:rsidRPr="00D17C77">
        <w:rPr>
          <w:color w:val="000000" w:themeColor="text1"/>
          <w:sz w:val="26"/>
          <w:szCs w:val="26"/>
        </w:rPr>
        <w:t xml:space="preserve">As will be discussed in greater detail below, the ALJs agreed with the OSBA’s assertion that Verizon PA’s PCO filings represent an opportunity, and not a guaranteed revenue stream.  The ALJs further agreed with the OSBA that all of Verizon PA’s protected, noncompetitive rates must be just, reasonable, and nondiscriminatory.  Nonetheless, the ALJs recommended that the OSBA’s Complaint be dismissed.  The ALJs found that Verizon PA’s proposed rates, set forth in its 2018 PCO </w:t>
      </w:r>
      <w:r w:rsidR="00285E21" w:rsidRPr="00D17C77">
        <w:rPr>
          <w:color w:val="000000" w:themeColor="text1"/>
          <w:sz w:val="26"/>
          <w:szCs w:val="26"/>
        </w:rPr>
        <w:t>F</w:t>
      </w:r>
      <w:r w:rsidR="00CA5CB0" w:rsidRPr="00D17C77">
        <w:rPr>
          <w:color w:val="000000" w:themeColor="text1"/>
          <w:sz w:val="26"/>
          <w:szCs w:val="26"/>
        </w:rPr>
        <w:t>iling, are just, reasonable, and non-discriminatory.  The ALJs also found Verizon PA’s 2018 PCO filing to be in compliance with the Code and relevant Commission regulations and orders.  Therefore, the ALJs concluded that Verizon PA’s 2018 PCO should remain in effect, without modification.  I.D. at 18-22.</w:t>
      </w:r>
    </w:p>
    <w:p w14:paraId="5B62605C" w14:textId="77777777" w:rsidR="00116E83" w:rsidRPr="00D17C77" w:rsidRDefault="00116E83" w:rsidP="009C4BD6">
      <w:pPr>
        <w:spacing w:line="360" w:lineRule="auto"/>
        <w:ind w:firstLine="1440"/>
        <w:contextualSpacing/>
        <w:rPr>
          <w:color w:val="000000" w:themeColor="text1"/>
          <w:sz w:val="26"/>
          <w:szCs w:val="26"/>
        </w:rPr>
      </w:pPr>
    </w:p>
    <w:p w14:paraId="681781D6" w14:textId="2BCB295B" w:rsidR="00116E83" w:rsidRPr="00D17C77" w:rsidRDefault="00791B5E" w:rsidP="00846B7A">
      <w:pPr>
        <w:keepNext/>
        <w:keepLines/>
        <w:spacing w:line="360" w:lineRule="auto"/>
        <w:contextualSpacing/>
        <w:rPr>
          <w:b/>
          <w:bCs/>
          <w:color w:val="000000" w:themeColor="text1"/>
          <w:sz w:val="26"/>
          <w:szCs w:val="26"/>
        </w:rPr>
      </w:pPr>
      <w:r>
        <w:rPr>
          <w:b/>
          <w:bCs/>
          <w:color w:val="000000" w:themeColor="text1"/>
          <w:sz w:val="26"/>
          <w:szCs w:val="26"/>
        </w:rPr>
        <w:t>C</w:t>
      </w:r>
      <w:r w:rsidR="00116E83" w:rsidRPr="00D17C77">
        <w:rPr>
          <w:b/>
          <w:bCs/>
          <w:color w:val="000000" w:themeColor="text1"/>
          <w:sz w:val="26"/>
          <w:szCs w:val="26"/>
        </w:rPr>
        <w:t>.</w:t>
      </w:r>
      <w:r w:rsidR="00116E83" w:rsidRPr="00D17C77">
        <w:rPr>
          <w:b/>
          <w:bCs/>
          <w:color w:val="000000" w:themeColor="text1"/>
          <w:sz w:val="26"/>
          <w:szCs w:val="26"/>
        </w:rPr>
        <w:tab/>
        <w:t>Exceptions</w:t>
      </w:r>
    </w:p>
    <w:p w14:paraId="68DCD577" w14:textId="77777777" w:rsidR="00882519" w:rsidRPr="00D17C77" w:rsidRDefault="00882519" w:rsidP="009C4BD6">
      <w:pPr>
        <w:keepNext/>
        <w:keepLines/>
        <w:spacing w:after="200" w:line="360" w:lineRule="auto"/>
        <w:contextualSpacing/>
        <w:rPr>
          <w:rFonts w:eastAsia="Calibri"/>
          <w:color w:val="000000" w:themeColor="text1"/>
          <w:sz w:val="26"/>
          <w:szCs w:val="26"/>
        </w:rPr>
      </w:pPr>
      <w:bookmarkStart w:id="6" w:name="_Hlk20832347"/>
    </w:p>
    <w:p w14:paraId="7AF6378E" w14:textId="77777777" w:rsidR="009B5DEF" w:rsidRPr="00D17C77" w:rsidRDefault="009B5DEF" w:rsidP="009B5DEF">
      <w:pPr>
        <w:spacing w:line="360" w:lineRule="auto"/>
        <w:ind w:firstLine="1440"/>
        <w:contextualSpacing/>
        <w:rPr>
          <w:color w:val="000000" w:themeColor="text1"/>
          <w:sz w:val="26"/>
          <w:szCs w:val="26"/>
        </w:rPr>
      </w:pPr>
      <w:r w:rsidRPr="00D17C77">
        <w:rPr>
          <w:color w:val="000000" w:themeColor="text1"/>
          <w:sz w:val="26"/>
          <w:szCs w:val="26"/>
        </w:rPr>
        <w:t>As a preliminary matter</w:t>
      </w:r>
      <w:r w:rsidR="006B342B" w:rsidRPr="00D17C77">
        <w:rPr>
          <w:color w:val="000000" w:themeColor="text1"/>
          <w:sz w:val="26"/>
          <w:szCs w:val="26"/>
        </w:rPr>
        <w:t>,</w:t>
      </w:r>
      <w:r w:rsidRPr="00D17C77">
        <w:rPr>
          <w:color w:val="000000" w:themeColor="text1"/>
          <w:sz w:val="26"/>
          <w:szCs w:val="26"/>
        </w:rPr>
        <w:t xml:space="preserve"> before addressing the Exceptions, we note that any issue or Exception that we do not specifically address shall be deemed to have been duly considered and will be denied without further discussion.  The Commission is not required to consider expressly or at length each contention or argument raised by the Parties.  </w:t>
      </w:r>
      <w:r w:rsidRPr="00D17C77">
        <w:rPr>
          <w:i/>
          <w:color w:val="000000" w:themeColor="text1"/>
          <w:sz w:val="26"/>
          <w:szCs w:val="26"/>
        </w:rPr>
        <w:t>Consolidated Rail Corp. v. Pa. PUC</w:t>
      </w:r>
      <w:r w:rsidRPr="00D17C77">
        <w:rPr>
          <w:color w:val="000000" w:themeColor="text1"/>
          <w:sz w:val="26"/>
          <w:szCs w:val="26"/>
        </w:rPr>
        <w:t xml:space="preserve">, 625 A.2d 741 (Pa. Cmwlth. 1993); </w:t>
      </w:r>
      <w:r w:rsidRPr="00D17C77">
        <w:rPr>
          <w:i/>
          <w:color w:val="000000" w:themeColor="text1"/>
          <w:sz w:val="26"/>
          <w:szCs w:val="26"/>
        </w:rPr>
        <w:t>also see, generally</w:t>
      </w:r>
      <w:r w:rsidRPr="00D17C77">
        <w:rPr>
          <w:color w:val="000000" w:themeColor="text1"/>
          <w:sz w:val="26"/>
          <w:szCs w:val="26"/>
        </w:rPr>
        <w:t xml:space="preserve">, </w:t>
      </w:r>
      <w:r w:rsidRPr="00D17C77">
        <w:rPr>
          <w:i/>
          <w:color w:val="000000" w:themeColor="text1"/>
          <w:sz w:val="26"/>
          <w:szCs w:val="26"/>
        </w:rPr>
        <w:t>University of Pennsylvania v. Pa. PUC</w:t>
      </w:r>
      <w:r w:rsidRPr="00D17C77">
        <w:rPr>
          <w:color w:val="000000" w:themeColor="text1"/>
          <w:sz w:val="26"/>
          <w:szCs w:val="26"/>
        </w:rPr>
        <w:t>, 485 A.2d 1217 (Pa. Cmwlth. 1984).</w:t>
      </w:r>
    </w:p>
    <w:p w14:paraId="52BE300E" w14:textId="77777777" w:rsidR="009B5DEF" w:rsidRPr="00D17C77" w:rsidRDefault="009B5DEF" w:rsidP="009B5DEF">
      <w:pPr>
        <w:spacing w:after="200" w:line="360" w:lineRule="auto"/>
        <w:contextualSpacing/>
        <w:rPr>
          <w:rFonts w:eastAsia="Calibri"/>
          <w:color w:val="000000" w:themeColor="text1"/>
          <w:sz w:val="26"/>
          <w:szCs w:val="26"/>
        </w:rPr>
      </w:pPr>
    </w:p>
    <w:p w14:paraId="65467176" w14:textId="77777777" w:rsidR="009B5DEF" w:rsidRPr="00D17C77" w:rsidRDefault="009B5DEF" w:rsidP="009B5DEF">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 xml:space="preserve">The OSBA filed nine Exceptions to the Initial Decision, which are grouped into </w:t>
      </w:r>
      <w:r w:rsidR="006B342B" w:rsidRPr="00D17C77">
        <w:rPr>
          <w:rFonts w:eastAsia="Calibri"/>
          <w:color w:val="000000" w:themeColor="text1"/>
          <w:sz w:val="26"/>
          <w:szCs w:val="26"/>
        </w:rPr>
        <w:t xml:space="preserve">three main </w:t>
      </w:r>
      <w:r w:rsidRPr="00D17C77">
        <w:rPr>
          <w:rFonts w:eastAsia="Calibri"/>
          <w:color w:val="000000" w:themeColor="text1"/>
          <w:sz w:val="26"/>
          <w:szCs w:val="26"/>
        </w:rPr>
        <w:t>issues.  These Exceptions are addressed below.</w:t>
      </w:r>
    </w:p>
    <w:p w14:paraId="5A7B96AE" w14:textId="77777777" w:rsidR="009B5DEF" w:rsidRPr="00D17C77" w:rsidRDefault="009B5DEF" w:rsidP="009B5DEF">
      <w:pPr>
        <w:spacing w:after="200" w:line="360" w:lineRule="auto"/>
        <w:contextualSpacing/>
        <w:rPr>
          <w:rFonts w:eastAsia="Calibri"/>
          <w:color w:val="000000" w:themeColor="text1"/>
          <w:sz w:val="26"/>
          <w:szCs w:val="26"/>
        </w:rPr>
      </w:pPr>
    </w:p>
    <w:p w14:paraId="525070BE" w14:textId="7440D96D" w:rsidR="00882519" w:rsidRPr="00D17C77" w:rsidRDefault="00791B5E" w:rsidP="00846B7A">
      <w:pPr>
        <w:keepNext/>
        <w:keepLines/>
        <w:ind w:left="1440" w:hanging="720"/>
        <w:contextualSpacing/>
        <w:rPr>
          <w:b/>
          <w:bCs/>
          <w:color w:val="000000" w:themeColor="text1"/>
          <w:sz w:val="26"/>
          <w:szCs w:val="26"/>
        </w:rPr>
      </w:pPr>
      <w:r>
        <w:rPr>
          <w:b/>
          <w:bCs/>
          <w:color w:val="000000" w:themeColor="text1"/>
          <w:sz w:val="26"/>
          <w:szCs w:val="26"/>
        </w:rPr>
        <w:t>1</w:t>
      </w:r>
      <w:r w:rsidR="00882519" w:rsidRPr="00D17C77">
        <w:rPr>
          <w:b/>
          <w:bCs/>
          <w:color w:val="000000" w:themeColor="text1"/>
          <w:sz w:val="26"/>
          <w:szCs w:val="26"/>
        </w:rPr>
        <w:t>.</w:t>
      </w:r>
      <w:r w:rsidR="00882519" w:rsidRPr="00D17C77">
        <w:rPr>
          <w:b/>
          <w:bCs/>
          <w:color w:val="000000" w:themeColor="text1"/>
          <w:sz w:val="26"/>
          <w:szCs w:val="26"/>
        </w:rPr>
        <w:tab/>
        <w:t xml:space="preserve">Whether </w:t>
      </w:r>
      <w:r w:rsidR="00122641">
        <w:rPr>
          <w:b/>
          <w:bCs/>
          <w:color w:val="000000" w:themeColor="text1"/>
          <w:sz w:val="26"/>
          <w:szCs w:val="26"/>
        </w:rPr>
        <w:t>T</w:t>
      </w:r>
      <w:r w:rsidR="00122641" w:rsidRPr="00D17C77">
        <w:rPr>
          <w:b/>
          <w:bCs/>
          <w:color w:val="000000" w:themeColor="text1"/>
          <w:sz w:val="26"/>
          <w:szCs w:val="26"/>
        </w:rPr>
        <w:t xml:space="preserve">he </w:t>
      </w:r>
      <w:r w:rsidR="00122641">
        <w:rPr>
          <w:b/>
          <w:bCs/>
          <w:color w:val="000000" w:themeColor="text1"/>
          <w:sz w:val="26"/>
          <w:szCs w:val="26"/>
        </w:rPr>
        <w:t>ALJ</w:t>
      </w:r>
      <w:r w:rsidR="00122641" w:rsidRPr="00D17C77">
        <w:rPr>
          <w:b/>
          <w:bCs/>
          <w:color w:val="000000" w:themeColor="text1"/>
          <w:sz w:val="26"/>
          <w:szCs w:val="26"/>
        </w:rPr>
        <w:t xml:space="preserve">s </w:t>
      </w:r>
      <w:r w:rsidR="00846B7A" w:rsidRPr="00D17C77">
        <w:rPr>
          <w:b/>
          <w:bCs/>
          <w:color w:val="000000" w:themeColor="text1"/>
          <w:sz w:val="26"/>
          <w:szCs w:val="26"/>
        </w:rPr>
        <w:t>Erred</w:t>
      </w:r>
      <w:r w:rsidR="004C6FDA">
        <w:rPr>
          <w:b/>
          <w:bCs/>
          <w:color w:val="000000" w:themeColor="text1"/>
          <w:sz w:val="26"/>
          <w:szCs w:val="26"/>
        </w:rPr>
        <w:t xml:space="preserve"> </w:t>
      </w:r>
      <w:r w:rsidR="00122641">
        <w:rPr>
          <w:b/>
          <w:bCs/>
          <w:color w:val="000000" w:themeColor="text1"/>
          <w:sz w:val="26"/>
          <w:szCs w:val="26"/>
        </w:rPr>
        <w:t>I</w:t>
      </w:r>
      <w:r w:rsidR="00122641" w:rsidRPr="00D17C77">
        <w:rPr>
          <w:b/>
          <w:bCs/>
          <w:color w:val="000000" w:themeColor="text1"/>
          <w:sz w:val="26"/>
          <w:szCs w:val="26"/>
        </w:rPr>
        <w:t xml:space="preserve">n </w:t>
      </w:r>
      <w:r w:rsidR="00846B7A" w:rsidRPr="00D17C77">
        <w:rPr>
          <w:b/>
          <w:bCs/>
          <w:color w:val="000000" w:themeColor="text1"/>
          <w:sz w:val="26"/>
          <w:szCs w:val="26"/>
        </w:rPr>
        <w:t xml:space="preserve">Interpreting </w:t>
      </w:r>
      <w:r w:rsidR="00122641">
        <w:rPr>
          <w:b/>
          <w:bCs/>
          <w:color w:val="000000" w:themeColor="text1"/>
          <w:sz w:val="26"/>
          <w:szCs w:val="26"/>
        </w:rPr>
        <w:t>T</w:t>
      </w:r>
      <w:r w:rsidR="00122641" w:rsidRPr="00D17C77">
        <w:rPr>
          <w:b/>
          <w:bCs/>
          <w:color w:val="000000" w:themeColor="text1"/>
          <w:sz w:val="26"/>
          <w:szCs w:val="26"/>
        </w:rPr>
        <w:t xml:space="preserve">he </w:t>
      </w:r>
      <w:r w:rsidR="00846B7A" w:rsidRPr="00D17C77">
        <w:rPr>
          <w:b/>
          <w:bCs/>
          <w:color w:val="000000" w:themeColor="text1"/>
          <w:sz w:val="26"/>
          <w:szCs w:val="26"/>
        </w:rPr>
        <w:t xml:space="preserve">Position </w:t>
      </w:r>
      <w:r w:rsidR="00122641">
        <w:rPr>
          <w:b/>
          <w:bCs/>
          <w:color w:val="000000" w:themeColor="text1"/>
          <w:sz w:val="26"/>
          <w:szCs w:val="26"/>
        </w:rPr>
        <w:t>O</w:t>
      </w:r>
      <w:r w:rsidR="00122641" w:rsidRPr="00D17C77">
        <w:rPr>
          <w:b/>
          <w:bCs/>
          <w:color w:val="000000" w:themeColor="text1"/>
          <w:sz w:val="26"/>
          <w:szCs w:val="26"/>
        </w:rPr>
        <w:t xml:space="preserve">f </w:t>
      </w:r>
      <w:r w:rsidR="00122641">
        <w:rPr>
          <w:b/>
          <w:bCs/>
          <w:color w:val="000000" w:themeColor="text1"/>
          <w:sz w:val="26"/>
          <w:szCs w:val="26"/>
        </w:rPr>
        <w:t>T</w:t>
      </w:r>
      <w:r w:rsidR="00122641" w:rsidRPr="00D17C77">
        <w:rPr>
          <w:b/>
          <w:bCs/>
          <w:color w:val="000000" w:themeColor="text1"/>
          <w:sz w:val="26"/>
          <w:szCs w:val="26"/>
        </w:rPr>
        <w:t xml:space="preserve">he </w:t>
      </w:r>
      <w:r w:rsidR="00882519" w:rsidRPr="00D17C77">
        <w:rPr>
          <w:b/>
          <w:bCs/>
          <w:color w:val="000000" w:themeColor="text1"/>
          <w:sz w:val="26"/>
          <w:szCs w:val="26"/>
        </w:rPr>
        <w:t xml:space="preserve">OSBA </w:t>
      </w:r>
      <w:r w:rsidR="00846B7A" w:rsidRPr="00D17C77">
        <w:rPr>
          <w:b/>
          <w:bCs/>
          <w:color w:val="000000" w:themeColor="text1"/>
          <w:sz w:val="26"/>
          <w:szCs w:val="26"/>
        </w:rPr>
        <w:t xml:space="preserve">Regarding Caps </w:t>
      </w:r>
      <w:r w:rsidR="00122641">
        <w:rPr>
          <w:b/>
          <w:bCs/>
          <w:color w:val="000000" w:themeColor="text1"/>
          <w:sz w:val="26"/>
          <w:szCs w:val="26"/>
        </w:rPr>
        <w:t>O</w:t>
      </w:r>
      <w:r w:rsidR="00122641" w:rsidRPr="00D17C77">
        <w:rPr>
          <w:b/>
          <w:bCs/>
          <w:color w:val="000000" w:themeColor="text1"/>
          <w:sz w:val="26"/>
          <w:szCs w:val="26"/>
        </w:rPr>
        <w:t xml:space="preserve">n </w:t>
      </w:r>
      <w:r w:rsidR="00846B7A" w:rsidRPr="00D17C77">
        <w:rPr>
          <w:b/>
          <w:bCs/>
          <w:color w:val="000000" w:themeColor="text1"/>
          <w:sz w:val="26"/>
          <w:szCs w:val="26"/>
        </w:rPr>
        <w:t xml:space="preserve">Residential </w:t>
      </w:r>
      <w:r w:rsidR="00122641">
        <w:rPr>
          <w:b/>
          <w:bCs/>
          <w:color w:val="000000" w:themeColor="text1"/>
          <w:sz w:val="26"/>
          <w:szCs w:val="26"/>
        </w:rPr>
        <w:t>A</w:t>
      </w:r>
      <w:r w:rsidR="00122641" w:rsidRPr="00D17C77">
        <w:rPr>
          <w:b/>
          <w:bCs/>
          <w:color w:val="000000" w:themeColor="text1"/>
          <w:sz w:val="26"/>
          <w:szCs w:val="26"/>
        </w:rPr>
        <w:t xml:space="preserve">nd </w:t>
      </w:r>
      <w:r w:rsidR="00846B7A" w:rsidRPr="00D17C77">
        <w:rPr>
          <w:b/>
          <w:bCs/>
          <w:color w:val="000000" w:themeColor="text1"/>
          <w:sz w:val="26"/>
          <w:szCs w:val="26"/>
        </w:rPr>
        <w:t xml:space="preserve">Business Rates </w:t>
      </w:r>
      <w:r w:rsidR="00122641" w:rsidRPr="00D17C77">
        <w:rPr>
          <w:b/>
          <w:bCs/>
          <w:color w:val="000000" w:themeColor="text1"/>
          <w:sz w:val="26"/>
          <w:szCs w:val="26"/>
        </w:rPr>
        <w:t>(</w:t>
      </w:r>
      <w:r w:rsidR="00882519" w:rsidRPr="00D17C77">
        <w:rPr>
          <w:b/>
          <w:bCs/>
          <w:color w:val="000000" w:themeColor="text1"/>
          <w:sz w:val="26"/>
          <w:szCs w:val="26"/>
        </w:rPr>
        <w:t>OSBA Exception Nos</w:t>
      </w:r>
      <w:r w:rsidR="00122641" w:rsidRPr="00D17C77">
        <w:rPr>
          <w:b/>
          <w:bCs/>
          <w:color w:val="000000" w:themeColor="text1"/>
          <w:sz w:val="26"/>
          <w:szCs w:val="26"/>
        </w:rPr>
        <w:t xml:space="preserve">. 1, 3, </w:t>
      </w:r>
      <w:r w:rsidR="00846B7A" w:rsidRPr="00D17C77">
        <w:rPr>
          <w:b/>
          <w:bCs/>
          <w:color w:val="000000" w:themeColor="text1"/>
          <w:sz w:val="26"/>
          <w:szCs w:val="26"/>
        </w:rPr>
        <w:t xml:space="preserve">And </w:t>
      </w:r>
      <w:r w:rsidR="00122641" w:rsidRPr="00D17C77">
        <w:rPr>
          <w:b/>
          <w:bCs/>
          <w:color w:val="000000" w:themeColor="text1"/>
          <w:sz w:val="26"/>
          <w:szCs w:val="26"/>
        </w:rPr>
        <w:t>4)</w:t>
      </w:r>
    </w:p>
    <w:p w14:paraId="73021990" w14:textId="77777777" w:rsidR="00882519" w:rsidRPr="00D17C77" w:rsidRDefault="00882519" w:rsidP="009C4BD6">
      <w:pPr>
        <w:keepNext/>
        <w:keepLines/>
        <w:spacing w:line="360" w:lineRule="auto"/>
        <w:ind w:firstLine="1440"/>
        <w:contextualSpacing/>
        <w:rPr>
          <w:color w:val="000000" w:themeColor="text1"/>
          <w:sz w:val="26"/>
          <w:szCs w:val="26"/>
        </w:rPr>
      </w:pPr>
    </w:p>
    <w:p w14:paraId="329BA2C6" w14:textId="522570B1" w:rsidR="00882519"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a</w:t>
      </w:r>
      <w:r w:rsidR="00882519" w:rsidRPr="00D17C77">
        <w:rPr>
          <w:b/>
          <w:bCs/>
          <w:color w:val="000000" w:themeColor="text1"/>
          <w:sz w:val="26"/>
          <w:szCs w:val="26"/>
        </w:rPr>
        <w:t>.</w:t>
      </w:r>
      <w:r w:rsidR="00882519" w:rsidRPr="00D17C77">
        <w:rPr>
          <w:b/>
          <w:bCs/>
          <w:color w:val="000000" w:themeColor="text1"/>
          <w:sz w:val="26"/>
          <w:szCs w:val="26"/>
        </w:rPr>
        <w:tab/>
        <w:t>The ALJs’ Initial Decision</w:t>
      </w:r>
    </w:p>
    <w:p w14:paraId="17C04A58" w14:textId="77777777" w:rsidR="00882519" w:rsidRPr="00D17C77" w:rsidRDefault="00882519" w:rsidP="009C4BD6">
      <w:pPr>
        <w:keepNext/>
        <w:keepLines/>
        <w:spacing w:line="360" w:lineRule="auto"/>
        <w:ind w:firstLine="1440"/>
        <w:contextualSpacing/>
        <w:rPr>
          <w:color w:val="000000" w:themeColor="text1"/>
          <w:sz w:val="26"/>
          <w:szCs w:val="26"/>
        </w:rPr>
      </w:pPr>
    </w:p>
    <w:p w14:paraId="46F0BF3A" w14:textId="77777777" w:rsidR="005170D8" w:rsidRPr="00D17C77" w:rsidRDefault="00882519" w:rsidP="009C4BD6">
      <w:pPr>
        <w:spacing w:line="360" w:lineRule="auto"/>
        <w:ind w:firstLine="1440"/>
        <w:contextualSpacing/>
        <w:rPr>
          <w:color w:val="000000" w:themeColor="text1"/>
          <w:sz w:val="26"/>
          <w:szCs w:val="26"/>
        </w:rPr>
      </w:pPr>
      <w:r w:rsidRPr="00D17C77">
        <w:rPr>
          <w:color w:val="000000" w:themeColor="text1"/>
          <w:sz w:val="26"/>
          <w:szCs w:val="26"/>
        </w:rPr>
        <w:t>In their Initial Decision, the ALJs stated: “the OSBA contends that the residential rate cap restrictions must be abandoned when following them would result in an unreasonable and discriminatory preference against business customers.”  In summarizing the position of the OSBA in this regard, the ALJs quoted the surrebuttal testimony of the OSBA’s witness Mr. Gilla</w:t>
      </w:r>
      <w:r w:rsidR="005170D8" w:rsidRPr="00D17C77">
        <w:rPr>
          <w:color w:val="000000" w:themeColor="text1"/>
          <w:sz w:val="26"/>
          <w:szCs w:val="26"/>
        </w:rPr>
        <w:t>n, who stated as follows:</w:t>
      </w:r>
    </w:p>
    <w:p w14:paraId="1CE4E2D3" w14:textId="77777777" w:rsidR="005170D8" w:rsidRPr="00D17C77" w:rsidRDefault="005170D8" w:rsidP="009C4BD6">
      <w:pPr>
        <w:spacing w:line="360" w:lineRule="auto"/>
        <w:ind w:firstLine="1440"/>
        <w:contextualSpacing/>
        <w:rPr>
          <w:color w:val="000000" w:themeColor="text1"/>
          <w:sz w:val="26"/>
          <w:szCs w:val="26"/>
        </w:rPr>
      </w:pPr>
    </w:p>
    <w:p w14:paraId="13DE6876" w14:textId="77777777" w:rsidR="005170D8" w:rsidRPr="00D17C77" w:rsidRDefault="005170D8" w:rsidP="009C4BD6">
      <w:pPr>
        <w:ind w:left="1440" w:right="1440"/>
        <w:contextualSpacing/>
        <w:rPr>
          <w:color w:val="000000" w:themeColor="text1"/>
          <w:sz w:val="26"/>
          <w:szCs w:val="26"/>
        </w:rPr>
      </w:pPr>
      <w:r w:rsidRPr="00D17C77">
        <w:rPr>
          <w:color w:val="000000" w:themeColor="text1"/>
          <w:sz w:val="26"/>
          <w:szCs w:val="26"/>
        </w:rPr>
        <w:t xml:space="preserve">[W]hile Verizon’s overall revenues must comply with the inflation adjustment of the PCO, its noncompetitive business services are still limited by the JR&amp;ND [just, reasonable and non-discriminatory] rate standard if its proposed rates (or rate increases) exceed JR&amp;ND levels. If this limit prevents </w:t>
      </w:r>
      <w:r w:rsidRPr="00D17C77">
        <w:rPr>
          <w:color w:val="000000" w:themeColor="text1"/>
          <w:sz w:val="26"/>
          <w:szCs w:val="26"/>
        </w:rPr>
        <w:lastRenderedPageBreak/>
        <w:t>Verizon [from] fully realizing its inflation-adjusted revenue levels, then so be it. It has no guarantee under Chapter 30 that its noncompetitive business services will always make it whole.</w:t>
      </w:r>
    </w:p>
    <w:p w14:paraId="565A25FF" w14:textId="77777777" w:rsidR="005170D8" w:rsidRPr="00D17C77" w:rsidRDefault="005170D8" w:rsidP="009C4BD6">
      <w:pPr>
        <w:spacing w:line="360" w:lineRule="auto"/>
        <w:ind w:firstLine="1440"/>
        <w:contextualSpacing/>
        <w:rPr>
          <w:color w:val="000000" w:themeColor="text1"/>
          <w:sz w:val="26"/>
          <w:szCs w:val="26"/>
        </w:rPr>
      </w:pPr>
    </w:p>
    <w:p w14:paraId="5B708B24" w14:textId="77777777" w:rsidR="00882519" w:rsidRPr="00D17C77" w:rsidRDefault="00882519" w:rsidP="009C4BD6">
      <w:pPr>
        <w:spacing w:line="360" w:lineRule="auto"/>
        <w:contextualSpacing/>
        <w:rPr>
          <w:color w:val="000000" w:themeColor="text1"/>
          <w:sz w:val="26"/>
          <w:szCs w:val="26"/>
        </w:rPr>
      </w:pPr>
      <w:r w:rsidRPr="00D17C77">
        <w:rPr>
          <w:color w:val="000000" w:themeColor="text1"/>
          <w:sz w:val="26"/>
          <w:szCs w:val="26"/>
        </w:rPr>
        <w:t>I.D. at 16 (citing OSBA St. No. 1-SR at 4).</w:t>
      </w:r>
    </w:p>
    <w:p w14:paraId="0796C650" w14:textId="77777777" w:rsidR="00882519" w:rsidRPr="00D17C77" w:rsidRDefault="00882519" w:rsidP="009C4BD6">
      <w:pPr>
        <w:spacing w:line="360" w:lineRule="auto"/>
        <w:ind w:firstLine="1440"/>
        <w:contextualSpacing/>
        <w:rPr>
          <w:color w:val="000000" w:themeColor="text1"/>
          <w:sz w:val="26"/>
          <w:szCs w:val="26"/>
        </w:rPr>
      </w:pPr>
    </w:p>
    <w:p w14:paraId="3E42A38F" w14:textId="77777777" w:rsidR="00882519" w:rsidRPr="00D17C77" w:rsidRDefault="00882519" w:rsidP="009C4BD6">
      <w:pPr>
        <w:spacing w:line="360" w:lineRule="auto"/>
        <w:ind w:firstLine="1440"/>
        <w:contextualSpacing/>
        <w:rPr>
          <w:color w:val="000000" w:themeColor="text1"/>
          <w:sz w:val="26"/>
          <w:szCs w:val="26"/>
        </w:rPr>
      </w:pPr>
      <w:bookmarkStart w:id="7" w:name="_Hlk26875064"/>
      <w:r w:rsidRPr="00D17C77">
        <w:rPr>
          <w:color w:val="000000" w:themeColor="text1"/>
          <w:sz w:val="26"/>
          <w:szCs w:val="26"/>
        </w:rPr>
        <w:t xml:space="preserve">The ALJs rejected the OSBA’s position to the extent that </w:t>
      </w:r>
      <w:r w:rsidR="00257875" w:rsidRPr="00D17C77">
        <w:rPr>
          <w:color w:val="000000" w:themeColor="text1"/>
          <w:sz w:val="26"/>
          <w:szCs w:val="26"/>
        </w:rPr>
        <w:t>the OSBA</w:t>
      </w:r>
      <w:r w:rsidRPr="00D17C77">
        <w:rPr>
          <w:color w:val="000000" w:themeColor="text1"/>
          <w:sz w:val="26"/>
          <w:szCs w:val="26"/>
        </w:rPr>
        <w:t xml:space="preserve"> advocates that the residential rate limitations set forth in Section 3015(a)(3) may be disregarded to ensure what the OSBA views as a more equitable distribution of the PCO rate increases between residential and business customers.  </w:t>
      </w:r>
      <w:bookmarkEnd w:id="7"/>
      <w:r w:rsidRPr="00D17C77">
        <w:rPr>
          <w:color w:val="000000" w:themeColor="text1"/>
          <w:sz w:val="26"/>
          <w:szCs w:val="26"/>
        </w:rPr>
        <w:t>The ALJs also rejected the position of the OSBA to the extent that the OSBA advocates that the Commission should establish a cap for Verizon PA’s noncompetitive</w:t>
      </w:r>
      <w:r w:rsidR="00CE0EED" w:rsidRPr="00D17C77">
        <w:rPr>
          <w:color w:val="000000" w:themeColor="text1"/>
          <w:sz w:val="26"/>
          <w:szCs w:val="26"/>
        </w:rPr>
        <w:t xml:space="preserve"> business service</w:t>
      </w:r>
      <w:r w:rsidRPr="00D17C77">
        <w:rPr>
          <w:color w:val="000000" w:themeColor="text1"/>
          <w:sz w:val="26"/>
          <w:szCs w:val="26"/>
        </w:rPr>
        <w:t xml:space="preserve"> rates such that the amount Verizon PA may increase its business rates by in its 2018 PCO</w:t>
      </w:r>
      <w:r w:rsidR="006B342B" w:rsidRPr="00D17C77">
        <w:rPr>
          <w:color w:val="000000" w:themeColor="text1"/>
          <w:sz w:val="26"/>
          <w:szCs w:val="26"/>
        </w:rPr>
        <w:t xml:space="preserve"> Filing</w:t>
      </w:r>
      <w:r w:rsidRPr="00D17C77">
        <w:rPr>
          <w:color w:val="000000" w:themeColor="text1"/>
          <w:sz w:val="26"/>
          <w:szCs w:val="26"/>
        </w:rPr>
        <w:t xml:space="preserve"> is reduced.  The ALJs found that while Section 3015(a)(3) of the Code expressly sets forth a cap for increases to residential rates, there is no explicit cap on increases for business rates.  The ALJs also found that the </w:t>
      </w:r>
      <w:r w:rsidRPr="00D17C77">
        <w:rPr>
          <w:i/>
          <w:iCs/>
          <w:color w:val="000000" w:themeColor="text1"/>
          <w:sz w:val="26"/>
          <w:szCs w:val="26"/>
        </w:rPr>
        <w:t xml:space="preserve">March 2007 Order </w:t>
      </w:r>
      <w:r w:rsidRPr="00D17C77">
        <w:rPr>
          <w:color w:val="000000" w:themeColor="text1"/>
          <w:sz w:val="26"/>
          <w:szCs w:val="26"/>
        </w:rPr>
        <w:t xml:space="preserve">supports their conclusion that Section 3015 precludes the imposition of a hard cap on increases to business rates in PCO related filings and proceedings.  I.D. at 18-19.  The ALJs pointed out that in the </w:t>
      </w:r>
      <w:r w:rsidRPr="00D17C77">
        <w:rPr>
          <w:i/>
          <w:iCs/>
          <w:color w:val="000000" w:themeColor="text1"/>
          <w:sz w:val="26"/>
          <w:szCs w:val="26"/>
        </w:rPr>
        <w:t xml:space="preserve">March 2007 Order, </w:t>
      </w:r>
      <w:r w:rsidRPr="00D17C77">
        <w:rPr>
          <w:color w:val="000000" w:themeColor="text1"/>
          <w:sz w:val="26"/>
          <w:szCs w:val="26"/>
        </w:rPr>
        <w:t xml:space="preserve">the Commission concluded that there was no basis to direct Verizon PA to limit increases for business rates given that Verizon PA filed an amendment to its Chapter 30 Plan that was consistent with the passage of Act 183 of 2004, which eliminated the cap on small business customer rates.  </w:t>
      </w:r>
      <w:r w:rsidRPr="00D17C77">
        <w:rPr>
          <w:i/>
          <w:iCs/>
          <w:color w:val="000000" w:themeColor="text1"/>
          <w:sz w:val="26"/>
          <w:szCs w:val="26"/>
        </w:rPr>
        <w:t>Id.</w:t>
      </w:r>
      <w:r w:rsidRPr="00D17C77">
        <w:rPr>
          <w:color w:val="000000" w:themeColor="text1"/>
          <w:sz w:val="26"/>
          <w:szCs w:val="26"/>
        </w:rPr>
        <w:t xml:space="preserve"> at 19 (citing </w:t>
      </w:r>
      <w:r w:rsidRPr="00D17C77">
        <w:rPr>
          <w:i/>
          <w:iCs/>
          <w:color w:val="000000" w:themeColor="text1"/>
          <w:sz w:val="26"/>
          <w:szCs w:val="26"/>
        </w:rPr>
        <w:t xml:space="preserve">March 2007 Order </w:t>
      </w:r>
      <w:r w:rsidRPr="00D17C77">
        <w:rPr>
          <w:color w:val="000000" w:themeColor="text1"/>
          <w:sz w:val="26"/>
          <w:szCs w:val="26"/>
        </w:rPr>
        <w:t>at 36).</w:t>
      </w:r>
    </w:p>
    <w:p w14:paraId="1D897D24" w14:textId="77777777" w:rsidR="00882519" w:rsidRPr="00D17C77" w:rsidRDefault="00882519" w:rsidP="009C4BD6">
      <w:pPr>
        <w:spacing w:line="360" w:lineRule="auto"/>
        <w:ind w:firstLine="1440"/>
        <w:contextualSpacing/>
        <w:rPr>
          <w:color w:val="000000" w:themeColor="text1"/>
          <w:sz w:val="26"/>
          <w:szCs w:val="26"/>
        </w:rPr>
      </w:pPr>
    </w:p>
    <w:p w14:paraId="3E929FE6" w14:textId="2CDB2B53" w:rsidR="00882519"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b</w:t>
      </w:r>
      <w:r w:rsidR="00882519" w:rsidRPr="00D17C77">
        <w:rPr>
          <w:b/>
          <w:bCs/>
          <w:color w:val="000000" w:themeColor="text1"/>
          <w:sz w:val="26"/>
          <w:szCs w:val="26"/>
        </w:rPr>
        <w:t>.</w:t>
      </w:r>
      <w:r w:rsidR="00882519" w:rsidRPr="00D17C77">
        <w:rPr>
          <w:b/>
          <w:bCs/>
          <w:color w:val="000000" w:themeColor="text1"/>
          <w:sz w:val="26"/>
          <w:szCs w:val="26"/>
        </w:rPr>
        <w:tab/>
        <w:t>The OSBA’s Exceptions</w:t>
      </w:r>
    </w:p>
    <w:p w14:paraId="1A0D21E2" w14:textId="77777777" w:rsidR="00882519" w:rsidRPr="00D17C77" w:rsidRDefault="00882519" w:rsidP="009C4BD6">
      <w:pPr>
        <w:keepNext/>
        <w:keepLines/>
        <w:spacing w:line="360" w:lineRule="auto"/>
        <w:ind w:firstLine="1440"/>
        <w:contextualSpacing/>
        <w:rPr>
          <w:color w:val="000000" w:themeColor="text1"/>
          <w:sz w:val="26"/>
          <w:szCs w:val="26"/>
        </w:rPr>
      </w:pPr>
    </w:p>
    <w:p w14:paraId="04D9A117" w14:textId="77777777" w:rsidR="00882519" w:rsidRPr="00D17C77" w:rsidRDefault="00882519" w:rsidP="009C4BD6">
      <w:pPr>
        <w:spacing w:line="360" w:lineRule="auto"/>
        <w:ind w:firstLine="1440"/>
        <w:contextualSpacing/>
        <w:rPr>
          <w:color w:val="000000" w:themeColor="text1"/>
          <w:sz w:val="26"/>
          <w:szCs w:val="26"/>
        </w:rPr>
      </w:pPr>
      <w:r w:rsidRPr="00D17C77">
        <w:rPr>
          <w:color w:val="000000" w:themeColor="text1"/>
          <w:sz w:val="26"/>
          <w:szCs w:val="26"/>
        </w:rPr>
        <w:t xml:space="preserve">In its Exceptions, the OSBA argues that the ALJs mischaracterized the testimony of its witness Mr. Gillan.  The OSBA insists that Mr. Gillan did not testify that the residential rate cap must be abandoned to address unreasonable business rates.  Rather, the OSBA claims that the portion of Mr. Gillan’s testimony cited by the ALJs </w:t>
      </w:r>
      <w:r w:rsidRPr="00D17C77">
        <w:rPr>
          <w:color w:val="000000" w:themeColor="text1"/>
          <w:sz w:val="26"/>
          <w:szCs w:val="26"/>
        </w:rPr>
        <w:lastRenderedPageBreak/>
        <w:t>clearly stated that Verizon PA should be denied the unreasonable revenues associated with unreasonably high business rates, not that any revenue shortfall should be imposed on residential customers.  The OSBA contends that although Mr. Gillan then discussed how a statutory conflict should be addressed, in the event that one arose, he did not advocate that residential rates should be increased.  OSBA Exc. at 3.</w:t>
      </w:r>
    </w:p>
    <w:p w14:paraId="2C05957F" w14:textId="77777777" w:rsidR="00882519" w:rsidRPr="00D17C77" w:rsidRDefault="00882519" w:rsidP="009C4BD6">
      <w:pPr>
        <w:spacing w:line="360" w:lineRule="auto"/>
        <w:ind w:firstLine="1440"/>
        <w:contextualSpacing/>
        <w:rPr>
          <w:color w:val="000000" w:themeColor="text1"/>
          <w:sz w:val="26"/>
          <w:szCs w:val="26"/>
        </w:rPr>
      </w:pPr>
    </w:p>
    <w:p w14:paraId="6D44EE11" w14:textId="77777777" w:rsidR="00882519" w:rsidRPr="00D17C77" w:rsidRDefault="00882519" w:rsidP="009C4BD6">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The OSBA also finds fault with the ALJs’ conclusion that the OSBA has requested that a “hard cap” be placed upon Verizon PA’s noncompetitive business service rates.  In this regard, the OSBA submits that under Chapter 30, both residential and commercial noncompetitive service rates must be just, reasonable, nondiscriminatory, and</w:t>
      </w:r>
      <w:r w:rsidR="008F0019" w:rsidRPr="00D17C77">
        <w:rPr>
          <w:rFonts w:eastAsia="Calibri"/>
          <w:color w:val="000000" w:themeColor="text1"/>
          <w:sz w:val="26"/>
          <w:szCs w:val="26"/>
        </w:rPr>
        <w:t xml:space="preserve"> must not</w:t>
      </w:r>
      <w:r w:rsidRPr="00D17C77">
        <w:rPr>
          <w:rFonts w:eastAsia="Calibri"/>
          <w:color w:val="000000" w:themeColor="text1"/>
          <w:sz w:val="26"/>
          <w:szCs w:val="26"/>
        </w:rPr>
        <w:t xml:space="preserve"> </w:t>
      </w:r>
      <w:r w:rsidR="008F0019" w:rsidRPr="00D17C77">
        <w:rPr>
          <w:rFonts w:eastAsia="Calibri"/>
          <w:color w:val="000000" w:themeColor="text1"/>
          <w:sz w:val="26"/>
          <w:szCs w:val="26"/>
        </w:rPr>
        <w:t>create an</w:t>
      </w:r>
      <w:r w:rsidRPr="00D17C77">
        <w:rPr>
          <w:rFonts w:eastAsia="Calibri"/>
          <w:color w:val="000000" w:themeColor="text1"/>
          <w:sz w:val="26"/>
          <w:szCs w:val="26"/>
        </w:rPr>
        <w:t xml:space="preserve"> unreasonable preference.  As such, the OSBA claims that Chapter 30 bars Verizon PA from using business rates as a “dumping ground” for annual rate increases that Verizon PA is unable to obtain from its residential customers.  OSBA Exc. at 5.  Additionally, the OSBA objects to the ALJs’ citation to the </w:t>
      </w:r>
      <w:r w:rsidRPr="00D17C77">
        <w:rPr>
          <w:rFonts w:eastAsia="Calibri"/>
          <w:i/>
          <w:iCs/>
          <w:color w:val="000000" w:themeColor="text1"/>
          <w:sz w:val="26"/>
          <w:szCs w:val="26"/>
        </w:rPr>
        <w:t>March 2007 Order</w:t>
      </w:r>
      <w:r w:rsidRPr="00D17C77">
        <w:rPr>
          <w:rFonts w:eastAsia="Calibri"/>
          <w:color w:val="000000" w:themeColor="text1"/>
          <w:sz w:val="26"/>
          <w:szCs w:val="26"/>
        </w:rPr>
        <w:t xml:space="preserve"> to support their conclusion that there is no hard cap on business rate increases in Verizon PA’s PCO filings.  The OSBA points out that in their Initial Decision, the ALJs acknowledged that in the </w:t>
      </w:r>
      <w:r w:rsidRPr="00D17C77">
        <w:rPr>
          <w:rFonts w:eastAsia="Calibri"/>
          <w:i/>
          <w:iCs/>
          <w:color w:val="000000" w:themeColor="text1"/>
          <w:sz w:val="26"/>
          <w:szCs w:val="26"/>
        </w:rPr>
        <w:t>March</w:t>
      </w:r>
      <w:r w:rsidRPr="00D17C77">
        <w:rPr>
          <w:rFonts w:eastAsia="Calibri"/>
          <w:color w:val="000000" w:themeColor="text1"/>
          <w:sz w:val="26"/>
          <w:szCs w:val="26"/>
        </w:rPr>
        <w:t xml:space="preserve"> </w:t>
      </w:r>
      <w:r w:rsidRPr="00D17C77">
        <w:rPr>
          <w:rFonts w:eastAsia="Calibri"/>
          <w:i/>
          <w:iCs/>
          <w:color w:val="000000" w:themeColor="text1"/>
          <w:sz w:val="26"/>
          <w:szCs w:val="26"/>
        </w:rPr>
        <w:t>2007 Order</w:t>
      </w:r>
      <w:r w:rsidRPr="00D17C77">
        <w:rPr>
          <w:rFonts w:eastAsia="Calibri"/>
          <w:color w:val="000000" w:themeColor="text1"/>
          <w:sz w:val="26"/>
          <w:szCs w:val="26"/>
        </w:rPr>
        <w:t>, the issue was whether there is a cap</w:t>
      </w:r>
      <w:r w:rsidR="00962D15" w:rsidRPr="00D17C77">
        <w:rPr>
          <w:rFonts w:eastAsia="Calibri"/>
          <w:color w:val="000000" w:themeColor="text1"/>
          <w:sz w:val="26"/>
          <w:szCs w:val="26"/>
        </w:rPr>
        <w:t xml:space="preserve"> on the rates</w:t>
      </w:r>
      <w:r w:rsidRPr="00D17C77">
        <w:rPr>
          <w:rFonts w:eastAsia="Calibri"/>
          <w:color w:val="000000" w:themeColor="text1"/>
          <w:sz w:val="26"/>
          <w:szCs w:val="26"/>
        </w:rPr>
        <w:t xml:space="preserve"> for business customers and that in the instant case, the issue is whether the business rates that result from the</w:t>
      </w:r>
      <w:r w:rsidR="008F0019" w:rsidRPr="00D17C77">
        <w:rPr>
          <w:rFonts w:eastAsia="Calibri"/>
          <w:color w:val="000000" w:themeColor="text1"/>
          <w:sz w:val="26"/>
          <w:szCs w:val="26"/>
        </w:rPr>
        <w:t xml:space="preserve"> Company’s</w:t>
      </w:r>
      <w:r w:rsidRPr="00D17C77">
        <w:rPr>
          <w:rFonts w:eastAsia="Calibri"/>
          <w:color w:val="000000" w:themeColor="text1"/>
          <w:sz w:val="26"/>
          <w:szCs w:val="26"/>
        </w:rPr>
        <w:t xml:space="preserve"> 2018 PCO Filing are unjust, unreasonable, or discriminatory.  </w:t>
      </w:r>
      <w:r w:rsidRPr="00D17C77">
        <w:rPr>
          <w:rFonts w:eastAsia="Calibri"/>
          <w:i/>
          <w:iCs/>
          <w:color w:val="000000" w:themeColor="text1"/>
          <w:sz w:val="26"/>
          <w:szCs w:val="26"/>
        </w:rPr>
        <w:t>Id</w:t>
      </w:r>
      <w:r w:rsidRPr="00D17C77">
        <w:rPr>
          <w:rFonts w:eastAsia="Calibri"/>
          <w:color w:val="000000" w:themeColor="text1"/>
          <w:sz w:val="26"/>
          <w:szCs w:val="26"/>
        </w:rPr>
        <w:t xml:space="preserve">. at 6 (citing I.D. at 19).  Therefore, the OSBA asseverates that it is not asking </w:t>
      </w:r>
      <w:r w:rsidR="00974A86" w:rsidRPr="00D17C77">
        <w:rPr>
          <w:rFonts w:eastAsia="Calibri"/>
          <w:color w:val="000000" w:themeColor="text1"/>
          <w:sz w:val="26"/>
          <w:szCs w:val="26"/>
        </w:rPr>
        <w:t xml:space="preserve">that the Commission place a </w:t>
      </w:r>
      <w:r w:rsidRPr="00D17C77">
        <w:rPr>
          <w:rFonts w:eastAsia="Calibri"/>
          <w:color w:val="000000" w:themeColor="text1"/>
          <w:sz w:val="26"/>
          <w:szCs w:val="26"/>
        </w:rPr>
        <w:t xml:space="preserve">hard cap on such rates, but is instead asking that the statutory mandates of Chapter 30 be followed.  </w:t>
      </w:r>
      <w:bookmarkStart w:id="8" w:name="_Hlk20908462"/>
      <w:r w:rsidRPr="00D17C77">
        <w:rPr>
          <w:rFonts w:eastAsia="Calibri"/>
          <w:color w:val="000000" w:themeColor="text1"/>
          <w:sz w:val="26"/>
          <w:szCs w:val="26"/>
        </w:rPr>
        <w:t>OSBA Exc. at 6</w:t>
      </w:r>
      <w:bookmarkEnd w:id="8"/>
      <w:r w:rsidRPr="00D17C77">
        <w:rPr>
          <w:rFonts w:eastAsia="Calibri"/>
          <w:color w:val="000000" w:themeColor="text1"/>
          <w:sz w:val="26"/>
          <w:szCs w:val="26"/>
        </w:rPr>
        <w:t>.</w:t>
      </w:r>
    </w:p>
    <w:p w14:paraId="086E0694" w14:textId="77777777" w:rsidR="00882519" w:rsidRPr="00D17C77" w:rsidRDefault="00882519" w:rsidP="009C4BD6">
      <w:pPr>
        <w:spacing w:line="360" w:lineRule="auto"/>
        <w:ind w:firstLine="1440"/>
        <w:contextualSpacing/>
        <w:rPr>
          <w:color w:val="000000" w:themeColor="text1"/>
          <w:sz w:val="26"/>
          <w:szCs w:val="26"/>
        </w:rPr>
      </w:pPr>
    </w:p>
    <w:p w14:paraId="7FFF0DBD" w14:textId="4BD70BFA" w:rsidR="00882519"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c</w:t>
      </w:r>
      <w:r w:rsidR="00095CD4">
        <w:rPr>
          <w:b/>
          <w:bCs/>
          <w:color w:val="000000" w:themeColor="text1"/>
          <w:sz w:val="26"/>
          <w:szCs w:val="26"/>
        </w:rPr>
        <w:t>.</w:t>
      </w:r>
      <w:r w:rsidR="00095CD4">
        <w:rPr>
          <w:b/>
          <w:bCs/>
          <w:color w:val="000000" w:themeColor="text1"/>
          <w:sz w:val="26"/>
          <w:szCs w:val="26"/>
        </w:rPr>
        <w:tab/>
        <w:t xml:space="preserve">Verizon PA’s Replies </w:t>
      </w:r>
      <w:r w:rsidR="00122641">
        <w:rPr>
          <w:b/>
          <w:bCs/>
          <w:color w:val="000000" w:themeColor="text1"/>
          <w:sz w:val="26"/>
          <w:szCs w:val="26"/>
        </w:rPr>
        <w:t>T</w:t>
      </w:r>
      <w:r w:rsidR="00882519" w:rsidRPr="00D17C77">
        <w:rPr>
          <w:b/>
          <w:bCs/>
          <w:color w:val="000000" w:themeColor="text1"/>
          <w:sz w:val="26"/>
          <w:szCs w:val="26"/>
        </w:rPr>
        <w:t>o Exceptions</w:t>
      </w:r>
    </w:p>
    <w:p w14:paraId="76BF11C7" w14:textId="77777777" w:rsidR="00882519" w:rsidRPr="00D17C77" w:rsidRDefault="00882519" w:rsidP="009C4BD6">
      <w:pPr>
        <w:keepNext/>
        <w:keepLines/>
        <w:spacing w:line="360" w:lineRule="auto"/>
        <w:ind w:firstLine="1440"/>
        <w:contextualSpacing/>
        <w:rPr>
          <w:color w:val="000000" w:themeColor="text1"/>
          <w:sz w:val="26"/>
          <w:szCs w:val="26"/>
        </w:rPr>
      </w:pPr>
    </w:p>
    <w:p w14:paraId="1B1A04E5" w14:textId="77777777" w:rsidR="00882519" w:rsidRPr="00D17C77" w:rsidRDefault="00882519" w:rsidP="009C4BD6">
      <w:pPr>
        <w:spacing w:line="360" w:lineRule="auto"/>
        <w:ind w:firstLine="1440"/>
        <w:contextualSpacing/>
        <w:rPr>
          <w:color w:val="000000" w:themeColor="text1"/>
          <w:sz w:val="26"/>
          <w:szCs w:val="26"/>
        </w:rPr>
      </w:pPr>
      <w:r w:rsidRPr="00D17C77">
        <w:rPr>
          <w:color w:val="000000" w:themeColor="text1"/>
          <w:sz w:val="26"/>
          <w:szCs w:val="26"/>
        </w:rPr>
        <w:t xml:space="preserve">In reply, Verizon PA argues that the ALJs correctly depicted the </w:t>
      </w:r>
      <w:bookmarkStart w:id="9" w:name="_Hlk21609157"/>
      <w:r w:rsidRPr="00D17C77">
        <w:rPr>
          <w:color w:val="000000" w:themeColor="text1"/>
          <w:sz w:val="26"/>
          <w:szCs w:val="26"/>
        </w:rPr>
        <w:t xml:space="preserve">OSBA’s position to be that the Commission should abandon the residential rate caps set forth </w:t>
      </w:r>
      <w:r w:rsidR="002336FE" w:rsidRPr="00D17C77">
        <w:rPr>
          <w:color w:val="000000" w:themeColor="text1"/>
          <w:sz w:val="26"/>
          <w:szCs w:val="26"/>
        </w:rPr>
        <w:t xml:space="preserve">in </w:t>
      </w:r>
      <w:r w:rsidRPr="00D17C77">
        <w:rPr>
          <w:color w:val="000000" w:themeColor="text1"/>
          <w:sz w:val="26"/>
          <w:szCs w:val="26"/>
        </w:rPr>
        <w:t>Section 3015(a)(3) of Chapter 30, and allow larger</w:t>
      </w:r>
      <w:r w:rsidR="00962D15" w:rsidRPr="00D17C77">
        <w:rPr>
          <w:color w:val="000000" w:themeColor="text1"/>
          <w:sz w:val="26"/>
          <w:szCs w:val="26"/>
        </w:rPr>
        <w:t xml:space="preserve"> increases to residential rates, resulting in smaller increases to business rates</w:t>
      </w:r>
      <w:r w:rsidRPr="00D17C77">
        <w:rPr>
          <w:color w:val="000000" w:themeColor="text1"/>
          <w:sz w:val="26"/>
          <w:szCs w:val="26"/>
        </w:rPr>
        <w:t>.</w:t>
      </w:r>
      <w:bookmarkEnd w:id="9"/>
      <w:r w:rsidRPr="00D17C77">
        <w:rPr>
          <w:color w:val="000000" w:themeColor="text1"/>
          <w:sz w:val="26"/>
          <w:szCs w:val="26"/>
        </w:rPr>
        <w:t xml:space="preserve">  Verizon PA submits that this is precisely what the </w:t>
      </w:r>
      <w:r w:rsidRPr="00D17C77">
        <w:rPr>
          <w:color w:val="000000" w:themeColor="text1"/>
          <w:sz w:val="26"/>
          <w:szCs w:val="26"/>
        </w:rPr>
        <w:lastRenderedPageBreak/>
        <w:t xml:space="preserve">OSBA advocated in its Main Briefs.  Verizon PA posits that if the OSBA is no longer making this argument, then this part of its Exceptions is irrelevant.  However, Verizon PA contends that the ALJs correctly concluded, </w:t>
      </w:r>
      <w:r w:rsidRPr="00D17C77">
        <w:rPr>
          <w:i/>
          <w:iCs/>
          <w:color w:val="000000" w:themeColor="text1"/>
          <w:sz w:val="26"/>
          <w:szCs w:val="26"/>
        </w:rPr>
        <w:t>infra,</w:t>
      </w:r>
      <w:r w:rsidRPr="00D17C77">
        <w:rPr>
          <w:color w:val="000000" w:themeColor="text1"/>
          <w:sz w:val="26"/>
          <w:szCs w:val="26"/>
        </w:rPr>
        <w:t xml:space="preserve"> that because the </w:t>
      </w:r>
      <w:r w:rsidR="008F0019" w:rsidRPr="00D17C77">
        <w:rPr>
          <w:color w:val="000000" w:themeColor="text1"/>
          <w:sz w:val="26"/>
          <w:szCs w:val="26"/>
        </w:rPr>
        <w:t>Pennsylvani</w:t>
      </w:r>
      <w:r w:rsidR="00936D77" w:rsidRPr="00D17C77">
        <w:rPr>
          <w:color w:val="000000" w:themeColor="text1"/>
          <w:sz w:val="26"/>
          <w:szCs w:val="26"/>
        </w:rPr>
        <w:t>a</w:t>
      </w:r>
      <w:r w:rsidR="008F0019" w:rsidRPr="00D17C77">
        <w:rPr>
          <w:color w:val="000000" w:themeColor="text1"/>
          <w:sz w:val="26"/>
          <w:szCs w:val="26"/>
        </w:rPr>
        <w:t xml:space="preserve"> L</w:t>
      </w:r>
      <w:r w:rsidRPr="00D17C77">
        <w:rPr>
          <w:color w:val="000000" w:themeColor="text1"/>
          <w:sz w:val="26"/>
          <w:szCs w:val="26"/>
        </w:rPr>
        <w:t>egislature has placed a clear statutory mandate to cap residential dial tone line rates, the OSBA’s argument for what it views as a more equitable distribution of the PCO rate increases between residential and business customers should be rejected.  Verizon PA R.</w:t>
      </w:r>
      <w:r w:rsidR="008F0019" w:rsidRPr="00D17C77">
        <w:rPr>
          <w:color w:val="000000" w:themeColor="text1"/>
          <w:sz w:val="26"/>
          <w:szCs w:val="26"/>
        </w:rPr>
        <w:t> </w:t>
      </w:r>
      <w:r w:rsidRPr="00D17C77">
        <w:rPr>
          <w:color w:val="000000" w:themeColor="text1"/>
          <w:sz w:val="26"/>
          <w:szCs w:val="26"/>
        </w:rPr>
        <w:t>Exc. at 3</w:t>
      </w:r>
      <w:r w:rsidR="00E657BF" w:rsidRPr="00D17C77">
        <w:rPr>
          <w:color w:val="000000" w:themeColor="text1"/>
          <w:sz w:val="26"/>
          <w:szCs w:val="26"/>
        </w:rPr>
        <w:noBreakHyphen/>
      </w:r>
      <w:r w:rsidRPr="00D17C77">
        <w:rPr>
          <w:color w:val="000000" w:themeColor="text1"/>
          <w:sz w:val="26"/>
          <w:szCs w:val="26"/>
        </w:rPr>
        <w:t>4.</w:t>
      </w:r>
    </w:p>
    <w:p w14:paraId="503A7392" w14:textId="77777777" w:rsidR="00882519" w:rsidRPr="00D17C77" w:rsidRDefault="00882519" w:rsidP="009C4BD6">
      <w:pPr>
        <w:spacing w:line="360" w:lineRule="auto"/>
        <w:ind w:firstLine="1440"/>
        <w:contextualSpacing/>
        <w:rPr>
          <w:color w:val="000000" w:themeColor="text1"/>
          <w:sz w:val="26"/>
          <w:szCs w:val="26"/>
        </w:rPr>
      </w:pPr>
    </w:p>
    <w:p w14:paraId="6D709296" w14:textId="0D6F55F8" w:rsidR="00882519" w:rsidRDefault="00882519" w:rsidP="009C4BD6">
      <w:pPr>
        <w:spacing w:line="360" w:lineRule="auto"/>
        <w:ind w:firstLine="1440"/>
        <w:contextualSpacing/>
        <w:rPr>
          <w:color w:val="000000" w:themeColor="text1"/>
          <w:sz w:val="26"/>
          <w:szCs w:val="26"/>
        </w:rPr>
      </w:pPr>
      <w:r w:rsidRPr="00D17C77">
        <w:rPr>
          <w:color w:val="000000" w:themeColor="text1"/>
          <w:sz w:val="26"/>
          <w:szCs w:val="26"/>
        </w:rPr>
        <w:t xml:space="preserve">Verizon PA also refutes the OSBA’s assertion that the </w:t>
      </w:r>
      <w:r w:rsidRPr="00D17C77">
        <w:rPr>
          <w:i/>
          <w:iCs/>
          <w:color w:val="000000" w:themeColor="text1"/>
          <w:sz w:val="26"/>
          <w:szCs w:val="26"/>
        </w:rPr>
        <w:t xml:space="preserve">March 2007 Order </w:t>
      </w:r>
      <w:r w:rsidRPr="00D17C77">
        <w:rPr>
          <w:color w:val="000000" w:themeColor="text1"/>
          <w:sz w:val="26"/>
          <w:szCs w:val="26"/>
        </w:rPr>
        <w:t xml:space="preserve">is not relevant to this proceeding.  Verizon PA </w:t>
      </w:r>
      <w:r w:rsidR="003B583A" w:rsidRPr="00D17C77">
        <w:rPr>
          <w:color w:val="000000" w:themeColor="text1"/>
          <w:sz w:val="26"/>
          <w:szCs w:val="26"/>
        </w:rPr>
        <w:t>argues</w:t>
      </w:r>
      <w:r w:rsidRPr="00D17C77">
        <w:rPr>
          <w:color w:val="000000" w:themeColor="text1"/>
          <w:sz w:val="26"/>
          <w:szCs w:val="26"/>
        </w:rPr>
        <w:t xml:space="preserve"> that in the </w:t>
      </w:r>
      <w:r w:rsidRPr="00D17C77">
        <w:rPr>
          <w:i/>
          <w:iCs/>
          <w:color w:val="000000" w:themeColor="text1"/>
          <w:sz w:val="26"/>
          <w:szCs w:val="26"/>
        </w:rPr>
        <w:t>March 2007 Order</w:t>
      </w:r>
      <w:r w:rsidRPr="00627107">
        <w:rPr>
          <w:color w:val="000000" w:themeColor="text1"/>
          <w:sz w:val="26"/>
          <w:szCs w:val="26"/>
        </w:rPr>
        <w:t>,</w:t>
      </w:r>
      <w:r w:rsidRPr="00D17C77">
        <w:rPr>
          <w:i/>
          <w:iCs/>
          <w:color w:val="000000" w:themeColor="text1"/>
          <w:sz w:val="26"/>
          <w:szCs w:val="26"/>
        </w:rPr>
        <w:t xml:space="preserve"> </w:t>
      </w:r>
      <w:r w:rsidRPr="00D17C77">
        <w:rPr>
          <w:color w:val="000000" w:themeColor="text1"/>
          <w:sz w:val="26"/>
          <w:szCs w:val="26"/>
        </w:rPr>
        <w:t>the Commission concluded that there is no statutory basis for mandating that Verizon PA limit its increases to business rates.  As such, Verizon PA a</w:t>
      </w:r>
      <w:r w:rsidR="003B583A" w:rsidRPr="00D17C77">
        <w:rPr>
          <w:color w:val="000000" w:themeColor="text1"/>
          <w:sz w:val="26"/>
          <w:szCs w:val="26"/>
        </w:rPr>
        <w:t>ssert</w:t>
      </w:r>
      <w:r w:rsidRPr="00D17C77">
        <w:rPr>
          <w:color w:val="000000" w:themeColor="text1"/>
          <w:sz w:val="26"/>
          <w:szCs w:val="26"/>
        </w:rPr>
        <w:t xml:space="preserve">s that the ALJs correctly cited the </w:t>
      </w:r>
      <w:r w:rsidRPr="00D17C77">
        <w:rPr>
          <w:i/>
          <w:iCs/>
          <w:color w:val="000000" w:themeColor="text1"/>
          <w:sz w:val="26"/>
          <w:szCs w:val="26"/>
        </w:rPr>
        <w:t>March 2007 Order</w:t>
      </w:r>
      <w:r w:rsidRPr="00D17C77">
        <w:rPr>
          <w:color w:val="000000" w:themeColor="text1"/>
          <w:sz w:val="26"/>
          <w:szCs w:val="26"/>
        </w:rPr>
        <w:t xml:space="preserve"> as a basis for their finding that there is no hard cap on business rates.  Verizon PA R. Exc. at 9.  Verizon PA submits that while the OSBA now appears to agree that there is no particular cap on business rate increases, the OSBA, nonetheless, submitted testimony in this proceeding that such arbitrary business rate caps should be created.  Verizon PA notes the testimony of the OSBA’s witness Mr. Gillan that the Commission could require that Verizon may not maintain a business to residential rate relationship of greater than 1.7</w:t>
      </w:r>
      <w:r w:rsidR="00965393" w:rsidRPr="00D17C77">
        <w:rPr>
          <w:color w:val="000000" w:themeColor="text1"/>
          <w:sz w:val="26"/>
          <w:szCs w:val="26"/>
        </w:rPr>
        <w:t>-to-</w:t>
      </w:r>
      <w:r w:rsidRPr="00D17C77">
        <w:rPr>
          <w:color w:val="000000" w:themeColor="text1"/>
          <w:sz w:val="26"/>
          <w:szCs w:val="26"/>
        </w:rPr>
        <w:t xml:space="preserve">1.  </w:t>
      </w:r>
      <w:r w:rsidRPr="00D17C77">
        <w:rPr>
          <w:i/>
          <w:iCs/>
          <w:color w:val="000000" w:themeColor="text1"/>
          <w:sz w:val="26"/>
          <w:szCs w:val="26"/>
        </w:rPr>
        <w:t>Id</w:t>
      </w:r>
      <w:r w:rsidRPr="00D17C77">
        <w:rPr>
          <w:color w:val="000000" w:themeColor="text1"/>
          <w:sz w:val="26"/>
          <w:szCs w:val="26"/>
        </w:rPr>
        <w:t xml:space="preserve">. at 5-6, citing OSBA St. 1 at 12.  Verizon PA contends that neither Chapter 30 nor Verizon PA’s Chapter 30 Plan require such a cap.  Verizon PA remains of the opinion that by proposing to limit business rate increases to a level tied to residential rates, which are capped by statute, </w:t>
      </w:r>
      <w:r w:rsidR="00CA231A" w:rsidRPr="00D17C77">
        <w:rPr>
          <w:color w:val="000000" w:themeColor="text1"/>
          <w:sz w:val="26"/>
          <w:szCs w:val="26"/>
        </w:rPr>
        <w:t>the</w:t>
      </w:r>
      <w:r w:rsidR="00A5120F" w:rsidRPr="00D17C77">
        <w:rPr>
          <w:color w:val="000000" w:themeColor="text1"/>
          <w:sz w:val="26"/>
          <w:szCs w:val="26"/>
        </w:rPr>
        <w:t xml:space="preserve"> </w:t>
      </w:r>
      <w:r w:rsidRPr="00D17C77">
        <w:rPr>
          <w:color w:val="000000" w:themeColor="text1"/>
          <w:sz w:val="26"/>
          <w:szCs w:val="26"/>
        </w:rPr>
        <w:t>OSBA would thwart the intent of the Legislature and effectively create a business rate cap that does not exist in the statute.  Therefore, Verizon PA asserts that the ALJs correctly rejected the OSBA’s argument.  Verizon PA further posits that, via its Exceptions, the OSBA appears to be abandoning its</w:t>
      </w:r>
      <w:r w:rsidR="00B63508" w:rsidRPr="00D17C77">
        <w:rPr>
          <w:color w:val="000000" w:themeColor="text1"/>
          <w:sz w:val="26"/>
          <w:szCs w:val="26"/>
        </w:rPr>
        <w:t xml:space="preserve"> previous</w:t>
      </w:r>
      <w:r w:rsidRPr="00D17C77">
        <w:rPr>
          <w:color w:val="000000" w:themeColor="text1"/>
          <w:sz w:val="26"/>
          <w:szCs w:val="26"/>
        </w:rPr>
        <w:t xml:space="preserve"> arguments and conceding that the Commission must review Verizon PA’s rate proposals on a case-by-case basis each year, </w:t>
      </w:r>
      <w:r w:rsidR="00536924" w:rsidRPr="00D17C77">
        <w:rPr>
          <w:color w:val="000000" w:themeColor="text1"/>
          <w:sz w:val="26"/>
          <w:szCs w:val="26"/>
        </w:rPr>
        <w:t>based on the facts contained in each PCO filing</w:t>
      </w:r>
      <w:r w:rsidRPr="00D17C77">
        <w:rPr>
          <w:color w:val="000000" w:themeColor="text1"/>
          <w:sz w:val="26"/>
          <w:szCs w:val="26"/>
        </w:rPr>
        <w:t xml:space="preserve">, Verizon PA’s Chapter 30 Plan, and the applicable law.  </w:t>
      </w:r>
      <w:r w:rsidRPr="00D17C77">
        <w:rPr>
          <w:color w:val="000000" w:themeColor="text1"/>
          <w:sz w:val="26"/>
          <w:szCs w:val="26"/>
        </w:rPr>
        <w:lastRenderedPageBreak/>
        <w:t xml:space="preserve">Verizon PA contends that under this standard, Verizon PA’s rates in this case must be approved and the OSBA’s Complaint must be dismissed.  Verizon PA R. Exc. at 6-7.  </w:t>
      </w:r>
    </w:p>
    <w:p w14:paraId="0341B728" w14:textId="77777777" w:rsidR="007C552B" w:rsidRPr="00D17C77" w:rsidRDefault="007C552B" w:rsidP="009C4BD6">
      <w:pPr>
        <w:spacing w:line="360" w:lineRule="auto"/>
        <w:ind w:firstLine="1440"/>
        <w:contextualSpacing/>
        <w:rPr>
          <w:color w:val="000000" w:themeColor="text1"/>
          <w:sz w:val="26"/>
          <w:szCs w:val="26"/>
        </w:rPr>
      </w:pPr>
    </w:p>
    <w:p w14:paraId="12B46993" w14:textId="77777777" w:rsidR="00882519" w:rsidRPr="00D17C77" w:rsidRDefault="00882519" w:rsidP="009C4BD6">
      <w:pPr>
        <w:spacing w:line="360" w:lineRule="auto"/>
        <w:ind w:firstLine="1440"/>
        <w:contextualSpacing/>
        <w:rPr>
          <w:color w:val="000000" w:themeColor="text1"/>
          <w:sz w:val="26"/>
          <w:szCs w:val="26"/>
        </w:rPr>
      </w:pPr>
      <w:r w:rsidRPr="00D17C77">
        <w:rPr>
          <w:color w:val="000000" w:themeColor="text1"/>
          <w:sz w:val="26"/>
          <w:szCs w:val="26"/>
        </w:rPr>
        <w:t>Additionally, Verizon PA submits that contrary to the OSBA’s assertion, it has not used its business rates as a “dumping ground.”  Verizon PA asserts that it has designed the rate increases in its 2018 PCO</w:t>
      </w:r>
      <w:r w:rsidR="00817340" w:rsidRPr="00D17C77">
        <w:rPr>
          <w:color w:val="000000" w:themeColor="text1"/>
          <w:sz w:val="26"/>
          <w:szCs w:val="26"/>
        </w:rPr>
        <w:t xml:space="preserve"> Filing</w:t>
      </w:r>
      <w:r w:rsidRPr="00D17C77">
        <w:rPr>
          <w:color w:val="000000" w:themeColor="text1"/>
          <w:sz w:val="26"/>
          <w:szCs w:val="26"/>
        </w:rPr>
        <w:t xml:space="preserve"> within the constraints of Chapter 30 and its Chapter 30 Plan and has made efforts to minimize the impact on business rates.  Namely, Verizon PA </w:t>
      </w:r>
      <w:r w:rsidR="00C43EEE" w:rsidRPr="00D17C77">
        <w:rPr>
          <w:color w:val="000000" w:themeColor="text1"/>
          <w:sz w:val="26"/>
          <w:szCs w:val="26"/>
        </w:rPr>
        <w:t>contends</w:t>
      </w:r>
      <w:r w:rsidRPr="00D17C77">
        <w:rPr>
          <w:color w:val="000000" w:themeColor="text1"/>
          <w:sz w:val="26"/>
          <w:szCs w:val="26"/>
        </w:rPr>
        <w:t xml:space="preserve"> that in the present PCO filing, it made reasonable efforts to allocate portions of the allowed 2018 PCO amount in ways other than increasing business dial tone line rates.  Verizon PA R. Exc. at 7-8.</w:t>
      </w:r>
    </w:p>
    <w:p w14:paraId="2E42E13A" w14:textId="77777777" w:rsidR="00882519" w:rsidRPr="00D17C77" w:rsidRDefault="00882519" w:rsidP="009C4BD6">
      <w:pPr>
        <w:spacing w:line="360" w:lineRule="auto"/>
        <w:ind w:firstLine="1440"/>
        <w:contextualSpacing/>
        <w:rPr>
          <w:color w:val="000000" w:themeColor="text1"/>
          <w:sz w:val="26"/>
          <w:szCs w:val="26"/>
        </w:rPr>
      </w:pPr>
    </w:p>
    <w:p w14:paraId="56C74A15" w14:textId="3C4C7BC6" w:rsidR="00882519"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d</w:t>
      </w:r>
      <w:r w:rsidR="00882519" w:rsidRPr="00D17C77">
        <w:rPr>
          <w:b/>
          <w:bCs/>
          <w:color w:val="000000" w:themeColor="text1"/>
          <w:sz w:val="26"/>
          <w:szCs w:val="26"/>
        </w:rPr>
        <w:t>.</w:t>
      </w:r>
      <w:r w:rsidR="00882519" w:rsidRPr="00D17C77">
        <w:rPr>
          <w:b/>
          <w:bCs/>
          <w:color w:val="000000" w:themeColor="text1"/>
          <w:sz w:val="26"/>
          <w:szCs w:val="26"/>
        </w:rPr>
        <w:tab/>
        <w:t>Disposition</w:t>
      </w:r>
    </w:p>
    <w:p w14:paraId="3671E391" w14:textId="77777777" w:rsidR="00882519" w:rsidRPr="00D17C77" w:rsidRDefault="00882519" w:rsidP="009C4BD6">
      <w:pPr>
        <w:keepNext/>
        <w:keepLines/>
        <w:spacing w:line="360" w:lineRule="auto"/>
        <w:ind w:firstLine="1440"/>
        <w:contextualSpacing/>
        <w:rPr>
          <w:color w:val="000000" w:themeColor="text1"/>
          <w:sz w:val="26"/>
          <w:szCs w:val="26"/>
        </w:rPr>
      </w:pPr>
    </w:p>
    <w:p w14:paraId="4A3406A5" w14:textId="77777777" w:rsidR="00BF79EA" w:rsidRPr="00D17C77" w:rsidRDefault="00BF79EA" w:rsidP="009C4BD6">
      <w:pPr>
        <w:spacing w:line="360" w:lineRule="auto"/>
        <w:ind w:firstLine="1440"/>
        <w:contextualSpacing/>
        <w:rPr>
          <w:color w:val="000000" w:themeColor="text1"/>
          <w:sz w:val="26"/>
          <w:szCs w:val="26"/>
        </w:rPr>
      </w:pPr>
      <w:r w:rsidRPr="00D17C77">
        <w:rPr>
          <w:color w:val="000000" w:themeColor="text1"/>
          <w:sz w:val="26"/>
          <w:szCs w:val="26"/>
        </w:rPr>
        <w:t>On consideration of the record evidence in this proceeding and the applicable law, we will adopt the recommendation of the ALJs, as modified, consistent with the following discussion.</w:t>
      </w:r>
    </w:p>
    <w:p w14:paraId="48EFC108" w14:textId="77777777" w:rsidR="00BF79EA" w:rsidRPr="00D17C77" w:rsidRDefault="00BF79EA" w:rsidP="009C4BD6">
      <w:pPr>
        <w:spacing w:line="360" w:lineRule="auto"/>
        <w:ind w:firstLine="1440"/>
        <w:contextualSpacing/>
        <w:rPr>
          <w:color w:val="000000" w:themeColor="text1"/>
          <w:sz w:val="26"/>
          <w:szCs w:val="26"/>
        </w:rPr>
      </w:pPr>
    </w:p>
    <w:p w14:paraId="30CD289F" w14:textId="35BF4B16" w:rsidR="00BF79EA" w:rsidRPr="00D17C77" w:rsidRDefault="00BF79EA" w:rsidP="009C4BD6">
      <w:pPr>
        <w:spacing w:line="360" w:lineRule="auto"/>
        <w:ind w:firstLine="1440"/>
        <w:contextualSpacing/>
        <w:rPr>
          <w:color w:val="000000" w:themeColor="text1"/>
          <w:sz w:val="26"/>
          <w:szCs w:val="26"/>
        </w:rPr>
      </w:pPr>
      <w:r w:rsidRPr="00D17C77">
        <w:rPr>
          <w:color w:val="000000" w:themeColor="text1"/>
          <w:sz w:val="26"/>
          <w:szCs w:val="26"/>
        </w:rPr>
        <w:t>As an initial matter, our review of the portion of the testimony of the OSBA’s witness Mr. Gillan, cited above, corroborates the OSBA’s assertion that Mr. Gillan was not testifying that the residential rate cap must be abandoned to address unreasonable business rates.  Rather, we find that Mr. Gillan was arguing that the overall PCO limit on Verizon PA’s revenues must neither define nor override the standard, as set forth in Section 1301 of the Code, that rates must be just, reasonable, and nondiscriminatory.  OSBA St. 1-SR at 4.  Further, in its Main Briefs, the OSBA cited to this portion of Mr. Gillan’s testimony in support of its argument that nothing in the Code guarantees that Verizon PA can collect revenues from unreasonable rates.  OSBA M.B. at</w:t>
      </w:r>
      <w:r w:rsidR="000A7ED7">
        <w:rPr>
          <w:color w:val="000000" w:themeColor="text1"/>
          <w:sz w:val="26"/>
          <w:szCs w:val="26"/>
        </w:rPr>
        <w:t> </w:t>
      </w:r>
      <w:r w:rsidRPr="00D17C77">
        <w:rPr>
          <w:color w:val="000000" w:themeColor="text1"/>
          <w:sz w:val="26"/>
          <w:szCs w:val="26"/>
        </w:rPr>
        <w:t xml:space="preserve">10.  Accordingly, we find that this portion of the OSBA’s testimony more closely aligns with the OSBA’s assertion that Verizon PA’s annual PCO filings represent a price change opportunity, and not a guarantee of increasing revenues.  </w:t>
      </w:r>
    </w:p>
    <w:p w14:paraId="499C3800" w14:textId="77777777" w:rsidR="00BF79EA" w:rsidRPr="00D17C77" w:rsidRDefault="00BF79EA" w:rsidP="009C4BD6">
      <w:pPr>
        <w:spacing w:line="360" w:lineRule="auto"/>
        <w:ind w:firstLine="1440"/>
        <w:contextualSpacing/>
        <w:rPr>
          <w:color w:val="000000" w:themeColor="text1"/>
          <w:sz w:val="26"/>
          <w:szCs w:val="26"/>
        </w:rPr>
      </w:pPr>
    </w:p>
    <w:p w14:paraId="091D227B" w14:textId="77777777" w:rsidR="00BF79EA" w:rsidRPr="00D17C77" w:rsidRDefault="00BF79EA" w:rsidP="009C4BD6">
      <w:pPr>
        <w:spacing w:line="360" w:lineRule="auto"/>
        <w:ind w:firstLine="1440"/>
        <w:contextualSpacing/>
        <w:rPr>
          <w:color w:val="000000" w:themeColor="text1"/>
          <w:sz w:val="26"/>
          <w:szCs w:val="26"/>
        </w:rPr>
      </w:pPr>
      <w:r w:rsidRPr="00D17C77">
        <w:rPr>
          <w:color w:val="000000" w:themeColor="text1"/>
          <w:sz w:val="26"/>
          <w:szCs w:val="26"/>
        </w:rPr>
        <w:t xml:space="preserve">At the same time, however, the record supports Verizon PA’s assertion that in this proceeding, the OSBA </w:t>
      </w:r>
      <w:r w:rsidRPr="00D17C77">
        <w:rPr>
          <w:i/>
          <w:iCs/>
          <w:color w:val="000000" w:themeColor="text1"/>
          <w:sz w:val="26"/>
          <w:szCs w:val="26"/>
        </w:rPr>
        <w:t>did</w:t>
      </w:r>
      <w:r w:rsidRPr="00D17C77">
        <w:rPr>
          <w:color w:val="000000" w:themeColor="text1"/>
          <w:sz w:val="26"/>
          <w:szCs w:val="26"/>
        </w:rPr>
        <w:t xml:space="preserve"> take the position that the Commission should direct Verizon PA to pierce the residential rate caps set forth in Section 3015(a)(3) of Chapter 30, and allow larger increases to residential rates, resulting in smaller increases to business rates.  Namely, as we noted in our summary of the OSBA’s position, </w:t>
      </w:r>
      <w:r w:rsidRPr="00D17C77">
        <w:rPr>
          <w:i/>
          <w:iCs/>
          <w:color w:val="000000" w:themeColor="text1"/>
          <w:sz w:val="26"/>
          <w:szCs w:val="26"/>
        </w:rPr>
        <w:t xml:space="preserve">supra, </w:t>
      </w:r>
      <w:r w:rsidRPr="00D17C77">
        <w:rPr>
          <w:color w:val="000000" w:themeColor="text1"/>
          <w:sz w:val="26"/>
          <w:szCs w:val="26"/>
        </w:rPr>
        <w:t>the OSBA stated in its Main Briefs that “</w:t>
      </w:r>
      <w:r w:rsidRPr="00D17C77">
        <w:rPr>
          <w:bCs/>
          <w:color w:val="000000" w:themeColor="text1"/>
          <w:sz w:val="26"/>
          <w:szCs w:val="26"/>
        </w:rPr>
        <w:t>the OSBA</w:t>
      </w:r>
      <w:r w:rsidR="00052A46" w:rsidRPr="00D17C77">
        <w:rPr>
          <w:bCs/>
          <w:color w:val="000000" w:themeColor="text1"/>
          <w:sz w:val="26"/>
          <w:szCs w:val="26"/>
        </w:rPr>
        <w:t>’s</w:t>
      </w:r>
      <w:r w:rsidR="00B86079" w:rsidRPr="00D17C77">
        <w:rPr>
          <w:bCs/>
          <w:color w:val="000000" w:themeColor="text1"/>
          <w:sz w:val="26"/>
          <w:szCs w:val="26"/>
        </w:rPr>
        <w:t>’</w:t>
      </w:r>
      <w:r w:rsidRPr="00D17C77">
        <w:rPr>
          <w:bCs/>
          <w:color w:val="000000" w:themeColor="text1"/>
          <w:sz w:val="26"/>
          <w:szCs w:val="26"/>
        </w:rPr>
        <w:t xml:space="preserve"> alternate analysis is that the restrictions on residential rate increases, as set forth in Section 3015(a)(3), must be abandoned when the result is an unreasonable and discriminatory preference whereby non-commercial business rates receive increases one thousand percent larger than the rate increases assigned to the non-competitive residential class.”  </w:t>
      </w:r>
      <w:r w:rsidRPr="00D17C77">
        <w:rPr>
          <w:color w:val="000000" w:themeColor="text1"/>
          <w:sz w:val="26"/>
          <w:szCs w:val="26"/>
        </w:rPr>
        <w:t xml:space="preserve">OSBA M.B. at 12.  Therefore, we shall grant the OSBA’s Exception on this point, only to the extent that we find that the ALJs should not have quoted the portion of Mr. Gillan’s testimony, </w:t>
      </w:r>
      <w:r w:rsidRPr="00D17C77">
        <w:rPr>
          <w:i/>
          <w:iCs/>
          <w:color w:val="000000" w:themeColor="text1"/>
          <w:sz w:val="26"/>
          <w:szCs w:val="26"/>
        </w:rPr>
        <w:t>supra</w:t>
      </w:r>
      <w:r w:rsidRPr="000A7ED7">
        <w:rPr>
          <w:color w:val="000000" w:themeColor="text1"/>
          <w:sz w:val="26"/>
          <w:szCs w:val="26"/>
        </w:rPr>
        <w:t>, i</w:t>
      </w:r>
      <w:r w:rsidRPr="00D17C77">
        <w:rPr>
          <w:color w:val="000000" w:themeColor="text1"/>
          <w:sz w:val="26"/>
          <w:szCs w:val="26"/>
        </w:rPr>
        <w:t xml:space="preserve">n support of their statement on page 16 of the Initial Decision that “OSBA contends that the residential rate cap restrictions must be abandoned when following them would result in an unreasonable and discriminatory preference against business customers.”  </w:t>
      </w:r>
    </w:p>
    <w:p w14:paraId="3DC0914A" w14:textId="77777777" w:rsidR="00BF79EA" w:rsidRPr="00D17C77" w:rsidRDefault="00BF79EA" w:rsidP="009C4BD6">
      <w:pPr>
        <w:spacing w:line="360" w:lineRule="auto"/>
        <w:ind w:firstLine="1440"/>
        <w:contextualSpacing/>
        <w:rPr>
          <w:color w:val="000000" w:themeColor="text1"/>
          <w:sz w:val="26"/>
          <w:szCs w:val="26"/>
        </w:rPr>
      </w:pPr>
    </w:p>
    <w:p w14:paraId="1F929E19" w14:textId="77777777" w:rsidR="00BF79EA" w:rsidRPr="00D17C77" w:rsidRDefault="00BF79EA" w:rsidP="009C4BD6">
      <w:pPr>
        <w:spacing w:line="360" w:lineRule="auto"/>
        <w:ind w:firstLine="1440"/>
        <w:contextualSpacing/>
        <w:rPr>
          <w:bCs/>
          <w:color w:val="000000" w:themeColor="text1"/>
          <w:sz w:val="26"/>
          <w:szCs w:val="26"/>
        </w:rPr>
      </w:pPr>
      <w:r w:rsidRPr="00D17C77">
        <w:rPr>
          <w:bCs/>
          <w:color w:val="000000" w:themeColor="text1"/>
          <w:sz w:val="26"/>
          <w:szCs w:val="26"/>
        </w:rPr>
        <w:t xml:space="preserve">Next, as the ALJs and the OSBA both correctly observed, the matter before the Commission in the </w:t>
      </w:r>
      <w:r w:rsidRPr="00D17C77">
        <w:rPr>
          <w:bCs/>
          <w:i/>
          <w:iCs/>
          <w:color w:val="000000" w:themeColor="text1"/>
          <w:sz w:val="26"/>
          <w:szCs w:val="26"/>
        </w:rPr>
        <w:t xml:space="preserve">March 2007 Order </w:t>
      </w:r>
      <w:r w:rsidRPr="00D17C77">
        <w:rPr>
          <w:bCs/>
          <w:color w:val="000000" w:themeColor="text1"/>
          <w:sz w:val="26"/>
          <w:szCs w:val="26"/>
        </w:rPr>
        <w:t xml:space="preserve">was whether there is a cap in place for Verizon PA’s business customers, while the matter at issue in the instant case is whether Verizon PA’s proposed rates in its 2018 PCO filing are just, reasonable, and nondiscriminatory.  Nonetheless, the record indicates that in his direct testimony, the OSBA’s witness </w:t>
      </w:r>
      <w:r w:rsidRPr="00D17C77">
        <w:rPr>
          <w:color w:val="000000" w:themeColor="text1"/>
          <w:sz w:val="26"/>
          <w:szCs w:val="26"/>
        </w:rPr>
        <w:t xml:space="preserve">Mr. Gillan suggested that to judge the reasonableness of Verizon PA’s noncompetitive rates, the Commission could require that Verizon PA may not maintain a business-to-residential rate relationship of greater than 1.7-to-1.  OSBA St. 1 at 12.  We find this to be akin to advocating that a specific cap be placed on business rates.  Therefore, we are not persuaded by the assertion of the OSBA that </w:t>
      </w:r>
      <w:r w:rsidRPr="00D17C77">
        <w:rPr>
          <w:bCs/>
          <w:color w:val="000000" w:themeColor="text1"/>
          <w:sz w:val="26"/>
          <w:szCs w:val="26"/>
        </w:rPr>
        <w:t xml:space="preserve">the </w:t>
      </w:r>
      <w:r w:rsidRPr="00D17C77">
        <w:rPr>
          <w:bCs/>
          <w:i/>
          <w:iCs/>
          <w:color w:val="000000" w:themeColor="text1"/>
          <w:sz w:val="26"/>
          <w:szCs w:val="26"/>
        </w:rPr>
        <w:t>March 2007 Order</w:t>
      </w:r>
      <w:r w:rsidRPr="00D17C77">
        <w:rPr>
          <w:bCs/>
          <w:color w:val="000000" w:themeColor="text1"/>
          <w:sz w:val="26"/>
          <w:szCs w:val="26"/>
        </w:rPr>
        <w:t xml:space="preserve"> is irrelevant to </w:t>
      </w:r>
      <w:r w:rsidR="00DB432C" w:rsidRPr="00D17C77">
        <w:rPr>
          <w:bCs/>
          <w:color w:val="000000" w:themeColor="text1"/>
          <w:sz w:val="26"/>
          <w:szCs w:val="26"/>
        </w:rPr>
        <w:t>this proceeding</w:t>
      </w:r>
      <w:r w:rsidRPr="00D17C77">
        <w:rPr>
          <w:bCs/>
          <w:color w:val="000000" w:themeColor="text1"/>
          <w:sz w:val="26"/>
          <w:szCs w:val="26"/>
        </w:rPr>
        <w:t xml:space="preserve">.  As Verizon PA, the OCA, and the ALJs each noted, in our </w:t>
      </w:r>
      <w:r w:rsidRPr="00D17C77">
        <w:rPr>
          <w:bCs/>
          <w:i/>
          <w:iCs/>
          <w:color w:val="000000" w:themeColor="text1"/>
          <w:sz w:val="26"/>
          <w:szCs w:val="26"/>
        </w:rPr>
        <w:t>March 2007 Order</w:t>
      </w:r>
      <w:r w:rsidRPr="00D17C77">
        <w:rPr>
          <w:bCs/>
          <w:color w:val="000000" w:themeColor="text1"/>
          <w:sz w:val="26"/>
          <w:szCs w:val="26"/>
        </w:rPr>
        <w:t xml:space="preserve">, we upheld the finding of ALJ Gesoff in that proceeding that through the passage </w:t>
      </w:r>
      <w:r w:rsidRPr="00D17C77">
        <w:rPr>
          <w:bCs/>
          <w:color w:val="000000" w:themeColor="text1"/>
          <w:sz w:val="26"/>
          <w:szCs w:val="26"/>
        </w:rPr>
        <w:lastRenderedPageBreak/>
        <w:t xml:space="preserve">of Act 183 of 2004, the Pennsylvania Legislature considered and rejected placing a cap on business rate increases.  Namely, we noted that Verizon PA filed an amendment to its Chapter 30 Plan that was consistent with Section 3015(a)(3) of the Code, and which was approved via our </w:t>
      </w:r>
      <w:r w:rsidRPr="00D17C77">
        <w:rPr>
          <w:bCs/>
          <w:i/>
          <w:iCs/>
          <w:color w:val="000000" w:themeColor="text1"/>
          <w:sz w:val="26"/>
          <w:szCs w:val="26"/>
        </w:rPr>
        <w:t>May 2005 Order.</w:t>
      </w:r>
      <w:r w:rsidRPr="00D17C77">
        <w:rPr>
          <w:bCs/>
          <w:color w:val="000000" w:themeColor="text1"/>
          <w:sz w:val="26"/>
          <w:szCs w:val="26"/>
        </w:rPr>
        <w:t xml:space="preserve">  This amendment removed language related to a cap on the rates for small business customers.  </w:t>
      </w:r>
      <w:r w:rsidRPr="00D17C77">
        <w:rPr>
          <w:bCs/>
          <w:i/>
          <w:iCs/>
          <w:color w:val="000000" w:themeColor="text1"/>
          <w:sz w:val="26"/>
          <w:szCs w:val="26"/>
        </w:rPr>
        <w:t xml:space="preserve">March 2007 Order </w:t>
      </w:r>
      <w:r w:rsidRPr="00D17C77">
        <w:rPr>
          <w:bCs/>
          <w:color w:val="000000" w:themeColor="text1"/>
          <w:sz w:val="26"/>
          <w:szCs w:val="26"/>
        </w:rPr>
        <w:t xml:space="preserve">at 29, 36.  Thus, we agree with the ALJs that the </w:t>
      </w:r>
      <w:r w:rsidRPr="00D17C77">
        <w:rPr>
          <w:bCs/>
          <w:i/>
          <w:iCs/>
          <w:color w:val="000000" w:themeColor="text1"/>
          <w:sz w:val="26"/>
          <w:szCs w:val="26"/>
        </w:rPr>
        <w:t xml:space="preserve">March 2007 Order </w:t>
      </w:r>
      <w:r w:rsidRPr="00D17C77">
        <w:rPr>
          <w:bCs/>
          <w:color w:val="000000" w:themeColor="text1"/>
          <w:sz w:val="26"/>
          <w:szCs w:val="26"/>
        </w:rPr>
        <w:t xml:space="preserve">lends support to their finding that there is no hard cap on business rates.  </w:t>
      </w:r>
    </w:p>
    <w:p w14:paraId="56C7F33B" w14:textId="77777777" w:rsidR="00BF79EA" w:rsidRPr="00D17C77" w:rsidRDefault="00BF79EA" w:rsidP="009C4BD6">
      <w:pPr>
        <w:spacing w:line="360" w:lineRule="auto"/>
        <w:ind w:firstLine="1440"/>
        <w:contextualSpacing/>
        <w:rPr>
          <w:bCs/>
          <w:color w:val="000000" w:themeColor="text1"/>
          <w:sz w:val="26"/>
          <w:szCs w:val="26"/>
        </w:rPr>
      </w:pPr>
    </w:p>
    <w:p w14:paraId="4FCB0995" w14:textId="77777777" w:rsidR="00BF79EA" w:rsidRPr="00D17C77" w:rsidRDefault="00BF79EA" w:rsidP="009C4BD6">
      <w:pPr>
        <w:spacing w:line="360" w:lineRule="auto"/>
        <w:ind w:firstLine="1440"/>
        <w:contextualSpacing/>
        <w:rPr>
          <w:color w:val="000000" w:themeColor="text1"/>
          <w:sz w:val="26"/>
          <w:szCs w:val="26"/>
        </w:rPr>
      </w:pPr>
      <w:r w:rsidRPr="00D17C77">
        <w:rPr>
          <w:bCs/>
          <w:color w:val="000000" w:themeColor="text1"/>
          <w:sz w:val="26"/>
          <w:szCs w:val="26"/>
        </w:rPr>
        <w:t xml:space="preserve">Based on the forgoing, we are not persuaded by the assertion of the OSBA that the ALJs erred in interpreting </w:t>
      </w:r>
      <w:r w:rsidR="00AD1F2B" w:rsidRPr="00D17C77">
        <w:rPr>
          <w:bCs/>
          <w:color w:val="000000" w:themeColor="text1"/>
          <w:sz w:val="26"/>
          <w:szCs w:val="26"/>
        </w:rPr>
        <w:t xml:space="preserve">its </w:t>
      </w:r>
      <w:r w:rsidRPr="00D17C77">
        <w:rPr>
          <w:bCs/>
          <w:color w:val="000000" w:themeColor="text1"/>
          <w:sz w:val="26"/>
          <w:szCs w:val="26"/>
        </w:rPr>
        <w:t xml:space="preserve">position regarding the caps on residential and business rates or in finding that the </w:t>
      </w:r>
      <w:r w:rsidRPr="00D17C77">
        <w:rPr>
          <w:bCs/>
          <w:i/>
          <w:iCs/>
          <w:color w:val="000000" w:themeColor="text1"/>
          <w:sz w:val="26"/>
          <w:szCs w:val="26"/>
        </w:rPr>
        <w:t>March 2007 Order</w:t>
      </w:r>
      <w:r w:rsidRPr="00D17C77">
        <w:rPr>
          <w:bCs/>
          <w:color w:val="000000" w:themeColor="text1"/>
          <w:sz w:val="26"/>
          <w:szCs w:val="26"/>
        </w:rPr>
        <w:t xml:space="preserve"> is relevant to the instant proceeding.  However, before concluding this section, we find it worthwhile to make several clarifying points.  As noted above, the OSBA insists in its Exceptions that it is not seeking a hard cap on Verizon PA’s business rates but is instead arguing that Verizon PA must follow the statutory mandates set forth in Chapter 30.  On this point, we agree with the ALJs and all Parties to this proceeding that it is paramount that Verizon PA’s noncompetitive residential and business service rates must be just, reasonable, and non</w:t>
      </w:r>
      <w:r w:rsidRPr="00D17C77">
        <w:rPr>
          <w:bCs/>
          <w:color w:val="000000" w:themeColor="text1"/>
          <w:sz w:val="26"/>
          <w:szCs w:val="26"/>
        </w:rPr>
        <w:noBreakHyphen/>
        <w:t xml:space="preserve">discriminatory.  First, we reinforce that we cannot direct Verizon PA to abandon the </w:t>
      </w:r>
      <w:r w:rsidRPr="00D17C77">
        <w:rPr>
          <w:color w:val="000000" w:themeColor="text1"/>
          <w:sz w:val="26"/>
          <w:szCs w:val="26"/>
        </w:rPr>
        <w:t xml:space="preserve">statutory residential rate caps outlined in Section 3015(a)(3).  As the ALJs observed, Section 3015(a)(3) does not provide Verizon PA with the discretion to increase residential protected services revenues and rates in excess of the statutory annual rate limitation set forth therein.  In our view, </w:t>
      </w:r>
      <w:bookmarkStart w:id="10" w:name="_Hlk26876067"/>
      <w:r w:rsidRPr="00D17C77">
        <w:rPr>
          <w:color w:val="000000" w:themeColor="text1"/>
          <w:sz w:val="26"/>
          <w:szCs w:val="26"/>
        </w:rPr>
        <w:t xml:space="preserve">Verizon PA’s compliance with this statutory requirement does not constitute an unreasonable preference nor does it discriminate against business service customers.  </w:t>
      </w:r>
    </w:p>
    <w:bookmarkEnd w:id="10"/>
    <w:p w14:paraId="3B3B693A" w14:textId="77777777" w:rsidR="00BF79EA" w:rsidRPr="00D17C77" w:rsidRDefault="00BF79EA" w:rsidP="009C4BD6">
      <w:pPr>
        <w:spacing w:line="360" w:lineRule="auto"/>
        <w:ind w:firstLine="1440"/>
        <w:contextualSpacing/>
        <w:rPr>
          <w:color w:val="000000" w:themeColor="text1"/>
          <w:sz w:val="26"/>
          <w:szCs w:val="26"/>
        </w:rPr>
      </w:pPr>
    </w:p>
    <w:p w14:paraId="7140B693" w14:textId="77777777" w:rsidR="00BF79EA" w:rsidRPr="00D17C77" w:rsidRDefault="00BF79EA" w:rsidP="009C4BD6">
      <w:pPr>
        <w:spacing w:line="360" w:lineRule="auto"/>
        <w:ind w:firstLine="1440"/>
        <w:contextualSpacing/>
        <w:rPr>
          <w:color w:val="000000" w:themeColor="text1"/>
          <w:sz w:val="26"/>
          <w:szCs w:val="26"/>
        </w:rPr>
      </w:pPr>
      <w:r w:rsidRPr="00D17C77">
        <w:rPr>
          <w:color w:val="000000" w:themeColor="text1"/>
          <w:sz w:val="26"/>
          <w:szCs w:val="26"/>
        </w:rPr>
        <w:t xml:space="preserve">Additionally, as Section 3015(a)(3) does not specify any explicit protections to Verizon PA’s business customers, we agree with the position of Verizon PA that any proposed increases to the rates for Verizon PA’s noncompetitive business rates must be reviewed for consistency with the Company’s Chapter 30 Plan and the </w:t>
      </w:r>
      <w:r w:rsidRPr="00D17C77">
        <w:rPr>
          <w:color w:val="000000" w:themeColor="text1"/>
          <w:sz w:val="26"/>
          <w:szCs w:val="26"/>
        </w:rPr>
        <w:lastRenderedPageBreak/>
        <w:t xml:space="preserve">applicable law.  As we noted in </w:t>
      </w:r>
      <w:r w:rsidRPr="00D17C77">
        <w:rPr>
          <w:i/>
          <w:iCs/>
          <w:color w:val="000000" w:themeColor="text1"/>
          <w:sz w:val="26"/>
          <w:szCs w:val="26"/>
        </w:rPr>
        <w:t>Commonwealth Telephone Co. PSI/SPI Filing for the Year 2005</w:t>
      </w:r>
      <w:r w:rsidRPr="00D17C77">
        <w:rPr>
          <w:color w:val="000000" w:themeColor="text1"/>
          <w:sz w:val="26"/>
          <w:szCs w:val="26"/>
        </w:rPr>
        <w:t xml:space="preserve">, Docket Nos. R-00050551, </w:t>
      </w:r>
      <w:r w:rsidRPr="00D17C77">
        <w:rPr>
          <w:i/>
          <w:iCs/>
          <w:color w:val="000000" w:themeColor="text1"/>
          <w:sz w:val="26"/>
          <w:szCs w:val="26"/>
        </w:rPr>
        <w:t>et al and Delegation of Certain Routine, Ministerial and Nonpolicymaking Public Meeting Agenda Items</w:t>
      </w:r>
      <w:r w:rsidRPr="00D17C77">
        <w:rPr>
          <w:color w:val="000000" w:themeColor="text1"/>
          <w:sz w:val="26"/>
          <w:szCs w:val="26"/>
        </w:rPr>
        <w:t>, Docket No. M</w:t>
      </w:r>
      <w:r w:rsidRPr="00D17C77">
        <w:rPr>
          <w:color w:val="000000" w:themeColor="text1"/>
          <w:sz w:val="26"/>
          <w:szCs w:val="26"/>
        </w:rPr>
        <w:noBreakHyphen/>
        <w:t>00970915, (Order entered August 31, 2005)</w:t>
      </w:r>
      <w:r w:rsidR="003E26EE" w:rsidRPr="00D17C77">
        <w:rPr>
          <w:color w:val="000000" w:themeColor="text1"/>
          <w:sz w:val="26"/>
          <w:szCs w:val="26"/>
        </w:rPr>
        <w:t xml:space="preserve"> </w:t>
      </w:r>
      <w:r w:rsidRPr="00D17C77">
        <w:rPr>
          <w:color w:val="000000" w:themeColor="text1"/>
          <w:sz w:val="26"/>
          <w:szCs w:val="26"/>
        </w:rPr>
        <w:t>(</w:t>
      </w:r>
      <w:r w:rsidRPr="00D17C77">
        <w:rPr>
          <w:i/>
          <w:iCs/>
          <w:color w:val="000000" w:themeColor="text1"/>
          <w:sz w:val="26"/>
          <w:szCs w:val="26"/>
        </w:rPr>
        <w:t>2005 Commonwealth Telephone Company PSI Order</w:t>
      </w:r>
      <w:r w:rsidRPr="00D17C77">
        <w:rPr>
          <w:color w:val="000000" w:themeColor="text1"/>
          <w:sz w:val="26"/>
          <w:szCs w:val="26"/>
        </w:rPr>
        <w:t xml:space="preserve">), we have the statutory mandate, authority, and responsibility under Section 3019(h) of the Code to adjudicate whether the proposed rate changes are just and reasonable and nondiscriminatory, respectively, under sections 1301 and 1304 of the Code, 66 Pa. C.S. §§1301 and 1304.  </w:t>
      </w:r>
      <w:r w:rsidRPr="00D17C77">
        <w:rPr>
          <w:i/>
          <w:iCs/>
          <w:color w:val="000000" w:themeColor="text1"/>
          <w:sz w:val="26"/>
          <w:szCs w:val="26"/>
        </w:rPr>
        <w:t xml:space="preserve">2005 Commonwealth Telephone Company PSI Order </w:t>
      </w:r>
      <w:r w:rsidRPr="00D17C77">
        <w:rPr>
          <w:color w:val="000000" w:themeColor="text1"/>
          <w:sz w:val="26"/>
          <w:szCs w:val="26"/>
        </w:rPr>
        <w:t xml:space="preserve">at 7; </w:t>
      </w:r>
      <w:r w:rsidRPr="00D17C77">
        <w:rPr>
          <w:i/>
          <w:iCs/>
          <w:color w:val="000000" w:themeColor="text1"/>
          <w:sz w:val="26"/>
          <w:szCs w:val="26"/>
        </w:rPr>
        <w:t xml:space="preserve">See also </w:t>
      </w:r>
      <w:r w:rsidRPr="00D17C77">
        <w:rPr>
          <w:color w:val="000000" w:themeColor="text1"/>
          <w:sz w:val="26"/>
          <w:szCs w:val="26"/>
        </w:rPr>
        <w:t xml:space="preserve">OCA M.B. at 5-6.  </w:t>
      </w:r>
    </w:p>
    <w:p w14:paraId="5AA923CE" w14:textId="77777777" w:rsidR="00BF79EA" w:rsidRPr="00D17C77" w:rsidRDefault="00BF79EA" w:rsidP="009C4BD6">
      <w:pPr>
        <w:spacing w:line="360" w:lineRule="auto"/>
        <w:ind w:firstLine="1440"/>
        <w:contextualSpacing/>
        <w:rPr>
          <w:color w:val="000000" w:themeColor="text1"/>
          <w:sz w:val="26"/>
          <w:szCs w:val="26"/>
        </w:rPr>
      </w:pPr>
    </w:p>
    <w:p w14:paraId="25CF8029" w14:textId="77777777" w:rsidR="00BF79EA" w:rsidRPr="00D17C77" w:rsidRDefault="00BF79EA" w:rsidP="009C4BD6">
      <w:pPr>
        <w:spacing w:line="360" w:lineRule="auto"/>
        <w:ind w:firstLine="1440"/>
        <w:contextualSpacing/>
        <w:rPr>
          <w:bCs/>
          <w:color w:val="000000" w:themeColor="text1"/>
          <w:sz w:val="26"/>
          <w:szCs w:val="26"/>
        </w:rPr>
      </w:pPr>
      <w:r w:rsidRPr="00D17C77">
        <w:rPr>
          <w:color w:val="000000" w:themeColor="text1"/>
          <w:sz w:val="26"/>
          <w:szCs w:val="26"/>
        </w:rPr>
        <w:t xml:space="preserve">We further note that in the </w:t>
      </w:r>
      <w:r w:rsidRPr="00D17C77">
        <w:rPr>
          <w:i/>
          <w:iCs/>
          <w:color w:val="000000" w:themeColor="text1"/>
          <w:sz w:val="26"/>
          <w:szCs w:val="26"/>
        </w:rPr>
        <w:t xml:space="preserve">2006 Verizon PCO Proceeding, </w:t>
      </w:r>
      <w:r w:rsidRPr="00D17C77">
        <w:rPr>
          <w:color w:val="000000" w:themeColor="text1"/>
          <w:sz w:val="26"/>
          <w:szCs w:val="26"/>
        </w:rPr>
        <w:t xml:space="preserve">the OSBA </w:t>
      </w:r>
      <w:r w:rsidRPr="00D17C77">
        <w:rPr>
          <w:bCs/>
          <w:color w:val="000000" w:themeColor="text1"/>
          <w:sz w:val="26"/>
          <w:szCs w:val="26"/>
        </w:rPr>
        <w:t xml:space="preserve">correctly argued that nothing in the Chapter 30 law bars an ILEC from </w:t>
      </w:r>
      <w:r w:rsidRPr="00D17C77">
        <w:rPr>
          <w:color w:val="000000" w:themeColor="text1"/>
          <w:sz w:val="26"/>
          <w:szCs w:val="26"/>
        </w:rPr>
        <w:t>placing customer rate increase limits that are more protective of consumers than the limit set forth in Section 3</w:t>
      </w:r>
      <w:r w:rsidR="007C156D" w:rsidRPr="00D17C77">
        <w:rPr>
          <w:color w:val="000000" w:themeColor="text1"/>
          <w:sz w:val="26"/>
          <w:szCs w:val="26"/>
        </w:rPr>
        <w:t>01</w:t>
      </w:r>
      <w:r w:rsidRPr="00D17C77">
        <w:rPr>
          <w:color w:val="000000" w:themeColor="text1"/>
          <w:sz w:val="26"/>
          <w:szCs w:val="26"/>
        </w:rPr>
        <w:t xml:space="preserve">5(a)(3).  </w:t>
      </w:r>
      <w:r w:rsidRPr="00D17C77">
        <w:rPr>
          <w:i/>
          <w:iCs/>
          <w:color w:val="000000" w:themeColor="text1"/>
          <w:sz w:val="26"/>
          <w:szCs w:val="26"/>
        </w:rPr>
        <w:t xml:space="preserve">See March 2007 Order </w:t>
      </w:r>
      <w:r w:rsidRPr="00D17C77">
        <w:rPr>
          <w:color w:val="000000" w:themeColor="text1"/>
          <w:sz w:val="26"/>
          <w:szCs w:val="26"/>
        </w:rPr>
        <w:t>at 25</w:t>
      </w:r>
      <w:r w:rsidR="00A00214" w:rsidRPr="00D17C77">
        <w:rPr>
          <w:color w:val="000000" w:themeColor="text1"/>
          <w:sz w:val="26"/>
          <w:szCs w:val="26"/>
        </w:rPr>
        <w:t>.</w:t>
      </w:r>
      <w:r w:rsidR="00A00214" w:rsidRPr="00D17C77">
        <w:rPr>
          <w:rStyle w:val="FootnoteReference"/>
          <w:color w:val="000000" w:themeColor="text1"/>
        </w:rPr>
        <w:footnoteReference w:id="9"/>
      </w:r>
      <w:r w:rsidRPr="00D17C77">
        <w:rPr>
          <w:iCs/>
          <w:color w:val="000000" w:themeColor="text1"/>
          <w:sz w:val="26"/>
          <w:szCs w:val="26"/>
        </w:rPr>
        <w:t xml:space="preserve">  However, as will be discussed in more detail below, in the instant case, we find no reason to direct Verizon PA to alter the rates </w:t>
      </w:r>
      <w:r w:rsidR="00A93A8E" w:rsidRPr="00D17C77">
        <w:rPr>
          <w:iCs/>
          <w:color w:val="000000" w:themeColor="text1"/>
          <w:sz w:val="26"/>
          <w:szCs w:val="26"/>
        </w:rPr>
        <w:t>that it</w:t>
      </w:r>
      <w:r w:rsidRPr="00D17C77">
        <w:rPr>
          <w:iCs/>
          <w:color w:val="000000" w:themeColor="text1"/>
          <w:sz w:val="26"/>
          <w:szCs w:val="26"/>
        </w:rPr>
        <w:t xml:space="preserve"> proposed in its 2018 PCO Filing.  </w:t>
      </w:r>
    </w:p>
    <w:p w14:paraId="24747512" w14:textId="77777777" w:rsidR="00BF79EA" w:rsidRPr="00D17C77" w:rsidRDefault="00BF79EA" w:rsidP="009C4BD6">
      <w:pPr>
        <w:spacing w:after="200" w:line="360" w:lineRule="auto"/>
        <w:ind w:firstLine="1440"/>
        <w:contextualSpacing/>
        <w:rPr>
          <w:bCs/>
          <w:color w:val="000000" w:themeColor="text1"/>
          <w:sz w:val="26"/>
          <w:szCs w:val="26"/>
        </w:rPr>
      </w:pPr>
    </w:p>
    <w:p w14:paraId="22BBF4A7" w14:textId="77777777" w:rsidR="00BF79EA" w:rsidRPr="00D17C77" w:rsidRDefault="00BF79EA" w:rsidP="009C4BD6">
      <w:pPr>
        <w:spacing w:after="200" w:line="360" w:lineRule="auto"/>
        <w:ind w:firstLine="1440"/>
        <w:contextualSpacing/>
        <w:rPr>
          <w:bCs/>
          <w:color w:val="000000" w:themeColor="text1"/>
          <w:sz w:val="26"/>
          <w:szCs w:val="26"/>
        </w:rPr>
      </w:pPr>
      <w:r w:rsidRPr="00D17C77">
        <w:rPr>
          <w:bCs/>
          <w:color w:val="000000" w:themeColor="text1"/>
          <w:sz w:val="26"/>
          <w:szCs w:val="26"/>
        </w:rPr>
        <w:t>In light of the above, we shall grant the OSBA’s Exceptions on this issue, in part, and deny them, in part.</w:t>
      </w:r>
    </w:p>
    <w:p w14:paraId="1FA57E97" w14:textId="77777777" w:rsidR="00CA22B3" w:rsidRPr="00D17C77" w:rsidRDefault="00CA22B3" w:rsidP="009C4BD6">
      <w:pPr>
        <w:spacing w:line="360" w:lineRule="auto"/>
        <w:ind w:firstLine="1440"/>
        <w:contextualSpacing/>
        <w:rPr>
          <w:color w:val="000000" w:themeColor="text1"/>
          <w:sz w:val="26"/>
          <w:szCs w:val="26"/>
        </w:rPr>
      </w:pPr>
    </w:p>
    <w:bookmarkEnd w:id="6"/>
    <w:p w14:paraId="2AF62B1E" w14:textId="7492350E" w:rsidR="00333C27" w:rsidRPr="00D17C77" w:rsidRDefault="00791B5E" w:rsidP="00846B7A">
      <w:pPr>
        <w:keepNext/>
        <w:keepLines/>
        <w:ind w:left="1440" w:hanging="720"/>
        <w:contextualSpacing/>
        <w:rPr>
          <w:b/>
          <w:bCs/>
          <w:color w:val="000000" w:themeColor="text1"/>
          <w:sz w:val="26"/>
          <w:szCs w:val="26"/>
        </w:rPr>
      </w:pPr>
      <w:r>
        <w:rPr>
          <w:b/>
          <w:bCs/>
          <w:color w:val="000000" w:themeColor="text1"/>
          <w:sz w:val="26"/>
          <w:szCs w:val="26"/>
        </w:rPr>
        <w:lastRenderedPageBreak/>
        <w:t>2</w:t>
      </w:r>
      <w:r w:rsidR="00333C27" w:rsidRPr="00D17C77">
        <w:rPr>
          <w:b/>
          <w:bCs/>
          <w:color w:val="000000" w:themeColor="text1"/>
          <w:sz w:val="26"/>
          <w:szCs w:val="26"/>
        </w:rPr>
        <w:t>.</w:t>
      </w:r>
      <w:r w:rsidR="00333C27" w:rsidRPr="00D17C77">
        <w:rPr>
          <w:b/>
          <w:bCs/>
          <w:color w:val="000000" w:themeColor="text1"/>
          <w:sz w:val="26"/>
          <w:szCs w:val="26"/>
        </w:rPr>
        <w:tab/>
        <w:t xml:space="preserve">Whether </w:t>
      </w:r>
      <w:r w:rsidR="00122641">
        <w:rPr>
          <w:b/>
          <w:bCs/>
          <w:color w:val="000000" w:themeColor="text1"/>
          <w:sz w:val="26"/>
          <w:szCs w:val="26"/>
        </w:rPr>
        <w:t>T</w:t>
      </w:r>
      <w:r w:rsidR="00095CD4">
        <w:rPr>
          <w:b/>
          <w:bCs/>
          <w:color w:val="000000" w:themeColor="text1"/>
          <w:sz w:val="26"/>
          <w:szCs w:val="26"/>
        </w:rPr>
        <w:t>he ALJs</w:t>
      </w:r>
      <w:r w:rsidR="00846B7A" w:rsidRPr="00D17C77">
        <w:rPr>
          <w:b/>
          <w:bCs/>
          <w:color w:val="000000" w:themeColor="text1"/>
          <w:sz w:val="26"/>
          <w:szCs w:val="26"/>
        </w:rPr>
        <w:t xml:space="preserve"> Erred </w:t>
      </w:r>
      <w:r w:rsidR="00122641">
        <w:rPr>
          <w:b/>
          <w:bCs/>
          <w:color w:val="000000" w:themeColor="text1"/>
          <w:sz w:val="26"/>
          <w:szCs w:val="26"/>
        </w:rPr>
        <w:t>I</w:t>
      </w:r>
      <w:r w:rsidR="00846B7A" w:rsidRPr="00D17C77">
        <w:rPr>
          <w:b/>
          <w:bCs/>
          <w:color w:val="000000" w:themeColor="text1"/>
          <w:sz w:val="26"/>
          <w:szCs w:val="26"/>
        </w:rPr>
        <w:t xml:space="preserve">n Finding That </w:t>
      </w:r>
      <w:r w:rsidR="00333C27" w:rsidRPr="00D17C77">
        <w:rPr>
          <w:b/>
          <w:bCs/>
          <w:color w:val="000000" w:themeColor="text1"/>
          <w:sz w:val="26"/>
          <w:szCs w:val="26"/>
        </w:rPr>
        <w:t xml:space="preserve">Verizon PA </w:t>
      </w:r>
      <w:r w:rsidR="00846B7A" w:rsidRPr="00D17C77">
        <w:rPr>
          <w:b/>
          <w:bCs/>
          <w:color w:val="000000" w:themeColor="text1"/>
          <w:sz w:val="26"/>
          <w:szCs w:val="26"/>
        </w:rPr>
        <w:t xml:space="preserve">Has Met Its Burden </w:t>
      </w:r>
      <w:r w:rsidR="00122641">
        <w:rPr>
          <w:b/>
          <w:bCs/>
          <w:color w:val="000000" w:themeColor="text1"/>
          <w:sz w:val="26"/>
          <w:szCs w:val="26"/>
        </w:rPr>
        <w:t>O</w:t>
      </w:r>
      <w:r w:rsidR="00846B7A" w:rsidRPr="00D17C77">
        <w:rPr>
          <w:b/>
          <w:bCs/>
          <w:color w:val="000000" w:themeColor="text1"/>
          <w:sz w:val="26"/>
          <w:szCs w:val="26"/>
        </w:rPr>
        <w:t xml:space="preserve">f Proof Under 66 </w:t>
      </w:r>
      <w:r w:rsidR="00333C27" w:rsidRPr="00D17C77">
        <w:rPr>
          <w:b/>
          <w:bCs/>
          <w:color w:val="000000" w:themeColor="text1"/>
          <w:sz w:val="26"/>
          <w:szCs w:val="26"/>
        </w:rPr>
        <w:t>Pa</w:t>
      </w:r>
      <w:r w:rsidR="00846B7A" w:rsidRPr="00D17C77">
        <w:rPr>
          <w:b/>
          <w:bCs/>
          <w:color w:val="000000" w:themeColor="text1"/>
          <w:sz w:val="26"/>
          <w:szCs w:val="26"/>
        </w:rPr>
        <w:t xml:space="preserve">. </w:t>
      </w:r>
      <w:r w:rsidR="00333C27" w:rsidRPr="00D17C77">
        <w:rPr>
          <w:b/>
          <w:bCs/>
          <w:color w:val="000000" w:themeColor="text1"/>
          <w:sz w:val="26"/>
          <w:szCs w:val="26"/>
        </w:rPr>
        <w:t>C</w:t>
      </w:r>
      <w:r w:rsidR="00846B7A" w:rsidRPr="00D17C77">
        <w:rPr>
          <w:b/>
          <w:bCs/>
          <w:color w:val="000000" w:themeColor="text1"/>
          <w:sz w:val="26"/>
          <w:szCs w:val="26"/>
        </w:rPr>
        <w:t>.</w:t>
      </w:r>
      <w:r w:rsidR="00333C27" w:rsidRPr="00D17C77">
        <w:rPr>
          <w:b/>
          <w:bCs/>
          <w:color w:val="000000" w:themeColor="text1"/>
          <w:sz w:val="26"/>
          <w:szCs w:val="26"/>
        </w:rPr>
        <w:t>S</w:t>
      </w:r>
      <w:r w:rsidR="00095CD4">
        <w:rPr>
          <w:b/>
          <w:bCs/>
          <w:color w:val="000000" w:themeColor="text1"/>
          <w:sz w:val="26"/>
          <w:szCs w:val="26"/>
        </w:rPr>
        <w:t>. § 315(a</w:t>
      </w:r>
      <w:r w:rsidR="00846B7A" w:rsidRPr="00D17C77">
        <w:rPr>
          <w:b/>
          <w:bCs/>
          <w:color w:val="000000" w:themeColor="text1"/>
          <w:sz w:val="26"/>
          <w:szCs w:val="26"/>
        </w:rPr>
        <w:t>) (</w:t>
      </w:r>
      <w:r w:rsidR="00333C27" w:rsidRPr="00D17C77">
        <w:rPr>
          <w:b/>
          <w:bCs/>
          <w:color w:val="000000" w:themeColor="text1"/>
          <w:sz w:val="26"/>
          <w:szCs w:val="26"/>
        </w:rPr>
        <w:t>OSBA Exception Nos</w:t>
      </w:r>
      <w:r w:rsidR="00846B7A" w:rsidRPr="00D17C77">
        <w:rPr>
          <w:b/>
          <w:bCs/>
          <w:color w:val="000000" w:themeColor="text1"/>
          <w:sz w:val="26"/>
          <w:szCs w:val="26"/>
        </w:rPr>
        <w:t>. 5, 6, 7, And 8)</w:t>
      </w:r>
    </w:p>
    <w:p w14:paraId="40E0E395" w14:textId="77777777" w:rsidR="00333C27" w:rsidRPr="00D17C77" w:rsidRDefault="00333C27" w:rsidP="00333C27">
      <w:pPr>
        <w:keepNext/>
        <w:keepLines/>
        <w:spacing w:line="360" w:lineRule="auto"/>
        <w:ind w:firstLine="1440"/>
        <w:contextualSpacing/>
        <w:rPr>
          <w:color w:val="000000" w:themeColor="text1"/>
          <w:sz w:val="26"/>
          <w:szCs w:val="26"/>
        </w:rPr>
      </w:pPr>
    </w:p>
    <w:p w14:paraId="0E87A220" w14:textId="4F88B937" w:rsidR="00333C27"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a</w:t>
      </w:r>
      <w:r w:rsidR="00333C27" w:rsidRPr="00D17C77">
        <w:rPr>
          <w:b/>
          <w:bCs/>
          <w:color w:val="000000" w:themeColor="text1"/>
          <w:sz w:val="26"/>
          <w:szCs w:val="26"/>
        </w:rPr>
        <w:t>.</w:t>
      </w:r>
      <w:r w:rsidR="00333C27" w:rsidRPr="00D17C77">
        <w:rPr>
          <w:b/>
          <w:bCs/>
          <w:color w:val="000000" w:themeColor="text1"/>
          <w:sz w:val="26"/>
          <w:szCs w:val="26"/>
        </w:rPr>
        <w:tab/>
        <w:t>The ALJs’ Initial Decision</w:t>
      </w:r>
    </w:p>
    <w:p w14:paraId="046354AF" w14:textId="77777777" w:rsidR="00333C27" w:rsidRPr="00D17C77" w:rsidRDefault="00333C27" w:rsidP="00333C27">
      <w:pPr>
        <w:keepNext/>
        <w:keepLines/>
        <w:spacing w:line="360" w:lineRule="auto"/>
        <w:ind w:firstLine="1440"/>
        <w:contextualSpacing/>
        <w:rPr>
          <w:color w:val="000000" w:themeColor="text1"/>
          <w:sz w:val="26"/>
          <w:szCs w:val="26"/>
        </w:rPr>
      </w:pPr>
    </w:p>
    <w:p w14:paraId="71B473BF"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The ALJs acknowledged the OSBA’s assertion that Section 3019(e) of the Code prevents the imposition of “unreasonable preferences, discriminations, or classifications.”  However, the ALJs rejected the OSBA’s argument that Verizon PA’s 2018 PCO </w:t>
      </w:r>
      <w:r w:rsidR="00124D47" w:rsidRPr="00D17C77">
        <w:rPr>
          <w:color w:val="000000" w:themeColor="text1"/>
          <w:sz w:val="26"/>
          <w:szCs w:val="26"/>
        </w:rPr>
        <w:t xml:space="preserve">Filing </w:t>
      </w:r>
      <w:r w:rsidRPr="00D17C77">
        <w:rPr>
          <w:color w:val="000000" w:themeColor="text1"/>
          <w:sz w:val="26"/>
          <w:szCs w:val="26"/>
        </w:rPr>
        <w:t xml:space="preserve">grants an unreasonable preference to residential customers or otherwise discriminates against business customers.  According to the ALJs, in the legal sense, comparing Verizon PA’s residential customer classes to its business customer classes is akin to comparing apples to oranges.  The ALJs explained that while Verizon PA’s residential customers are protected under the rate caps set forth in Section 3015 of the Code, there are no such statutory protections for Verizon PA’s business customers.  As such, the ALJs found that comparing one customer class to another is not an accurate way to attempt to measure whether </w:t>
      </w:r>
      <w:r w:rsidR="00A00214" w:rsidRPr="00D17C77">
        <w:rPr>
          <w:color w:val="000000" w:themeColor="text1"/>
          <w:sz w:val="26"/>
          <w:szCs w:val="26"/>
        </w:rPr>
        <w:t>there is rate discrimination.</w:t>
      </w:r>
      <w:r w:rsidRPr="00D17C77">
        <w:rPr>
          <w:color w:val="000000" w:themeColor="text1"/>
          <w:sz w:val="26"/>
          <w:szCs w:val="26"/>
        </w:rPr>
        <w:t xml:space="preserve">  Further, the ALJs pointed out that Verizon PA has proposed in its 2018 PCO </w:t>
      </w:r>
      <w:r w:rsidR="007C156D" w:rsidRPr="00D17C77">
        <w:rPr>
          <w:color w:val="000000" w:themeColor="text1"/>
          <w:sz w:val="26"/>
          <w:szCs w:val="26"/>
        </w:rPr>
        <w:t xml:space="preserve">Filing </w:t>
      </w:r>
      <w:r w:rsidRPr="00D17C77">
        <w:rPr>
          <w:color w:val="000000" w:themeColor="text1"/>
          <w:sz w:val="26"/>
          <w:szCs w:val="26"/>
        </w:rPr>
        <w:t>to raise residential rates to the maximum level permitted by law.  Therefore, the ALJs concluded that Verizon PA has no additional legal recourse with regard to shifting any more of its allowed PCO increase to its residential customers in this proceeding.  I.D. at 19-20, 21.</w:t>
      </w:r>
    </w:p>
    <w:p w14:paraId="32C94CBD" w14:textId="77777777" w:rsidR="00333C27" w:rsidRPr="00D17C77" w:rsidRDefault="00333C27" w:rsidP="00333C27">
      <w:pPr>
        <w:spacing w:line="360" w:lineRule="auto"/>
        <w:ind w:firstLine="1440"/>
        <w:contextualSpacing/>
        <w:rPr>
          <w:color w:val="000000" w:themeColor="text1"/>
          <w:sz w:val="26"/>
          <w:szCs w:val="26"/>
        </w:rPr>
      </w:pPr>
    </w:p>
    <w:p w14:paraId="6F91CD4B"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The ALJs also found that the discrepancy between Verizon PA’s proposed residential rate increases and its proposed business rate increases may be attributable to the fact that Verizon PA has more residential customers than it has business customers, and thus a larger customer base over which to spread the increase.  As such, </w:t>
      </w:r>
      <w:bookmarkStart w:id="11" w:name="_Hlk26876832"/>
      <w:r w:rsidRPr="00D17C77">
        <w:rPr>
          <w:color w:val="000000" w:themeColor="text1"/>
          <w:sz w:val="26"/>
          <w:szCs w:val="26"/>
        </w:rPr>
        <w:t>the ALJs explained that while the per customer residential increase seems small compared to the per customer business increase, the total annual revenue increase allocated</w:t>
      </w:r>
      <w:r w:rsidR="002A5FB8" w:rsidRPr="00D17C77">
        <w:rPr>
          <w:color w:val="000000" w:themeColor="text1"/>
          <w:sz w:val="26"/>
          <w:szCs w:val="26"/>
        </w:rPr>
        <w:t xml:space="preserve"> to</w:t>
      </w:r>
      <w:r w:rsidRPr="00D17C77">
        <w:rPr>
          <w:color w:val="000000" w:themeColor="text1"/>
          <w:sz w:val="26"/>
          <w:szCs w:val="26"/>
        </w:rPr>
        <w:t xml:space="preserve"> residential </w:t>
      </w:r>
      <w:r w:rsidR="001B2C0F" w:rsidRPr="00D17C77">
        <w:rPr>
          <w:color w:val="000000" w:themeColor="text1"/>
          <w:sz w:val="26"/>
          <w:szCs w:val="26"/>
        </w:rPr>
        <w:t>dial tone line rate increases</w:t>
      </w:r>
      <w:r w:rsidRPr="00D17C77">
        <w:rPr>
          <w:color w:val="000000" w:themeColor="text1"/>
          <w:sz w:val="26"/>
          <w:szCs w:val="26"/>
        </w:rPr>
        <w:t xml:space="preserve"> under this filing</w:t>
      </w:r>
      <w:r w:rsidR="007C156D" w:rsidRPr="00D17C77">
        <w:rPr>
          <w:color w:val="000000" w:themeColor="text1"/>
          <w:sz w:val="26"/>
          <w:szCs w:val="26"/>
        </w:rPr>
        <w:t xml:space="preserve"> is larger than the amount allocated to </w:t>
      </w:r>
      <w:r w:rsidR="001B2C0F" w:rsidRPr="00D17C77">
        <w:rPr>
          <w:color w:val="000000" w:themeColor="text1"/>
          <w:sz w:val="26"/>
          <w:szCs w:val="26"/>
        </w:rPr>
        <w:t>business dial tone line increases</w:t>
      </w:r>
      <w:r w:rsidR="007C156D" w:rsidRPr="00D17C77">
        <w:rPr>
          <w:color w:val="000000" w:themeColor="text1"/>
          <w:sz w:val="26"/>
          <w:szCs w:val="26"/>
        </w:rPr>
        <w:t xml:space="preserve">.  Namely, the ALJs pointed out that the amount of the </w:t>
      </w:r>
      <w:r w:rsidR="007C156D" w:rsidRPr="00D17C77">
        <w:rPr>
          <w:color w:val="000000" w:themeColor="text1"/>
          <w:sz w:val="26"/>
          <w:szCs w:val="26"/>
        </w:rPr>
        <w:lastRenderedPageBreak/>
        <w:t xml:space="preserve">PCO revenue increase </w:t>
      </w:r>
      <w:r w:rsidR="001B2C0F" w:rsidRPr="00D17C77">
        <w:rPr>
          <w:color w:val="000000" w:themeColor="text1"/>
          <w:sz w:val="26"/>
          <w:szCs w:val="26"/>
        </w:rPr>
        <w:t xml:space="preserve">Verizon PA </w:t>
      </w:r>
      <w:r w:rsidR="007C156D" w:rsidRPr="00D17C77">
        <w:rPr>
          <w:color w:val="000000" w:themeColor="text1"/>
          <w:sz w:val="26"/>
          <w:szCs w:val="26"/>
        </w:rPr>
        <w:t>allocated to residential dial tone line rates</w:t>
      </w:r>
      <w:r w:rsidRPr="00D17C77">
        <w:rPr>
          <w:color w:val="000000" w:themeColor="text1"/>
          <w:sz w:val="26"/>
          <w:szCs w:val="26"/>
        </w:rPr>
        <w:t xml:space="preserve"> is $495,100 compared to an annual revenue increase of $411,900 allocated to </w:t>
      </w:r>
      <w:r w:rsidR="007C156D" w:rsidRPr="00D17C77">
        <w:rPr>
          <w:color w:val="000000" w:themeColor="text1"/>
          <w:sz w:val="26"/>
          <w:szCs w:val="26"/>
        </w:rPr>
        <w:t>business dial tone line rates</w:t>
      </w:r>
      <w:bookmarkEnd w:id="11"/>
      <w:r w:rsidRPr="00D17C77">
        <w:rPr>
          <w:color w:val="000000" w:themeColor="text1"/>
          <w:sz w:val="26"/>
          <w:szCs w:val="26"/>
        </w:rPr>
        <w:t xml:space="preserve">.  In addition, the ALJs concluded that although the actual percentage increases to Verizon PA’s rates for its business customers ranges between 3.73% and 16.50%, this does not indicate that there is discrimination between the customer classes.  According to the ALJs, there is </w:t>
      </w:r>
      <w:bookmarkStart w:id="12" w:name="_Hlk26876957"/>
      <w:r w:rsidRPr="00D17C77">
        <w:rPr>
          <w:color w:val="000000" w:themeColor="text1"/>
          <w:sz w:val="26"/>
          <w:szCs w:val="26"/>
        </w:rPr>
        <w:t>no set percentage of increase that is reasonable or unreasonable.  The ALJs opined that this is especially the case given the alternative ratemaking landscape of Verizon PA’s PCO filings, in which there are no cost of service studies</w:t>
      </w:r>
      <w:bookmarkEnd w:id="12"/>
      <w:r w:rsidRPr="00D17C77">
        <w:rPr>
          <w:color w:val="000000" w:themeColor="text1"/>
          <w:sz w:val="26"/>
          <w:szCs w:val="26"/>
        </w:rPr>
        <w:t xml:space="preserve">.  Moreover, the ALJs accepted Verizon PA’s position that because it did not raise business rates in Density Cells 1 or 2 in its 2017 PCO filing, its proposed rates in its current PCO filing are more reasonable.  The ALJs found that there is, otherwise, no history of prior increases to any rates in the record in this proceeding to make a determination as to whether the proposed increases in Verizon PA’s 2018 PCO Filing are unreasonable.  I.D. at 20-21. </w:t>
      </w:r>
    </w:p>
    <w:p w14:paraId="477D9FE5" w14:textId="77777777" w:rsidR="00BE5D29" w:rsidRPr="00D17C77" w:rsidRDefault="00BE5D29" w:rsidP="00333C27">
      <w:pPr>
        <w:spacing w:line="360" w:lineRule="auto"/>
        <w:ind w:firstLine="1440"/>
        <w:contextualSpacing/>
        <w:rPr>
          <w:color w:val="000000" w:themeColor="text1"/>
          <w:sz w:val="26"/>
          <w:szCs w:val="26"/>
        </w:rPr>
      </w:pPr>
    </w:p>
    <w:p w14:paraId="396BF287" w14:textId="77777777" w:rsidR="00BE5D29" w:rsidRPr="00D17C77" w:rsidRDefault="008F4DAC" w:rsidP="00333C27">
      <w:pPr>
        <w:spacing w:line="360" w:lineRule="auto"/>
        <w:ind w:firstLine="1440"/>
        <w:contextualSpacing/>
        <w:rPr>
          <w:color w:val="000000" w:themeColor="text1"/>
          <w:sz w:val="26"/>
          <w:szCs w:val="26"/>
        </w:rPr>
      </w:pPr>
      <w:r w:rsidRPr="00D17C77">
        <w:rPr>
          <w:color w:val="000000" w:themeColor="text1"/>
          <w:sz w:val="26"/>
          <w:szCs w:val="26"/>
        </w:rPr>
        <w:t>Additionally</w:t>
      </w:r>
      <w:r w:rsidR="00BE5D29" w:rsidRPr="00D17C77">
        <w:rPr>
          <w:color w:val="000000" w:themeColor="text1"/>
          <w:sz w:val="26"/>
          <w:szCs w:val="26"/>
        </w:rPr>
        <w:t xml:space="preserve">, the ALJs found that Verizon PA’s proposed increases for its business customers are similar in nature to the monthly business dial tone line rate of $22.25 that the Commission approved in the 2018 PCO filing of Verizon PA’s </w:t>
      </w:r>
      <w:r w:rsidR="00C06CF7" w:rsidRPr="00D17C77">
        <w:rPr>
          <w:color w:val="000000" w:themeColor="text1"/>
          <w:sz w:val="26"/>
          <w:szCs w:val="26"/>
        </w:rPr>
        <w:t>affiliate</w:t>
      </w:r>
      <w:r w:rsidR="00BE5D29" w:rsidRPr="00D17C77">
        <w:rPr>
          <w:color w:val="000000" w:themeColor="text1"/>
          <w:sz w:val="26"/>
          <w:szCs w:val="26"/>
        </w:rPr>
        <w:t>, Verizon North.  The ALJ</w:t>
      </w:r>
      <w:r w:rsidR="00BB2D1F" w:rsidRPr="00D17C77">
        <w:rPr>
          <w:color w:val="000000" w:themeColor="text1"/>
          <w:sz w:val="26"/>
          <w:szCs w:val="26"/>
        </w:rPr>
        <w:t>s</w:t>
      </w:r>
      <w:r w:rsidR="00BE5D29" w:rsidRPr="00D17C77">
        <w:rPr>
          <w:color w:val="000000" w:themeColor="text1"/>
          <w:sz w:val="26"/>
          <w:szCs w:val="26"/>
        </w:rPr>
        <w:t xml:space="preserve"> agreed with Verizon PA’s assertion that given this prior Commission approval, Verizon PA’s proposed rates in this present matter should, likewise, be deemed reasonable.  The ALJs noted Verizon PA’s stated goal of moving its various business customers into a uniform statewide rate.  I.D. at 20.</w:t>
      </w:r>
    </w:p>
    <w:p w14:paraId="7D43F2D1" w14:textId="77777777" w:rsidR="00333C27" w:rsidRPr="00D17C77" w:rsidRDefault="00333C27" w:rsidP="00333C27">
      <w:pPr>
        <w:spacing w:line="360" w:lineRule="auto"/>
        <w:ind w:firstLine="1440"/>
        <w:contextualSpacing/>
        <w:rPr>
          <w:color w:val="000000" w:themeColor="text1"/>
          <w:sz w:val="26"/>
          <w:szCs w:val="26"/>
        </w:rPr>
      </w:pPr>
    </w:p>
    <w:p w14:paraId="32C72A99"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The ALJs further noted that there may exist many </w:t>
      </w:r>
      <w:r w:rsidR="00BE5D29" w:rsidRPr="00D17C77">
        <w:rPr>
          <w:color w:val="000000" w:themeColor="text1"/>
          <w:sz w:val="26"/>
          <w:szCs w:val="26"/>
        </w:rPr>
        <w:t xml:space="preserve">other </w:t>
      </w:r>
      <w:r w:rsidRPr="00D17C77">
        <w:rPr>
          <w:color w:val="000000" w:themeColor="text1"/>
          <w:sz w:val="26"/>
          <w:szCs w:val="26"/>
        </w:rPr>
        <w:t xml:space="preserve">reasons why Verizon PA’s business rates are higher than its residential rates, including competitive and policy considerations.  According to the ALJs, when the record in this proceeding is examined as a whole, there is substantial evidence to permit Verizon PA’s 2018 PCO filing to remain in effect, without modification.  In the ALJs’ view, nothing in the record indicates that the rates in Verizon PA’s 2018 PCO Filing violate the Code, a Commission Order or regulation, or a Commission-approved tariff.  I.D. at 21. </w:t>
      </w:r>
    </w:p>
    <w:p w14:paraId="1DB9EE00" w14:textId="77777777" w:rsidR="00333C27" w:rsidRPr="00D17C77" w:rsidRDefault="00333C27" w:rsidP="00333C27">
      <w:pPr>
        <w:spacing w:line="360" w:lineRule="auto"/>
        <w:ind w:firstLine="1440"/>
        <w:contextualSpacing/>
        <w:rPr>
          <w:color w:val="000000" w:themeColor="text1"/>
          <w:sz w:val="26"/>
          <w:szCs w:val="26"/>
        </w:rPr>
      </w:pPr>
    </w:p>
    <w:p w14:paraId="00EC353E" w14:textId="1D59FDCA" w:rsidR="00333C27"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b</w:t>
      </w:r>
      <w:r w:rsidR="00333C27" w:rsidRPr="00D17C77">
        <w:rPr>
          <w:b/>
          <w:bCs/>
          <w:color w:val="000000" w:themeColor="text1"/>
          <w:sz w:val="26"/>
          <w:szCs w:val="26"/>
        </w:rPr>
        <w:t>.</w:t>
      </w:r>
      <w:r w:rsidR="00333C27" w:rsidRPr="00D17C77">
        <w:rPr>
          <w:b/>
          <w:bCs/>
          <w:color w:val="000000" w:themeColor="text1"/>
          <w:sz w:val="26"/>
          <w:szCs w:val="26"/>
        </w:rPr>
        <w:tab/>
        <w:t>The OSBA’s Exceptions</w:t>
      </w:r>
    </w:p>
    <w:p w14:paraId="00C34AB1" w14:textId="77777777" w:rsidR="00333C27" w:rsidRPr="00D17C77" w:rsidRDefault="00333C27" w:rsidP="00333C27">
      <w:pPr>
        <w:keepNext/>
        <w:keepLines/>
        <w:spacing w:line="360" w:lineRule="auto"/>
        <w:ind w:firstLine="1440"/>
        <w:contextualSpacing/>
        <w:rPr>
          <w:color w:val="000000" w:themeColor="text1"/>
          <w:sz w:val="26"/>
          <w:szCs w:val="26"/>
        </w:rPr>
      </w:pPr>
    </w:p>
    <w:p w14:paraId="5F15207F"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In its Exceptions, the OSBA submits that although the ALJs correctly stated that Verizon PA has the burden of proving that its proposed rate increases are just, reasonable, and nondiscriminatory, the ALJs erred in finding that Verizon PA has met this burden of proof.  The OSBA takes the position that Section 3015(a)(3) of the Code is not the end analysis </w:t>
      </w:r>
      <w:r w:rsidR="00BA6AA5" w:rsidRPr="00D17C77">
        <w:rPr>
          <w:color w:val="000000" w:themeColor="text1"/>
          <w:sz w:val="26"/>
          <w:szCs w:val="26"/>
        </w:rPr>
        <w:t xml:space="preserve">in examining increases to </w:t>
      </w:r>
      <w:r w:rsidRPr="00D17C77">
        <w:rPr>
          <w:color w:val="000000" w:themeColor="text1"/>
          <w:sz w:val="26"/>
          <w:szCs w:val="26"/>
        </w:rPr>
        <w:t xml:space="preserve">residential rates.  Rather, the OSBA claims that </w:t>
      </w:r>
      <w:bookmarkStart w:id="13" w:name="_Hlk26877188"/>
      <w:r w:rsidRPr="00D17C77">
        <w:rPr>
          <w:color w:val="000000" w:themeColor="text1"/>
          <w:sz w:val="26"/>
          <w:szCs w:val="26"/>
        </w:rPr>
        <w:t xml:space="preserve">the only way to measure rate discrimination is to compare the rates of different customer classes.  </w:t>
      </w:r>
      <w:bookmarkEnd w:id="13"/>
      <w:r w:rsidRPr="00D17C77">
        <w:rPr>
          <w:color w:val="000000" w:themeColor="text1"/>
          <w:sz w:val="26"/>
          <w:szCs w:val="26"/>
        </w:rPr>
        <w:t>The OSBA remains of the opinion that the disparity between Verizon PA’s proposed increases to the rates for its residential customers vis</w:t>
      </w:r>
      <w:r w:rsidRPr="00D17C77">
        <w:rPr>
          <w:color w:val="000000" w:themeColor="text1"/>
          <w:sz w:val="26"/>
          <w:szCs w:val="26"/>
        </w:rPr>
        <w:noBreakHyphen/>
        <w:t>à</w:t>
      </w:r>
      <w:r w:rsidRPr="00D17C77">
        <w:rPr>
          <w:color w:val="000000" w:themeColor="text1"/>
          <w:sz w:val="26"/>
          <w:szCs w:val="26"/>
        </w:rPr>
        <w:noBreakHyphen/>
        <w:t>vis its proposed increases to the rates for its business customers is too large.  As such, the OSBA reiterates its assertion that Verizon PA’s proposed increases to the rates for its business customers are unjust, unreasonable, and discriminatory.  OSBA Exc. at 6</w:t>
      </w:r>
      <w:r w:rsidRPr="00D17C77">
        <w:rPr>
          <w:color w:val="000000" w:themeColor="text1"/>
          <w:sz w:val="26"/>
          <w:szCs w:val="26"/>
        </w:rPr>
        <w:noBreakHyphen/>
        <w:t>8.</w:t>
      </w:r>
    </w:p>
    <w:p w14:paraId="488C9651" w14:textId="77777777" w:rsidR="00333C27" w:rsidRPr="00D17C77" w:rsidRDefault="00333C27" w:rsidP="00333C27">
      <w:pPr>
        <w:spacing w:line="360" w:lineRule="auto"/>
        <w:ind w:firstLine="1440"/>
        <w:contextualSpacing/>
        <w:rPr>
          <w:color w:val="000000" w:themeColor="text1"/>
          <w:sz w:val="26"/>
          <w:szCs w:val="26"/>
        </w:rPr>
      </w:pPr>
    </w:p>
    <w:p w14:paraId="546F7B6A"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The OSBA </w:t>
      </w:r>
      <w:r w:rsidR="00FD431F" w:rsidRPr="00D17C77">
        <w:rPr>
          <w:color w:val="000000" w:themeColor="text1"/>
          <w:sz w:val="26"/>
          <w:szCs w:val="26"/>
        </w:rPr>
        <w:t xml:space="preserve">also </w:t>
      </w:r>
      <w:r w:rsidRPr="00D17C77">
        <w:rPr>
          <w:color w:val="000000" w:themeColor="text1"/>
          <w:sz w:val="26"/>
          <w:szCs w:val="26"/>
        </w:rPr>
        <w:t xml:space="preserve">finds fault with the ALJs’ comparison of Verizon PA’s residential customer base to its business customer base.  According to the OSBA, the simple fact that Verizon PA has more residential customers than business customers does not justify its proposed business rate increases.  The OSBA insists that the Commission must examine the magnitude of the difference between Verizon PA’s proposed residential and business rate increases.  The OSBA submits that although the ALJs observed that a 16.50% increase in business dial tone line rates is high compared to a 2.22% increase for the same service for a residential customer, the ALJs erred by concluding that Verizon PA’s proposed rate increases are reasonable.  The OSBA asserts that given this conclusion, the ALJs have failed to provide any guidance for what ratio of business increases to residential increases would be considered unreasonable.  The OSBA restates its argument that Chapter 30 bars unjust, unreasonable, discriminatory, and preferential noncompetitive business rate increases.  The OSBA claims that although Verizon PA’s 2018 PCO filing indicates that there was a 2.02% increase in the rate of </w:t>
      </w:r>
      <w:r w:rsidRPr="00D17C77">
        <w:rPr>
          <w:color w:val="000000" w:themeColor="text1"/>
          <w:sz w:val="26"/>
          <w:szCs w:val="26"/>
        </w:rPr>
        <w:lastRenderedPageBreak/>
        <w:t>inflation, Verizon PA has failed to offer any reason for the need to increase noncompetitive rates for small business customers by between 3.7% and 16.5%.  As such, the OSBA argues that Verizon PA has failed to meet its burden of proving that such rates are just and reasonable.  OSBA Exc. at 8, 10-11.</w:t>
      </w:r>
    </w:p>
    <w:p w14:paraId="53DE711E" w14:textId="77777777" w:rsidR="00333C27" w:rsidRPr="00D17C77" w:rsidRDefault="00333C27" w:rsidP="00333C27">
      <w:pPr>
        <w:spacing w:line="360" w:lineRule="auto"/>
        <w:ind w:firstLine="1440"/>
        <w:contextualSpacing/>
        <w:rPr>
          <w:color w:val="000000" w:themeColor="text1"/>
          <w:sz w:val="26"/>
          <w:szCs w:val="26"/>
        </w:rPr>
      </w:pPr>
    </w:p>
    <w:p w14:paraId="17A65D0C" w14:textId="77777777" w:rsidR="00333C27" w:rsidRPr="00D17C77" w:rsidRDefault="000B2BE0" w:rsidP="00333C27">
      <w:pPr>
        <w:spacing w:line="360" w:lineRule="auto"/>
        <w:ind w:firstLine="1440"/>
        <w:contextualSpacing/>
        <w:rPr>
          <w:color w:val="000000" w:themeColor="text1"/>
          <w:sz w:val="26"/>
          <w:szCs w:val="26"/>
        </w:rPr>
      </w:pPr>
      <w:r w:rsidRPr="00D17C77">
        <w:rPr>
          <w:color w:val="000000" w:themeColor="text1"/>
          <w:sz w:val="26"/>
          <w:szCs w:val="26"/>
        </w:rPr>
        <w:t>Additionally, the OSBA</w:t>
      </w:r>
      <w:r w:rsidR="00333C27" w:rsidRPr="00D17C77">
        <w:rPr>
          <w:color w:val="000000" w:themeColor="text1"/>
          <w:sz w:val="26"/>
          <w:szCs w:val="26"/>
        </w:rPr>
        <w:t xml:space="preserve"> takes issue with the ALJs’ statement that there is no history of prior increases in the record in this proceeding to make a determination as to whether the rates in the present PCO filing are unreasonable.  In the OSBA’s view, historical rate increases would not provide any value in making such a determination.  The OSBA explains that Verizon PA has experienced significant drops in its number of noncompetitive service customers in the past fifteen years due to both attrition and the reclassification of a large number of its services from noncompetitive to competitive.  As such, the OSBA </w:t>
      </w:r>
      <w:r w:rsidR="000F5013" w:rsidRPr="00D17C77">
        <w:rPr>
          <w:color w:val="000000" w:themeColor="text1"/>
          <w:sz w:val="26"/>
          <w:szCs w:val="26"/>
        </w:rPr>
        <w:t>avers</w:t>
      </w:r>
      <w:r w:rsidR="00333C27" w:rsidRPr="00D17C77">
        <w:rPr>
          <w:color w:val="000000" w:themeColor="text1"/>
          <w:sz w:val="26"/>
          <w:szCs w:val="26"/>
        </w:rPr>
        <w:t xml:space="preserve"> that making historical rate increase comparisons would be difficult and meaningless.  OSBA Exc. at 11, n.2.</w:t>
      </w:r>
    </w:p>
    <w:p w14:paraId="644C6455" w14:textId="77777777" w:rsidR="00BE5D29" w:rsidRPr="00D17C77" w:rsidRDefault="00BE5D29" w:rsidP="00333C27">
      <w:pPr>
        <w:spacing w:line="360" w:lineRule="auto"/>
        <w:ind w:firstLine="1440"/>
        <w:contextualSpacing/>
        <w:rPr>
          <w:color w:val="000000" w:themeColor="text1"/>
          <w:sz w:val="26"/>
          <w:szCs w:val="26"/>
        </w:rPr>
      </w:pPr>
    </w:p>
    <w:p w14:paraId="61B1FBF3" w14:textId="77777777" w:rsidR="00BE5D29" w:rsidRPr="00D17C77" w:rsidRDefault="00BE5D29" w:rsidP="00BE5D29">
      <w:pPr>
        <w:spacing w:line="360" w:lineRule="auto"/>
        <w:ind w:firstLine="1440"/>
        <w:contextualSpacing/>
        <w:rPr>
          <w:color w:val="000000" w:themeColor="text1"/>
          <w:sz w:val="26"/>
          <w:szCs w:val="26"/>
        </w:rPr>
      </w:pPr>
      <w:r w:rsidRPr="00D17C77">
        <w:rPr>
          <w:color w:val="000000" w:themeColor="text1"/>
          <w:sz w:val="26"/>
          <w:szCs w:val="26"/>
        </w:rPr>
        <w:t xml:space="preserve">Further, the OSBA disputes the ALJs’ comparison of Verizon PA’s proposed increases </w:t>
      </w:r>
      <w:r w:rsidR="005B14B2" w:rsidRPr="00D17C77">
        <w:rPr>
          <w:color w:val="000000" w:themeColor="text1"/>
          <w:sz w:val="26"/>
          <w:szCs w:val="26"/>
        </w:rPr>
        <w:t xml:space="preserve">in the instant proceeding </w:t>
      </w:r>
      <w:r w:rsidRPr="00D17C77">
        <w:rPr>
          <w:color w:val="000000" w:themeColor="text1"/>
          <w:sz w:val="26"/>
          <w:szCs w:val="26"/>
        </w:rPr>
        <w:t xml:space="preserve">to the rate increases the Commission approved for Verizon North in the </w:t>
      </w:r>
      <w:r w:rsidRPr="00D17C77">
        <w:rPr>
          <w:i/>
          <w:iCs/>
          <w:color w:val="000000" w:themeColor="text1"/>
          <w:sz w:val="26"/>
          <w:szCs w:val="26"/>
        </w:rPr>
        <w:t>2017 Verizon North Order</w:t>
      </w:r>
      <w:r w:rsidRPr="00D17C77">
        <w:rPr>
          <w:color w:val="000000" w:themeColor="text1"/>
          <w:sz w:val="26"/>
          <w:szCs w:val="26"/>
        </w:rPr>
        <w:t xml:space="preserve">.  According to the OSBA, it is inappropriate and irrelevant to compare Verizon PA’s proposed rate increases to those of another ILEC in Pennsylvania.  The OSBA notes that there are many </w:t>
      </w:r>
      <w:r w:rsidR="007206BE" w:rsidRPr="00D17C77">
        <w:rPr>
          <w:color w:val="000000" w:themeColor="text1"/>
          <w:sz w:val="26"/>
          <w:szCs w:val="26"/>
        </w:rPr>
        <w:t>I</w:t>
      </w:r>
      <w:r w:rsidRPr="00D17C77">
        <w:rPr>
          <w:color w:val="000000" w:themeColor="text1"/>
          <w:sz w:val="26"/>
          <w:szCs w:val="26"/>
        </w:rPr>
        <w:t>LECs across the Commonwealth, and that each ILEC differs regarding its number of customers and the size and location of its service territory.  As such, the OSBA submits that entertaining the idea of comparing the rates of one ILEC to those of another would create new layers of complexity and contention, contrary to the goals of alternative regulation.  OSBA Exc. at 9.</w:t>
      </w:r>
    </w:p>
    <w:p w14:paraId="041B88C6" w14:textId="77777777" w:rsidR="00333C27" w:rsidRPr="00D17C77" w:rsidRDefault="00333C27" w:rsidP="00333C27">
      <w:pPr>
        <w:spacing w:line="360" w:lineRule="auto"/>
        <w:ind w:firstLine="1440"/>
        <w:contextualSpacing/>
        <w:rPr>
          <w:color w:val="000000" w:themeColor="text1"/>
          <w:sz w:val="26"/>
          <w:szCs w:val="26"/>
        </w:rPr>
      </w:pPr>
    </w:p>
    <w:p w14:paraId="2F5AD232" w14:textId="11E3A924" w:rsidR="00333C27"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lastRenderedPageBreak/>
        <w:t>c</w:t>
      </w:r>
      <w:r w:rsidR="00333C27" w:rsidRPr="00D17C77">
        <w:rPr>
          <w:b/>
          <w:bCs/>
          <w:color w:val="000000" w:themeColor="text1"/>
          <w:sz w:val="26"/>
          <w:szCs w:val="26"/>
        </w:rPr>
        <w:t>.</w:t>
      </w:r>
      <w:r w:rsidR="00333C27" w:rsidRPr="00D17C77">
        <w:rPr>
          <w:b/>
          <w:bCs/>
          <w:color w:val="000000" w:themeColor="text1"/>
          <w:sz w:val="26"/>
          <w:szCs w:val="26"/>
        </w:rPr>
        <w:tab/>
        <w:t xml:space="preserve">Verizon PA’s Replies </w:t>
      </w:r>
      <w:r w:rsidR="00122641">
        <w:rPr>
          <w:b/>
          <w:bCs/>
          <w:color w:val="000000" w:themeColor="text1"/>
          <w:sz w:val="26"/>
          <w:szCs w:val="26"/>
        </w:rPr>
        <w:t>T</w:t>
      </w:r>
      <w:r w:rsidR="00846B7A" w:rsidRPr="00D17C77">
        <w:rPr>
          <w:b/>
          <w:bCs/>
          <w:color w:val="000000" w:themeColor="text1"/>
          <w:sz w:val="26"/>
          <w:szCs w:val="26"/>
        </w:rPr>
        <w:t xml:space="preserve">o </w:t>
      </w:r>
      <w:r w:rsidR="00333C27" w:rsidRPr="00D17C77">
        <w:rPr>
          <w:b/>
          <w:bCs/>
          <w:color w:val="000000" w:themeColor="text1"/>
          <w:sz w:val="26"/>
          <w:szCs w:val="26"/>
        </w:rPr>
        <w:t>Exceptions</w:t>
      </w:r>
    </w:p>
    <w:p w14:paraId="4A3E9FD4" w14:textId="77777777" w:rsidR="00333C27" w:rsidRPr="00D17C77" w:rsidRDefault="00333C27" w:rsidP="00333C27">
      <w:pPr>
        <w:keepNext/>
        <w:keepLines/>
        <w:spacing w:line="360" w:lineRule="auto"/>
        <w:ind w:firstLine="1440"/>
        <w:contextualSpacing/>
        <w:rPr>
          <w:color w:val="000000" w:themeColor="text1"/>
          <w:sz w:val="26"/>
          <w:szCs w:val="26"/>
        </w:rPr>
      </w:pPr>
    </w:p>
    <w:p w14:paraId="5F8675C9"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In response, Verizon PA asserts that the ALJs correctly ruled that Verizon PA met its burden of proof under Section 315(a) of the Code.  According to Verizon PA, it submitted evidence that was sufficient to demonstrate that the proposed rates in its 2018 PCO filing are just and reasonable and in compliance with its Chapter 30 Plan and applicable law.  Verizon PA restates that the rate increases the OSBA challenges for business dial tone line service in Density Cells 1, 2, and 3 are all equal to or lower than the rate for the same service that has been in effect in the most rural parts of Verizon PA’s territory, </w:t>
      </w:r>
      <w:r w:rsidRPr="00D17C77">
        <w:rPr>
          <w:i/>
          <w:iCs/>
          <w:color w:val="000000" w:themeColor="text1"/>
          <w:sz w:val="26"/>
          <w:szCs w:val="26"/>
        </w:rPr>
        <w:t>i.e</w:t>
      </w:r>
      <w:r w:rsidRPr="00D17C77">
        <w:rPr>
          <w:color w:val="000000" w:themeColor="text1"/>
          <w:sz w:val="26"/>
          <w:szCs w:val="26"/>
        </w:rPr>
        <w:t>. in Density Cell 4.  Verizon PA emphasizes that the OSBA has not challenged such rates in other contexts.  Verizon PA reinforces that Density Cells 3 and 4 cover suburban and rural areas and have the largest number of customers for noncompetitive business dial tone line service.  Verizon PA reiterates that although the per-line increases are larger in Density Cells 1 and 2, which cover the cities of Philadelphia and Pittsburgh, the resulting rates for business dial tone line service in these urban areas are still more than $2 to $4 lower than the rate for the same service in the suburban and rural Density Cells 3 and 4.  In addition, Verizon PA asserts that the vast majority of customers that subscribe to stand alone business dial tone line service that is still classified as noncompetitive are located in Density Cells 3 and 4, where there was minimal or no increase in rates.  Verizon PA further points out that there have been no customer complaints about these rate changes, which are already in effect.  As such, Verizon PA contends that the above facts establish that these lower or equal rates for the same service are reasonable.  Verizon PA R. Exc. at 12-17.</w:t>
      </w:r>
    </w:p>
    <w:p w14:paraId="44617DD4" w14:textId="77777777" w:rsidR="00333C27" w:rsidRPr="00D17C77" w:rsidRDefault="00333C27" w:rsidP="00333C27">
      <w:pPr>
        <w:spacing w:line="360" w:lineRule="auto"/>
        <w:ind w:firstLine="1440"/>
        <w:contextualSpacing/>
        <w:rPr>
          <w:color w:val="000000" w:themeColor="text1"/>
          <w:sz w:val="26"/>
          <w:szCs w:val="26"/>
        </w:rPr>
      </w:pPr>
    </w:p>
    <w:p w14:paraId="6B2517BD"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Verizon PA avers that the OSBA has failed to present any evidence to establish that the difference between Verizon PA’s residential and business dial tone line rates is unreasonable.  According to Verizon PA, the OSBA’s sole argument seems to be that it is unreasonable to have any difference between residential and business rates.  Verizon PA restates that business services have historically been priced higher than </w:t>
      </w:r>
      <w:r w:rsidRPr="00D17C77">
        <w:rPr>
          <w:color w:val="000000" w:themeColor="text1"/>
          <w:sz w:val="26"/>
          <w:szCs w:val="26"/>
        </w:rPr>
        <w:lastRenderedPageBreak/>
        <w:t xml:space="preserve">residential services.  Therefore, Verizon PA submits that contrary to the OSBA’s argument, merely observing that the business rate increases are larger than the residential increases is not sufficient to show that there is unreasonable discrimination in rates.  Verizon PA contends that the OSBA’s argument that the magnitude of Verizon PA’s business rate increases must bear some set relationship to the magnitude of Verizon PA’s residential increases is no different than requesting that a “hard cap” be placed on the Company’s business rate increases.  Verizon PA </w:t>
      </w:r>
      <w:r w:rsidR="00760C9A" w:rsidRPr="00D17C77">
        <w:rPr>
          <w:color w:val="000000" w:themeColor="text1"/>
          <w:sz w:val="26"/>
          <w:szCs w:val="26"/>
        </w:rPr>
        <w:t>claim</w:t>
      </w:r>
      <w:r w:rsidRPr="00D17C77">
        <w:rPr>
          <w:color w:val="000000" w:themeColor="text1"/>
          <w:sz w:val="26"/>
          <w:szCs w:val="26"/>
        </w:rPr>
        <w:t xml:space="preserve">s that such a request runs contrary to the OSBA’s earlier assertion, </w:t>
      </w:r>
      <w:r w:rsidRPr="00D17C77">
        <w:rPr>
          <w:i/>
          <w:iCs/>
          <w:color w:val="000000" w:themeColor="text1"/>
          <w:sz w:val="26"/>
          <w:szCs w:val="26"/>
        </w:rPr>
        <w:t>supra</w:t>
      </w:r>
      <w:r w:rsidRPr="00D17C77">
        <w:rPr>
          <w:color w:val="000000" w:themeColor="text1"/>
          <w:sz w:val="26"/>
          <w:szCs w:val="26"/>
        </w:rPr>
        <w:t>, that it is not requesting or arguing for such a cap.  Verizon PA restates that neither the Code nor Verizon PA’s Chapter 30 Plan requires that rate increases for residential and business customers have a certain relationship to each other.  Verizon PA further claims that neither the Commission nor the Pennsylvania Legislature have viewed a disparity between basic residential and business rates to be, in and of itself, an indicator that the rates are unjust and unreasonable.  Verizon PA points to the Commission’s approval of these rates for years, as well as to the Pennsylvania Legislature’s decision to include Section 3015(a)(3) as part of Chapter 30.  Verizon PA R. Exc. at 9-12, 18.</w:t>
      </w:r>
    </w:p>
    <w:p w14:paraId="090C92D1" w14:textId="77777777" w:rsidR="00333C27" w:rsidRPr="00D17C77" w:rsidRDefault="00333C27" w:rsidP="00333C27">
      <w:pPr>
        <w:spacing w:line="360" w:lineRule="auto"/>
        <w:ind w:firstLine="1440"/>
        <w:contextualSpacing/>
        <w:rPr>
          <w:color w:val="000000" w:themeColor="text1"/>
          <w:sz w:val="26"/>
          <w:szCs w:val="26"/>
        </w:rPr>
      </w:pPr>
    </w:p>
    <w:p w14:paraId="426917CB" w14:textId="77777777" w:rsidR="00333C27" w:rsidRPr="00D17C77" w:rsidRDefault="00333C27" w:rsidP="00333C27">
      <w:pPr>
        <w:spacing w:line="360" w:lineRule="auto"/>
        <w:ind w:firstLine="1440"/>
        <w:contextualSpacing/>
        <w:rPr>
          <w:color w:val="000000" w:themeColor="text1"/>
          <w:sz w:val="26"/>
          <w:szCs w:val="26"/>
        </w:rPr>
      </w:pPr>
      <w:r w:rsidRPr="00D17C77">
        <w:rPr>
          <w:color w:val="000000" w:themeColor="text1"/>
          <w:sz w:val="26"/>
          <w:szCs w:val="26"/>
        </w:rPr>
        <w:t xml:space="preserve">Verizon PA suggests that the more relevant percentage increase in rates to review would be the percentage increase over the previously effective rate for the same service in the same </w:t>
      </w:r>
      <w:r w:rsidR="00F84CAC" w:rsidRPr="00D17C77">
        <w:rPr>
          <w:color w:val="000000" w:themeColor="text1"/>
          <w:sz w:val="26"/>
          <w:szCs w:val="26"/>
        </w:rPr>
        <w:t>D</w:t>
      </w:r>
      <w:r w:rsidRPr="00D17C77">
        <w:rPr>
          <w:color w:val="000000" w:themeColor="text1"/>
          <w:sz w:val="26"/>
          <w:szCs w:val="26"/>
        </w:rPr>
        <w:t xml:space="preserve">ensity </w:t>
      </w:r>
      <w:r w:rsidR="00F84CAC" w:rsidRPr="00D17C77">
        <w:rPr>
          <w:color w:val="000000" w:themeColor="text1"/>
          <w:sz w:val="26"/>
          <w:szCs w:val="26"/>
        </w:rPr>
        <w:t>C</w:t>
      </w:r>
      <w:r w:rsidRPr="00D17C77">
        <w:rPr>
          <w:color w:val="000000" w:themeColor="text1"/>
          <w:sz w:val="26"/>
          <w:szCs w:val="26"/>
        </w:rPr>
        <w:t>ell, including the time that has passed since the last rate increase.  Verizon PA submits that each year the Commission must review Verizon PA’s rate proposals on a case-by-case basis under the facts, the Company’s Chapter 30 Plan, and the applicable law.  Verizon PA insists that, applying this standard, the ALJs correctly found that Verizon PA’s rates in its 2018 PCO Filing must be approved and the OSBA’s Complaint must be dismissed.  Verizon PA R. Exc. at 19.</w:t>
      </w:r>
    </w:p>
    <w:p w14:paraId="54C2A59B" w14:textId="77777777" w:rsidR="00BE5D29" w:rsidRPr="00D17C77" w:rsidRDefault="00BE5D29" w:rsidP="00333C27">
      <w:pPr>
        <w:spacing w:line="360" w:lineRule="auto"/>
        <w:ind w:firstLine="1440"/>
        <w:contextualSpacing/>
        <w:rPr>
          <w:color w:val="000000" w:themeColor="text1"/>
          <w:sz w:val="26"/>
          <w:szCs w:val="26"/>
        </w:rPr>
      </w:pPr>
    </w:p>
    <w:p w14:paraId="4A580380" w14:textId="6793FF4B" w:rsidR="00BE5D29" w:rsidRPr="00D17C77" w:rsidRDefault="00BE5D29" w:rsidP="00BE5D29">
      <w:pPr>
        <w:spacing w:line="360" w:lineRule="auto"/>
        <w:ind w:firstLine="1440"/>
        <w:contextualSpacing/>
        <w:rPr>
          <w:color w:val="000000" w:themeColor="text1"/>
          <w:sz w:val="26"/>
          <w:szCs w:val="26"/>
        </w:rPr>
      </w:pPr>
      <w:r w:rsidRPr="00D17C77">
        <w:rPr>
          <w:color w:val="000000" w:themeColor="text1"/>
          <w:sz w:val="26"/>
          <w:szCs w:val="26"/>
        </w:rPr>
        <w:t xml:space="preserve">Finally, Verizon PA asserts that the rates it charges to its rural customers are relevant to this proceeding.  According to Verizon PA, the OSBA has failed to provide any evidence for why the Commission should ignore the rates for the same </w:t>
      </w:r>
      <w:r w:rsidRPr="00D17C77">
        <w:rPr>
          <w:color w:val="000000" w:themeColor="text1"/>
          <w:sz w:val="26"/>
          <w:szCs w:val="26"/>
        </w:rPr>
        <w:lastRenderedPageBreak/>
        <w:t xml:space="preserve">service charged by Verizon PA’s affiliate, Verizon North, which is located in service territories that share similar characteristics </w:t>
      </w:r>
      <w:r w:rsidR="009A7872" w:rsidRPr="00D17C77">
        <w:rPr>
          <w:color w:val="000000" w:themeColor="text1"/>
          <w:sz w:val="26"/>
          <w:szCs w:val="26"/>
        </w:rPr>
        <w:t>to the service territories of</w:t>
      </w:r>
      <w:r w:rsidRPr="00D17C77">
        <w:rPr>
          <w:color w:val="000000" w:themeColor="text1"/>
          <w:sz w:val="26"/>
          <w:szCs w:val="26"/>
        </w:rPr>
        <w:t xml:space="preserve"> Verizon PA.  Verizon PA avers that the rates the OSBA challenges in Verizon PA’s PCO filing are all lower than or equal to the $22.25 per month rate that the Commission approved for Verizon North’s Density Cell 3 in Verizon North’s 2018 PCO filing.  Verizon PA restates that the OSBA did not oppose that filing.  Further, Verizon PA asserts that this same rate of $22.25 was approved for Density Cell 4, the most rural density cell and the one with the largest number of basic business customers in both Verizon PA and Verizon North’s respective 2016 PCO filings.  Verizon PA submits that the ALJs properly recognized Verizon PA’s goal of raising the lower rates in its urban and suburban </w:t>
      </w:r>
      <w:r w:rsidR="00F84CAC" w:rsidRPr="00D17C77">
        <w:rPr>
          <w:color w:val="000000" w:themeColor="text1"/>
          <w:sz w:val="26"/>
          <w:szCs w:val="26"/>
        </w:rPr>
        <w:t>D</w:t>
      </w:r>
      <w:r w:rsidRPr="00D17C77">
        <w:rPr>
          <w:color w:val="000000" w:themeColor="text1"/>
          <w:sz w:val="26"/>
          <w:szCs w:val="26"/>
        </w:rPr>
        <w:t xml:space="preserve">ensity </w:t>
      </w:r>
      <w:r w:rsidR="00F84CAC" w:rsidRPr="00D17C77">
        <w:rPr>
          <w:color w:val="000000" w:themeColor="text1"/>
          <w:sz w:val="26"/>
          <w:szCs w:val="26"/>
        </w:rPr>
        <w:t>C</w:t>
      </w:r>
      <w:r w:rsidRPr="00D17C77">
        <w:rPr>
          <w:color w:val="000000" w:themeColor="text1"/>
          <w:sz w:val="26"/>
          <w:szCs w:val="26"/>
        </w:rPr>
        <w:t>ells</w:t>
      </w:r>
      <w:r w:rsidR="00F2533A" w:rsidRPr="00D17C77">
        <w:rPr>
          <w:color w:val="000000" w:themeColor="text1"/>
          <w:sz w:val="26"/>
          <w:szCs w:val="26"/>
        </w:rPr>
        <w:t xml:space="preserve"> </w:t>
      </w:r>
      <w:r w:rsidRPr="00D17C77">
        <w:rPr>
          <w:color w:val="000000" w:themeColor="text1"/>
          <w:sz w:val="26"/>
          <w:szCs w:val="26"/>
        </w:rPr>
        <w:t>to achieve a uniform state-wide rate for business dial tone service.  Verizon PA R. Exc. at</w:t>
      </w:r>
      <w:r w:rsidR="00CB33F6">
        <w:rPr>
          <w:color w:val="000000" w:themeColor="text1"/>
          <w:sz w:val="26"/>
          <w:szCs w:val="26"/>
        </w:rPr>
        <w:t> </w:t>
      </w:r>
      <w:r w:rsidRPr="00D17C77">
        <w:rPr>
          <w:color w:val="000000" w:themeColor="text1"/>
          <w:sz w:val="26"/>
          <w:szCs w:val="26"/>
        </w:rPr>
        <w:t>17-18.</w:t>
      </w:r>
    </w:p>
    <w:p w14:paraId="2D8B1753" w14:textId="07B2A2B6" w:rsidR="00333C27" w:rsidRPr="00D17C77" w:rsidRDefault="00791B5E" w:rsidP="00846B7A">
      <w:pPr>
        <w:keepNext/>
        <w:keepLines/>
        <w:spacing w:line="360" w:lineRule="auto"/>
        <w:ind w:left="2160" w:hanging="720"/>
        <w:contextualSpacing/>
        <w:rPr>
          <w:b/>
          <w:bCs/>
          <w:color w:val="000000" w:themeColor="text1"/>
          <w:sz w:val="26"/>
          <w:szCs w:val="26"/>
        </w:rPr>
      </w:pPr>
      <w:r>
        <w:rPr>
          <w:b/>
          <w:bCs/>
          <w:color w:val="000000" w:themeColor="text1"/>
          <w:sz w:val="26"/>
          <w:szCs w:val="26"/>
        </w:rPr>
        <w:t>d</w:t>
      </w:r>
      <w:r w:rsidR="00333C27" w:rsidRPr="00D17C77">
        <w:rPr>
          <w:b/>
          <w:bCs/>
          <w:color w:val="000000" w:themeColor="text1"/>
          <w:sz w:val="26"/>
          <w:szCs w:val="26"/>
        </w:rPr>
        <w:t>.</w:t>
      </w:r>
      <w:r w:rsidR="00333C27" w:rsidRPr="00D17C77">
        <w:rPr>
          <w:b/>
          <w:bCs/>
          <w:color w:val="000000" w:themeColor="text1"/>
          <w:sz w:val="26"/>
          <w:szCs w:val="26"/>
        </w:rPr>
        <w:tab/>
        <w:t>Disposition</w:t>
      </w:r>
    </w:p>
    <w:p w14:paraId="4C0A8C1D" w14:textId="77777777" w:rsidR="00333C27" w:rsidRPr="00D17C77" w:rsidRDefault="00333C27" w:rsidP="00333C27">
      <w:pPr>
        <w:keepNext/>
        <w:keepLines/>
        <w:spacing w:line="360" w:lineRule="auto"/>
        <w:ind w:firstLine="1440"/>
        <w:contextualSpacing/>
        <w:rPr>
          <w:color w:val="000000" w:themeColor="text1"/>
          <w:sz w:val="26"/>
          <w:szCs w:val="26"/>
        </w:rPr>
      </w:pPr>
    </w:p>
    <w:p w14:paraId="4BAE20E2" w14:textId="77777777" w:rsidR="00333C27" w:rsidRPr="00D17C77" w:rsidRDefault="00333C27" w:rsidP="00333C27">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 xml:space="preserve">At the outset, we note that we are of the same opinion as the OSBA and the ALJs that Verizon PA’s 2018 PCO Filing represents a price change opportunity, and not a stream of guaranteed revenues.  </w:t>
      </w:r>
      <w:r w:rsidRPr="00D17C77">
        <w:rPr>
          <w:rFonts w:eastAsia="Calibri"/>
          <w:i/>
          <w:iCs/>
          <w:color w:val="000000" w:themeColor="text1"/>
          <w:sz w:val="26"/>
          <w:szCs w:val="26"/>
        </w:rPr>
        <w:t xml:space="preserve">See also March 2007 Order </w:t>
      </w:r>
      <w:r w:rsidRPr="00D17C77">
        <w:rPr>
          <w:rFonts w:eastAsia="Calibri"/>
          <w:color w:val="000000" w:themeColor="text1"/>
          <w:sz w:val="26"/>
          <w:szCs w:val="26"/>
        </w:rPr>
        <w:t xml:space="preserve">at 51.  Like the ALJs, we also concur with the OSBA that nothing permits Verizon PA, via its PCO filings, to circumvent the statutory requirements of Section 1301, Section 1304, and Section 3019(e) that noncompetitive business rate increases must be just, reasonable, nondiscriminatory, and must not grant an unreasonable preference.  However, on consideration of the record developed in this proceeding, we are not inclined to grant the OSBA’s Exceptions on this issue.  Rather, we agree with the ALJs that Verizon PA has met its burden of proving that the proposed rates set forth in its 2018 PCO Filing are just, reasonable, and nondiscriminatory.  </w:t>
      </w:r>
    </w:p>
    <w:p w14:paraId="72304A9A" w14:textId="77777777" w:rsidR="00333C27" w:rsidRPr="00D17C77" w:rsidRDefault="00333C27" w:rsidP="00333C27">
      <w:pPr>
        <w:spacing w:after="200" w:line="360" w:lineRule="auto"/>
        <w:contextualSpacing/>
        <w:rPr>
          <w:rFonts w:eastAsia="Calibri"/>
          <w:color w:val="000000" w:themeColor="text1"/>
          <w:sz w:val="26"/>
          <w:szCs w:val="26"/>
        </w:rPr>
      </w:pPr>
    </w:p>
    <w:p w14:paraId="41AAE13E" w14:textId="2DDFF16A" w:rsidR="00333C27" w:rsidRPr="00D17C77" w:rsidRDefault="00333C27" w:rsidP="00333C27">
      <w:pPr>
        <w:spacing w:after="200" w:line="360" w:lineRule="auto"/>
        <w:ind w:firstLine="1440"/>
        <w:contextualSpacing/>
        <w:rPr>
          <w:color w:val="000000" w:themeColor="text1"/>
          <w:sz w:val="26"/>
          <w:szCs w:val="26"/>
        </w:rPr>
      </w:pPr>
      <w:r w:rsidRPr="00D17C77">
        <w:rPr>
          <w:color w:val="000000" w:themeColor="text1"/>
          <w:sz w:val="26"/>
          <w:szCs w:val="26"/>
        </w:rPr>
        <w:t xml:space="preserve">Namely, we concur with Verizon PA and the ALJs that the existence of a rate difference between Verizon PA’s residential rates and its business rates does not violate the Code.  As the OCA’s witness </w:t>
      </w:r>
      <w:r w:rsidR="00943DA8">
        <w:rPr>
          <w:color w:val="000000" w:themeColor="text1"/>
          <w:sz w:val="26"/>
          <w:szCs w:val="26"/>
        </w:rPr>
        <w:t>D</w:t>
      </w:r>
      <w:r w:rsidRPr="00D17C77">
        <w:rPr>
          <w:color w:val="000000" w:themeColor="text1"/>
          <w:sz w:val="26"/>
          <w:szCs w:val="26"/>
        </w:rPr>
        <w:t xml:space="preserve">r. Loube noted, it is common across the </w:t>
      </w:r>
      <w:r w:rsidRPr="00D17C77">
        <w:rPr>
          <w:color w:val="000000" w:themeColor="text1"/>
          <w:sz w:val="26"/>
          <w:szCs w:val="26"/>
        </w:rPr>
        <w:lastRenderedPageBreak/>
        <w:t xml:space="preserve">industry for an ILEC’s business dial tone line service to be priced at a rate that is greater than the rate for its residential dial tone line service.  OCA St. 1 at 9.  Thus, Section 1304 of the Code only prohibits rate differences when such differences grant one customer class an unreasonable preference at the expense of another customer class.  In the record developed in this proceeding, we find no evidence to support the OSBA’s position that Verizon PA's proposed residential dial tone increases in its 2018 PCO Filing are indicative of the Company granting an </w:t>
      </w:r>
      <w:bookmarkStart w:id="14" w:name="_Hlk26877577"/>
      <w:r w:rsidRPr="00D17C77">
        <w:rPr>
          <w:color w:val="000000" w:themeColor="text1"/>
          <w:sz w:val="26"/>
          <w:szCs w:val="26"/>
        </w:rPr>
        <w:t>unreasonable preference or advantage to its residential customers, such that there is a resulting injury or harm to its business customers.</w:t>
      </w:r>
      <w:bookmarkEnd w:id="14"/>
      <w:r w:rsidRPr="00D17C77">
        <w:rPr>
          <w:color w:val="000000" w:themeColor="text1"/>
          <w:sz w:val="26"/>
          <w:szCs w:val="26"/>
        </w:rPr>
        <w:t xml:space="preserve">  Further, as noted above, both Section 3015(a)(3) of the Code and Verizon PA’s Chapter 30 Plan</w:t>
      </w:r>
      <w:r w:rsidRPr="00D17C77">
        <w:rPr>
          <w:rFonts w:eastAsia="Calibri"/>
          <w:color w:val="000000" w:themeColor="text1"/>
          <w:sz w:val="26"/>
          <w:szCs w:val="26"/>
        </w:rPr>
        <w:t xml:space="preserve"> limit the average rate adjustment for protected residential local exchange telecommunications services.  More specifically, the rate adjustment for any individual residential protected line shall not vary from the average rate adjustment by more than twenty percent, as determined by dividing total protected services revenues by the associated lines.  66 Pa. C.S. § 3015(a)(3); Verizon PA Chapter 30 Plan, Part 1 at 11.  As Verizon PA and the ALJs each highlighted, Verizon PA’s proposed $0.20 per month increase to residential dial tone line rates in its 2018 PCO Filing represents the maximum amount permitted under Section 3015(a)(3).  We have previously determined, </w:t>
      </w:r>
      <w:r w:rsidRPr="00D17C77">
        <w:rPr>
          <w:rFonts w:eastAsia="Calibri"/>
          <w:i/>
          <w:iCs/>
          <w:color w:val="000000" w:themeColor="text1"/>
          <w:sz w:val="26"/>
          <w:szCs w:val="26"/>
        </w:rPr>
        <w:t>supra</w:t>
      </w:r>
      <w:r w:rsidRPr="00D17C77">
        <w:rPr>
          <w:rFonts w:eastAsia="Calibri"/>
          <w:color w:val="000000" w:themeColor="text1"/>
          <w:sz w:val="26"/>
          <w:szCs w:val="26"/>
        </w:rPr>
        <w:t xml:space="preserve">, </w:t>
      </w:r>
      <w:r w:rsidRPr="00D17C77">
        <w:rPr>
          <w:bCs/>
          <w:color w:val="000000" w:themeColor="text1"/>
          <w:sz w:val="26"/>
          <w:szCs w:val="26"/>
        </w:rPr>
        <w:t xml:space="preserve">that we cannot direct Verizon PA to abandon this </w:t>
      </w:r>
      <w:r w:rsidRPr="00D17C77">
        <w:rPr>
          <w:color w:val="000000" w:themeColor="text1"/>
          <w:sz w:val="26"/>
          <w:szCs w:val="26"/>
        </w:rPr>
        <w:t xml:space="preserve">statutory residential rate cap.  </w:t>
      </w:r>
    </w:p>
    <w:p w14:paraId="538FE58F" w14:textId="77777777" w:rsidR="00333C27" w:rsidRPr="00D17C77" w:rsidRDefault="00333C27" w:rsidP="00333C27">
      <w:pPr>
        <w:spacing w:after="200" w:line="360" w:lineRule="auto"/>
        <w:ind w:firstLine="1440"/>
        <w:contextualSpacing/>
        <w:rPr>
          <w:color w:val="000000" w:themeColor="text1"/>
          <w:sz w:val="26"/>
          <w:szCs w:val="26"/>
        </w:rPr>
      </w:pPr>
    </w:p>
    <w:p w14:paraId="52667737" w14:textId="77777777" w:rsidR="00333C27" w:rsidRPr="00D17C77" w:rsidRDefault="00333C27" w:rsidP="00333C27">
      <w:pPr>
        <w:spacing w:after="200" w:line="432" w:lineRule="exact"/>
        <w:ind w:right="216" w:firstLine="1440"/>
        <w:contextualSpacing/>
        <w:textAlignment w:val="baseline"/>
        <w:rPr>
          <w:color w:val="000000" w:themeColor="text1"/>
          <w:sz w:val="26"/>
          <w:szCs w:val="26"/>
        </w:rPr>
      </w:pPr>
      <w:r w:rsidRPr="00D17C77">
        <w:rPr>
          <w:color w:val="000000" w:themeColor="text1"/>
          <w:sz w:val="26"/>
          <w:szCs w:val="26"/>
        </w:rPr>
        <w:t>The record indicates that of the $1,257,000 authorized under its PCO filing, Verizon PA only allocated about one-third of its revenue increase to its business dial tone line rates.  More specifically, Verizon PA allocated $495,100 to residential dial tone line increases, $411,900 to business dial tone line increases, and $27,700 to an increase in its business late payment charge.</w:t>
      </w:r>
      <w:r w:rsidRPr="00D17C77">
        <w:rPr>
          <w:color w:val="000000" w:themeColor="text1"/>
          <w:sz w:val="26"/>
          <w:szCs w:val="26"/>
          <w:vertAlign w:val="superscript"/>
        </w:rPr>
        <w:footnoteReference w:id="10"/>
      </w:r>
      <w:r w:rsidRPr="00D17C77">
        <w:rPr>
          <w:color w:val="000000" w:themeColor="text1"/>
          <w:sz w:val="26"/>
          <w:szCs w:val="26"/>
        </w:rPr>
        <w:t xml:space="preserve">  Verizon PA allocated the remaining portion of its allowed revenue increase, i.e. $322,300, as a credit against its negative 2003 PCO liability.  Verizon PA St. 1 at 9-10.  Thus, based upon the facts of this </w:t>
      </w:r>
      <w:r w:rsidRPr="00D17C77">
        <w:rPr>
          <w:color w:val="000000" w:themeColor="text1"/>
          <w:sz w:val="26"/>
          <w:szCs w:val="26"/>
        </w:rPr>
        <w:lastRenderedPageBreak/>
        <w:t>proceeding, Verizon PA’s 2018 PCO filing contains three categories of rate increases, as well as the Company’s reduction of a portion of the negative 2003 PCO.  Additionally, the record indicates that because Verizon PA’s residential dial tone line rate increase was set at the maximum amount permitted under Section 3015(a)(3) of the Code, the entire 2003 PCO credit was effectively used to reduced Verizon PA’s increase to its business dial tone line rates.  OCA St. 1 at 7-8.  Accordingly, we find that the record supports Verizon PA’s assertion that it designed its rate increases in its 2018 PCO filing, within the constraints allowed by Chapter 30 and its Chapter 30 Plan, to lessen the impact these increases have on its business customers.</w:t>
      </w:r>
    </w:p>
    <w:p w14:paraId="3FF851C5" w14:textId="77777777" w:rsidR="00333C27" w:rsidRPr="00D17C77" w:rsidRDefault="00333C27" w:rsidP="00333C27">
      <w:pPr>
        <w:spacing w:after="200" w:line="360" w:lineRule="auto"/>
        <w:ind w:firstLine="1440"/>
        <w:contextualSpacing/>
        <w:rPr>
          <w:color w:val="000000" w:themeColor="text1"/>
          <w:sz w:val="26"/>
          <w:szCs w:val="26"/>
        </w:rPr>
      </w:pPr>
    </w:p>
    <w:p w14:paraId="3465D5C6" w14:textId="77777777" w:rsidR="00333C27" w:rsidRPr="00D17C77" w:rsidRDefault="00333C27" w:rsidP="00333C27">
      <w:pPr>
        <w:spacing w:after="200" w:line="360" w:lineRule="auto"/>
        <w:ind w:firstLine="1440"/>
        <w:contextualSpacing/>
        <w:rPr>
          <w:color w:val="000000" w:themeColor="text1"/>
          <w:sz w:val="26"/>
          <w:szCs w:val="26"/>
        </w:rPr>
      </w:pPr>
      <w:r w:rsidRPr="00D17C77">
        <w:rPr>
          <w:color w:val="000000" w:themeColor="text1"/>
          <w:sz w:val="26"/>
          <w:szCs w:val="26"/>
        </w:rPr>
        <w:t xml:space="preserve">Similarly, we find that Verizon PA has provided sufficient justification for the specific increases to the business dial tone line rates in Density Cells 1, 2, and 3.  First, we echo Verizon PA and the ALJs that the Company’s proposed increase to business dial tone line rates in Density Cell 3 is identical to the proposed increase and resulting new rate that was proposed in the corresponding Density Cell 3 of the Company’s affiliate, Verizon North.  As discussed above, we approved Verizon North’s rate increase and disposed of Verizon North’s 2018 PCO Filing in our </w:t>
      </w:r>
      <w:r w:rsidRPr="00D17C77">
        <w:rPr>
          <w:i/>
          <w:iCs/>
          <w:color w:val="000000" w:themeColor="text1"/>
          <w:sz w:val="26"/>
          <w:szCs w:val="26"/>
        </w:rPr>
        <w:t xml:space="preserve">2017 Verizon North Order. </w:t>
      </w:r>
      <w:r w:rsidRPr="00D17C77">
        <w:rPr>
          <w:color w:val="000000" w:themeColor="text1"/>
          <w:sz w:val="26"/>
          <w:szCs w:val="26"/>
        </w:rPr>
        <w:t xml:space="preserve"> Although </w:t>
      </w:r>
      <w:r w:rsidR="00052A46" w:rsidRPr="00D17C77">
        <w:rPr>
          <w:color w:val="000000" w:themeColor="text1"/>
          <w:sz w:val="26"/>
          <w:szCs w:val="26"/>
        </w:rPr>
        <w:t xml:space="preserve">both </w:t>
      </w:r>
      <w:r w:rsidRPr="00D17C77">
        <w:rPr>
          <w:color w:val="000000" w:themeColor="text1"/>
          <w:sz w:val="26"/>
          <w:szCs w:val="26"/>
        </w:rPr>
        <w:t xml:space="preserve">Verizon North </w:t>
      </w:r>
      <w:r w:rsidR="00052A46" w:rsidRPr="00D17C77">
        <w:rPr>
          <w:color w:val="000000" w:themeColor="text1"/>
          <w:sz w:val="26"/>
          <w:szCs w:val="26"/>
        </w:rPr>
        <w:t xml:space="preserve">and Verizon PA </w:t>
      </w:r>
      <w:r w:rsidRPr="00D17C77">
        <w:rPr>
          <w:color w:val="000000" w:themeColor="text1"/>
          <w:sz w:val="26"/>
          <w:szCs w:val="26"/>
        </w:rPr>
        <w:t xml:space="preserve">made </w:t>
      </w:r>
      <w:r w:rsidR="00052A46" w:rsidRPr="00D17C77">
        <w:rPr>
          <w:color w:val="000000" w:themeColor="text1"/>
          <w:sz w:val="26"/>
          <w:szCs w:val="26"/>
        </w:rPr>
        <w:t xml:space="preserve">their respective </w:t>
      </w:r>
      <w:r w:rsidRPr="00D17C77">
        <w:rPr>
          <w:color w:val="000000" w:themeColor="text1"/>
          <w:sz w:val="26"/>
          <w:szCs w:val="26"/>
        </w:rPr>
        <w:t>2018 PCO Filing</w:t>
      </w:r>
      <w:r w:rsidR="00A00214" w:rsidRPr="00D17C77">
        <w:rPr>
          <w:color w:val="000000" w:themeColor="text1"/>
          <w:sz w:val="26"/>
          <w:szCs w:val="26"/>
        </w:rPr>
        <w:t>s</w:t>
      </w:r>
      <w:r w:rsidRPr="00D17C77">
        <w:rPr>
          <w:color w:val="000000" w:themeColor="text1"/>
          <w:sz w:val="26"/>
          <w:szCs w:val="26"/>
        </w:rPr>
        <w:t xml:space="preserve"> at the same time, the OSBA only filed a Complaint against the filing in the instant case.  We take administrative notice that Verizon North’s Density Cells are defined by the same criteria as Verizon PA’s Density Cells, </w:t>
      </w:r>
      <w:r w:rsidRPr="00D17C77">
        <w:rPr>
          <w:i/>
          <w:iCs/>
          <w:color w:val="000000" w:themeColor="text1"/>
          <w:sz w:val="26"/>
          <w:szCs w:val="26"/>
        </w:rPr>
        <w:t xml:space="preserve">supra.  See </w:t>
      </w:r>
      <w:r w:rsidRPr="00D17C77">
        <w:rPr>
          <w:color w:val="000000" w:themeColor="text1"/>
          <w:sz w:val="26"/>
          <w:szCs w:val="26"/>
        </w:rPr>
        <w:t>Section 2, Thirteenth Revised Sheet 4 to Verizon North LLC Telephone Tariff -Pa. P.U.C. No. 1, effective November 23, 2015.  In addition, there is no evidence in the record to indicate that there is a material difference between Verizon PA’s network engineering and cost of service in Density Cells 3 and 4 and that of its affiliate.  Therefore, we concur with the ALJs that Verizon PA’s proposed increase to rates in Density Cell 3 is reasonable</w:t>
      </w:r>
      <w:r w:rsidR="00BE5D29" w:rsidRPr="00D17C77">
        <w:rPr>
          <w:color w:val="000000" w:themeColor="text1"/>
          <w:sz w:val="26"/>
          <w:szCs w:val="26"/>
        </w:rPr>
        <w:t xml:space="preserve"> and that the rates Verizon PA charges to its rural customers are relevant to this proceeding</w:t>
      </w:r>
      <w:r w:rsidRPr="00D17C77">
        <w:rPr>
          <w:color w:val="000000" w:themeColor="text1"/>
          <w:sz w:val="26"/>
          <w:szCs w:val="26"/>
        </w:rPr>
        <w:t>.</w:t>
      </w:r>
      <w:r w:rsidR="00BE5D29" w:rsidRPr="00D17C77">
        <w:rPr>
          <w:color w:val="000000" w:themeColor="text1"/>
          <w:sz w:val="26"/>
          <w:szCs w:val="26"/>
        </w:rPr>
        <w:t xml:space="preserve">  </w:t>
      </w:r>
    </w:p>
    <w:p w14:paraId="41C6D34A" w14:textId="77777777" w:rsidR="00333C27" w:rsidRPr="00D17C77" w:rsidRDefault="00333C27" w:rsidP="00333C27">
      <w:pPr>
        <w:spacing w:after="200" w:line="360" w:lineRule="auto"/>
        <w:ind w:firstLine="1440"/>
        <w:contextualSpacing/>
        <w:rPr>
          <w:color w:val="000000" w:themeColor="text1"/>
          <w:sz w:val="26"/>
          <w:szCs w:val="26"/>
        </w:rPr>
      </w:pPr>
    </w:p>
    <w:p w14:paraId="03A486DE" w14:textId="33B5DE80" w:rsidR="00333C27" w:rsidRPr="00D17C77" w:rsidRDefault="00333C27" w:rsidP="00333C27">
      <w:pPr>
        <w:spacing w:after="200" w:line="360" w:lineRule="auto"/>
        <w:ind w:firstLine="1440"/>
        <w:contextualSpacing/>
        <w:rPr>
          <w:color w:val="000000" w:themeColor="text1"/>
          <w:sz w:val="26"/>
          <w:szCs w:val="26"/>
        </w:rPr>
      </w:pPr>
      <w:r w:rsidRPr="00D17C77">
        <w:rPr>
          <w:color w:val="000000" w:themeColor="text1"/>
          <w:sz w:val="26"/>
          <w:szCs w:val="26"/>
        </w:rPr>
        <w:lastRenderedPageBreak/>
        <w:t xml:space="preserve">Second, with regard to Verizon PA’s proposed increase to rates in Density Cell Nos. 1 and 2, the criteria above indicates that these Density Cells are located in urban areas that have a lower cost to serve.  Additionally, the record reveals </w:t>
      </w:r>
      <w:r w:rsidRPr="00D17C77">
        <w:rPr>
          <w:rFonts w:eastAsia="Calibri"/>
          <w:color w:val="000000" w:themeColor="text1"/>
          <w:sz w:val="26"/>
          <w:szCs w:val="26"/>
        </w:rPr>
        <w:t xml:space="preserve">there are a combined total of less than 5,600 lines subscribing to business dial tone line service in the remaining noncompetitive wire centers of Density Cells 1 and 2, and </w:t>
      </w:r>
      <w:r w:rsidRPr="00D17C77">
        <w:rPr>
          <w:color w:val="000000" w:themeColor="text1"/>
          <w:sz w:val="26"/>
          <w:szCs w:val="26"/>
        </w:rPr>
        <w:t xml:space="preserve">that customers in these density cells have more competitive options and can choose to leave Verizon PA if its services are priced too high.  Verizon PA M.B. at 13.  As Verizon PA pointed out, although the proposed increases to rates in these Density Cells are higher than its proposed increase to rates in Density Cell 3, the resulting rates are still significantly lower.  </w:t>
      </w:r>
    </w:p>
    <w:p w14:paraId="59D6A2FA" w14:textId="77777777" w:rsidR="00333C27" w:rsidRPr="00D17C77" w:rsidRDefault="00333C27" w:rsidP="00333C27">
      <w:pPr>
        <w:spacing w:after="200" w:line="360" w:lineRule="auto"/>
        <w:ind w:firstLine="1440"/>
        <w:contextualSpacing/>
        <w:rPr>
          <w:color w:val="000000" w:themeColor="text1"/>
          <w:sz w:val="26"/>
          <w:szCs w:val="26"/>
        </w:rPr>
      </w:pPr>
    </w:p>
    <w:p w14:paraId="1A3730BB" w14:textId="77777777" w:rsidR="00333C27" w:rsidRPr="00D17C77" w:rsidRDefault="00333C27" w:rsidP="00333C27">
      <w:pPr>
        <w:spacing w:after="200" w:line="360" w:lineRule="auto"/>
        <w:ind w:firstLine="1440"/>
        <w:contextualSpacing/>
        <w:rPr>
          <w:color w:val="000000" w:themeColor="text1"/>
          <w:sz w:val="26"/>
          <w:szCs w:val="26"/>
        </w:rPr>
      </w:pPr>
      <w:r w:rsidRPr="00D17C77">
        <w:rPr>
          <w:color w:val="000000" w:themeColor="text1"/>
          <w:sz w:val="26"/>
          <w:szCs w:val="26"/>
        </w:rPr>
        <w:t xml:space="preserve">Third, although Verizon PA’s decision not to increase business rates in its 2017 PCO Filing was the result of the terms of the settlement agreement that we approved via our </w:t>
      </w:r>
      <w:r w:rsidRPr="00D17C77">
        <w:rPr>
          <w:i/>
          <w:iCs/>
          <w:color w:val="000000" w:themeColor="text1"/>
          <w:sz w:val="26"/>
          <w:szCs w:val="26"/>
        </w:rPr>
        <w:t>January 2017 Order</w:t>
      </w:r>
      <w:r w:rsidRPr="00F6729B">
        <w:rPr>
          <w:color w:val="000000" w:themeColor="text1"/>
          <w:sz w:val="26"/>
          <w:szCs w:val="26"/>
        </w:rPr>
        <w:t xml:space="preserve">, </w:t>
      </w:r>
      <w:r w:rsidRPr="00D17C77">
        <w:rPr>
          <w:color w:val="000000" w:themeColor="text1"/>
          <w:sz w:val="26"/>
          <w:szCs w:val="26"/>
        </w:rPr>
        <w:t xml:space="preserve">the record indicates that Verizon PA does not always increase its rates for basic local dial tone service for business customers in its annual PCO Filings, even in years in which it hasn’t agreed to refrain from doing so as part of a settlement agreement.  For example, Verizon PA made no business rate increases in its 2011 PCO Filing, and in its 2012 and 2015 PCO Filings, Verizon PA increased rates only for Density Cells 3 and 4.  Verizon PA M.B. at 10.  Therefore, we find that the reduced frequency in which Verizon PA has raised its rates in prior PCO filings makes its rate increases in its 2018 PCO Filing more reasonable.  </w:t>
      </w:r>
    </w:p>
    <w:p w14:paraId="52553C97" w14:textId="77777777" w:rsidR="00333C27" w:rsidRPr="00D17C77" w:rsidRDefault="00333C27" w:rsidP="00333C27">
      <w:pPr>
        <w:spacing w:after="200" w:line="360" w:lineRule="auto"/>
        <w:ind w:firstLine="1440"/>
        <w:contextualSpacing/>
        <w:rPr>
          <w:color w:val="000000" w:themeColor="text1"/>
          <w:sz w:val="26"/>
          <w:szCs w:val="26"/>
        </w:rPr>
      </w:pPr>
    </w:p>
    <w:p w14:paraId="2B0251B6" w14:textId="5FE91BE0" w:rsidR="00333C27" w:rsidRPr="00D17C77" w:rsidRDefault="00333C27" w:rsidP="00333C27">
      <w:pPr>
        <w:spacing w:after="200" w:line="360" w:lineRule="auto"/>
        <w:ind w:firstLine="1440"/>
        <w:contextualSpacing/>
        <w:rPr>
          <w:color w:val="000000" w:themeColor="text1"/>
          <w:sz w:val="26"/>
          <w:szCs w:val="26"/>
        </w:rPr>
      </w:pPr>
      <w:r w:rsidRPr="00D17C77">
        <w:rPr>
          <w:color w:val="000000" w:themeColor="text1"/>
          <w:sz w:val="26"/>
          <w:szCs w:val="26"/>
        </w:rPr>
        <w:t>Thus, in light of the forgoing, we find no evidence in the record that Verizon PA’s proposed business rate increases violate Chapter 30, the Company’s Chapter 30 Plan or a Commission Order or Regulation.  In short, we decline to compel Verizon PA to alter the rates it proposed in its 2018 PCO Filing.  For these reasons, the OSBA’s Exceptions on this issue are denied.</w:t>
      </w:r>
    </w:p>
    <w:p w14:paraId="13057954" w14:textId="77777777" w:rsidR="00CA22B3" w:rsidRPr="00D17C77" w:rsidRDefault="00CA22B3" w:rsidP="009C4BD6">
      <w:pPr>
        <w:spacing w:line="360" w:lineRule="auto"/>
        <w:contextualSpacing/>
        <w:rPr>
          <w:color w:val="000000" w:themeColor="text1"/>
          <w:sz w:val="26"/>
          <w:szCs w:val="26"/>
        </w:rPr>
      </w:pPr>
    </w:p>
    <w:p w14:paraId="540C468F" w14:textId="645628A4" w:rsidR="009A2741" w:rsidRPr="00D17C77" w:rsidRDefault="00791B5E" w:rsidP="00846B7A">
      <w:pPr>
        <w:keepNext/>
        <w:keepLines/>
        <w:ind w:left="1440" w:hanging="720"/>
        <w:contextualSpacing/>
        <w:rPr>
          <w:b/>
          <w:bCs/>
          <w:color w:val="000000" w:themeColor="text1"/>
          <w:sz w:val="26"/>
          <w:szCs w:val="26"/>
        </w:rPr>
      </w:pPr>
      <w:r>
        <w:rPr>
          <w:b/>
          <w:bCs/>
          <w:color w:val="000000" w:themeColor="text1"/>
          <w:sz w:val="26"/>
          <w:szCs w:val="26"/>
        </w:rPr>
        <w:lastRenderedPageBreak/>
        <w:t>3</w:t>
      </w:r>
      <w:r w:rsidR="009A2741" w:rsidRPr="00D17C77">
        <w:rPr>
          <w:b/>
          <w:bCs/>
          <w:color w:val="000000" w:themeColor="text1"/>
          <w:sz w:val="26"/>
          <w:szCs w:val="26"/>
        </w:rPr>
        <w:t>.</w:t>
      </w:r>
      <w:r w:rsidR="009A2741" w:rsidRPr="00D17C77">
        <w:rPr>
          <w:b/>
          <w:bCs/>
          <w:color w:val="000000" w:themeColor="text1"/>
          <w:sz w:val="26"/>
          <w:szCs w:val="26"/>
        </w:rPr>
        <w:tab/>
        <w:t xml:space="preserve">Whether </w:t>
      </w:r>
      <w:r w:rsidR="00122641">
        <w:rPr>
          <w:b/>
          <w:bCs/>
          <w:color w:val="000000" w:themeColor="text1"/>
          <w:sz w:val="26"/>
          <w:szCs w:val="26"/>
        </w:rPr>
        <w:t>T</w:t>
      </w:r>
      <w:r w:rsidR="00095CD4">
        <w:rPr>
          <w:b/>
          <w:bCs/>
          <w:color w:val="000000" w:themeColor="text1"/>
          <w:sz w:val="26"/>
          <w:szCs w:val="26"/>
        </w:rPr>
        <w:t xml:space="preserve">he ALJs </w:t>
      </w:r>
      <w:r w:rsidR="00846B7A" w:rsidRPr="00D17C77">
        <w:rPr>
          <w:b/>
          <w:bCs/>
          <w:color w:val="000000" w:themeColor="text1"/>
          <w:sz w:val="26"/>
          <w:szCs w:val="26"/>
        </w:rPr>
        <w:t xml:space="preserve">Properly Interpreted </w:t>
      </w:r>
      <w:r w:rsidR="00122641">
        <w:rPr>
          <w:b/>
          <w:bCs/>
          <w:color w:val="000000" w:themeColor="text1"/>
          <w:sz w:val="26"/>
          <w:szCs w:val="26"/>
        </w:rPr>
        <w:t>T</w:t>
      </w:r>
      <w:r w:rsidR="00846B7A" w:rsidRPr="00D17C77">
        <w:rPr>
          <w:b/>
          <w:bCs/>
          <w:color w:val="000000" w:themeColor="text1"/>
          <w:sz w:val="26"/>
          <w:szCs w:val="26"/>
        </w:rPr>
        <w:t xml:space="preserve">he Relationship Between </w:t>
      </w:r>
      <w:r w:rsidR="009A2741" w:rsidRPr="00D17C77">
        <w:rPr>
          <w:b/>
          <w:bCs/>
          <w:color w:val="000000" w:themeColor="text1"/>
          <w:sz w:val="26"/>
          <w:szCs w:val="26"/>
        </w:rPr>
        <w:t xml:space="preserve">Section </w:t>
      </w:r>
      <w:r w:rsidR="00846B7A" w:rsidRPr="00D17C77">
        <w:rPr>
          <w:b/>
          <w:bCs/>
          <w:color w:val="000000" w:themeColor="text1"/>
          <w:sz w:val="26"/>
          <w:szCs w:val="26"/>
        </w:rPr>
        <w:t>3015(</w:t>
      </w:r>
      <w:r w:rsidR="00846B7A">
        <w:rPr>
          <w:b/>
          <w:bCs/>
          <w:color w:val="000000" w:themeColor="text1"/>
          <w:sz w:val="26"/>
          <w:szCs w:val="26"/>
        </w:rPr>
        <w:t>a</w:t>
      </w:r>
      <w:r w:rsidR="00846B7A" w:rsidRPr="00D17C77">
        <w:rPr>
          <w:b/>
          <w:bCs/>
          <w:color w:val="000000" w:themeColor="text1"/>
          <w:sz w:val="26"/>
          <w:szCs w:val="26"/>
        </w:rPr>
        <w:t xml:space="preserve">)(3) </w:t>
      </w:r>
      <w:r w:rsidR="00122641">
        <w:rPr>
          <w:b/>
          <w:bCs/>
          <w:color w:val="000000" w:themeColor="text1"/>
          <w:sz w:val="26"/>
          <w:szCs w:val="26"/>
        </w:rPr>
        <w:t>A</w:t>
      </w:r>
      <w:r w:rsidR="00846B7A" w:rsidRPr="00D17C77">
        <w:rPr>
          <w:b/>
          <w:bCs/>
          <w:color w:val="000000" w:themeColor="text1"/>
          <w:sz w:val="26"/>
          <w:szCs w:val="26"/>
        </w:rPr>
        <w:t xml:space="preserve">nd Other Provisions </w:t>
      </w:r>
      <w:r w:rsidR="00122641">
        <w:rPr>
          <w:b/>
          <w:bCs/>
          <w:color w:val="000000" w:themeColor="text1"/>
          <w:sz w:val="26"/>
          <w:szCs w:val="26"/>
        </w:rPr>
        <w:t>Of</w:t>
      </w:r>
      <w:r w:rsidR="00846B7A" w:rsidRPr="00D17C77">
        <w:rPr>
          <w:b/>
          <w:bCs/>
          <w:color w:val="000000" w:themeColor="text1"/>
          <w:sz w:val="26"/>
          <w:szCs w:val="26"/>
        </w:rPr>
        <w:t xml:space="preserve"> </w:t>
      </w:r>
      <w:r w:rsidR="009A2741" w:rsidRPr="00D17C77">
        <w:rPr>
          <w:b/>
          <w:bCs/>
          <w:color w:val="000000" w:themeColor="text1"/>
          <w:sz w:val="26"/>
          <w:szCs w:val="26"/>
        </w:rPr>
        <w:t xml:space="preserve">Chapter </w:t>
      </w:r>
      <w:r w:rsidR="00846B7A" w:rsidRPr="00D17C77">
        <w:rPr>
          <w:b/>
          <w:bCs/>
          <w:color w:val="000000" w:themeColor="text1"/>
          <w:sz w:val="26"/>
          <w:szCs w:val="26"/>
        </w:rPr>
        <w:t xml:space="preserve">30 </w:t>
      </w:r>
      <w:r w:rsidR="00122641">
        <w:rPr>
          <w:b/>
          <w:bCs/>
          <w:color w:val="000000" w:themeColor="text1"/>
          <w:sz w:val="26"/>
          <w:szCs w:val="26"/>
        </w:rPr>
        <w:t>A</w:t>
      </w:r>
      <w:r w:rsidR="00846B7A" w:rsidRPr="00D17C77">
        <w:rPr>
          <w:b/>
          <w:bCs/>
          <w:color w:val="000000" w:themeColor="text1"/>
          <w:sz w:val="26"/>
          <w:szCs w:val="26"/>
        </w:rPr>
        <w:t xml:space="preserve">nd Between </w:t>
      </w:r>
      <w:r w:rsidR="009A2741" w:rsidRPr="00D17C77">
        <w:rPr>
          <w:b/>
          <w:bCs/>
          <w:color w:val="000000" w:themeColor="text1"/>
          <w:sz w:val="26"/>
          <w:szCs w:val="26"/>
        </w:rPr>
        <w:t xml:space="preserve">Chapters </w:t>
      </w:r>
      <w:r w:rsidR="00846B7A" w:rsidRPr="00D17C77">
        <w:rPr>
          <w:b/>
          <w:bCs/>
          <w:color w:val="000000" w:themeColor="text1"/>
          <w:sz w:val="26"/>
          <w:szCs w:val="26"/>
        </w:rPr>
        <w:t xml:space="preserve">13 </w:t>
      </w:r>
      <w:r w:rsidR="00122641">
        <w:rPr>
          <w:b/>
          <w:bCs/>
          <w:color w:val="000000" w:themeColor="text1"/>
          <w:sz w:val="26"/>
          <w:szCs w:val="26"/>
        </w:rPr>
        <w:t>A</w:t>
      </w:r>
      <w:r w:rsidR="00846B7A" w:rsidRPr="00D17C77">
        <w:rPr>
          <w:b/>
          <w:bCs/>
          <w:color w:val="000000" w:themeColor="text1"/>
          <w:sz w:val="26"/>
          <w:szCs w:val="26"/>
        </w:rPr>
        <w:t xml:space="preserve">nd 30 </w:t>
      </w:r>
      <w:r w:rsidR="00122641">
        <w:rPr>
          <w:b/>
          <w:bCs/>
          <w:color w:val="000000" w:themeColor="text1"/>
          <w:sz w:val="26"/>
          <w:szCs w:val="26"/>
        </w:rPr>
        <w:t>O</w:t>
      </w:r>
      <w:r w:rsidR="00846B7A" w:rsidRPr="00D17C77">
        <w:rPr>
          <w:b/>
          <w:bCs/>
          <w:color w:val="000000" w:themeColor="text1"/>
          <w:sz w:val="26"/>
          <w:szCs w:val="26"/>
        </w:rPr>
        <w:t xml:space="preserve">f </w:t>
      </w:r>
      <w:r w:rsidR="00122641">
        <w:rPr>
          <w:b/>
          <w:bCs/>
          <w:color w:val="000000" w:themeColor="text1"/>
          <w:sz w:val="26"/>
          <w:szCs w:val="26"/>
        </w:rPr>
        <w:t>T</w:t>
      </w:r>
      <w:r w:rsidR="00846B7A" w:rsidRPr="00D17C77">
        <w:rPr>
          <w:b/>
          <w:bCs/>
          <w:color w:val="000000" w:themeColor="text1"/>
          <w:sz w:val="26"/>
          <w:szCs w:val="26"/>
        </w:rPr>
        <w:t xml:space="preserve">he </w:t>
      </w:r>
      <w:r w:rsidR="009A2741" w:rsidRPr="00D17C77">
        <w:rPr>
          <w:b/>
          <w:bCs/>
          <w:color w:val="000000" w:themeColor="text1"/>
          <w:sz w:val="26"/>
          <w:szCs w:val="26"/>
        </w:rPr>
        <w:t xml:space="preserve">Code </w:t>
      </w:r>
      <w:r w:rsidR="00846B7A" w:rsidRPr="00D17C77">
        <w:rPr>
          <w:b/>
          <w:bCs/>
          <w:color w:val="000000" w:themeColor="text1"/>
          <w:sz w:val="26"/>
          <w:szCs w:val="26"/>
        </w:rPr>
        <w:t>(</w:t>
      </w:r>
      <w:r w:rsidR="009A2741" w:rsidRPr="00D17C77">
        <w:rPr>
          <w:b/>
          <w:bCs/>
          <w:color w:val="000000" w:themeColor="text1"/>
          <w:sz w:val="26"/>
          <w:szCs w:val="26"/>
        </w:rPr>
        <w:t>OSBA Exception Nos</w:t>
      </w:r>
      <w:r w:rsidR="00846B7A" w:rsidRPr="00D17C77">
        <w:rPr>
          <w:b/>
          <w:bCs/>
          <w:color w:val="000000" w:themeColor="text1"/>
          <w:sz w:val="26"/>
          <w:szCs w:val="26"/>
        </w:rPr>
        <w:t>. 2 And 9)</w:t>
      </w:r>
    </w:p>
    <w:p w14:paraId="75FBBAE1" w14:textId="77777777" w:rsidR="009A2741" w:rsidRPr="00D17C77" w:rsidRDefault="009A2741" w:rsidP="009A2741">
      <w:pPr>
        <w:keepNext/>
        <w:keepLines/>
        <w:spacing w:line="360" w:lineRule="auto"/>
        <w:ind w:firstLine="1440"/>
        <w:contextualSpacing/>
        <w:rPr>
          <w:color w:val="000000" w:themeColor="text1"/>
          <w:sz w:val="26"/>
          <w:szCs w:val="26"/>
        </w:rPr>
      </w:pPr>
    </w:p>
    <w:p w14:paraId="553D4F42" w14:textId="77777777" w:rsidR="009A2741" w:rsidRPr="00D17C77" w:rsidRDefault="009A2741" w:rsidP="00846B7A">
      <w:pPr>
        <w:keepNext/>
        <w:keepLines/>
        <w:spacing w:line="360" w:lineRule="auto"/>
        <w:ind w:left="2160" w:hanging="720"/>
        <w:contextualSpacing/>
        <w:rPr>
          <w:b/>
          <w:bCs/>
          <w:color w:val="000000" w:themeColor="text1"/>
          <w:sz w:val="26"/>
          <w:szCs w:val="26"/>
        </w:rPr>
      </w:pPr>
      <w:r w:rsidRPr="00D17C77">
        <w:rPr>
          <w:b/>
          <w:bCs/>
          <w:color w:val="000000" w:themeColor="text1"/>
          <w:sz w:val="26"/>
          <w:szCs w:val="26"/>
        </w:rPr>
        <w:t>a.</w:t>
      </w:r>
      <w:r w:rsidRPr="00D17C77">
        <w:rPr>
          <w:b/>
          <w:bCs/>
          <w:color w:val="000000" w:themeColor="text1"/>
          <w:sz w:val="26"/>
          <w:szCs w:val="26"/>
        </w:rPr>
        <w:tab/>
        <w:t>The ALJs’ Initial Decision</w:t>
      </w:r>
    </w:p>
    <w:p w14:paraId="2C168B31" w14:textId="77777777" w:rsidR="009A2741" w:rsidRPr="00D17C77" w:rsidRDefault="009A2741" w:rsidP="009A2741">
      <w:pPr>
        <w:keepNext/>
        <w:keepLines/>
        <w:spacing w:line="360" w:lineRule="auto"/>
        <w:ind w:firstLine="1440"/>
        <w:contextualSpacing/>
        <w:rPr>
          <w:color w:val="000000" w:themeColor="text1"/>
          <w:sz w:val="26"/>
          <w:szCs w:val="26"/>
        </w:rPr>
      </w:pPr>
    </w:p>
    <w:p w14:paraId="77E6A612" w14:textId="77777777" w:rsidR="009A2741" w:rsidRPr="00D17C77" w:rsidRDefault="009A2741" w:rsidP="009A2741">
      <w:pPr>
        <w:spacing w:line="360" w:lineRule="auto"/>
        <w:ind w:firstLine="1440"/>
        <w:contextualSpacing/>
        <w:rPr>
          <w:color w:val="000000" w:themeColor="text1"/>
          <w:sz w:val="26"/>
          <w:szCs w:val="26"/>
        </w:rPr>
      </w:pPr>
      <w:r w:rsidRPr="00D17C77">
        <w:rPr>
          <w:color w:val="000000" w:themeColor="text1"/>
          <w:sz w:val="26"/>
          <w:szCs w:val="26"/>
        </w:rPr>
        <w:t>The ALJs emphasized that Section 3015 of the Code is clear in its mandate that the rate adjustment for any individual residential line may not vary from the average rate adjustment by more than twenty percent.  The ALJs concluded that the Pennsylvania Legislature placed a clear statutory mandate in setting forth this provision of the Code.  The ALJs also rejected the arguments of the OSBA regarding the rules of statutory construction.  The ALJs explained that it is generally the case that pursuant to 1 Pa.</w:t>
      </w:r>
      <w:r w:rsidR="00846B7A">
        <w:rPr>
          <w:color w:val="000000" w:themeColor="text1"/>
          <w:sz w:val="26"/>
          <w:szCs w:val="26"/>
        </w:rPr>
        <w:t xml:space="preserve"> </w:t>
      </w:r>
      <w:r w:rsidRPr="00D17C77">
        <w:rPr>
          <w:color w:val="000000" w:themeColor="text1"/>
          <w:sz w:val="26"/>
          <w:szCs w:val="26"/>
        </w:rPr>
        <w:t>C.S.</w:t>
      </w:r>
      <w:r w:rsidRPr="00D17C77">
        <w:rPr>
          <w:rFonts w:eastAsia="Calibri"/>
          <w:color w:val="000000" w:themeColor="text1"/>
          <w:sz w:val="26"/>
          <w:szCs w:val="26"/>
        </w:rPr>
        <w:t xml:space="preserve"> </w:t>
      </w:r>
      <w:r w:rsidRPr="00D17C77">
        <w:rPr>
          <w:color w:val="000000" w:themeColor="text1"/>
          <w:sz w:val="26"/>
          <w:szCs w:val="26"/>
        </w:rPr>
        <w:t>§</w:t>
      </w:r>
      <w:r w:rsidR="00B0467F" w:rsidRPr="00D17C77">
        <w:rPr>
          <w:color w:val="000000" w:themeColor="text1"/>
          <w:sz w:val="26"/>
          <w:szCs w:val="26"/>
        </w:rPr>
        <w:t> </w:t>
      </w:r>
      <w:r w:rsidRPr="00D17C77">
        <w:rPr>
          <w:color w:val="000000" w:themeColor="text1"/>
          <w:sz w:val="26"/>
          <w:szCs w:val="26"/>
        </w:rPr>
        <w:t xml:space="preserve">1921, the rules of statutory construction should be consulted when a statute is ambiguous.  However, </w:t>
      </w:r>
      <w:bookmarkStart w:id="15" w:name="_Hlk26878032"/>
      <w:r w:rsidRPr="00D17C77">
        <w:rPr>
          <w:color w:val="000000" w:themeColor="text1"/>
          <w:sz w:val="26"/>
          <w:szCs w:val="26"/>
        </w:rPr>
        <w:t>the ALJs found that no ambiguity exists in the present matter and that there is no need to examine the rules of statutory construction</w:t>
      </w:r>
      <w:bookmarkEnd w:id="15"/>
      <w:r w:rsidRPr="00D17C77">
        <w:rPr>
          <w:color w:val="000000" w:themeColor="text1"/>
          <w:sz w:val="26"/>
          <w:szCs w:val="26"/>
        </w:rPr>
        <w:t>.  At the same time, the ALJs concluded that even if any ambiguity does exist, the OSBA’s arguments should still be denied.  The ALJs noted that under Section 1933 of the Rules of Statutory Construction, 1 Pa. C.S. § 1933, special provisions shall prevail over general provisions.  The ALJs also explained that under Section 1934 of the Rules of Statutory Construction, the more recent statute prevails over the older statute.  Therefore, the ALJs concluded that the more specific Section 3015 of the Code prevails over the more general Section 1301, because it was enacted more recently.  As such, the ALJs found that to the extent that the rules of statutory construction are required, they support rejecting the arguments of the OSBA to the contrary.  I.D. at 18, 21-22.</w:t>
      </w:r>
    </w:p>
    <w:p w14:paraId="667E077C" w14:textId="77777777" w:rsidR="009A2741" w:rsidRPr="00D17C77" w:rsidRDefault="009A2741" w:rsidP="009A2741">
      <w:pPr>
        <w:spacing w:line="360" w:lineRule="auto"/>
        <w:ind w:firstLine="1440"/>
        <w:contextualSpacing/>
        <w:rPr>
          <w:color w:val="000000" w:themeColor="text1"/>
          <w:sz w:val="26"/>
          <w:szCs w:val="26"/>
        </w:rPr>
      </w:pPr>
    </w:p>
    <w:p w14:paraId="0BF1FF22" w14:textId="77777777" w:rsidR="009A2741" w:rsidRPr="00D17C77" w:rsidRDefault="009A2741" w:rsidP="00846B7A">
      <w:pPr>
        <w:keepNext/>
        <w:keepLines/>
        <w:spacing w:line="360" w:lineRule="auto"/>
        <w:ind w:left="2160" w:hanging="720"/>
        <w:contextualSpacing/>
        <w:rPr>
          <w:b/>
          <w:bCs/>
          <w:color w:val="000000" w:themeColor="text1"/>
          <w:sz w:val="26"/>
          <w:szCs w:val="26"/>
        </w:rPr>
      </w:pPr>
      <w:r w:rsidRPr="00D17C77">
        <w:rPr>
          <w:b/>
          <w:bCs/>
          <w:color w:val="000000" w:themeColor="text1"/>
          <w:sz w:val="26"/>
          <w:szCs w:val="26"/>
        </w:rPr>
        <w:t>b.</w:t>
      </w:r>
      <w:r w:rsidRPr="00D17C77">
        <w:rPr>
          <w:b/>
          <w:bCs/>
          <w:color w:val="000000" w:themeColor="text1"/>
          <w:sz w:val="26"/>
          <w:szCs w:val="26"/>
        </w:rPr>
        <w:tab/>
        <w:t>The OSBA’s Exceptions</w:t>
      </w:r>
    </w:p>
    <w:p w14:paraId="5DD58215" w14:textId="77777777" w:rsidR="009A2741" w:rsidRPr="00D17C77" w:rsidRDefault="009A2741" w:rsidP="009A2741">
      <w:pPr>
        <w:keepNext/>
        <w:keepLines/>
        <w:spacing w:line="360" w:lineRule="auto"/>
        <w:ind w:firstLine="1440"/>
        <w:contextualSpacing/>
        <w:rPr>
          <w:color w:val="000000" w:themeColor="text1"/>
          <w:sz w:val="26"/>
          <w:szCs w:val="26"/>
        </w:rPr>
      </w:pPr>
    </w:p>
    <w:p w14:paraId="62EC4B73" w14:textId="77777777" w:rsidR="009A2741" w:rsidRPr="00D17C77" w:rsidRDefault="009A2741" w:rsidP="009A2741">
      <w:pPr>
        <w:spacing w:line="360" w:lineRule="auto"/>
        <w:ind w:firstLine="1440"/>
        <w:contextualSpacing/>
        <w:rPr>
          <w:color w:val="000000" w:themeColor="text1"/>
          <w:sz w:val="26"/>
          <w:szCs w:val="26"/>
        </w:rPr>
      </w:pPr>
      <w:r w:rsidRPr="00D17C77">
        <w:rPr>
          <w:color w:val="000000" w:themeColor="text1"/>
          <w:sz w:val="26"/>
          <w:szCs w:val="26"/>
        </w:rPr>
        <w:t xml:space="preserve">In its Exceptions, the OSBA claims that the ALJs’ legal analysis of Verizon PA’s residential and commercial rates does not end at an examination of Section 3015(a)(3) of the Code.  The OSBA insists that the residential rate cap set forth in </w:t>
      </w:r>
      <w:r w:rsidRPr="00D17C77">
        <w:rPr>
          <w:color w:val="000000" w:themeColor="text1"/>
          <w:sz w:val="26"/>
          <w:szCs w:val="26"/>
        </w:rPr>
        <w:lastRenderedPageBreak/>
        <w:t>Section 3015(a)(3) is modified by three other sections of Chapter 30.  Namely, the OSBA contends that the Declaration of Policy under Section 3011(3) and Section 3011(5) ensures that customers only pay reasonable rates for protected services on a nondiscriminatory basis.  The OSBA also argues that Section 3019(e) contains two provisions requiring that rates be just and reasonable and that no unreasonable preferences be imposed on either residential or comm</w:t>
      </w:r>
      <w:r w:rsidR="00846B7A">
        <w:rPr>
          <w:color w:val="000000" w:themeColor="text1"/>
          <w:sz w:val="26"/>
          <w:szCs w:val="26"/>
        </w:rPr>
        <w:t>ercial customers.  OSBA Exc. at </w:t>
      </w:r>
      <w:r w:rsidRPr="00D17C77">
        <w:rPr>
          <w:color w:val="000000" w:themeColor="text1"/>
          <w:sz w:val="26"/>
          <w:szCs w:val="26"/>
        </w:rPr>
        <w:t>4</w:t>
      </w:r>
      <w:r w:rsidRPr="00D17C77">
        <w:rPr>
          <w:color w:val="000000" w:themeColor="text1"/>
          <w:sz w:val="26"/>
          <w:szCs w:val="26"/>
        </w:rPr>
        <w:noBreakHyphen/>
        <w:t>5. In the OSBA’s view, the legal analysis of Verizon PA’s residential and commercial rates does not conclude merely by conducting the mathematical exercise set forth in Section 3015(a)(3).</w:t>
      </w:r>
    </w:p>
    <w:p w14:paraId="1E17633B" w14:textId="77777777" w:rsidR="009A2741" w:rsidRPr="00D17C77" w:rsidRDefault="009A2741" w:rsidP="009A2741">
      <w:pPr>
        <w:spacing w:line="360" w:lineRule="auto"/>
        <w:ind w:firstLine="1440"/>
        <w:contextualSpacing/>
        <w:rPr>
          <w:color w:val="000000" w:themeColor="text1"/>
          <w:sz w:val="26"/>
          <w:szCs w:val="26"/>
        </w:rPr>
      </w:pPr>
    </w:p>
    <w:p w14:paraId="024689DB" w14:textId="47C34FBE" w:rsidR="009A2741" w:rsidRPr="00D17C77" w:rsidRDefault="009A2741" w:rsidP="009A2741">
      <w:pPr>
        <w:spacing w:line="360" w:lineRule="auto"/>
        <w:ind w:firstLine="1440"/>
        <w:contextualSpacing/>
        <w:rPr>
          <w:color w:val="000000" w:themeColor="text1"/>
          <w:sz w:val="26"/>
          <w:szCs w:val="26"/>
        </w:rPr>
      </w:pPr>
      <w:r w:rsidRPr="00D17C77">
        <w:rPr>
          <w:color w:val="000000" w:themeColor="text1"/>
          <w:sz w:val="26"/>
          <w:szCs w:val="26"/>
        </w:rPr>
        <w:t>The OSBA further contends that the ALJs erred in concluding that Section 3015 of the Code prevails over Section 1301.  The OSBA points out that while Section</w:t>
      </w:r>
      <w:r w:rsidR="00F703A6">
        <w:rPr>
          <w:color w:val="000000" w:themeColor="text1"/>
          <w:sz w:val="26"/>
          <w:szCs w:val="26"/>
        </w:rPr>
        <w:t> </w:t>
      </w:r>
      <w:r w:rsidRPr="00D17C77">
        <w:rPr>
          <w:color w:val="000000" w:themeColor="text1"/>
          <w:sz w:val="26"/>
          <w:szCs w:val="26"/>
        </w:rPr>
        <w:t>3019(h) of Chapter 30 states that an ILEC’s Chapter 30 plan shall supersede the majority of the provisions of Chapter 13 of the Code, it specifically preserves Section 1301.  The OSBA also emphasizes that Section 3015(g) of Chapter 30 states that nothing shall limit the requirement under Section 1301 of the Code that rates shall be just and reasonable.  Therefore, the OSBA insists that Section 1301 of the Code prevails over all of Chapter 30, including Section 3015.  OSBA Exc. at 13.</w:t>
      </w:r>
    </w:p>
    <w:p w14:paraId="67234B9B" w14:textId="77777777" w:rsidR="009A2741" w:rsidRPr="00D17C77" w:rsidRDefault="009A2741" w:rsidP="009A2741">
      <w:pPr>
        <w:spacing w:line="360" w:lineRule="auto"/>
        <w:ind w:firstLine="1440"/>
        <w:contextualSpacing/>
        <w:rPr>
          <w:color w:val="000000" w:themeColor="text1"/>
          <w:sz w:val="26"/>
          <w:szCs w:val="26"/>
        </w:rPr>
      </w:pPr>
    </w:p>
    <w:p w14:paraId="50186A3A" w14:textId="0159DAC0" w:rsidR="009A2741" w:rsidRPr="00D17C77" w:rsidRDefault="009A2741" w:rsidP="00846B7A">
      <w:pPr>
        <w:keepNext/>
        <w:keepLines/>
        <w:spacing w:line="360" w:lineRule="auto"/>
        <w:ind w:left="2160" w:hanging="720"/>
        <w:contextualSpacing/>
        <w:rPr>
          <w:b/>
          <w:bCs/>
          <w:color w:val="000000" w:themeColor="text1"/>
          <w:sz w:val="26"/>
          <w:szCs w:val="26"/>
        </w:rPr>
      </w:pPr>
      <w:r w:rsidRPr="00D17C77">
        <w:rPr>
          <w:b/>
          <w:bCs/>
          <w:color w:val="000000" w:themeColor="text1"/>
          <w:sz w:val="26"/>
          <w:szCs w:val="26"/>
        </w:rPr>
        <w:t>c.</w:t>
      </w:r>
      <w:r w:rsidRPr="00D17C77">
        <w:rPr>
          <w:b/>
          <w:bCs/>
          <w:color w:val="000000" w:themeColor="text1"/>
          <w:sz w:val="26"/>
          <w:szCs w:val="26"/>
        </w:rPr>
        <w:tab/>
        <w:t xml:space="preserve">Verizon PA’s Replies </w:t>
      </w:r>
      <w:r w:rsidR="00122641">
        <w:rPr>
          <w:b/>
          <w:bCs/>
          <w:color w:val="000000" w:themeColor="text1"/>
          <w:sz w:val="26"/>
          <w:szCs w:val="26"/>
        </w:rPr>
        <w:t>T</w:t>
      </w:r>
      <w:r w:rsidR="00846B7A" w:rsidRPr="00D17C77">
        <w:rPr>
          <w:b/>
          <w:bCs/>
          <w:color w:val="000000" w:themeColor="text1"/>
          <w:sz w:val="26"/>
          <w:szCs w:val="26"/>
        </w:rPr>
        <w:t xml:space="preserve">o </w:t>
      </w:r>
      <w:r w:rsidRPr="00D17C77">
        <w:rPr>
          <w:b/>
          <w:bCs/>
          <w:color w:val="000000" w:themeColor="text1"/>
          <w:sz w:val="26"/>
          <w:szCs w:val="26"/>
        </w:rPr>
        <w:t>Exceptions</w:t>
      </w:r>
    </w:p>
    <w:p w14:paraId="53B019A5" w14:textId="77777777" w:rsidR="009A2741" w:rsidRPr="00D17C77" w:rsidRDefault="009A2741" w:rsidP="009A2741">
      <w:pPr>
        <w:keepNext/>
        <w:keepLines/>
        <w:spacing w:line="360" w:lineRule="auto"/>
        <w:ind w:firstLine="1440"/>
        <w:contextualSpacing/>
        <w:rPr>
          <w:color w:val="000000" w:themeColor="text1"/>
          <w:sz w:val="26"/>
          <w:szCs w:val="26"/>
        </w:rPr>
      </w:pPr>
    </w:p>
    <w:p w14:paraId="25D4C255" w14:textId="72954F02" w:rsidR="009A2741" w:rsidRPr="00D17C77" w:rsidRDefault="009A2741" w:rsidP="009A2741">
      <w:pPr>
        <w:spacing w:line="360" w:lineRule="auto"/>
        <w:ind w:firstLine="1440"/>
        <w:contextualSpacing/>
        <w:rPr>
          <w:color w:val="000000" w:themeColor="text1"/>
          <w:sz w:val="26"/>
          <w:szCs w:val="26"/>
        </w:rPr>
      </w:pPr>
      <w:r w:rsidRPr="00D17C77">
        <w:rPr>
          <w:color w:val="000000" w:themeColor="text1"/>
          <w:sz w:val="26"/>
          <w:szCs w:val="26"/>
        </w:rPr>
        <w:t xml:space="preserve">In its Replies to Exceptions, Verizon PA submits that the ALJs properly understood the relationship between Section 3015(a)(3) and the other provisions of Chapter 30.  Verizon PA argues that if the OSBA’s claim, in this Exception, is that other parts of Chapter 30 can override Section 3015(a)(3) or allow it to be abandoned or rates to be increased above its limit, then this is contradictory to the OSBA’s claim, </w:t>
      </w:r>
      <w:r w:rsidRPr="00D17C77">
        <w:rPr>
          <w:i/>
          <w:iCs/>
          <w:color w:val="000000" w:themeColor="text1"/>
          <w:sz w:val="26"/>
          <w:szCs w:val="26"/>
        </w:rPr>
        <w:t>supra</w:t>
      </w:r>
      <w:r w:rsidRPr="009D4D30">
        <w:rPr>
          <w:color w:val="000000" w:themeColor="text1"/>
          <w:sz w:val="26"/>
          <w:szCs w:val="26"/>
        </w:rPr>
        <w:t xml:space="preserve">, </w:t>
      </w:r>
      <w:r w:rsidRPr="00D17C77">
        <w:rPr>
          <w:color w:val="000000" w:themeColor="text1"/>
          <w:sz w:val="26"/>
          <w:szCs w:val="26"/>
        </w:rPr>
        <w:t>that it was not making this argument.  Conversely, Verizon PA argues that if the OSBA is stating that in addition to reviewing each PCO Filing for compliance with Section</w:t>
      </w:r>
      <w:r w:rsidR="009D4D30">
        <w:rPr>
          <w:color w:val="000000" w:themeColor="text1"/>
          <w:sz w:val="26"/>
          <w:szCs w:val="26"/>
        </w:rPr>
        <w:t> </w:t>
      </w:r>
      <w:r w:rsidRPr="00D17C77">
        <w:rPr>
          <w:color w:val="000000" w:themeColor="text1"/>
          <w:sz w:val="26"/>
          <w:szCs w:val="26"/>
        </w:rPr>
        <w:t xml:space="preserve">3015(a)(3), the Commission has the authority to review the resulting rates to be </w:t>
      </w:r>
      <w:r w:rsidRPr="00D17C77">
        <w:rPr>
          <w:color w:val="000000" w:themeColor="text1"/>
          <w:sz w:val="26"/>
          <w:szCs w:val="26"/>
        </w:rPr>
        <w:lastRenderedPageBreak/>
        <w:t xml:space="preserve">sure that they are just, reasonable, and nondiscriminatory, then Verizon PA agrees with this statement.  Verizon PA asserts that in the instant proceeding, the OSBA failed to provide any evidence to indicate that the business dial tone line rates that Verizon PA set forth in its 2018 PCO </w:t>
      </w:r>
      <w:r w:rsidR="003B7C69" w:rsidRPr="00D17C77">
        <w:rPr>
          <w:color w:val="000000" w:themeColor="text1"/>
          <w:sz w:val="26"/>
          <w:szCs w:val="26"/>
        </w:rPr>
        <w:t xml:space="preserve">Filing </w:t>
      </w:r>
      <w:r w:rsidRPr="00D17C77">
        <w:rPr>
          <w:color w:val="000000" w:themeColor="text1"/>
          <w:sz w:val="26"/>
          <w:szCs w:val="26"/>
        </w:rPr>
        <w:t>are unreasonable.  Rather, Verizon PA avers that the ALJs correctly ruled that such rates are reasonable.  Verizon PA R. Exc. at 4-5.</w:t>
      </w:r>
    </w:p>
    <w:p w14:paraId="6E30063A" w14:textId="77777777" w:rsidR="009A2741" w:rsidRPr="00D17C77" w:rsidRDefault="009A2741" w:rsidP="009A2741">
      <w:pPr>
        <w:spacing w:line="360" w:lineRule="auto"/>
        <w:ind w:firstLine="1440"/>
        <w:contextualSpacing/>
        <w:rPr>
          <w:color w:val="000000" w:themeColor="text1"/>
          <w:sz w:val="26"/>
          <w:szCs w:val="26"/>
        </w:rPr>
      </w:pPr>
    </w:p>
    <w:p w14:paraId="436BC69F" w14:textId="07887114" w:rsidR="009A2741" w:rsidRPr="00D17C77" w:rsidRDefault="009A2741" w:rsidP="009A2741">
      <w:pPr>
        <w:spacing w:line="360" w:lineRule="auto"/>
        <w:ind w:firstLine="1440"/>
        <w:contextualSpacing/>
        <w:rPr>
          <w:color w:val="000000" w:themeColor="text1"/>
          <w:sz w:val="26"/>
          <w:szCs w:val="26"/>
        </w:rPr>
      </w:pPr>
      <w:r w:rsidRPr="00D17C77">
        <w:rPr>
          <w:color w:val="000000" w:themeColor="text1"/>
          <w:sz w:val="26"/>
          <w:szCs w:val="26"/>
        </w:rPr>
        <w:t>Verizon PA also submits that the ALJs correctly interpreted the relationship between Chapter 13 and Chapter 30 of the Code.  Verizon PA notes that there was no disagreement by either Verizon PA or the ALJs that Section 1301 of the Code continues to apply to non-competitive rates and requires them to be just and reasonable.  Verizon</w:t>
      </w:r>
      <w:r w:rsidR="009D4D30">
        <w:rPr>
          <w:color w:val="000000" w:themeColor="text1"/>
          <w:sz w:val="26"/>
          <w:szCs w:val="26"/>
        </w:rPr>
        <w:t> </w:t>
      </w:r>
      <w:r w:rsidRPr="00D17C77">
        <w:rPr>
          <w:color w:val="000000" w:themeColor="text1"/>
          <w:sz w:val="26"/>
          <w:szCs w:val="26"/>
        </w:rPr>
        <w:t xml:space="preserve">PA points out that the ALJs specifically found that the rates at issue are just and reasonable, in accordance with Section 1301.  Verizon PA further argues that </w:t>
      </w:r>
      <w:bookmarkStart w:id="16" w:name="_Hlk24716561"/>
      <w:r w:rsidRPr="00D17C77">
        <w:rPr>
          <w:color w:val="000000" w:themeColor="text1"/>
          <w:sz w:val="26"/>
          <w:szCs w:val="26"/>
        </w:rPr>
        <w:t>the OSBA does not specify, in its Exceptions, what would be different in the ALJs’ conclusions if they found that Section 1301 of the Code prevails instead</w:t>
      </w:r>
      <w:bookmarkEnd w:id="16"/>
      <w:r w:rsidRPr="00D17C77">
        <w:rPr>
          <w:color w:val="000000" w:themeColor="text1"/>
          <w:sz w:val="26"/>
          <w:szCs w:val="26"/>
        </w:rPr>
        <w:t>.  Verizon PA R. Exc. at 19.</w:t>
      </w:r>
    </w:p>
    <w:p w14:paraId="18AF9CCD" w14:textId="77777777" w:rsidR="009A2741" w:rsidRPr="00D17C77" w:rsidRDefault="009A2741" w:rsidP="009A2741">
      <w:pPr>
        <w:spacing w:line="360" w:lineRule="auto"/>
        <w:ind w:firstLine="1440"/>
        <w:contextualSpacing/>
        <w:rPr>
          <w:color w:val="000000" w:themeColor="text1"/>
          <w:sz w:val="26"/>
          <w:szCs w:val="26"/>
        </w:rPr>
      </w:pPr>
    </w:p>
    <w:p w14:paraId="241F328D" w14:textId="77777777" w:rsidR="009A2741" w:rsidRPr="00D17C77" w:rsidRDefault="009A2741" w:rsidP="00846B7A">
      <w:pPr>
        <w:keepNext/>
        <w:keepLines/>
        <w:spacing w:line="360" w:lineRule="auto"/>
        <w:ind w:left="2160" w:hanging="720"/>
        <w:contextualSpacing/>
        <w:rPr>
          <w:b/>
          <w:bCs/>
          <w:color w:val="000000" w:themeColor="text1"/>
          <w:sz w:val="26"/>
          <w:szCs w:val="26"/>
        </w:rPr>
      </w:pPr>
      <w:r w:rsidRPr="00D17C77">
        <w:rPr>
          <w:b/>
          <w:bCs/>
          <w:color w:val="000000" w:themeColor="text1"/>
          <w:sz w:val="26"/>
          <w:szCs w:val="26"/>
        </w:rPr>
        <w:t>d.</w:t>
      </w:r>
      <w:r w:rsidRPr="00D17C77">
        <w:rPr>
          <w:b/>
          <w:bCs/>
          <w:color w:val="000000" w:themeColor="text1"/>
          <w:sz w:val="26"/>
          <w:szCs w:val="26"/>
        </w:rPr>
        <w:tab/>
        <w:t>Disposition</w:t>
      </w:r>
    </w:p>
    <w:p w14:paraId="5BE3090A" w14:textId="77777777" w:rsidR="009A2741" w:rsidRPr="00D17C77" w:rsidRDefault="009A2741" w:rsidP="009A2741">
      <w:pPr>
        <w:keepNext/>
        <w:keepLines/>
        <w:spacing w:line="360" w:lineRule="auto"/>
        <w:ind w:firstLine="1440"/>
        <w:contextualSpacing/>
        <w:rPr>
          <w:color w:val="000000" w:themeColor="text1"/>
          <w:sz w:val="26"/>
          <w:szCs w:val="26"/>
        </w:rPr>
      </w:pPr>
    </w:p>
    <w:p w14:paraId="2FDE98DB" w14:textId="77777777" w:rsidR="009A2741" w:rsidRPr="00D17C77" w:rsidRDefault="009A2741" w:rsidP="009A2741">
      <w:pPr>
        <w:spacing w:line="360" w:lineRule="auto"/>
        <w:ind w:firstLine="1440"/>
        <w:contextualSpacing/>
        <w:rPr>
          <w:color w:val="000000" w:themeColor="text1"/>
          <w:sz w:val="26"/>
          <w:szCs w:val="26"/>
        </w:rPr>
      </w:pPr>
      <w:r w:rsidRPr="00D17C77">
        <w:rPr>
          <w:color w:val="000000" w:themeColor="text1"/>
          <w:sz w:val="26"/>
          <w:szCs w:val="26"/>
        </w:rPr>
        <w:t>We agree with the OSBA that the analysis of Verizon PA’s rates does not conclude by simply conducting the mathematical exercise of either the PCO formula or as set forth in Section 3015(a)(3) of the Code.  However, as discussed above, we find no evidence in the record to indicate that Verizon PA’s proposed rates in its 2018 PCO Filing are unjust, unreasonable, or discriminatory.  Similarly, we have found nothing in the record before us to suggest that Verizon PA has granted any unreasonable preferences or that it has otherwise violated any provisions of the Code, our Regulations, or a Commission Order.  As such, we shall reject the arguments the OSBA has made in its Exceptions to the extent that it has attempted to use its arguments under this issue as a vehicle to advocate for the circumvention of the statutory residential rate limitation set forth in Section 3015(a)(3).  In our view, the ALJs properly understood both</w:t>
      </w:r>
      <w:r w:rsidR="005607AE" w:rsidRPr="00D17C77">
        <w:rPr>
          <w:color w:val="000000" w:themeColor="text1"/>
          <w:sz w:val="26"/>
          <w:szCs w:val="26"/>
        </w:rPr>
        <w:t>:</w:t>
      </w:r>
      <w:r w:rsidRPr="00D17C77">
        <w:rPr>
          <w:color w:val="000000" w:themeColor="text1"/>
          <w:sz w:val="26"/>
          <w:szCs w:val="26"/>
        </w:rPr>
        <w:t xml:space="preserve"> (1) the relationship between Section 3015(a)(3) and other Chapter 30 provisions; and (2) the </w:t>
      </w:r>
      <w:r w:rsidRPr="00D17C77">
        <w:rPr>
          <w:color w:val="000000" w:themeColor="text1"/>
          <w:sz w:val="26"/>
          <w:szCs w:val="26"/>
        </w:rPr>
        <w:lastRenderedPageBreak/>
        <w:t xml:space="preserve">relationship between Chapter 13 of the Code and Chapter 30.  We as a Commission have both the expertise and the authority to review and evaluate each PCO Filing and any associated proposed rate increases based upon all relevant provisions of Chapters 13 and 30.  We note that Verizon PA’s Chapter 30 Plan memorializes that the Company must comply with Sections 1301 and 1304 of the Code, and includes the Section 3015(a)(3) residential rate limitation in its PSM.  Verizon PA Chapter 30 Plan, Part 1 at 4-5, 11.  Additionally, Section 3019(h) of the Code describes the force of Verizon PA’s Chapter 30 Plan and outlines the above Chapter 13 provisions that are expressly preserved by Chapter 30, </w:t>
      </w:r>
      <w:r w:rsidRPr="00D17C77">
        <w:rPr>
          <w:i/>
          <w:iCs/>
          <w:color w:val="000000" w:themeColor="text1"/>
          <w:sz w:val="26"/>
          <w:szCs w:val="26"/>
        </w:rPr>
        <w:t xml:space="preserve">i.e. </w:t>
      </w:r>
      <w:r w:rsidRPr="00D17C77">
        <w:rPr>
          <w:color w:val="000000" w:themeColor="text1"/>
          <w:sz w:val="26"/>
          <w:szCs w:val="26"/>
        </w:rPr>
        <w:t>1301, 1302, 1303, 1304, 1309, and 1312 of the Code.  For these reasons, we concur with the ALJs that no ambiguity exists between the statutes.</w:t>
      </w:r>
    </w:p>
    <w:p w14:paraId="099AC355" w14:textId="77777777" w:rsidR="009A2741" w:rsidRPr="00D17C77" w:rsidRDefault="009A2741" w:rsidP="009A2741">
      <w:pPr>
        <w:spacing w:line="360" w:lineRule="auto"/>
        <w:ind w:firstLine="1440"/>
        <w:contextualSpacing/>
        <w:rPr>
          <w:color w:val="000000" w:themeColor="text1"/>
          <w:sz w:val="26"/>
          <w:szCs w:val="26"/>
        </w:rPr>
      </w:pPr>
    </w:p>
    <w:p w14:paraId="11444915" w14:textId="77777777" w:rsidR="009A2741" w:rsidRPr="00D17C77" w:rsidRDefault="009A2741" w:rsidP="009A2741">
      <w:pPr>
        <w:spacing w:line="360" w:lineRule="auto"/>
        <w:ind w:firstLine="1440"/>
        <w:contextualSpacing/>
        <w:rPr>
          <w:bCs/>
          <w:color w:val="000000" w:themeColor="text1"/>
          <w:sz w:val="26"/>
          <w:szCs w:val="26"/>
        </w:rPr>
      </w:pPr>
      <w:r w:rsidRPr="00D17C77">
        <w:rPr>
          <w:color w:val="000000" w:themeColor="text1"/>
          <w:sz w:val="26"/>
          <w:szCs w:val="26"/>
        </w:rPr>
        <w:t xml:space="preserve">Like the ALJs, however, we will also examine the rules of statutory construction if ambiguity did exist between the statutes.  </w:t>
      </w:r>
      <w:r w:rsidRPr="00D17C77">
        <w:rPr>
          <w:bCs/>
          <w:color w:val="000000" w:themeColor="text1"/>
          <w:sz w:val="26"/>
          <w:szCs w:val="26"/>
        </w:rPr>
        <w:t>Section 1933, 1 Pa.</w:t>
      </w:r>
      <w:r w:rsidR="00846B7A">
        <w:rPr>
          <w:bCs/>
          <w:color w:val="000000" w:themeColor="text1"/>
          <w:sz w:val="26"/>
          <w:szCs w:val="26"/>
        </w:rPr>
        <w:t xml:space="preserve"> </w:t>
      </w:r>
      <w:r w:rsidR="00FD1182" w:rsidRPr="00D17C77">
        <w:rPr>
          <w:bCs/>
          <w:color w:val="000000" w:themeColor="text1"/>
          <w:sz w:val="26"/>
          <w:szCs w:val="26"/>
        </w:rPr>
        <w:t>C</w:t>
      </w:r>
      <w:r w:rsidRPr="00D17C77">
        <w:rPr>
          <w:bCs/>
          <w:color w:val="000000" w:themeColor="text1"/>
          <w:sz w:val="26"/>
          <w:szCs w:val="26"/>
        </w:rPr>
        <w:t>.S. §</w:t>
      </w:r>
      <w:r w:rsidR="005607AE" w:rsidRPr="00D17C77">
        <w:rPr>
          <w:bCs/>
          <w:color w:val="000000" w:themeColor="text1"/>
          <w:sz w:val="26"/>
          <w:szCs w:val="26"/>
        </w:rPr>
        <w:t> </w:t>
      </w:r>
      <w:r w:rsidRPr="00D17C77">
        <w:rPr>
          <w:bCs/>
          <w:color w:val="000000" w:themeColor="text1"/>
          <w:sz w:val="26"/>
          <w:szCs w:val="26"/>
        </w:rPr>
        <w:t>1933, states as follows:</w:t>
      </w:r>
    </w:p>
    <w:p w14:paraId="03B45CC3" w14:textId="77777777" w:rsidR="009A2741" w:rsidRPr="00D17C77" w:rsidRDefault="009A2741" w:rsidP="009A2741">
      <w:pPr>
        <w:spacing w:line="360" w:lineRule="auto"/>
        <w:ind w:firstLine="1440"/>
        <w:contextualSpacing/>
        <w:rPr>
          <w:bCs/>
          <w:color w:val="000000" w:themeColor="text1"/>
          <w:sz w:val="26"/>
          <w:szCs w:val="26"/>
        </w:rPr>
      </w:pPr>
    </w:p>
    <w:p w14:paraId="395745CF" w14:textId="77777777" w:rsidR="009A2741" w:rsidRPr="00D17C77" w:rsidRDefault="009A2741" w:rsidP="009A2741">
      <w:pPr>
        <w:ind w:left="1440" w:right="1440"/>
        <w:contextualSpacing/>
        <w:rPr>
          <w:bCs/>
          <w:color w:val="000000" w:themeColor="text1"/>
          <w:sz w:val="26"/>
          <w:szCs w:val="26"/>
        </w:rPr>
      </w:pPr>
      <w:r w:rsidRPr="00D17C77">
        <w:rPr>
          <w:bCs/>
          <w:color w:val="000000" w:themeColor="text1"/>
          <w:sz w:val="26"/>
          <w:szCs w:val="26"/>
        </w:rPr>
        <w:t>Whenever a general provision in a statute shall be in conflict with a special provision in the same or another statute, the two shall be construed, if possible, so that effect may be given to both. If the conflict between the two provisions is irreconcilable, the special provisions shall prevail and shall be construed as an exception to the general provision, unless the general provision shall be enacted later and it shall be the manifest intention of the General Assembly that such general provision shall prevail.</w:t>
      </w:r>
    </w:p>
    <w:p w14:paraId="641DED0A" w14:textId="77777777" w:rsidR="009A2741" w:rsidRPr="00D17C77" w:rsidRDefault="009A2741" w:rsidP="00846B7A">
      <w:pPr>
        <w:spacing w:line="480" w:lineRule="auto"/>
        <w:ind w:left="1440" w:right="1440"/>
        <w:contextualSpacing/>
        <w:rPr>
          <w:bCs/>
          <w:color w:val="000000" w:themeColor="text1"/>
          <w:sz w:val="26"/>
          <w:szCs w:val="26"/>
        </w:rPr>
      </w:pPr>
    </w:p>
    <w:p w14:paraId="6B1B867A" w14:textId="77777777" w:rsidR="009A2741" w:rsidRPr="00D17C77" w:rsidRDefault="009A2741" w:rsidP="009A2741">
      <w:pPr>
        <w:spacing w:line="360" w:lineRule="auto"/>
        <w:contextualSpacing/>
        <w:rPr>
          <w:bCs/>
          <w:color w:val="000000" w:themeColor="text1"/>
          <w:sz w:val="26"/>
          <w:szCs w:val="26"/>
        </w:rPr>
      </w:pPr>
      <w:r w:rsidRPr="00D17C77">
        <w:rPr>
          <w:bCs/>
          <w:color w:val="000000" w:themeColor="text1"/>
          <w:sz w:val="26"/>
          <w:szCs w:val="26"/>
        </w:rPr>
        <w:t>1 Pa. C.S. § 1933.  Additionally, Section 1934, 1 Pa. C.S. § 1934, states the following:</w:t>
      </w:r>
    </w:p>
    <w:p w14:paraId="1A02DB1A" w14:textId="77777777" w:rsidR="009A2741" w:rsidRPr="00D17C77" w:rsidRDefault="009A2741" w:rsidP="00777228">
      <w:pPr>
        <w:spacing w:line="360" w:lineRule="auto"/>
        <w:contextualSpacing/>
        <w:jc w:val="center"/>
        <w:rPr>
          <w:bCs/>
          <w:color w:val="000000" w:themeColor="text1"/>
          <w:sz w:val="26"/>
          <w:szCs w:val="26"/>
        </w:rPr>
      </w:pPr>
    </w:p>
    <w:p w14:paraId="7A9C33C2" w14:textId="77777777" w:rsidR="009A2741" w:rsidRPr="00D17C77" w:rsidRDefault="009A2741" w:rsidP="009A2741">
      <w:pPr>
        <w:ind w:left="1440" w:right="1440"/>
        <w:contextualSpacing/>
        <w:rPr>
          <w:bCs/>
          <w:color w:val="000000" w:themeColor="text1"/>
          <w:sz w:val="26"/>
          <w:szCs w:val="26"/>
        </w:rPr>
      </w:pPr>
      <w:r w:rsidRPr="00D17C77">
        <w:rPr>
          <w:bCs/>
          <w:color w:val="000000" w:themeColor="text1"/>
          <w:sz w:val="26"/>
          <w:szCs w:val="26"/>
        </w:rPr>
        <w:t>Except as provided in section 1933 of this title (relating to</w:t>
      </w:r>
    </w:p>
    <w:p w14:paraId="557A85F9" w14:textId="77777777" w:rsidR="009A2741" w:rsidRPr="00D17C77" w:rsidRDefault="009A2741" w:rsidP="009A2741">
      <w:pPr>
        <w:ind w:left="1440" w:right="1440"/>
        <w:contextualSpacing/>
        <w:rPr>
          <w:bCs/>
          <w:color w:val="000000" w:themeColor="text1"/>
          <w:sz w:val="26"/>
          <w:szCs w:val="26"/>
        </w:rPr>
      </w:pPr>
      <w:r w:rsidRPr="00D17C77">
        <w:rPr>
          <w:bCs/>
          <w:color w:val="000000" w:themeColor="text1"/>
          <w:sz w:val="26"/>
          <w:szCs w:val="26"/>
        </w:rPr>
        <w:t>particular controls general), whenever, in the same statute, several clauses are irreconcilable, the clause last in order of date or position shall prevail.</w:t>
      </w:r>
    </w:p>
    <w:p w14:paraId="58727BE5" w14:textId="77777777" w:rsidR="009A2741" w:rsidRPr="00D17C77" w:rsidRDefault="009A2741" w:rsidP="00846B7A">
      <w:pPr>
        <w:spacing w:line="480" w:lineRule="auto"/>
        <w:ind w:left="1440" w:right="1440"/>
        <w:contextualSpacing/>
        <w:rPr>
          <w:bCs/>
          <w:color w:val="000000" w:themeColor="text1"/>
          <w:sz w:val="26"/>
          <w:szCs w:val="26"/>
        </w:rPr>
      </w:pPr>
    </w:p>
    <w:p w14:paraId="3B07E33F" w14:textId="0CDF4755" w:rsidR="009A2741" w:rsidRPr="00D17C77" w:rsidRDefault="009A2741" w:rsidP="009A2741">
      <w:pPr>
        <w:spacing w:line="360" w:lineRule="auto"/>
        <w:contextualSpacing/>
        <w:rPr>
          <w:color w:val="000000" w:themeColor="text1"/>
          <w:sz w:val="26"/>
          <w:szCs w:val="26"/>
        </w:rPr>
      </w:pPr>
      <w:r w:rsidRPr="00D17C77">
        <w:rPr>
          <w:bCs/>
          <w:iCs/>
          <w:color w:val="000000" w:themeColor="text1"/>
          <w:sz w:val="26"/>
          <w:szCs w:val="26"/>
        </w:rPr>
        <w:lastRenderedPageBreak/>
        <w:t>1 Pa. C.S. § 1934.  As noted throughout this Opinion and Order</w:t>
      </w:r>
      <w:r w:rsidRPr="00D17C77">
        <w:rPr>
          <w:color w:val="000000" w:themeColor="text1"/>
          <w:sz w:val="26"/>
          <w:szCs w:val="26"/>
        </w:rPr>
        <w:t xml:space="preserve">, all Parties to this proceeding are in agreement that nothing shall override the mandate under Section 1301 of the Code that Verizon PA’s rates must be just and reasonable.  As Section 3015(a)(3) is simply a special provision of the Code, explicitly setting forth a cap on increases to residential rates, we find that it simply underscores this mandate.  </w:t>
      </w:r>
      <w:r w:rsidR="00354340">
        <w:rPr>
          <w:color w:val="000000" w:themeColor="text1"/>
          <w:sz w:val="26"/>
          <w:szCs w:val="26"/>
        </w:rPr>
        <w:t>W</w:t>
      </w:r>
      <w:r w:rsidRPr="00D17C77">
        <w:rPr>
          <w:color w:val="000000" w:themeColor="text1"/>
          <w:sz w:val="26"/>
          <w:szCs w:val="26"/>
        </w:rPr>
        <w:t>e find nothing in the OSBA’s Exceptions to persuade us that the ALJs erred in either the law or the facts.  Therefore, the OSBA’s Exceptions on this issue are denied.</w:t>
      </w:r>
    </w:p>
    <w:p w14:paraId="38A5C6AC" w14:textId="77777777" w:rsidR="009F1CD4" w:rsidRPr="00D17C77" w:rsidRDefault="009F1CD4" w:rsidP="009C4BD6">
      <w:pPr>
        <w:spacing w:line="360" w:lineRule="auto"/>
        <w:contextualSpacing/>
        <w:rPr>
          <w:b/>
          <w:color w:val="000000" w:themeColor="text1"/>
          <w:sz w:val="26"/>
          <w:szCs w:val="26"/>
        </w:rPr>
      </w:pPr>
    </w:p>
    <w:p w14:paraId="4AC385B5" w14:textId="77777777" w:rsidR="00C031D9" w:rsidRPr="00D17C77" w:rsidRDefault="0048700B" w:rsidP="009C4BD6">
      <w:pPr>
        <w:keepNext/>
        <w:keepLines/>
        <w:spacing w:line="360" w:lineRule="auto"/>
        <w:contextualSpacing/>
        <w:jc w:val="center"/>
        <w:rPr>
          <w:b/>
          <w:color w:val="000000" w:themeColor="text1"/>
          <w:sz w:val="26"/>
          <w:szCs w:val="26"/>
        </w:rPr>
      </w:pPr>
      <w:r w:rsidRPr="00D17C77">
        <w:rPr>
          <w:b/>
          <w:color w:val="000000" w:themeColor="text1"/>
          <w:sz w:val="26"/>
          <w:szCs w:val="26"/>
        </w:rPr>
        <w:t>V</w:t>
      </w:r>
      <w:r w:rsidR="00FF27E0" w:rsidRPr="00D17C77">
        <w:rPr>
          <w:b/>
          <w:color w:val="000000" w:themeColor="text1"/>
          <w:sz w:val="26"/>
          <w:szCs w:val="26"/>
        </w:rPr>
        <w:t>I</w:t>
      </w:r>
      <w:r w:rsidRPr="00D17C77">
        <w:rPr>
          <w:b/>
          <w:color w:val="000000" w:themeColor="text1"/>
          <w:sz w:val="26"/>
          <w:szCs w:val="26"/>
        </w:rPr>
        <w:t>.</w:t>
      </w:r>
      <w:r w:rsidRPr="00D17C77">
        <w:rPr>
          <w:b/>
          <w:color w:val="000000" w:themeColor="text1"/>
          <w:sz w:val="26"/>
          <w:szCs w:val="26"/>
        </w:rPr>
        <w:tab/>
        <w:t>Conclusion</w:t>
      </w:r>
    </w:p>
    <w:p w14:paraId="49ED46B2" w14:textId="77777777" w:rsidR="000C70C3" w:rsidRPr="00D17C77" w:rsidRDefault="000C70C3" w:rsidP="009C4BD6">
      <w:pPr>
        <w:keepNext/>
        <w:keepLines/>
        <w:spacing w:line="360" w:lineRule="auto"/>
        <w:contextualSpacing/>
        <w:jc w:val="center"/>
        <w:rPr>
          <w:color w:val="000000" w:themeColor="text1"/>
          <w:sz w:val="26"/>
          <w:szCs w:val="26"/>
        </w:rPr>
      </w:pPr>
    </w:p>
    <w:p w14:paraId="2EBE019E" w14:textId="77777777" w:rsidR="00752F74" w:rsidRPr="00D17C77" w:rsidRDefault="004C3ED7" w:rsidP="00846B7A">
      <w:pPr>
        <w:spacing w:line="360" w:lineRule="auto"/>
        <w:ind w:firstLine="1440"/>
        <w:contextualSpacing/>
        <w:rPr>
          <w:color w:val="000000" w:themeColor="text1"/>
          <w:sz w:val="26"/>
          <w:szCs w:val="26"/>
        </w:rPr>
      </w:pPr>
      <w:r w:rsidRPr="00D17C77">
        <w:rPr>
          <w:color w:val="000000" w:themeColor="text1"/>
          <w:sz w:val="26"/>
          <w:szCs w:val="26"/>
        </w:rPr>
        <w:t>We have reviewed the record as developed in this proceeding, including the ALJs’ Recommended Decision and the Exceptions and Replies filed thereto.  Based upon our review, evaluation, and analysis of the record evidence and the applicable law, we shall grant, in part, and deny, in part, the Exceptions filed by the OSBA, adopt the ALJs’ Recommended Decision, as modified, and permit Verizon PA’s 2018 PCO rate increases to remain in effect, as filed, consistent with this Opinion and Order</w:t>
      </w:r>
      <w:r w:rsidR="00723EBC" w:rsidRPr="00D17C77">
        <w:rPr>
          <w:color w:val="000000" w:themeColor="text1"/>
          <w:sz w:val="26"/>
          <w:szCs w:val="26"/>
        </w:rPr>
        <w:t xml:space="preserve">; </w:t>
      </w:r>
      <w:r w:rsidR="00723EBC" w:rsidRPr="00D17C77">
        <w:rPr>
          <w:b/>
          <w:color w:val="000000" w:themeColor="text1"/>
          <w:sz w:val="26"/>
          <w:szCs w:val="26"/>
        </w:rPr>
        <w:t>THEREFORE,</w:t>
      </w:r>
    </w:p>
    <w:p w14:paraId="4A50D3E7" w14:textId="77777777" w:rsidR="00752F74" w:rsidRPr="00D17C77" w:rsidRDefault="00752F74" w:rsidP="00E758E5">
      <w:pPr>
        <w:keepNext/>
        <w:keepLines/>
        <w:spacing w:line="360" w:lineRule="auto"/>
        <w:contextualSpacing/>
        <w:rPr>
          <w:color w:val="000000" w:themeColor="text1"/>
          <w:sz w:val="26"/>
          <w:szCs w:val="26"/>
        </w:rPr>
      </w:pPr>
    </w:p>
    <w:p w14:paraId="19DE2607" w14:textId="77777777" w:rsidR="00C031D9" w:rsidRPr="00D17C77" w:rsidRDefault="00C031D9" w:rsidP="00846B7A">
      <w:pPr>
        <w:keepNext/>
        <w:keepLines/>
        <w:spacing w:line="360" w:lineRule="auto"/>
        <w:ind w:left="720" w:firstLine="720"/>
        <w:contextualSpacing/>
        <w:rPr>
          <w:b/>
          <w:color w:val="000000" w:themeColor="text1"/>
          <w:sz w:val="26"/>
          <w:szCs w:val="26"/>
        </w:rPr>
      </w:pPr>
      <w:r w:rsidRPr="00D17C77">
        <w:rPr>
          <w:b/>
          <w:color w:val="000000" w:themeColor="text1"/>
          <w:sz w:val="26"/>
          <w:szCs w:val="26"/>
        </w:rPr>
        <w:t>IT IS ORDERED:</w:t>
      </w:r>
    </w:p>
    <w:p w14:paraId="7A659D9A" w14:textId="77777777" w:rsidR="00C031D9" w:rsidRPr="00D17C77" w:rsidRDefault="00C031D9" w:rsidP="00E758E5">
      <w:pPr>
        <w:keepNext/>
        <w:keepLines/>
        <w:spacing w:line="360" w:lineRule="auto"/>
        <w:contextualSpacing/>
        <w:rPr>
          <w:color w:val="000000" w:themeColor="text1"/>
          <w:sz w:val="26"/>
          <w:szCs w:val="26"/>
        </w:rPr>
      </w:pPr>
    </w:p>
    <w:p w14:paraId="275C0C97" w14:textId="77777777" w:rsidR="004C3ED7" w:rsidRPr="00D17C77" w:rsidRDefault="004C3ED7" w:rsidP="00E758E5">
      <w:pPr>
        <w:keepNext/>
        <w:keepLines/>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1.</w:t>
      </w:r>
      <w:r w:rsidRPr="00D17C77">
        <w:rPr>
          <w:rFonts w:eastAsia="Calibri"/>
          <w:color w:val="000000" w:themeColor="text1"/>
          <w:sz w:val="26"/>
          <w:szCs w:val="26"/>
        </w:rPr>
        <w:tab/>
        <w:t>That the Exceptions of the Office of Small Business Advocate, filed on November 29, 2018, are</w:t>
      </w:r>
      <w:r w:rsidR="00E758E5" w:rsidRPr="00D17C77">
        <w:rPr>
          <w:rFonts w:eastAsia="Calibri"/>
          <w:color w:val="000000" w:themeColor="text1"/>
          <w:sz w:val="26"/>
          <w:szCs w:val="26"/>
        </w:rPr>
        <w:t xml:space="preserve"> granted, in part, and</w:t>
      </w:r>
      <w:r w:rsidRPr="00D17C77">
        <w:rPr>
          <w:rFonts w:eastAsia="Calibri"/>
          <w:color w:val="000000" w:themeColor="text1"/>
          <w:sz w:val="26"/>
          <w:szCs w:val="26"/>
        </w:rPr>
        <w:t xml:space="preserve"> denied,</w:t>
      </w:r>
      <w:r w:rsidR="00E758E5" w:rsidRPr="00D17C77">
        <w:rPr>
          <w:rFonts w:eastAsia="Calibri"/>
          <w:color w:val="000000" w:themeColor="text1"/>
          <w:sz w:val="26"/>
          <w:szCs w:val="26"/>
        </w:rPr>
        <w:t xml:space="preserve"> in part,</w:t>
      </w:r>
      <w:r w:rsidRPr="00D17C77">
        <w:rPr>
          <w:rFonts w:eastAsia="Calibri"/>
          <w:color w:val="000000" w:themeColor="text1"/>
          <w:sz w:val="26"/>
          <w:szCs w:val="26"/>
        </w:rPr>
        <w:t xml:space="preserve"> consistent with this Opinion and Order.</w:t>
      </w:r>
    </w:p>
    <w:p w14:paraId="115BC936" w14:textId="77777777" w:rsidR="004C3ED7" w:rsidRPr="00D17C77" w:rsidRDefault="004C3ED7" w:rsidP="004C3ED7">
      <w:pPr>
        <w:spacing w:after="200" w:line="360" w:lineRule="auto"/>
        <w:ind w:firstLine="1440"/>
        <w:contextualSpacing/>
        <w:rPr>
          <w:rFonts w:eastAsia="Calibri"/>
          <w:color w:val="000000" w:themeColor="text1"/>
          <w:sz w:val="26"/>
          <w:szCs w:val="26"/>
        </w:rPr>
      </w:pPr>
    </w:p>
    <w:p w14:paraId="0942D39E" w14:textId="77777777" w:rsidR="004C3ED7" w:rsidRPr="00D17C77" w:rsidRDefault="004C3ED7" w:rsidP="004C3ED7">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2.</w:t>
      </w:r>
      <w:r w:rsidRPr="00D17C77">
        <w:rPr>
          <w:rFonts w:eastAsia="Calibri"/>
          <w:color w:val="000000" w:themeColor="text1"/>
          <w:sz w:val="26"/>
          <w:szCs w:val="26"/>
        </w:rPr>
        <w:tab/>
        <w:t xml:space="preserve">That the Initial Decision of Deputy Chief Administrative Law Judge Joel H. Cheskis and Administrative Law Judge Andres </w:t>
      </w:r>
      <w:r w:rsidR="00846B7A">
        <w:rPr>
          <w:rFonts w:eastAsia="Calibri"/>
          <w:color w:val="000000" w:themeColor="text1"/>
          <w:sz w:val="26"/>
          <w:szCs w:val="26"/>
        </w:rPr>
        <w:t>M. Calvelli, issued on November </w:t>
      </w:r>
      <w:r w:rsidRPr="00D17C77">
        <w:rPr>
          <w:rFonts w:eastAsia="Calibri"/>
          <w:color w:val="000000" w:themeColor="text1"/>
          <w:sz w:val="26"/>
          <w:szCs w:val="26"/>
        </w:rPr>
        <w:t>9, 2018, is adopted, as modified by this Opinion and Order.</w:t>
      </w:r>
    </w:p>
    <w:p w14:paraId="63BD144F" w14:textId="77777777" w:rsidR="004C3ED7" w:rsidRPr="00D17C77" w:rsidRDefault="004C3ED7" w:rsidP="004C3ED7">
      <w:pPr>
        <w:spacing w:after="200" w:line="360" w:lineRule="auto"/>
        <w:ind w:firstLine="1440"/>
        <w:contextualSpacing/>
        <w:rPr>
          <w:rFonts w:eastAsia="Calibri"/>
          <w:color w:val="000000" w:themeColor="text1"/>
          <w:sz w:val="26"/>
          <w:szCs w:val="26"/>
        </w:rPr>
      </w:pPr>
    </w:p>
    <w:p w14:paraId="67C11894" w14:textId="77777777" w:rsidR="004C3ED7" w:rsidRPr="00D17C77" w:rsidRDefault="004C3ED7" w:rsidP="004C3ED7">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3.</w:t>
      </w:r>
      <w:r w:rsidRPr="00D17C77">
        <w:rPr>
          <w:rFonts w:eastAsia="Calibri"/>
          <w:color w:val="000000" w:themeColor="text1"/>
          <w:sz w:val="26"/>
          <w:szCs w:val="26"/>
        </w:rPr>
        <w:tab/>
        <w:t>That Verizon Pennsylvania LLC’s 2018 Price Change Opportunity Filing and the associated tariff revisions</w:t>
      </w:r>
      <w:r w:rsidR="007B1EA7" w:rsidRPr="00D17C77">
        <w:rPr>
          <w:rFonts w:eastAsia="Calibri"/>
          <w:color w:val="000000" w:themeColor="text1"/>
          <w:sz w:val="26"/>
          <w:szCs w:val="26"/>
        </w:rPr>
        <w:t xml:space="preserve"> to Tariffs Telephone Pa P.U.C. Nos. 1, 180A, </w:t>
      </w:r>
      <w:r w:rsidR="007B1EA7" w:rsidRPr="00D17C77">
        <w:rPr>
          <w:rFonts w:eastAsia="Calibri"/>
          <w:color w:val="000000" w:themeColor="text1"/>
          <w:sz w:val="26"/>
          <w:szCs w:val="26"/>
        </w:rPr>
        <w:lastRenderedPageBreak/>
        <w:t>182, 182A, 185B, and 185C</w:t>
      </w:r>
      <w:r w:rsidRPr="00D17C77">
        <w:rPr>
          <w:rFonts w:eastAsia="Calibri"/>
          <w:color w:val="000000" w:themeColor="text1"/>
          <w:sz w:val="26"/>
          <w:szCs w:val="26"/>
        </w:rPr>
        <w:t>, filed on November 1, 2017, shall be permitted to remain in effect as filed.</w:t>
      </w:r>
    </w:p>
    <w:p w14:paraId="75D8C599" w14:textId="77777777" w:rsidR="004C3ED7" w:rsidRPr="00D17C77" w:rsidRDefault="004C3ED7" w:rsidP="004C3ED7">
      <w:pPr>
        <w:spacing w:after="200" w:line="360" w:lineRule="auto"/>
        <w:ind w:firstLine="1440"/>
        <w:contextualSpacing/>
        <w:rPr>
          <w:rFonts w:eastAsia="Calibri"/>
          <w:color w:val="000000" w:themeColor="text1"/>
          <w:sz w:val="26"/>
          <w:szCs w:val="26"/>
        </w:rPr>
      </w:pPr>
    </w:p>
    <w:p w14:paraId="182164A3" w14:textId="6CC04205" w:rsidR="004C3ED7" w:rsidRDefault="004C3ED7" w:rsidP="004C3ED7">
      <w:pPr>
        <w:spacing w:after="200" w:line="360" w:lineRule="auto"/>
        <w:ind w:firstLine="1440"/>
        <w:contextualSpacing/>
        <w:rPr>
          <w:rFonts w:eastAsia="Calibri"/>
          <w:color w:val="000000" w:themeColor="text1"/>
          <w:sz w:val="26"/>
          <w:szCs w:val="26"/>
        </w:rPr>
      </w:pPr>
      <w:r w:rsidRPr="00D17C77">
        <w:rPr>
          <w:rFonts w:eastAsia="Calibri"/>
          <w:color w:val="000000" w:themeColor="text1"/>
          <w:sz w:val="26"/>
          <w:szCs w:val="26"/>
        </w:rPr>
        <w:t>4.</w:t>
      </w:r>
      <w:r w:rsidRPr="00D17C77">
        <w:rPr>
          <w:rFonts w:eastAsia="Calibri"/>
          <w:color w:val="000000" w:themeColor="text1"/>
          <w:sz w:val="26"/>
          <w:szCs w:val="26"/>
        </w:rPr>
        <w:tab/>
        <w:t>That the Formal Complaint filed by the Office of Small Business Advocate on November 13, 2017</w:t>
      </w:r>
      <w:r w:rsidR="00B9082B" w:rsidRPr="00D17C77">
        <w:rPr>
          <w:rFonts w:eastAsia="Calibri"/>
          <w:color w:val="000000" w:themeColor="text1"/>
          <w:sz w:val="26"/>
          <w:szCs w:val="26"/>
        </w:rPr>
        <w:t xml:space="preserve"> at Docket Number C-2017-2633476 is dismissed.</w:t>
      </w:r>
    </w:p>
    <w:p w14:paraId="26B1B839" w14:textId="77777777" w:rsidR="0003099C" w:rsidRPr="00D17C77" w:rsidRDefault="0003099C" w:rsidP="004C3ED7">
      <w:pPr>
        <w:spacing w:after="200" w:line="360" w:lineRule="auto"/>
        <w:ind w:firstLine="1440"/>
        <w:contextualSpacing/>
        <w:rPr>
          <w:rFonts w:eastAsia="Calibri"/>
          <w:color w:val="000000" w:themeColor="text1"/>
          <w:sz w:val="26"/>
          <w:szCs w:val="26"/>
        </w:rPr>
      </w:pPr>
    </w:p>
    <w:p w14:paraId="541E83FA" w14:textId="3E99BF55" w:rsidR="00650894" w:rsidRPr="00D17C77" w:rsidRDefault="009645E1" w:rsidP="00CB33F6">
      <w:pPr>
        <w:keepNext/>
        <w:keepLines/>
        <w:spacing w:line="360" w:lineRule="auto"/>
        <w:ind w:firstLine="1440"/>
        <w:contextualSpacing/>
        <w:rPr>
          <w:color w:val="000000" w:themeColor="text1"/>
          <w:sz w:val="26"/>
          <w:szCs w:val="26"/>
        </w:rPr>
      </w:pPr>
      <w:r w:rsidRPr="00D17C77">
        <w:rPr>
          <w:color w:val="000000" w:themeColor="text1"/>
          <w:sz w:val="26"/>
          <w:szCs w:val="26"/>
        </w:rPr>
        <w:t>5</w:t>
      </w:r>
      <w:r w:rsidR="00650894" w:rsidRPr="00D17C77">
        <w:rPr>
          <w:color w:val="000000" w:themeColor="text1"/>
          <w:sz w:val="26"/>
          <w:szCs w:val="26"/>
        </w:rPr>
        <w:t>.</w:t>
      </w:r>
      <w:r w:rsidR="00650894" w:rsidRPr="00D17C77">
        <w:rPr>
          <w:color w:val="000000" w:themeColor="text1"/>
          <w:sz w:val="26"/>
          <w:szCs w:val="26"/>
        </w:rPr>
        <w:tab/>
        <w:t xml:space="preserve">That the Secretary’s Bureau mark </w:t>
      </w:r>
      <w:r w:rsidR="00B9082B" w:rsidRPr="00D17C77">
        <w:rPr>
          <w:color w:val="000000" w:themeColor="text1"/>
          <w:sz w:val="26"/>
          <w:szCs w:val="26"/>
        </w:rPr>
        <w:t>the docket numbers R</w:t>
      </w:r>
      <w:r w:rsidR="00B9082B" w:rsidRPr="00D17C77">
        <w:rPr>
          <w:color w:val="000000" w:themeColor="text1"/>
          <w:sz w:val="26"/>
          <w:szCs w:val="26"/>
        </w:rPr>
        <w:noBreakHyphen/>
        <w:t>2017</w:t>
      </w:r>
      <w:r w:rsidR="00B9082B" w:rsidRPr="00D17C77">
        <w:rPr>
          <w:color w:val="000000" w:themeColor="text1"/>
          <w:sz w:val="26"/>
          <w:szCs w:val="26"/>
        </w:rPr>
        <w:noBreakHyphen/>
        <w:t>2632523</w:t>
      </w:r>
      <w:r w:rsidR="00650894" w:rsidRPr="00D17C77">
        <w:rPr>
          <w:color w:val="000000" w:themeColor="text1"/>
          <w:sz w:val="26"/>
          <w:szCs w:val="26"/>
        </w:rPr>
        <w:t xml:space="preserve"> </w:t>
      </w:r>
      <w:r w:rsidR="00B9082B" w:rsidRPr="00D17C77">
        <w:rPr>
          <w:color w:val="000000" w:themeColor="text1"/>
          <w:sz w:val="26"/>
          <w:szCs w:val="26"/>
        </w:rPr>
        <w:t xml:space="preserve">and C-2017-2633476 in this consolidated proceeding as </w:t>
      </w:r>
      <w:r w:rsidR="00650894" w:rsidRPr="00D17C77">
        <w:rPr>
          <w:color w:val="000000" w:themeColor="text1"/>
          <w:sz w:val="26"/>
          <w:szCs w:val="26"/>
        </w:rPr>
        <w:t>closed.</w:t>
      </w:r>
    </w:p>
    <w:p w14:paraId="43103A8B" w14:textId="622041DC" w:rsidR="00C031D9" w:rsidRPr="00D17C77" w:rsidRDefault="00C031D9" w:rsidP="009C4BD6">
      <w:pPr>
        <w:keepNext/>
        <w:keepLines/>
        <w:spacing w:line="360" w:lineRule="auto"/>
        <w:contextualSpacing/>
        <w:rPr>
          <w:color w:val="000000" w:themeColor="text1"/>
          <w:sz w:val="26"/>
          <w:szCs w:val="26"/>
        </w:rPr>
      </w:pPr>
    </w:p>
    <w:p w14:paraId="60A2B46B" w14:textId="0A8B84B8" w:rsidR="00C031D9" w:rsidRPr="00D17C77" w:rsidRDefault="00D2423D" w:rsidP="009C4BD6">
      <w:pPr>
        <w:keepNext/>
        <w:keepLines/>
        <w:tabs>
          <w:tab w:val="left" w:pos="-720"/>
        </w:tabs>
        <w:suppressAutoHyphens/>
        <w:contextualSpacing/>
        <w:rPr>
          <w:color w:val="000000" w:themeColor="text1"/>
          <w:sz w:val="26"/>
          <w:szCs w:val="26"/>
        </w:rPr>
      </w:pPr>
      <w:r>
        <w:rPr>
          <w:noProof/>
        </w:rPr>
        <w:drawing>
          <wp:anchor distT="0" distB="0" distL="114300" distR="114300" simplePos="0" relativeHeight="251659264" behindDoc="1" locked="0" layoutInCell="1" allowOverlap="1" wp14:anchorId="60D1038C" wp14:editId="53A8DF7C">
            <wp:simplePos x="0" y="0"/>
            <wp:positionH relativeFrom="column">
              <wp:posOffset>3181350</wp:posOffset>
            </wp:positionH>
            <wp:positionV relativeFrom="paragraph">
              <wp:posOffset>38735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1D9" w:rsidRPr="00D17C77">
        <w:rPr>
          <w:color w:val="000000" w:themeColor="text1"/>
          <w:sz w:val="26"/>
          <w:szCs w:val="26"/>
        </w:rPr>
        <w:tab/>
      </w:r>
      <w:r w:rsidR="00C031D9" w:rsidRPr="00D17C77">
        <w:rPr>
          <w:color w:val="000000" w:themeColor="text1"/>
          <w:sz w:val="26"/>
          <w:szCs w:val="26"/>
        </w:rPr>
        <w:tab/>
      </w:r>
      <w:r w:rsidR="00C031D9" w:rsidRPr="00D17C77">
        <w:rPr>
          <w:color w:val="000000" w:themeColor="text1"/>
          <w:sz w:val="26"/>
          <w:szCs w:val="26"/>
        </w:rPr>
        <w:tab/>
      </w:r>
      <w:r w:rsidR="00C031D9" w:rsidRPr="00D17C77">
        <w:rPr>
          <w:color w:val="000000" w:themeColor="text1"/>
          <w:sz w:val="26"/>
          <w:szCs w:val="26"/>
        </w:rPr>
        <w:tab/>
      </w:r>
      <w:r w:rsidR="00C031D9" w:rsidRPr="00D17C77">
        <w:rPr>
          <w:color w:val="000000" w:themeColor="text1"/>
          <w:sz w:val="26"/>
          <w:szCs w:val="26"/>
        </w:rPr>
        <w:tab/>
      </w:r>
      <w:r w:rsidR="00C031D9" w:rsidRPr="00D17C77">
        <w:rPr>
          <w:color w:val="000000" w:themeColor="text1"/>
          <w:sz w:val="26"/>
          <w:szCs w:val="26"/>
        </w:rPr>
        <w:tab/>
      </w:r>
      <w:r w:rsidR="00C031D9" w:rsidRPr="00D17C77">
        <w:rPr>
          <w:color w:val="000000" w:themeColor="text1"/>
          <w:sz w:val="26"/>
          <w:szCs w:val="26"/>
        </w:rPr>
        <w:tab/>
      </w:r>
      <w:r w:rsidR="00C031D9" w:rsidRPr="00D17C77">
        <w:rPr>
          <w:b/>
          <w:color w:val="000000" w:themeColor="text1"/>
          <w:sz w:val="26"/>
          <w:szCs w:val="26"/>
        </w:rPr>
        <w:t>BY THE COMMISSION,</w:t>
      </w:r>
    </w:p>
    <w:p w14:paraId="5CF0697A" w14:textId="77777777" w:rsidR="00C031D9" w:rsidRPr="00D17C77" w:rsidRDefault="00C031D9" w:rsidP="009C4BD6">
      <w:pPr>
        <w:keepNext/>
        <w:keepLines/>
        <w:tabs>
          <w:tab w:val="left" w:pos="-720"/>
        </w:tabs>
        <w:suppressAutoHyphens/>
        <w:contextualSpacing/>
        <w:rPr>
          <w:color w:val="000000" w:themeColor="text1"/>
          <w:sz w:val="26"/>
          <w:szCs w:val="26"/>
        </w:rPr>
      </w:pPr>
    </w:p>
    <w:p w14:paraId="0E0B49C9" w14:textId="77777777" w:rsidR="00C031D9" w:rsidRPr="00D17C77" w:rsidRDefault="00C031D9" w:rsidP="009C4BD6">
      <w:pPr>
        <w:keepNext/>
        <w:keepLines/>
        <w:tabs>
          <w:tab w:val="left" w:pos="-720"/>
        </w:tabs>
        <w:suppressAutoHyphens/>
        <w:contextualSpacing/>
        <w:rPr>
          <w:color w:val="000000" w:themeColor="text1"/>
          <w:sz w:val="26"/>
          <w:szCs w:val="26"/>
        </w:rPr>
      </w:pPr>
    </w:p>
    <w:p w14:paraId="621A5D0A" w14:textId="77777777" w:rsidR="00C031D9" w:rsidRPr="00D17C77" w:rsidRDefault="00C031D9" w:rsidP="009C4BD6">
      <w:pPr>
        <w:keepNext/>
        <w:keepLines/>
        <w:tabs>
          <w:tab w:val="left" w:pos="-720"/>
        </w:tabs>
        <w:suppressAutoHyphens/>
        <w:contextualSpacing/>
        <w:rPr>
          <w:color w:val="000000" w:themeColor="text1"/>
          <w:sz w:val="26"/>
          <w:szCs w:val="26"/>
        </w:rPr>
      </w:pPr>
    </w:p>
    <w:p w14:paraId="72379E7F" w14:textId="77777777" w:rsidR="00C031D9" w:rsidRPr="00D17C77" w:rsidRDefault="00C031D9" w:rsidP="009C4BD6">
      <w:pPr>
        <w:keepNext/>
        <w:keepLines/>
        <w:tabs>
          <w:tab w:val="left" w:pos="-720"/>
        </w:tabs>
        <w:suppressAutoHyphens/>
        <w:contextualSpacing/>
        <w:rPr>
          <w:color w:val="000000" w:themeColor="text1"/>
          <w:sz w:val="26"/>
          <w:szCs w:val="26"/>
        </w:rPr>
      </w:pP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t>Rosemary Chiavetta</w:t>
      </w:r>
    </w:p>
    <w:p w14:paraId="5AC85816" w14:textId="77777777" w:rsidR="00C031D9" w:rsidRPr="00D17C77" w:rsidRDefault="00C031D9" w:rsidP="009C4BD6">
      <w:pPr>
        <w:keepNext/>
        <w:keepLines/>
        <w:tabs>
          <w:tab w:val="left" w:pos="-720"/>
        </w:tabs>
        <w:suppressAutoHyphens/>
        <w:contextualSpacing/>
        <w:rPr>
          <w:color w:val="000000" w:themeColor="text1"/>
          <w:sz w:val="26"/>
          <w:szCs w:val="26"/>
        </w:rPr>
      </w:pP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r>
      <w:r w:rsidRPr="00D17C77">
        <w:rPr>
          <w:color w:val="000000" w:themeColor="text1"/>
          <w:sz w:val="26"/>
          <w:szCs w:val="26"/>
        </w:rPr>
        <w:tab/>
        <w:t>Secretary</w:t>
      </w:r>
    </w:p>
    <w:p w14:paraId="52E817D6" w14:textId="77777777" w:rsidR="00C031D9" w:rsidRPr="00D17C77" w:rsidRDefault="00C031D9" w:rsidP="009C4BD6">
      <w:pPr>
        <w:keepNext/>
        <w:keepLines/>
        <w:tabs>
          <w:tab w:val="left" w:pos="-720"/>
        </w:tabs>
        <w:suppressAutoHyphens/>
        <w:contextualSpacing/>
        <w:rPr>
          <w:color w:val="000000" w:themeColor="text1"/>
          <w:sz w:val="26"/>
          <w:szCs w:val="26"/>
        </w:rPr>
      </w:pPr>
    </w:p>
    <w:p w14:paraId="2CE75066" w14:textId="77777777" w:rsidR="00C031D9" w:rsidRPr="00D17C77" w:rsidRDefault="00C031D9" w:rsidP="009C4BD6">
      <w:pPr>
        <w:keepNext/>
        <w:keepLines/>
        <w:tabs>
          <w:tab w:val="left" w:pos="-720"/>
        </w:tabs>
        <w:suppressAutoHyphens/>
        <w:contextualSpacing/>
        <w:rPr>
          <w:color w:val="000000" w:themeColor="text1"/>
          <w:sz w:val="26"/>
          <w:szCs w:val="26"/>
        </w:rPr>
      </w:pPr>
      <w:r w:rsidRPr="00D17C77">
        <w:rPr>
          <w:color w:val="000000" w:themeColor="text1"/>
          <w:sz w:val="26"/>
          <w:szCs w:val="26"/>
        </w:rPr>
        <w:t>(SEAL)</w:t>
      </w:r>
    </w:p>
    <w:p w14:paraId="410422DC" w14:textId="77777777" w:rsidR="00C031D9" w:rsidRPr="00D17C77" w:rsidRDefault="00C031D9" w:rsidP="009C4BD6">
      <w:pPr>
        <w:keepNext/>
        <w:keepLines/>
        <w:tabs>
          <w:tab w:val="left" w:pos="-720"/>
        </w:tabs>
        <w:suppressAutoHyphens/>
        <w:contextualSpacing/>
        <w:rPr>
          <w:color w:val="000000" w:themeColor="text1"/>
          <w:sz w:val="26"/>
          <w:szCs w:val="26"/>
        </w:rPr>
      </w:pPr>
    </w:p>
    <w:p w14:paraId="56BA288A" w14:textId="77777777" w:rsidR="00C031D9" w:rsidRPr="00D17C77" w:rsidRDefault="00C031D9" w:rsidP="009C4BD6">
      <w:pPr>
        <w:keepNext/>
        <w:keepLines/>
        <w:tabs>
          <w:tab w:val="left" w:pos="-720"/>
        </w:tabs>
        <w:suppressAutoHyphens/>
        <w:contextualSpacing/>
        <w:rPr>
          <w:color w:val="000000" w:themeColor="text1"/>
          <w:sz w:val="26"/>
          <w:szCs w:val="26"/>
        </w:rPr>
      </w:pPr>
      <w:r w:rsidRPr="00D17C77">
        <w:rPr>
          <w:color w:val="000000" w:themeColor="text1"/>
          <w:sz w:val="26"/>
          <w:szCs w:val="26"/>
        </w:rPr>
        <w:t xml:space="preserve">ORDER ADOPTED:  </w:t>
      </w:r>
      <w:r w:rsidR="00AC7D10" w:rsidRPr="00D17C77">
        <w:rPr>
          <w:color w:val="000000" w:themeColor="text1"/>
          <w:sz w:val="26"/>
          <w:szCs w:val="26"/>
        </w:rPr>
        <w:t>Dec</w:t>
      </w:r>
      <w:r w:rsidR="000472AB" w:rsidRPr="00D17C77">
        <w:rPr>
          <w:color w:val="000000" w:themeColor="text1"/>
          <w:sz w:val="26"/>
          <w:szCs w:val="26"/>
        </w:rPr>
        <w:t>em</w:t>
      </w:r>
      <w:r w:rsidR="00BD6656" w:rsidRPr="00D17C77">
        <w:rPr>
          <w:color w:val="000000" w:themeColor="text1"/>
          <w:sz w:val="26"/>
          <w:szCs w:val="26"/>
        </w:rPr>
        <w:t xml:space="preserve">ber </w:t>
      </w:r>
      <w:r w:rsidR="005607AE" w:rsidRPr="00D17C77">
        <w:rPr>
          <w:color w:val="000000" w:themeColor="text1"/>
          <w:sz w:val="26"/>
          <w:szCs w:val="26"/>
        </w:rPr>
        <w:t>19</w:t>
      </w:r>
      <w:r w:rsidR="00BD6656" w:rsidRPr="00D17C77">
        <w:rPr>
          <w:color w:val="000000" w:themeColor="text1"/>
          <w:sz w:val="26"/>
          <w:szCs w:val="26"/>
        </w:rPr>
        <w:t>, 2019</w:t>
      </w:r>
    </w:p>
    <w:p w14:paraId="3EB20F13" w14:textId="77777777" w:rsidR="00C031D9" w:rsidRPr="00D17C77" w:rsidRDefault="00C031D9" w:rsidP="009C4BD6">
      <w:pPr>
        <w:keepNext/>
        <w:keepLines/>
        <w:tabs>
          <w:tab w:val="left" w:pos="-720"/>
        </w:tabs>
        <w:suppressAutoHyphens/>
        <w:contextualSpacing/>
        <w:rPr>
          <w:color w:val="000000" w:themeColor="text1"/>
          <w:sz w:val="26"/>
          <w:szCs w:val="26"/>
        </w:rPr>
      </w:pPr>
    </w:p>
    <w:p w14:paraId="4FF916AE" w14:textId="6F81B379" w:rsidR="000573F4" w:rsidRPr="00805FE1" w:rsidRDefault="00C031D9" w:rsidP="009C4BD6">
      <w:pPr>
        <w:keepNext/>
        <w:keepLines/>
        <w:tabs>
          <w:tab w:val="left" w:pos="-720"/>
        </w:tabs>
        <w:suppressAutoHyphens/>
        <w:contextualSpacing/>
        <w:rPr>
          <w:b/>
          <w:sz w:val="26"/>
          <w:szCs w:val="26"/>
        </w:rPr>
      </w:pPr>
      <w:r w:rsidRPr="00D17C77">
        <w:rPr>
          <w:color w:val="000000" w:themeColor="text1"/>
          <w:sz w:val="26"/>
          <w:szCs w:val="26"/>
        </w:rPr>
        <w:t xml:space="preserve">ORDER ENTERED: </w:t>
      </w:r>
      <w:r w:rsidR="009D569A" w:rsidRPr="00805FE1">
        <w:rPr>
          <w:sz w:val="26"/>
          <w:szCs w:val="26"/>
        </w:rPr>
        <w:t xml:space="preserve"> </w:t>
      </w:r>
      <w:r w:rsidR="00D2423D">
        <w:rPr>
          <w:sz w:val="26"/>
          <w:szCs w:val="26"/>
        </w:rPr>
        <w:t>December 19</w:t>
      </w:r>
      <w:bookmarkStart w:id="17" w:name="_GoBack"/>
      <w:bookmarkEnd w:id="17"/>
      <w:r w:rsidR="00D2423D">
        <w:rPr>
          <w:sz w:val="26"/>
          <w:szCs w:val="26"/>
        </w:rPr>
        <w:t>, 2019</w:t>
      </w:r>
    </w:p>
    <w:sectPr w:rsidR="000573F4" w:rsidRPr="00805FE1"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486A" w14:textId="77777777" w:rsidR="00145988" w:rsidRDefault="00145988">
      <w:r>
        <w:separator/>
      </w:r>
    </w:p>
  </w:endnote>
  <w:endnote w:type="continuationSeparator" w:id="0">
    <w:p w14:paraId="67F69EA9" w14:textId="77777777" w:rsidR="00145988" w:rsidRDefault="0014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896A" w14:textId="77777777" w:rsidR="007F0F42" w:rsidRDefault="007F0F42"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8B63D4" w14:textId="77777777" w:rsidR="007F0F42" w:rsidRDefault="007F0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D7D5" w14:textId="508EDEAB" w:rsidR="007F0F42" w:rsidRPr="00A764DE" w:rsidRDefault="007F0F42" w:rsidP="00654A2F">
    <w:pPr>
      <w:pStyle w:val="Footer"/>
      <w:framePr w:wrap="around" w:vAnchor="text" w:hAnchor="margin" w:xAlign="center" w:y="1"/>
      <w:rPr>
        <w:rStyle w:val="PageNumber"/>
        <w:sz w:val="26"/>
        <w:szCs w:val="26"/>
      </w:rPr>
    </w:pPr>
    <w:r w:rsidRPr="00A764DE">
      <w:rPr>
        <w:rStyle w:val="PageNumber"/>
        <w:sz w:val="26"/>
        <w:szCs w:val="26"/>
      </w:rPr>
      <w:fldChar w:fldCharType="begin"/>
    </w:r>
    <w:r w:rsidRPr="00A764DE">
      <w:rPr>
        <w:rStyle w:val="PageNumber"/>
        <w:sz w:val="26"/>
        <w:szCs w:val="26"/>
      </w:rPr>
      <w:instrText xml:space="preserve">PAGE  </w:instrText>
    </w:r>
    <w:r w:rsidRPr="00A764DE">
      <w:rPr>
        <w:rStyle w:val="PageNumber"/>
        <w:sz w:val="26"/>
        <w:szCs w:val="26"/>
      </w:rPr>
      <w:fldChar w:fldCharType="separate"/>
    </w:r>
    <w:r w:rsidR="00424D35">
      <w:rPr>
        <w:rStyle w:val="PageNumber"/>
        <w:noProof/>
        <w:sz w:val="26"/>
        <w:szCs w:val="26"/>
      </w:rPr>
      <w:t>26</w:t>
    </w:r>
    <w:r w:rsidRPr="00A764DE">
      <w:rPr>
        <w:rStyle w:val="PageNumber"/>
        <w:sz w:val="26"/>
        <w:szCs w:val="26"/>
      </w:rPr>
      <w:fldChar w:fldCharType="end"/>
    </w:r>
  </w:p>
  <w:p w14:paraId="09DBDA74" w14:textId="77777777" w:rsidR="007F0F42" w:rsidRDefault="007F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EA95E" w14:textId="77777777" w:rsidR="00145988" w:rsidRDefault="00145988">
      <w:r>
        <w:separator/>
      </w:r>
    </w:p>
  </w:footnote>
  <w:footnote w:type="continuationSeparator" w:id="0">
    <w:p w14:paraId="0FE76B0A" w14:textId="77777777" w:rsidR="00145988" w:rsidRDefault="00145988">
      <w:r>
        <w:continuationSeparator/>
      </w:r>
    </w:p>
  </w:footnote>
  <w:footnote w:id="1">
    <w:p w14:paraId="3ED83D15" w14:textId="77777777" w:rsidR="00387A71" w:rsidRPr="00A73C9B" w:rsidRDefault="00387A71" w:rsidP="00CB33F6">
      <w:pPr>
        <w:pStyle w:val="FootnoteText"/>
        <w:keepNext/>
        <w:keepLines/>
        <w:spacing w:before="0"/>
        <w:rPr>
          <w:rFonts w:ascii="Times New Roman" w:hAnsi="Times New Roman"/>
          <w:color w:val="000000"/>
          <w:sz w:val="26"/>
          <w:szCs w:val="26"/>
        </w:rPr>
      </w:pPr>
      <w:r>
        <w:rPr>
          <w:rFonts w:ascii="Times New Roman" w:hAnsi="Times New Roman"/>
          <w:color w:val="000000"/>
          <w:sz w:val="26"/>
          <w:szCs w:val="26"/>
        </w:rPr>
        <w:tab/>
      </w:r>
      <w:r w:rsidRPr="00A73C9B">
        <w:rPr>
          <w:rStyle w:val="FootnoteReference"/>
          <w:rFonts w:ascii="Times New Roman" w:hAnsi="Times New Roman"/>
        </w:rPr>
        <w:footnoteRef/>
      </w:r>
      <w:r w:rsidRPr="00A73C9B">
        <w:rPr>
          <w:rFonts w:ascii="Times New Roman" w:hAnsi="Times New Roman"/>
          <w:color w:val="000000"/>
          <w:sz w:val="26"/>
          <w:szCs w:val="26"/>
        </w:rPr>
        <w:tab/>
        <w:t>Alternative Regulation Plan of Verizon Pennsylvania Inc., Docket Nos. P</w:t>
      </w:r>
      <w:r w:rsidRPr="00A73C9B">
        <w:rPr>
          <w:rFonts w:ascii="Times New Roman" w:hAnsi="Times New Roman"/>
          <w:color w:val="000000"/>
          <w:sz w:val="26"/>
          <w:szCs w:val="26"/>
        </w:rPr>
        <w:noBreakHyphen/>
        <w:t>00930715, P-00930715F1000 and R</w:t>
      </w:r>
      <w:r w:rsidRPr="00A73C9B">
        <w:rPr>
          <w:rFonts w:ascii="Times New Roman" w:hAnsi="Times New Roman"/>
          <w:color w:val="000000"/>
          <w:sz w:val="26"/>
          <w:szCs w:val="26"/>
        </w:rPr>
        <w:noBreakHyphen/>
        <w:t>00051228.  Modified in compliance with the Commission’s Opinion and Order entered June 28, 1994, and in compliance with the Commission’s Order entered May 20, 2005, and in compliance with the Commission’s Orders entered March 22, 2007, April 25, 2007, and May 27, 2008.</w:t>
      </w:r>
    </w:p>
  </w:footnote>
  <w:footnote w:id="2">
    <w:p w14:paraId="08AC1D02" w14:textId="77777777" w:rsidR="00656231" w:rsidRPr="00A73C9B" w:rsidRDefault="00656231" w:rsidP="00CB33F6">
      <w:pPr>
        <w:pStyle w:val="FootnoteText"/>
        <w:keepNext/>
        <w:keepLines/>
        <w:rPr>
          <w:rFonts w:ascii="Times New Roman" w:hAnsi="Times New Roman"/>
          <w:sz w:val="26"/>
          <w:szCs w:val="26"/>
        </w:rPr>
      </w:pPr>
      <w:r w:rsidRPr="00A73C9B">
        <w:rPr>
          <w:rFonts w:ascii="Times New Roman" w:hAnsi="Times New Roman"/>
        </w:rPr>
        <w:tab/>
      </w:r>
      <w:r w:rsidRPr="00A73C9B">
        <w:rPr>
          <w:rStyle w:val="FootnoteReference"/>
          <w:rFonts w:ascii="Times New Roman" w:hAnsi="Times New Roman"/>
        </w:rPr>
        <w:footnoteRef/>
      </w:r>
      <w:r w:rsidRPr="00A73C9B">
        <w:rPr>
          <w:rFonts w:ascii="Times New Roman" w:hAnsi="Times New Roman"/>
        </w:rPr>
        <w:tab/>
      </w:r>
      <w:r w:rsidRPr="00A73C9B">
        <w:rPr>
          <w:rFonts w:ascii="Times New Roman" w:hAnsi="Times New Roman"/>
          <w:sz w:val="26"/>
          <w:szCs w:val="26"/>
        </w:rPr>
        <w:t>Section 3012 of the Code, 66 Pa. C. S. § 3012, defines “protected service” as follows:</w:t>
      </w:r>
    </w:p>
    <w:p w14:paraId="4DE1890D" w14:textId="77777777" w:rsidR="00656231" w:rsidRPr="00486F14" w:rsidRDefault="00656231" w:rsidP="00656231">
      <w:pPr>
        <w:pStyle w:val="FootnoteText"/>
        <w:keepNext/>
        <w:keepLines/>
        <w:tabs>
          <w:tab w:val="clear" w:pos="720"/>
        </w:tabs>
        <w:ind w:left="1440" w:right="1440"/>
        <w:contextualSpacing/>
        <w:rPr>
          <w:rFonts w:ascii="Times New Roman" w:hAnsi="Times New Roman"/>
          <w:sz w:val="26"/>
          <w:szCs w:val="26"/>
        </w:rPr>
      </w:pPr>
      <w:r w:rsidRPr="00486F14">
        <w:rPr>
          <w:rFonts w:ascii="Times New Roman" w:hAnsi="Times New Roman"/>
          <w:b/>
          <w:bCs/>
          <w:sz w:val="26"/>
          <w:szCs w:val="26"/>
        </w:rPr>
        <w:t>“Protected service.”</w:t>
      </w:r>
      <w:r w:rsidRPr="00486F14">
        <w:rPr>
          <w:rFonts w:ascii="Times New Roman" w:hAnsi="Times New Roman"/>
          <w:sz w:val="26"/>
          <w:szCs w:val="26"/>
        </w:rPr>
        <w:t xml:space="preserve"> The following telecommunications services provided by a local exchange telecommunications company unless the commission has determined the service to be competitive:</w:t>
      </w:r>
    </w:p>
    <w:p w14:paraId="6053A1D2" w14:textId="1F55F7A7" w:rsidR="00656231" w:rsidRPr="00486F14" w:rsidRDefault="00656231" w:rsidP="00CB33F6">
      <w:pPr>
        <w:pStyle w:val="FootnoteText"/>
        <w:keepNext/>
        <w:keepLines/>
        <w:tabs>
          <w:tab w:val="clear" w:pos="720"/>
        </w:tabs>
        <w:ind w:left="2160" w:right="1440" w:hanging="720"/>
        <w:contextualSpacing/>
        <w:rPr>
          <w:rFonts w:ascii="Times New Roman" w:hAnsi="Times New Roman"/>
          <w:sz w:val="26"/>
          <w:szCs w:val="26"/>
        </w:rPr>
      </w:pPr>
      <w:r w:rsidRPr="00486F14">
        <w:rPr>
          <w:rFonts w:ascii="Times New Roman" w:hAnsi="Times New Roman"/>
          <w:sz w:val="26"/>
          <w:szCs w:val="26"/>
        </w:rPr>
        <w:t>(1)</w:t>
      </w:r>
      <w:r w:rsidR="00CB33F6">
        <w:rPr>
          <w:rFonts w:ascii="Times New Roman" w:hAnsi="Times New Roman"/>
          <w:sz w:val="26"/>
          <w:szCs w:val="26"/>
        </w:rPr>
        <w:tab/>
      </w:r>
      <w:r w:rsidRPr="00486F14">
        <w:rPr>
          <w:rFonts w:ascii="Times New Roman" w:hAnsi="Times New Roman"/>
          <w:sz w:val="26"/>
          <w:szCs w:val="26"/>
        </w:rPr>
        <w:t>Service provided to residential consumers or business consumers that is necessary to complete a local exchange call.</w:t>
      </w:r>
    </w:p>
    <w:p w14:paraId="0373D6ED" w14:textId="6C599CD1" w:rsidR="00656231" w:rsidRPr="00486F14" w:rsidRDefault="00656231" w:rsidP="00CB33F6">
      <w:pPr>
        <w:pStyle w:val="FootnoteText"/>
        <w:keepNext/>
        <w:keepLines/>
        <w:tabs>
          <w:tab w:val="clear" w:pos="720"/>
        </w:tabs>
        <w:ind w:left="2160" w:right="1440" w:hanging="720"/>
        <w:contextualSpacing/>
        <w:rPr>
          <w:rFonts w:ascii="Times New Roman" w:hAnsi="Times New Roman"/>
          <w:sz w:val="26"/>
          <w:szCs w:val="26"/>
        </w:rPr>
      </w:pPr>
      <w:r w:rsidRPr="00486F14">
        <w:rPr>
          <w:rFonts w:ascii="Times New Roman" w:hAnsi="Times New Roman"/>
          <w:sz w:val="26"/>
          <w:szCs w:val="26"/>
        </w:rPr>
        <w:t>(2)</w:t>
      </w:r>
      <w:r w:rsidR="00CB33F6">
        <w:rPr>
          <w:rFonts w:ascii="Times New Roman" w:hAnsi="Times New Roman"/>
          <w:sz w:val="26"/>
          <w:szCs w:val="26"/>
        </w:rPr>
        <w:tab/>
      </w:r>
      <w:r w:rsidRPr="00486F14">
        <w:rPr>
          <w:rFonts w:ascii="Times New Roman" w:hAnsi="Times New Roman"/>
          <w:sz w:val="26"/>
          <w:szCs w:val="26"/>
        </w:rPr>
        <w:t>Touch-tone service.</w:t>
      </w:r>
    </w:p>
    <w:p w14:paraId="0E08E937" w14:textId="2C608F6D" w:rsidR="00656231" w:rsidRPr="00486F14" w:rsidRDefault="00656231" w:rsidP="00CB33F6">
      <w:pPr>
        <w:pStyle w:val="FootnoteText"/>
        <w:keepNext/>
        <w:keepLines/>
        <w:tabs>
          <w:tab w:val="clear" w:pos="720"/>
        </w:tabs>
        <w:ind w:left="2160" w:right="1440" w:hanging="720"/>
        <w:contextualSpacing/>
        <w:rPr>
          <w:rFonts w:ascii="Times New Roman" w:hAnsi="Times New Roman"/>
          <w:sz w:val="26"/>
          <w:szCs w:val="26"/>
        </w:rPr>
      </w:pPr>
      <w:r w:rsidRPr="00486F14">
        <w:rPr>
          <w:rFonts w:ascii="Times New Roman" w:hAnsi="Times New Roman"/>
          <w:sz w:val="26"/>
          <w:szCs w:val="26"/>
        </w:rPr>
        <w:t>(3</w:t>
      </w:r>
      <w:r w:rsidR="00CB33F6">
        <w:rPr>
          <w:rFonts w:ascii="Times New Roman" w:hAnsi="Times New Roman"/>
          <w:sz w:val="26"/>
          <w:szCs w:val="26"/>
        </w:rPr>
        <w:tab/>
      </w:r>
      <w:r w:rsidRPr="00486F14">
        <w:rPr>
          <w:rFonts w:ascii="Times New Roman" w:hAnsi="Times New Roman"/>
          <w:sz w:val="26"/>
          <w:szCs w:val="26"/>
        </w:rPr>
        <w:t xml:space="preserve"> Switched access service.</w:t>
      </w:r>
    </w:p>
    <w:p w14:paraId="06E78F6B" w14:textId="1B7C9B37" w:rsidR="00656231" w:rsidRPr="00486F14" w:rsidRDefault="00656231" w:rsidP="00CB33F6">
      <w:pPr>
        <w:pStyle w:val="FootnoteText"/>
        <w:keepNext/>
        <w:keepLines/>
        <w:tabs>
          <w:tab w:val="clear" w:pos="720"/>
        </w:tabs>
        <w:ind w:left="2160" w:right="1440" w:hanging="720"/>
        <w:contextualSpacing/>
        <w:rPr>
          <w:rFonts w:ascii="Times New Roman" w:hAnsi="Times New Roman"/>
          <w:sz w:val="26"/>
          <w:szCs w:val="26"/>
        </w:rPr>
      </w:pPr>
      <w:r w:rsidRPr="00486F14">
        <w:rPr>
          <w:rFonts w:ascii="Times New Roman" w:hAnsi="Times New Roman"/>
          <w:sz w:val="26"/>
          <w:szCs w:val="26"/>
        </w:rPr>
        <w:t>(4)</w:t>
      </w:r>
      <w:r w:rsidR="00CB33F6">
        <w:rPr>
          <w:rFonts w:ascii="Times New Roman" w:hAnsi="Times New Roman"/>
          <w:sz w:val="26"/>
          <w:szCs w:val="26"/>
        </w:rPr>
        <w:tab/>
      </w:r>
      <w:r w:rsidRPr="00486F14">
        <w:rPr>
          <w:rFonts w:ascii="Times New Roman" w:hAnsi="Times New Roman"/>
          <w:sz w:val="26"/>
          <w:szCs w:val="26"/>
        </w:rPr>
        <w:t>Special access service.</w:t>
      </w:r>
    </w:p>
    <w:p w14:paraId="7C75A454" w14:textId="49AFCD0A" w:rsidR="00656231" w:rsidRPr="00486F14" w:rsidRDefault="00656231" w:rsidP="00CB33F6">
      <w:pPr>
        <w:pStyle w:val="FootnoteText"/>
        <w:keepNext/>
        <w:keepLines/>
        <w:tabs>
          <w:tab w:val="clear" w:pos="720"/>
        </w:tabs>
        <w:ind w:left="2160" w:right="1440" w:hanging="720"/>
        <w:contextualSpacing/>
        <w:rPr>
          <w:rFonts w:ascii="Times New Roman" w:hAnsi="Times New Roman"/>
          <w:sz w:val="26"/>
          <w:szCs w:val="26"/>
        </w:rPr>
      </w:pPr>
      <w:r w:rsidRPr="00486F14">
        <w:rPr>
          <w:rFonts w:ascii="Times New Roman" w:hAnsi="Times New Roman"/>
          <w:sz w:val="26"/>
          <w:szCs w:val="26"/>
        </w:rPr>
        <w:t>(5)</w:t>
      </w:r>
      <w:r w:rsidR="00CB33F6">
        <w:rPr>
          <w:rFonts w:ascii="Times New Roman" w:hAnsi="Times New Roman"/>
          <w:sz w:val="26"/>
          <w:szCs w:val="26"/>
        </w:rPr>
        <w:tab/>
      </w:r>
      <w:r w:rsidRPr="00486F14">
        <w:rPr>
          <w:rFonts w:ascii="Times New Roman" w:hAnsi="Times New Roman"/>
          <w:sz w:val="26"/>
          <w:szCs w:val="26"/>
        </w:rPr>
        <w:t>Ordering, installation, restoration and disconnection of these services.</w:t>
      </w:r>
    </w:p>
    <w:p w14:paraId="482E2E04" w14:textId="77777777" w:rsidR="00656231" w:rsidRPr="00486F14" w:rsidRDefault="00656231" w:rsidP="00656231">
      <w:pPr>
        <w:pStyle w:val="FootnoteText"/>
        <w:keepNext/>
        <w:keepLines/>
        <w:tabs>
          <w:tab w:val="clear" w:pos="720"/>
        </w:tabs>
        <w:contextualSpacing/>
        <w:rPr>
          <w:rFonts w:ascii="Times New Roman" w:hAnsi="Times New Roman"/>
          <w:sz w:val="26"/>
          <w:szCs w:val="26"/>
        </w:rPr>
      </w:pPr>
    </w:p>
    <w:p w14:paraId="2EA820E7" w14:textId="77777777" w:rsidR="00656231" w:rsidRPr="00A73C9B" w:rsidRDefault="00656231" w:rsidP="00D17C77">
      <w:pPr>
        <w:pStyle w:val="FootnoteText"/>
        <w:keepNext/>
        <w:keepLines/>
        <w:tabs>
          <w:tab w:val="clear" w:pos="720"/>
        </w:tabs>
        <w:spacing w:after="0"/>
        <w:contextualSpacing/>
        <w:rPr>
          <w:rFonts w:ascii="Times New Roman" w:hAnsi="Times New Roman"/>
          <w:sz w:val="26"/>
          <w:szCs w:val="26"/>
        </w:rPr>
      </w:pPr>
      <w:r w:rsidRPr="00486F14">
        <w:rPr>
          <w:rFonts w:ascii="Times New Roman" w:hAnsi="Times New Roman"/>
          <w:sz w:val="26"/>
          <w:szCs w:val="26"/>
        </w:rPr>
        <w:t>66 Pa. C.S. § 3012 (Definition of “protected service”).</w:t>
      </w:r>
    </w:p>
  </w:footnote>
  <w:footnote w:id="3">
    <w:p w14:paraId="03030268" w14:textId="552F7F18" w:rsidR="007D51AD" w:rsidRPr="00602CE1" w:rsidRDefault="007D51AD" w:rsidP="003B7FB1">
      <w:pPr>
        <w:keepNext/>
        <w:keepLines/>
        <w:autoSpaceDE w:val="0"/>
        <w:autoSpaceDN w:val="0"/>
        <w:adjustRightInd w:val="0"/>
        <w:ind w:firstLine="720"/>
        <w:contextualSpacing/>
        <w:rPr>
          <w:sz w:val="26"/>
          <w:szCs w:val="26"/>
        </w:rPr>
      </w:pPr>
      <w:r w:rsidRPr="00602CE1">
        <w:rPr>
          <w:rStyle w:val="FootnoteReference"/>
        </w:rPr>
        <w:footnoteRef/>
      </w:r>
      <w:r w:rsidRPr="00602CE1">
        <w:rPr>
          <w:sz w:val="26"/>
          <w:szCs w:val="26"/>
        </w:rPr>
        <w:tab/>
        <w:t>Part 1.A.9 of Verizon PA’s Chapter 30 Plan allows for a Line-Count True</w:t>
      </w:r>
      <w:r w:rsidR="00D677F0">
        <w:rPr>
          <w:sz w:val="26"/>
          <w:szCs w:val="26"/>
        </w:rPr>
        <w:noBreakHyphen/>
      </w:r>
      <w:r w:rsidRPr="00602CE1">
        <w:rPr>
          <w:sz w:val="26"/>
          <w:szCs w:val="26"/>
        </w:rPr>
        <w:t>up adjustment to reflect the difference between the amount of revenue projected to be collected using historical line counts and the amount of revenue projected to be collected using the actual line counts ascertained on June 30th of the mid-point of the first year of Price Change Opportunity implementation.  However, because Verizon PA did not raise dial tone line rates in its 2017 PCO Filing, its 2018 PCO Filing had no Line-Count True-up adjustment.</w:t>
      </w:r>
    </w:p>
  </w:footnote>
  <w:footnote w:id="4">
    <w:p w14:paraId="25800402" w14:textId="0C26A212" w:rsidR="00602CE1" w:rsidRPr="00602CE1" w:rsidRDefault="00602CE1" w:rsidP="00A764DE">
      <w:pPr>
        <w:pStyle w:val="FootnoteText"/>
        <w:keepNext/>
        <w:keepLines/>
        <w:tabs>
          <w:tab w:val="clear" w:pos="720"/>
        </w:tabs>
        <w:spacing w:after="0"/>
        <w:ind w:firstLine="720"/>
        <w:contextualSpacing/>
        <w:rPr>
          <w:rFonts w:ascii="Times New Roman" w:hAnsi="Times New Roman"/>
          <w:sz w:val="26"/>
          <w:szCs w:val="26"/>
        </w:rPr>
      </w:pPr>
      <w:r w:rsidRPr="00602CE1">
        <w:rPr>
          <w:rStyle w:val="FootnoteReference"/>
          <w:rFonts w:ascii="Times New Roman" w:hAnsi="Times New Roman"/>
        </w:rPr>
        <w:footnoteRef/>
      </w:r>
      <w:r w:rsidRPr="00602CE1">
        <w:rPr>
          <w:rFonts w:ascii="Times New Roman" w:hAnsi="Times New Roman"/>
          <w:sz w:val="26"/>
          <w:szCs w:val="26"/>
        </w:rPr>
        <w:tab/>
        <w:t xml:space="preserve">Verizon PA averred that the Residential Exchange, Business Exchange and Billing Services revenues included in its 2018 PCO base did not include revenues from any of the wire centers it declared to be </w:t>
      </w:r>
      <w:r w:rsidRPr="00122641">
        <w:rPr>
          <w:rFonts w:ascii="Times New Roman" w:hAnsi="Times New Roman"/>
          <w:sz w:val="26"/>
          <w:szCs w:val="26"/>
        </w:rPr>
        <w:t xml:space="preserve">competitive in </w:t>
      </w:r>
      <w:r w:rsidRPr="00122641">
        <w:rPr>
          <w:rFonts w:ascii="Times New Roman" w:hAnsi="Times New Roman"/>
          <w:i/>
          <w:sz w:val="26"/>
          <w:szCs w:val="26"/>
        </w:rPr>
        <w:t>In</w:t>
      </w:r>
      <w:r w:rsidRPr="00602CE1">
        <w:rPr>
          <w:rFonts w:ascii="Times New Roman" w:hAnsi="Times New Roman"/>
          <w:i/>
          <w:sz w:val="26"/>
          <w:szCs w:val="26"/>
        </w:rPr>
        <w:t xml:space="preserve"> re</w:t>
      </w:r>
      <w:r w:rsidRPr="00602CE1">
        <w:rPr>
          <w:rFonts w:ascii="Times New Roman" w:hAnsi="Times New Roman"/>
          <w:sz w:val="26"/>
          <w:szCs w:val="26"/>
        </w:rPr>
        <w:t xml:space="preserve"> </w:t>
      </w:r>
      <w:r w:rsidRPr="00602CE1">
        <w:rPr>
          <w:rFonts w:ascii="Times New Roman" w:hAnsi="Times New Roman"/>
          <w:i/>
          <w:sz w:val="26"/>
          <w:szCs w:val="26"/>
        </w:rPr>
        <w:t>Joint Petition of Verizon Pennsylvania LLC and Verizon North LLC for Competitive Classification of All Retail Services in Certain Geographic Areas and for a Waiver of Regulations for Competitive Services</w:t>
      </w:r>
      <w:r w:rsidRPr="00D17C77">
        <w:rPr>
          <w:rFonts w:ascii="Times New Roman" w:hAnsi="Times New Roman"/>
          <w:sz w:val="26"/>
          <w:szCs w:val="26"/>
        </w:rPr>
        <w:t xml:space="preserve">, </w:t>
      </w:r>
      <w:r w:rsidRPr="00602CE1">
        <w:rPr>
          <w:rFonts w:ascii="Times New Roman" w:hAnsi="Times New Roman"/>
          <w:sz w:val="26"/>
          <w:szCs w:val="26"/>
        </w:rPr>
        <w:t>Docket Nos. P-2014-2446303 and P</w:t>
      </w:r>
      <w:r w:rsidRPr="00602CE1">
        <w:rPr>
          <w:rFonts w:ascii="Times New Roman" w:hAnsi="Times New Roman"/>
          <w:sz w:val="26"/>
          <w:szCs w:val="26"/>
        </w:rPr>
        <w:noBreakHyphen/>
        <w:t>2014-2446304 (Order Entered March 4, 2015) (</w:t>
      </w:r>
      <w:r w:rsidRPr="00602CE1">
        <w:rPr>
          <w:rFonts w:ascii="Times New Roman" w:hAnsi="Times New Roman"/>
          <w:i/>
          <w:sz w:val="26"/>
          <w:szCs w:val="26"/>
        </w:rPr>
        <w:t>Reclassification Order</w:t>
      </w:r>
      <w:r w:rsidRPr="00602CE1">
        <w:rPr>
          <w:rFonts w:ascii="Times New Roman" w:hAnsi="Times New Roman"/>
          <w:sz w:val="26"/>
          <w:szCs w:val="26"/>
        </w:rPr>
        <w:t>)</w:t>
      </w:r>
      <w:r w:rsidR="009E375C">
        <w:rPr>
          <w:rFonts w:ascii="Times New Roman" w:hAnsi="Times New Roman"/>
          <w:sz w:val="26"/>
          <w:szCs w:val="26"/>
        </w:rPr>
        <w:t>.</w:t>
      </w:r>
    </w:p>
  </w:footnote>
  <w:footnote w:id="5">
    <w:p w14:paraId="3B268B5C" w14:textId="6EFB8C6F" w:rsidR="005C09C5" w:rsidRPr="00D17C77" w:rsidRDefault="005C09C5" w:rsidP="00CB33F6">
      <w:pPr>
        <w:keepNext/>
        <w:keepLines/>
        <w:ind w:firstLine="720"/>
        <w:contextualSpacing/>
        <w:rPr>
          <w:rFonts w:eastAsia="Calibri"/>
          <w:sz w:val="26"/>
          <w:szCs w:val="26"/>
        </w:rPr>
      </w:pPr>
      <w:r>
        <w:rPr>
          <w:rStyle w:val="FootnoteReference"/>
        </w:rPr>
        <w:footnoteRef/>
      </w:r>
      <w:r>
        <w:t xml:space="preserve"> </w:t>
      </w:r>
      <w:r>
        <w:tab/>
      </w:r>
      <w:r w:rsidRPr="0022160C">
        <w:rPr>
          <w:rFonts w:eastAsia="Calibri"/>
          <w:sz w:val="26"/>
          <w:szCs w:val="26"/>
        </w:rPr>
        <w:t xml:space="preserve">Verizon PA’s </w:t>
      </w:r>
      <w:r>
        <w:rPr>
          <w:rFonts w:eastAsia="Calibri"/>
          <w:sz w:val="26"/>
          <w:szCs w:val="26"/>
        </w:rPr>
        <w:t>D</w:t>
      </w:r>
      <w:r w:rsidRPr="0022160C">
        <w:rPr>
          <w:rFonts w:eastAsia="Calibri"/>
          <w:sz w:val="26"/>
          <w:szCs w:val="26"/>
        </w:rPr>
        <w:t xml:space="preserve">ensity </w:t>
      </w:r>
      <w:r>
        <w:rPr>
          <w:rFonts w:eastAsia="Calibri"/>
          <w:sz w:val="26"/>
          <w:szCs w:val="26"/>
        </w:rPr>
        <w:t>C</w:t>
      </w:r>
      <w:r w:rsidRPr="0022160C">
        <w:rPr>
          <w:rFonts w:eastAsia="Calibri"/>
          <w:sz w:val="26"/>
          <w:szCs w:val="26"/>
        </w:rPr>
        <w:t xml:space="preserve">ell classifications were originally established several decades ago in order to provide a reasonable basis to set different retail rates for the same services in different locations.  Density Cells 1 and 2 encompass only urban locations.  Density Cell 1 includes all of the Philadelphia and Pittsburgh city exchanges that have a density greater than 9,000 working lines per square mile.  Density Cell 2 includes all of Philadelphia and Pittsburgh city exchanges not included in Density Cell 1.  Density Cell 3 includes areas traditionally classified as suburban, surrounding </w:t>
      </w:r>
      <w:r w:rsidRPr="00122641">
        <w:rPr>
          <w:rFonts w:eastAsia="Calibri"/>
          <w:sz w:val="26"/>
          <w:szCs w:val="26"/>
        </w:rPr>
        <w:t xml:space="preserve">Philadelphia and Pittsburgh, as well as other wire centers with a density that is greater than 500 working pairs per square mile.  Density Cell 4 is basically rural, including all other exchanges that were not included in Density Cells </w:t>
      </w:r>
      <w:r w:rsidR="00122641">
        <w:rPr>
          <w:rFonts w:eastAsia="Calibri"/>
          <w:sz w:val="26"/>
          <w:szCs w:val="26"/>
        </w:rPr>
        <w:t>1, 2 and 3.  Verizon PA M.B. at </w:t>
      </w:r>
      <w:r w:rsidRPr="00122641">
        <w:rPr>
          <w:rFonts w:eastAsia="Calibri"/>
          <w:sz w:val="26"/>
          <w:szCs w:val="26"/>
        </w:rPr>
        <w:t xml:space="preserve">15-16, </w:t>
      </w:r>
      <w:r w:rsidR="00122641" w:rsidRPr="00122641">
        <w:rPr>
          <w:rFonts w:eastAsia="Calibri"/>
          <w:sz w:val="26"/>
          <w:szCs w:val="26"/>
        </w:rPr>
        <w:t>fn.</w:t>
      </w:r>
      <w:r w:rsidRPr="0022160C">
        <w:rPr>
          <w:rFonts w:eastAsia="Calibri"/>
          <w:sz w:val="26"/>
          <w:szCs w:val="26"/>
        </w:rPr>
        <w:t xml:space="preserve"> 24-25.</w:t>
      </w:r>
    </w:p>
  </w:footnote>
  <w:footnote w:id="6">
    <w:p w14:paraId="50BD0F9A" w14:textId="1429CCBE" w:rsidR="00945643" w:rsidRPr="00CA2808" w:rsidRDefault="00945643" w:rsidP="00CB33F6">
      <w:pPr>
        <w:pStyle w:val="FootnoteText"/>
        <w:keepNext/>
        <w:keepLines/>
        <w:tabs>
          <w:tab w:val="clear" w:pos="720"/>
        </w:tabs>
        <w:spacing w:before="0" w:after="0"/>
        <w:ind w:firstLine="720"/>
        <w:contextualSpacing/>
        <w:rPr>
          <w:rFonts w:ascii="Times New Roman" w:hAnsi="Times New Roman"/>
          <w:sz w:val="26"/>
          <w:szCs w:val="26"/>
        </w:rPr>
      </w:pPr>
      <w:r w:rsidRPr="00CA2808">
        <w:rPr>
          <w:rStyle w:val="FootnoteReference"/>
          <w:rFonts w:ascii="Times New Roman" w:hAnsi="Times New Roman"/>
        </w:rPr>
        <w:footnoteRef/>
      </w:r>
      <w:r w:rsidRPr="00CA2808">
        <w:rPr>
          <w:rFonts w:ascii="Times New Roman" w:hAnsi="Times New Roman"/>
          <w:sz w:val="26"/>
          <w:szCs w:val="26"/>
        </w:rPr>
        <w:t xml:space="preserve"> </w:t>
      </w:r>
      <w:r w:rsidRPr="00CA2808">
        <w:rPr>
          <w:rFonts w:ascii="Times New Roman" w:hAnsi="Times New Roman"/>
          <w:sz w:val="26"/>
          <w:szCs w:val="26"/>
        </w:rPr>
        <w:tab/>
      </w:r>
      <w:r w:rsidRPr="00CA2808">
        <w:rPr>
          <w:rFonts w:ascii="Times New Roman" w:hAnsi="Times New Roman"/>
          <w:i/>
          <w:sz w:val="26"/>
          <w:szCs w:val="26"/>
        </w:rPr>
        <w:t xml:space="preserve">See </w:t>
      </w:r>
      <w:r w:rsidRPr="00CA2808">
        <w:rPr>
          <w:rFonts w:ascii="Times New Roman" w:hAnsi="Times New Roman"/>
          <w:i/>
          <w:iCs/>
          <w:sz w:val="26"/>
          <w:szCs w:val="26"/>
        </w:rPr>
        <w:t>Verizon Pennsylvania Inc. 2005 Price Change Opportunity Filing and Verizon North Inc. 2005 Price Change Opportunity Filing</w:t>
      </w:r>
      <w:r w:rsidRPr="00CA2808">
        <w:rPr>
          <w:rFonts w:ascii="Times New Roman" w:hAnsi="Times New Roman"/>
          <w:sz w:val="26"/>
          <w:szCs w:val="26"/>
        </w:rPr>
        <w:t>, Docket Nos. P-00930715 and P</w:t>
      </w:r>
      <w:r w:rsidR="00F731F3">
        <w:rPr>
          <w:rFonts w:ascii="Times New Roman" w:hAnsi="Times New Roman"/>
          <w:sz w:val="26"/>
          <w:szCs w:val="26"/>
        </w:rPr>
        <w:noBreakHyphen/>
      </w:r>
      <w:r w:rsidRPr="00CA2808">
        <w:rPr>
          <w:rFonts w:ascii="Times New Roman" w:hAnsi="Times New Roman"/>
          <w:sz w:val="26"/>
          <w:szCs w:val="26"/>
        </w:rPr>
        <w:t>00001854 (Order entered October 11, 2005).</w:t>
      </w:r>
    </w:p>
  </w:footnote>
  <w:footnote w:id="7">
    <w:p w14:paraId="000C7638" w14:textId="77777777" w:rsidR="001B5887" w:rsidRPr="00FC16A7" w:rsidRDefault="001B5887" w:rsidP="00D17C77">
      <w:pPr>
        <w:pStyle w:val="FootnoteText"/>
        <w:spacing w:before="0" w:after="0"/>
        <w:rPr>
          <w:rFonts w:ascii="Times New Roman" w:hAnsi="Times New Roman"/>
          <w:sz w:val="26"/>
          <w:szCs w:val="26"/>
        </w:rPr>
      </w:pPr>
      <w:r w:rsidRPr="00FC16A7">
        <w:rPr>
          <w:rFonts w:ascii="Times New Roman" w:hAnsi="Times New Roman"/>
          <w:sz w:val="26"/>
          <w:szCs w:val="26"/>
        </w:rPr>
        <w:tab/>
      </w:r>
      <w:r w:rsidRPr="00FC16A7">
        <w:rPr>
          <w:rStyle w:val="FootnoteReference"/>
          <w:rFonts w:ascii="Times New Roman" w:hAnsi="Times New Roman"/>
        </w:rPr>
        <w:footnoteRef/>
      </w:r>
      <w:r w:rsidRPr="00FC16A7">
        <w:rPr>
          <w:rFonts w:ascii="Times New Roman" w:hAnsi="Times New Roman"/>
          <w:sz w:val="26"/>
          <w:szCs w:val="26"/>
        </w:rPr>
        <w:tab/>
        <w:t>In their Initial Decision, the ALJs granted this stipulation and directed the Parties to provide copies of their pre-served testimony to the Commission’s Secretary’s Bureau.  I.D. at 5</w:t>
      </w:r>
      <w:r w:rsidR="007B1EA7">
        <w:rPr>
          <w:rFonts w:ascii="Times New Roman" w:hAnsi="Times New Roman"/>
          <w:sz w:val="26"/>
          <w:szCs w:val="26"/>
        </w:rPr>
        <w:t>, 25</w:t>
      </w:r>
      <w:r w:rsidRPr="00FC16A7">
        <w:rPr>
          <w:rFonts w:ascii="Times New Roman" w:hAnsi="Times New Roman"/>
          <w:sz w:val="26"/>
          <w:szCs w:val="26"/>
        </w:rPr>
        <w:t xml:space="preserve">. </w:t>
      </w:r>
    </w:p>
  </w:footnote>
  <w:footnote w:id="8">
    <w:p w14:paraId="791FEBB3" w14:textId="4F37A0D3" w:rsidR="0019762A" w:rsidRPr="00E40F43" w:rsidRDefault="0019762A" w:rsidP="00B8622A">
      <w:pPr>
        <w:pStyle w:val="FootnoteText"/>
        <w:keepNext/>
        <w:keepLines/>
        <w:tabs>
          <w:tab w:val="clear" w:pos="720"/>
        </w:tabs>
        <w:spacing w:before="0" w:after="0"/>
        <w:ind w:firstLine="720"/>
        <w:rPr>
          <w:rFonts w:ascii="Times New Roman" w:hAnsi="Times New Roman"/>
          <w:sz w:val="26"/>
          <w:szCs w:val="26"/>
        </w:rPr>
      </w:pPr>
      <w:r w:rsidRPr="00E40F43">
        <w:rPr>
          <w:rStyle w:val="FootnoteReference"/>
          <w:rFonts w:ascii="Times New Roman" w:hAnsi="Times New Roman"/>
        </w:rPr>
        <w:footnoteRef/>
      </w:r>
      <w:r w:rsidRPr="00E40F43">
        <w:rPr>
          <w:rFonts w:ascii="Times New Roman" w:hAnsi="Times New Roman"/>
          <w:sz w:val="26"/>
          <w:szCs w:val="26"/>
        </w:rPr>
        <w:tab/>
        <w:t xml:space="preserve">We note that, subsequent to the close of the record in this proceeding, Verizon PA made its 2019 PCO Filing on November 1, 2018, wherein it proposed to </w:t>
      </w:r>
      <w:r w:rsidR="00B221BC">
        <w:rPr>
          <w:rFonts w:ascii="Times New Roman" w:hAnsi="Times New Roman"/>
          <w:sz w:val="26"/>
          <w:szCs w:val="26"/>
        </w:rPr>
        <w:t xml:space="preserve">increase </w:t>
      </w:r>
      <w:r w:rsidRPr="00E40F43">
        <w:rPr>
          <w:rFonts w:ascii="Times New Roman" w:hAnsi="Times New Roman"/>
          <w:sz w:val="26"/>
          <w:szCs w:val="26"/>
        </w:rPr>
        <w:t xml:space="preserve">rates to business dial tone lines in Density Cell 4 from $22.25 to $22.75.  The OCA filed a formal complaint in that proceeding.  On December 20, 2018, we entered an order permitting these rates to go into effect as filed and to remain in effect during the pendency of the OCA’s formal complaint in that proceeding and the OSBA’s Complaint in the instant proceeding, subject to refund.  </w:t>
      </w:r>
      <w:r w:rsidRPr="00E40F43">
        <w:rPr>
          <w:rFonts w:ascii="Times New Roman" w:hAnsi="Times New Roman"/>
          <w:i/>
          <w:iCs/>
          <w:sz w:val="26"/>
          <w:szCs w:val="26"/>
        </w:rPr>
        <w:t xml:space="preserve">See Verizon Pennsylvania LLC 2019 Price Change Opportunity Filing, </w:t>
      </w:r>
      <w:r w:rsidRPr="00E40F43">
        <w:rPr>
          <w:rFonts w:ascii="Times New Roman" w:hAnsi="Times New Roman"/>
          <w:sz w:val="26"/>
          <w:szCs w:val="26"/>
        </w:rPr>
        <w:t xml:space="preserve">Docket Nos. R-2018-3005792, </w:t>
      </w:r>
      <w:r w:rsidRPr="00E40F43">
        <w:rPr>
          <w:rFonts w:ascii="Times New Roman" w:hAnsi="Times New Roman"/>
          <w:i/>
          <w:iCs/>
          <w:sz w:val="26"/>
          <w:szCs w:val="26"/>
        </w:rPr>
        <w:t>et al</w:t>
      </w:r>
      <w:r w:rsidR="00354340">
        <w:rPr>
          <w:rFonts w:ascii="Times New Roman" w:hAnsi="Times New Roman"/>
          <w:i/>
          <w:iCs/>
          <w:sz w:val="26"/>
          <w:szCs w:val="26"/>
        </w:rPr>
        <w:t>.</w:t>
      </w:r>
      <w:r w:rsidRPr="00E40F43">
        <w:rPr>
          <w:rFonts w:ascii="Times New Roman" w:hAnsi="Times New Roman"/>
          <w:sz w:val="26"/>
          <w:szCs w:val="26"/>
        </w:rPr>
        <w:t xml:space="preserve"> (Order entered December 20, 2018) at 4-5, 11.</w:t>
      </w:r>
    </w:p>
  </w:footnote>
  <w:footnote w:id="9">
    <w:p w14:paraId="58A23C6C" w14:textId="77777777" w:rsidR="00A00214" w:rsidRPr="00846B7A" w:rsidRDefault="00A00214">
      <w:pPr>
        <w:pStyle w:val="FootnoteText"/>
        <w:rPr>
          <w:rFonts w:ascii="Times New Roman" w:hAnsi="Times New Roman"/>
          <w:sz w:val="26"/>
          <w:szCs w:val="26"/>
        </w:rPr>
      </w:pPr>
      <w:r>
        <w:tab/>
      </w:r>
      <w:r>
        <w:rPr>
          <w:rStyle w:val="FootnoteReference"/>
        </w:rPr>
        <w:footnoteRef/>
      </w:r>
      <w:r>
        <w:tab/>
      </w:r>
      <w:r w:rsidRPr="0067583B">
        <w:rPr>
          <w:rFonts w:ascii="Times New Roman" w:hAnsi="Times New Roman"/>
          <w:i/>
          <w:iCs/>
          <w:sz w:val="26"/>
          <w:szCs w:val="26"/>
        </w:rPr>
        <w:t>See also</w:t>
      </w:r>
      <w:r w:rsidRPr="0067583B">
        <w:rPr>
          <w:rFonts w:ascii="Times New Roman" w:hAnsi="Times New Roman"/>
          <w:sz w:val="26"/>
          <w:szCs w:val="26"/>
        </w:rPr>
        <w:t xml:space="preserve"> </w:t>
      </w:r>
      <w:r w:rsidRPr="0067583B">
        <w:rPr>
          <w:rFonts w:ascii="Times New Roman" w:hAnsi="Times New Roman"/>
          <w:i/>
          <w:iCs/>
          <w:sz w:val="26"/>
          <w:szCs w:val="26"/>
        </w:rPr>
        <w:t>Statement of Vice Chairman James H. Cawley Concurring, in part, and dissenting, in part</w:t>
      </w:r>
      <w:r w:rsidRPr="00846B7A">
        <w:rPr>
          <w:rFonts w:ascii="Times New Roman" w:hAnsi="Times New Roman"/>
          <w:iCs/>
          <w:sz w:val="26"/>
          <w:szCs w:val="26"/>
        </w:rPr>
        <w:t>,</w:t>
      </w:r>
      <w:r w:rsidRPr="0067583B">
        <w:rPr>
          <w:rFonts w:ascii="Times New Roman" w:hAnsi="Times New Roman"/>
          <w:i/>
          <w:iCs/>
          <w:sz w:val="26"/>
          <w:szCs w:val="26"/>
        </w:rPr>
        <w:t xml:space="preserve"> </w:t>
      </w:r>
      <w:r w:rsidRPr="0067583B">
        <w:rPr>
          <w:rFonts w:ascii="Times New Roman" w:hAnsi="Times New Roman"/>
          <w:sz w:val="26"/>
          <w:szCs w:val="26"/>
        </w:rPr>
        <w:t xml:space="preserve">Docket Nos. R-00051228, </w:t>
      </w:r>
      <w:r w:rsidRPr="0067583B">
        <w:rPr>
          <w:rFonts w:ascii="Times New Roman" w:hAnsi="Times New Roman"/>
          <w:i/>
          <w:sz w:val="26"/>
          <w:szCs w:val="26"/>
        </w:rPr>
        <w:t>et al</w:t>
      </w:r>
      <w:r w:rsidRPr="0067583B">
        <w:rPr>
          <w:rFonts w:ascii="Times New Roman" w:hAnsi="Times New Roman"/>
          <w:iCs/>
          <w:sz w:val="26"/>
          <w:szCs w:val="26"/>
        </w:rPr>
        <w:t>. at 2-3.</w:t>
      </w:r>
    </w:p>
  </w:footnote>
  <w:footnote w:id="10">
    <w:p w14:paraId="62F4CF3A" w14:textId="28739BF1" w:rsidR="00333C27" w:rsidRPr="003366D0" w:rsidRDefault="00333C27" w:rsidP="005159EE">
      <w:pPr>
        <w:pStyle w:val="FootnoteText"/>
        <w:keepNext/>
        <w:keepLines/>
        <w:tabs>
          <w:tab w:val="clear" w:pos="720"/>
        </w:tabs>
        <w:ind w:firstLine="720"/>
        <w:rPr>
          <w:rFonts w:ascii="Times New Roman" w:hAnsi="Times New Roman"/>
          <w:i/>
          <w:iCs/>
          <w:sz w:val="26"/>
          <w:szCs w:val="26"/>
        </w:rPr>
      </w:pPr>
      <w:r w:rsidRPr="003366D0">
        <w:rPr>
          <w:rStyle w:val="FootnoteReference"/>
          <w:rFonts w:ascii="Times New Roman" w:hAnsi="Times New Roman"/>
        </w:rPr>
        <w:footnoteRef/>
      </w:r>
      <w:r w:rsidRPr="003366D0">
        <w:rPr>
          <w:rFonts w:ascii="Times New Roman" w:hAnsi="Times New Roman"/>
          <w:sz w:val="26"/>
          <w:szCs w:val="26"/>
        </w:rPr>
        <w:tab/>
        <w:t xml:space="preserve">As previously noted, the increase to its business late payment charge was pursuant to the Joint Settlement Petition we approved via our </w:t>
      </w:r>
      <w:r w:rsidRPr="003366D0">
        <w:rPr>
          <w:rFonts w:ascii="Times New Roman" w:hAnsi="Times New Roman"/>
          <w:i/>
          <w:iCs/>
          <w:sz w:val="26"/>
          <w:szCs w:val="26"/>
        </w:rPr>
        <w:t xml:space="preserve">January 2017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6B31"/>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4500E"/>
    <w:multiLevelType w:val="hybridMultilevel"/>
    <w:tmpl w:val="DCEE1BB2"/>
    <w:lvl w:ilvl="0" w:tplc="9B582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D10980"/>
    <w:multiLevelType w:val="hybridMultilevel"/>
    <w:tmpl w:val="0CF6BDDE"/>
    <w:lvl w:ilvl="0" w:tplc="637298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1C544D"/>
    <w:multiLevelType w:val="hybridMultilevel"/>
    <w:tmpl w:val="E1CE5C38"/>
    <w:lvl w:ilvl="0" w:tplc="0CB27772">
      <w:start w:val="1"/>
      <w:numFmt w:val="decimal"/>
      <w:lvlText w:val="(%1)"/>
      <w:lvlJc w:val="left"/>
      <w:pPr>
        <w:ind w:left="4200" w:hanging="1770"/>
      </w:pPr>
      <w:rPr>
        <w:rFonts w:hint="default"/>
      </w:rPr>
    </w:lvl>
    <w:lvl w:ilvl="1" w:tplc="04090019">
      <w:start w:val="1"/>
      <w:numFmt w:val="lowerLetter"/>
      <w:lvlText w:val="%2."/>
      <w:lvlJc w:val="left"/>
      <w:pPr>
        <w:ind w:left="3510" w:hanging="360"/>
      </w:pPr>
    </w:lvl>
    <w:lvl w:ilvl="2" w:tplc="5DD41CC4">
      <w:start w:val="1"/>
      <w:numFmt w:val="decimal"/>
      <w:lvlText w:val="%3."/>
      <w:lvlJc w:val="left"/>
      <w:pPr>
        <w:ind w:left="6210" w:hanging="2160"/>
      </w:pPr>
      <w:rPr>
        <w:rFonts w:hint="default"/>
      </w:r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1726EDE"/>
    <w:multiLevelType w:val="hybridMultilevel"/>
    <w:tmpl w:val="1612F37E"/>
    <w:lvl w:ilvl="0" w:tplc="F9663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9A719F"/>
    <w:multiLevelType w:val="hybridMultilevel"/>
    <w:tmpl w:val="1E0AB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57E0B"/>
    <w:multiLevelType w:val="hybridMultilevel"/>
    <w:tmpl w:val="5A502350"/>
    <w:lvl w:ilvl="0" w:tplc="E3A61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3633"/>
    <w:multiLevelType w:val="hybridMultilevel"/>
    <w:tmpl w:val="F85C98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5C145B1"/>
    <w:multiLevelType w:val="hybridMultilevel"/>
    <w:tmpl w:val="99166D16"/>
    <w:lvl w:ilvl="0" w:tplc="BBA4F20E">
      <w:start w:val="1"/>
      <w:numFmt w:val="lowerLetter"/>
      <w:lvlText w:val="(%1)"/>
      <w:lvlJc w:val="left"/>
      <w:pPr>
        <w:ind w:left="1935" w:hanging="360"/>
      </w:pPr>
    </w:lvl>
    <w:lvl w:ilvl="1" w:tplc="04090019">
      <w:start w:val="1"/>
      <w:numFmt w:val="lowerLetter"/>
      <w:lvlText w:val="%2."/>
      <w:lvlJc w:val="left"/>
      <w:pPr>
        <w:ind w:left="2655" w:hanging="360"/>
      </w:pPr>
    </w:lvl>
    <w:lvl w:ilvl="2" w:tplc="0409001B">
      <w:start w:val="1"/>
      <w:numFmt w:val="lowerRoman"/>
      <w:lvlText w:val="%3."/>
      <w:lvlJc w:val="right"/>
      <w:pPr>
        <w:ind w:left="3375" w:hanging="180"/>
      </w:pPr>
    </w:lvl>
    <w:lvl w:ilvl="3" w:tplc="0409000F">
      <w:start w:val="1"/>
      <w:numFmt w:val="decimal"/>
      <w:lvlText w:val="%4."/>
      <w:lvlJc w:val="left"/>
      <w:pPr>
        <w:ind w:left="4095" w:hanging="360"/>
      </w:pPr>
    </w:lvl>
    <w:lvl w:ilvl="4" w:tplc="04090019">
      <w:start w:val="1"/>
      <w:numFmt w:val="lowerLetter"/>
      <w:lvlText w:val="%5."/>
      <w:lvlJc w:val="left"/>
      <w:pPr>
        <w:ind w:left="4815" w:hanging="360"/>
      </w:pPr>
    </w:lvl>
    <w:lvl w:ilvl="5" w:tplc="0409001B">
      <w:start w:val="1"/>
      <w:numFmt w:val="lowerRoman"/>
      <w:lvlText w:val="%6."/>
      <w:lvlJc w:val="right"/>
      <w:pPr>
        <w:ind w:left="5535" w:hanging="180"/>
      </w:pPr>
    </w:lvl>
    <w:lvl w:ilvl="6" w:tplc="0409000F">
      <w:start w:val="1"/>
      <w:numFmt w:val="decimal"/>
      <w:lvlText w:val="%7."/>
      <w:lvlJc w:val="left"/>
      <w:pPr>
        <w:ind w:left="6255" w:hanging="360"/>
      </w:pPr>
    </w:lvl>
    <w:lvl w:ilvl="7" w:tplc="04090019">
      <w:start w:val="1"/>
      <w:numFmt w:val="lowerLetter"/>
      <w:lvlText w:val="%8."/>
      <w:lvlJc w:val="left"/>
      <w:pPr>
        <w:ind w:left="6975" w:hanging="360"/>
      </w:pPr>
    </w:lvl>
    <w:lvl w:ilvl="8" w:tplc="0409001B">
      <w:start w:val="1"/>
      <w:numFmt w:val="lowerRoman"/>
      <w:lvlText w:val="%9."/>
      <w:lvlJc w:val="right"/>
      <w:pPr>
        <w:ind w:left="7695" w:hanging="180"/>
      </w:pPr>
    </w:lvl>
  </w:abstractNum>
  <w:abstractNum w:abstractNumId="11"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1CB28B7"/>
    <w:multiLevelType w:val="hybridMultilevel"/>
    <w:tmpl w:val="9A7CF728"/>
    <w:lvl w:ilvl="0" w:tplc="C2C223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B54353"/>
    <w:multiLevelType w:val="hybridMultilevel"/>
    <w:tmpl w:val="A03CCC4E"/>
    <w:lvl w:ilvl="0" w:tplc="97C02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9E6181"/>
    <w:multiLevelType w:val="hybridMultilevel"/>
    <w:tmpl w:val="B916238C"/>
    <w:lvl w:ilvl="0" w:tplc="09B4A1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0D0404"/>
    <w:multiLevelType w:val="hybridMultilevel"/>
    <w:tmpl w:val="2C0AFB10"/>
    <w:lvl w:ilvl="0" w:tplc="7AC68BF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C06801"/>
    <w:multiLevelType w:val="hybridMultilevel"/>
    <w:tmpl w:val="19788C22"/>
    <w:lvl w:ilvl="0" w:tplc="9D96F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4842BF"/>
    <w:multiLevelType w:val="hybridMultilevel"/>
    <w:tmpl w:val="A678C242"/>
    <w:lvl w:ilvl="0" w:tplc="6BF64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0028B2"/>
    <w:multiLevelType w:val="hybridMultilevel"/>
    <w:tmpl w:val="A6545FA8"/>
    <w:lvl w:ilvl="0" w:tplc="9C6C5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C66447"/>
    <w:multiLevelType w:val="hybridMultilevel"/>
    <w:tmpl w:val="B5C0FAA4"/>
    <w:lvl w:ilvl="0" w:tplc="CE8C6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D3A21E0"/>
    <w:multiLevelType w:val="hybridMultilevel"/>
    <w:tmpl w:val="C496659C"/>
    <w:lvl w:ilvl="0" w:tplc="474233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673F18"/>
    <w:multiLevelType w:val="hybridMultilevel"/>
    <w:tmpl w:val="049E943E"/>
    <w:lvl w:ilvl="0" w:tplc="13FC31E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3EF74C92"/>
    <w:multiLevelType w:val="hybridMultilevel"/>
    <w:tmpl w:val="60A2C1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0BD570F"/>
    <w:multiLevelType w:val="hybridMultilevel"/>
    <w:tmpl w:val="264A471E"/>
    <w:lvl w:ilvl="0" w:tplc="6090F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C573C2"/>
    <w:multiLevelType w:val="hybridMultilevel"/>
    <w:tmpl w:val="B66A7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86500A"/>
    <w:multiLevelType w:val="hybridMultilevel"/>
    <w:tmpl w:val="BC64CBA2"/>
    <w:lvl w:ilvl="0" w:tplc="41AE2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4D0886"/>
    <w:multiLevelType w:val="hybridMultilevel"/>
    <w:tmpl w:val="6EF2B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20471E"/>
    <w:multiLevelType w:val="hybridMultilevel"/>
    <w:tmpl w:val="5A6EC98A"/>
    <w:lvl w:ilvl="0" w:tplc="BF441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946D18"/>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2704BC"/>
    <w:multiLevelType w:val="hybridMultilevel"/>
    <w:tmpl w:val="572C89BA"/>
    <w:lvl w:ilvl="0" w:tplc="2CFAC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F0398"/>
    <w:multiLevelType w:val="hybridMultilevel"/>
    <w:tmpl w:val="AD123764"/>
    <w:lvl w:ilvl="0" w:tplc="2C2AB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B175A4C"/>
    <w:multiLevelType w:val="hybridMultilevel"/>
    <w:tmpl w:val="50842EF0"/>
    <w:lvl w:ilvl="0" w:tplc="18AAA3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15:restartNumberingAfterBreak="0">
    <w:nsid w:val="5F836951"/>
    <w:multiLevelType w:val="hybridMultilevel"/>
    <w:tmpl w:val="88B60E5C"/>
    <w:lvl w:ilvl="0" w:tplc="B986C5CA">
      <w:start w:val="1"/>
      <w:numFmt w:val="decimal"/>
      <w:lvlText w:val="(%1)"/>
      <w:lvlJc w:val="left"/>
      <w:pPr>
        <w:ind w:left="27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292B35"/>
    <w:multiLevelType w:val="hybridMultilevel"/>
    <w:tmpl w:val="B444188C"/>
    <w:lvl w:ilvl="0" w:tplc="42AAD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AB6C30"/>
    <w:multiLevelType w:val="hybridMultilevel"/>
    <w:tmpl w:val="8A10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55EB"/>
    <w:multiLevelType w:val="hybridMultilevel"/>
    <w:tmpl w:val="ACC2316E"/>
    <w:lvl w:ilvl="0" w:tplc="E21E37CA">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6F113CE8"/>
    <w:multiLevelType w:val="hybridMultilevel"/>
    <w:tmpl w:val="51382E68"/>
    <w:lvl w:ilvl="0" w:tplc="09D23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04138D0"/>
    <w:multiLevelType w:val="hybridMultilevel"/>
    <w:tmpl w:val="6E4A81DA"/>
    <w:lvl w:ilvl="0" w:tplc="31E0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3D101C"/>
    <w:multiLevelType w:val="hybridMultilevel"/>
    <w:tmpl w:val="45401B60"/>
    <w:lvl w:ilvl="0" w:tplc="E946C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BC774D"/>
    <w:multiLevelType w:val="hybridMultilevel"/>
    <w:tmpl w:val="72C8DDE0"/>
    <w:lvl w:ilvl="0" w:tplc="E07C83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FB7A25"/>
    <w:multiLevelType w:val="hybridMultilevel"/>
    <w:tmpl w:val="72E67786"/>
    <w:lvl w:ilvl="0" w:tplc="4B0ED7F6">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B4857DF"/>
    <w:multiLevelType w:val="hybridMultilevel"/>
    <w:tmpl w:val="7E96A724"/>
    <w:lvl w:ilvl="0" w:tplc="25186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AB1EA7"/>
    <w:multiLevelType w:val="hybridMultilevel"/>
    <w:tmpl w:val="5A7E273C"/>
    <w:lvl w:ilvl="0" w:tplc="65E44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993FD1"/>
    <w:multiLevelType w:val="hybridMultilevel"/>
    <w:tmpl w:val="5FDE5232"/>
    <w:lvl w:ilvl="0" w:tplc="B46C1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B7569D"/>
    <w:multiLevelType w:val="hybridMultilevel"/>
    <w:tmpl w:val="0630B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2"/>
  </w:num>
  <w:num w:numId="2">
    <w:abstractNumId w:val="1"/>
  </w:num>
  <w:num w:numId="3">
    <w:abstractNumId w:val="33"/>
  </w:num>
  <w:num w:numId="4">
    <w:abstractNumId w:val="5"/>
  </w:num>
  <w:num w:numId="5">
    <w:abstractNumId w:val="11"/>
  </w:num>
  <w:num w:numId="6">
    <w:abstractNumId w:val="17"/>
  </w:num>
  <w:num w:numId="7">
    <w:abstractNumId w:val="41"/>
  </w:num>
  <w:num w:numId="8">
    <w:abstractNumId w:val="31"/>
  </w:num>
  <w:num w:numId="9">
    <w:abstractNumId w:val="23"/>
  </w:num>
  <w:num w:numId="10">
    <w:abstractNumId w:val="16"/>
  </w:num>
  <w:num w:numId="11">
    <w:abstractNumId w:val="20"/>
  </w:num>
  <w:num w:numId="12">
    <w:abstractNumId w:val="19"/>
  </w:num>
  <w:num w:numId="13">
    <w:abstractNumId w:val="13"/>
  </w:num>
  <w:num w:numId="14">
    <w:abstractNumId w:val="43"/>
  </w:num>
  <w:num w:numId="15">
    <w:abstractNumId w:val="40"/>
  </w:num>
  <w:num w:numId="16">
    <w:abstractNumId w:val="6"/>
  </w:num>
  <w:num w:numId="17">
    <w:abstractNumId w:val="27"/>
  </w:num>
  <w:num w:numId="18">
    <w:abstractNumId w:val="30"/>
  </w:num>
  <w:num w:numId="19">
    <w:abstractNumId w:val="25"/>
  </w:num>
  <w:num w:numId="20">
    <w:abstractNumId w:val="44"/>
  </w:num>
  <w:num w:numId="21">
    <w:abstractNumId w:val="18"/>
  </w:num>
  <w:num w:numId="22">
    <w:abstractNumId w:val="38"/>
  </w:num>
  <w:num w:numId="23">
    <w:abstractNumId w:val="3"/>
  </w:num>
  <w:num w:numId="24">
    <w:abstractNumId w:val="39"/>
  </w:num>
  <w:num w:numId="25">
    <w:abstractNumId w:val="14"/>
  </w:num>
  <w:num w:numId="26">
    <w:abstractNumId w:val="45"/>
  </w:num>
  <w:num w:numId="27">
    <w:abstractNumId w:val="35"/>
  </w:num>
  <w:num w:numId="28">
    <w:abstractNumId w:val="2"/>
  </w:num>
  <w:num w:numId="29">
    <w:abstractNumId w:val="42"/>
  </w:num>
  <w:num w:numId="30">
    <w:abstractNumId w:val="28"/>
  </w:num>
  <w:num w:numId="31">
    <w:abstractNumId w:val="0"/>
  </w:num>
  <w:num w:numId="32">
    <w:abstractNumId w:val="12"/>
  </w:num>
  <w:num w:numId="33">
    <w:abstractNumId w:val="34"/>
  </w:num>
  <w:num w:numId="34">
    <w:abstractNumId w:val="4"/>
  </w:num>
  <w:num w:numId="35">
    <w:abstractNumId w:val="9"/>
  </w:num>
  <w:num w:numId="36">
    <w:abstractNumId w:val="7"/>
  </w:num>
  <w:num w:numId="37">
    <w:abstractNumId w:val="46"/>
  </w:num>
  <w:num w:numId="38">
    <w:abstractNumId w:val="26"/>
  </w:num>
  <w:num w:numId="39">
    <w:abstractNumId w:val="15"/>
  </w:num>
  <w:num w:numId="40">
    <w:abstractNumId w:val="24"/>
  </w:num>
  <w:num w:numId="41">
    <w:abstractNumId w:val="29"/>
  </w:num>
  <w:num w:numId="42">
    <w:abstractNumId w:val="36"/>
  </w:num>
  <w:num w:numId="43">
    <w:abstractNumId w:val="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67E"/>
    <w:rsid w:val="00000A23"/>
    <w:rsid w:val="00000B19"/>
    <w:rsid w:val="00000C15"/>
    <w:rsid w:val="00000CEC"/>
    <w:rsid w:val="00001030"/>
    <w:rsid w:val="00001139"/>
    <w:rsid w:val="00001CA9"/>
    <w:rsid w:val="00001F19"/>
    <w:rsid w:val="0000209B"/>
    <w:rsid w:val="0000217A"/>
    <w:rsid w:val="00002F2A"/>
    <w:rsid w:val="0000346E"/>
    <w:rsid w:val="00003889"/>
    <w:rsid w:val="00003AF8"/>
    <w:rsid w:val="00003E0C"/>
    <w:rsid w:val="00003EC2"/>
    <w:rsid w:val="00004478"/>
    <w:rsid w:val="000044F1"/>
    <w:rsid w:val="00004B83"/>
    <w:rsid w:val="00004C36"/>
    <w:rsid w:val="00004D09"/>
    <w:rsid w:val="00004EE1"/>
    <w:rsid w:val="00005780"/>
    <w:rsid w:val="00005A09"/>
    <w:rsid w:val="00005AC7"/>
    <w:rsid w:val="00005BF5"/>
    <w:rsid w:val="000063E9"/>
    <w:rsid w:val="00006BBE"/>
    <w:rsid w:val="00006E37"/>
    <w:rsid w:val="00007042"/>
    <w:rsid w:val="00007106"/>
    <w:rsid w:val="00007400"/>
    <w:rsid w:val="000074DC"/>
    <w:rsid w:val="000079E4"/>
    <w:rsid w:val="00007AA7"/>
    <w:rsid w:val="00010322"/>
    <w:rsid w:val="000105DE"/>
    <w:rsid w:val="0001099D"/>
    <w:rsid w:val="00010A96"/>
    <w:rsid w:val="00010AA5"/>
    <w:rsid w:val="00010DF9"/>
    <w:rsid w:val="00010F62"/>
    <w:rsid w:val="00011036"/>
    <w:rsid w:val="000111C5"/>
    <w:rsid w:val="00011E54"/>
    <w:rsid w:val="00011E93"/>
    <w:rsid w:val="00012106"/>
    <w:rsid w:val="0001223A"/>
    <w:rsid w:val="00012A95"/>
    <w:rsid w:val="00013210"/>
    <w:rsid w:val="00013949"/>
    <w:rsid w:val="00013B94"/>
    <w:rsid w:val="00013CB1"/>
    <w:rsid w:val="0001411C"/>
    <w:rsid w:val="00014406"/>
    <w:rsid w:val="000148F5"/>
    <w:rsid w:val="00014D32"/>
    <w:rsid w:val="00014D9C"/>
    <w:rsid w:val="00014F1F"/>
    <w:rsid w:val="000151E1"/>
    <w:rsid w:val="0001548A"/>
    <w:rsid w:val="0001588F"/>
    <w:rsid w:val="0001594D"/>
    <w:rsid w:val="00015969"/>
    <w:rsid w:val="00015A01"/>
    <w:rsid w:val="00015F67"/>
    <w:rsid w:val="000161E7"/>
    <w:rsid w:val="000162D6"/>
    <w:rsid w:val="0001634E"/>
    <w:rsid w:val="00016C89"/>
    <w:rsid w:val="00016CE0"/>
    <w:rsid w:val="00016F32"/>
    <w:rsid w:val="00017033"/>
    <w:rsid w:val="0001709E"/>
    <w:rsid w:val="00017242"/>
    <w:rsid w:val="00017655"/>
    <w:rsid w:val="00017814"/>
    <w:rsid w:val="00017912"/>
    <w:rsid w:val="00020240"/>
    <w:rsid w:val="00020685"/>
    <w:rsid w:val="0002085A"/>
    <w:rsid w:val="000209AF"/>
    <w:rsid w:val="00020A2A"/>
    <w:rsid w:val="00020B46"/>
    <w:rsid w:val="00020D81"/>
    <w:rsid w:val="00020DCA"/>
    <w:rsid w:val="00020E43"/>
    <w:rsid w:val="00020F8F"/>
    <w:rsid w:val="00020FEF"/>
    <w:rsid w:val="00021480"/>
    <w:rsid w:val="000215B4"/>
    <w:rsid w:val="0002191B"/>
    <w:rsid w:val="00021FB3"/>
    <w:rsid w:val="000222DA"/>
    <w:rsid w:val="000223CC"/>
    <w:rsid w:val="000223D4"/>
    <w:rsid w:val="000228F0"/>
    <w:rsid w:val="00022C8E"/>
    <w:rsid w:val="00022FFD"/>
    <w:rsid w:val="00023288"/>
    <w:rsid w:val="000234F5"/>
    <w:rsid w:val="00023ABB"/>
    <w:rsid w:val="00024987"/>
    <w:rsid w:val="00024C31"/>
    <w:rsid w:val="00024DD1"/>
    <w:rsid w:val="0002550B"/>
    <w:rsid w:val="00025686"/>
    <w:rsid w:val="0002585B"/>
    <w:rsid w:val="00025B09"/>
    <w:rsid w:val="00025B28"/>
    <w:rsid w:val="000261D5"/>
    <w:rsid w:val="00026393"/>
    <w:rsid w:val="00026E4B"/>
    <w:rsid w:val="00026EB8"/>
    <w:rsid w:val="0002723A"/>
    <w:rsid w:val="0002744F"/>
    <w:rsid w:val="00027EE5"/>
    <w:rsid w:val="0003099C"/>
    <w:rsid w:val="00030EB6"/>
    <w:rsid w:val="000310BE"/>
    <w:rsid w:val="00031569"/>
    <w:rsid w:val="00031D84"/>
    <w:rsid w:val="00031E93"/>
    <w:rsid w:val="0003242A"/>
    <w:rsid w:val="000329B9"/>
    <w:rsid w:val="00033A47"/>
    <w:rsid w:val="00033CB2"/>
    <w:rsid w:val="0003420F"/>
    <w:rsid w:val="00034C9A"/>
    <w:rsid w:val="00034E7E"/>
    <w:rsid w:val="00034F3D"/>
    <w:rsid w:val="00035038"/>
    <w:rsid w:val="0003588B"/>
    <w:rsid w:val="00035F25"/>
    <w:rsid w:val="000364F0"/>
    <w:rsid w:val="00036573"/>
    <w:rsid w:val="000367CE"/>
    <w:rsid w:val="00036B71"/>
    <w:rsid w:val="00036D41"/>
    <w:rsid w:val="00036F47"/>
    <w:rsid w:val="00037014"/>
    <w:rsid w:val="00037055"/>
    <w:rsid w:val="000378DC"/>
    <w:rsid w:val="00037D7E"/>
    <w:rsid w:val="0004071F"/>
    <w:rsid w:val="00040810"/>
    <w:rsid w:val="00040A31"/>
    <w:rsid w:val="00040FEB"/>
    <w:rsid w:val="00041336"/>
    <w:rsid w:val="000413FE"/>
    <w:rsid w:val="000416ED"/>
    <w:rsid w:val="00041A47"/>
    <w:rsid w:val="00041EFA"/>
    <w:rsid w:val="000426DB"/>
    <w:rsid w:val="00042737"/>
    <w:rsid w:val="00043401"/>
    <w:rsid w:val="00043412"/>
    <w:rsid w:val="00044438"/>
    <w:rsid w:val="00044B34"/>
    <w:rsid w:val="00044C58"/>
    <w:rsid w:val="00044CB4"/>
    <w:rsid w:val="00045593"/>
    <w:rsid w:val="000458AD"/>
    <w:rsid w:val="00045B36"/>
    <w:rsid w:val="00045E8B"/>
    <w:rsid w:val="00045EB8"/>
    <w:rsid w:val="00046422"/>
    <w:rsid w:val="0004679E"/>
    <w:rsid w:val="00046B7E"/>
    <w:rsid w:val="00046B82"/>
    <w:rsid w:val="00046D1C"/>
    <w:rsid w:val="00046D8A"/>
    <w:rsid w:val="00046E6A"/>
    <w:rsid w:val="00046FA7"/>
    <w:rsid w:val="000470E6"/>
    <w:rsid w:val="000472A4"/>
    <w:rsid w:val="000472AB"/>
    <w:rsid w:val="000472AE"/>
    <w:rsid w:val="0004766D"/>
    <w:rsid w:val="000478E0"/>
    <w:rsid w:val="00047B4A"/>
    <w:rsid w:val="00047C1D"/>
    <w:rsid w:val="000510D0"/>
    <w:rsid w:val="000510FD"/>
    <w:rsid w:val="00051151"/>
    <w:rsid w:val="0005165E"/>
    <w:rsid w:val="00051A17"/>
    <w:rsid w:val="000523DA"/>
    <w:rsid w:val="0005251A"/>
    <w:rsid w:val="00052A46"/>
    <w:rsid w:val="00052BAE"/>
    <w:rsid w:val="00052D81"/>
    <w:rsid w:val="000531F7"/>
    <w:rsid w:val="00053329"/>
    <w:rsid w:val="000535D2"/>
    <w:rsid w:val="00053601"/>
    <w:rsid w:val="00053720"/>
    <w:rsid w:val="00053CED"/>
    <w:rsid w:val="00053D71"/>
    <w:rsid w:val="000541A0"/>
    <w:rsid w:val="000541C1"/>
    <w:rsid w:val="00054407"/>
    <w:rsid w:val="00054419"/>
    <w:rsid w:val="00054436"/>
    <w:rsid w:val="00054749"/>
    <w:rsid w:val="00054944"/>
    <w:rsid w:val="000549B1"/>
    <w:rsid w:val="00054F7A"/>
    <w:rsid w:val="000557AD"/>
    <w:rsid w:val="000557B9"/>
    <w:rsid w:val="000558B2"/>
    <w:rsid w:val="00055E51"/>
    <w:rsid w:val="00055EF9"/>
    <w:rsid w:val="00056309"/>
    <w:rsid w:val="000565B1"/>
    <w:rsid w:val="0005683B"/>
    <w:rsid w:val="000569E8"/>
    <w:rsid w:val="00057057"/>
    <w:rsid w:val="0005735C"/>
    <w:rsid w:val="000573BD"/>
    <w:rsid w:val="000573F4"/>
    <w:rsid w:val="00057604"/>
    <w:rsid w:val="0005778D"/>
    <w:rsid w:val="000610F9"/>
    <w:rsid w:val="00061284"/>
    <w:rsid w:val="00061850"/>
    <w:rsid w:val="000624EF"/>
    <w:rsid w:val="000629CD"/>
    <w:rsid w:val="0006309C"/>
    <w:rsid w:val="000634BD"/>
    <w:rsid w:val="0006405C"/>
    <w:rsid w:val="00064454"/>
    <w:rsid w:val="000648F7"/>
    <w:rsid w:val="00064A47"/>
    <w:rsid w:val="00064BB4"/>
    <w:rsid w:val="00064C85"/>
    <w:rsid w:val="00065226"/>
    <w:rsid w:val="00065736"/>
    <w:rsid w:val="000657F4"/>
    <w:rsid w:val="00065DB6"/>
    <w:rsid w:val="00065F47"/>
    <w:rsid w:val="000663E7"/>
    <w:rsid w:val="00066935"/>
    <w:rsid w:val="00066A94"/>
    <w:rsid w:val="00066BE2"/>
    <w:rsid w:val="00066E55"/>
    <w:rsid w:val="00066FE8"/>
    <w:rsid w:val="000673D1"/>
    <w:rsid w:val="00067AFE"/>
    <w:rsid w:val="000701DF"/>
    <w:rsid w:val="0007038C"/>
    <w:rsid w:val="000706F8"/>
    <w:rsid w:val="00070DC6"/>
    <w:rsid w:val="00070FF8"/>
    <w:rsid w:val="00070FFD"/>
    <w:rsid w:val="0007112E"/>
    <w:rsid w:val="000711D9"/>
    <w:rsid w:val="000716A0"/>
    <w:rsid w:val="00071953"/>
    <w:rsid w:val="00071F02"/>
    <w:rsid w:val="0007205B"/>
    <w:rsid w:val="0007258E"/>
    <w:rsid w:val="00072883"/>
    <w:rsid w:val="00072D88"/>
    <w:rsid w:val="0007305F"/>
    <w:rsid w:val="00073128"/>
    <w:rsid w:val="000731DA"/>
    <w:rsid w:val="00073200"/>
    <w:rsid w:val="00073413"/>
    <w:rsid w:val="00073695"/>
    <w:rsid w:val="00073BBA"/>
    <w:rsid w:val="00073C25"/>
    <w:rsid w:val="00073D07"/>
    <w:rsid w:val="00073E25"/>
    <w:rsid w:val="00073EDD"/>
    <w:rsid w:val="0007408B"/>
    <w:rsid w:val="00074AD9"/>
    <w:rsid w:val="00075161"/>
    <w:rsid w:val="00075677"/>
    <w:rsid w:val="0007596A"/>
    <w:rsid w:val="000767F9"/>
    <w:rsid w:val="00076C1A"/>
    <w:rsid w:val="00076E84"/>
    <w:rsid w:val="00076F62"/>
    <w:rsid w:val="000771D8"/>
    <w:rsid w:val="000777D8"/>
    <w:rsid w:val="00077F6A"/>
    <w:rsid w:val="00080878"/>
    <w:rsid w:val="00080BB7"/>
    <w:rsid w:val="00080C6A"/>
    <w:rsid w:val="000814B6"/>
    <w:rsid w:val="000815C0"/>
    <w:rsid w:val="0008193F"/>
    <w:rsid w:val="0008251E"/>
    <w:rsid w:val="0008328F"/>
    <w:rsid w:val="00083798"/>
    <w:rsid w:val="00083942"/>
    <w:rsid w:val="00083B4F"/>
    <w:rsid w:val="00083CE8"/>
    <w:rsid w:val="0008445E"/>
    <w:rsid w:val="000844D8"/>
    <w:rsid w:val="0008466F"/>
    <w:rsid w:val="00084860"/>
    <w:rsid w:val="00084E3A"/>
    <w:rsid w:val="00084F18"/>
    <w:rsid w:val="00084FFB"/>
    <w:rsid w:val="0008537D"/>
    <w:rsid w:val="000857EA"/>
    <w:rsid w:val="00085C5D"/>
    <w:rsid w:val="00085F83"/>
    <w:rsid w:val="00085FFB"/>
    <w:rsid w:val="00086392"/>
    <w:rsid w:val="00086411"/>
    <w:rsid w:val="00086A30"/>
    <w:rsid w:val="00086AE6"/>
    <w:rsid w:val="00086D0B"/>
    <w:rsid w:val="00086DB8"/>
    <w:rsid w:val="000871A4"/>
    <w:rsid w:val="0008765C"/>
    <w:rsid w:val="0008768F"/>
    <w:rsid w:val="00087C06"/>
    <w:rsid w:val="00087D18"/>
    <w:rsid w:val="00087F65"/>
    <w:rsid w:val="000900DD"/>
    <w:rsid w:val="00090CC6"/>
    <w:rsid w:val="00091096"/>
    <w:rsid w:val="00091479"/>
    <w:rsid w:val="00091623"/>
    <w:rsid w:val="00091937"/>
    <w:rsid w:val="00092292"/>
    <w:rsid w:val="00092371"/>
    <w:rsid w:val="00092384"/>
    <w:rsid w:val="00092390"/>
    <w:rsid w:val="00092600"/>
    <w:rsid w:val="0009264A"/>
    <w:rsid w:val="000926F5"/>
    <w:rsid w:val="00092744"/>
    <w:rsid w:val="00092ABD"/>
    <w:rsid w:val="00092F54"/>
    <w:rsid w:val="000931E3"/>
    <w:rsid w:val="00093344"/>
    <w:rsid w:val="00094032"/>
    <w:rsid w:val="000949D9"/>
    <w:rsid w:val="00094D6F"/>
    <w:rsid w:val="00094E19"/>
    <w:rsid w:val="00095033"/>
    <w:rsid w:val="0009505B"/>
    <w:rsid w:val="00095223"/>
    <w:rsid w:val="000958FA"/>
    <w:rsid w:val="00095B13"/>
    <w:rsid w:val="00095C70"/>
    <w:rsid w:val="00095CD4"/>
    <w:rsid w:val="00095DCE"/>
    <w:rsid w:val="00095F52"/>
    <w:rsid w:val="000960C9"/>
    <w:rsid w:val="00096187"/>
    <w:rsid w:val="00096395"/>
    <w:rsid w:val="000966DC"/>
    <w:rsid w:val="000966FC"/>
    <w:rsid w:val="0009685B"/>
    <w:rsid w:val="00096E2E"/>
    <w:rsid w:val="00097671"/>
    <w:rsid w:val="0009781B"/>
    <w:rsid w:val="00097B3E"/>
    <w:rsid w:val="00097DFE"/>
    <w:rsid w:val="000A03F0"/>
    <w:rsid w:val="000A0614"/>
    <w:rsid w:val="000A065D"/>
    <w:rsid w:val="000A0A19"/>
    <w:rsid w:val="000A0BCD"/>
    <w:rsid w:val="000A1364"/>
    <w:rsid w:val="000A1505"/>
    <w:rsid w:val="000A2032"/>
    <w:rsid w:val="000A21AA"/>
    <w:rsid w:val="000A2F11"/>
    <w:rsid w:val="000A35F4"/>
    <w:rsid w:val="000A37E4"/>
    <w:rsid w:val="000A38C8"/>
    <w:rsid w:val="000A3F13"/>
    <w:rsid w:val="000A42F3"/>
    <w:rsid w:val="000A4607"/>
    <w:rsid w:val="000A4B5C"/>
    <w:rsid w:val="000A4C46"/>
    <w:rsid w:val="000A5AF1"/>
    <w:rsid w:val="000A60C1"/>
    <w:rsid w:val="000A6527"/>
    <w:rsid w:val="000A690C"/>
    <w:rsid w:val="000A692D"/>
    <w:rsid w:val="000A6EB3"/>
    <w:rsid w:val="000A7078"/>
    <w:rsid w:val="000A76CC"/>
    <w:rsid w:val="000A770A"/>
    <w:rsid w:val="000A7776"/>
    <w:rsid w:val="000A7ED7"/>
    <w:rsid w:val="000A7F96"/>
    <w:rsid w:val="000A7FB5"/>
    <w:rsid w:val="000B0C15"/>
    <w:rsid w:val="000B158F"/>
    <w:rsid w:val="000B1DF9"/>
    <w:rsid w:val="000B1F13"/>
    <w:rsid w:val="000B2688"/>
    <w:rsid w:val="000B2948"/>
    <w:rsid w:val="000B2B80"/>
    <w:rsid w:val="000B2BE0"/>
    <w:rsid w:val="000B2C1E"/>
    <w:rsid w:val="000B3928"/>
    <w:rsid w:val="000B3FB4"/>
    <w:rsid w:val="000B4F29"/>
    <w:rsid w:val="000B5487"/>
    <w:rsid w:val="000B5DF8"/>
    <w:rsid w:val="000B6793"/>
    <w:rsid w:val="000B71E3"/>
    <w:rsid w:val="000B7455"/>
    <w:rsid w:val="000B75BC"/>
    <w:rsid w:val="000B77E2"/>
    <w:rsid w:val="000B7B6C"/>
    <w:rsid w:val="000B7B98"/>
    <w:rsid w:val="000C00A4"/>
    <w:rsid w:val="000C00C0"/>
    <w:rsid w:val="000C0968"/>
    <w:rsid w:val="000C0B2D"/>
    <w:rsid w:val="000C0C44"/>
    <w:rsid w:val="000C143E"/>
    <w:rsid w:val="000C1763"/>
    <w:rsid w:val="000C1826"/>
    <w:rsid w:val="000C1D6F"/>
    <w:rsid w:val="000C2977"/>
    <w:rsid w:val="000C306E"/>
    <w:rsid w:val="000C3C6D"/>
    <w:rsid w:val="000C3E76"/>
    <w:rsid w:val="000C409A"/>
    <w:rsid w:val="000C4350"/>
    <w:rsid w:val="000C4AD1"/>
    <w:rsid w:val="000C4B2D"/>
    <w:rsid w:val="000C4BFD"/>
    <w:rsid w:val="000C4F41"/>
    <w:rsid w:val="000C534B"/>
    <w:rsid w:val="000C546D"/>
    <w:rsid w:val="000C5500"/>
    <w:rsid w:val="000C5AEA"/>
    <w:rsid w:val="000C5FB7"/>
    <w:rsid w:val="000C608B"/>
    <w:rsid w:val="000C6994"/>
    <w:rsid w:val="000C70C3"/>
    <w:rsid w:val="000C742F"/>
    <w:rsid w:val="000C7788"/>
    <w:rsid w:val="000C7BC6"/>
    <w:rsid w:val="000D03AF"/>
    <w:rsid w:val="000D06FF"/>
    <w:rsid w:val="000D096D"/>
    <w:rsid w:val="000D0BAC"/>
    <w:rsid w:val="000D0D75"/>
    <w:rsid w:val="000D1200"/>
    <w:rsid w:val="000D1636"/>
    <w:rsid w:val="000D1965"/>
    <w:rsid w:val="000D19BF"/>
    <w:rsid w:val="000D1A1F"/>
    <w:rsid w:val="000D1D3B"/>
    <w:rsid w:val="000D1E31"/>
    <w:rsid w:val="000D2338"/>
    <w:rsid w:val="000D27AA"/>
    <w:rsid w:val="000D2933"/>
    <w:rsid w:val="000D3183"/>
    <w:rsid w:val="000D32FB"/>
    <w:rsid w:val="000D3C7D"/>
    <w:rsid w:val="000D3CE1"/>
    <w:rsid w:val="000D3E55"/>
    <w:rsid w:val="000D41DA"/>
    <w:rsid w:val="000D453B"/>
    <w:rsid w:val="000D4638"/>
    <w:rsid w:val="000D4C7A"/>
    <w:rsid w:val="000D5046"/>
    <w:rsid w:val="000D539D"/>
    <w:rsid w:val="000D5724"/>
    <w:rsid w:val="000D5B35"/>
    <w:rsid w:val="000D648D"/>
    <w:rsid w:val="000D654F"/>
    <w:rsid w:val="000D6806"/>
    <w:rsid w:val="000D6C35"/>
    <w:rsid w:val="000D6DAD"/>
    <w:rsid w:val="000D72FE"/>
    <w:rsid w:val="000D735B"/>
    <w:rsid w:val="000D7DEE"/>
    <w:rsid w:val="000E0050"/>
    <w:rsid w:val="000E00F2"/>
    <w:rsid w:val="000E0311"/>
    <w:rsid w:val="000E09BE"/>
    <w:rsid w:val="000E09D5"/>
    <w:rsid w:val="000E0A53"/>
    <w:rsid w:val="000E0FBC"/>
    <w:rsid w:val="000E1722"/>
    <w:rsid w:val="000E1D2B"/>
    <w:rsid w:val="000E24DE"/>
    <w:rsid w:val="000E2939"/>
    <w:rsid w:val="000E2B61"/>
    <w:rsid w:val="000E2D1D"/>
    <w:rsid w:val="000E2D8F"/>
    <w:rsid w:val="000E2F87"/>
    <w:rsid w:val="000E305C"/>
    <w:rsid w:val="000E36DD"/>
    <w:rsid w:val="000E3FDA"/>
    <w:rsid w:val="000E492B"/>
    <w:rsid w:val="000E4A1F"/>
    <w:rsid w:val="000E4A54"/>
    <w:rsid w:val="000E4B88"/>
    <w:rsid w:val="000E4BED"/>
    <w:rsid w:val="000E4FF7"/>
    <w:rsid w:val="000E5AE5"/>
    <w:rsid w:val="000E6A03"/>
    <w:rsid w:val="000E6D9D"/>
    <w:rsid w:val="000E6F1D"/>
    <w:rsid w:val="000E7110"/>
    <w:rsid w:val="000E79C7"/>
    <w:rsid w:val="000E7B68"/>
    <w:rsid w:val="000E7EE9"/>
    <w:rsid w:val="000F0155"/>
    <w:rsid w:val="000F09C5"/>
    <w:rsid w:val="000F0D85"/>
    <w:rsid w:val="000F137C"/>
    <w:rsid w:val="000F1D43"/>
    <w:rsid w:val="000F2540"/>
    <w:rsid w:val="000F2904"/>
    <w:rsid w:val="000F292B"/>
    <w:rsid w:val="000F29D8"/>
    <w:rsid w:val="000F2BEF"/>
    <w:rsid w:val="000F2BF7"/>
    <w:rsid w:val="000F2D61"/>
    <w:rsid w:val="000F2E18"/>
    <w:rsid w:val="000F34DC"/>
    <w:rsid w:val="000F34FC"/>
    <w:rsid w:val="000F4094"/>
    <w:rsid w:val="000F4144"/>
    <w:rsid w:val="000F419C"/>
    <w:rsid w:val="000F4451"/>
    <w:rsid w:val="000F44EB"/>
    <w:rsid w:val="000F4524"/>
    <w:rsid w:val="000F459A"/>
    <w:rsid w:val="000F484A"/>
    <w:rsid w:val="000F4F39"/>
    <w:rsid w:val="000F5013"/>
    <w:rsid w:val="000F518B"/>
    <w:rsid w:val="000F539E"/>
    <w:rsid w:val="000F53E6"/>
    <w:rsid w:val="000F54E1"/>
    <w:rsid w:val="000F54EC"/>
    <w:rsid w:val="000F5654"/>
    <w:rsid w:val="000F59D2"/>
    <w:rsid w:val="000F5A80"/>
    <w:rsid w:val="000F5EF4"/>
    <w:rsid w:val="000F6992"/>
    <w:rsid w:val="000F6D5A"/>
    <w:rsid w:val="000F7D51"/>
    <w:rsid w:val="000F7E7A"/>
    <w:rsid w:val="000F7F57"/>
    <w:rsid w:val="00100101"/>
    <w:rsid w:val="0010013C"/>
    <w:rsid w:val="00100437"/>
    <w:rsid w:val="00100574"/>
    <w:rsid w:val="001006F0"/>
    <w:rsid w:val="00100B90"/>
    <w:rsid w:val="00100BF3"/>
    <w:rsid w:val="001014D6"/>
    <w:rsid w:val="00101745"/>
    <w:rsid w:val="00101F3D"/>
    <w:rsid w:val="001021ED"/>
    <w:rsid w:val="0010229C"/>
    <w:rsid w:val="001026AA"/>
    <w:rsid w:val="0010271C"/>
    <w:rsid w:val="00102922"/>
    <w:rsid w:val="00102AA3"/>
    <w:rsid w:val="00103071"/>
    <w:rsid w:val="0010309D"/>
    <w:rsid w:val="0010350F"/>
    <w:rsid w:val="00103A52"/>
    <w:rsid w:val="00103CDE"/>
    <w:rsid w:val="00103E65"/>
    <w:rsid w:val="001048B3"/>
    <w:rsid w:val="00105084"/>
    <w:rsid w:val="00105104"/>
    <w:rsid w:val="00105193"/>
    <w:rsid w:val="00105696"/>
    <w:rsid w:val="00105730"/>
    <w:rsid w:val="0010574B"/>
    <w:rsid w:val="001057C5"/>
    <w:rsid w:val="00105981"/>
    <w:rsid w:val="00105D55"/>
    <w:rsid w:val="001061E3"/>
    <w:rsid w:val="00106537"/>
    <w:rsid w:val="00106815"/>
    <w:rsid w:val="00106B32"/>
    <w:rsid w:val="001072D2"/>
    <w:rsid w:val="001075B6"/>
    <w:rsid w:val="00107ACC"/>
    <w:rsid w:val="00107C16"/>
    <w:rsid w:val="0011019B"/>
    <w:rsid w:val="001102D6"/>
    <w:rsid w:val="001112D8"/>
    <w:rsid w:val="00111544"/>
    <w:rsid w:val="00111E5B"/>
    <w:rsid w:val="00112433"/>
    <w:rsid w:val="0011244B"/>
    <w:rsid w:val="001124EF"/>
    <w:rsid w:val="00112928"/>
    <w:rsid w:val="001130FA"/>
    <w:rsid w:val="0011311C"/>
    <w:rsid w:val="001133C8"/>
    <w:rsid w:val="00113780"/>
    <w:rsid w:val="00113BBC"/>
    <w:rsid w:val="00113CCF"/>
    <w:rsid w:val="00113F75"/>
    <w:rsid w:val="001147D6"/>
    <w:rsid w:val="00114C0A"/>
    <w:rsid w:val="00114D80"/>
    <w:rsid w:val="00114EFC"/>
    <w:rsid w:val="00114FE8"/>
    <w:rsid w:val="0011505C"/>
    <w:rsid w:val="0011512D"/>
    <w:rsid w:val="00115FD9"/>
    <w:rsid w:val="0011606B"/>
    <w:rsid w:val="00116A14"/>
    <w:rsid w:val="00116C8C"/>
    <w:rsid w:val="00116D79"/>
    <w:rsid w:val="00116E83"/>
    <w:rsid w:val="0011769C"/>
    <w:rsid w:val="00117CE1"/>
    <w:rsid w:val="00120046"/>
    <w:rsid w:val="001204F6"/>
    <w:rsid w:val="0012071C"/>
    <w:rsid w:val="00120C2F"/>
    <w:rsid w:val="001211C2"/>
    <w:rsid w:val="0012191E"/>
    <w:rsid w:val="00121931"/>
    <w:rsid w:val="00121C24"/>
    <w:rsid w:val="0012221C"/>
    <w:rsid w:val="00122641"/>
    <w:rsid w:val="00122CCF"/>
    <w:rsid w:val="00122E0F"/>
    <w:rsid w:val="00122E60"/>
    <w:rsid w:val="00123068"/>
    <w:rsid w:val="001238CC"/>
    <w:rsid w:val="001239C2"/>
    <w:rsid w:val="00123F8E"/>
    <w:rsid w:val="00124138"/>
    <w:rsid w:val="001242FA"/>
    <w:rsid w:val="00124761"/>
    <w:rsid w:val="00124A50"/>
    <w:rsid w:val="00124C91"/>
    <w:rsid w:val="00124D47"/>
    <w:rsid w:val="001250E6"/>
    <w:rsid w:val="00125195"/>
    <w:rsid w:val="0012522C"/>
    <w:rsid w:val="00126152"/>
    <w:rsid w:val="00126357"/>
    <w:rsid w:val="0012697D"/>
    <w:rsid w:val="00126DFE"/>
    <w:rsid w:val="001270AB"/>
    <w:rsid w:val="001270E8"/>
    <w:rsid w:val="0012728A"/>
    <w:rsid w:val="001273AC"/>
    <w:rsid w:val="00127623"/>
    <w:rsid w:val="00127C7C"/>
    <w:rsid w:val="00127FC5"/>
    <w:rsid w:val="001303BA"/>
    <w:rsid w:val="001307AF"/>
    <w:rsid w:val="00130C69"/>
    <w:rsid w:val="00130D01"/>
    <w:rsid w:val="00130D74"/>
    <w:rsid w:val="00130DBB"/>
    <w:rsid w:val="0013139B"/>
    <w:rsid w:val="001318C9"/>
    <w:rsid w:val="00131B43"/>
    <w:rsid w:val="0013213D"/>
    <w:rsid w:val="00132193"/>
    <w:rsid w:val="00132429"/>
    <w:rsid w:val="001326DD"/>
    <w:rsid w:val="00132E27"/>
    <w:rsid w:val="00133092"/>
    <w:rsid w:val="00133250"/>
    <w:rsid w:val="0013332F"/>
    <w:rsid w:val="00133788"/>
    <w:rsid w:val="00133878"/>
    <w:rsid w:val="00133C9E"/>
    <w:rsid w:val="00133CA1"/>
    <w:rsid w:val="00134187"/>
    <w:rsid w:val="00134324"/>
    <w:rsid w:val="001345C7"/>
    <w:rsid w:val="00134AC5"/>
    <w:rsid w:val="001350BC"/>
    <w:rsid w:val="0013531D"/>
    <w:rsid w:val="0013568B"/>
    <w:rsid w:val="00135A7F"/>
    <w:rsid w:val="00135BF5"/>
    <w:rsid w:val="00135C3C"/>
    <w:rsid w:val="00135C86"/>
    <w:rsid w:val="00135DEF"/>
    <w:rsid w:val="00135E13"/>
    <w:rsid w:val="00136241"/>
    <w:rsid w:val="0013672D"/>
    <w:rsid w:val="00136A22"/>
    <w:rsid w:val="001373D6"/>
    <w:rsid w:val="00137880"/>
    <w:rsid w:val="00137A60"/>
    <w:rsid w:val="00137B26"/>
    <w:rsid w:val="001401EC"/>
    <w:rsid w:val="00140268"/>
    <w:rsid w:val="001405A7"/>
    <w:rsid w:val="00140679"/>
    <w:rsid w:val="00140E12"/>
    <w:rsid w:val="00141115"/>
    <w:rsid w:val="001414D9"/>
    <w:rsid w:val="00141753"/>
    <w:rsid w:val="0014179B"/>
    <w:rsid w:val="00141877"/>
    <w:rsid w:val="00141882"/>
    <w:rsid w:val="00141BB9"/>
    <w:rsid w:val="00141D42"/>
    <w:rsid w:val="00141DF0"/>
    <w:rsid w:val="0014205C"/>
    <w:rsid w:val="0014209E"/>
    <w:rsid w:val="001426A0"/>
    <w:rsid w:val="0014278C"/>
    <w:rsid w:val="00142D3A"/>
    <w:rsid w:val="001433FD"/>
    <w:rsid w:val="00143C68"/>
    <w:rsid w:val="00143E12"/>
    <w:rsid w:val="00143F43"/>
    <w:rsid w:val="00144064"/>
    <w:rsid w:val="00144166"/>
    <w:rsid w:val="00144788"/>
    <w:rsid w:val="00144E09"/>
    <w:rsid w:val="00144EF6"/>
    <w:rsid w:val="00145013"/>
    <w:rsid w:val="00145272"/>
    <w:rsid w:val="001456DB"/>
    <w:rsid w:val="001457F2"/>
    <w:rsid w:val="0014597E"/>
    <w:rsid w:val="00145988"/>
    <w:rsid w:val="00145E10"/>
    <w:rsid w:val="00145EDC"/>
    <w:rsid w:val="0014653E"/>
    <w:rsid w:val="00146AC1"/>
    <w:rsid w:val="00146D58"/>
    <w:rsid w:val="00146E12"/>
    <w:rsid w:val="00146E2A"/>
    <w:rsid w:val="00146E47"/>
    <w:rsid w:val="00147415"/>
    <w:rsid w:val="001479C8"/>
    <w:rsid w:val="0015003D"/>
    <w:rsid w:val="001500E0"/>
    <w:rsid w:val="001504D7"/>
    <w:rsid w:val="00150989"/>
    <w:rsid w:val="001509E0"/>
    <w:rsid w:val="00150A78"/>
    <w:rsid w:val="00150B11"/>
    <w:rsid w:val="00150C20"/>
    <w:rsid w:val="00151005"/>
    <w:rsid w:val="001517E8"/>
    <w:rsid w:val="00151AFE"/>
    <w:rsid w:val="0015205D"/>
    <w:rsid w:val="001522E5"/>
    <w:rsid w:val="0015320B"/>
    <w:rsid w:val="00153694"/>
    <w:rsid w:val="001543B3"/>
    <w:rsid w:val="00154825"/>
    <w:rsid w:val="00154E19"/>
    <w:rsid w:val="001550FF"/>
    <w:rsid w:val="00155E20"/>
    <w:rsid w:val="00156222"/>
    <w:rsid w:val="00156405"/>
    <w:rsid w:val="0015662E"/>
    <w:rsid w:val="0015684A"/>
    <w:rsid w:val="00156A73"/>
    <w:rsid w:val="00156EF9"/>
    <w:rsid w:val="001572C5"/>
    <w:rsid w:val="0015738F"/>
    <w:rsid w:val="0015769D"/>
    <w:rsid w:val="0015786D"/>
    <w:rsid w:val="00157B13"/>
    <w:rsid w:val="00157F2B"/>
    <w:rsid w:val="0016005F"/>
    <w:rsid w:val="00160074"/>
    <w:rsid w:val="001606BC"/>
    <w:rsid w:val="00160760"/>
    <w:rsid w:val="00160AD0"/>
    <w:rsid w:val="00160F0A"/>
    <w:rsid w:val="0016115A"/>
    <w:rsid w:val="00161D03"/>
    <w:rsid w:val="00161E30"/>
    <w:rsid w:val="0016272F"/>
    <w:rsid w:val="00162A88"/>
    <w:rsid w:val="00163258"/>
    <w:rsid w:val="0016331E"/>
    <w:rsid w:val="0016343D"/>
    <w:rsid w:val="001636CF"/>
    <w:rsid w:val="001636E2"/>
    <w:rsid w:val="00163AA3"/>
    <w:rsid w:val="00163DE9"/>
    <w:rsid w:val="00164085"/>
    <w:rsid w:val="001642A5"/>
    <w:rsid w:val="0016441E"/>
    <w:rsid w:val="00164715"/>
    <w:rsid w:val="00164719"/>
    <w:rsid w:val="00164AC2"/>
    <w:rsid w:val="00164C98"/>
    <w:rsid w:val="00164FC7"/>
    <w:rsid w:val="001652A6"/>
    <w:rsid w:val="00165827"/>
    <w:rsid w:val="00165A6F"/>
    <w:rsid w:val="00165E3F"/>
    <w:rsid w:val="00166006"/>
    <w:rsid w:val="00166E65"/>
    <w:rsid w:val="00167098"/>
    <w:rsid w:val="00167415"/>
    <w:rsid w:val="001677C7"/>
    <w:rsid w:val="001677F7"/>
    <w:rsid w:val="001679F1"/>
    <w:rsid w:val="00167FE3"/>
    <w:rsid w:val="00170098"/>
    <w:rsid w:val="001701B3"/>
    <w:rsid w:val="00170264"/>
    <w:rsid w:val="001704F7"/>
    <w:rsid w:val="00170E3D"/>
    <w:rsid w:val="00170E6B"/>
    <w:rsid w:val="00170F08"/>
    <w:rsid w:val="00170F43"/>
    <w:rsid w:val="0017180F"/>
    <w:rsid w:val="0017250C"/>
    <w:rsid w:val="001725D4"/>
    <w:rsid w:val="00172C11"/>
    <w:rsid w:val="00172D22"/>
    <w:rsid w:val="00172F6F"/>
    <w:rsid w:val="00173426"/>
    <w:rsid w:val="001736BE"/>
    <w:rsid w:val="00173B07"/>
    <w:rsid w:val="00173BD5"/>
    <w:rsid w:val="00173EDA"/>
    <w:rsid w:val="00174052"/>
    <w:rsid w:val="0017455C"/>
    <w:rsid w:val="00174B30"/>
    <w:rsid w:val="00175025"/>
    <w:rsid w:val="00175CCF"/>
    <w:rsid w:val="00175F2D"/>
    <w:rsid w:val="00176003"/>
    <w:rsid w:val="00176A9D"/>
    <w:rsid w:val="00176AC4"/>
    <w:rsid w:val="00176FD5"/>
    <w:rsid w:val="00177311"/>
    <w:rsid w:val="00177765"/>
    <w:rsid w:val="00177A43"/>
    <w:rsid w:val="00177B31"/>
    <w:rsid w:val="00177BD0"/>
    <w:rsid w:val="00180E7F"/>
    <w:rsid w:val="001811B8"/>
    <w:rsid w:val="00181323"/>
    <w:rsid w:val="001818CE"/>
    <w:rsid w:val="00181CFB"/>
    <w:rsid w:val="00181E84"/>
    <w:rsid w:val="001827DB"/>
    <w:rsid w:val="00182BCA"/>
    <w:rsid w:val="00182BE6"/>
    <w:rsid w:val="00183823"/>
    <w:rsid w:val="00183D96"/>
    <w:rsid w:val="00183DE3"/>
    <w:rsid w:val="001840E5"/>
    <w:rsid w:val="00184430"/>
    <w:rsid w:val="001852EE"/>
    <w:rsid w:val="001854A7"/>
    <w:rsid w:val="00185519"/>
    <w:rsid w:val="00185B5E"/>
    <w:rsid w:val="00185B76"/>
    <w:rsid w:val="00185DDE"/>
    <w:rsid w:val="001865B9"/>
    <w:rsid w:val="001866E5"/>
    <w:rsid w:val="00186844"/>
    <w:rsid w:val="00186887"/>
    <w:rsid w:val="00187BC6"/>
    <w:rsid w:val="001900DD"/>
    <w:rsid w:val="001901A8"/>
    <w:rsid w:val="001904AE"/>
    <w:rsid w:val="001905ED"/>
    <w:rsid w:val="00191265"/>
    <w:rsid w:val="0019163A"/>
    <w:rsid w:val="0019214E"/>
    <w:rsid w:val="0019317E"/>
    <w:rsid w:val="0019318F"/>
    <w:rsid w:val="001937C2"/>
    <w:rsid w:val="00193B53"/>
    <w:rsid w:val="00193D9E"/>
    <w:rsid w:val="00193E0C"/>
    <w:rsid w:val="00193EF0"/>
    <w:rsid w:val="00194050"/>
    <w:rsid w:val="001941A0"/>
    <w:rsid w:val="001945D2"/>
    <w:rsid w:val="00194BBD"/>
    <w:rsid w:val="00195186"/>
    <w:rsid w:val="00195401"/>
    <w:rsid w:val="001954F6"/>
    <w:rsid w:val="0019559E"/>
    <w:rsid w:val="00196179"/>
    <w:rsid w:val="001964C8"/>
    <w:rsid w:val="001966A5"/>
    <w:rsid w:val="001968D2"/>
    <w:rsid w:val="0019696E"/>
    <w:rsid w:val="0019762A"/>
    <w:rsid w:val="00197706"/>
    <w:rsid w:val="001977C9"/>
    <w:rsid w:val="00197920"/>
    <w:rsid w:val="00197C2F"/>
    <w:rsid w:val="00197F3D"/>
    <w:rsid w:val="001A049F"/>
    <w:rsid w:val="001A0516"/>
    <w:rsid w:val="001A0F43"/>
    <w:rsid w:val="001A14A0"/>
    <w:rsid w:val="001A14B9"/>
    <w:rsid w:val="001A18D5"/>
    <w:rsid w:val="001A1AD3"/>
    <w:rsid w:val="001A20EB"/>
    <w:rsid w:val="001A2E6E"/>
    <w:rsid w:val="001A31F9"/>
    <w:rsid w:val="001A36A8"/>
    <w:rsid w:val="001A3899"/>
    <w:rsid w:val="001A3C6A"/>
    <w:rsid w:val="001A3F79"/>
    <w:rsid w:val="001A47A3"/>
    <w:rsid w:val="001A4A0C"/>
    <w:rsid w:val="001A4B4C"/>
    <w:rsid w:val="001A4C6C"/>
    <w:rsid w:val="001A53ED"/>
    <w:rsid w:val="001A556D"/>
    <w:rsid w:val="001A5711"/>
    <w:rsid w:val="001A5756"/>
    <w:rsid w:val="001A5804"/>
    <w:rsid w:val="001A599F"/>
    <w:rsid w:val="001A5B0A"/>
    <w:rsid w:val="001A5DA3"/>
    <w:rsid w:val="001A62E8"/>
    <w:rsid w:val="001A649B"/>
    <w:rsid w:val="001A6669"/>
    <w:rsid w:val="001A682A"/>
    <w:rsid w:val="001A6BC2"/>
    <w:rsid w:val="001A6C9E"/>
    <w:rsid w:val="001A6E4B"/>
    <w:rsid w:val="001A6FD4"/>
    <w:rsid w:val="001A70FC"/>
    <w:rsid w:val="001A7555"/>
    <w:rsid w:val="001A75AA"/>
    <w:rsid w:val="001A79DA"/>
    <w:rsid w:val="001A7BD0"/>
    <w:rsid w:val="001B00D9"/>
    <w:rsid w:val="001B037C"/>
    <w:rsid w:val="001B06BD"/>
    <w:rsid w:val="001B07E7"/>
    <w:rsid w:val="001B0F13"/>
    <w:rsid w:val="001B1B22"/>
    <w:rsid w:val="001B2132"/>
    <w:rsid w:val="001B27FD"/>
    <w:rsid w:val="001B2C0F"/>
    <w:rsid w:val="001B2F7B"/>
    <w:rsid w:val="001B3E05"/>
    <w:rsid w:val="001B3F16"/>
    <w:rsid w:val="001B423C"/>
    <w:rsid w:val="001B493B"/>
    <w:rsid w:val="001B4A84"/>
    <w:rsid w:val="001B4AE1"/>
    <w:rsid w:val="001B5117"/>
    <w:rsid w:val="001B51EB"/>
    <w:rsid w:val="001B5469"/>
    <w:rsid w:val="001B5851"/>
    <w:rsid w:val="001B5887"/>
    <w:rsid w:val="001B5A30"/>
    <w:rsid w:val="001B5CB0"/>
    <w:rsid w:val="001B5CD3"/>
    <w:rsid w:val="001B5CE3"/>
    <w:rsid w:val="001B6998"/>
    <w:rsid w:val="001B6C7B"/>
    <w:rsid w:val="001B765C"/>
    <w:rsid w:val="001B7A05"/>
    <w:rsid w:val="001B7CAB"/>
    <w:rsid w:val="001C037E"/>
    <w:rsid w:val="001C03F8"/>
    <w:rsid w:val="001C08F7"/>
    <w:rsid w:val="001C0962"/>
    <w:rsid w:val="001C098F"/>
    <w:rsid w:val="001C10C7"/>
    <w:rsid w:val="001C1147"/>
    <w:rsid w:val="001C1363"/>
    <w:rsid w:val="001C17DA"/>
    <w:rsid w:val="001C1CD9"/>
    <w:rsid w:val="001C1D2C"/>
    <w:rsid w:val="001C1DBD"/>
    <w:rsid w:val="001C24CD"/>
    <w:rsid w:val="001C287C"/>
    <w:rsid w:val="001C2903"/>
    <w:rsid w:val="001C2C07"/>
    <w:rsid w:val="001C3222"/>
    <w:rsid w:val="001C35AC"/>
    <w:rsid w:val="001C396E"/>
    <w:rsid w:val="001C3E01"/>
    <w:rsid w:val="001C42FD"/>
    <w:rsid w:val="001C4628"/>
    <w:rsid w:val="001C4B37"/>
    <w:rsid w:val="001C4CAD"/>
    <w:rsid w:val="001C4E21"/>
    <w:rsid w:val="001C50EE"/>
    <w:rsid w:val="001C53B1"/>
    <w:rsid w:val="001C53E5"/>
    <w:rsid w:val="001C5428"/>
    <w:rsid w:val="001C54C9"/>
    <w:rsid w:val="001C5DB8"/>
    <w:rsid w:val="001C659A"/>
    <w:rsid w:val="001C6BC7"/>
    <w:rsid w:val="001C6C27"/>
    <w:rsid w:val="001C6DC5"/>
    <w:rsid w:val="001C7858"/>
    <w:rsid w:val="001C7903"/>
    <w:rsid w:val="001C7E91"/>
    <w:rsid w:val="001C7F88"/>
    <w:rsid w:val="001C7FB3"/>
    <w:rsid w:val="001D01F1"/>
    <w:rsid w:val="001D02A2"/>
    <w:rsid w:val="001D03C3"/>
    <w:rsid w:val="001D054E"/>
    <w:rsid w:val="001D0E29"/>
    <w:rsid w:val="001D113E"/>
    <w:rsid w:val="001D12B6"/>
    <w:rsid w:val="001D132E"/>
    <w:rsid w:val="001D1510"/>
    <w:rsid w:val="001D182E"/>
    <w:rsid w:val="001D18E8"/>
    <w:rsid w:val="001D1AE7"/>
    <w:rsid w:val="001D1E08"/>
    <w:rsid w:val="001D1E81"/>
    <w:rsid w:val="001D2190"/>
    <w:rsid w:val="001D24BD"/>
    <w:rsid w:val="001D27A0"/>
    <w:rsid w:val="001D2B05"/>
    <w:rsid w:val="001D2BA1"/>
    <w:rsid w:val="001D2BAD"/>
    <w:rsid w:val="001D2DE7"/>
    <w:rsid w:val="001D346D"/>
    <w:rsid w:val="001D4038"/>
    <w:rsid w:val="001D4112"/>
    <w:rsid w:val="001D4131"/>
    <w:rsid w:val="001D4141"/>
    <w:rsid w:val="001D491F"/>
    <w:rsid w:val="001D4B76"/>
    <w:rsid w:val="001D4E57"/>
    <w:rsid w:val="001D50A5"/>
    <w:rsid w:val="001D52FA"/>
    <w:rsid w:val="001D5871"/>
    <w:rsid w:val="001D653A"/>
    <w:rsid w:val="001D6B9E"/>
    <w:rsid w:val="001D6C0D"/>
    <w:rsid w:val="001D6DC5"/>
    <w:rsid w:val="001D6E13"/>
    <w:rsid w:val="001D6FE6"/>
    <w:rsid w:val="001D701F"/>
    <w:rsid w:val="001D70A6"/>
    <w:rsid w:val="001D7137"/>
    <w:rsid w:val="001E0592"/>
    <w:rsid w:val="001E05C6"/>
    <w:rsid w:val="001E097A"/>
    <w:rsid w:val="001E0B29"/>
    <w:rsid w:val="001E0B3E"/>
    <w:rsid w:val="001E108A"/>
    <w:rsid w:val="001E19BC"/>
    <w:rsid w:val="001E1A53"/>
    <w:rsid w:val="001E256F"/>
    <w:rsid w:val="001E2CFB"/>
    <w:rsid w:val="001E3208"/>
    <w:rsid w:val="001E3574"/>
    <w:rsid w:val="001E4225"/>
    <w:rsid w:val="001E4421"/>
    <w:rsid w:val="001E4B91"/>
    <w:rsid w:val="001E51E3"/>
    <w:rsid w:val="001E5840"/>
    <w:rsid w:val="001E5B8E"/>
    <w:rsid w:val="001E5F95"/>
    <w:rsid w:val="001E656E"/>
    <w:rsid w:val="001E6730"/>
    <w:rsid w:val="001E68C8"/>
    <w:rsid w:val="001E69AF"/>
    <w:rsid w:val="001E6F28"/>
    <w:rsid w:val="001E6FCC"/>
    <w:rsid w:val="001E7D1D"/>
    <w:rsid w:val="001E7D5E"/>
    <w:rsid w:val="001F0488"/>
    <w:rsid w:val="001F0829"/>
    <w:rsid w:val="001F107C"/>
    <w:rsid w:val="001F122D"/>
    <w:rsid w:val="001F1481"/>
    <w:rsid w:val="001F1BA4"/>
    <w:rsid w:val="001F271C"/>
    <w:rsid w:val="001F283C"/>
    <w:rsid w:val="001F2C78"/>
    <w:rsid w:val="001F2D1A"/>
    <w:rsid w:val="001F31AF"/>
    <w:rsid w:val="001F31D3"/>
    <w:rsid w:val="001F37D9"/>
    <w:rsid w:val="001F3A81"/>
    <w:rsid w:val="001F3C68"/>
    <w:rsid w:val="001F4194"/>
    <w:rsid w:val="001F41AC"/>
    <w:rsid w:val="001F4428"/>
    <w:rsid w:val="001F49F1"/>
    <w:rsid w:val="001F4E97"/>
    <w:rsid w:val="001F4FAD"/>
    <w:rsid w:val="001F50BA"/>
    <w:rsid w:val="001F55D5"/>
    <w:rsid w:val="001F5B22"/>
    <w:rsid w:val="001F5F40"/>
    <w:rsid w:val="001F6BD3"/>
    <w:rsid w:val="001F72D2"/>
    <w:rsid w:val="001F738C"/>
    <w:rsid w:val="001F75D6"/>
    <w:rsid w:val="001F79C6"/>
    <w:rsid w:val="001F7A9D"/>
    <w:rsid w:val="001F7B55"/>
    <w:rsid w:val="001F7CF3"/>
    <w:rsid w:val="001F7D18"/>
    <w:rsid w:val="002005E0"/>
    <w:rsid w:val="0020071F"/>
    <w:rsid w:val="00200BBF"/>
    <w:rsid w:val="0020121F"/>
    <w:rsid w:val="00202116"/>
    <w:rsid w:val="00202F4F"/>
    <w:rsid w:val="00203428"/>
    <w:rsid w:val="00203515"/>
    <w:rsid w:val="0020386F"/>
    <w:rsid w:val="00203F27"/>
    <w:rsid w:val="00204306"/>
    <w:rsid w:val="00204DEC"/>
    <w:rsid w:val="00205242"/>
    <w:rsid w:val="00205346"/>
    <w:rsid w:val="00205428"/>
    <w:rsid w:val="00205AF6"/>
    <w:rsid w:val="00205B95"/>
    <w:rsid w:val="00205D0B"/>
    <w:rsid w:val="00205D9E"/>
    <w:rsid w:val="002063DD"/>
    <w:rsid w:val="002064F0"/>
    <w:rsid w:val="00206596"/>
    <w:rsid w:val="0020678C"/>
    <w:rsid w:val="00206AF1"/>
    <w:rsid w:val="00206D03"/>
    <w:rsid w:val="00206FB0"/>
    <w:rsid w:val="00207453"/>
    <w:rsid w:val="00207731"/>
    <w:rsid w:val="0020781C"/>
    <w:rsid w:val="0020784E"/>
    <w:rsid w:val="00210031"/>
    <w:rsid w:val="0021031D"/>
    <w:rsid w:val="0021049B"/>
    <w:rsid w:val="0021056A"/>
    <w:rsid w:val="00210868"/>
    <w:rsid w:val="00210990"/>
    <w:rsid w:val="00210BB0"/>
    <w:rsid w:val="002110CC"/>
    <w:rsid w:val="002113C1"/>
    <w:rsid w:val="002113C3"/>
    <w:rsid w:val="0021140B"/>
    <w:rsid w:val="00211417"/>
    <w:rsid w:val="00211B12"/>
    <w:rsid w:val="00212262"/>
    <w:rsid w:val="0021233A"/>
    <w:rsid w:val="00212640"/>
    <w:rsid w:val="00212BD6"/>
    <w:rsid w:val="00213282"/>
    <w:rsid w:val="00213432"/>
    <w:rsid w:val="002139CB"/>
    <w:rsid w:val="00213B95"/>
    <w:rsid w:val="00213FF1"/>
    <w:rsid w:val="00214253"/>
    <w:rsid w:val="0021436C"/>
    <w:rsid w:val="002147D9"/>
    <w:rsid w:val="002149CA"/>
    <w:rsid w:val="00214C25"/>
    <w:rsid w:val="00214CA5"/>
    <w:rsid w:val="00215192"/>
    <w:rsid w:val="00215B5B"/>
    <w:rsid w:val="00215D10"/>
    <w:rsid w:val="00215E2F"/>
    <w:rsid w:val="00215F3B"/>
    <w:rsid w:val="00215F80"/>
    <w:rsid w:val="00216D66"/>
    <w:rsid w:val="002170BF"/>
    <w:rsid w:val="002174D8"/>
    <w:rsid w:val="00217620"/>
    <w:rsid w:val="002179CC"/>
    <w:rsid w:val="00217C4E"/>
    <w:rsid w:val="002207C3"/>
    <w:rsid w:val="00220C1B"/>
    <w:rsid w:val="00220C73"/>
    <w:rsid w:val="00220E6C"/>
    <w:rsid w:val="00221368"/>
    <w:rsid w:val="00221484"/>
    <w:rsid w:val="0022160C"/>
    <w:rsid w:val="002224BA"/>
    <w:rsid w:val="0022257D"/>
    <w:rsid w:val="00223446"/>
    <w:rsid w:val="00223564"/>
    <w:rsid w:val="0022371E"/>
    <w:rsid w:val="00223785"/>
    <w:rsid w:val="002242F7"/>
    <w:rsid w:val="00224AA4"/>
    <w:rsid w:val="00224FE6"/>
    <w:rsid w:val="0022529A"/>
    <w:rsid w:val="00225BD2"/>
    <w:rsid w:val="00226392"/>
    <w:rsid w:val="00226A2E"/>
    <w:rsid w:val="002274A2"/>
    <w:rsid w:val="002275C8"/>
    <w:rsid w:val="002278A0"/>
    <w:rsid w:val="00230009"/>
    <w:rsid w:val="00230323"/>
    <w:rsid w:val="00230396"/>
    <w:rsid w:val="0023056D"/>
    <w:rsid w:val="0023097E"/>
    <w:rsid w:val="00230BAB"/>
    <w:rsid w:val="00230DDF"/>
    <w:rsid w:val="00230F30"/>
    <w:rsid w:val="00231739"/>
    <w:rsid w:val="002317F9"/>
    <w:rsid w:val="00231B08"/>
    <w:rsid w:val="002327CF"/>
    <w:rsid w:val="00232A03"/>
    <w:rsid w:val="00233286"/>
    <w:rsid w:val="002335FD"/>
    <w:rsid w:val="002336FE"/>
    <w:rsid w:val="0023382D"/>
    <w:rsid w:val="00234184"/>
    <w:rsid w:val="002342C9"/>
    <w:rsid w:val="00234C0D"/>
    <w:rsid w:val="00235126"/>
    <w:rsid w:val="0023514A"/>
    <w:rsid w:val="002351CA"/>
    <w:rsid w:val="0023535F"/>
    <w:rsid w:val="002354EC"/>
    <w:rsid w:val="00235FC3"/>
    <w:rsid w:val="00237812"/>
    <w:rsid w:val="00237AB2"/>
    <w:rsid w:val="00237B4D"/>
    <w:rsid w:val="00237CE3"/>
    <w:rsid w:val="0024004E"/>
    <w:rsid w:val="00240A55"/>
    <w:rsid w:val="00240BA6"/>
    <w:rsid w:val="00241111"/>
    <w:rsid w:val="00241998"/>
    <w:rsid w:val="00241AA6"/>
    <w:rsid w:val="00241AE5"/>
    <w:rsid w:val="00241F4C"/>
    <w:rsid w:val="00242319"/>
    <w:rsid w:val="0024297F"/>
    <w:rsid w:val="00242DC0"/>
    <w:rsid w:val="00242EE5"/>
    <w:rsid w:val="00243016"/>
    <w:rsid w:val="0024349F"/>
    <w:rsid w:val="00243CC9"/>
    <w:rsid w:val="00243D05"/>
    <w:rsid w:val="00243D31"/>
    <w:rsid w:val="00244497"/>
    <w:rsid w:val="002446C3"/>
    <w:rsid w:val="00244999"/>
    <w:rsid w:val="002449A7"/>
    <w:rsid w:val="002450F3"/>
    <w:rsid w:val="0024511C"/>
    <w:rsid w:val="002452BD"/>
    <w:rsid w:val="00245958"/>
    <w:rsid w:val="0024598D"/>
    <w:rsid w:val="00245B0C"/>
    <w:rsid w:val="0024662B"/>
    <w:rsid w:val="002469C9"/>
    <w:rsid w:val="00246A6A"/>
    <w:rsid w:val="00247179"/>
    <w:rsid w:val="00247332"/>
    <w:rsid w:val="0024772F"/>
    <w:rsid w:val="0024785E"/>
    <w:rsid w:val="002479F9"/>
    <w:rsid w:val="00247B6E"/>
    <w:rsid w:val="002500B9"/>
    <w:rsid w:val="002503A4"/>
    <w:rsid w:val="002506D2"/>
    <w:rsid w:val="00250DC6"/>
    <w:rsid w:val="00250E63"/>
    <w:rsid w:val="00251114"/>
    <w:rsid w:val="002516BB"/>
    <w:rsid w:val="00251E85"/>
    <w:rsid w:val="00252168"/>
    <w:rsid w:val="00252313"/>
    <w:rsid w:val="002523C8"/>
    <w:rsid w:val="00252432"/>
    <w:rsid w:val="00252626"/>
    <w:rsid w:val="002531D8"/>
    <w:rsid w:val="00253B4D"/>
    <w:rsid w:val="00253CC7"/>
    <w:rsid w:val="00253CD1"/>
    <w:rsid w:val="00253F73"/>
    <w:rsid w:val="00254560"/>
    <w:rsid w:val="00254840"/>
    <w:rsid w:val="00254AB9"/>
    <w:rsid w:val="00254C05"/>
    <w:rsid w:val="00254CDA"/>
    <w:rsid w:val="00255109"/>
    <w:rsid w:val="00255174"/>
    <w:rsid w:val="002556E9"/>
    <w:rsid w:val="00255D69"/>
    <w:rsid w:val="002564D7"/>
    <w:rsid w:val="0025688D"/>
    <w:rsid w:val="00256A4C"/>
    <w:rsid w:val="002570BA"/>
    <w:rsid w:val="0025718D"/>
    <w:rsid w:val="00257469"/>
    <w:rsid w:val="00257704"/>
    <w:rsid w:val="00257875"/>
    <w:rsid w:val="00257932"/>
    <w:rsid w:val="00257C77"/>
    <w:rsid w:val="00257F08"/>
    <w:rsid w:val="00260303"/>
    <w:rsid w:val="00260BE8"/>
    <w:rsid w:val="002616E6"/>
    <w:rsid w:val="00261793"/>
    <w:rsid w:val="0026214F"/>
    <w:rsid w:val="00262F1E"/>
    <w:rsid w:val="0026312F"/>
    <w:rsid w:val="002638F4"/>
    <w:rsid w:val="002643BE"/>
    <w:rsid w:val="0026490B"/>
    <w:rsid w:val="00264960"/>
    <w:rsid w:val="00264ABB"/>
    <w:rsid w:val="00264B7A"/>
    <w:rsid w:val="002652DF"/>
    <w:rsid w:val="0026534F"/>
    <w:rsid w:val="002656AD"/>
    <w:rsid w:val="00265BD8"/>
    <w:rsid w:val="00266212"/>
    <w:rsid w:val="00266BBF"/>
    <w:rsid w:val="00266EB3"/>
    <w:rsid w:val="0026727E"/>
    <w:rsid w:val="00267671"/>
    <w:rsid w:val="00267A5D"/>
    <w:rsid w:val="00267D33"/>
    <w:rsid w:val="00267F91"/>
    <w:rsid w:val="00270A48"/>
    <w:rsid w:val="00270EAC"/>
    <w:rsid w:val="00270FB8"/>
    <w:rsid w:val="00271322"/>
    <w:rsid w:val="00271DE6"/>
    <w:rsid w:val="00271FE0"/>
    <w:rsid w:val="00272082"/>
    <w:rsid w:val="002720B4"/>
    <w:rsid w:val="002723CB"/>
    <w:rsid w:val="002723D4"/>
    <w:rsid w:val="002724E6"/>
    <w:rsid w:val="002726DB"/>
    <w:rsid w:val="0027295C"/>
    <w:rsid w:val="0027332C"/>
    <w:rsid w:val="002733B4"/>
    <w:rsid w:val="00273450"/>
    <w:rsid w:val="00273644"/>
    <w:rsid w:val="0027374D"/>
    <w:rsid w:val="00273D02"/>
    <w:rsid w:val="002740F3"/>
    <w:rsid w:val="0027451B"/>
    <w:rsid w:val="0027458E"/>
    <w:rsid w:val="002746B3"/>
    <w:rsid w:val="002747EA"/>
    <w:rsid w:val="00274EC0"/>
    <w:rsid w:val="002751B6"/>
    <w:rsid w:val="00275533"/>
    <w:rsid w:val="0027570C"/>
    <w:rsid w:val="002761AE"/>
    <w:rsid w:val="0027647B"/>
    <w:rsid w:val="00276715"/>
    <w:rsid w:val="002767A3"/>
    <w:rsid w:val="00276EEA"/>
    <w:rsid w:val="002772BD"/>
    <w:rsid w:val="002775A8"/>
    <w:rsid w:val="00277BAB"/>
    <w:rsid w:val="00277EB7"/>
    <w:rsid w:val="00280127"/>
    <w:rsid w:val="00280C67"/>
    <w:rsid w:val="00280F18"/>
    <w:rsid w:val="00280FC6"/>
    <w:rsid w:val="00281333"/>
    <w:rsid w:val="00281CF0"/>
    <w:rsid w:val="00281D0A"/>
    <w:rsid w:val="00282019"/>
    <w:rsid w:val="0028203C"/>
    <w:rsid w:val="0028262A"/>
    <w:rsid w:val="00282CEB"/>
    <w:rsid w:val="00282E2F"/>
    <w:rsid w:val="002830F0"/>
    <w:rsid w:val="00283433"/>
    <w:rsid w:val="0028352C"/>
    <w:rsid w:val="002838E3"/>
    <w:rsid w:val="00283F53"/>
    <w:rsid w:val="00283FA3"/>
    <w:rsid w:val="00284867"/>
    <w:rsid w:val="00284F17"/>
    <w:rsid w:val="002851CE"/>
    <w:rsid w:val="002854BF"/>
    <w:rsid w:val="002856B0"/>
    <w:rsid w:val="00285856"/>
    <w:rsid w:val="00285E21"/>
    <w:rsid w:val="00285EB1"/>
    <w:rsid w:val="0028646B"/>
    <w:rsid w:val="00286B3D"/>
    <w:rsid w:val="00286C20"/>
    <w:rsid w:val="00286C9A"/>
    <w:rsid w:val="00286F82"/>
    <w:rsid w:val="0028703F"/>
    <w:rsid w:val="0028704B"/>
    <w:rsid w:val="00287692"/>
    <w:rsid w:val="00287B07"/>
    <w:rsid w:val="00287B8E"/>
    <w:rsid w:val="00287BE6"/>
    <w:rsid w:val="002904E7"/>
    <w:rsid w:val="00290876"/>
    <w:rsid w:val="00290AB8"/>
    <w:rsid w:val="00290AE8"/>
    <w:rsid w:val="00290EAA"/>
    <w:rsid w:val="00291657"/>
    <w:rsid w:val="002916A0"/>
    <w:rsid w:val="002919FB"/>
    <w:rsid w:val="00291FBF"/>
    <w:rsid w:val="00291FE5"/>
    <w:rsid w:val="002923B3"/>
    <w:rsid w:val="002923E0"/>
    <w:rsid w:val="002926CE"/>
    <w:rsid w:val="00292A41"/>
    <w:rsid w:val="00292E76"/>
    <w:rsid w:val="002930FB"/>
    <w:rsid w:val="00294422"/>
    <w:rsid w:val="0029452A"/>
    <w:rsid w:val="0029467A"/>
    <w:rsid w:val="0029472B"/>
    <w:rsid w:val="00294880"/>
    <w:rsid w:val="00294C83"/>
    <w:rsid w:val="00295C38"/>
    <w:rsid w:val="00295FB1"/>
    <w:rsid w:val="002962FA"/>
    <w:rsid w:val="00296493"/>
    <w:rsid w:val="00296BDC"/>
    <w:rsid w:val="00296D3D"/>
    <w:rsid w:val="00297040"/>
    <w:rsid w:val="002974EC"/>
    <w:rsid w:val="00297632"/>
    <w:rsid w:val="002976BD"/>
    <w:rsid w:val="002A05EE"/>
    <w:rsid w:val="002A0684"/>
    <w:rsid w:val="002A0E82"/>
    <w:rsid w:val="002A1C53"/>
    <w:rsid w:val="002A1E77"/>
    <w:rsid w:val="002A25CF"/>
    <w:rsid w:val="002A28A2"/>
    <w:rsid w:val="002A2B20"/>
    <w:rsid w:val="002A3250"/>
    <w:rsid w:val="002A3830"/>
    <w:rsid w:val="002A394E"/>
    <w:rsid w:val="002A3A6E"/>
    <w:rsid w:val="002A3AC8"/>
    <w:rsid w:val="002A3B30"/>
    <w:rsid w:val="002A414B"/>
    <w:rsid w:val="002A42C1"/>
    <w:rsid w:val="002A4A25"/>
    <w:rsid w:val="002A4ECD"/>
    <w:rsid w:val="002A4F69"/>
    <w:rsid w:val="002A5399"/>
    <w:rsid w:val="002A576F"/>
    <w:rsid w:val="002A5ADE"/>
    <w:rsid w:val="002A5C22"/>
    <w:rsid w:val="002A5FB8"/>
    <w:rsid w:val="002A65A3"/>
    <w:rsid w:val="002A6AD5"/>
    <w:rsid w:val="002A72EE"/>
    <w:rsid w:val="002A740E"/>
    <w:rsid w:val="002A7469"/>
    <w:rsid w:val="002A782B"/>
    <w:rsid w:val="002A78EC"/>
    <w:rsid w:val="002A7C77"/>
    <w:rsid w:val="002A7E53"/>
    <w:rsid w:val="002B0089"/>
    <w:rsid w:val="002B03EA"/>
    <w:rsid w:val="002B04D7"/>
    <w:rsid w:val="002B0B1C"/>
    <w:rsid w:val="002B0C25"/>
    <w:rsid w:val="002B1AB8"/>
    <w:rsid w:val="002B1CC2"/>
    <w:rsid w:val="002B21E1"/>
    <w:rsid w:val="002B233F"/>
    <w:rsid w:val="002B318F"/>
    <w:rsid w:val="002B31AD"/>
    <w:rsid w:val="002B3408"/>
    <w:rsid w:val="002B3501"/>
    <w:rsid w:val="002B352B"/>
    <w:rsid w:val="002B3767"/>
    <w:rsid w:val="002B3AEC"/>
    <w:rsid w:val="002B4324"/>
    <w:rsid w:val="002B491C"/>
    <w:rsid w:val="002B4B0D"/>
    <w:rsid w:val="002B4B54"/>
    <w:rsid w:val="002B517E"/>
    <w:rsid w:val="002B5348"/>
    <w:rsid w:val="002B5A1A"/>
    <w:rsid w:val="002B5DCB"/>
    <w:rsid w:val="002B5E6B"/>
    <w:rsid w:val="002B62BE"/>
    <w:rsid w:val="002B6714"/>
    <w:rsid w:val="002B67D0"/>
    <w:rsid w:val="002B69E7"/>
    <w:rsid w:val="002B7521"/>
    <w:rsid w:val="002B768F"/>
    <w:rsid w:val="002B7FC5"/>
    <w:rsid w:val="002C011D"/>
    <w:rsid w:val="002C0697"/>
    <w:rsid w:val="002C0F86"/>
    <w:rsid w:val="002C116F"/>
    <w:rsid w:val="002C14CC"/>
    <w:rsid w:val="002C1998"/>
    <w:rsid w:val="002C1C5A"/>
    <w:rsid w:val="002C2736"/>
    <w:rsid w:val="002C2E08"/>
    <w:rsid w:val="002C2FA4"/>
    <w:rsid w:val="002C3EFB"/>
    <w:rsid w:val="002C4014"/>
    <w:rsid w:val="002C4311"/>
    <w:rsid w:val="002C4563"/>
    <w:rsid w:val="002C480C"/>
    <w:rsid w:val="002C491D"/>
    <w:rsid w:val="002C4A57"/>
    <w:rsid w:val="002C51DB"/>
    <w:rsid w:val="002C538A"/>
    <w:rsid w:val="002C57F0"/>
    <w:rsid w:val="002C5895"/>
    <w:rsid w:val="002C5914"/>
    <w:rsid w:val="002C5C44"/>
    <w:rsid w:val="002C61A7"/>
    <w:rsid w:val="002C65BD"/>
    <w:rsid w:val="002C6681"/>
    <w:rsid w:val="002C6E43"/>
    <w:rsid w:val="002C714B"/>
    <w:rsid w:val="002C74EB"/>
    <w:rsid w:val="002C753A"/>
    <w:rsid w:val="002C7D44"/>
    <w:rsid w:val="002C7E5D"/>
    <w:rsid w:val="002D056B"/>
    <w:rsid w:val="002D08E2"/>
    <w:rsid w:val="002D095E"/>
    <w:rsid w:val="002D0B2A"/>
    <w:rsid w:val="002D0BD9"/>
    <w:rsid w:val="002D0C97"/>
    <w:rsid w:val="002D0E1B"/>
    <w:rsid w:val="002D0E5F"/>
    <w:rsid w:val="002D0E89"/>
    <w:rsid w:val="002D0F5B"/>
    <w:rsid w:val="002D0FDE"/>
    <w:rsid w:val="002D0FF1"/>
    <w:rsid w:val="002D1363"/>
    <w:rsid w:val="002D13F6"/>
    <w:rsid w:val="002D14BF"/>
    <w:rsid w:val="002D286F"/>
    <w:rsid w:val="002D2CAE"/>
    <w:rsid w:val="002D2DA3"/>
    <w:rsid w:val="002D33E8"/>
    <w:rsid w:val="002D3525"/>
    <w:rsid w:val="002D41A3"/>
    <w:rsid w:val="002D49BC"/>
    <w:rsid w:val="002D502E"/>
    <w:rsid w:val="002D5216"/>
    <w:rsid w:val="002D52BB"/>
    <w:rsid w:val="002D5AC6"/>
    <w:rsid w:val="002D5C5B"/>
    <w:rsid w:val="002D625C"/>
    <w:rsid w:val="002D650D"/>
    <w:rsid w:val="002D74C2"/>
    <w:rsid w:val="002D775A"/>
    <w:rsid w:val="002D78BC"/>
    <w:rsid w:val="002D7C97"/>
    <w:rsid w:val="002D7D76"/>
    <w:rsid w:val="002E00A3"/>
    <w:rsid w:val="002E0503"/>
    <w:rsid w:val="002E0BE0"/>
    <w:rsid w:val="002E0C53"/>
    <w:rsid w:val="002E106B"/>
    <w:rsid w:val="002E1696"/>
    <w:rsid w:val="002E19BB"/>
    <w:rsid w:val="002E1AFC"/>
    <w:rsid w:val="002E1DA0"/>
    <w:rsid w:val="002E2818"/>
    <w:rsid w:val="002E2D84"/>
    <w:rsid w:val="002E3039"/>
    <w:rsid w:val="002E35D4"/>
    <w:rsid w:val="002E38CE"/>
    <w:rsid w:val="002E39D6"/>
    <w:rsid w:val="002E3B9E"/>
    <w:rsid w:val="002E417D"/>
    <w:rsid w:val="002E4908"/>
    <w:rsid w:val="002E4960"/>
    <w:rsid w:val="002E4BD8"/>
    <w:rsid w:val="002E601D"/>
    <w:rsid w:val="002E6D94"/>
    <w:rsid w:val="002E6F2D"/>
    <w:rsid w:val="002E7206"/>
    <w:rsid w:val="002E74AF"/>
    <w:rsid w:val="002E77E8"/>
    <w:rsid w:val="002F0238"/>
    <w:rsid w:val="002F070C"/>
    <w:rsid w:val="002F08F9"/>
    <w:rsid w:val="002F0DF7"/>
    <w:rsid w:val="002F173C"/>
    <w:rsid w:val="002F17EB"/>
    <w:rsid w:val="002F2EE8"/>
    <w:rsid w:val="002F3919"/>
    <w:rsid w:val="002F3B84"/>
    <w:rsid w:val="002F3B92"/>
    <w:rsid w:val="002F3F0F"/>
    <w:rsid w:val="002F3F64"/>
    <w:rsid w:val="002F4140"/>
    <w:rsid w:val="002F42DB"/>
    <w:rsid w:val="002F46BE"/>
    <w:rsid w:val="002F49D7"/>
    <w:rsid w:val="002F4D5E"/>
    <w:rsid w:val="002F50FB"/>
    <w:rsid w:val="002F524F"/>
    <w:rsid w:val="002F55DE"/>
    <w:rsid w:val="002F600E"/>
    <w:rsid w:val="002F62AD"/>
    <w:rsid w:val="002F6563"/>
    <w:rsid w:val="002F67C9"/>
    <w:rsid w:val="002F69D8"/>
    <w:rsid w:val="002F6E82"/>
    <w:rsid w:val="002F7BDA"/>
    <w:rsid w:val="002F7FA5"/>
    <w:rsid w:val="002F7FED"/>
    <w:rsid w:val="0030037E"/>
    <w:rsid w:val="003009FF"/>
    <w:rsid w:val="00300C9D"/>
    <w:rsid w:val="00300F1B"/>
    <w:rsid w:val="003015A8"/>
    <w:rsid w:val="003016DF"/>
    <w:rsid w:val="00301735"/>
    <w:rsid w:val="00301857"/>
    <w:rsid w:val="0030325C"/>
    <w:rsid w:val="00303915"/>
    <w:rsid w:val="00303BB8"/>
    <w:rsid w:val="00303DA1"/>
    <w:rsid w:val="003041FF"/>
    <w:rsid w:val="00304268"/>
    <w:rsid w:val="003042AF"/>
    <w:rsid w:val="003042C0"/>
    <w:rsid w:val="00304398"/>
    <w:rsid w:val="00304ABF"/>
    <w:rsid w:val="00304D38"/>
    <w:rsid w:val="00304D55"/>
    <w:rsid w:val="00304E22"/>
    <w:rsid w:val="00304F93"/>
    <w:rsid w:val="003050BD"/>
    <w:rsid w:val="0030541E"/>
    <w:rsid w:val="003054A6"/>
    <w:rsid w:val="00305684"/>
    <w:rsid w:val="00305D04"/>
    <w:rsid w:val="0030600D"/>
    <w:rsid w:val="00306411"/>
    <w:rsid w:val="00306729"/>
    <w:rsid w:val="00306AB1"/>
    <w:rsid w:val="00306B2F"/>
    <w:rsid w:val="00306F26"/>
    <w:rsid w:val="00306F6E"/>
    <w:rsid w:val="00307213"/>
    <w:rsid w:val="003077A3"/>
    <w:rsid w:val="00307AC0"/>
    <w:rsid w:val="003100C8"/>
    <w:rsid w:val="00310837"/>
    <w:rsid w:val="00310A92"/>
    <w:rsid w:val="00310CE1"/>
    <w:rsid w:val="003110E0"/>
    <w:rsid w:val="00311849"/>
    <w:rsid w:val="00311C26"/>
    <w:rsid w:val="00311ECD"/>
    <w:rsid w:val="00312325"/>
    <w:rsid w:val="003123AA"/>
    <w:rsid w:val="00312472"/>
    <w:rsid w:val="0031247C"/>
    <w:rsid w:val="0031267A"/>
    <w:rsid w:val="0031278E"/>
    <w:rsid w:val="003129BA"/>
    <w:rsid w:val="00312B55"/>
    <w:rsid w:val="00312EE4"/>
    <w:rsid w:val="00312F45"/>
    <w:rsid w:val="0031381F"/>
    <w:rsid w:val="003138E1"/>
    <w:rsid w:val="003144F9"/>
    <w:rsid w:val="003153BD"/>
    <w:rsid w:val="003158D2"/>
    <w:rsid w:val="003159E0"/>
    <w:rsid w:val="00315B1A"/>
    <w:rsid w:val="003164C2"/>
    <w:rsid w:val="00316B27"/>
    <w:rsid w:val="00316BFA"/>
    <w:rsid w:val="00316C69"/>
    <w:rsid w:val="00317045"/>
    <w:rsid w:val="00317C2E"/>
    <w:rsid w:val="0032057A"/>
    <w:rsid w:val="00320EE3"/>
    <w:rsid w:val="00321116"/>
    <w:rsid w:val="0032168A"/>
    <w:rsid w:val="0032179A"/>
    <w:rsid w:val="0032191B"/>
    <w:rsid w:val="00321AF8"/>
    <w:rsid w:val="003220E7"/>
    <w:rsid w:val="0032277C"/>
    <w:rsid w:val="00322A65"/>
    <w:rsid w:val="00322EE3"/>
    <w:rsid w:val="0032388C"/>
    <w:rsid w:val="00323BC1"/>
    <w:rsid w:val="00323D77"/>
    <w:rsid w:val="003242F8"/>
    <w:rsid w:val="00324417"/>
    <w:rsid w:val="00324481"/>
    <w:rsid w:val="00324624"/>
    <w:rsid w:val="00324729"/>
    <w:rsid w:val="00324791"/>
    <w:rsid w:val="00324B2C"/>
    <w:rsid w:val="00324C4C"/>
    <w:rsid w:val="00324E5B"/>
    <w:rsid w:val="00325440"/>
    <w:rsid w:val="003255BA"/>
    <w:rsid w:val="0032579A"/>
    <w:rsid w:val="003257C3"/>
    <w:rsid w:val="0032615A"/>
    <w:rsid w:val="003261CC"/>
    <w:rsid w:val="00326A17"/>
    <w:rsid w:val="00326CE3"/>
    <w:rsid w:val="00326DE4"/>
    <w:rsid w:val="003272E2"/>
    <w:rsid w:val="00327BA7"/>
    <w:rsid w:val="00327C71"/>
    <w:rsid w:val="00327CBE"/>
    <w:rsid w:val="003302E7"/>
    <w:rsid w:val="00330392"/>
    <w:rsid w:val="00330C5A"/>
    <w:rsid w:val="003317F0"/>
    <w:rsid w:val="0033198B"/>
    <w:rsid w:val="00331D5E"/>
    <w:rsid w:val="00331FBE"/>
    <w:rsid w:val="00332A62"/>
    <w:rsid w:val="00333306"/>
    <w:rsid w:val="00333436"/>
    <w:rsid w:val="00333C27"/>
    <w:rsid w:val="00333CEB"/>
    <w:rsid w:val="00334088"/>
    <w:rsid w:val="00334CF0"/>
    <w:rsid w:val="00334DED"/>
    <w:rsid w:val="00334F14"/>
    <w:rsid w:val="00335155"/>
    <w:rsid w:val="00335204"/>
    <w:rsid w:val="00335391"/>
    <w:rsid w:val="003355D4"/>
    <w:rsid w:val="0033581D"/>
    <w:rsid w:val="0033589A"/>
    <w:rsid w:val="003366F9"/>
    <w:rsid w:val="00336D7C"/>
    <w:rsid w:val="00336E70"/>
    <w:rsid w:val="00337B04"/>
    <w:rsid w:val="00337C48"/>
    <w:rsid w:val="00337D07"/>
    <w:rsid w:val="00337DFD"/>
    <w:rsid w:val="00340321"/>
    <w:rsid w:val="00340656"/>
    <w:rsid w:val="00340B42"/>
    <w:rsid w:val="00340B5B"/>
    <w:rsid w:val="00340D2E"/>
    <w:rsid w:val="00341053"/>
    <w:rsid w:val="00341196"/>
    <w:rsid w:val="0034124F"/>
    <w:rsid w:val="003414B6"/>
    <w:rsid w:val="00342149"/>
    <w:rsid w:val="00342445"/>
    <w:rsid w:val="00342A48"/>
    <w:rsid w:val="00344090"/>
    <w:rsid w:val="003440A0"/>
    <w:rsid w:val="003440BD"/>
    <w:rsid w:val="003441F3"/>
    <w:rsid w:val="00344581"/>
    <w:rsid w:val="003445FA"/>
    <w:rsid w:val="003448E3"/>
    <w:rsid w:val="00345346"/>
    <w:rsid w:val="003453FF"/>
    <w:rsid w:val="00345963"/>
    <w:rsid w:val="003459E2"/>
    <w:rsid w:val="00345DAC"/>
    <w:rsid w:val="003461AB"/>
    <w:rsid w:val="00346278"/>
    <w:rsid w:val="00346556"/>
    <w:rsid w:val="00346964"/>
    <w:rsid w:val="00346EB7"/>
    <w:rsid w:val="00347151"/>
    <w:rsid w:val="00347636"/>
    <w:rsid w:val="0034796E"/>
    <w:rsid w:val="00347C65"/>
    <w:rsid w:val="00347F97"/>
    <w:rsid w:val="00350442"/>
    <w:rsid w:val="00350B3E"/>
    <w:rsid w:val="003512FB"/>
    <w:rsid w:val="003518BF"/>
    <w:rsid w:val="003519E7"/>
    <w:rsid w:val="00351AC7"/>
    <w:rsid w:val="003527C8"/>
    <w:rsid w:val="00352AE9"/>
    <w:rsid w:val="00352BC7"/>
    <w:rsid w:val="00352C5C"/>
    <w:rsid w:val="00353234"/>
    <w:rsid w:val="00353483"/>
    <w:rsid w:val="003535BF"/>
    <w:rsid w:val="0035370F"/>
    <w:rsid w:val="00353BBC"/>
    <w:rsid w:val="00353F42"/>
    <w:rsid w:val="00354251"/>
    <w:rsid w:val="00354340"/>
    <w:rsid w:val="003546B5"/>
    <w:rsid w:val="0035474E"/>
    <w:rsid w:val="00354EEE"/>
    <w:rsid w:val="00355C67"/>
    <w:rsid w:val="00355CB3"/>
    <w:rsid w:val="003560B5"/>
    <w:rsid w:val="003569F9"/>
    <w:rsid w:val="00356A26"/>
    <w:rsid w:val="00356A30"/>
    <w:rsid w:val="00356AFF"/>
    <w:rsid w:val="003573DA"/>
    <w:rsid w:val="003573EB"/>
    <w:rsid w:val="003577F1"/>
    <w:rsid w:val="00357B6E"/>
    <w:rsid w:val="00360D2A"/>
    <w:rsid w:val="00361035"/>
    <w:rsid w:val="0036188E"/>
    <w:rsid w:val="003619BF"/>
    <w:rsid w:val="00362238"/>
    <w:rsid w:val="00362826"/>
    <w:rsid w:val="00362AC9"/>
    <w:rsid w:val="00362C56"/>
    <w:rsid w:val="00362D57"/>
    <w:rsid w:val="00363E93"/>
    <w:rsid w:val="0036406E"/>
    <w:rsid w:val="0036423E"/>
    <w:rsid w:val="003643D9"/>
    <w:rsid w:val="0036463A"/>
    <w:rsid w:val="00364860"/>
    <w:rsid w:val="003648E2"/>
    <w:rsid w:val="00365689"/>
    <w:rsid w:val="00365869"/>
    <w:rsid w:val="00365D24"/>
    <w:rsid w:val="0036602F"/>
    <w:rsid w:val="003666B6"/>
    <w:rsid w:val="00366788"/>
    <w:rsid w:val="003669C8"/>
    <w:rsid w:val="00366C32"/>
    <w:rsid w:val="00367065"/>
    <w:rsid w:val="00367224"/>
    <w:rsid w:val="00367C42"/>
    <w:rsid w:val="00370051"/>
    <w:rsid w:val="00370193"/>
    <w:rsid w:val="003702CA"/>
    <w:rsid w:val="003703F1"/>
    <w:rsid w:val="003704B1"/>
    <w:rsid w:val="003707A7"/>
    <w:rsid w:val="003707F8"/>
    <w:rsid w:val="003708B3"/>
    <w:rsid w:val="003708CD"/>
    <w:rsid w:val="003709FE"/>
    <w:rsid w:val="00370F20"/>
    <w:rsid w:val="00370FF6"/>
    <w:rsid w:val="00371191"/>
    <w:rsid w:val="0037122A"/>
    <w:rsid w:val="003717B5"/>
    <w:rsid w:val="00372091"/>
    <w:rsid w:val="00372525"/>
    <w:rsid w:val="00372636"/>
    <w:rsid w:val="0037293C"/>
    <w:rsid w:val="00372BD7"/>
    <w:rsid w:val="00372BE5"/>
    <w:rsid w:val="00372E3D"/>
    <w:rsid w:val="00372E6D"/>
    <w:rsid w:val="00373918"/>
    <w:rsid w:val="00373BAB"/>
    <w:rsid w:val="0037424B"/>
    <w:rsid w:val="003742CF"/>
    <w:rsid w:val="003745DB"/>
    <w:rsid w:val="00374E8A"/>
    <w:rsid w:val="00375077"/>
    <w:rsid w:val="003753CC"/>
    <w:rsid w:val="0037549D"/>
    <w:rsid w:val="003756C0"/>
    <w:rsid w:val="00375E31"/>
    <w:rsid w:val="003762E7"/>
    <w:rsid w:val="00376349"/>
    <w:rsid w:val="0037692B"/>
    <w:rsid w:val="00376B59"/>
    <w:rsid w:val="00376D2E"/>
    <w:rsid w:val="00377033"/>
    <w:rsid w:val="003776DA"/>
    <w:rsid w:val="003777B5"/>
    <w:rsid w:val="00377881"/>
    <w:rsid w:val="0037797F"/>
    <w:rsid w:val="00377D72"/>
    <w:rsid w:val="00377E6F"/>
    <w:rsid w:val="003800A8"/>
    <w:rsid w:val="003802D7"/>
    <w:rsid w:val="00380503"/>
    <w:rsid w:val="003807E7"/>
    <w:rsid w:val="0038091E"/>
    <w:rsid w:val="00380ECA"/>
    <w:rsid w:val="00381C7A"/>
    <w:rsid w:val="00381CBD"/>
    <w:rsid w:val="00382902"/>
    <w:rsid w:val="00382BF6"/>
    <w:rsid w:val="00383198"/>
    <w:rsid w:val="00383324"/>
    <w:rsid w:val="003833A8"/>
    <w:rsid w:val="00383585"/>
    <w:rsid w:val="00383A80"/>
    <w:rsid w:val="003847D9"/>
    <w:rsid w:val="00384902"/>
    <w:rsid w:val="00384CFD"/>
    <w:rsid w:val="0038537C"/>
    <w:rsid w:val="0038559A"/>
    <w:rsid w:val="00385898"/>
    <w:rsid w:val="00385BB2"/>
    <w:rsid w:val="00385BB9"/>
    <w:rsid w:val="003860E1"/>
    <w:rsid w:val="003863BB"/>
    <w:rsid w:val="003867ED"/>
    <w:rsid w:val="00386A21"/>
    <w:rsid w:val="00386CAB"/>
    <w:rsid w:val="00386EB3"/>
    <w:rsid w:val="00387032"/>
    <w:rsid w:val="003874E0"/>
    <w:rsid w:val="00387A71"/>
    <w:rsid w:val="00387AB7"/>
    <w:rsid w:val="00387DF8"/>
    <w:rsid w:val="0039007A"/>
    <w:rsid w:val="00390093"/>
    <w:rsid w:val="003903AA"/>
    <w:rsid w:val="00390A34"/>
    <w:rsid w:val="00390A6D"/>
    <w:rsid w:val="00390E95"/>
    <w:rsid w:val="00390FB3"/>
    <w:rsid w:val="0039100E"/>
    <w:rsid w:val="0039146C"/>
    <w:rsid w:val="00391A98"/>
    <w:rsid w:val="00391B6F"/>
    <w:rsid w:val="00391BFC"/>
    <w:rsid w:val="00392157"/>
    <w:rsid w:val="00392325"/>
    <w:rsid w:val="00392572"/>
    <w:rsid w:val="0039274F"/>
    <w:rsid w:val="003928E1"/>
    <w:rsid w:val="00392B7A"/>
    <w:rsid w:val="00392B85"/>
    <w:rsid w:val="00392D7F"/>
    <w:rsid w:val="003930DD"/>
    <w:rsid w:val="003931E7"/>
    <w:rsid w:val="003931EB"/>
    <w:rsid w:val="003934FE"/>
    <w:rsid w:val="003939AD"/>
    <w:rsid w:val="00394037"/>
    <w:rsid w:val="003943C4"/>
    <w:rsid w:val="0039451F"/>
    <w:rsid w:val="00394901"/>
    <w:rsid w:val="003950D9"/>
    <w:rsid w:val="003952F2"/>
    <w:rsid w:val="0039540E"/>
    <w:rsid w:val="003958C5"/>
    <w:rsid w:val="00395E31"/>
    <w:rsid w:val="00395F0C"/>
    <w:rsid w:val="00395F28"/>
    <w:rsid w:val="00396327"/>
    <w:rsid w:val="003967A2"/>
    <w:rsid w:val="00396AB3"/>
    <w:rsid w:val="0039785A"/>
    <w:rsid w:val="00397F28"/>
    <w:rsid w:val="003A07CB"/>
    <w:rsid w:val="003A080A"/>
    <w:rsid w:val="003A08DC"/>
    <w:rsid w:val="003A09C0"/>
    <w:rsid w:val="003A11D1"/>
    <w:rsid w:val="003A1222"/>
    <w:rsid w:val="003A1FFD"/>
    <w:rsid w:val="003A214C"/>
    <w:rsid w:val="003A28CC"/>
    <w:rsid w:val="003A292F"/>
    <w:rsid w:val="003A2FF8"/>
    <w:rsid w:val="003A375B"/>
    <w:rsid w:val="003A37DD"/>
    <w:rsid w:val="003A3963"/>
    <w:rsid w:val="003A398F"/>
    <w:rsid w:val="003A46C6"/>
    <w:rsid w:val="003A4AF2"/>
    <w:rsid w:val="003A50AE"/>
    <w:rsid w:val="003A5385"/>
    <w:rsid w:val="003A54C7"/>
    <w:rsid w:val="003A56AB"/>
    <w:rsid w:val="003A56AC"/>
    <w:rsid w:val="003A5A11"/>
    <w:rsid w:val="003A5B87"/>
    <w:rsid w:val="003A64F5"/>
    <w:rsid w:val="003A678C"/>
    <w:rsid w:val="003A6A36"/>
    <w:rsid w:val="003A6C85"/>
    <w:rsid w:val="003A6D79"/>
    <w:rsid w:val="003A6F61"/>
    <w:rsid w:val="003A7004"/>
    <w:rsid w:val="003A7637"/>
    <w:rsid w:val="003A76DB"/>
    <w:rsid w:val="003A7E6F"/>
    <w:rsid w:val="003B05AB"/>
    <w:rsid w:val="003B0AA9"/>
    <w:rsid w:val="003B0B4F"/>
    <w:rsid w:val="003B0BE3"/>
    <w:rsid w:val="003B0DD8"/>
    <w:rsid w:val="003B10FC"/>
    <w:rsid w:val="003B1743"/>
    <w:rsid w:val="003B1997"/>
    <w:rsid w:val="003B1C9B"/>
    <w:rsid w:val="003B254F"/>
    <w:rsid w:val="003B2DE5"/>
    <w:rsid w:val="003B302F"/>
    <w:rsid w:val="003B3205"/>
    <w:rsid w:val="003B3563"/>
    <w:rsid w:val="003B3893"/>
    <w:rsid w:val="003B39B8"/>
    <w:rsid w:val="003B3CEA"/>
    <w:rsid w:val="003B3E5F"/>
    <w:rsid w:val="003B3F8B"/>
    <w:rsid w:val="003B41A9"/>
    <w:rsid w:val="003B485D"/>
    <w:rsid w:val="003B4B7D"/>
    <w:rsid w:val="003B4E05"/>
    <w:rsid w:val="003B561F"/>
    <w:rsid w:val="003B583A"/>
    <w:rsid w:val="003B5970"/>
    <w:rsid w:val="003B5ED3"/>
    <w:rsid w:val="003B663E"/>
    <w:rsid w:val="003B66C3"/>
    <w:rsid w:val="003B68C7"/>
    <w:rsid w:val="003B6D2E"/>
    <w:rsid w:val="003B7522"/>
    <w:rsid w:val="003B7738"/>
    <w:rsid w:val="003B7B99"/>
    <w:rsid w:val="003B7C69"/>
    <w:rsid w:val="003B7DB0"/>
    <w:rsid w:val="003B7FB1"/>
    <w:rsid w:val="003C0272"/>
    <w:rsid w:val="003C042A"/>
    <w:rsid w:val="003C0B14"/>
    <w:rsid w:val="003C0E4B"/>
    <w:rsid w:val="003C0F72"/>
    <w:rsid w:val="003C115F"/>
    <w:rsid w:val="003C1211"/>
    <w:rsid w:val="003C143D"/>
    <w:rsid w:val="003C2510"/>
    <w:rsid w:val="003C2A71"/>
    <w:rsid w:val="003C31AF"/>
    <w:rsid w:val="003C329E"/>
    <w:rsid w:val="003C32D6"/>
    <w:rsid w:val="003C336B"/>
    <w:rsid w:val="003C384E"/>
    <w:rsid w:val="003C3FE4"/>
    <w:rsid w:val="003C41B6"/>
    <w:rsid w:val="003C4355"/>
    <w:rsid w:val="003C446B"/>
    <w:rsid w:val="003C456D"/>
    <w:rsid w:val="003C47FB"/>
    <w:rsid w:val="003C4C3E"/>
    <w:rsid w:val="003C5FBF"/>
    <w:rsid w:val="003C6931"/>
    <w:rsid w:val="003C6CD9"/>
    <w:rsid w:val="003C729B"/>
    <w:rsid w:val="003C75CF"/>
    <w:rsid w:val="003C7E59"/>
    <w:rsid w:val="003C7EF3"/>
    <w:rsid w:val="003C7FAE"/>
    <w:rsid w:val="003D0354"/>
    <w:rsid w:val="003D0D90"/>
    <w:rsid w:val="003D102F"/>
    <w:rsid w:val="003D11D2"/>
    <w:rsid w:val="003D19B4"/>
    <w:rsid w:val="003D1BB7"/>
    <w:rsid w:val="003D2486"/>
    <w:rsid w:val="003D283B"/>
    <w:rsid w:val="003D2936"/>
    <w:rsid w:val="003D3277"/>
    <w:rsid w:val="003D34EF"/>
    <w:rsid w:val="003D35CE"/>
    <w:rsid w:val="003D3922"/>
    <w:rsid w:val="003D3F4C"/>
    <w:rsid w:val="003D3F76"/>
    <w:rsid w:val="003D3F9C"/>
    <w:rsid w:val="003D42D0"/>
    <w:rsid w:val="003D4446"/>
    <w:rsid w:val="003D4499"/>
    <w:rsid w:val="003D4638"/>
    <w:rsid w:val="003D4C51"/>
    <w:rsid w:val="003D4D12"/>
    <w:rsid w:val="003D4D1D"/>
    <w:rsid w:val="003D4FA0"/>
    <w:rsid w:val="003D4FA9"/>
    <w:rsid w:val="003D5AF2"/>
    <w:rsid w:val="003D5AFA"/>
    <w:rsid w:val="003D6213"/>
    <w:rsid w:val="003D6267"/>
    <w:rsid w:val="003D6326"/>
    <w:rsid w:val="003D6E02"/>
    <w:rsid w:val="003D6F72"/>
    <w:rsid w:val="003D701E"/>
    <w:rsid w:val="003D70DF"/>
    <w:rsid w:val="003D7183"/>
    <w:rsid w:val="003D7727"/>
    <w:rsid w:val="003D7753"/>
    <w:rsid w:val="003D7B84"/>
    <w:rsid w:val="003D7B97"/>
    <w:rsid w:val="003D7BA0"/>
    <w:rsid w:val="003D7BB4"/>
    <w:rsid w:val="003E0617"/>
    <w:rsid w:val="003E07E5"/>
    <w:rsid w:val="003E0AD5"/>
    <w:rsid w:val="003E0C89"/>
    <w:rsid w:val="003E1061"/>
    <w:rsid w:val="003E121D"/>
    <w:rsid w:val="003E1423"/>
    <w:rsid w:val="003E17F5"/>
    <w:rsid w:val="003E195D"/>
    <w:rsid w:val="003E21F7"/>
    <w:rsid w:val="003E22D4"/>
    <w:rsid w:val="003E26EE"/>
    <w:rsid w:val="003E2B94"/>
    <w:rsid w:val="003E3836"/>
    <w:rsid w:val="003E3A12"/>
    <w:rsid w:val="003E3E7D"/>
    <w:rsid w:val="003E438A"/>
    <w:rsid w:val="003E441D"/>
    <w:rsid w:val="003E451B"/>
    <w:rsid w:val="003E49A5"/>
    <w:rsid w:val="003E4B1D"/>
    <w:rsid w:val="003E4CD9"/>
    <w:rsid w:val="003E4FBD"/>
    <w:rsid w:val="003E50AD"/>
    <w:rsid w:val="003E532F"/>
    <w:rsid w:val="003E5448"/>
    <w:rsid w:val="003E5CB0"/>
    <w:rsid w:val="003E5DBE"/>
    <w:rsid w:val="003E6327"/>
    <w:rsid w:val="003E6773"/>
    <w:rsid w:val="003E6D62"/>
    <w:rsid w:val="003E6EC7"/>
    <w:rsid w:val="003E73BC"/>
    <w:rsid w:val="003E7495"/>
    <w:rsid w:val="003E7D35"/>
    <w:rsid w:val="003F014D"/>
    <w:rsid w:val="003F0401"/>
    <w:rsid w:val="003F06DA"/>
    <w:rsid w:val="003F07AF"/>
    <w:rsid w:val="003F09FA"/>
    <w:rsid w:val="003F0ABA"/>
    <w:rsid w:val="003F1172"/>
    <w:rsid w:val="003F182E"/>
    <w:rsid w:val="003F185A"/>
    <w:rsid w:val="003F1C7C"/>
    <w:rsid w:val="003F1ECA"/>
    <w:rsid w:val="003F2149"/>
    <w:rsid w:val="003F27D1"/>
    <w:rsid w:val="003F287E"/>
    <w:rsid w:val="003F3177"/>
    <w:rsid w:val="003F3939"/>
    <w:rsid w:val="003F40A5"/>
    <w:rsid w:val="003F4142"/>
    <w:rsid w:val="003F45C5"/>
    <w:rsid w:val="003F4AB5"/>
    <w:rsid w:val="003F5322"/>
    <w:rsid w:val="003F6329"/>
    <w:rsid w:val="003F693D"/>
    <w:rsid w:val="003F6B89"/>
    <w:rsid w:val="003F6ED6"/>
    <w:rsid w:val="003F6F72"/>
    <w:rsid w:val="003F7079"/>
    <w:rsid w:val="003F75AE"/>
    <w:rsid w:val="003F7E8B"/>
    <w:rsid w:val="004003C6"/>
    <w:rsid w:val="0040086B"/>
    <w:rsid w:val="00400A4D"/>
    <w:rsid w:val="00400F66"/>
    <w:rsid w:val="0040117D"/>
    <w:rsid w:val="00401811"/>
    <w:rsid w:val="004019B2"/>
    <w:rsid w:val="0040233B"/>
    <w:rsid w:val="004023F4"/>
    <w:rsid w:val="00402479"/>
    <w:rsid w:val="00402745"/>
    <w:rsid w:val="004034CF"/>
    <w:rsid w:val="004039D4"/>
    <w:rsid w:val="00403C33"/>
    <w:rsid w:val="00403D89"/>
    <w:rsid w:val="004046DA"/>
    <w:rsid w:val="00404954"/>
    <w:rsid w:val="00404DAD"/>
    <w:rsid w:val="00404FC7"/>
    <w:rsid w:val="004051BE"/>
    <w:rsid w:val="00405739"/>
    <w:rsid w:val="00405D08"/>
    <w:rsid w:val="00405FC2"/>
    <w:rsid w:val="00406986"/>
    <w:rsid w:val="00406A15"/>
    <w:rsid w:val="00406D11"/>
    <w:rsid w:val="00406EAE"/>
    <w:rsid w:val="0040754F"/>
    <w:rsid w:val="00407E37"/>
    <w:rsid w:val="00410499"/>
    <w:rsid w:val="00411D38"/>
    <w:rsid w:val="00411FED"/>
    <w:rsid w:val="00412143"/>
    <w:rsid w:val="00412475"/>
    <w:rsid w:val="00412CD0"/>
    <w:rsid w:val="004132D7"/>
    <w:rsid w:val="00413383"/>
    <w:rsid w:val="004133BB"/>
    <w:rsid w:val="00413693"/>
    <w:rsid w:val="00413DBC"/>
    <w:rsid w:val="00413E98"/>
    <w:rsid w:val="004140BA"/>
    <w:rsid w:val="004144EB"/>
    <w:rsid w:val="004144EE"/>
    <w:rsid w:val="0041458D"/>
    <w:rsid w:val="004146BE"/>
    <w:rsid w:val="00414855"/>
    <w:rsid w:val="004153BD"/>
    <w:rsid w:val="00415458"/>
    <w:rsid w:val="00415460"/>
    <w:rsid w:val="00415483"/>
    <w:rsid w:val="00415626"/>
    <w:rsid w:val="00415A5E"/>
    <w:rsid w:val="00415B99"/>
    <w:rsid w:val="00415DC4"/>
    <w:rsid w:val="00415E55"/>
    <w:rsid w:val="004163E6"/>
    <w:rsid w:val="00416C3C"/>
    <w:rsid w:val="0041704E"/>
    <w:rsid w:val="00417CB5"/>
    <w:rsid w:val="00417CCE"/>
    <w:rsid w:val="004202F7"/>
    <w:rsid w:val="00420662"/>
    <w:rsid w:val="004206ED"/>
    <w:rsid w:val="00421E3B"/>
    <w:rsid w:val="0042212B"/>
    <w:rsid w:val="004221C2"/>
    <w:rsid w:val="00422743"/>
    <w:rsid w:val="004229E8"/>
    <w:rsid w:val="004231ED"/>
    <w:rsid w:val="0042388B"/>
    <w:rsid w:val="00423FD5"/>
    <w:rsid w:val="0042402A"/>
    <w:rsid w:val="004243BE"/>
    <w:rsid w:val="00424444"/>
    <w:rsid w:val="004246D3"/>
    <w:rsid w:val="00424976"/>
    <w:rsid w:val="00424B14"/>
    <w:rsid w:val="00424D1E"/>
    <w:rsid w:val="00424D35"/>
    <w:rsid w:val="00425115"/>
    <w:rsid w:val="0042531A"/>
    <w:rsid w:val="00425651"/>
    <w:rsid w:val="00425B5A"/>
    <w:rsid w:val="00425C2F"/>
    <w:rsid w:val="00426668"/>
    <w:rsid w:val="0042695D"/>
    <w:rsid w:val="00426D42"/>
    <w:rsid w:val="00426E31"/>
    <w:rsid w:val="00426F73"/>
    <w:rsid w:val="004270A7"/>
    <w:rsid w:val="004275C8"/>
    <w:rsid w:val="00427697"/>
    <w:rsid w:val="00430109"/>
    <w:rsid w:val="0043042D"/>
    <w:rsid w:val="00430570"/>
    <w:rsid w:val="00430ED1"/>
    <w:rsid w:val="00431621"/>
    <w:rsid w:val="00431969"/>
    <w:rsid w:val="00431F05"/>
    <w:rsid w:val="00431F45"/>
    <w:rsid w:val="00431F78"/>
    <w:rsid w:val="004324AC"/>
    <w:rsid w:val="004324D4"/>
    <w:rsid w:val="00432638"/>
    <w:rsid w:val="0043268F"/>
    <w:rsid w:val="00432BF4"/>
    <w:rsid w:val="004330C4"/>
    <w:rsid w:val="00433800"/>
    <w:rsid w:val="004339D6"/>
    <w:rsid w:val="00433F60"/>
    <w:rsid w:val="00433F9B"/>
    <w:rsid w:val="0043464A"/>
    <w:rsid w:val="00435155"/>
    <w:rsid w:val="004353EA"/>
    <w:rsid w:val="00435582"/>
    <w:rsid w:val="00436B64"/>
    <w:rsid w:val="00436E62"/>
    <w:rsid w:val="004372EE"/>
    <w:rsid w:val="00437A18"/>
    <w:rsid w:val="00440C66"/>
    <w:rsid w:val="0044114D"/>
    <w:rsid w:val="004411C3"/>
    <w:rsid w:val="00441584"/>
    <w:rsid w:val="00441920"/>
    <w:rsid w:val="0044194E"/>
    <w:rsid w:val="004419DA"/>
    <w:rsid w:val="00441CBD"/>
    <w:rsid w:val="00442945"/>
    <w:rsid w:val="00442BDE"/>
    <w:rsid w:val="00442FA8"/>
    <w:rsid w:val="004430A9"/>
    <w:rsid w:val="00443198"/>
    <w:rsid w:val="0044366E"/>
    <w:rsid w:val="00443A90"/>
    <w:rsid w:val="00443DE7"/>
    <w:rsid w:val="004445F9"/>
    <w:rsid w:val="004449F1"/>
    <w:rsid w:val="00444DFB"/>
    <w:rsid w:val="00444EBC"/>
    <w:rsid w:val="00445663"/>
    <w:rsid w:val="00445A2F"/>
    <w:rsid w:val="00445D74"/>
    <w:rsid w:val="00446473"/>
    <w:rsid w:val="00446662"/>
    <w:rsid w:val="00446BCB"/>
    <w:rsid w:val="00447592"/>
    <w:rsid w:val="0044781C"/>
    <w:rsid w:val="00447E92"/>
    <w:rsid w:val="00447EF2"/>
    <w:rsid w:val="004504F3"/>
    <w:rsid w:val="00451403"/>
    <w:rsid w:val="00451959"/>
    <w:rsid w:val="004521B9"/>
    <w:rsid w:val="0045227F"/>
    <w:rsid w:val="004524D7"/>
    <w:rsid w:val="00452886"/>
    <w:rsid w:val="00453023"/>
    <w:rsid w:val="004542D9"/>
    <w:rsid w:val="00455A18"/>
    <w:rsid w:val="00455C99"/>
    <w:rsid w:val="004572A4"/>
    <w:rsid w:val="004572B4"/>
    <w:rsid w:val="00457386"/>
    <w:rsid w:val="004602F5"/>
    <w:rsid w:val="004607FD"/>
    <w:rsid w:val="0046081D"/>
    <w:rsid w:val="004609C4"/>
    <w:rsid w:val="004610A5"/>
    <w:rsid w:val="00461AC0"/>
    <w:rsid w:val="00461E0C"/>
    <w:rsid w:val="00462083"/>
    <w:rsid w:val="004622AF"/>
    <w:rsid w:val="0046248D"/>
    <w:rsid w:val="004629EE"/>
    <w:rsid w:val="00462D42"/>
    <w:rsid w:val="004632DF"/>
    <w:rsid w:val="0046352C"/>
    <w:rsid w:val="00463B41"/>
    <w:rsid w:val="00463BFB"/>
    <w:rsid w:val="00463C2D"/>
    <w:rsid w:val="00463C5C"/>
    <w:rsid w:val="00463DDE"/>
    <w:rsid w:val="004640BC"/>
    <w:rsid w:val="00464269"/>
    <w:rsid w:val="004647E1"/>
    <w:rsid w:val="00464E9F"/>
    <w:rsid w:val="00465816"/>
    <w:rsid w:val="00465881"/>
    <w:rsid w:val="00465C1B"/>
    <w:rsid w:val="004664B0"/>
    <w:rsid w:val="0046672F"/>
    <w:rsid w:val="00467270"/>
    <w:rsid w:val="00467723"/>
    <w:rsid w:val="00467E5E"/>
    <w:rsid w:val="00470D92"/>
    <w:rsid w:val="00470DF2"/>
    <w:rsid w:val="004715B6"/>
    <w:rsid w:val="00471B08"/>
    <w:rsid w:val="00471D66"/>
    <w:rsid w:val="00471EFB"/>
    <w:rsid w:val="00471FE8"/>
    <w:rsid w:val="00472F23"/>
    <w:rsid w:val="0047307A"/>
    <w:rsid w:val="00473576"/>
    <w:rsid w:val="00473CA5"/>
    <w:rsid w:val="00473EBE"/>
    <w:rsid w:val="00474124"/>
    <w:rsid w:val="004747D2"/>
    <w:rsid w:val="00474A79"/>
    <w:rsid w:val="00474C7F"/>
    <w:rsid w:val="00474DBB"/>
    <w:rsid w:val="00474F36"/>
    <w:rsid w:val="00474FC8"/>
    <w:rsid w:val="004757AA"/>
    <w:rsid w:val="0047603B"/>
    <w:rsid w:val="004760F2"/>
    <w:rsid w:val="004761B9"/>
    <w:rsid w:val="004762EF"/>
    <w:rsid w:val="0047665D"/>
    <w:rsid w:val="00476B76"/>
    <w:rsid w:val="00476DAE"/>
    <w:rsid w:val="00477EC1"/>
    <w:rsid w:val="004801DD"/>
    <w:rsid w:val="004807AB"/>
    <w:rsid w:val="00480D94"/>
    <w:rsid w:val="00480DB2"/>
    <w:rsid w:val="00481095"/>
    <w:rsid w:val="0048126F"/>
    <w:rsid w:val="00481301"/>
    <w:rsid w:val="00481AA3"/>
    <w:rsid w:val="0048219D"/>
    <w:rsid w:val="00482643"/>
    <w:rsid w:val="00483568"/>
    <w:rsid w:val="00483916"/>
    <w:rsid w:val="00483B2B"/>
    <w:rsid w:val="004844B7"/>
    <w:rsid w:val="004844D5"/>
    <w:rsid w:val="0048463C"/>
    <w:rsid w:val="004846B6"/>
    <w:rsid w:val="004847C3"/>
    <w:rsid w:val="00484AAC"/>
    <w:rsid w:val="004854BF"/>
    <w:rsid w:val="0048660E"/>
    <w:rsid w:val="004866E9"/>
    <w:rsid w:val="0048674B"/>
    <w:rsid w:val="00486F14"/>
    <w:rsid w:val="0048700B"/>
    <w:rsid w:val="0048742B"/>
    <w:rsid w:val="0048747D"/>
    <w:rsid w:val="004876FD"/>
    <w:rsid w:val="00490687"/>
    <w:rsid w:val="0049081A"/>
    <w:rsid w:val="00491500"/>
    <w:rsid w:val="0049150B"/>
    <w:rsid w:val="00491974"/>
    <w:rsid w:val="004921A2"/>
    <w:rsid w:val="00492432"/>
    <w:rsid w:val="00492787"/>
    <w:rsid w:val="00492D18"/>
    <w:rsid w:val="004938FA"/>
    <w:rsid w:val="00493959"/>
    <w:rsid w:val="004949D0"/>
    <w:rsid w:val="00495410"/>
    <w:rsid w:val="004954C2"/>
    <w:rsid w:val="004956D5"/>
    <w:rsid w:val="00495E74"/>
    <w:rsid w:val="00495E99"/>
    <w:rsid w:val="00496B83"/>
    <w:rsid w:val="00496BD0"/>
    <w:rsid w:val="00496EF8"/>
    <w:rsid w:val="004970D2"/>
    <w:rsid w:val="0049771B"/>
    <w:rsid w:val="0049798B"/>
    <w:rsid w:val="00497BCA"/>
    <w:rsid w:val="004A03F9"/>
    <w:rsid w:val="004A058F"/>
    <w:rsid w:val="004A073B"/>
    <w:rsid w:val="004A08A5"/>
    <w:rsid w:val="004A09B8"/>
    <w:rsid w:val="004A0DC5"/>
    <w:rsid w:val="004A0DD1"/>
    <w:rsid w:val="004A1160"/>
    <w:rsid w:val="004A18A8"/>
    <w:rsid w:val="004A19C8"/>
    <w:rsid w:val="004A1D98"/>
    <w:rsid w:val="004A228E"/>
    <w:rsid w:val="004A2A28"/>
    <w:rsid w:val="004A2A89"/>
    <w:rsid w:val="004A33DA"/>
    <w:rsid w:val="004A3DBF"/>
    <w:rsid w:val="004A3E24"/>
    <w:rsid w:val="004A3E47"/>
    <w:rsid w:val="004A41B7"/>
    <w:rsid w:val="004A4285"/>
    <w:rsid w:val="004A4DEA"/>
    <w:rsid w:val="004A5287"/>
    <w:rsid w:val="004A53A3"/>
    <w:rsid w:val="004A53E7"/>
    <w:rsid w:val="004A572B"/>
    <w:rsid w:val="004A604B"/>
    <w:rsid w:val="004A6245"/>
    <w:rsid w:val="004A6496"/>
    <w:rsid w:val="004A696C"/>
    <w:rsid w:val="004A6AE6"/>
    <w:rsid w:val="004A717F"/>
    <w:rsid w:val="004A7831"/>
    <w:rsid w:val="004A7EF8"/>
    <w:rsid w:val="004B096B"/>
    <w:rsid w:val="004B0A3B"/>
    <w:rsid w:val="004B1011"/>
    <w:rsid w:val="004B1067"/>
    <w:rsid w:val="004B10AE"/>
    <w:rsid w:val="004B11AF"/>
    <w:rsid w:val="004B14C4"/>
    <w:rsid w:val="004B1A25"/>
    <w:rsid w:val="004B1B5D"/>
    <w:rsid w:val="004B1CB0"/>
    <w:rsid w:val="004B1DC1"/>
    <w:rsid w:val="004B20E7"/>
    <w:rsid w:val="004B30C3"/>
    <w:rsid w:val="004B35DC"/>
    <w:rsid w:val="004B3EE6"/>
    <w:rsid w:val="004B3EEE"/>
    <w:rsid w:val="004B3FBE"/>
    <w:rsid w:val="004B4D44"/>
    <w:rsid w:val="004B510A"/>
    <w:rsid w:val="004B52E2"/>
    <w:rsid w:val="004B586B"/>
    <w:rsid w:val="004B5E39"/>
    <w:rsid w:val="004B617E"/>
    <w:rsid w:val="004B6227"/>
    <w:rsid w:val="004B63D9"/>
    <w:rsid w:val="004B6692"/>
    <w:rsid w:val="004B669E"/>
    <w:rsid w:val="004B6D18"/>
    <w:rsid w:val="004B6F09"/>
    <w:rsid w:val="004B7347"/>
    <w:rsid w:val="004B7367"/>
    <w:rsid w:val="004B7634"/>
    <w:rsid w:val="004C02DA"/>
    <w:rsid w:val="004C095C"/>
    <w:rsid w:val="004C0D88"/>
    <w:rsid w:val="004C0FD7"/>
    <w:rsid w:val="004C2755"/>
    <w:rsid w:val="004C2FD2"/>
    <w:rsid w:val="004C373E"/>
    <w:rsid w:val="004C3E0C"/>
    <w:rsid w:val="004C3ED7"/>
    <w:rsid w:val="004C40E8"/>
    <w:rsid w:val="004C4145"/>
    <w:rsid w:val="004C44F6"/>
    <w:rsid w:val="004C4F45"/>
    <w:rsid w:val="004C53E7"/>
    <w:rsid w:val="004C54A0"/>
    <w:rsid w:val="004C5B03"/>
    <w:rsid w:val="004C6009"/>
    <w:rsid w:val="004C663D"/>
    <w:rsid w:val="004C6CCC"/>
    <w:rsid w:val="004C6FDA"/>
    <w:rsid w:val="004C749A"/>
    <w:rsid w:val="004C7AC4"/>
    <w:rsid w:val="004C7C10"/>
    <w:rsid w:val="004D0057"/>
    <w:rsid w:val="004D0826"/>
    <w:rsid w:val="004D08F5"/>
    <w:rsid w:val="004D0A78"/>
    <w:rsid w:val="004D0B71"/>
    <w:rsid w:val="004D0F87"/>
    <w:rsid w:val="004D1065"/>
    <w:rsid w:val="004D12E7"/>
    <w:rsid w:val="004D141F"/>
    <w:rsid w:val="004D15A8"/>
    <w:rsid w:val="004D17E1"/>
    <w:rsid w:val="004D1E4C"/>
    <w:rsid w:val="004D2FEA"/>
    <w:rsid w:val="004D311C"/>
    <w:rsid w:val="004D34A0"/>
    <w:rsid w:val="004D3508"/>
    <w:rsid w:val="004D362A"/>
    <w:rsid w:val="004D3C08"/>
    <w:rsid w:val="004D3F8D"/>
    <w:rsid w:val="004D4732"/>
    <w:rsid w:val="004D4EEA"/>
    <w:rsid w:val="004D5206"/>
    <w:rsid w:val="004D5213"/>
    <w:rsid w:val="004D5216"/>
    <w:rsid w:val="004D55FA"/>
    <w:rsid w:val="004D5A16"/>
    <w:rsid w:val="004D5B29"/>
    <w:rsid w:val="004D5E02"/>
    <w:rsid w:val="004D5F70"/>
    <w:rsid w:val="004D7194"/>
    <w:rsid w:val="004D7275"/>
    <w:rsid w:val="004D75D8"/>
    <w:rsid w:val="004D78C8"/>
    <w:rsid w:val="004D7EF7"/>
    <w:rsid w:val="004D7F38"/>
    <w:rsid w:val="004E05E7"/>
    <w:rsid w:val="004E0E39"/>
    <w:rsid w:val="004E1757"/>
    <w:rsid w:val="004E1853"/>
    <w:rsid w:val="004E1F04"/>
    <w:rsid w:val="004E2B0F"/>
    <w:rsid w:val="004E2B57"/>
    <w:rsid w:val="004E2E08"/>
    <w:rsid w:val="004E2F35"/>
    <w:rsid w:val="004E3204"/>
    <w:rsid w:val="004E3844"/>
    <w:rsid w:val="004E3920"/>
    <w:rsid w:val="004E3C59"/>
    <w:rsid w:val="004E3E1A"/>
    <w:rsid w:val="004E3FFF"/>
    <w:rsid w:val="004E43D1"/>
    <w:rsid w:val="004E43D5"/>
    <w:rsid w:val="004E4527"/>
    <w:rsid w:val="004E468D"/>
    <w:rsid w:val="004E4D2B"/>
    <w:rsid w:val="004E50A2"/>
    <w:rsid w:val="004E523A"/>
    <w:rsid w:val="004E5875"/>
    <w:rsid w:val="004E58C3"/>
    <w:rsid w:val="004E5E9B"/>
    <w:rsid w:val="004E629F"/>
    <w:rsid w:val="004E6436"/>
    <w:rsid w:val="004E64B8"/>
    <w:rsid w:val="004E65E9"/>
    <w:rsid w:val="004E6738"/>
    <w:rsid w:val="004E6997"/>
    <w:rsid w:val="004E6B9A"/>
    <w:rsid w:val="004E7249"/>
    <w:rsid w:val="004E72FB"/>
    <w:rsid w:val="004E75A8"/>
    <w:rsid w:val="004E7901"/>
    <w:rsid w:val="004E79BD"/>
    <w:rsid w:val="004E7B8C"/>
    <w:rsid w:val="004E7F29"/>
    <w:rsid w:val="004E7FC6"/>
    <w:rsid w:val="004F0918"/>
    <w:rsid w:val="004F0C51"/>
    <w:rsid w:val="004F1054"/>
    <w:rsid w:val="004F10A2"/>
    <w:rsid w:val="004F140B"/>
    <w:rsid w:val="004F1911"/>
    <w:rsid w:val="004F1DD3"/>
    <w:rsid w:val="004F1E45"/>
    <w:rsid w:val="004F2383"/>
    <w:rsid w:val="004F23E9"/>
    <w:rsid w:val="004F2665"/>
    <w:rsid w:val="004F2CFF"/>
    <w:rsid w:val="004F2FF1"/>
    <w:rsid w:val="004F334F"/>
    <w:rsid w:val="004F36AD"/>
    <w:rsid w:val="004F3834"/>
    <w:rsid w:val="004F3B6F"/>
    <w:rsid w:val="004F3EDC"/>
    <w:rsid w:val="004F43A5"/>
    <w:rsid w:val="004F4635"/>
    <w:rsid w:val="004F48C3"/>
    <w:rsid w:val="004F4FC8"/>
    <w:rsid w:val="004F4FF7"/>
    <w:rsid w:val="004F52EB"/>
    <w:rsid w:val="004F56CF"/>
    <w:rsid w:val="004F57F0"/>
    <w:rsid w:val="004F5854"/>
    <w:rsid w:val="004F58BB"/>
    <w:rsid w:val="004F632F"/>
    <w:rsid w:val="004F6C21"/>
    <w:rsid w:val="004F6CFB"/>
    <w:rsid w:val="004F72E9"/>
    <w:rsid w:val="00500602"/>
    <w:rsid w:val="00500E8D"/>
    <w:rsid w:val="00500EDA"/>
    <w:rsid w:val="00501351"/>
    <w:rsid w:val="00501622"/>
    <w:rsid w:val="005019B1"/>
    <w:rsid w:val="00501C80"/>
    <w:rsid w:val="00501DEE"/>
    <w:rsid w:val="00501EAC"/>
    <w:rsid w:val="00502217"/>
    <w:rsid w:val="00502D50"/>
    <w:rsid w:val="0050314E"/>
    <w:rsid w:val="00503295"/>
    <w:rsid w:val="00503571"/>
    <w:rsid w:val="00503638"/>
    <w:rsid w:val="005036BB"/>
    <w:rsid w:val="00503819"/>
    <w:rsid w:val="00503A81"/>
    <w:rsid w:val="00503B2F"/>
    <w:rsid w:val="00503E65"/>
    <w:rsid w:val="005045AE"/>
    <w:rsid w:val="00504B64"/>
    <w:rsid w:val="00504CED"/>
    <w:rsid w:val="00504D5D"/>
    <w:rsid w:val="005050AA"/>
    <w:rsid w:val="005050B0"/>
    <w:rsid w:val="00505BA0"/>
    <w:rsid w:val="00505E50"/>
    <w:rsid w:val="00505FBC"/>
    <w:rsid w:val="0050607C"/>
    <w:rsid w:val="005068FD"/>
    <w:rsid w:val="00507501"/>
    <w:rsid w:val="005075B6"/>
    <w:rsid w:val="005076CE"/>
    <w:rsid w:val="00507BDB"/>
    <w:rsid w:val="00507E32"/>
    <w:rsid w:val="0051104A"/>
    <w:rsid w:val="0051161A"/>
    <w:rsid w:val="0051180A"/>
    <w:rsid w:val="005126B9"/>
    <w:rsid w:val="00512853"/>
    <w:rsid w:val="00512C92"/>
    <w:rsid w:val="00513406"/>
    <w:rsid w:val="005142D6"/>
    <w:rsid w:val="005143A8"/>
    <w:rsid w:val="00514497"/>
    <w:rsid w:val="00514616"/>
    <w:rsid w:val="00514988"/>
    <w:rsid w:val="00515110"/>
    <w:rsid w:val="005154BC"/>
    <w:rsid w:val="005159EE"/>
    <w:rsid w:val="00516124"/>
    <w:rsid w:val="005161B2"/>
    <w:rsid w:val="0051662C"/>
    <w:rsid w:val="00517023"/>
    <w:rsid w:val="005170D8"/>
    <w:rsid w:val="0051743E"/>
    <w:rsid w:val="0051749C"/>
    <w:rsid w:val="00517839"/>
    <w:rsid w:val="00517B7D"/>
    <w:rsid w:val="00517F0D"/>
    <w:rsid w:val="0052022D"/>
    <w:rsid w:val="005202BB"/>
    <w:rsid w:val="005207C0"/>
    <w:rsid w:val="00521429"/>
    <w:rsid w:val="00521445"/>
    <w:rsid w:val="00521495"/>
    <w:rsid w:val="00521592"/>
    <w:rsid w:val="00521E09"/>
    <w:rsid w:val="00521EDB"/>
    <w:rsid w:val="00522624"/>
    <w:rsid w:val="005229C0"/>
    <w:rsid w:val="00522C4A"/>
    <w:rsid w:val="00522F19"/>
    <w:rsid w:val="00523193"/>
    <w:rsid w:val="005232A0"/>
    <w:rsid w:val="00523347"/>
    <w:rsid w:val="00523390"/>
    <w:rsid w:val="00523A2E"/>
    <w:rsid w:val="00523DA0"/>
    <w:rsid w:val="005244ED"/>
    <w:rsid w:val="00524898"/>
    <w:rsid w:val="005249C9"/>
    <w:rsid w:val="00524ADA"/>
    <w:rsid w:val="00524DA1"/>
    <w:rsid w:val="0052528D"/>
    <w:rsid w:val="00525715"/>
    <w:rsid w:val="00525941"/>
    <w:rsid w:val="00525A97"/>
    <w:rsid w:val="00525CEB"/>
    <w:rsid w:val="00525DBB"/>
    <w:rsid w:val="00525E11"/>
    <w:rsid w:val="00526019"/>
    <w:rsid w:val="00526186"/>
    <w:rsid w:val="005262C2"/>
    <w:rsid w:val="005269C1"/>
    <w:rsid w:val="00526ABB"/>
    <w:rsid w:val="00526B38"/>
    <w:rsid w:val="00526E34"/>
    <w:rsid w:val="0052788F"/>
    <w:rsid w:val="00527A20"/>
    <w:rsid w:val="0053069F"/>
    <w:rsid w:val="00530A76"/>
    <w:rsid w:val="00530B59"/>
    <w:rsid w:val="00530F5B"/>
    <w:rsid w:val="005310AE"/>
    <w:rsid w:val="00531254"/>
    <w:rsid w:val="005316BD"/>
    <w:rsid w:val="0053189E"/>
    <w:rsid w:val="005318B9"/>
    <w:rsid w:val="00531954"/>
    <w:rsid w:val="00531E07"/>
    <w:rsid w:val="005321F4"/>
    <w:rsid w:val="0053271E"/>
    <w:rsid w:val="00533171"/>
    <w:rsid w:val="005332F5"/>
    <w:rsid w:val="005333D4"/>
    <w:rsid w:val="005338F0"/>
    <w:rsid w:val="00533F1C"/>
    <w:rsid w:val="00534124"/>
    <w:rsid w:val="00534284"/>
    <w:rsid w:val="00534585"/>
    <w:rsid w:val="00534707"/>
    <w:rsid w:val="00534A1D"/>
    <w:rsid w:val="00534A3B"/>
    <w:rsid w:val="00534D14"/>
    <w:rsid w:val="00534D5B"/>
    <w:rsid w:val="00535011"/>
    <w:rsid w:val="00535439"/>
    <w:rsid w:val="00535487"/>
    <w:rsid w:val="00535591"/>
    <w:rsid w:val="00535B7B"/>
    <w:rsid w:val="00535C88"/>
    <w:rsid w:val="00535E33"/>
    <w:rsid w:val="005362CD"/>
    <w:rsid w:val="00536455"/>
    <w:rsid w:val="00536496"/>
    <w:rsid w:val="0053652E"/>
    <w:rsid w:val="005366B6"/>
    <w:rsid w:val="00536768"/>
    <w:rsid w:val="00536924"/>
    <w:rsid w:val="00537959"/>
    <w:rsid w:val="00537C47"/>
    <w:rsid w:val="00540660"/>
    <w:rsid w:val="00540DB3"/>
    <w:rsid w:val="00540E01"/>
    <w:rsid w:val="00540F72"/>
    <w:rsid w:val="00541113"/>
    <w:rsid w:val="00541475"/>
    <w:rsid w:val="0054171E"/>
    <w:rsid w:val="00541A61"/>
    <w:rsid w:val="00541E22"/>
    <w:rsid w:val="0054202B"/>
    <w:rsid w:val="005420F0"/>
    <w:rsid w:val="00542443"/>
    <w:rsid w:val="00542F35"/>
    <w:rsid w:val="00542F46"/>
    <w:rsid w:val="005430A8"/>
    <w:rsid w:val="00543187"/>
    <w:rsid w:val="00543297"/>
    <w:rsid w:val="005438C4"/>
    <w:rsid w:val="00543A9D"/>
    <w:rsid w:val="00543B54"/>
    <w:rsid w:val="00543DB7"/>
    <w:rsid w:val="005440C5"/>
    <w:rsid w:val="005443C8"/>
    <w:rsid w:val="0054443F"/>
    <w:rsid w:val="00544A04"/>
    <w:rsid w:val="00545097"/>
    <w:rsid w:val="00545433"/>
    <w:rsid w:val="00545580"/>
    <w:rsid w:val="005457BF"/>
    <w:rsid w:val="00545D24"/>
    <w:rsid w:val="00545FB5"/>
    <w:rsid w:val="005460F4"/>
    <w:rsid w:val="005469D0"/>
    <w:rsid w:val="005469DD"/>
    <w:rsid w:val="005474EB"/>
    <w:rsid w:val="00547FA9"/>
    <w:rsid w:val="005505DB"/>
    <w:rsid w:val="00550672"/>
    <w:rsid w:val="00550C0A"/>
    <w:rsid w:val="00550D63"/>
    <w:rsid w:val="00551249"/>
    <w:rsid w:val="0055175B"/>
    <w:rsid w:val="005519BC"/>
    <w:rsid w:val="00551BEE"/>
    <w:rsid w:val="005527E4"/>
    <w:rsid w:val="00553294"/>
    <w:rsid w:val="0055354E"/>
    <w:rsid w:val="0055360E"/>
    <w:rsid w:val="005537D1"/>
    <w:rsid w:val="0055393A"/>
    <w:rsid w:val="005539DA"/>
    <w:rsid w:val="00553C80"/>
    <w:rsid w:val="00553D99"/>
    <w:rsid w:val="00554359"/>
    <w:rsid w:val="0055436D"/>
    <w:rsid w:val="0055456C"/>
    <w:rsid w:val="005545BF"/>
    <w:rsid w:val="00554DF8"/>
    <w:rsid w:val="00555069"/>
    <w:rsid w:val="005554B3"/>
    <w:rsid w:val="0055593A"/>
    <w:rsid w:val="00555C19"/>
    <w:rsid w:val="00555CA0"/>
    <w:rsid w:val="00555E84"/>
    <w:rsid w:val="0055687D"/>
    <w:rsid w:val="005569D0"/>
    <w:rsid w:val="00556FDE"/>
    <w:rsid w:val="00557162"/>
    <w:rsid w:val="005572AE"/>
    <w:rsid w:val="00557627"/>
    <w:rsid w:val="00560091"/>
    <w:rsid w:val="0056065D"/>
    <w:rsid w:val="005607AE"/>
    <w:rsid w:val="00560B36"/>
    <w:rsid w:val="00560DCF"/>
    <w:rsid w:val="00560E41"/>
    <w:rsid w:val="00560E96"/>
    <w:rsid w:val="005610F0"/>
    <w:rsid w:val="005611AB"/>
    <w:rsid w:val="005611F9"/>
    <w:rsid w:val="00561458"/>
    <w:rsid w:val="00561964"/>
    <w:rsid w:val="00561AB9"/>
    <w:rsid w:val="00561FB6"/>
    <w:rsid w:val="00563186"/>
    <w:rsid w:val="00563971"/>
    <w:rsid w:val="00563CF7"/>
    <w:rsid w:val="00563D34"/>
    <w:rsid w:val="005640E3"/>
    <w:rsid w:val="005648ED"/>
    <w:rsid w:val="00564B88"/>
    <w:rsid w:val="00564DE7"/>
    <w:rsid w:val="00565145"/>
    <w:rsid w:val="0056536C"/>
    <w:rsid w:val="0056564F"/>
    <w:rsid w:val="00565DD0"/>
    <w:rsid w:val="0056667C"/>
    <w:rsid w:val="00566A1C"/>
    <w:rsid w:val="00566C4B"/>
    <w:rsid w:val="0056723C"/>
    <w:rsid w:val="005673FC"/>
    <w:rsid w:val="005674BB"/>
    <w:rsid w:val="0056772C"/>
    <w:rsid w:val="00567AE1"/>
    <w:rsid w:val="00567CB1"/>
    <w:rsid w:val="00567CD4"/>
    <w:rsid w:val="00567F85"/>
    <w:rsid w:val="00567FE2"/>
    <w:rsid w:val="00570AAE"/>
    <w:rsid w:val="0057148B"/>
    <w:rsid w:val="00571B86"/>
    <w:rsid w:val="00572529"/>
    <w:rsid w:val="00572962"/>
    <w:rsid w:val="00572AA6"/>
    <w:rsid w:val="00572F46"/>
    <w:rsid w:val="0057310E"/>
    <w:rsid w:val="0057449B"/>
    <w:rsid w:val="0057476E"/>
    <w:rsid w:val="0057528B"/>
    <w:rsid w:val="00575CB7"/>
    <w:rsid w:val="00575CF8"/>
    <w:rsid w:val="00575F9D"/>
    <w:rsid w:val="00576B4B"/>
    <w:rsid w:val="00576E2B"/>
    <w:rsid w:val="00577035"/>
    <w:rsid w:val="005773ED"/>
    <w:rsid w:val="005779CA"/>
    <w:rsid w:val="00577AA2"/>
    <w:rsid w:val="00580871"/>
    <w:rsid w:val="0058091B"/>
    <w:rsid w:val="00580F96"/>
    <w:rsid w:val="00581836"/>
    <w:rsid w:val="0058183A"/>
    <w:rsid w:val="00583146"/>
    <w:rsid w:val="0058354B"/>
    <w:rsid w:val="00583BB5"/>
    <w:rsid w:val="005840BA"/>
    <w:rsid w:val="0058416A"/>
    <w:rsid w:val="00584D1A"/>
    <w:rsid w:val="005850E9"/>
    <w:rsid w:val="00585421"/>
    <w:rsid w:val="00585605"/>
    <w:rsid w:val="00585767"/>
    <w:rsid w:val="00585FF4"/>
    <w:rsid w:val="005860A2"/>
    <w:rsid w:val="0058654C"/>
    <w:rsid w:val="00587336"/>
    <w:rsid w:val="00587E95"/>
    <w:rsid w:val="00590065"/>
    <w:rsid w:val="0059016D"/>
    <w:rsid w:val="00590A8E"/>
    <w:rsid w:val="00590F0A"/>
    <w:rsid w:val="00591370"/>
    <w:rsid w:val="0059144A"/>
    <w:rsid w:val="00591688"/>
    <w:rsid w:val="00591689"/>
    <w:rsid w:val="005918BC"/>
    <w:rsid w:val="005921ED"/>
    <w:rsid w:val="00592536"/>
    <w:rsid w:val="00592AEF"/>
    <w:rsid w:val="00592CAB"/>
    <w:rsid w:val="0059301E"/>
    <w:rsid w:val="00593628"/>
    <w:rsid w:val="00593636"/>
    <w:rsid w:val="00593707"/>
    <w:rsid w:val="00593964"/>
    <w:rsid w:val="00593FFD"/>
    <w:rsid w:val="0059482D"/>
    <w:rsid w:val="00594D0A"/>
    <w:rsid w:val="0059500A"/>
    <w:rsid w:val="005950E0"/>
    <w:rsid w:val="0059532A"/>
    <w:rsid w:val="00595C6D"/>
    <w:rsid w:val="00595CB6"/>
    <w:rsid w:val="005963C9"/>
    <w:rsid w:val="00596A21"/>
    <w:rsid w:val="00596A48"/>
    <w:rsid w:val="00596B72"/>
    <w:rsid w:val="00596B76"/>
    <w:rsid w:val="00597DBC"/>
    <w:rsid w:val="005A08BE"/>
    <w:rsid w:val="005A24EB"/>
    <w:rsid w:val="005A341C"/>
    <w:rsid w:val="005A3941"/>
    <w:rsid w:val="005A3B81"/>
    <w:rsid w:val="005A3BEF"/>
    <w:rsid w:val="005A3EBA"/>
    <w:rsid w:val="005A42B3"/>
    <w:rsid w:val="005A4358"/>
    <w:rsid w:val="005A499E"/>
    <w:rsid w:val="005A4CEC"/>
    <w:rsid w:val="005A4F7D"/>
    <w:rsid w:val="005A51CA"/>
    <w:rsid w:val="005A5C75"/>
    <w:rsid w:val="005A5F10"/>
    <w:rsid w:val="005A5FF0"/>
    <w:rsid w:val="005A61A8"/>
    <w:rsid w:val="005A6378"/>
    <w:rsid w:val="005A65FE"/>
    <w:rsid w:val="005A69E2"/>
    <w:rsid w:val="005A6A4C"/>
    <w:rsid w:val="005A6C7B"/>
    <w:rsid w:val="005A6E17"/>
    <w:rsid w:val="005A6F1E"/>
    <w:rsid w:val="005A7540"/>
    <w:rsid w:val="005A779D"/>
    <w:rsid w:val="005A7CAD"/>
    <w:rsid w:val="005A7DA0"/>
    <w:rsid w:val="005B01F2"/>
    <w:rsid w:val="005B05EF"/>
    <w:rsid w:val="005B091E"/>
    <w:rsid w:val="005B092C"/>
    <w:rsid w:val="005B0B3A"/>
    <w:rsid w:val="005B0D8A"/>
    <w:rsid w:val="005B14B2"/>
    <w:rsid w:val="005B201B"/>
    <w:rsid w:val="005B2313"/>
    <w:rsid w:val="005B2324"/>
    <w:rsid w:val="005B2616"/>
    <w:rsid w:val="005B2735"/>
    <w:rsid w:val="005B343E"/>
    <w:rsid w:val="005B3491"/>
    <w:rsid w:val="005B36A1"/>
    <w:rsid w:val="005B3FE4"/>
    <w:rsid w:val="005B432F"/>
    <w:rsid w:val="005B4C72"/>
    <w:rsid w:val="005B4E4F"/>
    <w:rsid w:val="005B4F29"/>
    <w:rsid w:val="005B5378"/>
    <w:rsid w:val="005B5F54"/>
    <w:rsid w:val="005B5FBD"/>
    <w:rsid w:val="005B5FDB"/>
    <w:rsid w:val="005B6221"/>
    <w:rsid w:val="005B664C"/>
    <w:rsid w:val="005B6BD5"/>
    <w:rsid w:val="005B723B"/>
    <w:rsid w:val="005B74DB"/>
    <w:rsid w:val="005B786C"/>
    <w:rsid w:val="005B7D5A"/>
    <w:rsid w:val="005C0465"/>
    <w:rsid w:val="005C09C5"/>
    <w:rsid w:val="005C0D26"/>
    <w:rsid w:val="005C1042"/>
    <w:rsid w:val="005C20C8"/>
    <w:rsid w:val="005C2BAE"/>
    <w:rsid w:val="005C2E03"/>
    <w:rsid w:val="005C3D9A"/>
    <w:rsid w:val="005C4246"/>
    <w:rsid w:val="005C4507"/>
    <w:rsid w:val="005C4FD1"/>
    <w:rsid w:val="005C5271"/>
    <w:rsid w:val="005C538E"/>
    <w:rsid w:val="005C55BC"/>
    <w:rsid w:val="005C5A0F"/>
    <w:rsid w:val="005C5DFF"/>
    <w:rsid w:val="005C5FFF"/>
    <w:rsid w:val="005C601F"/>
    <w:rsid w:val="005C662E"/>
    <w:rsid w:val="005C689C"/>
    <w:rsid w:val="005C698F"/>
    <w:rsid w:val="005C6A02"/>
    <w:rsid w:val="005C7A24"/>
    <w:rsid w:val="005C7BA3"/>
    <w:rsid w:val="005C7CE3"/>
    <w:rsid w:val="005D0470"/>
    <w:rsid w:val="005D06AE"/>
    <w:rsid w:val="005D0905"/>
    <w:rsid w:val="005D090E"/>
    <w:rsid w:val="005D1006"/>
    <w:rsid w:val="005D1041"/>
    <w:rsid w:val="005D15C2"/>
    <w:rsid w:val="005D173F"/>
    <w:rsid w:val="005D1CA6"/>
    <w:rsid w:val="005D1D4A"/>
    <w:rsid w:val="005D2598"/>
    <w:rsid w:val="005D2F8F"/>
    <w:rsid w:val="005D33F7"/>
    <w:rsid w:val="005D3CEC"/>
    <w:rsid w:val="005D3D2B"/>
    <w:rsid w:val="005D40C7"/>
    <w:rsid w:val="005D42B1"/>
    <w:rsid w:val="005D436B"/>
    <w:rsid w:val="005D4382"/>
    <w:rsid w:val="005D49C3"/>
    <w:rsid w:val="005D4B89"/>
    <w:rsid w:val="005D4D4F"/>
    <w:rsid w:val="005D4DE0"/>
    <w:rsid w:val="005D50E0"/>
    <w:rsid w:val="005D5B48"/>
    <w:rsid w:val="005D60FF"/>
    <w:rsid w:val="005D6922"/>
    <w:rsid w:val="005D73CD"/>
    <w:rsid w:val="005D75C3"/>
    <w:rsid w:val="005D770B"/>
    <w:rsid w:val="005D7860"/>
    <w:rsid w:val="005D7D88"/>
    <w:rsid w:val="005D7DE4"/>
    <w:rsid w:val="005E01F3"/>
    <w:rsid w:val="005E0244"/>
    <w:rsid w:val="005E0270"/>
    <w:rsid w:val="005E066D"/>
    <w:rsid w:val="005E0BCA"/>
    <w:rsid w:val="005E0C51"/>
    <w:rsid w:val="005E1156"/>
    <w:rsid w:val="005E1E49"/>
    <w:rsid w:val="005E214B"/>
    <w:rsid w:val="005E24A5"/>
    <w:rsid w:val="005E2594"/>
    <w:rsid w:val="005E2951"/>
    <w:rsid w:val="005E29EF"/>
    <w:rsid w:val="005E4446"/>
    <w:rsid w:val="005E50A3"/>
    <w:rsid w:val="005E5393"/>
    <w:rsid w:val="005E56CB"/>
    <w:rsid w:val="005E5BE6"/>
    <w:rsid w:val="005E6237"/>
    <w:rsid w:val="005E623F"/>
    <w:rsid w:val="005E64DA"/>
    <w:rsid w:val="005E6626"/>
    <w:rsid w:val="005E6754"/>
    <w:rsid w:val="005E71ED"/>
    <w:rsid w:val="005E7546"/>
    <w:rsid w:val="005F05CF"/>
    <w:rsid w:val="005F07E9"/>
    <w:rsid w:val="005F083C"/>
    <w:rsid w:val="005F10BC"/>
    <w:rsid w:val="005F1189"/>
    <w:rsid w:val="005F14A6"/>
    <w:rsid w:val="005F1519"/>
    <w:rsid w:val="005F16B7"/>
    <w:rsid w:val="005F178B"/>
    <w:rsid w:val="005F2664"/>
    <w:rsid w:val="005F2915"/>
    <w:rsid w:val="005F2C7F"/>
    <w:rsid w:val="005F2E7C"/>
    <w:rsid w:val="005F2E90"/>
    <w:rsid w:val="005F3184"/>
    <w:rsid w:val="005F3509"/>
    <w:rsid w:val="005F3566"/>
    <w:rsid w:val="005F3585"/>
    <w:rsid w:val="005F35E2"/>
    <w:rsid w:val="005F364B"/>
    <w:rsid w:val="005F3895"/>
    <w:rsid w:val="005F3B2C"/>
    <w:rsid w:val="005F4187"/>
    <w:rsid w:val="005F4474"/>
    <w:rsid w:val="005F4702"/>
    <w:rsid w:val="005F4A9E"/>
    <w:rsid w:val="005F4B08"/>
    <w:rsid w:val="005F4C5B"/>
    <w:rsid w:val="005F5031"/>
    <w:rsid w:val="005F5351"/>
    <w:rsid w:val="005F5398"/>
    <w:rsid w:val="005F6CFF"/>
    <w:rsid w:val="005F6D05"/>
    <w:rsid w:val="005F6E0C"/>
    <w:rsid w:val="005F7045"/>
    <w:rsid w:val="005F7331"/>
    <w:rsid w:val="005F7705"/>
    <w:rsid w:val="005F7940"/>
    <w:rsid w:val="005F7B38"/>
    <w:rsid w:val="005F7E05"/>
    <w:rsid w:val="006000EA"/>
    <w:rsid w:val="00600271"/>
    <w:rsid w:val="0060046A"/>
    <w:rsid w:val="006008EB"/>
    <w:rsid w:val="00600DAF"/>
    <w:rsid w:val="006015C3"/>
    <w:rsid w:val="0060192A"/>
    <w:rsid w:val="00601EE0"/>
    <w:rsid w:val="00601F67"/>
    <w:rsid w:val="006020F7"/>
    <w:rsid w:val="00602CE1"/>
    <w:rsid w:val="00603D1C"/>
    <w:rsid w:val="00603DB8"/>
    <w:rsid w:val="00603EE2"/>
    <w:rsid w:val="00603EF6"/>
    <w:rsid w:val="00604660"/>
    <w:rsid w:val="00604B46"/>
    <w:rsid w:val="00604BC4"/>
    <w:rsid w:val="0060567D"/>
    <w:rsid w:val="0060593F"/>
    <w:rsid w:val="00605DD8"/>
    <w:rsid w:val="006060C0"/>
    <w:rsid w:val="0060630B"/>
    <w:rsid w:val="00606716"/>
    <w:rsid w:val="0060677E"/>
    <w:rsid w:val="006068AB"/>
    <w:rsid w:val="00606C95"/>
    <w:rsid w:val="00606DC4"/>
    <w:rsid w:val="00606E92"/>
    <w:rsid w:val="006071A4"/>
    <w:rsid w:val="006072E3"/>
    <w:rsid w:val="00607554"/>
    <w:rsid w:val="00607C50"/>
    <w:rsid w:val="00607CD1"/>
    <w:rsid w:val="0061036C"/>
    <w:rsid w:val="00610EB3"/>
    <w:rsid w:val="00610FFA"/>
    <w:rsid w:val="00611276"/>
    <w:rsid w:val="006116FD"/>
    <w:rsid w:val="0061204C"/>
    <w:rsid w:val="00613151"/>
    <w:rsid w:val="00613192"/>
    <w:rsid w:val="006133FD"/>
    <w:rsid w:val="0061347A"/>
    <w:rsid w:val="00613BB5"/>
    <w:rsid w:val="00613C23"/>
    <w:rsid w:val="00613EA0"/>
    <w:rsid w:val="00613F67"/>
    <w:rsid w:val="00614111"/>
    <w:rsid w:val="0061436D"/>
    <w:rsid w:val="00614401"/>
    <w:rsid w:val="00614403"/>
    <w:rsid w:val="00614422"/>
    <w:rsid w:val="006147F6"/>
    <w:rsid w:val="0061492A"/>
    <w:rsid w:val="00614D33"/>
    <w:rsid w:val="0061524E"/>
    <w:rsid w:val="00615402"/>
    <w:rsid w:val="00615576"/>
    <w:rsid w:val="0061563D"/>
    <w:rsid w:val="006156CC"/>
    <w:rsid w:val="006158BA"/>
    <w:rsid w:val="006159ED"/>
    <w:rsid w:val="00615BEA"/>
    <w:rsid w:val="006169F8"/>
    <w:rsid w:val="00616A94"/>
    <w:rsid w:val="00616B7A"/>
    <w:rsid w:val="00616F94"/>
    <w:rsid w:val="00617175"/>
    <w:rsid w:val="006172CD"/>
    <w:rsid w:val="0061733F"/>
    <w:rsid w:val="006175DD"/>
    <w:rsid w:val="00617A29"/>
    <w:rsid w:val="00620476"/>
    <w:rsid w:val="00620698"/>
    <w:rsid w:val="006207F3"/>
    <w:rsid w:val="006211C5"/>
    <w:rsid w:val="006212C0"/>
    <w:rsid w:val="006216D9"/>
    <w:rsid w:val="0062182D"/>
    <w:rsid w:val="00621F3C"/>
    <w:rsid w:val="006221C1"/>
    <w:rsid w:val="00622941"/>
    <w:rsid w:val="00622C36"/>
    <w:rsid w:val="00622F7B"/>
    <w:rsid w:val="006232A5"/>
    <w:rsid w:val="00623507"/>
    <w:rsid w:val="00623C44"/>
    <w:rsid w:val="00623EAB"/>
    <w:rsid w:val="00624494"/>
    <w:rsid w:val="00625470"/>
    <w:rsid w:val="006255CE"/>
    <w:rsid w:val="0062566A"/>
    <w:rsid w:val="006259CC"/>
    <w:rsid w:val="006259DF"/>
    <w:rsid w:val="00625C7F"/>
    <w:rsid w:val="006263B4"/>
    <w:rsid w:val="0062691D"/>
    <w:rsid w:val="00627107"/>
    <w:rsid w:val="006274F2"/>
    <w:rsid w:val="00627C5B"/>
    <w:rsid w:val="00627FAB"/>
    <w:rsid w:val="006301EB"/>
    <w:rsid w:val="00630CF2"/>
    <w:rsid w:val="00630D5E"/>
    <w:rsid w:val="00631144"/>
    <w:rsid w:val="00631505"/>
    <w:rsid w:val="00631539"/>
    <w:rsid w:val="00631912"/>
    <w:rsid w:val="006321E3"/>
    <w:rsid w:val="0063244C"/>
    <w:rsid w:val="006327F5"/>
    <w:rsid w:val="00632862"/>
    <w:rsid w:val="00632914"/>
    <w:rsid w:val="00632D13"/>
    <w:rsid w:val="0063301E"/>
    <w:rsid w:val="00633325"/>
    <w:rsid w:val="00633E99"/>
    <w:rsid w:val="00634214"/>
    <w:rsid w:val="00634411"/>
    <w:rsid w:val="0063491D"/>
    <w:rsid w:val="00634C35"/>
    <w:rsid w:val="00634FF2"/>
    <w:rsid w:val="00635871"/>
    <w:rsid w:val="00635BF2"/>
    <w:rsid w:val="0063629B"/>
    <w:rsid w:val="0063673D"/>
    <w:rsid w:val="00636992"/>
    <w:rsid w:val="00636CC5"/>
    <w:rsid w:val="00636DDD"/>
    <w:rsid w:val="0063746D"/>
    <w:rsid w:val="00637933"/>
    <w:rsid w:val="00637A39"/>
    <w:rsid w:val="00637BBE"/>
    <w:rsid w:val="00637E5E"/>
    <w:rsid w:val="00637E70"/>
    <w:rsid w:val="0064039F"/>
    <w:rsid w:val="00640D08"/>
    <w:rsid w:val="00640D3D"/>
    <w:rsid w:val="00641364"/>
    <w:rsid w:val="006413C5"/>
    <w:rsid w:val="00641A9F"/>
    <w:rsid w:val="00641C12"/>
    <w:rsid w:val="00642706"/>
    <w:rsid w:val="00642A13"/>
    <w:rsid w:val="00642A8F"/>
    <w:rsid w:val="00642C77"/>
    <w:rsid w:val="00642D59"/>
    <w:rsid w:val="00643316"/>
    <w:rsid w:val="00643617"/>
    <w:rsid w:val="006437DA"/>
    <w:rsid w:val="00643B7C"/>
    <w:rsid w:val="00643ECB"/>
    <w:rsid w:val="00643F9B"/>
    <w:rsid w:val="0064401B"/>
    <w:rsid w:val="0064418A"/>
    <w:rsid w:val="0064422C"/>
    <w:rsid w:val="0064426B"/>
    <w:rsid w:val="00644876"/>
    <w:rsid w:val="00644D7F"/>
    <w:rsid w:val="00645170"/>
    <w:rsid w:val="00645228"/>
    <w:rsid w:val="0064547D"/>
    <w:rsid w:val="00645E6F"/>
    <w:rsid w:val="00645EF9"/>
    <w:rsid w:val="00645F4F"/>
    <w:rsid w:val="0064635D"/>
    <w:rsid w:val="006467FE"/>
    <w:rsid w:val="006478B5"/>
    <w:rsid w:val="00647B8C"/>
    <w:rsid w:val="00647BE0"/>
    <w:rsid w:val="0065017F"/>
    <w:rsid w:val="0065019B"/>
    <w:rsid w:val="006505ED"/>
    <w:rsid w:val="00650894"/>
    <w:rsid w:val="00650ACC"/>
    <w:rsid w:val="00651449"/>
    <w:rsid w:val="0065167D"/>
    <w:rsid w:val="006516E1"/>
    <w:rsid w:val="006520B8"/>
    <w:rsid w:val="00652317"/>
    <w:rsid w:val="0065240D"/>
    <w:rsid w:val="0065242B"/>
    <w:rsid w:val="00652638"/>
    <w:rsid w:val="00652691"/>
    <w:rsid w:val="00652735"/>
    <w:rsid w:val="00652AFC"/>
    <w:rsid w:val="00652E28"/>
    <w:rsid w:val="00653309"/>
    <w:rsid w:val="00653386"/>
    <w:rsid w:val="00653C4B"/>
    <w:rsid w:val="00653D0F"/>
    <w:rsid w:val="0065458B"/>
    <w:rsid w:val="00654A2F"/>
    <w:rsid w:val="00654DC2"/>
    <w:rsid w:val="006556BF"/>
    <w:rsid w:val="00655AC4"/>
    <w:rsid w:val="00655E3C"/>
    <w:rsid w:val="00655EF1"/>
    <w:rsid w:val="00655F8E"/>
    <w:rsid w:val="00656231"/>
    <w:rsid w:val="00656833"/>
    <w:rsid w:val="00656A14"/>
    <w:rsid w:val="00656EA0"/>
    <w:rsid w:val="0065707C"/>
    <w:rsid w:val="006574BB"/>
    <w:rsid w:val="006579CA"/>
    <w:rsid w:val="00657B62"/>
    <w:rsid w:val="00657E2B"/>
    <w:rsid w:val="00660C2B"/>
    <w:rsid w:val="00660C81"/>
    <w:rsid w:val="006614DA"/>
    <w:rsid w:val="00661644"/>
    <w:rsid w:val="006616C9"/>
    <w:rsid w:val="006617EE"/>
    <w:rsid w:val="00661965"/>
    <w:rsid w:val="006619D4"/>
    <w:rsid w:val="00661C03"/>
    <w:rsid w:val="00661C54"/>
    <w:rsid w:val="00661E4E"/>
    <w:rsid w:val="00661E6D"/>
    <w:rsid w:val="00662150"/>
    <w:rsid w:val="00662382"/>
    <w:rsid w:val="0066273B"/>
    <w:rsid w:val="00662C03"/>
    <w:rsid w:val="00662E16"/>
    <w:rsid w:val="00662E6F"/>
    <w:rsid w:val="00662E83"/>
    <w:rsid w:val="006636A0"/>
    <w:rsid w:val="00663744"/>
    <w:rsid w:val="006637D5"/>
    <w:rsid w:val="006639A1"/>
    <w:rsid w:val="00663B16"/>
    <w:rsid w:val="00663C21"/>
    <w:rsid w:val="00663DDD"/>
    <w:rsid w:val="00664676"/>
    <w:rsid w:val="006647A9"/>
    <w:rsid w:val="00664DFE"/>
    <w:rsid w:val="00664F45"/>
    <w:rsid w:val="0066535A"/>
    <w:rsid w:val="00665368"/>
    <w:rsid w:val="00665528"/>
    <w:rsid w:val="00665595"/>
    <w:rsid w:val="00665C32"/>
    <w:rsid w:val="00665F7C"/>
    <w:rsid w:val="00666BF3"/>
    <w:rsid w:val="00667ACA"/>
    <w:rsid w:val="00667AD3"/>
    <w:rsid w:val="006706A5"/>
    <w:rsid w:val="006707E8"/>
    <w:rsid w:val="006707FD"/>
    <w:rsid w:val="006709E7"/>
    <w:rsid w:val="00671138"/>
    <w:rsid w:val="0067116A"/>
    <w:rsid w:val="0067118B"/>
    <w:rsid w:val="006711A3"/>
    <w:rsid w:val="006715DB"/>
    <w:rsid w:val="00671A52"/>
    <w:rsid w:val="00671D2F"/>
    <w:rsid w:val="00671D61"/>
    <w:rsid w:val="006724B7"/>
    <w:rsid w:val="006724F8"/>
    <w:rsid w:val="00672851"/>
    <w:rsid w:val="006728D4"/>
    <w:rsid w:val="00672B37"/>
    <w:rsid w:val="0067339A"/>
    <w:rsid w:val="0067354D"/>
    <w:rsid w:val="0067358C"/>
    <w:rsid w:val="006739F9"/>
    <w:rsid w:val="006758A9"/>
    <w:rsid w:val="00675999"/>
    <w:rsid w:val="00676567"/>
    <w:rsid w:val="006769E2"/>
    <w:rsid w:val="00676A37"/>
    <w:rsid w:val="00676DC9"/>
    <w:rsid w:val="0067744A"/>
    <w:rsid w:val="00677659"/>
    <w:rsid w:val="006778F0"/>
    <w:rsid w:val="00677D41"/>
    <w:rsid w:val="00677DE5"/>
    <w:rsid w:val="00677E86"/>
    <w:rsid w:val="00680324"/>
    <w:rsid w:val="006806C1"/>
    <w:rsid w:val="00680C89"/>
    <w:rsid w:val="00680EE2"/>
    <w:rsid w:val="006811E0"/>
    <w:rsid w:val="006813A3"/>
    <w:rsid w:val="0068175D"/>
    <w:rsid w:val="0068199F"/>
    <w:rsid w:val="00681D78"/>
    <w:rsid w:val="006821AB"/>
    <w:rsid w:val="00682531"/>
    <w:rsid w:val="006836BF"/>
    <w:rsid w:val="00683806"/>
    <w:rsid w:val="00683D90"/>
    <w:rsid w:val="00683FFB"/>
    <w:rsid w:val="00684C3B"/>
    <w:rsid w:val="00684C3F"/>
    <w:rsid w:val="0068534E"/>
    <w:rsid w:val="006853AE"/>
    <w:rsid w:val="00685438"/>
    <w:rsid w:val="00685563"/>
    <w:rsid w:val="00685783"/>
    <w:rsid w:val="006857EC"/>
    <w:rsid w:val="006857F9"/>
    <w:rsid w:val="00685C47"/>
    <w:rsid w:val="00685D84"/>
    <w:rsid w:val="00686195"/>
    <w:rsid w:val="006861AB"/>
    <w:rsid w:val="00686466"/>
    <w:rsid w:val="0068734F"/>
    <w:rsid w:val="006873CB"/>
    <w:rsid w:val="006878D9"/>
    <w:rsid w:val="00690360"/>
    <w:rsid w:val="0069036A"/>
    <w:rsid w:val="006906C5"/>
    <w:rsid w:val="006907A9"/>
    <w:rsid w:val="00690B33"/>
    <w:rsid w:val="00690D52"/>
    <w:rsid w:val="00690EE5"/>
    <w:rsid w:val="00690F25"/>
    <w:rsid w:val="006911B3"/>
    <w:rsid w:val="006916A0"/>
    <w:rsid w:val="006920D1"/>
    <w:rsid w:val="00692982"/>
    <w:rsid w:val="006929EE"/>
    <w:rsid w:val="00692A55"/>
    <w:rsid w:val="00692E47"/>
    <w:rsid w:val="00692FFB"/>
    <w:rsid w:val="00693910"/>
    <w:rsid w:val="00694311"/>
    <w:rsid w:val="00694B21"/>
    <w:rsid w:val="00695619"/>
    <w:rsid w:val="00695654"/>
    <w:rsid w:val="00695734"/>
    <w:rsid w:val="00695832"/>
    <w:rsid w:val="00695D9D"/>
    <w:rsid w:val="0069609A"/>
    <w:rsid w:val="00696403"/>
    <w:rsid w:val="00696965"/>
    <w:rsid w:val="00696A91"/>
    <w:rsid w:val="00697552"/>
    <w:rsid w:val="006A006E"/>
    <w:rsid w:val="006A0079"/>
    <w:rsid w:val="006A0336"/>
    <w:rsid w:val="006A0461"/>
    <w:rsid w:val="006A0550"/>
    <w:rsid w:val="006A0621"/>
    <w:rsid w:val="006A0B82"/>
    <w:rsid w:val="006A16A8"/>
    <w:rsid w:val="006A16CB"/>
    <w:rsid w:val="006A172E"/>
    <w:rsid w:val="006A1A94"/>
    <w:rsid w:val="006A1B37"/>
    <w:rsid w:val="006A1C73"/>
    <w:rsid w:val="006A1CCD"/>
    <w:rsid w:val="006A1CD3"/>
    <w:rsid w:val="006A2666"/>
    <w:rsid w:val="006A29BE"/>
    <w:rsid w:val="006A2C9D"/>
    <w:rsid w:val="006A34BD"/>
    <w:rsid w:val="006A4070"/>
    <w:rsid w:val="006A4113"/>
    <w:rsid w:val="006A45A3"/>
    <w:rsid w:val="006A4D2E"/>
    <w:rsid w:val="006A4FC5"/>
    <w:rsid w:val="006A581E"/>
    <w:rsid w:val="006A5CFC"/>
    <w:rsid w:val="006A5D5F"/>
    <w:rsid w:val="006A5DB1"/>
    <w:rsid w:val="006A634E"/>
    <w:rsid w:val="006A6ED3"/>
    <w:rsid w:val="006A707A"/>
    <w:rsid w:val="006A70AC"/>
    <w:rsid w:val="006A70F5"/>
    <w:rsid w:val="006A760F"/>
    <w:rsid w:val="006A780B"/>
    <w:rsid w:val="006A7A95"/>
    <w:rsid w:val="006A7DB6"/>
    <w:rsid w:val="006A7FE1"/>
    <w:rsid w:val="006B03B8"/>
    <w:rsid w:val="006B0470"/>
    <w:rsid w:val="006B1632"/>
    <w:rsid w:val="006B1903"/>
    <w:rsid w:val="006B23FF"/>
    <w:rsid w:val="006B247F"/>
    <w:rsid w:val="006B24A8"/>
    <w:rsid w:val="006B266D"/>
    <w:rsid w:val="006B3050"/>
    <w:rsid w:val="006B342B"/>
    <w:rsid w:val="006B3C0B"/>
    <w:rsid w:val="006B3EF5"/>
    <w:rsid w:val="006B4392"/>
    <w:rsid w:val="006B460D"/>
    <w:rsid w:val="006B50B7"/>
    <w:rsid w:val="006B5335"/>
    <w:rsid w:val="006B56E3"/>
    <w:rsid w:val="006B59BC"/>
    <w:rsid w:val="006B5D5E"/>
    <w:rsid w:val="006B61A1"/>
    <w:rsid w:val="006B6439"/>
    <w:rsid w:val="006B65AD"/>
    <w:rsid w:val="006B65C1"/>
    <w:rsid w:val="006B67C1"/>
    <w:rsid w:val="006B6A7B"/>
    <w:rsid w:val="006B7190"/>
    <w:rsid w:val="006B726B"/>
    <w:rsid w:val="006C0140"/>
    <w:rsid w:val="006C06C9"/>
    <w:rsid w:val="006C0BBC"/>
    <w:rsid w:val="006C0F2D"/>
    <w:rsid w:val="006C1399"/>
    <w:rsid w:val="006C17A9"/>
    <w:rsid w:val="006C2728"/>
    <w:rsid w:val="006C2D84"/>
    <w:rsid w:val="006C2F68"/>
    <w:rsid w:val="006C3BF4"/>
    <w:rsid w:val="006C43A7"/>
    <w:rsid w:val="006C4705"/>
    <w:rsid w:val="006C4A9E"/>
    <w:rsid w:val="006C4C8F"/>
    <w:rsid w:val="006C56A5"/>
    <w:rsid w:val="006C58A2"/>
    <w:rsid w:val="006C5BFF"/>
    <w:rsid w:val="006C5D46"/>
    <w:rsid w:val="006C5DAF"/>
    <w:rsid w:val="006C5EBB"/>
    <w:rsid w:val="006C68FA"/>
    <w:rsid w:val="006C6BF8"/>
    <w:rsid w:val="006C74D5"/>
    <w:rsid w:val="006C78F4"/>
    <w:rsid w:val="006C7B11"/>
    <w:rsid w:val="006D0207"/>
    <w:rsid w:val="006D027C"/>
    <w:rsid w:val="006D04EE"/>
    <w:rsid w:val="006D0D0C"/>
    <w:rsid w:val="006D1261"/>
    <w:rsid w:val="006D13BA"/>
    <w:rsid w:val="006D14AE"/>
    <w:rsid w:val="006D164D"/>
    <w:rsid w:val="006D175D"/>
    <w:rsid w:val="006D1C96"/>
    <w:rsid w:val="006D20E4"/>
    <w:rsid w:val="006D23BE"/>
    <w:rsid w:val="006D2799"/>
    <w:rsid w:val="006D302B"/>
    <w:rsid w:val="006D3169"/>
    <w:rsid w:val="006D3483"/>
    <w:rsid w:val="006D357B"/>
    <w:rsid w:val="006D3B03"/>
    <w:rsid w:val="006D3B25"/>
    <w:rsid w:val="006D42D5"/>
    <w:rsid w:val="006D4622"/>
    <w:rsid w:val="006D49C5"/>
    <w:rsid w:val="006D5658"/>
    <w:rsid w:val="006D590F"/>
    <w:rsid w:val="006D5F2E"/>
    <w:rsid w:val="006D5F65"/>
    <w:rsid w:val="006D6013"/>
    <w:rsid w:val="006D60A4"/>
    <w:rsid w:val="006D60DD"/>
    <w:rsid w:val="006D619D"/>
    <w:rsid w:val="006D65E4"/>
    <w:rsid w:val="006D69D5"/>
    <w:rsid w:val="006D6E56"/>
    <w:rsid w:val="006D7120"/>
    <w:rsid w:val="006D7A6B"/>
    <w:rsid w:val="006E0282"/>
    <w:rsid w:val="006E0579"/>
    <w:rsid w:val="006E05CD"/>
    <w:rsid w:val="006E062F"/>
    <w:rsid w:val="006E0ACD"/>
    <w:rsid w:val="006E0AF7"/>
    <w:rsid w:val="006E0B11"/>
    <w:rsid w:val="006E0E41"/>
    <w:rsid w:val="006E0F36"/>
    <w:rsid w:val="006E0FBC"/>
    <w:rsid w:val="006E1715"/>
    <w:rsid w:val="006E1909"/>
    <w:rsid w:val="006E19CA"/>
    <w:rsid w:val="006E1C24"/>
    <w:rsid w:val="006E1DF3"/>
    <w:rsid w:val="006E270D"/>
    <w:rsid w:val="006E307F"/>
    <w:rsid w:val="006E36FE"/>
    <w:rsid w:val="006E3777"/>
    <w:rsid w:val="006E465F"/>
    <w:rsid w:val="006E50F1"/>
    <w:rsid w:val="006E55C1"/>
    <w:rsid w:val="006E55E9"/>
    <w:rsid w:val="006E55FB"/>
    <w:rsid w:val="006E62F1"/>
    <w:rsid w:val="006E664B"/>
    <w:rsid w:val="006E6E8B"/>
    <w:rsid w:val="006E7B1A"/>
    <w:rsid w:val="006E7DD7"/>
    <w:rsid w:val="006E7F3C"/>
    <w:rsid w:val="006E7FD3"/>
    <w:rsid w:val="006F0018"/>
    <w:rsid w:val="006F0577"/>
    <w:rsid w:val="006F12B9"/>
    <w:rsid w:val="006F14E4"/>
    <w:rsid w:val="006F1628"/>
    <w:rsid w:val="006F2223"/>
    <w:rsid w:val="006F29C6"/>
    <w:rsid w:val="006F2A74"/>
    <w:rsid w:val="006F30DA"/>
    <w:rsid w:val="006F31C1"/>
    <w:rsid w:val="006F32C7"/>
    <w:rsid w:val="006F381F"/>
    <w:rsid w:val="006F39E9"/>
    <w:rsid w:val="006F3F81"/>
    <w:rsid w:val="006F4482"/>
    <w:rsid w:val="006F44E2"/>
    <w:rsid w:val="006F45BC"/>
    <w:rsid w:val="006F472E"/>
    <w:rsid w:val="006F514A"/>
    <w:rsid w:val="006F54D1"/>
    <w:rsid w:val="006F59C5"/>
    <w:rsid w:val="006F59DE"/>
    <w:rsid w:val="006F5D1B"/>
    <w:rsid w:val="006F5FEB"/>
    <w:rsid w:val="006F63CC"/>
    <w:rsid w:val="006F63F7"/>
    <w:rsid w:val="006F656A"/>
    <w:rsid w:val="006F685E"/>
    <w:rsid w:val="006F7220"/>
    <w:rsid w:val="006F76A7"/>
    <w:rsid w:val="006F7E37"/>
    <w:rsid w:val="00700664"/>
    <w:rsid w:val="0070116D"/>
    <w:rsid w:val="007014C7"/>
    <w:rsid w:val="0070192F"/>
    <w:rsid w:val="00701FAC"/>
    <w:rsid w:val="007020BD"/>
    <w:rsid w:val="00702295"/>
    <w:rsid w:val="00702550"/>
    <w:rsid w:val="00702B52"/>
    <w:rsid w:val="00702EF7"/>
    <w:rsid w:val="00703625"/>
    <w:rsid w:val="00703660"/>
    <w:rsid w:val="00703760"/>
    <w:rsid w:val="007038FD"/>
    <w:rsid w:val="007039AA"/>
    <w:rsid w:val="00703B56"/>
    <w:rsid w:val="00703E1C"/>
    <w:rsid w:val="00703FF3"/>
    <w:rsid w:val="00704103"/>
    <w:rsid w:val="007042D2"/>
    <w:rsid w:val="00704304"/>
    <w:rsid w:val="00704460"/>
    <w:rsid w:val="007047B6"/>
    <w:rsid w:val="007048FF"/>
    <w:rsid w:val="00704A66"/>
    <w:rsid w:val="00704AF2"/>
    <w:rsid w:val="007052E1"/>
    <w:rsid w:val="00705EA8"/>
    <w:rsid w:val="007061FC"/>
    <w:rsid w:val="0070698C"/>
    <w:rsid w:val="00706A32"/>
    <w:rsid w:val="00706C4C"/>
    <w:rsid w:val="00706E42"/>
    <w:rsid w:val="00707196"/>
    <w:rsid w:val="00707492"/>
    <w:rsid w:val="007078B7"/>
    <w:rsid w:val="00707C40"/>
    <w:rsid w:val="00707CA4"/>
    <w:rsid w:val="007103C7"/>
    <w:rsid w:val="00710523"/>
    <w:rsid w:val="00710B1F"/>
    <w:rsid w:val="00710D6F"/>
    <w:rsid w:val="00710EAE"/>
    <w:rsid w:val="00711001"/>
    <w:rsid w:val="007112EB"/>
    <w:rsid w:val="0071135C"/>
    <w:rsid w:val="00711628"/>
    <w:rsid w:val="007119DA"/>
    <w:rsid w:val="00713072"/>
    <w:rsid w:val="007132B5"/>
    <w:rsid w:val="00713D7E"/>
    <w:rsid w:val="00714F2D"/>
    <w:rsid w:val="0071577D"/>
    <w:rsid w:val="00715A44"/>
    <w:rsid w:val="00715C06"/>
    <w:rsid w:val="00715D19"/>
    <w:rsid w:val="007161E5"/>
    <w:rsid w:val="007162AF"/>
    <w:rsid w:val="0071666C"/>
    <w:rsid w:val="00716C70"/>
    <w:rsid w:val="00716D78"/>
    <w:rsid w:val="00716DBB"/>
    <w:rsid w:val="007173F9"/>
    <w:rsid w:val="00717887"/>
    <w:rsid w:val="00717AA6"/>
    <w:rsid w:val="00717B1B"/>
    <w:rsid w:val="00720090"/>
    <w:rsid w:val="007202FF"/>
    <w:rsid w:val="007206BE"/>
    <w:rsid w:val="007218DB"/>
    <w:rsid w:val="00721D05"/>
    <w:rsid w:val="007223B1"/>
    <w:rsid w:val="00722594"/>
    <w:rsid w:val="007227BD"/>
    <w:rsid w:val="00722C0F"/>
    <w:rsid w:val="00722D85"/>
    <w:rsid w:val="007236CC"/>
    <w:rsid w:val="00723EBC"/>
    <w:rsid w:val="00723F00"/>
    <w:rsid w:val="0072411E"/>
    <w:rsid w:val="007242D6"/>
    <w:rsid w:val="00724399"/>
    <w:rsid w:val="0072447C"/>
    <w:rsid w:val="0072487D"/>
    <w:rsid w:val="007249DF"/>
    <w:rsid w:val="00724ACA"/>
    <w:rsid w:val="007252B7"/>
    <w:rsid w:val="00725882"/>
    <w:rsid w:val="007258B9"/>
    <w:rsid w:val="00726C16"/>
    <w:rsid w:val="00726EB9"/>
    <w:rsid w:val="00727CBC"/>
    <w:rsid w:val="00727F32"/>
    <w:rsid w:val="007302CD"/>
    <w:rsid w:val="00730843"/>
    <w:rsid w:val="007308DE"/>
    <w:rsid w:val="00730935"/>
    <w:rsid w:val="00730C99"/>
    <w:rsid w:val="007314AF"/>
    <w:rsid w:val="007314B8"/>
    <w:rsid w:val="0073253B"/>
    <w:rsid w:val="00732903"/>
    <w:rsid w:val="00732C4E"/>
    <w:rsid w:val="00733D05"/>
    <w:rsid w:val="00733F37"/>
    <w:rsid w:val="00734624"/>
    <w:rsid w:val="0073463D"/>
    <w:rsid w:val="0073478E"/>
    <w:rsid w:val="00734F11"/>
    <w:rsid w:val="00734FC2"/>
    <w:rsid w:val="007352E8"/>
    <w:rsid w:val="00735471"/>
    <w:rsid w:val="00735A4A"/>
    <w:rsid w:val="0073621B"/>
    <w:rsid w:val="007366F8"/>
    <w:rsid w:val="00736895"/>
    <w:rsid w:val="00736961"/>
    <w:rsid w:val="00736C04"/>
    <w:rsid w:val="00736CA8"/>
    <w:rsid w:val="0073713E"/>
    <w:rsid w:val="007375E8"/>
    <w:rsid w:val="00737791"/>
    <w:rsid w:val="00737968"/>
    <w:rsid w:val="00737B1A"/>
    <w:rsid w:val="00737C3A"/>
    <w:rsid w:val="00737F05"/>
    <w:rsid w:val="00740D71"/>
    <w:rsid w:val="0074112D"/>
    <w:rsid w:val="00741372"/>
    <w:rsid w:val="00741B88"/>
    <w:rsid w:val="00741DFB"/>
    <w:rsid w:val="007420E5"/>
    <w:rsid w:val="00742E73"/>
    <w:rsid w:val="007431F5"/>
    <w:rsid w:val="00743AF1"/>
    <w:rsid w:val="00744731"/>
    <w:rsid w:val="00744E07"/>
    <w:rsid w:val="00745223"/>
    <w:rsid w:val="007458FC"/>
    <w:rsid w:val="00745908"/>
    <w:rsid w:val="00745C76"/>
    <w:rsid w:val="00745FE6"/>
    <w:rsid w:val="00746285"/>
    <w:rsid w:val="00746535"/>
    <w:rsid w:val="00746712"/>
    <w:rsid w:val="00746996"/>
    <w:rsid w:val="007470A9"/>
    <w:rsid w:val="00747304"/>
    <w:rsid w:val="007477F4"/>
    <w:rsid w:val="00747A20"/>
    <w:rsid w:val="00747E49"/>
    <w:rsid w:val="00750615"/>
    <w:rsid w:val="00750774"/>
    <w:rsid w:val="00750C82"/>
    <w:rsid w:val="00750F33"/>
    <w:rsid w:val="00750F65"/>
    <w:rsid w:val="0075113E"/>
    <w:rsid w:val="00751A68"/>
    <w:rsid w:val="00751AAB"/>
    <w:rsid w:val="00752178"/>
    <w:rsid w:val="00752383"/>
    <w:rsid w:val="0075282E"/>
    <w:rsid w:val="00752AB2"/>
    <w:rsid w:val="00752C7C"/>
    <w:rsid w:val="00752F02"/>
    <w:rsid w:val="00752F4A"/>
    <w:rsid w:val="00752F74"/>
    <w:rsid w:val="007538B6"/>
    <w:rsid w:val="00753EB4"/>
    <w:rsid w:val="00754495"/>
    <w:rsid w:val="0075462D"/>
    <w:rsid w:val="0075474C"/>
    <w:rsid w:val="00754881"/>
    <w:rsid w:val="007548B8"/>
    <w:rsid w:val="00754AB5"/>
    <w:rsid w:val="00755A79"/>
    <w:rsid w:val="00755B05"/>
    <w:rsid w:val="0075617D"/>
    <w:rsid w:val="00756479"/>
    <w:rsid w:val="007564AB"/>
    <w:rsid w:val="0075674C"/>
    <w:rsid w:val="00756930"/>
    <w:rsid w:val="00756975"/>
    <w:rsid w:val="00756DFA"/>
    <w:rsid w:val="00757C4B"/>
    <w:rsid w:val="00757EF9"/>
    <w:rsid w:val="00760081"/>
    <w:rsid w:val="00760ADC"/>
    <w:rsid w:val="00760C9A"/>
    <w:rsid w:val="00761040"/>
    <w:rsid w:val="007611CB"/>
    <w:rsid w:val="007617B8"/>
    <w:rsid w:val="00761B0B"/>
    <w:rsid w:val="00761FFB"/>
    <w:rsid w:val="00762C0E"/>
    <w:rsid w:val="00763055"/>
    <w:rsid w:val="007631E0"/>
    <w:rsid w:val="007636E4"/>
    <w:rsid w:val="00763A83"/>
    <w:rsid w:val="00763B39"/>
    <w:rsid w:val="00763D89"/>
    <w:rsid w:val="00763DFB"/>
    <w:rsid w:val="00764047"/>
    <w:rsid w:val="00764457"/>
    <w:rsid w:val="007648C5"/>
    <w:rsid w:val="00764ABB"/>
    <w:rsid w:val="00764C98"/>
    <w:rsid w:val="00764D3F"/>
    <w:rsid w:val="00764DC5"/>
    <w:rsid w:val="0076545E"/>
    <w:rsid w:val="00765781"/>
    <w:rsid w:val="007658C7"/>
    <w:rsid w:val="00765A50"/>
    <w:rsid w:val="00765B35"/>
    <w:rsid w:val="00765EF9"/>
    <w:rsid w:val="0076620D"/>
    <w:rsid w:val="00766353"/>
    <w:rsid w:val="0076646C"/>
    <w:rsid w:val="0076652F"/>
    <w:rsid w:val="007665F2"/>
    <w:rsid w:val="00766760"/>
    <w:rsid w:val="007669DB"/>
    <w:rsid w:val="00767040"/>
    <w:rsid w:val="00767295"/>
    <w:rsid w:val="007673BE"/>
    <w:rsid w:val="00767450"/>
    <w:rsid w:val="00767555"/>
    <w:rsid w:val="007676C3"/>
    <w:rsid w:val="00767C83"/>
    <w:rsid w:val="007708C4"/>
    <w:rsid w:val="00771058"/>
    <w:rsid w:val="00771075"/>
    <w:rsid w:val="00771749"/>
    <w:rsid w:val="007717AE"/>
    <w:rsid w:val="00771946"/>
    <w:rsid w:val="00771D89"/>
    <w:rsid w:val="007721F4"/>
    <w:rsid w:val="0077254B"/>
    <w:rsid w:val="00772D36"/>
    <w:rsid w:val="007733E2"/>
    <w:rsid w:val="007737F5"/>
    <w:rsid w:val="00773BDD"/>
    <w:rsid w:val="00773CCE"/>
    <w:rsid w:val="00774460"/>
    <w:rsid w:val="007749F3"/>
    <w:rsid w:val="00775263"/>
    <w:rsid w:val="007754C2"/>
    <w:rsid w:val="0077567E"/>
    <w:rsid w:val="00775EA4"/>
    <w:rsid w:val="0077649C"/>
    <w:rsid w:val="00776C45"/>
    <w:rsid w:val="00776EC9"/>
    <w:rsid w:val="00777228"/>
    <w:rsid w:val="007778ED"/>
    <w:rsid w:val="00780296"/>
    <w:rsid w:val="00780707"/>
    <w:rsid w:val="0078095B"/>
    <w:rsid w:val="00780972"/>
    <w:rsid w:val="00780A19"/>
    <w:rsid w:val="00780E2F"/>
    <w:rsid w:val="00780ED4"/>
    <w:rsid w:val="0078100A"/>
    <w:rsid w:val="007811FF"/>
    <w:rsid w:val="00781BD6"/>
    <w:rsid w:val="00781C27"/>
    <w:rsid w:val="00781D45"/>
    <w:rsid w:val="0078217D"/>
    <w:rsid w:val="007825C2"/>
    <w:rsid w:val="00782716"/>
    <w:rsid w:val="00782F44"/>
    <w:rsid w:val="0078310C"/>
    <w:rsid w:val="00783605"/>
    <w:rsid w:val="007837B6"/>
    <w:rsid w:val="00783F04"/>
    <w:rsid w:val="0078454E"/>
    <w:rsid w:val="00784741"/>
    <w:rsid w:val="00784990"/>
    <w:rsid w:val="00784B4A"/>
    <w:rsid w:val="00785382"/>
    <w:rsid w:val="00785CBA"/>
    <w:rsid w:val="00785E21"/>
    <w:rsid w:val="00786393"/>
    <w:rsid w:val="007865ED"/>
    <w:rsid w:val="00786766"/>
    <w:rsid w:val="00786A15"/>
    <w:rsid w:val="00786C0C"/>
    <w:rsid w:val="007875A5"/>
    <w:rsid w:val="0078770B"/>
    <w:rsid w:val="00787B2C"/>
    <w:rsid w:val="00787BF4"/>
    <w:rsid w:val="00787D24"/>
    <w:rsid w:val="007915A0"/>
    <w:rsid w:val="007918F6"/>
    <w:rsid w:val="00791B5E"/>
    <w:rsid w:val="00791D08"/>
    <w:rsid w:val="00792557"/>
    <w:rsid w:val="00792592"/>
    <w:rsid w:val="00792890"/>
    <w:rsid w:val="00792EC3"/>
    <w:rsid w:val="00793E16"/>
    <w:rsid w:val="00793F13"/>
    <w:rsid w:val="00793F93"/>
    <w:rsid w:val="0079443C"/>
    <w:rsid w:val="0079468E"/>
    <w:rsid w:val="00794BF9"/>
    <w:rsid w:val="0079503F"/>
    <w:rsid w:val="0079543C"/>
    <w:rsid w:val="007956A8"/>
    <w:rsid w:val="0079572F"/>
    <w:rsid w:val="0079596C"/>
    <w:rsid w:val="00795AEE"/>
    <w:rsid w:val="00795F8D"/>
    <w:rsid w:val="007963B2"/>
    <w:rsid w:val="0079679A"/>
    <w:rsid w:val="00796955"/>
    <w:rsid w:val="0079699E"/>
    <w:rsid w:val="00796AEA"/>
    <w:rsid w:val="00796E9A"/>
    <w:rsid w:val="00797665"/>
    <w:rsid w:val="00797722"/>
    <w:rsid w:val="0079775B"/>
    <w:rsid w:val="00797E9D"/>
    <w:rsid w:val="007A0EC8"/>
    <w:rsid w:val="007A1316"/>
    <w:rsid w:val="007A1DC5"/>
    <w:rsid w:val="007A20AD"/>
    <w:rsid w:val="007A23DA"/>
    <w:rsid w:val="007A2C00"/>
    <w:rsid w:val="007A2DF6"/>
    <w:rsid w:val="007A3372"/>
    <w:rsid w:val="007A34CB"/>
    <w:rsid w:val="007A3787"/>
    <w:rsid w:val="007A38F3"/>
    <w:rsid w:val="007A3918"/>
    <w:rsid w:val="007A399B"/>
    <w:rsid w:val="007A3ACA"/>
    <w:rsid w:val="007A3ED9"/>
    <w:rsid w:val="007A3F8F"/>
    <w:rsid w:val="007A407C"/>
    <w:rsid w:val="007A49A6"/>
    <w:rsid w:val="007A4E19"/>
    <w:rsid w:val="007A5235"/>
    <w:rsid w:val="007A5C3E"/>
    <w:rsid w:val="007A5C7D"/>
    <w:rsid w:val="007A5D05"/>
    <w:rsid w:val="007A5E94"/>
    <w:rsid w:val="007A650B"/>
    <w:rsid w:val="007A6C80"/>
    <w:rsid w:val="007A7331"/>
    <w:rsid w:val="007A7415"/>
    <w:rsid w:val="007A76FE"/>
    <w:rsid w:val="007A7793"/>
    <w:rsid w:val="007B0004"/>
    <w:rsid w:val="007B0CB0"/>
    <w:rsid w:val="007B0E90"/>
    <w:rsid w:val="007B0FC9"/>
    <w:rsid w:val="007B10A0"/>
    <w:rsid w:val="007B116D"/>
    <w:rsid w:val="007B1A13"/>
    <w:rsid w:val="007B1EA7"/>
    <w:rsid w:val="007B1F99"/>
    <w:rsid w:val="007B24EC"/>
    <w:rsid w:val="007B27DF"/>
    <w:rsid w:val="007B288F"/>
    <w:rsid w:val="007B2ABD"/>
    <w:rsid w:val="007B3994"/>
    <w:rsid w:val="007B3A86"/>
    <w:rsid w:val="007B3C9F"/>
    <w:rsid w:val="007B3DF4"/>
    <w:rsid w:val="007B3E07"/>
    <w:rsid w:val="007B4C70"/>
    <w:rsid w:val="007B4E4E"/>
    <w:rsid w:val="007B5055"/>
    <w:rsid w:val="007B54ED"/>
    <w:rsid w:val="007B56AE"/>
    <w:rsid w:val="007B596C"/>
    <w:rsid w:val="007B5BBC"/>
    <w:rsid w:val="007B647C"/>
    <w:rsid w:val="007B6724"/>
    <w:rsid w:val="007B6771"/>
    <w:rsid w:val="007B67D2"/>
    <w:rsid w:val="007B6EF3"/>
    <w:rsid w:val="007B701E"/>
    <w:rsid w:val="007B7694"/>
    <w:rsid w:val="007B77CB"/>
    <w:rsid w:val="007B7BD2"/>
    <w:rsid w:val="007C072C"/>
    <w:rsid w:val="007C0C40"/>
    <w:rsid w:val="007C156D"/>
    <w:rsid w:val="007C18F8"/>
    <w:rsid w:val="007C1EA7"/>
    <w:rsid w:val="007C24B0"/>
    <w:rsid w:val="007C2827"/>
    <w:rsid w:val="007C28C5"/>
    <w:rsid w:val="007C2AE2"/>
    <w:rsid w:val="007C2EE9"/>
    <w:rsid w:val="007C2F4E"/>
    <w:rsid w:val="007C31CC"/>
    <w:rsid w:val="007C3274"/>
    <w:rsid w:val="007C35F4"/>
    <w:rsid w:val="007C3E46"/>
    <w:rsid w:val="007C414F"/>
    <w:rsid w:val="007C4152"/>
    <w:rsid w:val="007C41F1"/>
    <w:rsid w:val="007C43C8"/>
    <w:rsid w:val="007C47D0"/>
    <w:rsid w:val="007C4AB8"/>
    <w:rsid w:val="007C4D5D"/>
    <w:rsid w:val="007C5102"/>
    <w:rsid w:val="007C552B"/>
    <w:rsid w:val="007C5C9F"/>
    <w:rsid w:val="007C60A5"/>
    <w:rsid w:val="007C634F"/>
    <w:rsid w:val="007C6420"/>
    <w:rsid w:val="007C64A7"/>
    <w:rsid w:val="007C6751"/>
    <w:rsid w:val="007C68D0"/>
    <w:rsid w:val="007C6B03"/>
    <w:rsid w:val="007C74FE"/>
    <w:rsid w:val="007D00D2"/>
    <w:rsid w:val="007D032C"/>
    <w:rsid w:val="007D0853"/>
    <w:rsid w:val="007D0987"/>
    <w:rsid w:val="007D0AAC"/>
    <w:rsid w:val="007D0BB7"/>
    <w:rsid w:val="007D0E00"/>
    <w:rsid w:val="007D0FC5"/>
    <w:rsid w:val="007D1913"/>
    <w:rsid w:val="007D1DA4"/>
    <w:rsid w:val="007D20B0"/>
    <w:rsid w:val="007D298C"/>
    <w:rsid w:val="007D2EB9"/>
    <w:rsid w:val="007D30DA"/>
    <w:rsid w:val="007D3201"/>
    <w:rsid w:val="007D3420"/>
    <w:rsid w:val="007D356B"/>
    <w:rsid w:val="007D3A6F"/>
    <w:rsid w:val="007D43F0"/>
    <w:rsid w:val="007D47FF"/>
    <w:rsid w:val="007D49C4"/>
    <w:rsid w:val="007D51AD"/>
    <w:rsid w:val="007D5362"/>
    <w:rsid w:val="007D537A"/>
    <w:rsid w:val="007D55D6"/>
    <w:rsid w:val="007D5684"/>
    <w:rsid w:val="007D6110"/>
    <w:rsid w:val="007D6307"/>
    <w:rsid w:val="007D6B93"/>
    <w:rsid w:val="007D6BBA"/>
    <w:rsid w:val="007D6C48"/>
    <w:rsid w:val="007D6CE1"/>
    <w:rsid w:val="007D6FBC"/>
    <w:rsid w:val="007D71F7"/>
    <w:rsid w:val="007D77D6"/>
    <w:rsid w:val="007D7BA8"/>
    <w:rsid w:val="007E000F"/>
    <w:rsid w:val="007E083D"/>
    <w:rsid w:val="007E0B14"/>
    <w:rsid w:val="007E0DE3"/>
    <w:rsid w:val="007E0E18"/>
    <w:rsid w:val="007E1164"/>
    <w:rsid w:val="007E156E"/>
    <w:rsid w:val="007E1582"/>
    <w:rsid w:val="007E176B"/>
    <w:rsid w:val="007E1E4A"/>
    <w:rsid w:val="007E217F"/>
    <w:rsid w:val="007E261C"/>
    <w:rsid w:val="007E2854"/>
    <w:rsid w:val="007E2A7F"/>
    <w:rsid w:val="007E2C67"/>
    <w:rsid w:val="007E2E70"/>
    <w:rsid w:val="007E2E87"/>
    <w:rsid w:val="007E3501"/>
    <w:rsid w:val="007E3889"/>
    <w:rsid w:val="007E44C8"/>
    <w:rsid w:val="007E486D"/>
    <w:rsid w:val="007E4C3F"/>
    <w:rsid w:val="007E5CA1"/>
    <w:rsid w:val="007E60C3"/>
    <w:rsid w:val="007E61AF"/>
    <w:rsid w:val="007E628F"/>
    <w:rsid w:val="007E65B1"/>
    <w:rsid w:val="007E6973"/>
    <w:rsid w:val="007E6AE8"/>
    <w:rsid w:val="007E6B31"/>
    <w:rsid w:val="007E6F08"/>
    <w:rsid w:val="007E748F"/>
    <w:rsid w:val="007E7A03"/>
    <w:rsid w:val="007F04FE"/>
    <w:rsid w:val="007F0F42"/>
    <w:rsid w:val="007F0FF4"/>
    <w:rsid w:val="007F102F"/>
    <w:rsid w:val="007F18EB"/>
    <w:rsid w:val="007F1959"/>
    <w:rsid w:val="007F19E8"/>
    <w:rsid w:val="007F1E2A"/>
    <w:rsid w:val="007F2394"/>
    <w:rsid w:val="007F2683"/>
    <w:rsid w:val="007F2956"/>
    <w:rsid w:val="007F2AF0"/>
    <w:rsid w:val="007F2D06"/>
    <w:rsid w:val="007F2E32"/>
    <w:rsid w:val="007F2F8D"/>
    <w:rsid w:val="007F34FF"/>
    <w:rsid w:val="007F3942"/>
    <w:rsid w:val="007F3A3D"/>
    <w:rsid w:val="007F45EF"/>
    <w:rsid w:val="007F4699"/>
    <w:rsid w:val="007F4810"/>
    <w:rsid w:val="007F4B21"/>
    <w:rsid w:val="007F4BCC"/>
    <w:rsid w:val="007F57C8"/>
    <w:rsid w:val="007F595F"/>
    <w:rsid w:val="007F64E4"/>
    <w:rsid w:val="007F6615"/>
    <w:rsid w:val="007F686F"/>
    <w:rsid w:val="007F6A11"/>
    <w:rsid w:val="007F74F7"/>
    <w:rsid w:val="007F7A8B"/>
    <w:rsid w:val="007F7AB8"/>
    <w:rsid w:val="007F7EEC"/>
    <w:rsid w:val="008002AA"/>
    <w:rsid w:val="00800528"/>
    <w:rsid w:val="00800866"/>
    <w:rsid w:val="00800999"/>
    <w:rsid w:val="00800EA2"/>
    <w:rsid w:val="00800EB6"/>
    <w:rsid w:val="008015EA"/>
    <w:rsid w:val="00802068"/>
    <w:rsid w:val="0080218F"/>
    <w:rsid w:val="0080230D"/>
    <w:rsid w:val="00802A7C"/>
    <w:rsid w:val="00802DEF"/>
    <w:rsid w:val="00802FCC"/>
    <w:rsid w:val="0080365C"/>
    <w:rsid w:val="008036D6"/>
    <w:rsid w:val="008036FD"/>
    <w:rsid w:val="00804349"/>
    <w:rsid w:val="0080438B"/>
    <w:rsid w:val="0080476C"/>
    <w:rsid w:val="008047B3"/>
    <w:rsid w:val="00804A56"/>
    <w:rsid w:val="00804E8F"/>
    <w:rsid w:val="00805899"/>
    <w:rsid w:val="00805C9D"/>
    <w:rsid w:val="00805FE1"/>
    <w:rsid w:val="0080609C"/>
    <w:rsid w:val="008061BD"/>
    <w:rsid w:val="00807429"/>
    <w:rsid w:val="00807C0E"/>
    <w:rsid w:val="00807D82"/>
    <w:rsid w:val="00807FCD"/>
    <w:rsid w:val="00810041"/>
    <w:rsid w:val="00810827"/>
    <w:rsid w:val="00810C52"/>
    <w:rsid w:val="008110B2"/>
    <w:rsid w:val="00811976"/>
    <w:rsid w:val="008121ED"/>
    <w:rsid w:val="008124F4"/>
    <w:rsid w:val="00812533"/>
    <w:rsid w:val="008127D6"/>
    <w:rsid w:val="00813EAE"/>
    <w:rsid w:val="00814493"/>
    <w:rsid w:val="00814658"/>
    <w:rsid w:val="00814E45"/>
    <w:rsid w:val="00815360"/>
    <w:rsid w:val="00815842"/>
    <w:rsid w:val="008164F0"/>
    <w:rsid w:val="008167AB"/>
    <w:rsid w:val="00816932"/>
    <w:rsid w:val="008171DC"/>
    <w:rsid w:val="00817340"/>
    <w:rsid w:val="00817DA7"/>
    <w:rsid w:val="008203A8"/>
    <w:rsid w:val="00820420"/>
    <w:rsid w:val="0082049C"/>
    <w:rsid w:val="0082074C"/>
    <w:rsid w:val="00820819"/>
    <w:rsid w:val="00820F63"/>
    <w:rsid w:val="00821229"/>
    <w:rsid w:val="0082137F"/>
    <w:rsid w:val="0082161C"/>
    <w:rsid w:val="008216E2"/>
    <w:rsid w:val="008218D6"/>
    <w:rsid w:val="00821B16"/>
    <w:rsid w:val="00821EE1"/>
    <w:rsid w:val="008223A8"/>
    <w:rsid w:val="00822966"/>
    <w:rsid w:val="00822C8E"/>
    <w:rsid w:val="0082459D"/>
    <w:rsid w:val="008249E6"/>
    <w:rsid w:val="00824CEF"/>
    <w:rsid w:val="0082519C"/>
    <w:rsid w:val="008254AB"/>
    <w:rsid w:val="0082574D"/>
    <w:rsid w:val="008262AE"/>
    <w:rsid w:val="00826480"/>
    <w:rsid w:val="00826663"/>
    <w:rsid w:val="00826A9A"/>
    <w:rsid w:val="008274F8"/>
    <w:rsid w:val="0082777D"/>
    <w:rsid w:val="00827C39"/>
    <w:rsid w:val="00830148"/>
    <w:rsid w:val="008302E7"/>
    <w:rsid w:val="008305FA"/>
    <w:rsid w:val="00830D0E"/>
    <w:rsid w:val="008316AD"/>
    <w:rsid w:val="00831855"/>
    <w:rsid w:val="00831AEF"/>
    <w:rsid w:val="008323F6"/>
    <w:rsid w:val="00832887"/>
    <w:rsid w:val="00832B2E"/>
    <w:rsid w:val="00832D13"/>
    <w:rsid w:val="00833E88"/>
    <w:rsid w:val="00834757"/>
    <w:rsid w:val="00834977"/>
    <w:rsid w:val="00834A06"/>
    <w:rsid w:val="00834C11"/>
    <w:rsid w:val="0083520D"/>
    <w:rsid w:val="00835315"/>
    <w:rsid w:val="00835AEB"/>
    <w:rsid w:val="00836067"/>
    <w:rsid w:val="00836482"/>
    <w:rsid w:val="008365F2"/>
    <w:rsid w:val="008367BF"/>
    <w:rsid w:val="00836BE5"/>
    <w:rsid w:val="00836D79"/>
    <w:rsid w:val="00836E46"/>
    <w:rsid w:val="00840308"/>
    <w:rsid w:val="00840600"/>
    <w:rsid w:val="00840D0F"/>
    <w:rsid w:val="008416CC"/>
    <w:rsid w:val="0084200E"/>
    <w:rsid w:val="0084290E"/>
    <w:rsid w:val="00842A62"/>
    <w:rsid w:val="00842A84"/>
    <w:rsid w:val="00842FDE"/>
    <w:rsid w:val="0084336E"/>
    <w:rsid w:val="008436FD"/>
    <w:rsid w:val="0084426F"/>
    <w:rsid w:val="008445D4"/>
    <w:rsid w:val="008446F1"/>
    <w:rsid w:val="00844814"/>
    <w:rsid w:val="00844B7D"/>
    <w:rsid w:val="008450C5"/>
    <w:rsid w:val="008451FD"/>
    <w:rsid w:val="00845306"/>
    <w:rsid w:val="0084585B"/>
    <w:rsid w:val="008458EC"/>
    <w:rsid w:val="00845978"/>
    <w:rsid w:val="00845C1A"/>
    <w:rsid w:val="00845D7F"/>
    <w:rsid w:val="00845E84"/>
    <w:rsid w:val="00845F83"/>
    <w:rsid w:val="008463AB"/>
    <w:rsid w:val="0084656C"/>
    <w:rsid w:val="00846633"/>
    <w:rsid w:val="008469F4"/>
    <w:rsid w:val="00846B7A"/>
    <w:rsid w:val="00846FF0"/>
    <w:rsid w:val="0084726A"/>
    <w:rsid w:val="008479F7"/>
    <w:rsid w:val="00847CD0"/>
    <w:rsid w:val="00850624"/>
    <w:rsid w:val="008507BA"/>
    <w:rsid w:val="00850CA9"/>
    <w:rsid w:val="00851569"/>
    <w:rsid w:val="00851E04"/>
    <w:rsid w:val="00852769"/>
    <w:rsid w:val="008529AF"/>
    <w:rsid w:val="00852B21"/>
    <w:rsid w:val="008532E2"/>
    <w:rsid w:val="00853418"/>
    <w:rsid w:val="008536FD"/>
    <w:rsid w:val="00854B56"/>
    <w:rsid w:val="00854B6F"/>
    <w:rsid w:val="008552AC"/>
    <w:rsid w:val="008552E2"/>
    <w:rsid w:val="0085534D"/>
    <w:rsid w:val="00855374"/>
    <w:rsid w:val="00855AF2"/>
    <w:rsid w:val="00855C7E"/>
    <w:rsid w:val="0085619A"/>
    <w:rsid w:val="008563DD"/>
    <w:rsid w:val="0085728C"/>
    <w:rsid w:val="008579F7"/>
    <w:rsid w:val="00857A42"/>
    <w:rsid w:val="00857C1D"/>
    <w:rsid w:val="00857CFE"/>
    <w:rsid w:val="00857F86"/>
    <w:rsid w:val="0086006D"/>
    <w:rsid w:val="00860737"/>
    <w:rsid w:val="008608CD"/>
    <w:rsid w:val="008611A4"/>
    <w:rsid w:val="00861D70"/>
    <w:rsid w:val="00861FD7"/>
    <w:rsid w:val="008620BC"/>
    <w:rsid w:val="00862B56"/>
    <w:rsid w:val="008630AD"/>
    <w:rsid w:val="0086363F"/>
    <w:rsid w:val="008639C9"/>
    <w:rsid w:val="00863EA9"/>
    <w:rsid w:val="00864247"/>
    <w:rsid w:val="00864E04"/>
    <w:rsid w:val="00865501"/>
    <w:rsid w:val="008659C7"/>
    <w:rsid w:val="00865BF4"/>
    <w:rsid w:val="00866053"/>
    <w:rsid w:val="00866055"/>
    <w:rsid w:val="0086674A"/>
    <w:rsid w:val="008667AD"/>
    <w:rsid w:val="00866D13"/>
    <w:rsid w:val="00867A00"/>
    <w:rsid w:val="00867CE0"/>
    <w:rsid w:val="008705E4"/>
    <w:rsid w:val="00870CC1"/>
    <w:rsid w:val="00870DBB"/>
    <w:rsid w:val="00870FF8"/>
    <w:rsid w:val="00871010"/>
    <w:rsid w:val="008711DF"/>
    <w:rsid w:val="008719EF"/>
    <w:rsid w:val="008725D6"/>
    <w:rsid w:val="00872834"/>
    <w:rsid w:val="00872952"/>
    <w:rsid w:val="008729FC"/>
    <w:rsid w:val="00873060"/>
    <w:rsid w:val="00873247"/>
    <w:rsid w:val="0087440F"/>
    <w:rsid w:val="00874741"/>
    <w:rsid w:val="00874837"/>
    <w:rsid w:val="00874DEF"/>
    <w:rsid w:val="0087506E"/>
    <w:rsid w:val="008750BE"/>
    <w:rsid w:val="00875602"/>
    <w:rsid w:val="00875860"/>
    <w:rsid w:val="00875F3C"/>
    <w:rsid w:val="008762E7"/>
    <w:rsid w:val="00876C2F"/>
    <w:rsid w:val="00876D09"/>
    <w:rsid w:val="00876DC1"/>
    <w:rsid w:val="008772FC"/>
    <w:rsid w:val="00877308"/>
    <w:rsid w:val="008775F8"/>
    <w:rsid w:val="00877C4E"/>
    <w:rsid w:val="00880099"/>
    <w:rsid w:val="0088013C"/>
    <w:rsid w:val="00880416"/>
    <w:rsid w:val="008807B8"/>
    <w:rsid w:val="00880A14"/>
    <w:rsid w:val="00880A84"/>
    <w:rsid w:val="00880D1C"/>
    <w:rsid w:val="00880E5B"/>
    <w:rsid w:val="00881375"/>
    <w:rsid w:val="008815C3"/>
    <w:rsid w:val="00881613"/>
    <w:rsid w:val="00881882"/>
    <w:rsid w:val="00881C9D"/>
    <w:rsid w:val="00881F40"/>
    <w:rsid w:val="0088235F"/>
    <w:rsid w:val="008823B4"/>
    <w:rsid w:val="008823C3"/>
    <w:rsid w:val="00882464"/>
    <w:rsid w:val="00882519"/>
    <w:rsid w:val="00882647"/>
    <w:rsid w:val="00882911"/>
    <w:rsid w:val="00882AC7"/>
    <w:rsid w:val="00882BB0"/>
    <w:rsid w:val="00882CC5"/>
    <w:rsid w:val="008835E3"/>
    <w:rsid w:val="00883ABA"/>
    <w:rsid w:val="00883E0D"/>
    <w:rsid w:val="008843BB"/>
    <w:rsid w:val="00884452"/>
    <w:rsid w:val="0088467C"/>
    <w:rsid w:val="00884890"/>
    <w:rsid w:val="008849AE"/>
    <w:rsid w:val="00884C7C"/>
    <w:rsid w:val="00884CCC"/>
    <w:rsid w:val="0088508E"/>
    <w:rsid w:val="008855CC"/>
    <w:rsid w:val="0088583A"/>
    <w:rsid w:val="0088637B"/>
    <w:rsid w:val="008903AA"/>
    <w:rsid w:val="0089051C"/>
    <w:rsid w:val="008905D7"/>
    <w:rsid w:val="00890676"/>
    <w:rsid w:val="008906AC"/>
    <w:rsid w:val="008909BE"/>
    <w:rsid w:val="008914DA"/>
    <w:rsid w:val="00891A80"/>
    <w:rsid w:val="008924B7"/>
    <w:rsid w:val="00893121"/>
    <w:rsid w:val="00893209"/>
    <w:rsid w:val="0089349E"/>
    <w:rsid w:val="008934C7"/>
    <w:rsid w:val="008939A9"/>
    <w:rsid w:val="00893F70"/>
    <w:rsid w:val="0089448C"/>
    <w:rsid w:val="008948AB"/>
    <w:rsid w:val="00894DD2"/>
    <w:rsid w:val="00894F54"/>
    <w:rsid w:val="00895408"/>
    <w:rsid w:val="0089573B"/>
    <w:rsid w:val="008957C4"/>
    <w:rsid w:val="00895B87"/>
    <w:rsid w:val="00895EB5"/>
    <w:rsid w:val="008960B7"/>
    <w:rsid w:val="008962F2"/>
    <w:rsid w:val="00896511"/>
    <w:rsid w:val="00896657"/>
    <w:rsid w:val="0089692A"/>
    <w:rsid w:val="008969DA"/>
    <w:rsid w:val="00896AE5"/>
    <w:rsid w:val="00896B9F"/>
    <w:rsid w:val="00896D5E"/>
    <w:rsid w:val="00896F35"/>
    <w:rsid w:val="008975E7"/>
    <w:rsid w:val="0089793D"/>
    <w:rsid w:val="008A00AE"/>
    <w:rsid w:val="008A0368"/>
    <w:rsid w:val="008A0431"/>
    <w:rsid w:val="008A04BB"/>
    <w:rsid w:val="008A053A"/>
    <w:rsid w:val="008A08D2"/>
    <w:rsid w:val="008A0C1D"/>
    <w:rsid w:val="008A0D2D"/>
    <w:rsid w:val="008A0DE1"/>
    <w:rsid w:val="008A1872"/>
    <w:rsid w:val="008A1A63"/>
    <w:rsid w:val="008A2494"/>
    <w:rsid w:val="008A2E7B"/>
    <w:rsid w:val="008A3A4E"/>
    <w:rsid w:val="008A3EA4"/>
    <w:rsid w:val="008A45C0"/>
    <w:rsid w:val="008A46A5"/>
    <w:rsid w:val="008A46D2"/>
    <w:rsid w:val="008A49E4"/>
    <w:rsid w:val="008A501E"/>
    <w:rsid w:val="008A5B91"/>
    <w:rsid w:val="008A5F83"/>
    <w:rsid w:val="008A6AB5"/>
    <w:rsid w:val="008A7133"/>
    <w:rsid w:val="008A798F"/>
    <w:rsid w:val="008A7AE6"/>
    <w:rsid w:val="008A7C91"/>
    <w:rsid w:val="008B013F"/>
    <w:rsid w:val="008B04C6"/>
    <w:rsid w:val="008B1136"/>
    <w:rsid w:val="008B1770"/>
    <w:rsid w:val="008B19E0"/>
    <w:rsid w:val="008B1CEC"/>
    <w:rsid w:val="008B1D85"/>
    <w:rsid w:val="008B2562"/>
    <w:rsid w:val="008B270A"/>
    <w:rsid w:val="008B2738"/>
    <w:rsid w:val="008B2EA5"/>
    <w:rsid w:val="008B30F2"/>
    <w:rsid w:val="008B3920"/>
    <w:rsid w:val="008B3BE7"/>
    <w:rsid w:val="008B3C3A"/>
    <w:rsid w:val="008B4021"/>
    <w:rsid w:val="008B49E7"/>
    <w:rsid w:val="008B54EB"/>
    <w:rsid w:val="008B5B9D"/>
    <w:rsid w:val="008B5C23"/>
    <w:rsid w:val="008B5F19"/>
    <w:rsid w:val="008B68C6"/>
    <w:rsid w:val="008B6F16"/>
    <w:rsid w:val="008B6F4B"/>
    <w:rsid w:val="008B7851"/>
    <w:rsid w:val="008B7B3E"/>
    <w:rsid w:val="008B7BE4"/>
    <w:rsid w:val="008B7CD6"/>
    <w:rsid w:val="008C0156"/>
    <w:rsid w:val="008C0189"/>
    <w:rsid w:val="008C0257"/>
    <w:rsid w:val="008C08A1"/>
    <w:rsid w:val="008C0FE8"/>
    <w:rsid w:val="008C12FB"/>
    <w:rsid w:val="008C1789"/>
    <w:rsid w:val="008C1CEB"/>
    <w:rsid w:val="008C1EDF"/>
    <w:rsid w:val="008C21A8"/>
    <w:rsid w:val="008C2486"/>
    <w:rsid w:val="008C2607"/>
    <w:rsid w:val="008C29DA"/>
    <w:rsid w:val="008C312C"/>
    <w:rsid w:val="008C3314"/>
    <w:rsid w:val="008C38EF"/>
    <w:rsid w:val="008C3F1E"/>
    <w:rsid w:val="008C3FA2"/>
    <w:rsid w:val="008C460D"/>
    <w:rsid w:val="008C465E"/>
    <w:rsid w:val="008C4CE4"/>
    <w:rsid w:val="008C510A"/>
    <w:rsid w:val="008C6787"/>
    <w:rsid w:val="008C69DE"/>
    <w:rsid w:val="008C6B95"/>
    <w:rsid w:val="008C6D44"/>
    <w:rsid w:val="008C6E10"/>
    <w:rsid w:val="008C73D6"/>
    <w:rsid w:val="008C76A6"/>
    <w:rsid w:val="008C78B6"/>
    <w:rsid w:val="008C799A"/>
    <w:rsid w:val="008C79EB"/>
    <w:rsid w:val="008C7A17"/>
    <w:rsid w:val="008C7ED3"/>
    <w:rsid w:val="008D0C62"/>
    <w:rsid w:val="008D0DF3"/>
    <w:rsid w:val="008D1349"/>
    <w:rsid w:val="008D14A9"/>
    <w:rsid w:val="008D1556"/>
    <w:rsid w:val="008D188C"/>
    <w:rsid w:val="008D19D9"/>
    <w:rsid w:val="008D1B3E"/>
    <w:rsid w:val="008D20C1"/>
    <w:rsid w:val="008D2CD6"/>
    <w:rsid w:val="008D3052"/>
    <w:rsid w:val="008D348D"/>
    <w:rsid w:val="008D3940"/>
    <w:rsid w:val="008D3A65"/>
    <w:rsid w:val="008D3BE2"/>
    <w:rsid w:val="008D47BF"/>
    <w:rsid w:val="008D4939"/>
    <w:rsid w:val="008D4A7B"/>
    <w:rsid w:val="008D4E5D"/>
    <w:rsid w:val="008D5016"/>
    <w:rsid w:val="008D50C8"/>
    <w:rsid w:val="008D5229"/>
    <w:rsid w:val="008D5D6D"/>
    <w:rsid w:val="008D63CD"/>
    <w:rsid w:val="008D727F"/>
    <w:rsid w:val="008D790B"/>
    <w:rsid w:val="008D7A61"/>
    <w:rsid w:val="008D7EEF"/>
    <w:rsid w:val="008D7FC7"/>
    <w:rsid w:val="008E01FF"/>
    <w:rsid w:val="008E074C"/>
    <w:rsid w:val="008E0C04"/>
    <w:rsid w:val="008E0FE3"/>
    <w:rsid w:val="008E178E"/>
    <w:rsid w:val="008E1CEE"/>
    <w:rsid w:val="008E21BE"/>
    <w:rsid w:val="008E21C5"/>
    <w:rsid w:val="008E23BA"/>
    <w:rsid w:val="008E2737"/>
    <w:rsid w:val="008E2D1D"/>
    <w:rsid w:val="008E3A45"/>
    <w:rsid w:val="008E3D60"/>
    <w:rsid w:val="008E3DD8"/>
    <w:rsid w:val="008E416F"/>
    <w:rsid w:val="008E4181"/>
    <w:rsid w:val="008E4492"/>
    <w:rsid w:val="008E45DB"/>
    <w:rsid w:val="008E468D"/>
    <w:rsid w:val="008E4816"/>
    <w:rsid w:val="008E49A4"/>
    <w:rsid w:val="008E4DCD"/>
    <w:rsid w:val="008E4E47"/>
    <w:rsid w:val="008E56B3"/>
    <w:rsid w:val="008E6098"/>
    <w:rsid w:val="008E66AE"/>
    <w:rsid w:val="008E6BC3"/>
    <w:rsid w:val="008E7390"/>
    <w:rsid w:val="008E78ED"/>
    <w:rsid w:val="008F0019"/>
    <w:rsid w:val="008F05C2"/>
    <w:rsid w:val="008F05C6"/>
    <w:rsid w:val="008F0659"/>
    <w:rsid w:val="008F0EB4"/>
    <w:rsid w:val="008F1024"/>
    <w:rsid w:val="008F1203"/>
    <w:rsid w:val="008F1F00"/>
    <w:rsid w:val="008F225F"/>
    <w:rsid w:val="008F251C"/>
    <w:rsid w:val="008F2EC1"/>
    <w:rsid w:val="008F30A7"/>
    <w:rsid w:val="008F30D5"/>
    <w:rsid w:val="008F3535"/>
    <w:rsid w:val="008F361C"/>
    <w:rsid w:val="008F3D3A"/>
    <w:rsid w:val="008F41ED"/>
    <w:rsid w:val="008F42BB"/>
    <w:rsid w:val="008F47D1"/>
    <w:rsid w:val="008F49F8"/>
    <w:rsid w:val="008F4DAC"/>
    <w:rsid w:val="008F4E02"/>
    <w:rsid w:val="008F663D"/>
    <w:rsid w:val="008F6D2B"/>
    <w:rsid w:val="008F6D74"/>
    <w:rsid w:val="008F6E22"/>
    <w:rsid w:val="008F7005"/>
    <w:rsid w:val="008F75A8"/>
    <w:rsid w:val="008F75E6"/>
    <w:rsid w:val="008F7941"/>
    <w:rsid w:val="008F7A35"/>
    <w:rsid w:val="008F7A4A"/>
    <w:rsid w:val="008F7DE8"/>
    <w:rsid w:val="0090073A"/>
    <w:rsid w:val="00900A45"/>
    <w:rsid w:val="00900DA6"/>
    <w:rsid w:val="00901415"/>
    <w:rsid w:val="00901679"/>
    <w:rsid w:val="00901A90"/>
    <w:rsid w:val="00901B1C"/>
    <w:rsid w:val="009021B7"/>
    <w:rsid w:val="009022ED"/>
    <w:rsid w:val="009027D7"/>
    <w:rsid w:val="00902A42"/>
    <w:rsid w:val="00902EA5"/>
    <w:rsid w:val="009037AC"/>
    <w:rsid w:val="009037E6"/>
    <w:rsid w:val="00903C7C"/>
    <w:rsid w:val="00904A75"/>
    <w:rsid w:val="00904DD1"/>
    <w:rsid w:val="00905434"/>
    <w:rsid w:val="00905676"/>
    <w:rsid w:val="00905A64"/>
    <w:rsid w:val="00905C39"/>
    <w:rsid w:val="00905E46"/>
    <w:rsid w:val="009060D7"/>
    <w:rsid w:val="00906248"/>
    <w:rsid w:val="00906628"/>
    <w:rsid w:val="009068F8"/>
    <w:rsid w:val="009072F6"/>
    <w:rsid w:val="0090732A"/>
    <w:rsid w:val="009074AB"/>
    <w:rsid w:val="00907697"/>
    <w:rsid w:val="009076EB"/>
    <w:rsid w:val="0090782B"/>
    <w:rsid w:val="009101A6"/>
    <w:rsid w:val="00910301"/>
    <w:rsid w:val="009105C5"/>
    <w:rsid w:val="00910B93"/>
    <w:rsid w:val="00910CA8"/>
    <w:rsid w:val="00910D1A"/>
    <w:rsid w:val="009113AE"/>
    <w:rsid w:val="009116CC"/>
    <w:rsid w:val="00911955"/>
    <w:rsid w:val="00911A3E"/>
    <w:rsid w:val="00912237"/>
    <w:rsid w:val="00912262"/>
    <w:rsid w:val="00912A52"/>
    <w:rsid w:val="00912BE1"/>
    <w:rsid w:val="00912E88"/>
    <w:rsid w:val="00912EDE"/>
    <w:rsid w:val="00913851"/>
    <w:rsid w:val="00913ACD"/>
    <w:rsid w:val="00913DB9"/>
    <w:rsid w:val="0091412C"/>
    <w:rsid w:val="009144AF"/>
    <w:rsid w:val="00914C0E"/>
    <w:rsid w:val="009151A1"/>
    <w:rsid w:val="009151C1"/>
    <w:rsid w:val="00915DBF"/>
    <w:rsid w:val="009160E0"/>
    <w:rsid w:val="009167F7"/>
    <w:rsid w:val="00916C54"/>
    <w:rsid w:val="00916D03"/>
    <w:rsid w:val="00916DB3"/>
    <w:rsid w:val="00916F37"/>
    <w:rsid w:val="009171BB"/>
    <w:rsid w:val="00917BC6"/>
    <w:rsid w:val="0092008C"/>
    <w:rsid w:val="00920106"/>
    <w:rsid w:val="009202C1"/>
    <w:rsid w:val="00920588"/>
    <w:rsid w:val="009205F4"/>
    <w:rsid w:val="00920673"/>
    <w:rsid w:val="00920916"/>
    <w:rsid w:val="00920E81"/>
    <w:rsid w:val="009211BB"/>
    <w:rsid w:val="00921F3C"/>
    <w:rsid w:val="00922AC7"/>
    <w:rsid w:val="00922BA4"/>
    <w:rsid w:val="00922F95"/>
    <w:rsid w:val="009231D1"/>
    <w:rsid w:val="00923A05"/>
    <w:rsid w:val="00923ECE"/>
    <w:rsid w:val="00923F6E"/>
    <w:rsid w:val="009243EA"/>
    <w:rsid w:val="0092482D"/>
    <w:rsid w:val="00924E59"/>
    <w:rsid w:val="00924F4A"/>
    <w:rsid w:val="0092592C"/>
    <w:rsid w:val="009259EF"/>
    <w:rsid w:val="00926044"/>
    <w:rsid w:val="00926659"/>
    <w:rsid w:val="00926B1A"/>
    <w:rsid w:val="00926D9C"/>
    <w:rsid w:val="0092700F"/>
    <w:rsid w:val="00927725"/>
    <w:rsid w:val="00927DC4"/>
    <w:rsid w:val="00927E4A"/>
    <w:rsid w:val="009304FE"/>
    <w:rsid w:val="00930782"/>
    <w:rsid w:val="00930AE9"/>
    <w:rsid w:val="00930D95"/>
    <w:rsid w:val="009310F0"/>
    <w:rsid w:val="00931E76"/>
    <w:rsid w:val="00932007"/>
    <w:rsid w:val="009328D3"/>
    <w:rsid w:val="009329E5"/>
    <w:rsid w:val="00932ED2"/>
    <w:rsid w:val="00932FDA"/>
    <w:rsid w:val="009335D3"/>
    <w:rsid w:val="00933BBC"/>
    <w:rsid w:val="00933FEA"/>
    <w:rsid w:val="0093422B"/>
    <w:rsid w:val="0093439A"/>
    <w:rsid w:val="00934BC3"/>
    <w:rsid w:val="00934D4D"/>
    <w:rsid w:val="00934F1A"/>
    <w:rsid w:val="0093529C"/>
    <w:rsid w:val="009353DF"/>
    <w:rsid w:val="0093570A"/>
    <w:rsid w:val="00935918"/>
    <w:rsid w:val="00935C67"/>
    <w:rsid w:val="00935C85"/>
    <w:rsid w:val="00935F40"/>
    <w:rsid w:val="00936191"/>
    <w:rsid w:val="009363C8"/>
    <w:rsid w:val="00936635"/>
    <w:rsid w:val="00936C3C"/>
    <w:rsid w:val="00936D77"/>
    <w:rsid w:val="00936EC8"/>
    <w:rsid w:val="009370F0"/>
    <w:rsid w:val="009376D5"/>
    <w:rsid w:val="00937965"/>
    <w:rsid w:val="00937A54"/>
    <w:rsid w:val="00940AFF"/>
    <w:rsid w:val="00940FE7"/>
    <w:rsid w:val="00941138"/>
    <w:rsid w:val="00941183"/>
    <w:rsid w:val="0094119D"/>
    <w:rsid w:val="009415E8"/>
    <w:rsid w:val="009419E0"/>
    <w:rsid w:val="00941D35"/>
    <w:rsid w:val="00941F1C"/>
    <w:rsid w:val="00942856"/>
    <w:rsid w:val="00942A2E"/>
    <w:rsid w:val="00942BD1"/>
    <w:rsid w:val="00942DAE"/>
    <w:rsid w:val="00942ED9"/>
    <w:rsid w:val="00943352"/>
    <w:rsid w:val="00943B49"/>
    <w:rsid w:val="00943D1E"/>
    <w:rsid w:val="00943DA8"/>
    <w:rsid w:val="00943F6E"/>
    <w:rsid w:val="00944447"/>
    <w:rsid w:val="00944915"/>
    <w:rsid w:val="00944D69"/>
    <w:rsid w:val="00944E64"/>
    <w:rsid w:val="00944F68"/>
    <w:rsid w:val="00944FED"/>
    <w:rsid w:val="009453EE"/>
    <w:rsid w:val="00945643"/>
    <w:rsid w:val="0094566D"/>
    <w:rsid w:val="009456DD"/>
    <w:rsid w:val="00945A8F"/>
    <w:rsid w:val="00945C8E"/>
    <w:rsid w:val="00945CCD"/>
    <w:rsid w:val="00945D59"/>
    <w:rsid w:val="00945EB1"/>
    <w:rsid w:val="00946953"/>
    <w:rsid w:val="009469D1"/>
    <w:rsid w:val="009469E0"/>
    <w:rsid w:val="00946B74"/>
    <w:rsid w:val="00947062"/>
    <w:rsid w:val="00947E80"/>
    <w:rsid w:val="00947F9D"/>
    <w:rsid w:val="00950302"/>
    <w:rsid w:val="00950689"/>
    <w:rsid w:val="00950B67"/>
    <w:rsid w:val="00951085"/>
    <w:rsid w:val="0095122B"/>
    <w:rsid w:val="0095183F"/>
    <w:rsid w:val="00951D24"/>
    <w:rsid w:val="00952049"/>
    <w:rsid w:val="0095291C"/>
    <w:rsid w:val="00952C86"/>
    <w:rsid w:val="00953092"/>
    <w:rsid w:val="00953469"/>
    <w:rsid w:val="00953734"/>
    <w:rsid w:val="00953BC2"/>
    <w:rsid w:val="00953FD9"/>
    <w:rsid w:val="009543E3"/>
    <w:rsid w:val="0095464D"/>
    <w:rsid w:val="00954986"/>
    <w:rsid w:val="00955739"/>
    <w:rsid w:val="009559AF"/>
    <w:rsid w:val="009559B6"/>
    <w:rsid w:val="00955B2F"/>
    <w:rsid w:val="009564F3"/>
    <w:rsid w:val="009565E3"/>
    <w:rsid w:val="00956972"/>
    <w:rsid w:val="00956EC9"/>
    <w:rsid w:val="009570B6"/>
    <w:rsid w:val="0095714D"/>
    <w:rsid w:val="0095717A"/>
    <w:rsid w:val="009572DD"/>
    <w:rsid w:val="00957687"/>
    <w:rsid w:val="00957A8A"/>
    <w:rsid w:val="00957E20"/>
    <w:rsid w:val="00957EA2"/>
    <w:rsid w:val="009601AD"/>
    <w:rsid w:val="009604D3"/>
    <w:rsid w:val="00960863"/>
    <w:rsid w:val="00960AA7"/>
    <w:rsid w:val="009610F1"/>
    <w:rsid w:val="00961C43"/>
    <w:rsid w:val="00961E91"/>
    <w:rsid w:val="00962008"/>
    <w:rsid w:val="00962668"/>
    <w:rsid w:val="00962A65"/>
    <w:rsid w:val="00962D15"/>
    <w:rsid w:val="00962FF0"/>
    <w:rsid w:val="00963156"/>
    <w:rsid w:val="00963876"/>
    <w:rsid w:val="00963AD6"/>
    <w:rsid w:val="00963AE9"/>
    <w:rsid w:val="00963B0D"/>
    <w:rsid w:val="00963FC4"/>
    <w:rsid w:val="0096404E"/>
    <w:rsid w:val="009640FB"/>
    <w:rsid w:val="009643C7"/>
    <w:rsid w:val="009645E1"/>
    <w:rsid w:val="00964BB8"/>
    <w:rsid w:val="00964CD3"/>
    <w:rsid w:val="00964E7A"/>
    <w:rsid w:val="00964F11"/>
    <w:rsid w:val="00965393"/>
    <w:rsid w:val="009653DC"/>
    <w:rsid w:val="00965BF2"/>
    <w:rsid w:val="00965FEF"/>
    <w:rsid w:val="00966051"/>
    <w:rsid w:val="00966371"/>
    <w:rsid w:val="00966E55"/>
    <w:rsid w:val="0096772C"/>
    <w:rsid w:val="00967C47"/>
    <w:rsid w:val="0097015D"/>
    <w:rsid w:val="00970299"/>
    <w:rsid w:val="0097053A"/>
    <w:rsid w:val="00970DC8"/>
    <w:rsid w:val="00971D65"/>
    <w:rsid w:val="00972109"/>
    <w:rsid w:val="00972506"/>
    <w:rsid w:val="00972CC8"/>
    <w:rsid w:val="00973088"/>
    <w:rsid w:val="009730A6"/>
    <w:rsid w:val="00973165"/>
    <w:rsid w:val="00973490"/>
    <w:rsid w:val="00973D38"/>
    <w:rsid w:val="00974161"/>
    <w:rsid w:val="00974568"/>
    <w:rsid w:val="00974790"/>
    <w:rsid w:val="0097493A"/>
    <w:rsid w:val="00974A86"/>
    <w:rsid w:val="0097523C"/>
    <w:rsid w:val="0097528A"/>
    <w:rsid w:val="00975E7F"/>
    <w:rsid w:val="00975FBF"/>
    <w:rsid w:val="0097619C"/>
    <w:rsid w:val="009762AE"/>
    <w:rsid w:val="009765DF"/>
    <w:rsid w:val="009766F1"/>
    <w:rsid w:val="00976C92"/>
    <w:rsid w:val="00976DB7"/>
    <w:rsid w:val="0097770E"/>
    <w:rsid w:val="00977973"/>
    <w:rsid w:val="00977AD5"/>
    <w:rsid w:val="00977BFB"/>
    <w:rsid w:val="00980F40"/>
    <w:rsid w:val="00981774"/>
    <w:rsid w:val="00981D2C"/>
    <w:rsid w:val="00981F79"/>
    <w:rsid w:val="00982041"/>
    <w:rsid w:val="0098204E"/>
    <w:rsid w:val="009834E9"/>
    <w:rsid w:val="00983A72"/>
    <w:rsid w:val="009845ED"/>
    <w:rsid w:val="0098477D"/>
    <w:rsid w:val="00984BAF"/>
    <w:rsid w:val="009850EF"/>
    <w:rsid w:val="00985440"/>
    <w:rsid w:val="009859B2"/>
    <w:rsid w:val="00985A22"/>
    <w:rsid w:val="00985BB3"/>
    <w:rsid w:val="00985DDA"/>
    <w:rsid w:val="009860F4"/>
    <w:rsid w:val="009862CC"/>
    <w:rsid w:val="009868FC"/>
    <w:rsid w:val="00986A2B"/>
    <w:rsid w:val="00986A55"/>
    <w:rsid w:val="00986D78"/>
    <w:rsid w:val="00986E24"/>
    <w:rsid w:val="00986E5D"/>
    <w:rsid w:val="00986EFF"/>
    <w:rsid w:val="009871A9"/>
    <w:rsid w:val="00987997"/>
    <w:rsid w:val="00987FE0"/>
    <w:rsid w:val="0099003C"/>
    <w:rsid w:val="009902BC"/>
    <w:rsid w:val="00990566"/>
    <w:rsid w:val="009909F9"/>
    <w:rsid w:val="00990A9F"/>
    <w:rsid w:val="00991A16"/>
    <w:rsid w:val="00991AA5"/>
    <w:rsid w:val="00991AD7"/>
    <w:rsid w:val="00992235"/>
    <w:rsid w:val="00992459"/>
    <w:rsid w:val="00992AC1"/>
    <w:rsid w:val="00992BD3"/>
    <w:rsid w:val="00992CB9"/>
    <w:rsid w:val="00992DB0"/>
    <w:rsid w:val="00993BEE"/>
    <w:rsid w:val="00994112"/>
    <w:rsid w:val="009941CC"/>
    <w:rsid w:val="009943F2"/>
    <w:rsid w:val="00994CF9"/>
    <w:rsid w:val="00995788"/>
    <w:rsid w:val="00995ED2"/>
    <w:rsid w:val="0099607E"/>
    <w:rsid w:val="00996091"/>
    <w:rsid w:val="009961EE"/>
    <w:rsid w:val="00996586"/>
    <w:rsid w:val="00996996"/>
    <w:rsid w:val="00996FC8"/>
    <w:rsid w:val="009975DC"/>
    <w:rsid w:val="00997A14"/>
    <w:rsid w:val="009A0BF1"/>
    <w:rsid w:val="009A1E8D"/>
    <w:rsid w:val="009A2295"/>
    <w:rsid w:val="009A23A4"/>
    <w:rsid w:val="009A2741"/>
    <w:rsid w:val="009A2A53"/>
    <w:rsid w:val="009A2E64"/>
    <w:rsid w:val="009A3024"/>
    <w:rsid w:val="009A3523"/>
    <w:rsid w:val="009A3A3A"/>
    <w:rsid w:val="009A3FBF"/>
    <w:rsid w:val="009A3FFF"/>
    <w:rsid w:val="009A43AF"/>
    <w:rsid w:val="009A4ED0"/>
    <w:rsid w:val="009A5482"/>
    <w:rsid w:val="009A5A00"/>
    <w:rsid w:val="009A62D8"/>
    <w:rsid w:val="009A647D"/>
    <w:rsid w:val="009A6526"/>
    <w:rsid w:val="009A6547"/>
    <w:rsid w:val="009A6EF9"/>
    <w:rsid w:val="009A73FC"/>
    <w:rsid w:val="009A758A"/>
    <w:rsid w:val="009A7872"/>
    <w:rsid w:val="009A7A71"/>
    <w:rsid w:val="009A7E03"/>
    <w:rsid w:val="009A7ED2"/>
    <w:rsid w:val="009B0086"/>
    <w:rsid w:val="009B0C60"/>
    <w:rsid w:val="009B0DF1"/>
    <w:rsid w:val="009B1218"/>
    <w:rsid w:val="009B1320"/>
    <w:rsid w:val="009B1483"/>
    <w:rsid w:val="009B16CC"/>
    <w:rsid w:val="009B18E1"/>
    <w:rsid w:val="009B1EAA"/>
    <w:rsid w:val="009B2087"/>
    <w:rsid w:val="009B21D6"/>
    <w:rsid w:val="009B22E8"/>
    <w:rsid w:val="009B2FC7"/>
    <w:rsid w:val="009B310D"/>
    <w:rsid w:val="009B32BB"/>
    <w:rsid w:val="009B32F0"/>
    <w:rsid w:val="009B3900"/>
    <w:rsid w:val="009B3B72"/>
    <w:rsid w:val="009B3DB6"/>
    <w:rsid w:val="009B3E8A"/>
    <w:rsid w:val="009B4141"/>
    <w:rsid w:val="009B4416"/>
    <w:rsid w:val="009B4E8F"/>
    <w:rsid w:val="009B513E"/>
    <w:rsid w:val="009B5CF6"/>
    <w:rsid w:val="009B5DEF"/>
    <w:rsid w:val="009B5E0E"/>
    <w:rsid w:val="009B61B2"/>
    <w:rsid w:val="009B6F2D"/>
    <w:rsid w:val="009B75B8"/>
    <w:rsid w:val="009B797B"/>
    <w:rsid w:val="009B797C"/>
    <w:rsid w:val="009B7A6C"/>
    <w:rsid w:val="009B7FAC"/>
    <w:rsid w:val="009B7FCB"/>
    <w:rsid w:val="009C07DF"/>
    <w:rsid w:val="009C07EE"/>
    <w:rsid w:val="009C0A56"/>
    <w:rsid w:val="009C0E2E"/>
    <w:rsid w:val="009C0FCF"/>
    <w:rsid w:val="009C107A"/>
    <w:rsid w:val="009C13F0"/>
    <w:rsid w:val="009C1514"/>
    <w:rsid w:val="009C190C"/>
    <w:rsid w:val="009C2436"/>
    <w:rsid w:val="009C2660"/>
    <w:rsid w:val="009C270E"/>
    <w:rsid w:val="009C2782"/>
    <w:rsid w:val="009C2853"/>
    <w:rsid w:val="009C2CC3"/>
    <w:rsid w:val="009C2D69"/>
    <w:rsid w:val="009C318B"/>
    <w:rsid w:val="009C3AA5"/>
    <w:rsid w:val="009C3D69"/>
    <w:rsid w:val="009C3E01"/>
    <w:rsid w:val="009C423B"/>
    <w:rsid w:val="009C47F1"/>
    <w:rsid w:val="009C4BD6"/>
    <w:rsid w:val="009C5111"/>
    <w:rsid w:val="009C6A42"/>
    <w:rsid w:val="009C6F2F"/>
    <w:rsid w:val="009C6F37"/>
    <w:rsid w:val="009C77A0"/>
    <w:rsid w:val="009C7886"/>
    <w:rsid w:val="009C79CB"/>
    <w:rsid w:val="009C7C61"/>
    <w:rsid w:val="009D0258"/>
    <w:rsid w:val="009D03A7"/>
    <w:rsid w:val="009D1640"/>
    <w:rsid w:val="009D1B8F"/>
    <w:rsid w:val="009D1BA0"/>
    <w:rsid w:val="009D1FA6"/>
    <w:rsid w:val="009D212B"/>
    <w:rsid w:val="009D21D0"/>
    <w:rsid w:val="009D283D"/>
    <w:rsid w:val="009D2B50"/>
    <w:rsid w:val="009D2D1D"/>
    <w:rsid w:val="009D2FBA"/>
    <w:rsid w:val="009D3267"/>
    <w:rsid w:val="009D351E"/>
    <w:rsid w:val="009D3B21"/>
    <w:rsid w:val="009D3B6B"/>
    <w:rsid w:val="009D4111"/>
    <w:rsid w:val="009D4273"/>
    <w:rsid w:val="009D4BDE"/>
    <w:rsid w:val="009D4D30"/>
    <w:rsid w:val="009D4E0B"/>
    <w:rsid w:val="009D4F9B"/>
    <w:rsid w:val="009D5055"/>
    <w:rsid w:val="009D53AD"/>
    <w:rsid w:val="009D563D"/>
    <w:rsid w:val="009D569A"/>
    <w:rsid w:val="009D5735"/>
    <w:rsid w:val="009D5E89"/>
    <w:rsid w:val="009D61C0"/>
    <w:rsid w:val="009D635E"/>
    <w:rsid w:val="009D64E2"/>
    <w:rsid w:val="009D6611"/>
    <w:rsid w:val="009D66D8"/>
    <w:rsid w:val="009D6732"/>
    <w:rsid w:val="009D6987"/>
    <w:rsid w:val="009D6D3D"/>
    <w:rsid w:val="009D6D73"/>
    <w:rsid w:val="009D73AC"/>
    <w:rsid w:val="009D7787"/>
    <w:rsid w:val="009D7B41"/>
    <w:rsid w:val="009D7DCE"/>
    <w:rsid w:val="009E00B8"/>
    <w:rsid w:val="009E0229"/>
    <w:rsid w:val="009E02C9"/>
    <w:rsid w:val="009E053D"/>
    <w:rsid w:val="009E0875"/>
    <w:rsid w:val="009E12AD"/>
    <w:rsid w:val="009E14BB"/>
    <w:rsid w:val="009E1F68"/>
    <w:rsid w:val="009E1F7E"/>
    <w:rsid w:val="009E1FB3"/>
    <w:rsid w:val="009E26E6"/>
    <w:rsid w:val="009E2910"/>
    <w:rsid w:val="009E2A58"/>
    <w:rsid w:val="009E2A96"/>
    <w:rsid w:val="009E2EAB"/>
    <w:rsid w:val="009E2FFD"/>
    <w:rsid w:val="009E30D8"/>
    <w:rsid w:val="009E375C"/>
    <w:rsid w:val="009E377A"/>
    <w:rsid w:val="009E39DC"/>
    <w:rsid w:val="009E43E3"/>
    <w:rsid w:val="009E44D4"/>
    <w:rsid w:val="009E455F"/>
    <w:rsid w:val="009E47EE"/>
    <w:rsid w:val="009E48D0"/>
    <w:rsid w:val="009E4914"/>
    <w:rsid w:val="009E5645"/>
    <w:rsid w:val="009E56B4"/>
    <w:rsid w:val="009E5897"/>
    <w:rsid w:val="009E67DD"/>
    <w:rsid w:val="009E6B26"/>
    <w:rsid w:val="009E6FFD"/>
    <w:rsid w:val="009E7320"/>
    <w:rsid w:val="009E7428"/>
    <w:rsid w:val="009E7916"/>
    <w:rsid w:val="009E7930"/>
    <w:rsid w:val="009E7BF4"/>
    <w:rsid w:val="009F00E2"/>
    <w:rsid w:val="009F06AD"/>
    <w:rsid w:val="009F09B8"/>
    <w:rsid w:val="009F0AB3"/>
    <w:rsid w:val="009F10D0"/>
    <w:rsid w:val="009F1313"/>
    <w:rsid w:val="009F1B4D"/>
    <w:rsid w:val="009F1CD4"/>
    <w:rsid w:val="009F1E6F"/>
    <w:rsid w:val="009F206C"/>
    <w:rsid w:val="009F2390"/>
    <w:rsid w:val="009F24E1"/>
    <w:rsid w:val="009F28AC"/>
    <w:rsid w:val="009F29F9"/>
    <w:rsid w:val="009F2F03"/>
    <w:rsid w:val="009F3352"/>
    <w:rsid w:val="009F33FB"/>
    <w:rsid w:val="009F3491"/>
    <w:rsid w:val="009F4374"/>
    <w:rsid w:val="009F43C3"/>
    <w:rsid w:val="009F4C44"/>
    <w:rsid w:val="009F4EC3"/>
    <w:rsid w:val="009F5239"/>
    <w:rsid w:val="009F5363"/>
    <w:rsid w:val="009F5666"/>
    <w:rsid w:val="009F5A58"/>
    <w:rsid w:val="009F600C"/>
    <w:rsid w:val="009F61A9"/>
    <w:rsid w:val="009F65F7"/>
    <w:rsid w:val="009F6852"/>
    <w:rsid w:val="009F6A06"/>
    <w:rsid w:val="009F6A19"/>
    <w:rsid w:val="009F71D8"/>
    <w:rsid w:val="009F75CF"/>
    <w:rsid w:val="009F7E9F"/>
    <w:rsid w:val="00A00214"/>
    <w:rsid w:val="00A00BF1"/>
    <w:rsid w:val="00A0160F"/>
    <w:rsid w:val="00A020B4"/>
    <w:rsid w:val="00A0211D"/>
    <w:rsid w:val="00A024F8"/>
    <w:rsid w:val="00A0273D"/>
    <w:rsid w:val="00A02DAA"/>
    <w:rsid w:val="00A02F3C"/>
    <w:rsid w:val="00A031E7"/>
    <w:rsid w:val="00A031EF"/>
    <w:rsid w:val="00A03358"/>
    <w:rsid w:val="00A03442"/>
    <w:rsid w:val="00A0392D"/>
    <w:rsid w:val="00A042C7"/>
    <w:rsid w:val="00A043FE"/>
    <w:rsid w:val="00A044A3"/>
    <w:rsid w:val="00A04BCA"/>
    <w:rsid w:val="00A054F6"/>
    <w:rsid w:val="00A05916"/>
    <w:rsid w:val="00A05AA6"/>
    <w:rsid w:val="00A06192"/>
    <w:rsid w:val="00A065A8"/>
    <w:rsid w:val="00A0663B"/>
    <w:rsid w:val="00A066D1"/>
    <w:rsid w:val="00A069C5"/>
    <w:rsid w:val="00A06D17"/>
    <w:rsid w:val="00A06F2C"/>
    <w:rsid w:val="00A07065"/>
    <w:rsid w:val="00A07217"/>
    <w:rsid w:val="00A07462"/>
    <w:rsid w:val="00A075D8"/>
    <w:rsid w:val="00A07FCE"/>
    <w:rsid w:val="00A10500"/>
    <w:rsid w:val="00A105B4"/>
    <w:rsid w:val="00A10886"/>
    <w:rsid w:val="00A11523"/>
    <w:rsid w:val="00A115F1"/>
    <w:rsid w:val="00A11861"/>
    <w:rsid w:val="00A11C15"/>
    <w:rsid w:val="00A11CD3"/>
    <w:rsid w:val="00A1249D"/>
    <w:rsid w:val="00A12519"/>
    <w:rsid w:val="00A1266A"/>
    <w:rsid w:val="00A12E4D"/>
    <w:rsid w:val="00A136D2"/>
    <w:rsid w:val="00A1389B"/>
    <w:rsid w:val="00A138D8"/>
    <w:rsid w:val="00A13D9A"/>
    <w:rsid w:val="00A14059"/>
    <w:rsid w:val="00A1417A"/>
    <w:rsid w:val="00A14886"/>
    <w:rsid w:val="00A14A91"/>
    <w:rsid w:val="00A14CD4"/>
    <w:rsid w:val="00A14F0A"/>
    <w:rsid w:val="00A150D1"/>
    <w:rsid w:val="00A1551F"/>
    <w:rsid w:val="00A15B20"/>
    <w:rsid w:val="00A15EDB"/>
    <w:rsid w:val="00A15F22"/>
    <w:rsid w:val="00A1622A"/>
    <w:rsid w:val="00A16BB4"/>
    <w:rsid w:val="00A16E6B"/>
    <w:rsid w:val="00A16ECB"/>
    <w:rsid w:val="00A16EEB"/>
    <w:rsid w:val="00A16EFC"/>
    <w:rsid w:val="00A16F1F"/>
    <w:rsid w:val="00A16FC6"/>
    <w:rsid w:val="00A1792A"/>
    <w:rsid w:val="00A17957"/>
    <w:rsid w:val="00A20575"/>
    <w:rsid w:val="00A205CE"/>
    <w:rsid w:val="00A206CD"/>
    <w:rsid w:val="00A207E9"/>
    <w:rsid w:val="00A208EB"/>
    <w:rsid w:val="00A2097E"/>
    <w:rsid w:val="00A2114F"/>
    <w:rsid w:val="00A21667"/>
    <w:rsid w:val="00A2169D"/>
    <w:rsid w:val="00A21A02"/>
    <w:rsid w:val="00A2216E"/>
    <w:rsid w:val="00A22190"/>
    <w:rsid w:val="00A22808"/>
    <w:rsid w:val="00A22F5A"/>
    <w:rsid w:val="00A231B5"/>
    <w:rsid w:val="00A23488"/>
    <w:rsid w:val="00A23508"/>
    <w:rsid w:val="00A235B7"/>
    <w:rsid w:val="00A2370B"/>
    <w:rsid w:val="00A23921"/>
    <w:rsid w:val="00A23F13"/>
    <w:rsid w:val="00A243F2"/>
    <w:rsid w:val="00A251A9"/>
    <w:rsid w:val="00A2549F"/>
    <w:rsid w:val="00A255AB"/>
    <w:rsid w:val="00A2593D"/>
    <w:rsid w:val="00A25D8E"/>
    <w:rsid w:val="00A260CC"/>
    <w:rsid w:val="00A26569"/>
    <w:rsid w:val="00A26956"/>
    <w:rsid w:val="00A26E10"/>
    <w:rsid w:val="00A272A8"/>
    <w:rsid w:val="00A2732B"/>
    <w:rsid w:val="00A2755B"/>
    <w:rsid w:val="00A279CA"/>
    <w:rsid w:val="00A27ACC"/>
    <w:rsid w:val="00A27C20"/>
    <w:rsid w:val="00A27CFD"/>
    <w:rsid w:val="00A30105"/>
    <w:rsid w:val="00A3013B"/>
    <w:rsid w:val="00A303DA"/>
    <w:rsid w:val="00A30744"/>
    <w:rsid w:val="00A30E38"/>
    <w:rsid w:val="00A30EA6"/>
    <w:rsid w:val="00A31091"/>
    <w:rsid w:val="00A31499"/>
    <w:rsid w:val="00A31523"/>
    <w:rsid w:val="00A31536"/>
    <w:rsid w:val="00A31FAC"/>
    <w:rsid w:val="00A32180"/>
    <w:rsid w:val="00A323E9"/>
    <w:rsid w:val="00A328A8"/>
    <w:rsid w:val="00A32FC5"/>
    <w:rsid w:val="00A33034"/>
    <w:rsid w:val="00A342A3"/>
    <w:rsid w:val="00A346FE"/>
    <w:rsid w:val="00A34F1D"/>
    <w:rsid w:val="00A35033"/>
    <w:rsid w:val="00A35037"/>
    <w:rsid w:val="00A353C1"/>
    <w:rsid w:val="00A35907"/>
    <w:rsid w:val="00A3596C"/>
    <w:rsid w:val="00A36B1D"/>
    <w:rsid w:val="00A36E14"/>
    <w:rsid w:val="00A377B8"/>
    <w:rsid w:val="00A40337"/>
    <w:rsid w:val="00A40446"/>
    <w:rsid w:val="00A4075A"/>
    <w:rsid w:val="00A40A6E"/>
    <w:rsid w:val="00A40A8F"/>
    <w:rsid w:val="00A41B06"/>
    <w:rsid w:val="00A42584"/>
    <w:rsid w:val="00A42B14"/>
    <w:rsid w:val="00A4319D"/>
    <w:rsid w:val="00A4336B"/>
    <w:rsid w:val="00A43468"/>
    <w:rsid w:val="00A434DF"/>
    <w:rsid w:val="00A437BB"/>
    <w:rsid w:val="00A447A0"/>
    <w:rsid w:val="00A44E14"/>
    <w:rsid w:val="00A457D6"/>
    <w:rsid w:val="00A458B6"/>
    <w:rsid w:val="00A45D44"/>
    <w:rsid w:val="00A46414"/>
    <w:rsid w:val="00A46451"/>
    <w:rsid w:val="00A46469"/>
    <w:rsid w:val="00A4698C"/>
    <w:rsid w:val="00A46F85"/>
    <w:rsid w:val="00A4716C"/>
    <w:rsid w:val="00A47B9B"/>
    <w:rsid w:val="00A47E42"/>
    <w:rsid w:val="00A5034B"/>
    <w:rsid w:val="00A5045C"/>
    <w:rsid w:val="00A506FC"/>
    <w:rsid w:val="00A50DA6"/>
    <w:rsid w:val="00A50E01"/>
    <w:rsid w:val="00A511E6"/>
    <w:rsid w:val="00A5120F"/>
    <w:rsid w:val="00A51841"/>
    <w:rsid w:val="00A51CE1"/>
    <w:rsid w:val="00A5289D"/>
    <w:rsid w:val="00A52978"/>
    <w:rsid w:val="00A52D1D"/>
    <w:rsid w:val="00A53130"/>
    <w:rsid w:val="00A5320E"/>
    <w:rsid w:val="00A5412B"/>
    <w:rsid w:val="00A54439"/>
    <w:rsid w:val="00A549C6"/>
    <w:rsid w:val="00A54AC8"/>
    <w:rsid w:val="00A55158"/>
    <w:rsid w:val="00A55718"/>
    <w:rsid w:val="00A55B0C"/>
    <w:rsid w:val="00A55DE2"/>
    <w:rsid w:val="00A55E64"/>
    <w:rsid w:val="00A56A78"/>
    <w:rsid w:val="00A571CD"/>
    <w:rsid w:val="00A575B0"/>
    <w:rsid w:val="00A57DA5"/>
    <w:rsid w:val="00A6042C"/>
    <w:rsid w:val="00A604D6"/>
    <w:rsid w:val="00A60766"/>
    <w:rsid w:val="00A60824"/>
    <w:rsid w:val="00A608FE"/>
    <w:rsid w:val="00A60949"/>
    <w:rsid w:val="00A60E1A"/>
    <w:rsid w:val="00A614CC"/>
    <w:rsid w:val="00A616EF"/>
    <w:rsid w:val="00A6195E"/>
    <w:rsid w:val="00A61C5D"/>
    <w:rsid w:val="00A62197"/>
    <w:rsid w:val="00A628DE"/>
    <w:rsid w:val="00A62B3A"/>
    <w:rsid w:val="00A6327E"/>
    <w:rsid w:val="00A63600"/>
    <w:rsid w:val="00A636C0"/>
    <w:rsid w:val="00A64173"/>
    <w:rsid w:val="00A6460E"/>
    <w:rsid w:val="00A64735"/>
    <w:rsid w:val="00A64834"/>
    <w:rsid w:val="00A6494E"/>
    <w:rsid w:val="00A64AC6"/>
    <w:rsid w:val="00A64B92"/>
    <w:rsid w:val="00A65FA7"/>
    <w:rsid w:val="00A661EA"/>
    <w:rsid w:val="00A664CD"/>
    <w:rsid w:val="00A666B7"/>
    <w:rsid w:val="00A66A6B"/>
    <w:rsid w:val="00A66B50"/>
    <w:rsid w:val="00A66EEC"/>
    <w:rsid w:val="00A677C0"/>
    <w:rsid w:val="00A67873"/>
    <w:rsid w:val="00A67896"/>
    <w:rsid w:val="00A67FAE"/>
    <w:rsid w:val="00A706AC"/>
    <w:rsid w:val="00A70964"/>
    <w:rsid w:val="00A7103B"/>
    <w:rsid w:val="00A71267"/>
    <w:rsid w:val="00A71B55"/>
    <w:rsid w:val="00A71BAB"/>
    <w:rsid w:val="00A7240E"/>
    <w:rsid w:val="00A724CD"/>
    <w:rsid w:val="00A72556"/>
    <w:rsid w:val="00A7322E"/>
    <w:rsid w:val="00A7347E"/>
    <w:rsid w:val="00A73601"/>
    <w:rsid w:val="00A73C9B"/>
    <w:rsid w:val="00A7422E"/>
    <w:rsid w:val="00A74466"/>
    <w:rsid w:val="00A7446E"/>
    <w:rsid w:val="00A746B4"/>
    <w:rsid w:val="00A74EC3"/>
    <w:rsid w:val="00A757BC"/>
    <w:rsid w:val="00A7615F"/>
    <w:rsid w:val="00A76322"/>
    <w:rsid w:val="00A764DE"/>
    <w:rsid w:val="00A775CF"/>
    <w:rsid w:val="00A77FE5"/>
    <w:rsid w:val="00A8011C"/>
    <w:rsid w:val="00A8056F"/>
    <w:rsid w:val="00A80B08"/>
    <w:rsid w:val="00A80BE4"/>
    <w:rsid w:val="00A80F2E"/>
    <w:rsid w:val="00A81B7E"/>
    <w:rsid w:val="00A81D63"/>
    <w:rsid w:val="00A81E64"/>
    <w:rsid w:val="00A82935"/>
    <w:rsid w:val="00A8304B"/>
    <w:rsid w:val="00A83154"/>
    <w:rsid w:val="00A8360B"/>
    <w:rsid w:val="00A8367E"/>
    <w:rsid w:val="00A8395D"/>
    <w:rsid w:val="00A839F7"/>
    <w:rsid w:val="00A83A6E"/>
    <w:rsid w:val="00A84536"/>
    <w:rsid w:val="00A84BC6"/>
    <w:rsid w:val="00A84FC0"/>
    <w:rsid w:val="00A8510A"/>
    <w:rsid w:val="00A85226"/>
    <w:rsid w:val="00A856AD"/>
    <w:rsid w:val="00A857A7"/>
    <w:rsid w:val="00A8593F"/>
    <w:rsid w:val="00A860D4"/>
    <w:rsid w:val="00A86210"/>
    <w:rsid w:val="00A86575"/>
    <w:rsid w:val="00A86C6F"/>
    <w:rsid w:val="00A86D4E"/>
    <w:rsid w:val="00A87638"/>
    <w:rsid w:val="00A87E2E"/>
    <w:rsid w:val="00A90078"/>
    <w:rsid w:val="00A90230"/>
    <w:rsid w:val="00A90591"/>
    <w:rsid w:val="00A908EC"/>
    <w:rsid w:val="00A90A09"/>
    <w:rsid w:val="00A90FA7"/>
    <w:rsid w:val="00A90FF8"/>
    <w:rsid w:val="00A910C2"/>
    <w:rsid w:val="00A9115D"/>
    <w:rsid w:val="00A91292"/>
    <w:rsid w:val="00A9140E"/>
    <w:rsid w:val="00A91B0F"/>
    <w:rsid w:val="00A91E0E"/>
    <w:rsid w:val="00A91E21"/>
    <w:rsid w:val="00A9214A"/>
    <w:rsid w:val="00A92240"/>
    <w:rsid w:val="00A92D24"/>
    <w:rsid w:val="00A92DA9"/>
    <w:rsid w:val="00A92DE7"/>
    <w:rsid w:val="00A9311D"/>
    <w:rsid w:val="00A93341"/>
    <w:rsid w:val="00A9350D"/>
    <w:rsid w:val="00A9387A"/>
    <w:rsid w:val="00A93A8E"/>
    <w:rsid w:val="00A94442"/>
    <w:rsid w:val="00A944A8"/>
    <w:rsid w:val="00A946ED"/>
    <w:rsid w:val="00A94CDF"/>
    <w:rsid w:val="00A94FA2"/>
    <w:rsid w:val="00A95103"/>
    <w:rsid w:val="00A951C1"/>
    <w:rsid w:val="00A95C8C"/>
    <w:rsid w:val="00A95DD9"/>
    <w:rsid w:val="00A96F98"/>
    <w:rsid w:val="00A970B9"/>
    <w:rsid w:val="00A9732E"/>
    <w:rsid w:val="00A973D1"/>
    <w:rsid w:val="00A9782E"/>
    <w:rsid w:val="00AA001E"/>
    <w:rsid w:val="00AA0A1A"/>
    <w:rsid w:val="00AA0BF3"/>
    <w:rsid w:val="00AA0D13"/>
    <w:rsid w:val="00AA0E84"/>
    <w:rsid w:val="00AA162D"/>
    <w:rsid w:val="00AA2786"/>
    <w:rsid w:val="00AA289E"/>
    <w:rsid w:val="00AA2BBE"/>
    <w:rsid w:val="00AA2BDA"/>
    <w:rsid w:val="00AA2F56"/>
    <w:rsid w:val="00AA3279"/>
    <w:rsid w:val="00AA32F4"/>
    <w:rsid w:val="00AA3390"/>
    <w:rsid w:val="00AA3E0F"/>
    <w:rsid w:val="00AA4067"/>
    <w:rsid w:val="00AA4820"/>
    <w:rsid w:val="00AA4F40"/>
    <w:rsid w:val="00AA4F87"/>
    <w:rsid w:val="00AA59A9"/>
    <w:rsid w:val="00AA5C5A"/>
    <w:rsid w:val="00AA5CF5"/>
    <w:rsid w:val="00AA5D17"/>
    <w:rsid w:val="00AA5E47"/>
    <w:rsid w:val="00AA5FA0"/>
    <w:rsid w:val="00AA6362"/>
    <w:rsid w:val="00AA650E"/>
    <w:rsid w:val="00AA66F4"/>
    <w:rsid w:val="00AA6C92"/>
    <w:rsid w:val="00AA6CDF"/>
    <w:rsid w:val="00AA723E"/>
    <w:rsid w:val="00AA72B5"/>
    <w:rsid w:val="00AA7508"/>
    <w:rsid w:val="00AA75C9"/>
    <w:rsid w:val="00AB05BB"/>
    <w:rsid w:val="00AB07EF"/>
    <w:rsid w:val="00AB0E33"/>
    <w:rsid w:val="00AB0EFE"/>
    <w:rsid w:val="00AB12D9"/>
    <w:rsid w:val="00AB1387"/>
    <w:rsid w:val="00AB195F"/>
    <w:rsid w:val="00AB1A56"/>
    <w:rsid w:val="00AB1CFA"/>
    <w:rsid w:val="00AB241A"/>
    <w:rsid w:val="00AB249E"/>
    <w:rsid w:val="00AB25DE"/>
    <w:rsid w:val="00AB265B"/>
    <w:rsid w:val="00AB2A93"/>
    <w:rsid w:val="00AB2C4F"/>
    <w:rsid w:val="00AB2FF3"/>
    <w:rsid w:val="00AB3533"/>
    <w:rsid w:val="00AB3848"/>
    <w:rsid w:val="00AB408B"/>
    <w:rsid w:val="00AB487B"/>
    <w:rsid w:val="00AB4ABA"/>
    <w:rsid w:val="00AB5001"/>
    <w:rsid w:val="00AB5020"/>
    <w:rsid w:val="00AB5AEF"/>
    <w:rsid w:val="00AB5F64"/>
    <w:rsid w:val="00AB5F73"/>
    <w:rsid w:val="00AB606F"/>
    <w:rsid w:val="00AB61D4"/>
    <w:rsid w:val="00AB687F"/>
    <w:rsid w:val="00AB6968"/>
    <w:rsid w:val="00AB699B"/>
    <w:rsid w:val="00AB6EA8"/>
    <w:rsid w:val="00AB6EAA"/>
    <w:rsid w:val="00AB7245"/>
    <w:rsid w:val="00AB753D"/>
    <w:rsid w:val="00AB7A79"/>
    <w:rsid w:val="00AB7AF3"/>
    <w:rsid w:val="00AB7C45"/>
    <w:rsid w:val="00AB7C4C"/>
    <w:rsid w:val="00AB7D2B"/>
    <w:rsid w:val="00AB7D6E"/>
    <w:rsid w:val="00AC02CE"/>
    <w:rsid w:val="00AC042B"/>
    <w:rsid w:val="00AC07B4"/>
    <w:rsid w:val="00AC0978"/>
    <w:rsid w:val="00AC0A37"/>
    <w:rsid w:val="00AC0ECB"/>
    <w:rsid w:val="00AC113A"/>
    <w:rsid w:val="00AC1E64"/>
    <w:rsid w:val="00AC1FEB"/>
    <w:rsid w:val="00AC2919"/>
    <w:rsid w:val="00AC2A7D"/>
    <w:rsid w:val="00AC2DB2"/>
    <w:rsid w:val="00AC3373"/>
    <w:rsid w:val="00AC3398"/>
    <w:rsid w:val="00AC3473"/>
    <w:rsid w:val="00AC3B34"/>
    <w:rsid w:val="00AC3CC5"/>
    <w:rsid w:val="00AC4230"/>
    <w:rsid w:val="00AC4746"/>
    <w:rsid w:val="00AC4E0A"/>
    <w:rsid w:val="00AC4EE0"/>
    <w:rsid w:val="00AC50BE"/>
    <w:rsid w:val="00AC5350"/>
    <w:rsid w:val="00AC587B"/>
    <w:rsid w:val="00AC5AC9"/>
    <w:rsid w:val="00AC5CDA"/>
    <w:rsid w:val="00AC5CDD"/>
    <w:rsid w:val="00AC5FB9"/>
    <w:rsid w:val="00AC6001"/>
    <w:rsid w:val="00AC622C"/>
    <w:rsid w:val="00AC6796"/>
    <w:rsid w:val="00AC6874"/>
    <w:rsid w:val="00AC6CFA"/>
    <w:rsid w:val="00AC6F04"/>
    <w:rsid w:val="00AC7080"/>
    <w:rsid w:val="00AC7204"/>
    <w:rsid w:val="00AC78B7"/>
    <w:rsid w:val="00AC78C8"/>
    <w:rsid w:val="00AC7CB0"/>
    <w:rsid w:val="00AC7D10"/>
    <w:rsid w:val="00AD0785"/>
    <w:rsid w:val="00AD07F3"/>
    <w:rsid w:val="00AD187F"/>
    <w:rsid w:val="00AD1F2B"/>
    <w:rsid w:val="00AD1FB6"/>
    <w:rsid w:val="00AD20E2"/>
    <w:rsid w:val="00AD22B6"/>
    <w:rsid w:val="00AD2A1A"/>
    <w:rsid w:val="00AD2ADC"/>
    <w:rsid w:val="00AD2B54"/>
    <w:rsid w:val="00AD2BA9"/>
    <w:rsid w:val="00AD2BFC"/>
    <w:rsid w:val="00AD2E82"/>
    <w:rsid w:val="00AD2F09"/>
    <w:rsid w:val="00AD3328"/>
    <w:rsid w:val="00AD346E"/>
    <w:rsid w:val="00AD3A9F"/>
    <w:rsid w:val="00AD3D0D"/>
    <w:rsid w:val="00AD3D17"/>
    <w:rsid w:val="00AD3D8F"/>
    <w:rsid w:val="00AD4216"/>
    <w:rsid w:val="00AD4322"/>
    <w:rsid w:val="00AD46E9"/>
    <w:rsid w:val="00AD524D"/>
    <w:rsid w:val="00AD55FF"/>
    <w:rsid w:val="00AD58CC"/>
    <w:rsid w:val="00AD5BEF"/>
    <w:rsid w:val="00AD5C38"/>
    <w:rsid w:val="00AD5E96"/>
    <w:rsid w:val="00AD5EE1"/>
    <w:rsid w:val="00AD5EF8"/>
    <w:rsid w:val="00AD66E5"/>
    <w:rsid w:val="00AD69D9"/>
    <w:rsid w:val="00AD6E36"/>
    <w:rsid w:val="00AD7059"/>
    <w:rsid w:val="00AD739F"/>
    <w:rsid w:val="00AD73D1"/>
    <w:rsid w:val="00AD7632"/>
    <w:rsid w:val="00AE02F9"/>
    <w:rsid w:val="00AE06FB"/>
    <w:rsid w:val="00AE0FD4"/>
    <w:rsid w:val="00AE119C"/>
    <w:rsid w:val="00AE14CF"/>
    <w:rsid w:val="00AE1856"/>
    <w:rsid w:val="00AE1F5F"/>
    <w:rsid w:val="00AE1FF2"/>
    <w:rsid w:val="00AE2494"/>
    <w:rsid w:val="00AE2656"/>
    <w:rsid w:val="00AE2CB9"/>
    <w:rsid w:val="00AE2D37"/>
    <w:rsid w:val="00AE2D7B"/>
    <w:rsid w:val="00AE2E90"/>
    <w:rsid w:val="00AE2F35"/>
    <w:rsid w:val="00AE3077"/>
    <w:rsid w:val="00AE3C41"/>
    <w:rsid w:val="00AE3F0B"/>
    <w:rsid w:val="00AE402B"/>
    <w:rsid w:val="00AE46E5"/>
    <w:rsid w:val="00AE4DEF"/>
    <w:rsid w:val="00AE4F9B"/>
    <w:rsid w:val="00AE5A5D"/>
    <w:rsid w:val="00AE5BF5"/>
    <w:rsid w:val="00AE61BC"/>
    <w:rsid w:val="00AE623A"/>
    <w:rsid w:val="00AE655A"/>
    <w:rsid w:val="00AE715A"/>
    <w:rsid w:val="00AE7598"/>
    <w:rsid w:val="00AE7C67"/>
    <w:rsid w:val="00AE7F20"/>
    <w:rsid w:val="00AF008F"/>
    <w:rsid w:val="00AF08B5"/>
    <w:rsid w:val="00AF0AC1"/>
    <w:rsid w:val="00AF0C89"/>
    <w:rsid w:val="00AF1226"/>
    <w:rsid w:val="00AF1644"/>
    <w:rsid w:val="00AF16AA"/>
    <w:rsid w:val="00AF1EDB"/>
    <w:rsid w:val="00AF207D"/>
    <w:rsid w:val="00AF252E"/>
    <w:rsid w:val="00AF2AB0"/>
    <w:rsid w:val="00AF3C3D"/>
    <w:rsid w:val="00AF3DD9"/>
    <w:rsid w:val="00AF3F44"/>
    <w:rsid w:val="00AF3FAC"/>
    <w:rsid w:val="00AF41FA"/>
    <w:rsid w:val="00AF4B50"/>
    <w:rsid w:val="00AF4BB9"/>
    <w:rsid w:val="00AF4DC2"/>
    <w:rsid w:val="00AF4E66"/>
    <w:rsid w:val="00AF52B1"/>
    <w:rsid w:val="00AF545D"/>
    <w:rsid w:val="00AF5664"/>
    <w:rsid w:val="00AF5A1B"/>
    <w:rsid w:val="00AF5C32"/>
    <w:rsid w:val="00AF6150"/>
    <w:rsid w:val="00AF630E"/>
    <w:rsid w:val="00AF637A"/>
    <w:rsid w:val="00AF6C66"/>
    <w:rsid w:val="00AF6D8C"/>
    <w:rsid w:val="00AF6DD9"/>
    <w:rsid w:val="00AF71F0"/>
    <w:rsid w:val="00AF72C1"/>
    <w:rsid w:val="00AF72DD"/>
    <w:rsid w:val="00AF785B"/>
    <w:rsid w:val="00AF7920"/>
    <w:rsid w:val="00AF7A31"/>
    <w:rsid w:val="00AF7EB9"/>
    <w:rsid w:val="00B001A6"/>
    <w:rsid w:val="00B001CE"/>
    <w:rsid w:val="00B0035C"/>
    <w:rsid w:val="00B003FE"/>
    <w:rsid w:val="00B005E1"/>
    <w:rsid w:val="00B005EF"/>
    <w:rsid w:val="00B01686"/>
    <w:rsid w:val="00B016D9"/>
    <w:rsid w:val="00B01CBC"/>
    <w:rsid w:val="00B01F47"/>
    <w:rsid w:val="00B021F9"/>
    <w:rsid w:val="00B026D6"/>
    <w:rsid w:val="00B0295A"/>
    <w:rsid w:val="00B03703"/>
    <w:rsid w:val="00B0384D"/>
    <w:rsid w:val="00B04167"/>
    <w:rsid w:val="00B044F4"/>
    <w:rsid w:val="00B045D7"/>
    <w:rsid w:val="00B0467F"/>
    <w:rsid w:val="00B0588A"/>
    <w:rsid w:val="00B05C76"/>
    <w:rsid w:val="00B06032"/>
    <w:rsid w:val="00B068F0"/>
    <w:rsid w:val="00B07580"/>
    <w:rsid w:val="00B077A2"/>
    <w:rsid w:val="00B078EA"/>
    <w:rsid w:val="00B07E37"/>
    <w:rsid w:val="00B101A9"/>
    <w:rsid w:val="00B106F6"/>
    <w:rsid w:val="00B10F4E"/>
    <w:rsid w:val="00B10F71"/>
    <w:rsid w:val="00B11280"/>
    <w:rsid w:val="00B11457"/>
    <w:rsid w:val="00B11E5B"/>
    <w:rsid w:val="00B11FD6"/>
    <w:rsid w:val="00B1275B"/>
    <w:rsid w:val="00B135C6"/>
    <w:rsid w:val="00B138BC"/>
    <w:rsid w:val="00B13EE3"/>
    <w:rsid w:val="00B14666"/>
    <w:rsid w:val="00B146AF"/>
    <w:rsid w:val="00B14C64"/>
    <w:rsid w:val="00B1511A"/>
    <w:rsid w:val="00B159AD"/>
    <w:rsid w:val="00B15BE7"/>
    <w:rsid w:val="00B15C77"/>
    <w:rsid w:val="00B15CDB"/>
    <w:rsid w:val="00B15D08"/>
    <w:rsid w:val="00B15D0E"/>
    <w:rsid w:val="00B16364"/>
    <w:rsid w:val="00B166E3"/>
    <w:rsid w:val="00B16D76"/>
    <w:rsid w:val="00B16E7E"/>
    <w:rsid w:val="00B17247"/>
    <w:rsid w:val="00B178F4"/>
    <w:rsid w:val="00B20596"/>
    <w:rsid w:val="00B20655"/>
    <w:rsid w:val="00B207FF"/>
    <w:rsid w:val="00B20AC4"/>
    <w:rsid w:val="00B21B6E"/>
    <w:rsid w:val="00B221BC"/>
    <w:rsid w:val="00B22204"/>
    <w:rsid w:val="00B227EC"/>
    <w:rsid w:val="00B229EE"/>
    <w:rsid w:val="00B22E2F"/>
    <w:rsid w:val="00B23375"/>
    <w:rsid w:val="00B2373A"/>
    <w:rsid w:val="00B24127"/>
    <w:rsid w:val="00B242BF"/>
    <w:rsid w:val="00B24349"/>
    <w:rsid w:val="00B245D5"/>
    <w:rsid w:val="00B24658"/>
    <w:rsid w:val="00B2504D"/>
    <w:rsid w:val="00B2536D"/>
    <w:rsid w:val="00B256AF"/>
    <w:rsid w:val="00B25766"/>
    <w:rsid w:val="00B25FF9"/>
    <w:rsid w:val="00B2631A"/>
    <w:rsid w:val="00B26527"/>
    <w:rsid w:val="00B265B1"/>
    <w:rsid w:val="00B26D8F"/>
    <w:rsid w:val="00B27618"/>
    <w:rsid w:val="00B2767A"/>
    <w:rsid w:val="00B27E57"/>
    <w:rsid w:val="00B300F8"/>
    <w:rsid w:val="00B301A2"/>
    <w:rsid w:val="00B301B7"/>
    <w:rsid w:val="00B303F0"/>
    <w:rsid w:val="00B309C6"/>
    <w:rsid w:val="00B30A2E"/>
    <w:rsid w:val="00B30A47"/>
    <w:rsid w:val="00B31173"/>
    <w:rsid w:val="00B312A4"/>
    <w:rsid w:val="00B31577"/>
    <w:rsid w:val="00B320CE"/>
    <w:rsid w:val="00B32417"/>
    <w:rsid w:val="00B32D74"/>
    <w:rsid w:val="00B3348E"/>
    <w:rsid w:val="00B3364B"/>
    <w:rsid w:val="00B3376B"/>
    <w:rsid w:val="00B3387A"/>
    <w:rsid w:val="00B33D10"/>
    <w:rsid w:val="00B34449"/>
    <w:rsid w:val="00B3495F"/>
    <w:rsid w:val="00B34E1C"/>
    <w:rsid w:val="00B355EA"/>
    <w:rsid w:val="00B35695"/>
    <w:rsid w:val="00B35AFC"/>
    <w:rsid w:val="00B3675B"/>
    <w:rsid w:val="00B36D22"/>
    <w:rsid w:val="00B371C5"/>
    <w:rsid w:val="00B375EB"/>
    <w:rsid w:val="00B37858"/>
    <w:rsid w:val="00B37893"/>
    <w:rsid w:val="00B4018F"/>
    <w:rsid w:val="00B40231"/>
    <w:rsid w:val="00B40BAB"/>
    <w:rsid w:val="00B40C7A"/>
    <w:rsid w:val="00B40E3B"/>
    <w:rsid w:val="00B410F5"/>
    <w:rsid w:val="00B41228"/>
    <w:rsid w:val="00B41345"/>
    <w:rsid w:val="00B4169A"/>
    <w:rsid w:val="00B419E0"/>
    <w:rsid w:val="00B41E16"/>
    <w:rsid w:val="00B4266C"/>
    <w:rsid w:val="00B4266E"/>
    <w:rsid w:val="00B42A6D"/>
    <w:rsid w:val="00B42ABB"/>
    <w:rsid w:val="00B42CC3"/>
    <w:rsid w:val="00B42F5F"/>
    <w:rsid w:val="00B43389"/>
    <w:rsid w:val="00B4474F"/>
    <w:rsid w:val="00B45042"/>
    <w:rsid w:val="00B45348"/>
    <w:rsid w:val="00B453FA"/>
    <w:rsid w:val="00B45459"/>
    <w:rsid w:val="00B458B8"/>
    <w:rsid w:val="00B4652D"/>
    <w:rsid w:val="00B4687D"/>
    <w:rsid w:val="00B46A52"/>
    <w:rsid w:val="00B47243"/>
    <w:rsid w:val="00B4766C"/>
    <w:rsid w:val="00B47FC3"/>
    <w:rsid w:val="00B50049"/>
    <w:rsid w:val="00B5028B"/>
    <w:rsid w:val="00B505AA"/>
    <w:rsid w:val="00B508E9"/>
    <w:rsid w:val="00B50BD6"/>
    <w:rsid w:val="00B50C3F"/>
    <w:rsid w:val="00B50E19"/>
    <w:rsid w:val="00B50EFF"/>
    <w:rsid w:val="00B50F0B"/>
    <w:rsid w:val="00B511FE"/>
    <w:rsid w:val="00B513A5"/>
    <w:rsid w:val="00B517B0"/>
    <w:rsid w:val="00B524AB"/>
    <w:rsid w:val="00B52503"/>
    <w:rsid w:val="00B5257F"/>
    <w:rsid w:val="00B52B1B"/>
    <w:rsid w:val="00B52C35"/>
    <w:rsid w:val="00B52DCD"/>
    <w:rsid w:val="00B531F1"/>
    <w:rsid w:val="00B542D3"/>
    <w:rsid w:val="00B5464D"/>
    <w:rsid w:val="00B547FB"/>
    <w:rsid w:val="00B54889"/>
    <w:rsid w:val="00B548EC"/>
    <w:rsid w:val="00B54B57"/>
    <w:rsid w:val="00B555ED"/>
    <w:rsid w:val="00B55B97"/>
    <w:rsid w:val="00B55BCF"/>
    <w:rsid w:val="00B5627D"/>
    <w:rsid w:val="00B56985"/>
    <w:rsid w:val="00B56AD1"/>
    <w:rsid w:val="00B56C0B"/>
    <w:rsid w:val="00B56E5D"/>
    <w:rsid w:val="00B57082"/>
    <w:rsid w:val="00B5729D"/>
    <w:rsid w:val="00B5735F"/>
    <w:rsid w:val="00B57567"/>
    <w:rsid w:val="00B57994"/>
    <w:rsid w:val="00B57CC2"/>
    <w:rsid w:val="00B57E11"/>
    <w:rsid w:val="00B600AA"/>
    <w:rsid w:val="00B602CF"/>
    <w:rsid w:val="00B60907"/>
    <w:rsid w:val="00B60DE7"/>
    <w:rsid w:val="00B611E3"/>
    <w:rsid w:val="00B613DC"/>
    <w:rsid w:val="00B61727"/>
    <w:rsid w:val="00B6173F"/>
    <w:rsid w:val="00B61967"/>
    <w:rsid w:val="00B61F42"/>
    <w:rsid w:val="00B620CC"/>
    <w:rsid w:val="00B62B75"/>
    <w:rsid w:val="00B63031"/>
    <w:rsid w:val="00B634C4"/>
    <w:rsid w:val="00B63508"/>
    <w:rsid w:val="00B6361A"/>
    <w:rsid w:val="00B639B0"/>
    <w:rsid w:val="00B63D9A"/>
    <w:rsid w:val="00B63DC9"/>
    <w:rsid w:val="00B63E1F"/>
    <w:rsid w:val="00B640C0"/>
    <w:rsid w:val="00B649BA"/>
    <w:rsid w:val="00B64C58"/>
    <w:rsid w:val="00B6552E"/>
    <w:rsid w:val="00B65AFB"/>
    <w:rsid w:val="00B65C7B"/>
    <w:rsid w:val="00B65F8A"/>
    <w:rsid w:val="00B66197"/>
    <w:rsid w:val="00B6681C"/>
    <w:rsid w:val="00B66BAE"/>
    <w:rsid w:val="00B66CCF"/>
    <w:rsid w:val="00B673F4"/>
    <w:rsid w:val="00B67590"/>
    <w:rsid w:val="00B6787A"/>
    <w:rsid w:val="00B6787F"/>
    <w:rsid w:val="00B67B29"/>
    <w:rsid w:val="00B67BBC"/>
    <w:rsid w:val="00B70517"/>
    <w:rsid w:val="00B709AC"/>
    <w:rsid w:val="00B7116C"/>
    <w:rsid w:val="00B71350"/>
    <w:rsid w:val="00B7177C"/>
    <w:rsid w:val="00B7181E"/>
    <w:rsid w:val="00B718A8"/>
    <w:rsid w:val="00B718C0"/>
    <w:rsid w:val="00B72306"/>
    <w:rsid w:val="00B72736"/>
    <w:rsid w:val="00B72809"/>
    <w:rsid w:val="00B72A2A"/>
    <w:rsid w:val="00B72D9A"/>
    <w:rsid w:val="00B7347F"/>
    <w:rsid w:val="00B735FE"/>
    <w:rsid w:val="00B73991"/>
    <w:rsid w:val="00B741FB"/>
    <w:rsid w:val="00B7427F"/>
    <w:rsid w:val="00B747E5"/>
    <w:rsid w:val="00B74C06"/>
    <w:rsid w:val="00B74F9D"/>
    <w:rsid w:val="00B751FF"/>
    <w:rsid w:val="00B75240"/>
    <w:rsid w:val="00B75586"/>
    <w:rsid w:val="00B75BB3"/>
    <w:rsid w:val="00B76192"/>
    <w:rsid w:val="00B76243"/>
    <w:rsid w:val="00B768C5"/>
    <w:rsid w:val="00B771A8"/>
    <w:rsid w:val="00B7727C"/>
    <w:rsid w:val="00B77A10"/>
    <w:rsid w:val="00B80234"/>
    <w:rsid w:val="00B8036C"/>
    <w:rsid w:val="00B8045B"/>
    <w:rsid w:val="00B809EB"/>
    <w:rsid w:val="00B80B3F"/>
    <w:rsid w:val="00B80D03"/>
    <w:rsid w:val="00B8177E"/>
    <w:rsid w:val="00B8183F"/>
    <w:rsid w:val="00B81A42"/>
    <w:rsid w:val="00B81FD1"/>
    <w:rsid w:val="00B836CB"/>
    <w:rsid w:val="00B838BB"/>
    <w:rsid w:val="00B838C3"/>
    <w:rsid w:val="00B83A2B"/>
    <w:rsid w:val="00B83E02"/>
    <w:rsid w:val="00B8408B"/>
    <w:rsid w:val="00B84110"/>
    <w:rsid w:val="00B844F4"/>
    <w:rsid w:val="00B84B38"/>
    <w:rsid w:val="00B852C1"/>
    <w:rsid w:val="00B858D5"/>
    <w:rsid w:val="00B85D82"/>
    <w:rsid w:val="00B86079"/>
    <w:rsid w:val="00B860DB"/>
    <w:rsid w:val="00B8622A"/>
    <w:rsid w:val="00B86396"/>
    <w:rsid w:val="00B866CA"/>
    <w:rsid w:val="00B86D19"/>
    <w:rsid w:val="00B874E5"/>
    <w:rsid w:val="00B878E1"/>
    <w:rsid w:val="00B87A05"/>
    <w:rsid w:val="00B87C6A"/>
    <w:rsid w:val="00B9003F"/>
    <w:rsid w:val="00B903FE"/>
    <w:rsid w:val="00B90682"/>
    <w:rsid w:val="00B9082B"/>
    <w:rsid w:val="00B909F8"/>
    <w:rsid w:val="00B90ADE"/>
    <w:rsid w:val="00B90BFA"/>
    <w:rsid w:val="00B90C24"/>
    <w:rsid w:val="00B90DAD"/>
    <w:rsid w:val="00B90FCA"/>
    <w:rsid w:val="00B9138C"/>
    <w:rsid w:val="00B91560"/>
    <w:rsid w:val="00B9185F"/>
    <w:rsid w:val="00B918B1"/>
    <w:rsid w:val="00B91BD9"/>
    <w:rsid w:val="00B91E89"/>
    <w:rsid w:val="00B92337"/>
    <w:rsid w:val="00B92555"/>
    <w:rsid w:val="00B92D56"/>
    <w:rsid w:val="00B93091"/>
    <w:rsid w:val="00B934B4"/>
    <w:rsid w:val="00B93B3E"/>
    <w:rsid w:val="00B93BDD"/>
    <w:rsid w:val="00B93DAD"/>
    <w:rsid w:val="00B9411D"/>
    <w:rsid w:val="00B94551"/>
    <w:rsid w:val="00B94598"/>
    <w:rsid w:val="00B94A39"/>
    <w:rsid w:val="00B94C20"/>
    <w:rsid w:val="00B950E5"/>
    <w:rsid w:val="00B951A5"/>
    <w:rsid w:val="00B951C0"/>
    <w:rsid w:val="00B95A7D"/>
    <w:rsid w:val="00B95D1D"/>
    <w:rsid w:val="00B96A3D"/>
    <w:rsid w:val="00B9742E"/>
    <w:rsid w:val="00B97B6B"/>
    <w:rsid w:val="00BA028B"/>
    <w:rsid w:val="00BA089F"/>
    <w:rsid w:val="00BA0A23"/>
    <w:rsid w:val="00BA0B18"/>
    <w:rsid w:val="00BA13B4"/>
    <w:rsid w:val="00BA13F7"/>
    <w:rsid w:val="00BA188B"/>
    <w:rsid w:val="00BA18BB"/>
    <w:rsid w:val="00BA22AB"/>
    <w:rsid w:val="00BA2B95"/>
    <w:rsid w:val="00BA2D00"/>
    <w:rsid w:val="00BA335F"/>
    <w:rsid w:val="00BA33F3"/>
    <w:rsid w:val="00BA409F"/>
    <w:rsid w:val="00BA416E"/>
    <w:rsid w:val="00BA41AE"/>
    <w:rsid w:val="00BA4246"/>
    <w:rsid w:val="00BA4530"/>
    <w:rsid w:val="00BA4DE7"/>
    <w:rsid w:val="00BA4EA6"/>
    <w:rsid w:val="00BA4EE3"/>
    <w:rsid w:val="00BA55BD"/>
    <w:rsid w:val="00BA5622"/>
    <w:rsid w:val="00BA5DFA"/>
    <w:rsid w:val="00BA657A"/>
    <w:rsid w:val="00BA6AA5"/>
    <w:rsid w:val="00BA6B8E"/>
    <w:rsid w:val="00BA71C4"/>
    <w:rsid w:val="00BA7AF9"/>
    <w:rsid w:val="00BA7BD2"/>
    <w:rsid w:val="00BA7C42"/>
    <w:rsid w:val="00BB0350"/>
    <w:rsid w:val="00BB068B"/>
    <w:rsid w:val="00BB0832"/>
    <w:rsid w:val="00BB0F82"/>
    <w:rsid w:val="00BB1023"/>
    <w:rsid w:val="00BB1257"/>
    <w:rsid w:val="00BB14EE"/>
    <w:rsid w:val="00BB195F"/>
    <w:rsid w:val="00BB1A91"/>
    <w:rsid w:val="00BB223A"/>
    <w:rsid w:val="00BB239C"/>
    <w:rsid w:val="00BB25C7"/>
    <w:rsid w:val="00BB276B"/>
    <w:rsid w:val="00BB2C46"/>
    <w:rsid w:val="00BB2D1F"/>
    <w:rsid w:val="00BB2F6B"/>
    <w:rsid w:val="00BB33DD"/>
    <w:rsid w:val="00BB354F"/>
    <w:rsid w:val="00BB36A8"/>
    <w:rsid w:val="00BB4228"/>
    <w:rsid w:val="00BB46EA"/>
    <w:rsid w:val="00BB4825"/>
    <w:rsid w:val="00BB48C7"/>
    <w:rsid w:val="00BB5B0A"/>
    <w:rsid w:val="00BB60F2"/>
    <w:rsid w:val="00BB6FD5"/>
    <w:rsid w:val="00BB700A"/>
    <w:rsid w:val="00BB7098"/>
    <w:rsid w:val="00BB7187"/>
    <w:rsid w:val="00BB7601"/>
    <w:rsid w:val="00BB7722"/>
    <w:rsid w:val="00BB7DB2"/>
    <w:rsid w:val="00BC0624"/>
    <w:rsid w:val="00BC0BCB"/>
    <w:rsid w:val="00BC108B"/>
    <w:rsid w:val="00BC12B6"/>
    <w:rsid w:val="00BC133E"/>
    <w:rsid w:val="00BC1465"/>
    <w:rsid w:val="00BC14B8"/>
    <w:rsid w:val="00BC1A02"/>
    <w:rsid w:val="00BC1BF9"/>
    <w:rsid w:val="00BC1C06"/>
    <w:rsid w:val="00BC1EC0"/>
    <w:rsid w:val="00BC2290"/>
    <w:rsid w:val="00BC2399"/>
    <w:rsid w:val="00BC2DCC"/>
    <w:rsid w:val="00BC2DF0"/>
    <w:rsid w:val="00BC2E31"/>
    <w:rsid w:val="00BC321A"/>
    <w:rsid w:val="00BC34DA"/>
    <w:rsid w:val="00BC360B"/>
    <w:rsid w:val="00BC3A83"/>
    <w:rsid w:val="00BC3AB1"/>
    <w:rsid w:val="00BC3BAC"/>
    <w:rsid w:val="00BC3C7F"/>
    <w:rsid w:val="00BC3F05"/>
    <w:rsid w:val="00BC4055"/>
    <w:rsid w:val="00BC41EA"/>
    <w:rsid w:val="00BC45CB"/>
    <w:rsid w:val="00BC4D98"/>
    <w:rsid w:val="00BC4FAE"/>
    <w:rsid w:val="00BC5128"/>
    <w:rsid w:val="00BC5C7E"/>
    <w:rsid w:val="00BC60E6"/>
    <w:rsid w:val="00BC65D1"/>
    <w:rsid w:val="00BC6DA3"/>
    <w:rsid w:val="00BC6DB6"/>
    <w:rsid w:val="00BC6E5B"/>
    <w:rsid w:val="00BC75B1"/>
    <w:rsid w:val="00BC7BC0"/>
    <w:rsid w:val="00BD06AD"/>
    <w:rsid w:val="00BD0B6C"/>
    <w:rsid w:val="00BD0CA0"/>
    <w:rsid w:val="00BD0CCD"/>
    <w:rsid w:val="00BD0E53"/>
    <w:rsid w:val="00BD0ED6"/>
    <w:rsid w:val="00BD1A7C"/>
    <w:rsid w:val="00BD1AD4"/>
    <w:rsid w:val="00BD1C54"/>
    <w:rsid w:val="00BD1E93"/>
    <w:rsid w:val="00BD1F0A"/>
    <w:rsid w:val="00BD1F85"/>
    <w:rsid w:val="00BD2556"/>
    <w:rsid w:val="00BD27A4"/>
    <w:rsid w:val="00BD329E"/>
    <w:rsid w:val="00BD33C6"/>
    <w:rsid w:val="00BD3FDF"/>
    <w:rsid w:val="00BD4D28"/>
    <w:rsid w:val="00BD5320"/>
    <w:rsid w:val="00BD57BE"/>
    <w:rsid w:val="00BD5A24"/>
    <w:rsid w:val="00BD6587"/>
    <w:rsid w:val="00BD6656"/>
    <w:rsid w:val="00BD6D7E"/>
    <w:rsid w:val="00BD6FD3"/>
    <w:rsid w:val="00BD720D"/>
    <w:rsid w:val="00BD7349"/>
    <w:rsid w:val="00BD7474"/>
    <w:rsid w:val="00BE0162"/>
    <w:rsid w:val="00BE019A"/>
    <w:rsid w:val="00BE076E"/>
    <w:rsid w:val="00BE0862"/>
    <w:rsid w:val="00BE0929"/>
    <w:rsid w:val="00BE1666"/>
    <w:rsid w:val="00BE1981"/>
    <w:rsid w:val="00BE1985"/>
    <w:rsid w:val="00BE2672"/>
    <w:rsid w:val="00BE26D8"/>
    <w:rsid w:val="00BE2BF0"/>
    <w:rsid w:val="00BE2DFC"/>
    <w:rsid w:val="00BE33C9"/>
    <w:rsid w:val="00BE33F2"/>
    <w:rsid w:val="00BE33FF"/>
    <w:rsid w:val="00BE3567"/>
    <w:rsid w:val="00BE35B0"/>
    <w:rsid w:val="00BE37E1"/>
    <w:rsid w:val="00BE394D"/>
    <w:rsid w:val="00BE40AB"/>
    <w:rsid w:val="00BE427C"/>
    <w:rsid w:val="00BE4368"/>
    <w:rsid w:val="00BE448A"/>
    <w:rsid w:val="00BE4491"/>
    <w:rsid w:val="00BE488E"/>
    <w:rsid w:val="00BE4E48"/>
    <w:rsid w:val="00BE50C7"/>
    <w:rsid w:val="00BE5159"/>
    <w:rsid w:val="00BE5BA1"/>
    <w:rsid w:val="00BE5D29"/>
    <w:rsid w:val="00BE607E"/>
    <w:rsid w:val="00BE6AB2"/>
    <w:rsid w:val="00BE6B92"/>
    <w:rsid w:val="00BE6BBF"/>
    <w:rsid w:val="00BE6DA5"/>
    <w:rsid w:val="00BE7342"/>
    <w:rsid w:val="00BE76A0"/>
    <w:rsid w:val="00BE7E3A"/>
    <w:rsid w:val="00BF063C"/>
    <w:rsid w:val="00BF0674"/>
    <w:rsid w:val="00BF088E"/>
    <w:rsid w:val="00BF0D7D"/>
    <w:rsid w:val="00BF0DB4"/>
    <w:rsid w:val="00BF0F26"/>
    <w:rsid w:val="00BF17FD"/>
    <w:rsid w:val="00BF22B4"/>
    <w:rsid w:val="00BF22D7"/>
    <w:rsid w:val="00BF274A"/>
    <w:rsid w:val="00BF27F1"/>
    <w:rsid w:val="00BF2A7A"/>
    <w:rsid w:val="00BF335C"/>
    <w:rsid w:val="00BF3494"/>
    <w:rsid w:val="00BF364B"/>
    <w:rsid w:val="00BF3876"/>
    <w:rsid w:val="00BF3A52"/>
    <w:rsid w:val="00BF3B47"/>
    <w:rsid w:val="00BF4172"/>
    <w:rsid w:val="00BF4490"/>
    <w:rsid w:val="00BF48C1"/>
    <w:rsid w:val="00BF499E"/>
    <w:rsid w:val="00BF4F93"/>
    <w:rsid w:val="00BF52EC"/>
    <w:rsid w:val="00BF54D4"/>
    <w:rsid w:val="00BF57E1"/>
    <w:rsid w:val="00BF57F8"/>
    <w:rsid w:val="00BF5821"/>
    <w:rsid w:val="00BF5828"/>
    <w:rsid w:val="00BF5E8D"/>
    <w:rsid w:val="00BF60E1"/>
    <w:rsid w:val="00BF6536"/>
    <w:rsid w:val="00BF6731"/>
    <w:rsid w:val="00BF67C2"/>
    <w:rsid w:val="00BF6C75"/>
    <w:rsid w:val="00BF6F13"/>
    <w:rsid w:val="00BF79EA"/>
    <w:rsid w:val="00C00570"/>
    <w:rsid w:val="00C00730"/>
    <w:rsid w:val="00C00764"/>
    <w:rsid w:val="00C009F7"/>
    <w:rsid w:val="00C00ACC"/>
    <w:rsid w:val="00C00AE5"/>
    <w:rsid w:val="00C0123D"/>
    <w:rsid w:val="00C01D22"/>
    <w:rsid w:val="00C02DFA"/>
    <w:rsid w:val="00C031D9"/>
    <w:rsid w:val="00C03981"/>
    <w:rsid w:val="00C03E83"/>
    <w:rsid w:val="00C04218"/>
    <w:rsid w:val="00C045CE"/>
    <w:rsid w:val="00C04BE6"/>
    <w:rsid w:val="00C04F43"/>
    <w:rsid w:val="00C05103"/>
    <w:rsid w:val="00C05B1C"/>
    <w:rsid w:val="00C05CB6"/>
    <w:rsid w:val="00C067A6"/>
    <w:rsid w:val="00C069BA"/>
    <w:rsid w:val="00C06CF7"/>
    <w:rsid w:val="00C0704F"/>
    <w:rsid w:val="00C07844"/>
    <w:rsid w:val="00C07AD3"/>
    <w:rsid w:val="00C1000B"/>
    <w:rsid w:val="00C100E8"/>
    <w:rsid w:val="00C107E9"/>
    <w:rsid w:val="00C10B1A"/>
    <w:rsid w:val="00C10BBC"/>
    <w:rsid w:val="00C1163E"/>
    <w:rsid w:val="00C1249B"/>
    <w:rsid w:val="00C127B8"/>
    <w:rsid w:val="00C12AE7"/>
    <w:rsid w:val="00C12DBD"/>
    <w:rsid w:val="00C13267"/>
    <w:rsid w:val="00C1369E"/>
    <w:rsid w:val="00C13ED1"/>
    <w:rsid w:val="00C14024"/>
    <w:rsid w:val="00C1408E"/>
    <w:rsid w:val="00C1466F"/>
    <w:rsid w:val="00C147A6"/>
    <w:rsid w:val="00C147FD"/>
    <w:rsid w:val="00C14801"/>
    <w:rsid w:val="00C14D24"/>
    <w:rsid w:val="00C14D6F"/>
    <w:rsid w:val="00C15225"/>
    <w:rsid w:val="00C152B8"/>
    <w:rsid w:val="00C15BA3"/>
    <w:rsid w:val="00C15FAA"/>
    <w:rsid w:val="00C16120"/>
    <w:rsid w:val="00C16239"/>
    <w:rsid w:val="00C165A0"/>
    <w:rsid w:val="00C168A3"/>
    <w:rsid w:val="00C16966"/>
    <w:rsid w:val="00C16C30"/>
    <w:rsid w:val="00C16CE1"/>
    <w:rsid w:val="00C16E10"/>
    <w:rsid w:val="00C16E1D"/>
    <w:rsid w:val="00C16E1E"/>
    <w:rsid w:val="00C17403"/>
    <w:rsid w:val="00C17429"/>
    <w:rsid w:val="00C17469"/>
    <w:rsid w:val="00C17678"/>
    <w:rsid w:val="00C176CE"/>
    <w:rsid w:val="00C1773A"/>
    <w:rsid w:val="00C17B90"/>
    <w:rsid w:val="00C17D5C"/>
    <w:rsid w:val="00C17FEE"/>
    <w:rsid w:val="00C205C4"/>
    <w:rsid w:val="00C20D58"/>
    <w:rsid w:val="00C20E6A"/>
    <w:rsid w:val="00C213E5"/>
    <w:rsid w:val="00C21BF9"/>
    <w:rsid w:val="00C21D3B"/>
    <w:rsid w:val="00C21F0C"/>
    <w:rsid w:val="00C222F9"/>
    <w:rsid w:val="00C22475"/>
    <w:rsid w:val="00C22504"/>
    <w:rsid w:val="00C22B79"/>
    <w:rsid w:val="00C22D92"/>
    <w:rsid w:val="00C23CF7"/>
    <w:rsid w:val="00C24647"/>
    <w:rsid w:val="00C2531E"/>
    <w:rsid w:val="00C253D5"/>
    <w:rsid w:val="00C25625"/>
    <w:rsid w:val="00C26325"/>
    <w:rsid w:val="00C26422"/>
    <w:rsid w:val="00C264FB"/>
    <w:rsid w:val="00C26763"/>
    <w:rsid w:val="00C26C7C"/>
    <w:rsid w:val="00C27909"/>
    <w:rsid w:val="00C30214"/>
    <w:rsid w:val="00C304AC"/>
    <w:rsid w:val="00C30897"/>
    <w:rsid w:val="00C308D8"/>
    <w:rsid w:val="00C30DF6"/>
    <w:rsid w:val="00C31414"/>
    <w:rsid w:val="00C31426"/>
    <w:rsid w:val="00C31444"/>
    <w:rsid w:val="00C3192E"/>
    <w:rsid w:val="00C31DCD"/>
    <w:rsid w:val="00C31F94"/>
    <w:rsid w:val="00C32484"/>
    <w:rsid w:val="00C3262E"/>
    <w:rsid w:val="00C3269F"/>
    <w:rsid w:val="00C32BAA"/>
    <w:rsid w:val="00C3344E"/>
    <w:rsid w:val="00C334D7"/>
    <w:rsid w:val="00C33AB1"/>
    <w:rsid w:val="00C33C89"/>
    <w:rsid w:val="00C33ED1"/>
    <w:rsid w:val="00C33F43"/>
    <w:rsid w:val="00C34ADF"/>
    <w:rsid w:val="00C34D03"/>
    <w:rsid w:val="00C34D48"/>
    <w:rsid w:val="00C34D8E"/>
    <w:rsid w:val="00C35BDA"/>
    <w:rsid w:val="00C35F06"/>
    <w:rsid w:val="00C36479"/>
    <w:rsid w:val="00C36623"/>
    <w:rsid w:val="00C36AF2"/>
    <w:rsid w:val="00C37406"/>
    <w:rsid w:val="00C376EC"/>
    <w:rsid w:val="00C4047F"/>
    <w:rsid w:val="00C40964"/>
    <w:rsid w:val="00C4098A"/>
    <w:rsid w:val="00C40CFF"/>
    <w:rsid w:val="00C41BB4"/>
    <w:rsid w:val="00C41F4A"/>
    <w:rsid w:val="00C43670"/>
    <w:rsid w:val="00C43EEE"/>
    <w:rsid w:val="00C4422F"/>
    <w:rsid w:val="00C44331"/>
    <w:rsid w:val="00C443FC"/>
    <w:rsid w:val="00C445D5"/>
    <w:rsid w:val="00C44C40"/>
    <w:rsid w:val="00C45009"/>
    <w:rsid w:val="00C45358"/>
    <w:rsid w:val="00C45496"/>
    <w:rsid w:val="00C45513"/>
    <w:rsid w:val="00C458DB"/>
    <w:rsid w:val="00C45B01"/>
    <w:rsid w:val="00C465FC"/>
    <w:rsid w:val="00C4677C"/>
    <w:rsid w:val="00C4681F"/>
    <w:rsid w:val="00C47478"/>
    <w:rsid w:val="00C47680"/>
    <w:rsid w:val="00C47884"/>
    <w:rsid w:val="00C47B3E"/>
    <w:rsid w:val="00C500BF"/>
    <w:rsid w:val="00C50B9A"/>
    <w:rsid w:val="00C50F6E"/>
    <w:rsid w:val="00C51391"/>
    <w:rsid w:val="00C517D6"/>
    <w:rsid w:val="00C51915"/>
    <w:rsid w:val="00C51FE6"/>
    <w:rsid w:val="00C522BB"/>
    <w:rsid w:val="00C527D2"/>
    <w:rsid w:val="00C527F3"/>
    <w:rsid w:val="00C52AEA"/>
    <w:rsid w:val="00C52FA8"/>
    <w:rsid w:val="00C53A11"/>
    <w:rsid w:val="00C540BD"/>
    <w:rsid w:val="00C546F8"/>
    <w:rsid w:val="00C548E5"/>
    <w:rsid w:val="00C549A4"/>
    <w:rsid w:val="00C5508E"/>
    <w:rsid w:val="00C55370"/>
    <w:rsid w:val="00C56426"/>
    <w:rsid w:val="00C56592"/>
    <w:rsid w:val="00C56CDC"/>
    <w:rsid w:val="00C56DC5"/>
    <w:rsid w:val="00C56F97"/>
    <w:rsid w:val="00C5729F"/>
    <w:rsid w:val="00C5742F"/>
    <w:rsid w:val="00C574D1"/>
    <w:rsid w:val="00C57646"/>
    <w:rsid w:val="00C577BF"/>
    <w:rsid w:val="00C5790B"/>
    <w:rsid w:val="00C609DF"/>
    <w:rsid w:val="00C60AA4"/>
    <w:rsid w:val="00C60D08"/>
    <w:rsid w:val="00C6107C"/>
    <w:rsid w:val="00C6111C"/>
    <w:rsid w:val="00C62718"/>
    <w:rsid w:val="00C62B1C"/>
    <w:rsid w:val="00C62BD2"/>
    <w:rsid w:val="00C63010"/>
    <w:rsid w:val="00C63EB8"/>
    <w:rsid w:val="00C64A55"/>
    <w:rsid w:val="00C64ACD"/>
    <w:rsid w:val="00C654C2"/>
    <w:rsid w:val="00C65A7D"/>
    <w:rsid w:val="00C65B51"/>
    <w:rsid w:val="00C65E9D"/>
    <w:rsid w:val="00C66B26"/>
    <w:rsid w:val="00C66D35"/>
    <w:rsid w:val="00C670D2"/>
    <w:rsid w:val="00C6711F"/>
    <w:rsid w:val="00C6715C"/>
    <w:rsid w:val="00C67318"/>
    <w:rsid w:val="00C674D7"/>
    <w:rsid w:val="00C67E81"/>
    <w:rsid w:val="00C67EB5"/>
    <w:rsid w:val="00C70497"/>
    <w:rsid w:val="00C704AB"/>
    <w:rsid w:val="00C704B1"/>
    <w:rsid w:val="00C704B8"/>
    <w:rsid w:val="00C705CB"/>
    <w:rsid w:val="00C70C72"/>
    <w:rsid w:val="00C7149A"/>
    <w:rsid w:val="00C714F5"/>
    <w:rsid w:val="00C71EAB"/>
    <w:rsid w:val="00C71F36"/>
    <w:rsid w:val="00C720A6"/>
    <w:rsid w:val="00C721E4"/>
    <w:rsid w:val="00C7253E"/>
    <w:rsid w:val="00C72CFB"/>
    <w:rsid w:val="00C72D10"/>
    <w:rsid w:val="00C733A7"/>
    <w:rsid w:val="00C7397A"/>
    <w:rsid w:val="00C73B18"/>
    <w:rsid w:val="00C74605"/>
    <w:rsid w:val="00C74C82"/>
    <w:rsid w:val="00C74E95"/>
    <w:rsid w:val="00C74FDD"/>
    <w:rsid w:val="00C751A0"/>
    <w:rsid w:val="00C758E9"/>
    <w:rsid w:val="00C75E4E"/>
    <w:rsid w:val="00C75F8E"/>
    <w:rsid w:val="00C760D9"/>
    <w:rsid w:val="00C76D25"/>
    <w:rsid w:val="00C76F8A"/>
    <w:rsid w:val="00C77C5C"/>
    <w:rsid w:val="00C77D45"/>
    <w:rsid w:val="00C80109"/>
    <w:rsid w:val="00C803CE"/>
    <w:rsid w:val="00C807BC"/>
    <w:rsid w:val="00C808F0"/>
    <w:rsid w:val="00C80FF3"/>
    <w:rsid w:val="00C81016"/>
    <w:rsid w:val="00C81097"/>
    <w:rsid w:val="00C81704"/>
    <w:rsid w:val="00C81B47"/>
    <w:rsid w:val="00C81BEB"/>
    <w:rsid w:val="00C81E54"/>
    <w:rsid w:val="00C81F32"/>
    <w:rsid w:val="00C82383"/>
    <w:rsid w:val="00C823CD"/>
    <w:rsid w:val="00C824BD"/>
    <w:rsid w:val="00C8276D"/>
    <w:rsid w:val="00C829B2"/>
    <w:rsid w:val="00C83394"/>
    <w:rsid w:val="00C83659"/>
    <w:rsid w:val="00C83834"/>
    <w:rsid w:val="00C8399C"/>
    <w:rsid w:val="00C839C3"/>
    <w:rsid w:val="00C839E8"/>
    <w:rsid w:val="00C83F7A"/>
    <w:rsid w:val="00C848D1"/>
    <w:rsid w:val="00C84C49"/>
    <w:rsid w:val="00C85217"/>
    <w:rsid w:val="00C857F2"/>
    <w:rsid w:val="00C85B39"/>
    <w:rsid w:val="00C86838"/>
    <w:rsid w:val="00C869F3"/>
    <w:rsid w:val="00C86D8F"/>
    <w:rsid w:val="00C86F0C"/>
    <w:rsid w:val="00C871F3"/>
    <w:rsid w:val="00C87880"/>
    <w:rsid w:val="00C879C2"/>
    <w:rsid w:val="00C87BDA"/>
    <w:rsid w:val="00C90259"/>
    <w:rsid w:val="00C90744"/>
    <w:rsid w:val="00C90950"/>
    <w:rsid w:val="00C90C1A"/>
    <w:rsid w:val="00C90DE2"/>
    <w:rsid w:val="00C90F71"/>
    <w:rsid w:val="00C918DF"/>
    <w:rsid w:val="00C91A11"/>
    <w:rsid w:val="00C9272C"/>
    <w:rsid w:val="00C92BB9"/>
    <w:rsid w:val="00C92DA6"/>
    <w:rsid w:val="00C93409"/>
    <w:rsid w:val="00C937A3"/>
    <w:rsid w:val="00C93939"/>
    <w:rsid w:val="00C93C0C"/>
    <w:rsid w:val="00C94035"/>
    <w:rsid w:val="00C94094"/>
    <w:rsid w:val="00C94DA1"/>
    <w:rsid w:val="00C955A7"/>
    <w:rsid w:val="00C95703"/>
    <w:rsid w:val="00C95721"/>
    <w:rsid w:val="00C95CCB"/>
    <w:rsid w:val="00C96027"/>
    <w:rsid w:val="00C96079"/>
    <w:rsid w:val="00C9660C"/>
    <w:rsid w:val="00C9665F"/>
    <w:rsid w:val="00C9677A"/>
    <w:rsid w:val="00C96BC5"/>
    <w:rsid w:val="00C96C8D"/>
    <w:rsid w:val="00C96EBE"/>
    <w:rsid w:val="00C9764B"/>
    <w:rsid w:val="00C97BC9"/>
    <w:rsid w:val="00C97FC8"/>
    <w:rsid w:val="00CA0724"/>
    <w:rsid w:val="00CA0991"/>
    <w:rsid w:val="00CA0A71"/>
    <w:rsid w:val="00CA1112"/>
    <w:rsid w:val="00CA1385"/>
    <w:rsid w:val="00CA17A2"/>
    <w:rsid w:val="00CA1972"/>
    <w:rsid w:val="00CA1C47"/>
    <w:rsid w:val="00CA1C76"/>
    <w:rsid w:val="00CA2151"/>
    <w:rsid w:val="00CA22B3"/>
    <w:rsid w:val="00CA231A"/>
    <w:rsid w:val="00CA2551"/>
    <w:rsid w:val="00CA2808"/>
    <w:rsid w:val="00CA2EDD"/>
    <w:rsid w:val="00CA3253"/>
    <w:rsid w:val="00CA35DF"/>
    <w:rsid w:val="00CA35E0"/>
    <w:rsid w:val="00CA3612"/>
    <w:rsid w:val="00CA372D"/>
    <w:rsid w:val="00CA3A80"/>
    <w:rsid w:val="00CA3FCC"/>
    <w:rsid w:val="00CA4122"/>
    <w:rsid w:val="00CA4B56"/>
    <w:rsid w:val="00CA4C2D"/>
    <w:rsid w:val="00CA52DF"/>
    <w:rsid w:val="00CA572A"/>
    <w:rsid w:val="00CA574C"/>
    <w:rsid w:val="00CA5CB0"/>
    <w:rsid w:val="00CA621C"/>
    <w:rsid w:val="00CA630A"/>
    <w:rsid w:val="00CA63A8"/>
    <w:rsid w:val="00CA6536"/>
    <w:rsid w:val="00CA65F0"/>
    <w:rsid w:val="00CA65FC"/>
    <w:rsid w:val="00CA6891"/>
    <w:rsid w:val="00CA6917"/>
    <w:rsid w:val="00CA6B73"/>
    <w:rsid w:val="00CA6BAF"/>
    <w:rsid w:val="00CA6D1F"/>
    <w:rsid w:val="00CA6F1E"/>
    <w:rsid w:val="00CA74C7"/>
    <w:rsid w:val="00CA7F27"/>
    <w:rsid w:val="00CB0587"/>
    <w:rsid w:val="00CB0B66"/>
    <w:rsid w:val="00CB0DF1"/>
    <w:rsid w:val="00CB0FB7"/>
    <w:rsid w:val="00CB12CF"/>
    <w:rsid w:val="00CB1B79"/>
    <w:rsid w:val="00CB1C25"/>
    <w:rsid w:val="00CB2107"/>
    <w:rsid w:val="00CB2689"/>
    <w:rsid w:val="00CB2C5F"/>
    <w:rsid w:val="00CB3261"/>
    <w:rsid w:val="00CB33F6"/>
    <w:rsid w:val="00CB4499"/>
    <w:rsid w:val="00CB48F5"/>
    <w:rsid w:val="00CB5772"/>
    <w:rsid w:val="00CB5C92"/>
    <w:rsid w:val="00CB5FBA"/>
    <w:rsid w:val="00CB6257"/>
    <w:rsid w:val="00CB6336"/>
    <w:rsid w:val="00CB66A7"/>
    <w:rsid w:val="00CB6762"/>
    <w:rsid w:val="00CB6D3B"/>
    <w:rsid w:val="00CB74DE"/>
    <w:rsid w:val="00CB7B1A"/>
    <w:rsid w:val="00CB7C08"/>
    <w:rsid w:val="00CC00F7"/>
    <w:rsid w:val="00CC0273"/>
    <w:rsid w:val="00CC0443"/>
    <w:rsid w:val="00CC044C"/>
    <w:rsid w:val="00CC09E7"/>
    <w:rsid w:val="00CC0AC4"/>
    <w:rsid w:val="00CC0CE1"/>
    <w:rsid w:val="00CC10F5"/>
    <w:rsid w:val="00CC14C4"/>
    <w:rsid w:val="00CC1A23"/>
    <w:rsid w:val="00CC1E54"/>
    <w:rsid w:val="00CC1F45"/>
    <w:rsid w:val="00CC2958"/>
    <w:rsid w:val="00CC2AE8"/>
    <w:rsid w:val="00CC3035"/>
    <w:rsid w:val="00CC34F2"/>
    <w:rsid w:val="00CC391C"/>
    <w:rsid w:val="00CC3C93"/>
    <w:rsid w:val="00CC448F"/>
    <w:rsid w:val="00CC4B7E"/>
    <w:rsid w:val="00CC4B85"/>
    <w:rsid w:val="00CC4EB1"/>
    <w:rsid w:val="00CC54C3"/>
    <w:rsid w:val="00CC5812"/>
    <w:rsid w:val="00CC612C"/>
    <w:rsid w:val="00CC6492"/>
    <w:rsid w:val="00CC66CD"/>
    <w:rsid w:val="00CC6A7A"/>
    <w:rsid w:val="00CC6BD1"/>
    <w:rsid w:val="00CC6D8C"/>
    <w:rsid w:val="00CC6DF5"/>
    <w:rsid w:val="00CC714E"/>
    <w:rsid w:val="00CC74A1"/>
    <w:rsid w:val="00CC7AE2"/>
    <w:rsid w:val="00CC7C13"/>
    <w:rsid w:val="00CD0016"/>
    <w:rsid w:val="00CD0C60"/>
    <w:rsid w:val="00CD0D16"/>
    <w:rsid w:val="00CD1256"/>
    <w:rsid w:val="00CD139D"/>
    <w:rsid w:val="00CD1C84"/>
    <w:rsid w:val="00CD1E58"/>
    <w:rsid w:val="00CD2493"/>
    <w:rsid w:val="00CD24A8"/>
    <w:rsid w:val="00CD2DAC"/>
    <w:rsid w:val="00CD2EDC"/>
    <w:rsid w:val="00CD31FE"/>
    <w:rsid w:val="00CD32A8"/>
    <w:rsid w:val="00CD32BA"/>
    <w:rsid w:val="00CD3419"/>
    <w:rsid w:val="00CD35DE"/>
    <w:rsid w:val="00CD38B6"/>
    <w:rsid w:val="00CD3E25"/>
    <w:rsid w:val="00CD3E9F"/>
    <w:rsid w:val="00CD4575"/>
    <w:rsid w:val="00CD47E0"/>
    <w:rsid w:val="00CD49DC"/>
    <w:rsid w:val="00CD4A4B"/>
    <w:rsid w:val="00CD4F27"/>
    <w:rsid w:val="00CD5C47"/>
    <w:rsid w:val="00CD5D48"/>
    <w:rsid w:val="00CD5D7F"/>
    <w:rsid w:val="00CD5DF7"/>
    <w:rsid w:val="00CD6B44"/>
    <w:rsid w:val="00CD6D6C"/>
    <w:rsid w:val="00CD6F32"/>
    <w:rsid w:val="00CD715C"/>
    <w:rsid w:val="00CD7361"/>
    <w:rsid w:val="00CD7494"/>
    <w:rsid w:val="00CD7578"/>
    <w:rsid w:val="00CD79B1"/>
    <w:rsid w:val="00CD7CF4"/>
    <w:rsid w:val="00CD7D3D"/>
    <w:rsid w:val="00CE01F1"/>
    <w:rsid w:val="00CE025E"/>
    <w:rsid w:val="00CE038D"/>
    <w:rsid w:val="00CE03DE"/>
    <w:rsid w:val="00CE0EED"/>
    <w:rsid w:val="00CE120C"/>
    <w:rsid w:val="00CE148C"/>
    <w:rsid w:val="00CE186F"/>
    <w:rsid w:val="00CE1C04"/>
    <w:rsid w:val="00CE1EE0"/>
    <w:rsid w:val="00CE1FF3"/>
    <w:rsid w:val="00CE200F"/>
    <w:rsid w:val="00CE23AA"/>
    <w:rsid w:val="00CE25C8"/>
    <w:rsid w:val="00CE27C1"/>
    <w:rsid w:val="00CE2E8B"/>
    <w:rsid w:val="00CE3041"/>
    <w:rsid w:val="00CE3155"/>
    <w:rsid w:val="00CE3475"/>
    <w:rsid w:val="00CE3D36"/>
    <w:rsid w:val="00CE4210"/>
    <w:rsid w:val="00CE46FB"/>
    <w:rsid w:val="00CE4799"/>
    <w:rsid w:val="00CE4AD1"/>
    <w:rsid w:val="00CE4BFD"/>
    <w:rsid w:val="00CE55DA"/>
    <w:rsid w:val="00CE5754"/>
    <w:rsid w:val="00CE5868"/>
    <w:rsid w:val="00CE592B"/>
    <w:rsid w:val="00CE599D"/>
    <w:rsid w:val="00CE5B23"/>
    <w:rsid w:val="00CE5D81"/>
    <w:rsid w:val="00CE6085"/>
    <w:rsid w:val="00CE6359"/>
    <w:rsid w:val="00CE6615"/>
    <w:rsid w:val="00CE680F"/>
    <w:rsid w:val="00CE69C0"/>
    <w:rsid w:val="00CE6A86"/>
    <w:rsid w:val="00CE6C65"/>
    <w:rsid w:val="00CE6D07"/>
    <w:rsid w:val="00CE70B2"/>
    <w:rsid w:val="00CE799C"/>
    <w:rsid w:val="00CF0113"/>
    <w:rsid w:val="00CF03BC"/>
    <w:rsid w:val="00CF070C"/>
    <w:rsid w:val="00CF0839"/>
    <w:rsid w:val="00CF0A4F"/>
    <w:rsid w:val="00CF0BAF"/>
    <w:rsid w:val="00CF0C61"/>
    <w:rsid w:val="00CF0E78"/>
    <w:rsid w:val="00CF10CB"/>
    <w:rsid w:val="00CF1177"/>
    <w:rsid w:val="00CF1560"/>
    <w:rsid w:val="00CF1884"/>
    <w:rsid w:val="00CF1B89"/>
    <w:rsid w:val="00CF20C5"/>
    <w:rsid w:val="00CF2196"/>
    <w:rsid w:val="00CF22BC"/>
    <w:rsid w:val="00CF241F"/>
    <w:rsid w:val="00CF253E"/>
    <w:rsid w:val="00CF29E8"/>
    <w:rsid w:val="00CF30D0"/>
    <w:rsid w:val="00CF3F65"/>
    <w:rsid w:val="00CF4910"/>
    <w:rsid w:val="00CF4F76"/>
    <w:rsid w:val="00CF5A26"/>
    <w:rsid w:val="00CF5A41"/>
    <w:rsid w:val="00CF5CE6"/>
    <w:rsid w:val="00CF6AA7"/>
    <w:rsid w:val="00CF6E64"/>
    <w:rsid w:val="00CF79AF"/>
    <w:rsid w:val="00CF7C84"/>
    <w:rsid w:val="00D00C38"/>
    <w:rsid w:val="00D00F16"/>
    <w:rsid w:val="00D0117B"/>
    <w:rsid w:val="00D01319"/>
    <w:rsid w:val="00D01C1F"/>
    <w:rsid w:val="00D025A0"/>
    <w:rsid w:val="00D03179"/>
    <w:rsid w:val="00D03192"/>
    <w:rsid w:val="00D033C8"/>
    <w:rsid w:val="00D034C6"/>
    <w:rsid w:val="00D04273"/>
    <w:rsid w:val="00D0441F"/>
    <w:rsid w:val="00D048D2"/>
    <w:rsid w:val="00D04F78"/>
    <w:rsid w:val="00D0521E"/>
    <w:rsid w:val="00D05374"/>
    <w:rsid w:val="00D0543A"/>
    <w:rsid w:val="00D05704"/>
    <w:rsid w:val="00D0591B"/>
    <w:rsid w:val="00D05938"/>
    <w:rsid w:val="00D05F68"/>
    <w:rsid w:val="00D05FF0"/>
    <w:rsid w:val="00D06027"/>
    <w:rsid w:val="00D0683F"/>
    <w:rsid w:val="00D069E3"/>
    <w:rsid w:val="00D06B5B"/>
    <w:rsid w:val="00D06C90"/>
    <w:rsid w:val="00D06E60"/>
    <w:rsid w:val="00D07131"/>
    <w:rsid w:val="00D0757A"/>
    <w:rsid w:val="00D0766A"/>
    <w:rsid w:val="00D116FC"/>
    <w:rsid w:val="00D11955"/>
    <w:rsid w:val="00D119A7"/>
    <w:rsid w:val="00D11D66"/>
    <w:rsid w:val="00D11EF2"/>
    <w:rsid w:val="00D1234E"/>
    <w:rsid w:val="00D12493"/>
    <w:rsid w:val="00D1275F"/>
    <w:rsid w:val="00D12CA1"/>
    <w:rsid w:val="00D12E33"/>
    <w:rsid w:val="00D12E44"/>
    <w:rsid w:val="00D1357E"/>
    <w:rsid w:val="00D135F8"/>
    <w:rsid w:val="00D14BE7"/>
    <w:rsid w:val="00D14EF9"/>
    <w:rsid w:val="00D15021"/>
    <w:rsid w:val="00D15037"/>
    <w:rsid w:val="00D150F8"/>
    <w:rsid w:val="00D15AE9"/>
    <w:rsid w:val="00D1612F"/>
    <w:rsid w:val="00D163EA"/>
    <w:rsid w:val="00D16A3A"/>
    <w:rsid w:val="00D170ED"/>
    <w:rsid w:val="00D176A5"/>
    <w:rsid w:val="00D17C77"/>
    <w:rsid w:val="00D17D34"/>
    <w:rsid w:val="00D17E9F"/>
    <w:rsid w:val="00D17FA0"/>
    <w:rsid w:val="00D2049B"/>
    <w:rsid w:val="00D20C29"/>
    <w:rsid w:val="00D21282"/>
    <w:rsid w:val="00D215C4"/>
    <w:rsid w:val="00D21CB1"/>
    <w:rsid w:val="00D21CD0"/>
    <w:rsid w:val="00D222D0"/>
    <w:rsid w:val="00D22839"/>
    <w:rsid w:val="00D228B7"/>
    <w:rsid w:val="00D2292C"/>
    <w:rsid w:val="00D229F9"/>
    <w:rsid w:val="00D22B00"/>
    <w:rsid w:val="00D22B6B"/>
    <w:rsid w:val="00D2377A"/>
    <w:rsid w:val="00D23D51"/>
    <w:rsid w:val="00D2423D"/>
    <w:rsid w:val="00D24299"/>
    <w:rsid w:val="00D24430"/>
    <w:rsid w:val="00D24A7F"/>
    <w:rsid w:val="00D256A8"/>
    <w:rsid w:val="00D25A9B"/>
    <w:rsid w:val="00D25C49"/>
    <w:rsid w:val="00D25C88"/>
    <w:rsid w:val="00D270CA"/>
    <w:rsid w:val="00D271F6"/>
    <w:rsid w:val="00D27866"/>
    <w:rsid w:val="00D308EA"/>
    <w:rsid w:val="00D30DF9"/>
    <w:rsid w:val="00D30E85"/>
    <w:rsid w:val="00D31058"/>
    <w:rsid w:val="00D313C1"/>
    <w:rsid w:val="00D31967"/>
    <w:rsid w:val="00D31FFF"/>
    <w:rsid w:val="00D325CD"/>
    <w:rsid w:val="00D32A43"/>
    <w:rsid w:val="00D32B20"/>
    <w:rsid w:val="00D33556"/>
    <w:rsid w:val="00D336A1"/>
    <w:rsid w:val="00D336BC"/>
    <w:rsid w:val="00D33798"/>
    <w:rsid w:val="00D33877"/>
    <w:rsid w:val="00D33BAD"/>
    <w:rsid w:val="00D33D88"/>
    <w:rsid w:val="00D3407F"/>
    <w:rsid w:val="00D34ED8"/>
    <w:rsid w:val="00D34F48"/>
    <w:rsid w:val="00D3501F"/>
    <w:rsid w:val="00D351D3"/>
    <w:rsid w:val="00D352F5"/>
    <w:rsid w:val="00D35646"/>
    <w:rsid w:val="00D36224"/>
    <w:rsid w:val="00D36250"/>
    <w:rsid w:val="00D36544"/>
    <w:rsid w:val="00D36D11"/>
    <w:rsid w:val="00D3755F"/>
    <w:rsid w:val="00D37B80"/>
    <w:rsid w:val="00D37E6F"/>
    <w:rsid w:val="00D40B57"/>
    <w:rsid w:val="00D416AA"/>
    <w:rsid w:val="00D41BEB"/>
    <w:rsid w:val="00D41CB0"/>
    <w:rsid w:val="00D41CF0"/>
    <w:rsid w:val="00D41E2F"/>
    <w:rsid w:val="00D41FF6"/>
    <w:rsid w:val="00D43148"/>
    <w:rsid w:val="00D43324"/>
    <w:rsid w:val="00D43395"/>
    <w:rsid w:val="00D43BD8"/>
    <w:rsid w:val="00D44065"/>
    <w:rsid w:val="00D441BD"/>
    <w:rsid w:val="00D44406"/>
    <w:rsid w:val="00D4491E"/>
    <w:rsid w:val="00D44CFC"/>
    <w:rsid w:val="00D454DC"/>
    <w:rsid w:val="00D4591D"/>
    <w:rsid w:val="00D45C12"/>
    <w:rsid w:val="00D45FDF"/>
    <w:rsid w:val="00D464D5"/>
    <w:rsid w:val="00D46C09"/>
    <w:rsid w:val="00D471EE"/>
    <w:rsid w:val="00D47758"/>
    <w:rsid w:val="00D5020F"/>
    <w:rsid w:val="00D50742"/>
    <w:rsid w:val="00D50EE4"/>
    <w:rsid w:val="00D510EE"/>
    <w:rsid w:val="00D5149E"/>
    <w:rsid w:val="00D5192F"/>
    <w:rsid w:val="00D52381"/>
    <w:rsid w:val="00D52D26"/>
    <w:rsid w:val="00D537C5"/>
    <w:rsid w:val="00D53A4A"/>
    <w:rsid w:val="00D53A5D"/>
    <w:rsid w:val="00D540B2"/>
    <w:rsid w:val="00D54313"/>
    <w:rsid w:val="00D54614"/>
    <w:rsid w:val="00D55241"/>
    <w:rsid w:val="00D55295"/>
    <w:rsid w:val="00D554B8"/>
    <w:rsid w:val="00D55558"/>
    <w:rsid w:val="00D55591"/>
    <w:rsid w:val="00D556A2"/>
    <w:rsid w:val="00D557C1"/>
    <w:rsid w:val="00D55AA6"/>
    <w:rsid w:val="00D55CF6"/>
    <w:rsid w:val="00D55E19"/>
    <w:rsid w:val="00D55FDF"/>
    <w:rsid w:val="00D56141"/>
    <w:rsid w:val="00D5616B"/>
    <w:rsid w:val="00D565E8"/>
    <w:rsid w:val="00D5673B"/>
    <w:rsid w:val="00D56769"/>
    <w:rsid w:val="00D5679E"/>
    <w:rsid w:val="00D5686F"/>
    <w:rsid w:val="00D568C2"/>
    <w:rsid w:val="00D56AE3"/>
    <w:rsid w:val="00D56C11"/>
    <w:rsid w:val="00D56F3D"/>
    <w:rsid w:val="00D578E6"/>
    <w:rsid w:val="00D57B17"/>
    <w:rsid w:val="00D57E6D"/>
    <w:rsid w:val="00D57F57"/>
    <w:rsid w:val="00D608DE"/>
    <w:rsid w:val="00D60E76"/>
    <w:rsid w:val="00D6160C"/>
    <w:rsid w:val="00D61F94"/>
    <w:rsid w:val="00D624A0"/>
    <w:rsid w:val="00D626D1"/>
    <w:rsid w:val="00D62B2F"/>
    <w:rsid w:val="00D63483"/>
    <w:rsid w:val="00D63504"/>
    <w:rsid w:val="00D6377B"/>
    <w:rsid w:val="00D63789"/>
    <w:rsid w:val="00D63CB0"/>
    <w:rsid w:val="00D63CF3"/>
    <w:rsid w:val="00D63FC0"/>
    <w:rsid w:val="00D63FDD"/>
    <w:rsid w:val="00D63FF2"/>
    <w:rsid w:val="00D6427A"/>
    <w:rsid w:val="00D645B9"/>
    <w:rsid w:val="00D64789"/>
    <w:rsid w:val="00D647A4"/>
    <w:rsid w:val="00D647CB"/>
    <w:rsid w:val="00D64B67"/>
    <w:rsid w:val="00D64E77"/>
    <w:rsid w:val="00D65037"/>
    <w:rsid w:val="00D6528D"/>
    <w:rsid w:val="00D653B3"/>
    <w:rsid w:val="00D65423"/>
    <w:rsid w:val="00D65B07"/>
    <w:rsid w:val="00D660CA"/>
    <w:rsid w:val="00D66299"/>
    <w:rsid w:val="00D66349"/>
    <w:rsid w:val="00D66661"/>
    <w:rsid w:val="00D66AB1"/>
    <w:rsid w:val="00D66F4D"/>
    <w:rsid w:val="00D673A0"/>
    <w:rsid w:val="00D677F0"/>
    <w:rsid w:val="00D67BFE"/>
    <w:rsid w:val="00D7024D"/>
    <w:rsid w:val="00D71009"/>
    <w:rsid w:val="00D71506"/>
    <w:rsid w:val="00D72698"/>
    <w:rsid w:val="00D72D69"/>
    <w:rsid w:val="00D72E87"/>
    <w:rsid w:val="00D730D9"/>
    <w:rsid w:val="00D7313F"/>
    <w:rsid w:val="00D73690"/>
    <w:rsid w:val="00D73F7D"/>
    <w:rsid w:val="00D74340"/>
    <w:rsid w:val="00D74447"/>
    <w:rsid w:val="00D75112"/>
    <w:rsid w:val="00D751AB"/>
    <w:rsid w:val="00D7521D"/>
    <w:rsid w:val="00D753A1"/>
    <w:rsid w:val="00D7563C"/>
    <w:rsid w:val="00D75B68"/>
    <w:rsid w:val="00D75DD0"/>
    <w:rsid w:val="00D7608B"/>
    <w:rsid w:val="00D76810"/>
    <w:rsid w:val="00D76EF3"/>
    <w:rsid w:val="00D771B7"/>
    <w:rsid w:val="00D776B4"/>
    <w:rsid w:val="00D777F3"/>
    <w:rsid w:val="00D778C3"/>
    <w:rsid w:val="00D80A47"/>
    <w:rsid w:val="00D81263"/>
    <w:rsid w:val="00D81824"/>
    <w:rsid w:val="00D8191C"/>
    <w:rsid w:val="00D8210C"/>
    <w:rsid w:val="00D82116"/>
    <w:rsid w:val="00D830A1"/>
    <w:rsid w:val="00D83254"/>
    <w:rsid w:val="00D8358A"/>
    <w:rsid w:val="00D83927"/>
    <w:rsid w:val="00D83A7E"/>
    <w:rsid w:val="00D83CFB"/>
    <w:rsid w:val="00D83DB4"/>
    <w:rsid w:val="00D84562"/>
    <w:rsid w:val="00D846C9"/>
    <w:rsid w:val="00D84950"/>
    <w:rsid w:val="00D84A38"/>
    <w:rsid w:val="00D84F34"/>
    <w:rsid w:val="00D85044"/>
    <w:rsid w:val="00D85BD9"/>
    <w:rsid w:val="00D85E0E"/>
    <w:rsid w:val="00D85E86"/>
    <w:rsid w:val="00D8623D"/>
    <w:rsid w:val="00D867A5"/>
    <w:rsid w:val="00D86A8C"/>
    <w:rsid w:val="00D87B1B"/>
    <w:rsid w:val="00D90B00"/>
    <w:rsid w:val="00D90EF4"/>
    <w:rsid w:val="00D912A1"/>
    <w:rsid w:val="00D91E58"/>
    <w:rsid w:val="00D92256"/>
    <w:rsid w:val="00D922F1"/>
    <w:rsid w:val="00D923E5"/>
    <w:rsid w:val="00D92470"/>
    <w:rsid w:val="00D92798"/>
    <w:rsid w:val="00D9300E"/>
    <w:rsid w:val="00D93145"/>
    <w:rsid w:val="00D93557"/>
    <w:rsid w:val="00D9379C"/>
    <w:rsid w:val="00D937FA"/>
    <w:rsid w:val="00D93942"/>
    <w:rsid w:val="00D93955"/>
    <w:rsid w:val="00D942D5"/>
    <w:rsid w:val="00D94721"/>
    <w:rsid w:val="00D94B99"/>
    <w:rsid w:val="00D94DB6"/>
    <w:rsid w:val="00D964B5"/>
    <w:rsid w:val="00D96797"/>
    <w:rsid w:val="00D970A8"/>
    <w:rsid w:val="00D977C0"/>
    <w:rsid w:val="00DA03BE"/>
    <w:rsid w:val="00DA06D3"/>
    <w:rsid w:val="00DA1938"/>
    <w:rsid w:val="00DA2969"/>
    <w:rsid w:val="00DA3329"/>
    <w:rsid w:val="00DA34CD"/>
    <w:rsid w:val="00DA3675"/>
    <w:rsid w:val="00DA3CBB"/>
    <w:rsid w:val="00DA3CC2"/>
    <w:rsid w:val="00DA4B4A"/>
    <w:rsid w:val="00DA4E4B"/>
    <w:rsid w:val="00DA4EE2"/>
    <w:rsid w:val="00DA52B4"/>
    <w:rsid w:val="00DA5387"/>
    <w:rsid w:val="00DA5566"/>
    <w:rsid w:val="00DA5597"/>
    <w:rsid w:val="00DA6255"/>
    <w:rsid w:val="00DA65AE"/>
    <w:rsid w:val="00DA69B4"/>
    <w:rsid w:val="00DA6D78"/>
    <w:rsid w:val="00DA7199"/>
    <w:rsid w:val="00DA7396"/>
    <w:rsid w:val="00DA786F"/>
    <w:rsid w:val="00DA7894"/>
    <w:rsid w:val="00DA795E"/>
    <w:rsid w:val="00DA7E37"/>
    <w:rsid w:val="00DB036C"/>
    <w:rsid w:val="00DB03EE"/>
    <w:rsid w:val="00DB07BF"/>
    <w:rsid w:val="00DB07C7"/>
    <w:rsid w:val="00DB088D"/>
    <w:rsid w:val="00DB0F91"/>
    <w:rsid w:val="00DB1166"/>
    <w:rsid w:val="00DB1520"/>
    <w:rsid w:val="00DB1610"/>
    <w:rsid w:val="00DB176E"/>
    <w:rsid w:val="00DB18AA"/>
    <w:rsid w:val="00DB1ADB"/>
    <w:rsid w:val="00DB1B39"/>
    <w:rsid w:val="00DB1BA1"/>
    <w:rsid w:val="00DB1C75"/>
    <w:rsid w:val="00DB208F"/>
    <w:rsid w:val="00DB2314"/>
    <w:rsid w:val="00DB2B6E"/>
    <w:rsid w:val="00DB2D83"/>
    <w:rsid w:val="00DB32C2"/>
    <w:rsid w:val="00DB339B"/>
    <w:rsid w:val="00DB3472"/>
    <w:rsid w:val="00DB3778"/>
    <w:rsid w:val="00DB391E"/>
    <w:rsid w:val="00DB393B"/>
    <w:rsid w:val="00DB395D"/>
    <w:rsid w:val="00DB3994"/>
    <w:rsid w:val="00DB3CCE"/>
    <w:rsid w:val="00DB40B6"/>
    <w:rsid w:val="00DB432C"/>
    <w:rsid w:val="00DB465C"/>
    <w:rsid w:val="00DB4713"/>
    <w:rsid w:val="00DB4D2F"/>
    <w:rsid w:val="00DB56B4"/>
    <w:rsid w:val="00DB5CBD"/>
    <w:rsid w:val="00DB61A8"/>
    <w:rsid w:val="00DB621D"/>
    <w:rsid w:val="00DB637E"/>
    <w:rsid w:val="00DB64DE"/>
    <w:rsid w:val="00DB6602"/>
    <w:rsid w:val="00DB6B8E"/>
    <w:rsid w:val="00DB6D33"/>
    <w:rsid w:val="00DB6E40"/>
    <w:rsid w:val="00DB75A7"/>
    <w:rsid w:val="00DB7FA8"/>
    <w:rsid w:val="00DB7FC2"/>
    <w:rsid w:val="00DC0146"/>
    <w:rsid w:val="00DC07A5"/>
    <w:rsid w:val="00DC0B14"/>
    <w:rsid w:val="00DC134F"/>
    <w:rsid w:val="00DC14DE"/>
    <w:rsid w:val="00DC1579"/>
    <w:rsid w:val="00DC1589"/>
    <w:rsid w:val="00DC17C6"/>
    <w:rsid w:val="00DC19CA"/>
    <w:rsid w:val="00DC1D24"/>
    <w:rsid w:val="00DC27BE"/>
    <w:rsid w:val="00DC2DC4"/>
    <w:rsid w:val="00DC2FD3"/>
    <w:rsid w:val="00DC3A16"/>
    <w:rsid w:val="00DC3A95"/>
    <w:rsid w:val="00DC3DA0"/>
    <w:rsid w:val="00DC3F02"/>
    <w:rsid w:val="00DC43FC"/>
    <w:rsid w:val="00DC45C6"/>
    <w:rsid w:val="00DC4CE4"/>
    <w:rsid w:val="00DC4F0E"/>
    <w:rsid w:val="00DC5992"/>
    <w:rsid w:val="00DC59EB"/>
    <w:rsid w:val="00DC5F21"/>
    <w:rsid w:val="00DC6174"/>
    <w:rsid w:val="00DC61A1"/>
    <w:rsid w:val="00DC62B4"/>
    <w:rsid w:val="00DC65B1"/>
    <w:rsid w:val="00DC6C11"/>
    <w:rsid w:val="00DC6C80"/>
    <w:rsid w:val="00DC7A2A"/>
    <w:rsid w:val="00DD009F"/>
    <w:rsid w:val="00DD035B"/>
    <w:rsid w:val="00DD0DC5"/>
    <w:rsid w:val="00DD0EEF"/>
    <w:rsid w:val="00DD1609"/>
    <w:rsid w:val="00DD1960"/>
    <w:rsid w:val="00DD1C0F"/>
    <w:rsid w:val="00DD22AA"/>
    <w:rsid w:val="00DD24D5"/>
    <w:rsid w:val="00DD264A"/>
    <w:rsid w:val="00DD29A0"/>
    <w:rsid w:val="00DD29A4"/>
    <w:rsid w:val="00DD2D42"/>
    <w:rsid w:val="00DD3E1A"/>
    <w:rsid w:val="00DD461A"/>
    <w:rsid w:val="00DD479B"/>
    <w:rsid w:val="00DD481D"/>
    <w:rsid w:val="00DD4AD2"/>
    <w:rsid w:val="00DD4BFF"/>
    <w:rsid w:val="00DD50DC"/>
    <w:rsid w:val="00DD5754"/>
    <w:rsid w:val="00DD5841"/>
    <w:rsid w:val="00DD58FD"/>
    <w:rsid w:val="00DD5A9A"/>
    <w:rsid w:val="00DD5BB0"/>
    <w:rsid w:val="00DD5FC9"/>
    <w:rsid w:val="00DD6697"/>
    <w:rsid w:val="00DD689B"/>
    <w:rsid w:val="00DD6CC2"/>
    <w:rsid w:val="00DD6DD9"/>
    <w:rsid w:val="00DD7416"/>
    <w:rsid w:val="00DD7963"/>
    <w:rsid w:val="00DE0108"/>
    <w:rsid w:val="00DE0190"/>
    <w:rsid w:val="00DE01F9"/>
    <w:rsid w:val="00DE0582"/>
    <w:rsid w:val="00DE06B7"/>
    <w:rsid w:val="00DE06E1"/>
    <w:rsid w:val="00DE06E8"/>
    <w:rsid w:val="00DE0726"/>
    <w:rsid w:val="00DE0738"/>
    <w:rsid w:val="00DE0B34"/>
    <w:rsid w:val="00DE123F"/>
    <w:rsid w:val="00DE167F"/>
    <w:rsid w:val="00DE1CAC"/>
    <w:rsid w:val="00DE1F57"/>
    <w:rsid w:val="00DE29A9"/>
    <w:rsid w:val="00DE3207"/>
    <w:rsid w:val="00DE3541"/>
    <w:rsid w:val="00DE3C6F"/>
    <w:rsid w:val="00DE45E0"/>
    <w:rsid w:val="00DE4776"/>
    <w:rsid w:val="00DE4D8B"/>
    <w:rsid w:val="00DE4D90"/>
    <w:rsid w:val="00DE5D05"/>
    <w:rsid w:val="00DE5E58"/>
    <w:rsid w:val="00DE6796"/>
    <w:rsid w:val="00DE6CE8"/>
    <w:rsid w:val="00DE6DAB"/>
    <w:rsid w:val="00DE75B3"/>
    <w:rsid w:val="00DE7AB0"/>
    <w:rsid w:val="00DE7AB3"/>
    <w:rsid w:val="00DF0036"/>
    <w:rsid w:val="00DF004B"/>
    <w:rsid w:val="00DF032D"/>
    <w:rsid w:val="00DF0724"/>
    <w:rsid w:val="00DF08AD"/>
    <w:rsid w:val="00DF1055"/>
    <w:rsid w:val="00DF1199"/>
    <w:rsid w:val="00DF1525"/>
    <w:rsid w:val="00DF17D9"/>
    <w:rsid w:val="00DF18EA"/>
    <w:rsid w:val="00DF1984"/>
    <w:rsid w:val="00DF1C37"/>
    <w:rsid w:val="00DF1F17"/>
    <w:rsid w:val="00DF24C7"/>
    <w:rsid w:val="00DF25E2"/>
    <w:rsid w:val="00DF29F6"/>
    <w:rsid w:val="00DF2A4F"/>
    <w:rsid w:val="00DF2BFF"/>
    <w:rsid w:val="00DF359E"/>
    <w:rsid w:val="00DF3CFF"/>
    <w:rsid w:val="00DF3E48"/>
    <w:rsid w:val="00DF3FE4"/>
    <w:rsid w:val="00DF4141"/>
    <w:rsid w:val="00DF450E"/>
    <w:rsid w:val="00DF4690"/>
    <w:rsid w:val="00DF4AA9"/>
    <w:rsid w:val="00DF4B5C"/>
    <w:rsid w:val="00DF4DDF"/>
    <w:rsid w:val="00DF5041"/>
    <w:rsid w:val="00DF589D"/>
    <w:rsid w:val="00DF5A14"/>
    <w:rsid w:val="00DF5D1B"/>
    <w:rsid w:val="00DF6020"/>
    <w:rsid w:val="00DF6048"/>
    <w:rsid w:val="00DF6AC2"/>
    <w:rsid w:val="00DF6D3C"/>
    <w:rsid w:val="00DF79B6"/>
    <w:rsid w:val="00DF7AAA"/>
    <w:rsid w:val="00DF7AE2"/>
    <w:rsid w:val="00DF7EA7"/>
    <w:rsid w:val="00DF7F07"/>
    <w:rsid w:val="00E00093"/>
    <w:rsid w:val="00E00407"/>
    <w:rsid w:val="00E007AE"/>
    <w:rsid w:val="00E00BE3"/>
    <w:rsid w:val="00E00FCB"/>
    <w:rsid w:val="00E01154"/>
    <w:rsid w:val="00E01175"/>
    <w:rsid w:val="00E019B6"/>
    <w:rsid w:val="00E01A5E"/>
    <w:rsid w:val="00E0233F"/>
    <w:rsid w:val="00E02858"/>
    <w:rsid w:val="00E02E7F"/>
    <w:rsid w:val="00E02ED6"/>
    <w:rsid w:val="00E04197"/>
    <w:rsid w:val="00E044E1"/>
    <w:rsid w:val="00E04731"/>
    <w:rsid w:val="00E04E81"/>
    <w:rsid w:val="00E04F38"/>
    <w:rsid w:val="00E05189"/>
    <w:rsid w:val="00E0534F"/>
    <w:rsid w:val="00E05801"/>
    <w:rsid w:val="00E05C7D"/>
    <w:rsid w:val="00E05E7A"/>
    <w:rsid w:val="00E05EDB"/>
    <w:rsid w:val="00E06113"/>
    <w:rsid w:val="00E06449"/>
    <w:rsid w:val="00E064FC"/>
    <w:rsid w:val="00E07B27"/>
    <w:rsid w:val="00E07E27"/>
    <w:rsid w:val="00E07E3F"/>
    <w:rsid w:val="00E07F81"/>
    <w:rsid w:val="00E1027E"/>
    <w:rsid w:val="00E10389"/>
    <w:rsid w:val="00E1053D"/>
    <w:rsid w:val="00E10B85"/>
    <w:rsid w:val="00E11593"/>
    <w:rsid w:val="00E11D8C"/>
    <w:rsid w:val="00E12301"/>
    <w:rsid w:val="00E12922"/>
    <w:rsid w:val="00E12A8F"/>
    <w:rsid w:val="00E12CE5"/>
    <w:rsid w:val="00E12DF4"/>
    <w:rsid w:val="00E12E16"/>
    <w:rsid w:val="00E139B4"/>
    <w:rsid w:val="00E13CEA"/>
    <w:rsid w:val="00E140A6"/>
    <w:rsid w:val="00E14272"/>
    <w:rsid w:val="00E148B8"/>
    <w:rsid w:val="00E1561C"/>
    <w:rsid w:val="00E156A2"/>
    <w:rsid w:val="00E1587E"/>
    <w:rsid w:val="00E158C0"/>
    <w:rsid w:val="00E16124"/>
    <w:rsid w:val="00E1648B"/>
    <w:rsid w:val="00E16820"/>
    <w:rsid w:val="00E16ABC"/>
    <w:rsid w:val="00E16D4E"/>
    <w:rsid w:val="00E16E28"/>
    <w:rsid w:val="00E16FE2"/>
    <w:rsid w:val="00E16FFB"/>
    <w:rsid w:val="00E17F45"/>
    <w:rsid w:val="00E20018"/>
    <w:rsid w:val="00E209D0"/>
    <w:rsid w:val="00E21533"/>
    <w:rsid w:val="00E217F7"/>
    <w:rsid w:val="00E2190D"/>
    <w:rsid w:val="00E219BE"/>
    <w:rsid w:val="00E21E25"/>
    <w:rsid w:val="00E2235D"/>
    <w:rsid w:val="00E22465"/>
    <w:rsid w:val="00E2284B"/>
    <w:rsid w:val="00E22A1E"/>
    <w:rsid w:val="00E22A80"/>
    <w:rsid w:val="00E22AF2"/>
    <w:rsid w:val="00E22B89"/>
    <w:rsid w:val="00E2302C"/>
    <w:rsid w:val="00E23046"/>
    <w:rsid w:val="00E23B21"/>
    <w:rsid w:val="00E23C28"/>
    <w:rsid w:val="00E23D74"/>
    <w:rsid w:val="00E23DB2"/>
    <w:rsid w:val="00E240F1"/>
    <w:rsid w:val="00E245C5"/>
    <w:rsid w:val="00E2497F"/>
    <w:rsid w:val="00E25274"/>
    <w:rsid w:val="00E25C5B"/>
    <w:rsid w:val="00E26111"/>
    <w:rsid w:val="00E2649B"/>
    <w:rsid w:val="00E266C1"/>
    <w:rsid w:val="00E26C9B"/>
    <w:rsid w:val="00E26D1F"/>
    <w:rsid w:val="00E26E0C"/>
    <w:rsid w:val="00E2735C"/>
    <w:rsid w:val="00E275E9"/>
    <w:rsid w:val="00E27C2C"/>
    <w:rsid w:val="00E27D7D"/>
    <w:rsid w:val="00E30175"/>
    <w:rsid w:val="00E302B8"/>
    <w:rsid w:val="00E30329"/>
    <w:rsid w:val="00E305DA"/>
    <w:rsid w:val="00E30D86"/>
    <w:rsid w:val="00E31700"/>
    <w:rsid w:val="00E31958"/>
    <w:rsid w:val="00E31B06"/>
    <w:rsid w:val="00E31B81"/>
    <w:rsid w:val="00E31C44"/>
    <w:rsid w:val="00E321BC"/>
    <w:rsid w:val="00E32951"/>
    <w:rsid w:val="00E332EE"/>
    <w:rsid w:val="00E3337C"/>
    <w:rsid w:val="00E335BB"/>
    <w:rsid w:val="00E33B10"/>
    <w:rsid w:val="00E33EAB"/>
    <w:rsid w:val="00E34016"/>
    <w:rsid w:val="00E34401"/>
    <w:rsid w:val="00E34B72"/>
    <w:rsid w:val="00E34C50"/>
    <w:rsid w:val="00E34CCD"/>
    <w:rsid w:val="00E3553E"/>
    <w:rsid w:val="00E35657"/>
    <w:rsid w:val="00E356AA"/>
    <w:rsid w:val="00E35C31"/>
    <w:rsid w:val="00E35C5A"/>
    <w:rsid w:val="00E369A0"/>
    <w:rsid w:val="00E36FFE"/>
    <w:rsid w:val="00E37009"/>
    <w:rsid w:val="00E37346"/>
    <w:rsid w:val="00E375A3"/>
    <w:rsid w:val="00E375EE"/>
    <w:rsid w:val="00E379B1"/>
    <w:rsid w:val="00E37A09"/>
    <w:rsid w:val="00E40E74"/>
    <w:rsid w:val="00E40F43"/>
    <w:rsid w:val="00E412C8"/>
    <w:rsid w:val="00E4139F"/>
    <w:rsid w:val="00E41B40"/>
    <w:rsid w:val="00E41FF0"/>
    <w:rsid w:val="00E422E2"/>
    <w:rsid w:val="00E42464"/>
    <w:rsid w:val="00E4269C"/>
    <w:rsid w:val="00E42B0D"/>
    <w:rsid w:val="00E43508"/>
    <w:rsid w:val="00E43E70"/>
    <w:rsid w:val="00E43EB6"/>
    <w:rsid w:val="00E44177"/>
    <w:rsid w:val="00E442D3"/>
    <w:rsid w:val="00E443B7"/>
    <w:rsid w:val="00E446CC"/>
    <w:rsid w:val="00E44BBE"/>
    <w:rsid w:val="00E45290"/>
    <w:rsid w:val="00E456C7"/>
    <w:rsid w:val="00E46068"/>
    <w:rsid w:val="00E46269"/>
    <w:rsid w:val="00E4634E"/>
    <w:rsid w:val="00E466FC"/>
    <w:rsid w:val="00E46795"/>
    <w:rsid w:val="00E46861"/>
    <w:rsid w:val="00E46899"/>
    <w:rsid w:val="00E46BEB"/>
    <w:rsid w:val="00E46C3A"/>
    <w:rsid w:val="00E46CA2"/>
    <w:rsid w:val="00E46D06"/>
    <w:rsid w:val="00E470A6"/>
    <w:rsid w:val="00E475F3"/>
    <w:rsid w:val="00E47A40"/>
    <w:rsid w:val="00E501E9"/>
    <w:rsid w:val="00E50219"/>
    <w:rsid w:val="00E503F6"/>
    <w:rsid w:val="00E50601"/>
    <w:rsid w:val="00E50A7D"/>
    <w:rsid w:val="00E50CDF"/>
    <w:rsid w:val="00E51037"/>
    <w:rsid w:val="00E51D78"/>
    <w:rsid w:val="00E52A05"/>
    <w:rsid w:val="00E52A38"/>
    <w:rsid w:val="00E52C62"/>
    <w:rsid w:val="00E52E67"/>
    <w:rsid w:val="00E52F68"/>
    <w:rsid w:val="00E530F6"/>
    <w:rsid w:val="00E53376"/>
    <w:rsid w:val="00E53916"/>
    <w:rsid w:val="00E53AB5"/>
    <w:rsid w:val="00E53E72"/>
    <w:rsid w:val="00E541AD"/>
    <w:rsid w:val="00E54657"/>
    <w:rsid w:val="00E547D3"/>
    <w:rsid w:val="00E547F8"/>
    <w:rsid w:val="00E54B68"/>
    <w:rsid w:val="00E54C9D"/>
    <w:rsid w:val="00E54E04"/>
    <w:rsid w:val="00E54F24"/>
    <w:rsid w:val="00E55533"/>
    <w:rsid w:val="00E557B2"/>
    <w:rsid w:val="00E565BE"/>
    <w:rsid w:val="00E56773"/>
    <w:rsid w:val="00E56C7E"/>
    <w:rsid w:val="00E56D11"/>
    <w:rsid w:val="00E5737B"/>
    <w:rsid w:val="00E574E0"/>
    <w:rsid w:val="00E576F2"/>
    <w:rsid w:val="00E57735"/>
    <w:rsid w:val="00E57997"/>
    <w:rsid w:val="00E603CF"/>
    <w:rsid w:val="00E6069F"/>
    <w:rsid w:val="00E6076E"/>
    <w:rsid w:val="00E60B6A"/>
    <w:rsid w:val="00E60D4F"/>
    <w:rsid w:val="00E614A7"/>
    <w:rsid w:val="00E617FE"/>
    <w:rsid w:val="00E61A14"/>
    <w:rsid w:val="00E61A27"/>
    <w:rsid w:val="00E62B3A"/>
    <w:rsid w:val="00E62BE3"/>
    <w:rsid w:val="00E62E8C"/>
    <w:rsid w:val="00E62EF9"/>
    <w:rsid w:val="00E62F9E"/>
    <w:rsid w:val="00E6313D"/>
    <w:rsid w:val="00E633B5"/>
    <w:rsid w:val="00E6391E"/>
    <w:rsid w:val="00E63A60"/>
    <w:rsid w:val="00E63F3C"/>
    <w:rsid w:val="00E63FE7"/>
    <w:rsid w:val="00E64049"/>
    <w:rsid w:val="00E642C9"/>
    <w:rsid w:val="00E6430F"/>
    <w:rsid w:val="00E64397"/>
    <w:rsid w:val="00E64451"/>
    <w:rsid w:val="00E647A3"/>
    <w:rsid w:val="00E64C7F"/>
    <w:rsid w:val="00E64CEB"/>
    <w:rsid w:val="00E64DB9"/>
    <w:rsid w:val="00E64F0B"/>
    <w:rsid w:val="00E65353"/>
    <w:rsid w:val="00E6550D"/>
    <w:rsid w:val="00E657BF"/>
    <w:rsid w:val="00E65900"/>
    <w:rsid w:val="00E65A4B"/>
    <w:rsid w:val="00E65B34"/>
    <w:rsid w:val="00E65FCE"/>
    <w:rsid w:val="00E6622B"/>
    <w:rsid w:val="00E6622F"/>
    <w:rsid w:val="00E67264"/>
    <w:rsid w:val="00E67342"/>
    <w:rsid w:val="00E6745A"/>
    <w:rsid w:val="00E674DA"/>
    <w:rsid w:val="00E67B76"/>
    <w:rsid w:val="00E67D9C"/>
    <w:rsid w:val="00E67DB8"/>
    <w:rsid w:val="00E701B2"/>
    <w:rsid w:val="00E70DEF"/>
    <w:rsid w:val="00E712DB"/>
    <w:rsid w:val="00E7155F"/>
    <w:rsid w:val="00E71770"/>
    <w:rsid w:val="00E71B85"/>
    <w:rsid w:val="00E71F08"/>
    <w:rsid w:val="00E7249F"/>
    <w:rsid w:val="00E724EB"/>
    <w:rsid w:val="00E72523"/>
    <w:rsid w:val="00E72982"/>
    <w:rsid w:val="00E732EF"/>
    <w:rsid w:val="00E7361E"/>
    <w:rsid w:val="00E73C65"/>
    <w:rsid w:val="00E73DCB"/>
    <w:rsid w:val="00E741A1"/>
    <w:rsid w:val="00E74242"/>
    <w:rsid w:val="00E74385"/>
    <w:rsid w:val="00E743EC"/>
    <w:rsid w:val="00E747DB"/>
    <w:rsid w:val="00E74D5E"/>
    <w:rsid w:val="00E74F80"/>
    <w:rsid w:val="00E751D0"/>
    <w:rsid w:val="00E75321"/>
    <w:rsid w:val="00E758E5"/>
    <w:rsid w:val="00E7593A"/>
    <w:rsid w:val="00E75C0D"/>
    <w:rsid w:val="00E777D8"/>
    <w:rsid w:val="00E77976"/>
    <w:rsid w:val="00E77ADD"/>
    <w:rsid w:val="00E77E65"/>
    <w:rsid w:val="00E80442"/>
    <w:rsid w:val="00E80B95"/>
    <w:rsid w:val="00E80D3D"/>
    <w:rsid w:val="00E80D5C"/>
    <w:rsid w:val="00E8165E"/>
    <w:rsid w:val="00E818A1"/>
    <w:rsid w:val="00E81A46"/>
    <w:rsid w:val="00E81B96"/>
    <w:rsid w:val="00E82324"/>
    <w:rsid w:val="00E82564"/>
    <w:rsid w:val="00E82B46"/>
    <w:rsid w:val="00E82DF4"/>
    <w:rsid w:val="00E8318D"/>
    <w:rsid w:val="00E831B8"/>
    <w:rsid w:val="00E83285"/>
    <w:rsid w:val="00E83AD0"/>
    <w:rsid w:val="00E83F9D"/>
    <w:rsid w:val="00E84163"/>
    <w:rsid w:val="00E84495"/>
    <w:rsid w:val="00E849FB"/>
    <w:rsid w:val="00E84A2A"/>
    <w:rsid w:val="00E84AE9"/>
    <w:rsid w:val="00E84D13"/>
    <w:rsid w:val="00E8509E"/>
    <w:rsid w:val="00E8551E"/>
    <w:rsid w:val="00E85E1C"/>
    <w:rsid w:val="00E865EA"/>
    <w:rsid w:val="00E86699"/>
    <w:rsid w:val="00E86BD6"/>
    <w:rsid w:val="00E86EE8"/>
    <w:rsid w:val="00E870E4"/>
    <w:rsid w:val="00E87173"/>
    <w:rsid w:val="00E871B9"/>
    <w:rsid w:val="00E900AA"/>
    <w:rsid w:val="00E900D4"/>
    <w:rsid w:val="00E907CB"/>
    <w:rsid w:val="00E90E58"/>
    <w:rsid w:val="00E912EB"/>
    <w:rsid w:val="00E91331"/>
    <w:rsid w:val="00E9155F"/>
    <w:rsid w:val="00E91896"/>
    <w:rsid w:val="00E91E83"/>
    <w:rsid w:val="00E92613"/>
    <w:rsid w:val="00E9272A"/>
    <w:rsid w:val="00E92E7E"/>
    <w:rsid w:val="00E931F8"/>
    <w:rsid w:val="00E9338E"/>
    <w:rsid w:val="00E93B08"/>
    <w:rsid w:val="00E93FDD"/>
    <w:rsid w:val="00E9423B"/>
    <w:rsid w:val="00E94594"/>
    <w:rsid w:val="00E94EC0"/>
    <w:rsid w:val="00E95165"/>
    <w:rsid w:val="00E9520A"/>
    <w:rsid w:val="00E95252"/>
    <w:rsid w:val="00E956F3"/>
    <w:rsid w:val="00E95B63"/>
    <w:rsid w:val="00E965CD"/>
    <w:rsid w:val="00E966E3"/>
    <w:rsid w:val="00E9686E"/>
    <w:rsid w:val="00E968B2"/>
    <w:rsid w:val="00E969C8"/>
    <w:rsid w:val="00E97BC1"/>
    <w:rsid w:val="00EA086B"/>
    <w:rsid w:val="00EA0CF6"/>
    <w:rsid w:val="00EA10DE"/>
    <w:rsid w:val="00EA1B47"/>
    <w:rsid w:val="00EA2AFB"/>
    <w:rsid w:val="00EA3108"/>
    <w:rsid w:val="00EA3333"/>
    <w:rsid w:val="00EA3B35"/>
    <w:rsid w:val="00EA4988"/>
    <w:rsid w:val="00EA4EBA"/>
    <w:rsid w:val="00EA5790"/>
    <w:rsid w:val="00EA5BED"/>
    <w:rsid w:val="00EA5CCE"/>
    <w:rsid w:val="00EA6298"/>
    <w:rsid w:val="00EA62DB"/>
    <w:rsid w:val="00EA6716"/>
    <w:rsid w:val="00EA7014"/>
    <w:rsid w:val="00EA7592"/>
    <w:rsid w:val="00EA768F"/>
    <w:rsid w:val="00EB0134"/>
    <w:rsid w:val="00EB046A"/>
    <w:rsid w:val="00EB08E3"/>
    <w:rsid w:val="00EB09B8"/>
    <w:rsid w:val="00EB17AA"/>
    <w:rsid w:val="00EB1845"/>
    <w:rsid w:val="00EB18C4"/>
    <w:rsid w:val="00EB1979"/>
    <w:rsid w:val="00EB19EF"/>
    <w:rsid w:val="00EB1FFD"/>
    <w:rsid w:val="00EB2056"/>
    <w:rsid w:val="00EB2719"/>
    <w:rsid w:val="00EB27B6"/>
    <w:rsid w:val="00EB27F7"/>
    <w:rsid w:val="00EB3014"/>
    <w:rsid w:val="00EB3F2D"/>
    <w:rsid w:val="00EB41FD"/>
    <w:rsid w:val="00EB494E"/>
    <w:rsid w:val="00EB4B42"/>
    <w:rsid w:val="00EB4B58"/>
    <w:rsid w:val="00EB5024"/>
    <w:rsid w:val="00EB504E"/>
    <w:rsid w:val="00EB5294"/>
    <w:rsid w:val="00EB52D7"/>
    <w:rsid w:val="00EB5376"/>
    <w:rsid w:val="00EB5501"/>
    <w:rsid w:val="00EB5929"/>
    <w:rsid w:val="00EB597A"/>
    <w:rsid w:val="00EB5DBD"/>
    <w:rsid w:val="00EB5E16"/>
    <w:rsid w:val="00EB6994"/>
    <w:rsid w:val="00EB7A0D"/>
    <w:rsid w:val="00EC0150"/>
    <w:rsid w:val="00EC03A4"/>
    <w:rsid w:val="00EC07CD"/>
    <w:rsid w:val="00EC09FF"/>
    <w:rsid w:val="00EC0E3D"/>
    <w:rsid w:val="00EC0F73"/>
    <w:rsid w:val="00EC0FE8"/>
    <w:rsid w:val="00EC1368"/>
    <w:rsid w:val="00EC2075"/>
    <w:rsid w:val="00EC2B7D"/>
    <w:rsid w:val="00EC2D4C"/>
    <w:rsid w:val="00EC2E4F"/>
    <w:rsid w:val="00EC3172"/>
    <w:rsid w:val="00EC3238"/>
    <w:rsid w:val="00EC3530"/>
    <w:rsid w:val="00EC372D"/>
    <w:rsid w:val="00EC39EF"/>
    <w:rsid w:val="00EC3AB3"/>
    <w:rsid w:val="00EC3D84"/>
    <w:rsid w:val="00EC3ED2"/>
    <w:rsid w:val="00EC41DC"/>
    <w:rsid w:val="00EC4381"/>
    <w:rsid w:val="00EC46A8"/>
    <w:rsid w:val="00EC4AB0"/>
    <w:rsid w:val="00EC4D1C"/>
    <w:rsid w:val="00EC4DBA"/>
    <w:rsid w:val="00EC51E5"/>
    <w:rsid w:val="00EC520C"/>
    <w:rsid w:val="00EC561C"/>
    <w:rsid w:val="00EC56D6"/>
    <w:rsid w:val="00EC5846"/>
    <w:rsid w:val="00EC586C"/>
    <w:rsid w:val="00EC59C7"/>
    <w:rsid w:val="00EC5CC6"/>
    <w:rsid w:val="00EC5E4D"/>
    <w:rsid w:val="00EC5EF0"/>
    <w:rsid w:val="00EC5F13"/>
    <w:rsid w:val="00EC632A"/>
    <w:rsid w:val="00EC693E"/>
    <w:rsid w:val="00EC6B59"/>
    <w:rsid w:val="00EC6C1F"/>
    <w:rsid w:val="00EC6C58"/>
    <w:rsid w:val="00EC6DCF"/>
    <w:rsid w:val="00EC73B4"/>
    <w:rsid w:val="00EC75D2"/>
    <w:rsid w:val="00EC7FDD"/>
    <w:rsid w:val="00ED075D"/>
    <w:rsid w:val="00ED08E4"/>
    <w:rsid w:val="00ED0A43"/>
    <w:rsid w:val="00ED1016"/>
    <w:rsid w:val="00ED114C"/>
    <w:rsid w:val="00ED1344"/>
    <w:rsid w:val="00ED175C"/>
    <w:rsid w:val="00ED1C69"/>
    <w:rsid w:val="00ED1FAA"/>
    <w:rsid w:val="00ED28D9"/>
    <w:rsid w:val="00ED2CBE"/>
    <w:rsid w:val="00ED3390"/>
    <w:rsid w:val="00ED3926"/>
    <w:rsid w:val="00ED3C0E"/>
    <w:rsid w:val="00ED3C46"/>
    <w:rsid w:val="00ED4743"/>
    <w:rsid w:val="00ED478C"/>
    <w:rsid w:val="00ED491E"/>
    <w:rsid w:val="00ED53BB"/>
    <w:rsid w:val="00ED58E7"/>
    <w:rsid w:val="00ED5919"/>
    <w:rsid w:val="00ED5FB0"/>
    <w:rsid w:val="00ED64E6"/>
    <w:rsid w:val="00ED6560"/>
    <w:rsid w:val="00ED6938"/>
    <w:rsid w:val="00ED6EB2"/>
    <w:rsid w:val="00ED71F5"/>
    <w:rsid w:val="00ED72E1"/>
    <w:rsid w:val="00ED73AD"/>
    <w:rsid w:val="00ED745E"/>
    <w:rsid w:val="00ED785A"/>
    <w:rsid w:val="00ED7E97"/>
    <w:rsid w:val="00ED7F27"/>
    <w:rsid w:val="00EE00CC"/>
    <w:rsid w:val="00EE01C3"/>
    <w:rsid w:val="00EE0205"/>
    <w:rsid w:val="00EE08B1"/>
    <w:rsid w:val="00EE0BEE"/>
    <w:rsid w:val="00EE0C52"/>
    <w:rsid w:val="00EE1AE1"/>
    <w:rsid w:val="00EE1B16"/>
    <w:rsid w:val="00EE1B79"/>
    <w:rsid w:val="00EE1C51"/>
    <w:rsid w:val="00EE21F4"/>
    <w:rsid w:val="00EE33DE"/>
    <w:rsid w:val="00EE3545"/>
    <w:rsid w:val="00EE390E"/>
    <w:rsid w:val="00EE399C"/>
    <w:rsid w:val="00EE3E41"/>
    <w:rsid w:val="00EE3F7C"/>
    <w:rsid w:val="00EE4D31"/>
    <w:rsid w:val="00EE4F18"/>
    <w:rsid w:val="00EE4F7C"/>
    <w:rsid w:val="00EE5E5C"/>
    <w:rsid w:val="00EE7674"/>
    <w:rsid w:val="00EE76F9"/>
    <w:rsid w:val="00EE7809"/>
    <w:rsid w:val="00EE7ADA"/>
    <w:rsid w:val="00EF0212"/>
    <w:rsid w:val="00EF0938"/>
    <w:rsid w:val="00EF095C"/>
    <w:rsid w:val="00EF0F31"/>
    <w:rsid w:val="00EF0F4B"/>
    <w:rsid w:val="00EF1579"/>
    <w:rsid w:val="00EF1BD7"/>
    <w:rsid w:val="00EF1D9B"/>
    <w:rsid w:val="00EF1F30"/>
    <w:rsid w:val="00EF2009"/>
    <w:rsid w:val="00EF27A4"/>
    <w:rsid w:val="00EF2BD6"/>
    <w:rsid w:val="00EF34E7"/>
    <w:rsid w:val="00EF35F2"/>
    <w:rsid w:val="00EF3738"/>
    <w:rsid w:val="00EF38A6"/>
    <w:rsid w:val="00EF4DD4"/>
    <w:rsid w:val="00EF4E8A"/>
    <w:rsid w:val="00EF515D"/>
    <w:rsid w:val="00EF5332"/>
    <w:rsid w:val="00EF5826"/>
    <w:rsid w:val="00EF5B78"/>
    <w:rsid w:val="00EF5BEA"/>
    <w:rsid w:val="00EF5C40"/>
    <w:rsid w:val="00EF5DB0"/>
    <w:rsid w:val="00EF638A"/>
    <w:rsid w:val="00EF64B8"/>
    <w:rsid w:val="00EF661F"/>
    <w:rsid w:val="00EF66FF"/>
    <w:rsid w:val="00EF6783"/>
    <w:rsid w:val="00EF7147"/>
    <w:rsid w:val="00EF7758"/>
    <w:rsid w:val="00EF782F"/>
    <w:rsid w:val="00EF7CD3"/>
    <w:rsid w:val="00EF7CD6"/>
    <w:rsid w:val="00EF7EBC"/>
    <w:rsid w:val="00F00694"/>
    <w:rsid w:val="00F00988"/>
    <w:rsid w:val="00F009E5"/>
    <w:rsid w:val="00F00BB1"/>
    <w:rsid w:val="00F00C8E"/>
    <w:rsid w:val="00F00F6F"/>
    <w:rsid w:val="00F0156C"/>
    <w:rsid w:val="00F01BCF"/>
    <w:rsid w:val="00F01F27"/>
    <w:rsid w:val="00F01F91"/>
    <w:rsid w:val="00F02ACE"/>
    <w:rsid w:val="00F02E52"/>
    <w:rsid w:val="00F02EF1"/>
    <w:rsid w:val="00F0317F"/>
    <w:rsid w:val="00F033A2"/>
    <w:rsid w:val="00F03583"/>
    <w:rsid w:val="00F03D80"/>
    <w:rsid w:val="00F043F1"/>
    <w:rsid w:val="00F0464A"/>
    <w:rsid w:val="00F0470B"/>
    <w:rsid w:val="00F04D8F"/>
    <w:rsid w:val="00F04EF4"/>
    <w:rsid w:val="00F050DD"/>
    <w:rsid w:val="00F05597"/>
    <w:rsid w:val="00F05E0A"/>
    <w:rsid w:val="00F05EA7"/>
    <w:rsid w:val="00F06195"/>
    <w:rsid w:val="00F061E4"/>
    <w:rsid w:val="00F06524"/>
    <w:rsid w:val="00F06F40"/>
    <w:rsid w:val="00F06FD3"/>
    <w:rsid w:val="00F07424"/>
    <w:rsid w:val="00F07D5F"/>
    <w:rsid w:val="00F104E3"/>
    <w:rsid w:val="00F1074A"/>
    <w:rsid w:val="00F109E6"/>
    <w:rsid w:val="00F116D0"/>
    <w:rsid w:val="00F11953"/>
    <w:rsid w:val="00F11C8A"/>
    <w:rsid w:val="00F12163"/>
    <w:rsid w:val="00F12408"/>
    <w:rsid w:val="00F1275C"/>
    <w:rsid w:val="00F127CE"/>
    <w:rsid w:val="00F12855"/>
    <w:rsid w:val="00F12DC2"/>
    <w:rsid w:val="00F12ED7"/>
    <w:rsid w:val="00F13185"/>
    <w:rsid w:val="00F13788"/>
    <w:rsid w:val="00F139DD"/>
    <w:rsid w:val="00F13AE9"/>
    <w:rsid w:val="00F13CF6"/>
    <w:rsid w:val="00F13F1E"/>
    <w:rsid w:val="00F141F3"/>
    <w:rsid w:val="00F147F9"/>
    <w:rsid w:val="00F14FC3"/>
    <w:rsid w:val="00F1579D"/>
    <w:rsid w:val="00F158D0"/>
    <w:rsid w:val="00F15A79"/>
    <w:rsid w:val="00F15AA1"/>
    <w:rsid w:val="00F15CA3"/>
    <w:rsid w:val="00F15E1B"/>
    <w:rsid w:val="00F16738"/>
    <w:rsid w:val="00F167EB"/>
    <w:rsid w:val="00F16C3E"/>
    <w:rsid w:val="00F16E38"/>
    <w:rsid w:val="00F16EA4"/>
    <w:rsid w:val="00F16EBD"/>
    <w:rsid w:val="00F174D3"/>
    <w:rsid w:val="00F177E3"/>
    <w:rsid w:val="00F20621"/>
    <w:rsid w:val="00F20ABC"/>
    <w:rsid w:val="00F20CE7"/>
    <w:rsid w:val="00F21504"/>
    <w:rsid w:val="00F2168E"/>
    <w:rsid w:val="00F2175E"/>
    <w:rsid w:val="00F21BAE"/>
    <w:rsid w:val="00F21CCE"/>
    <w:rsid w:val="00F2237C"/>
    <w:rsid w:val="00F22934"/>
    <w:rsid w:val="00F23087"/>
    <w:rsid w:val="00F23162"/>
    <w:rsid w:val="00F24526"/>
    <w:rsid w:val="00F24608"/>
    <w:rsid w:val="00F24885"/>
    <w:rsid w:val="00F24926"/>
    <w:rsid w:val="00F24C1C"/>
    <w:rsid w:val="00F252DD"/>
    <w:rsid w:val="00F2533A"/>
    <w:rsid w:val="00F253F6"/>
    <w:rsid w:val="00F25967"/>
    <w:rsid w:val="00F25B87"/>
    <w:rsid w:val="00F26575"/>
    <w:rsid w:val="00F265AC"/>
    <w:rsid w:val="00F26C41"/>
    <w:rsid w:val="00F27169"/>
    <w:rsid w:val="00F302C2"/>
    <w:rsid w:val="00F3067A"/>
    <w:rsid w:val="00F30835"/>
    <w:rsid w:val="00F30A79"/>
    <w:rsid w:val="00F30BB9"/>
    <w:rsid w:val="00F31642"/>
    <w:rsid w:val="00F31E63"/>
    <w:rsid w:val="00F327A5"/>
    <w:rsid w:val="00F32D74"/>
    <w:rsid w:val="00F3308E"/>
    <w:rsid w:val="00F33292"/>
    <w:rsid w:val="00F332CF"/>
    <w:rsid w:val="00F333A2"/>
    <w:rsid w:val="00F33472"/>
    <w:rsid w:val="00F33CF4"/>
    <w:rsid w:val="00F340B2"/>
    <w:rsid w:val="00F35DE2"/>
    <w:rsid w:val="00F35ED0"/>
    <w:rsid w:val="00F35F83"/>
    <w:rsid w:val="00F3625D"/>
    <w:rsid w:val="00F3684A"/>
    <w:rsid w:val="00F36C2D"/>
    <w:rsid w:val="00F36D27"/>
    <w:rsid w:val="00F37536"/>
    <w:rsid w:val="00F37888"/>
    <w:rsid w:val="00F37A86"/>
    <w:rsid w:val="00F37CE2"/>
    <w:rsid w:val="00F37DB8"/>
    <w:rsid w:val="00F407F4"/>
    <w:rsid w:val="00F408DF"/>
    <w:rsid w:val="00F409F0"/>
    <w:rsid w:val="00F40A17"/>
    <w:rsid w:val="00F40BE9"/>
    <w:rsid w:val="00F40CDC"/>
    <w:rsid w:val="00F40ECD"/>
    <w:rsid w:val="00F41054"/>
    <w:rsid w:val="00F41176"/>
    <w:rsid w:val="00F411D1"/>
    <w:rsid w:val="00F4141C"/>
    <w:rsid w:val="00F419A2"/>
    <w:rsid w:val="00F41CC2"/>
    <w:rsid w:val="00F42F3C"/>
    <w:rsid w:val="00F43492"/>
    <w:rsid w:val="00F43786"/>
    <w:rsid w:val="00F43CB1"/>
    <w:rsid w:val="00F43DE6"/>
    <w:rsid w:val="00F43FD5"/>
    <w:rsid w:val="00F442EA"/>
    <w:rsid w:val="00F44313"/>
    <w:rsid w:val="00F44829"/>
    <w:rsid w:val="00F44D70"/>
    <w:rsid w:val="00F44E4B"/>
    <w:rsid w:val="00F4538C"/>
    <w:rsid w:val="00F45837"/>
    <w:rsid w:val="00F458CA"/>
    <w:rsid w:val="00F45B85"/>
    <w:rsid w:val="00F45B98"/>
    <w:rsid w:val="00F45C6F"/>
    <w:rsid w:val="00F45DB2"/>
    <w:rsid w:val="00F45E23"/>
    <w:rsid w:val="00F460D8"/>
    <w:rsid w:val="00F461F3"/>
    <w:rsid w:val="00F4667D"/>
    <w:rsid w:val="00F46751"/>
    <w:rsid w:val="00F469F3"/>
    <w:rsid w:val="00F46D6C"/>
    <w:rsid w:val="00F47223"/>
    <w:rsid w:val="00F472E7"/>
    <w:rsid w:val="00F475EA"/>
    <w:rsid w:val="00F47669"/>
    <w:rsid w:val="00F47683"/>
    <w:rsid w:val="00F47CB8"/>
    <w:rsid w:val="00F47CD9"/>
    <w:rsid w:val="00F50329"/>
    <w:rsid w:val="00F5097F"/>
    <w:rsid w:val="00F50C10"/>
    <w:rsid w:val="00F50F89"/>
    <w:rsid w:val="00F51D5B"/>
    <w:rsid w:val="00F5201E"/>
    <w:rsid w:val="00F52183"/>
    <w:rsid w:val="00F52C7E"/>
    <w:rsid w:val="00F52F12"/>
    <w:rsid w:val="00F53929"/>
    <w:rsid w:val="00F54E23"/>
    <w:rsid w:val="00F54ECE"/>
    <w:rsid w:val="00F550EA"/>
    <w:rsid w:val="00F55BED"/>
    <w:rsid w:val="00F55DBD"/>
    <w:rsid w:val="00F5616D"/>
    <w:rsid w:val="00F564A1"/>
    <w:rsid w:val="00F568B3"/>
    <w:rsid w:val="00F56904"/>
    <w:rsid w:val="00F5729E"/>
    <w:rsid w:val="00F5759E"/>
    <w:rsid w:val="00F576FB"/>
    <w:rsid w:val="00F57956"/>
    <w:rsid w:val="00F57B39"/>
    <w:rsid w:val="00F57BE0"/>
    <w:rsid w:val="00F57C46"/>
    <w:rsid w:val="00F60353"/>
    <w:rsid w:val="00F60466"/>
    <w:rsid w:val="00F60783"/>
    <w:rsid w:val="00F60903"/>
    <w:rsid w:val="00F60984"/>
    <w:rsid w:val="00F60EA4"/>
    <w:rsid w:val="00F61A8A"/>
    <w:rsid w:val="00F62078"/>
    <w:rsid w:val="00F620AF"/>
    <w:rsid w:val="00F62172"/>
    <w:rsid w:val="00F6228E"/>
    <w:rsid w:val="00F62AB3"/>
    <w:rsid w:val="00F62E38"/>
    <w:rsid w:val="00F63B67"/>
    <w:rsid w:val="00F63C94"/>
    <w:rsid w:val="00F64418"/>
    <w:rsid w:val="00F647C8"/>
    <w:rsid w:val="00F649F5"/>
    <w:rsid w:val="00F64E20"/>
    <w:rsid w:val="00F65036"/>
    <w:rsid w:val="00F650A3"/>
    <w:rsid w:val="00F65147"/>
    <w:rsid w:val="00F652BB"/>
    <w:rsid w:val="00F6537C"/>
    <w:rsid w:val="00F65771"/>
    <w:rsid w:val="00F65DE2"/>
    <w:rsid w:val="00F661C4"/>
    <w:rsid w:val="00F6694C"/>
    <w:rsid w:val="00F66AF2"/>
    <w:rsid w:val="00F6729B"/>
    <w:rsid w:val="00F67BA5"/>
    <w:rsid w:val="00F67D33"/>
    <w:rsid w:val="00F70237"/>
    <w:rsid w:val="00F703A6"/>
    <w:rsid w:val="00F70645"/>
    <w:rsid w:val="00F70A22"/>
    <w:rsid w:val="00F70C1A"/>
    <w:rsid w:val="00F71534"/>
    <w:rsid w:val="00F717AF"/>
    <w:rsid w:val="00F71EA3"/>
    <w:rsid w:val="00F7203E"/>
    <w:rsid w:val="00F727CD"/>
    <w:rsid w:val="00F727F3"/>
    <w:rsid w:val="00F7295D"/>
    <w:rsid w:val="00F72C1B"/>
    <w:rsid w:val="00F731F3"/>
    <w:rsid w:val="00F73C8E"/>
    <w:rsid w:val="00F74101"/>
    <w:rsid w:val="00F74466"/>
    <w:rsid w:val="00F74770"/>
    <w:rsid w:val="00F74965"/>
    <w:rsid w:val="00F74AC0"/>
    <w:rsid w:val="00F74D99"/>
    <w:rsid w:val="00F74E80"/>
    <w:rsid w:val="00F74FA6"/>
    <w:rsid w:val="00F75182"/>
    <w:rsid w:val="00F752C9"/>
    <w:rsid w:val="00F75A73"/>
    <w:rsid w:val="00F76060"/>
    <w:rsid w:val="00F76A7C"/>
    <w:rsid w:val="00F76EB8"/>
    <w:rsid w:val="00F77031"/>
    <w:rsid w:val="00F777E2"/>
    <w:rsid w:val="00F77E06"/>
    <w:rsid w:val="00F803E8"/>
    <w:rsid w:val="00F8097F"/>
    <w:rsid w:val="00F809C3"/>
    <w:rsid w:val="00F80C4D"/>
    <w:rsid w:val="00F80CEA"/>
    <w:rsid w:val="00F8132A"/>
    <w:rsid w:val="00F8149D"/>
    <w:rsid w:val="00F8178D"/>
    <w:rsid w:val="00F81AEF"/>
    <w:rsid w:val="00F81BE8"/>
    <w:rsid w:val="00F821ED"/>
    <w:rsid w:val="00F8229E"/>
    <w:rsid w:val="00F82696"/>
    <w:rsid w:val="00F82B01"/>
    <w:rsid w:val="00F83255"/>
    <w:rsid w:val="00F8356D"/>
    <w:rsid w:val="00F8384A"/>
    <w:rsid w:val="00F83BAD"/>
    <w:rsid w:val="00F84C48"/>
    <w:rsid w:val="00F84CAC"/>
    <w:rsid w:val="00F84F58"/>
    <w:rsid w:val="00F85367"/>
    <w:rsid w:val="00F853BB"/>
    <w:rsid w:val="00F8585F"/>
    <w:rsid w:val="00F85917"/>
    <w:rsid w:val="00F85CD5"/>
    <w:rsid w:val="00F86732"/>
    <w:rsid w:val="00F86783"/>
    <w:rsid w:val="00F86CD7"/>
    <w:rsid w:val="00F87635"/>
    <w:rsid w:val="00F91101"/>
    <w:rsid w:val="00F91124"/>
    <w:rsid w:val="00F917CF"/>
    <w:rsid w:val="00F9199A"/>
    <w:rsid w:val="00F9228E"/>
    <w:rsid w:val="00F923D8"/>
    <w:rsid w:val="00F92B6C"/>
    <w:rsid w:val="00F92E77"/>
    <w:rsid w:val="00F92EC6"/>
    <w:rsid w:val="00F93027"/>
    <w:rsid w:val="00F933D3"/>
    <w:rsid w:val="00F943B7"/>
    <w:rsid w:val="00F945B3"/>
    <w:rsid w:val="00F948A6"/>
    <w:rsid w:val="00F95BA3"/>
    <w:rsid w:val="00F95C18"/>
    <w:rsid w:val="00F96145"/>
    <w:rsid w:val="00F96208"/>
    <w:rsid w:val="00F96664"/>
    <w:rsid w:val="00F96BFF"/>
    <w:rsid w:val="00F96E97"/>
    <w:rsid w:val="00F9701A"/>
    <w:rsid w:val="00F97156"/>
    <w:rsid w:val="00F97807"/>
    <w:rsid w:val="00F97809"/>
    <w:rsid w:val="00FA0685"/>
    <w:rsid w:val="00FA15E4"/>
    <w:rsid w:val="00FA1634"/>
    <w:rsid w:val="00FA1713"/>
    <w:rsid w:val="00FA1AED"/>
    <w:rsid w:val="00FA1CF2"/>
    <w:rsid w:val="00FA1E4A"/>
    <w:rsid w:val="00FA2C64"/>
    <w:rsid w:val="00FA4A33"/>
    <w:rsid w:val="00FA4B27"/>
    <w:rsid w:val="00FA4F12"/>
    <w:rsid w:val="00FA5043"/>
    <w:rsid w:val="00FA5237"/>
    <w:rsid w:val="00FA52F8"/>
    <w:rsid w:val="00FA5432"/>
    <w:rsid w:val="00FA5E55"/>
    <w:rsid w:val="00FA629E"/>
    <w:rsid w:val="00FA6846"/>
    <w:rsid w:val="00FA78A6"/>
    <w:rsid w:val="00FA7AC9"/>
    <w:rsid w:val="00FA7CDA"/>
    <w:rsid w:val="00FA7F56"/>
    <w:rsid w:val="00FB030B"/>
    <w:rsid w:val="00FB0610"/>
    <w:rsid w:val="00FB0722"/>
    <w:rsid w:val="00FB07C1"/>
    <w:rsid w:val="00FB0BF5"/>
    <w:rsid w:val="00FB1550"/>
    <w:rsid w:val="00FB1CF1"/>
    <w:rsid w:val="00FB1D58"/>
    <w:rsid w:val="00FB26F7"/>
    <w:rsid w:val="00FB2732"/>
    <w:rsid w:val="00FB2808"/>
    <w:rsid w:val="00FB28D6"/>
    <w:rsid w:val="00FB29D2"/>
    <w:rsid w:val="00FB2F8D"/>
    <w:rsid w:val="00FB320C"/>
    <w:rsid w:val="00FB32B4"/>
    <w:rsid w:val="00FB37EA"/>
    <w:rsid w:val="00FB3FB0"/>
    <w:rsid w:val="00FB4029"/>
    <w:rsid w:val="00FB432A"/>
    <w:rsid w:val="00FB4398"/>
    <w:rsid w:val="00FB43B5"/>
    <w:rsid w:val="00FB4679"/>
    <w:rsid w:val="00FB57E6"/>
    <w:rsid w:val="00FB5BEC"/>
    <w:rsid w:val="00FB5D9E"/>
    <w:rsid w:val="00FB61CE"/>
    <w:rsid w:val="00FB62C3"/>
    <w:rsid w:val="00FB632D"/>
    <w:rsid w:val="00FB6494"/>
    <w:rsid w:val="00FB65AC"/>
    <w:rsid w:val="00FB686C"/>
    <w:rsid w:val="00FB6B25"/>
    <w:rsid w:val="00FB6B98"/>
    <w:rsid w:val="00FB6C98"/>
    <w:rsid w:val="00FB6CD4"/>
    <w:rsid w:val="00FB6DC8"/>
    <w:rsid w:val="00FB6F86"/>
    <w:rsid w:val="00FB7A2E"/>
    <w:rsid w:val="00FC084D"/>
    <w:rsid w:val="00FC0F93"/>
    <w:rsid w:val="00FC16A7"/>
    <w:rsid w:val="00FC21C6"/>
    <w:rsid w:val="00FC2248"/>
    <w:rsid w:val="00FC235D"/>
    <w:rsid w:val="00FC2494"/>
    <w:rsid w:val="00FC2FBD"/>
    <w:rsid w:val="00FC3024"/>
    <w:rsid w:val="00FC36B0"/>
    <w:rsid w:val="00FC3863"/>
    <w:rsid w:val="00FC48AE"/>
    <w:rsid w:val="00FC48D4"/>
    <w:rsid w:val="00FC4BD9"/>
    <w:rsid w:val="00FC4D30"/>
    <w:rsid w:val="00FC4D9A"/>
    <w:rsid w:val="00FC501B"/>
    <w:rsid w:val="00FC52B5"/>
    <w:rsid w:val="00FC5547"/>
    <w:rsid w:val="00FC58D3"/>
    <w:rsid w:val="00FC5A69"/>
    <w:rsid w:val="00FC5AFA"/>
    <w:rsid w:val="00FC63B5"/>
    <w:rsid w:val="00FC6702"/>
    <w:rsid w:val="00FC698D"/>
    <w:rsid w:val="00FC70C9"/>
    <w:rsid w:val="00FC71E8"/>
    <w:rsid w:val="00FC73F6"/>
    <w:rsid w:val="00FC75F9"/>
    <w:rsid w:val="00FC79A6"/>
    <w:rsid w:val="00FC7D44"/>
    <w:rsid w:val="00FC7D91"/>
    <w:rsid w:val="00FC7DD9"/>
    <w:rsid w:val="00FC7E8B"/>
    <w:rsid w:val="00FC7FFB"/>
    <w:rsid w:val="00FD080C"/>
    <w:rsid w:val="00FD084A"/>
    <w:rsid w:val="00FD094E"/>
    <w:rsid w:val="00FD1182"/>
    <w:rsid w:val="00FD1636"/>
    <w:rsid w:val="00FD187B"/>
    <w:rsid w:val="00FD2521"/>
    <w:rsid w:val="00FD262A"/>
    <w:rsid w:val="00FD286B"/>
    <w:rsid w:val="00FD2B91"/>
    <w:rsid w:val="00FD3115"/>
    <w:rsid w:val="00FD3549"/>
    <w:rsid w:val="00FD431F"/>
    <w:rsid w:val="00FD4876"/>
    <w:rsid w:val="00FD497B"/>
    <w:rsid w:val="00FD5475"/>
    <w:rsid w:val="00FD55E9"/>
    <w:rsid w:val="00FD57B7"/>
    <w:rsid w:val="00FD5A34"/>
    <w:rsid w:val="00FD5BB3"/>
    <w:rsid w:val="00FD5CD1"/>
    <w:rsid w:val="00FD614D"/>
    <w:rsid w:val="00FD6B20"/>
    <w:rsid w:val="00FD6C4A"/>
    <w:rsid w:val="00FD6F57"/>
    <w:rsid w:val="00FD764F"/>
    <w:rsid w:val="00FD778E"/>
    <w:rsid w:val="00FD7D6E"/>
    <w:rsid w:val="00FE0071"/>
    <w:rsid w:val="00FE0478"/>
    <w:rsid w:val="00FE0753"/>
    <w:rsid w:val="00FE086A"/>
    <w:rsid w:val="00FE0956"/>
    <w:rsid w:val="00FE0C89"/>
    <w:rsid w:val="00FE1CA7"/>
    <w:rsid w:val="00FE1D5D"/>
    <w:rsid w:val="00FE1FBA"/>
    <w:rsid w:val="00FE2110"/>
    <w:rsid w:val="00FE256E"/>
    <w:rsid w:val="00FE27B5"/>
    <w:rsid w:val="00FE2BE0"/>
    <w:rsid w:val="00FE3446"/>
    <w:rsid w:val="00FE37B7"/>
    <w:rsid w:val="00FE39A4"/>
    <w:rsid w:val="00FE3B2E"/>
    <w:rsid w:val="00FE3E56"/>
    <w:rsid w:val="00FE3E63"/>
    <w:rsid w:val="00FE3E86"/>
    <w:rsid w:val="00FE3EF6"/>
    <w:rsid w:val="00FE4072"/>
    <w:rsid w:val="00FE479B"/>
    <w:rsid w:val="00FE4A20"/>
    <w:rsid w:val="00FE5056"/>
    <w:rsid w:val="00FE52E3"/>
    <w:rsid w:val="00FE5922"/>
    <w:rsid w:val="00FE5E9E"/>
    <w:rsid w:val="00FE60CB"/>
    <w:rsid w:val="00FE63DF"/>
    <w:rsid w:val="00FE68C2"/>
    <w:rsid w:val="00FE6E88"/>
    <w:rsid w:val="00FE7460"/>
    <w:rsid w:val="00FE7506"/>
    <w:rsid w:val="00FE7B3B"/>
    <w:rsid w:val="00FF01FC"/>
    <w:rsid w:val="00FF031C"/>
    <w:rsid w:val="00FF0555"/>
    <w:rsid w:val="00FF07CA"/>
    <w:rsid w:val="00FF0F23"/>
    <w:rsid w:val="00FF108C"/>
    <w:rsid w:val="00FF149B"/>
    <w:rsid w:val="00FF1F7F"/>
    <w:rsid w:val="00FF26F8"/>
    <w:rsid w:val="00FF27E0"/>
    <w:rsid w:val="00FF296D"/>
    <w:rsid w:val="00FF3335"/>
    <w:rsid w:val="00FF366D"/>
    <w:rsid w:val="00FF3DE9"/>
    <w:rsid w:val="00FF3F67"/>
    <w:rsid w:val="00FF4141"/>
    <w:rsid w:val="00FF43AC"/>
    <w:rsid w:val="00FF4547"/>
    <w:rsid w:val="00FF4923"/>
    <w:rsid w:val="00FF4A2A"/>
    <w:rsid w:val="00FF4B8B"/>
    <w:rsid w:val="00FF4DF9"/>
    <w:rsid w:val="00FF4EB2"/>
    <w:rsid w:val="00FF4F7F"/>
    <w:rsid w:val="00FF5008"/>
    <w:rsid w:val="00FF5656"/>
    <w:rsid w:val="00FF6432"/>
    <w:rsid w:val="00FF6526"/>
    <w:rsid w:val="00FF666A"/>
    <w:rsid w:val="00FF6950"/>
    <w:rsid w:val="00FF6EF3"/>
    <w:rsid w:val="00FF72BB"/>
    <w:rsid w:val="00FF7601"/>
    <w:rsid w:val="00FF76B9"/>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CD4CD29"/>
  <w15:docId w15:val="{28FD80D5-8630-4DCC-AE3B-3565BE62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05B"/>
    <w:rPr>
      <w:sz w:val="24"/>
      <w:szCs w:val="24"/>
    </w:rPr>
  </w:style>
  <w:style w:type="paragraph" w:styleId="Heading1">
    <w:name w:val="heading 1"/>
    <w:basedOn w:val="Normal"/>
    <w:next w:val="Normal"/>
    <w:link w:val="Heading1Char"/>
    <w:qFormat/>
    <w:rsid w:val="00752F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Style 3,Style 6,FR,Appel note de bas de p,Style 124,callout,Style 23,Style 34"/>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 w:type="character" w:styleId="Emphasis">
    <w:name w:val="Emphasis"/>
    <w:uiPriority w:val="20"/>
    <w:qFormat/>
    <w:rsid w:val="003E6327"/>
    <w:rPr>
      <w:sz w:val="26"/>
      <w:szCs w:val="26"/>
      <w:vertAlign w:val="superscript"/>
    </w:rPr>
  </w:style>
  <w:style w:type="character" w:styleId="CommentReference">
    <w:name w:val="annotation reference"/>
    <w:basedOn w:val="DefaultParagraphFont"/>
    <w:rsid w:val="00E31B81"/>
    <w:rPr>
      <w:sz w:val="16"/>
      <w:szCs w:val="16"/>
    </w:rPr>
  </w:style>
  <w:style w:type="paragraph" w:styleId="CommentText">
    <w:name w:val="annotation text"/>
    <w:basedOn w:val="Normal"/>
    <w:link w:val="CommentTextChar"/>
    <w:rsid w:val="00E31B81"/>
    <w:rPr>
      <w:sz w:val="20"/>
      <w:szCs w:val="20"/>
    </w:rPr>
  </w:style>
  <w:style w:type="character" w:customStyle="1" w:styleId="CommentTextChar">
    <w:name w:val="Comment Text Char"/>
    <w:basedOn w:val="DefaultParagraphFont"/>
    <w:link w:val="CommentText"/>
    <w:rsid w:val="00E31B81"/>
  </w:style>
  <w:style w:type="paragraph" w:styleId="CommentSubject">
    <w:name w:val="annotation subject"/>
    <w:basedOn w:val="CommentText"/>
    <w:next w:val="CommentText"/>
    <w:link w:val="CommentSubjectChar"/>
    <w:rsid w:val="00E31B81"/>
    <w:rPr>
      <w:b/>
      <w:bCs/>
    </w:rPr>
  </w:style>
  <w:style w:type="character" w:customStyle="1" w:styleId="CommentSubjectChar">
    <w:name w:val="Comment Subject Char"/>
    <w:basedOn w:val="CommentTextChar"/>
    <w:link w:val="CommentSubject"/>
    <w:rsid w:val="00E31B81"/>
    <w:rPr>
      <w:b/>
      <w:bCs/>
    </w:rPr>
  </w:style>
  <w:style w:type="character" w:customStyle="1" w:styleId="Heading1Char">
    <w:name w:val="Heading 1 Char"/>
    <w:basedOn w:val="DefaultParagraphFont"/>
    <w:link w:val="Heading1"/>
    <w:rsid w:val="00752F7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64A4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57469"/>
    <w:rPr>
      <w:sz w:val="24"/>
      <w:szCs w:val="24"/>
    </w:rPr>
  </w:style>
  <w:style w:type="paragraph" w:styleId="Header">
    <w:name w:val="header"/>
    <w:basedOn w:val="Normal"/>
    <w:link w:val="HeaderChar"/>
    <w:rsid w:val="009D6611"/>
    <w:pPr>
      <w:tabs>
        <w:tab w:val="center" w:pos="4680"/>
        <w:tab w:val="right" w:pos="9360"/>
      </w:tabs>
    </w:pPr>
  </w:style>
  <w:style w:type="character" w:customStyle="1" w:styleId="HeaderChar">
    <w:name w:val="Header Char"/>
    <w:basedOn w:val="DefaultParagraphFont"/>
    <w:link w:val="Header"/>
    <w:rsid w:val="009D6611"/>
    <w:rPr>
      <w:sz w:val="24"/>
      <w:szCs w:val="24"/>
    </w:rPr>
  </w:style>
  <w:style w:type="paragraph" w:customStyle="1" w:styleId="Default">
    <w:name w:val="Default"/>
    <w:rsid w:val="00D24299"/>
    <w:pPr>
      <w:autoSpaceDE w:val="0"/>
      <w:autoSpaceDN w:val="0"/>
      <w:adjustRightInd w:val="0"/>
    </w:pPr>
    <w:rPr>
      <w:rFonts w:ascii="Courier New" w:eastAsiaTheme="minorHAnsi"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1499">
      <w:bodyDiv w:val="1"/>
      <w:marLeft w:val="0"/>
      <w:marRight w:val="0"/>
      <w:marTop w:val="0"/>
      <w:marBottom w:val="0"/>
      <w:divBdr>
        <w:top w:val="none" w:sz="0" w:space="0" w:color="auto"/>
        <w:left w:val="none" w:sz="0" w:space="0" w:color="auto"/>
        <w:bottom w:val="none" w:sz="0" w:space="0" w:color="auto"/>
        <w:right w:val="none" w:sz="0" w:space="0" w:color="auto"/>
      </w:divBdr>
    </w:div>
    <w:div w:id="72120618">
      <w:bodyDiv w:val="1"/>
      <w:marLeft w:val="0"/>
      <w:marRight w:val="0"/>
      <w:marTop w:val="0"/>
      <w:marBottom w:val="0"/>
      <w:divBdr>
        <w:top w:val="none" w:sz="0" w:space="0" w:color="auto"/>
        <w:left w:val="none" w:sz="0" w:space="0" w:color="auto"/>
        <w:bottom w:val="none" w:sz="0" w:space="0" w:color="auto"/>
        <w:right w:val="none" w:sz="0" w:space="0" w:color="auto"/>
      </w:divBdr>
    </w:div>
    <w:div w:id="95368630">
      <w:bodyDiv w:val="1"/>
      <w:marLeft w:val="0"/>
      <w:marRight w:val="0"/>
      <w:marTop w:val="0"/>
      <w:marBottom w:val="0"/>
      <w:divBdr>
        <w:top w:val="none" w:sz="0" w:space="0" w:color="auto"/>
        <w:left w:val="none" w:sz="0" w:space="0" w:color="auto"/>
        <w:bottom w:val="none" w:sz="0" w:space="0" w:color="auto"/>
        <w:right w:val="none" w:sz="0" w:space="0" w:color="auto"/>
      </w:divBdr>
    </w:div>
    <w:div w:id="112872032">
      <w:bodyDiv w:val="1"/>
      <w:marLeft w:val="0"/>
      <w:marRight w:val="0"/>
      <w:marTop w:val="0"/>
      <w:marBottom w:val="0"/>
      <w:divBdr>
        <w:top w:val="none" w:sz="0" w:space="0" w:color="auto"/>
        <w:left w:val="none" w:sz="0" w:space="0" w:color="auto"/>
        <w:bottom w:val="none" w:sz="0" w:space="0" w:color="auto"/>
        <w:right w:val="none" w:sz="0" w:space="0" w:color="auto"/>
      </w:divBdr>
    </w:div>
    <w:div w:id="138035680">
      <w:bodyDiv w:val="1"/>
      <w:marLeft w:val="0"/>
      <w:marRight w:val="0"/>
      <w:marTop w:val="0"/>
      <w:marBottom w:val="0"/>
      <w:divBdr>
        <w:top w:val="none" w:sz="0" w:space="0" w:color="auto"/>
        <w:left w:val="none" w:sz="0" w:space="0" w:color="auto"/>
        <w:bottom w:val="none" w:sz="0" w:space="0" w:color="auto"/>
        <w:right w:val="none" w:sz="0" w:space="0" w:color="auto"/>
      </w:divBdr>
    </w:div>
    <w:div w:id="150144753">
      <w:bodyDiv w:val="1"/>
      <w:marLeft w:val="0"/>
      <w:marRight w:val="0"/>
      <w:marTop w:val="0"/>
      <w:marBottom w:val="0"/>
      <w:divBdr>
        <w:top w:val="none" w:sz="0" w:space="0" w:color="auto"/>
        <w:left w:val="none" w:sz="0" w:space="0" w:color="auto"/>
        <w:bottom w:val="none" w:sz="0" w:space="0" w:color="auto"/>
        <w:right w:val="none" w:sz="0" w:space="0" w:color="auto"/>
      </w:divBdr>
    </w:div>
    <w:div w:id="185220077">
      <w:bodyDiv w:val="1"/>
      <w:marLeft w:val="0"/>
      <w:marRight w:val="0"/>
      <w:marTop w:val="0"/>
      <w:marBottom w:val="0"/>
      <w:divBdr>
        <w:top w:val="none" w:sz="0" w:space="0" w:color="auto"/>
        <w:left w:val="none" w:sz="0" w:space="0" w:color="auto"/>
        <w:bottom w:val="none" w:sz="0" w:space="0" w:color="auto"/>
        <w:right w:val="none" w:sz="0" w:space="0" w:color="auto"/>
      </w:divBdr>
    </w:div>
    <w:div w:id="199826099">
      <w:bodyDiv w:val="1"/>
      <w:marLeft w:val="0"/>
      <w:marRight w:val="0"/>
      <w:marTop w:val="0"/>
      <w:marBottom w:val="0"/>
      <w:divBdr>
        <w:top w:val="none" w:sz="0" w:space="0" w:color="auto"/>
        <w:left w:val="none" w:sz="0" w:space="0" w:color="auto"/>
        <w:bottom w:val="none" w:sz="0" w:space="0" w:color="auto"/>
        <w:right w:val="none" w:sz="0" w:space="0" w:color="auto"/>
      </w:divBdr>
    </w:div>
    <w:div w:id="265576754">
      <w:bodyDiv w:val="1"/>
      <w:marLeft w:val="0"/>
      <w:marRight w:val="0"/>
      <w:marTop w:val="0"/>
      <w:marBottom w:val="0"/>
      <w:divBdr>
        <w:top w:val="none" w:sz="0" w:space="0" w:color="auto"/>
        <w:left w:val="none" w:sz="0" w:space="0" w:color="auto"/>
        <w:bottom w:val="none" w:sz="0" w:space="0" w:color="auto"/>
        <w:right w:val="none" w:sz="0" w:space="0" w:color="auto"/>
      </w:divBdr>
    </w:div>
    <w:div w:id="423259204">
      <w:bodyDiv w:val="1"/>
      <w:marLeft w:val="0"/>
      <w:marRight w:val="0"/>
      <w:marTop w:val="0"/>
      <w:marBottom w:val="0"/>
      <w:divBdr>
        <w:top w:val="none" w:sz="0" w:space="0" w:color="auto"/>
        <w:left w:val="none" w:sz="0" w:space="0" w:color="auto"/>
        <w:bottom w:val="none" w:sz="0" w:space="0" w:color="auto"/>
        <w:right w:val="none" w:sz="0" w:space="0" w:color="auto"/>
      </w:divBdr>
    </w:div>
    <w:div w:id="559633844">
      <w:bodyDiv w:val="1"/>
      <w:marLeft w:val="0"/>
      <w:marRight w:val="0"/>
      <w:marTop w:val="0"/>
      <w:marBottom w:val="0"/>
      <w:divBdr>
        <w:top w:val="none" w:sz="0" w:space="0" w:color="auto"/>
        <w:left w:val="none" w:sz="0" w:space="0" w:color="auto"/>
        <w:bottom w:val="none" w:sz="0" w:space="0" w:color="auto"/>
        <w:right w:val="none" w:sz="0" w:space="0" w:color="auto"/>
      </w:divBdr>
    </w:div>
    <w:div w:id="573396681">
      <w:bodyDiv w:val="1"/>
      <w:marLeft w:val="0"/>
      <w:marRight w:val="0"/>
      <w:marTop w:val="0"/>
      <w:marBottom w:val="0"/>
      <w:divBdr>
        <w:top w:val="none" w:sz="0" w:space="0" w:color="auto"/>
        <w:left w:val="none" w:sz="0" w:space="0" w:color="auto"/>
        <w:bottom w:val="none" w:sz="0" w:space="0" w:color="auto"/>
        <w:right w:val="none" w:sz="0" w:space="0" w:color="auto"/>
      </w:divBdr>
    </w:div>
    <w:div w:id="631331596">
      <w:bodyDiv w:val="1"/>
      <w:marLeft w:val="0"/>
      <w:marRight w:val="0"/>
      <w:marTop w:val="0"/>
      <w:marBottom w:val="0"/>
      <w:divBdr>
        <w:top w:val="none" w:sz="0" w:space="0" w:color="auto"/>
        <w:left w:val="none" w:sz="0" w:space="0" w:color="auto"/>
        <w:bottom w:val="none" w:sz="0" w:space="0" w:color="auto"/>
        <w:right w:val="none" w:sz="0" w:space="0" w:color="auto"/>
      </w:divBdr>
    </w:div>
    <w:div w:id="638073138">
      <w:bodyDiv w:val="1"/>
      <w:marLeft w:val="0"/>
      <w:marRight w:val="0"/>
      <w:marTop w:val="0"/>
      <w:marBottom w:val="0"/>
      <w:divBdr>
        <w:top w:val="none" w:sz="0" w:space="0" w:color="auto"/>
        <w:left w:val="none" w:sz="0" w:space="0" w:color="auto"/>
        <w:bottom w:val="none" w:sz="0" w:space="0" w:color="auto"/>
        <w:right w:val="none" w:sz="0" w:space="0" w:color="auto"/>
      </w:divBdr>
    </w:div>
    <w:div w:id="676347713">
      <w:bodyDiv w:val="1"/>
      <w:marLeft w:val="0"/>
      <w:marRight w:val="0"/>
      <w:marTop w:val="0"/>
      <w:marBottom w:val="0"/>
      <w:divBdr>
        <w:top w:val="none" w:sz="0" w:space="0" w:color="auto"/>
        <w:left w:val="none" w:sz="0" w:space="0" w:color="auto"/>
        <w:bottom w:val="none" w:sz="0" w:space="0" w:color="auto"/>
        <w:right w:val="none" w:sz="0" w:space="0" w:color="auto"/>
      </w:divBdr>
    </w:div>
    <w:div w:id="711076018">
      <w:bodyDiv w:val="1"/>
      <w:marLeft w:val="0"/>
      <w:marRight w:val="0"/>
      <w:marTop w:val="0"/>
      <w:marBottom w:val="0"/>
      <w:divBdr>
        <w:top w:val="none" w:sz="0" w:space="0" w:color="auto"/>
        <w:left w:val="none" w:sz="0" w:space="0" w:color="auto"/>
        <w:bottom w:val="none" w:sz="0" w:space="0" w:color="auto"/>
        <w:right w:val="none" w:sz="0" w:space="0" w:color="auto"/>
      </w:divBdr>
    </w:div>
    <w:div w:id="756438300">
      <w:bodyDiv w:val="1"/>
      <w:marLeft w:val="0"/>
      <w:marRight w:val="0"/>
      <w:marTop w:val="0"/>
      <w:marBottom w:val="0"/>
      <w:divBdr>
        <w:top w:val="none" w:sz="0" w:space="0" w:color="auto"/>
        <w:left w:val="none" w:sz="0" w:space="0" w:color="auto"/>
        <w:bottom w:val="none" w:sz="0" w:space="0" w:color="auto"/>
        <w:right w:val="none" w:sz="0" w:space="0" w:color="auto"/>
      </w:divBdr>
    </w:div>
    <w:div w:id="771510232">
      <w:bodyDiv w:val="1"/>
      <w:marLeft w:val="0"/>
      <w:marRight w:val="0"/>
      <w:marTop w:val="0"/>
      <w:marBottom w:val="0"/>
      <w:divBdr>
        <w:top w:val="none" w:sz="0" w:space="0" w:color="auto"/>
        <w:left w:val="none" w:sz="0" w:space="0" w:color="auto"/>
        <w:bottom w:val="none" w:sz="0" w:space="0" w:color="auto"/>
        <w:right w:val="none" w:sz="0" w:space="0" w:color="auto"/>
      </w:divBdr>
    </w:div>
    <w:div w:id="778838327">
      <w:bodyDiv w:val="1"/>
      <w:marLeft w:val="0"/>
      <w:marRight w:val="0"/>
      <w:marTop w:val="0"/>
      <w:marBottom w:val="0"/>
      <w:divBdr>
        <w:top w:val="none" w:sz="0" w:space="0" w:color="auto"/>
        <w:left w:val="none" w:sz="0" w:space="0" w:color="auto"/>
        <w:bottom w:val="none" w:sz="0" w:space="0" w:color="auto"/>
        <w:right w:val="none" w:sz="0" w:space="0" w:color="auto"/>
      </w:divBdr>
    </w:div>
    <w:div w:id="803812055">
      <w:bodyDiv w:val="1"/>
      <w:marLeft w:val="0"/>
      <w:marRight w:val="0"/>
      <w:marTop w:val="0"/>
      <w:marBottom w:val="0"/>
      <w:divBdr>
        <w:top w:val="none" w:sz="0" w:space="0" w:color="auto"/>
        <w:left w:val="none" w:sz="0" w:space="0" w:color="auto"/>
        <w:bottom w:val="none" w:sz="0" w:space="0" w:color="auto"/>
        <w:right w:val="none" w:sz="0" w:space="0" w:color="auto"/>
      </w:divBdr>
    </w:div>
    <w:div w:id="814181597">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864945128">
      <w:bodyDiv w:val="1"/>
      <w:marLeft w:val="0"/>
      <w:marRight w:val="0"/>
      <w:marTop w:val="0"/>
      <w:marBottom w:val="0"/>
      <w:divBdr>
        <w:top w:val="none" w:sz="0" w:space="0" w:color="auto"/>
        <w:left w:val="none" w:sz="0" w:space="0" w:color="auto"/>
        <w:bottom w:val="none" w:sz="0" w:space="0" w:color="auto"/>
        <w:right w:val="none" w:sz="0" w:space="0" w:color="auto"/>
      </w:divBdr>
    </w:div>
    <w:div w:id="899635402">
      <w:bodyDiv w:val="1"/>
      <w:marLeft w:val="0"/>
      <w:marRight w:val="0"/>
      <w:marTop w:val="0"/>
      <w:marBottom w:val="0"/>
      <w:divBdr>
        <w:top w:val="none" w:sz="0" w:space="0" w:color="auto"/>
        <w:left w:val="none" w:sz="0" w:space="0" w:color="auto"/>
        <w:bottom w:val="none" w:sz="0" w:space="0" w:color="auto"/>
        <w:right w:val="none" w:sz="0" w:space="0" w:color="auto"/>
      </w:divBdr>
    </w:div>
    <w:div w:id="958268518">
      <w:bodyDiv w:val="1"/>
      <w:marLeft w:val="0"/>
      <w:marRight w:val="0"/>
      <w:marTop w:val="0"/>
      <w:marBottom w:val="0"/>
      <w:divBdr>
        <w:top w:val="none" w:sz="0" w:space="0" w:color="auto"/>
        <w:left w:val="none" w:sz="0" w:space="0" w:color="auto"/>
        <w:bottom w:val="none" w:sz="0" w:space="0" w:color="auto"/>
        <w:right w:val="none" w:sz="0" w:space="0" w:color="auto"/>
      </w:divBdr>
      <w:divsChild>
        <w:div w:id="272827197">
          <w:marLeft w:val="0"/>
          <w:marRight w:val="0"/>
          <w:marTop w:val="0"/>
          <w:marBottom w:val="0"/>
          <w:divBdr>
            <w:top w:val="none" w:sz="0" w:space="0" w:color="auto"/>
            <w:left w:val="none" w:sz="0" w:space="0" w:color="auto"/>
            <w:bottom w:val="none" w:sz="0" w:space="0" w:color="auto"/>
            <w:right w:val="none" w:sz="0" w:space="0" w:color="auto"/>
          </w:divBdr>
          <w:divsChild>
            <w:div w:id="1261524304">
              <w:marLeft w:val="0"/>
              <w:marRight w:val="0"/>
              <w:marTop w:val="0"/>
              <w:marBottom w:val="0"/>
              <w:divBdr>
                <w:top w:val="none" w:sz="0" w:space="0" w:color="auto"/>
                <w:left w:val="none" w:sz="0" w:space="0" w:color="auto"/>
                <w:bottom w:val="none" w:sz="0" w:space="0" w:color="auto"/>
                <w:right w:val="none" w:sz="0" w:space="0" w:color="auto"/>
              </w:divBdr>
              <w:divsChild>
                <w:div w:id="711610616">
                  <w:marLeft w:val="0"/>
                  <w:marRight w:val="0"/>
                  <w:marTop w:val="0"/>
                  <w:marBottom w:val="0"/>
                  <w:divBdr>
                    <w:top w:val="none" w:sz="0" w:space="0" w:color="auto"/>
                    <w:left w:val="none" w:sz="0" w:space="0" w:color="auto"/>
                    <w:bottom w:val="none" w:sz="0" w:space="0" w:color="auto"/>
                    <w:right w:val="none" w:sz="0" w:space="0" w:color="auto"/>
                  </w:divBdr>
                  <w:divsChild>
                    <w:div w:id="412163936">
                      <w:marLeft w:val="0"/>
                      <w:marRight w:val="0"/>
                      <w:marTop w:val="0"/>
                      <w:marBottom w:val="0"/>
                      <w:divBdr>
                        <w:top w:val="none" w:sz="0" w:space="0" w:color="auto"/>
                        <w:left w:val="none" w:sz="0" w:space="0" w:color="auto"/>
                        <w:bottom w:val="none" w:sz="0" w:space="0" w:color="auto"/>
                        <w:right w:val="none" w:sz="0" w:space="0" w:color="auto"/>
                      </w:divBdr>
                      <w:divsChild>
                        <w:div w:id="1357732150">
                          <w:marLeft w:val="0"/>
                          <w:marRight w:val="0"/>
                          <w:marTop w:val="0"/>
                          <w:marBottom w:val="0"/>
                          <w:divBdr>
                            <w:top w:val="none" w:sz="0" w:space="0" w:color="auto"/>
                            <w:left w:val="none" w:sz="0" w:space="0" w:color="auto"/>
                            <w:bottom w:val="none" w:sz="0" w:space="0" w:color="auto"/>
                            <w:right w:val="none" w:sz="0" w:space="0" w:color="auto"/>
                          </w:divBdr>
                          <w:divsChild>
                            <w:div w:id="1585604377">
                              <w:marLeft w:val="0"/>
                              <w:marRight w:val="0"/>
                              <w:marTop w:val="0"/>
                              <w:marBottom w:val="0"/>
                              <w:divBdr>
                                <w:top w:val="none" w:sz="0" w:space="0" w:color="auto"/>
                                <w:left w:val="none" w:sz="0" w:space="0" w:color="auto"/>
                                <w:bottom w:val="none" w:sz="0" w:space="0" w:color="auto"/>
                                <w:right w:val="none" w:sz="0" w:space="0" w:color="auto"/>
                              </w:divBdr>
                              <w:divsChild>
                                <w:div w:id="2111588056">
                                  <w:marLeft w:val="0"/>
                                  <w:marRight w:val="0"/>
                                  <w:marTop w:val="0"/>
                                  <w:marBottom w:val="0"/>
                                  <w:divBdr>
                                    <w:top w:val="none" w:sz="0" w:space="0" w:color="auto"/>
                                    <w:left w:val="none" w:sz="0" w:space="0" w:color="auto"/>
                                    <w:bottom w:val="none" w:sz="0" w:space="0" w:color="auto"/>
                                    <w:right w:val="none" w:sz="0" w:space="0" w:color="auto"/>
                                  </w:divBdr>
                                  <w:divsChild>
                                    <w:div w:id="1460684421">
                                      <w:marLeft w:val="0"/>
                                      <w:marRight w:val="0"/>
                                      <w:marTop w:val="0"/>
                                      <w:marBottom w:val="0"/>
                                      <w:divBdr>
                                        <w:top w:val="none" w:sz="0" w:space="0" w:color="auto"/>
                                        <w:left w:val="none" w:sz="0" w:space="0" w:color="auto"/>
                                        <w:bottom w:val="none" w:sz="0" w:space="0" w:color="auto"/>
                                        <w:right w:val="none" w:sz="0" w:space="0" w:color="auto"/>
                                      </w:divBdr>
                                      <w:divsChild>
                                        <w:div w:id="970938093">
                                          <w:marLeft w:val="0"/>
                                          <w:marRight w:val="0"/>
                                          <w:marTop w:val="0"/>
                                          <w:marBottom w:val="0"/>
                                          <w:divBdr>
                                            <w:top w:val="none" w:sz="0" w:space="0" w:color="auto"/>
                                            <w:left w:val="none" w:sz="0" w:space="0" w:color="auto"/>
                                            <w:bottom w:val="none" w:sz="0" w:space="0" w:color="auto"/>
                                            <w:right w:val="none" w:sz="0" w:space="0" w:color="auto"/>
                                          </w:divBdr>
                                          <w:divsChild>
                                            <w:div w:id="483861811">
                                              <w:marLeft w:val="0"/>
                                              <w:marRight w:val="0"/>
                                              <w:marTop w:val="0"/>
                                              <w:marBottom w:val="0"/>
                                              <w:divBdr>
                                                <w:top w:val="none" w:sz="0" w:space="0" w:color="auto"/>
                                                <w:left w:val="none" w:sz="0" w:space="0" w:color="auto"/>
                                                <w:bottom w:val="none" w:sz="0" w:space="0" w:color="auto"/>
                                                <w:right w:val="none" w:sz="0" w:space="0" w:color="auto"/>
                                              </w:divBdr>
                                              <w:divsChild>
                                                <w:div w:id="1207336139">
                                                  <w:marLeft w:val="0"/>
                                                  <w:marRight w:val="0"/>
                                                  <w:marTop w:val="0"/>
                                                  <w:marBottom w:val="0"/>
                                                  <w:divBdr>
                                                    <w:top w:val="none" w:sz="0" w:space="0" w:color="auto"/>
                                                    <w:left w:val="none" w:sz="0" w:space="0" w:color="auto"/>
                                                    <w:bottom w:val="none" w:sz="0" w:space="0" w:color="auto"/>
                                                    <w:right w:val="none" w:sz="0" w:space="0" w:color="auto"/>
                                                  </w:divBdr>
                                                  <w:divsChild>
                                                    <w:div w:id="7791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366118">
      <w:bodyDiv w:val="1"/>
      <w:marLeft w:val="0"/>
      <w:marRight w:val="0"/>
      <w:marTop w:val="0"/>
      <w:marBottom w:val="0"/>
      <w:divBdr>
        <w:top w:val="none" w:sz="0" w:space="0" w:color="auto"/>
        <w:left w:val="none" w:sz="0" w:space="0" w:color="auto"/>
        <w:bottom w:val="none" w:sz="0" w:space="0" w:color="auto"/>
        <w:right w:val="none" w:sz="0" w:space="0" w:color="auto"/>
      </w:divBdr>
    </w:div>
    <w:div w:id="1157262099">
      <w:bodyDiv w:val="1"/>
      <w:marLeft w:val="0"/>
      <w:marRight w:val="0"/>
      <w:marTop w:val="0"/>
      <w:marBottom w:val="0"/>
      <w:divBdr>
        <w:top w:val="none" w:sz="0" w:space="0" w:color="auto"/>
        <w:left w:val="none" w:sz="0" w:space="0" w:color="auto"/>
        <w:bottom w:val="none" w:sz="0" w:space="0" w:color="auto"/>
        <w:right w:val="none" w:sz="0" w:space="0" w:color="auto"/>
      </w:divBdr>
    </w:div>
    <w:div w:id="1203860672">
      <w:bodyDiv w:val="1"/>
      <w:marLeft w:val="0"/>
      <w:marRight w:val="0"/>
      <w:marTop w:val="0"/>
      <w:marBottom w:val="0"/>
      <w:divBdr>
        <w:top w:val="none" w:sz="0" w:space="0" w:color="auto"/>
        <w:left w:val="none" w:sz="0" w:space="0" w:color="auto"/>
        <w:bottom w:val="none" w:sz="0" w:space="0" w:color="auto"/>
        <w:right w:val="none" w:sz="0" w:space="0" w:color="auto"/>
      </w:divBdr>
    </w:div>
    <w:div w:id="1236668898">
      <w:bodyDiv w:val="1"/>
      <w:marLeft w:val="0"/>
      <w:marRight w:val="0"/>
      <w:marTop w:val="0"/>
      <w:marBottom w:val="0"/>
      <w:divBdr>
        <w:top w:val="none" w:sz="0" w:space="0" w:color="auto"/>
        <w:left w:val="none" w:sz="0" w:space="0" w:color="auto"/>
        <w:bottom w:val="none" w:sz="0" w:space="0" w:color="auto"/>
        <w:right w:val="none" w:sz="0" w:space="0" w:color="auto"/>
      </w:divBdr>
    </w:div>
    <w:div w:id="1245723045">
      <w:bodyDiv w:val="1"/>
      <w:marLeft w:val="0"/>
      <w:marRight w:val="0"/>
      <w:marTop w:val="0"/>
      <w:marBottom w:val="0"/>
      <w:divBdr>
        <w:top w:val="none" w:sz="0" w:space="0" w:color="auto"/>
        <w:left w:val="none" w:sz="0" w:space="0" w:color="auto"/>
        <w:bottom w:val="none" w:sz="0" w:space="0" w:color="auto"/>
        <w:right w:val="none" w:sz="0" w:space="0" w:color="auto"/>
      </w:divBdr>
    </w:div>
    <w:div w:id="1289240704">
      <w:bodyDiv w:val="1"/>
      <w:marLeft w:val="0"/>
      <w:marRight w:val="0"/>
      <w:marTop w:val="0"/>
      <w:marBottom w:val="0"/>
      <w:divBdr>
        <w:top w:val="none" w:sz="0" w:space="0" w:color="auto"/>
        <w:left w:val="none" w:sz="0" w:space="0" w:color="auto"/>
        <w:bottom w:val="none" w:sz="0" w:space="0" w:color="auto"/>
        <w:right w:val="none" w:sz="0" w:space="0" w:color="auto"/>
      </w:divBdr>
    </w:div>
    <w:div w:id="1302659288">
      <w:bodyDiv w:val="1"/>
      <w:marLeft w:val="0"/>
      <w:marRight w:val="0"/>
      <w:marTop w:val="0"/>
      <w:marBottom w:val="0"/>
      <w:divBdr>
        <w:top w:val="none" w:sz="0" w:space="0" w:color="auto"/>
        <w:left w:val="none" w:sz="0" w:space="0" w:color="auto"/>
        <w:bottom w:val="none" w:sz="0" w:space="0" w:color="auto"/>
        <w:right w:val="none" w:sz="0" w:space="0" w:color="auto"/>
      </w:divBdr>
    </w:div>
    <w:div w:id="1337345542">
      <w:bodyDiv w:val="1"/>
      <w:marLeft w:val="0"/>
      <w:marRight w:val="0"/>
      <w:marTop w:val="0"/>
      <w:marBottom w:val="0"/>
      <w:divBdr>
        <w:top w:val="none" w:sz="0" w:space="0" w:color="auto"/>
        <w:left w:val="none" w:sz="0" w:space="0" w:color="auto"/>
        <w:bottom w:val="none" w:sz="0" w:space="0" w:color="auto"/>
        <w:right w:val="none" w:sz="0" w:space="0" w:color="auto"/>
      </w:divBdr>
    </w:div>
    <w:div w:id="1361053673">
      <w:bodyDiv w:val="1"/>
      <w:marLeft w:val="0"/>
      <w:marRight w:val="0"/>
      <w:marTop w:val="0"/>
      <w:marBottom w:val="0"/>
      <w:divBdr>
        <w:top w:val="none" w:sz="0" w:space="0" w:color="auto"/>
        <w:left w:val="none" w:sz="0" w:space="0" w:color="auto"/>
        <w:bottom w:val="none" w:sz="0" w:space="0" w:color="auto"/>
        <w:right w:val="none" w:sz="0" w:space="0" w:color="auto"/>
      </w:divBdr>
    </w:div>
    <w:div w:id="1390151113">
      <w:bodyDiv w:val="1"/>
      <w:marLeft w:val="0"/>
      <w:marRight w:val="0"/>
      <w:marTop w:val="0"/>
      <w:marBottom w:val="0"/>
      <w:divBdr>
        <w:top w:val="none" w:sz="0" w:space="0" w:color="auto"/>
        <w:left w:val="none" w:sz="0" w:space="0" w:color="auto"/>
        <w:bottom w:val="none" w:sz="0" w:space="0" w:color="auto"/>
        <w:right w:val="none" w:sz="0" w:space="0" w:color="auto"/>
      </w:divBdr>
    </w:div>
    <w:div w:id="1455830969">
      <w:bodyDiv w:val="1"/>
      <w:marLeft w:val="0"/>
      <w:marRight w:val="0"/>
      <w:marTop w:val="0"/>
      <w:marBottom w:val="0"/>
      <w:divBdr>
        <w:top w:val="none" w:sz="0" w:space="0" w:color="auto"/>
        <w:left w:val="none" w:sz="0" w:space="0" w:color="auto"/>
        <w:bottom w:val="none" w:sz="0" w:space="0" w:color="auto"/>
        <w:right w:val="none" w:sz="0" w:space="0" w:color="auto"/>
      </w:divBdr>
    </w:div>
    <w:div w:id="1472479813">
      <w:bodyDiv w:val="1"/>
      <w:marLeft w:val="0"/>
      <w:marRight w:val="0"/>
      <w:marTop w:val="0"/>
      <w:marBottom w:val="0"/>
      <w:divBdr>
        <w:top w:val="none" w:sz="0" w:space="0" w:color="auto"/>
        <w:left w:val="none" w:sz="0" w:space="0" w:color="auto"/>
        <w:bottom w:val="none" w:sz="0" w:space="0" w:color="auto"/>
        <w:right w:val="none" w:sz="0" w:space="0" w:color="auto"/>
      </w:divBdr>
    </w:div>
    <w:div w:id="1494831233">
      <w:bodyDiv w:val="1"/>
      <w:marLeft w:val="0"/>
      <w:marRight w:val="0"/>
      <w:marTop w:val="0"/>
      <w:marBottom w:val="0"/>
      <w:divBdr>
        <w:top w:val="none" w:sz="0" w:space="0" w:color="auto"/>
        <w:left w:val="none" w:sz="0" w:space="0" w:color="auto"/>
        <w:bottom w:val="none" w:sz="0" w:space="0" w:color="auto"/>
        <w:right w:val="none" w:sz="0" w:space="0" w:color="auto"/>
      </w:divBdr>
    </w:div>
    <w:div w:id="1579821225">
      <w:bodyDiv w:val="1"/>
      <w:marLeft w:val="0"/>
      <w:marRight w:val="0"/>
      <w:marTop w:val="0"/>
      <w:marBottom w:val="0"/>
      <w:divBdr>
        <w:top w:val="none" w:sz="0" w:space="0" w:color="auto"/>
        <w:left w:val="none" w:sz="0" w:space="0" w:color="auto"/>
        <w:bottom w:val="none" w:sz="0" w:space="0" w:color="auto"/>
        <w:right w:val="none" w:sz="0" w:space="0" w:color="auto"/>
      </w:divBdr>
      <w:divsChild>
        <w:div w:id="1810246855">
          <w:marLeft w:val="0"/>
          <w:marRight w:val="0"/>
          <w:marTop w:val="0"/>
          <w:marBottom w:val="0"/>
          <w:divBdr>
            <w:top w:val="none" w:sz="0" w:space="0" w:color="auto"/>
            <w:left w:val="none" w:sz="0" w:space="0" w:color="auto"/>
            <w:bottom w:val="none" w:sz="0" w:space="0" w:color="auto"/>
            <w:right w:val="none" w:sz="0" w:space="0" w:color="auto"/>
          </w:divBdr>
          <w:divsChild>
            <w:div w:id="560992527">
              <w:marLeft w:val="0"/>
              <w:marRight w:val="0"/>
              <w:marTop w:val="0"/>
              <w:marBottom w:val="0"/>
              <w:divBdr>
                <w:top w:val="none" w:sz="0" w:space="0" w:color="auto"/>
                <w:left w:val="none" w:sz="0" w:space="0" w:color="auto"/>
                <w:bottom w:val="none" w:sz="0" w:space="0" w:color="auto"/>
                <w:right w:val="none" w:sz="0" w:space="0" w:color="auto"/>
              </w:divBdr>
              <w:divsChild>
                <w:div w:id="428307565">
                  <w:marLeft w:val="0"/>
                  <w:marRight w:val="0"/>
                  <w:marTop w:val="0"/>
                  <w:marBottom w:val="0"/>
                  <w:divBdr>
                    <w:top w:val="none" w:sz="0" w:space="0" w:color="auto"/>
                    <w:left w:val="none" w:sz="0" w:space="0" w:color="auto"/>
                    <w:bottom w:val="none" w:sz="0" w:space="0" w:color="auto"/>
                    <w:right w:val="none" w:sz="0" w:space="0" w:color="auto"/>
                  </w:divBdr>
                  <w:divsChild>
                    <w:div w:id="83959520">
                      <w:marLeft w:val="0"/>
                      <w:marRight w:val="0"/>
                      <w:marTop w:val="0"/>
                      <w:marBottom w:val="0"/>
                      <w:divBdr>
                        <w:top w:val="none" w:sz="0" w:space="0" w:color="auto"/>
                        <w:left w:val="none" w:sz="0" w:space="0" w:color="auto"/>
                        <w:bottom w:val="none" w:sz="0" w:space="0" w:color="auto"/>
                        <w:right w:val="none" w:sz="0" w:space="0" w:color="auto"/>
                      </w:divBdr>
                      <w:divsChild>
                        <w:div w:id="63921092">
                          <w:marLeft w:val="0"/>
                          <w:marRight w:val="0"/>
                          <w:marTop w:val="0"/>
                          <w:marBottom w:val="0"/>
                          <w:divBdr>
                            <w:top w:val="none" w:sz="0" w:space="0" w:color="auto"/>
                            <w:left w:val="none" w:sz="0" w:space="0" w:color="auto"/>
                            <w:bottom w:val="none" w:sz="0" w:space="0" w:color="auto"/>
                            <w:right w:val="none" w:sz="0" w:space="0" w:color="auto"/>
                          </w:divBdr>
                          <w:divsChild>
                            <w:div w:id="2036150542">
                              <w:marLeft w:val="0"/>
                              <w:marRight w:val="0"/>
                              <w:marTop w:val="0"/>
                              <w:marBottom w:val="0"/>
                              <w:divBdr>
                                <w:top w:val="none" w:sz="0" w:space="0" w:color="auto"/>
                                <w:left w:val="none" w:sz="0" w:space="0" w:color="auto"/>
                                <w:bottom w:val="none" w:sz="0" w:space="0" w:color="auto"/>
                                <w:right w:val="none" w:sz="0" w:space="0" w:color="auto"/>
                              </w:divBdr>
                              <w:divsChild>
                                <w:div w:id="173885925">
                                  <w:marLeft w:val="0"/>
                                  <w:marRight w:val="0"/>
                                  <w:marTop w:val="0"/>
                                  <w:marBottom w:val="0"/>
                                  <w:divBdr>
                                    <w:top w:val="none" w:sz="0" w:space="0" w:color="auto"/>
                                    <w:left w:val="none" w:sz="0" w:space="0" w:color="auto"/>
                                    <w:bottom w:val="none" w:sz="0" w:space="0" w:color="auto"/>
                                    <w:right w:val="none" w:sz="0" w:space="0" w:color="auto"/>
                                  </w:divBdr>
                                  <w:divsChild>
                                    <w:div w:id="935330239">
                                      <w:marLeft w:val="0"/>
                                      <w:marRight w:val="0"/>
                                      <w:marTop w:val="0"/>
                                      <w:marBottom w:val="0"/>
                                      <w:divBdr>
                                        <w:top w:val="none" w:sz="0" w:space="0" w:color="auto"/>
                                        <w:left w:val="none" w:sz="0" w:space="0" w:color="auto"/>
                                        <w:bottom w:val="none" w:sz="0" w:space="0" w:color="auto"/>
                                        <w:right w:val="none" w:sz="0" w:space="0" w:color="auto"/>
                                      </w:divBdr>
                                      <w:divsChild>
                                        <w:div w:id="494880170">
                                          <w:marLeft w:val="0"/>
                                          <w:marRight w:val="0"/>
                                          <w:marTop w:val="0"/>
                                          <w:marBottom w:val="0"/>
                                          <w:divBdr>
                                            <w:top w:val="none" w:sz="0" w:space="0" w:color="auto"/>
                                            <w:left w:val="none" w:sz="0" w:space="0" w:color="auto"/>
                                            <w:bottom w:val="none" w:sz="0" w:space="0" w:color="auto"/>
                                            <w:right w:val="none" w:sz="0" w:space="0" w:color="auto"/>
                                          </w:divBdr>
                                          <w:divsChild>
                                            <w:div w:id="1436242770">
                                              <w:marLeft w:val="0"/>
                                              <w:marRight w:val="0"/>
                                              <w:marTop w:val="0"/>
                                              <w:marBottom w:val="0"/>
                                              <w:divBdr>
                                                <w:top w:val="none" w:sz="0" w:space="0" w:color="auto"/>
                                                <w:left w:val="none" w:sz="0" w:space="0" w:color="auto"/>
                                                <w:bottom w:val="none" w:sz="0" w:space="0" w:color="auto"/>
                                                <w:right w:val="none" w:sz="0" w:space="0" w:color="auto"/>
                                              </w:divBdr>
                                              <w:divsChild>
                                                <w:div w:id="1782720874">
                                                  <w:marLeft w:val="0"/>
                                                  <w:marRight w:val="0"/>
                                                  <w:marTop w:val="0"/>
                                                  <w:marBottom w:val="0"/>
                                                  <w:divBdr>
                                                    <w:top w:val="none" w:sz="0" w:space="0" w:color="auto"/>
                                                    <w:left w:val="none" w:sz="0" w:space="0" w:color="auto"/>
                                                    <w:bottom w:val="none" w:sz="0" w:space="0" w:color="auto"/>
                                                    <w:right w:val="none" w:sz="0" w:space="0" w:color="auto"/>
                                                  </w:divBdr>
                                                  <w:divsChild>
                                                    <w:div w:id="135150062">
                                                      <w:marLeft w:val="0"/>
                                                      <w:marRight w:val="0"/>
                                                      <w:marTop w:val="0"/>
                                                      <w:marBottom w:val="0"/>
                                                      <w:divBdr>
                                                        <w:top w:val="none" w:sz="0" w:space="0" w:color="auto"/>
                                                        <w:left w:val="none" w:sz="0" w:space="0" w:color="auto"/>
                                                        <w:bottom w:val="none" w:sz="0" w:space="0" w:color="auto"/>
                                                        <w:right w:val="none" w:sz="0" w:space="0" w:color="auto"/>
                                                      </w:divBdr>
                                                      <w:divsChild>
                                                        <w:div w:id="1211386005">
                                                          <w:marLeft w:val="0"/>
                                                          <w:marRight w:val="0"/>
                                                          <w:marTop w:val="0"/>
                                                          <w:marBottom w:val="0"/>
                                                          <w:divBdr>
                                                            <w:top w:val="none" w:sz="0" w:space="0" w:color="auto"/>
                                                            <w:left w:val="none" w:sz="0" w:space="0" w:color="auto"/>
                                                            <w:bottom w:val="none" w:sz="0" w:space="0" w:color="auto"/>
                                                            <w:right w:val="none" w:sz="0" w:space="0" w:color="auto"/>
                                                          </w:divBdr>
                                                          <w:divsChild>
                                                            <w:div w:id="1798335146">
                                                              <w:marLeft w:val="0"/>
                                                              <w:marRight w:val="0"/>
                                                              <w:marTop w:val="0"/>
                                                              <w:marBottom w:val="0"/>
                                                              <w:divBdr>
                                                                <w:top w:val="none" w:sz="0" w:space="0" w:color="auto"/>
                                                                <w:left w:val="none" w:sz="0" w:space="0" w:color="auto"/>
                                                                <w:bottom w:val="none" w:sz="0" w:space="0" w:color="auto"/>
                                                                <w:right w:val="none" w:sz="0" w:space="0" w:color="auto"/>
                                                              </w:divBdr>
                                                              <w:divsChild>
                                                                <w:div w:id="5474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2426475">
      <w:bodyDiv w:val="1"/>
      <w:marLeft w:val="0"/>
      <w:marRight w:val="0"/>
      <w:marTop w:val="0"/>
      <w:marBottom w:val="0"/>
      <w:divBdr>
        <w:top w:val="none" w:sz="0" w:space="0" w:color="auto"/>
        <w:left w:val="none" w:sz="0" w:space="0" w:color="auto"/>
        <w:bottom w:val="none" w:sz="0" w:space="0" w:color="auto"/>
        <w:right w:val="none" w:sz="0" w:space="0" w:color="auto"/>
      </w:divBdr>
    </w:div>
    <w:div w:id="1609506095">
      <w:bodyDiv w:val="1"/>
      <w:marLeft w:val="0"/>
      <w:marRight w:val="0"/>
      <w:marTop w:val="0"/>
      <w:marBottom w:val="0"/>
      <w:divBdr>
        <w:top w:val="none" w:sz="0" w:space="0" w:color="auto"/>
        <w:left w:val="none" w:sz="0" w:space="0" w:color="auto"/>
        <w:bottom w:val="none" w:sz="0" w:space="0" w:color="auto"/>
        <w:right w:val="none" w:sz="0" w:space="0" w:color="auto"/>
      </w:divBdr>
    </w:div>
    <w:div w:id="1617440940">
      <w:bodyDiv w:val="1"/>
      <w:marLeft w:val="0"/>
      <w:marRight w:val="0"/>
      <w:marTop w:val="0"/>
      <w:marBottom w:val="0"/>
      <w:divBdr>
        <w:top w:val="none" w:sz="0" w:space="0" w:color="auto"/>
        <w:left w:val="none" w:sz="0" w:space="0" w:color="auto"/>
        <w:bottom w:val="none" w:sz="0" w:space="0" w:color="auto"/>
        <w:right w:val="none" w:sz="0" w:space="0" w:color="auto"/>
      </w:divBdr>
    </w:div>
    <w:div w:id="1650405521">
      <w:bodyDiv w:val="1"/>
      <w:marLeft w:val="0"/>
      <w:marRight w:val="0"/>
      <w:marTop w:val="0"/>
      <w:marBottom w:val="0"/>
      <w:divBdr>
        <w:top w:val="none" w:sz="0" w:space="0" w:color="auto"/>
        <w:left w:val="none" w:sz="0" w:space="0" w:color="auto"/>
        <w:bottom w:val="none" w:sz="0" w:space="0" w:color="auto"/>
        <w:right w:val="none" w:sz="0" w:space="0" w:color="auto"/>
      </w:divBdr>
    </w:div>
    <w:div w:id="1667514251">
      <w:bodyDiv w:val="1"/>
      <w:marLeft w:val="0"/>
      <w:marRight w:val="0"/>
      <w:marTop w:val="0"/>
      <w:marBottom w:val="0"/>
      <w:divBdr>
        <w:top w:val="none" w:sz="0" w:space="0" w:color="auto"/>
        <w:left w:val="none" w:sz="0" w:space="0" w:color="auto"/>
        <w:bottom w:val="none" w:sz="0" w:space="0" w:color="auto"/>
        <w:right w:val="none" w:sz="0" w:space="0" w:color="auto"/>
      </w:divBdr>
    </w:div>
    <w:div w:id="1681620669">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838884023">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1928028161">
      <w:bodyDiv w:val="1"/>
      <w:marLeft w:val="0"/>
      <w:marRight w:val="0"/>
      <w:marTop w:val="0"/>
      <w:marBottom w:val="0"/>
      <w:divBdr>
        <w:top w:val="none" w:sz="0" w:space="0" w:color="auto"/>
        <w:left w:val="none" w:sz="0" w:space="0" w:color="auto"/>
        <w:bottom w:val="none" w:sz="0" w:space="0" w:color="auto"/>
        <w:right w:val="none" w:sz="0" w:space="0" w:color="auto"/>
      </w:divBdr>
    </w:div>
    <w:div w:id="1928881382">
      <w:bodyDiv w:val="1"/>
      <w:marLeft w:val="0"/>
      <w:marRight w:val="0"/>
      <w:marTop w:val="0"/>
      <w:marBottom w:val="0"/>
      <w:divBdr>
        <w:top w:val="none" w:sz="0" w:space="0" w:color="auto"/>
        <w:left w:val="none" w:sz="0" w:space="0" w:color="auto"/>
        <w:bottom w:val="none" w:sz="0" w:space="0" w:color="auto"/>
        <w:right w:val="none" w:sz="0" w:space="0" w:color="auto"/>
      </w:divBdr>
    </w:div>
    <w:div w:id="1955936852">
      <w:bodyDiv w:val="1"/>
      <w:marLeft w:val="0"/>
      <w:marRight w:val="0"/>
      <w:marTop w:val="0"/>
      <w:marBottom w:val="0"/>
      <w:divBdr>
        <w:top w:val="none" w:sz="0" w:space="0" w:color="auto"/>
        <w:left w:val="none" w:sz="0" w:space="0" w:color="auto"/>
        <w:bottom w:val="none" w:sz="0" w:space="0" w:color="auto"/>
        <w:right w:val="none" w:sz="0" w:space="0" w:color="auto"/>
      </w:divBdr>
    </w:div>
    <w:div w:id="2033800029">
      <w:bodyDiv w:val="1"/>
      <w:marLeft w:val="0"/>
      <w:marRight w:val="0"/>
      <w:marTop w:val="0"/>
      <w:marBottom w:val="0"/>
      <w:divBdr>
        <w:top w:val="none" w:sz="0" w:space="0" w:color="auto"/>
        <w:left w:val="none" w:sz="0" w:space="0" w:color="auto"/>
        <w:bottom w:val="none" w:sz="0" w:space="0" w:color="auto"/>
        <w:right w:val="none" w:sz="0" w:space="0" w:color="auto"/>
      </w:divBdr>
    </w:div>
    <w:div w:id="21048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0" ma:contentTypeDescription="Create a new document." ma:contentTypeScope="" ma:versionID="7069f49dfadbb7f329d6bc27605cc085">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8060d84f582d27c8c9371e0ba28be164"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2B61-8014-4904-B8AB-6724C34A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E2981-AA5C-46F1-9894-4C6FBD0CEA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6DAFD-BCE9-4212-95D7-D82C74B263B2}">
  <ds:schemaRefs>
    <ds:schemaRef ds:uri="http://schemas.microsoft.com/sharepoint/v3/contenttype/forms"/>
  </ds:schemaRefs>
</ds:datastoreItem>
</file>

<file path=customXml/itemProps4.xml><?xml version="1.0" encoding="utf-8"?>
<ds:datastoreItem xmlns:ds="http://schemas.openxmlformats.org/officeDocument/2006/customXml" ds:itemID="{8A6A55DE-87FE-4248-B4C5-E5C334AA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11446</Words>
  <Characters>65243</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5</cp:revision>
  <cp:lastPrinted>2019-12-10T14:55:00Z</cp:lastPrinted>
  <dcterms:created xsi:type="dcterms:W3CDTF">2019-12-16T03:32:00Z</dcterms:created>
  <dcterms:modified xsi:type="dcterms:W3CDTF">2019-12-18T21:14:00Z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