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1E68" w14:textId="77777777" w:rsidR="001B0C5E" w:rsidRDefault="001B0C5E" w:rsidP="002625EC">
      <w:pPr>
        <w:widowControl/>
        <w:tabs>
          <w:tab w:val="center" w:pos="4680"/>
        </w:tabs>
        <w:contextualSpacing/>
        <w:jc w:val="center"/>
        <w:rPr>
          <w:b/>
          <w:sz w:val="26"/>
          <w:szCs w:val="26"/>
        </w:rPr>
      </w:pPr>
      <w:r>
        <w:rPr>
          <w:b/>
          <w:sz w:val="26"/>
          <w:szCs w:val="26"/>
        </w:rPr>
        <w:t>PENNSYLVANIA</w:t>
      </w:r>
    </w:p>
    <w:p w14:paraId="6B8B6534"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5DB66B88" w14:textId="77777777" w:rsidR="001B0C5E" w:rsidRDefault="001B0C5E" w:rsidP="002625EC">
      <w:pPr>
        <w:widowControl/>
        <w:tabs>
          <w:tab w:val="center" w:pos="4680"/>
        </w:tabs>
        <w:contextualSpacing/>
        <w:jc w:val="center"/>
        <w:rPr>
          <w:sz w:val="26"/>
          <w:szCs w:val="26"/>
        </w:rPr>
      </w:pPr>
      <w:r>
        <w:rPr>
          <w:b/>
          <w:sz w:val="26"/>
          <w:szCs w:val="26"/>
        </w:rPr>
        <w:t>Harrisburg, PA 171</w:t>
      </w:r>
      <w:r w:rsidR="005F672B">
        <w:rPr>
          <w:b/>
          <w:sz w:val="26"/>
          <w:szCs w:val="26"/>
        </w:rPr>
        <w:t>20</w:t>
      </w:r>
    </w:p>
    <w:p w14:paraId="3A48331F" w14:textId="77777777" w:rsidR="001B0C5E" w:rsidRDefault="001B0C5E" w:rsidP="002625EC">
      <w:pPr>
        <w:widowControl/>
        <w:contextualSpacing/>
        <w:rPr>
          <w:sz w:val="26"/>
          <w:szCs w:val="26"/>
        </w:rPr>
      </w:pPr>
    </w:p>
    <w:p w14:paraId="7EDE099E"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1FBB4383" w14:textId="77777777" w:rsidTr="003161E5">
        <w:tc>
          <w:tcPr>
            <w:tcW w:w="4878" w:type="dxa"/>
          </w:tcPr>
          <w:p w14:paraId="2723FF0A" w14:textId="77777777" w:rsidR="001B0C5E" w:rsidRDefault="001B0C5E" w:rsidP="002625EC">
            <w:pPr>
              <w:widowControl/>
              <w:contextualSpacing/>
              <w:rPr>
                <w:sz w:val="26"/>
                <w:szCs w:val="26"/>
              </w:rPr>
            </w:pPr>
          </w:p>
        </w:tc>
        <w:tc>
          <w:tcPr>
            <w:tcW w:w="4608" w:type="dxa"/>
            <w:hideMark/>
          </w:tcPr>
          <w:p w14:paraId="2AFBFA3A" w14:textId="0FBF8A94" w:rsidR="001B0C5E" w:rsidRDefault="003F5257" w:rsidP="002625EC">
            <w:pPr>
              <w:widowControl/>
              <w:contextualSpacing/>
              <w:jc w:val="right"/>
              <w:rPr>
                <w:sz w:val="26"/>
                <w:szCs w:val="26"/>
              </w:rPr>
            </w:pPr>
            <w:r>
              <w:rPr>
                <w:sz w:val="26"/>
                <w:szCs w:val="26"/>
              </w:rPr>
              <w:t xml:space="preserve">Public Meeting held </w:t>
            </w:r>
            <w:r w:rsidR="00ED40C5">
              <w:rPr>
                <w:sz w:val="26"/>
                <w:szCs w:val="26"/>
              </w:rPr>
              <w:t>November 14</w:t>
            </w:r>
            <w:r w:rsidR="001B0C5E">
              <w:rPr>
                <w:sz w:val="26"/>
                <w:szCs w:val="26"/>
              </w:rPr>
              <w:t>, 201</w:t>
            </w:r>
            <w:r w:rsidR="00894660">
              <w:rPr>
                <w:sz w:val="26"/>
                <w:szCs w:val="26"/>
              </w:rPr>
              <w:t>9</w:t>
            </w:r>
          </w:p>
        </w:tc>
      </w:tr>
      <w:tr w:rsidR="001B0C5E" w14:paraId="78A45EBE" w14:textId="77777777" w:rsidTr="003161E5">
        <w:tc>
          <w:tcPr>
            <w:tcW w:w="4878" w:type="dxa"/>
          </w:tcPr>
          <w:p w14:paraId="6E19B428" w14:textId="77777777" w:rsidR="001B0C5E" w:rsidRDefault="001B0C5E" w:rsidP="002625EC">
            <w:pPr>
              <w:widowControl/>
              <w:contextualSpacing/>
              <w:rPr>
                <w:sz w:val="26"/>
                <w:szCs w:val="26"/>
              </w:rPr>
            </w:pPr>
          </w:p>
          <w:p w14:paraId="6B214BE1" w14:textId="77777777" w:rsidR="001B0C5E" w:rsidRDefault="001B0C5E" w:rsidP="002625EC">
            <w:pPr>
              <w:widowControl/>
              <w:contextualSpacing/>
              <w:rPr>
                <w:sz w:val="26"/>
                <w:szCs w:val="26"/>
              </w:rPr>
            </w:pPr>
            <w:r>
              <w:rPr>
                <w:sz w:val="26"/>
                <w:szCs w:val="26"/>
              </w:rPr>
              <w:t>Commissioners Present:</w:t>
            </w:r>
          </w:p>
          <w:p w14:paraId="7768DF8F" w14:textId="77777777" w:rsidR="001B0C5E" w:rsidRDefault="001B0C5E" w:rsidP="002625EC">
            <w:pPr>
              <w:widowControl/>
              <w:contextualSpacing/>
              <w:rPr>
                <w:sz w:val="26"/>
                <w:szCs w:val="26"/>
              </w:rPr>
            </w:pPr>
          </w:p>
          <w:p w14:paraId="0D5575A7" w14:textId="77777777" w:rsidR="001B0C5E" w:rsidRPr="002262C4" w:rsidRDefault="001B0C5E" w:rsidP="002625EC">
            <w:pPr>
              <w:widowControl/>
              <w:tabs>
                <w:tab w:val="left" w:pos="-720"/>
              </w:tabs>
              <w:ind w:left="720"/>
              <w:contextualSpacing/>
              <w:rPr>
                <w:sz w:val="26"/>
                <w:szCs w:val="26"/>
              </w:rPr>
            </w:pPr>
            <w:r w:rsidRPr="002262C4">
              <w:rPr>
                <w:sz w:val="26"/>
                <w:szCs w:val="26"/>
              </w:rPr>
              <w:t>Gladys Brown</w:t>
            </w:r>
            <w:r w:rsidR="00F560AF">
              <w:rPr>
                <w:sz w:val="26"/>
                <w:szCs w:val="26"/>
              </w:rPr>
              <w:t xml:space="preserve"> Dutrie</w:t>
            </w:r>
            <w:r w:rsidR="001F39E7">
              <w:rPr>
                <w:sz w:val="26"/>
                <w:szCs w:val="26"/>
              </w:rPr>
              <w:t>u</w:t>
            </w:r>
            <w:r w:rsidR="00F560AF">
              <w:rPr>
                <w:sz w:val="26"/>
                <w:szCs w:val="26"/>
              </w:rPr>
              <w:t>ille</w:t>
            </w:r>
            <w:r w:rsidRPr="002262C4">
              <w:rPr>
                <w:sz w:val="26"/>
                <w:szCs w:val="26"/>
              </w:rPr>
              <w:t>, Chairman</w:t>
            </w:r>
          </w:p>
          <w:p w14:paraId="228F2F28" w14:textId="77777777"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6A10E0CE" w14:textId="77777777" w:rsidR="001B0C5E" w:rsidRPr="002262C4" w:rsidRDefault="00894660" w:rsidP="002625EC">
            <w:pPr>
              <w:widowControl/>
              <w:tabs>
                <w:tab w:val="left" w:pos="-720"/>
              </w:tabs>
              <w:ind w:left="720"/>
              <w:contextualSpacing/>
              <w:rPr>
                <w:sz w:val="26"/>
                <w:szCs w:val="26"/>
              </w:rPr>
            </w:pPr>
            <w:r>
              <w:rPr>
                <w:sz w:val="26"/>
                <w:szCs w:val="26"/>
              </w:rPr>
              <w:t xml:space="preserve">Andrew G. Place </w:t>
            </w:r>
          </w:p>
          <w:p w14:paraId="248D1F6C" w14:textId="77777777" w:rsidR="001B0C5E" w:rsidRDefault="001B0C5E" w:rsidP="002625EC">
            <w:pPr>
              <w:widowControl/>
              <w:tabs>
                <w:tab w:val="left" w:pos="-720"/>
              </w:tabs>
              <w:ind w:left="720"/>
              <w:contextualSpacing/>
              <w:rPr>
                <w:sz w:val="26"/>
                <w:szCs w:val="26"/>
              </w:rPr>
            </w:pPr>
            <w:r w:rsidRPr="002262C4">
              <w:rPr>
                <w:sz w:val="26"/>
                <w:szCs w:val="26"/>
              </w:rPr>
              <w:t xml:space="preserve">John F. Coleman, Jr. </w:t>
            </w:r>
          </w:p>
          <w:p w14:paraId="54FB2AE1" w14:textId="77777777" w:rsidR="001F39E7" w:rsidRPr="002262C4" w:rsidRDefault="001F39E7" w:rsidP="002625EC">
            <w:pPr>
              <w:widowControl/>
              <w:tabs>
                <w:tab w:val="left" w:pos="-720"/>
              </w:tabs>
              <w:ind w:left="720"/>
              <w:contextualSpacing/>
              <w:rPr>
                <w:sz w:val="26"/>
                <w:szCs w:val="26"/>
              </w:rPr>
            </w:pPr>
            <w:r>
              <w:rPr>
                <w:sz w:val="26"/>
                <w:szCs w:val="26"/>
              </w:rPr>
              <w:t xml:space="preserve">Ralph V. </w:t>
            </w:r>
            <w:proofErr w:type="spellStart"/>
            <w:r>
              <w:rPr>
                <w:sz w:val="26"/>
                <w:szCs w:val="26"/>
              </w:rPr>
              <w:t>Yanora</w:t>
            </w:r>
            <w:proofErr w:type="spellEnd"/>
          </w:p>
          <w:p w14:paraId="42A8DFDE" w14:textId="77777777" w:rsidR="001B0C5E" w:rsidRDefault="001B0C5E" w:rsidP="002625EC">
            <w:pPr>
              <w:widowControl/>
              <w:contextualSpacing/>
              <w:rPr>
                <w:sz w:val="26"/>
                <w:szCs w:val="26"/>
              </w:rPr>
            </w:pPr>
          </w:p>
        </w:tc>
        <w:tc>
          <w:tcPr>
            <w:tcW w:w="4608" w:type="dxa"/>
          </w:tcPr>
          <w:p w14:paraId="63A1113A" w14:textId="77777777" w:rsidR="001B0C5E" w:rsidRDefault="001B0C5E" w:rsidP="002625EC">
            <w:pPr>
              <w:widowControl/>
              <w:contextualSpacing/>
              <w:jc w:val="right"/>
              <w:rPr>
                <w:sz w:val="26"/>
                <w:szCs w:val="26"/>
              </w:rPr>
            </w:pPr>
          </w:p>
          <w:p w14:paraId="351EC626" w14:textId="77777777" w:rsidR="001B0C5E" w:rsidRDefault="001B0C5E" w:rsidP="002625EC">
            <w:pPr>
              <w:widowControl/>
              <w:contextualSpacing/>
              <w:jc w:val="right"/>
              <w:rPr>
                <w:sz w:val="26"/>
                <w:szCs w:val="26"/>
              </w:rPr>
            </w:pPr>
          </w:p>
        </w:tc>
      </w:tr>
      <w:tr w:rsidR="001B0C5E" w14:paraId="31F95947" w14:textId="77777777" w:rsidTr="003161E5">
        <w:tc>
          <w:tcPr>
            <w:tcW w:w="4878" w:type="dxa"/>
          </w:tcPr>
          <w:p w14:paraId="54D38F0A" w14:textId="77777777" w:rsidR="001B0C5E" w:rsidRDefault="001B0C5E" w:rsidP="002625EC">
            <w:pPr>
              <w:widowControl/>
              <w:contextualSpacing/>
              <w:rPr>
                <w:sz w:val="26"/>
                <w:szCs w:val="26"/>
              </w:rPr>
            </w:pPr>
          </w:p>
          <w:p w14:paraId="532361C0" w14:textId="77777777" w:rsidR="001B0C5E" w:rsidRDefault="00DD601F" w:rsidP="002625EC">
            <w:pPr>
              <w:widowControl/>
              <w:contextualSpacing/>
              <w:rPr>
                <w:sz w:val="26"/>
                <w:szCs w:val="26"/>
              </w:rPr>
            </w:pPr>
            <w:r>
              <w:rPr>
                <w:sz w:val="26"/>
                <w:szCs w:val="26"/>
              </w:rPr>
              <w:t>Michael and Brenda Bloom</w:t>
            </w:r>
          </w:p>
          <w:p w14:paraId="0F69EAE7" w14:textId="77777777" w:rsidR="001B0C5E" w:rsidRDefault="001B0C5E" w:rsidP="002625EC">
            <w:pPr>
              <w:widowControl/>
              <w:contextualSpacing/>
              <w:rPr>
                <w:sz w:val="26"/>
                <w:szCs w:val="26"/>
              </w:rPr>
            </w:pPr>
          </w:p>
        </w:tc>
        <w:tc>
          <w:tcPr>
            <w:tcW w:w="4608" w:type="dxa"/>
            <w:hideMark/>
          </w:tcPr>
          <w:p w14:paraId="6D6565D3" w14:textId="77777777" w:rsidR="001B0C5E" w:rsidRDefault="001B0C5E" w:rsidP="002625EC">
            <w:pPr>
              <w:widowControl/>
              <w:contextualSpacing/>
              <w:jc w:val="right"/>
              <w:rPr>
                <w:sz w:val="26"/>
                <w:szCs w:val="26"/>
              </w:rPr>
            </w:pPr>
          </w:p>
          <w:p w14:paraId="66003B8C" w14:textId="77777777" w:rsidR="001B0C5E" w:rsidRDefault="006C7974" w:rsidP="002625EC">
            <w:pPr>
              <w:widowControl/>
              <w:contextualSpacing/>
              <w:jc w:val="right"/>
              <w:rPr>
                <w:sz w:val="26"/>
                <w:szCs w:val="26"/>
              </w:rPr>
            </w:pPr>
            <w:r>
              <w:rPr>
                <w:sz w:val="26"/>
                <w:szCs w:val="26"/>
              </w:rPr>
              <w:t>C</w:t>
            </w:r>
            <w:r w:rsidR="00523BE4">
              <w:rPr>
                <w:sz w:val="26"/>
                <w:szCs w:val="26"/>
              </w:rPr>
              <w:t>-201</w:t>
            </w:r>
            <w:r w:rsidR="000F1B4D">
              <w:rPr>
                <w:sz w:val="26"/>
                <w:szCs w:val="26"/>
              </w:rPr>
              <w:t>9</w:t>
            </w:r>
            <w:r w:rsidR="00523BE4">
              <w:rPr>
                <w:sz w:val="26"/>
                <w:szCs w:val="26"/>
              </w:rPr>
              <w:t>-</w:t>
            </w:r>
            <w:r w:rsidR="00113DCF">
              <w:rPr>
                <w:sz w:val="26"/>
                <w:szCs w:val="26"/>
              </w:rPr>
              <w:t>300</w:t>
            </w:r>
            <w:r w:rsidR="000F1B4D">
              <w:rPr>
                <w:sz w:val="26"/>
                <w:szCs w:val="26"/>
              </w:rPr>
              <w:t>8683</w:t>
            </w:r>
          </w:p>
        </w:tc>
      </w:tr>
      <w:tr w:rsidR="001B0C5E" w14:paraId="43E3E31B" w14:textId="77777777" w:rsidTr="003161E5">
        <w:tc>
          <w:tcPr>
            <w:tcW w:w="4878" w:type="dxa"/>
          </w:tcPr>
          <w:p w14:paraId="45E2D674" w14:textId="77777777" w:rsidR="001B0C5E" w:rsidRDefault="001B0C5E" w:rsidP="002625EC">
            <w:pPr>
              <w:widowControl/>
              <w:ind w:firstLine="720"/>
              <w:contextualSpacing/>
              <w:rPr>
                <w:sz w:val="26"/>
                <w:szCs w:val="26"/>
              </w:rPr>
            </w:pPr>
            <w:r>
              <w:rPr>
                <w:sz w:val="26"/>
                <w:szCs w:val="26"/>
              </w:rPr>
              <w:t>v.</w:t>
            </w:r>
          </w:p>
          <w:p w14:paraId="2A49FBEE" w14:textId="77777777" w:rsidR="001B0C5E" w:rsidRDefault="001B0C5E" w:rsidP="002625EC">
            <w:pPr>
              <w:widowControl/>
              <w:ind w:firstLine="1440"/>
              <w:contextualSpacing/>
              <w:rPr>
                <w:sz w:val="26"/>
                <w:szCs w:val="26"/>
              </w:rPr>
            </w:pPr>
          </w:p>
        </w:tc>
        <w:tc>
          <w:tcPr>
            <w:tcW w:w="4608" w:type="dxa"/>
          </w:tcPr>
          <w:p w14:paraId="7352A07D" w14:textId="77777777" w:rsidR="001B0C5E" w:rsidRDefault="001B0C5E" w:rsidP="002625EC">
            <w:pPr>
              <w:widowControl/>
              <w:contextualSpacing/>
              <w:rPr>
                <w:sz w:val="26"/>
                <w:szCs w:val="26"/>
              </w:rPr>
            </w:pPr>
          </w:p>
        </w:tc>
      </w:tr>
      <w:tr w:rsidR="001B0C5E" w14:paraId="4EF735FA" w14:textId="77777777" w:rsidTr="003161E5">
        <w:tc>
          <w:tcPr>
            <w:tcW w:w="4878" w:type="dxa"/>
          </w:tcPr>
          <w:p w14:paraId="188C5ADA" w14:textId="77777777" w:rsidR="001B0C5E" w:rsidRDefault="00DD601F" w:rsidP="002625EC">
            <w:pPr>
              <w:widowControl/>
              <w:contextualSpacing/>
              <w:rPr>
                <w:sz w:val="26"/>
                <w:szCs w:val="26"/>
              </w:rPr>
            </w:pPr>
            <w:bookmarkStart w:id="0" w:name="_Hlk22554510"/>
            <w:r>
              <w:rPr>
                <w:sz w:val="26"/>
                <w:szCs w:val="26"/>
              </w:rPr>
              <w:t>Overbrook Water Company</w:t>
            </w:r>
          </w:p>
          <w:bookmarkEnd w:id="0"/>
          <w:p w14:paraId="5B862114" w14:textId="77777777" w:rsidR="001B0C5E" w:rsidRDefault="001B0C5E" w:rsidP="002625EC">
            <w:pPr>
              <w:widowControl/>
              <w:contextualSpacing/>
              <w:rPr>
                <w:sz w:val="26"/>
                <w:szCs w:val="26"/>
              </w:rPr>
            </w:pPr>
          </w:p>
        </w:tc>
        <w:tc>
          <w:tcPr>
            <w:tcW w:w="4608" w:type="dxa"/>
          </w:tcPr>
          <w:p w14:paraId="43AFEBD5" w14:textId="77777777" w:rsidR="001B0C5E" w:rsidRDefault="001B0C5E" w:rsidP="002625EC">
            <w:pPr>
              <w:widowControl/>
              <w:contextualSpacing/>
              <w:rPr>
                <w:sz w:val="26"/>
                <w:szCs w:val="26"/>
              </w:rPr>
            </w:pPr>
          </w:p>
        </w:tc>
      </w:tr>
    </w:tbl>
    <w:p w14:paraId="7CDE8B5D" w14:textId="77777777" w:rsidR="001B0C5E" w:rsidRDefault="001B0C5E" w:rsidP="002625EC">
      <w:pPr>
        <w:widowControl/>
        <w:contextualSpacing/>
        <w:rPr>
          <w:sz w:val="26"/>
          <w:szCs w:val="26"/>
        </w:rPr>
      </w:pPr>
    </w:p>
    <w:p w14:paraId="00955CEF" w14:textId="77777777" w:rsidR="00D13E44" w:rsidRDefault="00D13E44" w:rsidP="002625EC">
      <w:pPr>
        <w:widowControl/>
        <w:contextualSpacing/>
        <w:rPr>
          <w:sz w:val="26"/>
          <w:szCs w:val="26"/>
        </w:rPr>
      </w:pPr>
    </w:p>
    <w:p w14:paraId="7D1AF0E5" w14:textId="77777777" w:rsidR="001B0C5E" w:rsidRDefault="001B0C5E" w:rsidP="002625EC">
      <w:pPr>
        <w:widowControl/>
        <w:contextualSpacing/>
        <w:jc w:val="center"/>
        <w:rPr>
          <w:b/>
          <w:sz w:val="26"/>
          <w:szCs w:val="26"/>
        </w:rPr>
      </w:pPr>
      <w:r>
        <w:rPr>
          <w:b/>
          <w:sz w:val="26"/>
          <w:szCs w:val="26"/>
        </w:rPr>
        <w:t>OPINION AND ORDER</w:t>
      </w:r>
    </w:p>
    <w:p w14:paraId="0D988A9D" w14:textId="77777777" w:rsidR="008F5FAC" w:rsidRDefault="008F5FAC" w:rsidP="002625EC">
      <w:pPr>
        <w:widowControl/>
        <w:contextualSpacing/>
        <w:jc w:val="center"/>
        <w:rPr>
          <w:b/>
          <w:sz w:val="26"/>
          <w:szCs w:val="26"/>
        </w:rPr>
      </w:pPr>
    </w:p>
    <w:p w14:paraId="300A6CFF" w14:textId="77777777" w:rsidR="001B0C5E" w:rsidRDefault="001B0C5E" w:rsidP="002625EC">
      <w:pPr>
        <w:widowControl/>
        <w:contextualSpacing/>
        <w:rPr>
          <w:sz w:val="26"/>
          <w:szCs w:val="26"/>
        </w:rPr>
      </w:pPr>
    </w:p>
    <w:p w14:paraId="1B0442D0" w14:textId="77777777" w:rsidR="001B0C5E" w:rsidRDefault="001B0C5E" w:rsidP="002625EC">
      <w:pPr>
        <w:keepNext/>
        <w:widowControl/>
        <w:spacing w:line="360" w:lineRule="auto"/>
        <w:contextualSpacing/>
        <w:rPr>
          <w:b/>
          <w:sz w:val="26"/>
          <w:szCs w:val="26"/>
        </w:rPr>
      </w:pPr>
      <w:r>
        <w:rPr>
          <w:b/>
          <w:sz w:val="26"/>
          <w:szCs w:val="26"/>
        </w:rPr>
        <w:t>BY THE COMMISSION:</w:t>
      </w:r>
    </w:p>
    <w:p w14:paraId="0D83E6AE" w14:textId="77777777" w:rsidR="001B0C5E" w:rsidRDefault="001B0C5E" w:rsidP="002625EC">
      <w:pPr>
        <w:widowControl/>
        <w:spacing w:line="360" w:lineRule="auto"/>
        <w:contextualSpacing/>
        <w:rPr>
          <w:b/>
          <w:sz w:val="26"/>
          <w:szCs w:val="26"/>
        </w:rPr>
      </w:pPr>
    </w:p>
    <w:p w14:paraId="18354EC5" w14:textId="14FB6B86" w:rsidR="00B13445" w:rsidRDefault="001B0C5E" w:rsidP="004F7AB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523BE4">
        <w:rPr>
          <w:sz w:val="26"/>
          <w:szCs w:val="26"/>
        </w:rPr>
        <w:t xml:space="preserve">is </w:t>
      </w:r>
      <w:r w:rsidR="00B13445">
        <w:rPr>
          <w:sz w:val="26"/>
          <w:szCs w:val="26"/>
        </w:rPr>
        <w:t>the Initial Decision Denying and Dismissing the Complaint (I.D.) of Administrative Law Judge (ALJ)</w:t>
      </w:r>
      <w:r w:rsidR="007D56D3">
        <w:rPr>
          <w:sz w:val="26"/>
          <w:szCs w:val="26"/>
        </w:rPr>
        <w:t xml:space="preserve"> </w:t>
      </w:r>
      <w:r w:rsidR="00B13445">
        <w:rPr>
          <w:sz w:val="26"/>
          <w:szCs w:val="26"/>
        </w:rPr>
        <w:t>Benjamin J. Myers, issued on September 13, 2019. in the above-captioned proceeding.  Exceptions have not been filed.  However, we exercised our discretion to review the Initial Decision pursuant to Section</w:t>
      </w:r>
      <w:r w:rsidR="00F35174">
        <w:rPr>
          <w:sz w:val="26"/>
          <w:szCs w:val="26"/>
        </w:rPr>
        <w:t> </w:t>
      </w:r>
      <w:r w:rsidR="00B13445">
        <w:rPr>
          <w:sz w:val="26"/>
          <w:szCs w:val="26"/>
        </w:rPr>
        <w:t xml:space="preserve">332(h) of the Public Utility Code (Code), 66 Pa. C.S. § 332(h).  </w:t>
      </w:r>
      <w:r w:rsidR="00B13445" w:rsidRPr="001F24A0">
        <w:rPr>
          <w:sz w:val="26"/>
          <w:szCs w:val="26"/>
        </w:rPr>
        <w:t>For the reasons stated below, we shall reverse the ALJ’s Initial Decision</w:t>
      </w:r>
      <w:r w:rsidR="00B13445">
        <w:rPr>
          <w:sz w:val="26"/>
          <w:szCs w:val="26"/>
        </w:rPr>
        <w:t xml:space="preserve">, grant the Complaint, in part, and deny, in part, consistent with this Opinion and Order. </w:t>
      </w:r>
    </w:p>
    <w:p w14:paraId="501B9FD3" w14:textId="77777777" w:rsidR="00B13445" w:rsidRDefault="00B13445" w:rsidP="004F7ABC">
      <w:pPr>
        <w:widowControl/>
        <w:spacing w:line="360" w:lineRule="auto"/>
        <w:ind w:firstLine="1440"/>
        <w:rPr>
          <w:sz w:val="26"/>
          <w:szCs w:val="26"/>
        </w:rPr>
      </w:pPr>
    </w:p>
    <w:p w14:paraId="01E4A306" w14:textId="77777777" w:rsidR="007C089A" w:rsidRDefault="007C089A" w:rsidP="007C089A">
      <w:pPr>
        <w:keepNext/>
        <w:widowControl/>
        <w:spacing w:line="360" w:lineRule="auto"/>
        <w:jc w:val="center"/>
        <w:rPr>
          <w:b/>
          <w:bCs/>
          <w:sz w:val="26"/>
          <w:szCs w:val="26"/>
        </w:rPr>
      </w:pPr>
      <w:r w:rsidRPr="00B73D28">
        <w:rPr>
          <w:b/>
          <w:bCs/>
          <w:sz w:val="26"/>
          <w:szCs w:val="26"/>
        </w:rPr>
        <w:lastRenderedPageBreak/>
        <w:t>History of the Proceeding</w:t>
      </w:r>
    </w:p>
    <w:p w14:paraId="3B4ECC3C" w14:textId="77777777" w:rsidR="00FB40A4" w:rsidRPr="00B73D28" w:rsidRDefault="00FB40A4" w:rsidP="007C089A">
      <w:pPr>
        <w:keepNext/>
        <w:widowControl/>
        <w:spacing w:line="360" w:lineRule="auto"/>
        <w:jc w:val="center"/>
        <w:rPr>
          <w:b/>
          <w:bCs/>
          <w:sz w:val="26"/>
          <w:szCs w:val="26"/>
        </w:rPr>
      </w:pPr>
    </w:p>
    <w:p w14:paraId="58FDF656" w14:textId="77777777" w:rsidR="006719C6" w:rsidRPr="006719C6" w:rsidRDefault="006719C6" w:rsidP="006719C6">
      <w:pPr>
        <w:widowControl/>
        <w:tabs>
          <w:tab w:val="center" w:pos="720"/>
          <w:tab w:val="center" w:pos="4739"/>
        </w:tabs>
        <w:spacing w:line="360" w:lineRule="auto"/>
        <w:ind w:firstLine="1440"/>
        <w:rPr>
          <w:color w:val="000000"/>
          <w:sz w:val="26"/>
          <w:szCs w:val="26"/>
        </w:rPr>
      </w:pPr>
      <w:r w:rsidRPr="006719C6">
        <w:rPr>
          <w:color w:val="000000"/>
          <w:sz w:val="24"/>
          <w:szCs w:val="22"/>
        </w:rPr>
        <w:tab/>
      </w:r>
      <w:r w:rsidRPr="006719C6">
        <w:rPr>
          <w:color w:val="000000"/>
          <w:sz w:val="26"/>
          <w:szCs w:val="26"/>
        </w:rPr>
        <w:t xml:space="preserve">On March 14, 2019, Brenda Bloom and her husband Michael Bloom </w:t>
      </w:r>
    </w:p>
    <w:p w14:paraId="21E0183C" w14:textId="77777777" w:rsidR="006719C6" w:rsidRPr="006719C6" w:rsidRDefault="006719C6" w:rsidP="006719C6">
      <w:pPr>
        <w:widowControl/>
        <w:spacing w:line="360" w:lineRule="auto"/>
        <w:rPr>
          <w:color w:val="000000"/>
          <w:sz w:val="26"/>
          <w:szCs w:val="26"/>
        </w:rPr>
      </w:pPr>
      <w:r w:rsidRPr="006719C6">
        <w:rPr>
          <w:color w:val="000000"/>
          <w:sz w:val="26"/>
          <w:szCs w:val="26"/>
        </w:rPr>
        <w:t>(</w:t>
      </w:r>
      <w:r w:rsidR="00B13445">
        <w:rPr>
          <w:color w:val="000000"/>
          <w:sz w:val="26"/>
          <w:szCs w:val="26"/>
        </w:rPr>
        <w:t xml:space="preserve">the Blooms or </w:t>
      </w:r>
      <w:r w:rsidRPr="006719C6">
        <w:rPr>
          <w:color w:val="000000"/>
          <w:sz w:val="26"/>
          <w:szCs w:val="26"/>
        </w:rPr>
        <w:t>Complainants), filed a formal complaint with the Commission alleging that Overbrook Water Company (</w:t>
      </w:r>
      <w:r w:rsidR="00B13445">
        <w:rPr>
          <w:color w:val="000000"/>
          <w:sz w:val="26"/>
          <w:szCs w:val="26"/>
        </w:rPr>
        <w:t xml:space="preserve">Overbrook or </w:t>
      </w:r>
      <w:r w:rsidRPr="006719C6">
        <w:rPr>
          <w:color w:val="000000"/>
          <w:sz w:val="26"/>
          <w:szCs w:val="26"/>
        </w:rPr>
        <w:t>Respondent) failed to provide reasonable and adequate water service to their home located at 62 Yeager Ave</w:t>
      </w:r>
      <w:r w:rsidR="00B13445">
        <w:rPr>
          <w:color w:val="000000"/>
          <w:sz w:val="26"/>
          <w:szCs w:val="26"/>
        </w:rPr>
        <w:t>nue</w:t>
      </w:r>
      <w:r w:rsidRPr="006719C6">
        <w:rPr>
          <w:color w:val="000000"/>
          <w:sz w:val="26"/>
          <w:szCs w:val="26"/>
        </w:rPr>
        <w:t xml:space="preserve">, Shavertown, Pennsylvania.  The Complainants cited various instances of water main breaks, boil advisories and low water pressure.  </w:t>
      </w:r>
      <w:r w:rsidR="00B13445">
        <w:rPr>
          <w:color w:val="000000"/>
          <w:sz w:val="26"/>
        </w:rPr>
        <w:t>As relief, the Complainants requested that the Commission force the sale of Respondent’s facilities to a competent water utility or impose a fine.</w:t>
      </w:r>
    </w:p>
    <w:p w14:paraId="2D0E8B37" w14:textId="77777777" w:rsidR="006719C6" w:rsidRPr="006719C6" w:rsidRDefault="006719C6" w:rsidP="006719C6">
      <w:pPr>
        <w:widowControl/>
        <w:spacing w:line="360" w:lineRule="auto"/>
        <w:ind w:firstLine="1440"/>
        <w:rPr>
          <w:color w:val="000000"/>
          <w:sz w:val="26"/>
          <w:szCs w:val="26"/>
        </w:rPr>
      </w:pPr>
      <w:r w:rsidRPr="006719C6">
        <w:rPr>
          <w:color w:val="000000"/>
          <w:sz w:val="26"/>
          <w:szCs w:val="26"/>
        </w:rPr>
        <w:t xml:space="preserve"> </w:t>
      </w:r>
    </w:p>
    <w:p w14:paraId="21FF9985" w14:textId="77777777" w:rsidR="006719C6" w:rsidRPr="006719C6" w:rsidRDefault="006719C6" w:rsidP="006719C6">
      <w:pPr>
        <w:widowControl/>
        <w:spacing w:line="360" w:lineRule="auto"/>
        <w:ind w:firstLine="1440"/>
        <w:rPr>
          <w:color w:val="000000"/>
          <w:sz w:val="26"/>
          <w:szCs w:val="26"/>
        </w:rPr>
      </w:pPr>
      <w:r w:rsidRPr="006719C6">
        <w:rPr>
          <w:color w:val="000000"/>
          <w:sz w:val="26"/>
          <w:szCs w:val="26"/>
        </w:rPr>
        <w:t xml:space="preserve">On April 9, 2019, Respondent filed an answer </w:t>
      </w:r>
      <w:r w:rsidR="0089742F">
        <w:rPr>
          <w:color w:val="000000"/>
          <w:sz w:val="26"/>
          <w:szCs w:val="26"/>
        </w:rPr>
        <w:t xml:space="preserve">which </w:t>
      </w:r>
      <w:r w:rsidRPr="006719C6">
        <w:rPr>
          <w:color w:val="000000"/>
          <w:sz w:val="26"/>
          <w:szCs w:val="26"/>
        </w:rPr>
        <w:t xml:space="preserve">admitted or denied the various averments of the complaint.  </w:t>
      </w:r>
      <w:r w:rsidR="00B13445">
        <w:rPr>
          <w:color w:val="000000"/>
          <w:sz w:val="26"/>
          <w:szCs w:val="26"/>
        </w:rPr>
        <w:t>Generally, t</w:t>
      </w:r>
      <w:r w:rsidRPr="006719C6">
        <w:rPr>
          <w:color w:val="000000"/>
          <w:sz w:val="26"/>
          <w:szCs w:val="26"/>
        </w:rPr>
        <w:t xml:space="preserve">he Respondent admitted that the various </w:t>
      </w:r>
      <w:r w:rsidR="00B13445" w:rsidRPr="006719C6">
        <w:rPr>
          <w:color w:val="000000"/>
          <w:sz w:val="26"/>
          <w:szCs w:val="26"/>
        </w:rPr>
        <w:t xml:space="preserve">instances of water main breaks, boil advisories and low water pressure </w:t>
      </w:r>
      <w:r w:rsidRPr="006719C6">
        <w:rPr>
          <w:color w:val="000000"/>
          <w:sz w:val="26"/>
          <w:szCs w:val="26"/>
        </w:rPr>
        <w:t>issues and repairs listed by the Complainants had occurred but denied other allegations.  Respondent indicated that boil advisories were issued when necessary while the Respondent checked to ensure proper chlorination ha</w:t>
      </w:r>
      <w:r w:rsidR="002B510C">
        <w:rPr>
          <w:color w:val="000000"/>
          <w:sz w:val="26"/>
          <w:szCs w:val="26"/>
        </w:rPr>
        <w:t>d been achieved in its system.</w:t>
      </w:r>
    </w:p>
    <w:p w14:paraId="65B1434E" w14:textId="77777777" w:rsidR="006719C6" w:rsidRPr="006719C6" w:rsidRDefault="006719C6" w:rsidP="006719C6">
      <w:pPr>
        <w:widowControl/>
        <w:spacing w:line="360" w:lineRule="auto"/>
        <w:ind w:firstLine="1440"/>
        <w:rPr>
          <w:color w:val="000000"/>
          <w:sz w:val="26"/>
          <w:szCs w:val="26"/>
        </w:rPr>
      </w:pPr>
    </w:p>
    <w:p w14:paraId="5C6FE5D2" w14:textId="77777777" w:rsidR="006719C6" w:rsidRPr="006719C6" w:rsidRDefault="006719C6" w:rsidP="0089742F">
      <w:pPr>
        <w:widowControl/>
        <w:spacing w:line="360" w:lineRule="auto"/>
        <w:ind w:firstLine="1440"/>
        <w:rPr>
          <w:color w:val="000000"/>
          <w:sz w:val="26"/>
          <w:szCs w:val="26"/>
        </w:rPr>
      </w:pPr>
      <w:r w:rsidRPr="006719C6">
        <w:rPr>
          <w:color w:val="000000"/>
          <w:sz w:val="26"/>
          <w:szCs w:val="26"/>
        </w:rPr>
        <w:t xml:space="preserve">A notice of hearing was issued on May 21, 2019 scheduling a telephonic hearing for July 2, 2019.  A prehearing order was issued on May 24, 2019 addressing, </w:t>
      </w:r>
      <w:r w:rsidRPr="006719C6">
        <w:rPr>
          <w:i/>
          <w:color w:val="000000"/>
          <w:sz w:val="26"/>
          <w:szCs w:val="26"/>
        </w:rPr>
        <w:t>inter alia</w:t>
      </w:r>
      <w:r w:rsidRPr="006719C6">
        <w:rPr>
          <w:color w:val="000000"/>
          <w:sz w:val="26"/>
          <w:szCs w:val="26"/>
        </w:rPr>
        <w:t xml:space="preserve">, requests for continuance, subpoena procedures, attorney representation and the Commission’s policy encouraging settlements. </w:t>
      </w:r>
    </w:p>
    <w:p w14:paraId="4BD08500" w14:textId="77777777" w:rsidR="006719C6" w:rsidRPr="006719C6" w:rsidRDefault="006719C6" w:rsidP="006719C6">
      <w:pPr>
        <w:widowControl/>
        <w:spacing w:line="360" w:lineRule="auto"/>
        <w:ind w:firstLine="1440"/>
        <w:rPr>
          <w:color w:val="000000"/>
          <w:sz w:val="26"/>
          <w:szCs w:val="26"/>
        </w:rPr>
      </w:pPr>
    </w:p>
    <w:p w14:paraId="198B376E" w14:textId="77777777" w:rsidR="006719C6" w:rsidRDefault="006719C6" w:rsidP="0089742F">
      <w:pPr>
        <w:widowControl/>
        <w:spacing w:line="360" w:lineRule="auto"/>
        <w:ind w:firstLine="1440"/>
        <w:rPr>
          <w:color w:val="000000"/>
          <w:sz w:val="26"/>
          <w:szCs w:val="26"/>
        </w:rPr>
      </w:pPr>
      <w:r w:rsidRPr="006719C6">
        <w:rPr>
          <w:color w:val="000000"/>
          <w:sz w:val="26"/>
          <w:szCs w:val="26"/>
        </w:rPr>
        <w:t xml:space="preserve">The hearing was conducted as scheduled on July 2, 2019.  Mr. and Ms. Bloom appeared </w:t>
      </w:r>
      <w:r w:rsidRPr="006719C6">
        <w:rPr>
          <w:i/>
          <w:color w:val="000000"/>
          <w:sz w:val="26"/>
          <w:szCs w:val="26"/>
        </w:rPr>
        <w:t>pro se</w:t>
      </w:r>
      <w:r w:rsidRPr="006719C6">
        <w:rPr>
          <w:color w:val="000000"/>
          <w:sz w:val="26"/>
          <w:szCs w:val="26"/>
        </w:rPr>
        <w:t xml:space="preserve"> and Ms. Bloom testified on behalf of the Complainants.  Attorney Samuel Falcone represented the Respondent which presented one witness.  The record closed on July 2, 2019 at the conclusion of the hearing. </w:t>
      </w:r>
    </w:p>
    <w:p w14:paraId="0CDA360E" w14:textId="77777777" w:rsidR="007D56D3" w:rsidRDefault="007D56D3" w:rsidP="0089742F">
      <w:pPr>
        <w:widowControl/>
        <w:spacing w:line="360" w:lineRule="auto"/>
        <w:ind w:firstLine="1440"/>
        <w:rPr>
          <w:color w:val="000000"/>
          <w:sz w:val="26"/>
          <w:szCs w:val="26"/>
        </w:rPr>
      </w:pPr>
    </w:p>
    <w:p w14:paraId="2A586851" w14:textId="77777777" w:rsidR="00B73D28" w:rsidRDefault="007D56D3" w:rsidP="00F35174">
      <w:pPr>
        <w:widowControl/>
        <w:spacing w:line="360" w:lineRule="auto"/>
        <w:ind w:firstLine="1440"/>
        <w:rPr>
          <w:sz w:val="26"/>
        </w:rPr>
      </w:pPr>
      <w:r w:rsidRPr="0081411E">
        <w:rPr>
          <w:sz w:val="26"/>
        </w:rPr>
        <w:lastRenderedPageBreak/>
        <w:t xml:space="preserve">In the Initial Decision, issued on </w:t>
      </w:r>
      <w:r>
        <w:rPr>
          <w:sz w:val="26"/>
        </w:rPr>
        <w:t xml:space="preserve">September 13, </w:t>
      </w:r>
      <w:r w:rsidRPr="0081411E">
        <w:rPr>
          <w:sz w:val="26"/>
        </w:rPr>
        <w:t>201</w:t>
      </w:r>
      <w:r>
        <w:rPr>
          <w:sz w:val="26"/>
        </w:rPr>
        <w:t>9</w:t>
      </w:r>
      <w:r w:rsidRPr="0081411E">
        <w:rPr>
          <w:sz w:val="26"/>
        </w:rPr>
        <w:t xml:space="preserve">, the ALJ </w:t>
      </w:r>
      <w:r>
        <w:rPr>
          <w:sz w:val="26"/>
        </w:rPr>
        <w:t>denied and dismissed the Complaint.</w:t>
      </w:r>
    </w:p>
    <w:p w14:paraId="411C1F37" w14:textId="77777777" w:rsidR="00AD191C" w:rsidRPr="00A60808" w:rsidRDefault="00AD191C" w:rsidP="00C84AA9">
      <w:pPr>
        <w:widowControl/>
        <w:spacing w:line="360" w:lineRule="auto"/>
        <w:rPr>
          <w:sz w:val="26"/>
          <w:szCs w:val="26"/>
        </w:rPr>
      </w:pPr>
    </w:p>
    <w:p w14:paraId="6EE66A54" w14:textId="77777777" w:rsidR="001B0C5E" w:rsidRPr="007C089A" w:rsidRDefault="00A707C9" w:rsidP="007C089A">
      <w:pPr>
        <w:keepNext/>
        <w:widowControl/>
        <w:spacing w:line="360" w:lineRule="auto"/>
        <w:jc w:val="center"/>
        <w:rPr>
          <w:b/>
          <w:bCs/>
          <w:sz w:val="26"/>
          <w:szCs w:val="26"/>
        </w:rPr>
      </w:pPr>
      <w:r w:rsidRPr="00A707C9">
        <w:rPr>
          <w:b/>
          <w:sz w:val="26"/>
          <w:szCs w:val="26"/>
        </w:rPr>
        <w:t>Discussion</w:t>
      </w:r>
    </w:p>
    <w:p w14:paraId="188A0131" w14:textId="77777777" w:rsidR="007D56D3" w:rsidRDefault="007D56D3" w:rsidP="002625EC">
      <w:pPr>
        <w:keepNext/>
        <w:keepLines/>
        <w:widowControl/>
        <w:spacing w:line="360" w:lineRule="auto"/>
        <w:contextualSpacing/>
        <w:rPr>
          <w:sz w:val="26"/>
          <w:szCs w:val="26"/>
        </w:rPr>
      </w:pPr>
    </w:p>
    <w:p w14:paraId="015C8534" w14:textId="77777777" w:rsidR="009644F4" w:rsidRPr="00431FCF" w:rsidRDefault="006164CC" w:rsidP="002625EC">
      <w:pPr>
        <w:keepNext/>
        <w:keepLines/>
        <w:widowControl/>
        <w:spacing w:line="360" w:lineRule="auto"/>
        <w:contextualSpacing/>
        <w:rPr>
          <w:b/>
          <w:sz w:val="26"/>
          <w:szCs w:val="26"/>
        </w:rPr>
      </w:pPr>
      <w:r w:rsidRPr="00431FCF">
        <w:rPr>
          <w:b/>
          <w:sz w:val="26"/>
          <w:szCs w:val="26"/>
        </w:rPr>
        <w:t xml:space="preserve">Legal </w:t>
      </w:r>
      <w:r w:rsidR="00431FCF" w:rsidRPr="00431FCF">
        <w:rPr>
          <w:b/>
          <w:sz w:val="26"/>
          <w:szCs w:val="26"/>
        </w:rPr>
        <w:t>Standards</w:t>
      </w:r>
    </w:p>
    <w:p w14:paraId="556ECB8B" w14:textId="77777777" w:rsidR="007C089A" w:rsidRPr="007C089A" w:rsidRDefault="007C089A" w:rsidP="00DE3CBF">
      <w:pPr>
        <w:widowControl/>
        <w:spacing w:line="360" w:lineRule="auto"/>
        <w:rPr>
          <w:rFonts w:eastAsia="Calibri"/>
          <w:color w:val="000000"/>
          <w:sz w:val="26"/>
          <w:szCs w:val="26"/>
        </w:rPr>
      </w:pPr>
    </w:p>
    <w:p w14:paraId="1683816B" w14:textId="201F4B57" w:rsidR="0089742F" w:rsidRPr="0089742F" w:rsidRDefault="007D56D3" w:rsidP="007D56D3">
      <w:pPr>
        <w:spacing w:line="360" w:lineRule="auto"/>
        <w:ind w:firstLine="1440"/>
        <w:rPr>
          <w:color w:val="000000"/>
          <w:sz w:val="26"/>
          <w:szCs w:val="22"/>
        </w:rPr>
      </w:pPr>
      <w:r>
        <w:rPr>
          <w:rFonts w:eastAsia="Calibri"/>
          <w:sz w:val="26"/>
          <w:szCs w:val="26"/>
        </w:rPr>
        <w:t>Section 332 of the Public Utility Code (the Code)</w:t>
      </w:r>
      <w:r w:rsidR="0089742F" w:rsidRPr="0089742F">
        <w:rPr>
          <w:color w:val="000000"/>
          <w:sz w:val="26"/>
          <w:szCs w:val="22"/>
        </w:rPr>
        <w:t xml:space="preserve"> provides that the party seeking relief from the Commission has the burden of proof. 66 Pa.</w:t>
      </w:r>
      <w:r w:rsidR="00F35174">
        <w:rPr>
          <w:color w:val="000000"/>
          <w:sz w:val="26"/>
          <w:szCs w:val="22"/>
        </w:rPr>
        <w:t xml:space="preserve"> </w:t>
      </w:r>
      <w:r w:rsidR="0089742F" w:rsidRPr="0089742F">
        <w:rPr>
          <w:color w:val="000000"/>
          <w:sz w:val="26"/>
          <w:szCs w:val="22"/>
        </w:rPr>
        <w:t xml:space="preserve">C.S. § 332(a). As a matter of law, a complainant must show that the named utility is responsible or accountable for the problem described in the complaint in order to prevail.  </w:t>
      </w:r>
      <w:r w:rsidR="0089742F" w:rsidRPr="0089742F">
        <w:rPr>
          <w:i/>
          <w:iCs/>
          <w:color w:val="000000"/>
          <w:sz w:val="26"/>
          <w:szCs w:val="22"/>
          <w:u w:color="000000"/>
        </w:rPr>
        <w:t>Patterson v. Bell Tel. Co. of Pa.</w:t>
      </w:r>
      <w:r w:rsidR="0089742F" w:rsidRPr="0089742F">
        <w:rPr>
          <w:color w:val="000000"/>
          <w:sz w:val="26"/>
          <w:szCs w:val="22"/>
        </w:rPr>
        <w:t xml:space="preserve">, 72 Pa. PUC 196 (1990). “Burden of proof” means a duty to establish a fact by a preponderance of the evidence, or evidence more convincing, by even the smallest degree, than the evidence presented by the other party.  </w:t>
      </w:r>
      <w:r w:rsidR="0089742F" w:rsidRPr="0089742F">
        <w:rPr>
          <w:i/>
          <w:iCs/>
          <w:color w:val="000000"/>
          <w:sz w:val="26"/>
          <w:szCs w:val="22"/>
          <w:u w:color="000000"/>
        </w:rPr>
        <w:t>Se-Ling Hosiery v. Margulies</w:t>
      </w:r>
      <w:r w:rsidR="0089742F" w:rsidRPr="0089742F">
        <w:rPr>
          <w:color w:val="000000"/>
          <w:sz w:val="26"/>
          <w:szCs w:val="22"/>
        </w:rPr>
        <w:t>, 70 A.2d 854 (Pa. 1950). The offense must be a violation of the Public Utility Code, the Commission’s regulations or an outstanding order of the Commission. 66</w:t>
      </w:r>
      <w:r w:rsidR="00F35174">
        <w:rPr>
          <w:color w:val="000000"/>
          <w:sz w:val="26"/>
          <w:szCs w:val="22"/>
        </w:rPr>
        <w:t> </w:t>
      </w:r>
      <w:r w:rsidR="0089742F" w:rsidRPr="0089742F">
        <w:rPr>
          <w:color w:val="000000"/>
          <w:sz w:val="26"/>
          <w:szCs w:val="22"/>
        </w:rPr>
        <w:t>Pa.</w:t>
      </w:r>
      <w:r w:rsidR="00F35174">
        <w:rPr>
          <w:color w:val="000000"/>
          <w:sz w:val="26"/>
          <w:szCs w:val="22"/>
        </w:rPr>
        <w:t> </w:t>
      </w:r>
      <w:r w:rsidR="0089742F" w:rsidRPr="0089742F">
        <w:rPr>
          <w:color w:val="000000"/>
          <w:sz w:val="26"/>
          <w:szCs w:val="22"/>
        </w:rPr>
        <w:t>C.S. § 701.</w:t>
      </w:r>
    </w:p>
    <w:p w14:paraId="4E08B6B8" w14:textId="77777777" w:rsidR="0089742F" w:rsidRPr="0089742F" w:rsidRDefault="0089742F" w:rsidP="0089742F">
      <w:pPr>
        <w:widowControl/>
        <w:spacing w:line="360" w:lineRule="auto"/>
        <w:ind w:firstLine="1440"/>
        <w:rPr>
          <w:color w:val="000000"/>
          <w:sz w:val="26"/>
          <w:szCs w:val="22"/>
        </w:rPr>
      </w:pPr>
      <w:r w:rsidRPr="0089742F">
        <w:rPr>
          <w:color w:val="000000"/>
          <w:sz w:val="26"/>
          <w:szCs w:val="22"/>
        </w:rPr>
        <w:t xml:space="preserve"> </w:t>
      </w:r>
    </w:p>
    <w:p w14:paraId="3F568A4F" w14:textId="77777777" w:rsidR="0089742F" w:rsidRPr="0089742F" w:rsidRDefault="0089742F" w:rsidP="007D56D3">
      <w:pPr>
        <w:widowControl/>
        <w:spacing w:line="360" w:lineRule="auto"/>
        <w:ind w:firstLine="1440"/>
        <w:rPr>
          <w:color w:val="000000"/>
          <w:sz w:val="26"/>
          <w:szCs w:val="22"/>
        </w:rPr>
      </w:pPr>
      <w:r w:rsidRPr="0089742F">
        <w:rPr>
          <w:color w:val="000000"/>
          <w:sz w:val="26"/>
          <w:szCs w:val="22"/>
        </w:rPr>
        <w:t>Here, the Complainants have raised allegations regarding the reasonableness and adequacy of the Respondent’s water service.  The</w:t>
      </w:r>
      <w:r w:rsidR="007D56D3">
        <w:rPr>
          <w:color w:val="000000"/>
          <w:sz w:val="26"/>
          <w:szCs w:val="22"/>
        </w:rPr>
        <w:t xml:space="preserve">refore, the </w:t>
      </w:r>
      <w:r w:rsidRPr="0089742F">
        <w:rPr>
          <w:color w:val="000000"/>
          <w:sz w:val="26"/>
          <w:szCs w:val="22"/>
        </w:rPr>
        <w:t xml:space="preserve">Complainants have the burden of proof to show that the water service </w:t>
      </w:r>
      <w:r w:rsidR="007D56D3">
        <w:rPr>
          <w:color w:val="000000"/>
          <w:sz w:val="26"/>
          <w:szCs w:val="22"/>
        </w:rPr>
        <w:t xml:space="preserve">provided by Respondent to their residence </w:t>
      </w:r>
      <w:r w:rsidRPr="0089742F">
        <w:rPr>
          <w:color w:val="000000"/>
          <w:sz w:val="26"/>
          <w:szCs w:val="22"/>
        </w:rPr>
        <w:t>is unreasonable or inadequate or otherwise violates the Public Utility Code.</w:t>
      </w:r>
    </w:p>
    <w:p w14:paraId="7604CDE4" w14:textId="77777777" w:rsidR="0089742F" w:rsidRPr="0089742F" w:rsidRDefault="0089742F" w:rsidP="0089742F">
      <w:pPr>
        <w:widowControl/>
        <w:spacing w:line="360" w:lineRule="auto"/>
        <w:ind w:firstLine="1440"/>
        <w:rPr>
          <w:color w:val="000000"/>
          <w:sz w:val="26"/>
          <w:szCs w:val="22"/>
        </w:rPr>
      </w:pPr>
      <w:r w:rsidRPr="0089742F">
        <w:rPr>
          <w:color w:val="000000"/>
          <w:sz w:val="26"/>
          <w:szCs w:val="22"/>
        </w:rPr>
        <w:t xml:space="preserve"> </w:t>
      </w:r>
    </w:p>
    <w:p w14:paraId="315B91D3" w14:textId="110619A9" w:rsidR="0089742F" w:rsidRDefault="0089742F" w:rsidP="007D56D3">
      <w:pPr>
        <w:widowControl/>
        <w:spacing w:line="360" w:lineRule="auto"/>
        <w:ind w:firstLine="1440"/>
        <w:rPr>
          <w:color w:val="000000"/>
          <w:sz w:val="26"/>
          <w:szCs w:val="22"/>
        </w:rPr>
      </w:pPr>
      <w:r w:rsidRPr="0089742F">
        <w:rPr>
          <w:color w:val="000000"/>
          <w:sz w:val="26"/>
          <w:szCs w:val="22"/>
        </w:rPr>
        <w:t xml:space="preserve">The statute at 66 Pa. C.S. § 1501 governs allegations of unreasonable or inadequate service.  Pursuant to 66 Pa. C.S. § 1501, the Commission has original jurisdiction over the reasonableness and adequacy of public utility service.  </w:t>
      </w:r>
      <w:r w:rsidRPr="0089742F">
        <w:rPr>
          <w:i/>
          <w:iCs/>
          <w:color w:val="000000"/>
          <w:sz w:val="26"/>
          <w:szCs w:val="22"/>
          <w:u w:color="000000"/>
        </w:rPr>
        <w:t>Elkin v. Bell Telephone Co.</w:t>
      </w:r>
      <w:r w:rsidRPr="0089742F">
        <w:rPr>
          <w:color w:val="000000"/>
          <w:sz w:val="26"/>
          <w:szCs w:val="22"/>
        </w:rPr>
        <w:t>, 372 A.2d 1203 (Pa. Super. 1977</w:t>
      </w:r>
      <w:r w:rsidRPr="0089742F">
        <w:rPr>
          <w:i/>
          <w:iCs/>
          <w:color w:val="000000"/>
          <w:sz w:val="26"/>
          <w:szCs w:val="22"/>
        </w:rPr>
        <w:t xml:space="preserve">) </w:t>
      </w:r>
      <w:r w:rsidRPr="0089742F">
        <w:rPr>
          <w:i/>
          <w:iCs/>
          <w:color w:val="000000"/>
          <w:sz w:val="26"/>
          <w:szCs w:val="22"/>
          <w:u w:color="000000"/>
        </w:rPr>
        <w:t>aff’d</w:t>
      </w:r>
      <w:r w:rsidRPr="00F35174">
        <w:rPr>
          <w:color w:val="000000"/>
          <w:sz w:val="26"/>
          <w:szCs w:val="22"/>
        </w:rPr>
        <w:t>,</w:t>
      </w:r>
      <w:r w:rsidRPr="0089742F">
        <w:rPr>
          <w:color w:val="000000"/>
          <w:sz w:val="26"/>
          <w:szCs w:val="22"/>
        </w:rPr>
        <w:t xml:space="preserve"> 420 A.2d 371 (Pa. 1977); </w:t>
      </w:r>
      <w:r w:rsidRPr="0089742F">
        <w:rPr>
          <w:i/>
          <w:iCs/>
          <w:color w:val="000000"/>
          <w:sz w:val="26"/>
          <w:szCs w:val="22"/>
          <w:u w:color="000000"/>
        </w:rPr>
        <w:t>Behrend v. Bell Telephone Co.</w:t>
      </w:r>
      <w:r w:rsidRPr="0089742F">
        <w:rPr>
          <w:color w:val="000000"/>
          <w:sz w:val="26"/>
          <w:szCs w:val="22"/>
        </w:rPr>
        <w:t xml:space="preserve">, 243 A.2d 346 (Pa. 1968).  As a general proposition, neither the </w:t>
      </w:r>
      <w:r w:rsidRPr="0089742F">
        <w:rPr>
          <w:color w:val="000000"/>
          <w:sz w:val="26"/>
          <w:szCs w:val="22"/>
        </w:rPr>
        <w:lastRenderedPageBreak/>
        <w:t xml:space="preserve">Public Utility Code nor the Commission’s regulations require public utilities to provide constantly flawless service.  The Public Utility Code at 66 Pa. C.S. § 1501 does not require perfect service or the best possible service but does require public utilities to provide reasonable and adequate service.  </w:t>
      </w:r>
      <w:r w:rsidRPr="0089742F">
        <w:rPr>
          <w:i/>
          <w:iCs/>
          <w:color w:val="000000"/>
          <w:sz w:val="26"/>
          <w:szCs w:val="22"/>
          <w:u w:color="000000"/>
        </w:rPr>
        <w:t>Analytical</w:t>
      </w:r>
      <w:r w:rsidRPr="0089742F">
        <w:rPr>
          <w:i/>
          <w:iCs/>
          <w:color w:val="000000"/>
          <w:sz w:val="26"/>
          <w:szCs w:val="22"/>
        </w:rPr>
        <w:t xml:space="preserve"> </w:t>
      </w:r>
      <w:r w:rsidRPr="0089742F">
        <w:rPr>
          <w:i/>
          <w:iCs/>
          <w:color w:val="000000"/>
          <w:sz w:val="26"/>
          <w:szCs w:val="22"/>
          <w:u w:color="000000"/>
        </w:rPr>
        <w:t>Laboratory Services, Inc. v. Metropolitan Edison Co.</w:t>
      </w:r>
      <w:r w:rsidRPr="0089742F">
        <w:rPr>
          <w:color w:val="000000"/>
          <w:sz w:val="26"/>
          <w:szCs w:val="22"/>
        </w:rPr>
        <w:t xml:space="preserve">, Docket No. C-2006608 (Order entered December 21, 2007); </w:t>
      </w:r>
      <w:r w:rsidRPr="0089742F">
        <w:rPr>
          <w:i/>
          <w:iCs/>
          <w:color w:val="000000"/>
          <w:sz w:val="26"/>
          <w:szCs w:val="22"/>
          <w:u w:color="000000"/>
        </w:rPr>
        <w:t>Emerald Art Glass v. Duquesne Light Co.</w:t>
      </w:r>
      <w:r w:rsidRPr="00D44F90">
        <w:rPr>
          <w:iCs/>
          <w:color w:val="000000"/>
          <w:sz w:val="26"/>
          <w:szCs w:val="22"/>
        </w:rPr>
        <w:t>,</w:t>
      </w:r>
      <w:r w:rsidRPr="00D44F90">
        <w:rPr>
          <w:color w:val="000000"/>
          <w:sz w:val="26"/>
          <w:szCs w:val="22"/>
        </w:rPr>
        <w:t xml:space="preserve"> </w:t>
      </w:r>
      <w:r w:rsidRPr="0089742F">
        <w:rPr>
          <w:color w:val="000000"/>
          <w:sz w:val="26"/>
          <w:szCs w:val="22"/>
        </w:rPr>
        <w:t>Docket No. C-00015494 (Order entered June</w:t>
      </w:r>
      <w:r w:rsidR="00F35174">
        <w:rPr>
          <w:color w:val="000000"/>
          <w:sz w:val="26"/>
          <w:szCs w:val="22"/>
        </w:rPr>
        <w:t> </w:t>
      </w:r>
      <w:r w:rsidRPr="0089742F">
        <w:rPr>
          <w:color w:val="000000"/>
          <w:sz w:val="26"/>
          <w:szCs w:val="22"/>
        </w:rPr>
        <w:t xml:space="preserve">14, 2002); </w:t>
      </w:r>
      <w:r w:rsidRPr="0089742F">
        <w:rPr>
          <w:i/>
          <w:iCs/>
          <w:color w:val="000000"/>
          <w:sz w:val="26"/>
          <w:szCs w:val="22"/>
          <w:u w:color="000000"/>
        </w:rPr>
        <w:t>Re: Metropolitan Edison Co.</w:t>
      </w:r>
      <w:r w:rsidRPr="00F35174">
        <w:rPr>
          <w:color w:val="000000"/>
          <w:sz w:val="26"/>
          <w:szCs w:val="22"/>
        </w:rPr>
        <w:t>,</w:t>
      </w:r>
      <w:r w:rsidRPr="0089742F">
        <w:rPr>
          <w:color w:val="000000"/>
          <w:sz w:val="26"/>
          <w:szCs w:val="22"/>
        </w:rPr>
        <w:t xml:space="preserve"> 80 Pa. PUC 662 (1993). </w:t>
      </w:r>
    </w:p>
    <w:p w14:paraId="20F61802" w14:textId="77777777" w:rsidR="007D56D3" w:rsidRDefault="007D56D3" w:rsidP="007D56D3">
      <w:pPr>
        <w:widowControl/>
        <w:spacing w:line="360" w:lineRule="auto"/>
        <w:ind w:firstLine="1440"/>
        <w:rPr>
          <w:color w:val="000000"/>
          <w:sz w:val="26"/>
          <w:szCs w:val="22"/>
        </w:rPr>
      </w:pPr>
    </w:p>
    <w:p w14:paraId="1C03BBBA" w14:textId="77777777" w:rsidR="007D56D3" w:rsidRPr="007D56D3" w:rsidRDefault="007D56D3" w:rsidP="007D56D3">
      <w:pPr>
        <w:widowControl/>
        <w:spacing w:line="360" w:lineRule="auto"/>
        <w:ind w:firstLine="1440"/>
        <w:rPr>
          <w:sz w:val="26"/>
          <w:szCs w:val="26"/>
        </w:rPr>
      </w:pPr>
      <w:r w:rsidRPr="007D56D3">
        <w:rPr>
          <w:sz w:val="26"/>
          <w:szCs w:val="26"/>
        </w:rPr>
        <w:t xml:space="preserve">The ALJ made </w:t>
      </w:r>
      <w:r>
        <w:rPr>
          <w:sz w:val="26"/>
          <w:szCs w:val="26"/>
        </w:rPr>
        <w:t xml:space="preserve">twenty-one </w:t>
      </w:r>
      <w:r w:rsidRPr="007D56D3">
        <w:rPr>
          <w:sz w:val="26"/>
          <w:szCs w:val="26"/>
        </w:rPr>
        <w:t xml:space="preserve">Findings of Fact and reached </w:t>
      </w:r>
      <w:r>
        <w:rPr>
          <w:sz w:val="26"/>
          <w:szCs w:val="26"/>
        </w:rPr>
        <w:t>five</w:t>
      </w:r>
      <w:r w:rsidRPr="007D56D3">
        <w:rPr>
          <w:sz w:val="26"/>
          <w:szCs w:val="26"/>
        </w:rPr>
        <w:t xml:space="preserve"> Conclusions of Law.  I.D. at </w:t>
      </w:r>
      <w:r>
        <w:rPr>
          <w:sz w:val="26"/>
          <w:szCs w:val="26"/>
        </w:rPr>
        <w:t>2-4, and 7-8.</w:t>
      </w:r>
      <w:r w:rsidRPr="007D56D3">
        <w:rPr>
          <w:sz w:val="26"/>
          <w:szCs w:val="26"/>
        </w:rPr>
        <w:t xml:space="preserve">  We shall adopt and incorporate herein by reference the ALJ’s Findings of Fact and Conclusions of Law, unless they are reversed or modified by this Opinion and Order, either expressly or by necessary implication.</w:t>
      </w:r>
    </w:p>
    <w:p w14:paraId="56458E7C" w14:textId="77777777" w:rsidR="007D56D3" w:rsidRDefault="007D56D3" w:rsidP="007D56D3">
      <w:pPr>
        <w:widowControl/>
        <w:spacing w:line="360" w:lineRule="auto"/>
        <w:ind w:firstLine="1440"/>
        <w:rPr>
          <w:color w:val="000000"/>
          <w:sz w:val="26"/>
          <w:szCs w:val="22"/>
        </w:rPr>
      </w:pPr>
    </w:p>
    <w:p w14:paraId="45780290" w14:textId="77777777" w:rsidR="007D56D3" w:rsidRPr="007C089A" w:rsidRDefault="007D56D3" w:rsidP="007D56D3">
      <w:pPr>
        <w:widowControl/>
        <w:spacing w:line="360" w:lineRule="auto"/>
        <w:ind w:firstLine="1440"/>
        <w:rPr>
          <w:rFonts w:eastAsia="Calibri"/>
          <w:color w:val="000000"/>
          <w:sz w:val="26"/>
          <w:szCs w:val="26"/>
        </w:rPr>
      </w:pPr>
      <w:r>
        <w:rPr>
          <w:rFonts w:eastAsia="Calibri"/>
          <w:sz w:val="26"/>
          <w:szCs w:val="26"/>
        </w:rPr>
        <w:t xml:space="preserve">Finally, </w:t>
      </w:r>
      <w:r w:rsidRPr="007C089A">
        <w:rPr>
          <w:rFonts w:eastAsia="Calibri"/>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7C089A">
          <w:rPr>
            <w:rFonts w:eastAsia="Calibri"/>
            <w:i/>
            <w:iCs/>
            <w:color w:val="000000"/>
            <w:sz w:val="26"/>
            <w:szCs w:val="26"/>
          </w:rPr>
          <w:t>Consolidated Rail Corporation v. Pa. PUC</w:t>
        </w:r>
        <w:r w:rsidRPr="00BA79DA">
          <w:rPr>
            <w:rFonts w:eastAsia="Calibri"/>
            <w:color w:val="000000"/>
            <w:sz w:val="26"/>
            <w:szCs w:val="26"/>
          </w:rPr>
          <w:t>,</w:t>
        </w:r>
        <w:r w:rsidRPr="007C089A">
          <w:rPr>
            <w:rFonts w:eastAsia="Calibri"/>
            <w:i/>
            <w:iCs/>
            <w:color w:val="000000"/>
            <w:sz w:val="26"/>
            <w:szCs w:val="26"/>
          </w:rPr>
          <w:t xml:space="preserve"> </w:t>
        </w:r>
        <w:r w:rsidRPr="007C089A">
          <w:rPr>
            <w:rFonts w:eastAsia="Calibri"/>
            <w:color w:val="000000"/>
            <w:sz w:val="26"/>
            <w:szCs w:val="26"/>
          </w:rPr>
          <w:t>625 A.2d 741 (Pa.</w:t>
        </w:r>
        <w:r>
          <w:rPr>
            <w:rFonts w:eastAsia="Calibri"/>
            <w:color w:val="000000"/>
            <w:sz w:val="26"/>
            <w:szCs w:val="26"/>
          </w:rPr>
          <w:t> </w:t>
        </w:r>
        <w:proofErr w:type="spellStart"/>
        <w:r w:rsidRPr="007C089A">
          <w:rPr>
            <w:rFonts w:eastAsia="Calibri"/>
            <w:color w:val="000000"/>
            <w:sz w:val="26"/>
            <w:szCs w:val="26"/>
          </w:rPr>
          <w:t>Cmwlth</w:t>
        </w:r>
        <w:proofErr w:type="spellEnd"/>
        <w:r w:rsidRPr="007C089A">
          <w:rPr>
            <w:rFonts w:eastAsia="Calibri"/>
            <w:color w:val="000000"/>
            <w:sz w:val="26"/>
            <w:szCs w:val="26"/>
          </w:rPr>
          <w:t>. 1993);</w:t>
        </w:r>
      </w:hyperlink>
      <w:r w:rsidRPr="007C089A">
        <w:rPr>
          <w:rFonts w:eastAsia="Calibri"/>
          <w:color w:val="000000"/>
          <w:sz w:val="26"/>
          <w:szCs w:val="26"/>
        </w:rPr>
        <w:t xml:space="preserve"> </w:t>
      </w:r>
      <w:r w:rsidRPr="007C089A">
        <w:rPr>
          <w:rFonts w:eastAsia="Calibri"/>
          <w:i/>
          <w:color w:val="000000"/>
          <w:sz w:val="26"/>
          <w:szCs w:val="26"/>
        </w:rPr>
        <w:t xml:space="preserve">also </w:t>
      </w:r>
      <w:r w:rsidRPr="007C089A">
        <w:rPr>
          <w:rFonts w:eastAsia="Calibri"/>
          <w:i/>
          <w:iCs/>
          <w:color w:val="000000"/>
          <w:sz w:val="26"/>
          <w:szCs w:val="26"/>
        </w:rPr>
        <w:t xml:space="preserve">see, generally, </w:t>
      </w:r>
      <w:hyperlink r:id="rId12" w:history="1">
        <w:r w:rsidRPr="007C089A">
          <w:rPr>
            <w:rFonts w:eastAsia="Calibri"/>
            <w:i/>
            <w:iCs/>
            <w:color w:val="000000"/>
            <w:sz w:val="26"/>
            <w:szCs w:val="26"/>
          </w:rPr>
          <w:t>University of Pennsylvania v. Pa. PUC</w:t>
        </w:r>
        <w:r w:rsidRPr="007C089A">
          <w:rPr>
            <w:rFonts w:eastAsia="Calibri"/>
            <w:color w:val="000000"/>
            <w:sz w:val="26"/>
            <w:szCs w:val="26"/>
          </w:rPr>
          <w:t>, 485</w:t>
        </w:r>
        <w:r>
          <w:rPr>
            <w:rFonts w:eastAsia="Calibri"/>
            <w:color w:val="000000"/>
            <w:sz w:val="26"/>
            <w:szCs w:val="26"/>
          </w:rPr>
          <w:t> </w:t>
        </w:r>
        <w:r w:rsidRPr="007C089A">
          <w:rPr>
            <w:rFonts w:eastAsia="Calibri"/>
            <w:color w:val="000000"/>
            <w:sz w:val="26"/>
            <w:szCs w:val="26"/>
          </w:rPr>
          <w:t xml:space="preserve">A.2d 1217 (Pa. </w:t>
        </w:r>
        <w:proofErr w:type="spellStart"/>
        <w:r w:rsidRPr="007C089A">
          <w:rPr>
            <w:rFonts w:eastAsia="Calibri"/>
            <w:color w:val="000000"/>
            <w:sz w:val="26"/>
            <w:szCs w:val="26"/>
          </w:rPr>
          <w:t>Cmwlth</w:t>
        </w:r>
        <w:proofErr w:type="spellEnd"/>
        <w:r w:rsidRPr="007C089A">
          <w:rPr>
            <w:rFonts w:eastAsia="Calibri"/>
            <w:color w:val="000000"/>
            <w:sz w:val="26"/>
            <w:szCs w:val="26"/>
          </w:rPr>
          <w:t>. 1984).</w:t>
        </w:r>
      </w:hyperlink>
    </w:p>
    <w:p w14:paraId="28072E26" w14:textId="77777777" w:rsidR="0089742F" w:rsidRDefault="0089742F" w:rsidP="002625EC">
      <w:pPr>
        <w:keepNext/>
        <w:keepLines/>
        <w:widowControl/>
        <w:spacing w:line="360" w:lineRule="auto"/>
        <w:rPr>
          <w:b/>
          <w:sz w:val="26"/>
          <w:szCs w:val="26"/>
        </w:rPr>
      </w:pPr>
    </w:p>
    <w:p w14:paraId="3682277F" w14:textId="77777777" w:rsidR="00A54022" w:rsidRPr="00925C86" w:rsidRDefault="00925C86" w:rsidP="002625EC">
      <w:pPr>
        <w:keepNext/>
        <w:keepLines/>
        <w:widowControl/>
        <w:spacing w:line="360" w:lineRule="auto"/>
        <w:rPr>
          <w:b/>
          <w:sz w:val="26"/>
          <w:szCs w:val="26"/>
        </w:rPr>
      </w:pPr>
      <w:r>
        <w:rPr>
          <w:b/>
          <w:sz w:val="26"/>
          <w:szCs w:val="26"/>
        </w:rPr>
        <w:t>ALJ’s Initial Decision</w:t>
      </w:r>
    </w:p>
    <w:p w14:paraId="3A31F5C0" w14:textId="77777777" w:rsidR="00A54022" w:rsidRDefault="00A54022" w:rsidP="002625EC">
      <w:pPr>
        <w:keepNext/>
        <w:keepLines/>
        <w:widowControl/>
        <w:spacing w:line="360" w:lineRule="auto"/>
        <w:rPr>
          <w:b/>
          <w:sz w:val="26"/>
          <w:szCs w:val="26"/>
        </w:rPr>
      </w:pPr>
    </w:p>
    <w:p w14:paraId="29AD8C96" w14:textId="428ACD51" w:rsidR="00E62FBB" w:rsidRDefault="00925C86" w:rsidP="009546A8">
      <w:pPr>
        <w:widowControl/>
        <w:tabs>
          <w:tab w:val="left" w:pos="720"/>
          <w:tab w:val="left" w:pos="1440"/>
        </w:tabs>
        <w:spacing w:line="360" w:lineRule="auto"/>
        <w:ind w:firstLine="1440"/>
        <w:rPr>
          <w:sz w:val="26"/>
        </w:rPr>
      </w:pPr>
      <w:r w:rsidRPr="00D657B2">
        <w:rPr>
          <w:sz w:val="26"/>
          <w:szCs w:val="26"/>
        </w:rPr>
        <w:t xml:space="preserve">In the Initial Decision, </w:t>
      </w:r>
      <w:r w:rsidR="009F0AE5">
        <w:rPr>
          <w:sz w:val="26"/>
          <w:szCs w:val="26"/>
        </w:rPr>
        <w:t>the ALJ</w:t>
      </w:r>
      <w:r w:rsidR="00396860">
        <w:rPr>
          <w:sz w:val="26"/>
          <w:szCs w:val="26"/>
        </w:rPr>
        <w:t xml:space="preserve"> </w:t>
      </w:r>
      <w:r w:rsidR="009546A8">
        <w:rPr>
          <w:sz w:val="26"/>
          <w:szCs w:val="26"/>
        </w:rPr>
        <w:t xml:space="preserve">considered the </w:t>
      </w:r>
      <w:r w:rsidR="00396860">
        <w:rPr>
          <w:sz w:val="26"/>
          <w:szCs w:val="26"/>
        </w:rPr>
        <w:t xml:space="preserve">factual and legal arguments raised by </w:t>
      </w:r>
      <w:r w:rsidR="009546A8">
        <w:rPr>
          <w:sz w:val="26"/>
          <w:szCs w:val="26"/>
        </w:rPr>
        <w:t xml:space="preserve">the Blooms’ </w:t>
      </w:r>
      <w:r w:rsidR="00E62FBB">
        <w:rPr>
          <w:sz w:val="26"/>
          <w:szCs w:val="26"/>
        </w:rPr>
        <w:t>Complaint.  Based upon the averments of the Compl</w:t>
      </w:r>
      <w:r w:rsidR="00442D42">
        <w:rPr>
          <w:sz w:val="26"/>
          <w:szCs w:val="26"/>
        </w:rPr>
        <w:t>a</w:t>
      </w:r>
      <w:r w:rsidR="00E62FBB">
        <w:rPr>
          <w:sz w:val="26"/>
          <w:szCs w:val="26"/>
        </w:rPr>
        <w:t xml:space="preserve">int, </w:t>
      </w:r>
      <w:r w:rsidR="003D1722">
        <w:rPr>
          <w:sz w:val="26"/>
          <w:szCs w:val="26"/>
        </w:rPr>
        <w:t>t</w:t>
      </w:r>
      <w:r w:rsidR="009546A8">
        <w:rPr>
          <w:sz w:val="26"/>
          <w:szCs w:val="26"/>
        </w:rPr>
        <w:t>he Bloom</w:t>
      </w:r>
      <w:r w:rsidR="003D1722">
        <w:rPr>
          <w:sz w:val="26"/>
          <w:szCs w:val="26"/>
        </w:rPr>
        <w:t>s</w:t>
      </w:r>
      <w:r w:rsidR="009546A8">
        <w:rPr>
          <w:sz w:val="26"/>
          <w:szCs w:val="26"/>
        </w:rPr>
        <w:t xml:space="preserve">’ </w:t>
      </w:r>
      <w:r w:rsidR="00E62FBB">
        <w:rPr>
          <w:sz w:val="26"/>
        </w:rPr>
        <w:t>testimony and the evidence of record submitted by the parties, the ALJ concluded the Complainant</w:t>
      </w:r>
      <w:r w:rsidR="009546A8">
        <w:rPr>
          <w:sz w:val="26"/>
        </w:rPr>
        <w:t>s</w:t>
      </w:r>
      <w:r w:rsidR="00E62FBB">
        <w:rPr>
          <w:sz w:val="26"/>
        </w:rPr>
        <w:t xml:space="preserve"> had failed to carry </w:t>
      </w:r>
      <w:r w:rsidR="003D1722">
        <w:rPr>
          <w:sz w:val="26"/>
        </w:rPr>
        <w:t>their</w:t>
      </w:r>
      <w:r w:rsidR="00E62FBB">
        <w:rPr>
          <w:sz w:val="26"/>
        </w:rPr>
        <w:t xml:space="preserve"> burden of proof to establish any violation of the Code or Commission Regulations by </w:t>
      </w:r>
      <w:r w:rsidR="009546A8">
        <w:rPr>
          <w:sz w:val="26"/>
        </w:rPr>
        <w:t>Overbrook.</w:t>
      </w:r>
      <w:r w:rsidR="00BB6B0C">
        <w:rPr>
          <w:sz w:val="26"/>
        </w:rPr>
        <w:t xml:space="preserve">  I.D</w:t>
      </w:r>
      <w:r w:rsidR="00BB6B0C" w:rsidRPr="003D1722">
        <w:rPr>
          <w:sz w:val="26"/>
        </w:rPr>
        <w:t xml:space="preserve">. at </w:t>
      </w:r>
      <w:r w:rsidR="003D1722" w:rsidRPr="003D1722">
        <w:rPr>
          <w:sz w:val="26"/>
        </w:rPr>
        <w:t>8</w:t>
      </w:r>
      <w:r w:rsidR="00BB6B0C" w:rsidRPr="003D1722">
        <w:rPr>
          <w:sz w:val="26"/>
        </w:rPr>
        <w:t>.</w:t>
      </w:r>
    </w:p>
    <w:p w14:paraId="01F71510" w14:textId="77777777" w:rsidR="009546A8" w:rsidRDefault="009546A8" w:rsidP="009546A8">
      <w:pPr>
        <w:widowControl/>
        <w:tabs>
          <w:tab w:val="left" w:pos="720"/>
          <w:tab w:val="left" w:pos="1440"/>
        </w:tabs>
        <w:spacing w:line="360" w:lineRule="auto"/>
        <w:ind w:firstLine="1440"/>
        <w:rPr>
          <w:sz w:val="26"/>
        </w:rPr>
      </w:pPr>
    </w:p>
    <w:p w14:paraId="7EEFAD9F" w14:textId="54859AF1" w:rsidR="00CA2459" w:rsidRDefault="00A6655D" w:rsidP="00CA2459">
      <w:pPr>
        <w:widowControl/>
        <w:spacing w:line="360" w:lineRule="auto"/>
        <w:ind w:firstLine="1440"/>
        <w:rPr>
          <w:color w:val="000000"/>
          <w:sz w:val="26"/>
          <w:szCs w:val="26"/>
        </w:rPr>
      </w:pPr>
      <w:r>
        <w:rPr>
          <w:color w:val="000000"/>
          <w:sz w:val="26"/>
          <w:szCs w:val="26"/>
        </w:rPr>
        <w:lastRenderedPageBreak/>
        <w:t>With respect to the Complainants</w:t>
      </w:r>
      <w:r w:rsidR="00442D42">
        <w:rPr>
          <w:color w:val="000000"/>
          <w:sz w:val="26"/>
          <w:szCs w:val="26"/>
        </w:rPr>
        <w:t>’</w:t>
      </w:r>
      <w:r>
        <w:rPr>
          <w:color w:val="000000"/>
          <w:sz w:val="26"/>
          <w:szCs w:val="26"/>
        </w:rPr>
        <w:t xml:space="preserve"> claim that Overbrook’s provision of water service was unreasonable or inadequate, t</w:t>
      </w:r>
      <w:r w:rsidR="003D1722" w:rsidRPr="003D1722">
        <w:rPr>
          <w:color w:val="000000"/>
          <w:sz w:val="26"/>
          <w:szCs w:val="26"/>
        </w:rPr>
        <w:t xml:space="preserve">he ALJ acknowledged that the Complainants </w:t>
      </w:r>
      <w:r w:rsidR="00CA2459">
        <w:rPr>
          <w:color w:val="000000"/>
          <w:sz w:val="26"/>
          <w:szCs w:val="26"/>
        </w:rPr>
        <w:t xml:space="preserve">had raised valid concerns regarding </w:t>
      </w:r>
      <w:r>
        <w:rPr>
          <w:color w:val="000000"/>
          <w:sz w:val="26"/>
          <w:szCs w:val="26"/>
        </w:rPr>
        <w:t xml:space="preserve">their </w:t>
      </w:r>
      <w:r w:rsidR="003D1722">
        <w:rPr>
          <w:color w:val="000000"/>
          <w:sz w:val="26"/>
          <w:szCs w:val="26"/>
        </w:rPr>
        <w:t xml:space="preserve">water </w:t>
      </w:r>
      <w:r w:rsidR="003D1722" w:rsidRPr="003D1722">
        <w:rPr>
          <w:color w:val="000000"/>
          <w:sz w:val="26"/>
          <w:szCs w:val="26"/>
        </w:rPr>
        <w:t xml:space="preserve">service. </w:t>
      </w:r>
      <w:r w:rsidR="003D1722">
        <w:rPr>
          <w:color w:val="000000"/>
          <w:sz w:val="26"/>
          <w:szCs w:val="26"/>
        </w:rPr>
        <w:t xml:space="preserve"> The ALJ specifically noted that between March of 2019 and July 2, 2019, the Complainants had experienced over ten instances of low water pressure in addition to a water main break.</w:t>
      </w:r>
      <w:r w:rsidR="00CA2459">
        <w:rPr>
          <w:color w:val="000000"/>
          <w:sz w:val="26"/>
          <w:szCs w:val="26"/>
        </w:rPr>
        <w:t xml:space="preserve"> I.D. at 3.</w:t>
      </w:r>
      <w:r w:rsidR="003D1722">
        <w:rPr>
          <w:color w:val="000000"/>
          <w:sz w:val="26"/>
          <w:szCs w:val="26"/>
        </w:rPr>
        <w:t xml:space="preserve">  </w:t>
      </w:r>
      <w:r w:rsidR="003D1722" w:rsidRPr="003D1722">
        <w:rPr>
          <w:color w:val="000000"/>
          <w:sz w:val="26"/>
          <w:szCs w:val="26"/>
        </w:rPr>
        <w:t xml:space="preserve">However, the ALJ </w:t>
      </w:r>
      <w:r w:rsidR="003D1722">
        <w:rPr>
          <w:color w:val="000000"/>
          <w:sz w:val="26"/>
          <w:szCs w:val="26"/>
        </w:rPr>
        <w:t xml:space="preserve">also noted that </w:t>
      </w:r>
      <w:r w:rsidR="003D1722" w:rsidRPr="003D1722">
        <w:rPr>
          <w:color w:val="000000"/>
          <w:sz w:val="26"/>
          <w:szCs w:val="26"/>
        </w:rPr>
        <w:t xml:space="preserve">the Public Utility Code </w:t>
      </w:r>
      <w:r w:rsidR="00CA2459">
        <w:rPr>
          <w:color w:val="000000"/>
          <w:sz w:val="26"/>
          <w:szCs w:val="26"/>
        </w:rPr>
        <w:t>and</w:t>
      </w:r>
      <w:r w:rsidR="003D1722" w:rsidRPr="003D1722">
        <w:rPr>
          <w:color w:val="000000"/>
          <w:sz w:val="26"/>
          <w:szCs w:val="26"/>
        </w:rPr>
        <w:t xml:space="preserve"> Commission regulations require </w:t>
      </w:r>
      <w:r w:rsidR="003D1722">
        <w:rPr>
          <w:color w:val="000000"/>
          <w:sz w:val="26"/>
          <w:szCs w:val="26"/>
        </w:rPr>
        <w:t>that a utility provide</w:t>
      </w:r>
      <w:r w:rsidR="00CA2459">
        <w:rPr>
          <w:color w:val="000000"/>
          <w:sz w:val="26"/>
          <w:szCs w:val="26"/>
        </w:rPr>
        <w:t xml:space="preserve"> reasonable and adequate service, not </w:t>
      </w:r>
      <w:r w:rsidR="003D1722" w:rsidRPr="003D1722">
        <w:rPr>
          <w:i/>
          <w:iCs/>
          <w:color w:val="000000"/>
          <w:sz w:val="26"/>
          <w:szCs w:val="26"/>
        </w:rPr>
        <w:t>flawless</w:t>
      </w:r>
      <w:r w:rsidR="003D1722" w:rsidRPr="003D1722">
        <w:rPr>
          <w:color w:val="000000"/>
          <w:sz w:val="26"/>
          <w:szCs w:val="26"/>
        </w:rPr>
        <w:t xml:space="preserve"> service.</w:t>
      </w:r>
      <w:r w:rsidR="00CA2459">
        <w:rPr>
          <w:color w:val="000000"/>
          <w:sz w:val="26"/>
          <w:szCs w:val="26"/>
        </w:rPr>
        <w:t xml:space="preserve"> </w:t>
      </w:r>
      <w:r w:rsidR="002B510C">
        <w:rPr>
          <w:color w:val="000000"/>
          <w:sz w:val="26"/>
          <w:szCs w:val="26"/>
        </w:rPr>
        <w:t xml:space="preserve"> </w:t>
      </w:r>
      <w:r w:rsidR="00CA2459">
        <w:rPr>
          <w:color w:val="000000"/>
          <w:sz w:val="26"/>
          <w:szCs w:val="26"/>
        </w:rPr>
        <w:t>I.D. at 5.</w:t>
      </w:r>
      <w:r w:rsidR="003D1722">
        <w:rPr>
          <w:color w:val="000000"/>
          <w:sz w:val="26"/>
          <w:szCs w:val="26"/>
        </w:rPr>
        <w:t xml:space="preserve">  </w:t>
      </w:r>
      <w:r w:rsidR="003D1722" w:rsidRPr="003D1722">
        <w:rPr>
          <w:color w:val="000000"/>
          <w:sz w:val="26"/>
          <w:szCs w:val="26"/>
        </w:rPr>
        <w:t>Further, the Initial Decision note</w:t>
      </w:r>
      <w:r w:rsidR="00CA2459">
        <w:rPr>
          <w:color w:val="000000"/>
          <w:sz w:val="26"/>
          <w:szCs w:val="26"/>
        </w:rPr>
        <w:t>d</w:t>
      </w:r>
      <w:r w:rsidR="003D1722" w:rsidRPr="003D1722">
        <w:rPr>
          <w:color w:val="000000"/>
          <w:sz w:val="26"/>
          <w:szCs w:val="26"/>
        </w:rPr>
        <w:t xml:space="preserve"> that Overbrook has exhibited </w:t>
      </w:r>
      <w:r w:rsidR="00CA2459">
        <w:rPr>
          <w:color w:val="000000"/>
          <w:sz w:val="26"/>
          <w:szCs w:val="26"/>
        </w:rPr>
        <w:t xml:space="preserve">prompt and </w:t>
      </w:r>
      <w:r w:rsidR="003D1722" w:rsidRPr="003D1722">
        <w:rPr>
          <w:color w:val="000000"/>
          <w:sz w:val="26"/>
          <w:szCs w:val="26"/>
        </w:rPr>
        <w:t xml:space="preserve">continued efforts to respond to </w:t>
      </w:r>
      <w:r w:rsidR="00CA2459">
        <w:rPr>
          <w:color w:val="000000"/>
          <w:sz w:val="26"/>
          <w:szCs w:val="26"/>
        </w:rPr>
        <w:t xml:space="preserve">each </w:t>
      </w:r>
      <w:r w:rsidR="003D1722" w:rsidRPr="003D1722">
        <w:rPr>
          <w:color w:val="000000"/>
          <w:sz w:val="26"/>
          <w:szCs w:val="26"/>
        </w:rPr>
        <w:t>service issue</w:t>
      </w:r>
      <w:r w:rsidR="00CA2459">
        <w:rPr>
          <w:color w:val="000000"/>
          <w:sz w:val="26"/>
          <w:szCs w:val="26"/>
        </w:rPr>
        <w:t xml:space="preserve"> as it arose</w:t>
      </w:r>
      <w:r w:rsidR="003D1722" w:rsidRPr="003D1722">
        <w:rPr>
          <w:color w:val="000000"/>
          <w:sz w:val="26"/>
          <w:szCs w:val="26"/>
        </w:rPr>
        <w:t>.</w:t>
      </w:r>
      <w:r w:rsidR="00CA2459">
        <w:rPr>
          <w:color w:val="000000"/>
          <w:sz w:val="26"/>
          <w:szCs w:val="26"/>
        </w:rPr>
        <w:t xml:space="preserve"> </w:t>
      </w:r>
      <w:r w:rsidR="002B510C">
        <w:rPr>
          <w:color w:val="000000"/>
          <w:sz w:val="26"/>
          <w:szCs w:val="26"/>
        </w:rPr>
        <w:t xml:space="preserve"> </w:t>
      </w:r>
      <w:r w:rsidR="00CA2459" w:rsidRPr="00CA2459">
        <w:rPr>
          <w:i/>
          <w:iCs/>
          <w:color w:val="000000"/>
          <w:sz w:val="26"/>
          <w:szCs w:val="26"/>
        </w:rPr>
        <w:t>Id</w:t>
      </w:r>
      <w:r w:rsidR="002B510C">
        <w:rPr>
          <w:color w:val="000000"/>
          <w:sz w:val="26"/>
          <w:szCs w:val="26"/>
        </w:rPr>
        <w:t>. at 3.</w:t>
      </w:r>
    </w:p>
    <w:p w14:paraId="4BE4B06A" w14:textId="77777777" w:rsidR="00CA2459" w:rsidRDefault="00CA2459" w:rsidP="00CA2459">
      <w:pPr>
        <w:widowControl/>
        <w:spacing w:line="360" w:lineRule="auto"/>
        <w:ind w:firstLine="1440"/>
        <w:rPr>
          <w:color w:val="000000"/>
          <w:sz w:val="26"/>
          <w:szCs w:val="26"/>
        </w:rPr>
      </w:pPr>
    </w:p>
    <w:p w14:paraId="1F50A275" w14:textId="6D908DB5" w:rsidR="003D1722" w:rsidRPr="003D1722" w:rsidRDefault="00CA2459" w:rsidP="007F50BF">
      <w:pPr>
        <w:widowControl/>
        <w:tabs>
          <w:tab w:val="left" w:pos="3024"/>
        </w:tabs>
        <w:spacing w:line="360" w:lineRule="auto"/>
        <w:ind w:firstLine="1440"/>
        <w:rPr>
          <w:color w:val="000000"/>
          <w:sz w:val="26"/>
          <w:szCs w:val="26"/>
        </w:rPr>
      </w:pPr>
      <w:r>
        <w:rPr>
          <w:color w:val="000000"/>
          <w:sz w:val="26"/>
          <w:szCs w:val="26"/>
        </w:rPr>
        <w:t>The ALJ reasoned that, while not flawless, Overbrook’s provision of water service to the Blooms residence was not so flawed as to constitute unreas</w:t>
      </w:r>
      <w:r w:rsidR="003D1722" w:rsidRPr="003D1722">
        <w:rPr>
          <w:color w:val="000000"/>
          <w:sz w:val="26"/>
          <w:szCs w:val="26"/>
        </w:rPr>
        <w:t>on</w:t>
      </w:r>
      <w:r>
        <w:rPr>
          <w:color w:val="000000"/>
          <w:sz w:val="26"/>
          <w:szCs w:val="26"/>
        </w:rPr>
        <w:t xml:space="preserve">able or inadequate service.  </w:t>
      </w:r>
      <w:r w:rsidR="00A6655D">
        <w:rPr>
          <w:color w:val="000000"/>
          <w:sz w:val="26"/>
          <w:szCs w:val="26"/>
        </w:rPr>
        <w:t>On that basis, t</w:t>
      </w:r>
      <w:r>
        <w:rPr>
          <w:color w:val="000000"/>
          <w:sz w:val="26"/>
          <w:szCs w:val="26"/>
        </w:rPr>
        <w:t xml:space="preserve">he ALJ concluded that </w:t>
      </w:r>
      <w:r w:rsidR="003D1722" w:rsidRPr="003D1722">
        <w:rPr>
          <w:color w:val="000000"/>
          <w:sz w:val="26"/>
          <w:szCs w:val="26"/>
        </w:rPr>
        <w:t xml:space="preserve">the Blooms failed to show the Company's service </w:t>
      </w:r>
      <w:r w:rsidR="00A6655D">
        <w:rPr>
          <w:color w:val="000000"/>
          <w:sz w:val="26"/>
          <w:szCs w:val="26"/>
        </w:rPr>
        <w:t xml:space="preserve">was </w:t>
      </w:r>
      <w:r w:rsidR="003D1722" w:rsidRPr="003D1722">
        <w:rPr>
          <w:color w:val="000000"/>
          <w:sz w:val="26"/>
          <w:szCs w:val="26"/>
        </w:rPr>
        <w:t>unreasonable or inadequate</w:t>
      </w:r>
      <w:r w:rsidR="00A6655D">
        <w:rPr>
          <w:color w:val="000000"/>
          <w:sz w:val="26"/>
          <w:szCs w:val="26"/>
        </w:rPr>
        <w:t xml:space="preserve">, and that </w:t>
      </w:r>
      <w:r w:rsidR="003D1722" w:rsidRPr="003D1722">
        <w:rPr>
          <w:color w:val="000000"/>
          <w:sz w:val="26"/>
          <w:szCs w:val="26"/>
        </w:rPr>
        <w:t xml:space="preserve">therefore, there </w:t>
      </w:r>
      <w:r w:rsidR="00442D42">
        <w:rPr>
          <w:color w:val="000000"/>
          <w:sz w:val="26"/>
          <w:szCs w:val="26"/>
        </w:rPr>
        <w:t>was</w:t>
      </w:r>
      <w:r w:rsidR="00442D42" w:rsidRPr="003D1722">
        <w:rPr>
          <w:color w:val="000000"/>
          <w:sz w:val="26"/>
          <w:szCs w:val="26"/>
        </w:rPr>
        <w:t xml:space="preserve"> </w:t>
      </w:r>
      <w:r w:rsidR="003D1722" w:rsidRPr="003D1722">
        <w:rPr>
          <w:color w:val="000000"/>
          <w:sz w:val="26"/>
          <w:szCs w:val="26"/>
        </w:rPr>
        <w:t>no basis for sustaining the Complaint and imposing a civil penalty.</w:t>
      </w:r>
      <w:r w:rsidR="003D1722" w:rsidRPr="003D1722">
        <w:rPr>
          <w:noProof/>
          <w:color w:val="000000"/>
          <w:sz w:val="26"/>
          <w:szCs w:val="26"/>
        </w:rPr>
        <w:drawing>
          <wp:inline distT="0" distB="0" distL="0" distR="0" wp14:anchorId="567FCFC7" wp14:editId="0052E4FB">
            <wp:extent cx="9123" cy="4562"/>
            <wp:effectExtent l="0" t="0" r="0" b="0"/>
            <wp:docPr id="2001" name="Picture 2001"/>
            <wp:cNvGraphicFramePr/>
            <a:graphic xmlns:a="http://schemas.openxmlformats.org/drawingml/2006/main">
              <a:graphicData uri="http://schemas.openxmlformats.org/drawingml/2006/picture">
                <pic:pic xmlns:pic="http://schemas.openxmlformats.org/drawingml/2006/picture">
                  <pic:nvPicPr>
                    <pic:cNvPr id="2001" name="Picture 2001"/>
                    <pic:cNvPicPr/>
                  </pic:nvPicPr>
                  <pic:blipFill>
                    <a:blip r:embed="rId13"/>
                    <a:stretch>
                      <a:fillRect/>
                    </a:stretch>
                  </pic:blipFill>
                  <pic:spPr>
                    <a:xfrm>
                      <a:off x="0" y="0"/>
                      <a:ext cx="9123" cy="4562"/>
                    </a:xfrm>
                    <a:prstGeom prst="rect">
                      <a:avLst/>
                    </a:prstGeom>
                  </pic:spPr>
                </pic:pic>
              </a:graphicData>
            </a:graphic>
          </wp:inline>
        </w:drawing>
      </w:r>
    </w:p>
    <w:p w14:paraId="73753512" w14:textId="77777777" w:rsidR="00A6655D" w:rsidRDefault="00A6655D" w:rsidP="003D1722">
      <w:pPr>
        <w:widowControl/>
        <w:spacing w:line="360" w:lineRule="auto"/>
        <w:ind w:firstLine="720"/>
        <w:rPr>
          <w:color w:val="000000"/>
          <w:sz w:val="26"/>
          <w:szCs w:val="26"/>
        </w:rPr>
      </w:pPr>
    </w:p>
    <w:p w14:paraId="7281FA2F" w14:textId="27A0A434" w:rsidR="003D1722" w:rsidRPr="003D1722" w:rsidRDefault="00A6655D" w:rsidP="00A6655D">
      <w:pPr>
        <w:widowControl/>
        <w:spacing w:line="360" w:lineRule="auto"/>
        <w:ind w:firstLine="1440"/>
        <w:rPr>
          <w:color w:val="000000"/>
          <w:sz w:val="26"/>
          <w:szCs w:val="26"/>
        </w:rPr>
      </w:pPr>
      <w:r>
        <w:rPr>
          <w:color w:val="000000"/>
          <w:sz w:val="26"/>
          <w:szCs w:val="26"/>
        </w:rPr>
        <w:t>With respect to the Complainants</w:t>
      </w:r>
      <w:r w:rsidR="00442D42">
        <w:rPr>
          <w:color w:val="000000"/>
          <w:sz w:val="26"/>
          <w:szCs w:val="26"/>
        </w:rPr>
        <w:t>’</w:t>
      </w:r>
      <w:r>
        <w:rPr>
          <w:color w:val="000000"/>
          <w:sz w:val="26"/>
          <w:szCs w:val="26"/>
        </w:rPr>
        <w:t xml:space="preserve"> claim that Overbrook’s </w:t>
      </w:r>
      <w:r w:rsidR="005B43B0">
        <w:rPr>
          <w:color w:val="000000"/>
          <w:sz w:val="26"/>
          <w:szCs w:val="26"/>
        </w:rPr>
        <w:t xml:space="preserve">facilities are </w:t>
      </w:r>
      <w:r>
        <w:rPr>
          <w:color w:val="000000"/>
          <w:sz w:val="26"/>
          <w:szCs w:val="26"/>
        </w:rPr>
        <w:t xml:space="preserve">so deficient </w:t>
      </w:r>
      <w:r w:rsidR="005B43B0">
        <w:rPr>
          <w:color w:val="000000"/>
          <w:sz w:val="26"/>
          <w:szCs w:val="26"/>
        </w:rPr>
        <w:t>that the Commission should require the sale of Overbrook to another water utility, the ALJ concluded there was no evidence to support initiating an investigation under Section 529 of the Code, which provides the Commission authority to require the sale an</w:t>
      </w:r>
      <w:r w:rsidR="00442D42">
        <w:rPr>
          <w:color w:val="000000"/>
          <w:sz w:val="26"/>
          <w:szCs w:val="26"/>
        </w:rPr>
        <w:t>d</w:t>
      </w:r>
      <w:r w:rsidR="005B43B0">
        <w:rPr>
          <w:color w:val="000000"/>
          <w:sz w:val="26"/>
          <w:szCs w:val="26"/>
        </w:rPr>
        <w:t xml:space="preserve"> acquisition of </w:t>
      </w:r>
      <w:r w:rsidR="00442D42">
        <w:rPr>
          <w:color w:val="000000"/>
          <w:sz w:val="26"/>
          <w:szCs w:val="26"/>
        </w:rPr>
        <w:t xml:space="preserve">a </w:t>
      </w:r>
      <w:r w:rsidR="005B43B0">
        <w:rPr>
          <w:color w:val="000000"/>
          <w:sz w:val="26"/>
          <w:szCs w:val="26"/>
        </w:rPr>
        <w:t>small “non-viable” water utilit</w:t>
      </w:r>
      <w:r w:rsidR="00442D42">
        <w:rPr>
          <w:color w:val="000000"/>
          <w:sz w:val="26"/>
          <w:szCs w:val="26"/>
        </w:rPr>
        <w:t>y</w:t>
      </w:r>
      <w:r w:rsidR="005B43B0">
        <w:rPr>
          <w:color w:val="000000"/>
          <w:sz w:val="26"/>
          <w:szCs w:val="26"/>
        </w:rPr>
        <w:t xml:space="preserve"> to </w:t>
      </w:r>
      <w:r w:rsidR="00EE622B">
        <w:rPr>
          <w:color w:val="000000"/>
          <w:sz w:val="26"/>
          <w:szCs w:val="26"/>
        </w:rPr>
        <w:t>a larger competent utility.  66 </w:t>
      </w:r>
      <w:r w:rsidR="005B43B0">
        <w:rPr>
          <w:color w:val="000000"/>
          <w:sz w:val="26"/>
          <w:szCs w:val="26"/>
        </w:rPr>
        <w:t>Pa. C.S.</w:t>
      </w:r>
      <w:r w:rsidR="00EE622B">
        <w:rPr>
          <w:color w:val="000000"/>
          <w:sz w:val="26"/>
          <w:szCs w:val="26"/>
        </w:rPr>
        <w:t xml:space="preserve"> </w:t>
      </w:r>
      <w:r w:rsidR="005B43B0">
        <w:rPr>
          <w:color w:val="000000"/>
          <w:sz w:val="26"/>
          <w:szCs w:val="26"/>
        </w:rPr>
        <w:t>§</w:t>
      </w:r>
      <w:r w:rsidR="00EE622B">
        <w:rPr>
          <w:color w:val="000000"/>
          <w:sz w:val="26"/>
          <w:szCs w:val="26"/>
        </w:rPr>
        <w:t xml:space="preserve"> </w:t>
      </w:r>
      <w:r w:rsidR="005B43B0">
        <w:rPr>
          <w:color w:val="000000"/>
          <w:sz w:val="26"/>
          <w:szCs w:val="26"/>
        </w:rPr>
        <w:t>529.  T</w:t>
      </w:r>
      <w:r>
        <w:rPr>
          <w:color w:val="000000"/>
          <w:sz w:val="26"/>
          <w:szCs w:val="26"/>
        </w:rPr>
        <w:t xml:space="preserve">he </w:t>
      </w:r>
      <w:r w:rsidR="003D1722" w:rsidRPr="003D1722">
        <w:rPr>
          <w:color w:val="000000"/>
          <w:sz w:val="26"/>
          <w:szCs w:val="26"/>
        </w:rPr>
        <w:t>ALJ state</w:t>
      </w:r>
      <w:r>
        <w:rPr>
          <w:color w:val="000000"/>
          <w:sz w:val="26"/>
          <w:szCs w:val="26"/>
        </w:rPr>
        <w:t>d</w:t>
      </w:r>
      <w:r w:rsidR="003D1722" w:rsidRPr="003D1722">
        <w:rPr>
          <w:color w:val="000000"/>
          <w:sz w:val="26"/>
          <w:szCs w:val="26"/>
        </w:rPr>
        <w:t xml:space="preserve"> </w:t>
      </w:r>
      <w:r>
        <w:rPr>
          <w:color w:val="000000"/>
          <w:sz w:val="26"/>
          <w:szCs w:val="26"/>
        </w:rPr>
        <w:t xml:space="preserve">that </w:t>
      </w:r>
      <w:r w:rsidR="003D1722" w:rsidRPr="003D1722">
        <w:rPr>
          <w:color w:val="000000"/>
          <w:sz w:val="26"/>
          <w:szCs w:val="26"/>
        </w:rPr>
        <w:t xml:space="preserve">the Company is </w:t>
      </w:r>
      <w:r w:rsidR="005B43B0">
        <w:rPr>
          <w:color w:val="000000"/>
          <w:sz w:val="26"/>
          <w:szCs w:val="26"/>
        </w:rPr>
        <w:t xml:space="preserve">already </w:t>
      </w:r>
      <w:r w:rsidR="003D1722" w:rsidRPr="003D1722">
        <w:rPr>
          <w:color w:val="000000"/>
          <w:sz w:val="26"/>
          <w:szCs w:val="26"/>
        </w:rPr>
        <w:t xml:space="preserve">working cooperatively with the Commission's Bureau of Investigation and Enforcement (I&amp;E) to ameliorate its </w:t>
      </w:r>
      <w:r w:rsidR="005B43B0">
        <w:rPr>
          <w:color w:val="000000"/>
          <w:sz w:val="26"/>
          <w:szCs w:val="26"/>
        </w:rPr>
        <w:t xml:space="preserve">system-wide </w:t>
      </w:r>
      <w:r w:rsidR="003D1722" w:rsidRPr="003D1722">
        <w:rPr>
          <w:color w:val="000000"/>
          <w:sz w:val="26"/>
          <w:szCs w:val="26"/>
        </w:rPr>
        <w:t>service issues.</w:t>
      </w:r>
      <w:r>
        <w:rPr>
          <w:color w:val="000000"/>
          <w:sz w:val="26"/>
          <w:szCs w:val="26"/>
        </w:rPr>
        <w:t xml:space="preserve"> </w:t>
      </w:r>
      <w:r w:rsidR="007F50BF">
        <w:rPr>
          <w:color w:val="000000"/>
          <w:sz w:val="26"/>
          <w:szCs w:val="26"/>
        </w:rPr>
        <w:t xml:space="preserve"> </w:t>
      </w:r>
      <w:r>
        <w:rPr>
          <w:color w:val="000000"/>
          <w:sz w:val="26"/>
          <w:szCs w:val="26"/>
        </w:rPr>
        <w:t>I.D. at 4 and 7.</w:t>
      </w:r>
      <w:r w:rsidR="003D1722" w:rsidRPr="003D1722">
        <w:rPr>
          <w:color w:val="000000"/>
          <w:sz w:val="26"/>
          <w:szCs w:val="26"/>
        </w:rPr>
        <w:t xml:space="preserve"> </w:t>
      </w:r>
      <w:r>
        <w:rPr>
          <w:color w:val="000000"/>
          <w:sz w:val="26"/>
          <w:szCs w:val="26"/>
        </w:rPr>
        <w:t xml:space="preserve"> </w:t>
      </w:r>
      <w:r w:rsidR="003D1722" w:rsidRPr="003D1722">
        <w:rPr>
          <w:color w:val="000000"/>
          <w:sz w:val="26"/>
          <w:szCs w:val="26"/>
        </w:rPr>
        <w:t xml:space="preserve">This observation, coupled with the ALJ's </w:t>
      </w:r>
      <w:r>
        <w:rPr>
          <w:color w:val="000000"/>
          <w:sz w:val="26"/>
          <w:szCs w:val="26"/>
        </w:rPr>
        <w:t xml:space="preserve">prior </w:t>
      </w:r>
      <w:r w:rsidR="003D1722" w:rsidRPr="003D1722">
        <w:rPr>
          <w:color w:val="000000"/>
          <w:sz w:val="26"/>
          <w:szCs w:val="26"/>
        </w:rPr>
        <w:t xml:space="preserve">finding that the service issues presented in this Complaint </w:t>
      </w:r>
      <w:r>
        <w:rPr>
          <w:color w:val="000000"/>
          <w:sz w:val="26"/>
          <w:szCs w:val="26"/>
        </w:rPr>
        <w:t xml:space="preserve">did not rise to the level of unreasonable or inadequate service, </w:t>
      </w:r>
      <w:r w:rsidR="003D1722" w:rsidRPr="003D1722">
        <w:rPr>
          <w:color w:val="000000"/>
          <w:sz w:val="26"/>
          <w:szCs w:val="26"/>
        </w:rPr>
        <w:t xml:space="preserve">led the ALJ to conclude that there is no basis to direct an investigation into the sale of Overbrook. </w:t>
      </w:r>
      <w:r w:rsidR="002B510C">
        <w:rPr>
          <w:color w:val="000000"/>
          <w:sz w:val="26"/>
          <w:szCs w:val="26"/>
        </w:rPr>
        <w:t xml:space="preserve"> </w:t>
      </w:r>
      <w:r w:rsidR="00FD280C">
        <w:rPr>
          <w:color w:val="000000"/>
          <w:sz w:val="26"/>
          <w:szCs w:val="26"/>
        </w:rPr>
        <w:t xml:space="preserve">I.D. at 7. </w:t>
      </w:r>
      <w:r w:rsidR="003D1722" w:rsidRPr="003D1722">
        <w:rPr>
          <w:noProof/>
          <w:color w:val="000000"/>
          <w:sz w:val="26"/>
          <w:szCs w:val="26"/>
        </w:rPr>
        <w:drawing>
          <wp:inline distT="0" distB="0" distL="0" distR="0" wp14:anchorId="072722F1" wp14:editId="03741C0C">
            <wp:extent cx="9123" cy="9123"/>
            <wp:effectExtent l="0" t="0" r="0" b="0"/>
            <wp:docPr id="2002" name="Picture 2002"/>
            <wp:cNvGraphicFramePr/>
            <a:graphic xmlns:a="http://schemas.openxmlformats.org/drawingml/2006/main">
              <a:graphicData uri="http://schemas.openxmlformats.org/drawingml/2006/picture">
                <pic:pic xmlns:pic="http://schemas.openxmlformats.org/drawingml/2006/picture">
                  <pic:nvPicPr>
                    <pic:cNvPr id="2002" name="Picture 2002"/>
                    <pic:cNvPicPr/>
                  </pic:nvPicPr>
                  <pic:blipFill>
                    <a:blip r:embed="rId14"/>
                    <a:stretch>
                      <a:fillRect/>
                    </a:stretch>
                  </pic:blipFill>
                  <pic:spPr>
                    <a:xfrm>
                      <a:off x="0" y="0"/>
                      <a:ext cx="9123" cy="9123"/>
                    </a:xfrm>
                    <a:prstGeom prst="rect">
                      <a:avLst/>
                    </a:prstGeom>
                  </pic:spPr>
                </pic:pic>
              </a:graphicData>
            </a:graphic>
          </wp:inline>
        </w:drawing>
      </w:r>
    </w:p>
    <w:p w14:paraId="7F67C6A5" w14:textId="77777777" w:rsidR="00C5095B" w:rsidRDefault="00C5095B" w:rsidP="00C5095B">
      <w:pPr>
        <w:spacing w:line="360" w:lineRule="auto"/>
        <w:ind w:right="58" w:firstLine="1440"/>
        <w:rPr>
          <w:sz w:val="26"/>
          <w:szCs w:val="26"/>
        </w:rPr>
      </w:pPr>
    </w:p>
    <w:p w14:paraId="4B3CA599" w14:textId="77777777" w:rsidR="001A4C83" w:rsidRDefault="00FD280C" w:rsidP="00F35174">
      <w:pPr>
        <w:widowControl/>
        <w:spacing w:line="360" w:lineRule="auto"/>
        <w:ind w:right="58" w:firstLine="1440"/>
        <w:rPr>
          <w:sz w:val="26"/>
          <w:szCs w:val="26"/>
        </w:rPr>
      </w:pPr>
      <w:r>
        <w:rPr>
          <w:sz w:val="26"/>
          <w:szCs w:val="26"/>
        </w:rPr>
        <w:lastRenderedPageBreak/>
        <w:t xml:space="preserve">Having found that </w:t>
      </w:r>
      <w:r w:rsidR="001A4C83">
        <w:rPr>
          <w:sz w:val="26"/>
          <w:szCs w:val="26"/>
        </w:rPr>
        <w:t>the Complainant</w:t>
      </w:r>
      <w:r>
        <w:rPr>
          <w:sz w:val="26"/>
          <w:szCs w:val="26"/>
        </w:rPr>
        <w:t>s</w:t>
      </w:r>
      <w:r w:rsidR="001A4C83">
        <w:rPr>
          <w:sz w:val="26"/>
          <w:szCs w:val="26"/>
        </w:rPr>
        <w:t xml:space="preserve"> </w:t>
      </w:r>
      <w:r w:rsidR="00411172">
        <w:rPr>
          <w:sz w:val="26"/>
          <w:szCs w:val="26"/>
        </w:rPr>
        <w:t xml:space="preserve">failed to carry </w:t>
      </w:r>
      <w:r>
        <w:rPr>
          <w:sz w:val="26"/>
          <w:szCs w:val="26"/>
        </w:rPr>
        <w:t xml:space="preserve">their </w:t>
      </w:r>
      <w:r w:rsidR="00CD7CD8">
        <w:rPr>
          <w:sz w:val="26"/>
          <w:szCs w:val="26"/>
        </w:rPr>
        <w:t xml:space="preserve">burden of proof to establish that </w:t>
      </w:r>
      <w:r w:rsidR="009546A8">
        <w:rPr>
          <w:sz w:val="26"/>
          <w:szCs w:val="26"/>
        </w:rPr>
        <w:t xml:space="preserve">Overbrook </w:t>
      </w:r>
      <w:r w:rsidR="00CD7CD8">
        <w:rPr>
          <w:sz w:val="26"/>
          <w:szCs w:val="26"/>
        </w:rPr>
        <w:t>had violated any provision of the Code or Commission Regulations</w:t>
      </w:r>
      <w:r>
        <w:rPr>
          <w:sz w:val="26"/>
          <w:szCs w:val="26"/>
        </w:rPr>
        <w:t>, the ALJ dismissed the Compliant</w:t>
      </w:r>
      <w:r w:rsidR="00CD7CD8">
        <w:rPr>
          <w:sz w:val="26"/>
          <w:szCs w:val="26"/>
        </w:rPr>
        <w:t>.</w:t>
      </w:r>
      <w:r w:rsidR="002B510C">
        <w:rPr>
          <w:sz w:val="26"/>
          <w:szCs w:val="26"/>
        </w:rPr>
        <w:t xml:space="preserve"> </w:t>
      </w:r>
      <w:r w:rsidR="00BB6B0C">
        <w:rPr>
          <w:sz w:val="26"/>
          <w:szCs w:val="26"/>
        </w:rPr>
        <w:t xml:space="preserve"> I.D</w:t>
      </w:r>
      <w:r w:rsidR="00BB6B0C" w:rsidRPr="00FD280C">
        <w:rPr>
          <w:sz w:val="26"/>
          <w:szCs w:val="26"/>
        </w:rPr>
        <w:t>. at</w:t>
      </w:r>
      <w:r w:rsidRPr="00FD280C">
        <w:rPr>
          <w:sz w:val="26"/>
          <w:szCs w:val="26"/>
        </w:rPr>
        <w:t xml:space="preserve"> 7</w:t>
      </w:r>
      <w:r w:rsidR="00BB6B0C" w:rsidRPr="00FD280C">
        <w:rPr>
          <w:sz w:val="26"/>
          <w:szCs w:val="26"/>
        </w:rPr>
        <w:t>.</w:t>
      </w:r>
    </w:p>
    <w:p w14:paraId="70A9A995" w14:textId="77777777" w:rsidR="005B43B0" w:rsidRDefault="005B43B0" w:rsidP="00C5095B">
      <w:pPr>
        <w:spacing w:line="360" w:lineRule="auto"/>
        <w:ind w:right="58" w:firstLine="1440"/>
        <w:rPr>
          <w:sz w:val="26"/>
          <w:szCs w:val="26"/>
        </w:rPr>
      </w:pPr>
    </w:p>
    <w:p w14:paraId="37DBB283" w14:textId="77777777" w:rsidR="00554D3B" w:rsidRDefault="007C089A" w:rsidP="00171BF0">
      <w:pPr>
        <w:widowControl/>
        <w:spacing w:line="360" w:lineRule="auto"/>
        <w:contextualSpacing/>
        <w:rPr>
          <w:b/>
          <w:bCs/>
          <w:sz w:val="26"/>
          <w:szCs w:val="26"/>
        </w:rPr>
      </w:pPr>
      <w:r w:rsidRPr="00A60808">
        <w:rPr>
          <w:b/>
          <w:bCs/>
          <w:sz w:val="26"/>
          <w:szCs w:val="26"/>
        </w:rPr>
        <w:t>Disposition</w:t>
      </w:r>
    </w:p>
    <w:p w14:paraId="025C2F53" w14:textId="77777777" w:rsidR="006C77C4" w:rsidRPr="00A60808" w:rsidRDefault="006C77C4" w:rsidP="00A60808">
      <w:pPr>
        <w:widowControl/>
        <w:spacing w:line="360" w:lineRule="auto"/>
        <w:contextualSpacing/>
        <w:jc w:val="center"/>
        <w:rPr>
          <w:b/>
          <w:bCs/>
          <w:sz w:val="26"/>
          <w:szCs w:val="26"/>
        </w:rPr>
      </w:pPr>
    </w:p>
    <w:p w14:paraId="25902D90" w14:textId="77777777" w:rsidR="00BB6273" w:rsidRDefault="00B0142C" w:rsidP="00BB6273">
      <w:pPr>
        <w:widowControl/>
        <w:spacing w:line="360" w:lineRule="auto"/>
        <w:ind w:firstLine="1440"/>
        <w:rPr>
          <w:sz w:val="26"/>
          <w:szCs w:val="26"/>
        </w:rPr>
      </w:pPr>
      <w:r>
        <w:rPr>
          <w:sz w:val="26"/>
          <w:szCs w:val="26"/>
        </w:rPr>
        <w:t>In the proceeding below, t</w:t>
      </w:r>
      <w:r w:rsidR="00FD280C">
        <w:rPr>
          <w:sz w:val="26"/>
          <w:szCs w:val="26"/>
        </w:rPr>
        <w:t xml:space="preserve">he ALJ concluded that the undisputed evidence of repeated </w:t>
      </w:r>
      <w:r>
        <w:rPr>
          <w:sz w:val="26"/>
          <w:szCs w:val="26"/>
        </w:rPr>
        <w:t xml:space="preserve">disruptions to the Complainants’ residential water service </w:t>
      </w:r>
      <w:r w:rsidR="00FD280C">
        <w:rPr>
          <w:sz w:val="26"/>
          <w:szCs w:val="26"/>
        </w:rPr>
        <w:t xml:space="preserve">within a </w:t>
      </w:r>
      <w:r>
        <w:rPr>
          <w:sz w:val="26"/>
          <w:szCs w:val="26"/>
        </w:rPr>
        <w:t>four-month</w:t>
      </w:r>
      <w:r w:rsidR="00FD280C">
        <w:rPr>
          <w:sz w:val="26"/>
          <w:szCs w:val="26"/>
        </w:rPr>
        <w:t xml:space="preserve"> period</w:t>
      </w:r>
      <w:r>
        <w:rPr>
          <w:sz w:val="26"/>
          <w:szCs w:val="26"/>
        </w:rPr>
        <w:t xml:space="preserve"> did not rise to unreasonable or inadequate provision of service by the utility, and could not therefore, provide a basis for initiating an investigation under Section 529 of the Code, into whether the Commission should direct the acquisition of a non-viable water company.  </w:t>
      </w:r>
      <w:r w:rsidR="00BB6273">
        <w:rPr>
          <w:sz w:val="26"/>
          <w:szCs w:val="26"/>
        </w:rPr>
        <w:t>W</w:t>
      </w:r>
      <w:r w:rsidR="005B43B0">
        <w:rPr>
          <w:sz w:val="26"/>
          <w:szCs w:val="26"/>
        </w:rPr>
        <w:t xml:space="preserve">e agree that the record evidence does not substantiate </w:t>
      </w:r>
      <w:r w:rsidR="00BB6273">
        <w:rPr>
          <w:sz w:val="26"/>
          <w:szCs w:val="26"/>
        </w:rPr>
        <w:t>the need for an investigation into the possible sale of Overbrook.  However, we disagree that</w:t>
      </w:r>
      <w:r>
        <w:rPr>
          <w:sz w:val="26"/>
          <w:szCs w:val="26"/>
        </w:rPr>
        <w:t xml:space="preserve"> </w:t>
      </w:r>
      <w:r w:rsidR="00BB6273">
        <w:rPr>
          <w:sz w:val="26"/>
          <w:szCs w:val="26"/>
        </w:rPr>
        <w:t xml:space="preserve">the record fails to support a finding of unreasonable service. </w:t>
      </w:r>
      <w:r>
        <w:rPr>
          <w:sz w:val="26"/>
          <w:szCs w:val="26"/>
        </w:rPr>
        <w:t xml:space="preserve"> </w:t>
      </w:r>
    </w:p>
    <w:p w14:paraId="2730BFD0" w14:textId="77777777" w:rsidR="00BB6273" w:rsidRDefault="00BB6273" w:rsidP="00BB6273">
      <w:pPr>
        <w:widowControl/>
        <w:spacing w:line="360" w:lineRule="auto"/>
        <w:ind w:firstLine="1440"/>
        <w:rPr>
          <w:sz w:val="26"/>
          <w:szCs w:val="26"/>
        </w:rPr>
      </w:pPr>
    </w:p>
    <w:p w14:paraId="143B5885" w14:textId="25CEEC6D" w:rsidR="00BB6273" w:rsidRDefault="00BB6273" w:rsidP="00BB6273">
      <w:pPr>
        <w:spacing w:line="360" w:lineRule="auto"/>
        <w:ind w:firstLine="1440"/>
        <w:rPr>
          <w:color w:val="000000"/>
          <w:sz w:val="26"/>
          <w:szCs w:val="26"/>
        </w:rPr>
      </w:pPr>
      <w:r w:rsidRPr="00BB6273">
        <w:rPr>
          <w:sz w:val="26"/>
          <w:szCs w:val="26"/>
        </w:rPr>
        <w:t xml:space="preserve">Water is a necessary resource for health and human safety. </w:t>
      </w:r>
      <w:r w:rsidR="001044E2">
        <w:rPr>
          <w:sz w:val="26"/>
          <w:szCs w:val="26"/>
        </w:rPr>
        <w:t xml:space="preserve"> </w:t>
      </w:r>
      <w:r w:rsidRPr="00BB6273">
        <w:rPr>
          <w:sz w:val="26"/>
          <w:szCs w:val="26"/>
        </w:rPr>
        <w:t xml:space="preserve">Therefore, the frequent service issues and interruptions detailed in the Complaint are of consequence.  </w:t>
      </w:r>
      <w:r w:rsidRPr="00BB6273">
        <w:rPr>
          <w:color w:val="000000"/>
          <w:sz w:val="26"/>
          <w:szCs w:val="26"/>
        </w:rPr>
        <w:t>The record indicates the Blooms began to experience w</w:t>
      </w:r>
      <w:r w:rsidR="00EE622B">
        <w:rPr>
          <w:color w:val="000000"/>
          <w:sz w:val="26"/>
          <w:szCs w:val="26"/>
        </w:rPr>
        <w:t>ater service issues in March of </w:t>
      </w:r>
      <w:r w:rsidRPr="00BB6273">
        <w:rPr>
          <w:color w:val="000000"/>
          <w:sz w:val="26"/>
          <w:szCs w:val="26"/>
        </w:rPr>
        <w:t xml:space="preserve">2018. </w:t>
      </w:r>
      <w:r w:rsidR="001044E2">
        <w:rPr>
          <w:color w:val="000000"/>
          <w:sz w:val="26"/>
          <w:szCs w:val="26"/>
        </w:rPr>
        <w:t xml:space="preserve"> </w:t>
      </w:r>
      <w:r w:rsidRPr="00BB6273">
        <w:rPr>
          <w:color w:val="000000"/>
          <w:sz w:val="26"/>
          <w:szCs w:val="26"/>
        </w:rPr>
        <w:t xml:space="preserve">Details in the proceeding show that the Complainants experienced at least ten instances of low water pressure </w:t>
      </w:r>
      <w:r w:rsidR="001044E2">
        <w:rPr>
          <w:color w:val="000000"/>
          <w:sz w:val="26"/>
          <w:szCs w:val="26"/>
        </w:rPr>
        <w:t xml:space="preserve">in addition to </w:t>
      </w:r>
      <w:r w:rsidRPr="00BB6273">
        <w:rPr>
          <w:color w:val="000000"/>
          <w:sz w:val="26"/>
          <w:szCs w:val="26"/>
        </w:rPr>
        <w:t>main breaks from March 2019 to July 2019.</w:t>
      </w:r>
    </w:p>
    <w:p w14:paraId="43BFA482" w14:textId="77777777" w:rsidR="001044E2" w:rsidRDefault="001044E2" w:rsidP="00BB6273">
      <w:pPr>
        <w:spacing w:line="360" w:lineRule="auto"/>
        <w:ind w:firstLine="1440"/>
        <w:rPr>
          <w:color w:val="000000"/>
          <w:sz w:val="26"/>
          <w:szCs w:val="26"/>
        </w:rPr>
      </w:pPr>
    </w:p>
    <w:p w14:paraId="2A16DFED" w14:textId="0A171C45" w:rsidR="001044E2" w:rsidRPr="001044E2" w:rsidRDefault="001044E2" w:rsidP="001044E2">
      <w:pPr>
        <w:widowControl/>
        <w:spacing w:line="360" w:lineRule="auto"/>
        <w:ind w:firstLine="1440"/>
        <w:rPr>
          <w:color w:val="000000"/>
          <w:sz w:val="26"/>
          <w:szCs w:val="26"/>
        </w:rPr>
      </w:pPr>
      <w:r w:rsidRPr="001044E2">
        <w:rPr>
          <w:color w:val="000000"/>
          <w:sz w:val="26"/>
          <w:szCs w:val="26"/>
        </w:rPr>
        <w:t xml:space="preserve">The ALJ is correct </w:t>
      </w:r>
      <w:r>
        <w:rPr>
          <w:color w:val="000000"/>
          <w:sz w:val="26"/>
          <w:szCs w:val="26"/>
        </w:rPr>
        <w:t xml:space="preserve">in </w:t>
      </w:r>
      <w:r w:rsidRPr="001044E2">
        <w:rPr>
          <w:color w:val="000000"/>
          <w:sz w:val="26"/>
          <w:szCs w:val="26"/>
        </w:rPr>
        <w:t>submitting that utilities are not required to offer perfect or flawless service.</w:t>
      </w:r>
      <w:r>
        <w:rPr>
          <w:color w:val="000000"/>
          <w:sz w:val="26"/>
          <w:szCs w:val="26"/>
        </w:rPr>
        <w:t xml:space="preserve"> </w:t>
      </w:r>
      <w:r w:rsidRPr="001044E2">
        <w:rPr>
          <w:color w:val="000000"/>
          <w:sz w:val="26"/>
          <w:szCs w:val="26"/>
        </w:rPr>
        <w:t xml:space="preserve"> Rather, as to service, the Commission requires that it be </w:t>
      </w:r>
      <w:r>
        <w:rPr>
          <w:color w:val="000000"/>
          <w:sz w:val="26"/>
          <w:szCs w:val="26"/>
        </w:rPr>
        <w:t>“</w:t>
      </w:r>
      <w:r w:rsidRPr="001044E2">
        <w:rPr>
          <w:color w:val="000000"/>
          <w:sz w:val="26"/>
          <w:szCs w:val="26"/>
        </w:rPr>
        <w:t>reasonabl</w:t>
      </w:r>
      <w:r>
        <w:rPr>
          <w:color w:val="000000"/>
          <w:sz w:val="26"/>
          <w:szCs w:val="26"/>
        </w:rPr>
        <w:t>e</w:t>
      </w:r>
      <w:r w:rsidRPr="001044E2">
        <w:rPr>
          <w:color w:val="000000"/>
          <w:sz w:val="26"/>
          <w:szCs w:val="26"/>
        </w:rPr>
        <w:t xml:space="preserve"> </w:t>
      </w:r>
      <w:r>
        <w:rPr>
          <w:color w:val="000000"/>
          <w:sz w:val="26"/>
          <w:szCs w:val="26"/>
        </w:rPr>
        <w:t xml:space="preserve">and adequate.”  </w:t>
      </w:r>
      <w:r w:rsidRPr="001044E2">
        <w:rPr>
          <w:color w:val="000000"/>
          <w:sz w:val="26"/>
          <w:szCs w:val="26"/>
        </w:rPr>
        <w:t xml:space="preserve">As such, the </w:t>
      </w:r>
      <w:r>
        <w:rPr>
          <w:color w:val="000000"/>
          <w:sz w:val="26"/>
          <w:szCs w:val="26"/>
        </w:rPr>
        <w:t xml:space="preserve">determination of </w:t>
      </w:r>
      <w:r w:rsidRPr="001044E2">
        <w:rPr>
          <w:color w:val="000000"/>
          <w:sz w:val="26"/>
          <w:szCs w:val="26"/>
        </w:rPr>
        <w:t xml:space="preserve">what constitutes unreasonable service is </w:t>
      </w:r>
      <w:r>
        <w:rPr>
          <w:color w:val="000000"/>
          <w:sz w:val="26"/>
          <w:szCs w:val="26"/>
        </w:rPr>
        <w:t xml:space="preserve">a fact-based determination which may </w:t>
      </w:r>
      <w:r w:rsidRPr="001044E2">
        <w:rPr>
          <w:color w:val="000000"/>
          <w:sz w:val="26"/>
          <w:szCs w:val="26"/>
        </w:rPr>
        <w:t xml:space="preserve">vary depending on </w:t>
      </w:r>
      <w:r>
        <w:rPr>
          <w:color w:val="000000"/>
          <w:sz w:val="26"/>
          <w:szCs w:val="26"/>
        </w:rPr>
        <w:t xml:space="preserve">the </w:t>
      </w:r>
      <w:r w:rsidRPr="001044E2">
        <w:rPr>
          <w:color w:val="000000"/>
          <w:sz w:val="26"/>
          <w:szCs w:val="26"/>
        </w:rPr>
        <w:t>circumstances</w:t>
      </w:r>
      <w:r>
        <w:rPr>
          <w:color w:val="000000"/>
          <w:sz w:val="26"/>
          <w:szCs w:val="26"/>
        </w:rPr>
        <w:t xml:space="preserve"> of each case</w:t>
      </w:r>
      <w:r w:rsidRPr="001044E2">
        <w:rPr>
          <w:color w:val="000000"/>
          <w:sz w:val="26"/>
          <w:szCs w:val="26"/>
        </w:rPr>
        <w:t>.</w:t>
      </w:r>
      <w:r>
        <w:rPr>
          <w:color w:val="000000"/>
          <w:sz w:val="26"/>
          <w:szCs w:val="26"/>
        </w:rPr>
        <w:t xml:space="preserve">  Here, reasonable and adequate water service includes that the service be reasonably </w:t>
      </w:r>
      <w:r w:rsidRPr="001044E2">
        <w:rPr>
          <w:i/>
          <w:iCs/>
          <w:color w:val="000000"/>
          <w:sz w:val="26"/>
          <w:szCs w:val="26"/>
        </w:rPr>
        <w:t>continuous</w:t>
      </w:r>
      <w:r>
        <w:rPr>
          <w:color w:val="000000"/>
          <w:sz w:val="26"/>
          <w:szCs w:val="26"/>
        </w:rPr>
        <w:t xml:space="preserve">.  As a practical matter, </w:t>
      </w:r>
      <w:r w:rsidRPr="001044E2">
        <w:rPr>
          <w:color w:val="000000"/>
          <w:sz w:val="26"/>
          <w:szCs w:val="26"/>
        </w:rPr>
        <w:t xml:space="preserve">the record here, exhibiting a minimum of ten instances </w:t>
      </w:r>
      <w:r>
        <w:rPr>
          <w:color w:val="000000"/>
          <w:sz w:val="26"/>
          <w:szCs w:val="26"/>
        </w:rPr>
        <w:t xml:space="preserve">service disruptions with a four-month window </w:t>
      </w:r>
      <w:r w:rsidRPr="001044E2">
        <w:rPr>
          <w:color w:val="000000"/>
          <w:sz w:val="26"/>
          <w:szCs w:val="26"/>
        </w:rPr>
        <w:t xml:space="preserve">of low water pressure and </w:t>
      </w:r>
      <w:r w:rsidRPr="001044E2">
        <w:rPr>
          <w:color w:val="000000"/>
          <w:sz w:val="26"/>
          <w:szCs w:val="26"/>
        </w:rPr>
        <w:lastRenderedPageBreak/>
        <w:t>main breaks, is reflective of unreasonable service to the Complainants and</w:t>
      </w:r>
      <w:r w:rsidR="0038718D">
        <w:rPr>
          <w:color w:val="000000"/>
          <w:sz w:val="26"/>
          <w:szCs w:val="26"/>
        </w:rPr>
        <w:t>,</w:t>
      </w:r>
      <w:r w:rsidRPr="001044E2">
        <w:rPr>
          <w:color w:val="000000"/>
          <w:sz w:val="26"/>
          <w:szCs w:val="26"/>
        </w:rPr>
        <w:t xml:space="preserve"> therefore</w:t>
      </w:r>
      <w:r w:rsidR="0038718D">
        <w:rPr>
          <w:color w:val="000000"/>
          <w:sz w:val="26"/>
          <w:szCs w:val="26"/>
        </w:rPr>
        <w:t xml:space="preserve">, </w:t>
      </w:r>
      <w:r w:rsidRPr="001044E2">
        <w:rPr>
          <w:color w:val="000000"/>
          <w:sz w:val="26"/>
          <w:szCs w:val="26"/>
        </w:rPr>
        <w:t>a violation of Section 15</w:t>
      </w:r>
      <w:r>
        <w:rPr>
          <w:color w:val="000000"/>
          <w:sz w:val="26"/>
          <w:szCs w:val="26"/>
        </w:rPr>
        <w:t>0</w:t>
      </w:r>
      <w:r w:rsidRPr="001044E2">
        <w:rPr>
          <w:color w:val="000000"/>
          <w:sz w:val="26"/>
          <w:szCs w:val="26"/>
        </w:rPr>
        <w:t>1 of the Code,</w:t>
      </w:r>
      <w:r w:rsidR="0038718D">
        <w:rPr>
          <w:color w:val="000000"/>
          <w:sz w:val="26"/>
          <w:szCs w:val="26"/>
        </w:rPr>
        <w:t xml:space="preserve"> subject to civil penalty. </w:t>
      </w:r>
      <w:r w:rsidR="007F50BF">
        <w:rPr>
          <w:color w:val="000000"/>
          <w:sz w:val="26"/>
          <w:szCs w:val="26"/>
        </w:rPr>
        <w:t xml:space="preserve"> </w:t>
      </w:r>
      <w:r w:rsidRPr="001044E2">
        <w:rPr>
          <w:color w:val="000000"/>
          <w:sz w:val="26"/>
          <w:szCs w:val="26"/>
        </w:rPr>
        <w:t xml:space="preserve">66 Pa. C.S. </w:t>
      </w:r>
      <w:r w:rsidR="00EE622B">
        <w:rPr>
          <w:color w:val="000000"/>
          <w:sz w:val="26"/>
          <w:szCs w:val="26"/>
        </w:rPr>
        <w:t xml:space="preserve">§ </w:t>
      </w:r>
      <w:r w:rsidRPr="001044E2">
        <w:rPr>
          <w:color w:val="000000"/>
          <w:sz w:val="26"/>
          <w:szCs w:val="26"/>
        </w:rPr>
        <w:t>1501.</w:t>
      </w:r>
    </w:p>
    <w:p w14:paraId="4A9952A0" w14:textId="77777777" w:rsidR="001044E2" w:rsidRPr="00BB6273" w:rsidRDefault="001044E2" w:rsidP="00BB6273">
      <w:pPr>
        <w:spacing w:line="360" w:lineRule="auto"/>
        <w:ind w:firstLine="1440"/>
        <w:rPr>
          <w:color w:val="000000"/>
          <w:sz w:val="26"/>
          <w:szCs w:val="26"/>
        </w:rPr>
      </w:pPr>
    </w:p>
    <w:p w14:paraId="2B997895" w14:textId="14208E73" w:rsidR="00B0571D" w:rsidRDefault="0038718D" w:rsidP="00FB40A4">
      <w:pPr>
        <w:spacing w:line="360" w:lineRule="auto"/>
        <w:ind w:firstLine="1440"/>
        <w:rPr>
          <w:color w:val="000000"/>
          <w:sz w:val="26"/>
          <w:szCs w:val="26"/>
        </w:rPr>
      </w:pPr>
      <w:r>
        <w:rPr>
          <w:sz w:val="26"/>
          <w:szCs w:val="26"/>
        </w:rPr>
        <w:t xml:space="preserve">While we conclude that Overbrook provided unreasonable service to the Complainants, subject to penalty, </w:t>
      </w:r>
      <w:r w:rsidRPr="0038718D">
        <w:rPr>
          <w:color w:val="000000"/>
          <w:sz w:val="26"/>
          <w:szCs w:val="26"/>
        </w:rPr>
        <w:t>there are numerous mitigating factors to consider when determining a civil penalty.</w:t>
      </w:r>
      <w:r>
        <w:rPr>
          <w:color w:val="000000"/>
          <w:sz w:val="26"/>
          <w:szCs w:val="26"/>
        </w:rPr>
        <w:t xml:space="preserve"> </w:t>
      </w:r>
      <w:r w:rsidRPr="0038718D">
        <w:rPr>
          <w:color w:val="000000"/>
          <w:sz w:val="26"/>
          <w:szCs w:val="26"/>
        </w:rPr>
        <w:t xml:space="preserve"> </w:t>
      </w:r>
      <w:r w:rsidR="007F50BF">
        <w:rPr>
          <w:color w:val="000000"/>
          <w:sz w:val="26"/>
          <w:szCs w:val="26"/>
        </w:rPr>
        <w:t xml:space="preserve">There is nothing on the record that shows these service issues affected a significant number of customers.  </w:t>
      </w:r>
      <w:r w:rsidR="00B0571D">
        <w:rPr>
          <w:color w:val="000000"/>
          <w:sz w:val="26"/>
          <w:szCs w:val="26"/>
        </w:rPr>
        <w:t>T</w:t>
      </w:r>
      <w:r w:rsidR="007F50BF">
        <w:rPr>
          <w:color w:val="000000"/>
          <w:sz w:val="26"/>
          <w:szCs w:val="26"/>
        </w:rPr>
        <w:t xml:space="preserve">he Company’s size is quite small, serving approximately 180 customers according to its 2017 Fiscal Year Annual Report filed with the Commission.  Similarly, it does not appear that Overbrook customers have a history of service complaints before the Commission.  </w:t>
      </w:r>
    </w:p>
    <w:p w14:paraId="3EFB4112" w14:textId="77777777" w:rsidR="00B0571D" w:rsidRDefault="00B0571D" w:rsidP="00FB40A4">
      <w:pPr>
        <w:spacing w:line="360" w:lineRule="auto"/>
        <w:ind w:firstLine="1440"/>
        <w:rPr>
          <w:color w:val="000000"/>
          <w:sz w:val="26"/>
          <w:szCs w:val="26"/>
        </w:rPr>
      </w:pPr>
    </w:p>
    <w:p w14:paraId="7703A18F" w14:textId="6F51BB73" w:rsidR="0038718D" w:rsidRPr="0038718D" w:rsidRDefault="0060138C" w:rsidP="00FB40A4">
      <w:pPr>
        <w:spacing w:line="360" w:lineRule="auto"/>
        <w:ind w:firstLine="1440"/>
        <w:rPr>
          <w:color w:val="000000"/>
          <w:sz w:val="26"/>
          <w:szCs w:val="26"/>
        </w:rPr>
      </w:pPr>
      <w:r>
        <w:rPr>
          <w:color w:val="000000"/>
          <w:sz w:val="26"/>
          <w:szCs w:val="26"/>
        </w:rPr>
        <w:t xml:space="preserve">We consider </w:t>
      </w:r>
      <w:r w:rsidR="0038718D" w:rsidRPr="0038718D">
        <w:rPr>
          <w:color w:val="000000"/>
          <w:sz w:val="26"/>
          <w:szCs w:val="26"/>
        </w:rPr>
        <w:t xml:space="preserve">Overbrook's conduct </w:t>
      </w:r>
      <w:r>
        <w:rPr>
          <w:color w:val="000000"/>
          <w:sz w:val="26"/>
          <w:szCs w:val="26"/>
        </w:rPr>
        <w:t xml:space="preserve">to be </w:t>
      </w:r>
      <w:r w:rsidR="00B0571D">
        <w:rPr>
          <w:color w:val="000000"/>
          <w:sz w:val="26"/>
          <w:szCs w:val="26"/>
        </w:rPr>
        <w:t>a mitigating factor.  I</w:t>
      </w:r>
      <w:r w:rsidR="0038718D" w:rsidRPr="0038718D">
        <w:rPr>
          <w:color w:val="000000"/>
          <w:sz w:val="26"/>
          <w:szCs w:val="26"/>
        </w:rPr>
        <w:t xml:space="preserve">n handling these service </w:t>
      </w:r>
      <w:r>
        <w:rPr>
          <w:color w:val="000000"/>
          <w:sz w:val="26"/>
          <w:szCs w:val="26"/>
        </w:rPr>
        <w:t xml:space="preserve">issues Overbrook’s conduct was </w:t>
      </w:r>
      <w:r w:rsidR="0038718D" w:rsidRPr="0038718D">
        <w:rPr>
          <w:color w:val="000000"/>
          <w:sz w:val="26"/>
          <w:szCs w:val="26"/>
        </w:rPr>
        <w:t>not egregious, d</w:t>
      </w:r>
      <w:r>
        <w:rPr>
          <w:color w:val="000000"/>
          <w:sz w:val="26"/>
          <w:szCs w:val="26"/>
        </w:rPr>
        <w:t>id</w:t>
      </w:r>
      <w:r w:rsidR="0038718D" w:rsidRPr="0038718D">
        <w:rPr>
          <w:color w:val="000000"/>
          <w:sz w:val="26"/>
          <w:szCs w:val="26"/>
        </w:rPr>
        <w:t xml:space="preserve"> not exhibit willful fraud, and </w:t>
      </w:r>
      <w:r>
        <w:rPr>
          <w:color w:val="000000"/>
          <w:sz w:val="26"/>
          <w:szCs w:val="26"/>
        </w:rPr>
        <w:t>was</w:t>
      </w:r>
      <w:r w:rsidR="0038718D" w:rsidRPr="0038718D">
        <w:rPr>
          <w:color w:val="000000"/>
          <w:sz w:val="26"/>
          <w:szCs w:val="26"/>
        </w:rPr>
        <w:t xml:space="preserve"> not intentional. </w:t>
      </w:r>
      <w:r w:rsidR="007F50BF">
        <w:rPr>
          <w:color w:val="000000"/>
          <w:sz w:val="26"/>
          <w:szCs w:val="26"/>
        </w:rPr>
        <w:t xml:space="preserve"> In addition,</w:t>
      </w:r>
      <w:r w:rsidR="0038718D" w:rsidRPr="0038718D">
        <w:rPr>
          <w:color w:val="000000"/>
          <w:sz w:val="26"/>
          <w:szCs w:val="26"/>
        </w:rPr>
        <w:t xml:space="preserve"> the record shows that the Company </w:t>
      </w:r>
      <w:r w:rsidR="0038718D">
        <w:rPr>
          <w:color w:val="000000"/>
          <w:sz w:val="26"/>
          <w:szCs w:val="26"/>
        </w:rPr>
        <w:t xml:space="preserve">repeatedly and promptly </w:t>
      </w:r>
      <w:r w:rsidR="0038718D" w:rsidRPr="0038718D">
        <w:rPr>
          <w:color w:val="000000"/>
          <w:sz w:val="26"/>
          <w:szCs w:val="26"/>
        </w:rPr>
        <w:t xml:space="preserve">responded in good faith to make repairs necessary for the Blooms to be brought back to nominal service. </w:t>
      </w:r>
      <w:r w:rsidR="00FB40A4">
        <w:rPr>
          <w:color w:val="000000"/>
          <w:sz w:val="26"/>
          <w:szCs w:val="26"/>
        </w:rPr>
        <w:t xml:space="preserve"> </w:t>
      </w:r>
      <w:r w:rsidR="0038718D" w:rsidRPr="0038718D">
        <w:rPr>
          <w:color w:val="000000"/>
          <w:sz w:val="26"/>
          <w:szCs w:val="26"/>
        </w:rPr>
        <w:t xml:space="preserve">These efforts include repairing water mains and installing a new pressure regulator. </w:t>
      </w:r>
      <w:r w:rsidR="00FB40A4">
        <w:rPr>
          <w:color w:val="000000"/>
          <w:sz w:val="26"/>
          <w:szCs w:val="26"/>
        </w:rPr>
        <w:t xml:space="preserve"> </w:t>
      </w:r>
      <w:r w:rsidR="00B0571D">
        <w:rPr>
          <w:color w:val="000000"/>
          <w:sz w:val="26"/>
          <w:szCs w:val="26"/>
        </w:rPr>
        <w:t>Further,</w:t>
      </w:r>
      <w:r w:rsidR="0038718D" w:rsidRPr="0038718D">
        <w:rPr>
          <w:color w:val="000000"/>
          <w:sz w:val="26"/>
          <w:szCs w:val="26"/>
        </w:rPr>
        <w:t xml:space="preserve"> the record shows that the Company is cooperating with I&amp;E in attempts to improve its future service quality.</w:t>
      </w:r>
    </w:p>
    <w:p w14:paraId="6159D831" w14:textId="77777777" w:rsidR="0038718D" w:rsidRDefault="0038718D" w:rsidP="00BB6273">
      <w:pPr>
        <w:widowControl/>
        <w:spacing w:line="360" w:lineRule="auto"/>
        <w:ind w:firstLine="1440"/>
        <w:rPr>
          <w:sz w:val="26"/>
          <w:szCs w:val="26"/>
        </w:rPr>
      </w:pPr>
    </w:p>
    <w:p w14:paraId="4EC7C9B5" w14:textId="2C4E2EA7" w:rsidR="00BB6273" w:rsidRPr="00BB6273" w:rsidRDefault="0038718D" w:rsidP="00BB6273">
      <w:pPr>
        <w:widowControl/>
        <w:spacing w:line="360" w:lineRule="auto"/>
        <w:ind w:firstLine="1440"/>
        <w:rPr>
          <w:sz w:val="26"/>
          <w:szCs w:val="26"/>
        </w:rPr>
      </w:pPr>
      <w:r>
        <w:rPr>
          <w:sz w:val="26"/>
          <w:szCs w:val="26"/>
        </w:rPr>
        <w:t xml:space="preserve">In view of these mitigating factors, we conclude </w:t>
      </w:r>
      <w:r w:rsidR="00BB6273" w:rsidRPr="00BB6273">
        <w:rPr>
          <w:sz w:val="26"/>
          <w:szCs w:val="26"/>
        </w:rPr>
        <w:t>Overbrook shall be assessed a civil penalty of fifty dollars for each of the ten service issues raised by the Complaint, which, in the circumstances of this case, constitute a failure to provide safe and adequate utility service consistent with 52 Pa. Code §</w:t>
      </w:r>
      <w:r w:rsidR="002B510C">
        <w:rPr>
          <w:sz w:val="26"/>
          <w:szCs w:val="26"/>
        </w:rPr>
        <w:t xml:space="preserve"> </w:t>
      </w:r>
      <w:r w:rsidR="00BB6273" w:rsidRPr="00BB6273">
        <w:rPr>
          <w:sz w:val="26"/>
          <w:szCs w:val="26"/>
        </w:rPr>
        <w:t>69.120 and 66 Pa. C.S.§</w:t>
      </w:r>
      <w:r w:rsidR="00EE622B">
        <w:rPr>
          <w:sz w:val="26"/>
          <w:szCs w:val="26"/>
        </w:rPr>
        <w:t xml:space="preserve"> </w:t>
      </w:r>
      <w:r w:rsidR="00BB6273" w:rsidRPr="00BB6273">
        <w:rPr>
          <w:sz w:val="26"/>
          <w:szCs w:val="26"/>
        </w:rPr>
        <w:t>3301, for a total civil penalty of five hundred dollars ($500) for failure to provide reasonabl</w:t>
      </w:r>
      <w:r w:rsidR="00FB40A4">
        <w:rPr>
          <w:sz w:val="26"/>
          <w:szCs w:val="26"/>
        </w:rPr>
        <w:t>e and adequate utility service.</w:t>
      </w:r>
    </w:p>
    <w:p w14:paraId="619212E6" w14:textId="77777777" w:rsidR="0038718D" w:rsidRDefault="0038718D" w:rsidP="00FD280C">
      <w:pPr>
        <w:widowControl/>
        <w:spacing w:line="360" w:lineRule="auto"/>
        <w:ind w:firstLine="1440"/>
        <w:rPr>
          <w:sz w:val="26"/>
          <w:szCs w:val="26"/>
        </w:rPr>
      </w:pPr>
    </w:p>
    <w:p w14:paraId="3BEBDBD8" w14:textId="1B050CD1" w:rsidR="00BB6273" w:rsidRDefault="0038718D" w:rsidP="00FD280C">
      <w:pPr>
        <w:widowControl/>
        <w:spacing w:line="360" w:lineRule="auto"/>
        <w:ind w:firstLine="1440"/>
        <w:rPr>
          <w:sz w:val="26"/>
          <w:szCs w:val="26"/>
        </w:rPr>
      </w:pPr>
      <w:r>
        <w:rPr>
          <w:sz w:val="26"/>
          <w:szCs w:val="26"/>
        </w:rPr>
        <w:t xml:space="preserve">With respect to whether an investigation is warranted to require the sale of Overbrook, we agree with the ALJ’s determination that no evidence of record supports this claim.  </w:t>
      </w:r>
      <w:r w:rsidR="00B0571D">
        <w:rPr>
          <w:sz w:val="26"/>
          <w:szCs w:val="26"/>
        </w:rPr>
        <w:t xml:space="preserve">As we have previously noted, </w:t>
      </w:r>
      <w:r w:rsidRPr="002E0C04">
        <w:rPr>
          <w:sz w:val="26"/>
          <w:szCs w:val="26"/>
        </w:rPr>
        <w:t xml:space="preserve">nothing on the record </w:t>
      </w:r>
      <w:r w:rsidR="00B0571D">
        <w:rPr>
          <w:sz w:val="26"/>
          <w:szCs w:val="26"/>
        </w:rPr>
        <w:t xml:space="preserve">indicates </w:t>
      </w:r>
      <w:r w:rsidRPr="002E0C04">
        <w:rPr>
          <w:sz w:val="26"/>
          <w:szCs w:val="26"/>
        </w:rPr>
        <w:t xml:space="preserve">that </w:t>
      </w:r>
      <w:r w:rsidR="00B0571D">
        <w:rPr>
          <w:sz w:val="26"/>
          <w:szCs w:val="26"/>
        </w:rPr>
        <w:t xml:space="preserve">the </w:t>
      </w:r>
      <w:r w:rsidRPr="002E0C04">
        <w:rPr>
          <w:sz w:val="26"/>
          <w:szCs w:val="26"/>
        </w:rPr>
        <w:t xml:space="preserve">service </w:t>
      </w:r>
      <w:r w:rsidRPr="002E0C04">
        <w:rPr>
          <w:sz w:val="26"/>
          <w:szCs w:val="26"/>
        </w:rPr>
        <w:lastRenderedPageBreak/>
        <w:t xml:space="preserve">issues </w:t>
      </w:r>
      <w:r w:rsidR="00B0571D">
        <w:rPr>
          <w:sz w:val="26"/>
          <w:szCs w:val="26"/>
        </w:rPr>
        <w:t xml:space="preserve">addressed in this case </w:t>
      </w:r>
      <w:r w:rsidRPr="002E0C04">
        <w:rPr>
          <w:sz w:val="26"/>
          <w:szCs w:val="26"/>
        </w:rPr>
        <w:t xml:space="preserve">affected a significant number of customers. </w:t>
      </w:r>
      <w:r w:rsidR="00FB40A4">
        <w:rPr>
          <w:sz w:val="26"/>
          <w:szCs w:val="26"/>
        </w:rPr>
        <w:t xml:space="preserve"> </w:t>
      </w:r>
      <w:r w:rsidR="00B0571D">
        <w:rPr>
          <w:sz w:val="26"/>
          <w:szCs w:val="26"/>
        </w:rPr>
        <w:t xml:space="preserve">In addition, </w:t>
      </w:r>
      <w:r w:rsidRPr="002E0C04">
        <w:rPr>
          <w:sz w:val="26"/>
          <w:szCs w:val="26"/>
        </w:rPr>
        <w:t>the Company's size is quite small</w:t>
      </w:r>
      <w:r w:rsidR="00B0571D">
        <w:rPr>
          <w:sz w:val="26"/>
          <w:szCs w:val="26"/>
        </w:rPr>
        <w:t>.</w:t>
      </w:r>
      <w:r w:rsidRPr="002E0C04">
        <w:rPr>
          <w:sz w:val="26"/>
          <w:szCs w:val="26"/>
        </w:rPr>
        <w:t xml:space="preserve"> </w:t>
      </w:r>
      <w:r w:rsidR="00FB40A4">
        <w:rPr>
          <w:sz w:val="26"/>
          <w:szCs w:val="26"/>
        </w:rPr>
        <w:t xml:space="preserve"> </w:t>
      </w:r>
      <w:r w:rsidR="00B0571D">
        <w:rPr>
          <w:sz w:val="26"/>
          <w:szCs w:val="26"/>
        </w:rPr>
        <w:t>Finally,</w:t>
      </w:r>
      <w:r w:rsidRPr="002E0C04">
        <w:rPr>
          <w:sz w:val="26"/>
          <w:szCs w:val="26"/>
        </w:rPr>
        <w:t xml:space="preserve"> it does not appear that Overbrook customers have a history of service complaints before the Commission</w:t>
      </w:r>
    </w:p>
    <w:p w14:paraId="625DC296" w14:textId="77777777" w:rsidR="0038718D" w:rsidRDefault="0038718D" w:rsidP="00FD280C">
      <w:pPr>
        <w:widowControl/>
        <w:spacing w:line="360" w:lineRule="auto"/>
        <w:ind w:firstLine="1440"/>
        <w:rPr>
          <w:sz w:val="26"/>
          <w:szCs w:val="26"/>
        </w:rPr>
      </w:pPr>
    </w:p>
    <w:p w14:paraId="41FEDB85" w14:textId="77777777" w:rsidR="00FD280C" w:rsidRDefault="00B0142C" w:rsidP="00FD280C">
      <w:pPr>
        <w:widowControl/>
        <w:spacing w:line="360" w:lineRule="auto"/>
        <w:ind w:firstLine="1440"/>
        <w:rPr>
          <w:sz w:val="26"/>
          <w:szCs w:val="26"/>
        </w:rPr>
      </w:pPr>
      <w:r>
        <w:rPr>
          <w:sz w:val="26"/>
          <w:szCs w:val="26"/>
        </w:rPr>
        <w:t>I</w:t>
      </w:r>
      <w:r w:rsidR="00FD280C">
        <w:rPr>
          <w:sz w:val="26"/>
          <w:szCs w:val="26"/>
        </w:rPr>
        <w:t xml:space="preserve">n view of the circumstances of this case, </w:t>
      </w:r>
      <w:r>
        <w:rPr>
          <w:sz w:val="26"/>
          <w:szCs w:val="26"/>
        </w:rPr>
        <w:t>t</w:t>
      </w:r>
      <w:r w:rsidR="00FD280C" w:rsidRPr="00FD280C">
        <w:rPr>
          <w:sz w:val="26"/>
          <w:szCs w:val="26"/>
        </w:rPr>
        <w:t xml:space="preserve">o the extent we find the </w:t>
      </w:r>
      <w:r>
        <w:rPr>
          <w:sz w:val="26"/>
          <w:szCs w:val="26"/>
        </w:rPr>
        <w:t xml:space="preserve">evidence </w:t>
      </w:r>
      <w:r w:rsidR="00FD280C" w:rsidRPr="00FD280C">
        <w:rPr>
          <w:sz w:val="26"/>
          <w:szCs w:val="26"/>
        </w:rPr>
        <w:t>establishe</w:t>
      </w:r>
      <w:r>
        <w:rPr>
          <w:sz w:val="26"/>
          <w:szCs w:val="26"/>
        </w:rPr>
        <w:t>s</w:t>
      </w:r>
      <w:r w:rsidR="00FD280C" w:rsidRPr="00FD280C">
        <w:rPr>
          <w:sz w:val="26"/>
          <w:szCs w:val="26"/>
        </w:rPr>
        <w:t xml:space="preserve"> that the </w:t>
      </w:r>
      <w:r>
        <w:rPr>
          <w:sz w:val="26"/>
          <w:szCs w:val="26"/>
        </w:rPr>
        <w:t>Company</w:t>
      </w:r>
      <w:r w:rsidR="00FD280C" w:rsidRPr="00FD280C">
        <w:rPr>
          <w:sz w:val="26"/>
          <w:szCs w:val="26"/>
        </w:rPr>
        <w:t xml:space="preserve"> failed to provide reasonable and adequate water utility service to Complainant</w:t>
      </w:r>
      <w:r>
        <w:rPr>
          <w:sz w:val="26"/>
          <w:szCs w:val="26"/>
        </w:rPr>
        <w:t>s</w:t>
      </w:r>
      <w:r w:rsidR="00FD280C" w:rsidRPr="00FD280C">
        <w:rPr>
          <w:sz w:val="26"/>
          <w:szCs w:val="26"/>
        </w:rPr>
        <w:t xml:space="preserve">, we shall </w:t>
      </w:r>
      <w:r w:rsidR="00FD280C">
        <w:rPr>
          <w:sz w:val="26"/>
          <w:szCs w:val="26"/>
        </w:rPr>
        <w:t xml:space="preserve">grant the Complaint, in part, and </w:t>
      </w:r>
      <w:r w:rsidR="00FD280C" w:rsidRPr="00FD280C">
        <w:rPr>
          <w:sz w:val="26"/>
          <w:szCs w:val="26"/>
        </w:rPr>
        <w:t xml:space="preserve">assess a civil penalty against </w:t>
      </w:r>
      <w:r w:rsidR="001B1748">
        <w:rPr>
          <w:sz w:val="26"/>
          <w:szCs w:val="26"/>
        </w:rPr>
        <w:t>the Company</w:t>
      </w:r>
      <w:r w:rsidR="00FD280C">
        <w:rPr>
          <w:sz w:val="26"/>
          <w:szCs w:val="26"/>
        </w:rPr>
        <w:t>.</w:t>
      </w:r>
      <w:r w:rsidR="00FD280C" w:rsidRPr="00FD280C">
        <w:rPr>
          <w:sz w:val="26"/>
          <w:szCs w:val="26"/>
        </w:rPr>
        <w:t xml:space="preserve">  However, to the extent we find the Complainants have failed to establish </w:t>
      </w:r>
      <w:r w:rsidR="00BB6273">
        <w:rPr>
          <w:sz w:val="26"/>
          <w:szCs w:val="26"/>
        </w:rPr>
        <w:t xml:space="preserve">evidence that Overbrook is a “non-viable” water utility, </w:t>
      </w:r>
      <w:r w:rsidR="00FD280C">
        <w:rPr>
          <w:sz w:val="26"/>
          <w:szCs w:val="26"/>
        </w:rPr>
        <w:t xml:space="preserve">we conclude there is no </w:t>
      </w:r>
      <w:r w:rsidR="00FD280C" w:rsidRPr="00FD280C">
        <w:rPr>
          <w:sz w:val="26"/>
          <w:szCs w:val="26"/>
        </w:rPr>
        <w:t xml:space="preserve">basis to initiate an investigation into the forced sale of the Respondent’s facilities, </w:t>
      </w:r>
      <w:r w:rsidR="00FD280C">
        <w:rPr>
          <w:sz w:val="26"/>
          <w:szCs w:val="26"/>
        </w:rPr>
        <w:t xml:space="preserve">and </w:t>
      </w:r>
      <w:r w:rsidR="00FD280C" w:rsidRPr="00FD280C">
        <w:rPr>
          <w:sz w:val="26"/>
          <w:szCs w:val="26"/>
        </w:rPr>
        <w:t>we shall deny the Complaint</w:t>
      </w:r>
      <w:r w:rsidR="00FD280C">
        <w:rPr>
          <w:sz w:val="26"/>
          <w:szCs w:val="26"/>
        </w:rPr>
        <w:t>.</w:t>
      </w:r>
    </w:p>
    <w:p w14:paraId="69384DCA" w14:textId="77777777" w:rsidR="002F1617" w:rsidRDefault="002F1617" w:rsidP="00716741">
      <w:pPr>
        <w:widowControl/>
        <w:spacing w:line="360" w:lineRule="auto"/>
        <w:ind w:firstLine="1440"/>
        <w:rPr>
          <w:b/>
          <w:sz w:val="26"/>
          <w:szCs w:val="26"/>
        </w:rPr>
      </w:pPr>
    </w:p>
    <w:p w14:paraId="300D1B5F" w14:textId="77777777" w:rsidR="001B0C5E" w:rsidRPr="00CA43A5" w:rsidRDefault="001B0C5E" w:rsidP="002625EC">
      <w:pPr>
        <w:keepNext/>
        <w:keepLines/>
        <w:widowControl/>
        <w:spacing w:line="360" w:lineRule="auto"/>
        <w:contextualSpacing/>
        <w:jc w:val="center"/>
        <w:rPr>
          <w:b/>
          <w:sz w:val="26"/>
          <w:szCs w:val="26"/>
        </w:rPr>
      </w:pPr>
      <w:r w:rsidRPr="00CA43A5">
        <w:rPr>
          <w:b/>
          <w:sz w:val="26"/>
          <w:szCs w:val="26"/>
        </w:rPr>
        <w:t>Conclusion</w:t>
      </w:r>
    </w:p>
    <w:p w14:paraId="01DFCEF4" w14:textId="77777777" w:rsidR="001B0C5E" w:rsidRPr="00CA43A5" w:rsidRDefault="001B0C5E" w:rsidP="002625EC">
      <w:pPr>
        <w:keepNext/>
        <w:keepLines/>
        <w:widowControl/>
        <w:spacing w:line="360" w:lineRule="auto"/>
        <w:ind w:firstLine="1440"/>
        <w:contextualSpacing/>
        <w:rPr>
          <w:sz w:val="26"/>
          <w:szCs w:val="26"/>
        </w:rPr>
      </w:pPr>
    </w:p>
    <w:p w14:paraId="0213060A" w14:textId="7EFE00A7" w:rsidR="001B0C5E" w:rsidRDefault="009546A8" w:rsidP="00F35174">
      <w:pPr>
        <w:widowControl/>
        <w:spacing w:line="360" w:lineRule="auto"/>
        <w:ind w:firstLine="1440"/>
        <w:contextualSpacing/>
        <w:rPr>
          <w:b/>
          <w:sz w:val="26"/>
          <w:szCs w:val="26"/>
        </w:rPr>
      </w:pPr>
      <w:r>
        <w:rPr>
          <w:sz w:val="26"/>
          <w:szCs w:val="26"/>
        </w:rPr>
        <w:t xml:space="preserve">Consistent with </w:t>
      </w:r>
      <w:r w:rsidRPr="009546A8">
        <w:rPr>
          <w:sz w:val="26"/>
          <w:szCs w:val="26"/>
        </w:rPr>
        <w:t xml:space="preserve">the above discussion, we shall reverse </w:t>
      </w:r>
      <w:r w:rsidR="0038718D">
        <w:rPr>
          <w:sz w:val="26"/>
          <w:szCs w:val="26"/>
        </w:rPr>
        <w:t xml:space="preserve">and modify the </w:t>
      </w:r>
      <w:r w:rsidRPr="009546A8">
        <w:rPr>
          <w:sz w:val="26"/>
          <w:szCs w:val="26"/>
        </w:rPr>
        <w:t xml:space="preserve">ALJ’s Initial Decision and </w:t>
      </w:r>
      <w:r>
        <w:rPr>
          <w:sz w:val="26"/>
          <w:szCs w:val="26"/>
        </w:rPr>
        <w:t>grant the Complaint in part, and deny in part</w:t>
      </w:r>
      <w:r w:rsidR="001B0C5E" w:rsidRPr="00CA43A5">
        <w:rPr>
          <w:sz w:val="26"/>
          <w:szCs w:val="26"/>
        </w:rPr>
        <w:t xml:space="preserve">; </w:t>
      </w:r>
      <w:r w:rsidR="001B0C5E" w:rsidRPr="00CA43A5">
        <w:rPr>
          <w:b/>
          <w:sz w:val="26"/>
          <w:szCs w:val="26"/>
        </w:rPr>
        <w:t>THEREFORE,</w:t>
      </w:r>
    </w:p>
    <w:p w14:paraId="2EDB653C" w14:textId="77777777" w:rsidR="001B0C5E" w:rsidRDefault="001B0C5E" w:rsidP="00F35174">
      <w:pPr>
        <w:widowControl/>
        <w:spacing w:line="360" w:lineRule="auto"/>
        <w:contextualSpacing/>
        <w:rPr>
          <w:sz w:val="26"/>
          <w:szCs w:val="26"/>
        </w:rPr>
      </w:pPr>
    </w:p>
    <w:p w14:paraId="31C770BB" w14:textId="77777777" w:rsidR="001B0C5E" w:rsidRDefault="001B0C5E" w:rsidP="00F35174">
      <w:pPr>
        <w:keepNext/>
        <w:keepLines/>
        <w:widowControl/>
        <w:spacing w:line="360" w:lineRule="auto"/>
        <w:ind w:firstLine="1440"/>
        <w:contextualSpacing/>
        <w:rPr>
          <w:b/>
          <w:sz w:val="26"/>
          <w:szCs w:val="26"/>
        </w:rPr>
      </w:pPr>
      <w:r w:rsidRPr="00CA43A5">
        <w:rPr>
          <w:b/>
          <w:sz w:val="26"/>
          <w:szCs w:val="26"/>
        </w:rPr>
        <w:t>IT IS ORDERED:</w:t>
      </w:r>
    </w:p>
    <w:p w14:paraId="4B3C8223" w14:textId="77777777" w:rsidR="00757AE7" w:rsidRDefault="00757AE7" w:rsidP="00F35174">
      <w:pPr>
        <w:keepNext/>
        <w:keepLines/>
        <w:widowControl/>
        <w:spacing w:line="360" w:lineRule="auto"/>
        <w:contextualSpacing/>
        <w:rPr>
          <w:sz w:val="26"/>
          <w:szCs w:val="26"/>
        </w:rPr>
      </w:pPr>
    </w:p>
    <w:p w14:paraId="6B594823" w14:textId="77777777" w:rsidR="009546A8" w:rsidRDefault="009546A8" w:rsidP="00F35174">
      <w:pPr>
        <w:pStyle w:val="ListParagraph"/>
        <w:numPr>
          <w:ilvl w:val="0"/>
          <w:numId w:val="1"/>
        </w:numPr>
        <w:spacing w:line="360" w:lineRule="auto"/>
        <w:ind w:left="0" w:firstLine="1440"/>
        <w:rPr>
          <w:sz w:val="26"/>
          <w:szCs w:val="26"/>
        </w:rPr>
      </w:pPr>
      <w:r w:rsidRPr="009546A8">
        <w:rPr>
          <w:sz w:val="26"/>
          <w:szCs w:val="26"/>
        </w:rPr>
        <w:t>That the</w:t>
      </w:r>
      <w:r w:rsidRPr="009546A8">
        <w:rPr>
          <w:b/>
          <w:sz w:val="26"/>
          <w:szCs w:val="26"/>
        </w:rPr>
        <w:t xml:space="preserve"> </w:t>
      </w:r>
      <w:r w:rsidRPr="009546A8">
        <w:rPr>
          <w:sz w:val="26"/>
          <w:szCs w:val="26"/>
        </w:rPr>
        <w:t xml:space="preserve">Initial Decision </w:t>
      </w:r>
      <w:r>
        <w:rPr>
          <w:sz w:val="26"/>
          <w:szCs w:val="26"/>
        </w:rPr>
        <w:t xml:space="preserve">Denying and Dismissing the Complaint </w:t>
      </w:r>
      <w:r w:rsidRPr="009546A8">
        <w:rPr>
          <w:sz w:val="26"/>
          <w:szCs w:val="26"/>
        </w:rPr>
        <w:t xml:space="preserve">of Administrative Law Judge </w:t>
      </w:r>
      <w:r>
        <w:rPr>
          <w:sz w:val="26"/>
          <w:szCs w:val="26"/>
        </w:rPr>
        <w:t xml:space="preserve">Benjamin J. Myers, </w:t>
      </w:r>
      <w:r w:rsidRPr="009546A8">
        <w:rPr>
          <w:sz w:val="26"/>
          <w:szCs w:val="26"/>
        </w:rPr>
        <w:t xml:space="preserve">issued on </w:t>
      </w:r>
      <w:r>
        <w:rPr>
          <w:sz w:val="26"/>
          <w:szCs w:val="26"/>
        </w:rPr>
        <w:t>September 13, 2019</w:t>
      </w:r>
      <w:r w:rsidRPr="009546A8">
        <w:rPr>
          <w:sz w:val="26"/>
          <w:szCs w:val="26"/>
        </w:rPr>
        <w:t xml:space="preserve">, is reversed, </w:t>
      </w:r>
      <w:r>
        <w:rPr>
          <w:sz w:val="26"/>
          <w:szCs w:val="26"/>
        </w:rPr>
        <w:t xml:space="preserve">in part, and modified </w:t>
      </w:r>
      <w:r w:rsidRPr="009546A8">
        <w:rPr>
          <w:sz w:val="26"/>
          <w:szCs w:val="26"/>
        </w:rPr>
        <w:t>consistent with this Opinion and Order.</w:t>
      </w:r>
    </w:p>
    <w:p w14:paraId="5B31553C" w14:textId="77777777" w:rsidR="00E90D53" w:rsidRDefault="00E90D53" w:rsidP="00F35174">
      <w:pPr>
        <w:pStyle w:val="ListParagraph"/>
        <w:spacing w:line="360" w:lineRule="auto"/>
        <w:ind w:left="1440"/>
        <w:rPr>
          <w:sz w:val="26"/>
          <w:szCs w:val="26"/>
        </w:rPr>
      </w:pPr>
    </w:p>
    <w:p w14:paraId="3F61C851" w14:textId="77777777" w:rsidR="00C91760" w:rsidRDefault="009546A8" w:rsidP="00EE622B">
      <w:pPr>
        <w:pStyle w:val="ListParagraph"/>
        <w:keepNext/>
        <w:widowControl/>
        <w:numPr>
          <w:ilvl w:val="0"/>
          <w:numId w:val="1"/>
        </w:numPr>
        <w:spacing w:line="360" w:lineRule="auto"/>
        <w:ind w:left="0" w:firstLine="1440"/>
        <w:rPr>
          <w:sz w:val="26"/>
          <w:szCs w:val="26"/>
        </w:rPr>
      </w:pPr>
      <w:bookmarkStart w:id="1" w:name="_Hlk27127822"/>
      <w:r w:rsidRPr="009546A8">
        <w:rPr>
          <w:sz w:val="26"/>
          <w:szCs w:val="26"/>
        </w:rPr>
        <w:t>Th</w:t>
      </w:r>
      <w:r w:rsidR="00BB6273">
        <w:rPr>
          <w:sz w:val="26"/>
          <w:szCs w:val="26"/>
        </w:rPr>
        <w:t xml:space="preserve">at </w:t>
      </w:r>
      <w:r w:rsidRPr="009546A8">
        <w:rPr>
          <w:sz w:val="26"/>
          <w:szCs w:val="26"/>
        </w:rPr>
        <w:t xml:space="preserve">Overbrook Water Company shall be assessed a civil penalty of </w:t>
      </w:r>
      <w:r>
        <w:rPr>
          <w:sz w:val="26"/>
          <w:szCs w:val="26"/>
        </w:rPr>
        <w:t>fifty dollars for each of the ten service issues</w:t>
      </w:r>
      <w:r w:rsidR="00E90D53">
        <w:rPr>
          <w:sz w:val="26"/>
          <w:szCs w:val="26"/>
        </w:rPr>
        <w:t xml:space="preserve"> raised by the Complaint</w:t>
      </w:r>
      <w:r>
        <w:rPr>
          <w:sz w:val="26"/>
          <w:szCs w:val="26"/>
        </w:rPr>
        <w:t xml:space="preserve">, </w:t>
      </w:r>
      <w:r w:rsidR="00E90D53">
        <w:rPr>
          <w:sz w:val="26"/>
          <w:szCs w:val="26"/>
        </w:rPr>
        <w:t xml:space="preserve">which, in the circumstances of this case, constitute a failure to provide safe and adequate utility service consistent with 52 Pa. Code §69.120 and 66 Pa. C.S.§3301, </w:t>
      </w:r>
      <w:r>
        <w:rPr>
          <w:sz w:val="26"/>
          <w:szCs w:val="26"/>
        </w:rPr>
        <w:t xml:space="preserve">for a total civil penalty of </w:t>
      </w:r>
      <w:r w:rsidRPr="009546A8">
        <w:rPr>
          <w:sz w:val="26"/>
          <w:szCs w:val="26"/>
        </w:rPr>
        <w:t xml:space="preserve">five </w:t>
      </w:r>
      <w:r w:rsidRPr="00EE622B">
        <w:rPr>
          <w:sz w:val="26"/>
          <w:szCs w:val="26"/>
        </w:rPr>
        <w:t>hundred dollars ($500) for failure to provide rea</w:t>
      </w:r>
      <w:r w:rsidR="00E90D53" w:rsidRPr="00EE622B">
        <w:rPr>
          <w:sz w:val="26"/>
          <w:szCs w:val="26"/>
        </w:rPr>
        <w:t>sonable and adequate utility service.</w:t>
      </w:r>
    </w:p>
    <w:p w14:paraId="254E9BC0" w14:textId="77777777" w:rsidR="00C91760" w:rsidRPr="00C91760" w:rsidRDefault="00C91760" w:rsidP="00C91760">
      <w:pPr>
        <w:pStyle w:val="ListParagraph"/>
        <w:rPr>
          <w:sz w:val="26"/>
          <w:szCs w:val="26"/>
        </w:rPr>
      </w:pPr>
    </w:p>
    <w:p w14:paraId="2CBC0089" w14:textId="512253C0" w:rsidR="00C91760" w:rsidRPr="00C91760" w:rsidRDefault="009546A8" w:rsidP="00C91760">
      <w:pPr>
        <w:pStyle w:val="ListParagraph"/>
        <w:keepNext/>
        <w:widowControl/>
        <w:numPr>
          <w:ilvl w:val="0"/>
          <w:numId w:val="1"/>
        </w:numPr>
        <w:spacing w:line="360" w:lineRule="auto"/>
        <w:ind w:left="0" w:firstLine="1440"/>
        <w:rPr>
          <w:sz w:val="26"/>
          <w:szCs w:val="26"/>
        </w:rPr>
      </w:pPr>
      <w:r w:rsidRPr="00EE622B">
        <w:rPr>
          <w:sz w:val="26"/>
          <w:szCs w:val="26"/>
        </w:rPr>
        <w:lastRenderedPageBreak/>
        <w:t xml:space="preserve"> </w:t>
      </w:r>
      <w:bookmarkEnd w:id="1"/>
      <w:r w:rsidR="00C91760" w:rsidRPr="00C91760">
        <w:rPr>
          <w:sz w:val="26"/>
          <w:szCs w:val="26"/>
        </w:rPr>
        <w:t xml:space="preserve">That, within thirty (30) days of the entry date of this Opinion and Order, Overbrook Water Company shall remit </w:t>
      </w:r>
      <w:r w:rsidR="00C91760">
        <w:rPr>
          <w:sz w:val="26"/>
          <w:szCs w:val="26"/>
        </w:rPr>
        <w:t xml:space="preserve">the civil penalty in the amount of </w:t>
      </w:r>
      <w:r w:rsidR="00C91760" w:rsidRPr="00C91760">
        <w:rPr>
          <w:sz w:val="26"/>
          <w:szCs w:val="26"/>
        </w:rPr>
        <w:t xml:space="preserve">$500, </w:t>
      </w:r>
      <w:r w:rsidR="00C91760" w:rsidRPr="00C91760">
        <w:rPr>
          <w:i/>
          <w:iCs/>
          <w:sz w:val="26"/>
          <w:szCs w:val="26"/>
        </w:rPr>
        <w:t>via</w:t>
      </w:r>
      <w:r w:rsidR="00C91760">
        <w:rPr>
          <w:sz w:val="26"/>
          <w:szCs w:val="26"/>
        </w:rPr>
        <w:t xml:space="preserve"> </w:t>
      </w:r>
      <w:r w:rsidR="00C91760" w:rsidRPr="00C91760">
        <w:rPr>
          <w:sz w:val="26"/>
          <w:szCs w:val="26"/>
        </w:rPr>
        <w:t xml:space="preserve">certified check or money order, </w:t>
      </w:r>
      <w:r w:rsidR="00C91760">
        <w:rPr>
          <w:sz w:val="26"/>
          <w:szCs w:val="26"/>
        </w:rPr>
        <w:t xml:space="preserve">payable </w:t>
      </w:r>
      <w:r w:rsidR="00C91760" w:rsidRPr="00C91760">
        <w:rPr>
          <w:sz w:val="26"/>
          <w:szCs w:val="26"/>
        </w:rPr>
        <w:t>to “Common</w:t>
      </w:r>
      <w:r w:rsidR="00E605DA">
        <w:rPr>
          <w:sz w:val="26"/>
          <w:szCs w:val="26"/>
        </w:rPr>
        <w:t>wealth of Pennsylvania” and send</w:t>
      </w:r>
      <w:r w:rsidR="00C91760" w:rsidRPr="00C91760">
        <w:rPr>
          <w:sz w:val="26"/>
          <w:szCs w:val="26"/>
        </w:rPr>
        <w:t xml:space="preserve"> to:</w:t>
      </w:r>
    </w:p>
    <w:p w14:paraId="436D528C" w14:textId="77777777" w:rsidR="00C91760" w:rsidRDefault="00C91760" w:rsidP="00C91760">
      <w:pPr>
        <w:rPr>
          <w:rFonts w:ascii="Calibri" w:hAnsi="Calibri" w:cs="Calibri"/>
          <w:sz w:val="26"/>
          <w:szCs w:val="26"/>
        </w:rPr>
      </w:pPr>
    </w:p>
    <w:p w14:paraId="5404A956" w14:textId="77777777" w:rsidR="00C91760" w:rsidRDefault="00C91760" w:rsidP="00C91760">
      <w:pPr>
        <w:ind w:firstLine="2160"/>
        <w:rPr>
          <w:sz w:val="26"/>
          <w:szCs w:val="26"/>
        </w:rPr>
      </w:pPr>
      <w:r>
        <w:rPr>
          <w:sz w:val="26"/>
          <w:szCs w:val="26"/>
        </w:rPr>
        <w:t>Rosemary Chiavetta, Secretary</w:t>
      </w:r>
    </w:p>
    <w:p w14:paraId="51E13856" w14:textId="77777777" w:rsidR="00C91760" w:rsidRDefault="00C91760" w:rsidP="00C91760">
      <w:pPr>
        <w:ind w:firstLine="2160"/>
        <w:rPr>
          <w:sz w:val="26"/>
          <w:szCs w:val="26"/>
        </w:rPr>
      </w:pPr>
      <w:r>
        <w:rPr>
          <w:sz w:val="26"/>
          <w:szCs w:val="26"/>
        </w:rPr>
        <w:t>Pennsylvania Public Utility Commission</w:t>
      </w:r>
    </w:p>
    <w:p w14:paraId="483B0AE4" w14:textId="77777777" w:rsidR="00C91760" w:rsidRDefault="00C91760" w:rsidP="00C91760">
      <w:pPr>
        <w:ind w:firstLine="2160"/>
        <w:rPr>
          <w:sz w:val="26"/>
          <w:szCs w:val="26"/>
        </w:rPr>
      </w:pPr>
      <w:r>
        <w:rPr>
          <w:sz w:val="26"/>
          <w:szCs w:val="26"/>
        </w:rPr>
        <w:t>Commonwealth Keystone Building</w:t>
      </w:r>
    </w:p>
    <w:p w14:paraId="1C1DA9E4" w14:textId="77777777" w:rsidR="00C91760" w:rsidRDefault="00C91760" w:rsidP="00C91760">
      <w:pPr>
        <w:ind w:firstLine="2160"/>
        <w:rPr>
          <w:sz w:val="26"/>
          <w:szCs w:val="26"/>
        </w:rPr>
      </w:pPr>
      <w:r>
        <w:rPr>
          <w:sz w:val="26"/>
          <w:szCs w:val="26"/>
        </w:rPr>
        <w:t>400 North Street</w:t>
      </w:r>
    </w:p>
    <w:p w14:paraId="390B5A3C" w14:textId="3213B47E" w:rsidR="00C91760" w:rsidRDefault="004437DA" w:rsidP="00C91760">
      <w:pPr>
        <w:ind w:firstLine="2160"/>
        <w:rPr>
          <w:sz w:val="26"/>
          <w:szCs w:val="26"/>
        </w:rPr>
      </w:pPr>
      <w:r>
        <w:rPr>
          <w:sz w:val="26"/>
          <w:szCs w:val="26"/>
        </w:rPr>
        <w:t xml:space="preserve">Harrisburg, PA </w:t>
      </w:r>
      <w:r w:rsidR="00C91760">
        <w:rPr>
          <w:sz w:val="26"/>
          <w:szCs w:val="26"/>
        </w:rPr>
        <w:t xml:space="preserve"> 17120</w:t>
      </w:r>
    </w:p>
    <w:p w14:paraId="3482DCD2" w14:textId="7EC0CC68" w:rsidR="00EE622B" w:rsidRPr="00C91760" w:rsidRDefault="00EE622B" w:rsidP="00E605DA">
      <w:pPr>
        <w:pStyle w:val="ListParagraph"/>
        <w:spacing w:line="480" w:lineRule="auto"/>
        <w:ind w:left="1440"/>
        <w:rPr>
          <w:sz w:val="26"/>
          <w:szCs w:val="26"/>
        </w:rPr>
      </w:pPr>
    </w:p>
    <w:p w14:paraId="35F7A6AD" w14:textId="77777777" w:rsidR="007C089A" w:rsidRPr="00EE622B" w:rsidRDefault="007C089A" w:rsidP="00EE622B">
      <w:pPr>
        <w:pStyle w:val="ListParagraph"/>
        <w:keepNext/>
        <w:widowControl/>
        <w:numPr>
          <w:ilvl w:val="0"/>
          <w:numId w:val="1"/>
        </w:numPr>
        <w:tabs>
          <w:tab w:val="clear" w:pos="2160"/>
        </w:tabs>
        <w:spacing w:line="360" w:lineRule="auto"/>
        <w:ind w:left="0" w:firstLine="1440"/>
        <w:rPr>
          <w:sz w:val="26"/>
          <w:szCs w:val="26"/>
        </w:rPr>
      </w:pPr>
      <w:r w:rsidRPr="00EE622B">
        <w:rPr>
          <w:sz w:val="26"/>
          <w:szCs w:val="26"/>
        </w:rPr>
        <w:t>That this proceeding shall be marked closed.</w:t>
      </w:r>
    </w:p>
    <w:p w14:paraId="78C1FA02" w14:textId="77777777" w:rsidR="001B0C5E" w:rsidRPr="00EE622B" w:rsidRDefault="001B0C5E" w:rsidP="00EE622B">
      <w:pPr>
        <w:keepNext/>
        <w:keepLines/>
        <w:widowControl/>
        <w:spacing w:line="360" w:lineRule="auto"/>
        <w:ind w:firstLine="1440"/>
        <w:contextualSpacing/>
        <w:rPr>
          <w:sz w:val="26"/>
          <w:szCs w:val="26"/>
        </w:rPr>
      </w:pPr>
    </w:p>
    <w:p w14:paraId="44A123A6" w14:textId="77777777" w:rsidR="001B0C5E" w:rsidRPr="00CA43A5" w:rsidRDefault="001B0C5E" w:rsidP="00171BF0">
      <w:pPr>
        <w:keepNext/>
        <w:widowControl/>
        <w:tabs>
          <w:tab w:val="left" w:pos="-720"/>
        </w:tabs>
        <w:ind w:firstLine="5040"/>
        <w:contextualSpacing/>
        <w:rPr>
          <w:sz w:val="26"/>
          <w:szCs w:val="26"/>
        </w:rPr>
      </w:pPr>
      <w:r w:rsidRPr="00CA43A5">
        <w:rPr>
          <w:b/>
          <w:sz w:val="26"/>
          <w:szCs w:val="26"/>
        </w:rPr>
        <w:t>BY THE COMMISSION,</w:t>
      </w:r>
    </w:p>
    <w:p w14:paraId="74E17A22" w14:textId="77777777" w:rsidR="00566560" w:rsidRDefault="00566560" w:rsidP="00171BF0">
      <w:pPr>
        <w:keepNext/>
        <w:widowControl/>
        <w:tabs>
          <w:tab w:val="left" w:pos="-720"/>
        </w:tabs>
        <w:contextualSpacing/>
        <w:rPr>
          <w:sz w:val="26"/>
          <w:szCs w:val="26"/>
        </w:rPr>
      </w:pPr>
    </w:p>
    <w:p w14:paraId="09175A99" w14:textId="722E1854" w:rsidR="00866D26" w:rsidRDefault="00B65807" w:rsidP="00171BF0">
      <w:pPr>
        <w:keepNext/>
        <w:widowControl/>
        <w:tabs>
          <w:tab w:val="left" w:pos="-720"/>
        </w:tabs>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bookmarkStart w:id="2" w:name="_GoBack"/>
      <w:bookmarkEnd w:id="2"/>
      <w:r>
        <w:rPr>
          <w:sz w:val="26"/>
          <w:szCs w:val="26"/>
        </w:rPr>
        <w:tab/>
      </w:r>
      <w:r>
        <w:rPr>
          <w:sz w:val="26"/>
          <w:szCs w:val="26"/>
        </w:rPr>
        <w:tab/>
      </w:r>
      <w:r>
        <w:rPr>
          <w:noProof/>
          <w:sz w:val="26"/>
          <w:szCs w:val="26"/>
        </w:rPr>
        <w:drawing>
          <wp:inline distT="0" distB="0" distL="0" distR="0" wp14:anchorId="6D685635" wp14:editId="03B261F1">
            <wp:extent cx="2057400" cy="786384"/>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7400" cy="786384"/>
                    </a:xfrm>
                    <a:prstGeom prst="rect">
                      <a:avLst/>
                    </a:prstGeom>
                  </pic:spPr>
                </pic:pic>
              </a:graphicData>
            </a:graphic>
          </wp:inline>
        </w:drawing>
      </w:r>
    </w:p>
    <w:p w14:paraId="5FFB56F4" w14:textId="77777777" w:rsidR="001B0C5E" w:rsidRPr="00CA43A5" w:rsidRDefault="001B0C5E" w:rsidP="00171BF0">
      <w:pPr>
        <w:keepNext/>
        <w:widowControl/>
        <w:tabs>
          <w:tab w:val="left" w:pos="-720"/>
        </w:tabs>
        <w:contextualSpacing/>
        <w:rPr>
          <w:sz w:val="26"/>
          <w:szCs w:val="26"/>
        </w:rPr>
      </w:pPr>
    </w:p>
    <w:p w14:paraId="4843B165" w14:textId="77777777" w:rsidR="001B0C5E" w:rsidRPr="00CA43A5" w:rsidRDefault="001B0C5E" w:rsidP="00171BF0">
      <w:pPr>
        <w:keepNext/>
        <w:widowControl/>
        <w:tabs>
          <w:tab w:val="left" w:pos="-720"/>
        </w:tabs>
        <w:ind w:firstLine="5040"/>
        <w:contextualSpacing/>
        <w:rPr>
          <w:b/>
          <w:sz w:val="26"/>
          <w:szCs w:val="26"/>
        </w:rPr>
      </w:pPr>
      <w:r>
        <w:rPr>
          <w:sz w:val="26"/>
          <w:szCs w:val="26"/>
        </w:rPr>
        <w:t>Rosemary Chiavetta</w:t>
      </w:r>
    </w:p>
    <w:p w14:paraId="67F958F7" w14:textId="77777777" w:rsidR="001B0C5E" w:rsidRDefault="001B0C5E" w:rsidP="00171BF0">
      <w:pPr>
        <w:keepNext/>
        <w:widowControl/>
        <w:tabs>
          <w:tab w:val="left" w:pos="-720"/>
        </w:tabs>
        <w:ind w:firstLine="5040"/>
        <w:contextualSpacing/>
        <w:rPr>
          <w:sz w:val="26"/>
          <w:szCs w:val="26"/>
        </w:rPr>
      </w:pPr>
      <w:r w:rsidRPr="00CA43A5">
        <w:rPr>
          <w:sz w:val="26"/>
          <w:szCs w:val="26"/>
        </w:rPr>
        <w:t>Secretary</w:t>
      </w:r>
    </w:p>
    <w:p w14:paraId="63D6DD6F" w14:textId="77777777" w:rsidR="008A7709" w:rsidRPr="00CA43A5" w:rsidRDefault="008A7709" w:rsidP="00171BF0">
      <w:pPr>
        <w:keepNext/>
        <w:widowControl/>
        <w:tabs>
          <w:tab w:val="left" w:pos="-720"/>
        </w:tabs>
        <w:ind w:firstLine="5040"/>
        <w:contextualSpacing/>
        <w:rPr>
          <w:sz w:val="26"/>
          <w:szCs w:val="26"/>
        </w:rPr>
      </w:pPr>
    </w:p>
    <w:p w14:paraId="44F9E622" w14:textId="77777777" w:rsidR="001B0C5E" w:rsidRPr="00CA43A5" w:rsidRDefault="001B0C5E" w:rsidP="00171BF0">
      <w:pPr>
        <w:keepNext/>
        <w:widowControl/>
        <w:tabs>
          <w:tab w:val="left" w:pos="-720"/>
        </w:tabs>
        <w:contextualSpacing/>
        <w:rPr>
          <w:sz w:val="26"/>
          <w:szCs w:val="26"/>
        </w:rPr>
      </w:pPr>
    </w:p>
    <w:p w14:paraId="41FE7507" w14:textId="77777777" w:rsidR="001B0C5E" w:rsidRPr="00CA43A5" w:rsidRDefault="001B0C5E" w:rsidP="00171BF0">
      <w:pPr>
        <w:keepNext/>
        <w:widowControl/>
        <w:tabs>
          <w:tab w:val="left" w:pos="-720"/>
        </w:tabs>
        <w:contextualSpacing/>
        <w:rPr>
          <w:sz w:val="26"/>
          <w:szCs w:val="26"/>
        </w:rPr>
      </w:pPr>
      <w:r w:rsidRPr="00CA43A5">
        <w:rPr>
          <w:sz w:val="26"/>
          <w:szCs w:val="26"/>
        </w:rPr>
        <w:t>(SEAL)</w:t>
      </w:r>
    </w:p>
    <w:p w14:paraId="59DC5CBE" w14:textId="77777777" w:rsidR="001B0C5E" w:rsidRPr="00CA43A5" w:rsidRDefault="001B0C5E" w:rsidP="00171BF0">
      <w:pPr>
        <w:keepNext/>
        <w:widowControl/>
        <w:tabs>
          <w:tab w:val="left" w:pos="-720"/>
        </w:tabs>
        <w:contextualSpacing/>
        <w:rPr>
          <w:sz w:val="26"/>
          <w:szCs w:val="26"/>
        </w:rPr>
      </w:pPr>
    </w:p>
    <w:p w14:paraId="75DEBEA2" w14:textId="5E32FFD8" w:rsidR="001B0C5E" w:rsidRPr="00CA43A5" w:rsidRDefault="001B0C5E" w:rsidP="00171BF0">
      <w:pPr>
        <w:keepNext/>
        <w:widowControl/>
        <w:tabs>
          <w:tab w:val="left" w:pos="-720"/>
        </w:tabs>
        <w:contextualSpacing/>
        <w:rPr>
          <w:sz w:val="26"/>
          <w:szCs w:val="26"/>
        </w:rPr>
      </w:pPr>
      <w:r w:rsidRPr="00CA43A5">
        <w:rPr>
          <w:sz w:val="26"/>
          <w:szCs w:val="26"/>
        </w:rPr>
        <w:t xml:space="preserve">ORDER ADOPTED: </w:t>
      </w:r>
      <w:r>
        <w:rPr>
          <w:sz w:val="26"/>
          <w:szCs w:val="26"/>
        </w:rPr>
        <w:t xml:space="preserve"> </w:t>
      </w:r>
      <w:r w:rsidR="007B5872">
        <w:rPr>
          <w:sz w:val="26"/>
          <w:szCs w:val="26"/>
        </w:rPr>
        <w:t>Nov</w:t>
      </w:r>
      <w:r w:rsidR="00566560">
        <w:rPr>
          <w:sz w:val="26"/>
          <w:szCs w:val="26"/>
        </w:rPr>
        <w:t xml:space="preserve">ember </w:t>
      </w:r>
      <w:r w:rsidR="007F7E57">
        <w:rPr>
          <w:sz w:val="26"/>
          <w:szCs w:val="26"/>
        </w:rPr>
        <w:t>1</w:t>
      </w:r>
      <w:r w:rsidR="007B5872">
        <w:rPr>
          <w:sz w:val="26"/>
          <w:szCs w:val="26"/>
        </w:rPr>
        <w:t>4</w:t>
      </w:r>
      <w:r w:rsidR="00566560">
        <w:rPr>
          <w:sz w:val="26"/>
          <w:szCs w:val="26"/>
        </w:rPr>
        <w:t>, 2019</w:t>
      </w:r>
    </w:p>
    <w:p w14:paraId="7D445657" w14:textId="77777777" w:rsidR="001B0C5E" w:rsidRDefault="001B0C5E" w:rsidP="00171BF0">
      <w:pPr>
        <w:keepNext/>
        <w:widowControl/>
        <w:tabs>
          <w:tab w:val="left" w:pos="-720"/>
        </w:tabs>
        <w:contextualSpacing/>
        <w:rPr>
          <w:sz w:val="26"/>
          <w:szCs w:val="26"/>
        </w:rPr>
      </w:pPr>
    </w:p>
    <w:p w14:paraId="41B153CC" w14:textId="7C373FBE" w:rsidR="001B0C5E" w:rsidRPr="00CA43A5" w:rsidRDefault="001B0C5E" w:rsidP="00171BF0">
      <w:pPr>
        <w:keepNext/>
        <w:widowControl/>
        <w:tabs>
          <w:tab w:val="left" w:pos="-720"/>
        </w:tabs>
        <w:contextualSpacing/>
        <w:rPr>
          <w:sz w:val="26"/>
          <w:szCs w:val="26"/>
        </w:rPr>
      </w:pPr>
      <w:r>
        <w:rPr>
          <w:sz w:val="26"/>
          <w:szCs w:val="26"/>
        </w:rPr>
        <w:t>ORDER ENTERED:</w:t>
      </w:r>
      <w:r w:rsidR="00621081">
        <w:rPr>
          <w:sz w:val="26"/>
          <w:szCs w:val="26"/>
        </w:rPr>
        <w:t xml:space="preserve">  </w:t>
      </w:r>
      <w:r w:rsidR="00B65807">
        <w:rPr>
          <w:sz w:val="26"/>
          <w:szCs w:val="26"/>
        </w:rPr>
        <w:t>December 19, 2019</w:t>
      </w:r>
    </w:p>
    <w:p w14:paraId="4AE88D41" w14:textId="77777777" w:rsidR="003D5C5F" w:rsidRDefault="003D5C5F" w:rsidP="00171BF0">
      <w:pPr>
        <w:keepNext/>
        <w:widowControl/>
      </w:pPr>
    </w:p>
    <w:sectPr w:rsidR="003D5C5F" w:rsidSect="003161E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E0FDA" w14:textId="77777777" w:rsidR="004C5CE3" w:rsidRDefault="004C5CE3" w:rsidP="001B0C5E">
      <w:r>
        <w:separator/>
      </w:r>
    </w:p>
  </w:endnote>
  <w:endnote w:type="continuationSeparator" w:id="0">
    <w:p w14:paraId="309004CF" w14:textId="77777777" w:rsidR="004C5CE3" w:rsidRDefault="004C5CE3"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68328BAF" w14:textId="5D76318A" w:rsidR="006D15AC" w:rsidRPr="00DE3CBF" w:rsidRDefault="006D15AC" w:rsidP="00DE3CBF">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4437DA">
          <w:rPr>
            <w:noProof/>
            <w:sz w:val="24"/>
            <w:szCs w:val="24"/>
          </w:rPr>
          <w:t>8</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404C0" w14:textId="77777777" w:rsidR="004C5CE3" w:rsidRDefault="004C5CE3" w:rsidP="001B0C5E">
      <w:r>
        <w:separator/>
      </w:r>
    </w:p>
  </w:footnote>
  <w:footnote w:type="continuationSeparator" w:id="0">
    <w:p w14:paraId="40B3C75E" w14:textId="77777777" w:rsidR="004C5CE3" w:rsidRDefault="004C5CE3" w:rsidP="001B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3B74E3"/>
    <w:multiLevelType w:val="hybridMultilevel"/>
    <w:tmpl w:val="67AED894"/>
    <w:lvl w:ilvl="0" w:tplc="726AA7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260ED"/>
    <w:multiLevelType w:val="hybridMultilevel"/>
    <w:tmpl w:val="28B0640E"/>
    <w:lvl w:ilvl="0" w:tplc="34A8A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1F6A"/>
    <w:multiLevelType w:val="hybridMultilevel"/>
    <w:tmpl w:val="37808260"/>
    <w:lvl w:ilvl="0" w:tplc="B3900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4"/>
  </w:num>
  <w:num w:numId="3">
    <w:abstractNumId w:val="5"/>
  </w:num>
  <w:num w:numId="4">
    <w:abstractNumId w:val="2"/>
  </w:num>
  <w:num w:numId="5">
    <w:abstractNumId w:val="9"/>
  </w:num>
  <w:num w:numId="6">
    <w:abstractNumId w:val="17"/>
  </w:num>
  <w:num w:numId="7">
    <w:abstractNumId w:val="8"/>
  </w:num>
  <w:num w:numId="8">
    <w:abstractNumId w:val="16"/>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9"/>
  </w:num>
  <w:num w:numId="16">
    <w:abstractNumId w:val="0"/>
  </w:num>
  <w:num w:numId="17">
    <w:abstractNumId w:val="21"/>
  </w:num>
  <w:num w:numId="18">
    <w:abstractNumId w:val="1"/>
  </w:num>
  <w:num w:numId="19">
    <w:abstractNumId w:val="10"/>
  </w:num>
  <w:num w:numId="20">
    <w:abstractNumId w:val="15"/>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57D6"/>
    <w:rsid w:val="00006AFC"/>
    <w:rsid w:val="00013BD3"/>
    <w:rsid w:val="00013E77"/>
    <w:rsid w:val="00014746"/>
    <w:rsid w:val="00015802"/>
    <w:rsid w:val="000203E2"/>
    <w:rsid w:val="000236E4"/>
    <w:rsid w:val="00023FFD"/>
    <w:rsid w:val="0002506D"/>
    <w:rsid w:val="00025076"/>
    <w:rsid w:val="000259EB"/>
    <w:rsid w:val="00025DF9"/>
    <w:rsid w:val="00025E69"/>
    <w:rsid w:val="00027037"/>
    <w:rsid w:val="00030EE5"/>
    <w:rsid w:val="00032EFB"/>
    <w:rsid w:val="000359C0"/>
    <w:rsid w:val="00041F45"/>
    <w:rsid w:val="00042D57"/>
    <w:rsid w:val="00042F28"/>
    <w:rsid w:val="00043176"/>
    <w:rsid w:val="00047197"/>
    <w:rsid w:val="000473BF"/>
    <w:rsid w:val="00050267"/>
    <w:rsid w:val="00050351"/>
    <w:rsid w:val="00051A66"/>
    <w:rsid w:val="00051A6E"/>
    <w:rsid w:val="00053371"/>
    <w:rsid w:val="0005338E"/>
    <w:rsid w:val="00054291"/>
    <w:rsid w:val="00054989"/>
    <w:rsid w:val="00055921"/>
    <w:rsid w:val="00055DC6"/>
    <w:rsid w:val="000571B2"/>
    <w:rsid w:val="00057FF2"/>
    <w:rsid w:val="0006149A"/>
    <w:rsid w:val="00064338"/>
    <w:rsid w:val="0006698F"/>
    <w:rsid w:val="0007078A"/>
    <w:rsid w:val="00070BE0"/>
    <w:rsid w:val="00072FB2"/>
    <w:rsid w:val="00077644"/>
    <w:rsid w:val="00077D2C"/>
    <w:rsid w:val="00077D3D"/>
    <w:rsid w:val="00080A5D"/>
    <w:rsid w:val="00081036"/>
    <w:rsid w:val="00083ABE"/>
    <w:rsid w:val="00084203"/>
    <w:rsid w:val="00086CEC"/>
    <w:rsid w:val="00086F0B"/>
    <w:rsid w:val="00087914"/>
    <w:rsid w:val="00090C69"/>
    <w:rsid w:val="000939C7"/>
    <w:rsid w:val="00094518"/>
    <w:rsid w:val="000959E2"/>
    <w:rsid w:val="0009621E"/>
    <w:rsid w:val="0009637B"/>
    <w:rsid w:val="00096DEE"/>
    <w:rsid w:val="0009777B"/>
    <w:rsid w:val="000A1BD3"/>
    <w:rsid w:val="000A3525"/>
    <w:rsid w:val="000A5F88"/>
    <w:rsid w:val="000A6DFD"/>
    <w:rsid w:val="000A7C2C"/>
    <w:rsid w:val="000B255B"/>
    <w:rsid w:val="000B2AC8"/>
    <w:rsid w:val="000B46BD"/>
    <w:rsid w:val="000B4D47"/>
    <w:rsid w:val="000B674B"/>
    <w:rsid w:val="000C0FE0"/>
    <w:rsid w:val="000C2859"/>
    <w:rsid w:val="000D1BCC"/>
    <w:rsid w:val="000D20DD"/>
    <w:rsid w:val="000D2A05"/>
    <w:rsid w:val="000D2D66"/>
    <w:rsid w:val="000D3D1A"/>
    <w:rsid w:val="000D4DCA"/>
    <w:rsid w:val="000D7003"/>
    <w:rsid w:val="000D77E6"/>
    <w:rsid w:val="000D7C55"/>
    <w:rsid w:val="000E0683"/>
    <w:rsid w:val="000E0830"/>
    <w:rsid w:val="000E2F3D"/>
    <w:rsid w:val="000E5C56"/>
    <w:rsid w:val="000E7543"/>
    <w:rsid w:val="000F00B7"/>
    <w:rsid w:val="000F0A1B"/>
    <w:rsid w:val="000F1B4D"/>
    <w:rsid w:val="000F221F"/>
    <w:rsid w:val="000F2344"/>
    <w:rsid w:val="000F236A"/>
    <w:rsid w:val="000F38A4"/>
    <w:rsid w:val="000F4166"/>
    <w:rsid w:val="000F4FA5"/>
    <w:rsid w:val="000F72BD"/>
    <w:rsid w:val="000F7450"/>
    <w:rsid w:val="000F76C2"/>
    <w:rsid w:val="00104345"/>
    <w:rsid w:val="00104496"/>
    <w:rsid w:val="001044E2"/>
    <w:rsid w:val="00105601"/>
    <w:rsid w:val="0010585D"/>
    <w:rsid w:val="0010681B"/>
    <w:rsid w:val="00107339"/>
    <w:rsid w:val="001104DF"/>
    <w:rsid w:val="00113DCF"/>
    <w:rsid w:val="00115DC3"/>
    <w:rsid w:val="00115F20"/>
    <w:rsid w:val="00120C01"/>
    <w:rsid w:val="00122B7C"/>
    <w:rsid w:val="00122E03"/>
    <w:rsid w:val="00124F6E"/>
    <w:rsid w:val="00126DE3"/>
    <w:rsid w:val="00127620"/>
    <w:rsid w:val="00130237"/>
    <w:rsid w:val="00130895"/>
    <w:rsid w:val="00135575"/>
    <w:rsid w:val="001429A6"/>
    <w:rsid w:val="00143206"/>
    <w:rsid w:val="001436E5"/>
    <w:rsid w:val="00145453"/>
    <w:rsid w:val="00146E7D"/>
    <w:rsid w:val="001479B9"/>
    <w:rsid w:val="00151849"/>
    <w:rsid w:val="00152023"/>
    <w:rsid w:val="00152A79"/>
    <w:rsid w:val="0015304B"/>
    <w:rsid w:val="001550CF"/>
    <w:rsid w:val="00155718"/>
    <w:rsid w:val="00163A41"/>
    <w:rsid w:val="00166F8A"/>
    <w:rsid w:val="00171BF0"/>
    <w:rsid w:val="00172F07"/>
    <w:rsid w:val="00172F11"/>
    <w:rsid w:val="00173C8A"/>
    <w:rsid w:val="00176EE0"/>
    <w:rsid w:val="00177400"/>
    <w:rsid w:val="001816D6"/>
    <w:rsid w:val="001817E2"/>
    <w:rsid w:val="00183C71"/>
    <w:rsid w:val="00185079"/>
    <w:rsid w:val="001863FF"/>
    <w:rsid w:val="00186CBD"/>
    <w:rsid w:val="00186CEC"/>
    <w:rsid w:val="00186DA9"/>
    <w:rsid w:val="0019185E"/>
    <w:rsid w:val="001950C1"/>
    <w:rsid w:val="00195578"/>
    <w:rsid w:val="001A184F"/>
    <w:rsid w:val="001A2E0A"/>
    <w:rsid w:val="001A462D"/>
    <w:rsid w:val="001A4C83"/>
    <w:rsid w:val="001A4C9F"/>
    <w:rsid w:val="001A6F37"/>
    <w:rsid w:val="001A7AE8"/>
    <w:rsid w:val="001A7B5F"/>
    <w:rsid w:val="001B0C5E"/>
    <w:rsid w:val="001B1748"/>
    <w:rsid w:val="001B2D87"/>
    <w:rsid w:val="001B68CD"/>
    <w:rsid w:val="001C076F"/>
    <w:rsid w:val="001C19A6"/>
    <w:rsid w:val="001C296F"/>
    <w:rsid w:val="001C2D5B"/>
    <w:rsid w:val="001C3984"/>
    <w:rsid w:val="001C3BA2"/>
    <w:rsid w:val="001C40BE"/>
    <w:rsid w:val="001C421F"/>
    <w:rsid w:val="001C5325"/>
    <w:rsid w:val="001C554A"/>
    <w:rsid w:val="001C6105"/>
    <w:rsid w:val="001C6E41"/>
    <w:rsid w:val="001C78D5"/>
    <w:rsid w:val="001C7900"/>
    <w:rsid w:val="001D1839"/>
    <w:rsid w:val="001E1233"/>
    <w:rsid w:val="001E39B8"/>
    <w:rsid w:val="001E48DA"/>
    <w:rsid w:val="001E69AF"/>
    <w:rsid w:val="001F22E6"/>
    <w:rsid w:val="001F39E7"/>
    <w:rsid w:val="001F5463"/>
    <w:rsid w:val="001F5DA9"/>
    <w:rsid w:val="001F61E9"/>
    <w:rsid w:val="001F6470"/>
    <w:rsid w:val="001F6B8E"/>
    <w:rsid w:val="001F7D11"/>
    <w:rsid w:val="002039CE"/>
    <w:rsid w:val="00206677"/>
    <w:rsid w:val="00211464"/>
    <w:rsid w:val="002115CE"/>
    <w:rsid w:val="00212284"/>
    <w:rsid w:val="002128EA"/>
    <w:rsid w:val="002131EC"/>
    <w:rsid w:val="002132DB"/>
    <w:rsid w:val="002141A4"/>
    <w:rsid w:val="00216A44"/>
    <w:rsid w:val="0021736B"/>
    <w:rsid w:val="00217816"/>
    <w:rsid w:val="0022174D"/>
    <w:rsid w:val="0022489D"/>
    <w:rsid w:val="00231D72"/>
    <w:rsid w:val="002327DF"/>
    <w:rsid w:val="002331C5"/>
    <w:rsid w:val="002332EF"/>
    <w:rsid w:val="00234CB2"/>
    <w:rsid w:val="00236599"/>
    <w:rsid w:val="002370E8"/>
    <w:rsid w:val="00241720"/>
    <w:rsid w:val="00243C49"/>
    <w:rsid w:val="002463E4"/>
    <w:rsid w:val="00246D56"/>
    <w:rsid w:val="002470BC"/>
    <w:rsid w:val="00253A47"/>
    <w:rsid w:val="00254157"/>
    <w:rsid w:val="002557E0"/>
    <w:rsid w:val="00255853"/>
    <w:rsid w:val="00255BF9"/>
    <w:rsid w:val="00256B45"/>
    <w:rsid w:val="00256B73"/>
    <w:rsid w:val="00256BE3"/>
    <w:rsid w:val="00256CB3"/>
    <w:rsid w:val="00256F78"/>
    <w:rsid w:val="00256FC9"/>
    <w:rsid w:val="00257811"/>
    <w:rsid w:val="00260523"/>
    <w:rsid w:val="00260C7C"/>
    <w:rsid w:val="00261465"/>
    <w:rsid w:val="002617ED"/>
    <w:rsid w:val="002625EC"/>
    <w:rsid w:val="00263C79"/>
    <w:rsid w:val="002646F1"/>
    <w:rsid w:val="002711AF"/>
    <w:rsid w:val="00271EEB"/>
    <w:rsid w:val="00272C8B"/>
    <w:rsid w:val="0027391D"/>
    <w:rsid w:val="002754DA"/>
    <w:rsid w:val="00276874"/>
    <w:rsid w:val="00280CE1"/>
    <w:rsid w:val="00283A74"/>
    <w:rsid w:val="00283EF3"/>
    <w:rsid w:val="00284EAD"/>
    <w:rsid w:val="0028632D"/>
    <w:rsid w:val="00291A07"/>
    <w:rsid w:val="0029212A"/>
    <w:rsid w:val="00292825"/>
    <w:rsid w:val="002931D5"/>
    <w:rsid w:val="00295C7D"/>
    <w:rsid w:val="002978D2"/>
    <w:rsid w:val="002A0787"/>
    <w:rsid w:val="002A23B1"/>
    <w:rsid w:val="002A4572"/>
    <w:rsid w:val="002A740F"/>
    <w:rsid w:val="002B20B1"/>
    <w:rsid w:val="002B50E9"/>
    <w:rsid w:val="002B510C"/>
    <w:rsid w:val="002B785E"/>
    <w:rsid w:val="002B7899"/>
    <w:rsid w:val="002B78A1"/>
    <w:rsid w:val="002C1CEC"/>
    <w:rsid w:val="002C45A2"/>
    <w:rsid w:val="002C4B9A"/>
    <w:rsid w:val="002C4E17"/>
    <w:rsid w:val="002C591A"/>
    <w:rsid w:val="002C5963"/>
    <w:rsid w:val="002C63F6"/>
    <w:rsid w:val="002C780B"/>
    <w:rsid w:val="002D114E"/>
    <w:rsid w:val="002E21E2"/>
    <w:rsid w:val="002E5A21"/>
    <w:rsid w:val="002E5EE2"/>
    <w:rsid w:val="002E69CA"/>
    <w:rsid w:val="002E6BE4"/>
    <w:rsid w:val="002F1617"/>
    <w:rsid w:val="002F18C2"/>
    <w:rsid w:val="002F205F"/>
    <w:rsid w:val="002F2612"/>
    <w:rsid w:val="002F380D"/>
    <w:rsid w:val="002F4247"/>
    <w:rsid w:val="002F4A69"/>
    <w:rsid w:val="002F4A77"/>
    <w:rsid w:val="002F6D54"/>
    <w:rsid w:val="00301501"/>
    <w:rsid w:val="0030220E"/>
    <w:rsid w:val="00302502"/>
    <w:rsid w:val="00304019"/>
    <w:rsid w:val="003063B3"/>
    <w:rsid w:val="00306B47"/>
    <w:rsid w:val="003077E0"/>
    <w:rsid w:val="00311CC9"/>
    <w:rsid w:val="00313456"/>
    <w:rsid w:val="003150DF"/>
    <w:rsid w:val="0031552B"/>
    <w:rsid w:val="00315701"/>
    <w:rsid w:val="003161E5"/>
    <w:rsid w:val="0032366A"/>
    <w:rsid w:val="00323DE8"/>
    <w:rsid w:val="003266AC"/>
    <w:rsid w:val="00326996"/>
    <w:rsid w:val="00332B6C"/>
    <w:rsid w:val="00332CEB"/>
    <w:rsid w:val="00337586"/>
    <w:rsid w:val="00340D2A"/>
    <w:rsid w:val="00342C2E"/>
    <w:rsid w:val="00343135"/>
    <w:rsid w:val="0034456A"/>
    <w:rsid w:val="003450C3"/>
    <w:rsid w:val="00350ACB"/>
    <w:rsid w:val="003541EF"/>
    <w:rsid w:val="00354DE0"/>
    <w:rsid w:val="003563E6"/>
    <w:rsid w:val="003569F1"/>
    <w:rsid w:val="00357952"/>
    <w:rsid w:val="00360ED2"/>
    <w:rsid w:val="0037391C"/>
    <w:rsid w:val="003820E8"/>
    <w:rsid w:val="00383B51"/>
    <w:rsid w:val="00385076"/>
    <w:rsid w:val="003861FB"/>
    <w:rsid w:val="0038718D"/>
    <w:rsid w:val="00390ACB"/>
    <w:rsid w:val="00391C7D"/>
    <w:rsid w:val="00392FDE"/>
    <w:rsid w:val="003932B1"/>
    <w:rsid w:val="00395DED"/>
    <w:rsid w:val="00396860"/>
    <w:rsid w:val="00397292"/>
    <w:rsid w:val="00397482"/>
    <w:rsid w:val="003A04EA"/>
    <w:rsid w:val="003A1573"/>
    <w:rsid w:val="003A3427"/>
    <w:rsid w:val="003A39CB"/>
    <w:rsid w:val="003A4C73"/>
    <w:rsid w:val="003A53E7"/>
    <w:rsid w:val="003A7E8E"/>
    <w:rsid w:val="003B541E"/>
    <w:rsid w:val="003B55E8"/>
    <w:rsid w:val="003B756B"/>
    <w:rsid w:val="003C0051"/>
    <w:rsid w:val="003C0BED"/>
    <w:rsid w:val="003C1F85"/>
    <w:rsid w:val="003C30D5"/>
    <w:rsid w:val="003C3166"/>
    <w:rsid w:val="003C3D46"/>
    <w:rsid w:val="003C4D05"/>
    <w:rsid w:val="003C77B3"/>
    <w:rsid w:val="003D1722"/>
    <w:rsid w:val="003D1A05"/>
    <w:rsid w:val="003D4807"/>
    <w:rsid w:val="003D5842"/>
    <w:rsid w:val="003D5B48"/>
    <w:rsid w:val="003D5C5F"/>
    <w:rsid w:val="003D6ECB"/>
    <w:rsid w:val="003D6F56"/>
    <w:rsid w:val="003E1486"/>
    <w:rsid w:val="003F0635"/>
    <w:rsid w:val="003F3202"/>
    <w:rsid w:val="003F5257"/>
    <w:rsid w:val="003F6AD9"/>
    <w:rsid w:val="003F6C57"/>
    <w:rsid w:val="00400EFB"/>
    <w:rsid w:val="00401106"/>
    <w:rsid w:val="004029D7"/>
    <w:rsid w:val="00402B04"/>
    <w:rsid w:val="00403017"/>
    <w:rsid w:val="00405C53"/>
    <w:rsid w:val="00405DB2"/>
    <w:rsid w:val="00410EE7"/>
    <w:rsid w:val="00411172"/>
    <w:rsid w:val="004112A0"/>
    <w:rsid w:val="00411B3E"/>
    <w:rsid w:val="004128CD"/>
    <w:rsid w:val="004130CE"/>
    <w:rsid w:val="0041393A"/>
    <w:rsid w:val="00415412"/>
    <w:rsid w:val="00417D1B"/>
    <w:rsid w:val="00422537"/>
    <w:rsid w:val="00422F3A"/>
    <w:rsid w:val="0042462F"/>
    <w:rsid w:val="00425EC8"/>
    <w:rsid w:val="00426EBD"/>
    <w:rsid w:val="00427E2E"/>
    <w:rsid w:val="0043125D"/>
    <w:rsid w:val="00431FCF"/>
    <w:rsid w:val="00432A5B"/>
    <w:rsid w:val="00433D56"/>
    <w:rsid w:val="0043421A"/>
    <w:rsid w:val="004371DE"/>
    <w:rsid w:val="00440633"/>
    <w:rsid w:val="00442D42"/>
    <w:rsid w:val="004437DA"/>
    <w:rsid w:val="004507F8"/>
    <w:rsid w:val="004533B5"/>
    <w:rsid w:val="00453409"/>
    <w:rsid w:val="00456195"/>
    <w:rsid w:val="00457281"/>
    <w:rsid w:val="00460433"/>
    <w:rsid w:val="00460720"/>
    <w:rsid w:val="00461D62"/>
    <w:rsid w:val="004665E4"/>
    <w:rsid w:val="00466A11"/>
    <w:rsid w:val="00467208"/>
    <w:rsid w:val="00470A07"/>
    <w:rsid w:val="00472CDF"/>
    <w:rsid w:val="00472E1A"/>
    <w:rsid w:val="004734AB"/>
    <w:rsid w:val="004737E6"/>
    <w:rsid w:val="00474421"/>
    <w:rsid w:val="00475B12"/>
    <w:rsid w:val="00481036"/>
    <w:rsid w:val="0048490F"/>
    <w:rsid w:val="00484B83"/>
    <w:rsid w:val="00484C8A"/>
    <w:rsid w:val="00487BE4"/>
    <w:rsid w:val="0049390B"/>
    <w:rsid w:val="00497130"/>
    <w:rsid w:val="004A01F5"/>
    <w:rsid w:val="004A2358"/>
    <w:rsid w:val="004A44B1"/>
    <w:rsid w:val="004A6609"/>
    <w:rsid w:val="004A7A35"/>
    <w:rsid w:val="004B0538"/>
    <w:rsid w:val="004B0712"/>
    <w:rsid w:val="004B4653"/>
    <w:rsid w:val="004B62CD"/>
    <w:rsid w:val="004B62EF"/>
    <w:rsid w:val="004B6C9A"/>
    <w:rsid w:val="004B7AD1"/>
    <w:rsid w:val="004C135A"/>
    <w:rsid w:val="004C1C39"/>
    <w:rsid w:val="004C46A9"/>
    <w:rsid w:val="004C524E"/>
    <w:rsid w:val="004C54E3"/>
    <w:rsid w:val="004C5C91"/>
    <w:rsid w:val="004C5CE3"/>
    <w:rsid w:val="004C630A"/>
    <w:rsid w:val="004C7BEB"/>
    <w:rsid w:val="004D41D9"/>
    <w:rsid w:val="004D4AC1"/>
    <w:rsid w:val="004D56A6"/>
    <w:rsid w:val="004D6EC7"/>
    <w:rsid w:val="004E3B84"/>
    <w:rsid w:val="004E5167"/>
    <w:rsid w:val="004E676D"/>
    <w:rsid w:val="004E6A20"/>
    <w:rsid w:val="004E7C32"/>
    <w:rsid w:val="004E7F4B"/>
    <w:rsid w:val="004F0D56"/>
    <w:rsid w:val="004F37FB"/>
    <w:rsid w:val="004F400B"/>
    <w:rsid w:val="004F5F97"/>
    <w:rsid w:val="004F69B2"/>
    <w:rsid w:val="004F6B4A"/>
    <w:rsid w:val="004F6E17"/>
    <w:rsid w:val="004F75BA"/>
    <w:rsid w:val="004F7ABC"/>
    <w:rsid w:val="00501813"/>
    <w:rsid w:val="005019F2"/>
    <w:rsid w:val="00501F85"/>
    <w:rsid w:val="0050332E"/>
    <w:rsid w:val="005034C3"/>
    <w:rsid w:val="0050354A"/>
    <w:rsid w:val="005041E6"/>
    <w:rsid w:val="00505875"/>
    <w:rsid w:val="005069AE"/>
    <w:rsid w:val="0051153E"/>
    <w:rsid w:val="00511AC7"/>
    <w:rsid w:val="0051227F"/>
    <w:rsid w:val="0051253C"/>
    <w:rsid w:val="005127C6"/>
    <w:rsid w:val="00520A50"/>
    <w:rsid w:val="00520CAB"/>
    <w:rsid w:val="005213A8"/>
    <w:rsid w:val="005227D5"/>
    <w:rsid w:val="00523BE4"/>
    <w:rsid w:val="00524DA7"/>
    <w:rsid w:val="0052545A"/>
    <w:rsid w:val="00525AEB"/>
    <w:rsid w:val="00526BBB"/>
    <w:rsid w:val="0053117B"/>
    <w:rsid w:val="0053279A"/>
    <w:rsid w:val="005333D2"/>
    <w:rsid w:val="00534263"/>
    <w:rsid w:val="0053724D"/>
    <w:rsid w:val="0053736E"/>
    <w:rsid w:val="00537A3D"/>
    <w:rsid w:val="00537CAD"/>
    <w:rsid w:val="0054268B"/>
    <w:rsid w:val="00543167"/>
    <w:rsid w:val="00543B7B"/>
    <w:rsid w:val="00543EAE"/>
    <w:rsid w:val="00545BA8"/>
    <w:rsid w:val="00546F4C"/>
    <w:rsid w:val="00550CEC"/>
    <w:rsid w:val="00553530"/>
    <w:rsid w:val="00554A2B"/>
    <w:rsid w:val="00554D3B"/>
    <w:rsid w:val="00555560"/>
    <w:rsid w:val="00556231"/>
    <w:rsid w:val="0055684E"/>
    <w:rsid w:val="00556B14"/>
    <w:rsid w:val="005574D8"/>
    <w:rsid w:val="00557870"/>
    <w:rsid w:val="00560D55"/>
    <w:rsid w:val="00561582"/>
    <w:rsid w:val="0056368E"/>
    <w:rsid w:val="00564F2E"/>
    <w:rsid w:val="005659E7"/>
    <w:rsid w:val="00566560"/>
    <w:rsid w:val="005667E5"/>
    <w:rsid w:val="0056719D"/>
    <w:rsid w:val="00567DA0"/>
    <w:rsid w:val="005703B8"/>
    <w:rsid w:val="00570974"/>
    <w:rsid w:val="005709B0"/>
    <w:rsid w:val="00570FAC"/>
    <w:rsid w:val="00573E3D"/>
    <w:rsid w:val="005756F5"/>
    <w:rsid w:val="00576E0A"/>
    <w:rsid w:val="00576FE0"/>
    <w:rsid w:val="00580B29"/>
    <w:rsid w:val="00582CD7"/>
    <w:rsid w:val="0058421A"/>
    <w:rsid w:val="0058799D"/>
    <w:rsid w:val="00592360"/>
    <w:rsid w:val="005945FE"/>
    <w:rsid w:val="0059604F"/>
    <w:rsid w:val="005965F9"/>
    <w:rsid w:val="005A12D8"/>
    <w:rsid w:val="005A1CC8"/>
    <w:rsid w:val="005A1F11"/>
    <w:rsid w:val="005A2166"/>
    <w:rsid w:val="005A2B95"/>
    <w:rsid w:val="005A3385"/>
    <w:rsid w:val="005A3862"/>
    <w:rsid w:val="005A7474"/>
    <w:rsid w:val="005A7977"/>
    <w:rsid w:val="005B1655"/>
    <w:rsid w:val="005B3D71"/>
    <w:rsid w:val="005B43B0"/>
    <w:rsid w:val="005B4F4D"/>
    <w:rsid w:val="005B55E4"/>
    <w:rsid w:val="005B6173"/>
    <w:rsid w:val="005B6415"/>
    <w:rsid w:val="005B7A9D"/>
    <w:rsid w:val="005C1ABA"/>
    <w:rsid w:val="005C3466"/>
    <w:rsid w:val="005C3AD7"/>
    <w:rsid w:val="005C4831"/>
    <w:rsid w:val="005C5B2A"/>
    <w:rsid w:val="005C66A8"/>
    <w:rsid w:val="005C74FF"/>
    <w:rsid w:val="005D1552"/>
    <w:rsid w:val="005D4AA3"/>
    <w:rsid w:val="005D4EE2"/>
    <w:rsid w:val="005D6930"/>
    <w:rsid w:val="005D6DE3"/>
    <w:rsid w:val="005D7A1E"/>
    <w:rsid w:val="005E0E18"/>
    <w:rsid w:val="005E4B55"/>
    <w:rsid w:val="005E4BC8"/>
    <w:rsid w:val="005E705C"/>
    <w:rsid w:val="005F0AC7"/>
    <w:rsid w:val="005F1E33"/>
    <w:rsid w:val="005F2574"/>
    <w:rsid w:val="005F3814"/>
    <w:rsid w:val="005F672B"/>
    <w:rsid w:val="0060138C"/>
    <w:rsid w:val="00601675"/>
    <w:rsid w:val="00602153"/>
    <w:rsid w:val="00603006"/>
    <w:rsid w:val="0060368B"/>
    <w:rsid w:val="00604EEC"/>
    <w:rsid w:val="00604F89"/>
    <w:rsid w:val="0060711F"/>
    <w:rsid w:val="00610D03"/>
    <w:rsid w:val="00615D32"/>
    <w:rsid w:val="00615F30"/>
    <w:rsid w:val="006164CC"/>
    <w:rsid w:val="00617CEA"/>
    <w:rsid w:val="00621081"/>
    <w:rsid w:val="00621B2C"/>
    <w:rsid w:val="006225D5"/>
    <w:rsid w:val="00625440"/>
    <w:rsid w:val="00626D9E"/>
    <w:rsid w:val="00633CBD"/>
    <w:rsid w:val="00637288"/>
    <w:rsid w:val="006412AB"/>
    <w:rsid w:val="00642399"/>
    <w:rsid w:val="00644045"/>
    <w:rsid w:val="00644D01"/>
    <w:rsid w:val="00645A8F"/>
    <w:rsid w:val="00646E90"/>
    <w:rsid w:val="006475CC"/>
    <w:rsid w:val="00650461"/>
    <w:rsid w:val="0065112C"/>
    <w:rsid w:val="00651209"/>
    <w:rsid w:val="00651CE3"/>
    <w:rsid w:val="00652520"/>
    <w:rsid w:val="00652995"/>
    <w:rsid w:val="00652B25"/>
    <w:rsid w:val="00655864"/>
    <w:rsid w:val="00655D41"/>
    <w:rsid w:val="006569C9"/>
    <w:rsid w:val="006573C0"/>
    <w:rsid w:val="00660020"/>
    <w:rsid w:val="0066489A"/>
    <w:rsid w:val="0066563C"/>
    <w:rsid w:val="00666027"/>
    <w:rsid w:val="0066685E"/>
    <w:rsid w:val="00671555"/>
    <w:rsid w:val="006719C6"/>
    <w:rsid w:val="006774A4"/>
    <w:rsid w:val="006808F6"/>
    <w:rsid w:val="00682154"/>
    <w:rsid w:val="0068321A"/>
    <w:rsid w:val="0068357D"/>
    <w:rsid w:val="00686A71"/>
    <w:rsid w:val="006901E1"/>
    <w:rsid w:val="00692B7E"/>
    <w:rsid w:val="0069331A"/>
    <w:rsid w:val="006953E5"/>
    <w:rsid w:val="006A030E"/>
    <w:rsid w:val="006A0977"/>
    <w:rsid w:val="006A11C6"/>
    <w:rsid w:val="006A5947"/>
    <w:rsid w:val="006A6367"/>
    <w:rsid w:val="006A669D"/>
    <w:rsid w:val="006B14DD"/>
    <w:rsid w:val="006B55F8"/>
    <w:rsid w:val="006B6A6B"/>
    <w:rsid w:val="006C0757"/>
    <w:rsid w:val="006C303F"/>
    <w:rsid w:val="006C4D4A"/>
    <w:rsid w:val="006C6455"/>
    <w:rsid w:val="006C77C4"/>
    <w:rsid w:val="006C7974"/>
    <w:rsid w:val="006D0347"/>
    <w:rsid w:val="006D15AC"/>
    <w:rsid w:val="006D29AD"/>
    <w:rsid w:val="006D3766"/>
    <w:rsid w:val="006D4340"/>
    <w:rsid w:val="006D5081"/>
    <w:rsid w:val="006D59E3"/>
    <w:rsid w:val="006D5FCE"/>
    <w:rsid w:val="006E0D74"/>
    <w:rsid w:val="006E0E01"/>
    <w:rsid w:val="006E178E"/>
    <w:rsid w:val="006E1B6D"/>
    <w:rsid w:val="006E2C45"/>
    <w:rsid w:val="006E5DA4"/>
    <w:rsid w:val="006F1E78"/>
    <w:rsid w:val="006F44B6"/>
    <w:rsid w:val="006F6412"/>
    <w:rsid w:val="00701B05"/>
    <w:rsid w:val="007029F1"/>
    <w:rsid w:val="00703B4E"/>
    <w:rsid w:val="00703D3A"/>
    <w:rsid w:val="00707559"/>
    <w:rsid w:val="00707954"/>
    <w:rsid w:val="00713352"/>
    <w:rsid w:val="00714797"/>
    <w:rsid w:val="00714E16"/>
    <w:rsid w:val="007157C6"/>
    <w:rsid w:val="00715966"/>
    <w:rsid w:val="00716741"/>
    <w:rsid w:val="007177AF"/>
    <w:rsid w:val="00717D84"/>
    <w:rsid w:val="0072318F"/>
    <w:rsid w:val="007237F6"/>
    <w:rsid w:val="00724050"/>
    <w:rsid w:val="00724559"/>
    <w:rsid w:val="00730AA1"/>
    <w:rsid w:val="00732750"/>
    <w:rsid w:val="00732B1A"/>
    <w:rsid w:val="0073516F"/>
    <w:rsid w:val="00735235"/>
    <w:rsid w:val="00737FD2"/>
    <w:rsid w:val="00741AE2"/>
    <w:rsid w:val="00741E22"/>
    <w:rsid w:val="00744869"/>
    <w:rsid w:val="0074690D"/>
    <w:rsid w:val="00751590"/>
    <w:rsid w:val="00751A7E"/>
    <w:rsid w:val="00753029"/>
    <w:rsid w:val="007540DF"/>
    <w:rsid w:val="007556E7"/>
    <w:rsid w:val="00757AE7"/>
    <w:rsid w:val="00757E60"/>
    <w:rsid w:val="00760318"/>
    <w:rsid w:val="00762D52"/>
    <w:rsid w:val="0076474D"/>
    <w:rsid w:val="0077157E"/>
    <w:rsid w:val="007727BE"/>
    <w:rsid w:val="00772E1B"/>
    <w:rsid w:val="00775A1C"/>
    <w:rsid w:val="00775A61"/>
    <w:rsid w:val="00775DE8"/>
    <w:rsid w:val="00775F58"/>
    <w:rsid w:val="007776CB"/>
    <w:rsid w:val="007779BF"/>
    <w:rsid w:val="00780E08"/>
    <w:rsid w:val="00781C03"/>
    <w:rsid w:val="00781F03"/>
    <w:rsid w:val="0078420A"/>
    <w:rsid w:val="007852EE"/>
    <w:rsid w:val="00786185"/>
    <w:rsid w:val="007900AB"/>
    <w:rsid w:val="007907EB"/>
    <w:rsid w:val="00791F20"/>
    <w:rsid w:val="007926A3"/>
    <w:rsid w:val="00793918"/>
    <w:rsid w:val="00794C25"/>
    <w:rsid w:val="00794F60"/>
    <w:rsid w:val="00797EA0"/>
    <w:rsid w:val="007A1682"/>
    <w:rsid w:val="007A336C"/>
    <w:rsid w:val="007A4135"/>
    <w:rsid w:val="007A44AB"/>
    <w:rsid w:val="007A58CC"/>
    <w:rsid w:val="007A5E97"/>
    <w:rsid w:val="007B2F13"/>
    <w:rsid w:val="007B3C60"/>
    <w:rsid w:val="007B5240"/>
    <w:rsid w:val="007B5872"/>
    <w:rsid w:val="007B66DF"/>
    <w:rsid w:val="007C00AB"/>
    <w:rsid w:val="007C0630"/>
    <w:rsid w:val="007C089A"/>
    <w:rsid w:val="007C4EA5"/>
    <w:rsid w:val="007C7B93"/>
    <w:rsid w:val="007C7E99"/>
    <w:rsid w:val="007C7EE2"/>
    <w:rsid w:val="007D1D30"/>
    <w:rsid w:val="007D2AE1"/>
    <w:rsid w:val="007D30C5"/>
    <w:rsid w:val="007D3319"/>
    <w:rsid w:val="007D3A50"/>
    <w:rsid w:val="007D3F55"/>
    <w:rsid w:val="007D4314"/>
    <w:rsid w:val="007D557F"/>
    <w:rsid w:val="007D562E"/>
    <w:rsid w:val="007D56D3"/>
    <w:rsid w:val="007D5F0F"/>
    <w:rsid w:val="007E00EF"/>
    <w:rsid w:val="007E33F9"/>
    <w:rsid w:val="007E51F7"/>
    <w:rsid w:val="007F0BD9"/>
    <w:rsid w:val="007F10CB"/>
    <w:rsid w:val="007F2EB3"/>
    <w:rsid w:val="007F50BF"/>
    <w:rsid w:val="007F541F"/>
    <w:rsid w:val="007F55DC"/>
    <w:rsid w:val="007F5C35"/>
    <w:rsid w:val="007F6100"/>
    <w:rsid w:val="007F7E57"/>
    <w:rsid w:val="00801D74"/>
    <w:rsid w:val="008029A5"/>
    <w:rsid w:val="00804EAE"/>
    <w:rsid w:val="00805A62"/>
    <w:rsid w:val="0080661D"/>
    <w:rsid w:val="008067C8"/>
    <w:rsid w:val="00807609"/>
    <w:rsid w:val="008100CA"/>
    <w:rsid w:val="00811120"/>
    <w:rsid w:val="0081122A"/>
    <w:rsid w:val="00811562"/>
    <w:rsid w:val="00816C29"/>
    <w:rsid w:val="00816F5C"/>
    <w:rsid w:val="008206A2"/>
    <w:rsid w:val="00820ED7"/>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509AD"/>
    <w:rsid w:val="0085266D"/>
    <w:rsid w:val="00854200"/>
    <w:rsid w:val="00854A17"/>
    <w:rsid w:val="00855869"/>
    <w:rsid w:val="00855B90"/>
    <w:rsid w:val="00855FCC"/>
    <w:rsid w:val="00856B43"/>
    <w:rsid w:val="008573E5"/>
    <w:rsid w:val="0086194A"/>
    <w:rsid w:val="00861F61"/>
    <w:rsid w:val="00866D26"/>
    <w:rsid w:val="00870455"/>
    <w:rsid w:val="0087365B"/>
    <w:rsid w:val="00875350"/>
    <w:rsid w:val="00875D9C"/>
    <w:rsid w:val="00880340"/>
    <w:rsid w:val="00880BA3"/>
    <w:rsid w:val="0088183A"/>
    <w:rsid w:val="00886FF6"/>
    <w:rsid w:val="00891DCD"/>
    <w:rsid w:val="00891F0D"/>
    <w:rsid w:val="0089200A"/>
    <w:rsid w:val="00892EE2"/>
    <w:rsid w:val="00893A2D"/>
    <w:rsid w:val="008944A1"/>
    <w:rsid w:val="00894660"/>
    <w:rsid w:val="0089503F"/>
    <w:rsid w:val="008950B6"/>
    <w:rsid w:val="00895B4B"/>
    <w:rsid w:val="0089742F"/>
    <w:rsid w:val="008A1A80"/>
    <w:rsid w:val="008A1E24"/>
    <w:rsid w:val="008A2FE5"/>
    <w:rsid w:val="008A3435"/>
    <w:rsid w:val="008A6B0D"/>
    <w:rsid w:val="008A7709"/>
    <w:rsid w:val="008B10BA"/>
    <w:rsid w:val="008B2418"/>
    <w:rsid w:val="008B465E"/>
    <w:rsid w:val="008B5AED"/>
    <w:rsid w:val="008C131E"/>
    <w:rsid w:val="008C171B"/>
    <w:rsid w:val="008C1C30"/>
    <w:rsid w:val="008C2BF7"/>
    <w:rsid w:val="008D0E16"/>
    <w:rsid w:val="008D1D8F"/>
    <w:rsid w:val="008D1E4D"/>
    <w:rsid w:val="008D2E6C"/>
    <w:rsid w:val="008D366F"/>
    <w:rsid w:val="008D680F"/>
    <w:rsid w:val="008D6AE9"/>
    <w:rsid w:val="008D6B2C"/>
    <w:rsid w:val="008E028A"/>
    <w:rsid w:val="008E0B68"/>
    <w:rsid w:val="008E1EC1"/>
    <w:rsid w:val="008F2998"/>
    <w:rsid w:val="008F2FDC"/>
    <w:rsid w:val="008F3F27"/>
    <w:rsid w:val="008F4215"/>
    <w:rsid w:val="008F5FAC"/>
    <w:rsid w:val="008F7996"/>
    <w:rsid w:val="009001E8"/>
    <w:rsid w:val="0090062F"/>
    <w:rsid w:val="00901755"/>
    <w:rsid w:val="00903404"/>
    <w:rsid w:val="00906E1F"/>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4E7A"/>
    <w:rsid w:val="00925C86"/>
    <w:rsid w:val="00925D05"/>
    <w:rsid w:val="009306BB"/>
    <w:rsid w:val="0093231B"/>
    <w:rsid w:val="009333F3"/>
    <w:rsid w:val="009337A9"/>
    <w:rsid w:val="00933FB3"/>
    <w:rsid w:val="00944EE3"/>
    <w:rsid w:val="0095070E"/>
    <w:rsid w:val="009546A8"/>
    <w:rsid w:val="00955BF0"/>
    <w:rsid w:val="00956E3B"/>
    <w:rsid w:val="0095757F"/>
    <w:rsid w:val="00962EEC"/>
    <w:rsid w:val="00963BB7"/>
    <w:rsid w:val="009644F4"/>
    <w:rsid w:val="009652BB"/>
    <w:rsid w:val="00965F5C"/>
    <w:rsid w:val="009668F6"/>
    <w:rsid w:val="0097048B"/>
    <w:rsid w:val="00972EEF"/>
    <w:rsid w:val="00973A7E"/>
    <w:rsid w:val="00973E9E"/>
    <w:rsid w:val="0097442B"/>
    <w:rsid w:val="0097636D"/>
    <w:rsid w:val="009765CD"/>
    <w:rsid w:val="00981A41"/>
    <w:rsid w:val="009826BC"/>
    <w:rsid w:val="00983357"/>
    <w:rsid w:val="00986E98"/>
    <w:rsid w:val="00990E70"/>
    <w:rsid w:val="00992D8E"/>
    <w:rsid w:val="009932D3"/>
    <w:rsid w:val="0099550A"/>
    <w:rsid w:val="00997C62"/>
    <w:rsid w:val="009A0C1E"/>
    <w:rsid w:val="009A6211"/>
    <w:rsid w:val="009A6243"/>
    <w:rsid w:val="009A6556"/>
    <w:rsid w:val="009A69B3"/>
    <w:rsid w:val="009A6CCE"/>
    <w:rsid w:val="009A783D"/>
    <w:rsid w:val="009B051D"/>
    <w:rsid w:val="009B0C73"/>
    <w:rsid w:val="009B13B9"/>
    <w:rsid w:val="009B18C2"/>
    <w:rsid w:val="009B18EA"/>
    <w:rsid w:val="009B2BC2"/>
    <w:rsid w:val="009B4C56"/>
    <w:rsid w:val="009C27CA"/>
    <w:rsid w:val="009C280C"/>
    <w:rsid w:val="009C54C2"/>
    <w:rsid w:val="009C5C69"/>
    <w:rsid w:val="009D084B"/>
    <w:rsid w:val="009D13C5"/>
    <w:rsid w:val="009D158A"/>
    <w:rsid w:val="009D209B"/>
    <w:rsid w:val="009D6256"/>
    <w:rsid w:val="009D6F71"/>
    <w:rsid w:val="009E1775"/>
    <w:rsid w:val="009E42D2"/>
    <w:rsid w:val="009F0AE5"/>
    <w:rsid w:val="009F102B"/>
    <w:rsid w:val="009F428A"/>
    <w:rsid w:val="00A01E92"/>
    <w:rsid w:val="00A030EE"/>
    <w:rsid w:val="00A030FB"/>
    <w:rsid w:val="00A073B9"/>
    <w:rsid w:val="00A10841"/>
    <w:rsid w:val="00A13302"/>
    <w:rsid w:val="00A1672A"/>
    <w:rsid w:val="00A226FE"/>
    <w:rsid w:val="00A27F6D"/>
    <w:rsid w:val="00A3269A"/>
    <w:rsid w:val="00A33306"/>
    <w:rsid w:val="00A33FE3"/>
    <w:rsid w:val="00A34856"/>
    <w:rsid w:val="00A35CF1"/>
    <w:rsid w:val="00A36566"/>
    <w:rsid w:val="00A37EA6"/>
    <w:rsid w:val="00A42C23"/>
    <w:rsid w:val="00A43150"/>
    <w:rsid w:val="00A43FA9"/>
    <w:rsid w:val="00A451BD"/>
    <w:rsid w:val="00A4592F"/>
    <w:rsid w:val="00A54022"/>
    <w:rsid w:val="00A55B5E"/>
    <w:rsid w:val="00A56EE8"/>
    <w:rsid w:val="00A574D5"/>
    <w:rsid w:val="00A57D5D"/>
    <w:rsid w:val="00A600FF"/>
    <w:rsid w:val="00A60808"/>
    <w:rsid w:val="00A6086E"/>
    <w:rsid w:val="00A611E2"/>
    <w:rsid w:val="00A6443B"/>
    <w:rsid w:val="00A650C6"/>
    <w:rsid w:val="00A65E4E"/>
    <w:rsid w:val="00A6655D"/>
    <w:rsid w:val="00A66ADE"/>
    <w:rsid w:val="00A674BD"/>
    <w:rsid w:val="00A675D0"/>
    <w:rsid w:val="00A707C9"/>
    <w:rsid w:val="00A71BF8"/>
    <w:rsid w:val="00A72265"/>
    <w:rsid w:val="00A730BD"/>
    <w:rsid w:val="00A75ADB"/>
    <w:rsid w:val="00A778FD"/>
    <w:rsid w:val="00A80635"/>
    <w:rsid w:val="00A81848"/>
    <w:rsid w:val="00A82ED3"/>
    <w:rsid w:val="00A83509"/>
    <w:rsid w:val="00A85A38"/>
    <w:rsid w:val="00A9045A"/>
    <w:rsid w:val="00A91B6B"/>
    <w:rsid w:val="00A95228"/>
    <w:rsid w:val="00A965EC"/>
    <w:rsid w:val="00A97647"/>
    <w:rsid w:val="00AA1B54"/>
    <w:rsid w:val="00AA1B8C"/>
    <w:rsid w:val="00AA2B09"/>
    <w:rsid w:val="00AA3086"/>
    <w:rsid w:val="00AA4BD3"/>
    <w:rsid w:val="00AA5F8C"/>
    <w:rsid w:val="00AA617A"/>
    <w:rsid w:val="00AA7425"/>
    <w:rsid w:val="00AA7909"/>
    <w:rsid w:val="00AB0261"/>
    <w:rsid w:val="00AB36EB"/>
    <w:rsid w:val="00AB4FF2"/>
    <w:rsid w:val="00AB6237"/>
    <w:rsid w:val="00AB73FA"/>
    <w:rsid w:val="00AC0AED"/>
    <w:rsid w:val="00AC0CE4"/>
    <w:rsid w:val="00AC2344"/>
    <w:rsid w:val="00AC3691"/>
    <w:rsid w:val="00AC38B5"/>
    <w:rsid w:val="00AC3AFA"/>
    <w:rsid w:val="00AC76FB"/>
    <w:rsid w:val="00AD191C"/>
    <w:rsid w:val="00AE1390"/>
    <w:rsid w:val="00AE2658"/>
    <w:rsid w:val="00AE2CC7"/>
    <w:rsid w:val="00AE6808"/>
    <w:rsid w:val="00AF334E"/>
    <w:rsid w:val="00AF5F0C"/>
    <w:rsid w:val="00AF6BC3"/>
    <w:rsid w:val="00AF6BD8"/>
    <w:rsid w:val="00B00FA4"/>
    <w:rsid w:val="00B0142C"/>
    <w:rsid w:val="00B0571D"/>
    <w:rsid w:val="00B06C9A"/>
    <w:rsid w:val="00B07B07"/>
    <w:rsid w:val="00B125A5"/>
    <w:rsid w:val="00B12AFD"/>
    <w:rsid w:val="00B1329D"/>
    <w:rsid w:val="00B132AB"/>
    <w:rsid w:val="00B13445"/>
    <w:rsid w:val="00B136CD"/>
    <w:rsid w:val="00B13E51"/>
    <w:rsid w:val="00B1569B"/>
    <w:rsid w:val="00B162C0"/>
    <w:rsid w:val="00B17981"/>
    <w:rsid w:val="00B17A71"/>
    <w:rsid w:val="00B17C9E"/>
    <w:rsid w:val="00B20E37"/>
    <w:rsid w:val="00B2379D"/>
    <w:rsid w:val="00B2553C"/>
    <w:rsid w:val="00B2689B"/>
    <w:rsid w:val="00B26CD4"/>
    <w:rsid w:val="00B27151"/>
    <w:rsid w:val="00B3045F"/>
    <w:rsid w:val="00B30AEB"/>
    <w:rsid w:val="00B3368A"/>
    <w:rsid w:val="00B360CE"/>
    <w:rsid w:val="00B36A87"/>
    <w:rsid w:val="00B41887"/>
    <w:rsid w:val="00B42B84"/>
    <w:rsid w:val="00B43273"/>
    <w:rsid w:val="00B44C83"/>
    <w:rsid w:val="00B4547F"/>
    <w:rsid w:val="00B45A07"/>
    <w:rsid w:val="00B51741"/>
    <w:rsid w:val="00B5234D"/>
    <w:rsid w:val="00B52E79"/>
    <w:rsid w:val="00B530CC"/>
    <w:rsid w:val="00B57120"/>
    <w:rsid w:val="00B5754A"/>
    <w:rsid w:val="00B60E4E"/>
    <w:rsid w:val="00B619BD"/>
    <w:rsid w:val="00B63EEA"/>
    <w:rsid w:val="00B648C9"/>
    <w:rsid w:val="00B65807"/>
    <w:rsid w:val="00B665CA"/>
    <w:rsid w:val="00B67F2E"/>
    <w:rsid w:val="00B71163"/>
    <w:rsid w:val="00B71FCC"/>
    <w:rsid w:val="00B73D28"/>
    <w:rsid w:val="00B74FAB"/>
    <w:rsid w:val="00B77D02"/>
    <w:rsid w:val="00B80CFA"/>
    <w:rsid w:val="00B812D1"/>
    <w:rsid w:val="00B82937"/>
    <w:rsid w:val="00B84727"/>
    <w:rsid w:val="00B871A9"/>
    <w:rsid w:val="00B87AA2"/>
    <w:rsid w:val="00B907B0"/>
    <w:rsid w:val="00B91274"/>
    <w:rsid w:val="00B9344A"/>
    <w:rsid w:val="00B93477"/>
    <w:rsid w:val="00B94853"/>
    <w:rsid w:val="00B968E1"/>
    <w:rsid w:val="00B96A27"/>
    <w:rsid w:val="00B97326"/>
    <w:rsid w:val="00BA0D8F"/>
    <w:rsid w:val="00BA4066"/>
    <w:rsid w:val="00BA492C"/>
    <w:rsid w:val="00BA5158"/>
    <w:rsid w:val="00BA6A0E"/>
    <w:rsid w:val="00BA79DA"/>
    <w:rsid w:val="00BB41D1"/>
    <w:rsid w:val="00BB58C6"/>
    <w:rsid w:val="00BB6018"/>
    <w:rsid w:val="00BB6273"/>
    <w:rsid w:val="00BB6B0C"/>
    <w:rsid w:val="00BB6B2D"/>
    <w:rsid w:val="00BB702B"/>
    <w:rsid w:val="00BC00F1"/>
    <w:rsid w:val="00BC2A25"/>
    <w:rsid w:val="00BC5015"/>
    <w:rsid w:val="00BC5047"/>
    <w:rsid w:val="00BC5D68"/>
    <w:rsid w:val="00BD0715"/>
    <w:rsid w:val="00BD0807"/>
    <w:rsid w:val="00BD0CF7"/>
    <w:rsid w:val="00BD221E"/>
    <w:rsid w:val="00BD24D5"/>
    <w:rsid w:val="00BD2A5C"/>
    <w:rsid w:val="00BD42A5"/>
    <w:rsid w:val="00BD53B3"/>
    <w:rsid w:val="00BD5A8C"/>
    <w:rsid w:val="00BE0DF5"/>
    <w:rsid w:val="00BE4399"/>
    <w:rsid w:val="00BE44AB"/>
    <w:rsid w:val="00BE4769"/>
    <w:rsid w:val="00BE79AF"/>
    <w:rsid w:val="00BF0B7B"/>
    <w:rsid w:val="00BF17D6"/>
    <w:rsid w:val="00BF459D"/>
    <w:rsid w:val="00BF48AC"/>
    <w:rsid w:val="00BF5E1E"/>
    <w:rsid w:val="00C01934"/>
    <w:rsid w:val="00C022B9"/>
    <w:rsid w:val="00C024F2"/>
    <w:rsid w:val="00C02844"/>
    <w:rsid w:val="00C02A03"/>
    <w:rsid w:val="00C03670"/>
    <w:rsid w:val="00C064DC"/>
    <w:rsid w:val="00C10D2A"/>
    <w:rsid w:val="00C12689"/>
    <w:rsid w:val="00C14721"/>
    <w:rsid w:val="00C15257"/>
    <w:rsid w:val="00C157D2"/>
    <w:rsid w:val="00C15EC2"/>
    <w:rsid w:val="00C167BD"/>
    <w:rsid w:val="00C16D79"/>
    <w:rsid w:val="00C208A6"/>
    <w:rsid w:val="00C22F2B"/>
    <w:rsid w:val="00C23A08"/>
    <w:rsid w:val="00C23D7C"/>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095B"/>
    <w:rsid w:val="00C557FB"/>
    <w:rsid w:val="00C568DF"/>
    <w:rsid w:val="00C56CC3"/>
    <w:rsid w:val="00C578EE"/>
    <w:rsid w:val="00C57F10"/>
    <w:rsid w:val="00C6063A"/>
    <w:rsid w:val="00C62577"/>
    <w:rsid w:val="00C65D48"/>
    <w:rsid w:val="00C66152"/>
    <w:rsid w:val="00C67AD2"/>
    <w:rsid w:val="00C70378"/>
    <w:rsid w:val="00C7394B"/>
    <w:rsid w:val="00C756C9"/>
    <w:rsid w:val="00C76815"/>
    <w:rsid w:val="00C778AE"/>
    <w:rsid w:val="00C77D29"/>
    <w:rsid w:val="00C813F4"/>
    <w:rsid w:val="00C8253A"/>
    <w:rsid w:val="00C84AA9"/>
    <w:rsid w:val="00C84DA2"/>
    <w:rsid w:val="00C862EC"/>
    <w:rsid w:val="00C91760"/>
    <w:rsid w:val="00C91BAF"/>
    <w:rsid w:val="00C93787"/>
    <w:rsid w:val="00CA2459"/>
    <w:rsid w:val="00CA5021"/>
    <w:rsid w:val="00CA68E5"/>
    <w:rsid w:val="00CB055A"/>
    <w:rsid w:val="00CB07E6"/>
    <w:rsid w:val="00CB2280"/>
    <w:rsid w:val="00CB4BFA"/>
    <w:rsid w:val="00CB518E"/>
    <w:rsid w:val="00CB621F"/>
    <w:rsid w:val="00CB652C"/>
    <w:rsid w:val="00CC0490"/>
    <w:rsid w:val="00CC055F"/>
    <w:rsid w:val="00CC241A"/>
    <w:rsid w:val="00CC29EE"/>
    <w:rsid w:val="00CC2E2A"/>
    <w:rsid w:val="00CC6C7D"/>
    <w:rsid w:val="00CD07B1"/>
    <w:rsid w:val="00CD17C3"/>
    <w:rsid w:val="00CD299F"/>
    <w:rsid w:val="00CD2AE0"/>
    <w:rsid w:val="00CD4042"/>
    <w:rsid w:val="00CD5786"/>
    <w:rsid w:val="00CD7CD8"/>
    <w:rsid w:val="00CE098B"/>
    <w:rsid w:val="00CE5EB0"/>
    <w:rsid w:val="00CE6764"/>
    <w:rsid w:val="00CE69A7"/>
    <w:rsid w:val="00CE6B8E"/>
    <w:rsid w:val="00CE7146"/>
    <w:rsid w:val="00CE76E2"/>
    <w:rsid w:val="00CF0677"/>
    <w:rsid w:val="00CF0F19"/>
    <w:rsid w:val="00CF1214"/>
    <w:rsid w:val="00CF1A8E"/>
    <w:rsid w:val="00CF44C0"/>
    <w:rsid w:val="00CF787A"/>
    <w:rsid w:val="00D004C4"/>
    <w:rsid w:val="00D01815"/>
    <w:rsid w:val="00D01E17"/>
    <w:rsid w:val="00D02319"/>
    <w:rsid w:val="00D0329F"/>
    <w:rsid w:val="00D036E5"/>
    <w:rsid w:val="00D04F16"/>
    <w:rsid w:val="00D071D1"/>
    <w:rsid w:val="00D07859"/>
    <w:rsid w:val="00D10647"/>
    <w:rsid w:val="00D106AB"/>
    <w:rsid w:val="00D108D6"/>
    <w:rsid w:val="00D10DB3"/>
    <w:rsid w:val="00D1197F"/>
    <w:rsid w:val="00D1210E"/>
    <w:rsid w:val="00D125A9"/>
    <w:rsid w:val="00D131D7"/>
    <w:rsid w:val="00D13E44"/>
    <w:rsid w:val="00D150F3"/>
    <w:rsid w:val="00D162B5"/>
    <w:rsid w:val="00D162E9"/>
    <w:rsid w:val="00D17320"/>
    <w:rsid w:val="00D225E0"/>
    <w:rsid w:val="00D23E75"/>
    <w:rsid w:val="00D266F6"/>
    <w:rsid w:val="00D33CC7"/>
    <w:rsid w:val="00D34B0D"/>
    <w:rsid w:val="00D35442"/>
    <w:rsid w:val="00D369AF"/>
    <w:rsid w:val="00D3714A"/>
    <w:rsid w:val="00D37BE6"/>
    <w:rsid w:val="00D41058"/>
    <w:rsid w:val="00D41260"/>
    <w:rsid w:val="00D43C73"/>
    <w:rsid w:val="00D44F90"/>
    <w:rsid w:val="00D45128"/>
    <w:rsid w:val="00D45ED5"/>
    <w:rsid w:val="00D4684E"/>
    <w:rsid w:val="00D5047F"/>
    <w:rsid w:val="00D521E1"/>
    <w:rsid w:val="00D52258"/>
    <w:rsid w:val="00D53D81"/>
    <w:rsid w:val="00D54C85"/>
    <w:rsid w:val="00D559F3"/>
    <w:rsid w:val="00D5778A"/>
    <w:rsid w:val="00D61F48"/>
    <w:rsid w:val="00D62069"/>
    <w:rsid w:val="00D64381"/>
    <w:rsid w:val="00D65B3A"/>
    <w:rsid w:val="00D6690A"/>
    <w:rsid w:val="00D71D3D"/>
    <w:rsid w:val="00D7289B"/>
    <w:rsid w:val="00D77F3A"/>
    <w:rsid w:val="00D80A48"/>
    <w:rsid w:val="00D83C83"/>
    <w:rsid w:val="00D84875"/>
    <w:rsid w:val="00D860F4"/>
    <w:rsid w:val="00D90343"/>
    <w:rsid w:val="00D91D0D"/>
    <w:rsid w:val="00D9732B"/>
    <w:rsid w:val="00D979AB"/>
    <w:rsid w:val="00DA398F"/>
    <w:rsid w:val="00DA475B"/>
    <w:rsid w:val="00DA4E0C"/>
    <w:rsid w:val="00DA594E"/>
    <w:rsid w:val="00DA7FF9"/>
    <w:rsid w:val="00DB03F6"/>
    <w:rsid w:val="00DB117C"/>
    <w:rsid w:val="00DB2FC8"/>
    <w:rsid w:val="00DB5FE0"/>
    <w:rsid w:val="00DB6CCD"/>
    <w:rsid w:val="00DB77B1"/>
    <w:rsid w:val="00DC0BEE"/>
    <w:rsid w:val="00DC24FD"/>
    <w:rsid w:val="00DC2DA7"/>
    <w:rsid w:val="00DC3980"/>
    <w:rsid w:val="00DC3AA0"/>
    <w:rsid w:val="00DC3F34"/>
    <w:rsid w:val="00DC5822"/>
    <w:rsid w:val="00DD020D"/>
    <w:rsid w:val="00DD0F7D"/>
    <w:rsid w:val="00DD3473"/>
    <w:rsid w:val="00DD4D18"/>
    <w:rsid w:val="00DD5B96"/>
    <w:rsid w:val="00DD5ED1"/>
    <w:rsid w:val="00DD601F"/>
    <w:rsid w:val="00DD689C"/>
    <w:rsid w:val="00DE0F7B"/>
    <w:rsid w:val="00DE3CBF"/>
    <w:rsid w:val="00DE5F11"/>
    <w:rsid w:val="00DE783F"/>
    <w:rsid w:val="00DF010A"/>
    <w:rsid w:val="00DF1464"/>
    <w:rsid w:val="00DF42C1"/>
    <w:rsid w:val="00DF4506"/>
    <w:rsid w:val="00DF4A5A"/>
    <w:rsid w:val="00DF5A85"/>
    <w:rsid w:val="00DF63B7"/>
    <w:rsid w:val="00DF7560"/>
    <w:rsid w:val="00E00318"/>
    <w:rsid w:val="00E02A17"/>
    <w:rsid w:val="00E04596"/>
    <w:rsid w:val="00E134E3"/>
    <w:rsid w:val="00E13C75"/>
    <w:rsid w:val="00E13F6A"/>
    <w:rsid w:val="00E162C0"/>
    <w:rsid w:val="00E16300"/>
    <w:rsid w:val="00E16ABA"/>
    <w:rsid w:val="00E179DC"/>
    <w:rsid w:val="00E20F8C"/>
    <w:rsid w:val="00E21E69"/>
    <w:rsid w:val="00E22288"/>
    <w:rsid w:val="00E22F20"/>
    <w:rsid w:val="00E24302"/>
    <w:rsid w:val="00E266C0"/>
    <w:rsid w:val="00E266FD"/>
    <w:rsid w:val="00E26BA3"/>
    <w:rsid w:val="00E31EBD"/>
    <w:rsid w:val="00E33383"/>
    <w:rsid w:val="00E36857"/>
    <w:rsid w:val="00E40167"/>
    <w:rsid w:val="00E44EC5"/>
    <w:rsid w:val="00E44F36"/>
    <w:rsid w:val="00E467D6"/>
    <w:rsid w:val="00E470E7"/>
    <w:rsid w:val="00E479AE"/>
    <w:rsid w:val="00E51E05"/>
    <w:rsid w:val="00E52468"/>
    <w:rsid w:val="00E52D55"/>
    <w:rsid w:val="00E532DF"/>
    <w:rsid w:val="00E533A7"/>
    <w:rsid w:val="00E537B6"/>
    <w:rsid w:val="00E543A5"/>
    <w:rsid w:val="00E561DE"/>
    <w:rsid w:val="00E605DA"/>
    <w:rsid w:val="00E62FBB"/>
    <w:rsid w:val="00E633EC"/>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3D0"/>
    <w:rsid w:val="00E82C5C"/>
    <w:rsid w:val="00E841F4"/>
    <w:rsid w:val="00E8504E"/>
    <w:rsid w:val="00E86C6A"/>
    <w:rsid w:val="00E8753D"/>
    <w:rsid w:val="00E9033B"/>
    <w:rsid w:val="00E90D53"/>
    <w:rsid w:val="00E9271D"/>
    <w:rsid w:val="00E94676"/>
    <w:rsid w:val="00E9534C"/>
    <w:rsid w:val="00EA404B"/>
    <w:rsid w:val="00EA48F0"/>
    <w:rsid w:val="00EA4EE0"/>
    <w:rsid w:val="00EB04B6"/>
    <w:rsid w:val="00EB2951"/>
    <w:rsid w:val="00EB2EDD"/>
    <w:rsid w:val="00EB2FF7"/>
    <w:rsid w:val="00EB63A1"/>
    <w:rsid w:val="00EB640A"/>
    <w:rsid w:val="00EC082C"/>
    <w:rsid w:val="00EC0F38"/>
    <w:rsid w:val="00EC1423"/>
    <w:rsid w:val="00EC37D3"/>
    <w:rsid w:val="00EC46E1"/>
    <w:rsid w:val="00EC5DA7"/>
    <w:rsid w:val="00EC6452"/>
    <w:rsid w:val="00ED267B"/>
    <w:rsid w:val="00ED40C5"/>
    <w:rsid w:val="00ED46AD"/>
    <w:rsid w:val="00ED5475"/>
    <w:rsid w:val="00ED5EE6"/>
    <w:rsid w:val="00ED6ABF"/>
    <w:rsid w:val="00ED6D51"/>
    <w:rsid w:val="00EE0DDC"/>
    <w:rsid w:val="00EE2303"/>
    <w:rsid w:val="00EE622B"/>
    <w:rsid w:val="00EE723E"/>
    <w:rsid w:val="00EE7279"/>
    <w:rsid w:val="00EF0368"/>
    <w:rsid w:val="00EF0B9E"/>
    <w:rsid w:val="00EF2482"/>
    <w:rsid w:val="00EF3542"/>
    <w:rsid w:val="00EF56AA"/>
    <w:rsid w:val="00EF6624"/>
    <w:rsid w:val="00EF7BEE"/>
    <w:rsid w:val="00EF7CE2"/>
    <w:rsid w:val="00F0088A"/>
    <w:rsid w:val="00F02897"/>
    <w:rsid w:val="00F02C70"/>
    <w:rsid w:val="00F03092"/>
    <w:rsid w:val="00F039C6"/>
    <w:rsid w:val="00F07EF3"/>
    <w:rsid w:val="00F109A0"/>
    <w:rsid w:val="00F10BD6"/>
    <w:rsid w:val="00F10D82"/>
    <w:rsid w:val="00F13E13"/>
    <w:rsid w:val="00F13EA0"/>
    <w:rsid w:val="00F237D6"/>
    <w:rsid w:val="00F256FD"/>
    <w:rsid w:val="00F25B1B"/>
    <w:rsid w:val="00F25E92"/>
    <w:rsid w:val="00F262B8"/>
    <w:rsid w:val="00F33BF8"/>
    <w:rsid w:val="00F35174"/>
    <w:rsid w:val="00F36007"/>
    <w:rsid w:val="00F41939"/>
    <w:rsid w:val="00F42304"/>
    <w:rsid w:val="00F438AB"/>
    <w:rsid w:val="00F43A9F"/>
    <w:rsid w:val="00F44B5D"/>
    <w:rsid w:val="00F4721D"/>
    <w:rsid w:val="00F506CD"/>
    <w:rsid w:val="00F51513"/>
    <w:rsid w:val="00F5159D"/>
    <w:rsid w:val="00F560AF"/>
    <w:rsid w:val="00F57115"/>
    <w:rsid w:val="00F600A0"/>
    <w:rsid w:val="00F6496C"/>
    <w:rsid w:val="00F65C2B"/>
    <w:rsid w:val="00F6636D"/>
    <w:rsid w:val="00F66C02"/>
    <w:rsid w:val="00F703F4"/>
    <w:rsid w:val="00F71941"/>
    <w:rsid w:val="00F72574"/>
    <w:rsid w:val="00F73FAE"/>
    <w:rsid w:val="00F74DD4"/>
    <w:rsid w:val="00F7745C"/>
    <w:rsid w:val="00F774A3"/>
    <w:rsid w:val="00F80493"/>
    <w:rsid w:val="00F805C6"/>
    <w:rsid w:val="00F8688E"/>
    <w:rsid w:val="00F87F99"/>
    <w:rsid w:val="00F900BB"/>
    <w:rsid w:val="00F912E9"/>
    <w:rsid w:val="00F921CF"/>
    <w:rsid w:val="00F942B5"/>
    <w:rsid w:val="00F95269"/>
    <w:rsid w:val="00F96269"/>
    <w:rsid w:val="00F9643E"/>
    <w:rsid w:val="00F969C6"/>
    <w:rsid w:val="00F9761A"/>
    <w:rsid w:val="00F97BA1"/>
    <w:rsid w:val="00FA0285"/>
    <w:rsid w:val="00FA05E1"/>
    <w:rsid w:val="00FA2D9F"/>
    <w:rsid w:val="00FA59E9"/>
    <w:rsid w:val="00FA6F8A"/>
    <w:rsid w:val="00FA73DA"/>
    <w:rsid w:val="00FB0799"/>
    <w:rsid w:val="00FB089E"/>
    <w:rsid w:val="00FB10E1"/>
    <w:rsid w:val="00FB1478"/>
    <w:rsid w:val="00FB1BC7"/>
    <w:rsid w:val="00FB2275"/>
    <w:rsid w:val="00FB40A4"/>
    <w:rsid w:val="00FB4389"/>
    <w:rsid w:val="00FB443F"/>
    <w:rsid w:val="00FB5FE1"/>
    <w:rsid w:val="00FC2C3B"/>
    <w:rsid w:val="00FC6EBF"/>
    <w:rsid w:val="00FC721D"/>
    <w:rsid w:val="00FD1716"/>
    <w:rsid w:val="00FD280C"/>
    <w:rsid w:val="00FD4251"/>
    <w:rsid w:val="00FD6EB8"/>
    <w:rsid w:val="00FE2BBF"/>
    <w:rsid w:val="00FE2E1B"/>
    <w:rsid w:val="00FE3664"/>
    <w:rsid w:val="00FE3EEA"/>
    <w:rsid w:val="00FE62BC"/>
    <w:rsid w:val="00FE6718"/>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CEEF"/>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DE3CBF"/>
    <w:pPr>
      <w:tabs>
        <w:tab w:val="center" w:pos="4680"/>
        <w:tab w:val="right" w:pos="9360"/>
      </w:tabs>
    </w:pPr>
  </w:style>
  <w:style w:type="character" w:customStyle="1" w:styleId="HeaderChar">
    <w:name w:val="Header Char"/>
    <w:basedOn w:val="DefaultParagraphFont"/>
    <w:link w:val="Header"/>
    <w:uiPriority w:val="99"/>
    <w:rsid w:val="00DE3C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17415">
      <w:bodyDiv w:val="1"/>
      <w:marLeft w:val="0"/>
      <w:marRight w:val="0"/>
      <w:marTop w:val="0"/>
      <w:marBottom w:val="0"/>
      <w:divBdr>
        <w:top w:val="none" w:sz="0" w:space="0" w:color="auto"/>
        <w:left w:val="none" w:sz="0" w:space="0" w:color="auto"/>
        <w:bottom w:val="none" w:sz="0" w:space="0" w:color="auto"/>
        <w:right w:val="none" w:sz="0" w:space="0" w:color="auto"/>
      </w:divBdr>
    </w:div>
    <w:div w:id="1291862662">
      <w:bodyDiv w:val="1"/>
      <w:marLeft w:val="0"/>
      <w:marRight w:val="0"/>
      <w:marTop w:val="0"/>
      <w:marBottom w:val="0"/>
      <w:divBdr>
        <w:top w:val="none" w:sz="0" w:space="0" w:color="auto"/>
        <w:left w:val="none" w:sz="0" w:space="0" w:color="auto"/>
        <w:bottom w:val="none" w:sz="0" w:space="0" w:color="auto"/>
        <w:right w:val="none" w:sz="0" w:space="0" w:color="auto"/>
      </w:divBdr>
    </w:div>
    <w:div w:id="1463384872">
      <w:bodyDiv w:val="1"/>
      <w:marLeft w:val="0"/>
      <w:marRight w:val="0"/>
      <w:marTop w:val="0"/>
      <w:marBottom w:val="0"/>
      <w:divBdr>
        <w:top w:val="none" w:sz="0" w:space="0" w:color="auto"/>
        <w:left w:val="none" w:sz="0" w:space="0" w:color="auto"/>
        <w:bottom w:val="none" w:sz="0" w:space="0" w:color="auto"/>
        <w:right w:val="none" w:sz="0" w:space="0" w:color="auto"/>
      </w:divBdr>
    </w:div>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DE843C9D0F445AD93D60EEC9B0F51" ma:contentTypeVersion="9" ma:contentTypeDescription="Create a new document." ma:contentTypeScope="" ma:versionID="913b1d6b2f609b929f8407ec024aadff">
  <xsd:schema xmlns:xsd="http://www.w3.org/2001/XMLSchema" xmlns:xs="http://www.w3.org/2001/XMLSchema" xmlns:p="http://schemas.microsoft.com/office/2006/metadata/properties" xmlns:ns3="e26a153f-0dd4-4f8e-bc11-3c332dba2646" xmlns:ns4="b81dd349-3714-4f69-bf62-be8c5222f054" targetNamespace="http://schemas.microsoft.com/office/2006/metadata/properties" ma:root="true" ma:fieldsID="3859761d6020fd7c6a95c150d40e9060" ns3:_="" ns4:_="">
    <xsd:import namespace="e26a153f-0dd4-4f8e-bc11-3c332dba2646"/>
    <xsd:import namespace="b81dd349-3714-4f69-bf62-be8c5222f0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a153f-0dd4-4f8e-bc11-3c332dba2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d349-3714-4f69-bf62-be8c5222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A6F571-0228-4FFB-AB54-1264DCFD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a153f-0dd4-4f8e-bc11-3c332dba2646"/>
    <ds:schemaRef ds:uri="b81dd349-3714-4f69-bf62-be8c5222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4.xml><?xml version="1.0" encoding="utf-8"?>
<ds:datastoreItem xmlns:ds="http://schemas.openxmlformats.org/officeDocument/2006/customXml" ds:itemID="{FCCC0360-F83E-4098-AD44-02782149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Reside, Melissa</cp:lastModifiedBy>
  <cp:revision>4</cp:revision>
  <cp:lastPrinted>2019-12-17T15:40:00Z</cp:lastPrinted>
  <dcterms:created xsi:type="dcterms:W3CDTF">2019-12-19T11:56:00Z</dcterms:created>
  <dcterms:modified xsi:type="dcterms:W3CDTF">2019-12-19T17:56:00Z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0x010100FA8DE843C9D0F445AD93D60EEC9B0F51</vt:lpwstr>
  </property>
</Properties>
</file>