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EC1AF" w14:textId="77777777" w:rsidR="009304FE" w:rsidRPr="004E64B8" w:rsidRDefault="009304FE" w:rsidP="004E64B8">
      <w:pPr>
        <w:contextualSpacing/>
        <w:jc w:val="center"/>
        <w:rPr>
          <w:b/>
          <w:sz w:val="26"/>
          <w:szCs w:val="26"/>
        </w:rPr>
      </w:pPr>
      <w:r w:rsidRPr="004E64B8">
        <w:rPr>
          <w:b/>
          <w:sz w:val="26"/>
          <w:szCs w:val="26"/>
        </w:rPr>
        <w:t>PENNSYLVANIA</w:t>
      </w:r>
    </w:p>
    <w:p w14:paraId="20394D1D" w14:textId="77777777" w:rsidR="009304FE" w:rsidRPr="004E64B8" w:rsidRDefault="009304FE" w:rsidP="004E64B8">
      <w:pPr>
        <w:contextualSpacing/>
        <w:jc w:val="center"/>
        <w:rPr>
          <w:b/>
          <w:sz w:val="26"/>
          <w:szCs w:val="26"/>
        </w:rPr>
      </w:pPr>
      <w:r w:rsidRPr="004E64B8">
        <w:rPr>
          <w:b/>
          <w:sz w:val="26"/>
          <w:szCs w:val="26"/>
        </w:rPr>
        <w:t>PUBLIC UTILITY COMMISSION</w:t>
      </w:r>
    </w:p>
    <w:p w14:paraId="07EDFDF8" w14:textId="22D040BE" w:rsidR="009304FE" w:rsidRPr="004E64B8" w:rsidRDefault="009304FE" w:rsidP="00987F49">
      <w:pPr>
        <w:contextualSpacing/>
        <w:jc w:val="center"/>
        <w:rPr>
          <w:sz w:val="26"/>
          <w:szCs w:val="26"/>
        </w:rPr>
      </w:pPr>
      <w:r w:rsidRPr="004E64B8">
        <w:rPr>
          <w:b/>
          <w:sz w:val="26"/>
          <w:szCs w:val="26"/>
        </w:rPr>
        <w:t>Harrisburg, PA 171</w:t>
      </w:r>
      <w:r w:rsidR="007E300A">
        <w:rPr>
          <w:b/>
          <w:sz w:val="26"/>
          <w:szCs w:val="26"/>
        </w:rPr>
        <w:t>20</w:t>
      </w:r>
    </w:p>
    <w:p w14:paraId="5034CF1C" w14:textId="77777777" w:rsidR="00B01F47" w:rsidRPr="004E64B8" w:rsidRDefault="00B01F47" w:rsidP="004E64B8">
      <w:pPr>
        <w:contextualSpacing/>
        <w:rPr>
          <w:sz w:val="26"/>
          <w:szCs w:val="26"/>
        </w:rPr>
      </w:pPr>
    </w:p>
    <w:p w14:paraId="14FA51F9" w14:textId="2AE7F981" w:rsidR="009304FE" w:rsidRPr="004E64B8" w:rsidRDefault="009304FE" w:rsidP="004E64B8">
      <w:pPr>
        <w:contextualSpacing/>
        <w:jc w:val="right"/>
        <w:rPr>
          <w:sz w:val="26"/>
          <w:szCs w:val="26"/>
        </w:rPr>
      </w:pPr>
      <w:r w:rsidRPr="004E64B8">
        <w:rPr>
          <w:sz w:val="26"/>
          <w:szCs w:val="26"/>
        </w:rPr>
        <w:t xml:space="preserve">Public Meeting held </w:t>
      </w:r>
      <w:r w:rsidR="009145A4" w:rsidRPr="004E64B8">
        <w:rPr>
          <w:sz w:val="26"/>
          <w:szCs w:val="26"/>
        </w:rPr>
        <w:t xml:space="preserve">December </w:t>
      </w:r>
      <w:r w:rsidR="00380951">
        <w:rPr>
          <w:sz w:val="26"/>
          <w:szCs w:val="26"/>
        </w:rPr>
        <w:t>19, 2019</w:t>
      </w:r>
      <w:r w:rsidR="00B01F47" w:rsidRPr="004E64B8">
        <w:rPr>
          <w:sz w:val="26"/>
          <w:szCs w:val="26"/>
        </w:rPr>
        <w:t xml:space="preserve"> </w:t>
      </w:r>
    </w:p>
    <w:p w14:paraId="6227670A" w14:textId="77777777" w:rsidR="009304FE" w:rsidRPr="004E64B8" w:rsidRDefault="009304FE" w:rsidP="004E64B8">
      <w:pPr>
        <w:contextualSpacing/>
        <w:rPr>
          <w:sz w:val="26"/>
          <w:szCs w:val="26"/>
        </w:rPr>
      </w:pPr>
    </w:p>
    <w:p w14:paraId="1CA8E392" w14:textId="77777777" w:rsidR="00B01F47" w:rsidRPr="004E64B8" w:rsidRDefault="00B01F47" w:rsidP="004E64B8">
      <w:pPr>
        <w:contextualSpacing/>
        <w:rPr>
          <w:sz w:val="26"/>
          <w:szCs w:val="26"/>
        </w:rPr>
      </w:pPr>
    </w:p>
    <w:p w14:paraId="162F11F6" w14:textId="77777777" w:rsidR="005205C0" w:rsidRPr="004E64B8" w:rsidRDefault="005205C0" w:rsidP="004E64B8">
      <w:pPr>
        <w:contextualSpacing/>
        <w:rPr>
          <w:sz w:val="26"/>
          <w:szCs w:val="26"/>
        </w:rPr>
      </w:pPr>
      <w:r w:rsidRPr="004E64B8">
        <w:rPr>
          <w:sz w:val="26"/>
          <w:szCs w:val="26"/>
        </w:rPr>
        <w:t>Commissioners Present:</w:t>
      </w:r>
    </w:p>
    <w:p w14:paraId="26D0CD81" w14:textId="77777777" w:rsidR="005205C0" w:rsidRPr="004E64B8" w:rsidRDefault="005205C0" w:rsidP="004E64B8">
      <w:pPr>
        <w:contextualSpacing/>
        <w:rPr>
          <w:sz w:val="26"/>
          <w:szCs w:val="26"/>
        </w:rPr>
      </w:pPr>
    </w:p>
    <w:p w14:paraId="60EB2837" w14:textId="77777777" w:rsidR="007E300A" w:rsidRPr="006843E6" w:rsidRDefault="007E300A" w:rsidP="007E300A">
      <w:pPr>
        <w:tabs>
          <w:tab w:val="left" w:pos="-720"/>
        </w:tabs>
        <w:ind w:firstLine="720"/>
        <w:contextualSpacing/>
        <w:rPr>
          <w:sz w:val="26"/>
          <w:szCs w:val="26"/>
        </w:rPr>
      </w:pPr>
      <w:r w:rsidRPr="006843E6">
        <w:rPr>
          <w:sz w:val="26"/>
          <w:szCs w:val="26"/>
        </w:rPr>
        <w:t>Gladys Brown Dutrieuille, Chairman</w:t>
      </w:r>
    </w:p>
    <w:p w14:paraId="3872ABCF" w14:textId="77777777" w:rsidR="007E300A" w:rsidRPr="006843E6" w:rsidRDefault="007E300A" w:rsidP="007E300A">
      <w:pPr>
        <w:tabs>
          <w:tab w:val="left" w:pos="-720"/>
        </w:tabs>
        <w:ind w:firstLine="720"/>
        <w:contextualSpacing/>
        <w:rPr>
          <w:sz w:val="26"/>
          <w:szCs w:val="26"/>
        </w:rPr>
      </w:pPr>
      <w:r w:rsidRPr="006843E6">
        <w:rPr>
          <w:sz w:val="26"/>
          <w:szCs w:val="26"/>
        </w:rPr>
        <w:t>David W. Sweet, Vice Chairman</w:t>
      </w:r>
    </w:p>
    <w:p w14:paraId="2235F845" w14:textId="77777777" w:rsidR="007E300A" w:rsidRPr="006843E6" w:rsidRDefault="007E300A" w:rsidP="007E300A">
      <w:pPr>
        <w:tabs>
          <w:tab w:val="left" w:pos="-720"/>
        </w:tabs>
        <w:ind w:firstLine="720"/>
        <w:contextualSpacing/>
        <w:rPr>
          <w:sz w:val="26"/>
          <w:szCs w:val="26"/>
        </w:rPr>
      </w:pPr>
      <w:r w:rsidRPr="006843E6">
        <w:rPr>
          <w:sz w:val="26"/>
          <w:szCs w:val="26"/>
        </w:rPr>
        <w:t>Andrew G. Place</w:t>
      </w:r>
    </w:p>
    <w:p w14:paraId="0B824144" w14:textId="77777777" w:rsidR="007E300A" w:rsidRDefault="007E300A" w:rsidP="007E300A">
      <w:pPr>
        <w:kinsoku w:val="0"/>
        <w:overflowPunct w:val="0"/>
        <w:ind w:firstLine="720"/>
        <w:textAlignment w:val="baseline"/>
        <w:rPr>
          <w:b/>
          <w:bCs/>
          <w:spacing w:val="-3"/>
          <w:sz w:val="26"/>
          <w:szCs w:val="26"/>
        </w:rPr>
      </w:pPr>
      <w:r w:rsidRPr="006843E6">
        <w:rPr>
          <w:sz w:val="26"/>
          <w:szCs w:val="26"/>
        </w:rPr>
        <w:t>John F. Coleman, Jr.</w:t>
      </w:r>
    </w:p>
    <w:p w14:paraId="1F0E8B26" w14:textId="77777777" w:rsidR="007E300A" w:rsidRPr="00021556" w:rsidRDefault="007E300A" w:rsidP="007E300A">
      <w:pPr>
        <w:kinsoku w:val="0"/>
        <w:overflowPunct w:val="0"/>
        <w:ind w:firstLine="720"/>
        <w:textAlignment w:val="baseline"/>
        <w:rPr>
          <w:b/>
          <w:bCs/>
          <w:spacing w:val="-3"/>
          <w:sz w:val="26"/>
          <w:szCs w:val="26"/>
        </w:rPr>
      </w:pPr>
      <w:r w:rsidRPr="006843E6">
        <w:rPr>
          <w:spacing w:val="-2"/>
          <w:sz w:val="26"/>
          <w:szCs w:val="26"/>
        </w:rPr>
        <w:t xml:space="preserve">Ralph </w:t>
      </w:r>
      <w:r>
        <w:rPr>
          <w:spacing w:val="-2"/>
          <w:sz w:val="26"/>
          <w:szCs w:val="26"/>
        </w:rPr>
        <w:t xml:space="preserve">V. </w:t>
      </w:r>
      <w:proofErr w:type="spellStart"/>
      <w:r w:rsidRPr="006843E6">
        <w:rPr>
          <w:spacing w:val="-2"/>
          <w:sz w:val="26"/>
          <w:szCs w:val="26"/>
        </w:rPr>
        <w:t>Yanora</w:t>
      </w:r>
      <w:proofErr w:type="spellEnd"/>
    </w:p>
    <w:p w14:paraId="0BFCE230" w14:textId="77777777" w:rsidR="007E300A" w:rsidRPr="002776D1" w:rsidRDefault="007E300A" w:rsidP="007E300A">
      <w:pPr>
        <w:tabs>
          <w:tab w:val="left" w:pos="-720"/>
        </w:tabs>
        <w:suppressAutoHyphens/>
        <w:ind w:firstLine="720"/>
        <w:rPr>
          <w:sz w:val="26"/>
          <w:szCs w:val="26"/>
        </w:rPr>
      </w:pPr>
    </w:p>
    <w:p w14:paraId="03700505" w14:textId="77777777" w:rsidR="009304FE" w:rsidRPr="004E64B8" w:rsidRDefault="009304FE" w:rsidP="004E64B8">
      <w:pPr>
        <w:contextualSpacing/>
        <w:rPr>
          <w:sz w:val="26"/>
          <w:szCs w:val="26"/>
        </w:rPr>
      </w:pPr>
    </w:p>
    <w:p w14:paraId="7B7D3681" w14:textId="6DE60F1B" w:rsidR="00E050C0" w:rsidRPr="004E64B8" w:rsidRDefault="003E4FFA" w:rsidP="004E64B8">
      <w:pPr>
        <w:tabs>
          <w:tab w:val="left" w:pos="-720"/>
          <w:tab w:val="left" w:pos="0"/>
        </w:tabs>
        <w:suppressAutoHyphens/>
        <w:contextualSpacing/>
        <w:rPr>
          <w:sz w:val="26"/>
          <w:szCs w:val="26"/>
        </w:rPr>
      </w:pPr>
      <w:r w:rsidRPr="003E4FFA">
        <w:rPr>
          <w:sz w:val="26"/>
          <w:szCs w:val="26"/>
        </w:rPr>
        <w:t>Petition of Pennsylvania-American</w:t>
      </w:r>
      <w:r w:rsidR="005205C0" w:rsidRPr="004E64B8">
        <w:rPr>
          <w:sz w:val="26"/>
          <w:szCs w:val="26"/>
        </w:rPr>
        <w:tab/>
      </w:r>
      <w:r w:rsidR="005205C0" w:rsidRPr="004E64B8">
        <w:rPr>
          <w:sz w:val="26"/>
          <w:szCs w:val="26"/>
        </w:rPr>
        <w:tab/>
      </w:r>
      <w:r w:rsidR="005205C0" w:rsidRPr="004E64B8">
        <w:rPr>
          <w:sz w:val="26"/>
          <w:szCs w:val="26"/>
        </w:rPr>
        <w:tab/>
      </w:r>
      <w:r w:rsidR="005205C0" w:rsidRPr="004E64B8">
        <w:rPr>
          <w:sz w:val="26"/>
          <w:szCs w:val="26"/>
        </w:rPr>
        <w:tab/>
        <w:t xml:space="preserve"> </w:t>
      </w:r>
      <w:r w:rsidR="001523CA" w:rsidRPr="004E64B8">
        <w:rPr>
          <w:sz w:val="26"/>
          <w:szCs w:val="26"/>
        </w:rPr>
        <w:t xml:space="preserve">               </w:t>
      </w:r>
      <w:r w:rsidRPr="003E4FFA">
        <w:rPr>
          <w:sz w:val="26"/>
          <w:szCs w:val="26"/>
        </w:rPr>
        <w:t>P-2014-2431005</w:t>
      </w:r>
    </w:p>
    <w:p w14:paraId="0DA0DAB8" w14:textId="74658F85" w:rsidR="00E050C0" w:rsidRPr="004E64B8" w:rsidRDefault="003E4FFA" w:rsidP="004E64B8">
      <w:pPr>
        <w:tabs>
          <w:tab w:val="left" w:pos="-720"/>
          <w:tab w:val="left" w:pos="0"/>
        </w:tabs>
        <w:suppressAutoHyphens/>
        <w:contextualSpacing/>
        <w:rPr>
          <w:sz w:val="26"/>
          <w:szCs w:val="26"/>
        </w:rPr>
      </w:pPr>
      <w:r w:rsidRPr="003E4FFA">
        <w:rPr>
          <w:sz w:val="26"/>
          <w:szCs w:val="26"/>
        </w:rPr>
        <w:t>Water Company Wastewater</w:t>
      </w:r>
    </w:p>
    <w:p w14:paraId="0BF74380" w14:textId="1BCF5C55" w:rsidR="00E050C0" w:rsidRPr="004E64B8" w:rsidRDefault="003E4FFA" w:rsidP="004E64B8">
      <w:pPr>
        <w:tabs>
          <w:tab w:val="left" w:pos="-720"/>
          <w:tab w:val="left" w:pos="0"/>
        </w:tabs>
        <w:suppressAutoHyphens/>
        <w:contextualSpacing/>
        <w:rPr>
          <w:sz w:val="26"/>
          <w:szCs w:val="26"/>
        </w:rPr>
      </w:pPr>
      <w:r w:rsidRPr="003E4FFA">
        <w:rPr>
          <w:sz w:val="26"/>
          <w:szCs w:val="26"/>
        </w:rPr>
        <w:t>Operations for Approval of</w:t>
      </w:r>
    </w:p>
    <w:p w14:paraId="21938BCD" w14:textId="6F825802" w:rsidR="009304FE" w:rsidRDefault="003E4FFA" w:rsidP="004E64B8">
      <w:pPr>
        <w:contextualSpacing/>
        <w:rPr>
          <w:sz w:val="26"/>
          <w:szCs w:val="26"/>
        </w:rPr>
      </w:pPr>
      <w:r w:rsidRPr="003E4FFA">
        <w:rPr>
          <w:sz w:val="26"/>
          <w:szCs w:val="26"/>
        </w:rPr>
        <w:t>Modification of Long-Term</w:t>
      </w:r>
    </w:p>
    <w:p w14:paraId="048D87A3" w14:textId="03BB4A31" w:rsidR="003E4FFA" w:rsidRPr="004E64B8" w:rsidRDefault="003E4FFA" w:rsidP="004E64B8">
      <w:pPr>
        <w:contextualSpacing/>
        <w:rPr>
          <w:sz w:val="26"/>
          <w:szCs w:val="26"/>
        </w:rPr>
      </w:pPr>
      <w:r w:rsidRPr="003E4FFA">
        <w:rPr>
          <w:sz w:val="26"/>
          <w:szCs w:val="26"/>
        </w:rPr>
        <w:t>Infrastructure Improvement Plan</w:t>
      </w:r>
    </w:p>
    <w:p w14:paraId="346709AC" w14:textId="4319E901" w:rsidR="009304FE" w:rsidRDefault="009304FE" w:rsidP="004E64B8">
      <w:pPr>
        <w:tabs>
          <w:tab w:val="left" w:pos="-720"/>
        </w:tabs>
        <w:suppressAutoHyphens/>
        <w:contextualSpacing/>
        <w:rPr>
          <w:sz w:val="26"/>
          <w:szCs w:val="26"/>
        </w:rPr>
      </w:pPr>
    </w:p>
    <w:p w14:paraId="540CB5D6" w14:textId="77777777" w:rsidR="003E4FFA" w:rsidRPr="004E64B8" w:rsidRDefault="003E4FFA" w:rsidP="004E64B8">
      <w:pPr>
        <w:tabs>
          <w:tab w:val="left" w:pos="-720"/>
        </w:tabs>
        <w:suppressAutoHyphens/>
        <w:contextualSpacing/>
        <w:rPr>
          <w:sz w:val="26"/>
          <w:szCs w:val="26"/>
        </w:rPr>
      </w:pPr>
    </w:p>
    <w:p w14:paraId="6FEAC8EC" w14:textId="77777777" w:rsidR="009304FE" w:rsidRPr="004E64B8" w:rsidRDefault="009304FE" w:rsidP="004E64B8">
      <w:pPr>
        <w:tabs>
          <w:tab w:val="center" w:pos="4680"/>
        </w:tabs>
        <w:suppressAutoHyphens/>
        <w:contextualSpacing/>
        <w:jc w:val="center"/>
        <w:rPr>
          <w:b/>
          <w:sz w:val="26"/>
          <w:szCs w:val="26"/>
        </w:rPr>
      </w:pPr>
      <w:r w:rsidRPr="004E64B8">
        <w:rPr>
          <w:b/>
          <w:sz w:val="26"/>
          <w:szCs w:val="26"/>
        </w:rPr>
        <w:t>OPINION AND ORDER</w:t>
      </w:r>
    </w:p>
    <w:p w14:paraId="1D2B03D7" w14:textId="77777777" w:rsidR="00CA6BAF" w:rsidRPr="004E64B8" w:rsidRDefault="00CA6BAF" w:rsidP="004E64B8">
      <w:pPr>
        <w:tabs>
          <w:tab w:val="left" w:pos="-720"/>
        </w:tabs>
        <w:suppressAutoHyphens/>
        <w:spacing w:line="360" w:lineRule="auto"/>
        <w:contextualSpacing/>
        <w:rPr>
          <w:b/>
          <w:sz w:val="26"/>
          <w:szCs w:val="26"/>
        </w:rPr>
      </w:pPr>
    </w:p>
    <w:p w14:paraId="163F1D8F" w14:textId="77777777" w:rsidR="009304FE" w:rsidRPr="004E64B8" w:rsidRDefault="009304FE" w:rsidP="004E64B8">
      <w:pPr>
        <w:tabs>
          <w:tab w:val="left" w:pos="-720"/>
        </w:tabs>
        <w:suppressAutoHyphens/>
        <w:spacing w:line="360" w:lineRule="auto"/>
        <w:contextualSpacing/>
        <w:rPr>
          <w:sz w:val="26"/>
          <w:szCs w:val="26"/>
        </w:rPr>
      </w:pPr>
      <w:r w:rsidRPr="004E64B8">
        <w:rPr>
          <w:b/>
          <w:sz w:val="26"/>
          <w:szCs w:val="26"/>
        </w:rPr>
        <w:t>BY THE COMMISSION:</w:t>
      </w:r>
    </w:p>
    <w:p w14:paraId="0E5DB13F" w14:textId="77777777" w:rsidR="009304FE" w:rsidRPr="004E64B8" w:rsidRDefault="009304FE" w:rsidP="004E64B8">
      <w:pPr>
        <w:contextualSpacing/>
        <w:rPr>
          <w:sz w:val="26"/>
          <w:szCs w:val="26"/>
        </w:rPr>
      </w:pPr>
    </w:p>
    <w:p w14:paraId="3B657D80" w14:textId="7EDE996A" w:rsidR="0067105F" w:rsidRPr="004E64B8" w:rsidRDefault="00AE655A" w:rsidP="004E64B8">
      <w:pPr>
        <w:spacing w:line="360" w:lineRule="auto"/>
        <w:contextualSpacing/>
        <w:rPr>
          <w:sz w:val="26"/>
          <w:szCs w:val="26"/>
        </w:rPr>
      </w:pPr>
      <w:r w:rsidRPr="004E64B8">
        <w:rPr>
          <w:sz w:val="26"/>
          <w:szCs w:val="26"/>
        </w:rPr>
        <w:tab/>
      </w:r>
      <w:r w:rsidRPr="004E64B8">
        <w:rPr>
          <w:sz w:val="26"/>
          <w:szCs w:val="26"/>
        </w:rPr>
        <w:tab/>
      </w:r>
      <w:r w:rsidR="003E4FFA" w:rsidRPr="003E4FFA">
        <w:rPr>
          <w:sz w:val="26"/>
          <w:szCs w:val="26"/>
        </w:rPr>
        <w:t>Before the Pennsylvania Public Utility Commission (Commission) for consideration and disposition is the Petition of Pennsylvania-American Water Company Wastewater Operations (PAWC</w:t>
      </w:r>
      <w:r w:rsidR="00955CF8">
        <w:rPr>
          <w:sz w:val="26"/>
          <w:szCs w:val="26"/>
        </w:rPr>
        <w:t xml:space="preserve"> or the Company</w:t>
      </w:r>
      <w:r w:rsidR="003E4FFA" w:rsidRPr="003E4FFA">
        <w:rPr>
          <w:sz w:val="26"/>
          <w:szCs w:val="26"/>
        </w:rPr>
        <w:t xml:space="preserve">) seeking approval of a modification to its </w:t>
      </w:r>
      <w:r w:rsidR="00D7257E">
        <w:rPr>
          <w:sz w:val="26"/>
          <w:szCs w:val="26"/>
        </w:rPr>
        <w:t xml:space="preserve">existing </w:t>
      </w:r>
      <w:r w:rsidR="003E4FFA" w:rsidRPr="003E4FFA">
        <w:rPr>
          <w:sz w:val="26"/>
          <w:szCs w:val="26"/>
        </w:rPr>
        <w:t>Long-Term Infrastructure Improvement Plan (LTIIP)</w:t>
      </w:r>
      <w:r w:rsidR="00D7257E">
        <w:rPr>
          <w:sz w:val="26"/>
          <w:szCs w:val="26"/>
        </w:rPr>
        <w:t xml:space="preserve"> (Petition)</w:t>
      </w:r>
      <w:r w:rsidR="003E4FFA" w:rsidRPr="003E4FFA">
        <w:rPr>
          <w:sz w:val="26"/>
          <w:szCs w:val="26"/>
        </w:rPr>
        <w:t xml:space="preserve">.  </w:t>
      </w:r>
      <w:r w:rsidR="00C15D71">
        <w:rPr>
          <w:sz w:val="26"/>
          <w:szCs w:val="26"/>
        </w:rPr>
        <w:t xml:space="preserve">On </w:t>
      </w:r>
      <w:r w:rsidR="00C15D71" w:rsidRPr="00E4224E">
        <w:rPr>
          <w:sz w:val="26"/>
          <w:szCs w:val="26"/>
        </w:rPr>
        <w:t>November 2</w:t>
      </w:r>
      <w:r w:rsidR="0039729A">
        <w:rPr>
          <w:sz w:val="26"/>
          <w:szCs w:val="26"/>
        </w:rPr>
        <w:t>6</w:t>
      </w:r>
      <w:r w:rsidR="00C15D71" w:rsidRPr="00E4224E">
        <w:rPr>
          <w:sz w:val="26"/>
          <w:szCs w:val="26"/>
        </w:rPr>
        <w:t>, 2019</w:t>
      </w:r>
      <w:r w:rsidR="00C15D71">
        <w:rPr>
          <w:sz w:val="26"/>
          <w:szCs w:val="26"/>
        </w:rPr>
        <w:t xml:space="preserve">, </w:t>
      </w:r>
      <w:r w:rsidR="003E78A1">
        <w:rPr>
          <w:sz w:val="26"/>
          <w:szCs w:val="26"/>
        </w:rPr>
        <w:t xml:space="preserve">the Commission issued the Recommended Decision of </w:t>
      </w:r>
      <w:r w:rsidR="00E4224E" w:rsidRPr="00E4224E">
        <w:rPr>
          <w:sz w:val="26"/>
          <w:szCs w:val="26"/>
        </w:rPr>
        <w:t>Deputy Chief Administrative Law Judge Joel H. Cheskis and Administrative Law Judge Andrew M. Calvelli</w:t>
      </w:r>
      <w:r w:rsidR="00E4224E">
        <w:rPr>
          <w:sz w:val="26"/>
          <w:szCs w:val="26"/>
        </w:rPr>
        <w:t xml:space="preserve">.  </w:t>
      </w:r>
      <w:r w:rsidR="00700E59" w:rsidRPr="004E64B8">
        <w:rPr>
          <w:sz w:val="26"/>
          <w:szCs w:val="26"/>
        </w:rPr>
        <w:t xml:space="preserve">Exceptions have not been filed.  </w:t>
      </w:r>
      <w:r w:rsidR="00242B9D" w:rsidRPr="005C260E">
        <w:rPr>
          <w:sz w:val="26"/>
          <w:szCs w:val="26"/>
        </w:rPr>
        <w:t>However, we have exercised our right to review the</w:t>
      </w:r>
      <w:r w:rsidR="00242B9D">
        <w:rPr>
          <w:sz w:val="26"/>
          <w:szCs w:val="26"/>
        </w:rPr>
        <w:t xml:space="preserve"> Recommended</w:t>
      </w:r>
      <w:r w:rsidR="00242B9D" w:rsidRPr="005C260E">
        <w:rPr>
          <w:sz w:val="26"/>
          <w:szCs w:val="26"/>
        </w:rPr>
        <w:t xml:space="preserve"> Decision pursuant to Section 332(h) of the Public Utility Code (Code), 66 Pa. C.S. § 332(h).</w:t>
      </w:r>
      <w:r w:rsidR="00242B9D">
        <w:rPr>
          <w:sz w:val="26"/>
          <w:szCs w:val="26"/>
        </w:rPr>
        <w:t xml:space="preserve">  </w:t>
      </w:r>
      <w:r w:rsidR="008B24E5" w:rsidRPr="004E64B8">
        <w:rPr>
          <w:sz w:val="26"/>
          <w:szCs w:val="26"/>
        </w:rPr>
        <w:t xml:space="preserve">For the reasons stated below, we </w:t>
      </w:r>
      <w:r w:rsidR="009C1908" w:rsidRPr="004E64B8">
        <w:rPr>
          <w:sz w:val="26"/>
          <w:szCs w:val="26"/>
        </w:rPr>
        <w:t xml:space="preserve">shall </w:t>
      </w:r>
      <w:r w:rsidR="00FC04C8" w:rsidRPr="004E64B8">
        <w:rPr>
          <w:sz w:val="26"/>
          <w:szCs w:val="26"/>
        </w:rPr>
        <w:t>adopt</w:t>
      </w:r>
      <w:r w:rsidR="00884416" w:rsidRPr="004E64B8">
        <w:rPr>
          <w:sz w:val="26"/>
          <w:szCs w:val="26"/>
        </w:rPr>
        <w:t xml:space="preserve"> the </w:t>
      </w:r>
      <w:r w:rsidR="00A056E1">
        <w:rPr>
          <w:sz w:val="26"/>
          <w:szCs w:val="26"/>
        </w:rPr>
        <w:t>Recom</w:t>
      </w:r>
      <w:r w:rsidR="00A05B21">
        <w:rPr>
          <w:sz w:val="26"/>
          <w:szCs w:val="26"/>
        </w:rPr>
        <w:t>mended</w:t>
      </w:r>
      <w:r w:rsidR="00884416" w:rsidRPr="004E64B8">
        <w:rPr>
          <w:sz w:val="26"/>
          <w:szCs w:val="26"/>
        </w:rPr>
        <w:t xml:space="preserve"> Decision </w:t>
      </w:r>
      <w:r w:rsidR="00FC04C8" w:rsidRPr="004E64B8">
        <w:rPr>
          <w:sz w:val="26"/>
          <w:szCs w:val="26"/>
        </w:rPr>
        <w:t xml:space="preserve">as clarified by </w:t>
      </w:r>
      <w:r w:rsidR="0070271E">
        <w:rPr>
          <w:sz w:val="26"/>
          <w:szCs w:val="26"/>
        </w:rPr>
        <w:t>this Opinion and Order.</w:t>
      </w:r>
    </w:p>
    <w:p w14:paraId="21AADB44" w14:textId="77777777" w:rsidR="009304FE" w:rsidRPr="004E64B8" w:rsidRDefault="00F55BED" w:rsidP="00277997">
      <w:pPr>
        <w:keepNext/>
        <w:keepLines/>
        <w:spacing w:line="360" w:lineRule="auto"/>
        <w:contextualSpacing/>
        <w:jc w:val="center"/>
        <w:rPr>
          <w:b/>
          <w:sz w:val="26"/>
          <w:szCs w:val="26"/>
        </w:rPr>
      </w:pPr>
      <w:r w:rsidRPr="004E64B8">
        <w:rPr>
          <w:b/>
          <w:sz w:val="26"/>
          <w:szCs w:val="26"/>
        </w:rPr>
        <w:lastRenderedPageBreak/>
        <w:t>History of the Proceeding</w:t>
      </w:r>
    </w:p>
    <w:p w14:paraId="26E7A2C5" w14:textId="77777777" w:rsidR="001D751E" w:rsidRDefault="001D751E" w:rsidP="001D751E">
      <w:pPr>
        <w:pStyle w:val="Default"/>
      </w:pPr>
    </w:p>
    <w:p w14:paraId="5BD18F85" w14:textId="3AD65CEC" w:rsidR="001D751E" w:rsidRPr="001D751E" w:rsidRDefault="001D751E" w:rsidP="001D751E">
      <w:pPr>
        <w:spacing w:line="360" w:lineRule="auto"/>
        <w:ind w:firstLine="1440"/>
        <w:contextualSpacing/>
        <w:rPr>
          <w:rFonts w:eastAsia="Calibri"/>
          <w:sz w:val="26"/>
          <w:szCs w:val="26"/>
        </w:rPr>
      </w:pPr>
      <w:r w:rsidRPr="00987F49">
        <w:rPr>
          <w:sz w:val="26"/>
          <w:szCs w:val="26"/>
        </w:rPr>
        <w:t xml:space="preserve"> On July 3, 2014,</w:t>
      </w:r>
      <w:r w:rsidRPr="001D751E">
        <w:rPr>
          <w:sz w:val="26"/>
          <w:szCs w:val="26"/>
        </w:rPr>
        <w:t xml:space="preserve"> </w:t>
      </w:r>
      <w:r w:rsidRPr="00987F49">
        <w:rPr>
          <w:sz w:val="26"/>
          <w:szCs w:val="26"/>
        </w:rPr>
        <w:t>PAWC filed</w:t>
      </w:r>
      <w:r w:rsidR="00BA03C0">
        <w:rPr>
          <w:sz w:val="26"/>
          <w:szCs w:val="26"/>
        </w:rPr>
        <w:t xml:space="preserve"> </w:t>
      </w:r>
      <w:r w:rsidRPr="00987F49">
        <w:rPr>
          <w:sz w:val="26"/>
          <w:szCs w:val="26"/>
        </w:rPr>
        <w:t>a Petition for Approval of Wastewater LTIIP and Approval to Establish and Implement a Distribution System Improvement Charge (DSIC)</w:t>
      </w:r>
      <w:r w:rsidR="00EE4286">
        <w:rPr>
          <w:sz w:val="26"/>
          <w:szCs w:val="26"/>
        </w:rPr>
        <w:t xml:space="preserve"> (2014 LTIPP/DISC Petition)</w:t>
      </w:r>
      <w:r w:rsidRPr="00987F49">
        <w:rPr>
          <w:sz w:val="26"/>
          <w:szCs w:val="26"/>
        </w:rPr>
        <w:t>.</w:t>
      </w:r>
      <w:r w:rsidR="00EE4286">
        <w:rPr>
          <w:sz w:val="26"/>
          <w:szCs w:val="26"/>
        </w:rPr>
        <w:t xml:space="preserve">  </w:t>
      </w:r>
      <w:r w:rsidRPr="00987F49">
        <w:rPr>
          <w:sz w:val="26"/>
          <w:szCs w:val="26"/>
        </w:rPr>
        <w:t>The 2014 LTIIP/DSIC Petition was assigned the Docket N</w:t>
      </w:r>
      <w:r w:rsidR="00EE4286">
        <w:rPr>
          <w:sz w:val="26"/>
          <w:szCs w:val="26"/>
        </w:rPr>
        <w:t>o.</w:t>
      </w:r>
      <w:r w:rsidRPr="00987F49">
        <w:rPr>
          <w:sz w:val="26"/>
          <w:szCs w:val="26"/>
        </w:rPr>
        <w:t xml:space="preserve"> P-2014-2431005 by the Commission.</w:t>
      </w:r>
    </w:p>
    <w:p w14:paraId="534079C5" w14:textId="77777777" w:rsidR="001D751E" w:rsidRPr="00EE4286" w:rsidRDefault="001D751E" w:rsidP="00C017AD">
      <w:pPr>
        <w:spacing w:line="360" w:lineRule="auto"/>
        <w:ind w:firstLine="1440"/>
        <w:contextualSpacing/>
        <w:rPr>
          <w:rFonts w:eastAsia="Calibri"/>
          <w:sz w:val="26"/>
          <w:szCs w:val="26"/>
        </w:rPr>
      </w:pPr>
    </w:p>
    <w:p w14:paraId="044C4BE7" w14:textId="27338AA9" w:rsidR="001D751E" w:rsidRDefault="00EE4286" w:rsidP="00C017AD">
      <w:pPr>
        <w:spacing w:line="360" w:lineRule="auto"/>
        <w:ind w:firstLine="1440"/>
        <w:contextualSpacing/>
        <w:rPr>
          <w:sz w:val="26"/>
          <w:szCs w:val="26"/>
        </w:rPr>
      </w:pPr>
      <w:r w:rsidRPr="00987F49">
        <w:rPr>
          <w:sz w:val="26"/>
          <w:szCs w:val="26"/>
        </w:rPr>
        <w:t xml:space="preserve">On December 4, 2014, the Commission entered an Opinion and Order, approving PAWC’s 2014 LTIIP Petition </w:t>
      </w:r>
      <w:r w:rsidRPr="00987F49">
        <w:rPr>
          <w:i/>
          <w:iCs/>
          <w:sz w:val="26"/>
          <w:szCs w:val="26"/>
        </w:rPr>
        <w:t>(December 2014 Order).</w:t>
      </w:r>
      <w:r w:rsidR="009D50ED">
        <w:rPr>
          <w:sz w:val="26"/>
          <w:szCs w:val="26"/>
        </w:rPr>
        <w:t xml:space="preserve">  </w:t>
      </w:r>
      <w:r w:rsidRPr="00987F49">
        <w:rPr>
          <w:sz w:val="26"/>
          <w:szCs w:val="26"/>
        </w:rPr>
        <w:t>In</w:t>
      </w:r>
      <w:r>
        <w:rPr>
          <w:sz w:val="26"/>
          <w:szCs w:val="26"/>
        </w:rPr>
        <w:t xml:space="preserve"> the </w:t>
      </w:r>
      <w:r w:rsidRPr="00692F50">
        <w:rPr>
          <w:i/>
          <w:iCs/>
          <w:sz w:val="26"/>
          <w:szCs w:val="26"/>
        </w:rPr>
        <w:t>December 2014 Order</w:t>
      </w:r>
      <w:r w:rsidRPr="00987F49">
        <w:rPr>
          <w:sz w:val="26"/>
          <w:szCs w:val="26"/>
        </w:rPr>
        <w:t>, the Commission also approved PAWC’s 2014 DSIC Petition, subject to refund and recoupment after final resolution of the issues brought before the Office of Administrative Law Judge (OALJ)</w:t>
      </w:r>
      <w:r w:rsidR="003E78A1">
        <w:rPr>
          <w:sz w:val="26"/>
          <w:szCs w:val="26"/>
        </w:rPr>
        <w:t>,</w:t>
      </w:r>
      <w:r w:rsidRPr="00987F49">
        <w:rPr>
          <w:sz w:val="26"/>
          <w:szCs w:val="26"/>
        </w:rPr>
        <w:t xml:space="preserve"> as well as the applicability of the DSIC to PAWC’s Franklin and Koppel wastewater systems.</w:t>
      </w:r>
    </w:p>
    <w:p w14:paraId="7B35D0B8" w14:textId="5A950D51" w:rsidR="00EE4286" w:rsidRDefault="00EE4286" w:rsidP="00C017AD">
      <w:pPr>
        <w:spacing w:line="360" w:lineRule="auto"/>
        <w:ind w:firstLine="1440"/>
        <w:contextualSpacing/>
        <w:rPr>
          <w:sz w:val="26"/>
          <w:szCs w:val="26"/>
        </w:rPr>
      </w:pPr>
    </w:p>
    <w:p w14:paraId="78A3AF20" w14:textId="4FE4AD47" w:rsidR="00EE4286" w:rsidRDefault="00EE4286" w:rsidP="00C017AD">
      <w:pPr>
        <w:spacing w:line="360" w:lineRule="auto"/>
        <w:ind w:firstLine="1440"/>
        <w:contextualSpacing/>
        <w:rPr>
          <w:sz w:val="26"/>
          <w:szCs w:val="26"/>
        </w:rPr>
      </w:pPr>
      <w:r w:rsidRPr="00987F49">
        <w:rPr>
          <w:sz w:val="26"/>
          <w:szCs w:val="26"/>
        </w:rPr>
        <w:t>On</w:t>
      </w:r>
      <w:r>
        <w:rPr>
          <w:sz w:val="26"/>
          <w:szCs w:val="26"/>
        </w:rPr>
        <w:t xml:space="preserve"> April 9</w:t>
      </w:r>
      <w:r w:rsidRPr="00987F49">
        <w:rPr>
          <w:sz w:val="26"/>
          <w:szCs w:val="26"/>
        </w:rPr>
        <w:t>, 2015, the</w:t>
      </w:r>
      <w:r>
        <w:rPr>
          <w:sz w:val="26"/>
          <w:szCs w:val="26"/>
        </w:rPr>
        <w:t xml:space="preserve"> Commission issued the Recommended Decision of </w:t>
      </w:r>
      <w:r w:rsidRPr="00987F49">
        <w:rPr>
          <w:sz w:val="26"/>
          <w:szCs w:val="26"/>
        </w:rPr>
        <w:t xml:space="preserve">Administrative Law Judge (ALJ) </w:t>
      </w:r>
      <w:r>
        <w:rPr>
          <w:sz w:val="26"/>
          <w:szCs w:val="26"/>
        </w:rPr>
        <w:t>Jeffery A. Watson,</w:t>
      </w:r>
      <w:r w:rsidRPr="00987F49">
        <w:rPr>
          <w:sz w:val="26"/>
          <w:szCs w:val="26"/>
        </w:rPr>
        <w:t xml:space="preserve"> recommending that the Commission approve the </w:t>
      </w:r>
      <w:r>
        <w:rPr>
          <w:sz w:val="26"/>
          <w:szCs w:val="26"/>
        </w:rPr>
        <w:t>P</w:t>
      </w:r>
      <w:r w:rsidRPr="00987F49">
        <w:rPr>
          <w:sz w:val="26"/>
          <w:szCs w:val="26"/>
        </w:rPr>
        <w:t xml:space="preserve">arties’ Joint Stipulation of Settlement. </w:t>
      </w:r>
    </w:p>
    <w:p w14:paraId="36FB3713" w14:textId="77777777" w:rsidR="00EE4286" w:rsidRDefault="00EE4286" w:rsidP="00C017AD">
      <w:pPr>
        <w:spacing w:line="360" w:lineRule="auto"/>
        <w:ind w:firstLine="1440"/>
        <w:contextualSpacing/>
        <w:rPr>
          <w:sz w:val="26"/>
          <w:szCs w:val="26"/>
        </w:rPr>
      </w:pPr>
    </w:p>
    <w:p w14:paraId="232CBA9D" w14:textId="1D8C30CD" w:rsidR="00EE4286" w:rsidRPr="00EE4286" w:rsidRDefault="00EE4286" w:rsidP="00C017AD">
      <w:pPr>
        <w:spacing w:line="360" w:lineRule="auto"/>
        <w:ind w:firstLine="1440"/>
        <w:contextualSpacing/>
        <w:rPr>
          <w:rFonts w:eastAsia="Calibri"/>
          <w:sz w:val="26"/>
          <w:szCs w:val="26"/>
        </w:rPr>
      </w:pPr>
      <w:r w:rsidRPr="00987F49">
        <w:rPr>
          <w:sz w:val="26"/>
          <w:szCs w:val="26"/>
        </w:rPr>
        <w:t>On May 7, 2015, the Commission</w:t>
      </w:r>
      <w:r>
        <w:rPr>
          <w:sz w:val="26"/>
          <w:szCs w:val="26"/>
        </w:rPr>
        <w:t xml:space="preserve"> entered</w:t>
      </w:r>
      <w:r w:rsidRPr="00987F49">
        <w:rPr>
          <w:sz w:val="26"/>
          <w:szCs w:val="26"/>
        </w:rPr>
        <w:t xml:space="preserve"> an Order </w:t>
      </w:r>
      <w:r>
        <w:rPr>
          <w:sz w:val="26"/>
          <w:szCs w:val="26"/>
        </w:rPr>
        <w:t>a</w:t>
      </w:r>
      <w:r w:rsidR="009D50ED">
        <w:rPr>
          <w:sz w:val="26"/>
          <w:szCs w:val="26"/>
        </w:rPr>
        <w:t xml:space="preserve">dopting </w:t>
      </w:r>
      <w:r>
        <w:rPr>
          <w:sz w:val="26"/>
          <w:szCs w:val="26"/>
        </w:rPr>
        <w:t>ALJ Watson</w:t>
      </w:r>
      <w:r w:rsidR="003E78A1">
        <w:rPr>
          <w:sz w:val="26"/>
          <w:szCs w:val="26"/>
        </w:rPr>
        <w:t>’s recommendation</w:t>
      </w:r>
      <w:r w:rsidR="009D50ED">
        <w:rPr>
          <w:sz w:val="26"/>
          <w:szCs w:val="26"/>
        </w:rPr>
        <w:t>.</w:t>
      </w:r>
    </w:p>
    <w:p w14:paraId="285652D9" w14:textId="77777777" w:rsidR="001D751E" w:rsidRDefault="001D751E" w:rsidP="00C017AD">
      <w:pPr>
        <w:spacing w:line="360" w:lineRule="auto"/>
        <w:ind w:firstLine="1440"/>
        <w:contextualSpacing/>
        <w:rPr>
          <w:rFonts w:eastAsia="Calibri"/>
          <w:sz w:val="26"/>
          <w:szCs w:val="26"/>
        </w:rPr>
      </w:pPr>
    </w:p>
    <w:p w14:paraId="4B089E9B" w14:textId="21FE1C53" w:rsidR="001D751E" w:rsidRPr="009D50ED" w:rsidRDefault="009D50ED" w:rsidP="00C017AD">
      <w:pPr>
        <w:spacing w:line="360" w:lineRule="auto"/>
        <w:ind w:firstLine="1440"/>
        <w:contextualSpacing/>
        <w:rPr>
          <w:rFonts w:eastAsia="Calibri"/>
          <w:sz w:val="26"/>
          <w:szCs w:val="26"/>
        </w:rPr>
      </w:pPr>
      <w:r w:rsidRPr="00987F49">
        <w:rPr>
          <w:sz w:val="26"/>
          <w:szCs w:val="26"/>
        </w:rPr>
        <w:t>On November 8, 2018, PAWC f</w:t>
      </w:r>
      <w:r>
        <w:rPr>
          <w:sz w:val="26"/>
          <w:szCs w:val="26"/>
        </w:rPr>
        <w:t>ile</w:t>
      </w:r>
      <w:r w:rsidRPr="00987F49">
        <w:rPr>
          <w:sz w:val="26"/>
          <w:szCs w:val="26"/>
        </w:rPr>
        <w:t xml:space="preserve">d a Petition for Approval of a Major Modification to its Existing </w:t>
      </w:r>
      <w:r>
        <w:rPr>
          <w:sz w:val="26"/>
          <w:szCs w:val="26"/>
        </w:rPr>
        <w:t>LTIIP</w:t>
      </w:r>
      <w:r w:rsidRPr="00987F49">
        <w:rPr>
          <w:sz w:val="26"/>
          <w:szCs w:val="26"/>
        </w:rPr>
        <w:t xml:space="preserve"> and Approval of its Second L</w:t>
      </w:r>
      <w:r>
        <w:rPr>
          <w:sz w:val="26"/>
          <w:szCs w:val="26"/>
        </w:rPr>
        <w:t>TIIP</w:t>
      </w:r>
      <w:r w:rsidRPr="00987F49">
        <w:rPr>
          <w:sz w:val="26"/>
          <w:szCs w:val="26"/>
        </w:rPr>
        <w:t xml:space="preserve"> (2018 LTIIP Petition).</w:t>
      </w:r>
      <w:r>
        <w:rPr>
          <w:sz w:val="26"/>
          <w:szCs w:val="26"/>
        </w:rPr>
        <w:t xml:space="preserve">  </w:t>
      </w:r>
      <w:r w:rsidRPr="00987F49">
        <w:rPr>
          <w:sz w:val="26"/>
          <w:szCs w:val="26"/>
        </w:rPr>
        <w:t>After receiving certain guidance from the Commission’s Bureau of Technical Utility Services (TUS), PAWC filed a letter on December 10, 2018</w:t>
      </w:r>
      <w:r w:rsidR="003A5498">
        <w:rPr>
          <w:sz w:val="26"/>
          <w:szCs w:val="26"/>
        </w:rPr>
        <w:t>,</w:t>
      </w:r>
      <w:r w:rsidRPr="00987F49">
        <w:rPr>
          <w:sz w:val="26"/>
          <w:szCs w:val="26"/>
        </w:rPr>
        <w:t xml:space="preserve"> withdrawing the 2018 LTIIP Petition.</w:t>
      </w:r>
    </w:p>
    <w:p w14:paraId="78D52964" w14:textId="77777777" w:rsidR="001D751E" w:rsidRDefault="001D751E" w:rsidP="00C017AD">
      <w:pPr>
        <w:spacing w:line="360" w:lineRule="auto"/>
        <w:ind w:firstLine="1440"/>
        <w:contextualSpacing/>
        <w:rPr>
          <w:rFonts w:eastAsia="Calibri"/>
          <w:sz w:val="26"/>
          <w:szCs w:val="26"/>
        </w:rPr>
      </w:pPr>
    </w:p>
    <w:p w14:paraId="484E8CB5" w14:textId="1DE7C9FA" w:rsidR="00C017AD" w:rsidRPr="00C017AD" w:rsidRDefault="00677568" w:rsidP="00C017AD">
      <w:pPr>
        <w:spacing w:line="360" w:lineRule="auto"/>
        <w:ind w:firstLine="1440"/>
        <w:contextualSpacing/>
        <w:rPr>
          <w:rFonts w:eastAsia="Calibri"/>
          <w:sz w:val="26"/>
          <w:szCs w:val="26"/>
        </w:rPr>
      </w:pPr>
      <w:r>
        <w:rPr>
          <w:rFonts w:eastAsia="Calibri"/>
          <w:sz w:val="26"/>
          <w:szCs w:val="26"/>
        </w:rPr>
        <w:t xml:space="preserve">On December 12, 2018, </w:t>
      </w:r>
      <w:r w:rsidR="00C017AD" w:rsidRPr="00C017AD">
        <w:rPr>
          <w:rFonts w:eastAsia="Calibri"/>
          <w:sz w:val="26"/>
          <w:szCs w:val="26"/>
        </w:rPr>
        <w:t>PAWC filed</w:t>
      </w:r>
      <w:r w:rsidR="00F506AF">
        <w:rPr>
          <w:rFonts w:eastAsia="Calibri"/>
          <w:sz w:val="26"/>
          <w:szCs w:val="26"/>
        </w:rPr>
        <w:t xml:space="preserve"> the instant</w:t>
      </w:r>
      <w:r w:rsidR="000F7735">
        <w:rPr>
          <w:rFonts w:eastAsia="Calibri"/>
          <w:sz w:val="26"/>
          <w:szCs w:val="26"/>
        </w:rPr>
        <w:t xml:space="preserve"> </w:t>
      </w:r>
      <w:r w:rsidR="00C017AD" w:rsidRPr="00C017AD">
        <w:rPr>
          <w:rFonts w:eastAsia="Calibri"/>
          <w:sz w:val="26"/>
          <w:szCs w:val="26"/>
        </w:rPr>
        <w:t xml:space="preserve">Petition seeking review and approval by the Commission.  As is the process for uncontested LTIIPs, TUS began </w:t>
      </w:r>
      <w:r w:rsidR="00C017AD" w:rsidRPr="00C017AD">
        <w:rPr>
          <w:rFonts w:eastAsia="Calibri"/>
          <w:sz w:val="26"/>
          <w:szCs w:val="26"/>
        </w:rPr>
        <w:lastRenderedPageBreak/>
        <w:t>its review of the filing in totality to ensure it meets all enumerated requirements contained within Chapter 13 of the</w:t>
      </w:r>
      <w:r w:rsidR="003E78A1">
        <w:rPr>
          <w:rFonts w:eastAsia="Calibri"/>
          <w:sz w:val="26"/>
          <w:szCs w:val="26"/>
        </w:rPr>
        <w:t xml:space="preserve"> </w:t>
      </w:r>
      <w:r w:rsidR="0093296D">
        <w:rPr>
          <w:rFonts w:eastAsia="Calibri"/>
          <w:sz w:val="26"/>
          <w:szCs w:val="26"/>
        </w:rPr>
        <w:t>Code</w:t>
      </w:r>
      <w:r w:rsidR="00C017AD" w:rsidRPr="00C017AD">
        <w:rPr>
          <w:rFonts w:eastAsia="Calibri"/>
          <w:sz w:val="26"/>
          <w:szCs w:val="26"/>
        </w:rPr>
        <w:t>, Commission Regulations at 52 Pa. Code §</w:t>
      </w:r>
      <w:r w:rsidR="00F83989">
        <w:rPr>
          <w:rFonts w:eastAsia="Calibri"/>
          <w:sz w:val="26"/>
          <w:szCs w:val="26"/>
        </w:rPr>
        <w:t> </w:t>
      </w:r>
      <w:r w:rsidR="00C017AD" w:rsidRPr="00C017AD">
        <w:rPr>
          <w:rFonts w:eastAsia="Calibri"/>
          <w:sz w:val="26"/>
          <w:szCs w:val="26"/>
        </w:rPr>
        <w:t xml:space="preserve">121.1-121.8, and the Commission’s </w:t>
      </w:r>
      <w:r w:rsidR="00C017AD" w:rsidRPr="00987F49">
        <w:rPr>
          <w:rFonts w:eastAsia="Calibri"/>
          <w:i/>
          <w:iCs/>
          <w:sz w:val="26"/>
          <w:szCs w:val="26"/>
        </w:rPr>
        <w:t>Final Implementation Order</w:t>
      </w:r>
      <w:r w:rsidR="001A5029">
        <w:rPr>
          <w:rFonts w:eastAsia="Calibri"/>
          <w:sz w:val="26"/>
          <w:szCs w:val="26"/>
        </w:rPr>
        <w:t>.</w:t>
      </w:r>
      <w:r w:rsidR="00C017AD" w:rsidRPr="00C017AD">
        <w:rPr>
          <w:rFonts w:eastAsia="Calibri"/>
          <w:sz w:val="26"/>
          <w:szCs w:val="26"/>
          <w:vertAlign w:val="superscript"/>
        </w:rPr>
        <w:footnoteReference w:id="1"/>
      </w:r>
      <w:r w:rsidR="00E066B1">
        <w:rPr>
          <w:rFonts w:eastAsia="Calibri"/>
          <w:sz w:val="26"/>
          <w:szCs w:val="26"/>
        </w:rPr>
        <w:t xml:space="preserve">  </w:t>
      </w:r>
      <w:r w:rsidR="00C017AD" w:rsidRPr="00C017AD">
        <w:rPr>
          <w:rFonts w:eastAsia="Calibri"/>
          <w:sz w:val="26"/>
          <w:szCs w:val="26"/>
        </w:rPr>
        <w:t>However, shortly thereafter, the Commission’s Bureau of Investigation and Enforcement (BIE) and the Office of Consumer Advocate (OCA) filed timely responses requesting hearings to adjudicate specific matters.  The matter was then assigned to the</w:t>
      </w:r>
      <w:r w:rsidR="00987F49">
        <w:rPr>
          <w:rFonts w:eastAsia="Calibri"/>
          <w:sz w:val="26"/>
          <w:szCs w:val="26"/>
        </w:rPr>
        <w:t xml:space="preserve"> </w:t>
      </w:r>
      <w:r w:rsidR="00C017AD" w:rsidRPr="00C017AD">
        <w:rPr>
          <w:rFonts w:eastAsia="Calibri"/>
          <w:sz w:val="26"/>
          <w:szCs w:val="26"/>
        </w:rPr>
        <w:t xml:space="preserve">OALJ and did not proceed further before TUS.  </w:t>
      </w:r>
    </w:p>
    <w:p w14:paraId="0878E87B" w14:textId="77777777" w:rsidR="00C017AD" w:rsidRPr="00C017AD" w:rsidRDefault="00C017AD" w:rsidP="00C017AD">
      <w:pPr>
        <w:spacing w:line="360" w:lineRule="auto"/>
        <w:ind w:firstLine="1440"/>
        <w:contextualSpacing/>
        <w:rPr>
          <w:rFonts w:eastAsia="Calibri"/>
          <w:sz w:val="26"/>
          <w:szCs w:val="26"/>
        </w:rPr>
      </w:pPr>
    </w:p>
    <w:p w14:paraId="51C51E5E" w14:textId="544E9E70" w:rsidR="00DC0275" w:rsidRDefault="00C017AD" w:rsidP="00C017AD">
      <w:pPr>
        <w:spacing w:line="360" w:lineRule="auto"/>
        <w:ind w:firstLine="1440"/>
        <w:contextualSpacing/>
        <w:rPr>
          <w:rFonts w:eastAsia="Calibri"/>
          <w:sz w:val="26"/>
          <w:szCs w:val="26"/>
        </w:rPr>
      </w:pPr>
      <w:r w:rsidRPr="00C017AD">
        <w:rPr>
          <w:rFonts w:eastAsia="Calibri"/>
          <w:sz w:val="26"/>
          <w:szCs w:val="26"/>
        </w:rPr>
        <w:t xml:space="preserve">On August 15, 2019, PAWC, BIE, OCA, and the Office of Small Business Advocate (Joint Petitioners) filed a Joint Petition for Settlement </w:t>
      </w:r>
      <w:r w:rsidR="00097D66">
        <w:rPr>
          <w:rFonts w:eastAsia="Calibri"/>
          <w:sz w:val="26"/>
          <w:szCs w:val="26"/>
        </w:rPr>
        <w:t xml:space="preserve">(Settlement) </w:t>
      </w:r>
      <w:r w:rsidRPr="00C017AD">
        <w:rPr>
          <w:rFonts w:eastAsia="Calibri"/>
          <w:sz w:val="26"/>
          <w:szCs w:val="26"/>
        </w:rPr>
        <w:t xml:space="preserve">that proposed to resolve all contested issues in the proceeding.  </w:t>
      </w:r>
    </w:p>
    <w:p w14:paraId="13AD3690" w14:textId="77777777" w:rsidR="00DC0275" w:rsidRDefault="00DC0275" w:rsidP="00C017AD">
      <w:pPr>
        <w:spacing w:line="360" w:lineRule="auto"/>
        <w:ind w:firstLine="1440"/>
        <w:contextualSpacing/>
        <w:rPr>
          <w:rFonts w:eastAsia="Calibri"/>
          <w:sz w:val="26"/>
          <w:szCs w:val="26"/>
        </w:rPr>
      </w:pPr>
    </w:p>
    <w:p w14:paraId="540F638C" w14:textId="2BC93DB0" w:rsidR="00162BEE" w:rsidRPr="004E64B8" w:rsidRDefault="00DC0275" w:rsidP="00C017AD">
      <w:pPr>
        <w:spacing w:line="360" w:lineRule="auto"/>
        <w:ind w:firstLine="1440"/>
        <w:contextualSpacing/>
        <w:rPr>
          <w:sz w:val="26"/>
          <w:szCs w:val="26"/>
        </w:rPr>
      </w:pPr>
      <w:r>
        <w:rPr>
          <w:rFonts w:eastAsia="Calibri"/>
          <w:sz w:val="26"/>
          <w:szCs w:val="26"/>
        </w:rPr>
        <w:t xml:space="preserve">On September 30, 2019, the Joint Petitioners filed a Joint Stipulation of Facts regarding this matter.  </w:t>
      </w:r>
      <w:r w:rsidR="00C017AD" w:rsidRPr="00C017AD">
        <w:rPr>
          <w:rFonts w:eastAsia="Calibri"/>
          <w:sz w:val="26"/>
          <w:szCs w:val="26"/>
        </w:rPr>
        <w:t xml:space="preserve">The record closed on October 23, 2019, and </w:t>
      </w:r>
      <w:r w:rsidR="001A5029">
        <w:rPr>
          <w:rFonts w:eastAsia="Calibri"/>
          <w:sz w:val="26"/>
          <w:szCs w:val="26"/>
        </w:rPr>
        <w:t xml:space="preserve">the </w:t>
      </w:r>
      <w:r w:rsidR="003A5498">
        <w:rPr>
          <w:rFonts w:eastAsia="Calibri"/>
          <w:sz w:val="26"/>
          <w:szCs w:val="26"/>
        </w:rPr>
        <w:t>Commission issued the Recommended Decision of ALJs Cheskis and Calvelli</w:t>
      </w:r>
      <w:r w:rsidR="00C017AD" w:rsidRPr="00C017AD">
        <w:rPr>
          <w:rFonts w:eastAsia="Calibri"/>
          <w:sz w:val="26"/>
          <w:szCs w:val="26"/>
        </w:rPr>
        <w:t xml:space="preserve"> on November 2</w:t>
      </w:r>
      <w:r w:rsidR="006126E4">
        <w:rPr>
          <w:rFonts w:eastAsia="Calibri"/>
          <w:sz w:val="26"/>
          <w:szCs w:val="26"/>
        </w:rPr>
        <w:t>6</w:t>
      </w:r>
      <w:r w:rsidR="00C017AD" w:rsidRPr="00C017AD">
        <w:rPr>
          <w:rFonts w:eastAsia="Calibri"/>
          <w:sz w:val="26"/>
          <w:szCs w:val="26"/>
        </w:rPr>
        <w:t>, 2019.  No exceptions or other opposition pleadings were filed in response.</w:t>
      </w:r>
    </w:p>
    <w:p w14:paraId="6D6ACB19" w14:textId="77777777" w:rsidR="00451543" w:rsidRPr="004E64B8" w:rsidRDefault="00451543" w:rsidP="004E64B8">
      <w:pPr>
        <w:spacing w:line="360" w:lineRule="auto"/>
        <w:ind w:firstLine="1440"/>
        <w:contextualSpacing/>
        <w:rPr>
          <w:sz w:val="26"/>
          <w:szCs w:val="26"/>
        </w:rPr>
      </w:pPr>
    </w:p>
    <w:p w14:paraId="34FE64BC" w14:textId="77777777" w:rsidR="003F2BF4" w:rsidRPr="004E64B8" w:rsidRDefault="003F2BF4" w:rsidP="00277997">
      <w:pPr>
        <w:keepNext/>
        <w:keepLines/>
        <w:spacing w:line="360" w:lineRule="auto"/>
        <w:contextualSpacing/>
        <w:jc w:val="center"/>
        <w:rPr>
          <w:b/>
          <w:sz w:val="26"/>
          <w:szCs w:val="26"/>
        </w:rPr>
      </w:pPr>
      <w:r w:rsidRPr="004E64B8">
        <w:rPr>
          <w:b/>
          <w:sz w:val="26"/>
          <w:szCs w:val="26"/>
        </w:rPr>
        <w:t>Discussion</w:t>
      </w:r>
    </w:p>
    <w:p w14:paraId="1E6B5472" w14:textId="77777777" w:rsidR="003F2BF4" w:rsidRPr="004E64B8" w:rsidRDefault="003F2BF4" w:rsidP="00277997">
      <w:pPr>
        <w:keepNext/>
        <w:keepLines/>
        <w:spacing w:line="360" w:lineRule="auto"/>
        <w:contextualSpacing/>
        <w:jc w:val="center"/>
        <w:rPr>
          <w:sz w:val="26"/>
          <w:szCs w:val="26"/>
        </w:rPr>
      </w:pPr>
    </w:p>
    <w:p w14:paraId="16934C38" w14:textId="77777777" w:rsidR="003F2BF4" w:rsidRPr="004E64B8" w:rsidRDefault="003F2BF4" w:rsidP="00277997">
      <w:pPr>
        <w:keepNext/>
        <w:keepLines/>
        <w:spacing w:line="360" w:lineRule="auto"/>
        <w:contextualSpacing/>
        <w:rPr>
          <w:b/>
          <w:sz w:val="26"/>
          <w:szCs w:val="26"/>
        </w:rPr>
      </w:pPr>
      <w:r w:rsidRPr="004E64B8">
        <w:rPr>
          <w:b/>
          <w:sz w:val="26"/>
          <w:szCs w:val="26"/>
        </w:rPr>
        <w:t>Legal Standards</w:t>
      </w:r>
    </w:p>
    <w:p w14:paraId="2BDFB9AA" w14:textId="77777777" w:rsidR="003F2BF4" w:rsidRPr="004E64B8" w:rsidRDefault="003F2BF4" w:rsidP="00277997">
      <w:pPr>
        <w:keepNext/>
        <w:keepLines/>
        <w:spacing w:line="360" w:lineRule="auto"/>
        <w:ind w:firstLine="1440"/>
        <w:contextualSpacing/>
        <w:rPr>
          <w:sz w:val="26"/>
          <w:szCs w:val="26"/>
        </w:rPr>
      </w:pPr>
    </w:p>
    <w:p w14:paraId="31431F47" w14:textId="36B1FC09" w:rsidR="00884416" w:rsidRPr="004E64B8" w:rsidRDefault="00AD3216" w:rsidP="00AD3216">
      <w:pPr>
        <w:spacing w:line="360" w:lineRule="auto"/>
        <w:contextualSpacing/>
        <w:rPr>
          <w:sz w:val="26"/>
          <w:szCs w:val="26"/>
        </w:rPr>
      </w:pPr>
      <w:r>
        <w:rPr>
          <w:sz w:val="26"/>
          <w:szCs w:val="26"/>
        </w:rPr>
        <w:tab/>
      </w:r>
      <w:r>
        <w:rPr>
          <w:sz w:val="26"/>
          <w:szCs w:val="26"/>
        </w:rPr>
        <w:tab/>
      </w:r>
      <w:r w:rsidRPr="00AD3216">
        <w:rPr>
          <w:sz w:val="26"/>
          <w:szCs w:val="26"/>
        </w:rPr>
        <w:t xml:space="preserve">In this case, the </w:t>
      </w:r>
      <w:r w:rsidR="0006074F">
        <w:rPr>
          <w:sz w:val="26"/>
          <w:szCs w:val="26"/>
        </w:rPr>
        <w:t>P</w:t>
      </w:r>
      <w:r w:rsidRPr="00AD3216">
        <w:rPr>
          <w:sz w:val="26"/>
          <w:szCs w:val="26"/>
        </w:rPr>
        <w:t>arties submitted a settlement of all issues.</w:t>
      </w:r>
      <w:r>
        <w:rPr>
          <w:sz w:val="26"/>
          <w:szCs w:val="26"/>
        </w:rPr>
        <w:t xml:space="preserve">  </w:t>
      </w:r>
      <w:r w:rsidRPr="00AD3216">
        <w:rPr>
          <w:sz w:val="26"/>
          <w:szCs w:val="26"/>
        </w:rPr>
        <w:t>Commission</w:t>
      </w:r>
      <w:r>
        <w:rPr>
          <w:sz w:val="26"/>
          <w:szCs w:val="26"/>
        </w:rPr>
        <w:t xml:space="preserve"> </w:t>
      </w:r>
      <w:r w:rsidRPr="00AD3216">
        <w:rPr>
          <w:sz w:val="26"/>
          <w:szCs w:val="26"/>
        </w:rPr>
        <w:t>policy promotes settlements.</w:t>
      </w:r>
      <w:r>
        <w:rPr>
          <w:sz w:val="26"/>
          <w:szCs w:val="26"/>
        </w:rPr>
        <w:t xml:space="preserve">  </w:t>
      </w:r>
      <w:r w:rsidRPr="00AD3216">
        <w:rPr>
          <w:sz w:val="26"/>
          <w:szCs w:val="26"/>
        </w:rPr>
        <w:t>52 Pa. Code § 5.231.</w:t>
      </w:r>
      <w:r>
        <w:rPr>
          <w:sz w:val="26"/>
          <w:szCs w:val="26"/>
        </w:rPr>
        <w:t xml:space="preserve">  </w:t>
      </w:r>
      <w:r w:rsidRPr="00AD3216">
        <w:rPr>
          <w:sz w:val="26"/>
          <w:szCs w:val="26"/>
        </w:rPr>
        <w:t>Settlements lessen the time and expense the parties must expend litigating a case and at the same time conserve administrative resources.</w:t>
      </w:r>
      <w:r w:rsidR="00E066B1">
        <w:rPr>
          <w:sz w:val="26"/>
          <w:szCs w:val="26"/>
        </w:rPr>
        <w:t xml:space="preserve">  </w:t>
      </w:r>
      <w:r w:rsidRPr="00AD3216">
        <w:rPr>
          <w:sz w:val="26"/>
          <w:szCs w:val="26"/>
        </w:rPr>
        <w:t>The Commission has indicated that settlement results are often preferable to those achieved at the conclusion of a fully litigated proceeding.</w:t>
      </w:r>
      <w:r w:rsidR="004C3672">
        <w:rPr>
          <w:sz w:val="26"/>
          <w:szCs w:val="26"/>
        </w:rPr>
        <w:t xml:space="preserve">  </w:t>
      </w:r>
      <w:r w:rsidRPr="00AD3216">
        <w:rPr>
          <w:sz w:val="26"/>
          <w:szCs w:val="26"/>
        </w:rPr>
        <w:t xml:space="preserve">52 Pa. </w:t>
      </w:r>
      <w:r w:rsidRPr="00AD3216">
        <w:rPr>
          <w:sz w:val="26"/>
          <w:szCs w:val="26"/>
        </w:rPr>
        <w:lastRenderedPageBreak/>
        <w:t>Code § 69.401.</w:t>
      </w:r>
      <w:r w:rsidR="004C3672">
        <w:rPr>
          <w:sz w:val="26"/>
          <w:szCs w:val="26"/>
        </w:rPr>
        <w:t xml:space="preserve">  </w:t>
      </w:r>
      <w:r w:rsidRPr="00AD3216">
        <w:rPr>
          <w:sz w:val="26"/>
          <w:szCs w:val="26"/>
        </w:rPr>
        <w:t>The focus of inquiry for determining whether a proposed settlement should be recommended for approval is not a “burden of proof” standard, as is utilized for contested matters.</w:t>
      </w:r>
      <w:r w:rsidR="001721FA">
        <w:rPr>
          <w:sz w:val="26"/>
          <w:szCs w:val="26"/>
        </w:rPr>
        <w:t xml:space="preserve">  </w:t>
      </w:r>
      <w:r w:rsidRPr="00987F49">
        <w:rPr>
          <w:i/>
          <w:iCs/>
          <w:sz w:val="26"/>
          <w:szCs w:val="26"/>
        </w:rPr>
        <w:t>Pa. Pub. Util. Comm’n. v. City of Lancaster – Bureau of Water,</w:t>
      </w:r>
      <w:r w:rsidRPr="00AD3216">
        <w:rPr>
          <w:sz w:val="26"/>
          <w:szCs w:val="26"/>
        </w:rPr>
        <w:t xml:space="preserve"> Docket No. R-2010-2179103 (Opinion and Order entered July 14, 2011) </w:t>
      </w:r>
      <w:r w:rsidRPr="00987F49">
        <w:rPr>
          <w:i/>
          <w:iCs/>
          <w:sz w:val="26"/>
          <w:szCs w:val="26"/>
        </w:rPr>
        <w:t>(Lancaster).</w:t>
      </w:r>
      <w:r w:rsidR="004C3672">
        <w:rPr>
          <w:sz w:val="26"/>
          <w:szCs w:val="26"/>
        </w:rPr>
        <w:t xml:space="preserve">  </w:t>
      </w:r>
      <w:r w:rsidRPr="00AD3216">
        <w:rPr>
          <w:sz w:val="26"/>
          <w:szCs w:val="26"/>
        </w:rPr>
        <w:t>Instead, the benchmark for determining the acceptability of a settlement or partial settlement is whether the proposed terms and conditions are in the public interest.</w:t>
      </w:r>
      <w:r w:rsidR="004C3672">
        <w:rPr>
          <w:sz w:val="26"/>
          <w:szCs w:val="26"/>
        </w:rPr>
        <w:t xml:space="preserve">  </w:t>
      </w:r>
      <w:r w:rsidRPr="00987F49">
        <w:rPr>
          <w:i/>
          <w:iCs/>
          <w:sz w:val="26"/>
          <w:szCs w:val="26"/>
        </w:rPr>
        <w:t>Id.,</w:t>
      </w:r>
      <w:r w:rsidRPr="00AD3216">
        <w:rPr>
          <w:sz w:val="26"/>
          <w:szCs w:val="26"/>
        </w:rPr>
        <w:t xml:space="preserve"> </w:t>
      </w:r>
      <w:r w:rsidRPr="004C3672">
        <w:rPr>
          <w:i/>
          <w:iCs/>
          <w:sz w:val="26"/>
          <w:szCs w:val="26"/>
        </w:rPr>
        <w:t>citing</w:t>
      </w:r>
      <w:r w:rsidRPr="00AD3216">
        <w:rPr>
          <w:sz w:val="26"/>
          <w:szCs w:val="26"/>
        </w:rPr>
        <w:t xml:space="preserve">, </w:t>
      </w:r>
      <w:r w:rsidRPr="00987F49">
        <w:rPr>
          <w:i/>
          <w:iCs/>
          <w:sz w:val="26"/>
          <w:szCs w:val="26"/>
        </w:rPr>
        <w:t>Warner v. GTE North, Inc.,</w:t>
      </w:r>
      <w:r w:rsidRPr="00AD3216">
        <w:rPr>
          <w:sz w:val="26"/>
          <w:szCs w:val="26"/>
        </w:rPr>
        <w:t xml:space="preserve"> Docket No. C-00902815 (Opinion and Order entered April 1, 1996) </w:t>
      </w:r>
      <w:r w:rsidRPr="00987F49">
        <w:rPr>
          <w:i/>
          <w:iCs/>
          <w:sz w:val="26"/>
          <w:szCs w:val="26"/>
        </w:rPr>
        <w:t xml:space="preserve">(Warner); Pa. </w:t>
      </w:r>
      <w:r w:rsidR="00987F49">
        <w:rPr>
          <w:i/>
          <w:iCs/>
          <w:sz w:val="26"/>
          <w:szCs w:val="26"/>
        </w:rPr>
        <w:t>PUC</w:t>
      </w:r>
      <w:r w:rsidRPr="00987F49">
        <w:rPr>
          <w:i/>
          <w:iCs/>
          <w:sz w:val="26"/>
          <w:szCs w:val="26"/>
        </w:rPr>
        <w:t xml:space="preserve"> v. CS Water and Sewer Associates</w:t>
      </w:r>
      <w:r w:rsidR="00987F49">
        <w:rPr>
          <w:sz w:val="26"/>
          <w:szCs w:val="26"/>
        </w:rPr>
        <w:t>, 74 </w:t>
      </w:r>
      <w:r w:rsidRPr="00AD3216">
        <w:rPr>
          <w:sz w:val="26"/>
          <w:szCs w:val="26"/>
        </w:rPr>
        <w:t>Pa. PUC 767 (1991).</w:t>
      </w:r>
    </w:p>
    <w:p w14:paraId="7713A428" w14:textId="77777777" w:rsidR="00884416" w:rsidRPr="004E64B8" w:rsidRDefault="00884416" w:rsidP="004E64B8">
      <w:pPr>
        <w:spacing w:line="360" w:lineRule="auto"/>
        <w:ind w:left="1440" w:right="1440" w:hanging="1440"/>
        <w:contextualSpacing/>
        <w:rPr>
          <w:sz w:val="26"/>
          <w:szCs w:val="26"/>
        </w:rPr>
      </w:pPr>
    </w:p>
    <w:p w14:paraId="478D89AB" w14:textId="3A086263" w:rsidR="00994BED" w:rsidRDefault="004D7E68" w:rsidP="004E64B8">
      <w:pPr>
        <w:spacing w:line="360" w:lineRule="auto"/>
        <w:ind w:firstLine="1440"/>
        <w:contextualSpacing/>
        <w:rPr>
          <w:i/>
          <w:iCs/>
          <w:sz w:val="26"/>
          <w:szCs w:val="26"/>
        </w:rPr>
      </w:pPr>
      <w:r w:rsidRPr="004D7E68">
        <w:rPr>
          <w:sz w:val="26"/>
          <w:szCs w:val="26"/>
        </w:rPr>
        <w:t xml:space="preserve">The subject matter of this proceeding is governed by Act </w:t>
      </w:r>
      <w:r w:rsidR="00933B85" w:rsidRPr="004D7E68">
        <w:rPr>
          <w:sz w:val="26"/>
          <w:szCs w:val="26"/>
        </w:rPr>
        <w:t>11 which</w:t>
      </w:r>
      <w:r w:rsidRPr="004D7E68">
        <w:rPr>
          <w:sz w:val="26"/>
          <w:szCs w:val="26"/>
        </w:rPr>
        <w:t xml:space="preserve"> amended Chapters 3, 13 and 33 of the Code.</w:t>
      </w:r>
      <w:r w:rsidR="0059672C">
        <w:rPr>
          <w:sz w:val="26"/>
          <w:szCs w:val="26"/>
        </w:rPr>
        <w:t xml:space="preserve">  </w:t>
      </w:r>
      <w:r w:rsidRPr="004D7E68">
        <w:rPr>
          <w:sz w:val="26"/>
          <w:szCs w:val="26"/>
        </w:rPr>
        <w:t>Act 11 provides jurisdictional water and wastewater utilities, electric distribution companies and natural gas distribution companies (NGDCs)</w:t>
      </w:r>
      <w:r w:rsidR="0006074F">
        <w:rPr>
          <w:sz w:val="26"/>
          <w:szCs w:val="26"/>
        </w:rPr>
        <w:t>,</w:t>
      </w:r>
      <w:r w:rsidRPr="004D7E68">
        <w:rPr>
          <w:sz w:val="26"/>
          <w:szCs w:val="26"/>
        </w:rPr>
        <w:t xml:space="preserve"> the ability to implement a</w:t>
      </w:r>
      <w:r w:rsidR="00933B85">
        <w:rPr>
          <w:sz w:val="26"/>
          <w:szCs w:val="26"/>
        </w:rPr>
        <w:t xml:space="preserve"> DSIC</w:t>
      </w:r>
      <w:r w:rsidRPr="004D7E68">
        <w:rPr>
          <w:sz w:val="26"/>
          <w:szCs w:val="26"/>
        </w:rPr>
        <w:t xml:space="preserve"> to recover reasonable and prudent costs incurred to repair, improve or replace certain eligible distribution property that is part of the utility’s distribution system.</w:t>
      </w:r>
      <w:r w:rsidR="0059672C">
        <w:rPr>
          <w:sz w:val="26"/>
          <w:szCs w:val="26"/>
        </w:rPr>
        <w:t xml:space="preserve">  </w:t>
      </w:r>
      <w:r w:rsidRPr="004D7E68">
        <w:rPr>
          <w:sz w:val="26"/>
          <w:szCs w:val="26"/>
        </w:rPr>
        <w:t>The term “eligible property” is defined in Section</w:t>
      </w:r>
      <w:r w:rsidR="00F83989">
        <w:rPr>
          <w:sz w:val="26"/>
          <w:szCs w:val="26"/>
        </w:rPr>
        <w:t> </w:t>
      </w:r>
      <w:r w:rsidRPr="004D7E68">
        <w:rPr>
          <w:sz w:val="26"/>
          <w:szCs w:val="26"/>
        </w:rPr>
        <w:t>1351 of the Code.</w:t>
      </w:r>
      <w:r w:rsidR="0059672C">
        <w:rPr>
          <w:sz w:val="26"/>
          <w:szCs w:val="26"/>
        </w:rPr>
        <w:t xml:space="preserve">  </w:t>
      </w:r>
      <w:r w:rsidRPr="004D7E68">
        <w:rPr>
          <w:sz w:val="26"/>
          <w:szCs w:val="26"/>
        </w:rPr>
        <w:t>Section 1352 states that as a precondition to the implementation of a DSIC, a utility must file a</w:t>
      </w:r>
      <w:r w:rsidR="00955CF8">
        <w:rPr>
          <w:sz w:val="26"/>
          <w:szCs w:val="26"/>
        </w:rPr>
        <w:t>n</w:t>
      </w:r>
      <w:r w:rsidR="00987F49">
        <w:rPr>
          <w:sz w:val="26"/>
          <w:szCs w:val="26"/>
        </w:rPr>
        <w:t xml:space="preserve"> </w:t>
      </w:r>
      <w:r w:rsidRPr="004D7E68">
        <w:rPr>
          <w:sz w:val="26"/>
          <w:szCs w:val="26"/>
        </w:rPr>
        <w:t>LTIIP.</w:t>
      </w:r>
      <w:r w:rsidR="0059672C">
        <w:rPr>
          <w:sz w:val="26"/>
          <w:szCs w:val="26"/>
        </w:rPr>
        <w:t xml:space="preserve">  </w:t>
      </w:r>
      <w:r w:rsidR="00987F49">
        <w:rPr>
          <w:sz w:val="26"/>
          <w:szCs w:val="26"/>
        </w:rPr>
        <w:t>66 </w:t>
      </w:r>
      <w:r w:rsidRPr="004D7E68">
        <w:rPr>
          <w:sz w:val="26"/>
          <w:szCs w:val="26"/>
        </w:rPr>
        <w:t>Pa.</w:t>
      </w:r>
      <w:r w:rsidR="00987F49">
        <w:rPr>
          <w:sz w:val="26"/>
          <w:szCs w:val="26"/>
        </w:rPr>
        <w:t> </w:t>
      </w:r>
      <w:r w:rsidRPr="004D7E68">
        <w:rPr>
          <w:sz w:val="26"/>
          <w:szCs w:val="26"/>
        </w:rPr>
        <w:t>C.S. § 1352.</w:t>
      </w:r>
      <w:r w:rsidR="0059672C">
        <w:rPr>
          <w:sz w:val="26"/>
          <w:szCs w:val="26"/>
        </w:rPr>
        <w:t xml:space="preserve">  </w:t>
      </w:r>
      <w:r w:rsidRPr="004D7E68">
        <w:rPr>
          <w:sz w:val="26"/>
          <w:szCs w:val="26"/>
        </w:rPr>
        <w:t xml:space="preserve">The Commission established various procedures and guidelines necessary to implement Act 11. </w:t>
      </w:r>
      <w:r w:rsidRPr="00987F49">
        <w:rPr>
          <w:i/>
          <w:iCs/>
          <w:sz w:val="26"/>
          <w:szCs w:val="26"/>
        </w:rPr>
        <w:t xml:space="preserve">See, </w:t>
      </w:r>
      <w:r w:rsidRPr="004D7E68">
        <w:rPr>
          <w:sz w:val="26"/>
          <w:szCs w:val="26"/>
        </w:rPr>
        <w:t xml:space="preserve">e.g., </w:t>
      </w:r>
      <w:r w:rsidRPr="00987F49">
        <w:rPr>
          <w:i/>
          <w:iCs/>
          <w:sz w:val="26"/>
          <w:szCs w:val="26"/>
        </w:rPr>
        <w:t>Final Implementation Order.</w:t>
      </w:r>
    </w:p>
    <w:p w14:paraId="7B024BBF" w14:textId="524CA611" w:rsidR="00455685" w:rsidRDefault="00455685" w:rsidP="00455685">
      <w:pPr>
        <w:spacing w:line="360" w:lineRule="auto"/>
        <w:contextualSpacing/>
        <w:rPr>
          <w:sz w:val="26"/>
          <w:szCs w:val="26"/>
        </w:rPr>
      </w:pPr>
    </w:p>
    <w:p w14:paraId="618BBF8D" w14:textId="05E1DDC0" w:rsidR="00455685" w:rsidRPr="00987F49" w:rsidRDefault="00455685" w:rsidP="00987F49">
      <w:pPr>
        <w:spacing w:line="360" w:lineRule="auto"/>
        <w:contextualSpacing/>
        <w:rPr>
          <w:b/>
          <w:bCs/>
          <w:sz w:val="26"/>
          <w:szCs w:val="26"/>
        </w:rPr>
      </w:pPr>
      <w:r w:rsidRPr="00987F49">
        <w:rPr>
          <w:b/>
          <w:bCs/>
          <w:sz w:val="26"/>
          <w:szCs w:val="26"/>
        </w:rPr>
        <w:t>Joint Petition for Settlement</w:t>
      </w:r>
    </w:p>
    <w:p w14:paraId="606D0B05" w14:textId="2A1E1F71" w:rsidR="00455685" w:rsidRDefault="00455685" w:rsidP="004E64B8">
      <w:pPr>
        <w:spacing w:line="360" w:lineRule="auto"/>
        <w:ind w:firstLine="1440"/>
        <w:contextualSpacing/>
        <w:rPr>
          <w:sz w:val="26"/>
          <w:szCs w:val="26"/>
        </w:rPr>
      </w:pPr>
    </w:p>
    <w:p w14:paraId="60A8FBDB" w14:textId="794A65FA" w:rsidR="00455685" w:rsidRDefault="00136C34" w:rsidP="004E64B8">
      <w:pPr>
        <w:spacing w:line="360" w:lineRule="auto"/>
        <w:ind w:firstLine="1440"/>
        <w:contextualSpacing/>
        <w:rPr>
          <w:sz w:val="26"/>
          <w:szCs w:val="26"/>
        </w:rPr>
      </w:pPr>
      <w:r>
        <w:rPr>
          <w:sz w:val="26"/>
          <w:szCs w:val="26"/>
        </w:rPr>
        <w:t>T</w:t>
      </w:r>
      <w:r w:rsidR="00455685" w:rsidRPr="00987F49">
        <w:rPr>
          <w:sz w:val="26"/>
          <w:szCs w:val="26"/>
        </w:rPr>
        <w:t xml:space="preserve">he </w:t>
      </w:r>
      <w:r w:rsidR="00455685">
        <w:rPr>
          <w:sz w:val="26"/>
          <w:szCs w:val="26"/>
        </w:rPr>
        <w:t>Joint Petitioners</w:t>
      </w:r>
      <w:r w:rsidR="00455685" w:rsidRPr="00987F49">
        <w:rPr>
          <w:sz w:val="26"/>
          <w:szCs w:val="26"/>
        </w:rPr>
        <w:t xml:space="preserve"> agreed to resolve all outstanding issues and to seek Commission approval for the matters settled</w:t>
      </w:r>
      <w:r>
        <w:rPr>
          <w:sz w:val="26"/>
          <w:szCs w:val="26"/>
        </w:rPr>
        <w:t xml:space="preserve"> in the Settlement</w:t>
      </w:r>
      <w:r w:rsidR="00455685" w:rsidRPr="00987F49">
        <w:rPr>
          <w:sz w:val="26"/>
          <w:szCs w:val="26"/>
        </w:rPr>
        <w:t>.</w:t>
      </w:r>
      <w:r w:rsidR="00455685">
        <w:rPr>
          <w:sz w:val="26"/>
          <w:szCs w:val="26"/>
        </w:rPr>
        <w:t xml:space="preserve">  </w:t>
      </w:r>
      <w:r w:rsidR="00455685" w:rsidRPr="00987F49">
        <w:rPr>
          <w:sz w:val="26"/>
          <w:szCs w:val="26"/>
        </w:rPr>
        <w:t>The relevant terms of the Settlement are as follows - paragraph numbers and headings are listed as they appear in the original Settlement filed with the Commission:</w:t>
      </w:r>
    </w:p>
    <w:p w14:paraId="7FAF26BB" w14:textId="7D6DC6CC" w:rsidR="00455685" w:rsidRDefault="00455685" w:rsidP="004E64B8">
      <w:pPr>
        <w:spacing w:line="360" w:lineRule="auto"/>
        <w:ind w:firstLine="1440"/>
        <w:contextualSpacing/>
        <w:rPr>
          <w:sz w:val="26"/>
          <w:szCs w:val="26"/>
        </w:rPr>
      </w:pPr>
    </w:p>
    <w:p w14:paraId="1873E7F7" w14:textId="44BE85CB" w:rsidR="00455685" w:rsidRDefault="00455685" w:rsidP="00987F49">
      <w:pPr>
        <w:pStyle w:val="Default"/>
        <w:keepNext/>
        <w:keepLines/>
        <w:ind w:left="720" w:firstLine="720"/>
        <w:rPr>
          <w:b/>
          <w:bCs/>
          <w:sz w:val="23"/>
          <w:szCs w:val="23"/>
        </w:rPr>
      </w:pPr>
      <w:r>
        <w:rPr>
          <w:b/>
          <w:bCs/>
          <w:sz w:val="23"/>
          <w:szCs w:val="23"/>
        </w:rPr>
        <w:lastRenderedPageBreak/>
        <w:t>II. TERMS AND CONDITIONS OF SETTLEMENT</w:t>
      </w:r>
    </w:p>
    <w:p w14:paraId="5C1F9815" w14:textId="77777777" w:rsidR="00FA3E11" w:rsidRDefault="00FA3E11" w:rsidP="00987F49">
      <w:pPr>
        <w:pStyle w:val="Default"/>
        <w:keepNext/>
        <w:keepLines/>
        <w:jc w:val="center"/>
        <w:rPr>
          <w:sz w:val="23"/>
          <w:szCs w:val="23"/>
        </w:rPr>
      </w:pPr>
    </w:p>
    <w:p w14:paraId="0BDAA92E" w14:textId="77777777" w:rsidR="00256631" w:rsidRPr="002036CF" w:rsidRDefault="00256631" w:rsidP="00987F49">
      <w:pPr>
        <w:pStyle w:val="Default"/>
        <w:keepNext/>
        <w:keepLines/>
        <w:ind w:left="1440" w:right="1440"/>
        <w:rPr>
          <w:sz w:val="26"/>
          <w:szCs w:val="26"/>
        </w:rPr>
      </w:pPr>
      <w:bookmarkStart w:id="0" w:name="_Hlk28330865"/>
      <w:r w:rsidRPr="002036CF">
        <w:rPr>
          <w:sz w:val="26"/>
          <w:szCs w:val="26"/>
        </w:rPr>
        <w:t xml:space="preserve">9. Except as provided below and in the revisions which are shown in Exhibit 1 to this Joint Petition, PAWC’s Petition is approved as filed: </w:t>
      </w:r>
    </w:p>
    <w:p w14:paraId="5E990BA5" w14:textId="77777777" w:rsidR="00256631" w:rsidRPr="002036CF" w:rsidRDefault="00256631" w:rsidP="00256631">
      <w:pPr>
        <w:pStyle w:val="Default"/>
        <w:ind w:left="1440" w:right="1440"/>
        <w:rPr>
          <w:sz w:val="26"/>
          <w:szCs w:val="26"/>
        </w:rPr>
      </w:pPr>
    </w:p>
    <w:p w14:paraId="3060B327" w14:textId="01B54402" w:rsidR="00256631" w:rsidRPr="002036CF" w:rsidRDefault="00256631" w:rsidP="00987F49">
      <w:pPr>
        <w:pStyle w:val="Default"/>
        <w:numPr>
          <w:ilvl w:val="0"/>
          <w:numId w:val="13"/>
        </w:numPr>
        <w:ind w:right="1440"/>
        <w:rPr>
          <w:b/>
          <w:bCs/>
          <w:sz w:val="26"/>
          <w:szCs w:val="26"/>
        </w:rPr>
      </w:pPr>
      <w:r w:rsidRPr="002036CF">
        <w:rPr>
          <w:b/>
          <w:bCs/>
          <w:sz w:val="26"/>
          <w:szCs w:val="26"/>
        </w:rPr>
        <w:t xml:space="preserve">Risk-Based Condition Assessment Methodology </w:t>
      </w:r>
    </w:p>
    <w:p w14:paraId="08C59C77" w14:textId="77777777" w:rsidR="00256631" w:rsidRPr="002036CF" w:rsidRDefault="00256631" w:rsidP="00256631">
      <w:pPr>
        <w:pStyle w:val="Default"/>
        <w:ind w:left="1440" w:right="1440"/>
        <w:rPr>
          <w:sz w:val="26"/>
          <w:szCs w:val="26"/>
        </w:rPr>
      </w:pPr>
    </w:p>
    <w:p w14:paraId="201024AD" w14:textId="19A503E6" w:rsidR="00256631" w:rsidRPr="002036CF" w:rsidRDefault="00256631" w:rsidP="00256631">
      <w:pPr>
        <w:pStyle w:val="Default"/>
        <w:ind w:left="1440" w:right="1440"/>
        <w:rPr>
          <w:sz w:val="26"/>
          <w:szCs w:val="26"/>
        </w:rPr>
      </w:pPr>
      <w:r w:rsidRPr="002036CF">
        <w:rPr>
          <w:sz w:val="26"/>
          <w:szCs w:val="26"/>
        </w:rPr>
        <w:t xml:space="preserve">10. Section 2 of the Modified LTIIP describes in detail the Company’s framework for analyzing, prioritizing and accelerating the renewal of aging wastewater collection system infrastructure. The Company employed a risk-based condition assessment to prioritize DSIC eligible capital improvement projects, accelerate the replacement of aging infrastructure and reduce I&amp;I </w:t>
      </w:r>
      <w:r w:rsidR="000F7735">
        <w:rPr>
          <w:sz w:val="26"/>
          <w:szCs w:val="26"/>
        </w:rPr>
        <w:t>[</w:t>
      </w:r>
      <w:r w:rsidR="001C0758">
        <w:rPr>
          <w:sz w:val="26"/>
          <w:szCs w:val="26"/>
        </w:rPr>
        <w:t>I</w:t>
      </w:r>
      <w:r w:rsidR="000F7735">
        <w:rPr>
          <w:sz w:val="26"/>
          <w:szCs w:val="26"/>
        </w:rPr>
        <w:t xml:space="preserve">nflow and </w:t>
      </w:r>
      <w:r w:rsidR="001C0758">
        <w:rPr>
          <w:sz w:val="26"/>
          <w:szCs w:val="26"/>
        </w:rPr>
        <w:t>I</w:t>
      </w:r>
      <w:r w:rsidR="000F7735">
        <w:rPr>
          <w:sz w:val="26"/>
          <w:szCs w:val="26"/>
        </w:rPr>
        <w:t xml:space="preserve">nfiltration] </w:t>
      </w:r>
      <w:r w:rsidRPr="002036CF">
        <w:rPr>
          <w:sz w:val="26"/>
          <w:szCs w:val="26"/>
        </w:rPr>
        <w:t xml:space="preserve">in newly acquired systems. </w:t>
      </w:r>
    </w:p>
    <w:p w14:paraId="265BB11A" w14:textId="77777777" w:rsidR="00256631" w:rsidRPr="002036CF" w:rsidRDefault="00256631" w:rsidP="00256631">
      <w:pPr>
        <w:pStyle w:val="Default"/>
        <w:ind w:left="1440" w:right="1440"/>
        <w:rPr>
          <w:sz w:val="26"/>
          <w:szCs w:val="26"/>
        </w:rPr>
      </w:pPr>
    </w:p>
    <w:p w14:paraId="26A60B63" w14:textId="0CCF2FD5" w:rsidR="00256631" w:rsidRPr="002036CF" w:rsidRDefault="00256631" w:rsidP="00256631">
      <w:pPr>
        <w:pStyle w:val="Default"/>
        <w:ind w:left="1440" w:right="1440"/>
        <w:rPr>
          <w:sz w:val="26"/>
          <w:szCs w:val="26"/>
        </w:rPr>
      </w:pPr>
      <w:r w:rsidRPr="002036CF">
        <w:rPr>
          <w:sz w:val="26"/>
          <w:szCs w:val="26"/>
        </w:rPr>
        <w:t xml:space="preserve">11. In response to the issues raised in I&amp;E’s Amended Answer and the OCA’s Comments, PAWC has provided the Joint Petitioners with additional information regarding the Company’s risk-based condition assessment and planned schedule for replacement and rehabilitation of eligible property. First, </w:t>
      </w:r>
      <w:proofErr w:type="gramStart"/>
      <w:r w:rsidRPr="002036CF">
        <w:rPr>
          <w:sz w:val="26"/>
          <w:szCs w:val="26"/>
        </w:rPr>
        <w:t>Exhibit</w:t>
      </w:r>
      <w:proofErr w:type="gramEnd"/>
      <w:r w:rsidRPr="002036CF">
        <w:rPr>
          <w:sz w:val="26"/>
          <w:szCs w:val="26"/>
        </w:rPr>
        <w:t xml:space="preserve"> 2 hereto outlines the projected schedule for completion of the Company’s risk-based condition assessment for each wastewater system covered by the Modified LTIIP. The information presented in Exhibit 2 is organized by three categories of systems: (1) newly acquired systems; (2) systems subject to a Pennsylvania Department of Environmental Protection or United States Environmental Protection Agency Consent Order; and (3) all other “routine” systems that do not fall under the other two categories. In addition, </w:t>
      </w:r>
      <w:proofErr w:type="gramStart"/>
      <w:r w:rsidRPr="002036CF">
        <w:rPr>
          <w:sz w:val="26"/>
          <w:szCs w:val="26"/>
        </w:rPr>
        <w:t>Exhibit</w:t>
      </w:r>
      <w:proofErr w:type="gramEnd"/>
      <w:r w:rsidRPr="002036CF">
        <w:rPr>
          <w:sz w:val="26"/>
          <w:szCs w:val="26"/>
        </w:rPr>
        <w:t xml:space="preserve"> 3 hereto provides detailed information on the Company’s projected schedule for replacement and rehabilitation of DSIC-eligible property for each wastewater system based on the preliminary results of the Company’s condition assessment. Exhibit 3 includes a breakdown of expenditures for each type of eligible property by year and by wastewater system (district), with expenditures for combined and sanitary systems displayed separately. PAWC will include an annual update of Exhibit 2 (Condition Assessment Schedule) with its AAOP </w:t>
      </w:r>
      <w:r w:rsidR="000274A7">
        <w:rPr>
          <w:sz w:val="26"/>
          <w:szCs w:val="26"/>
        </w:rPr>
        <w:t xml:space="preserve">[Annual Asset Optimization Plan] </w:t>
      </w:r>
      <w:r w:rsidRPr="002036CF">
        <w:rPr>
          <w:sz w:val="26"/>
          <w:szCs w:val="26"/>
        </w:rPr>
        <w:t xml:space="preserve">filing. </w:t>
      </w:r>
    </w:p>
    <w:p w14:paraId="4B0F9FBE" w14:textId="77777777" w:rsidR="00256631" w:rsidRPr="002036CF" w:rsidRDefault="00256631" w:rsidP="00256631">
      <w:pPr>
        <w:pStyle w:val="Default"/>
        <w:ind w:left="1440" w:right="1440"/>
        <w:rPr>
          <w:sz w:val="26"/>
          <w:szCs w:val="26"/>
        </w:rPr>
      </w:pPr>
    </w:p>
    <w:p w14:paraId="31702081" w14:textId="77777777" w:rsidR="00256631" w:rsidRDefault="00256631" w:rsidP="00256631">
      <w:pPr>
        <w:ind w:left="1440" w:right="1440"/>
        <w:contextualSpacing/>
        <w:rPr>
          <w:sz w:val="26"/>
          <w:szCs w:val="26"/>
        </w:rPr>
      </w:pPr>
      <w:r w:rsidRPr="002036CF">
        <w:rPr>
          <w:sz w:val="26"/>
          <w:szCs w:val="26"/>
        </w:rPr>
        <w:lastRenderedPageBreak/>
        <w:t>12. For newly acquired wastewater systems that have known deficiencies in the gravity collections system (e.g., significant I&amp;I, pipe defects, and installation deficiencies), which were observed during the pre-acquisition due diligence process, PAWC agrees to assume the highest risk factor for these known deficiencies. Once the condition assessment is completed, the risk factor will be adjusted to reflect actual conditions.</w:t>
      </w:r>
    </w:p>
    <w:p w14:paraId="359BBE98" w14:textId="77777777" w:rsidR="00256631" w:rsidRPr="002036CF" w:rsidRDefault="00256631" w:rsidP="00256631">
      <w:pPr>
        <w:ind w:left="1440" w:right="1440"/>
        <w:contextualSpacing/>
        <w:rPr>
          <w:sz w:val="26"/>
          <w:szCs w:val="26"/>
        </w:rPr>
      </w:pPr>
    </w:p>
    <w:p w14:paraId="32EB9CDE" w14:textId="77777777" w:rsidR="00256631" w:rsidRPr="002036CF" w:rsidRDefault="00256631" w:rsidP="00256631">
      <w:pPr>
        <w:autoSpaceDE w:val="0"/>
        <w:autoSpaceDN w:val="0"/>
        <w:adjustRightInd w:val="0"/>
        <w:ind w:left="1440" w:right="1440"/>
        <w:rPr>
          <w:rFonts w:eastAsiaTheme="minorHAnsi"/>
          <w:b/>
          <w:bCs/>
          <w:color w:val="000000"/>
          <w:sz w:val="26"/>
          <w:szCs w:val="26"/>
        </w:rPr>
      </w:pPr>
      <w:r w:rsidRPr="002036CF">
        <w:rPr>
          <w:rFonts w:eastAsiaTheme="minorHAnsi"/>
          <w:b/>
          <w:bCs/>
          <w:color w:val="000000"/>
          <w:sz w:val="26"/>
          <w:szCs w:val="26"/>
        </w:rPr>
        <w:t xml:space="preserve">B. Annual Expenditures and Replacements </w:t>
      </w:r>
    </w:p>
    <w:p w14:paraId="13EDCDB6" w14:textId="77777777" w:rsidR="00256631" w:rsidRPr="002036CF" w:rsidRDefault="00256631" w:rsidP="00256631">
      <w:pPr>
        <w:autoSpaceDE w:val="0"/>
        <w:autoSpaceDN w:val="0"/>
        <w:adjustRightInd w:val="0"/>
        <w:ind w:left="1440" w:right="1440"/>
        <w:rPr>
          <w:rFonts w:eastAsiaTheme="minorHAnsi"/>
          <w:color w:val="000000"/>
          <w:sz w:val="26"/>
          <w:szCs w:val="26"/>
        </w:rPr>
      </w:pPr>
    </w:p>
    <w:p w14:paraId="24F98986" w14:textId="77777777" w:rsidR="00256631" w:rsidRPr="002036CF" w:rsidRDefault="00256631" w:rsidP="00256631">
      <w:pPr>
        <w:autoSpaceDE w:val="0"/>
        <w:autoSpaceDN w:val="0"/>
        <w:adjustRightInd w:val="0"/>
        <w:ind w:left="1440" w:right="1440"/>
        <w:rPr>
          <w:rFonts w:eastAsiaTheme="minorHAnsi"/>
          <w:color w:val="000000"/>
          <w:sz w:val="26"/>
          <w:szCs w:val="26"/>
        </w:rPr>
      </w:pPr>
      <w:r w:rsidRPr="002036CF">
        <w:rPr>
          <w:rFonts w:eastAsiaTheme="minorHAnsi"/>
          <w:color w:val="000000"/>
          <w:sz w:val="26"/>
          <w:szCs w:val="26"/>
        </w:rPr>
        <w:t xml:space="preserve">13. To facilitate the evaluation of the Company’s proposed Modified LTIIP, PAWC also provided the detailed table attached hereto as Exhibit 4, which identifies historic annual DSIC-eligible expenditures in each district, from 2015 through the latest available data for 2019 (January/February). Exhibit 4 also contains a summary of historic annual replacement for DSIC eligible categories of plant for 2015 through 2018, by district. </w:t>
      </w:r>
    </w:p>
    <w:p w14:paraId="141D9B52" w14:textId="77777777" w:rsidR="00256631" w:rsidRPr="002036CF" w:rsidRDefault="00256631" w:rsidP="00256631">
      <w:pPr>
        <w:autoSpaceDE w:val="0"/>
        <w:autoSpaceDN w:val="0"/>
        <w:adjustRightInd w:val="0"/>
        <w:ind w:left="1440" w:right="1440"/>
        <w:rPr>
          <w:rFonts w:eastAsiaTheme="minorHAnsi"/>
          <w:color w:val="000000"/>
          <w:sz w:val="26"/>
          <w:szCs w:val="26"/>
        </w:rPr>
      </w:pPr>
    </w:p>
    <w:p w14:paraId="4EDC50C3" w14:textId="77777777" w:rsidR="00256631" w:rsidRPr="002036CF" w:rsidRDefault="00256631" w:rsidP="00256631">
      <w:pPr>
        <w:autoSpaceDE w:val="0"/>
        <w:autoSpaceDN w:val="0"/>
        <w:adjustRightInd w:val="0"/>
        <w:ind w:left="1440" w:right="1440"/>
        <w:rPr>
          <w:rFonts w:eastAsiaTheme="minorHAnsi"/>
          <w:color w:val="000000"/>
          <w:sz w:val="26"/>
          <w:szCs w:val="26"/>
        </w:rPr>
      </w:pPr>
      <w:r w:rsidRPr="002036CF">
        <w:rPr>
          <w:rFonts w:eastAsiaTheme="minorHAnsi"/>
          <w:color w:val="000000"/>
          <w:sz w:val="26"/>
          <w:szCs w:val="26"/>
        </w:rPr>
        <w:t xml:space="preserve">14. In future AAOPs and other LTIIP-related filings, the Company will continue to distinguish between non-regulatory and regulatory investments and will separately identify expenditures for combined and sanitary systems. </w:t>
      </w:r>
    </w:p>
    <w:p w14:paraId="7513169D" w14:textId="77777777" w:rsidR="00256631" w:rsidRPr="002036CF" w:rsidRDefault="00256631" w:rsidP="00256631">
      <w:pPr>
        <w:autoSpaceDE w:val="0"/>
        <w:autoSpaceDN w:val="0"/>
        <w:adjustRightInd w:val="0"/>
        <w:ind w:left="1440" w:right="1440"/>
        <w:rPr>
          <w:rFonts w:eastAsiaTheme="minorHAnsi"/>
          <w:color w:val="000000"/>
          <w:sz w:val="26"/>
          <w:szCs w:val="26"/>
        </w:rPr>
      </w:pPr>
    </w:p>
    <w:p w14:paraId="785773B3" w14:textId="77777777" w:rsidR="00256631" w:rsidRPr="002036CF" w:rsidRDefault="00256631" w:rsidP="00256631">
      <w:pPr>
        <w:autoSpaceDE w:val="0"/>
        <w:autoSpaceDN w:val="0"/>
        <w:adjustRightInd w:val="0"/>
        <w:ind w:left="1440" w:right="1440"/>
        <w:rPr>
          <w:rFonts w:eastAsiaTheme="minorHAnsi"/>
          <w:color w:val="000000"/>
          <w:sz w:val="26"/>
          <w:szCs w:val="26"/>
        </w:rPr>
      </w:pPr>
      <w:r w:rsidRPr="002036CF">
        <w:rPr>
          <w:rFonts w:eastAsiaTheme="minorHAnsi"/>
          <w:color w:val="000000"/>
          <w:sz w:val="26"/>
          <w:szCs w:val="26"/>
        </w:rPr>
        <w:t>15. Pursuant to Ordering Paragraph 7 of the Commission’s October 26, 2017 Order in Docket No. A-2017-2606103, PAWC may collect a DSIC related to the Municipal Authority of the City of McKeesport system prior to the first base rate case in which the System plant-in-service is incorporated into PAWC’s rate base, subject to three conditions. The Joint Petitioners agree that the first of those conditions (Ordering Paragraph 7(a)) is met because PAWC’s Modified LTIIP incorporating the McKeesport system does not re-prioritize other existing commitments in other service areas.</w:t>
      </w:r>
    </w:p>
    <w:p w14:paraId="4DFEA52B" w14:textId="77777777" w:rsidR="00256631" w:rsidRPr="002036CF" w:rsidRDefault="00256631" w:rsidP="00256631">
      <w:pPr>
        <w:autoSpaceDE w:val="0"/>
        <w:autoSpaceDN w:val="0"/>
        <w:adjustRightInd w:val="0"/>
        <w:ind w:left="1440" w:right="1440"/>
        <w:rPr>
          <w:rFonts w:eastAsiaTheme="minorHAnsi"/>
          <w:color w:val="000000"/>
          <w:sz w:val="26"/>
          <w:szCs w:val="26"/>
        </w:rPr>
      </w:pPr>
      <w:r w:rsidRPr="002036CF">
        <w:rPr>
          <w:rFonts w:eastAsiaTheme="minorHAnsi"/>
          <w:color w:val="000000"/>
          <w:sz w:val="26"/>
          <w:szCs w:val="26"/>
        </w:rPr>
        <w:t xml:space="preserve"> </w:t>
      </w:r>
    </w:p>
    <w:p w14:paraId="3D13484D" w14:textId="6B046633" w:rsidR="00256631" w:rsidRDefault="00256631" w:rsidP="00256631">
      <w:pPr>
        <w:autoSpaceDE w:val="0"/>
        <w:autoSpaceDN w:val="0"/>
        <w:adjustRightInd w:val="0"/>
        <w:ind w:left="1440" w:right="1440"/>
        <w:rPr>
          <w:rFonts w:eastAsiaTheme="minorHAnsi"/>
          <w:color w:val="000000"/>
          <w:sz w:val="26"/>
          <w:szCs w:val="26"/>
        </w:rPr>
      </w:pPr>
      <w:r w:rsidRPr="002036CF">
        <w:rPr>
          <w:rFonts w:eastAsiaTheme="minorHAnsi"/>
          <w:color w:val="000000"/>
          <w:sz w:val="26"/>
          <w:szCs w:val="26"/>
        </w:rPr>
        <w:t xml:space="preserve">16. In future LTIIP and AAOP filings, any changes in projected quantities or projected expenditures for the McKeesport system will be condition assessment-related and will not re-prioritize existing commitments in other service areas. In such filings, if projected quantities or projected expenditures are higher for the McKeesport system and lower </w:t>
      </w:r>
      <w:r w:rsidRPr="002036CF">
        <w:rPr>
          <w:rFonts w:eastAsiaTheme="minorHAnsi"/>
          <w:color w:val="000000"/>
          <w:sz w:val="26"/>
          <w:szCs w:val="26"/>
        </w:rPr>
        <w:lastRenderedPageBreak/>
        <w:t xml:space="preserve">for other service areas than the projections in its approved LTIIP, PAWC will include an explanation why the shift was appropriate and does not re-prioritize existing commitments in other service areas. </w:t>
      </w:r>
    </w:p>
    <w:p w14:paraId="22D19B34" w14:textId="77777777" w:rsidR="00256631" w:rsidRPr="002036CF" w:rsidRDefault="00256631" w:rsidP="00256631">
      <w:pPr>
        <w:autoSpaceDE w:val="0"/>
        <w:autoSpaceDN w:val="0"/>
        <w:adjustRightInd w:val="0"/>
        <w:ind w:left="1440" w:right="1440"/>
        <w:rPr>
          <w:rFonts w:eastAsiaTheme="minorHAnsi"/>
          <w:color w:val="000000"/>
          <w:sz w:val="26"/>
          <w:szCs w:val="26"/>
        </w:rPr>
      </w:pPr>
    </w:p>
    <w:p w14:paraId="27C9781B" w14:textId="77777777" w:rsidR="00256631" w:rsidRPr="002036CF" w:rsidRDefault="00256631" w:rsidP="00256631">
      <w:pPr>
        <w:ind w:left="1440" w:right="1440"/>
        <w:rPr>
          <w:rFonts w:eastAsiaTheme="minorHAnsi"/>
          <w:color w:val="000000"/>
          <w:sz w:val="26"/>
          <w:szCs w:val="26"/>
        </w:rPr>
      </w:pPr>
      <w:r w:rsidRPr="002036CF">
        <w:rPr>
          <w:rFonts w:eastAsiaTheme="minorHAnsi"/>
          <w:color w:val="000000"/>
          <w:sz w:val="26"/>
          <w:szCs w:val="26"/>
        </w:rPr>
        <w:t>17. In addition, in future water and wastewater LTIIP and AAOP filings, if projected quantities or projected expenditures are higher for systems acquired under 66 Pa. C.S. § 1329 and lower for other service areas – compared to its approved LTIIP – the Company will include an explanation why the shift was appropriate and does not re-prioritize existing commitments in other service areas.</w:t>
      </w:r>
    </w:p>
    <w:p w14:paraId="77117E3E" w14:textId="77777777" w:rsidR="00256631" w:rsidRPr="002036CF" w:rsidRDefault="00256631" w:rsidP="00256631">
      <w:pPr>
        <w:ind w:left="1440" w:right="1440"/>
        <w:rPr>
          <w:rFonts w:eastAsiaTheme="minorHAnsi"/>
          <w:color w:val="000000"/>
          <w:sz w:val="26"/>
          <w:szCs w:val="26"/>
        </w:rPr>
      </w:pPr>
    </w:p>
    <w:p w14:paraId="752519F0" w14:textId="77777777" w:rsidR="00256631" w:rsidRPr="002036CF" w:rsidRDefault="00256631" w:rsidP="00256631">
      <w:pPr>
        <w:autoSpaceDE w:val="0"/>
        <w:autoSpaceDN w:val="0"/>
        <w:adjustRightInd w:val="0"/>
        <w:ind w:left="1440" w:right="1440"/>
        <w:rPr>
          <w:rFonts w:eastAsiaTheme="minorHAnsi"/>
          <w:b/>
          <w:bCs/>
          <w:color w:val="000000"/>
          <w:sz w:val="26"/>
          <w:szCs w:val="26"/>
        </w:rPr>
      </w:pPr>
      <w:r w:rsidRPr="002036CF">
        <w:rPr>
          <w:rFonts w:eastAsiaTheme="minorHAnsi"/>
          <w:b/>
          <w:bCs/>
          <w:color w:val="000000"/>
          <w:sz w:val="26"/>
          <w:szCs w:val="26"/>
        </w:rPr>
        <w:t xml:space="preserve">C. Qualified Contractors </w:t>
      </w:r>
    </w:p>
    <w:p w14:paraId="2B61117D" w14:textId="77777777" w:rsidR="00256631" w:rsidRPr="002036CF" w:rsidRDefault="00256631" w:rsidP="00256631">
      <w:pPr>
        <w:autoSpaceDE w:val="0"/>
        <w:autoSpaceDN w:val="0"/>
        <w:adjustRightInd w:val="0"/>
        <w:ind w:left="1440" w:right="1440"/>
        <w:rPr>
          <w:rFonts w:eastAsiaTheme="minorHAnsi"/>
          <w:b/>
          <w:bCs/>
          <w:color w:val="000000"/>
          <w:sz w:val="26"/>
          <w:szCs w:val="26"/>
        </w:rPr>
      </w:pPr>
    </w:p>
    <w:p w14:paraId="45E8A148" w14:textId="77777777" w:rsidR="00256631" w:rsidRDefault="00256631" w:rsidP="00256631">
      <w:pPr>
        <w:autoSpaceDE w:val="0"/>
        <w:autoSpaceDN w:val="0"/>
        <w:adjustRightInd w:val="0"/>
        <w:ind w:left="1440" w:right="1440"/>
        <w:rPr>
          <w:rFonts w:eastAsiaTheme="minorHAnsi"/>
          <w:color w:val="000000"/>
          <w:sz w:val="26"/>
          <w:szCs w:val="26"/>
        </w:rPr>
      </w:pPr>
      <w:r w:rsidRPr="002036CF">
        <w:rPr>
          <w:rFonts w:eastAsiaTheme="minorHAnsi"/>
          <w:color w:val="000000"/>
          <w:sz w:val="26"/>
          <w:szCs w:val="26"/>
        </w:rPr>
        <w:t xml:space="preserve">18. PAWC will continue to administer a competitive process for soliciting contracts and will also continue to use a third party to monitor contactor safety performance though the pre-qualification process described in Section 7 of the Modified LTIIP. </w:t>
      </w:r>
    </w:p>
    <w:p w14:paraId="08801BD4" w14:textId="77777777" w:rsidR="00256631" w:rsidRPr="002036CF" w:rsidRDefault="00256631" w:rsidP="00256631">
      <w:pPr>
        <w:autoSpaceDE w:val="0"/>
        <w:autoSpaceDN w:val="0"/>
        <w:adjustRightInd w:val="0"/>
        <w:ind w:left="1440" w:right="1440"/>
        <w:rPr>
          <w:rFonts w:eastAsiaTheme="minorHAnsi"/>
          <w:color w:val="000000"/>
          <w:sz w:val="26"/>
          <w:szCs w:val="26"/>
        </w:rPr>
      </w:pPr>
    </w:p>
    <w:p w14:paraId="35B8513C" w14:textId="77777777" w:rsidR="00256631" w:rsidRPr="002036CF" w:rsidRDefault="00256631" w:rsidP="00256631">
      <w:pPr>
        <w:autoSpaceDE w:val="0"/>
        <w:autoSpaceDN w:val="0"/>
        <w:adjustRightInd w:val="0"/>
        <w:ind w:left="1440" w:right="1440"/>
        <w:rPr>
          <w:rFonts w:eastAsiaTheme="minorHAnsi"/>
          <w:color w:val="000000"/>
          <w:sz w:val="26"/>
          <w:szCs w:val="26"/>
        </w:rPr>
      </w:pPr>
      <w:r w:rsidRPr="002036CF">
        <w:rPr>
          <w:rFonts w:eastAsiaTheme="minorHAnsi"/>
          <w:color w:val="000000"/>
          <w:sz w:val="26"/>
          <w:szCs w:val="26"/>
        </w:rPr>
        <w:t xml:space="preserve">19. PAWC will use only pre-qualified contractors or trained Company employees to perform work on all wastewater DSIC-eligible projects. </w:t>
      </w:r>
    </w:p>
    <w:p w14:paraId="7B112DA1" w14:textId="77777777" w:rsidR="00256631" w:rsidRPr="002036CF" w:rsidRDefault="00256631" w:rsidP="00256631">
      <w:pPr>
        <w:autoSpaceDE w:val="0"/>
        <w:autoSpaceDN w:val="0"/>
        <w:adjustRightInd w:val="0"/>
        <w:ind w:left="1440" w:right="1440"/>
        <w:rPr>
          <w:rFonts w:eastAsiaTheme="minorHAnsi"/>
          <w:color w:val="000000"/>
          <w:sz w:val="26"/>
          <w:szCs w:val="26"/>
        </w:rPr>
      </w:pPr>
    </w:p>
    <w:p w14:paraId="5D107A97" w14:textId="77777777" w:rsidR="00256631" w:rsidRPr="002036CF" w:rsidRDefault="00256631" w:rsidP="00256631">
      <w:pPr>
        <w:autoSpaceDE w:val="0"/>
        <w:autoSpaceDN w:val="0"/>
        <w:adjustRightInd w:val="0"/>
        <w:ind w:left="1440" w:right="1440"/>
        <w:rPr>
          <w:rFonts w:eastAsiaTheme="minorHAnsi"/>
          <w:b/>
          <w:bCs/>
          <w:color w:val="000000"/>
          <w:sz w:val="26"/>
          <w:szCs w:val="26"/>
        </w:rPr>
      </w:pPr>
      <w:r w:rsidRPr="002036CF">
        <w:rPr>
          <w:rFonts w:eastAsiaTheme="minorHAnsi"/>
          <w:b/>
          <w:bCs/>
          <w:color w:val="000000"/>
          <w:sz w:val="26"/>
          <w:szCs w:val="26"/>
        </w:rPr>
        <w:t xml:space="preserve">D. Coordination of Planned Projects </w:t>
      </w:r>
    </w:p>
    <w:p w14:paraId="5C3BCB7F" w14:textId="77777777" w:rsidR="00256631" w:rsidRPr="002036CF" w:rsidRDefault="00256631" w:rsidP="00256631">
      <w:pPr>
        <w:autoSpaceDE w:val="0"/>
        <w:autoSpaceDN w:val="0"/>
        <w:adjustRightInd w:val="0"/>
        <w:ind w:left="1440" w:right="1440"/>
        <w:rPr>
          <w:rFonts w:eastAsiaTheme="minorHAnsi"/>
          <w:color w:val="000000"/>
          <w:sz w:val="26"/>
          <w:szCs w:val="26"/>
        </w:rPr>
      </w:pPr>
    </w:p>
    <w:p w14:paraId="7CFA9C67" w14:textId="77777777" w:rsidR="00256631" w:rsidRPr="002036CF" w:rsidRDefault="00256631" w:rsidP="00256631">
      <w:pPr>
        <w:ind w:left="1440" w:right="1440"/>
        <w:rPr>
          <w:rFonts w:eastAsiaTheme="minorHAnsi"/>
          <w:color w:val="000000"/>
          <w:sz w:val="26"/>
          <w:szCs w:val="26"/>
        </w:rPr>
      </w:pPr>
      <w:r w:rsidRPr="002036CF">
        <w:rPr>
          <w:rFonts w:eastAsiaTheme="minorHAnsi"/>
          <w:color w:val="000000"/>
          <w:sz w:val="26"/>
          <w:szCs w:val="26"/>
        </w:rPr>
        <w:t>20. PAWC currently uses the PA One Call “Coordinate PA” system to facilitate and track contractor pre-construction meetings. The Company agrees to utilize the PA One Call “Coordinate One Call” system to identify targeted areas of anticipated work planned over a two year look ahead period and to facilitate better coordination with other utilities and municipalities.</w:t>
      </w:r>
    </w:p>
    <w:p w14:paraId="354F1062" w14:textId="11CD4FCD" w:rsidR="00256631" w:rsidRDefault="00256631" w:rsidP="00F83989">
      <w:pPr>
        <w:spacing w:line="480" w:lineRule="auto"/>
        <w:ind w:right="1440"/>
        <w:rPr>
          <w:rFonts w:eastAsiaTheme="minorHAnsi"/>
          <w:color w:val="000000"/>
          <w:sz w:val="26"/>
          <w:szCs w:val="26"/>
        </w:rPr>
      </w:pPr>
    </w:p>
    <w:p w14:paraId="0C7B319C" w14:textId="7AE5187F" w:rsidR="00256631" w:rsidRPr="002036CF" w:rsidRDefault="00256631" w:rsidP="00987F49">
      <w:pPr>
        <w:spacing w:line="360" w:lineRule="auto"/>
        <w:ind w:right="1440"/>
        <w:rPr>
          <w:rFonts w:eastAsiaTheme="minorHAnsi"/>
          <w:color w:val="000000"/>
          <w:sz w:val="26"/>
          <w:szCs w:val="26"/>
        </w:rPr>
      </w:pPr>
      <w:r>
        <w:rPr>
          <w:rFonts w:eastAsiaTheme="minorHAnsi"/>
          <w:color w:val="000000"/>
          <w:sz w:val="26"/>
          <w:szCs w:val="26"/>
        </w:rPr>
        <w:t>R.D. at 1</w:t>
      </w:r>
      <w:r w:rsidR="000274A7">
        <w:rPr>
          <w:rFonts w:eastAsiaTheme="minorHAnsi"/>
          <w:color w:val="000000"/>
          <w:sz w:val="26"/>
          <w:szCs w:val="26"/>
        </w:rPr>
        <w:t>3</w:t>
      </w:r>
      <w:r>
        <w:rPr>
          <w:rFonts w:eastAsiaTheme="minorHAnsi"/>
          <w:color w:val="000000"/>
          <w:sz w:val="26"/>
          <w:szCs w:val="26"/>
        </w:rPr>
        <w:t>-1</w:t>
      </w:r>
      <w:r w:rsidR="000274A7">
        <w:rPr>
          <w:rFonts w:eastAsiaTheme="minorHAnsi"/>
          <w:color w:val="000000"/>
          <w:sz w:val="26"/>
          <w:szCs w:val="26"/>
        </w:rPr>
        <w:t>5</w:t>
      </w:r>
      <w:r>
        <w:rPr>
          <w:rFonts w:eastAsiaTheme="minorHAnsi"/>
          <w:color w:val="000000"/>
          <w:sz w:val="26"/>
          <w:szCs w:val="26"/>
        </w:rPr>
        <w:t>.</w:t>
      </w:r>
    </w:p>
    <w:p w14:paraId="353447E9" w14:textId="77777777" w:rsidR="00256631" w:rsidRDefault="00256631" w:rsidP="00987F49">
      <w:pPr>
        <w:autoSpaceDE w:val="0"/>
        <w:autoSpaceDN w:val="0"/>
        <w:adjustRightInd w:val="0"/>
        <w:spacing w:line="360" w:lineRule="auto"/>
        <w:rPr>
          <w:rFonts w:eastAsiaTheme="minorHAnsi"/>
          <w:color w:val="000000"/>
          <w:sz w:val="26"/>
          <w:szCs w:val="26"/>
        </w:rPr>
      </w:pPr>
    </w:p>
    <w:p w14:paraId="1BE737C5" w14:textId="41E9B03B" w:rsidR="000A161F" w:rsidRPr="00455685" w:rsidRDefault="00256631" w:rsidP="00987F49">
      <w:pPr>
        <w:autoSpaceDE w:val="0"/>
        <w:autoSpaceDN w:val="0"/>
        <w:adjustRightInd w:val="0"/>
        <w:spacing w:line="360" w:lineRule="auto"/>
        <w:ind w:firstLine="1440"/>
        <w:rPr>
          <w:sz w:val="26"/>
          <w:szCs w:val="26"/>
        </w:rPr>
      </w:pPr>
      <w:r w:rsidRPr="002036CF">
        <w:rPr>
          <w:rFonts w:eastAsiaTheme="minorHAnsi"/>
          <w:color w:val="000000"/>
          <w:sz w:val="26"/>
          <w:szCs w:val="26"/>
        </w:rPr>
        <w:t>Furthermore, the Settlement is conditioned upon the standard terms and conditions found in most settlements submitted to the Commission</w:t>
      </w:r>
      <w:r>
        <w:rPr>
          <w:rFonts w:eastAsiaTheme="minorHAnsi"/>
          <w:color w:val="000000"/>
          <w:sz w:val="26"/>
          <w:szCs w:val="26"/>
        </w:rPr>
        <w:t>.  R.D. at 1</w:t>
      </w:r>
      <w:r w:rsidR="000274A7">
        <w:rPr>
          <w:rFonts w:eastAsiaTheme="minorHAnsi"/>
          <w:color w:val="000000"/>
          <w:sz w:val="26"/>
          <w:szCs w:val="26"/>
        </w:rPr>
        <w:t>5</w:t>
      </w:r>
      <w:r>
        <w:rPr>
          <w:rFonts w:eastAsiaTheme="minorHAnsi"/>
          <w:color w:val="000000"/>
          <w:sz w:val="26"/>
          <w:szCs w:val="26"/>
        </w:rPr>
        <w:t xml:space="preserve">, citing, </w:t>
      </w:r>
      <w:r w:rsidRPr="002036CF">
        <w:rPr>
          <w:rFonts w:eastAsiaTheme="minorHAnsi"/>
          <w:color w:val="000000"/>
          <w:sz w:val="26"/>
          <w:szCs w:val="26"/>
        </w:rPr>
        <w:t>Settlement at ¶¶ 23-27.</w:t>
      </w:r>
      <w:r>
        <w:rPr>
          <w:rFonts w:eastAsiaTheme="minorHAnsi"/>
          <w:color w:val="000000"/>
          <w:sz w:val="26"/>
          <w:szCs w:val="26"/>
        </w:rPr>
        <w:t xml:space="preserve">  </w:t>
      </w:r>
      <w:r w:rsidRPr="002036CF">
        <w:rPr>
          <w:rFonts w:eastAsiaTheme="minorHAnsi"/>
          <w:color w:val="000000"/>
          <w:sz w:val="26"/>
          <w:szCs w:val="26"/>
        </w:rPr>
        <w:t xml:space="preserve">This includes that the </w:t>
      </w:r>
      <w:r>
        <w:rPr>
          <w:rFonts w:eastAsiaTheme="minorHAnsi"/>
          <w:color w:val="000000"/>
          <w:sz w:val="26"/>
          <w:szCs w:val="26"/>
        </w:rPr>
        <w:t>P</w:t>
      </w:r>
      <w:r w:rsidRPr="002036CF">
        <w:rPr>
          <w:rFonts w:eastAsiaTheme="minorHAnsi"/>
          <w:color w:val="000000"/>
          <w:sz w:val="26"/>
          <w:szCs w:val="26"/>
        </w:rPr>
        <w:t xml:space="preserve">arties may elect to withdraw from the </w:t>
      </w:r>
      <w:r w:rsidRPr="002036CF">
        <w:rPr>
          <w:rFonts w:eastAsiaTheme="minorHAnsi"/>
          <w:color w:val="000000"/>
          <w:sz w:val="26"/>
          <w:szCs w:val="26"/>
        </w:rPr>
        <w:lastRenderedPageBreak/>
        <w:t>Settlement and proceed with litigation if the Commission modifies the terms and conditions.</w:t>
      </w:r>
      <w:r>
        <w:rPr>
          <w:rFonts w:eastAsiaTheme="minorHAnsi"/>
          <w:color w:val="000000"/>
          <w:sz w:val="26"/>
          <w:szCs w:val="26"/>
        </w:rPr>
        <w:t xml:space="preserve">  </w:t>
      </w:r>
      <w:r w:rsidRPr="002036CF">
        <w:rPr>
          <w:rFonts w:eastAsiaTheme="minorHAnsi"/>
          <w:i/>
          <w:iCs/>
          <w:color w:val="000000"/>
          <w:sz w:val="26"/>
          <w:szCs w:val="26"/>
        </w:rPr>
        <w:t>Id.</w:t>
      </w:r>
      <w:r>
        <w:rPr>
          <w:rFonts w:eastAsiaTheme="minorHAnsi"/>
          <w:color w:val="000000"/>
          <w:sz w:val="26"/>
          <w:szCs w:val="26"/>
        </w:rPr>
        <w:t xml:space="preserve">  </w:t>
      </w:r>
      <w:r w:rsidRPr="002036CF">
        <w:rPr>
          <w:rFonts w:eastAsiaTheme="minorHAnsi"/>
          <w:color w:val="000000"/>
          <w:sz w:val="26"/>
          <w:szCs w:val="26"/>
        </w:rPr>
        <w:t xml:space="preserve">The </w:t>
      </w:r>
      <w:r>
        <w:rPr>
          <w:rFonts w:eastAsiaTheme="minorHAnsi"/>
          <w:color w:val="000000"/>
          <w:sz w:val="26"/>
          <w:szCs w:val="26"/>
        </w:rPr>
        <w:t>P</w:t>
      </w:r>
      <w:r w:rsidRPr="002036CF">
        <w:rPr>
          <w:rFonts w:eastAsiaTheme="minorHAnsi"/>
          <w:color w:val="000000"/>
          <w:sz w:val="26"/>
          <w:szCs w:val="26"/>
        </w:rPr>
        <w:t>arties also reserved their procedural rights to argue their respective positions if the Commission does not approve the Settlement and the proceeding continues.</w:t>
      </w:r>
      <w:r>
        <w:rPr>
          <w:rFonts w:eastAsiaTheme="minorHAnsi"/>
          <w:color w:val="000000"/>
          <w:sz w:val="26"/>
          <w:szCs w:val="26"/>
        </w:rPr>
        <w:t xml:space="preserve">  </w:t>
      </w:r>
      <w:r w:rsidRPr="002036CF">
        <w:rPr>
          <w:rFonts w:eastAsiaTheme="minorHAnsi"/>
          <w:i/>
          <w:iCs/>
          <w:color w:val="000000"/>
          <w:sz w:val="26"/>
          <w:szCs w:val="26"/>
        </w:rPr>
        <w:t>Id.</w:t>
      </w:r>
      <w:r>
        <w:rPr>
          <w:rFonts w:eastAsiaTheme="minorHAnsi"/>
          <w:color w:val="000000"/>
          <w:sz w:val="26"/>
          <w:szCs w:val="26"/>
        </w:rPr>
        <w:t xml:space="preserve">  </w:t>
      </w:r>
      <w:r w:rsidRPr="002036CF">
        <w:rPr>
          <w:rFonts w:eastAsiaTheme="minorHAnsi"/>
          <w:color w:val="000000"/>
          <w:sz w:val="26"/>
          <w:szCs w:val="26"/>
        </w:rPr>
        <w:t xml:space="preserve">The </w:t>
      </w:r>
      <w:r>
        <w:rPr>
          <w:rFonts w:eastAsiaTheme="minorHAnsi"/>
          <w:color w:val="000000"/>
          <w:sz w:val="26"/>
          <w:szCs w:val="26"/>
        </w:rPr>
        <w:t>P</w:t>
      </w:r>
      <w:r w:rsidRPr="002036CF">
        <w:rPr>
          <w:rFonts w:eastAsiaTheme="minorHAnsi"/>
          <w:color w:val="000000"/>
          <w:sz w:val="26"/>
          <w:szCs w:val="26"/>
        </w:rPr>
        <w:t>arties also noted that the Settlement is made without any admission against, or prejudice to, any position that any party may adopt in the event of subsequent litigation and that the Settlement may not be cited as precedent in any future proceeding unless required for implementation.</w:t>
      </w:r>
      <w:r>
        <w:rPr>
          <w:rFonts w:eastAsiaTheme="minorHAnsi"/>
          <w:color w:val="000000"/>
          <w:sz w:val="26"/>
          <w:szCs w:val="26"/>
        </w:rPr>
        <w:t xml:space="preserve">  </w:t>
      </w:r>
      <w:r w:rsidRPr="002036CF">
        <w:rPr>
          <w:rFonts w:eastAsiaTheme="minorHAnsi"/>
          <w:i/>
          <w:iCs/>
          <w:color w:val="000000"/>
          <w:sz w:val="26"/>
          <w:szCs w:val="26"/>
        </w:rPr>
        <w:t>Id.</w:t>
      </w:r>
      <w:r w:rsidRPr="002036CF">
        <w:rPr>
          <w:rFonts w:eastAsiaTheme="minorHAnsi"/>
          <w:color w:val="000000"/>
          <w:sz w:val="26"/>
          <w:szCs w:val="26"/>
        </w:rPr>
        <w:t xml:space="preserve"> </w:t>
      </w:r>
      <w:bookmarkEnd w:id="0"/>
    </w:p>
    <w:p w14:paraId="5FE2EC1C" w14:textId="77777777" w:rsidR="004E66DA" w:rsidRPr="004E64B8" w:rsidRDefault="004E66DA" w:rsidP="004E64B8">
      <w:pPr>
        <w:spacing w:line="360" w:lineRule="auto"/>
        <w:ind w:firstLine="1440"/>
        <w:contextualSpacing/>
        <w:rPr>
          <w:sz w:val="26"/>
          <w:szCs w:val="26"/>
        </w:rPr>
      </w:pPr>
    </w:p>
    <w:p w14:paraId="1F88CFBB" w14:textId="115EFA80" w:rsidR="00F57512" w:rsidRPr="004E64B8" w:rsidRDefault="00F57512" w:rsidP="00277997">
      <w:pPr>
        <w:keepNext/>
        <w:keepLines/>
        <w:spacing w:line="360" w:lineRule="auto"/>
        <w:contextualSpacing/>
        <w:rPr>
          <w:b/>
          <w:sz w:val="26"/>
          <w:szCs w:val="26"/>
        </w:rPr>
      </w:pPr>
      <w:r w:rsidRPr="004E64B8">
        <w:rPr>
          <w:b/>
          <w:sz w:val="26"/>
          <w:szCs w:val="26"/>
        </w:rPr>
        <w:t xml:space="preserve">ALJ’s </w:t>
      </w:r>
      <w:r w:rsidR="00823797">
        <w:rPr>
          <w:b/>
          <w:sz w:val="26"/>
          <w:szCs w:val="26"/>
        </w:rPr>
        <w:t>Recommended</w:t>
      </w:r>
      <w:r w:rsidRPr="004E64B8">
        <w:rPr>
          <w:b/>
          <w:sz w:val="26"/>
          <w:szCs w:val="26"/>
        </w:rPr>
        <w:t xml:space="preserve"> Decision</w:t>
      </w:r>
    </w:p>
    <w:p w14:paraId="5E95FF71" w14:textId="77777777" w:rsidR="00F57512" w:rsidRPr="004E64B8" w:rsidRDefault="00F57512" w:rsidP="00277997">
      <w:pPr>
        <w:keepNext/>
        <w:keepLines/>
        <w:spacing w:line="360" w:lineRule="auto"/>
        <w:contextualSpacing/>
        <w:rPr>
          <w:sz w:val="26"/>
          <w:szCs w:val="26"/>
        </w:rPr>
      </w:pPr>
    </w:p>
    <w:p w14:paraId="6BA5D130" w14:textId="1045C1C5" w:rsidR="00455685" w:rsidRDefault="00455685" w:rsidP="009C6C72">
      <w:pPr>
        <w:spacing w:line="360" w:lineRule="auto"/>
        <w:ind w:firstLine="1440"/>
        <w:contextualSpacing/>
        <w:rPr>
          <w:sz w:val="26"/>
          <w:szCs w:val="26"/>
        </w:rPr>
      </w:pPr>
      <w:r w:rsidRPr="004E64B8">
        <w:rPr>
          <w:sz w:val="26"/>
          <w:szCs w:val="26"/>
        </w:rPr>
        <w:t xml:space="preserve">The </w:t>
      </w:r>
      <w:r>
        <w:rPr>
          <w:sz w:val="26"/>
          <w:szCs w:val="26"/>
        </w:rPr>
        <w:t>ALJs</w:t>
      </w:r>
      <w:r w:rsidRPr="004E64B8">
        <w:rPr>
          <w:sz w:val="26"/>
          <w:szCs w:val="26"/>
        </w:rPr>
        <w:t xml:space="preserve"> made </w:t>
      </w:r>
      <w:r>
        <w:rPr>
          <w:sz w:val="26"/>
          <w:szCs w:val="26"/>
        </w:rPr>
        <w:t>twenty-eight</w:t>
      </w:r>
      <w:r w:rsidRPr="004E64B8">
        <w:rPr>
          <w:sz w:val="26"/>
          <w:szCs w:val="26"/>
        </w:rPr>
        <w:t xml:space="preserve"> Findings of Fact and reached</w:t>
      </w:r>
      <w:r>
        <w:rPr>
          <w:sz w:val="26"/>
          <w:szCs w:val="26"/>
        </w:rPr>
        <w:t xml:space="preserve"> eleven</w:t>
      </w:r>
      <w:r w:rsidRPr="004E64B8">
        <w:rPr>
          <w:sz w:val="26"/>
          <w:szCs w:val="26"/>
        </w:rPr>
        <w:t xml:space="preserve"> Conclusions of Law.  </w:t>
      </w:r>
      <w:r w:rsidR="000274A7">
        <w:rPr>
          <w:sz w:val="26"/>
          <w:szCs w:val="26"/>
        </w:rPr>
        <w:t>R</w:t>
      </w:r>
      <w:r w:rsidRPr="004E64B8">
        <w:rPr>
          <w:sz w:val="26"/>
          <w:szCs w:val="26"/>
        </w:rPr>
        <w:t xml:space="preserve">.D. at </w:t>
      </w:r>
      <w:r>
        <w:rPr>
          <w:sz w:val="26"/>
          <w:szCs w:val="26"/>
        </w:rPr>
        <w:t>5-10</w:t>
      </w:r>
      <w:r w:rsidRPr="004E64B8">
        <w:rPr>
          <w:sz w:val="26"/>
          <w:szCs w:val="26"/>
        </w:rPr>
        <w:t xml:space="preserve">, </w:t>
      </w:r>
      <w:r>
        <w:rPr>
          <w:sz w:val="26"/>
          <w:szCs w:val="26"/>
        </w:rPr>
        <w:t>3</w:t>
      </w:r>
      <w:r w:rsidRPr="004E64B8">
        <w:rPr>
          <w:sz w:val="26"/>
          <w:szCs w:val="26"/>
        </w:rPr>
        <w:t>8</w:t>
      </w:r>
      <w:r>
        <w:rPr>
          <w:sz w:val="26"/>
          <w:szCs w:val="26"/>
        </w:rPr>
        <w:t>-39</w:t>
      </w:r>
      <w:r w:rsidRPr="004E64B8">
        <w:rPr>
          <w:sz w:val="26"/>
          <w:szCs w:val="26"/>
        </w:rPr>
        <w:t>.  We shall adopt and incorporate herein by reference the ALJs</w:t>
      </w:r>
      <w:r>
        <w:rPr>
          <w:sz w:val="26"/>
          <w:szCs w:val="26"/>
        </w:rPr>
        <w:t>’</w:t>
      </w:r>
      <w:r w:rsidRPr="004E64B8">
        <w:rPr>
          <w:sz w:val="26"/>
          <w:szCs w:val="26"/>
        </w:rPr>
        <w:t xml:space="preserve"> Findings of Fact and Conclusions of Law, unless they are reversed or modified by this Opinion and Order, either express</w:t>
      </w:r>
      <w:r>
        <w:rPr>
          <w:sz w:val="26"/>
          <w:szCs w:val="26"/>
        </w:rPr>
        <w:t>ly or by necessary implication.</w:t>
      </w:r>
    </w:p>
    <w:p w14:paraId="0A3B432B" w14:textId="77777777" w:rsidR="003A5498" w:rsidRDefault="003A5498" w:rsidP="009C6C72">
      <w:pPr>
        <w:spacing w:line="360" w:lineRule="auto"/>
        <w:ind w:firstLine="1440"/>
        <w:contextualSpacing/>
        <w:rPr>
          <w:sz w:val="26"/>
          <w:szCs w:val="26"/>
        </w:rPr>
      </w:pPr>
    </w:p>
    <w:p w14:paraId="3B7568F8" w14:textId="566E51FB" w:rsidR="00900E01" w:rsidRPr="004E64B8" w:rsidRDefault="00465338" w:rsidP="009C6C72">
      <w:pPr>
        <w:spacing w:line="360" w:lineRule="auto"/>
        <w:ind w:firstLine="1440"/>
        <w:contextualSpacing/>
        <w:rPr>
          <w:sz w:val="26"/>
          <w:szCs w:val="26"/>
        </w:rPr>
      </w:pPr>
      <w:r>
        <w:rPr>
          <w:sz w:val="26"/>
          <w:szCs w:val="26"/>
        </w:rPr>
        <w:t>The ALJs</w:t>
      </w:r>
      <w:r w:rsidR="009C6C72" w:rsidRPr="009C6C72">
        <w:rPr>
          <w:sz w:val="26"/>
          <w:szCs w:val="26"/>
        </w:rPr>
        <w:t xml:space="preserve"> </w:t>
      </w:r>
      <w:r w:rsidR="00823797">
        <w:rPr>
          <w:sz w:val="26"/>
          <w:szCs w:val="26"/>
        </w:rPr>
        <w:t>recommended</w:t>
      </w:r>
      <w:r w:rsidR="009C6C72" w:rsidRPr="009C6C72">
        <w:rPr>
          <w:sz w:val="26"/>
          <w:szCs w:val="26"/>
        </w:rPr>
        <w:t xml:space="preserve"> that the Settlement be approved </w:t>
      </w:r>
      <w:r w:rsidR="00823797">
        <w:rPr>
          <w:sz w:val="26"/>
          <w:szCs w:val="26"/>
        </w:rPr>
        <w:t>in its entirety without modification</w:t>
      </w:r>
      <w:r w:rsidR="0093296D">
        <w:rPr>
          <w:sz w:val="26"/>
          <w:szCs w:val="26"/>
        </w:rPr>
        <w:t xml:space="preserve"> </w:t>
      </w:r>
      <w:r w:rsidR="00823797">
        <w:rPr>
          <w:sz w:val="26"/>
          <w:szCs w:val="26"/>
        </w:rPr>
        <w:t xml:space="preserve">because it </w:t>
      </w:r>
      <w:r w:rsidR="0093296D">
        <w:rPr>
          <w:sz w:val="26"/>
          <w:szCs w:val="26"/>
        </w:rPr>
        <w:t>is</w:t>
      </w:r>
      <w:r w:rsidR="009C6C72" w:rsidRPr="009C6C72">
        <w:rPr>
          <w:sz w:val="26"/>
          <w:szCs w:val="26"/>
        </w:rPr>
        <w:t xml:space="preserve"> in the public interest </w:t>
      </w:r>
      <w:r w:rsidR="0093296D">
        <w:rPr>
          <w:sz w:val="26"/>
          <w:szCs w:val="26"/>
        </w:rPr>
        <w:t xml:space="preserve">and </w:t>
      </w:r>
      <w:r w:rsidR="009C6C72" w:rsidRPr="009C6C72">
        <w:rPr>
          <w:sz w:val="26"/>
          <w:szCs w:val="26"/>
        </w:rPr>
        <w:t>because it is supported by substantial evidence.</w:t>
      </w:r>
      <w:r w:rsidR="00003A51">
        <w:rPr>
          <w:sz w:val="26"/>
          <w:szCs w:val="26"/>
        </w:rPr>
        <w:t xml:space="preserve">  </w:t>
      </w:r>
      <w:r w:rsidR="005174A1">
        <w:rPr>
          <w:sz w:val="26"/>
          <w:szCs w:val="26"/>
        </w:rPr>
        <w:t>R</w:t>
      </w:r>
      <w:r w:rsidR="00455685">
        <w:rPr>
          <w:sz w:val="26"/>
          <w:szCs w:val="26"/>
        </w:rPr>
        <w:t xml:space="preserve">.D. at 1, 5.  </w:t>
      </w:r>
      <w:r w:rsidR="00B91853">
        <w:rPr>
          <w:sz w:val="26"/>
          <w:szCs w:val="26"/>
        </w:rPr>
        <w:t>T</w:t>
      </w:r>
      <w:r w:rsidR="00512A05">
        <w:rPr>
          <w:sz w:val="26"/>
          <w:szCs w:val="26"/>
        </w:rPr>
        <w:t xml:space="preserve">he ALJs </w:t>
      </w:r>
      <w:r w:rsidR="00C60A9B">
        <w:rPr>
          <w:sz w:val="26"/>
          <w:szCs w:val="26"/>
        </w:rPr>
        <w:t>observed</w:t>
      </w:r>
      <w:r w:rsidR="00C60A9B" w:rsidRPr="009C6C72">
        <w:rPr>
          <w:sz w:val="26"/>
          <w:szCs w:val="26"/>
        </w:rPr>
        <w:t xml:space="preserve"> </w:t>
      </w:r>
      <w:r w:rsidR="005174A1">
        <w:rPr>
          <w:sz w:val="26"/>
          <w:szCs w:val="26"/>
        </w:rPr>
        <w:t xml:space="preserve">that </w:t>
      </w:r>
      <w:r w:rsidR="009C6C72" w:rsidRPr="009C6C72">
        <w:rPr>
          <w:sz w:val="26"/>
          <w:szCs w:val="26"/>
        </w:rPr>
        <w:t xml:space="preserve">the </w:t>
      </w:r>
      <w:r w:rsidR="00622281">
        <w:rPr>
          <w:sz w:val="26"/>
          <w:szCs w:val="26"/>
        </w:rPr>
        <w:t>P</w:t>
      </w:r>
      <w:r w:rsidR="009C6C72" w:rsidRPr="009C6C72">
        <w:rPr>
          <w:sz w:val="26"/>
          <w:szCs w:val="26"/>
        </w:rPr>
        <w:t xml:space="preserve">arties </w:t>
      </w:r>
      <w:r w:rsidR="00755117" w:rsidRPr="009C6C72">
        <w:rPr>
          <w:sz w:val="26"/>
          <w:szCs w:val="26"/>
        </w:rPr>
        <w:t>engaged in discovery</w:t>
      </w:r>
      <w:r w:rsidR="00755117">
        <w:rPr>
          <w:sz w:val="26"/>
          <w:szCs w:val="26"/>
        </w:rPr>
        <w:t xml:space="preserve">, </w:t>
      </w:r>
      <w:r w:rsidR="00755117" w:rsidRPr="009C6C72">
        <w:rPr>
          <w:sz w:val="26"/>
          <w:szCs w:val="26"/>
        </w:rPr>
        <w:t>had ongoing settlement discussions</w:t>
      </w:r>
      <w:r w:rsidR="00755117">
        <w:rPr>
          <w:sz w:val="26"/>
          <w:szCs w:val="26"/>
        </w:rPr>
        <w:t xml:space="preserve">, and </w:t>
      </w:r>
      <w:r w:rsidR="009C6C72" w:rsidRPr="009C6C72">
        <w:rPr>
          <w:sz w:val="26"/>
          <w:szCs w:val="26"/>
        </w:rPr>
        <w:t>stipulated to the facts set forth in the Settlement</w:t>
      </w:r>
      <w:r w:rsidR="007557CA">
        <w:rPr>
          <w:sz w:val="26"/>
          <w:szCs w:val="26"/>
        </w:rPr>
        <w:t xml:space="preserve">.  </w:t>
      </w:r>
      <w:r w:rsidR="00256631">
        <w:rPr>
          <w:sz w:val="26"/>
          <w:szCs w:val="26"/>
        </w:rPr>
        <w:t xml:space="preserve">The ALJs further noted that </w:t>
      </w:r>
      <w:r w:rsidR="00256631" w:rsidRPr="00987F49">
        <w:rPr>
          <w:sz w:val="26"/>
          <w:szCs w:val="26"/>
        </w:rPr>
        <w:t xml:space="preserve">the </w:t>
      </w:r>
      <w:r w:rsidR="003A5498">
        <w:rPr>
          <w:sz w:val="26"/>
          <w:szCs w:val="26"/>
        </w:rPr>
        <w:t>Settlement addresses the concerns of the Joint Petitioners</w:t>
      </w:r>
      <w:r w:rsidR="003A5498" w:rsidRPr="003A5498">
        <w:rPr>
          <w:sz w:val="26"/>
          <w:szCs w:val="26"/>
        </w:rPr>
        <w:t xml:space="preserve"> </w:t>
      </w:r>
      <w:r w:rsidR="003A5498">
        <w:rPr>
          <w:sz w:val="26"/>
          <w:szCs w:val="26"/>
        </w:rPr>
        <w:t xml:space="preserve">and that the </w:t>
      </w:r>
      <w:r w:rsidR="00256631" w:rsidRPr="00987F49">
        <w:rPr>
          <w:sz w:val="26"/>
          <w:szCs w:val="26"/>
        </w:rPr>
        <w:t>Parties also attached to the Settlement separate Statements in Support of the Settlement, articulating their individual arguments and reasons why approving the Settlement without modification is appropriate and in the public interest.</w:t>
      </w:r>
      <w:r w:rsidR="004E680A">
        <w:rPr>
          <w:sz w:val="26"/>
          <w:szCs w:val="26"/>
        </w:rPr>
        <w:t xml:space="preserve">  </w:t>
      </w:r>
      <w:r w:rsidR="00BC15D3">
        <w:rPr>
          <w:sz w:val="26"/>
          <w:szCs w:val="26"/>
        </w:rPr>
        <w:t>As a result, the ALJs</w:t>
      </w:r>
      <w:r w:rsidR="000366C0">
        <w:rPr>
          <w:sz w:val="26"/>
          <w:szCs w:val="26"/>
        </w:rPr>
        <w:t xml:space="preserve"> </w:t>
      </w:r>
      <w:r w:rsidR="006D08B1">
        <w:rPr>
          <w:sz w:val="26"/>
          <w:szCs w:val="26"/>
        </w:rPr>
        <w:t>noted t</w:t>
      </w:r>
      <w:r w:rsidR="009C6C72" w:rsidRPr="009C6C72">
        <w:rPr>
          <w:sz w:val="26"/>
          <w:szCs w:val="26"/>
        </w:rPr>
        <w:t xml:space="preserve">hese efforts demonstrate that the initial filings of the </w:t>
      </w:r>
      <w:r w:rsidR="00622281">
        <w:rPr>
          <w:sz w:val="26"/>
          <w:szCs w:val="26"/>
        </w:rPr>
        <w:t>C</w:t>
      </w:r>
      <w:r w:rsidR="009C6C72" w:rsidRPr="009C6C72">
        <w:rPr>
          <w:sz w:val="26"/>
          <w:szCs w:val="26"/>
        </w:rPr>
        <w:t>ompany and the responses to the filings have been</w:t>
      </w:r>
      <w:r w:rsidR="00544DF5">
        <w:rPr>
          <w:sz w:val="26"/>
          <w:szCs w:val="26"/>
        </w:rPr>
        <w:t xml:space="preserve"> </w:t>
      </w:r>
      <w:r w:rsidR="009C6C72" w:rsidRPr="009C6C72">
        <w:rPr>
          <w:sz w:val="26"/>
          <w:szCs w:val="26"/>
        </w:rPr>
        <w:t>thoroughly</w:t>
      </w:r>
      <w:r w:rsidR="004E4465">
        <w:rPr>
          <w:sz w:val="26"/>
          <w:szCs w:val="26"/>
        </w:rPr>
        <w:t xml:space="preserve"> </w:t>
      </w:r>
      <w:r w:rsidR="009C6C72" w:rsidRPr="009C6C72">
        <w:rPr>
          <w:sz w:val="26"/>
          <w:szCs w:val="26"/>
        </w:rPr>
        <w:t xml:space="preserve">vetted and considered by all concerned </w:t>
      </w:r>
      <w:r w:rsidR="00937AD5">
        <w:rPr>
          <w:sz w:val="26"/>
          <w:szCs w:val="26"/>
        </w:rPr>
        <w:t>P</w:t>
      </w:r>
      <w:r w:rsidR="009C6C72" w:rsidRPr="009C6C72">
        <w:rPr>
          <w:sz w:val="26"/>
          <w:szCs w:val="26"/>
        </w:rPr>
        <w:t>arties.</w:t>
      </w:r>
      <w:r w:rsidR="00003A51">
        <w:rPr>
          <w:sz w:val="26"/>
          <w:szCs w:val="26"/>
        </w:rPr>
        <w:t xml:space="preserve">  </w:t>
      </w:r>
      <w:r w:rsidR="005174A1">
        <w:rPr>
          <w:sz w:val="26"/>
          <w:szCs w:val="26"/>
        </w:rPr>
        <w:t>R</w:t>
      </w:r>
      <w:r w:rsidR="004E680A">
        <w:rPr>
          <w:sz w:val="26"/>
          <w:szCs w:val="26"/>
        </w:rPr>
        <w:t>.D. at 16, 3</w:t>
      </w:r>
      <w:r w:rsidR="003A5498">
        <w:rPr>
          <w:sz w:val="26"/>
          <w:szCs w:val="26"/>
        </w:rPr>
        <w:t>4</w:t>
      </w:r>
      <w:r w:rsidR="004E680A">
        <w:rPr>
          <w:sz w:val="26"/>
          <w:szCs w:val="26"/>
        </w:rPr>
        <w:t>-38.</w:t>
      </w:r>
      <w:r w:rsidR="003A5498">
        <w:rPr>
          <w:sz w:val="26"/>
          <w:szCs w:val="26"/>
        </w:rPr>
        <w:t xml:space="preserve">  </w:t>
      </w:r>
      <w:r w:rsidR="001F3060">
        <w:rPr>
          <w:sz w:val="26"/>
          <w:szCs w:val="26"/>
        </w:rPr>
        <w:t xml:space="preserve">In </w:t>
      </w:r>
      <w:r w:rsidR="00622281">
        <w:rPr>
          <w:sz w:val="26"/>
          <w:szCs w:val="26"/>
        </w:rPr>
        <w:t>c</w:t>
      </w:r>
      <w:r w:rsidR="001F3060">
        <w:rPr>
          <w:sz w:val="26"/>
          <w:szCs w:val="26"/>
        </w:rPr>
        <w:t>onclusion, the ALJs</w:t>
      </w:r>
      <w:r w:rsidR="009C6C72" w:rsidRPr="009C6C72">
        <w:rPr>
          <w:sz w:val="26"/>
          <w:szCs w:val="26"/>
        </w:rPr>
        <w:t xml:space="preserve"> </w:t>
      </w:r>
      <w:r w:rsidR="007E23B6">
        <w:rPr>
          <w:sz w:val="26"/>
          <w:szCs w:val="26"/>
        </w:rPr>
        <w:t xml:space="preserve">determined </w:t>
      </w:r>
      <w:r w:rsidR="009C6C72" w:rsidRPr="009C6C72">
        <w:rPr>
          <w:sz w:val="26"/>
          <w:szCs w:val="26"/>
        </w:rPr>
        <w:t>that the Settlement is supported by substantial evidence in the record of this proceeding and that the Settlement is therefore in the public interest and should be approved without modification.</w:t>
      </w:r>
      <w:r w:rsidR="00987F49">
        <w:rPr>
          <w:sz w:val="26"/>
          <w:szCs w:val="26"/>
        </w:rPr>
        <w:t xml:space="preserve">  </w:t>
      </w:r>
      <w:r w:rsidR="005174A1">
        <w:rPr>
          <w:sz w:val="26"/>
          <w:szCs w:val="26"/>
        </w:rPr>
        <w:t>R</w:t>
      </w:r>
      <w:r w:rsidR="00987F49">
        <w:rPr>
          <w:sz w:val="26"/>
          <w:szCs w:val="26"/>
        </w:rPr>
        <w:t>.D. at </w:t>
      </w:r>
      <w:r w:rsidR="004E680A">
        <w:rPr>
          <w:sz w:val="26"/>
          <w:szCs w:val="26"/>
        </w:rPr>
        <w:t>37-38.</w:t>
      </w:r>
    </w:p>
    <w:p w14:paraId="5C0F7527" w14:textId="77777777" w:rsidR="00867150" w:rsidRPr="004E64B8" w:rsidRDefault="00867150" w:rsidP="00277997">
      <w:pPr>
        <w:keepNext/>
        <w:keepLines/>
        <w:spacing w:line="360" w:lineRule="auto"/>
        <w:contextualSpacing/>
        <w:rPr>
          <w:b/>
          <w:sz w:val="26"/>
          <w:szCs w:val="26"/>
        </w:rPr>
      </w:pPr>
      <w:r w:rsidRPr="004E64B8">
        <w:rPr>
          <w:b/>
          <w:sz w:val="26"/>
          <w:szCs w:val="26"/>
        </w:rPr>
        <w:lastRenderedPageBreak/>
        <w:t>Disposition</w:t>
      </w:r>
    </w:p>
    <w:p w14:paraId="580E3F25" w14:textId="77777777" w:rsidR="00AC275F" w:rsidRPr="004E64B8" w:rsidRDefault="00AC275F" w:rsidP="00277997">
      <w:pPr>
        <w:keepNext/>
        <w:keepLines/>
        <w:spacing w:line="360" w:lineRule="auto"/>
        <w:contextualSpacing/>
        <w:rPr>
          <w:b/>
          <w:sz w:val="26"/>
          <w:szCs w:val="26"/>
        </w:rPr>
      </w:pPr>
    </w:p>
    <w:p w14:paraId="131DABE2" w14:textId="6B97FDE3" w:rsidR="00DD7643" w:rsidRPr="00DD7643" w:rsidRDefault="00DD7643" w:rsidP="00DD7643">
      <w:pPr>
        <w:spacing w:line="360" w:lineRule="auto"/>
        <w:ind w:firstLine="1440"/>
        <w:contextualSpacing/>
        <w:rPr>
          <w:sz w:val="26"/>
          <w:szCs w:val="26"/>
        </w:rPr>
      </w:pPr>
      <w:r w:rsidRPr="00DD7643">
        <w:rPr>
          <w:sz w:val="26"/>
          <w:szCs w:val="26"/>
        </w:rPr>
        <w:t xml:space="preserve">In </w:t>
      </w:r>
      <w:r w:rsidR="00937AD5">
        <w:rPr>
          <w:sz w:val="26"/>
          <w:szCs w:val="26"/>
        </w:rPr>
        <w:t>their</w:t>
      </w:r>
      <w:r w:rsidRPr="00DD7643">
        <w:rPr>
          <w:sz w:val="26"/>
          <w:szCs w:val="26"/>
        </w:rPr>
        <w:t xml:space="preserve"> Recommended Decision, the ALJ</w:t>
      </w:r>
      <w:r w:rsidR="008235BA">
        <w:rPr>
          <w:sz w:val="26"/>
          <w:szCs w:val="26"/>
        </w:rPr>
        <w:t>s</w:t>
      </w:r>
      <w:r w:rsidRPr="00DD7643">
        <w:rPr>
          <w:sz w:val="26"/>
          <w:szCs w:val="26"/>
        </w:rPr>
        <w:t xml:space="preserve"> recommended the adoption of the Joint Petition for Settlement</w:t>
      </w:r>
      <w:r w:rsidR="00622281">
        <w:rPr>
          <w:sz w:val="26"/>
          <w:szCs w:val="26"/>
        </w:rPr>
        <w:t>,</w:t>
      </w:r>
      <w:r w:rsidRPr="00DD7643">
        <w:rPr>
          <w:sz w:val="26"/>
          <w:szCs w:val="26"/>
        </w:rPr>
        <w:t xml:space="preserve"> as filed.  We concur with this aspect of the Recommended Decision and would approve the Joint Petition for Settlement</w:t>
      </w:r>
      <w:r w:rsidR="00622281">
        <w:rPr>
          <w:sz w:val="26"/>
          <w:szCs w:val="26"/>
        </w:rPr>
        <w:t>,</w:t>
      </w:r>
      <w:r w:rsidRPr="00DD7643">
        <w:rPr>
          <w:sz w:val="26"/>
          <w:szCs w:val="26"/>
        </w:rPr>
        <w:t xml:space="preserve"> as filed.  However, we </w:t>
      </w:r>
      <w:r w:rsidR="00527408">
        <w:rPr>
          <w:sz w:val="26"/>
          <w:szCs w:val="26"/>
        </w:rPr>
        <w:t>do</w:t>
      </w:r>
      <w:r w:rsidRPr="00DD7643">
        <w:rPr>
          <w:sz w:val="26"/>
          <w:szCs w:val="26"/>
        </w:rPr>
        <w:t xml:space="preserve"> not adopt Ord</w:t>
      </w:r>
      <w:r w:rsidR="001D751E">
        <w:rPr>
          <w:sz w:val="26"/>
          <w:szCs w:val="26"/>
        </w:rPr>
        <w:t>e</w:t>
      </w:r>
      <w:r w:rsidRPr="00DD7643">
        <w:rPr>
          <w:sz w:val="26"/>
          <w:szCs w:val="26"/>
        </w:rPr>
        <w:t>ring Paragraph No. 2 of the Recommended Decision whereby the ALJ</w:t>
      </w:r>
      <w:r w:rsidR="008235BA">
        <w:rPr>
          <w:sz w:val="26"/>
          <w:szCs w:val="26"/>
        </w:rPr>
        <w:t>s</w:t>
      </w:r>
      <w:r w:rsidRPr="00DD7643">
        <w:rPr>
          <w:sz w:val="26"/>
          <w:szCs w:val="26"/>
        </w:rPr>
        <w:t xml:space="preserve"> recommend that the Secretary mark the above-referenced docket number closed.  </w:t>
      </w:r>
    </w:p>
    <w:p w14:paraId="7457CACD" w14:textId="77777777" w:rsidR="00DD7643" w:rsidRPr="00DD7643" w:rsidRDefault="00DD7643" w:rsidP="00DD7643">
      <w:pPr>
        <w:spacing w:line="360" w:lineRule="auto"/>
        <w:ind w:firstLine="1440"/>
        <w:contextualSpacing/>
        <w:rPr>
          <w:sz w:val="26"/>
          <w:szCs w:val="26"/>
        </w:rPr>
      </w:pPr>
    </w:p>
    <w:p w14:paraId="672482F1" w14:textId="7382952B" w:rsidR="00F10DBC" w:rsidRPr="004E64B8" w:rsidRDefault="00DD7643" w:rsidP="00DD7643">
      <w:pPr>
        <w:spacing w:line="360" w:lineRule="auto"/>
        <w:ind w:firstLine="1440"/>
        <w:contextualSpacing/>
        <w:rPr>
          <w:sz w:val="26"/>
          <w:szCs w:val="26"/>
        </w:rPr>
      </w:pPr>
      <w:r w:rsidRPr="00DD7643">
        <w:rPr>
          <w:sz w:val="26"/>
          <w:szCs w:val="26"/>
        </w:rPr>
        <w:t xml:space="preserve">As is noted above, this matter was not subject to complete review by TUS because of its assignment to the OALJ for disposition of </w:t>
      </w:r>
      <w:r w:rsidR="00622281">
        <w:rPr>
          <w:sz w:val="26"/>
          <w:szCs w:val="26"/>
        </w:rPr>
        <w:t xml:space="preserve">the </w:t>
      </w:r>
      <w:r w:rsidRPr="00DD7643">
        <w:rPr>
          <w:sz w:val="26"/>
          <w:szCs w:val="26"/>
        </w:rPr>
        <w:t>contested matters.  As we state above, LTIIP petitions must meet all the unique requirements enumerated in statute, regulations, and Commission orders.  The Recommended Decision provides that the Parties attempted to resolve all outstanding issues and seeks approval for the specific matters settled.  As is the practice for a litigated LTIIP proceeding, the assigned ALJs focus on matters subject to dispute and do not attempt to analyze and approve the LTIIP in its entirety.</w:t>
      </w:r>
    </w:p>
    <w:p w14:paraId="11F4680C" w14:textId="77777777" w:rsidR="00183173" w:rsidRDefault="00183173" w:rsidP="004E64B8">
      <w:pPr>
        <w:spacing w:line="360" w:lineRule="auto"/>
        <w:ind w:firstLine="1440"/>
        <w:contextualSpacing/>
        <w:rPr>
          <w:sz w:val="26"/>
          <w:szCs w:val="26"/>
        </w:rPr>
      </w:pPr>
    </w:p>
    <w:p w14:paraId="7EC04D42" w14:textId="7F40B7DA" w:rsidR="00F10DBC" w:rsidRDefault="00183173" w:rsidP="004E64B8">
      <w:pPr>
        <w:spacing w:line="360" w:lineRule="auto"/>
        <w:ind w:firstLine="1440"/>
        <w:contextualSpacing/>
        <w:rPr>
          <w:sz w:val="26"/>
          <w:szCs w:val="26"/>
        </w:rPr>
      </w:pPr>
      <w:r w:rsidRPr="00183173">
        <w:rPr>
          <w:sz w:val="26"/>
          <w:szCs w:val="26"/>
        </w:rPr>
        <w:t xml:space="preserve">To ensure that the Petition complies with all LTIIP requirements, the PAWC Petition should be </w:t>
      </w:r>
      <w:proofErr w:type="gramStart"/>
      <w:r w:rsidRPr="00183173">
        <w:rPr>
          <w:sz w:val="26"/>
          <w:szCs w:val="26"/>
        </w:rPr>
        <w:t>referred back</w:t>
      </w:r>
      <w:proofErr w:type="gramEnd"/>
      <w:r w:rsidRPr="00183173">
        <w:rPr>
          <w:sz w:val="26"/>
          <w:szCs w:val="26"/>
        </w:rPr>
        <w:t xml:space="preserve"> to TUS for review of LTIIP issues or matters not addressed in the Joint Petition for Settlement.  Accordingly, TUS should resume its review subject to the schedule applicable to the Petition at the time it was assigned to </w:t>
      </w:r>
      <w:r w:rsidR="00622281">
        <w:rPr>
          <w:sz w:val="26"/>
          <w:szCs w:val="26"/>
        </w:rPr>
        <w:t xml:space="preserve">the </w:t>
      </w:r>
      <w:r w:rsidRPr="00183173">
        <w:rPr>
          <w:sz w:val="26"/>
          <w:szCs w:val="26"/>
        </w:rPr>
        <w:t>OALJ for review of disputed issues.</w:t>
      </w:r>
    </w:p>
    <w:p w14:paraId="7495A5AD" w14:textId="77777777" w:rsidR="00DF3463" w:rsidRPr="004E64B8" w:rsidRDefault="00DF3463" w:rsidP="004E64B8">
      <w:pPr>
        <w:spacing w:line="360" w:lineRule="auto"/>
        <w:ind w:firstLine="1440"/>
        <w:contextualSpacing/>
        <w:rPr>
          <w:sz w:val="26"/>
          <w:szCs w:val="26"/>
        </w:rPr>
      </w:pPr>
    </w:p>
    <w:p w14:paraId="3260EAE4" w14:textId="77777777" w:rsidR="00956972" w:rsidRPr="004E64B8" w:rsidRDefault="00956972" w:rsidP="00277997">
      <w:pPr>
        <w:keepNext/>
        <w:keepLines/>
        <w:spacing w:line="360" w:lineRule="auto"/>
        <w:contextualSpacing/>
        <w:jc w:val="center"/>
        <w:rPr>
          <w:b/>
          <w:sz w:val="26"/>
          <w:szCs w:val="26"/>
        </w:rPr>
      </w:pPr>
      <w:r w:rsidRPr="004E64B8">
        <w:rPr>
          <w:b/>
          <w:sz w:val="26"/>
          <w:szCs w:val="26"/>
        </w:rPr>
        <w:t>Conclusion</w:t>
      </w:r>
    </w:p>
    <w:p w14:paraId="4B2007DE" w14:textId="77777777" w:rsidR="006C56A5" w:rsidRPr="004E64B8" w:rsidRDefault="006C56A5" w:rsidP="00277997">
      <w:pPr>
        <w:keepNext/>
        <w:keepLines/>
        <w:spacing w:line="360" w:lineRule="auto"/>
        <w:contextualSpacing/>
        <w:rPr>
          <w:sz w:val="26"/>
          <w:szCs w:val="26"/>
        </w:rPr>
      </w:pPr>
    </w:p>
    <w:p w14:paraId="26DA9DBA" w14:textId="7DF824D5" w:rsidR="00956972" w:rsidRPr="004E64B8" w:rsidRDefault="006C56A5" w:rsidP="004E64B8">
      <w:pPr>
        <w:spacing w:line="360" w:lineRule="auto"/>
        <w:contextualSpacing/>
        <w:rPr>
          <w:sz w:val="26"/>
          <w:szCs w:val="26"/>
        </w:rPr>
      </w:pPr>
      <w:r w:rsidRPr="004E64B8">
        <w:rPr>
          <w:sz w:val="26"/>
          <w:szCs w:val="26"/>
        </w:rPr>
        <w:tab/>
      </w:r>
      <w:r w:rsidRPr="004E64B8">
        <w:rPr>
          <w:sz w:val="26"/>
          <w:szCs w:val="26"/>
        </w:rPr>
        <w:tab/>
      </w:r>
      <w:r w:rsidR="0023377F" w:rsidRPr="004E64B8">
        <w:rPr>
          <w:sz w:val="26"/>
          <w:szCs w:val="26"/>
        </w:rPr>
        <w:t xml:space="preserve">Based on our review of the </w:t>
      </w:r>
      <w:r w:rsidR="008B496B" w:rsidRPr="004E64B8">
        <w:rPr>
          <w:sz w:val="26"/>
          <w:szCs w:val="26"/>
        </w:rPr>
        <w:t>record</w:t>
      </w:r>
      <w:r w:rsidR="003928E1" w:rsidRPr="004E64B8">
        <w:rPr>
          <w:sz w:val="26"/>
          <w:szCs w:val="26"/>
        </w:rPr>
        <w:t xml:space="preserve">, </w:t>
      </w:r>
      <w:r w:rsidR="00427F6D" w:rsidRPr="00427F6D">
        <w:rPr>
          <w:sz w:val="26"/>
          <w:szCs w:val="26"/>
        </w:rPr>
        <w:t xml:space="preserve">we adopt the Recommended Decision of Deputy Chief Administrative Law Judge Joel H. Cheskis and Administrative Law Judge </w:t>
      </w:r>
      <w:r w:rsidR="00427F6D" w:rsidRPr="00427F6D">
        <w:rPr>
          <w:sz w:val="26"/>
          <w:szCs w:val="26"/>
        </w:rPr>
        <w:lastRenderedPageBreak/>
        <w:t xml:space="preserve">Andrew M. Calvelli, </w:t>
      </w:r>
      <w:r w:rsidR="00937AD5">
        <w:rPr>
          <w:sz w:val="26"/>
          <w:szCs w:val="26"/>
        </w:rPr>
        <w:t>issued on</w:t>
      </w:r>
      <w:r w:rsidR="00427F6D" w:rsidRPr="00427F6D">
        <w:rPr>
          <w:sz w:val="26"/>
          <w:szCs w:val="26"/>
        </w:rPr>
        <w:t xml:space="preserve"> November 2</w:t>
      </w:r>
      <w:r w:rsidR="006126E4">
        <w:rPr>
          <w:sz w:val="26"/>
          <w:szCs w:val="26"/>
        </w:rPr>
        <w:t>6</w:t>
      </w:r>
      <w:r w:rsidR="00427F6D" w:rsidRPr="00427F6D">
        <w:rPr>
          <w:sz w:val="26"/>
          <w:szCs w:val="26"/>
        </w:rPr>
        <w:t>, 2019</w:t>
      </w:r>
      <w:r w:rsidR="00427F6D">
        <w:rPr>
          <w:sz w:val="26"/>
          <w:szCs w:val="26"/>
        </w:rPr>
        <w:t>,</w:t>
      </w:r>
      <w:r w:rsidR="00191250" w:rsidRPr="004E64B8">
        <w:rPr>
          <w:sz w:val="26"/>
          <w:szCs w:val="26"/>
        </w:rPr>
        <w:t xml:space="preserve"> </w:t>
      </w:r>
      <w:r w:rsidR="00E90EE6" w:rsidRPr="004E64B8">
        <w:rPr>
          <w:sz w:val="26"/>
          <w:szCs w:val="26"/>
        </w:rPr>
        <w:t>as clarified by</w:t>
      </w:r>
      <w:r w:rsidR="007473AC" w:rsidRPr="004E64B8">
        <w:rPr>
          <w:sz w:val="26"/>
          <w:szCs w:val="26"/>
        </w:rPr>
        <w:t xml:space="preserve"> </w:t>
      </w:r>
      <w:r w:rsidR="0019251E" w:rsidRPr="004E64B8">
        <w:rPr>
          <w:sz w:val="26"/>
          <w:szCs w:val="26"/>
        </w:rPr>
        <w:t>this Opinion and Order</w:t>
      </w:r>
      <w:r w:rsidR="00905434" w:rsidRPr="004E64B8">
        <w:rPr>
          <w:sz w:val="26"/>
          <w:szCs w:val="26"/>
        </w:rPr>
        <w:t>;</w:t>
      </w:r>
      <w:r w:rsidR="00956972" w:rsidRPr="004E64B8">
        <w:rPr>
          <w:sz w:val="26"/>
          <w:szCs w:val="26"/>
        </w:rPr>
        <w:t xml:space="preserve"> </w:t>
      </w:r>
      <w:r w:rsidR="00956972" w:rsidRPr="004E64B8">
        <w:rPr>
          <w:b/>
          <w:sz w:val="26"/>
          <w:szCs w:val="26"/>
        </w:rPr>
        <w:t>THEREFORE,</w:t>
      </w:r>
      <w:r w:rsidR="00956972" w:rsidRPr="004E64B8">
        <w:rPr>
          <w:sz w:val="26"/>
          <w:szCs w:val="26"/>
        </w:rPr>
        <w:t xml:space="preserve"> </w:t>
      </w:r>
    </w:p>
    <w:p w14:paraId="2BE1A663" w14:textId="77777777" w:rsidR="001A1AD3" w:rsidRPr="004E64B8" w:rsidRDefault="001A1AD3" w:rsidP="004E64B8">
      <w:pPr>
        <w:spacing w:line="360" w:lineRule="auto"/>
        <w:contextualSpacing/>
        <w:rPr>
          <w:sz w:val="26"/>
          <w:szCs w:val="26"/>
        </w:rPr>
      </w:pPr>
      <w:r w:rsidRPr="004E64B8">
        <w:rPr>
          <w:sz w:val="26"/>
          <w:szCs w:val="26"/>
        </w:rPr>
        <w:tab/>
      </w:r>
      <w:r w:rsidRPr="004E64B8">
        <w:rPr>
          <w:sz w:val="26"/>
          <w:szCs w:val="26"/>
        </w:rPr>
        <w:tab/>
      </w:r>
    </w:p>
    <w:p w14:paraId="0AB8F830" w14:textId="77777777" w:rsidR="001A1AD3" w:rsidRPr="004E64B8" w:rsidRDefault="001A1AD3" w:rsidP="004E64B8">
      <w:pPr>
        <w:spacing w:line="360" w:lineRule="auto"/>
        <w:contextualSpacing/>
        <w:rPr>
          <w:b/>
          <w:sz w:val="26"/>
          <w:szCs w:val="26"/>
        </w:rPr>
      </w:pPr>
      <w:r w:rsidRPr="004E64B8">
        <w:rPr>
          <w:sz w:val="26"/>
          <w:szCs w:val="26"/>
        </w:rPr>
        <w:tab/>
      </w:r>
      <w:r w:rsidRPr="004E64B8">
        <w:rPr>
          <w:sz w:val="26"/>
          <w:szCs w:val="26"/>
        </w:rPr>
        <w:tab/>
      </w:r>
      <w:r w:rsidRPr="004E64B8">
        <w:rPr>
          <w:b/>
          <w:sz w:val="26"/>
          <w:szCs w:val="26"/>
        </w:rPr>
        <w:t>IT IS ORDERED:</w:t>
      </w:r>
    </w:p>
    <w:p w14:paraId="75160334" w14:textId="77777777" w:rsidR="001A1AD3" w:rsidRPr="004E64B8" w:rsidRDefault="001A1AD3" w:rsidP="004E64B8">
      <w:pPr>
        <w:spacing w:line="360" w:lineRule="auto"/>
        <w:contextualSpacing/>
        <w:rPr>
          <w:sz w:val="26"/>
          <w:szCs w:val="26"/>
        </w:rPr>
      </w:pPr>
    </w:p>
    <w:p w14:paraId="6885E3D0" w14:textId="1D0A8736" w:rsidR="00F97807" w:rsidRPr="004E64B8" w:rsidRDefault="001A1AD3" w:rsidP="004E64B8">
      <w:pPr>
        <w:spacing w:line="360" w:lineRule="auto"/>
        <w:contextualSpacing/>
        <w:rPr>
          <w:sz w:val="26"/>
          <w:szCs w:val="26"/>
        </w:rPr>
      </w:pPr>
      <w:r w:rsidRPr="004E64B8">
        <w:rPr>
          <w:sz w:val="26"/>
          <w:szCs w:val="26"/>
        </w:rPr>
        <w:tab/>
      </w:r>
      <w:r w:rsidRPr="004E64B8">
        <w:rPr>
          <w:sz w:val="26"/>
          <w:szCs w:val="26"/>
        </w:rPr>
        <w:tab/>
      </w:r>
      <w:r w:rsidR="0019251E" w:rsidRPr="004E64B8">
        <w:rPr>
          <w:sz w:val="26"/>
          <w:szCs w:val="26"/>
        </w:rPr>
        <w:t>1</w:t>
      </w:r>
      <w:r w:rsidR="00431F78" w:rsidRPr="004E64B8">
        <w:rPr>
          <w:sz w:val="26"/>
          <w:szCs w:val="26"/>
        </w:rPr>
        <w:t>.</w:t>
      </w:r>
      <w:r w:rsidR="00431F78" w:rsidRPr="004E64B8">
        <w:rPr>
          <w:b/>
          <w:sz w:val="26"/>
          <w:szCs w:val="26"/>
        </w:rPr>
        <w:tab/>
      </w:r>
      <w:r w:rsidR="00431F78" w:rsidRPr="004E64B8">
        <w:rPr>
          <w:sz w:val="26"/>
          <w:szCs w:val="26"/>
        </w:rPr>
        <w:t xml:space="preserve">That </w:t>
      </w:r>
      <w:r w:rsidR="009D0B36" w:rsidRPr="009D0B36">
        <w:rPr>
          <w:sz w:val="26"/>
          <w:szCs w:val="26"/>
        </w:rPr>
        <w:t>the Recommended Decision of Administrative Law Judges Joel</w:t>
      </w:r>
      <w:r w:rsidR="00F83989">
        <w:rPr>
          <w:sz w:val="26"/>
          <w:szCs w:val="26"/>
        </w:rPr>
        <w:t> </w:t>
      </w:r>
      <w:r w:rsidR="009D0B36" w:rsidRPr="009D0B36">
        <w:rPr>
          <w:sz w:val="26"/>
          <w:szCs w:val="26"/>
        </w:rPr>
        <w:t xml:space="preserve">H. Cheskis and Andrew M. Calvelli </w:t>
      </w:r>
      <w:r w:rsidR="00622281">
        <w:rPr>
          <w:sz w:val="26"/>
          <w:szCs w:val="26"/>
        </w:rPr>
        <w:t>issued on November 2</w:t>
      </w:r>
      <w:r w:rsidR="006126E4">
        <w:rPr>
          <w:sz w:val="26"/>
          <w:szCs w:val="26"/>
        </w:rPr>
        <w:t>6</w:t>
      </w:r>
      <w:r w:rsidR="00622281">
        <w:rPr>
          <w:sz w:val="26"/>
          <w:szCs w:val="26"/>
        </w:rPr>
        <w:t xml:space="preserve">, 2019, </w:t>
      </w:r>
      <w:r w:rsidR="009D0B36" w:rsidRPr="009D0B36">
        <w:rPr>
          <w:sz w:val="26"/>
          <w:szCs w:val="26"/>
        </w:rPr>
        <w:t>as it pertains to the August 15, 2019 Joint Petition for Settlement</w:t>
      </w:r>
      <w:r w:rsidR="006652C6" w:rsidRPr="004E64B8">
        <w:rPr>
          <w:sz w:val="26"/>
          <w:szCs w:val="26"/>
        </w:rPr>
        <w:t>,</w:t>
      </w:r>
      <w:r w:rsidR="008E45DB" w:rsidRPr="004E64B8">
        <w:rPr>
          <w:sz w:val="26"/>
          <w:szCs w:val="26"/>
        </w:rPr>
        <w:t xml:space="preserve"> </w:t>
      </w:r>
      <w:r w:rsidR="005154BC" w:rsidRPr="004E64B8">
        <w:rPr>
          <w:sz w:val="26"/>
          <w:szCs w:val="26"/>
        </w:rPr>
        <w:t xml:space="preserve">is </w:t>
      </w:r>
      <w:r w:rsidR="00E90EE6" w:rsidRPr="004E64B8">
        <w:rPr>
          <w:sz w:val="26"/>
          <w:szCs w:val="26"/>
        </w:rPr>
        <w:t>adopted</w:t>
      </w:r>
      <w:r w:rsidR="00277E9A" w:rsidRPr="004E64B8">
        <w:rPr>
          <w:sz w:val="26"/>
          <w:szCs w:val="26"/>
        </w:rPr>
        <w:t xml:space="preserve">, </w:t>
      </w:r>
      <w:r w:rsidR="00E90EE6" w:rsidRPr="004E64B8">
        <w:rPr>
          <w:sz w:val="26"/>
          <w:szCs w:val="26"/>
        </w:rPr>
        <w:t>as clarified by</w:t>
      </w:r>
      <w:r w:rsidR="00243CC9" w:rsidRPr="004E64B8">
        <w:rPr>
          <w:sz w:val="26"/>
          <w:szCs w:val="26"/>
        </w:rPr>
        <w:t xml:space="preserve"> this Opinion and Order</w:t>
      </w:r>
      <w:r w:rsidR="00EF782F" w:rsidRPr="004E64B8">
        <w:rPr>
          <w:sz w:val="26"/>
          <w:szCs w:val="26"/>
        </w:rPr>
        <w:t>.</w:t>
      </w:r>
    </w:p>
    <w:p w14:paraId="7381A190" w14:textId="77777777" w:rsidR="00277E9A" w:rsidRPr="004E64B8" w:rsidRDefault="00277E9A" w:rsidP="004E64B8">
      <w:pPr>
        <w:spacing w:line="360" w:lineRule="auto"/>
        <w:contextualSpacing/>
        <w:rPr>
          <w:sz w:val="26"/>
          <w:szCs w:val="26"/>
        </w:rPr>
      </w:pPr>
    </w:p>
    <w:p w14:paraId="4F200CF2" w14:textId="5C4E5C5B" w:rsidR="00277E9A" w:rsidRPr="004E64B8" w:rsidRDefault="00277E9A" w:rsidP="004E64B8">
      <w:pPr>
        <w:spacing w:line="360" w:lineRule="auto"/>
        <w:contextualSpacing/>
        <w:rPr>
          <w:sz w:val="26"/>
          <w:szCs w:val="26"/>
        </w:rPr>
      </w:pPr>
      <w:r w:rsidRPr="004E64B8">
        <w:rPr>
          <w:sz w:val="26"/>
          <w:szCs w:val="26"/>
        </w:rPr>
        <w:tab/>
      </w:r>
      <w:r w:rsidRPr="004E64B8">
        <w:rPr>
          <w:sz w:val="26"/>
          <w:szCs w:val="26"/>
        </w:rPr>
        <w:tab/>
        <w:t>2.</w:t>
      </w:r>
      <w:r w:rsidRPr="004E64B8">
        <w:rPr>
          <w:sz w:val="26"/>
          <w:szCs w:val="26"/>
        </w:rPr>
        <w:tab/>
      </w:r>
      <w:r w:rsidR="00351EDF">
        <w:rPr>
          <w:sz w:val="26"/>
          <w:szCs w:val="26"/>
        </w:rPr>
        <w:t>That t</w:t>
      </w:r>
      <w:r w:rsidR="00F63FB8" w:rsidRPr="00F63FB8">
        <w:rPr>
          <w:sz w:val="26"/>
          <w:szCs w:val="26"/>
        </w:rPr>
        <w:t>he matter at Docket No. P-2014-2431005 remain open subject to the completion of the Bureau of Technical Utility Service</w:t>
      </w:r>
      <w:r w:rsidR="00351EDF">
        <w:rPr>
          <w:sz w:val="26"/>
          <w:szCs w:val="26"/>
        </w:rPr>
        <w:t>s</w:t>
      </w:r>
      <w:r w:rsidR="00F63FB8" w:rsidRPr="00F63FB8">
        <w:rPr>
          <w:sz w:val="26"/>
          <w:szCs w:val="26"/>
        </w:rPr>
        <w:t xml:space="preserve"> review of the December</w:t>
      </w:r>
      <w:r w:rsidR="004C6A40">
        <w:rPr>
          <w:sz w:val="26"/>
          <w:szCs w:val="26"/>
        </w:rPr>
        <w:t> </w:t>
      </w:r>
      <w:r w:rsidR="00F63FB8" w:rsidRPr="00F63FB8">
        <w:rPr>
          <w:sz w:val="26"/>
          <w:szCs w:val="26"/>
        </w:rPr>
        <w:t>12,</w:t>
      </w:r>
      <w:r w:rsidR="004C6A40">
        <w:rPr>
          <w:sz w:val="26"/>
          <w:szCs w:val="26"/>
        </w:rPr>
        <w:t> </w:t>
      </w:r>
      <w:r w:rsidR="00F63FB8" w:rsidRPr="00F63FB8">
        <w:rPr>
          <w:sz w:val="26"/>
          <w:szCs w:val="26"/>
        </w:rPr>
        <w:t>2018 Petition of Pennsylvania-American Water Company Wastewater Operations for Approval of Modification of Long-Term Infrastructure Improvement Plan.</w:t>
      </w:r>
    </w:p>
    <w:p w14:paraId="1B9D6EAB" w14:textId="77777777" w:rsidR="00266A79" w:rsidRPr="004E64B8" w:rsidRDefault="00266A79" w:rsidP="004E64B8">
      <w:pPr>
        <w:spacing w:line="360" w:lineRule="auto"/>
        <w:contextualSpacing/>
        <w:rPr>
          <w:sz w:val="26"/>
          <w:szCs w:val="26"/>
        </w:rPr>
      </w:pPr>
    </w:p>
    <w:p w14:paraId="369A0640" w14:textId="618DBB14" w:rsidR="008106A5" w:rsidRDefault="00C5582E" w:rsidP="00987F49">
      <w:pPr>
        <w:spacing w:line="360" w:lineRule="auto"/>
        <w:contextualSpacing/>
        <w:rPr>
          <w:sz w:val="26"/>
          <w:szCs w:val="26"/>
        </w:rPr>
      </w:pPr>
      <w:r w:rsidRPr="004E64B8">
        <w:rPr>
          <w:sz w:val="26"/>
          <w:szCs w:val="26"/>
        </w:rPr>
        <w:tab/>
      </w:r>
      <w:r w:rsidRPr="004E64B8">
        <w:rPr>
          <w:sz w:val="26"/>
          <w:szCs w:val="26"/>
        </w:rPr>
        <w:tab/>
        <w:t>3.</w:t>
      </w:r>
      <w:r w:rsidRPr="004E64B8">
        <w:rPr>
          <w:sz w:val="26"/>
          <w:szCs w:val="26"/>
        </w:rPr>
        <w:tab/>
      </w:r>
      <w:r w:rsidR="003C1FBE">
        <w:rPr>
          <w:sz w:val="26"/>
          <w:szCs w:val="26"/>
        </w:rPr>
        <w:t>That t</w:t>
      </w:r>
      <w:r w:rsidR="006F7A04" w:rsidRPr="006F7A04">
        <w:rPr>
          <w:sz w:val="26"/>
          <w:szCs w:val="26"/>
        </w:rPr>
        <w:t>he Pennsylvania-American Water Company Wastewater Operations file an Amended Long-Term Infrastructure Improvement Plan incorporating matters expressly resolved by the Joint Petition for Settlement with the Bureau of Technical Utility Services.</w:t>
      </w:r>
    </w:p>
    <w:p w14:paraId="555A3289" w14:textId="08BFCEF3" w:rsidR="008106A5" w:rsidRPr="004E64B8" w:rsidRDefault="008106A5" w:rsidP="00B215A1">
      <w:pPr>
        <w:keepNext/>
        <w:keepLines/>
        <w:spacing w:line="360" w:lineRule="auto"/>
        <w:contextualSpacing/>
        <w:rPr>
          <w:sz w:val="26"/>
          <w:szCs w:val="26"/>
        </w:rPr>
      </w:pPr>
      <w:r>
        <w:rPr>
          <w:sz w:val="26"/>
          <w:szCs w:val="26"/>
        </w:rPr>
        <w:lastRenderedPageBreak/>
        <w:tab/>
      </w:r>
      <w:r>
        <w:rPr>
          <w:sz w:val="26"/>
          <w:szCs w:val="26"/>
        </w:rPr>
        <w:tab/>
        <w:t>4.</w:t>
      </w:r>
      <w:r>
        <w:rPr>
          <w:sz w:val="26"/>
          <w:szCs w:val="26"/>
        </w:rPr>
        <w:tab/>
      </w:r>
      <w:r w:rsidR="003C1FBE">
        <w:rPr>
          <w:sz w:val="26"/>
          <w:szCs w:val="26"/>
        </w:rPr>
        <w:t>That t</w:t>
      </w:r>
      <w:r w:rsidR="00410104" w:rsidRPr="00410104">
        <w:rPr>
          <w:sz w:val="26"/>
          <w:szCs w:val="26"/>
        </w:rPr>
        <w:t>he Bureau of Technical Utility Service</w:t>
      </w:r>
      <w:r w:rsidR="00E85E59">
        <w:rPr>
          <w:sz w:val="26"/>
          <w:szCs w:val="26"/>
        </w:rPr>
        <w:t>s</w:t>
      </w:r>
      <w:r w:rsidR="00410104" w:rsidRPr="00410104">
        <w:rPr>
          <w:sz w:val="26"/>
          <w:szCs w:val="26"/>
        </w:rPr>
        <w:t xml:space="preserve"> shall complete its review subject to the schedule in place at the time the proceeding was assigned to the Office of Administrative Law Judge for hearings in this matter and submit an order for Commission consideration</w:t>
      </w:r>
      <w:r w:rsidR="00410104">
        <w:rPr>
          <w:sz w:val="26"/>
          <w:szCs w:val="26"/>
        </w:rPr>
        <w:t>.</w:t>
      </w:r>
    </w:p>
    <w:p w14:paraId="22A66A98" w14:textId="77777777" w:rsidR="00120C2F" w:rsidRPr="004E64B8" w:rsidRDefault="00120C2F" w:rsidP="00B215A1">
      <w:pPr>
        <w:keepNext/>
        <w:keepLines/>
        <w:spacing w:line="360" w:lineRule="auto"/>
        <w:contextualSpacing/>
        <w:rPr>
          <w:sz w:val="26"/>
          <w:szCs w:val="26"/>
        </w:rPr>
      </w:pPr>
    </w:p>
    <w:p w14:paraId="6554065C" w14:textId="77777777" w:rsidR="00503B2F" w:rsidRPr="004E64B8" w:rsidRDefault="002E7206" w:rsidP="00B215A1">
      <w:pPr>
        <w:keepNext/>
        <w:keepLines/>
        <w:spacing w:line="360" w:lineRule="auto"/>
        <w:contextualSpacing/>
        <w:rPr>
          <w:sz w:val="26"/>
          <w:szCs w:val="26"/>
        </w:rPr>
      </w:pPr>
      <w:r w:rsidRPr="004E64B8">
        <w:rPr>
          <w:sz w:val="26"/>
          <w:szCs w:val="26"/>
        </w:rPr>
        <w:tab/>
      </w:r>
      <w:r w:rsidRPr="004E64B8">
        <w:rPr>
          <w:sz w:val="26"/>
          <w:szCs w:val="26"/>
        </w:rPr>
        <w:tab/>
      </w:r>
      <w:r w:rsidR="001A1AD3" w:rsidRPr="004E64B8">
        <w:rPr>
          <w:sz w:val="26"/>
          <w:szCs w:val="26"/>
        </w:rPr>
        <w:tab/>
      </w:r>
      <w:r w:rsidR="001A1AD3" w:rsidRPr="004E64B8">
        <w:rPr>
          <w:sz w:val="26"/>
          <w:szCs w:val="26"/>
        </w:rPr>
        <w:tab/>
      </w:r>
      <w:r w:rsidR="0019251E" w:rsidRPr="004E64B8">
        <w:rPr>
          <w:sz w:val="26"/>
          <w:szCs w:val="26"/>
        </w:rPr>
        <w:tab/>
      </w:r>
      <w:r w:rsidR="001A1AD3" w:rsidRPr="004E64B8">
        <w:rPr>
          <w:sz w:val="26"/>
          <w:szCs w:val="26"/>
        </w:rPr>
        <w:tab/>
      </w:r>
      <w:r w:rsidR="001A1AD3" w:rsidRPr="004E64B8">
        <w:rPr>
          <w:sz w:val="26"/>
          <w:szCs w:val="26"/>
        </w:rPr>
        <w:tab/>
      </w:r>
      <w:r w:rsidR="00503B2F" w:rsidRPr="004E64B8">
        <w:rPr>
          <w:b/>
          <w:sz w:val="26"/>
          <w:szCs w:val="26"/>
        </w:rPr>
        <w:t>BY THE COMMISSION,</w:t>
      </w:r>
    </w:p>
    <w:p w14:paraId="6384F0A7" w14:textId="77777777" w:rsidR="00503B2F" w:rsidRPr="004E64B8" w:rsidRDefault="00503B2F" w:rsidP="00B215A1">
      <w:pPr>
        <w:keepNext/>
        <w:keepLines/>
        <w:tabs>
          <w:tab w:val="left" w:pos="-720"/>
        </w:tabs>
        <w:suppressAutoHyphens/>
        <w:contextualSpacing/>
        <w:rPr>
          <w:sz w:val="26"/>
          <w:szCs w:val="26"/>
        </w:rPr>
      </w:pPr>
    </w:p>
    <w:p w14:paraId="7E1132D2" w14:textId="1F4BC78A" w:rsidR="00503B2F" w:rsidRPr="004E64B8" w:rsidRDefault="00B631DC" w:rsidP="00B215A1">
      <w:pPr>
        <w:keepNext/>
        <w:keepLines/>
        <w:tabs>
          <w:tab w:val="left" w:pos="-720"/>
        </w:tabs>
        <w:suppressAutoHyphens/>
        <w:contextualSpacing/>
        <w:rPr>
          <w:sz w:val="26"/>
          <w:szCs w:val="26"/>
        </w:rPr>
      </w:pPr>
      <w:r>
        <w:rPr>
          <w:sz w:val="26"/>
          <w:szCs w:val="26"/>
        </w:rPr>
        <w:tab/>
      </w:r>
      <w:r>
        <w:rPr>
          <w:sz w:val="26"/>
          <w:szCs w:val="26"/>
        </w:rPr>
        <w:tab/>
      </w:r>
      <w:r>
        <w:rPr>
          <w:sz w:val="26"/>
          <w:szCs w:val="26"/>
        </w:rPr>
        <w:tab/>
      </w:r>
      <w:r>
        <w:rPr>
          <w:sz w:val="26"/>
          <w:szCs w:val="26"/>
        </w:rPr>
        <w:tab/>
      </w:r>
      <w:bookmarkStart w:id="1" w:name="_GoBack"/>
      <w:bookmarkEnd w:id="1"/>
      <w:r>
        <w:rPr>
          <w:sz w:val="26"/>
          <w:szCs w:val="26"/>
        </w:rPr>
        <w:tab/>
      </w:r>
      <w:r>
        <w:rPr>
          <w:sz w:val="26"/>
          <w:szCs w:val="26"/>
        </w:rPr>
        <w:tab/>
      </w:r>
      <w:r>
        <w:rPr>
          <w:sz w:val="26"/>
          <w:szCs w:val="26"/>
        </w:rPr>
        <w:tab/>
      </w:r>
      <w:r>
        <w:rPr>
          <w:noProof/>
          <w:sz w:val="26"/>
          <w:szCs w:val="26"/>
        </w:rPr>
        <w:drawing>
          <wp:inline distT="0" distB="0" distL="0" distR="0" wp14:anchorId="3932BA19" wp14:editId="75AA9F26">
            <wp:extent cx="1874520" cy="713232"/>
            <wp:effectExtent l="0" t="0" r="0" b="0"/>
            <wp:docPr id="1" name="Picture 1"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emary signa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4520" cy="713232"/>
                    </a:xfrm>
                    <a:prstGeom prst="rect">
                      <a:avLst/>
                    </a:prstGeom>
                  </pic:spPr>
                </pic:pic>
              </a:graphicData>
            </a:graphic>
          </wp:inline>
        </w:drawing>
      </w:r>
    </w:p>
    <w:p w14:paraId="74D7A1AA" w14:textId="77777777" w:rsidR="00503B2F" w:rsidRPr="004E64B8" w:rsidRDefault="00503B2F" w:rsidP="00B215A1">
      <w:pPr>
        <w:keepNext/>
        <w:keepLines/>
        <w:tabs>
          <w:tab w:val="left" w:pos="-720"/>
        </w:tabs>
        <w:suppressAutoHyphens/>
        <w:contextualSpacing/>
        <w:rPr>
          <w:sz w:val="26"/>
          <w:szCs w:val="26"/>
        </w:rPr>
      </w:pPr>
    </w:p>
    <w:p w14:paraId="0F61EEDF" w14:textId="77777777" w:rsidR="00503B2F" w:rsidRPr="004E64B8" w:rsidRDefault="00503B2F" w:rsidP="00B215A1">
      <w:pPr>
        <w:keepNext/>
        <w:keepLines/>
        <w:tabs>
          <w:tab w:val="left" w:pos="-720"/>
        </w:tabs>
        <w:suppressAutoHyphens/>
        <w:contextualSpacing/>
        <w:rPr>
          <w:sz w:val="26"/>
          <w:szCs w:val="26"/>
        </w:rPr>
      </w:pPr>
      <w:r w:rsidRPr="004E64B8">
        <w:rPr>
          <w:sz w:val="26"/>
          <w:szCs w:val="26"/>
        </w:rPr>
        <w:tab/>
      </w:r>
      <w:r w:rsidRPr="004E64B8">
        <w:rPr>
          <w:sz w:val="26"/>
          <w:szCs w:val="26"/>
        </w:rPr>
        <w:tab/>
      </w:r>
      <w:r w:rsidRPr="004E64B8">
        <w:rPr>
          <w:sz w:val="26"/>
          <w:szCs w:val="26"/>
        </w:rPr>
        <w:tab/>
      </w:r>
      <w:r w:rsidRPr="004E64B8">
        <w:rPr>
          <w:sz w:val="26"/>
          <w:szCs w:val="26"/>
        </w:rPr>
        <w:tab/>
      </w:r>
      <w:r w:rsidRPr="004E64B8">
        <w:rPr>
          <w:sz w:val="26"/>
          <w:szCs w:val="26"/>
        </w:rPr>
        <w:tab/>
      </w:r>
      <w:r w:rsidRPr="004E64B8">
        <w:rPr>
          <w:sz w:val="26"/>
          <w:szCs w:val="26"/>
        </w:rPr>
        <w:tab/>
      </w:r>
      <w:r w:rsidRPr="004E64B8">
        <w:rPr>
          <w:sz w:val="26"/>
          <w:szCs w:val="26"/>
        </w:rPr>
        <w:tab/>
        <w:t>Rosemary Chiavetta</w:t>
      </w:r>
    </w:p>
    <w:p w14:paraId="3B159B15" w14:textId="77777777" w:rsidR="00503B2F" w:rsidRPr="004E64B8" w:rsidRDefault="00503B2F" w:rsidP="00B215A1">
      <w:pPr>
        <w:keepNext/>
        <w:keepLines/>
        <w:tabs>
          <w:tab w:val="left" w:pos="-720"/>
        </w:tabs>
        <w:suppressAutoHyphens/>
        <w:contextualSpacing/>
        <w:rPr>
          <w:sz w:val="26"/>
          <w:szCs w:val="26"/>
        </w:rPr>
      </w:pPr>
      <w:r w:rsidRPr="004E64B8">
        <w:rPr>
          <w:sz w:val="26"/>
          <w:szCs w:val="26"/>
        </w:rPr>
        <w:tab/>
      </w:r>
      <w:r w:rsidRPr="004E64B8">
        <w:rPr>
          <w:sz w:val="26"/>
          <w:szCs w:val="26"/>
        </w:rPr>
        <w:tab/>
      </w:r>
      <w:r w:rsidRPr="004E64B8">
        <w:rPr>
          <w:sz w:val="26"/>
          <w:szCs w:val="26"/>
        </w:rPr>
        <w:tab/>
      </w:r>
      <w:r w:rsidRPr="004E64B8">
        <w:rPr>
          <w:sz w:val="26"/>
          <w:szCs w:val="26"/>
        </w:rPr>
        <w:tab/>
      </w:r>
      <w:r w:rsidRPr="004E64B8">
        <w:rPr>
          <w:sz w:val="26"/>
          <w:szCs w:val="26"/>
        </w:rPr>
        <w:tab/>
      </w:r>
      <w:r w:rsidRPr="004E64B8">
        <w:rPr>
          <w:sz w:val="26"/>
          <w:szCs w:val="26"/>
        </w:rPr>
        <w:tab/>
      </w:r>
      <w:r w:rsidRPr="004E64B8">
        <w:rPr>
          <w:sz w:val="26"/>
          <w:szCs w:val="26"/>
        </w:rPr>
        <w:tab/>
        <w:t>Secretary</w:t>
      </w:r>
    </w:p>
    <w:p w14:paraId="46EB45B4" w14:textId="77777777" w:rsidR="00EC7358" w:rsidRPr="004E64B8" w:rsidRDefault="00EC7358" w:rsidP="00B215A1">
      <w:pPr>
        <w:keepNext/>
        <w:keepLines/>
        <w:tabs>
          <w:tab w:val="left" w:pos="-720"/>
        </w:tabs>
        <w:suppressAutoHyphens/>
        <w:contextualSpacing/>
        <w:rPr>
          <w:sz w:val="26"/>
          <w:szCs w:val="26"/>
        </w:rPr>
      </w:pPr>
    </w:p>
    <w:p w14:paraId="4ADDD265" w14:textId="77777777" w:rsidR="00503B2F" w:rsidRPr="004E64B8" w:rsidRDefault="00503B2F" w:rsidP="00B215A1">
      <w:pPr>
        <w:keepNext/>
        <w:keepLines/>
        <w:tabs>
          <w:tab w:val="left" w:pos="-720"/>
        </w:tabs>
        <w:suppressAutoHyphens/>
        <w:contextualSpacing/>
        <w:rPr>
          <w:sz w:val="26"/>
          <w:szCs w:val="26"/>
        </w:rPr>
      </w:pPr>
    </w:p>
    <w:p w14:paraId="3ADD5BE3" w14:textId="77777777" w:rsidR="00503B2F" w:rsidRPr="004E64B8" w:rsidRDefault="00503B2F" w:rsidP="00B215A1">
      <w:pPr>
        <w:keepNext/>
        <w:keepLines/>
        <w:tabs>
          <w:tab w:val="left" w:pos="-720"/>
        </w:tabs>
        <w:suppressAutoHyphens/>
        <w:contextualSpacing/>
        <w:rPr>
          <w:sz w:val="26"/>
          <w:szCs w:val="26"/>
        </w:rPr>
      </w:pPr>
      <w:r w:rsidRPr="004E64B8">
        <w:rPr>
          <w:sz w:val="26"/>
          <w:szCs w:val="26"/>
        </w:rPr>
        <w:t>(SEAL)</w:t>
      </w:r>
    </w:p>
    <w:p w14:paraId="591ADC38" w14:textId="77777777" w:rsidR="00503B2F" w:rsidRPr="004E64B8" w:rsidRDefault="00503B2F" w:rsidP="00B215A1">
      <w:pPr>
        <w:keepNext/>
        <w:keepLines/>
        <w:tabs>
          <w:tab w:val="left" w:pos="-720"/>
        </w:tabs>
        <w:suppressAutoHyphens/>
        <w:contextualSpacing/>
        <w:rPr>
          <w:sz w:val="26"/>
          <w:szCs w:val="26"/>
        </w:rPr>
      </w:pPr>
    </w:p>
    <w:p w14:paraId="767F387E" w14:textId="56973812" w:rsidR="00503B2F" w:rsidRPr="004E64B8" w:rsidRDefault="00503B2F" w:rsidP="00B215A1">
      <w:pPr>
        <w:keepNext/>
        <w:keepLines/>
        <w:tabs>
          <w:tab w:val="left" w:pos="-720"/>
        </w:tabs>
        <w:suppressAutoHyphens/>
        <w:contextualSpacing/>
        <w:rPr>
          <w:sz w:val="26"/>
          <w:szCs w:val="26"/>
        </w:rPr>
      </w:pPr>
      <w:r w:rsidRPr="004E64B8">
        <w:rPr>
          <w:sz w:val="26"/>
          <w:szCs w:val="26"/>
        </w:rPr>
        <w:t>ORDER ADOPTED:</w:t>
      </w:r>
      <w:r w:rsidR="00FF14E7" w:rsidRPr="004E64B8">
        <w:rPr>
          <w:sz w:val="26"/>
          <w:szCs w:val="26"/>
        </w:rPr>
        <w:t xml:space="preserve">  </w:t>
      </w:r>
      <w:r w:rsidR="00E90EE6" w:rsidRPr="004E64B8">
        <w:rPr>
          <w:sz w:val="26"/>
          <w:szCs w:val="26"/>
        </w:rPr>
        <w:t xml:space="preserve">December </w:t>
      </w:r>
      <w:r w:rsidR="00B7493B">
        <w:rPr>
          <w:sz w:val="26"/>
          <w:szCs w:val="26"/>
        </w:rPr>
        <w:t>19</w:t>
      </w:r>
      <w:r w:rsidR="00A926BB" w:rsidRPr="004E64B8">
        <w:rPr>
          <w:sz w:val="26"/>
          <w:szCs w:val="26"/>
        </w:rPr>
        <w:t>, 201</w:t>
      </w:r>
      <w:r w:rsidR="00B7493B">
        <w:rPr>
          <w:sz w:val="26"/>
          <w:szCs w:val="26"/>
        </w:rPr>
        <w:t>9</w:t>
      </w:r>
    </w:p>
    <w:p w14:paraId="09A7260C" w14:textId="77777777" w:rsidR="00503B2F" w:rsidRPr="004E64B8" w:rsidRDefault="00503B2F" w:rsidP="00B215A1">
      <w:pPr>
        <w:keepNext/>
        <w:keepLines/>
        <w:tabs>
          <w:tab w:val="left" w:pos="-720"/>
        </w:tabs>
        <w:suppressAutoHyphens/>
        <w:contextualSpacing/>
        <w:rPr>
          <w:sz w:val="26"/>
          <w:szCs w:val="26"/>
        </w:rPr>
      </w:pPr>
    </w:p>
    <w:p w14:paraId="6C6B5FF7" w14:textId="2ED47919" w:rsidR="009304FE" w:rsidRPr="004E64B8" w:rsidRDefault="00DD3119" w:rsidP="00B215A1">
      <w:pPr>
        <w:keepNext/>
        <w:keepLines/>
        <w:tabs>
          <w:tab w:val="left" w:pos="-720"/>
        </w:tabs>
        <w:suppressAutoHyphens/>
        <w:contextualSpacing/>
        <w:rPr>
          <w:sz w:val="26"/>
          <w:szCs w:val="26"/>
        </w:rPr>
      </w:pPr>
      <w:r w:rsidRPr="004E64B8">
        <w:rPr>
          <w:sz w:val="26"/>
          <w:szCs w:val="26"/>
        </w:rPr>
        <w:t xml:space="preserve">ORDER ENTERED:  </w:t>
      </w:r>
      <w:r w:rsidR="00B631DC">
        <w:rPr>
          <w:sz w:val="26"/>
          <w:szCs w:val="26"/>
        </w:rPr>
        <w:t>January 7, 2020</w:t>
      </w:r>
    </w:p>
    <w:sectPr w:rsidR="009304FE" w:rsidRPr="004E64B8"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25190" w14:textId="77777777" w:rsidR="00763430" w:rsidRDefault="00763430">
      <w:r>
        <w:separator/>
      </w:r>
    </w:p>
  </w:endnote>
  <w:endnote w:type="continuationSeparator" w:id="0">
    <w:p w14:paraId="08E8BE89" w14:textId="77777777" w:rsidR="00763430" w:rsidRDefault="0076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87160" w14:textId="77777777" w:rsidR="008F6315" w:rsidRDefault="008F6315"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7839">
      <w:rPr>
        <w:rStyle w:val="PageNumber"/>
        <w:noProof/>
      </w:rPr>
      <w:t>8</w:t>
    </w:r>
    <w:r>
      <w:rPr>
        <w:rStyle w:val="PageNumber"/>
      </w:rPr>
      <w:fldChar w:fldCharType="end"/>
    </w:r>
  </w:p>
  <w:p w14:paraId="3A322A18" w14:textId="77777777" w:rsidR="008F6315" w:rsidRDefault="008F6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2FAB2" w14:textId="63AA6DB0" w:rsidR="008F6315" w:rsidRPr="00F83989" w:rsidRDefault="008F6315" w:rsidP="00654A2F">
    <w:pPr>
      <w:pStyle w:val="Footer"/>
      <w:framePr w:wrap="around" w:vAnchor="text" w:hAnchor="margin" w:xAlign="center" w:y="1"/>
      <w:rPr>
        <w:rStyle w:val="PageNumber"/>
        <w:sz w:val="26"/>
        <w:szCs w:val="26"/>
      </w:rPr>
    </w:pPr>
    <w:r w:rsidRPr="00F83989">
      <w:rPr>
        <w:rStyle w:val="PageNumber"/>
        <w:sz w:val="26"/>
        <w:szCs w:val="26"/>
      </w:rPr>
      <w:fldChar w:fldCharType="begin"/>
    </w:r>
    <w:r w:rsidRPr="00F83989">
      <w:rPr>
        <w:rStyle w:val="PageNumber"/>
        <w:sz w:val="26"/>
        <w:szCs w:val="26"/>
      </w:rPr>
      <w:instrText xml:space="preserve">PAGE  </w:instrText>
    </w:r>
    <w:r w:rsidRPr="00F83989">
      <w:rPr>
        <w:rStyle w:val="PageNumber"/>
        <w:sz w:val="26"/>
        <w:szCs w:val="26"/>
      </w:rPr>
      <w:fldChar w:fldCharType="separate"/>
    </w:r>
    <w:r w:rsidR="00987F49" w:rsidRPr="00F83989">
      <w:rPr>
        <w:rStyle w:val="PageNumber"/>
        <w:noProof/>
        <w:sz w:val="26"/>
        <w:szCs w:val="26"/>
      </w:rPr>
      <w:t>11</w:t>
    </w:r>
    <w:r w:rsidRPr="00F83989">
      <w:rPr>
        <w:rStyle w:val="PageNumber"/>
        <w:sz w:val="26"/>
        <w:szCs w:val="26"/>
      </w:rPr>
      <w:fldChar w:fldCharType="end"/>
    </w:r>
  </w:p>
  <w:p w14:paraId="28C86E9C" w14:textId="77777777" w:rsidR="008F6315" w:rsidRPr="00F83989" w:rsidRDefault="008F6315">
    <w:pPr>
      <w:pStyle w:val="Foo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4E329" w14:textId="77777777" w:rsidR="00763430" w:rsidRDefault="00763430">
      <w:r>
        <w:separator/>
      </w:r>
    </w:p>
  </w:footnote>
  <w:footnote w:type="continuationSeparator" w:id="0">
    <w:p w14:paraId="27DE8D74" w14:textId="77777777" w:rsidR="00763430" w:rsidRDefault="00763430">
      <w:r>
        <w:continuationSeparator/>
      </w:r>
    </w:p>
  </w:footnote>
  <w:footnote w:id="1">
    <w:p w14:paraId="141DB5AB" w14:textId="50897ADD" w:rsidR="00C017AD" w:rsidRPr="00896F5A" w:rsidRDefault="00E80795" w:rsidP="00F83989">
      <w:pPr>
        <w:pStyle w:val="FootnoteText"/>
        <w:spacing w:before="0"/>
        <w:rPr>
          <w:rFonts w:ascii="Times New Roman" w:hAnsi="Times New Roman"/>
          <w:sz w:val="20"/>
        </w:rPr>
      </w:pPr>
      <w:r w:rsidRPr="00987F49">
        <w:rPr>
          <w:rFonts w:ascii="Times New Roman" w:hAnsi="Times New Roman"/>
          <w:sz w:val="26"/>
          <w:szCs w:val="26"/>
        </w:rPr>
        <w:tab/>
      </w:r>
      <w:r w:rsidR="00C017AD" w:rsidRPr="00987F49">
        <w:rPr>
          <w:rStyle w:val="FootnoteReference"/>
          <w:rFonts w:ascii="Times New Roman" w:hAnsi="Times New Roman"/>
        </w:rPr>
        <w:footnoteRef/>
      </w:r>
      <w:r w:rsidR="00C017AD" w:rsidRPr="00987F49">
        <w:rPr>
          <w:rFonts w:ascii="Times New Roman" w:hAnsi="Times New Roman"/>
          <w:sz w:val="26"/>
          <w:szCs w:val="26"/>
        </w:rPr>
        <w:t xml:space="preserve"> </w:t>
      </w:r>
      <w:r w:rsidRPr="00987F49">
        <w:rPr>
          <w:rFonts w:ascii="Times New Roman" w:hAnsi="Times New Roman"/>
          <w:sz w:val="26"/>
          <w:szCs w:val="26"/>
        </w:rPr>
        <w:tab/>
      </w:r>
      <w:r w:rsidRPr="00987F49">
        <w:rPr>
          <w:rFonts w:ascii="Times New Roman" w:hAnsi="Times New Roman"/>
          <w:i/>
          <w:sz w:val="26"/>
          <w:szCs w:val="26"/>
        </w:rPr>
        <w:t>Implementation of Act 11 of 2012</w:t>
      </w:r>
      <w:r w:rsidR="0006074F">
        <w:rPr>
          <w:rFonts w:ascii="Times New Roman" w:hAnsi="Times New Roman"/>
          <w:iCs/>
          <w:sz w:val="26"/>
          <w:szCs w:val="26"/>
        </w:rPr>
        <w:t xml:space="preserve"> (Act 11)</w:t>
      </w:r>
      <w:r w:rsidRPr="00987F49">
        <w:rPr>
          <w:rFonts w:ascii="Times New Roman" w:hAnsi="Times New Roman"/>
          <w:iCs/>
          <w:sz w:val="26"/>
          <w:szCs w:val="26"/>
        </w:rPr>
        <w:t>, Docket N</w:t>
      </w:r>
      <w:r w:rsidR="005B48B6" w:rsidRPr="00987F49">
        <w:rPr>
          <w:rFonts w:ascii="Times New Roman" w:hAnsi="Times New Roman"/>
          <w:iCs/>
          <w:sz w:val="26"/>
          <w:szCs w:val="26"/>
        </w:rPr>
        <w:t>o.</w:t>
      </w:r>
      <w:r w:rsidRPr="00987F49">
        <w:rPr>
          <w:rFonts w:ascii="Times New Roman" w:hAnsi="Times New Roman"/>
          <w:iCs/>
          <w:sz w:val="26"/>
          <w:szCs w:val="26"/>
        </w:rPr>
        <w:t xml:space="preserve"> M-2012-2293611 (Final Implementation Order</w:t>
      </w:r>
      <w:r w:rsidR="0006074F">
        <w:rPr>
          <w:rFonts w:ascii="Times New Roman" w:hAnsi="Times New Roman"/>
          <w:iCs/>
          <w:sz w:val="26"/>
          <w:szCs w:val="26"/>
        </w:rPr>
        <w:t xml:space="preserve"> entered August 2, 201</w:t>
      </w:r>
      <w:r w:rsidR="006A2727">
        <w:rPr>
          <w:rFonts w:ascii="Times New Roman" w:hAnsi="Times New Roman"/>
          <w:iCs/>
          <w:sz w:val="26"/>
          <w:szCs w:val="26"/>
        </w:rPr>
        <w:t>2</w:t>
      </w:r>
      <w:r w:rsidRPr="00987F49">
        <w:rPr>
          <w:rFonts w:ascii="Times New Roman" w:hAnsi="Times New Roman"/>
          <w:iCs/>
          <w:sz w:val="26"/>
          <w:szCs w:val="26"/>
        </w:rPr>
        <w:t>)</w:t>
      </w:r>
      <w:r w:rsidR="006A2727">
        <w:rPr>
          <w:rFonts w:ascii="Times New Roman" w:hAnsi="Times New Roman"/>
          <w:iCs/>
          <w:sz w:val="26"/>
          <w:szCs w:val="26"/>
        </w:rPr>
        <w:t xml:space="preserve"> </w:t>
      </w:r>
      <w:r w:rsidR="006A2727" w:rsidRPr="00987F49">
        <w:rPr>
          <w:rFonts w:ascii="Times New Roman" w:hAnsi="Times New Roman"/>
          <w:i/>
          <w:sz w:val="26"/>
          <w:szCs w:val="26"/>
        </w:rPr>
        <w:t>(Final Implementation Order)</w:t>
      </w:r>
      <w:r w:rsidRPr="00987F49">
        <w:rPr>
          <w:rFonts w:ascii="Times New Roman" w:hAnsi="Times New Roman"/>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1FE4156"/>
    <w:multiLevelType w:val="hybridMultilevel"/>
    <w:tmpl w:val="B1523078"/>
    <w:lvl w:ilvl="0" w:tplc="0B04EF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5AC175E"/>
    <w:multiLevelType w:val="hybridMultilevel"/>
    <w:tmpl w:val="A4909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0"/>
  </w:num>
  <w:num w:numId="2">
    <w:abstractNumId w:val="2"/>
  </w:num>
  <w:num w:numId="3">
    <w:abstractNumId w:val="12"/>
  </w:num>
  <w:num w:numId="4">
    <w:abstractNumId w:val="4"/>
  </w:num>
  <w:num w:numId="5">
    <w:abstractNumId w:val="7"/>
  </w:num>
  <w:num w:numId="6">
    <w:abstractNumId w:val="5"/>
  </w:num>
  <w:num w:numId="7">
    <w:abstractNumId w:val="3"/>
  </w:num>
  <w:num w:numId="8">
    <w:abstractNumId w:val="6"/>
  </w:num>
  <w:num w:numId="9">
    <w:abstractNumId w:val="11"/>
  </w:num>
  <w:num w:numId="10">
    <w:abstractNumId w:val="1"/>
  </w:num>
  <w:num w:numId="11">
    <w:abstractNumId w:val="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FE"/>
    <w:rsid w:val="000004FF"/>
    <w:rsid w:val="00000C15"/>
    <w:rsid w:val="00001139"/>
    <w:rsid w:val="0000209B"/>
    <w:rsid w:val="00002615"/>
    <w:rsid w:val="0000290A"/>
    <w:rsid w:val="00002F2A"/>
    <w:rsid w:val="00003A51"/>
    <w:rsid w:val="00004C36"/>
    <w:rsid w:val="000063E9"/>
    <w:rsid w:val="000064C2"/>
    <w:rsid w:val="00006E37"/>
    <w:rsid w:val="00007106"/>
    <w:rsid w:val="0000719A"/>
    <w:rsid w:val="000074DC"/>
    <w:rsid w:val="00010322"/>
    <w:rsid w:val="0001099D"/>
    <w:rsid w:val="00011888"/>
    <w:rsid w:val="00012A95"/>
    <w:rsid w:val="00013B94"/>
    <w:rsid w:val="0001411C"/>
    <w:rsid w:val="0001414B"/>
    <w:rsid w:val="000148F5"/>
    <w:rsid w:val="00015969"/>
    <w:rsid w:val="00015A01"/>
    <w:rsid w:val="00016CE0"/>
    <w:rsid w:val="00017033"/>
    <w:rsid w:val="00020B46"/>
    <w:rsid w:val="00020E43"/>
    <w:rsid w:val="00020F8F"/>
    <w:rsid w:val="000215B4"/>
    <w:rsid w:val="000234F5"/>
    <w:rsid w:val="00024987"/>
    <w:rsid w:val="00024DD1"/>
    <w:rsid w:val="00025686"/>
    <w:rsid w:val="0002585B"/>
    <w:rsid w:val="00025B28"/>
    <w:rsid w:val="000261D5"/>
    <w:rsid w:val="00026E4B"/>
    <w:rsid w:val="0002723A"/>
    <w:rsid w:val="0002744F"/>
    <w:rsid w:val="000274A7"/>
    <w:rsid w:val="00027EE5"/>
    <w:rsid w:val="000310BE"/>
    <w:rsid w:val="00031A0A"/>
    <w:rsid w:val="00031E93"/>
    <w:rsid w:val="0003278B"/>
    <w:rsid w:val="00032D5F"/>
    <w:rsid w:val="00033CB2"/>
    <w:rsid w:val="0003588B"/>
    <w:rsid w:val="00035F25"/>
    <w:rsid w:val="000366C0"/>
    <w:rsid w:val="00037182"/>
    <w:rsid w:val="000378DC"/>
    <w:rsid w:val="0004071F"/>
    <w:rsid w:val="000416ED"/>
    <w:rsid w:val="00044438"/>
    <w:rsid w:val="0004679E"/>
    <w:rsid w:val="000472A4"/>
    <w:rsid w:val="00047CB0"/>
    <w:rsid w:val="000510D0"/>
    <w:rsid w:val="000510FD"/>
    <w:rsid w:val="000537BC"/>
    <w:rsid w:val="00053CED"/>
    <w:rsid w:val="000541A0"/>
    <w:rsid w:val="00054407"/>
    <w:rsid w:val="00054F7A"/>
    <w:rsid w:val="00055EF9"/>
    <w:rsid w:val="00057057"/>
    <w:rsid w:val="000573BD"/>
    <w:rsid w:val="0006057C"/>
    <w:rsid w:val="0006074F"/>
    <w:rsid w:val="000607CB"/>
    <w:rsid w:val="000610F9"/>
    <w:rsid w:val="00061284"/>
    <w:rsid w:val="00061850"/>
    <w:rsid w:val="000629CD"/>
    <w:rsid w:val="000634BD"/>
    <w:rsid w:val="0006405C"/>
    <w:rsid w:val="00065DB6"/>
    <w:rsid w:val="00066E55"/>
    <w:rsid w:val="000673D1"/>
    <w:rsid w:val="00070FF8"/>
    <w:rsid w:val="00070FFD"/>
    <w:rsid w:val="000711D9"/>
    <w:rsid w:val="000716A0"/>
    <w:rsid w:val="00072883"/>
    <w:rsid w:val="0007305F"/>
    <w:rsid w:val="000731DA"/>
    <w:rsid w:val="00073C25"/>
    <w:rsid w:val="00075161"/>
    <w:rsid w:val="00075677"/>
    <w:rsid w:val="0007596A"/>
    <w:rsid w:val="00076433"/>
    <w:rsid w:val="00076F62"/>
    <w:rsid w:val="000777D8"/>
    <w:rsid w:val="00077822"/>
    <w:rsid w:val="00080C6A"/>
    <w:rsid w:val="000820F1"/>
    <w:rsid w:val="0008251E"/>
    <w:rsid w:val="0008328F"/>
    <w:rsid w:val="0008445E"/>
    <w:rsid w:val="00084E42"/>
    <w:rsid w:val="00085FFB"/>
    <w:rsid w:val="00086411"/>
    <w:rsid w:val="00086D0B"/>
    <w:rsid w:val="0008768F"/>
    <w:rsid w:val="000876C2"/>
    <w:rsid w:val="00087C06"/>
    <w:rsid w:val="00087D18"/>
    <w:rsid w:val="00091937"/>
    <w:rsid w:val="00092384"/>
    <w:rsid w:val="00092796"/>
    <w:rsid w:val="00092ABD"/>
    <w:rsid w:val="00094D6F"/>
    <w:rsid w:val="00096187"/>
    <w:rsid w:val="000966DC"/>
    <w:rsid w:val="00097048"/>
    <w:rsid w:val="0009781B"/>
    <w:rsid w:val="00097D66"/>
    <w:rsid w:val="000A1364"/>
    <w:rsid w:val="000A161F"/>
    <w:rsid w:val="000A2F11"/>
    <w:rsid w:val="000A35F4"/>
    <w:rsid w:val="000A4C46"/>
    <w:rsid w:val="000A6EB3"/>
    <w:rsid w:val="000A770A"/>
    <w:rsid w:val="000A7F96"/>
    <w:rsid w:val="000B0753"/>
    <w:rsid w:val="000B2688"/>
    <w:rsid w:val="000B2A1C"/>
    <w:rsid w:val="000B2B80"/>
    <w:rsid w:val="000B3FB4"/>
    <w:rsid w:val="000B4F29"/>
    <w:rsid w:val="000B5487"/>
    <w:rsid w:val="000B5DF8"/>
    <w:rsid w:val="000B71E3"/>
    <w:rsid w:val="000B77E2"/>
    <w:rsid w:val="000B7E7F"/>
    <w:rsid w:val="000C285E"/>
    <w:rsid w:val="000C33A1"/>
    <w:rsid w:val="000C4BFD"/>
    <w:rsid w:val="000C608B"/>
    <w:rsid w:val="000C6C92"/>
    <w:rsid w:val="000C742F"/>
    <w:rsid w:val="000D0BAC"/>
    <w:rsid w:val="000D0D75"/>
    <w:rsid w:val="000D1965"/>
    <w:rsid w:val="000D1A21"/>
    <w:rsid w:val="000D1DF8"/>
    <w:rsid w:val="000D6482"/>
    <w:rsid w:val="000D6C35"/>
    <w:rsid w:val="000D761A"/>
    <w:rsid w:val="000E0050"/>
    <w:rsid w:val="000E0311"/>
    <w:rsid w:val="000E09BE"/>
    <w:rsid w:val="000E24DE"/>
    <w:rsid w:val="000E3AA7"/>
    <w:rsid w:val="000E3FDA"/>
    <w:rsid w:val="000E492B"/>
    <w:rsid w:val="000E4BED"/>
    <w:rsid w:val="000E7110"/>
    <w:rsid w:val="000E7B48"/>
    <w:rsid w:val="000F2540"/>
    <w:rsid w:val="000F292B"/>
    <w:rsid w:val="000F34DC"/>
    <w:rsid w:val="000F34FC"/>
    <w:rsid w:val="000F4144"/>
    <w:rsid w:val="000F5A80"/>
    <w:rsid w:val="000F6D5A"/>
    <w:rsid w:val="000F7735"/>
    <w:rsid w:val="000F7F57"/>
    <w:rsid w:val="000F7F65"/>
    <w:rsid w:val="0010013C"/>
    <w:rsid w:val="001006F0"/>
    <w:rsid w:val="00100B90"/>
    <w:rsid w:val="00100BF3"/>
    <w:rsid w:val="00101745"/>
    <w:rsid w:val="001026AA"/>
    <w:rsid w:val="00103A52"/>
    <w:rsid w:val="00103EBA"/>
    <w:rsid w:val="001048B3"/>
    <w:rsid w:val="00105084"/>
    <w:rsid w:val="001050C5"/>
    <w:rsid w:val="00105104"/>
    <w:rsid w:val="00105193"/>
    <w:rsid w:val="00106537"/>
    <w:rsid w:val="001112D8"/>
    <w:rsid w:val="0011244B"/>
    <w:rsid w:val="0011311C"/>
    <w:rsid w:val="001133C8"/>
    <w:rsid w:val="00114D80"/>
    <w:rsid w:val="00115FD9"/>
    <w:rsid w:val="001160BA"/>
    <w:rsid w:val="00116D79"/>
    <w:rsid w:val="00120C2F"/>
    <w:rsid w:val="00120D85"/>
    <w:rsid w:val="00122E0F"/>
    <w:rsid w:val="00123068"/>
    <w:rsid w:val="001234F1"/>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50BC"/>
    <w:rsid w:val="00135C86"/>
    <w:rsid w:val="00136C34"/>
    <w:rsid w:val="00136E3D"/>
    <w:rsid w:val="00137A60"/>
    <w:rsid w:val="001401EC"/>
    <w:rsid w:val="00141877"/>
    <w:rsid w:val="00141882"/>
    <w:rsid w:val="00141DF0"/>
    <w:rsid w:val="0014205C"/>
    <w:rsid w:val="00142D3A"/>
    <w:rsid w:val="00143F43"/>
    <w:rsid w:val="00144166"/>
    <w:rsid w:val="001448EA"/>
    <w:rsid w:val="00144E09"/>
    <w:rsid w:val="001457F2"/>
    <w:rsid w:val="00145EDC"/>
    <w:rsid w:val="00146E12"/>
    <w:rsid w:val="00147415"/>
    <w:rsid w:val="00147521"/>
    <w:rsid w:val="00150989"/>
    <w:rsid w:val="001509E0"/>
    <w:rsid w:val="001510BB"/>
    <w:rsid w:val="001523CA"/>
    <w:rsid w:val="0015662E"/>
    <w:rsid w:val="001572C5"/>
    <w:rsid w:val="0016005F"/>
    <w:rsid w:val="001606BC"/>
    <w:rsid w:val="00160F0A"/>
    <w:rsid w:val="0016115A"/>
    <w:rsid w:val="00162A88"/>
    <w:rsid w:val="00162BEE"/>
    <w:rsid w:val="001636E2"/>
    <w:rsid w:val="00163AA3"/>
    <w:rsid w:val="00164012"/>
    <w:rsid w:val="0016441E"/>
    <w:rsid w:val="00164715"/>
    <w:rsid w:val="00164C98"/>
    <w:rsid w:val="00166006"/>
    <w:rsid w:val="001679F1"/>
    <w:rsid w:val="001701B3"/>
    <w:rsid w:val="001704F7"/>
    <w:rsid w:val="0017084A"/>
    <w:rsid w:val="001721FA"/>
    <w:rsid w:val="00173EDA"/>
    <w:rsid w:val="0017591C"/>
    <w:rsid w:val="00175F2D"/>
    <w:rsid w:val="00177A43"/>
    <w:rsid w:val="00180E89"/>
    <w:rsid w:val="001811B8"/>
    <w:rsid w:val="00181347"/>
    <w:rsid w:val="001827DB"/>
    <w:rsid w:val="00182D08"/>
    <w:rsid w:val="00183173"/>
    <w:rsid w:val="00183D96"/>
    <w:rsid w:val="00185B5E"/>
    <w:rsid w:val="001865B9"/>
    <w:rsid w:val="00186887"/>
    <w:rsid w:val="00186B09"/>
    <w:rsid w:val="00187BC6"/>
    <w:rsid w:val="00191250"/>
    <w:rsid w:val="0019214E"/>
    <w:rsid w:val="0019251E"/>
    <w:rsid w:val="0019318F"/>
    <w:rsid w:val="00193EF0"/>
    <w:rsid w:val="00197920"/>
    <w:rsid w:val="00197C2F"/>
    <w:rsid w:val="00197F3D"/>
    <w:rsid w:val="001A0516"/>
    <w:rsid w:val="001A18D5"/>
    <w:rsid w:val="001A1AD3"/>
    <w:rsid w:val="001A2F1D"/>
    <w:rsid w:val="001A3C6A"/>
    <w:rsid w:val="001A4A0C"/>
    <w:rsid w:val="001A4C6C"/>
    <w:rsid w:val="001A5029"/>
    <w:rsid w:val="001A53ED"/>
    <w:rsid w:val="001A5711"/>
    <w:rsid w:val="001A5756"/>
    <w:rsid w:val="001A5804"/>
    <w:rsid w:val="001A5B0A"/>
    <w:rsid w:val="001A5C12"/>
    <w:rsid w:val="001A6E4B"/>
    <w:rsid w:val="001A6FD4"/>
    <w:rsid w:val="001A75AA"/>
    <w:rsid w:val="001B00D9"/>
    <w:rsid w:val="001B06FC"/>
    <w:rsid w:val="001B07E7"/>
    <w:rsid w:val="001B423C"/>
    <w:rsid w:val="001B5CD3"/>
    <w:rsid w:val="001B7A05"/>
    <w:rsid w:val="001C035F"/>
    <w:rsid w:val="001C0758"/>
    <w:rsid w:val="001C37DD"/>
    <w:rsid w:val="001C396E"/>
    <w:rsid w:val="001C42FD"/>
    <w:rsid w:val="001C4B37"/>
    <w:rsid w:val="001C4CAD"/>
    <w:rsid w:val="001C53B1"/>
    <w:rsid w:val="001C7E91"/>
    <w:rsid w:val="001C7F88"/>
    <w:rsid w:val="001D01F1"/>
    <w:rsid w:val="001D02A2"/>
    <w:rsid w:val="001D0E29"/>
    <w:rsid w:val="001D24BD"/>
    <w:rsid w:val="001D2BAD"/>
    <w:rsid w:val="001D491F"/>
    <w:rsid w:val="001D5345"/>
    <w:rsid w:val="001D70A6"/>
    <w:rsid w:val="001D7137"/>
    <w:rsid w:val="001D751E"/>
    <w:rsid w:val="001E05C6"/>
    <w:rsid w:val="001E0B29"/>
    <w:rsid w:val="001E0F56"/>
    <w:rsid w:val="001E19BC"/>
    <w:rsid w:val="001E1A53"/>
    <w:rsid w:val="001E2CFB"/>
    <w:rsid w:val="001E3574"/>
    <w:rsid w:val="001E3854"/>
    <w:rsid w:val="001E4225"/>
    <w:rsid w:val="001E5B8E"/>
    <w:rsid w:val="001F0488"/>
    <w:rsid w:val="001F3060"/>
    <w:rsid w:val="001F3BF4"/>
    <w:rsid w:val="001F3C68"/>
    <w:rsid w:val="001F4194"/>
    <w:rsid w:val="001F49F1"/>
    <w:rsid w:val="001F55D5"/>
    <w:rsid w:val="001F5F40"/>
    <w:rsid w:val="001F75D6"/>
    <w:rsid w:val="001F79C6"/>
    <w:rsid w:val="001F7B55"/>
    <w:rsid w:val="00200D0C"/>
    <w:rsid w:val="00203F27"/>
    <w:rsid w:val="00205136"/>
    <w:rsid w:val="00205242"/>
    <w:rsid w:val="00205B95"/>
    <w:rsid w:val="0020640C"/>
    <w:rsid w:val="00206D03"/>
    <w:rsid w:val="00206F1D"/>
    <w:rsid w:val="00207449"/>
    <w:rsid w:val="00207453"/>
    <w:rsid w:val="0020784E"/>
    <w:rsid w:val="00210868"/>
    <w:rsid w:val="00210BB0"/>
    <w:rsid w:val="0021230D"/>
    <w:rsid w:val="00213B95"/>
    <w:rsid w:val="00214C25"/>
    <w:rsid w:val="00215192"/>
    <w:rsid w:val="002170BF"/>
    <w:rsid w:val="002174D8"/>
    <w:rsid w:val="00217C4E"/>
    <w:rsid w:val="00223564"/>
    <w:rsid w:val="002242F7"/>
    <w:rsid w:val="00225BD2"/>
    <w:rsid w:val="0022626D"/>
    <w:rsid w:val="002278A0"/>
    <w:rsid w:val="00230396"/>
    <w:rsid w:val="0023097E"/>
    <w:rsid w:val="00230BAB"/>
    <w:rsid w:val="00232A03"/>
    <w:rsid w:val="0023377F"/>
    <w:rsid w:val="00233A9F"/>
    <w:rsid w:val="0023535F"/>
    <w:rsid w:val="00237CE3"/>
    <w:rsid w:val="00241AA6"/>
    <w:rsid w:val="00242B9D"/>
    <w:rsid w:val="00243016"/>
    <w:rsid w:val="0024349F"/>
    <w:rsid w:val="00243CC9"/>
    <w:rsid w:val="00243D31"/>
    <w:rsid w:val="00244528"/>
    <w:rsid w:val="002450F3"/>
    <w:rsid w:val="00245B0C"/>
    <w:rsid w:val="002469C9"/>
    <w:rsid w:val="00247332"/>
    <w:rsid w:val="00250E63"/>
    <w:rsid w:val="00252313"/>
    <w:rsid w:val="00252626"/>
    <w:rsid w:val="00253CC7"/>
    <w:rsid w:val="00254560"/>
    <w:rsid w:val="00254840"/>
    <w:rsid w:val="00255125"/>
    <w:rsid w:val="002556E9"/>
    <w:rsid w:val="002564D7"/>
    <w:rsid w:val="00256631"/>
    <w:rsid w:val="00256A4C"/>
    <w:rsid w:val="0025718D"/>
    <w:rsid w:val="00260276"/>
    <w:rsid w:val="002618AC"/>
    <w:rsid w:val="0026312F"/>
    <w:rsid w:val="00264ABB"/>
    <w:rsid w:val="002652DF"/>
    <w:rsid w:val="00265BD8"/>
    <w:rsid w:val="00266009"/>
    <w:rsid w:val="00266167"/>
    <w:rsid w:val="00266A79"/>
    <w:rsid w:val="0026727E"/>
    <w:rsid w:val="00267FDA"/>
    <w:rsid w:val="00271322"/>
    <w:rsid w:val="00271DE6"/>
    <w:rsid w:val="002723CB"/>
    <w:rsid w:val="00273450"/>
    <w:rsid w:val="0027458E"/>
    <w:rsid w:val="00274EC0"/>
    <w:rsid w:val="00275533"/>
    <w:rsid w:val="00277997"/>
    <w:rsid w:val="00277BAB"/>
    <w:rsid w:val="00277E9A"/>
    <w:rsid w:val="00281587"/>
    <w:rsid w:val="00282019"/>
    <w:rsid w:val="002830F0"/>
    <w:rsid w:val="00283433"/>
    <w:rsid w:val="002838E3"/>
    <w:rsid w:val="00283C80"/>
    <w:rsid w:val="0028448D"/>
    <w:rsid w:val="00284F6E"/>
    <w:rsid w:val="002851CE"/>
    <w:rsid w:val="002854BF"/>
    <w:rsid w:val="00285856"/>
    <w:rsid w:val="00285EB1"/>
    <w:rsid w:val="00286C9A"/>
    <w:rsid w:val="00287BE6"/>
    <w:rsid w:val="00290876"/>
    <w:rsid w:val="002911A8"/>
    <w:rsid w:val="00291657"/>
    <w:rsid w:val="002916BB"/>
    <w:rsid w:val="002919FB"/>
    <w:rsid w:val="002943FF"/>
    <w:rsid w:val="00296493"/>
    <w:rsid w:val="00297040"/>
    <w:rsid w:val="00297213"/>
    <w:rsid w:val="002A0E82"/>
    <w:rsid w:val="002A17A4"/>
    <w:rsid w:val="002A3250"/>
    <w:rsid w:val="002A3A6E"/>
    <w:rsid w:val="002A3AC8"/>
    <w:rsid w:val="002A5399"/>
    <w:rsid w:val="002A740E"/>
    <w:rsid w:val="002A782B"/>
    <w:rsid w:val="002B0089"/>
    <w:rsid w:val="002B03EA"/>
    <w:rsid w:val="002B159E"/>
    <w:rsid w:val="002B31AD"/>
    <w:rsid w:val="002B3767"/>
    <w:rsid w:val="002B4B0D"/>
    <w:rsid w:val="002B6B0C"/>
    <w:rsid w:val="002B7197"/>
    <w:rsid w:val="002C011D"/>
    <w:rsid w:val="002C116F"/>
    <w:rsid w:val="002C2053"/>
    <w:rsid w:val="002C20BD"/>
    <w:rsid w:val="002C348A"/>
    <w:rsid w:val="002C4014"/>
    <w:rsid w:val="002C4311"/>
    <w:rsid w:val="002C61A7"/>
    <w:rsid w:val="002C6681"/>
    <w:rsid w:val="002D08E2"/>
    <w:rsid w:val="002D0BD9"/>
    <w:rsid w:val="002D13F6"/>
    <w:rsid w:val="002D33E8"/>
    <w:rsid w:val="002D3B9E"/>
    <w:rsid w:val="002D5216"/>
    <w:rsid w:val="002D5341"/>
    <w:rsid w:val="002D5C5B"/>
    <w:rsid w:val="002D650D"/>
    <w:rsid w:val="002D6FE5"/>
    <w:rsid w:val="002D775A"/>
    <w:rsid w:val="002E00A3"/>
    <w:rsid w:val="002E0503"/>
    <w:rsid w:val="002E1CA7"/>
    <w:rsid w:val="002E3288"/>
    <w:rsid w:val="002E4908"/>
    <w:rsid w:val="002E6029"/>
    <w:rsid w:val="002E6F2D"/>
    <w:rsid w:val="002E7206"/>
    <w:rsid w:val="002F0238"/>
    <w:rsid w:val="002F1287"/>
    <w:rsid w:val="002F14FA"/>
    <w:rsid w:val="002F3B92"/>
    <w:rsid w:val="002F4D5E"/>
    <w:rsid w:val="002F50FB"/>
    <w:rsid w:val="002F5F71"/>
    <w:rsid w:val="002F6563"/>
    <w:rsid w:val="002F716A"/>
    <w:rsid w:val="002F7FB8"/>
    <w:rsid w:val="00300C9D"/>
    <w:rsid w:val="00301735"/>
    <w:rsid w:val="00301857"/>
    <w:rsid w:val="00302FC9"/>
    <w:rsid w:val="00303915"/>
    <w:rsid w:val="00304ABF"/>
    <w:rsid w:val="00304F7D"/>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1AF8"/>
    <w:rsid w:val="00322A65"/>
    <w:rsid w:val="00322B47"/>
    <w:rsid w:val="0032388C"/>
    <w:rsid w:val="00324417"/>
    <w:rsid w:val="00324791"/>
    <w:rsid w:val="00324B2C"/>
    <w:rsid w:val="00324E5B"/>
    <w:rsid w:val="00325440"/>
    <w:rsid w:val="0032579A"/>
    <w:rsid w:val="0032615A"/>
    <w:rsid w:val="00326A17"/>
    <w:rsid w:val="00327CBE"/>
    <w:rsid w:val="00327DF8"/>
    <w:rsid w:val="00330392"/>
    <w:rsid w:val="0033198B"/>
    <w:rsid w:val="003320A9"/>
    <w:rsid w:val="0033589A"/>
    <w:rsid w:val="00337C48"/>
    <w:rsid w:val="00337DFD"/>
    <w:rsid w:val="00340B42"/>
    <w:rsid w:val="00340BE3"/>
    <w:rsid w:val="00340E96"/>
    <w:rsid w:val="00341386"/>
    <w:rsid w:val="00342149"/>
    <w:rsid w:val="003428C1"/>
    <w:rsid w:val="003440BD"/>
    <w:rsid w:val="00344581"/>
    <w:rsid w:val="003459E2"/>
    <w:rsid w:val="00346964"/>
    <w:rsid w:val="003471B4"/>
    <w:rsid w:val="00350442"/>
    <w:rsid w:val="00350B3E"/>
    <w:rsid w:val="00351EDF"/>
    <w:rsid w:val="00351F81"/>
    <w:rsid w:val="00352BC7"/>
    <w:rsid w:val="003536D6"/>
    <w:rsid w:val="00353BBC"/>
    <w:rsid w:val="00353F42"/>
    <w:rsid w:val="0035474E"/>
    <w:rsid w:val="00354EEE"/>
    <w:rsid w:val="00355E73"/>
    <w:rsid w:val="00356A26"/>
    <w:rsid w:val="003573EB"/>
    <w:rsid w:val="00357A93"/>
    <w:rsid w:val="00357B6E"/>
    <w:rsid w:val="00362AC9"/>
    <w:rsid w:val="003669C8"/>
    <w:rsid w:val="00366C32"/>
    <w:rsid w:val="00367224"/>
    <w:rsid w:val="00370193"/>
    <w:rsid w:val="003704B1"/>
    <w:rsid w:val="003708CD"/>
    <w:rsid w:val="00372E6D"/>
    <w:rsid w:val="00373021"/>
    <w:rsid w:val="00373918"/>
    <w:rsid w:val="003742CF"/>
    <w:rsid w:val="003745DB"/>
    <w:rsid w:val="0037549D"/>
    <w:rsid w:val="00376291"/>
    <w:rsid w:val="0037692B"/>
    <w:rsid w:val="003807E7"/>
    <w:rsid w:val="0038091E"/>
    <w:rsid w:val="00380951"/>
    <w:rsid w:val="00381C7A"/>
    <w:rsid w:val="003821C2"/>
    <w:rsid w:val="00383324"/>
    <w:rsid w:val="00383585"/>
    <w:rsid w:val="00384B25"/>
    <w:rsid w:val="00385898"/>
    <w:rsid w:val="0039007A"/>
    <w:rsid w:val="003902DE"/>
    <w:rsid w:val="00390871"/>
    <w:rsid w:val="00390A6D"/>
    <w:rsid w:val="00390D53"/>
    <w:rsid w:val="00390FB3"/>
    <w:rsid w:val="00391B6F"/>
    <w:rsid w:val="00391BFC"/>
    <w:rsid w:val="00392572"/>
    <w:rsid w:val="003928E1"/>
    <w:rsid w:val="00392B85"/>
    <w:rsid w:val="003943C4"/>
    <w:rsid w:val="00394901"/>
    <w:rsid w:val="00395F28"/>
    <w:rsid w:val="003967A2"/>
    <w:rsid w:val="0039729A"/>
    <w:rsid w:val="00397F28"/>
    <w:rsid w:val="003A07CB"/>
    <w:rsid w:val="003A16F3"/>
    <w:rsid w:val="003A2DA0"/>
    <w:rsid w:val="003A2E3E"/>
    <w:rsid w:val="003A2FF8"/>
    <w:rsid w:val="003A37DD"/>
    <w:rsid w:val="003A4184"/>
    <w:rsid w:val="003A50AE"/>
    <w:rsid w:val="003A5385"/>
    <w:rsid w:val="003A5498"/>
    <w:rsid w:val="003A54C7"/>
    <w:rsid w:val="003A76DB"/>
    <w:rsid w:val="003B0BE3"/>
    <w:rsid w:val="003B3893"/>
    <w:rsid w:val="003B3CEA"/>
    <w:rsid w:val="003B3E5F"/>
    <w:rsid w:val="003B4E05"/>
    <w:rsid w:val="003B561F"/>
    <w:rsid w:val="003B6109"/>
    <w:rsid w:val="003B68C7"/>
    <w:rsid w:val="003B6D2E"/>
    <w:rsid w:val="003B7522"/>
    <w:rsid w:val="003B7738"/>
    <w:rsid w:val="003B7B99"/>
    <w:rsid w:val="003C042A"/>
    <w:rsid w:val="003C0F72"/>
    <w:rsid w:val="003C1FBE"/>
    <w:rsid w:val="003C23C6"/>
    <w:rsid w:val="003C31AF"/>
    <w:rsid w:val="003C384E"/>
    <w:rsid w:val="003C3DBC"/>
    <w:rsid w:val="003C4355"/>
    <w:rsid w:val="003C446B"/>
    <w:rsid w:val="003C729B"/>
    <w:rsid w:val="003C75CF"/>
    <w:rsid w:val="003C7FAE"/>
    <w:rsid w:val="003D0B03"/>
    <w:rsid w:val="003D102F"/>
    <w:rsid w:val="003D1BB7"/>
    <w:rsid w:val="003D1C9A"/>
    <w:rsid w:val="003D283B"/>
    <w:rsid w:val="003D2936"/>
    <w:rsid w:val="003D3F4C"/>
    <w:rsid w:val="003D4446"/>
    <w:rsid w:val="003D4638"/>
    <w:rsid w:val="003D4B2C"/>
    <w:rsid w:val="003D4D1D"/>
    <w:rsid w:val="003D584F"/>
    <w:rsid w:val="003D6267"/>
    <w:rsid w:val="003D6E02"/>
    <w:rsid w:val="003D70DF"/>
    <w:rsid w:val="003D7753"/>
    <w:rsid w:val="003D7B97"/>
    <w:rsid w:val="003E0079"/>
    <w:rsid w:val="003E07E5"/>
    <w:rsid w:val="003E0C89"/>
    <w:rsid w:val="003E21F7"/>
    <w:rsid w:val="003E22D4"/>
    <w:rsid w:val="003E2B94"/>
    <w:rsid w:val="003E3836"/>
    <w:rsid w:val="003E3E7D"/>
    <w:rsid w:val="003E441D"/>
    <w:rsid w:val="003E451B"/>
    <w:rsid w:val="003E4B1D"/>
    <w:rsid w:val="003E4CD9"/>
    <w:rsid w:val="003E4FFA"/>
    <w:rsid w:val="003E5CB0"/>
    <w:rsid w:val="003E73BC"/>
    <w:rsid w:val="003E78A1"/>
    <w:rsid w:val="003F07AF"/>
    <w:rsid w:val="003F0A4A"/>
    <w:rsid w:val="003F0ABA"/>
    <w:rsid w:val="003F12B4"/>
    <w:rsid w:val="003F1C7C"/>
    <w:rsid w:val="003F25E5"/>
    <w:rsid w:val="003F27D1"/>
    <w:rsid w:val="003F287E"/>
    <w:rsid w:val="003F2BF4"/>
    <w:rsid w:val="003F3939"/>
    <w:rsid w:val="003F5CC4"/>
    <w:rsid w:val="003F6450"/>
    <w:rsid w:val="003F78A2"/>
    <w:rsid w:val="00400A4D"/>
    <w:rsid w:val="0040233B"/>
    <w:rsid w:val="004023F4"/>
    <w:rsid w:val="00402479"/>
    <w:rsid w:val="00404C07"/>
    <w:rsid w:val="004051BE"/>
    <w:rsid w:val="004059A2"/>
    <w:rsid w:val="00406D11"/>
    <w:rsid w:val="00407896"/>
    <w:rsid w:val="00410104"/>
    <w:rsid w:val="00411FC9"/>
    <w:rsid w:val="00411FED"/>
    <w:rsid w:val="004140BA"/>
    <w:rsid w:val="004144EB"/>
    <w:rsid w:val="004144EE"/>
    <w:rsid w:val="004146BE"/>
    <w:rsid w:val="00414855"/>
    <w:rsid w:val="00415460"/>
    <w:rsid w:val="00415483"/>
    <w:rsid w:val="00415A5E"/>
    <w:rsid w:val="0041704E"/>
    <w:rsid w:val="00417CCE"/>
    <w:rsid w:val="00421E3B"/>
    <w:rsid w:val="004246D3"/>
    <w:rsid w:val="00425651"/>
    <w:rsid w:val="00425C2F"/>
    <w:rsid w:val="00426953"/>
    <w:rsid w:val="00427697"/>
    <w:rsid w:val="00427F6D"/>
    <w:rsid w:val="0043042D"/>
    <w:rsid w:val="00430570"/>
    <w:rsid w:val="00431621"/>
    <w:rsid w:val="00431969"/>
    <w:rsid w:val="00431F78"/>
    <w:rsid w:val="00433F60"/>
    <w:rsid w:val="00435582"/>
    <w:rsid w:val="00435FD5"/>
    <w:rsid w:val="00436B64"/>
    <w:rsid w:val="0044114D"/>
    <w:rsid w:val="00441920"/>
    <w:rsid w:val="004419DA"/>
    <w:rsid w:val="004427E2"/>
    <w:rsid w:val="00442945"/>
    <w:rsid w:val="004430A9"/>
    <w:rsid w:val="00443198"/>
    <w:rsid w:val="0044366E"/>
    <w:rsid w:val="00443A90"/>
    <w:rsid w:val="00443DE7"/>
    <w:rsid w:val="00446699"/>
    <w:rsid w:val="00446BCB"/>
    <w:rsid w:val="00447592"/>
    <w:rsid w:val="00451543"/>
    <w:rsid w:val="004551AB"/>
    <w:rsid w:val="00455685"/>
    <w:rsid w:val="00455C99"/>
    <w:rsid w:val="004572B4"/>
    <w:rsid w:val="00457386"/>
    <w:rsid w:val="00457839"/>
    <w:rsid w:val="004610A5"/>
    <w:rsid w:val="00461752"/>
    <w:rsid w:val="00461AC0"/>
    <w:rsid w:val="00461E0C"/>
    <w:rsid w:val="004622AF"/>
    <w:rsid w:val="004631B6"/>
    <w:rsid w:val="00463C5C"/>
    <w:rsid w:val="00465338"/>
    <w:rsid w:val="004659EF"/>
    <w:rsid w:val="004715B6"/>
    <w:rsid w:val="0047307A"/>
    <w:rsid w:val="00473CA5"/>
    <w:rsid w:val="00474DBB"/>
    <w:rsid w:val="00474F36"/>
    <w:rsid w:val="00474FC8"/>
    <w:rsid w:val="0047525F"/>
    <w:rsid w:val="00475639"/>
    <w:rsid w:val="004760F2"/>
    <w:rsid w:val="004761B9"/>
    <w:rsid w:val="00476B76"/>
    <w:rsid w:val="004800AD"/>
    <w:rsid w:val="004854BF"/>
    <w:rsid w:val="0048674B"/>
    <w:rsid w:val="0048747D"/>
    <w:rsid w:val="00492432"/>
    <w:rsid w:val="00492787"/>
    <w:rsid w:val="004938FA"/>
    <w:rsid w:val="00493959"/>
    <w:rsid w:val="004949D0"/>
    <w:rsid w:val="0049771B"/>
    <w:rsid w:val="0049798B"/>
    <w:rsid w:val="00497BCA"/>
    <w:rsid w:val="004A0DC5"/>
    <w:rsid w:val="004A228E"/>
    <w:rsid w:val="004A2A28"/>
    <w:rsid w:val="004A35EA"/>
    <w:rsid w:val="004A41B7"/>
    <w:rsid w:val="004A5287"/>
    <w:rsid w:val="004A53EA"/>
    <w:rsid w:val="004A572B"/>
    <w:rsid w:val="004A5730"/>
    <w:rsid w:val="004A6496"/>
    <w:rsid w:val="004A7831"/>
    <w:rsid w:val="004B1011"/>
    <w:rsid w:val="004B14C4"/>
    <w:rsid w:val="004B1F17"/>
    <w:rsid w:val="004B30C3"/>
    <w:rsid w:val="004B35DC"/>
    <w:rsid w:val="004C3672"/>
    <w:rsid w:val="004C40E8"/>
    <w:rsid w:val="004C4F45"/>
    <w:rsid w:val="004C54A0"/>
    <w:rsid w:val="004C5B03"/>
    <w:rsid w:val="004C6A40"/>
    <w:rsid w:val="004C749A"/>
    <w:rsid w:val="004C7AC4"/>
    <w:rsid w:val="004D08F5"/>
    <w:rsid w:val="004D12A1"/>
    <w:rsid w:val="004D2270"/>
    <w:rsid w:val="004D2C34"/>
    <w:rsid w:val="004D311C"/>
    <w:rsid w:val="004D31D0"/>
    <w:rsid w:val="004D34A0"/>
    <w:rsid w:val="004D362A"/>
    <w:rsid w:val="004D3C08"/>
    <w:rsid w:val="004D55FA"/>
    <w:rsid w:val="004D5A16"/>
    <w:rsid w:val="004D5B29"/>
    <w:rsid w:val="004D5D76"/>
    <w:rsid w:val="004D5E02"/>
    <w:rsid w:val="004D5F70"/>
    <w:rsid w:val="004D75C4"/>
    <w:rsid w:val="004D75D8"/>
    <w:rsid w:val="004D7E68"/>
    <w:rsid w:val="004E05E7"/>
    <w:rsid w:val="004E1757"/>
    <w:rsid w:val="004E2F35"/>
    <w:rsid w:val="004E3204"/>
    <w:rsid w:val="004E3FFF"/>
    <w:rsid w:val="004E4465"/>
    <w:rsid w:val="004E58C3"/>
    <w:rsid w:val="004E64B8"/>
    <w:rsid w:val="004E65E9"/>
    <w:rsid w:val="004E66DA"/>
    <w:rsid w:val="004E680A"/>
    <w:rsid w:val="004E75A8"/>
    <w:rsid w:val="004E7901"/>
    <w:rsid w:val="004E79BD"/>
    <w:rsid w:val="004F2383"/>
    <w:rsid w:val="004F23E9"/>
    <w:rsid w:val="004F2FF1"/>
    <w:rsid w:val="004F366A"/>
    <w:rsid w:val="004F3D3B"/>
    <w:rsid w:val="004F53C9"/>
    <w:rsid w:val="004F5854"/>
    <w:rsid w:val="004F72E9"/>
    <w:rsid w:val="00500EDA"/>
    <w:rsid w:val="00501D8F"/>
    <w:rsid w:val="00502D50"/>
    <w:rsid w:val="00503295"/>
    <w:rsid w:val="00503571"/>
    <w:rsid w:val="00503A81"/>
    <w:rsid w:val="00503B2F"/>
    <w:rsid w:val="00503E65"/>
    <w:rsid w:val="0050431D"/>
    <w:rsid w:val="005045AE"/>
    <w:rsid w:val="00504CED"/>
    <w:rsid w:val="00504D5D"/>
    <w:rsid w:val="00505BA0"/>
    <w:rsid w:val="00505E50"/>
    <w:rsid w:val="00505FBC"/>
    <w:rsid w:val="005075B6"/>
    <w:rsid w:val="00512853"/>
    <w:rsid w:val="00512A05"/>
    <w:rsid w:val="00512C92"/>
    <w:rsid w:val="00514497"/>
    <w:rsid w:val="00514988"/>
    <w:rsid w:val="00515110"/>
    <w:rsid w:val="005154BC"/>
    <w:rsid w:val="0051662C"/>
    <w:rsid w:val="0051695D"/>
    <w:rsid w:val="00517333"/>
    <w:rsid w:val="005174A1"/>
    <w:rsid w:val="00517704"/>
    <w:rsid w:val="00517839"/>
    <w:rsid w:val="005205C0"/>
    <w:rsid w:val="0052114F"/>
    <w:rsid w:val="005212BC"/>
    <w:rsid w:val="00523193"/>
    <w:rsid w:val="005232A0"/>
    <w:rsid w:val="00523347"/>
    <w:rsid w:val="00523390"/>
    <w:rsid w:val="00524898"/>
    <w:rsid w:val="005249F7"/>
    <w:rsid w:val="00525620"/>
    <w:rsid w:val="00525715"/>
    <w:rsid w:val="00525DBB"/>
    <w:rsid w:val="005262C2"/>
    <w:rsid w:val="00526680"/>
    <w:rsid w:val="00527408"/>
    <w:rsid w:val="00527A20"/>
    <w:rsid w:val="005300C8"/>
    <w:rsid w:val="00530F5B"/>
    <w:rsid w:val="005310AE"/>
    <w:rsid w:val="005318B9"/>
    <w:rsid w:val="00531E07"/>
    <w:rsid w:val="005321F4"/>
    <w:rsid w:val="0053257C"/>
    <w:rsid w:val="0053271E"/>
    <w:rsid w:val="00533178"/>
    <w:rsid w:val="005332F5"/>
    <w:rsid w:val="00534585"/>
    <w:rsid w:val="0053478E"/>
    <w:rsid w:val="00534A1D"/>
    <w:rsid w:val="00535011"/>
    <w:rsid w:val="00535439"/>
    <w:rsid w:val="00536EE4"/>
    <w:rsid w:val="00540F72"/>
    <w:rsid w:val="00542F46"/>
    <w:rsid w:val="00543297"/>
    <w:rsid w:val="00543543"/>
    <w:rsid w:val="00543DB7"/>
    <w:rsid w:val="00544DF5"/>
    <w:rsid w:val="00545FB5"/>
    <w:rsid w:val="005460F4"/>
    <w:rsid w:val="005469D0"/>
    <w:rsid w:val="005519BC"/>
    <w:rsid w:val="00551BEE"/>
    <w:rsid w:val="0055360E"/>
    <w:rsid w:val="005545BF"/>
    <w:rsid w:val="00554781"/>
    <w:rsid w:val="00555069"/>
    <w:rsid w:val="00555A12"/>
    <w:rsid w:val="00555CA0"/>
    <w:rsid w:val="00557536"/>
    <w:rsid w:val="00557627"/>
    <w:rsid w:val="00560E96"/>
    <w:rsid w:val="005611AB"/>
    <w:rsid w:val="005618BC"/>
    <w:rsid w:val="0056564F"/>
    <w:rsid w:val="00565EAB"/>
    <w:rsid w:val="005673FC"/>
    <w:rsid w:val="00567F85"/>
    <w:rsid w:val="00570A21"/>
    <w:rsid w:val="00572F46"/>
    <w:rsid w:val="00580871"/>
    <w:rsid w:val="0058183A"/>
    <w:rsid w:val="00581A44"/>
    <w:rsid w:val="0058351F"/>
    <w:rsid w:val="00584D1A"/>
    <w:rsid w:val="005850E9"/>
    <w:rsid w:val="00585605"/>
    <w:rsid w:val="00585FF4"/>
    <w:rsid w:val="00587D7D"/>
    <w:rsid w:val="00590A8E"/>
    <w:rsid w:val="005921ED"/>
    <w:rsid w:val="00592536"/>
    <w:rsid w:val="00592CAB"/>
    <w:rsid w:val="00593628"/>
    <w:rsid w:val="00593636"/>
    <w:rsid w:val="0059500A"/>
    <w:rsid w:val="0059672C"/>
    <w:rsid w:val="00596A48"/>
    <w:rsid w:val="005A08BE"/>
    <w:rsid w:val="005A098A"/>
    <w:rsid w:val="005A3BEF"/>
    <w:rsid w:val="005A3CB8"/>
    <w:rsid w:val="005A4358"/>
    <w:rsid w:val="005A4F7D"/>
    <w:rsid w:val="005A5F10"/>
    <w:rsid w:val="005A6378"/>
    <w:rsid w:val="005A69E2"/>
    <w:rsid w:val="005A6C7B"/>
    <w:rsid w:val="005B01F2"/>
    <w:rsid w:val="005B48B6"/>
    <w:rsid w:val="005B4F29"/>
    <w:rsid w:val="005B5378"/>
    <w:rsid w:val="005B5F54"/>
    <w:rsid w:val="005C1345"/>
    <w:rsid w:val="005C3D9A"/>
    <w:rsid w:val="005C4A93"/>
    <w:rsid w:val="005C5271"/>
    <w:rsid w:val="005C55BC"/>
    <w:rsid w:val="005D090E"/>
    <w:rsid w:val="005D33F7"/>
    <w:rsid w:val="005D40C7"/>
    <w:rsid w:val="005D436B"/>
    <w:rsid w:val="005D4382"/>
    <w:rsid w:val="005D4D4F"/>
    <w:rsid w:val="005D5B48"/>
    <w:rsid w:val="005D60FF"/>
    <w:rsid w:val="005D6922"/>
    <w:rsid w:val="005D74D6"/>
    <w:rsid w:val="005D75C3"/>
    <w:rsid w:val="005E0C51"/>
    <w:rsid w:val="005E214B"/>
    <w:rsid w:val="005E24EC"/>
    <w:rsid w:val="005E451A"/>
    <w:rsid w:val="005E50A3"/>
    <w:rsid w:val="005E5393"/>
    <w:rsid w:val="005E56CB"/>
    <w:rsid w:val="005E6754"/>
    <w:rsid w:val="005E720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1F67"/>
    <w:rsid w:val="00602E36"/>
    <w:rsid w:val="00603D1C"/>
    <w:rsid w:val="00603EE2"/>
    <w:rsid w:val="00604B46"/>
    <w:rsid w:val="00607554"/>
    <w:rsid w:val="00607CD1"/>
    <w:rsid w:val="006126E4"/>
    <w:rsid w:val="00613C23"/>
    <w:rsid w:val="00613EA0"/>
    <w:rsid w:val="00613F67"/>
    <w:rsid w:val="00614009"/>
    <w:rsid w:val="0061492A"/>
    <w:rsid w:val="0061524E"/>
    <w:rsid w:val="00615576"/>
    <w:rsid w:val="0061563D"/>
    <w:rsid w:val="006158BA"/>
    <w:rsid w:val="00615BEA"/>
    <w:rsid w:val="00617175"/>
    <w:rsid w:val="006172CD"/>
    <w:rsid w:val="006207F3"/>
    <w:rsid w:val="006212C0"/>
    <w:rsid w:val="006216D9"/>
    <w:rsid w:val="0062174A"/>
    <w:rsid w:val="00621F3C"/>
    <w:rsid w:val="00622281"/>
    <w:rsid w:val="00623C44"/>
    <w:rsid w:val="00624226"/>
    <w:rsid w:val="00625470"/>
    <w:rsid w:val="00625C7F"/>
    <w:rsid w:val="006301EB"/>
    <w:rsid w:val="006313B8"/>
    <w:rsid w:val="00631505"/>
    <w:rsid w:val="006327F5"/>
    <w:rsid w:val="0063491D"/>
    <w:rsid w:val="00635B90"/>
    <w:rsid w:val="00636992"/>
    <w:rsid w:val="00637857"/>
    <w:rsid w:val="00640D08"/>
    <w:rsid w:val="00640D3D"/>
    <w:rsid w:val="00642706"/>
    <w:rsid w:val="00642A13"/>
    <w:rsid w:val="00642A8F"/>
    <w:rsid w:val="006437DA"/>
    <w:rsid w:val="00643ECB"/>
    <w:rsid w:val="0064401B"/>
    <w:rsid w:val="0064422C"/>
    <w:rsid w:val="00644D7F"/>
    <w:rsid w:val="00645170"/>
    <w:rsid w:val="006451ED"/>
    <w:rsid w:val="00645E6F"/>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DDD"/>
    <w:rsid w:val="006641DD"/>
    <w:rsid w:val="00664676"/>
    <w:rsid w:val="00664F45"/>
    <w:rsid w:val="006652C6"/>
    <w:rsid w:val="00665368"/>
    <w:rsid w:val="00666BF3"/>
    <w:rsid w:val="00667712"/>
    <w:rsid w:val="006706A5"/>
    <w:rsid w:val="006709E7"/>
    <w:rsid w:val="0067105F"/>
    <w:rsid w:val="00671138"/>
    <w:rsid w:val="0067116A"/>
    <w:rsid w:val="00671309"/>
    <w:rsid w:val="00671A52"/>
    <w:rsid w:val="00671D61"/>
    <w:rsid w:val="00672851"/>
    <w:rsid w:val="00676A37"/>
    <w:rsid w:val="00676E08"/>
    <w:rsid w:val="00677568"/>
    <w:rsid w:val="00677D41"/>
    <w:rsid w:val="00680324"/>
    <w:rsid w:val="00680C89"/>
    <w:rsid w:val="006811E0"/>
    <w:rsid w:val="006836BF"/>
    <w:rsid w:val="0068534E"/>
    <w:rsid w:val="00685438"/>
    <w:rsid w:val="00685C47"/>
    <w:rsid w:val="00686195"/>
    <w:rsid w:val="0068734F"/>
    <w:rsid w:val="006873CB"/>
    <w:rsid w:val="006878D9"/>
    <w:rsid w:val="006906C5"/>
    <w:rsid w:val="00690B33"/>
    <w:rsid w:val="00690F25"/>
    <w:rsid w:val="00692A55"/>
    <w:rsid w:val="00693910"/>
    <w:rsid w:val="00694864"/>
    <w:rsid w:val="00694B21"/>
    <w:rsid w:val="00695654"/>
    <w:rsid w:val="006A0461"/>
    <w:rsid w:val="006A0550"/>
    <w:rsid w:val="006A0B82"/>
    <w:rsid w:val="006A172E"/>
    <w:rsid w:val="006A2727"/>
    <w:rsid w:val="006A29BE"/>
    <w:rsid w:val="006A4113"/>
    <w:rsid w:val="006A4C05"/>
    <w:rsid w:val="006A555A"/>
    <w:rsid w:val="006A5CFC"/>
    <w:rsid w:val="006A5DB1"/>
    <w:rsid w:val="006A780B"/>
    <w:rsid w:val="006A7DB6"/>
    <w:rsid w:val="006A7FE0"/>
    <w:rsid w:val="006B1632"/>
    <w:rsid w:val="006B23FF"/>
    <w:rsid w:val="006B247F"/>
    <w:rsid w:val="006B3C0B"/>
    <w:rsid w:val="006B460D"/>
    <w:rsid w:val="006B59EF"/>
    <w:rsid w:val="006C0B6D"/>
    <w:rsid w:val="006C0F2D"/>
    <w:rsid w:val="006C2D84"/>
    <w:rsid w:val="006C3710"/>
    <w:rsid w:val="006C56A5"/>
    <w:rsid w:val="006C58A2"/>
    <w:rsid w:val="006C5BFF"/>
    <w:rsid w:val="006C5D46"/>
    <w:rsid w:val="006C5DAF"/>
    <w:rsid w:val="006C65F1"/>
    <w:rsid w:val="006D0207"/>
    <w:rsid w:val="006D04EE"/>
    <w:rsid w:val="006D08B1"/>
    <w:rsid w:val="006D250A"/>
    <w:rsid w:val="006D3169"/>
    <w:rsid w:val="006D3773"/>
    <w:rsid w:val="006D590F"/>
    <w:rsid w:val="006D60A4"/>
    <w:rsid w:val="006D6E56"/>
    <w:rsid w:val="006D7726"/>
    <w:rsid w:val="006E0ACD"/>
    <w:rsid w:val="006E19CA"/>
    <w:rsid w:val="006E270D"/>
    <w:rsid w:val="006E3777"/>
    <w:rsid w:val="006E3E10"/>
    <w:rsid w:val="006E50F1"/>
    <w:rsid w:val="006E7B1A"/>
    <w:rsid w:val="006F0018"/>
    <w:rsid w:val="006F12BF"/>
    <w:rsid w:val="006F32C7"/>
    <w:rsid w:val="006F381F"/>
    <w:rsid w:val="006F4482"/>
    <w:rsid w:val="006F45BC"/>
    <w:rsid w:val="006F472E"/>
    <w:rsid w:val="006F59DE"/>
    <w:rsid w:val="006F5C13"/>
    <w:rsid w:val="006F7A04"/>
    <w:rsid w:val="006F7ABC"/>
    <w:rsid w:val="00700664"/>
    <w:rsid w:val="00700E59"/>
    <w:rsid w:val="00701FAC"/>
    <w:rsid w:val="0070271E"/>
    <w:rsid w:val="00702EF7"/>
    <w:rsid w:val="00704294"/>
    <w:rsid w:val="00704460"/>
    <w:rsid w:val="007047B6"/>
    <w:rsid w:val="00704A66"/>
    <w:rsid w:val="007052E1"/>
    <w:rsid w:val="0070698C"/>
    <w:rsid w:val="00706A32"/>
    <w:rsid w:val="007078B7"/>
    <w:rsid w:val="00710EAE"/>
    <w:rsid w:val="007119DA"/>
    <w:rsid w:val="007132B5"/>
    <w:rsid w:val="0071440E"/>
    <w:rsid w:val="00714A09"/>
    <w:rsid w:val="00715A44"/>
    <w:rsid w:val="00715D19"/>
    <w:rsid w:val="00716C70"/>
    <w:rsid w:val="00716DBB"/>
    <w:rsid w:val="00717887"/>
    <w:rsid w:val="00717AA6"/>
    <w:rsid w:val="00720090"/>
    <w:rsid w:val="007227BD"/>
    <w:rsid w:val="00723F00"/>
    <w:rsid w:val="0072487D"/>
    <w:rsid w:val="007258B9"/>
    <w:rsid w:val="007262BB"/>
    <w:rsid w:val="007302CD"/>
    <w:rsid w:val="00732C4E"/>
    <w:rsid w:val="00733D05"/>
    <w:rsid w:val="0073478E"/>
    <w:rsid w:val="00735921"/>
    <w:rsid w:val="00736CA8"/>
    <w:rsid w:val="00737C3A"/>
    <w:rsid w:val="00737D14"/>
    <w:rsid w:val="00737F05"/>
    <w:rsid w:val="007431F5"/>
    <w:rsid w:val="00745223"/>
    <w:rsid w:val="00745908"/>
    <w:rsid w:val="00747304"/>
    <w:rsid w:val="007473AC"/>
    <w:rsid w:val="007477F4"/>
    <w:rsid w:val="00752178"/>
    <w:rsid w:val="0075282E"/>
    <w:rsid w:val="00752F02"/>
    <w:rsid w:val="00754881"/>
    <w:rsid w:val="00754AB5"/>
    <w:rsid w:val="00755117"/>
    <w:rsid w:val="007557CA"/>
    <w:rsid w:val="0075617D"/>
    <w:rsid w:val="007564AB"/>
    <w:rsid w:val="00756930"/>
    <w:rsid w:val="00756975"/>
    <w:rsid w:val="00756DFA"/>
    <w:rsid w:val="00757C4B"/>
    <w:rsid w:val="0076041D"/>
    <w:rsid w:val="007611CB"/>
    <w:rsid w:val="00761B0B"/>
    <w:rsid w:val="007631E0"/>
    <w:rsid w:val="00763430"/>
    <w:rsid w:val="00765781"/>
    <w:rsid w:val="00766353"/>
    <w:rsid w:val="00766448"/>
    <w:rsid w:val="00771098"/>
    <w:rsid w:val="00773BDD"/>
    <w:rsid w:val="00774460"/>
    <w:rsid w:val="00774922"/>
    <w:rsid w:val="00776EC9"/>
    <w:rsid w:val="00780290"/>
    <w:rsid w:val="00780296"/>
    <w:rsid w:val="00780707"/>
    <w:rsid w:val="00780972"/>
    <w:rsid w:val="00780E2F"/>
    <w:rsid w:val="00781C27"/>
    <w:rsid w:val="00783386"/>
    <w:rsid w:val="00787B2C"/>
    <w:rsid w:val="00787B36"/>
    <w:rsid w:val="00787D24"/>
    <w:rsid w:val="007906AE"/>
    <w:rsid w:val="00791EEE"/>
    <w:rsid w:val="00792C57"/>
    <w:rsid w:val="007946EB"/>
    <w:rsid w:val="0079538E"/>
    <w:rsid w:val="0079543C"/>
    <w:rsid w:val="00795F8D"/>
    <w:rsid w:val="00796AEA"/>
    <w:rsid w:val="007A1316"/>
    <w:rsid w:val="007A1DC5"/>
    <w:rsid w:val="007A20AD"/>
    <w:rsid w:val="007A28CD"/>
    <w:rsid w:val="007A3F8F"/>
    <w:rsid w:val="007A5A18"/>
    <w:rsid w:val="007A5D05"/>
    <w:rsid w:val="007A5E2B"/>
    <w:rsid w:val="007A6BB9"/>
    <w:rsid w:val="007A7331"/>
    <w:rsid w:val="007A7415"/>
    <w:rsid w:val="007B0CB0"/>
    <w:rsid w:val="007B116D"/>
    <w:rsid w:val="007B1A13"/>
    <w:rsid w:val="007B1F99"/>
    <w:rsid w:val="007B27DF"/>
    <w:rsid w:val="007B3A86"/>
    <w:rsid w:val="007B3DF4"/>
    <w:rsid w:val="007B54ED"/>
    <w:rsid w:val="007B596C"/>
    <w:rsid w:val="007B63CE"/>
    <w:rsid w:val="007B6462"/>
    <w:rsid w:val="007B6863"/>
    <w:rsid w:val="007B6EF3"/>
    <w:rsid w:val="007C0EAB"/>
    <w:rsid w:val="007C2AE2"/>
    <w:rsid w:val="007C2F4E"/>
    <w:rsid w:val="007C31CC"/>
    <w:rsid w:val="007C32C3"/>
    <w:rsid w:val="007C3745"/>
    <w:rsid w:val="007C3E46"/>
    <w:rsid w:val="007C47D0"/>
    <w:rsid w:val="007C6751"/>
    <w:rsid w:val="007D0987"/>
    <w:rsid w:val="007D0E00"/>
    <w:rsid w:val="007D0FC5"/>
    <w:rsid w:val="007D16EA"/>
    <w:rsid w:val="007D1913"/>
    <w:rsid w:val="007D19CF"/>
    <w:rsid w:val="007D1DA4"/>
    <w:rsid w:val="007D20B0"/>
    <w:rsid w:val="007D298C"/>
    <w:rsid w:val="007D30DA"/>
    <w:rsid w:val="007D3420"/>
    <w:rsid w:val="007D5362"/>
    <w:rsid w:val="007D6110"/>
    <w:rsid w:val="007D6BBA"/>
    <w:rsid w:val="007D6C48"/>
    <w:rsid w:val="007D71F7"/>
    <w:rsid w:val="007E000F"/>
    <w:rsid w:val="007E0AB8"/>
    <w:rsid w:val="007E156E"/>
    <w:rsid w:val="007E23B6"/>
    <w:rsid w:val="007E2E70"/>
    <w:rsid w:val="007E300A"/>
    <w:rsid w:val="007E3501"/>
    <w:rsid w:val="007E4C3F"/>
    <w:rsid w:val="007E52B4"/>
    <w:rsid w:val="007E65B1"/>
    <w:rsid w:val="007F05C7"/>
    <w:rsid w:val="007F0FF4"/>
    <w:rsid w:val="007F2683"/>
    <w:rsid w:val="007F2956"/>
    <w:rsid w:val="007F2E32"/>
    <w:rsid w:val="007F6940"/>
    <w:rsid w:val="007F6A11"/>
    <w:rsid w:val="008002AA"/>
    <w:rsid w:val="008015EA"/>
    <w:rsid w:val="008018EF"/>
    <w:rsid w:val="0080230D"/>
    <w:rsid w:val="008036FD"/>
    <w:rsid w:val="0080383D"/>
    <w:rsid w:val="00807429"/>
    <w:rsid w:val="008106A5"/>
    <w:rsid w:val="00810827"/>
    <w:rsid w:val="008127D6"/>
    <w:rsid w:val="00814E45"/>
    <w:rsid w:val="00815227"/>
    <w:rsid w:val="00815360"/>
    <w:rsid w:val="00817346"/>
    <w:rsid w:val="00817DA7"/>
    <w:rsid w:val="0082161C"/>
    <w:rsid w:val="00821B16"/>
    <w:rsid w:val="00823378"/>
    <w:rsid w:val="008235BA"/>
    <w:rsid w:val="00823797"/>
    <w:rsid w:val="008243DF"/>
    <w:rsid w:val="0082459D"/>
    <w:rsid w:val="00824CEF"/>
    <w:rsid w:val="008254AB"/>
    <w:rsid w:val="00826480"/>
    <w:rsid w:val="00827496"/>
    <w:rsid w:val="00830148"/>
    <w:rsid w:val="008316AD"/>
    <w:rsid w:val="00831855"/>
    <w:rsid w:val="00832D13"/>
    <w:rsid w:val="00832F75"/>
    <w:rsid w:val="0083362F"/>
    <w:rsid w:val="00835315"/>
    <w:rsid w:val="00835AEB"/>
    <w:rsid w:val="0083669A"/>
    <w:rsid w:val="00836BE5"/>
    <w:rsid w:val="00836F2D"/>
    <w:rsid w:val="00840D0F"/>
    <w:rsid w:val="0084200E"/>
    <w:rsid w:val="00842A84"/>
    <w:rsid w:val="00842FDE"/>
    <w:rsid w:val="008445D4"/>
    <w:rsid w:val="008446F1"/>
    <w:rsid w:val="00846FF0"/>
    <w:rsid w:val="00847CD0"/>
    <w:rsid w:val="00854B56"/>
    <w:rsid w:val="00855374"/>
    <w:rsid w:val="0085728C"/>
    <w:rsid w:val="00857A42"/>
    <w:rsid w:val="00857F65"/>
    <w:rsid w:val="00860737"/>
    <w:rsid w:val="008611A4"/>
    <w:rsid w:val="00861FD7"/>
    <w:rsid w:val="0086249A"/>
    <w:rsid w:val="00862B1B"/>
    <w:rsid w:val="00862B56"/>
    <w:rsid w:val="0086363F"/>
    <w:rsid w:val="008639C9"/>
    <w:rsid w:val="008667AD"/>
    <w:rsid w:val="00866D13"/>
    <w:rsid w:val="00867150"/>
    <w:rsid w:val="00870F40"/>
    <w:rsid w:val="008747EE"/>
    <w:rsid w:val="00874DEF"/>
    <w:rsid w:val="00876D09"/>
    <w:rsid w:val="00877308"/>
    <w:rsid w:val="0088013C"/>
    <w:rsid w:val="00881882"/>
    <w:rsid w:val="00882AC7"/>
    <w:rsid w:val="00882CC5"/>
    <w:rsid w:val="008835E3"/>
    <w:rsid w:val="00884416"/>
    <w:rsid w:val="00884452"/>
    <w:rsid w:val="00886E1F"/>
    <w:rsid w:val="008905D7"/>
    <w:rsid w:val="008934C7"/>
    <w:rsid w:val="008957C4"/>
    <w:rsid w:val="00895B87"/>
    <w:rsid w:val="00895EB5"/>
    <w:rsid w:val="008960B7"/>
    <w:rsid w:val="008962F2"/>
    <w:rsid w:val="00896511"/>
    <w:rsid w:val="00896657"/>
    <w:rsid w:val="0089692A"/>
    <w:rsid w:val="00896F35"/>
    <w:rsid w:val="008975E7"/>
    <w:rsid w:val="008A08D2"/>
    <w:rsid w:val="008A0DE1"/>
    <w:rsid w:val="008A2E7B"/>
    <w:rsid w:val="008A3423"/>
    <w:rsid w:val="008A3EA4"/>
    <w:rsid w:val="008A3FB1"/>
    <w:rsid w:val="008A7133"/>
    <w:rsid w:val="008A7AE9"/>
    <w:rsid w:val="008B0C5E"/>
    <w:rsid w:val="008B1D85"/>
    <w:rsid w:val="008B24E5"/>
    <w:rsid w:val="008B270A"/>
    <w:rsid w:val="008B3920"/>
    <w:rsid w:val="008B496B"/>
    <w:rsid w:val="008B5ADC"/>
    <w:rsid w:val="008B5B9D"/>
    <w:rsid w:val="008B68C6"/>
    <w:rsid w:val="008B6F16"/>
    <w:rsid w:val="008B6F4B"/>
    <w:rsid w:val="008C0156"/>
    <w:rsid w:val="008C0189"/>
    <w:rsid w:val="008C0257"/>
    <w:rsid w:val="008C12FB"/>
    <w:rsid w:val="008C2607"/>
    <w:rsid w:val="008C2E2F"/>
    <w:rsid w:val="008C465E"/>
    <w:rsid w:val="008C4CE4"/>
    <w:rsid w:val="008C5AA7"/>
    <w:rsid w:val="008C6787"/>
    <w:rsid w:val="008C73D6"/>
    <w:rsid w:val="008D0C62"/>
    <w:rsid w:val="008D20C1"/>
    <w:rsid w:val="008D2CD6"/>
    <w:rsid w:val="008D4939"/>
    <w:rsid w:val="008D50C8"/>
    <w:rsid w:val="008D790B"/>
    <w:rsid w:val="008D7FC7"/>
    <w:rsid w:val="008E0C04"/>
    <w:rsid w:val="008E0FE3"/>
    <w:rsid w:val="008E2737"/>
    <w:rsid w:val="008E3D60"/>
    <w:rsid w:val="008E45DB"/>
    <w:rsid w:val="008E4DCD"/>
    <w:rsid w:val="008E4E47"/>
    <w:rsid w:val="008E6098"/>
    <w:rsid w:val="008E627D"/>
    <w:rsid w:val="008E7390"/>
    <w:rsid w:val="008E7B58"/>
    <w:rsid w:val="008F05C2"/>
    <w:rsid w:val="008F1D7A"/>
    <w:rsid w:val="008F1E28"/>
    <w:rsid w:val="008F1F00"/>
    <w:rsid w:val="008F41ED"/>
    <w:rsid w:val="008F42BB"/>
    <w:rsid w:val="008F47D1"/>
    <w:rsid w:val="008F6315"/>
    <w:rsid w:val="008F6D2B"/>
    <w:rsid w:val="008F7005"/>
    <w:rsid w:val="00900E01"/>
    <w:rsid w:val="00901E6F"/>
    <w:rsid w:val="0090291C"/>
    <w:rsid w:val="009043BE"/>
    <w:rsid w:val="00905434"/>
    <w:rsid w:val="00905C39"/>
    <w:rsid w:val="00905E46"/>
    <w:rsid w:val="00906628"/>
    <w:rsid w:val="009072F6"/>
    <w:rsid w:val="00907697"/>
    <w:rsid w:val="009077DB"/>
    <w:rsid w:val="00910B93"/>
    <w:rsid w:val="00910D1A"/>
    <w:rsid w:val="009113AE"/>
    <w:rsid w:val="009116CC"/>
    <w:rsid w:val="00911955"/>
    <w:rsid w:val="00911A3E"/>
    <w:rsid w:val="00912262"/>
    <w:rsid w:val="00912A52"/>
    <w:rsid w:val="00912BE1"/>
    <w:rsid w:val="00913539"/>
    <w:rsid w:val="009145A4"/>
    <w:rsid w:val="0091586C"/>
    <w:rsid w:val="00915F47"/>
    <w:rsid w:val="009160E0"/>
    <w:rsid w:val="00917DA1"/>
    <w:rsid w:val="00921B80"/>
    <w:rsid w:val="00921F3C"/>
    <w:rsid w:val="00923A05"/>
    <w:rsid w:val="00924F4A"/>
    <w:rsid w:val="009259EF"/>
    <w:rsid w:val="00925E74"/>
    <w:rsid w:val="00926659"/>
    <w:rsid w:val="00927725"/>
    <w:rsid w:val="00927DC4"/>
    <w:rsid w:val="009304FE"/>
    <w:rsid w:val="00930782"/>
    <w:rsid w:val="009310F0"/>
    <w:rsid w:val="0093251E"/>
    <w:rsid w:val="0093296D"/>
    <w:rsid w:val="00933B85"/>
    <w:rsid w:val="0093422B"/>
    <w:rsid w:val="009353DF"/>
    <w:rsid w:val="0093570A"/>
    <w:rsid w:val="00935F40"/>
    <w:rsid w:val="009363C8"/>
    <w:rsid w:val="00936C3C"/>
    <w:rsid w:val="00936EC8"/>
    <w:rsid w:val="009378D2"/>
    <w:rsid w:val="00937AD5"/>
    <w:rsid w:val="00941138"/>
    <w:rsid w:val="00942DAE"/>
    <w:rsid w:val="00943F6E"/>
    <w:rsid w:val="00945CCD"/>
    <w:rsid w:val="00945D59"/>
    <w:rsid w:val="00947F9D"/>
    <w:rsid w:val="00951D24"/>
    <w:rsid w:val="00952049"/>
    <w:rsid w:val="00952C86"/>
    <w:rsid w:val="00953BC2"/>
    <w:rsid w:val="009542EE"/>
    <w:rsid w:val="00954986"/>
    <w:rsid w:val="00955385"/>
    <w:rsid w:val="00955739"/>
    <w:rsid w:val="009559AF"/>
    <w:rsid w:val="00955CF8"/>
    <w:rsid w:val="009564F3"/>
    <w:rsid w:val="009565E3"/>
    <w:rsid w:val="00956972"/>
    <w:rsid w:val="0095714D"/>
    <w:rsid w:val="00957687"/>
    <w:rsid w:val="00957E20"/>
    <w:rsid w:val="00961E91"/>
    <w:rsid w:val="00963140"/>
    <w:rsid w:val="00963876"/>
    <w:rsid w:val="00964CD3"/>
    <w:rsid w:val="00966051"/>
    <w:rsid w:val="00966BD1"/>
    <w:rsid w:val="00970E28"/>
    <w:rsid w:val="00973088"/>
    <w:rsid w:val="00974568"/>
    <w:rsid w:val="0097493A"/>
    <w:rsid w:val="00974BBF"/>
    <w:rsid w:val="0097619C"/>
    <w:rsid w:val="00976280"/>
    <w:rsid w:val="009765DF"/>
    <w:rsid w:val="00977973"/>
    <w:rsid w:val="00981F79"/>
    <w:rsid w:val="009834E9"/>
    <w:rsid w:val="00983A72"/>
    <w:rsid w:val="009850EF"/>
    <w:rsid w:val="009868FC"/>
    <w:rsid w:val="00986D78"/>
    <w:rsid w:val="00987E09"/>
    <w:rsid w:val="00987F49"/>
    <w:rsid w:val="00987FE0"/>
    <w:rsid w:val="00990566"/>
    <w:rsid w:val="00991A16"/>
    <w:rsid w:val="00991AA5"/>
    <w:rsid w:val="00993BEE"/>
    <w:rsid w:val="00994BED"/>
    <w:rsid w:val="00995CC1"/>
    <w:rsid w:val="009961EE"/>
    <w:rsid w:val="0099682E"/>
    <w:rsid w:val="00996FC8"/>
    <w:rsid w:val="00997386"/>
    <w:rsid w:val="009A0BF1"/>
    <w:rsid w:val="009A23A4"/>
    <w:rsid w:val="009A2E64"/>
    <w:rsid w:val="009A3BAF"/>
    <w:rsid w:val="009A43AF"/>
    <w:rsid w:val="009A4914"/>
    <w:rsid w:val="009A4ED0"/>
    <w:rsid w:val="009A5986"/>
    <w:rsid w:val="009A6EF9"/>
    <w:rsid w:val="009B0086"/>
    <w:rsid w:val="009B044D"/>
    <w:rsid w:val="009B0DF1"/>
    <w:rsid w:val="009B32BB"/>
    <w:rsid w:val="009B41FE"/>
    <w:rsid w:val="009B4416"/>
    <w:rsid w:val="009B4B28"/>
    <w:rsid w:val="009B4E8F"/>
    <w:rsid w:val="009B5E0E"/>
    <w:rsid w:val="009B75B8"/>
    <w:rsid w:val="009B7FCB"/>
    <w:rsid w:val="009C07DF"/>
    <w:rsid w:val="009C0E2E"/>
    <w:rsid w:val="009C1047"/>
    <w:rsid w:val="009C1908"/>
    <w:rsid w:val="009C190C"/>
    <w:rsid w:val="009C2436"/>
    <w:rsid w:val="009C65B2"/>
    <w:rsid w:val="009C6C72"/>
    <w:rsid w:val="009C77A0"/>
    <w:rsid w:val="009C79CB"/>
    <w:rsid w:val="009C7C61"/>
    <w:rsid w:val="009D0B36"/>
    <w:rsid w:val="009D1640"/>
    <w:rsid w:val="009D21D0"/>
    <w:rsid w:val="009D2D1D"/>
    <w:rsid w:val="009D2FBA"/>
    <w:rsid w:val="009D351E"/>
    <w:rsid w:val="009D50ED"/>
    <w:rsid w:val="009D5768"/>
    <w:rsid w:val="009D6D73"/>
    <w:rsid w:val="009D73AC"/>
    <w:rsid w:val="009D7787"/>
    <w:rsid w:val="009E02C9"/>
    <w:rsid w:val="009E1660"/>
    <w:rsid w:val="009E1F68"/>
    <w:rsid w:val="009E2A96"/>
    <w:rsid w:val="009E359F"/>
    <w:rsid w:val="009E39DC"/>
    <w:rsid w:val="009E3FC0"/>
    <w:rsid w:val="009E44D4"/>
    <w:rsid w:val="009E455F"/>
    <w:rsid w:val="009E5645"/>
    <w:rsid w:val="009E56B4"/>
    <w:rsid w:val="009E59A2"/>
    <w:rsid w:val="009E67DD"/>
    <w:rsid w:val="009F00E2"/>
    <w:rsid w:val="009F43C3"/>
    <w:rsid w:val="009F4C44"/>
    <w:rsid w:val="009F61A9"/>
    <w:rsid w:val="009F61B8"/>
    <w:rsid w:val="009F6A19"/>
    <w:rsid w:val="00A020B4"/>
    <w:rsid w:val="00A02F3C"/>
    <w:rsid w:val="00A03358"/>
    <w:rsid w:val="00A043FE"/>
    <w:rsid w:val="00A044A3"/>
    <w:rsid w:val="00A0471E"/>
    <w:rsid w:val="00A056E1"/>
    <w:rsid w:val="00A0588B"/>
    <w:rsid w:val="00A05916"/>
    <w:rsid w:val="00A05AA6"/>
    <w:rsid w:val="00A05B21"/>
    <w:rsid w:val="00A06192"/>
    <w:rsid w:val="00A06818"/>
    <w:rsid w:val="00A07065"/>
    <w:rsid w:val="00A10886"/>
    <w:rsid w:val="00A11861"/>
    <w:rsid w:val="00A1266A"/>
    <w:rsid w:val="00A1389B"/>
    <w:rsid w:val="00A1622A"/>
    <w:rsid w:val="00A16E6B"/>
    <w:rsid w:val="00A16EEB"/>
    <w:rsid w:val="00A20575"/>
    <w:rsid w:val="00A208EB"/>
    <w:rsid w:val="00A2114F"/>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32F7"/>
    <w:rsid w:val="00A346FE"/>
    <w:rsid w:val="00A3596C"/>
    <w:rsid w:val="00A36B1D"/>
    <w:rsid w:val="00A36D6B"/>
    <w:rsid w:val="00A36E14"/>
    <w:rsid w:val="00A40446"/>
    <w:rsid w:val="00A40A8F"/>
    <w:rsid w:val="00A41B06"/>
    <w:rsid w:val="00A42098"/>
    <w:rsid w:val="00A4277B"/>
    <w:rsid w:val="00A43468"/>
    <w:rsid w:val="00A437BB"/>
    <w:rsid w:val="00A4716C"/>
    <w:rsid w:val="00A50430"/>
    <w:rsid w:val="00A50BF4"/>
    <w:rsid w:val="00A50DA6"/>
    <w:rsid w:val="00A511E6"/>
    <w:rsid w:val="00A52978"/>
    <w:rsid w:val="00A52C86"/>
    <w:rsid w:val="00A53130"/>
    <w:rsid w:val="00A5412B"/>
    <w:rsid w:val="00A547F1"/>
    <w:rsid w:val="00A55158"/>
    <w:rsid w:val="00A57DA5"/>
    <w:rsid w:val="00A6042C"/>
    <w:rsid w:val="00A61E0C"/>
    <w:rsid w:val="00A628DE"/>
    <w:rsid w:val="00A63B97"/>
    <w:rsid w:val="00A64735"/>
    <w:rsid w:val="00A64AC6"/>
    <w:rsid w:val="00A6521D"/>
    <w:rsid w:val="00A65CB6"/>
    <w:rsid w:val="00A66253"/>
    <w:rsid w:val="00A666B7"/>
    <w:rsid w:val="00A66B50"/>
    <w:rsid w:val="00A677C0"/>
    <w:rsid w:val="00A67FAE"/>
    <w:rsid w:val="00A72556"/>
    <w:rsid w:val="00A72AF8"/>
    <w:rsid w:val="00A7322E"/>
    <w:rsid w:val="00A73601"/>
    <w:rsid w:val="00A7422E"/>
    <w:rsid w:val="00A746B4"/>
    <w:rsid w:val="00A74F96"/>
    <w:rsid w:val="00A80B08"/>
    <w:rsid w:val="00A81E64"/>
    <w:rsid w:val="00A82AD7"/>
    <w:rsid w:val="00A8326A"/>
    <w:rsid w:val="00A8367E"/>
    <w:rsid w:val="00A84536"/>
    <w:rsid w:val="00A84FC0"/>
    <w:rsid w:val="00A8510A"/>
    <w:rsid w:val="00A85226"/>
    <w:rsid w:val="00A857A7"/>
    <w:rsid w:val="00A85CF2"/>
    <w:rsid w:val="00A860D4"/>
    <w:rsid w:val="00A91F1C"/>
    <w:rsid w:val="00A92240"/>
    <w:rsid w:val="00A926BB"/>
    <w:rsid w:val="00A92D24"/>
    <w:rsid w:val="00A9350D"/>
    <w:rsid w:val="00A940EA"/>
    <w:rsid w:val="00A94442"/>
    <w:rsid w:val="00A944A8"/>
    <w:rsid w:val="00A94FA2"/>
    <w:rsid w:val="00A973D1"/>
    <w:rsid w:val="00A97F64"/>
    <w:rsid w:val="00AA0D13"/>
    <w:rsid w:val="00AA2F56"/>
    <w:rsid w:val="00AA32F4"/>
    <w:rsid w:val="00AA3F68"/>
    <w:rsid w:val="00AA3FE6"/>
    <w:rsid w:val="00AA46CF"/>
    <w:rsid w:val="00AA59A9"/>
    <w:rsid w:val="00AA5C5A"/>
    <w:rsid w:val="00AA650E"/>
    <w:rsid w:val="00AA72B5"/>
    <w:rsid w:val="00AB0EFE"/>
    <w:rsid w:val="00AB0F2F"/>
    <w:rsid w:val="00AB12D9"/>
    <w:rsid w:val="00AB195F"/>
    <w:rsid w:val="00AB1C09"/>
    <w:rsid w:val="00AB2C4F"/>
    <w:rsid w:val="00AB3848"/>
    <w:rsid w:val="00AB3ACA"/>
    <w:rsid w:val="00AB5020"/>
    <w:rsid w:val="00AB5F73"/>
    <w:rsid w:val="00AB6968"/>
    <w:rsid w:val="00AB699B"/>
    <w:rsid w:val="00AB6EAA"/>
    <w:rsid w:val="00AB7FEE"/>
    <w:rsid w:val="00AC042B"/>
    <w:rsid w:val="00AC0A37"/>
    <w:rsid w:val="00AC113A"/>
    <w:rsid w:val="00AC1E64"/>
    <w:rsid w:val="00AC275F"/>
    <w:rsid w:val="00AC2919"/>
    <w:rsid w:val="00AC3473"/>
    <w:rsid w:val="00AC3742"/>
    <w:rsid w:val="00AC3CC5"/>
    <w:rsid w:val="00AC4230"/>
    <w:rsid w:val="00AC4746"/>
    <w:rsid w:val="00AC5FB9"/>
    <w:rsid w:val="00AC6001"/>
    <w:rsid w:val="00AC66CB"/>
    <w:rsid w:val="00AC6CAC"/>
    <w:rsid w:val="00AC6F04"/>
    <w:rsid w:val="00AC7080"/>
    <w:rsid w:val="00AC7204"/>
    <w:rsid w:val="00AD07F3"/>
    <w:rsid w:val="00AD149E"/>
    <w:rsid w:val="00AD1FB6"/>
    <w:rsid w:val="00AD20E2"/>
    <w:rsid w:val="00AD22B6"/>
    <w:rsid w:val="00AD2ADC"/>
    <w:rsid w:val="00AD2B54"/>
    <w:rsid w:val="00AD3216"/>
    <w:rsid w:val="00AD46E9"/>
    <w:rsid w:val="00AD5C38"/>
    <w:rsid w:val="00AD73AB"/>
    <w:rsid w:val="00AD76C7"/>
    <w:rsid w:val="00AD7C13"/>
    <w:rsid w:val="00AE2494"/>
    <w:rsid w:val="00AE2B63"/>
    <w:rsid w:val="00AE2D37"/>
    <w:rsid w:val="00AE2D7B"/>
    <w:rsid w:val="00AE402B"/>
    <w:rsid w:val="00AE646E"/>
    <w:rsid w:val="00AE655A"/>
    <w:rsid w:val="00AF08B5"/>
    <w:rsid w:val="00AF0AC1"/>
    <w:rsid w:val="00AF16AA"/>
    <w:rsid w:val="00AF41FA"/>
    <w:rsid w:val="00AF4B50"/>
    <w:rsid w:val="00AF4BB9"/>
    <w:rsid w:val="00AF4E66"/>
    <w:rsid w:val="00AF545D"/>
    <w:rsid w:val="00AF6DD9"/>
    <w:rsid w:val="00B001CE"/>
    <w:rsid w:val="00B01F47"/>
    <w:rsid w:val="00B021F9"/>
    <w:rsid w:val="00B03575"/>
    <w:rsid w:val="00B03703"/>
    <w:rsid w:val="00B044F4"/>
    <w:rsid w:val="00B05C76"/>
    <w:rsid w:val="00B068F0"/>
    <w:rsid w:val="00B077A2"/>
    <w:rsid w:val="00B07E37"/>
    <w:rsid w:val="00B101A9"/>
    <w:rsid w:val="00B106F6"/>
    <w:rsid w:val="00B10907"/>
    <w:rsid w:val="00B10A00"/>
    <w:rsid w:val="00B10F4E"/>
    <w:rsid w:val="00B11E5B"/>
    <w:rsid w:val="00B146AF"/>
    <w:rsid w:val="00B1511A"/>
    <w:rsid w:val="00B15D08"/>
    <w:rsid w:val="00B16E7E"/>
    <w:rsid w:val="00B17456"/>
    <w:rsid w:val="00B204F4"/>
    <w:rsid w:val="00B20655"/>
    <w:rsid w:val="00B206E5"/>
    <w:rsid w:val="00B20AC4"/>
    <w:rsid w:val="00B215A1"/>
    <w:rsid w:val="00B21FFE"/>
    <w:rsid w:val="00B229D6"/>
    <w:rsid w:val="00B23CE9"/>
    <w:rsid w:val="00B24127"/>
    <w:rsid w:val="00B24658"/>
    <w:rsid w:val="00B2631A"/>
    <w:rsid w:val="00B265B1"/>
    <w:rsid w:val="00B26D8F"/>
    <w:rsid w:val="00B300F8"/>
    <w:rsid w:val="00B301A2"/>
    <w:rsid w:val="00B303F0"/>
    <w:rsid w:val="00B30A47"/>
    <w:rsid w:val="00B31173"/>
    <w:rsid w:val="00B312A4"/>
    <w:rsid w:val="00B320CE"/>
    <w:rsid w:val="00B32735"/>
    <w:rsid w:val="00B32D74"/>
    <w:rsid w:val="00B3348E"/>
    <w:rsid w:val="00B33BDB"/>
    <w:rsid w:val="00B35695"/>
    <w:rsid w:val="00B40231"/>
    <w:rsid w:val="00B40C7A"/>
    <w:rsid w:val="00B419E0"/>
    <w:rsid w:val="00B4266C"/>
    <w:rsid w:val="00B42A6D"/>
    <w:rsid w:val="00B42ABB"/>
    <w:rsid w:val="00B42F5F"/>
    <w:rsid w:val="00B45042"/>
    <w:rsid w:val="00B45348"/>
    <w:rsid w:val="00B453FA"/>
    <w:rsid w:val="00B4548B"/>
    <w:rsid w:val="00B46895"/>
    <w:rsid w:val="00B508E9"/>
    <w:rsid w:val="00B50A01"/>
    <w:rsid w:val="00B50EFF"/>
    <w:rsid w:val="00B513A5"/>
    <w:rsid w:val="00B52B1B"/>
    <w:rsid w:val="00B531F1"/>
    <w:rsid w:val="00B547FB"/>
    <w:rsid w:val="00B555ED"/>
    <w:rsid w:val="00B55B97"/>
    <w:rsid w:val="00B56942"/>
    <w:rsid w:val="00B56E5D"/>
    <w:rsid w:val="00B5729D"/>
    <w:rsid w:val="00B5735F"/>
    <w:rsid w:val="00B573B5"/>
    <w:rsid w:val="00B57E11"/>
    <w:rsid w:val="00B61727"/>
    <w:rsid w:val="00B6173F"/>
    <w:rsid w:val="00B631DC"/>
    <w:rsid w:val="00B64C58"/>
    <w:rsid w:val="00B66BAE"/>
    <w:rsid w:val="00B66CCF"/>
    <w:rsid w:val="00B67590"/>
    <w:rsid w:val="00B6764B"/>
    <w:rsid w:val="00B70517"/>
    <w:rsid w:val="00B7116C"/>
    <w:rsid w:val="00B7181E"/>
    <w:rsid w:val="00B719B0"/>
    <w:rsid w:val="00B72736"/>
    <w:rsid w:val="00B72809"/>
    <w:rsid w:val="00B72A2A"/>
    <w:rsid w:val="00B72D9A"/>
    <w:rsid w:val="00B72FCE"/>
    <w:rsid w:val="00B735FE"/>
    <w:rsid w:val="00B7409D"/>
    <w:rsid w:val="00B7493B"/>
    <w:rsid w:val="00B74F9D"/>
    <w:rsid w:val="00B751FF"/>
    <w:rsid w:val="00B75BB3"/>
    <w:rsid w:val="00B8045B"/>
    <w:rsid w:val="00B809EB"/>
    <w:rsid w:val="00B80D03"/>
    <w:rsid w:val="00B8177E"/>
    <w:rsid w:val="00B81FD1"/>
    <w:rsid w:val="00B82620"/>
    <w:rsid w:val="00B828BD"/>
    <w:rsid w:val="00B844F4"/>
    <w:rsid w:val="00B84E4A"/>
    <w:rsid w:val="00B86396"/>
    <w:rsid w:val="00B866CA"/>
    <w:rsid w:val="00B86C96"/>
    <w:rsid w:val="00B9003F"/>
    <w:rsid w:val="00B903FE"/>
    <w:rsid w:val="00B912BF"/>
    <w:rsid w:val="00B91853"/>
    <w:rsid w:val="00B9185F"/>
    <w:rsid w:val="00B918B1"/>
    <w:rsid w:val="00B91E89"/>
    <w:rsid w:val="00B92D56"/>
    <w:rsid w:val="00B934B4"/>
    <w:rsid w:val="00B93DAD"/>
    <w:rsid w:val="00B9411D"/>
    <w:rsid w:val="00B94551"/>
    <w:rsid w:val="00B94598"/>
    <w:rsid w:val="00B951C0"/>
    <w:rsid w:val="00B95A7D"/>
    <w:rsid w:val="00B96A3D"/>
    <w:rsid w:val="00BA0275"/>
    <w:rsid w:val="00BA03C0"/>
    <w:rsid w:val="00BA188B"/>
    <w:rsid w:val="00BA27FF"/>
    <w:rsid w:val="00BA4EA6"/>
    <w:rsid w:val="00BA5041"/>
    <w:rsid w:val="00BA657A"/>
    <w:rsid w:val="00BA7B9D"/>
    <w:rsid w:val="00BA7BD2"/>
    <w:rsid w:val="00BA7C42"/>
    <w:rsid w:val="00BB0832"/>
    <w:rsid w:val="00BB09EF"/>
    <w:rsid w:val="00BB1257"/>
    <w:rsid w:val="00BB14EE"/>
    <w:rsid w:val="00BB25C7"/>
    <w:rsid w:val="00BB276B"/>
    <w:rsid w:val="00BB354F"/>
    <w:rsid w:val="00BB36A8"/>
    <w:rsid w:val="00BB3D84"/>
    <w:rsid w:val="00BB4228"/>
    <w:rsid w:val="00BB4825"/>
    <w:rsid w:val="00BB48C7"/>
    <w:rsid w:val="00BB5B0A"/>
    <w:rsid w:val="00BB5E08"/>
    <w:rsid w:val="00BB700A"/>
    <w:rsid w:val="00BB7187"/>
    <w:rsid w:val="00BC0BCB"/>
    <w:rsid w:val="00BC108B"/>
    <w:rsid w:val="00BC12B6"/>
    <w:rsid w:val="00BC15D3"/>
    <w:rsid w:val="00BC2DCC"/>
    <w:rsid w:val="00BC2DF0"/>
    <w:rsid w:val="00BC321A"/>
    <w:rsid w:val="00BC3F05"/>
    <w:rsid w:val="00BC45CB"/>
    <w:rsid w:val="00BC4D98"/>
    <w:rsid w:val="00BC5AB0"/>
    <w:rsid w:val="00BC5C7E"/>
    <w:rsid w:val="00BD074E"/>
    <w:rsid w:val="00BD1AD4"/>
    <w:rsid w:val="00BD1E93"/>
    <w:rsid w:val="00BD1F85"/>
    <w:rsid w:val="00BD223D"/>
    <w:rsid w:val="00BD27A4"/>
    <w:rsid w:val="00BD4D28"/>
    <w:rsid w:val="00BD4E1D"/>
    <w:rsid w:val="00BD57BE"/>
    <w:rsid w:val="00BD6587"/>
    <w:rsid w:val="00BD720D"/>
    <w:rsid w:val="00BE0162"/>
    <w:rsid w:val="00BE07AC"/>
    <w:rsid w:val="00BE0929"/>
    <w:rsid w:val="00BE1981"/>
    <w:rsid w:val="00BE1985"/>
    <w:rsid w:val="00BE2DFC"/>
    <w:rsid w:val="00BE33C9"/>
    <w:rsid w:val="00BE37E1"/>
    <w:rsid w:val="00BE448A"/>
    <w:rsid w:val="00BE6B92"/>
    <w:rsid w:val="00BE6BBF"/>
    <w:rsid w:val="00BE7433"/>
    <w:rsid w:val="00BF0886"/>
    <w:rsid w:val="00BF0D7D"/>
    <w:rsid w:val="00BF335C"/>
    <w:rsid w:val="00BF3465"/>
    <w:rsid w:val="00BF3876"/>
    <w:rsid w:val="00BF4490"/>
    <w:rsid w:val="00BF457F"/>
    <w:rsid w:val="00BF48C1"/>
    <w:rsid w:val="00BF57E1"/>
    <w:rsid w:val="00BF5828"/>
    <w:rsid w:val="00BF6C75"/>
    <w:rsid w:val="00C00570"/>
    <w:rsid w:val="00C00AE5"/>
    <w:rsid w:val="00C017AD"/>
    <w:rsid w:val="00C028B5"/>
    <w:rsid w:val="00C02DFA"/>
    <w:rsid w:val="00C03981"/>
    <w:rsid w:val="00C04218"/>
    <w:rsid w:val="00C04F43"/>
    <w:rsid w:val="00C05103"/>
    <w:rsid w:val="00C0704F"/>
    <w:rsid w:val="00C07844"/>
    <w:rsid w:val="00C07AD3"/>
    <w:rsid w:val="00C100E8"/>
    <w:rsid w:val="00C10BBC"/>
    <w:rsid w:val="00C12C16"/>
    <w:rsid w:val="00C1369E"/>
    <w:rsid w:val="00C13ED1"/>
    <w:rsid w:val="00C14024"/>
    <w:rsid w:val="00C1408E"/>
    <w:rsid w:val="00C14801"/>
    <w:rsid w:val="00C14B9E"/>
    <w:rsid w:val="00C14D24"/>
    <w:rsid w:val="00C15225"/>
    <w:rsid w:val="00C152B8"/>
    <w:rsid w:val="00C15D71"/>
    <w:rsid w:val="00C16120"/>
    <w:rsid w:val="00C168A9"/>
    <w:rsid w:val="00C16966"/>
    <w:rsid w:val="00C16E1E"/>
    <w:rsid w:val="00C21F0C"/>
    <w:rsid w:val="00C22F84"/>
    <w:rsid w:val="00C25222"/>
    <w:rsid w:val="00C26422"/>
    <w:rsid w:val="00C26763"/>
    <w:rsid w:val="00C267C0"/>
    <w:rsid w:val="00C26C7C"/>
    <w:rsid w:val="00C32484"/>
    <w:rsid w:val="00C3269F"/>
    <w:rsid w:val="00C334D7"/>
    <w:rsid w:val="00C33C89"/>
    <w:rsid w:val="00C33ED1"/>
    <w:rsid w:val="00C34D03"/>
    <w:rsid w:val="00C36E14"/>
    <w:rsid w:val="00C4047F"/>
    <w:rsid w:val="00C41F4A"/>
    <w:rsid w:val="00C428D3"/>
    <w:rsid w:val="00C45358"/>
    <w:rsid w:val="00C45513"/>
    <w:rsid w:val="00C4681F"/>
    <w:rsid w:val="00C51391"/>
    <w:rsid w:val="00C5582E"/>
    <w:rsid w:val="00C56CDC"/>
    <w:rsid w:val="00C56DC5"/>
    <w:rsid w:val="00C577BF"/>
    <w:rsid w:val="00C609DF"/>
    <w:rsid w:val="00C60A9B"/>
    <w:rsid w:val="00C6107C"/>
    <w:rsid w:val="00C6111C"/>
    <w:rsid w:val="00C65A7D"/>
    <w:rsid w:val="00C65E9D"/>
    <w:rsid w:val="00C67EB5"/>
    <w:rsid w:val="00C70497"/>
    <w:rsid w:val="00C704B8"/>
    <w:rsid w:val="00C7149A"/>
    <w:rsid w:val="00C71CB1"/>
    <w:rsid w:val="00C72CFB"/>
    <w:rsid w:val="00C72D10"/>
    <w:rsid w:val="00C738D5"/>
    <w:rsid w:val="00C74E95"/>
    <w:rsid w:val="00C74FDD"/>
    <w:rsid w:val="00C760D9"/>
    <w:rsid w:val="00C81097"/>
    <w:rsid w:val="00C812A4"/>
    <w:rsid w:val="00C81704"/>
    <w:rsid w:val="00C8216D"/>
    <w:rsid w:val="00C8399C"/>
    <w:rsid w:val="00C848D1"/>
    <w:rsid w:val="00C85A27"/>
    <w:rsid w:val="00C85B39"/>
    <w:rsid w:val="00C85E5F"/>
    <w:rsid w:val="00C86351"/>
    <w:rsid w:val="00C869F3"/>
    <w:rsid w:val="00C86F0C"/>
    <w:rsid w:val="00C87880"/>
    <w:rsid w:val="00C918DF"/>
    <w:rsid w:val="00C93939"/>
    <w:rsid w:val="00C93C0C"/>
    <w:rsid w:val="00C95721"/>
    <w:rsid w:val="00C96027"/>
    <w:rsid w:val="00C96BC5"/>
    <w:rsid w:val="00C97BC9"/>
    <w:rsid w:val="00C97FC8"/>
    <w:rsid w:val="00CA0625"/>
    <w:rsid w:val="00CA0724"/>
    <w:rsid w:val="00CA1972"/>
    <w:rsid w:val="00CA1C47"/>
    <w:rsid w:val="00CA3612"/>
    <w:rsid w:val="00CA372D"/>
    <w:rsid w:val="00CA3FCC"/>
    <w:rsid w:val="00CA4C2D"/>
    <w:rsid w:val="00CA574C"/>
    <w:rsid w:val="00CA630A"/>
    <w:rsid w:val="00CA63A8"/>
    <w:rsid w:val="00CA6536"/>
    <w:rsid w:val="00CA6740"/>
    <w:rsid w:val="00CA6891"/>
    <w:rsid w:val="00CA6B73"/>
    <w:rsid w:val="00CA6BAF"/>
    <w:rsid w:val="00CB0B66"/>
    <w:rsid w:val="00CB0FE1"/>
    <w:rsid w:val="00CB1C25"/>
    <w:rsid w:val="00CB3617"/>
    <w:rsid w:val="00CB5B9E"/>
    <w:rsid w:val="00CB6336"/>
    <w:rsid w:val="00CB7B1A"/>
    <w:rsid w:val="00CB7C08"/>
    <w:rsid w:val="00CC00F7"/>
    <w:rsid w:val="00CC0273"/>
    <w:rsid w:val="00CC044C"/>
    <w:rsid w:val="00CC14C4"/>
    <w:rsid w:val="00CC3C93"/>
    <w:rsid w:val="00CC45DD"/>
    <w:rsid w:val="00CC4EB1"/>
    <w:rsid w:val="00CC54C3"/>
    <w:rsid w:val="00CC5812"/>
    <w:rsid w:val="00CC6492"/>
    <w:rsid w:val="00CC6A7A"/>
    <w:rsid w:val="00CC6BD1"/>
    <w:rsid w:val="00CC714E"/>
    <w:rsid w:val="00CC7EF4"/>
    <w:rsid w:val="00CD0016"/>
    <w:rsid w:val="00CD1C84"/>
    <w:rsid w:val="00CD24A8"/>
    <w:rsid w:val="00CD2881"/>
    <w:rsid w:val="00CD2EDC"/>
    <w:rsid w:val="00CD32A8"/>
    <w:rsid w:val="00CD38B6"/>
    <w:rsid w:val="00CD5D7F"/>
    <w:rsid w:val="00CD7494"/>
    <w:rsid w:val="00CD7578"/>
    <w:rsid w:val="00CD7D3D"/>
    <w:rsid w:val="00CE025E"/>
    <w:rsid w:val="00CE186F"/>
    <w:rsid w:val="00CE1FF3"/>
    <w:rsid w:val="00CE200F"/>
    <w:rsid w:val="00CE23AA"/>
    <w:rsid w:val="00CE2A5E"/>
    <w:rsid w:val="00CE3041"/>
    <w:rsid w:val="00CE3475"/>
    <w:rsid w:val="00CE4799"/>
    <w:rsid w:val="00CE55DA"/>
    <w:rsid w:val="00CE6615"/>
    <w:rsid w:val="00CE680F"/>
    <w:rsid w:val="00CE69C0"/>
    <w:rsid w:val="00CE799C"/>
    <w:rsid w:val="00CF0839"/>
    <w:rsid w:val="00CF0BAF"/>
    <w:rsid w:val="00CF1884"/>
    <w:rsid w:val="00CF1B89"/>
    <w:rsid w:val="00CF225D"/>
    <w:rsid w:val="00CF241F"/>
    <w:rsid w:val="00CF4910"/>
    <w:rsid w:val="00CF5A26"/>
    <w:rsid w:val="00CF5CE6"/>
    <w:rsid w:val="00CF6857"/>
    <w:rsid w:val="00CF6FAC"/>
    <w:rsid w:val="00CF72E0"/>
    <w:rsid w:val="00D00F16"/>
    <w:rsid w:val="00D01C1F"/>
    <w:rsid w:val="00D025A0"/>
    <w:rsid w:val="00D0441F"/>
    <w:rsid w:val="00D04F78"/>
    <w:rsid w:val="00D05208"/>
    <w:rsid w:val="00D05704"/>
    <w:rsid w:val="00D06C90"/>
    <w:rsid w:val="00D11139"/>
    <w:rsid w:val="00D11D66"/>
    <w:rsid w:val="00D11EF2"/>
    <w:rsid w:val="00D12493"/>
    <w:rsid w:val="00D12E44"/>
    <w:rsid w:val="00D141F3"/>
    <w:rsid w:val="00D14BE7"/>
    <w:rsid w:val="00D14EF9"/>
    <w:rsid w:val="00D151DF"/>
    <w:rsid w:val="00D15AE9"/>
    <w:rsid w:val="00D21282"/>
    <w:rsid w:val="00D217EE"/>
    <w:rsid w:val="00D21CD0"/>
    <w:rsid w:val="00D222D0"/>
    <w:rsid w:val="00D2291E"/>
    <w:rsid w:val="00D2292C"/>
    <w:rsid w:val="00D229F9"/>
    <w:rsid w:val="00D2377A"/>
    <w:rsid w:val="00D23D51"/>
    <w:rsid w:val="00D24A7F"/>
    <w:rsid w:val="00D26528"/>
    <w:rsid w:val="00D30E85"/>
    <w:rsid w:val="00D325CD"/>
    <w:rsid w:val="00D32B20"/>
    <w:rsid w:val="00D32E71"/>
    <w:rsid w:val="00D33BAD"/>
    <w:rsid w:val="00D33F51"/>
    <w:rsid w:val="00D3501F"/>
    <w:rsid w:val="00D36224"/>
    <w:rsid w:val="00D40999"/>
    <w:rsid w:val="00D416AA"/>
    <w:rsid w:val="00D41FF6"/>
    <w:rsid w:val="00D43FE6"/>
    <w:rsid w:val="00D4491E"/>
    <w:rsid w:val="00D45FDF"/>
    <w:rsid w:val="00D50742"/>
    <w:rsid w:val="00D50EE4"/>
    <w:rsid w:val="00D53BB6"/>
    <w:rsid w:val="00D540B2"/>
    <w:rsid w:val="00D54954"/>
    <w:rsid w:val="00D54BCD"/>
    <w:rsid w:val="00D55558"/>
    <w:rsid w:val="00D5566B"/>
    <w:rsid w:val="00D556A2"/>
    <w:rsid w:val="00D55FDF"/>
    <w:rsid w:val="00D5616B"/>
    <w:rsid w:val="00D5673B"/>
    <w:rsid w:val="00D56769"/>
    <w:rsid w:val="00D56F3D"/>
    <w:rsid w:val="00D57E6D"/>
    <w:rsid w:val="00D63483"/>
    <w:rsid w:val="00D63FC0"/>
    <w:rsid w:val="00D65037"/>
    <w:rsid w:val="00D66349"/>
    <w:rsid w:val="00D66661"/>
    <w:rsid w:val="00D66F4D"/>
    <w:rsid w:val="00D7257E"/>
    <w:rsid w:val="00D74447"/>
    <w:rsid w:val="00D7563C"/>
    <w:rsid w:val="00D75B68"/>
    <w:rsid w:val="00D75DD0"/>
    <w:rsid w:val="00D76810"/>
    <w:rsid w:val="00D76EF3"/>
    <w:rsid w:val="00D80A47"/>
    <w:rsid w:val="00D81263"/>
    <w:rsid w:val="00D83927"/>
    <w:rsid w:val="00D848FA"/>
    <w:rsid w:val="00D85E86"/>
    <w:rsid w:val="00D867A5"/>
    <w:rsid w:val="00D90AB8"/>
    <w:rsid w:val="00D923E5"/>
    <w:rsid w:val="00D92798"/>
    <w:rsid w:val="00D93586"/>
    <w:rsid w:val="00D942D5"/>
    <w:rsid w:val="00D94DB6"/>
    <w:rsid w:val="00D964B5"/>
    <w:rsid w:val="00D97D9B"/>
    <w:rsid w:val="00DA11B1"/>
    <w:rsid w:val="00DA1938"/>
    <w:rsid w:val="00DA2CEC"/>
    <w:rsid w:val="00DA3675"/>
    <w:rsid w:val="00DA3BAC"/>
    <w:rsid w:val="00DA4B4A"/>
    <w:rsid w:val="00DA5597"/>
    <w:rsid w:val="00DA5DF4"/>
    <w:rsid w:val="00DA6967"/>
    <w:rsid w:val="00DA70E4"/>
    <w:rsid w:val="00DA7199"/>
    <w:rsid w:val="00DB07BF"/>
    <w:rsid w:val="00DB1610"/>
    <w:rsid w:val="00DB2A52"/>
    <w:rsid w:val="00DB393B"/>
    <w:rsid w:val="00DB56B4"/>
    <w:rsid w:val="00DB61A8"/>
    <w:rsid w:val="00DB6841"/>
    <w:rsid w:val="00DB6E40"/>
    <w:rsid w:val="00DB75A7"/>
    <w:rsid w:val="00DC0275"/>
    <w:rsid w:val="00DC07A5"/>
    <w:rsid w:val="00DC0B14"/>
    <w:rsid w:val="00DC134F"/>
    <w:rsid w:val="00DC14DE"/>
    <w:rsid w:val="00DC2DC4"/>
    <w:rsid w:val="00DC2FD3"/>
    <w:rsid w:val="00DC3A95"/>
    <w:rsid w:val="00DC4F0E"/>
    <w:rsid w:val="00DC5992"/>
    <w:rsid w:val="00DC5F21"/>
    <w:rsid w:val="00DC6174"/>
    <w:rsid w:val="00DC6C80"/>
    <w:rsid w:val="00DD009F"/>
    <w:rsid w:val="00DD0EEF"/>
    <w:rsid w:val="00DD3119"/>
    <w:rsid w:val="00DD3432"/>
    <w:rsid w:val="00DD3E1A"/>
    <w:rsid w:val="00DD461A"/>
    <w:rsid w:val="00DD479B"/>
    <w:rsid w:val="00DD4AD2"/>
    <w:rsid w:val="00DD58FD"/>
    <w:rsid w:val="00DD5FC9"/>
    <w:rsid w:val="00DD6697"/>
    <w:rsid w:val="00DD6A5C"/>
    <w:rsid w:val="00DD6F0B"/>
    <w:rsid w:val="00DD7643"/>
    <w:rsid w:val="00DD7963"/>
    <w:rsid w:val="00DE06B7"/>
    <w:rsid w:val="00DE06E8"/>
    <w:rsid w:val="00DE0726"/>
    <w:rsid w:val="00DE139F"/>
    <w:rsid w:val="00DE167F"/>
    <w:rsid w:val="00DE19D6"/>
    <w:rsid w:val="00DE1F57"/>
    <w:rsid w:val="00DE2B38"/>
    <w:rsid w:val="00DE3207"/>
    <w:rsid w:val="00DE4D90"/>
    <w:rsid w:val="00DE5D05"/>
    <w:rsid w:val="00DE6CE8"/>
    <w:rsid w:val="00DE6DAB"/>
    <w:rsid w:val="00DE7AB3"/>
    <w:rsid w:val="00DF0036"/>
    <w:rsid w:val="00DF04E0"/>
    <w:rsid w:val="00DF0724"/>
    <w:rsid w:val="00DF1666"/>
    <w:rsid w:val="00DF1797"/>
    <w:rsid w:val="00DF1A1E"/>
    <w:rsid w:val="00DF2BFF"/>
    <w:rsid w:val="00DF2DAE"/>
    <w:rsid w:val="00DF3463"/>
    <w:rsid w:val="00DF4141"/>
    <w:rsid w:val="00DF4AA9"/>
    <w:rsid w:val="00DF6AC2"/>
    <w:rsid w:val="00DF7AAA"/>
    <w:rsid w:val="00E007AE"/>
    <w:rsid w:val="00E01407"/>
    <w:rsid w:val="00E02E7F"/>
    <w:rsid w:val="00E04197"/>
    <w:rsid w:val="00E045C7"/>
    <w:rsid w:val="00E050C0"/>
    <w:rsid w:val="00E05189"/>
    <w:rsid w:val="00E05801"/>
    <w:rsid w:val="00E05C7D"/>
    <w:rsid w:val="00E06113"/>
    <w:rsid w:val="00E064FC"/>
    <w:rsid w:val="00E066B1"/>
    <w:rsid w:val="00E07E27"/>
    <w:rsid w:val="00E1053D"/>
    <w:rsid w:val="00E122C4"/>
    <w:rsid w:val="00E12301"/>
    <w:rsid w:val="00E12922"/>
    <w:rsid w:val="00E12E16"/>
    <w:rsid w:val="00E13204"/>
    <w:rsid w:val="00E139B4"/>
    <w:rsid w:val="00E13CEA"/>
    <w:rsid w:val="00E140A6"/>
    <w:rsid w:val="00E14272"/>
    <w:rsid w:val="00E148B8"/>
    <w:rsid w:val="00E14908"/>
    <w:rsid w:val="00E1561C"/>
    <w:rsid w:val="00E1648B"/>
    <w:rsid w:val="00E16FE2"/>
    <w:rsid w:val="00E17087"/>
    <w:rsid w:val="00E209D0"/>
    <w:rsid w:val="00E21E25"/>
    <w:rsid w:val="00E22AF2"/>
    <w:rsid w:val="00E22B89"/>
    <w:rsid w:val="00E23D74"/>
    <w:rsid w:val="00E240F1"/>
    <w:rsid w:val="00E245C5"/>
    <w:rsid w:val="00E25274"/>
    <w:rsid w:val="00E26111"/>
    <w:rsid w:val="00E2649B"/>
    <w:rsid w:val="00E266C1"/>
    <w:rsid w:val="00E26E0C"/>
    <w:rsid w:val="00E302B8"/>
    <w:rsid w:val="00E31C44"/>
    <w:rsid w:val="00E32765"/>
    <w:rsid w:val="00E33779"/>
    <w:rsid w:val="00E34401"/>
    <w:rsid w:val="00E34CCD"/>
    <w:rsid w:val="00E3553E"/>
    <w:rsid w:val="00E35C31"/>
    <w:rsid w:val="00E3700C"/>
    <w:rsid w:val="00E375A3"/>
    <w:rsid w:val="00E375EE"/>
    <w:rsid w:val="00E37A09"/>
    <w:rsid w:val="00E40E74"/>
    <w:rsid w:val="00E412C8"/>
    <w:rsid w:val="00E4139F"/>
    <w:rsid w:val="00E41FF0"/>
    <w:rsid w:val="00E4224E"/>
    <w:rsid w:val="00E42464"/>
    <w:rsid w:val="00E4269C"/>
    <w:rsid w:val="00E42B0D"/>
    <w:rsid w:val="00E44177"/>
    <w:rsid w:val="00E442D3"/>
    <w:rsid w:val="00E46795"/>
    <w:rsid w:val="00E46C3A"/>
    <w:rsid w:val="00E47B98"/>
    <w:rsid w:val="00E501E9"/>
    <w:rsid w:val="00E50CDF"/>
    <w:rsid w:val="00E53376"/>
    <w:rsid w:val="00E53916"/>
    <w:rsid w:val="00E54B68"/>
    <w:rsid w:val="00E54F24"/>
    <w:rsid w:val="00E55533"/>
    <w:rsid w:val="00E5737B"/>
    <w:rsid w:val="00E574E0"/>
    <w:rsid w:val="00E57997"/>
    <w:rsid w:val="00E60D4F"/>
    <w:rsid w:val="00E614A7"/>
    <w:rsid w:val="00E61A14"/>
    <w:rsid w:val="00E61A27"/>
    <w:rsid w:val="00E62B3A"/>
    <w:rsid w:val="00E62BE3"/>
    <w:rsid w:val="00E631AE"/>
    <w:rsid w:val="00E63A60"/>
    <w:rsid w:val="00E64049"/>
    <w:rsid w:val="00E64CEB"/>
    <w:rsid w:val="00E64DB9"/>
    <w:rsid w:val="00E65353"/>
    <w:rsid w:val="00E6557C"/>
    <w:rsid w:val="00E70F33"/>
    <w:rsid w:val="00E7230C"/>
    <w:rsid w:val="00E72523"/>
    <w:rsid w:val="00E73C65"/>
    <w:rsid w:val="00E741A1"/>
    <w:rsid w:val="00E743EC"/>
    <w:rsid w:val="00E74D5E"/>
    <w:rsid w:val="00E77ADD"/>
    <w:rsid w:val="00E80795"/>
    <w:rsid w:val="00E83AD0"/>
    <w:rsid w:val="00E849FB"/>
    <w:rsid w:val="00E84AE9"/>
    <w:rsid w:val="00E85E59"/>
    <w:rsid w:val="00E865EA"/>
    <w:rsid w:val="00E874EE"/>
    <w:rsid w:val="00E90EE6"/>
    <w:rsid w:val="00E912EB"/>
    <w:rsid w:val="00E91331"/>
    <w:rsid w:val="00E91337"/>
    <w:rsid w:val="00E91896"/>
    <w:rsid w:val="00E9272A"/>
    <w:rsid w:val="00E93FDD"/>
    <w:rsid w:val="00E9423B"/>
    <w:rsid w:val="00E95165"/>
    <w:rsid w:val="00E966E3"/>
    <w:rsid w:val="00E968B2"/>
    <w:rsid w:val="00E97BC1"/>
    <w:rsid w:val="00EA086B"/>
    <w:rsid w:val="00EA1B47"/>
    <w:rsid w:val="00EA3B35"/>
    <w:rsid w:val="00EA4EBA"/>
    <w:rsid w:val="00EA5CCE"/>
    <w:rsid w:val="00EA7014"/>
    <w:rsid w:val="00EB3F2D"/>
    <w:rsid w:val="00EB41FD"/>
    <w:rsid w:val="00EB52D7"/>
    <w:rsid w:val="00EB5DBD"/>
    <w:rsid w:val="00EB6994"/>
    <w:rsid w:val="00EC0FE8"/>
    <w:rsid w:val="00EC2D4C"/>
    <w:rsid w:val="00EC3065"/>
    <w:rsid w:val="00EC3238"/>
    <w:rsid w:val="00EC3530"/>
    <w:rsid w:val="00EC3ED2"/>
    <w:rsid w:val="00EC46A8"/>
    <w:rsid w:val="00EC4AB0"/>
    <w:rsid w:val="00EC4D1C"/>
    <w:rsid w:val="00EC56D6"/>
    <w:rsid w:val="00EC5AE5"/>
    <w:rsid w:val="00EC5EF0"/>
    <w:rsid w:val="00EC5F13"/>
    <w:rsid w:val="00EC6C58"/>
    <w:rsid w:val="00EC7358"/>
    <w:rsid w:val="00EC73B4"/>
    <w:rsid w:val="00EC7D98"/>
    <w:rsid w:val="00ED075D"/>
    <w:rsid w:val="00ED08E4"/>
    <w:rsid w:val="00ED114C"/>
    <w:rsid w:val="00ED1344"/>
    <w:rsid w:val="00ED1FAA"/>
    <w:rsid w:val="00ED249F"/>
    <w:rsid w:val="00ED3390"/>
    <w:rsid w:val="00ED3CE7"/>
    <w:rsid w:val="00ED5495"/>
    <w:rsid w:val="00ED5899"/>
    <w:rsid w:val="00ED64E6"/>
    <w:rsid w:val="00ED6560"/>
    <w:rsid w:val="00ED6C5C"/>
    <w:rsid w:val="00ED6EB2"/>
    <w:rsid w:val="00ED785A"/>
    <w:rsid w:val="00ED7F27"/>
    <w:rsid w:val="00EE21F4"/>
    <w:rsid w:val="00EE33DE"/>
    <w:rsid w:val="00EE37FC"/>
    <w:rsid w:val="00EE3C9B"/>
    <w:rsid w:val="00EE3F7C"/>
    <w:rsid w:val="00EE4286"/>
    <w:rsid w:val="00EE6603"/>
    <w:rsid w:val="00EF0212"/>
    <w:rsid w:val="00EF095C"/>
    <w:rsid w:val="00EF0F4B"/>
    <w:rsid w:val="00EF1579"/>
    <w:rsid w:val="00EF34E7"/>
    <w:rsid w:val="00EF35F2"/>
    <w:rsid w:val="00EF3738"/>
    <w:rsid w:val="00EF782F"/>
    <w:rsid w:val="00EF79C5"/>
    <w:rsid w:val="00EF7CD6"/>
    <w:rsid w:val="00F00694"/>
    <w:rsid w:val="00F00985"/>
    <w:rsid w:val="00F00C8E"/>
    <w:rsid w:val="00F00E17"/>
    <w:rsid w:val="00F00F58"/>
    <w:rsid w:val="00F02ACE"/>
    <w:rsid w:val="00F04D8F"/>
    <w:rsid w:val="00F06195"/>
    <w:rsid w:val="00F061E4"/>
    <w:rsid w:val="00F06524"/>
    <w:rsid w:val="00F0674E"/>
    <w:rsid w:val="00F06FD3"/>
    <w:rsid w:val="00F07424"/>
    <w:rsid w:val="00F07D5F"/>
    <w:rsid w:val="00F10DBC"/>
    <w:rsid w:val="00F113F8"/>
    <w:rsid w:val="00F12408"/>
    <w:rsid w:val="00F12DC2"/>
    <w:rsid w:val="00F139DD"/>
    <w:rsid w:val="00F13AE9"/>
    <w:rsid w:val="00F147F9"/>
    <w:rsid w:val="00F1522A"/>
    <w:rsid w:val="00F1579D"/>
    <w:rsid w:val="00F15AA1"/>
    <w:rsid w:val="00F167EB"/>
    <w:rsid w:val="00F1720D"/>
    <w:rsid w:val="00F177E3"/>
    <w:rsid w:val="00F2175E"/>
    <w:rsid w:val="00F23162"/>
    <w:rsid w:val="00F24526"/>
    <w:rsid w:val="00F24926"/>
    <w:rsid w:val="00F24C1C"/>
    <w:rsid w:val="00F26C41"/>
    <w:rsid w:val="00F30A79"/>
    <w:rsid w:val="00F32D74"/>
    <w:rsid w:val="00F332CF"/>
    <w:rsid w:val="00F35F83"/>
    <w:rsid w:val="00F360EF"/>
    <w:rsid w:val="00F3684A"/>
    <w:rsid w:val="00F37123"/>
    <w:rsid w:val="00F37CE2"/>
    <w:rsid w:val="00F409F0"/>
    <w:rsid w:val="00F40A17"/>
    <w:rsid w:val="00F4141C"/>
    <w:rsid w:val="00F41CC2"/>
    <w:rsid w:val="00F43DE6"/>
    <w:rsid w:val="00F44E4B"/>
    <w:rsid w:val="00F458CA"/>
    <w:rsid w:val="00F45B85"/>
    <w:rsid w:val="00F45B98"/>
    <w:rsid w:val="00F45C6F"/>
    <w:rsid w:val="00F45DB2"/>
    <w:rsid w:val="00F46751"/>
    <w:rsid w:val="00F46D6C"/>
    <w:rsid w:val="00F4770C"/>
    <w:rsid w:val="00F47CD9"/>
    <w:rsid w:val="00F506AF"/>
    <w:rsid w:val="00F50AED"/>
    <w:rsid w:val="00F50C10"/>
    <w:rsid w:val="00F50F89"/>
    <w:rsid w:val="00F52C7E"/>
    <w:rsid w:val="00F54ECE"/>
    <w:rsid w:val="00F550EA"/>
    <w:rsid w:val="00F55BED"/>
    <w:rsid w:val="00F5729E"/>
    <w:rsid w:val="00F57512"/>
    <w:rsid w:val="00F57956"/>
    <w:rsid w:val="00F60783"/>
    <w:rsid w:val="00F60984"/>
    <w:rsid w:val="00F620AF"/>
    <w:rsid w:val="00F62172"/>
    <w:rsid w:val="00F62448"/>
    <w:rsid w:val="00F63FB8"/>
    <w:rsid w:val="00F64418"/>
    <w:rsid w:val="00F647C8"/>
    <w:rsid w:val="00F65036"/>
    <w:rsid w:val="00F6506C"/>
    <w:rsid w:val="00F65147"/>
    <w:rsid w:val="00F652BB"/>
    <w:rsid w:val="00F6694C"/>
    <w:rsid w:val="00F66AF2"/>
    <w:rsid w:val="00F6700A"/>
    <w:rsid w:val="00F70645"/>
    <w:rsid w:val="00F717AF"/>
    <w:rsid w:val="00F73965"/>
    <w:rsid w:val="00F74101"/>
    <w:rsid w:val="00F74D99"/>
    <w:rsid w:val="00F803E8"/>
    <w:rsid w:val="00F8097F"/>
    <w:rsid w:val="00F8178D"/>
    <w:rsid w:val="00F83989"/>
    <w:rsid w:val="00F83BAD"/>
    <w:rsid w:val="00F86732"/>
    <w:rsid w:val="00F86CD7"/>
    <w:rsid w:val="00F87775"/>
    <w:rsid w:val="00F923D8"/>
    <w:rsid w:val="00F93027"/>
    <w:rsid w:val="00F94597"/>
    <w:rsid w:val="00F945B3"/>
    <w:rsid w:val="00F948A6"/>
    <w:rsid w:val="00F95BA3"/>
    <w:rsid w:val="00F96208"/>
    <w:rsid w:val="00F96664"/>
    <w:rsid w:val="00F97807"/>
    <w:rsid w:val="00FA1E4A"/>
    <w:rsid w:val="00FA2C64"/>
    <w:rsid w:val="00FA3E11"/>
    <w:rsid w:val="00FA4F12"/>
    <w:rsid w:val="00FA5043"/>
    <w:rsid w:val="00FA5509"/>
    <w:rsid w:val="00FA6846"/>
    <w:rsid w:val="00FA737D"/>
    <w:rsid w:val="00FB0336"/>
    <w:rsid w:val="00FB0722"/>
    <w:rsid w:val="00FB1225"/>
    <w:rsid w:val="00FB1D58"/>
    <w:rsid w:val="00FB26F7"/>
    <w:rsid w:val="00FB2808"/>
    <w:rsid w:val="00FB29D2"/>
    <w:rsid w:val="00FB32B4"/>
    <w:rsid w:val="00FB37EA"/>
    <w:rsid w:val="00FB65AC"/>
    <w:rsid w:val="00FB6C98"/>
    <w:rsid w:val="00FB6CD4"/>
    <w:rsid w:val="00FB6F86"/>
    <w:rsid w:val="00FC04C8"/>
    <w:rsid w:val="00FC21C6"/>
    <w:rsid w:val="00FC42E4"/>
    <w:rsid w:val="00FC4BD9"/>
    <w:rsid w:val="00FC4D9A"/>
    <w:rsid w:val="00FC501B"/>
    <w:rsid w:val="00FC5547"/>
    <w:rsid w:val="00FC5E5D"/>
    <w:rsid w:val="00FC71E8"/>
    <w:rsid w:val="00FD14FE"/>
    <w:rsid w:val="00FD2521"/>
    <w:rsid w:val="00FD286B"/>
    <w:rsid w:val="00FD2B91"/>
    <w:rsid w:val="00FD3549"/>
    <w:rsid w:val="00FD4876"/>
    <w:rsid w:val="00FD497B"/>
    <w:rsid w:val="00FD5BB3"/>
    <w:rsid w:val="00FD7D6E"/>
    <w:rsid w:val="00FE0478"/>
    <w:rsid w:val="00FE0C89"/>
    <w:rsid w:val="00FE3446"/>
    <w:rsid w:val="00FE36D7"/>
    <w:rsid w:val="00FE3E56"/>
    <w:rsid w:val="00FE4072"/>
    <w:rsid w:val="00FE4512"/>
    <w:rsid w:val="00FE479B"/>
    <w:rsid w:val="00FE63DF"/>
    <w:rsid w:val="00FE7087"/>
    <w:rsid w:val="00FE7460"/>
    <w:rsid w:val="00FE7B3B"/>
    <w:rsid w:val="00FF0555"/>
    <w:rsid w:val="00FF0F23"/>
    <w:rsid w:val="00FF14E7"/>
    <w:rsid w:val="00FF296D"/>
    <w:rsid w:val="00FF3335"/>
    <w:rsid w:val="00FF3DF4"/>
    <w:rsid w:val="00FF3F67"/>
    <w:rsid w:val="00FF4547"/>
    <w:rsid w:val="00FF4A2A"/>
    <w:rsid w:val="00FF4F7F"/>
    <w:rsid w:val="00FF5008"/>
    <w:rsid w:val="00FF505C"/>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14547"/>
  <w15:docId w15:val="{3FA76A51-D52D-4810-BBF7-2CF2DAF0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table" w:styleId="TableGrid">
    <w:name w:val="Table Grid"/>
    <w:basedOn w:val="TableNormal"/>
    <w:uiPriority w:val="59"/>
    <w:rsid w:val="00D5566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73965"/>
    <w:pPr>
      <w:autoSpaceDE w:val="0"/>
      <w:autoSpaceDN w:val="0"/>
      <w:adjustRightInd w:val="0"/>
    </w:pPr>
    <w:rPr>
      <w:color w:val="000000"/>
      <w:sz w:val="24"/>
      <w:szCs w:val="24"/>
    </w:rPr>
  </w:style>
  <w:style w:type="paragraph" w:styleId="Revision">
    <w:name w:val="Revision"/>
    <w:hidden/>
    <w:uiPriority w:val="99"/>
    <w:semiHidden/>
    <w:rsid w:val="0006057C"/>
    <w:rPr>
      <w:sz w:val="24"/>
      <w:szCs w:val="24"/>
    </w:rPr>
  </w:style>
  <w:style w:type="paragraph" w:styleId="Header">
    <w:name w:val="header"/>
    <w:basedOn w:val="Normal"/>
    <w:link w:val="HeaderChar"/>
    <w:uiPriority w:val="99"/>
    <w:unhideWhenUsed/>
    <w:rsid w:val="001C035F"/>
    <w:pPr>
      <w:tabs>
        <w:tab w:val="center" w:pos="4680"/>
        <w:tab w:val="right" w:pos="9360"/>
      </w:tabs>
    </w:pPr>
  </w:style>
  <w:style w:type="character" w:customStyle="1" w:styleId="HeaderChar">
    <w:name w:val="Header Char"/>
    <w:basedOn w:val="DefaultParagraphFont"/>
    <w:link w:val="Header"/>
    <w:uiPriority w:val="99"/>
    <w:rsid w:val="001C03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928007647">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997768">
      <w:bodyDiv w:val="1"/>
      <w:marLeft w:val="0"/>
      <w:marRight w:val="0"/>
      <w:marTop w:val="0"/>
      <w:marBottom w:val="0"/>
      <w:divBdr>
        <w:top w:val="none" w:sz="0" w:space="0" w:color="auto"/>
        <w:left w:val="none" w:sz="0" w:space="0" w:color="auto"/>
        <w:bottom w:val="none" w:sz="0" w:space="0" w:color="auto"/>
        <w:right w:val="none" w:sz="0" w:space="0" w:color="auto"/>
      </w:divBdr>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 w:id="202258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9" ma:contentTypeDescription="Create a new document." ma:contentTypeScope="" ma:versionID="3bf305fb2195ff9ee6481db631051078">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254da9b04d5e5c87337f16cda3790b6a"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023D3-ACA5-489A-9CFE-CCFC1EB2D663}">
  <ds:schemaRefs>
    <ds:schemaRef ds:uri="http://schemas.microsoft.com/sharepoint/v3/contenttype/forms"/>
  </ds:schemaRefs>
</ds:datastoreItem>
</file>

<file path=customXml/itemProps2.xml><?xml version="1.0" encoding="utf-8"?>
<ds:datastoreItem xmlns:ds="http://schemas.openxmlformats.org/officeDocument/2006/customXml" ds:itemID="{E9CCDB14-5BFE-4B49-A752-B08674127A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AB497E-F821-4D08-847B-BE635C392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B453D2-E670-4725-84B9-28B9EBA5B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2521</Words>
  <Characters>14371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Reside, Melissa</cp:lastModifiedBy>
  <cp:revision>3</cp:revision>
  <cp:lastPrinted>2017-01-26T19:36:00Z</cp:lastPrinted>
  <dcterms:created xsi:type="dcterms:W3CDTF">2020-01-06T19:48:00Z</dcterms:created>
  <dcterms:modified xsi:type="dcterms:W3CDTF">2020-01-06T19:55:00Z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