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5F129DDD" w14:textId="290E8A31" w:rsidR="00900ED4" w:rsidRDefault="004B4CA7" w:rsidP="00900ED4">
      <w:pPr>
        <w:tabs>
          <w:tab w:val="left" w:pos="-720"/>
        </w:tabs>
        <w:ind w:left="216"/>
        <w:jc w:val="center"/>
        <w:rPr>
          <w:sz w:val="22"/>
          <w:szCs w:val="22"/>
        </w:rPr>
      </w:pPr>
      <w:r>
        <w:rPr>
          <w:sz w:val="22"/>
          <w:szCs w:val="22"/>
        </w:rPr>
        <w:t>January 7, 2020</w:t>
      </w:r>
    </w:p>
    <w:p w14:paraId="683F0312" w14:textId="77777777" w:rsidR="00900ED4" w:rsidRDefault="00900ED4" w:rsidP="00900ED4">
      <w:pPr>
        <w:tabs>
          <w:tab w:val="left" w:pos="-720"/>
        </w:tabs>
        <w:ind w:left="216"/>
        <w:jc w:val="right"/>
        <w:rPr>
          <w:sz w:val="22"/>
          <w:szCs w:val="22"/>
        </w:rPr>
      </w:pPr>
    </w:p>
    <w:p w14:paraId="5465B6EF" w14:textId="1D146CDA"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w:t>
      </w:r>
      <w:r w:rsidR="005620BA">
        <w:rPr>
          <w:color w:val="000000"/>
          <w:sz w:val="24"/>
          <w:szCs w:val="24"/>
        </w:rPr>
        <w:t>9</w:t>
      </w:r>
      <w:r w:rsidRPr="00AE4961">
        <w:rPr>
          <w:color w:val="000000"/>
          <w:sz w:val="24"/>
          <w:szCs w:val="24"/>
        </w:rPr>
        <w:t>-</w:t>
      </w:r>
      <w:r w:rsidR="00AE4961" w:rsidRPr="00AE4961">
        <w:rPr>
          <w:color w:val="000000"/>
          <w:sz w:val="24"/>
          <w:szCs w:val="24"/>
        </w:rPr>
        <w:t>300</w:t>
      </w:r>
      <w:r w:rsidR="005620BA">
        <w:rPr>
          <w:color w:val="000000"/>
          <w:sz w:val="24"/>
          <w:szCs w:val="24"/>
        </w:rPr>
        <w:t>8676</w:t>
      </w:r>
    </w:p>
    <w:p w14:paraId="5E348C8E" w14:textId="46B513A3"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5F088E">
        <w:rPr>
          <w:color w:val="000000"/>
          <w:sz w:val="24"/>
          <w:szCs w:val="24"/>
        </w:rPr>
        <w:t>11</w:t>
      </w:r>
      <w:r w:rsidR="005620BA">
        <w:rPr>
          <w:color w:val="000000"/>
          <w:sz w:val="24"/>
          <w:szCs w:val="24"/>
        </w:rPr>
        <w:t>0550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5601380" w:rsidR="00900ED4" w:rsidRPr="00705BFC" w:rsidRDefault="005620BA" w:rsidP="00900ED4">
      <w:pPr>
        <w:rPr>
          <w:sz w:val="24"/>
          <w:szCs w:val="24"/>
        </w:rPr>
      </w:pPr>
      <w:r>
        <w:rPr>
          <w:sz w:val="24"/>
          <w:szCs w:val="24"/>
        </w:rPr>
        <w:t>WARD</w:t>
      </w:r>
      <w:r w:rsidR="00AE4961" w:rsidRPr="00705BFC">
        <w:rPr>
          <w:sz w:val="24"/>
          <w:szCs w:val="24"/>
        </w:rPr>
        <w:t xml:space="preserve"> L </w:t>
      </w:r>
      <w:r>
        <w:rPr>
          <w:sz w:val="24"/>
          <w:szCs w:val="24"/>
        </w:rPr>
        <w:t>SMITH</w:t>
      </w:r>
    </w:p>
    <w:p w14:paraId="62A64B32" w14:textId="7A93523B" w:rsidR="00900ED4" w:rsidRPr="00705BFC" w:rsidRDefault="005620BA" w:rsidP="00900ED4">
      <w:pPr>
        <w:rPr>
          <w:sz w:val="24"/>
          <w:szCs w:val="24"/>
        </w:rPr>
      </w:pPr>
      <w:r>
        <w:rPr>
          <w:sz w:val="24"/>
          <w:szCs w:val="24"/>
        </w:rPr>
        <w:t>PECO ENERGY</w:t>
      </w:r>
      <w:r w:rsidR="00AE4961" w:rsidRPr="00705BFC">
        <w:rPr>
          <w:sz w:val="24"/>
          <w:szCs w:val="24"/>
        </w:rPr>
        <w:t xml:space="preserve"> COMPANY</w:t>
      </w:r>
    </w:p>
    <w:p w14:paraId="209FA864" w14:textId="7C8D808F" w:rsidR="00900ED4" w:rsidRPr="00705BFC" w:rsidRDefault="005620BA" w:rsidP="00900ED4">
      <w:pPr>
        <w:rPr>
          <w:sz w:val="24"/>
          <w:szCs w:val="24"/>
        </w:rPr>
      </w:pPr>
      <w:r>
        <w:rPr>
          <w:sz w:val="24"/>
          <w:szCs w:val="24"/>
        </w:rPr>
        <w:t>2301 MARKET STREET</w:t>
      </w:r>
    </w:p>
    <w:p w14:paraId="280BB509" w14:textId="3048893A" w:rsidR="00900ED4" w:rsidRPr="001E6909" w:rsidRDefault="005620BA" w:rsidP="00900ED4">
      <w:pPr>
        <w:rPr>
          <w:sz w:val="24"/>
          <w:szCs w:val="24"/>
        </w:rPr>
      </w:pPr>
      <w:r>
        <w:rPr>
          <w:sz w:val="24"/>
          <w:szCs w:val="24"/>
        </w:rPr>
        <w:t>PHILADELPHIA</w:t>
      </w:r>
      <w:r w:rsidR="00AE4961" w:rsidRPr="00705BFC">
        <w:rPr>
          <w:sz w:val="24"/>
          <w:szCs w:val="24"/>
        </w:rPr>
        <w:t xml:space="preserve"> PA 1</w:t>
      </w:r>
      <w:r>
        <w:rPr>
          <w:sz w:val="24"/>
          <w:szCs w:val="24"/>
        </w:rPr>
        <w:t>9</w:t>
      </w:r>
      <w:r w:rsidR="00AE4961" w:rsidRPr="00705BFC">
        <w:rPr>
          <w:sz w:val="24"/>
          <w:szCs w:val="24"/>
        </w:rPr>
        <w:t>1</w:t>
      </w:r>
      <w:r>
        <w:rPr>
          <w:sz w:val="24"/>
          <w:szCs w:val="24"/>
        </w:rPr>
        <w:t>03</w:t>
      </w:r>
    </w:p>
    <w:p w14:paraId="642CD04A" w14:textId="77777777" w:rsidR="00900ED4" w:rsidRPr="001E6909" w:rsidRDefault="00900ED4" w:rsidP="00900ED4">
      <w:pPr>
        <w:rPr>
          <w:sz w:val="24"/>
          <w:szCs w:val="24"/>
        </w:rPr>
      </w:pPr>
    </w:p>
    <w:p w14:paraId="263FA5AA" w14:textId="36A79DC3" w:rsidR="00900ED4" w:rsidRPr="001E6909" w:rsidRDefault="00900ED4" w:rsidP="00BD2AA1">
      <w:pPr>
        <w:ind w:left="720" w:hanging="720"/>
        <w:rPr>
          <w:sz w:val="24"/>
          <w:szCs w:val="24"/>
        </w:rPr>
      </w:pPr>
      <w:r w:rsidRPr="001E6909">
        <w:rPr>
          <w:sz w:val="24"/>
          <w:szCs w:val="24"/>
        </w:rPr>
        <w:t>Re:</w:t>
      </w:r>
      <w:r w:rsidRPr="001E6909">
        <w:rPr>
          <w:sz w:val="24"/>
          <w:szCs w:val="24"/>
        </w:rPr>
        <w:tab/>
      </w:r>
      <w:r w:rsidR="002E1581" w:rsidRPr="002E1581">
        <w:rPr>
          <w:sz w:val="24"/>
          <w:szCs w:val="24"/>
        </w:rPr>
        <w:t xml:space="preserve">Letter of Notification of </w:t>
      </w:r>
      <w:r w:rsidR="005620BA">
        <w:rPr>
          <w:sz w:val="24"/>
          <w:szCs w:val="24"/>
        </w:rPr>
        <w:t>PECO Energy Company</w:t>
      </w:r>
      <w:r w:rsidR="002E1581" w:rsidRPr="002E1581">
        <w:rPr>
          <w:sz w:val="24"/>
          <w:szCs w:val="24"/>
        </w:rPr>
        <w:t xml:space="preserve"> for the </w:t>
      </w:r>
      <w:r w:rsidR="005620BA">
        <w:rPr>
          <w:sz w:val="24"/>
          <w:szCs w:val="24"/>
        </w:rPr>
        <w:t>Reconstruction of a Section of the 130-43 Tra</w:t>
      </w:r>
      <w:r w:rsidR="002E1581" w:rsidRPr="002E1581">
        <w:rPr>
          <w:sz w:val="24"/>
          <w:szCs w:val="24"/>
        </w:rPr>
        <w:t>nsmission Line in</w:t>
      </w:r>
      <w:r w:rsidR="005620BA">
        <w:rPr>
          <w:sz w:val="24"/>
          <w:szCs w:val="24"/>
        </w:rPr>
        <w:t xml:space="preserve"> the City of Philadelphia</w:t>
      </w:r>
      <w:r w:rsidR="002E1581" w:rsidRPr="002E1581">
        <w:rPr>
          <w:sz w:val="24"/>
          <w:szCs w:val="24"/>
        </w:rPr>
        <w:t xml:space="preserve">, Pennsylvania.  </w:t>
      </w:r>
      <w:r w:rsidR="00D31DE0" w:rsidRPr="00D31DE0">
        <w:rPr>
          <w:sz w:val="24"/>
          <w:szCs w:val="24"/>
        </w:rPr>
        <w:t xml:space="preserve">  </w:t>
      </w:r>
      <w:r w:rsidR="00BD2AA1">
        <w:t xml:space="preserve">  </w:t>
      </w:r>
    </w:p>
    <w:p w14:paraId="72C32B1E" w14:textId="77777777" w:rsidR="00900ED4" w:rsidRPr="001E6909" w:rsidRDefault="00900ED4" w:rsidP="00900ED4">
      <w:pPr>
        <w:rPr>
          <w:sz w:val="24"/>
          <w:szCs w:val="24"/>
        </w:rPr>
      </w:pPr>
    </w:p>
    <w:p w14:paraId="445A1F3A" w14:textId="39A1913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5620BA">
        <w:rPr>
          <w:sz w:val="24"/>
          <w:szCs w:val="24"/>
        </w:rPr>
        <w:t>Smith</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77A8F9DE" w:rsidR="00705BFC" w:rsidRDefault="00900ED4" w:rsidP="00BD2AA1">
      <w:pPr>
        <w:ind w:firstLine="720"/>
        <w:rPr>
          <w:sz w:val="24"/>
          <w:szCs w:val="24"/>
        </w:rPr>
      </w:pPr>
      <w:r w:rsidRPr="00BD2AA1">
        <w:rPr>
          <w:sz w:val="24"/>
          <w:szCs w:val="24"/>
        </w:rPr>
        <w:t xml:space="preserve">On </w:t>
      </w:r>
      <w:r w:rsidR="006E5490">
        <w:rPr>
          <w:sz w:val="24"/>
          <w:szCs w:val="24"/>
        </w:rPr>
        <w:t>March</w:t>
      </w:r>
      <w:r w:rsidRPr="00BD2AA1">
        <w:rPr>
          <w:sz w:val="24"/>
          <w:szCs w:val="24"/>
        </w:rPr>
        <w:t xml:space="preserve"> </w:t>
      </w:r>
      <w:r w:rsidR="005E7EC4">
        <w:rPr>
          <w:sz w:val="24"/>
          <w:szCs w:val="24"/>
        </w:rPr>
        <w:t>2</w:t>
      </w:r>
      <w:r w:rsidR="006E5490">
        <w:rPr>
          <w:sz w:val="24"/>
          <w:szCs w:val="24"/>
        </w:rPr>
        <w:t>8</w:t>
      </w:r>
      <w:r w:rsidRPr="00BD2AA1">
        <w:rPr>
          <w:sz w:val="24"/>
          <w:szCs w:val="24"/>
        </w:rPr>
        <w:t>, 20</w:t>
      </w:r>
      <w:r w:rsidR="00BD2AA1" w:rsidRPr="00BD2AA1">
        <w:rPr>
          <w:sz w:val="24"/>
          <w:szCs w:val="24"/>
        </w:rPr>
        <w:t>1</w:t>
      </w:r>
      <w:r w:rsidR="006E5490">
        <w:rPr>
          <w:sz w:val="24"/>
          <w:szCs w:val="24"/>
        </w:rPr>
        <w:t>9</w:t>
      </w:r>
      <w:r w:rsidRPr="00BD2AA1">
        <w:rPr>
          <w:sz w:val="24"/>
          <w:szCs w:val="24"/>
        </w:rPr>
        <w:t>,</w:t>
      </w:r>
      <w:r w:rsidR="00BD2AA1" w:rsidRPr="00BD2AA1">
        <w:rPr>
          <w:sz w:val="24"/>
          <w:szCs w:val="24"/>
        </w:rPr>
        <w:t xml:space="preserve"> the </w:t>
      </w:r>
      <w:r w:rsidR="002544B6">
        <w:rPr>
          <w:sz w:val="24"/>
          <w:szCs w:val="24"/>
        </w:rPr>
        <w:t xml:space="preserve">Commission’s </w:t>
      </w:r>
      <w:r w:rsidR="00427C58">
        <w:rPr>
          <w:sz w:val="24"/>
          <w:szCs w:val="24"/>
        </w:rPr>
        <w:t>Order</w:t>
      </w:r>
      <w:r w:rsidR="002544B6">
        <w:rPr>
          <w:sz w:val="24"/>
          <w:szCs w:val="24"/>
        </w:rPr>
        <w:t>, at Docket No. A-201</w:t>
      </w:r>
      <w:r w:rsidR="0085459C">
        <w:rPr>
          <w:sz w:val="24"/>
          <w:szCs w:val="24"/>
        </w:rPr>
        <w:t>9</w:t>
      </w:r>
      <w:r w:rsidR="002544B6">
        <w:rPr>
          <w:sz w:val="24"/>
          <w:szCs w:val="24"/>
        </w:rPr>
        <w:t>-300</w:t>
      </w:r>
      <w:r w:rsidR="0085459C">
        <w:rPr>
          <w:sz w:val="24"/>
          <w:szCs w:val="24"/>
        </w:rPr>
        <w:t>8676</w:t>
      </w:r>
      <w:r w:rsidR="002544B6">
        <w:rPr>
          <w:sz w:val="24"/>
          <w:szCs w:val="24"/>
        </w:rPr>
        <w:t xml:space="preserve">,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5620BA">
        <w:rPr>
          <w:sz w:val="24"/>
          <w:szCs w:val="24"/>
        </w:rPr>
        <w:t>PECO Energy Company</w:t>
      </w:r>
      <w:r w:rsidRPr="001E6909">
        <w:rPr>
          <w:sz w:val="24"/>
          <w:szCs w:val="24"/>
        </w:rPr>
        <w:t xml:space="preserve"> (</w:t>
      </w:r>
      <w:r w:rsidR="005620BA">
        <w:rPr>
          <w:sz w:val="24"/>
          <w:szCs w:val="24"/>
        </w:rPr>
        <w:t>PECO</w:t>
      </w:r>
      <w:r w:rsidRPr="001E6909">
        <w:rPr>
          <w:sz w:val="24"/>
          <w:szCs w:val="24"/>
        </w:rPr>
        <w: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5620BA">
        <w:rPr>
          <w:sz w:val="24"/>
          <w:szCs w:val="24"/>
        </w:rPr>
        <w:t>PECO Energy Company</w:t>
      </w:r>
      <w:r w:rsidR="00705BFC">
        <w:rPr>
          <w:sz w:val="24"/>
          <w:szCs w:val="24"/>
        </w:rPr>
        <w:t xml:space="preserve"> shall submit the final project cost to the Commission.  Please provide the current status of the subject </w:t>
      </w:r>
      <w:r w:rsidR="005620BA">
        <w:rPr>
          <w:sz w:val="24"/>
          <w:szCs w:val="24"/>
        </w:rPr>
        <w:t>PECO</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w:t>
      </w:r>
      <w:r w:rsidRPr="00C244FF">
        <w:rPr>
          <w:sz w:val="24"/>
          <w:szCs w:val="24"/>
        </w:rPr>
        <w:lastRenderedPageBreak/>
        <w:t xml:space="preserve">be able to prove the same at a hearing held in this matter.  I understand that the 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3E86FC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00A323C3" w:rsidRPr="00A323C3">
        <w:rPr>
          <w:rStyle w:val="Hyperlink"/>
          <w:sz w:val="24"/>
          <w:szCs w:val="24"/>
          <w:u w:val="none"/>
        </w:rPr>
        <w:t xml:space="preserve"> </w:t>
      </w:r>
      <w:r w:rsidRPr="00A323C3">
        <w:rPr>
          <w:rStyle w:val="Hyperlink"/>
          <w:color w:val="auto"/>
          <w:sz w:val="24"/>
          <w:szCs w:val="24"/>
          <w:u w:val="none"/>
        </w:rPr>
        <w:t>(preferred)</w:t>
      </w:r>
      <w:r w:rsidRPr="00A323C3">
        <w:rPr>
          <w:sz w:val="24"/>
          <w:szCs w:val="24"/>
        </w:rPr>
        <w:t xml:space="preserve"> </w:t>
      </w:r>
      <w:r w:rsidRPr="00C244FF">
        <w:rPr>
          <w:sz w:val="24"/>
          <w:szCs w:val="24"/>
        </w:rPr>
        <w:t xml:space="preserve">or 717-787-8763.  </w:t>
      </w:r>
    </w:p>
    <w:p w14:paraId="1D4393E1" w14:textId="7E77B890" w:rsidR="00C244FF" w:rsidRDefault="00C244FF" w:rsidP="00C244FF">
      <w:pPr>
        <w:ind w:right="-90" w:firstLine="720"/>
      </w:pPr>
    </w:p>
    <w:p w14:paraId="448CF102" w14:textId="46C58D6E" w:rsidR="00C244FF" w:rsidRDefault="00C244FF" w:rsidP="00C244FF">
      <w:pPr>
        <w:ind w:right="-90" w:firstLine="720"/>
      </w:pPr>
    </w:p>
    <w:p w14:paraId="6E06C47F" w14:textId="51F067B8" w:rsidR="00C244FF" w:rsidRPr="00C244FF" w:rsidRDefault="004B4CA7" w:rsidP="00C244FF">
      <w:pPr>
        <w:rPr>
          <w:sz w:val="24"/>
          <w:szCs w:val="24"/>
        </w:rPr>
      </w:pPr>
      <w:r>
        <w:rPr>
          <w:noProof/>
        </w:rPr>
        <w:drawing>
          <wp:anchor distT="0" distB="0" distL="114300" distR="114300" simplePos="0" relativeHeight="251659264" behindDoc="1" locked="0" layoutInCell="1" allowOverlap="1" wp14:anchorId="56172C6A" wp14:editId="73FED985">
            <wp:simplePos x="0" y="0"/>
            <wp:positionH relativeFrom="column">
              <wp:posOffset>3076575</wp:posOffset>
            </wp:positionH>
            <wp:positionV relativeFrom="paragraph">
              <wp:posOffset>59690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77777777" w:rsidR="00C244FF" w:rsidRPr="00C244FF" w:rsidRDefault="00C244FF" w:rsidP="00C244FF">
      <w:pPr>
        <w:rPr>
          <w:sz w:val="24"/>
          <w:szCs w:val="24"/>
        </w:rPr>
      </w:pPr>
    </w:p>
    <w:p w14:paraId="54021203" w14:textId="77777777" w:rsidR="00C244FF" w:rsidRPr="00C244FF" w:rsidRDefault="00C244FF" w:rsidP="00C244FF">
      <w:pPr>
        <w:rPr>
          <w:sz w:val="24"/>
          <w:szCs w:val="24"/>
        </w:rPr>
      </w:pPr>
      <w:bookmarkStart w:id="0" w:name="_GoBack"/>
      <w:bookmarkEnd w:id="0"/>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5E72E" w14:textId="77777777" w:rsidR="00681842" w:rsidRDefault="00681842">
      <w:r>
        <w:separator/>
      </w:r>
    </w:p>
  </w:endnote>
  <w:endnote w:type="continuationSeparator" w:id="0">
    <w:p w14:paraId="79A22B9C" w14:textId="77777777" w:rsidR="00681842" w:rsidRDefault="006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2199" w14:textId="77777777" w:rsidR="00681842" w:rsidRDefault="00681842">
      <w:r>
        <w:separator/>
      </w:r>
    </w:p>
  </w:footnote>
  <w:footnote w:type="continuationSeparator" w:id="0">
    <w:p w14:paraId="69E9D16A" w14:textId="77777777" w:rsidR="00681842" w:rsidRDefault="0068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7E1B"/>
    <w:rsid w:val="0005168E"/>
    <w:rsid w:val="0005390F"/>
    <w:rsid w:val="0005490D"/>
    <w:rsid w:val="00062694"/>
    <w:rsid w:val="00063569"/>
    <w:rsid w:val="00065D9C"/>
    <w:rsid w:val="00077425"/>
    <w:rsid w:val="00086AB1"/>
    <w:rsid w:val="00093F0C"/>
    <w:rsid w:val="000B08F8"/>
    <w:rsid w:val="000B0F40"/>
    <w:rsid w:val="000F1AAB"/>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9DD"/>
    <w:rsid w:val="0021767D"/>
    <w:rsid w:val="002208AF"/>
    <w:rsid w:val="00223717"/>
    <w:rsid w:val="00231106"/>
    <w:rsid w:val="00237303"/>
    <w:rsid w:val="00237498"/>
    <w:rsid w:val="0024304E"/>
    <w:rsid w:val="002431A1"/>
    <w:rsid w:val="002544B6"/>
    <w:rsid w:val="00262F68"/>
    <w:rsid w:val="00273746"/>
    <w:rsid w:val="00275C1C"/>
    <w:rsid w:val="0027682C"/>
    <w:rsid w:val="00282CAA"/>
    <w:rsid w:val="002C0620"/>
    <w:rsid w:val="002C724E"/>
    <w:rsid w:val="002D561C"/>
    <w:rsid w:val="002E1581"/>
    <w:rsid w:val="002E2C43"/>
    <w:rsid w:val="002E3586"/>
    <w:rsid w:val="002E3CE1"/>
    <w:rsid w:val="002F01E6"/>
    <w:rsid w:val="00305BB4"/>
    <w:rsid w:val="00306A09"/>
    <w:rsid w:val="00315E81"/>
    <w:rsid w:val="00333596"/>
    <w:rsid w:val="00333B74"/>
    <w:rsid w:val="00337276"/>
    <w:rsid w:val="003449D9"/>
    <w:rsid w:val="00344B63"/>
    <w:rsid w:val="0036152B"/>
    <w:rsid w:val="00395888"/>
    <w:rsid w:val="003B27ED"/>
    <w:rsid w:val="003B4FF0"/>
    <w:rsid w:val="003C161D"/>
    <w:rsid w:val="003D68E1"/>
    <w:rsid w:val="003F4144"/>
    <w:rsid w:val="004126F0"/>
    <w:rsid w:val="004178D5"/>
    <w:rsid w:val="0041790E"/>
    <w:rsid w:val="00427C58"/>
    <w:rsid w:val="00444BC6"/>
    <w:rsid w:val="00444C65"/>
    <w:rsid w:val="00446F23"/>
    <w:rsid w:val="00453C1D"/>
    <w:rsid w:val="00456EDC"/>
    <w:rsid w:val="00466310"/>
    <w:rsid w:val="00475044"/>
    <w:rsid w:val="00491EB0"/>
    <w:rsid w:val="004A0C70"/>
    <w:rsid w:val="004B4B36"/>
    <w:rsid w:val="004B4CA7"/>
    <w:rsid w:val="004C3C39"/>
    <w:rsid w:val="004E0D0D"/>
    <w:rsid w:val="004E5BEA"/>
    <w:rsid w:val="00507373"/>
    <w:rsid w:val="00512D35"/>
    <w:rsid w:val="00520993"/>
    <w:rsid w:val="00545818"/>
    <w:rsid w:val="00552646"/>
    <w:rsid w:val="00557208"/>
    <w:rsid w:val="005620BA"/>
    <w:rsid w:val="005709B1"/>
    <w:rsid w:val="00580BB7"/>
    <w:rsid w:val="00581D77"/>
    <w:rsid w:val="00584647"/>
    <w:rsid w:val="005A0712"/>
    <w:rsid w:val="005C26AF"/>
    <w:rsid w:val="005D378C"/>
    <w:rsid w:val="005E18A8"/>
    <w:rsid w:val="005E7EC4"/>
    <w:rsid w:val="005F088E"/>
    <w:rsid w:val="0061651E"/>
    <w:rsid w:val="006216FD"/>
    <w:rsid w:val="00622247"/>
    <w:rsid w:val="006331FE"/>
    <w:rsid w:val="006515D3"/>
    <w:rsid w:val="00654BDD"/>
    <w:rsid w:val="00655A17"/>
    <w:rsid w:val="00663F7A"/>
    <w:rsid w:val="006729FA"/>
    <w:rsid w:val="0067571E"/>
    <w:rsid w:val="00681842"/>
    <w:rsid w:val="00684BBA"/>
    <w:rsid w:val="00686C0D"/>
    <w:rsid w:val="00692509"/>
    <w:rsid w:val="006B5562"/>
    <w:rsid w:val="006E0227"/>
    <w:rsid w:val="006E5490"/>
    <w:rsid w:val="00705BFC"/>
    <w:rsid w:val="00710187"/>
    <w:rsid w:val="00711520"/>
    <w:rsid w:val="0073576A"/>
    <w:rsid w:val="00743F02"/>
    <w:rsid w:val="00745752"/>
    <w:rsid w:val="00773E93"/>
    <w:rsid w:val="00786663"/>
    <w:rsid w:val="007A2807"/>
    <w:rsid w:val="007B129A"/>
    <w:rsid w:val="007B1A3E"/>
    <w:rsid w:val="007B50CB"/>
    <w:rsid w:val="007B770A"/>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5459C"/>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81"/>
    <w:rsid w:val="0096323C"/>
    <w:rsid w:val="00964069"/>
    <w:rsid w:val="00976352"/>
    <w:rsid w:val="00980A34"/>
    <w:rsid w:val="009843CB"/>
    <w:rsid w:val="00993C5A"/>
    <w:rsid w:val="009A682B"/>
    <w:rsid w:val="009D4002"/>
    <w:rsid w:val="009E1641"/>
    <w:rsid w:val="009E580D"/>
    <w:rsid w:val="00A02908"/>
    <w:rsid w:val="00A03A30"/>
    <w:rsid w:val="00A11092"/>
    <w:rsid w:val="00A13FD5"/>
    <w:rsid w:val="00A21A42"/>
    <w:rsid w:val="00A323C3"/>
    <w:rsid w:val="00A53061"/>
    <w:rsid w:val="00A65F01"/>
    <w:rsid w:val="00A72D7A"/>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26959"/>
    <w:rsid w:val="00C31FFC"/>
    <w:rsid w:val="00C35902"/>
    <w:rsid w:val="00C60AAB"/>
    <w:rsid w:val="00C666C2"/>
    <w:rsid w:val="00C74FB4"/>
    <w:rsid w:val="00CB2539"/>
    <w:rsid w:val="00CC563D"/>
    <w:rsid w:val="00CC685A"/>
    <w:rsid w:val="00CE1574"/>
    <w:rsid w:val="00CF748B"/>
    <w:rsid w:val="00D10B5C"/>
    <w:rsid w:val="00D1627A"/>
    <w:rsid w:val="00D25021"/>
    <w:rsid w:val="00D31DE0"/>
    <w:rsid w:val="00D32BE2"/>
    <w:rsid w:val="00D54881"/>
    <w:rsid w:val="00D6219F"/>
    <w:rsid w:val="00D77DBA"/>
    <w:rsid w:val="00D85F98"/>
    <w:rsid w:val="00DC3A50"/>
    <w:rsid w:val="00DD3566"/>
    <w:rsid w:val="00DD6D51"/>
    <w:rsid w:val="00DE2CC3"/>
    <w:rsid w:val="00DE634F"/>
    <w:rsid w:val="00E12ADE"/>
    <w:rsid w:val="00E14DA1"/>
    <w:rsid w:val="00E308F8"/>
    <w:rsid w:val="00E341DE"/>
    <w:rsid w:val="00E34404"/>
    <w:rsid w:val="00E367C9"/>
    <w:rsid w:val="00E37ABD"/>
    <w:rsid w:val="00E41144"/>
    <w:rsid w:val="00E544D1"/>
    <w:rsid w:val="00E65F2D"/>
    <w:rsid w:val="00E66732"/>
    <w:rsid w:val="00E67D27"/>
    <w:rsid w:val="00E77397"/>
    <w:rsid w:val="00E81307"/>
    <w:rsid w:val="00E86BCC"/>
    <w:rsid w:val="00EA1DBB"/>
    <w:rsid w:val="00EA332D"/>
    <w:rsid w:val="00EB05CC"/>
    <w:rsid w:val="00EC0F0C"/>
    <w:rsid w:val="00EC5526"/>
    <w:rsid w:val="00F10B0D"/>
    <w:rsid w:val="00F32CBE"/>
    <w:rsid w:val="00F57168"/>
    <w:rsid w:val="00F7307A"/>
    <w:rsid w:val="00F746BD"/>
    <w:rsid w:val="00F877B4"/>
    <w:rsid w:val="00FA60A0"/>
    <w:rsid w:val="00FD76BF"/>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6</cp:revision>
  <cp:lastPrinted>2019-01-18T14:33:00Z</cp:lastPrinted>
  <dcterms:created xsi:type="dcterms:W3CDTF">2019-04-03T12:24:00Z</dcterms:created>
  <dcterms:modified xsi:type="dcterms:W3CDTF">2020-01-07T19:16:00Z</dcterms:modified>
</cp:coreProperties>
</file>