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3088C" w14:textId="77777777"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078E3FF8" w14:textId="3EFE1803" w:rsidR="004B443B" w:rsidRPr="00EE5548" w:rsidRDefault="00921FD5" w:rsidP="004B443B">
      <w:pPr>
        <w:tabs>
          <w:tab w:val="left" w:pos="-720"/>
        </w:tabs>
        <w:suppressAutoHyphens/>
        <w:autoSpaceDE/>
        <w:autoSpaceDN/>
        <w:jc w:val="both"/>
        <w:rPr>
          <w:rFonts w:eastAsiaTheme="minorHAnsi"/>
          <w:spacing w:val="-3"/>
        </w:rPr>
      </w:pPr>
      <w:r>
        <w:rPr>
          <w:rFonts w:eastAsiaTheme="minorHAnsi"/>
          <w:spacing w:val="-3"/>
        </w:rPr>
        <w:t xml:space="preserve">Deborah </w:t>
      </w:r>
      <w:proofErr w:type="spellStart"/>
      <w:r>
        <w:rPr>
          <w:rFonts w:eastAsiaTheme="minorHAnsi"/>
          <w:spacing w:val="-3"/>
        </w:rPr>
        <w:t>Engisch</w:t>
      </w:r>
      <w:proofErr w:type="spellEnd"/>
      <w:r>
        <w:rPr>
          <w:rFonts w:eastAsiaTheme="minorHAnsi"/>
          <w:spacing w:val="-3"/>
        </w:rPr>
        <w:t>-Platt and Kim Platt</w:t>
      </w:r>
      <w:r w:rsidR="00D50A9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14:paraId="7738CCC8"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41B2DF8C"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C-201</w:t>
      </w:r>
      <w:r w:rsidR="003E6E3E">
        <w:rPr>
          <w:rFonts w:eastAsiaTheme="minorHAnsi"/>
          <w:spacing w:val="-3"/>
        </w:rPr>
        <w:t>9-</w:t>
      </w:r>
      <w:r w:rsidR="00921FD5">
        <w:rPr>
          <w:rFonts w:eastAsiaTheme="minorHAnsi"/>
          <w:spacing w:val="-3"/>
        </w:rPr>
        <w:t>3013745</w:t>
      </w:r>
    </w:p>
    <w:p w14:paraId="1552F5C3"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2AAAFF60" w14:textId="3AB17953" w:rsidR="004B443B" w:rsidRPr="00EE5548" w:rsidRDefault="00921FD5" w:rsidP="004B443B">
      <w:pPr>
        <w:tabs>
          <w:tab w:val="left" w:pos="-720"/>
        </w:tabs>
        <w:suppressAutoHyphens/>
        <w:autoSpaceDE/>
        <w:autoSpaceDN/>
        <w:jc w:val="both"/>
        <w:rPr>
          <w:rFonts w:eastAsiaTheme="minorHAnsi"/>
          <w:spacing w:val="-3"/>
        </w:rPr>
      </w:pPr>
      <w:r>
        <w:rPr>
          <w:rFonts w:eastAsiaTheme="minorHAnsi"/>
          <w:spacing w:val="-3"/>
        </w:rPr>
        <w:t>Metropolitan Edison Company</w:t>
      </w:r>
      <w:r w:rsidR="00E528B6" w:rsidRPr="00EE5548">
        <w:rPr>
          <w:rFonts w:eastAsiaTheme="minorHAnsi"/>
          <w:spacing w:val="-3"/>
        </w:rPr>
        <w:tab/>
      </w:r>
      <w:r w:rsidR="009F31D5" w:rsidRPr="00EE5548">
        <w:rPr>
          <w:rFonts w:eastAsiaTheme="minorHAnsi"/>
          <w:spacing w:val="-3"/>
        </w:rPr>
        <w:tab/>
      </w:r>
      <w:r w:rsidR="004B443B" w:rsidRPr="00EE5548">
        <w:rPr>
          <w:rFonts w:eastAsiaTheme="minorHAnsi"/>
          <w:spacing w:val="-3"/>
        </w:rPr>
        <w:tab/>
        <w:t>:</w:t>
      </w:r>
    </w:p>
    <w:p w14:paraId="7D13CEED" w14:textId="77777777" w:rsidR="00C97272" w:rsidRPr="00EE5548" w:rsidRDefault="00C97272" w:rsidP="00D65D31">
      <w:pPr>
        <w:widowControl w:val="0"/>
        <w:adjustRightInd w:val="0"/>
        <w:rPr>
          <w:bCs/>
          <w:color w:val="000000"/>
        </w:rPr>
      </w:pPr>
    </w:p>
    <w:p w14:paraId="7BF65E1E" w14:textId="77777777" w:rsidR="00C97272" w:rsidRPr="00EE5548" w:rsidRDefault="00C97272" w:rsidP="00D65D31">
      <w:pPr>
        <w:widowControl w:val="0"/>
        <w:adjustRightInd w:val="0"/>
        <w:rPr>
          <w:bCs/>
          <w:color w:val="000000"/>
        </w:rPr>
      </w:pPr>
    </w:p>
    <w:p w14:paraId="3585A733" w14:textId="77777777" w:rsidR="002A5872" w:rsidRPr="00EE5548" w:rsidRDefault="002A5872" w:rsidP="00D65D31">
      <w:pPr>
        <w:widowControl w:val="0"/>
        <w:adjustRightInd w:val="0"/>
        <w:rPr>
          <w:bCs/>
          <w:color w:val="000000"/>
        </w:rPr>
      </w:pPr>
    </w:p>
    <w:p w14:paraId="636C2492" w14:textId="77777777"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14:paraId="61D2F4AD" w14:textId="043E0157" w:rsidR="009F31D5" w:rsidRPr="00EE5548" w:rsidRDefault="00921FD5" w:rsidP="003E6E3E">
      <w:pPr>
        <w:pStyle w:val="Style"/>
        <w:jc w:val="center"/>
        <w:rPr>
          <w:b/>
          <w:bCs/>
          <w:color w:val="000000"/>
          <w:u w:val="single"/>
        </w:rPr>
      </w:pPr>
      <w:r>
        <w:rPr>
          <w:b/>
          <w:bCs/>
          <w:spacing w:val="-3"/>
          <w:u w:val="single"/>
        </w:rPr>
        <w:t>DENYING</w:t>
      </w:r>
      <w:r w:rsidR="00EC1A79" w:rsidRPr="00EE5548">
        <w:rPr>
          <w:b/>
          <w:bCs/>
          <w:spacing w:val="-3"/>
          <w:u w:val="single"/>
        </w:rPr>
        <w:t xml:space="preserve"> </w:t>
      </w:r>
      <w:r w:rsidR="004B443B" w:rsidRPr="00EE5548">
        <w:rPr>
          <w:b/>
          <w:bCs/>
          <w:spacing w:val="-3"/>
          <w:u w:val="single"/>
        </w:rPr>
        <w:t>PRELIMINARY OBJECTION</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040E7BA2" w14:textId="5570EDD8" w:rsidR="00C725DA" w:rsidRDefault="004B443B" w:rsidP="00351B37">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3F2E9E">
        <w:rPr>
          <w:rFonts w:ascii="Times New Roman" w:hAnsi="Times New Roman" w:cs="Times New Roman"/>
        </w:rPr>
        <w:t xml:space="preserve"> </w:t>
      </w:r>
      <w:r w:rsidR="00C725DA">
        <w:rPr>
          <w:rFonts w:ascii="Times New Roman" w:hAnsi="Times New Roman" w:cs="Times New Roman"/>
        </w:rPr>
        <w:t xml:space="preserve">October 17, 2019, Deborah </w:t>
      </w:r>
      <w:proofErr w:type="spellStart"/>
      <w:r w:rsidR="00C725DA">
        <w:rPr>
          <w:rFonts w:ascii="Times New Roman" w:hAnsi="Times New Roman" w:cs="Times New Roman"/>
        </w:rPr>
        <w:t>Engisch</w:t>
      </w:r>
      <w:proofErr w:type="spellEnd"/>
      <w:r w:rsidR="00C725DA">
        <w:rPr>
          <w:rFonts w:ascii="Times New Roman" w:hAnsi="Times New Roman" w:cs="Times New Roman"/>
        </w:rPr>
        <w:t xml:space="preserve">-Platt and Kim Platt filed a formal complaint with the Pennsylvania Public Utility Commission (Commission) against Metropolitan Edison Company (Met-Ed), docket number C-2019-3013745.  In their complaint, the Platts aver that they are having a reliability, safety or quality problem with their utility service because they do not want a smart meter installed at their home due to various adverse health effects.  Mrs. Platts averred that her husband is 63 years old and has an irregular heart rate that is compounded by electromagnetic sensitivity and her daughter also has a sensory disorder affected by high pitched electrical humming sounds and pulsations.  The Platts requested that the analog meter remain on their home.  </w:t>
      </w:r>
    </w:p>
    <w:p w14:paraId="68616563" w14:textId="7B7B72B5" w:rsidR="00C725DA" w:rsidRDefault="00C725DA" w:rsidP="00351B37">
      <w:pPr>
        <w:pStyle w:val="ParaTab1"/>
        <w:tabs>
          <w:tab w:val="left" w:pos="2070"/>
        </w:tabs>
        <w:spacing w:line="360" w:lineRule="auto"/>
        <w:rPr>
          <w:rFonts w:ascii="Times New Roman" w:hAnsi="Times New Roman" w:cs="Times New Roman"/>
        </w:rPr>
      </w:pPr>
    </w:p>
    <w:p w14:paraId="49EC9199" w14:textId="669ED09C" w:rsidR="00C725DA" w:rsidRDefault="00C725DA"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November 12, 2019, Met-Ed filed an answer and new matter in response to the Platts’ complaint.  In the answer, Met-Ed </w:t>
      </w:r>
      <w:r w:rsidR="007802B4">
        <w:rPr>
          <w:rFonts w:ascii="Times New Roman" w:hAnsi="Times New Roman" w:cs="Times New Roman"/>
        </w:rPr>
        <w:t>denied that the Platts are having a reliability, safety or quality problem with their utility service.  The company stated it is attempting to install a smart meter at the service location in accordance with Act 129 of 2008 and that the Platts have refused installation of the smart meter.  Met-Ed provided background regarding its obligation to install smart meters.  In its new matter, which was accompanied by a notice to plead, Met-Ed averred that the complaint is legally insufficient because the company has not violated the Public Utility Code or the orders or regulations of the Commission since the company is required to install smart meters.  Met-Ed requested that the complaint be dismissed.</w:t>
      </w:r>
    </w:p>
    <w:p w14:paraId="75B5F092" w14:textId="5FDB1390" w:rsidR="007802B4" w:rsidRDefault="007802B4" w:rsidP="00351B37">
      <w:pPr>
        <w:pStyle w:val="ParaTab1"/>
        <w:tabs>
          <w:tab w:val="left" w:pos="2070"/>
        </w:tabs>
        <w:spacing w:line="360" w:lineRule="auto"/>
        <w:rPr>
          <w:rFonts w:ascii="Times New Roman" w:hAnsi="Times New Roman" w:cs="Times New Roman"/>
        </w:rPr>
      </w:pPr>
    </w:p>
    <w:p w14:paraId="728A6555" w14:textId="5BF31ABE" w:rsidR="007802B4" w:rsidRDefault="007802B4" w:rsidP="00351B37">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lastRenderedPageBreak/>
        <w:t>Also</w:t>
      </w:r>
      <w:proofErr w:type="gramEnd"/>
      <w:r>
        <w:rPr>
          <w:rFonts w:ascii="Times New Roman" w:hAnsi="Times New Roman" w:cs="Times New Roman"/>
        </w:rPr>
        <w:t xml:space="preserve"> on November 12, 2019, Met-Ed filed a preliminary objection in response to the Platts’ complaint.  In the preliminary objection, which was also accompanied by a notice to plead, Met-Ed reiterated its argument that the complaint is legally insufficient and provided additional background regarding </w:t>
      </w:r>
      <w:r w:rsidR="003E428F">
        <w:rPr>
          <w:rFonts w:ascii="Times New Roman" w:hAnsi="Times New Roman" w:cs="Times New Roman"/>
        </w:rPr>
        <w:t xml:space="preserve">its legal obligation to install a smart meter at the service address.  Met-Ed requested that its preliminary objection be </w:t>
      </w:r>
      <w:proofErr w:type="gramStart"/>
      <w:r w:rsidR="003E428F">
        <w:rPr>
          <w:rFonts w:ascii="Times New Roman" w:hAnsi="Times New Roman" w:cs="Times New Roman"/>
        </w:rPr>
        <w:t>granted</w:t>
      </w:r>
      <w:proofErr w:type="gramEnd"/>
      <w:r w:rsidR="003E428F">
        <w:rPr>
          <w:rFonts w:ascii="Times New Roman" w:hAnsi="Times New Roman" w:cs="Times New Roman"/>
        </w:rPr>
        <w:t xml:space="preserve"> and the complaint be dismissed.</w:t>
      </w:r>
    </w:p>
    <w:p w14:paraId="1855DF9D" w14:textId="317055CA" w:rsidR="003E428F" w:rsidRDefault="003E428F" w:rsidP="00351B37">
      <w:pPr>
        <w:pStyle w:val="ParaTab1"/>
        <w:tabs>
          <w:tab w:val="left" w:pos="2070"/>
        </w:tabs>
        <w:spacing w:line="360" w:lineRule="auto"/>
        <w:rPr>
          <w:rFonts w:ascii="Times New Roman" w:hAnsi="Times New Roman" w:cs="Times New Roman"/>
        </w:rPr>
      </w:pPr>
    </w:p>
    <w:p w14:paraId="3D97F25C" w14:textId="3D374071" w:rsidR="003E428F" w:rsidRDefault="003E428F"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The Platts did not file an answer to either the new matter or the preliminary objection.</w:t>
      </w:r>
    </w:p>
    <w:p w14:paraId="0BAFFBC8" w14:textId="795ADB21" w:rsidR="003E428F" w:rsidRDefault="003E428F" w:rsidP="00351B37">
      <w:pPr>
        <w:pStyle w:val="ParaTab1"/>
        <w:tabs>
          <w:tab w:val="left" w:pos="2070"/>
        </w:tabs>
        <w:spacing w:line="360" w:lineRule="auto"/>
        <w:rPr>
          <w:rFonts w:ascii="Times New Roman" w:hAnsi="Times New Roman" w:cs="Times New Roman"/>
        </w:rPr>
      </w:pPr>
    </w:p>
    <w:p w14:paraId="2D957906" w14:textId="2D23D260" w:rsidR="003E428F" w:rsidRDefault="003E428F"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A motion judge assignment notice was issued on December 24, 2019 informing the parties that I had been assigned as the presiding officer and am responsible to resolve any issues which may arise during the preliminary phase of this case.</w:t>
      </w:r>
    </w:p>
    <w:p w14:paraId="524A866A" w14:textId="10136CAC" w:rsidR="003E428F" w:rsidRDefault="003E428F" w:rsidP="00351B37">
      <w:pPr>
        <w:pStyle w:val="ParaTab1"/>
        <w:tabs>
          <w:tab w:val="left" w:pos="2070"/>
        </w:tabs>
        <w:spacing w:line="360" w:lineRule="auto"/>
        <w:rPr>
          <w:rFonts w:ascii="Times New Roman" w:hAnsi="Times New Roman" w:cs="Times New Roman"/>
        </w:rPr>
      </w:pPr>
    </w:p>
    <w:p w14:paraId="543CC5FE" w14:textId="2B952035" w:rsidR="003E428F" w:rsidRPr="003E428F" w:rsidRDefault="003E428F"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Met-Ed’s preliminary objection is now ready for disposition.  For the reasons discussed below, Met-Ed’s preliminary objection will be </w:t>
      </w:r>
      <w:proofErr w:type="gramStart"/>
      <w:r>
        <w:rPr>
          <w:rFonts w:ascii="Times New Roman" w:hAnsi="Times New Roman" w:cs="Times New Roman"/>
        </w:rPr>
        <w:t>denied</w:t>
      </w:r>
      <w:proofErr w:type="gramEnd"/>
      <w:r>
        <w:rPr>
          <w:rFonts w:ascii="Times New Roman" w:hAnsi="Times New Roman" w:cs="Times New Roman"/>
        </w:rPr>
        <w:t xml:space="preserve"> and the complaint will move forward to a hearing.</w:t>
      </w:r>
    </w:p>
    <w:p w14:paraId="23870382" w14:textId="77777777" w:rsidR="003E428F" w:rsidRPr="003E428F" w:rsidRDefault="003E428F" w:rsidP="00CB42AB">
      <w:pPr>
        <w:widowControl w:val="0"/>
        <w:adjustRightInd w:val="0"/>
        <w:spacing w:line="360" w:lineRule="auto"/>
        <w:ind w:firstLine="1440"/>
        <w:rPr>
          <w:color w:val="000000"/>
        </w:rPr>
      </w:pPr>
    </w:p>
    <w:p w14:paraId="6D8DB3B6" w14:textId="35B60914" w:rsidR="00CB42AB" w:rsidRPr="003E428F" w:rsidRDefault="00CB42AB" w:rsidP="00CB42AB">
      <w:pPr>
        <w:widowControl w:val="0"/>
        <w:adjustRightInd w:val="0"/>
        <w:spacing w:line="360" w:lineRule="auto"/>
        <w:ind w:firstLine="1440"/>
        <w:rPr>
          <w:color w:val="000000"/>
        </w:rPr>
      </w:pPr>
      <w:r w:rsidRPr="003E428F">
        <w:rPr>
          <w:color w:val="000000"/>
        </w:rPr>
        <w:t xml:space="preserve">Section 5.101 of the Commission’s Rules of Administrative Practice and Procedure provides for the filing of </w:t>
      </w:r>
      <w:r w:rsidR="00F73A93" w:rsidRPr="003E428F">
        <w:rPr>
          <w:color w:val="000000"/>
        </w:rPr>
        <w:t>p</w:t>
      </w:r>
      <w:r w:rsidRPr="003E428F">
        <w:rPr>
          <w:color w:val="000000"/>
        </w:rPr>
        <w:t xml:space="preserve">reliminary </w:t>
      </w:r>
      <w:r w:rsidR="00F73A93" w:rsidRPr="003E428F">
        <w:rPr>
          <w:color w:val="000000"/>
        </w:rPr>
        <w:t>o</w:t>
      </w:r>
      <w:r w:rsidRPr="003E428F">
        <w:rPr>
          <w:color w:val="000000"/>
        </w:rPr>
        <w:t xml:space="preserve">bjections.  52 </w:t>
      </w:r>
      <w:proofErr w:type="spellStart"/>
      <w:proofErr w:type="gramStart"/>
      <w:r w:rsidRPr="003E428F">
        <w:rPr>
          <w:color w:val="000000"/>
        </w:rPr>
        <w:t>Pa.Code</w:t>
      </w:r>
      <w:proofErr w:type="spellEnd"/>
      <w:proofErr w:type="gramEnd"/>
      <w:r w:rsidRPr="003E428F">
        <w:rPr>
          <w:color w:val="000000"/>
        </w:rPr>
        <w:t xml:space="preserve"> </w:t>
      </w:r>
      <w:r w:rsidRPr="003E428F">
        <w:rPr>
          <w:color w:val="000000"/>
          <w:w w:val="86"/>
        </w:rPr>
        <w:t xml:space="preserve">§ </w:t>
      </w:r>
      <w:r w:rsidRPr="003E428F">
        <w:rPr>
          <w:color w:val="000000"/>
        </w:rPr>
        <w:t>5.101.</w:t>
      </w:r>
      <w:r w:rsidR="00F73A93" w:rsidRPr="003E428F">
        <w:rPr>
          <w:color w:val="000000"/>
        </w:rPr>
        <w:t xml:space="preserve">  Commission p</w:t>
      </w:r>
      <w:r w:rsidRPr="003E428F">
        <w:rPr>
          <w:color w:val="000000"/>
        </w:rPr>
        <w:t xml:space="preserve">reliminary </w:t>
      </w:r>
      <w:r w:rsidR="00F73A93" w:rsidRPr="003E428F">
        <w:rPr>
          <w:color w:val="000000"/>
        </w:rPr>
        <w:t>o</w:t>
      </w:r>
      <w:r w:rsidRPr="003E428F">
        <w:rPr>
          <w:color w:val="000000"/>
        </w:rPr>
        <w:t xml:space="preserve">bjection practice is comparable to Pennsylvania civil practice respecting the filing of </w:t>
      </w:r>
      <w:r w:rsidR="00F73A93" w:rsidRPr="003E428F">
        <w:rPr>
          <w:color w:val="000000"/>
        </w:rPr>
        <w:t>p</w:t>
      </w:r>
      <w:r w:rsidRPr="003E428F">
        <w:rPr>
          <w:color w:val="000000"/>
        </w:rPr>
        <w:t xml:space="preserve">reliminary </w:t>
      </w:r>
      <w:r w:rsidR="00F73A93" w:rsidRPr="003E428F">
        <w:rPr>
          <w:color w:val="000000"/>
        </w:rPr>
        <w:t>o</w:t>
      </w:r>
      <w:r w:rsidRPr="003E428F">
        <w:rPr>
          <w:color w:val="000000"/>
        </w:rPr>
        <w:t xml:space="preserve">bjections.  </w:t>
      </w:r>
      <w:r w:rsidRPr="003E428F">
        <w:rPr>
          <w:iCs/>
          <w:color w:val="000000"/>
          <w:u w:val="single"/>
        </w:rPr>
        <w:t>Equitable Small Transportation Intervenors v. Equitable Gas Company</w:t>
      </w:r>
      <w:r w:rsidRPr="003E428F">
        <w:rPr>
          <w:i/>
          <w:iCs/>
          <w:color w:val="000000"/>
        </w:rPr>
        <w:t xml:space="preserve">, </w:t>
      </w:r>
      <w:r w:rsidRPr="003E428F">
        <w:rPr>
          <w:color w:val="000000"/>
        </w:rPr>
        <w:t>1994 Pa PUC LEXIS 69, Docket No. C-00935435 (July 18, 1994) (</w:t>
      </w:r>
      <w:r w:rsidRPr="003E428F">
        <w:rPr>
          <w:color w:val="000000"/>
          <w:u w:val="single"/>
        </w:rPr>
        <w:t>Equitable</w:t>
      </w:r>
      <w:r w:rsidRPr="003E428F">
        <w:rPr>
          <w:color w:val="000000"/>
        </w:rPr>
        <w:t>).  Section 5.101(a) provides:</w:t>
      </w:r>
    </w:p>
    <w:p w14:paraId="703433FE" w14:textId="77777777" w:rsidR="00CB42AB" w:rsidRPr="003E428F" w:rsidRDefault="00CB42AB" w:rsidP="00CB42AB">
      <w:pPr>
        <w:widowControl w:val="0"/>
        <w:tabs>
          <w:tab w:val="left" w:pos="1469"/>
          <w:tab w:val="left" w:pos="2196"/>
        </w:tabs>
        <w:adjustRightInd w:val="0"/>
        <w:spacing w:line="360" w:lineRule="auto"/>
        <w:ind w:left="1440" w:right="1440"/>
        <w:rPr>
          <w:color w:val="000000"/>
        </w:rPr>
      </w:pPr>
    </w:p>
    <w:p w14:paraId="1DBB8040" w14:textId="77777777" w:rsidR="00CB42AB" w:rsidRPr="003E428F" w:rsidRDefault="00CB42AB" w:rsidP="00CB42AB">
      <w:pPr>
        <w:widowControl w:val="0"/>
        <w:tabs>
          <w:tab w:val="left" w:pos="1469"/>
          <w:tab w:val="left" w:pos="2196"/>
        </w:tabs>
        <w:adjustRightInd w:val="0"/>
        <w:ind w:left="1440" w:right="1440"/>
        <w:rPr>
          <w:color w:val="000000"/>
        </w:rPr>
      </w:pPr>
      <w:r w:rsidRPr="003E428F">
        <w:rPr>
          <w:color w:val="000000"/>
        </w:rPr>
        <w:t xml:space="preserve">(a) </w:t>
      </w:r>
      <w:r w:rsidRPr="003E428F">
        <w:rPr>
          <w:color w:val="000000"/>
        </w:rPr>
        <w:tab/>
      </w:r>
      <w:r w:rsidRPr="003E428F">
        <w:rPr>
          <w:i/>
          <w:iCs/>
          <w:color w:val="000000"/>
        </w:rPr>
        <w:t xml:space="preserve">Grounds.  </w:t>
      </w:r>
      <w:r w:rsidRPr="003E428F">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D33DD29" w14:textId="77777777" w:rsidR="00CB42AB" w:rsidRPr="003E428F" w:rsidRDefault="00CB42AB" w:rsidP="00CB42AB">
      <w:pPr>
        <w:widowControl w:val="0"/>
        <w:tabs>
          <w:tab w:val="left" w:pos="2203"/>
          <w:tab w:val="left" w:pos="2909"/>
        </w:tabs>
        <w:adjustRightInd w:val="0"/>
        <w:ind w:right="1440"/>
      </w:pPr>
    </w:p>
    <w:p w14:paraId="09B8336E" w14:textId="77777777" w:rsidR="00CB42AB" w:rsidRPr="003E428F" w:rsidRDefault="00CB42AB" w:rsidP="00324740">
      <w:pPr>
        <w:widowControl w:val="0"/>
        <w:numPr>
          <w:ilvl w:val="0"/>
          <w:numId w:val="18"/>
        </w:numPr>
        <w:tabs>
          <w:tab w:val="left" w:pos="2203"/>
          <w:tab w:val="left" w:pos="2909"/>
        </w:tabs>
        <w:autoSpaceDE/>
        <w:autoSpaceDN/>
        <w:adjustRightInd w:val="0"/>
        <w:ind w:right="1440"/>
        <w:rPr>
          <w:color w:val="000000"/>
        </w:rPr>
      </w:pPr>
      <w:r w:rsidRPr="003E428F">
        <w:rPr>
          <w:color w:val="000000"/>
        </w:rPr>
        <w:t>Lack of Commission jurisdiction or improper service of the pleading initiating the proceeding.</w:t>
      </w:r>
    </w:p>
    <w:p w14:paraId="7A99CC03" w14:textId="77777777" w:rsidR="00CB42AB" w:rsidRPr="003E428F" w:rsidRDefault="00CB42AB" w:rsidP="00324740">
      <w:pPr>
        <w:widowControl w:val="0"/>
        <w:tabs>
          <w:tab w:val="left" w:pos="2203"/>
          <w:tab w:val="left" w:pos="2909"/>
        </w:tabs>
        <w:adjustRightInd w:val="0"/>
        <w:ind w:left="2520" w:right="1440" w:hanging="360"/>
        <w:rPr>
          <w:color w:val="000000"/>
        </w:rPr>
      </w:pPr>
    </w:p>
    <w:p w14:paraId="7934931C" w14:textId="77777777" w:rsidR="00CB42AB" w:rsidRPr="003E428F" w:rsidRDefault="00CB42AB" w:rsidP="00324740">
      <w:pPr>
        <w:widowControl w:val="0"/>
        <w:numPr>
          <w:ilvl w:val="0"/>
          <w:numId w:val="18"/>
        </w:numPr>
        <w:tabs>
          <w:tab w:val="left" w:pos="2203"/>
          <w:tab w:val="left" w:pos="2909"/>
        </w:tabs>
        <w:autoSpaceDE/>
        <w:autoSpaceDN/>
        <w:adjustRightInd w:val="0"/>
        <w:ind w:right="1440"/>
        <w:rPr>
          <w:color w:val="000000"/>
        </w:rPr>
      </w:pPr>
      <w:r w:rsidRPr="003E428F">
        <w:rPr>
          <w:color w:val="000000"/>
        </w:rPr>
        <w:t>Failure of a pleading to conform to this chapter or the inclusion of scandalous or impertinent matter.</w:t>
      </w:r>
    </w:p>
    <w:p w14:paraId="70FC9B78" w14:textId="77777777" w:rsidR="00CB42AB" w:rsidRPr="003E428F" w:rsidRDefault="00CB42AB" w:rsidP="00324740">
      <w:pPr>
        <w:autoSpaceDE/>
        <w:autoSpaceDN/>
        <w:ind w:left="720"/>
        <w:contextualSpacing/>
        <w:rPr>
          <w:rFonts w:eastAsiaTheme="minorEastAsia"/>
          <w:color w:val="000000"/>
        </w:rPr>
      </w:pPr>
    </w:p>
    <w:p w14:paraId="25E54601" w14:textId="77777777" w:rsidR="00CB42AB" w:rsidRPr="003E428F" w:rsidRDefault="00CB42AB" w:rsidP="00324740">
      <w:pPr>
        <w:widowControl w:val="0"/>
        <w:numPr>
          <w:ilvl w:val="0"/>
          <w:numId w:val="18"/>
        </w:numPr>
        <w:tabs>
          <w:tab w:val="left" w:pos="2203"/>
          <w:tab w:val="left" w:pos="2909"/>
        </w:tabs>
        <w:autoSpaceDE/>
        <w:autoSpaceDN/>
        <w:adjustRightInd w:val="0"/>
        <w:ind w:right="1440"/>
        <w:rPr>
          <w:color w:val="000000"/>
        </w:rPr>
      </w:pPr>
      <w:r w:rsidRPr="003E428F">
        <w:rPr>
          <w:color w:val="000000"/>
        </w:rPr>
        <w:t>Insufficient specificity of a pleading.</w:t>
      </w:r>
    </w:p>
    <w:p w14:paraId="67BB4E22" w14:textId="77777777" w:rsidR="00CB42AB" w:rsidRPr="003E428F" w:rsidRDefault="00CB42AB" w:rsidP="00324740">
      <w:pPr>
        <w:autoSpaceDE/>
        <w:autoSpaceDN/>
        <w:ind w:left="720"/>
        <w:contextualSpacing/>
        <w:rPr>
          <w:rFonts w:eastAsiaTheme="minorEastAsia"/>
          <w:color w:val="000000"/>
        </w:rPr>
      </w:pPr>
    </w:p>
    <w:p w14:paraId="17B149EB" w14:textId="77777777" w:rsidR="00CB42AB" w:rsidRPr="003E428F" w:rsidRDefault="00CB42AB" w:rsidP="00324740">
      <w:pPr>
        <w:widowControl w:val="0"/>
        <w:numPr>
          <w:ilvl w:val="0"/>
          <w:numId w:val="18"/>
        </w:numPr>
        <w:tabs>
          <w:tab w:val="left" w:pos="2203"/>
          <w:tab w:val="left" w:pos="2909"/>
        </w:tabs>
        <w:autoSpaceDE/>
        <w:autoSpaceDN/>
        <w:adjustRightInd w:val="0"/>
        <w:ind w:right="1440"/>
        <w:rPr>
          <w:color w:val="000000"/>
        </w:rPr>
      </w:pPr>
      <w:r w:rsidRPr="003E428F">
        <w:rPr>
          <w:color w:val="000000"/>
        </w:rPr>
        <w:t>Legal insufficiency of a pleading.</w:t>
      </w:r>
    </w:p>
    <w:p w14:paraId="076D6E80" w14:textId="77777777" w:rsidR="00CB42AB" w:rsidRPr="003E428F" w:rsidRDefault="00CB42AB" w:rsidP="00324740">
      <w:pPr>
        <w:autoSpaceDE/>
        <w:autoSpaceDN/>
        <w:ind w:left="720"/>
        <w:contextualSpacing/>
        <w:rPr>
          <w:rFonts w:eastAsiaTheme="minorEastAsia"/>
          <w:color w:val="000000"/>
        </w:rPr>
      </w:pPr>
    </w:p>
    <w:p w14:paraId="0C34EBD6" w14:textId="77777777" w:rsidR="00CB42AB" w:rsidRPr="003E428F" w:rsidRDefault="00CB42AB" w:rsidP="00324740">
      <w:pPr>
        <w:widowControl w:val="0"/>
        <w:numPr>
          <w:ilvl w:val="0"/>
          <w:numId w:val="18"/>
        </w:numPr>
        <w:tabs>
          <w:tab w:val="left" w:pos="2203"/>
          <w:tab w:val="left" w:pos="2909"/>
        </w:tabs>
        <w:autoSpaceDE/>
        <w:autoSpaceDN/>
        <w:adjustRightInd w:val="0"/>
        <w:ind w:right="1440"/>
        <w:rPr>
          <w:color w:val="000000"/>
        </w:rPr>
      </w:pPr>
      <w:r w:rsidRPr="003E428F">
        <w:rPr>
          <w:color w:val="000000"/>
        </w:rPr>
        <w:t>Lack of capacity to sue, nonjoinder of a necessary party or misjoinder of a cause of action.</w:t>
      </w:r>
    </w:p>
    <w:p w14:paraId="65482138" w14:textId="77777777" w:rsidR="00CB42AB" w:rsidRPr="003E428F" w:rsidRDefault="00CB42AB" w:rsidP="00324740">
      <w:pPr>
        <w:autoSpaceDE/>
        <w:autoSpaceDN/>
        <w:ind w:left="720"/>
        <w:contextualSpacing/>
        <w:rPr>
          <w:rFonts w:eastAsiaTheme="minorEastAsia"/>
          <w:color w:val="000000"/>
        </w:rPr>
      </w:pPr>
    </w:p>
    <w:p w14:paraId="1B2F4F31" w14:textId="77777777" w:rsidR="00CB42AB" w:rsidRPr="003E428F" w:rsidRDefault="00CB42AB" w:rsidP="00324740">
      <w:pPr>
        <w:widowControl w:val="0"/>
        <w:numPr>
          <w:ilvl w:val="0"/>
          <w:numId w:val="18"/>
        </w:numPr>
        <w:tabs>
          <w:tab w:val="left" w:pos="2203"/>
          <w:tab w:val="left" w:pos="2909"/>
        </w:tabs>
        <w:autoSpaceDE/>
        <w:autoSpaceDN/>
        <w:adjustRightInd w:val="0"/>
        <w:ind w:right="1440"/>
        <w:rPr>
          <w:color w:val="000000"/>
        </w:rPr>
      </w:pPr>
      <w:r w:rsidRPr="003E428F">
        <w:rPr>
          <w:color w:val="000000"/>
        </w:rPr>
        <w:t>Pendency of a prior proceeding or agreement for alternative dispute resolution.</w:t>
      </w:r>
    </w:p>
    <w:p w14:paraId="00FDC938" w14:textId="77777777" w:rsidR="00CB42AB" w:rsidRPr="003E428F" w:rsidRDefault="00CB42AB" w:rsidP="00324740">
      <w:pPr>
        <w:autoSpaceDE/>
        <w:autoSpaceDN/>
        <w:ind w:left="720"/>
        <w:contextualSpacing/>
        <w:rPr>
          <w:color w:val="000000"/>
        </w:rPr>
      </w:pPr>
    </w:p>
    <w:p w14:paraId="231D2896" w14:textId="77777777" w:rsidR="00CB42AB" w:rsidRPr="003E428F" w:rsidRDefault="00CB42AB" w:rsidP="00324740">
      <w:pPr>
        <w:widowControl w:val="0"/>
        <w:numPr>
          <w:ilvl w:val="0"/>
          <w:numId w:val="18"/>
        </w:numPr>
        <w:tabs>
          <w:tab w:val="left" w:pos="2203"/>
          <w:tab w:val="left" w:pos="2909"/>
        </w:tabs>
        <w:autoSpaceDE/>
        <w:autoSpaceDN/>
        <w:adjustRightInd w:val="0"/>
        <w:ind w:right="1440"/>
        <w:rPr>
          <w:color w:val="000000"/>
        </w:rPr>
      </w:pPr>
      <w:r w:rsidRPr="003E428F">
        <w:rPr>
          <w:color w:val="000000"/>
        </w:rPr>
        <w:t>Standing of a party to participate in a proceeding.</w:t>
      </w:r>
    </w:p>
    <w:p w14:paraId="30AAC1A9" w14:textId="77777777" w:rsidR="00CB42AB" w:rsidRPr="003E428F" w:rsidRDefault="00CB42AB" w:rsidP="00CB42AB">
      <w:pPr>
        <w:widowControl w:val="0"/>
        <w:tabs>
          <w:tab w:val="left" w:pos="2203"/>
          <w:tab w:val="left" w:pos="2909"/>
        </w:tabs>
        <w:adjustRightInd w:val="0"/>
        <w:ind w:left="1440" w:right="1440"/>
        <w:rPr>
          <w:color w:val="000000"/>
        </w:rPr>
      </w:pPr>
    </w:p>
    <w:p w14:paraId="21D43418" w14:textId="77777777" w:rsidR="00CB42AB" w:rsidRPr="003E428F" w:rsidRDefault="00CB42AB" w:rsidP="00CB42AB">
      <w:pPr>
        <w:widowControl w:val="0"/>
        <w:adjustRightInd w:val="0"/>
        <w:ind w:right="1440"/>
        <w:rPr>
          <w:color w:val="000000"/>
        </w:rPr>
      </w:pPr>
      <w:r w:rsidRPr="003E428F">
        <w:rPr>
          <w:color w:val="000000"/>
        </w:rPr>
        <w:t xml:space="preserve">52 </w:t>
      </w:r>
      <w:proofErr w:type="spellStart"/>
      <w:proofErr w:type="gramStart"/>
      <w:r w:rsidRPr="003E428F">
        <w:rPr>
          <w:color w:val="000000"/>
        </w:rPr>
        <w:t>Pa.Code</w:t>
      </w:r>
      <w:proofErr w:type="spellEnd"/>
      <w:proofErr w:type="gramEnd"/>
      <w:r w:rsidRPr="003E428F">
        <w:rPr>
          <w:color w:val="000000"/>
        </w:rPr>
        <w:t xml:space="preserve"> § 5.101(a)(1)-(7).</w:t>
      </w:r>
    </w:p>
    <w:p w14:paraId="64DF47AF" w14:textId="77777777" w:rsidR="00CB42AB" w:rsidRPr="003E428F" w:rsidRDefault="00CB42AB" w:rsidP="00CB42AB">
      <w:pPr>
        <w:widowControl w:val="0"/>
        <w:adjustRightInd w:val="0"/>
        <w:spacing w:line="360" w:lineRule="auto"/>
        <w:ind w:right="200"/>
        <w:rPr>
          <w:color w:val="000000"/>
        </w:rPr>
      </w:pPr>
    </w:p>
    <w:p w14:paraId="64CDE74A" w14:textId="1D3585F0" w:rsidR="00CB42AB" w:rsidRDefault="00CB42AB" w:rsidP="00CB42AB">
      <w:pPr>
        <w:tabs>
          <w:tab w:val="left" w:pos="-720"/>
        </w:tabs>
        <w:suppressAutoHyphens/>
        <w:spacing w:line="360" w:lineRule="auto"/>
        <w:ind w:firstLine="1440"/>
      </w:pPr>
      <w:r w:rsidRPr="003E428F">
        <w:t xml:space="preserve">For purposes of disposing of </w:t>
      </w:r>
      <w:r w:rsidR="00F73A93" w:rsidRPr="003E428F">
        <w:t>p</w:t>
      </w:r>
      <w:r w:rsidRPr="003E428F">
        <w:t xml:space="preserve">reliminary </w:t>
      </w:r>
      <w:r w:rsidR="00F73A93" w:rsidRPr="003E428F">
        <w:t>o</w:t>
      </w:r>
      <w:r w:rsidRPr="003E428F">
        <w:t xml:space="preserve">bjections, the Commission must accept as true all well pleaded, material facts of the nonmoving party, as well as every reasonable inference from those facts.  </w:t>
      </w:r>
      <w:r w:rsidRPr="003E428F">
        <w:rPr>
          <w:u w:val="single"/>
        </w:rPr>
        <w:t>County of Allegheny v. Commonwealth of Pennsylvania</w:t>
      </w:r>
      <w:r w:rsidRPr="003E428F">
        <w:t xml:space="preserve">, 490 A.2d 402 (Pa. 1985); </w:t>
      </w:r>
      <w:r w:rsidRPr="003E428F">
        <w:rPr>
          <w:u w:val="single"/>
        </w:rPr>
        <w:t>Commonwealth of Pennsylvania v. Bell Telephone Co. of Pa.</w:t>
      </w:r>
      <w:r w:rsidRPr="003E428F">
        <w:t xml:space="preserve">, 551 A.2d 602 (Pa. </w:t>
      </w:r>
      <w:proofErr w:type="spellStart"/>
      <w:r w:rsidRPr="003E428F">
        <w:t>Cmwlth</w:t>
      </w:r>
      <w:proofErr w:type="spellEnd"/>
      <w:r w:rsidRPr="003E428F">
        <w:t xml:space="preserve">. 1988).  The Commission must view the complaint in this case in the light most favorable to </w:t>
      </w:r>
      <w:r w:rsidR="003E428F">
        <w:t xml:space="preserve">the Platts </w:t>
      </w:r>
      <w:r w:rsidRPr="003E428F">
        <w:t xml:space="preserve">and should dismiss the complaint only if it appears that </w:t>
      </w:r>
      <w:r w:rsidR="003E428F">
        <w:t xml:space="preserve">the Platts </w:t>
      </w:r>
      <w:r w:rsidRPr="003E428F">
        <w:t xml:space="preserve">would not be entitled to relief under any circumstances as a matter of law.  </w:t>
      </w:r>
      <w:r w:rsidRPr="003E428F">
        <w:rPr>
          <w:u w:val="single"/>
        </w:rPr>
        <w:t>Equitable</w:t>
      </w:r>
      <w:r w:rsidRPr="003E428F">
        <w:t xml:space="preserve">, </w:t>
      </w:r>
      <w:r w:rsidRPr="003E428F">
        <w:rPr>
          <w:i/>
        </w:rPr>
        <w:t>supra</w:t>
      </w:r>
      <w:r w:rsidRPr="003E428F">
        <w:t xml:space="preserve">; </w:t>
      </w:r>
      <w:r w:rsidRPr="003E428F">
        <w:rPr>
          <w:i/>
        </w:rPr>
        <w:t>see also</w:t>
      </w:r>
      <w:r w:rsidRPr="003E428F">
        <w:t xml:space="preserve">, </w:t>
      </w:r>
      <w:r w:rsidRPr="003E428F">
        <w:rPr>
          <w:u w:val="single"/>
        </w:rPr>
        <w:t>Interstate Traveler Services, Inc. v. Commonwealth, Department of Environmental Resources</w:t>
      </w:r>
      <w:r w:rsidRPr="003E428F">
        <w:t>, 406 A.2d 1020 (Pa. 1979).</w:t>
      </w:r>
    </w:p>
    <w:p w14:paraId="2960045B" w14:textId="6393EB6D" w:rsidR="00E86857" w:rsidRDefault="00E86857" w:rsidP="00CB42AB">
      <w:pPr>
        <w:tabs>
          <w:tab w:val="left" w:pos="-720"/>
        </w:tabs>
        <w:suppressAutoHyphens/>
        <w:spacing w:line="360" w:lineRule="auto"/>
        <w:ind w:firstLine="1440"/>
      </w:pPr>
    </w:p>
    <w:p w14:paraId="055C4D72" w14:textId="4550BC0C" w:rsidR="00E86857" w:rsidRDefault="00E86857" w:rsidP="00E86857">
      <w:pPr>
        <w:tabs>
          <w:tab w:val="left" w:pos="-720"/>
        </w:tabs>
        <w:suppressAutoHyphens/>
        <w:spacing w:line="360" w:lineRule="auto"/>
        <w:ind w:firstLine="1440"/>
      </w:pPr>
      <w:r w:rsidRPr="00E3227F">
        <w:t xml:space="preserve">In civil practice, a </w:t>
      </w:r>
      <w:r>
        <w:t>p</w:t>
      </w:r>
      <w:r w:rsidRPr="00E3227F">
        <w:t xml:space="preserve">reliminary </w:t>
      </w:r>
      <w:r>
        <w:t>o</w:t>
      </w:r>
      <w:r w:rsidRPr="00E3227F">
        <w:t xml:space="preserve">bjection based on legal insufficiency is referred to as a demurrer.  Preliminary </w:t>
      </w:r>
      <w:r>
        <w:t>o</w:t>
      </w:r>
      <w:r w:rsidRPr="00E3227F">
        <w:t xml:space="preserve">bjections in the form of a demurrer will be sustained only in cases which are free and clear of doubt and where dismissal is clearly warranted by the record.  </w:t>
      </w:r>
      <w:r w:rsidRPr="00E3227F">
        <w:rPr>
          <w:u w:val="single"/>
        </w:rPr>
        <w:t xml:space="preserve">Community Life Support Systems, Inc., </w:t>
      </w:r>
      <w:r w:rsidRPr="00E3227F">
        <w:rPr>
          <w:i/>
          <w:u w:val="single"/>
        </w:rPr>
        <w:t>et al</w:t>
      </w:r>
      <w:r w:rsidRPr="00E3227F">
        <w:rPr>
          <w:u w:val="single"/>
        </w:rPr>
        <w:t>. v. Commonwealth of Pennsylvania</w:t>
      </w:r>
      <w:r w:rsidRPr="00E3227F">
        <w:t xml:space="preserve">, 689 A.2d 1014, 1017 (Pa. </w:t>
      </w:r>
      <w:proofErr w:type="spellStart"/>
      <w:r w:rsidRPr="00E3227F">
        <w:t>Cmwlth</w:t>
      </w:r>
      <w:proofErr w:type="spellEnd"/>
      <w:r w:rsidRPr="00E3227F">
        <w:t xml:space="preserve">. 1997).  Any doubt must be resolved in favor of overruling a demurrer.  </w:t>
      </w:r>
      <w:r w:rsidRPr="00E3227F">
        <w:rPr>
          <w:u w:val="single"/>
        </w:rPr>
        <w:t>Id.</w:t>
      </w:r>
      <w:r w:rsidRPr="00E3227F">
        <w:t xml:space="preserve">; </w:t>
      </w:r>
      <w:r w:rsidRPr="00E3227F">
        <w:rPr>
          <w:i/>
        </w:rPr>
        <w:t>see also</w:t>
      </w:r>
      <w:r w:rsidRPr="00E3227F">
        <w:t xml:space="preserve">, </w:t>
      </w:r>
      <w:r w:rsidRPr="00E3227F">
        <w:rPr>
          <w:u w:val="single"/>
        </w:rPr>
        <w:t>Hoffman v. Misericordia Hospital of Philadelphia</w:t>
      </w:r>
      <w:r w:rsidRPr="00E3227F">
        <w:t>, 439 Pa. 501, 267 A.2d 867 (1970</w:t>
      </w:r>
      <w:r>
        <w:t xml:space="preserve">) </w:t>
      </w:r>
      <w:r w:rsidRPr="00E3227F">
        <w:t>(“the question presented by the demurrer is whether on the facts averred, the law states with certainty that no recovery is possible”).</w:t>
      </w:r>
    </w:p>
    <w:p w14:paraId="6F93A36E" w14:textId="77777777" w:rsidR="00E86857" w:rsidRDefault="00E86857" w:rsidP="00925D82">
      <w:pPr>
        <w:spacing w:line="360" w:lineRule="auto"/>
        <w:ind w:firstLine="1440"/>
      </w:pPr>
    </w:p>
    <w:p w14:paraId="3DC7F0A5" w14:textId="6E0A09DF" w:rsidR="0057417E" w:rsidRPr="009D7A60" w:rsidRDefault="0057417E" w:rsidP="00E86857">
      <w:pPr>
        <w:spacing w:line="360" w:lineRule="auto"/>
        <w:ind w:firstLine="1440"/>
      </w:pPr>
      <w:r>
        <w:t xml:space="preserve">Furthermore, with regard to smart meters in particular, </w:t>
      </w:r>
      <w:r w:rsidR="0020284C">
        <w:t xml:space="preserve">the Commission has previously held that “the law does not prohibit us from considering or holding a hearing on issues related to the safety of smart meters, consistent with our statutory authority in Section 1501 of the Code, when a legally sufficient claim is present.”  </w:t>
      </w:r>
      <w:r w:rsidR="009D7A60">
        <w:rPr>
          <w:i/>
          <w:iCs/>
        </w:rPr>
        <w:t>See</w:t>
      </w:r>
      <w:r w:rsidR="009D7A60">
        <w:t xml:space="preserve">, </w:t>
      </w:r>
      <w:r w:rsidR="009D7A60">
        <w:rPr>
          <w:u w:val="single"/>
        </w:rPr>
        <w:t>Susan Kreider v. PECO Energy Co.</w:t>
      </w:r>
      <w:r w:rsidR="009D7A60">
        <w:t>, Docket No. P-2015-2495064, Opinion and Order (entered Sept. 3, 2015)</w:t>
      </w:r>
      <w:r w:rsidR="00706A7F">
        <w:t xml:space="preserve"> (</w:t>
      </w:r>
      <w:r w:rsidR="00706A7F">
        <w:rPr>
          <w:u w:val="single"/>
        </w:rPr>
        <w:t>Kreider</w:t>
      </w:r>
      <w:r w:rsidR="00706A7F">
        <w:t>)</w:t>
      </w:r>
      <w:r w:rsidR="009D7A60">
        <w:t xml:space="preserve">, </w:t>
      </w:r>
      <w:r w:rsidR="009D7A60">
        <w:rPr>
          <w:i/>
          <w:iCs/>
        </w:rPr>
        <w:t>citing</w:t>
      </w:r>
      <w:r w:rsidR="009D7A60">
        <w:t xml:space="preserve">, 1 </w:t>
      </w:r>
      <w:proofErr w:type="spellStart"/>
      <w:r w:rsidR="009D7A60">
        <w:t>Pa.C.S</w:t>
      </w:r>
      <w:proofErr w:type="spellEnd"/>
      <w:r w:rsidR="009D7A60">
        <w:t>. § 1921 (every statute shall be construed to give effect to all of its provisions</w:t>
      </w:r>
      <w:r w:rsidR="00925D82">
        <w:t>)</w:t>
      </w:r>
      <w:r w:rsidR="00925D82" w:rsidRPr="00700B51">
        <w:t xml:space="preserve">; </w:t>
      </w:r>
      <w:r w:rsidR="00925D82" w:rsidRPr="00700B51">
        <w:rPr>
          <w:i/>
        </w:rPr>
        <w:t xml:space="preserve">see also </w:t>
      </w:r>
      <w:r w:rsidR="00925D82" w:rsidRPr="00700B51">
        <w:rPr>
          <w:iCs/>
          <w:u w:val="single"/>
        </w:rPr>
        <w:t>Romeo v. Pa. Pub. Util. Comm’n</w:t>
      </w:r>
      <w:r w:rsidR="00925D82" w:rsidRPr="00700B51">
        <w:t xml:space="preserve">, 154 A.3d 422, 429 (Pa. </w:t>
      </w:r>
      <w:proofErr w:type="spellStart"/>
      <w:r w:rsidR="00925D82" w:rsidRPr="00700B51">
        <w:t>Cmwlth</w:t>
      </w:r>
      <w:proofErr w:type="spellEnd"/>
      <w:r w:rsidR="00925D82" w:rsidRPr="00700B51">
        <w:t xml:space="preserve">. 2017) </w:t>
      </w:r>
      <w:r w:rsidR="00706A7F">
        <w:t>(</w:t>
      </w:r>
      <w:r w:rsidR="00706A7F">
        <w:rPr>
          <w:u w:val="single"/>
        </w:rPr>
        <w:t>Romeo</w:t>
      </w:r>
      <w:r w:rsidR="00706A7F">
        <w:t xml:space="preserve">) </w:t>
      </w:r>
      <w:r w:rsidR="00925D82" w:rsidRPr="00700B51">
        <w:t>(finding that the smart meter complainant should have a hearing to try to prove his claim through “the testimony of others as well as other evidence that goes to that issue.”</w:t>
      </w:r>
      <w:r w:rsidR="00E86857">
        <w:t>)</w:t>
      </w:r>
      <w:r w:rsidR="009D7A60">
        <w:t>.</w:t>
      </w:r>
    </w:p>
    <w:p w14:paraId="4A2EFAD1" w14:textId="77777777" w:rsidR="00B84A99" w:rsidRPr="003E428F" w:rsidRDefault="00B84A99" w:rsidP="00CB42AB">
      <w:pPr>
        <w:tabs>
          <w:tab w:val="left" w:pos="-720"/>
        </w:tabs>
        <w:suppressAutoHyphens/>
        <w:spacing w:line="360" w:lineRule="auto"/>
        <w:ind w:firstLine="1440"/>
      </w:pPr>
    </w:p>
    <w:p w14:paraId="577CD861" w14:textId="2BCEF9F5" w:rsidR="0057417E" w:rsidRDefault="00B84A99" w:rsidP="00206229">
      <w:pPr>
        <w:tabs>
          <w:tab w:val="left" w:pos="-720"/>
        </w:tabs>
        <w:suppressAutoHyphens/>
        <w:spacing w:line="360" w:lineRule="auto"/>
      </w:pPr>
      <w:r w:rsidRPr="003E428F">
        <w:tab/>
      </w:r>
      <w:r w:rsidRPr="003E428F">
        <w:tab/>
        <w:t>In this case</w:t>
      </w:r>
      <w:r w:rsidR="003D69E0" w:rsidRPr="003E428F">
        <w:t xml:space="preserve">, </w:t>
      </w:r>
      <w:r w:rsidR="003E428F">
        <w:t>the Platts averred</w:t>
      </w:r>
      <w:r w:rsidR="0057417E">
        <w:t xml:space="preserve"> </w:t>
      </w:r>
      <w:r w:rsidR="00A0231F">
        <w:t xml:space="preserve">in their complaint </w:t>
      </w:r>
      <w:r w:rsidR="0057417E">
        <w:t>that they would like to keep their analog meter at their home instead of receiving a smart meter.  Mrs. Platts averred that her husband is 63 years old and has an irregular heartbeat which is compounded by his electromagnetic sensitivity and that her daughter also has a sensory disorder affected by high pitched electrical humming sounds and pulsations.</w:t>
      </w:r>
    </w:p>
    <w:p w14:paraId="4B8507DB" w14:textId="498B2EE8" w:rsidR="00925D82" w:rsidRDefault="00925D82" w:rsidP="00206229">
      <w:pPr>
        <w:tabs>
          <w:tab w:val="left" w:pos="-720"/>
        </w:tabs>
        <w:suppressAutoHyphens/>
        <w:spacing w:line="360" w:lineRule="auto"/>
      </w:pPr>
    </w:p>
    <w:p w14:paraId="55BD62D3" w14:textId="5E6A6EB0" w:rsidR="007C07C4" w:rsidRDefault="00925D82" w:rsidP="00206229">
      <w:pPr>
        <w:tabs>
          <w:tab w:val="left" w:pos="-720"/>
        </w:tabs>
        <w:suppressAutoHyphens/>
        <w:spacing w:line="360" w:lineRule="auto"/>
      </w:pPr>
      <w:r>
        <w:tab/>
      </w:r>
      <w:r>
        <w:tab/>
        <w:t>Met-Ed’s preliminary objection will be denied because, when accepting as true all well pleaded material facts, as well as every reasonable inference from those facts, and viewing the complaint in the light most favorable to the Platts, it is not clear that the complaint is legally insufficient.</w:t>
      </w:r>
      <w:r w:rsidR="00A0231F">
        <w:t xml:space="preserve">  Rather, a hearing should be held regarding the safety of the smart meter consistent with the Commission’s statutory authority in Section 1501 of the Public Utility Code.</w:t>
      </w:r>
    </w:p>
    <w:p w14:paraId="5434A82E" w14:textId="77777777" w:rsidR="007C07C4" w:rsidRDefault="007C07C4" w:rsidP="00206229">
      <w:pPr>
        <w:tabs>
          <w:tab w:val="left" w:pos="-720"/>
        </w:tabs>
        <w:suppressAutoHyphens/>
        <w:spacing w:line="360" w:lineRule="auto"/>
      </w:pPr>
    </w:p>
    <w:p w14:paraId="0AC3D7F1" w14:textId="77777777" w:rsidR="00D15AF9" w:rsidRDefault="007C07C4" w:rsidP="00206229">
      <w:pPr>
        <w:tabs>
          <w:tab w:val="left" w:pos="-720"/>
        </w:tabs>
        <w:suppressAutoHyphens/>
        <w:spacing w:line="360" w:lineRule="auto"/>
      </w:pPr>
      <w:r>
        <w:tab/>
      </w:r>
      <w:r>
        <w:tab/>
        <w:t xml:space="preserve">The Platts specifically averred in their complaint that one resident at the service address has an irregular heartbeat which is compounded by electromagnetic hypersensitivity and another resident has a sensory disorder that is affect by high pitched electrical humming.  These averments, and every reasonable inference from them, must be accepted as true and are precisely the averments which the Commission in </w:t>
      </w:r>
      <w:r>
        <w:rPr>
          <w:u w:val="single"/>
        </w:rPr>
        <w:t>Kreider</w:t>
      </w:r>
      <w:r>
        <w:t xml:space="preserve"> and the Commonwealth Court in </w:t>
      </w:r>
      <w:r>
        <w:rPr>
          <w:u w:val="single"/>
        </w:rPr>
        <w:t>Romeo</w:t>
      </w:r>
      <w:r>
        <w:t xml:space="preserve"> stated should be heard at a hearing and not be dismissed on a preliminary basis.  </w:t>
      </w:r>
    </w:p>
    <w:p w14:paraId="2EF24756" w14:textId="77777777" w:rsidR="00D15AF9" w:rsidRDefault="00D15AF9" w:rsidP="00206229">
      <w:pPr>
        <w:tabs>
          <w:tab w:val="left" w:pos="-720"/>
        </w:tabs>
        <w:suppressAutoHyphens/>
        <w:spacing w:line="360" w:lineRule="auto"/>
      </w:pPr>
    </w:p>
    <w:p w14:paraId="59AA4132" w14:textId="77777777" w:rsidR="00706A7F" w:rsidRDefault="00D15AF9" w:rsidP="00206229">
      <w:pPr>
        <w:tabs>
          <w:tab w:val="left" w:pos="-720"/>
        </w:tabs>
        <w:suppressAutoHyphens/>
        <w:spacing w:line="360" w:lineRule="auto"/>
      </w:pPr>
      <w:r>
        <w:tab/>
      </w:r>
      <w:r>
        <w:tab/>
        <w:t xml:space="preserve">Met-Ed’s argument in its preliminary objection that the Platts have not made a specific factual averment regarding any health effects experienced after a smart meter has been installed but that the Platts are refusing the installation of a smart meter due to generic health conditions is without merit and will be rejected.  </w:t>
      </w:r>
      <w:r w:rsidR="00706A7F">
        <w:t xml:space="preserve">Met-Ed added that the matters plead in the formal complaint do not met the standards set in </w:t>
      </w:r>
      <w:r w:rsidR="00706A7F" w:rsidRPr="00706A7F">
        <w:rPr>
          <w:u w:val="single"/>
        </w:rPr>
        <w:t>Kreider</w:t>
      </w:r>
      <w:r w:rsidR="00706A7F">
        <w:t xml:space="preserve"> and other Commission cases such that this matter can survive dismissal on preliminary objections.  I respectfully disagree.</w:t>
      </w:r>
    </w:p>
    <w:p w14:paraId="0E1F798E" w14:textId="77777777" w:rsidR="00706A7F" w:rsidRDefault="00706A7F" w:rsidP="00206229">
      <w:pPr>
        <w:tabs>
          <w:tab w:val="left" w:pos="-720"/>
        </w:tabs>
        <w:suppressAutoHyphens/>
        <w:spacing w:line="360" w:lineRule="auto"/>
      </w:pPr>
    </w:p>
    <w:p w14:paraId="05C09CED" w14:textId="7D402F01" w:rsidR="00706A7F" w:rsidRDefault="00706A7F" w:rsidP="00206229">
      <w:pPr>
        <w:tabs>
          <w:tab w:val="left" w:pos="-720"/>
        </w:tabs>
        <w:suppressAutoHyphens/>
        <w:spacing w:line="360" w:lineRule="auto"/>
      </w:pPr>
      <w:r>
        <w:tab/>
      </w:r>
      <w:r>
        <w:tab/>
      </w:r>
      <w:r w:rsidR="00D15AF9" w:rsidRPr="00706A7F">
        <w:t>It</w:t>
      </w:r>
      <w:r w:rsidR="00D15AF9">
        <w:t xml:space="preserve"> is </w:t>
      </w:r>
      <w:proofErr w:type="gramStart"/>
      <w:r w:rsidR="00D15AF9">
        <w:t>sufficient</w:t>
      </w:r>
      <w:proofErr w:type="gramEnd"/>
      <w:r w:rsidR="00D15AF9">
        <w:t xml:space="preserve"> to deny Met-Ed’s preliminary objections and not dismiss the complaint based on a preliminary objection given the averments of an irregular heartbeat and disorders involving electromagnetic hypersensitivity.  </w:t>
      </w:r>
      <w:r>
        <w:t xml:space="preserve">As Met-Ed noted, in </w:t>
      </w:r>
      <w:r>
        <w:rPr>
          <w:u w:val="single"/>
        </w:rPr>
        <w:t>Kreider</w:t>
      </w:r>
      <w:r>
        <w:t>, the complainant alleged specific deleterious health effects after the installation of a smart meter affecting her specific medication condition.  In this case, the averments of an irregular heartbeat, electromagnetic hypersensitivity and a sensory disorder affected by high pitched electrical humming sounds are specific medica</w:t>
      </w:r>
      <w:r w:rsidR="00A0231F">
        <w:t>l</w:t>
      </w:r>
      <w:r>
        <w:t xml:space="preserve"> conditions that warrant denying Met-Ed’s preliminary objections and allowing the complaint to move forward to a hearing.  Furthermore, the other cases cited by Met-Ed in its preliminary objection </w:t>
      </w:r>
      <w:r w:rsidR="00A0231F">
        <w:t xml:space="preserve">are not </w:t>
      </w:r>
      <w:r>
        <w:t>sufficiently similar to the facts of this case to warrant granting the preliminary objections and dismissing the complaint on a preliminary basis.</w:t>
      </w:r>
    </w:p>
    <w:p w14:paraId="3F2330FB" w14:textId="77777777" w:rsidR="00706A7F" w:rsidRDefault="00706A7F" w:rsidP="00206229">
      <w:pPr>
        <w:tabs>
          <w:tab w:val="left" w:pos="-720"/>
        </w:tabs>
        <w:suppressAutoHyphens/>
        <w:spacing w:line="360" w:lineRule="auto"/>
      </w:pPr>
    </w:p>
    <w:p w14:paraId="67AD8739" w14:textId="389EA40B" w:rsidR="00197BC0" w:rsidRPr="00E47B68" w:rsidRDefault="00D15AF9" w:rsidP="00197BC0">
      <w:pPr>
        <w:widowControl w:val="0"/>
        <w:adjustRightInd w:val="0"/>
        <w:spacing w:line="360" w:lineRule="auto"/>
        <w:ind w:firstLine="1440"/>
        <w:rPr>
          <w:color w:val="000000"/>
        </w:rPr>
      </w:pPr>
      <w:r>
        <w:t xml:space="preserve">Finally, </w:t>
      </w:r>
      <w:r w:rsidR="00197BC0">
        <w:t xml:space="preserve">Met-Ed’s preliminary objection will also be denied because the Platts are appearing pro se.  </w:t>
      </w:r>
      <w:r w:rsidR="00197BC0">
        <w:rPr>
          <w:rFonts w:eastAsiaTheme="minorEastAsia"/>
        </w:rPr>
        <w:t>I</w:t>
      </w:r>
      <w:r w:rsidR="00197BC0" w:rsidRPr="00E47B68">
        <w:rPr>
          <w:color w:val="000000"/>
        </w:rPr>
        <w:t xml:space="preserve">n </w:t>
      </w:r>
      <w:r w:rsidR="00197BC0" w:rsidRPr="00E47B68">
        <w:rPr>
          <w:color w:val="000000"/>
          <w:u w:val="single"/>
        </w:rPr>
        <w:t>Richard Carlock v. The United Telephone Company of Pennsylvania</w:t>
      </w:r>
      <w:r w:rsidR="00197BC0" w:rsidRPr="00E47B68">
        <w:rPr>
          <w:color w:val="000000"/>
        </w:rPr>
        <w:t>, Docket No. F-00163617 (Order entered July 14, 1993) (</w:t>
      </w:r>
      <w:r w:rsidR="00197BC0" w:rsidRPr="00E47B68">
        <w:rPr>
          <w:color w:val="000000"/>
          <w:u w:val="single"/>
        </w:rPr>
        <w:t>Carlock</w:t>
      </w:r>
      <w:r w:rsidR="00197BC0" w:rsidRPr="00E47B68">
        <w:rPr>
          <w:color w:val="000000"/>
        </w:rPr>
        <w:t xml:space="preserve">), the Commission determined that unrepresented complainants should have an opportunity to be heard orally, and not have their case dismissed </w:t>
      </w:r>
      <w:proofErr w:type="gramStart"/>
      <w:r w:rsidR="00197BC0" w:rsidRPr="00E47B68">
        <w:rPr>
          <w:color w:val="000000"/>
        </w:rPr>
        <w:t>on the basis of</w:t>
      </w:r>
      <w:proofErr w:type="gramEnd"/>
      <w:r w:rsidR="00197BC0" w:rsidRPr="00E47B68">
        <w:rPr>
          <w:color w:val="000000"/>
        </w:rPr>
        <w:t xml:space="preserve"> a preliminary pleading.  </w:t>
      </w:r>
      <w:r w:rsidR="00197BC0" w:rsidRPr="00E47B68">
        <w:rPr>
          <w:color w:val="000000"/>
          <w:u w:val="single"/>
        </w:rPr>
        <w:t>Id.</w:t>
      </w:r>
      <w:r w:rsidR="00197BC0" w:rsidRPr="00E47B68">
        <w:rPr>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00197BC0" w:rsidRPr="00E47B68">
        <w:rPr>
          <w:i/>
          <w:color w:val="000000"/>
        </w:rPr>
        <w:t>citing</w:t>
      </w:r>
      <w:r w:rsidR="00197BC0" w:rsidRPr="00E47B68">
        <w:rPr>
          <w:color w:val="000000"/>
        </w:rPr>
        <w:t xml:space="preserve">, </w:t>
      </w:r>
      <w:r w:rsidR="00197BC0" w:rsidRPr="00E47B68">
        <w:rPr>
          <w:color w:val="000000"/>
          <w:u w:val="single"/>
        </w:rPr>
        <w:t>Halpern v. The Bell Telephone Company of Pennsylvania</w:t>
      </w:r>
      <w:r w:rsidR="00197BC0" w:rsidRPr="00E47B68">
        <w:rPr>
          <w:color w:val="000000"/>
        </w:rPr>
        <w:t xml:space="preserve">, Docket No. C-00923950 (Order entered October 1992) and </w:t>
      </w:r>
      <w:r w:rsidR="00197BC0" w:rsidRPr="00E47B68">
        <w:rPr>
          <w:color w:val="000000"/>
          <w:u w:val="single"/>
        </w:rPr>
        <w:t xml:space="preserve">William </w:t>
      </w:r>
      <w:proofErr w:type="spellStart"/>
      <w:r w:rsidR="00197BC0" w:rsidRPr="00E47B68">
        <w:rPr>
          <w:color w:val="000000"/>
          <w:u w:val="single"/>
        </w:rPr>
        <w:t>Schleisher</w:t>
      </w:r>
      <w:proofErr w:type="spellEnd"/>
      <w:r w:rsidR="00197BC0" w:rsidRPr="00E47B68">
        <w:rPr>
          <w:color w:val="000000"/>
          <w:u w:val="single"/>
        </w:rPr>
        <w:t xml:space="preserve"> v. The Bell Telephone Company of Pennsylvania</w:t>
      </w:r>
      <w:r w:rsidR="00197BC0" w:rsidRPr="00E47B68">
        <w:rPr>
          <w:color w:val="000000"/>
        </w:rPr>
        <w:t xml:space="preserve">, Docket No. F-00161252 (Order entered December 17, 1992); </w:t>
      </w:r>
      <w:r w:rsidR="00197BC0" w:rsidRPr="00E47B68">
        <w:rPr>
          <w:i/>
          <w:color w:val="000000"/>
        </w:rPr>
        <w:t>see also</w:t>
      </w:r>
      <w:r w:rsidR="00197BC0" w:rsidRPr="00E47B68">
        <w:rPr>
          <w:color w:val="000000"/>
        </w:rPr>
        <w:t xml:space="preserve">, </w:t>
      </w:r>
      <w:r w:rsidR="00197BC0" w:rsidRPr="00E47B68">
        <w:rPr>
          <w:color w:val="000000"/>
          <w:u w:val="single"/>
        </w:rPr>
        <w:t>John M. Gera v. PPL Electric Utilities Corporation</w:t>
      </w:r>
      <w:r w:rsidR="00197BC0" w:rsidRPr="00E47B68">
        <w:rPr>
          <w:color w:val="000000"/>
        </w:rPr>
        <w:t>, Docket No. C-20054657 (Opinion and Order entered November 2, 2005).</w:t>
      </w:r>
      <w:r w:rsidR="00197BC0" w:rsidRPr="00E47B68">
        <w:rPr>
          <w:color w:val="000000"/>
          <w:vertAlign w:val="superscript"/>
        </w:rPr>
        <w:footnoteReference w:id="1"/>
      </w:r>
      <w:r w:rsidR="00197BC0" w:rsidRPr="00E47B68">
        <w:rPr>
          <w:color w:val="000000"/>
        </w:rPr>
        <w:t xml:space="preserve">  </w:t>
      </w:r>
    </w:p>
    <w:p w14:paraId="3229EBF4" w14:textId="77777777" w:rsidR="00D15AF9" w:rsidRDefault="00D15AF9" w:rsidP="007C07C4">
      <w:pPr>
        <w:widowControl w:val="0"/>
        <w:adjustRightInd w:val="0"/>
        <w:spacing w:line="360" w:lineRule="auto"/>
        <w:ind w:firstLine="1440"/>
      </w:pPr>
    </w:p>
    <w:p w14:paraId="32BC7EDD" w14:textId="21FE41AA" w:rsidR="00953B2D" w:rsidRPr="007C07C4" w:rsidRDefault="007C07C4" w:rsidP="007C07C4">
      <w:pPr>
        <w:widowControl w:val="0"/>
        <w:adjustRightInd w:val="0"/>
        <w:spacing w:line="360" w:lineRule="auto"/>
        <w:ind w:firstLine="1440"/>
      </w:pPr>
      <w:r>
        <w:t xml:space="preserve">As a result, </w:t>
      </w:r>
      <w:r w:rsidR="00E86857" w:rsidRPr="007C07C4">
        <w:t xml:space="preserve">Met-Ed’s </w:t>
      </w:r>
      <w:r w:rsidR="002B2AE5" w:rsidRPr="007C07C4">
        <w:t xml:space="preserve">preliminary objection will be </w:t>
      </w:r>
      <w:r w:rsidR="00E86857" w:rsidRPr="007C07C4">
        <w:t>denied</w:t>
      </w:r>
      <w:r w:rsidR="002B2AE5" w:rsidRPr="007C07C4">
        <w:t xml:space="preserve">.  </w:t>
      </w:r>
      <w:r w:rsidR="002B2AE5" w:rsidRPr="007C07C4">
        <w:rPr>
          <w:rFonts w:eastAsiaTheme="minorEastAsia"/>
        </w:rPr>
        <w:t xml:space="preserve">When accepting as true all well pleaded material facts in the complaint, as well as every reasonable inference from those facts, and viewing the complaint in this case in the light most favorable to </w:t>
      </w:r>
      <w:r w:rsidR="00E86857" w:rsidRPr="007C07C4">
        <w:t>the Platts</w:t>
      </w:r>
      <w:r w:rsidR="002B2AE5" w:rsidRPr="007C07C4">
        <w:rPr>
          <w:rFonts w:eastAsiaTheme="minorEastAsia"/>
        </w:rPr>
        <w:t xml:space="preserve">, it is </w:t>
      </w:r>
      <w:r w:rsidR="00E86857" w:rsidRPr="007C07C4">
        <w:rPr>
          <w:rFonts w:eastAsiaTheme="minorEastAsia"/>
        </w:rPr>
        <w:t xml:space="preserve">not </w:t>
      </w:r>
      <w:r w:rsidR="002B2AE5" w:rsidRPr="007C07C4">
        <w:rPr>
          <w:rFonts w:eastAsiaTheme="minorEastAsia"/>
        </w:rPr>
        <w:t xml:space="preserve">clear that </w:t>
      </w:r>
      <w:r w:rsidR="00E86857" w:rsidRPr="007C07C4">
        <w:t xml:space="preserve">the </w:t>
      </w:r>
      <w:proofErr w:type="spellStart"/>
      <w:r w:rsidR="00E86857" w:rsidRPr="007C07C4">
        <w:t>Platts</w:t>
      </w:r>
      <w:r w:rsidRPr="007C07C4">
        <w:t>’s</w:t>
      </w:r>
      <w:proofErr w:type="spellEnd"/>
      <w:r w:rsidRPr="007C07C4">
        <w:t xml:space="preserve"> complaint is legally insufficient.  </w:t>
      </w:r>
      <w:r w:rsidR="00C77AEA" w:rsidRPr="007C07C4">
        <w:t xml:space="preserve">The complaint filed by </w:t>
      </w:r>
      <w:r w:rsidRPr="007C07C4">
        <w:t xml:space="preserve">the Platts </w:t>
      </w:r>
      <w:r w:rsidR="00C77AEA" w:rsidRPr="007C07C4">
        <w:t>will proceed to a hearing</w:t>
      </w:r>
      <w:r w:rsidRPr="007C07C4">
        <w:t xml:space="preserve">.  The Platts </w:t>
      </w:r>
      <w:r w:rsidR="00C77AEA" w:rsidRPr="007C07C4">
        <w:t xml:space="preserve">are </w:t>
      </w:r>
      <w:r w:rsidR="008A014D" w:rsidRPr="007C07C4">
        <w:t xml:space="preserve">advised, however, that to sustain </w:t>
      </w:r>
      <w:r w:rsidR="00C77AEA" w:rsidRPr="007C07C4">
        <w:t>their</w:t>
      </w:r>
      <w:r w:rsidR="003157E6" w:rsidRPr="007C07C4">
        <w:t xml:space="preserve"> </w:t>
      </w:r>
      <w:r w:rsidR="008A014D" w:rsidRPr="007C07C4">
        <w:t>burden of proof</w:t>
      </w:r>
      <w:r w:rsidR="007A6F35" w:rsidRPr="007C07C4">
        <w:t xml:space="preserve"> at hearing</w:t>
      </w:r>
      <w:r w:rsidR="008A014D" w:rsidRPr="007C07C4">
        <w:t>,</w:t>
      </w:r>
      <w:r w:rsidR="00CA31F1" w:rsidRPr="007C07C4">
        <w:t xml:space="preserve"> </w:t>
      </w:r>
      <w:r w:rsidR="00C77AEA" w:rsidRPr="007C07C4">
        <w:t>they</w:t>
      </w:r>
      <w:r w:rsidR="001768E3" w:rsidRPr="007C07C4">
        <w:t xml:space="preserve"> </w:t>
      </w:r>
      <w:r w:rsidR="008A014D" w:rsidRPr="007C07C4">
        <w:t xml:space="preserve">must demonstrate by a preponderance of the evidence that </w:t>
      </w:r>
      <w:r w:rsidRPr="007C07C4">
        <w:t xml:space="preserve">Met-Ed </w:t>
      </w:r>
      <w:r w:rsidR="008A014D" w:rsidRPr="007C07C4">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Pr="007C07C4">
        <w:t xml:space="preserve">Met-Ed’s </w:t>
      </w:r>
      <w:r w:rsidR="008A014D" w:rsidRPr="007C07C4">
        <w:t xml:space="preserve">preliminary objection. </w:t>
      </w:r>
    </w:p>
    <w:p w14:paraId="1C0F925E" w14:textId="3CA7F8C4" w:rsidR="004617D2" w:rsidRDefault="004617D2">
      <w:pPr>
        <w:autoSpaceDE/>
        <w:autoSpaceDN/>
        <w:rPr>
          <w:strike/>
        </w:rPr>
      </w:pPr>
    </w:p>
    <w:p w14:paraId="6A97CAFE" w14:textId="3DB63C4D" w:rsidR="00AA5A3B" w:rsidRDefault="00FA0DC0" w:rsidP="00FA0DC0">
      <w:pPr>
        <w:spacing w:line="360" w:lineRule="auto"/>
        <w:jc w:val="center"/>
        <w:rPr>
          <w:u w:val="single"/>
        </w:rPr>
      </w:pPr>
      <w:r w:rsidRPr="00043A6B">
        <w:rPr>
          <w:u w:val="single"/>
        </w:rPr>
        <w:t>ORDER</w:t>
      </w:r>
    </w:p>
    <w:p w14:paraId="13341F41" w14:textId="77777777" w:rsidR="00B8214D" w:rsidRPr="00043A6B" w:rsidRDefault="00B8214D" w:rsidP="00FA0DC0">
      <w:pPr>
        <w:spacing w:line="360" w:lineRule="auto"/>
        <w:jc w:val="center"/>
      </w:pPr>
    </w:p>
    <w:p w14:paraId="5C5363DD" w14:textId="77777777" w:rsidR="002A5872" w:rsidRPr="00043A6B" w:rsidRDefault="002A5872" w:rsidP="002A5872">
      <w:pPr>
        <w:spacing w:line="360" w:lineRule="auto"/>
      </w:pPr>
    </w:p>
    <w:p w14:paraId="062AFD37" w14:textId="77777777" w:rsidR="006D33B5" w:rsidRPr="00043A6B" w:rsidRDefault="006D33B5" w:rsidP="002A5872">
      <w:pPr>
        <w:spacing w:line="360" w:lineRule="auto"/>
        <w:ind w:firstLine="1440"/>
        <w:rPr>
          <w:bCs/>
        </w:rPr>
      </w:pPr>
      <w:r w:rsidRPr="00043A6B">
        <w:rPr>
          <w:bCs/>
        </w:rPr>
        <w:t>THEREFORE,</w:t>
      </w:r>
    </w:p>
    <w:p w14:paraId="3A40D7FC" w14:textId="77777777" w:rsidR="006D33B5" w:rsidRPr="00043A6B" w:rsidRDefault="006D33B5" w:rsidP="002A5872">
      <w:pPr>
        <w:spacing w:line="360" w:lineRule="auto"/>
        <w:ind w:firstLine="1440"/>
      </w:pPr>
    </w:p>
    <w:p w14:paraId="64AAB071" w14:textId="77777777" w:rsidR="0013770C" w:rsidRPr="00043A6B" w:rsidRDefault="006D33B5" w:rsidP="002A5872">
      <w:pPr>
        <w:spacing w:line="360" w:lineRule="auto"/>
        <w:ind w:firstLine="1440"/>
        <w:rPr>
          <w:bCs/>
        </w:rPr>
      </w:pPr>
      <w:r w:rsidRPr="00043A6B">
        <w:rPr>
          <w:bCs/>
        </w:rPr>
        <w:t>IT IS ORDERED:</w:t>
      </w:r>
    </w:p>
    <w:p w14:paraId="033FCD59" w14:textId="77777777" w:rsidR="0013770C" w:rsidRPr="00043A6B" w:rsidRDefault="0013770C" w:rsidP="002A5872">
      <w:pPr>
        <w:spacing w:line="360" w:lineRule="auto"/>
        <w:ind w:firstLine="1440"/>
        <w:rPr>
          <w:bCs/>
        </w:rPr>
      </w:pPr>
    </w:p>
    <w:p w14:paraId="41B59132" w14:textId="3A388A25" w:rsidR="000E133E" w:rsidRPr="00043A6B" w:rsidRDefault="009011DC" w:rsidP="002A5872">
      <w:pPr>
        <w:numPr>
          <w:ilvl w:val="0"/>
          <w:numId w:val="24"/>
        </w:numPr>
        <w:tabs>
          <w:tab w:val="left" w:pos="-720"/>
        </w:tabs>
        <w:suppressAutoHyphens/>
        <w:autoSpaceDE/>
        <w:autoSpaceDN/>
        <w:spacing w:line="360" w:lineRule="auto"/>
        <w:ind w:left="0" w:firstLine="1440"/>
        <w:rPr>
          <w:spacing w:val="-3"/>
        </w:rPr>
      </w:pPr>
      <w:r w:rsidRPr="00043A6B">
        <w:rPr>
          <w:spacing w:val="-3"/>
        </w:rPr>
        <w:t xml:space="preserve">That the </w:t>
      </w:r>
      <w:r w:rsidR="007F3BA0" w:rsidRPr="00043A6B">
        <w:rPr>
          <w:spacing w:val="-3"/>
        </w:rPr>
        <w:t>p</w:t>
      </w:r>
      <w:r w:rsidR="006B0E4F" w:rsidRPr="00043A6B">
        <w:rPr>
          <w:spacing w:val="-3"/>
        </w:rPr>
        <w:t xml:space="preserve">reliminary </w:t>
      </w:r>
      <w:r w:rsidR="007F3BA0" w:rsidRPr="00043A6B">
        <w:rPr>
          <w:spacing w:val="-3"/>
        </w:rPr>
        <w:t>o</w:t>
      </w:r>
      <w:r w:rsidR="006B0E4F" w:rsidRPr="00043A6B">
        <w:rPr>
          <w:spacing w:val="-3"/>
        </w:rPr>
        <w:t>bjection</w:t>
      </w:r>
      <w:r w:rsidR="007F3BA0" w:rsidRPr="00043A6B">
        <w:rPr>
          <w:spacing w:val="-3"/>
        </w:rPr>
        <w:t xml:space="preserve"> </w:t>
      </w:r>
      <w:r w:rsidR="006B0E4F" w:rsidRPr="00043A6B">
        <w:rPr>
          <w:spacing w:val="-3"/>
        </w:rPr>
        <w:t xml:space="preserve">filed by </w:t>
      </w:r>
      <w:r w:rsidR="00043A6B">
        <w:rPr>
          <w:spacing w:val="-3"/>
        </w:rPr>
        <w:t xml:space="preserve">Metropolitan Edison Company </w:t>
      </w:r>
      <w:r w:rsidR="002D1CF2" w:rsidRPr="00043A6B">
        <w:rPr>
          <w:spacing w:val="-3"/>
        </w:rPr>
        <w:t xml:space="preserve">at Docket Number </w:t>
      </w:r>
      <w:bookmarkStart w:id="0" w:name="_Hlk23429771"/>
      <w:r w:rsidR="002D1CF2" w:rsidRPr="00043A6B">
        <w:rPr>
          <w:spacing w:val="-3"/>
        </w:rPr>
        <w:t>C-201</w:t>
      </w:r>
      <w:r w:rsidR="00647D4B" w:rsidRPr="00043A6B">
        <w:rPr>
          <w:spacing w:val="-3"/>
        </w:rPr>
        <w:t>9-</w:t>
      </w:r>
      <w:bookmarkEnd w:id="0"/>
      <w:r w:rsidR="00043A6B">
        <w:rPr>
          <w:spacing w:val="-3"/>
        </w:rPr>
        <w:t xml:space="preserve">3013745 </w:t>
      </w:r>
      <w:r w:rsidR="002D1CF2" w:rsidRPr="00043A6B">
        <w:rPr>
          <w:spacing w:val="-3"/>
        </w:rPr>
        <w:t xml:space="preserve">on </w:t>
      </w:r>
      <w:r w:rsidR="00043A6B">
        <w:rPr>
          <w:spacing w:val="-3"/>
        </w:rPr>
        <w:t>November 12</w:t>
      </w:r>
      <w:r w:rsidR="00647D4B" w:rsidRPr="00043A6B">
        <w:rPr>
          <w:spacing w:val="-3"/>
        </w:rPr>
        <w:t xml:space="preserve">, 2019 </w:t>
      </w:r>
      <w:r w:rsidR="007F3BA0" w:rsidRPr="00043A6B">
        <w:rPr>
          <w:bCs/>
          <w:color w:val="000000"/>
        </w:rPr>
        <w:t xml:space="preserve">is </w:t>
      </w:r>
      <w:r w:rsidRPr="00043A6B">
        <w:rPr>
          <w:spacing w:val="-3"/>
        </w:rPr>
        <w:t xml:space="preserve">hereby </w:t>
      </w:r>
      <w:r w:rsidR="00043A6B">
        <w:rPr>
          <w:spacing w:val="-3"/>
        </w:rPr>
        <w:t>denied</w:t>
      </w:r>
      <w:r w:rsidRPr="00043A6B">
        <w:rPr>
          <w:spacing w:val="-3"/>
        </w:rPr>
        <w:t>.</w:t>
      </w:r>
    </w:p>
    <w:p w14:paraId="6D8FF80A" w14:textId="77777777" w:rsidR="00E96506" w:rsidRPr="00043A6B" w:rsidRDefault="00E96506" w:rsidP="002A5872">
      <w:pPr>
        <w:tabs>
          <w:tab w:val="left" w:pos="-720"/>
        </w:tabs>
        <w:suppressAutoHyphens/>
        <w:autoSpaceDE/>
        <w:autoSpaceDN/>
        <w:spacing w:line="360" w:lineRule="auto"/>
        <w:rPr>
          <w:spacing w:val="-3"/>
        </w:rPr>
      </w:pPr>
    </w:p>
    <w:p w14:paraId="2D97E5FA" w14:textId="7925D1F4" w:rsidR="00860410" w:rsidRPr="00043A6B" w:rsidRDefault="00885F34" w:rsidP="00100499">
      <w:pPr>
        <w:numPr>
          <w:ilvl w:val="0"/>
          <w:numId w:val="24"/>
        </w:numPr>
        <w:tabs>
          <w:tab w:val="left" w:pos="-720"/>
        </w:tabs>
        <w:suppressAutoHyphens/>
        <w:autoSpaceDE/>
        <w:autoSpaceDN/>
        <w:spacing w:after="200" w:line="360" w:lineRule="auto"/>
        <w:ind w:left="0" w:firstLine="1440"/>
        <w:rPr>
          <w:spacing w:val="-3"/>
        </w:rPr>
      </w:pPr>
      <w:r w:rsidRPr="00043A6B">
        <w:rPr>
          <w:spacing w:val="-3"/>
        </w:rPr>
        <w:t xml:space="preserve">That the </w:t>
      </w:r>
      <w:r w:rsidR="00043A6B">
        <w:rPr>
          <w:spacing w:val="-3"/>
        </w:rPr>
        <w:t xml:space="preserve">formal complaint </w:t>
      </w:r>
      <w:r w:rsidR="004617D2" w:rsidRPr="00043A6B">
        <w:rPr>
          <w:spacing w:val="-3"/>
        </w:rPr>
        <w:t xml:space="preserve">filed by </w:t>
      </w:r>
      <w:r w:rsidR="00043A6B">
        <w:rPr>
          <w:spacing w:val="-3"/>
        </w:rPr>
        <w:t xml:space="preserve">Deborah </w:t>
      </w:r>
      <w:proofErr w:type="spellStart"/>
      <w:r w:rsidR="00043A6B">
        <w:rPr>
          <w:spacing w:val="-3"/>
        </w:rPr>
        <w:t>Engisch</w:t>
      </w:r>
      <w:proofErr w:type="spellEnd"/>
      <w:r w:rsidR="00043A6B">
        <w:rPr>
          <w:spacing w:val="-3"/>
        </w:rPr>
        <w:t xml:space="preserve">-Platt and Kim Platt </w:t>
      </w:r>
      <w:r w:rsidR="004617D2" w:rsidRPr="00043A6B">
        <w:rPr>
          <w:spacing w:val="-3"/>
        </w:rPr>
        <w:t>at Docket Number C-2019-</w:t>
      </w:r>
      <w:r w:rsidR="00043A6B">
        <w:rPr>
          <w:spacing w:val="-3"/>
        </w:rPr>
        <w:t xml:space="preserve">3013745 shall </w:t>
      </w:r>
      <w:r w:rsidR="00647D4B" w:rsidRPr="00043A6B">
        <w:rPr>
          <w:spacing w:val="-3"/>
        </w:rPr>
        <w:t>proceed to a hearing.</w:t>
      </w:r>
    </w:p>
    <w:p w14:paraId="375E6F14" w14:textId="2DD46C59" w:rsidR="004E2E6A" w:rsidRPr="00043A6B" w:rsidRDefault="004E2E6A" w:rsidP="00897507"/>
    <w:p w14:paraId="494D4E93" w14:textId="77777777" w:rsidR="004617D2" w:rsidRPr="00C77AEA" w:rsidRDefault="004617D2" w:rsidP="00897507"/>
    <w:p w14:paraId="3CD82224" w14:textId="77777777" w:rsidR="00953B2D" w:rsidRDefault="00953B2D" w:rsidP="00897507"/>
    <w:p w14:paraId="4AA28AAE" w14:textId="13E5144F" w:rsidR="00897507" w:rsidRPr="00EE5548" w:rsidRDefault="00444E27" w:rsidP="00897507">
      <w:pPr>
        <w:rPr>
          <w:u w:val="single"/>
        </w:rPr>
      </w:pPr>
      <w:r w:rsidRPr="00EE5548">
        <w:t xml:space="preserve">Date: </w:t>
      </w:r>
      <w:r w:rsidR="00921FD5">
        <w:rPr>
          <w:u w:val="single"/>
        </w:rPr>
        <w:t xml:space="preserve">January </w:t>
      </w:r>
      <w:r w:rsidR="005879F7">
        <w:rPr>
          <w:u w:val="single"/>
        </w:rPr>
        <w:t>7</w:t>
      </w:r>
      <w:r w:rsidR="00921FD5">
        <w:rPr>
          <w:u w:val="single"/>
        </w:rPr>
        <w:t>, 2020</w:t>
      </w:r>
      <w:r w:rsidRPr="00EE5548">
        <w:tab/>
      </w:r>
      <w:r w:rsidR="005879F7">
        <w:tab/>
      </w:r>
      <w:r w:rsidR="00CD604F" w:rsidRPr="00EE5548">
        <w:tab/>
      </w:r>
      <w:r w:rsidR="0088736A">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77777777"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2545F" w:rsidRPr="00EE5548">
        <w:t xml:space="preserve">Joel H. Cheskis </w:t>
      </w:r>
    </w:p>
    <w:p w14:paraId="6EBFE1C2" w14:textId="77777777" w:rsidR="00B8214D" w:rsidRDefault="00444E27" w:rsidP="00444E27">
      <w:pPr>
        <w:sectPr w:rsidR="00B8214D" w:rsidSect="00F277CF">
          <w:footerReference w:type="default" r:id="rId8"/>
          <w:pgSz w:w="12240" w:h="15840"/>
          <w:pgMar w:top="1440" w:right="1440" w:bottom="1440" w:left="1440" w:header="720" w:footer="720" w:gutter="0"/>
          <w:cols w:space="720"/>
          <w:titlePg/>
          <w:docGrid w:linePitch="360"/>
        </w:sectPr>
      </w:pPr>
      <w:r w:rsidRPr="00EE5548">
        <w:tab/>
      </w:r>
      <w:r w:rsidRPr="00EE5548">
        <w:tab/>
      </w:r>
      <w:r w:rsidRPr="00EE5548">
        <w:tab/>
      </w:r>
      <w:r w:rsidRPr="00EE5548">
        <w:tab/>
      </w:r>
      <w:r w:rsidRPr="00EE5548">
        <w:tab/>
      </w:r>
      <w:r w:rsidR="002A5872" w:rsidRPr="00EE5548">
        <w:tab/>
      </w:r>
      <w:r w:rsidR="00AD5D5B" w:rsidRPr="00EE5548">
        <w:tab/>
      </w:r>
      <w:r w:rsidR="00C37E81">
        <w:t xml:space="preserve">Deputy Chief </w:t>
      </w:r>
      <w:r w:rsidR="00F07C2D" w:rsidRPr="00EE5548">
        <w:t>Administrative Law Judge</w:t>
      </w:r>
    </w:p>
    <w:p w14:paraId="643E3918" w14:textId="77777777" w:rsidR="00B8214D" w:rsidRDefault="00B8214D" w:rsidP="00B8214D">
      <w:r>
        <w:rPr>
          <w:rFonts w:ascii="Microsoft Sans Serif" w:eastAsia="Microsoft Sans Serif" w:hAnsi="Microsoft Sans Serif" w:cs="Microsoft Sans Serif"/>
          <w:b/>
          <w:u w:val="single"/>
        </w:rPr>
        <w:t>C-2019-3013745 - DEBORAH &amp; KIM PLATT V. METROPOLITAN EDISON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1" w:name="_Hlk29371091"/>
      <w:bookmarkStart w:id="2" w:name="_GoBack"/>
      <w:r>
        <w:rPr>
          <w:rFonts w:ascii="Microsoft Sans Serif" w:eastAsia="Microsoft Sans Serif" w:hAnsi="Microsoft Sans Serif" w:cs="Microsoft Sans Serif"/>
        </w:rPr>
        <w:t>DEBORAH &amp; KIM PLATT</w:t>
      </w:r>
      <w:r>
        <w:rPr>
          <w:rFonts w:ascii="Microsoft Sans Serif" w:eastAsia="Microsoft Sans Serif" w:hAnsi="Microsoft Sans Serif" w:cs="Microsoft Sans Serif"/>
        </w:rPr>
        <w:cr/>
        <w:t>PO BOX 175</w:t>
      </w:r>
      <w:r>
        <w:rPr>
          <w:rFonts w:ascii="Microsoft Sans Serif" w:eastAsia="Microsoft Sans Serif" w:hAnsi="Microsoft Sans Serif" w:cs="Microsoft Sans Serif"/>
        </w:rPr>
        <w:cr/>
        <w:t>POINT PLEASANT PA  18950</w:t>
      </w:r>
      <w:bookmarkEnd w:id="1"/>
      <w:bookmarkEnd w:id="2"/>
      <w:r>
        <w:rPr>
          <w:rFonts w:ascii="Microsoft Sans Serif" w:eastAsia="Microsoft Sans Serif" w:hAnsi="Microsoft Sans Serif" w:cs="Microsoft Sans Serif"/>
        </w:rPr>
        <w:cr/>
      </w:r>
      <w:r w:rsidRPr="00026505">
        <w:rPr>
          <w:rFonts w:ascii="Microsoft Sans Serif" w:eastAsia="Microsoft Sans Serif" w:hAnsi="Microsoft Sans Serif" w:cs="Microsoft Sans Serif"/>
          <w:b/>
          <w:bCs/>
        </w:rPr>
        <w:t>215.297.8899</w:t>
      </w:r>
      <w:r w:rsidRPr="00026505">
        <w:rPr>
          <w:rFonts w:ascii="Microsoft Sans Serif" w:eastAsia="Microsoft Sans Serif" w:hAnsi="Microsoft Sans Serif" w:cs="Microsoft Sans Serif"/>
          <w:b/>
          <w:bCs/>
        </w:rPr>
        <w:cr/>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FIRSTENERGY SERVICES CO</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026505">
        <w:rPr>
          <w:rFonts w:ascii="Microsoft Sans Serif" w:eastAsia="Microsoft Sans Serif" w:hAnsi="Microsoft Sans Serif" w:cs="Microsoft Sans Serif"/>
          <w:b/>
          <w:bCs/>
        </w:rPr>
        <w:t>610.921.6203</w:t>
      </w:r>
      <w:r w:rsidRPr="00026505">
        <w:rPr>
          <w:rFonts w:ascii="Microsoft Sans Serif" w:eastAsia="Microsoft Sans Serif" w:hAnsi="Microsoft Sans Serif" w:cs="Microsoft Sans Serif"/>
          <w:b/>
          <w:bCs/>
        </w:rPr>
        <w:br/>
      </w:r>
      <w:r w:rsidRPr="00026505">
        <w:rPr>
          <w:rFonts w:ascii="Microsoft Sans Serif" w:eastAsia="Microsoft Sans Serif" w:hAnsi="Microsoft Sans Serif" w:cs="Microsoft Sans Serif"/>
          <w:b/>
          <w:bCs/>
          <w:i/>
          <w:iCs/>
          <w:u w:val="single"/>
        </w:rPr>
        <w:t>ACCEPTS E-SERVICE</w:t>
      </w:r>
      <w:r w:rsidRPr="00026505">
        <w:rPr>
          <w:rFonts w:ascii="Microsoft Sans Serif" w:eastAsia="Microsoft Sans Serif" w:hAnsi="Microsoft Sans Serif" w:cs="Microsoft Sans Serif"/>
          <w:b/>
          <w:bCs/>
          <w:i/>
          <w:iCs/>
          <w:u w:val="single"/>
        </w:rPr>
        <w:cr/>
      </w: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026505">
        <w:rPr>
          <w:rFonts w:ascii="Microsoft Sans Serif" w:eastAsia="Microsoft Sans Serif" w:hAnsi="Microsoft Sans Serif" w:cs="Microsoft Sans Serif"/>
          <w:b/>
          <w:bCs/>
        </w:rPr>
        <w:t>610.921.6658</w:t>
      </w:r>
      <w:r w:rsidRPr="00026505">
        <w:rPr>
          <w:rFonts w:ascii="Microsoft Sans Serif" w:eastAsia="Microsoft Sans Serif" w:hAnsi="Microsoft Sans Serif" w:cs="Microsoft Sans Serif"/>
          <w:b/>
          <w:bCs/>
        </w:rPr>
        <w:br/>
      </w:r>
      <w:r w:rsidRPr="00026505">
        <w:rPr>
          <w:rFonts w:ascii="Microsoft Sans Serif" w:eastAsia="Microsoft Sans Serif" w:hAnsi="Microsoft Sans Serif" w:cs="Microsoft Sans Serif"/>
          <w:b/>
          <w:bCs/>
          <w:i/>
          <w:iCs/>
          <w:u w:val="single"/>
        </w:rPr>
        <w:t>ACCEPTS E-ESRVICE</w:t>
      </w:r>
      <w:r w:rsidRPr="00026505">
        <w:rPr>
          <w:rFonts w:ascii="Microsoft Sans Serif" w:eastAsia="Microsoft Sans Serif" w:hAnsi="Microsoft Sans Serif" w:cs="Microsoft Sans Serif"/>
          <w:b/>
          <w:bCs/>
          <w:i/>
          <w:iCs/>
          <w:u w:val="single"/>
        </w:rPr>
        <w:cr/>
      </w:r>
    </w:p>
    <w:p w14:paraId="42213186" w14:textId="77777777" w:rsidR="00B8214D" w:rsidRDefault="00B8214D" w:rsidP="00B8214D"/>
    <w:p w14:paraId="50768529" w14:textId="4D166224" w:rsidR="00444E27" w:rsidRPr="00EE5548" w:rsidRDefault="00444E27" w:rsidP="00444E27"/>
    <w:sectPr w:rsidR="00444E27" w:rsidRPr="00EE55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888D9" w14:textId="77777777" w:rsidR="00EF154D" w:rsidRDefault="00EF154D">
      <w:r>
        <w:separator/>
      </w:r>
    </w:p>
  </w:endnote>
  <w:endnote w:type="continuationSeparator" w:id="0">
    <w:p w14:paraId="6153301D" w14:textId="77777777" w:rsidR="00EF154D" w:rsidRDefault="00EF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14:paraId="6BD7CB25" w14:textId="34A828EC" w:rsidR="00F21739" w:rsidRPr="00B8214D" w:rsidRDefault="00F21739">
        <w:pPr>
          <w:pStyle w:val="Footer"/>
          <w:jc w:val="center"/>
          <w:rPr>
            <w:sz w:val="20"/>
            <w:szCs w:val="20"/>
          </w:rPr>
        </w:pPr>
        <w:r w:rsidRPr="00B8214D">
          <w:rPr>
            <w:sz w:val="20"/>
            <w:szCs w:val="20"/>
          </w:rPr>
          <w:fldChar w:fldCharType="begin"/>
        </w:r>
        <w:r w:rsidRPr="00B8214D">
          <w:rPr>
            <w:sz w:val="20"/>
            <w:szCs w:val="20"/>
          </w:rPr>
          <w:instrText xml:space="preserve"> PAGE   \* MERGEFORMAT </w:instrText>
        </w:r>
        <w:r w:rsidRPr="00B8214D">
          <w:rPr>
            <w:sz w:val="20"/>
            <w:szCs w:val="20"/>
          </w:rPr>
          <w:fldChar w:fldCharType="separate"/>
        </w:r>
        <w:r w:rsidR="002D5EF1" w:rsidRPr="00B8214D">
          <w:rPr>
            <w:noProof/>
            <w:sz w:val="20"/>
            <w:szCs w:val="20"/>
          </w:rPr>
          <w:t>6</w:t>
        </w:r>
        <w:r w:rsidRPr="00B8214D">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BA3C" w14:textId="54FF0A65" w:rsidR="00B8214D" w:rsidRPr="00B8214D" w:rsidRDefault="00B8214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DDA66" w14:textId="77777777" w:rsidR="00EF154D" w:rsidRDefault="00EF154D">
      <w:r>
        <w:separator/>
      </w:r>
    </w:p>
  </w:footnote>
  <w:footnote w:type="continuationSeparator" w:id="0">
    <w:p w14:paraId="6BFABEB7" w14:textId="77777777" w:rsidR="00EF154D" w:rsidRDefault="00EF154D">
      <w:r>
        <w:continuationSeparator/>
      </w:r>
    </w:p>
  </w:footnote>
  <w:footnote w:id="1">
    <w:p w14:paraId="5ECB29D5" w14:textId="77777777" w:rsidR="00197BC0" w:rsidRPr="005B33EB" w:rsidRDefault="00197BC0" w:rsidP="00197BC0">
      <w:pPr>
        <w:pStyle w:val="Style"/>
        <w:rPr>
          <w:color w:val="000000"/>
          <w:sz w:val="20"/>
          <w:szCs w:val="20"/>
        </w:rPr>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r w:rsidRPr="005B33EB">
        <w:rPr>
          <w:color w:val="000000"/>
          <w:sz w:val="20"/>
          <w:szCs w:val="20"/>
          <w:u w:val="single"/>
        </w:rPr>
        <w:t>Carlock</w:t>
      </w:r>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Docket No. C-00957557</w:t>
      </w:r>
      <w:r>
        <w:rPr>
          <w:color w:val="000000"/>
          <w:sz w:val="20"/>
          <w:szCs w:val="20"/>
        </w:rPr>
        <w:t xml:space="preserve"> (</w:t>
      </w:r>
      <w:r w:rsidRPr="005B33EB">
        <w:rPr>
          <w:color w:val="000000"/>
          <w:sz w:val="20"/>
          <w:szCs w:val="20"/>
        </w:rPr>
        <w:t xml:space="preserve">Opinion and Order entered June 12, 1996). </w:t>
      </w:r>
    </w:p>
    <w:p w14:paraId="3310CC76" w14:textId="77777777" w:rsidR="00197BC0" w:rsidRDefault="00197BC0" w:rsidP="00197BC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1668"/>
    <w:rsid w:val="000216B4"/>
    <w:rsid w:val="000253F8"/>
    <w:rsid w:val="00031CED"/>
    <w:rsid w:val="00032584"/>
    <w:rsid w:val="00033858"/>
    <w:rsid w:val="00034D64"/>
    <w:rsid w:val="00037E8B"/>
    <w:rsid w:val="00040017"/>
    <w:rsid w:val="00040542"/>
    <w:rsid w:val="00043A6B"/>
    <w:rsid w:val="0004447D"/>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D05"/>
    <w:rsid w:val="00113C98"/>
    <w:rsid w:val="001143EE"/>
    <w:rsid w:val="00116479"/>
    <w:rsid w:val="00116C62"/>
    <w:rsid w:val="00122A9C"/>
    <w:rsid w:val="00123A1E"/>
    <w:rsid w:val="0012644F"/>
    <w:rsid w:val="001270B6"/>
    <w:rsid w:val="0012726E"/>
    <w:rsid w:val="00130568"/>
    <w:rsid w:val="00130896"/>
    <w:rsid w:val="00131711"/>
    <w:rsid w:val="00132489"/>
    <w:rsid w:val="0013251A"/>
    <w:rsid w:val="00132928"/>
    <w:rsid w:val="00133F23"/>
    <w:rsid w:val="0013576E"/>
    <w:rsid w:val="00135EAF"/>
    <w:rsid w:val="0013770C"/>
    <w:rsid w:val="00140883"/>
    <w:rsid w:val="00141DCE"/>
    <w:rsid w:val="00142EE0"/>
    <w:rsid w:val="00143290"/>
    <w:rsid w:val="001441F9"/>
    <w:rsid w:val="00144EB5"/>
    <w:rsid w:val="0014736B"/>
    <w:rsid w:val="00151E42"/>
    <w:rsid w:val="00153529"/>
    <w:rsid w:val="001547B2"/>
    <w:rsid w:val="001611E5"/>
    <w:rsid w:val="001623CE"/>
    <w:rsid w:val="001714A2"/>
    <w:rsid w:val="001733BB"/>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97BC0"/>
    <w:rsid w:val="001A1495"/>
    <w:rsid w:val="001A397D"/>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3DCB"/>
    <w:rsid w:val="001F59C0"/>
    <w:rsid w:val="0020025C"/>
    <w:rsid w:val="0020125F"/>
    <w:rsid w:val="00201F77"/>
    <w:rsid w:val="002026C5"/>
    <w:rsid w:val="0020284C"/>
    <w:rsid w:val="00206229"/>
    <w:rsid w:val="00206619"/>
    <w:rsid w:val="002069A1"/>
    <w:rsid w:val="002074C5"/>
    <w:rsid w:val="002076C1"/>
    <w:rsid w:val="00212459"/>
    <w:rsid w:val="0021277F"/>
    <w:rsid w:val="002164E5"/>
    <w:rsid w:val="00217594"/>
    <w:rsid w:val="00220B36"/>
    <w:rsid w:val="00220B4B"/>
    <w:rsid w:val="0022121D"/>
    <w:rsid w:val="002219D6"/>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4EF"/>
    <w:rsid w:val="002E76DB"/>
    <w:rsid w:val="002F05AF"/>
    <w:rsid w:val="002F0733"/>
    <w:rsid w:val="002F3A8D"/>
    <w:rsid w:val="002F3C3D"/>
    <w:rsid w:val="002F61D3"/>
    <w:rsid w:val="002F7A88"/>
    <w:rsid w:val="003038D5"/>
    <w:rsid w:val="00303A65"/>
    <w:rsid w:val="00304A73"/>
    <w:rsid w:val="003123AF"/>
    <w:rsid w:val="00312F22"/>
    <w:rsid w:val="003157E6"/>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28F7"/>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28F"/>
    <w:rsid w:val="003E44F8"/>
    <w:rsid w:val="003E5E54"/>
    <w:rsid w:val="003E6B39"/>
    <w:rsid w:val="003E6E3E"/>
    <w:rsid w:val="003F06E9"/>
    <w:rsid w:val="003F0F78"/>
    <w:rsid w:val="003F21D9"/>
    <w:rsid w:val="003F2E9E"/>
    <w:rsid w:val="003F420A"/>
    <w:rsid w:val="003F49DD"/>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7D2"/>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5040DC"/>
    <w:rsid w:val="0050525A"/>
    <w:rsid w:val="00506ED2"/>
    <w:rsid w:val="00506F36"/>
    <w:rsid w:val="0051052E"/>
    <w:rsid w:val="00511085"/>
    <w:rsid w:val="00511327"/>
    <w:rsid w:val="00511838"/>
    <w:rsid w:val="00512803"/>
    <w:rsid w:val="0051332A"/>
    <w:rsid w:val="005173E3"/>
    <w:rsid w:val="0052063B"/>
    <w:rsid w:val="005213C3"/>
    <w:rsid w:val="00522D71"/>
    <w:rsid w:val="00524B12"/>
    <w:rsid w:val="00526B7E"/>
    <w:rsid w:val="005309DD"/>
    <w:rsid w:val="0053143A"/>
    <w:rsid w:val="00531C6A"/>
    <w:rsid w:val="0053297D"/>
    <w:rsid w:val="0053303C"/>
    <w:rsid w:val="0053542E"/>
    <w:rsid w:val="00535728"/>
    <w:rsid w:val="00535B47"/>
    <w:rsid w:val="0054044D"/>
    <w:rsid w:val="00541FA5"/>
    <w:rsid w:val="005421BE"/>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417E"/>
    <w:rsid w:val="00575E98"/>
    <w:rsid w:val="00577041"/>
    <w:rsid w:val="00580C8E"/>
    <w:rsid w:val="00582CDA"/>
    <w:rsid w:val="0058333F"/>
    <w:rsid w:val="00583CAA"/>
    <w:rsid w:val="00583F7A"/>
    <w:rsid w:val="00583F87"/>
    <w:rsid w:val="005877DE"/>
    <w:rsid w:val="00587965"/>
    <w:rsid w:val="005879F7"/>
    <w:rsid w:val="0059163B"/>
    <w:rsid w:val="00591F58"/>
    <w:rsid w:val="0059318E"/>
    <w:rsid w:val="005939DF"/>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E44"/>
    <w:rsid w:val="005F56D5"/>
    <w:rsid w:val="005F5D43"/>
    <w:rsid w:val="005F6080"/>
    <w:rsid w:val="005F78F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47D4B"/>
    <w:rsid w:val="00651DC9"/>
    <w:rsid w:val="0065305A"/>
    <w:rsid w:val="006539E6"/>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06A7F"/>
    <w:rsid w:val="007138CC"/>
    <w:rsid w:val="00713D64"/>
    <w:rsid w:val="00714476"/>
    <w:rsid w:val="007159D3"/>
    <w:rsid w:val="00716BBA"/>
    <w:rsid w:val="007203E5"/>
    <w:rsid w:val="00722762"/>
    <w:rsid w:val="007228C9"/>
    <w:rsid w:val="00722CDD"/>
    <w:rsid w:val="00723CC9"/>
    <w:rsid w:val="00723F2D"/>
    <w:rsid w:val="00724ABE"/>
    <w:rsid w:val="00725338"/>
    <w:rsid w:val="00725BFC"/>
    <w:rsid w:val="00726EC8"/>
    <w:rsid w:val="00735291"/>
    <w:rsid w:val="0074212A"/>
    <w:rsid w:val="00744362"/>
    <w:rsid w:val="00746EC7"/>
    <w:rsid w:val="007501C9"/>
    <w:rsid w:val="00752614"/>
    <w:rsid w:val="00755A22"/>
    <w:rsid w:val="0075751F"/>
    <w:rsid w:val="00757D11"/>
    <w:rsid w:val="00761AAA"/>
    <w:rsid w:val="00763DA0"/>
    <w:rsid w:val="00764FEE"/>
    <w:rsid w:val="007653FA"/>
    <w:rsid w:val="00770D9F"/>
    <w:rsid w:val="00771158"/>
    <w:rsid w:val="00771201"/>
    <w:rsid w:val="00773E3C"/>
    <w:rsid w:val="00774620"/>
    <w:rsid w:val="00774975"/>
    <w:rsid w:val="007802B4"/>
    <w:rsid w:val="00780958"/>
    <w:rsid w:val="00780E37"/>
    <w:rsid w:val="00783E48"/>
    <w:rsid w:val="00783F05"/>
    <w:rsid w:val="00784AE9"/>
    <w:rsid w:val="007853DD"/>
    <w:rsid w:val="007876C7"/>
    <w:rsid w:val="00787F5D"/>
    <w:rsid w:val="007945B3"/>
    <w:rsid w:val="007A2A2D"/>
    <w:rsid w:val="007A50C8"/>
    <w:rsid w:val="007A68A4"/>
    <w:rsid w:val="007A6F35"/>
    <w:rsid w:val="007B135C"/>
    <w:rsid w:val="007B19DA"/>
    <w:rsid w:val="007B2C93"/>
    <w:rsid w:val="007B76C4"/>
    <w:rsid w:val="007B77F4"/>
    <w:rsid w:val="007C07C4"/>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26960"/>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5637F"/>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8736A"/>
    <w:rsid w:val="00890A0B"/>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3150"/>
    <w:rsid w:val="008B47C3"/>
    <w:rsid w:val="008B7C8A"/>
    <w:rsid w:val="008C0504"/>
    <w:rsid w:val="008C17E3"/>
    <w:rsid w:val="008C2266"/>
    <w:rsid w:val="008C2B8B"/>
    <w:rsid w:val="008C5024"/>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1FD5"/>
    <w:rsid w:val="00922597"/>
    <w:rsid w:val="009242C7"/>
    <w:rsid w:val="00925D82"/>
    <w:rsid w:val="00926832"/>
    <w:rsid w:val="00933A0A"/>
    <w:rsid w:val="00935A17"/>
    <w:rsid w:val="00935C2E"/>
    <w:rsid w:val="00940C6A"/>
    <w:rsid w:val="009422A8"/>
    <w:rsid w:val="009434E1"/>
    <w:rsid w:val="009435E2"/>
    <w:rsid w:val="00944303"/>
    <w:rsid w:val="00945C30"/>
    <w:rsid w:val="0094648D"/>
    <w:rsid w:val="009479D5"/>
    <w:rsid w:val="00951B5E"/>
    <w:rsid w:val="00951BBB"/>
    <w:rsid w:val="00952807"/>
    <w:rsid w:val="00953B2D"/>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4AE4"/>
    <w:rsid w:val="009971D9"/>
    <w:rsid w:val="009A0464"/>
    <w:rsid w:val="009A15A9"/>
    <w:rsid w:val="009A1B67"/>
    <w:rsid w:val="009A241C"/>
    <w:rsid w:val="009A2760"/>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A60"/>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31F"/>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4D14"/>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2A1A"/>
    <w:rsid w:val="00AA3171"/>
    <w:rsid w:val="00AA37CD"/>
    <w:rsid w:val="00AA3B44"/>
    <w:rsid w:val="00AA3DE8"/>
    <w:rsid w:val="00AA48D7"/>
    <w:rsid w:val="00AA5A3B"/>
    <w:rsid w:val="00AA6831"/>
    <w:rsid w:val="00AB2C39"/>
    <w:rsid w:val="00AB35A6"/>
    <w:rsid w:val="00AC1F47"/>
    <w:rsid w:val="00AC425C"/>
    <w:rsid w:val="00AC54DB"/>
    <w:rsid w:val="00AC56B3"/>
    <w:rsid w:val="00AC6D5D"/>
    <w:rsid w:val="00AC7690"/>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34D51"/>
    <w:rsid w:val="00B34DFE"/>
    <w:rsid w:val="00B356D9"/>
    <w:rsid w:val="00B37D41"/>
    <w:rsid w:val="00B4052D"/>
    <w:rsid w:val="00B42052"/>
    <w:rsid w:val="00B42143"/>
    <w:rsid w:val="00B4231E"/>
    <w:rsid w:val="00B4241D"/>
    <w:rsid w:val="00B428B5"/>
    <w:rsid w:val="00B44A3E"/>
    <w:rsid w:val="00B50F61"/>
    <w:rsid w:val="00B51B32"/>
    <w:rsid w:val="00B51C90"/>
    <w:rsid w:val="00B5252D"/>
    <w:rsid w:val="00B55280"/>
    <w:rsid w:val="00B606E5"/>
    <w:rsid w:val="00B62154"/>
    <w:rsid w:val="00B6233D"/>
    <w:rsid w:val="00B65A70"/>
    <w:rsid w:val="00B701AA"/>
    <w:rsid w:val="00B70E1E"/>
    <w:rsid w:val="00B715DC"/>
    <w:rsid w:val="00B72C88"/>
    <w:rsid w:val="00B73F8B"/>
    <w:rsid w:val="00B74492"/>
    <w:rsid w:val="00B7459D"/>
    <w:rsid w:val="00B75E2D"/>
    <w:rsid w:val="00B76E4E"/>
    <w:rsid w:val="00B806F4"/>
    <w:rsid w:val="00B8214D"/>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474"/>
    <w:rsid w:val="00BA7585"/>
    <w:rsid w:val="00BA7656"/>
    <w:rsid w:val="00BB0A31"/>
    <w:rsid w:val="00BB229F"/>
    <w:rsid w:val="00BB28CB"/>
    <w:rsid w:val="00BB5DF1"/>
    <w:rsid w:val="00BB6570"/>
    <w:rsid w:val="00BC0F59"/>
    <w:rsid w:val="00BC1B7C"/>
    <w:rsid w:val="00BC484E"/>
    <w:rsid w:val="00BC5CA3"/>
    <w:rsid w:val="00BC689D"/>
    <w:rsid w:val="00BD0109"/>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6E44"/>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55EB"/>
    <w:rsid w:val="00C67551"/>
    <w:rsid w:val="00C72120"/>
    <w:rsid w:val="00C725DA"/>
    <w:rsid w:val="00C73D5D"/>
    <w:rsid w:val="00C73FF3"/>
    <w:rsid w:val="00C75DCE"/>
    <w:rsid w:val="00C773A3"/>
    <w:rsid w:val="00C77AEA"/>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4D02"/>
    <w:rsid w:val="00CA666C"/>
    <w:rsid w:val="00CA73E2"/>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15AF9"/>
    <w:rsid w:val="00D209B6"/>
    <w:rsid w:val="00D21B58"/>
    <w:rsid w:val="00D22294"/>
    <w:rsid w:val="00D22442"/>
    <w:rsid w:val="00D2255F"/>
    <w:rsid w:val="00D22EBC"/>
    <w:rsid w:val="00D23214"/>
    <w:rsid w:val="00D24374"/>
    <w:rsid w:val="00D24620"/>
    <w:rsid w:val="00D24DDC"/>
    <w:rsid w:val="00D3123C"/>
    <w:rsid w:val="00D346DA"/>
    <w:rsid w:val="00D3584A"/>
    <w:rsid w:val="00D428F8"/>
    <w:rsid w:val="00D44B05"/>
    <w:rsid w:val="00D44FF7"/>
    <w:rsid w:val="00D45A5C"/>
    <w:rsid w:val="00D472AD"/>
    <w:rsid w:val="00D50A98"/>
    <w:rsid w:val="00D51B5E"/>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2414"/>
    <w:rsid w:val="00E05543"/>
    <w:rsid w:val="00E061D8"/>
    <w:rsid w:val="00E07EE4"/>
    <w:rsid w:val="00E07F64"/>
    <w:rsid w:val="00E13C50"/>
    <w:rsid w:val="00E14245"/>
    <w:rsid w:val="00E14396"/>
    <w:rsid w:val="00E1640E"/>
    <w:rsid w:val="00E178E4"/>
    <w:rsid w:val="00E20D55"/>
    <w:rsid w:val="00E21F02"/>
    <w:rsid w:val="00E22703"/>
    <w:rsid w:val="00E2272C"/>
    <w:rsid w:val="00E227DA"/>
    <w:rsid w:val="00E24228"/>
    <w:rsid w:val="00E24C47"/>
    <w:rsid w:val="00E25125"/>
    <w:rsid w:val="00E27B5F"/>
    <w:rsid w:val="00E32F69"/>
    <w:rsid w:val="00E40843"/>
    <w:rsid w:val="00E41299"/>
    <w:rsid w:val="00E425F4"/>
    <w:rsid w:val="00E445D8"/>
    <w:rsid w:val="00E46ACA"/>
    <w:rsid w:val="00E47547"/>
    <w:rsid w:val="00E47B07"/>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6299"/>
    <w:rsid w:val="00E77251"/>
    <w:rsid w:val="00E817EE"/>
    <w:rsid w:val="00E818B6"/>
    <w:rsid w:val="00E81B85"/>
    <w:rsid w:val="00E83487"/>
    <w:rsid w:val="00E84D79"/>
    <w:rsid w:val="00E8602E"/>
    <w:rsid w:val="00E86857"/>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7116"/>
    <w:rsid w:val="00EE7BAA"/>
    <w:rsid w:val="00EF1081"/>
    <w:rsid w:val="00EF154D"/>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36E3B"/>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4FC1"/>
    <w:rsid w:val="00FC6E86"/>
    <w:rsid w:val="00FD13D4"/>
    <w:rsid w:val="00FD1E5D"/>
    <w:rsid w:val="00FD221C"/>
    <w:rsid w:val="00FD25D2"/>
    <w:rsid w:val="00FD342D"/>
    <w:rsid w:val="00FD417F"/>
    <w:rsid w:val="00FD4C02"/>
    <w:rsid w:val="00FD4EE7"/>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8A677-5FF3-43E7-9915-C65179F5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2020-01-07T14:48:00Z</cp:lastPrinted>
  <dcterms:created xsi:type="dcterms:W3CDTF">2020-01-08T15:19:00Z</dcterms:created>
  <dcterms:modified xsi:type="dcterms:W3CDTF">2020-01-08T15:19:00Z</dcterms:modified>
</cp:coreProperties>
</file>