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FD39" w14:textId="77777777" w:rsidR="00D82782" w:rsidRPr="007855BD" w:rsidRDefault="00D82782" w:rsidP="00D82782">
      <w:pPr>
        <w:spacing w:line="240" w:lineRule="auto"/>
        <w:ind w:firstLine="0"/>
        <w:rPr>
          <w:b/>
          <w:sz w:val="26"/>
          <w:szCs w:val="26"/>
        </w:rPr>
      </w:pPr>
      <w:r w:rsidRPr="007855BD">
        <w:rPr>
          <w:b/>
          <w:sz w:val="26"/>
          <w:szCs w:val="26"/>
        </w:rPr>
        <w:t>PENNSYLVANIA</w:t>
      </w:r>
    </w:p>
    <w:p w14:paraId="362820E4" w14:textId="77777777" w:rsidR="00D82782" w:rsidRPr="007855BD" w:rsidRDefault="00D82782" w:rsidP="00D82782">
      <w:pPr>
        <w:spacing w:line="240" w:lineRule="auto"/>
        <w:ind w:firstLine="0"/>
        <w:rPr>
          <w:b/>
          <w:sz w:val="26"/>
          <w:szCs w:val="26"/>
        </w:rPr>
      </w:pPr>
      <w:r w:rsidRPr="007855BD">
        <w:rPr>
          <w:b/>
          <w:sz w:val="26"/>
          <w:szCs w:val="26"/>
        </w:rPr>
        <w:t>PUBLIC UTILITY COMMISSION</w:t>
      </w:r>
    </w:p>
    <w:p w14:paraId="3C82929C" w14:textId="77777777" w:rsidR="00D82782" w:rsidRPr="007855BD" w:rsidRDefault="00D82782" w:rsidP="00D82782">
      <w:pPr>
        <w:spacing w:line="240" w:lineRule="auto"/>
        <w:ind w:firstLine="0"/>
        <w:rPr>
          <w:b/>
          <w:sz w:val="26"/>
          <w:szCs w:val="26"/>
        </w:rPr>
      </w:pPr>
      <w:r w:rsidRPr="007855BD">
        <w:rPr>
          <w:b/>
          <w:sz w:val="26"/>
          <w:szCs w:val="26"/>
        </w:rPr>
        <w:t>Harrisburg, PA 17120</w:t>
      </w:r>
    </w:p>
    <w:p w14:paraId="783F44F5" w14:textId="77777777" w:rsidR="00D82782" w:rsidRPr="007855BD" w:rsidRDefault="00D82782" w:rsidP="00D82782">
      <w:pPr>
        <w:spacing w:line="240" w:lineRule="auto"/>
        <w:ind w:firstLine="0"/>
        <w:jc w:val="left"/>
        <w:rPr>
          <w:sz w:val="26"/>
          <w:szCs w:val="26"/>
        </w:rPr>
      </w:pPr>
    </w:p>
    <w:p w14:paraId="2E45667D" w14:textId="77777777" w:rsidR="00D82782" w:rsidRPr="007855BD" w:rsidRDefault="00D82782" w:rsidP="00D82782">
      <w:pPr>
        <w:spacing w:line="240" w:lineRule="auto"/>
        <w:ind w:firstLine="0"/>
        <w:jc w:val="right"/>
        <w:rPr>
          <w:sz w:val="26"/>
          <w:szCs w:val="26"/>
        </w:rPr>
      </w:pPr>
      <w:r w:rsidRPr="007855BD">
        <w:rPr>
          <w:sz w:val="26"/>
          <w:szCs w:val="26"/>
        </w:rPr>
        <w:t xml:space="preserve">Public Meeting held December </w:t>
      </w:r>
      <w:r w:rsidR="00B75693" w:rsidRPr="007855BD">
        <w:rPr>
          <w:sz w:val="26"/>
          <w:szCs w:val="26"/>
        </w:rPr>
        <w:t>19</w:t>
      </w:r>
      <w:r w:rsidRPr="007855BD">
        <w:rPr>
          <w:sz w:val="26"/>
          <w:szCs w:val="26"/>
        </w:rPr>
        <w:t>,</w:t>
      </w:r>
      <w:r w:rsidRPr="007855BD">
        <w:rPr>
          <w:kern w:val="1"/>
          <w:sz w:val="26"/>
          <w:szCs w:val="26"/>
        </w:rPr>
        <w:t xml:space="preserve"> 2019</w:t>
      </w:r>
    </w:p>
    <w:p w14:paraId="37798A13" w14:textId="77777777" w:rsidR="00D82782" w:rsidRPr="007855BD" w:rsidRDefault="00D82782" w:rsidP="00D82782">
      <w:pPr>
        <w:spacing w:line="240" w:lineRule="auto"/>
        <w:ind w:firstLine="0"/>
        <w:jc w:val="left"/>
        <w:rPr>
          <w:sz w:val="26"/>
          <w:szCs w:val="26"/>
        </w:rPr>
      </w:pPr>
    </w:p>
    <w:p w14:paraId="4CB2CB60" w14:textId="77777777" w:rsidR="00D82782" w:rsidRPr="007855BD" w:rsidRDefault="00D82782" w:rsidP="00D82782">
      <w:pPr>
        <w:spacing w:line="240" w:lineRule="auto"/>
        <w:ind w:firstLine="0"/>
        <w:jc w:val="left"/>
        <w:rPr>
          <w:sz w:val="26"/>
          <w:szCs w:val="26"/>
        </w:rPr>
      </w:pPr>
      <w:r w:rsidRPr="007855BD">
        <w:rPr>
          <w:sz w:val="26"/>
          <w:szCs w:val="26"/>
        </w:rPr>
        <w:t>Commissioners Present:</w:t>
      </w:r>
    </w:p>
    <w:p w14:paraId="0230FEDD" w14:textId="77777777" w:rsidR="00D82782" w:rsidRPr="007855BD" w:rsidRDefault="00D82782" w:rsidP="00D82782">
      <w:pPr>
        <w:spacing w:line="240" w:lineRule="auto"/>
        <w:ind w:firstLine="0"/>
        <w:jc w:val="left"/>
        <w:rPr>
          <w:sz w:val="26"/>
          <w:szCs w:val="26"/>
        </w:rPr>
      </w:pPr>
    </w:p>
    <w:p w14:paraId="2CAE27B9" w14:textId="77777777" w:rsidR="00D82782" w:rsidRPr="007855BD" w:rsidRDefault="00D82782" w:rsidP="00D82782">
      <w:pPr>
        <w:spacing w:line="240" w:lineRule="auto"/>
        <w:jc w:val="left"/>
        <w:rPr>
          <w:sz w:val="26"/>
          <w:szCs w:val="26"/>
        </w:rPr>
      </w:pPr>
      <w:r w:rsidRPr="007855BD">
        <w:rPr>
          <w:sz w:val="26"/>
          <w:szCs w:val="26"/>
        </w:rPr>
        <w:t>Gladys Brown Dutrieuille, Chairman</w:t>
      </w:r>
    </w:p>
    <w:p w14:paraId="3036A9F8" w14:textId="77777777" w:rsidR="00D82782" w:rsidRPr="007855BD" w:rsidRDefault="00D82782" w:rsidP="00D82782">
      <w:pPr>
        <w:spacing w:line="240" w:lineRule="auto"/>
        <w:jc w:val="left"/>
        <w:rPr>
          <w:sz w:val="26"/>
          <w:szCs w:val="26"/>
        </w:rPr>
      </w:pPr>
      <w:r w:rsidRPr="007855BD">
        <w:rPr>
          <w:sz w:val="26"/>
          <w:szCs w:val="26"/>
        </w:rPr>
        <w:t>David W. Sweet, Vice Chairman</w:t>
      </w:r>
    </w:p>
    <w:p w14:paraId="3C235DB2" w14:textId="77777777" w:rsidR="00D82782" w:rsidRPr="007855BD" w:rsidRDefault="00D82782" w:rsidP="00D82782">
      <w:pPr>
        <w:spacing w:line="240" w:lineRule="auto"/>
        <w:jc w:val="left"/>
        <w:rPr>
          <w:sz w:val="26"/>
          <w:szCs w:val="26"/>
        </w:rPr>
      </w:pPr>
      <w:r w:rsidRPr="007855BD">
        <w:rPr>
          <w:sz w:val="26"/>
          <w:szCs w:val="26"/>
        </w:rPr>
        <w:t>Andrew G. Place</w:t>
      </w:r>
      <w:r w:rsidRPr="007855BD" w:rsidDel="00310ABE">
        <w:rPr>
          <w:sz w:val="26"/>
          <w:szCs w:val="26"/>
        </w:rPr>
        <w:t xml:space="preserve"> </w:t>
      </w:r>
    </w:p>
    <w:p w14:paraId="33CE3DE5" w14:textId="77777777" w:rsidR="00D82782" w:rsidRPr="007855BD" w:rsidRDefault="00D82782" w:rsidP="00D82782">
      <w:pPr>
        <w:spacing w:line="240" w:lineRule="auto"/>
        <w:jc w:val="left"/>
        <w:rPr>
          <w:sz w:val="26"/>
          <w:szCs w:val="26"/>
        </w:rPr>
      </w:pPr>
      <w:r w:rsidRPr="007855BD">
        <w:rPr>
          <w:sz w:val="26"/>
          <w:szCs w:val="26"/>
        </w:rPr>
        <w:t>John F. Coleman, Jr.</w:t>
      </w:r>
    </w:p>
    <w:p w14:paraId="0A2957EE" w14:textId="77777777" w:rsidR="00D82782" w:rsidRPr="007855BD" w:rsidRDefault="00D82782" w:rsidP="00D82782">
      <w:pPr>
        <w:spacing w:line="240" w:lineRule="auto"/>
        <w:jc w:val="left"/>
        <w:rPr>
          <w:sz w:val="26"/>
          <w:szCs w:val="26"/>
        </w:rPr>
      </w:pPr>
      <w:r w:rsidRPr="007855BD">
        <w:rPr>
          <w:sz w:val="26"/>
          <w:szCs w:val="26"/>
        </w:rPr>
        <w:t>Ralph V. Yanora</w:t>
      </w:r>
    </w:p>
    <w:p w14:paraId="6F1F01DA" w14:textId="77777777" w:rsidR="00D82782" w:rsidRPr="007855BD" w:rsidRDefault="00D82782" w:rsidP="00D82782">
      <w:pPr>
        <w:tabs>
          <w:tab w:val="left" w:pos="-720"/>
          <w:tab w:val="left" w:pos="0"/>
        </w:tabs>
        <w:suppressAutoHyphens/>
        <w:spacing w:line="240" w:lineRule="auto"/>
        <w:ind w:firstLine="0"/>
        <w:jc w:val="left"/>
        <w:rPr>
          <w:sz w:val="26"/>
          <w:szCs w:val="26"/>
        </w:rPr>
      </w:pPr>
    </w:p>
    <w:p w14:paraId="1396F179" w14:textId="77777777" w:rsidR="00D7095A" w:rsidRPr="007855BD" w:rsidRDefault="00D7095A" w:rsidP="00D82782">
      <w:pPr>
        <w:tabs>
          <w:tab w:val="left" w:pos="-720"/>
          <w:tab w:val="left" w:pos="0"/>
        </w:tabs>
        <w:suppressAutoHyphens/>
        <w:spacing w:line="240" w:lineRule="auto"/>
        <w:ind w:firstLine="0"/>
        <w:jc w:val="left"/>
        <w:rPr>
          <w:sz w:val="26"/>
          <w:szCs w:val="26"/>
        </w:rPr>
      </w:pPr>
    </w:p>
    <w:p w14:paraId="20BA6A61" w14:textId="05344A93" w:rsidR="00D82782" w:rsidRPr="007855BD" w:rsidRDefault="00D82782" w:rsidP="00D82782">
      <w:pPr>
        <w:tabs>
          <w:tab w:val="left" w:pos="-720"/>
          <w:tab w:val="left" w:pos="0"/>
        </w:tabs>
        <w:suppressAutoHyphens/>
        <w:spacing w:line="240" w:lineRule="auto"/>
        <w:ind w:firstLine="0"/>
        <w:jc w:val="left"/>
        <w:rPr>
          <w:sz w:val="26"/>
          <w:szCs w:val="26"/>
        </w:rPr>
      </w:pPr>
      <w:r w:rsidRPr="007855BD">
        <w:rPr>
          <w:sz w:val="26"/>
          <w:szCs w:val="26"/>
        </w:rPr>
        <w:t>Carla Matrunics</w:t>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00D7661C" w:rsidRPr="007855BD">
        <w:rPr>
          <w:sz w:val="26"/>
          <w:szCs w:val="26"/>
        </w:rPr>
        <w:t xml:space="preserve">     </w:t>
      </w:r>
      <w:r w:rsidRPr="007855BD">
        <w:rPr>
          <w:sz w:val="26"/>
          <w:szCs w:val="26"/>
        </w:rPr>
        <w:t>C-2017-2617235</w:t>
      </w:r>
    </w:p>
    <w:p w14:paraId="2A8FC04A" w14:textId="77777777" w:rsidR="00D82782" w:rsidRPr="007855BD" w:rsidRDefault="00D82782" w:rsidP="00D82782">
      <w:pPr>
        <w:tabs>
          <w:tab w:val="left" w:pos="-720"/>
          <w:tab w:val="left" w:pos="0"/>
        </w:tabs>
        <w:suppressAutoHyphens/>
        <w:spacing w:line="240" w:lineRule="auto"/>
        <w:ind w:firstLine="0"/>
        <w:jc w:val="left"/>
        <w:rPr>
          <w:b/>
          <w:sz w:val="26"/>
          <w:szCs w:val="26"/>
        </w:rPr>
      </w:pPr>
    </w:p>
    <w:p w14:paraId="67D0A16F" w14:textId="5F0305D6" w:rsidR="00D82782" w:rsidRPr="007855BD" w:rsidRDefault="00D82782" w:rsidP="00D82782">
      <w:pPr>
        <w:tabs>
          <w:tab w:val="left" w:pos="-720"/>
          <w:tab w:val="left" w:pos="0"/>
        </w:tabs>
        <w:suppressAutoHyphens/>
        <w:spacing w:line="240" w:lineRule="auto"/>
        <w:ind w:firstLine="0"/>
        <w:jc w:val="left"/>
        <w:rPr>
          <w:sz w:val="26"/>
          <w:szCs w:val="26"/>
        </w:rPr>
      </w:pPr>
      <w:r w:rsidRPr="007855BD">
        <w:rPr>
          <w:b/>
          <w:sz w:val="26"/>
          <w:szCs w:val="26"/>
        </w:rPr>
        <w:tab/>
      </w:r>
      <w:r w:rsidRPr="007855BD">
        <w:rPr>
          <w:sz w:val="26"/>
          <w:szCs w:val="26"/>
        </w:rPr>
        <w:t>v.</w:t>
      </w:r>
    </w:p>
    <w:p w14:paraId="49CE1543" w14:textId="77777777" w:rsidR="00D82782" w:rsidRPr="007855BD" w:rsidRDefault="00D82782" w:rsidP="00D82782">
      <w:pPr>
        <w:tabs>
          <w:tab w:val="left" w:pos="-720"/>
          <w:tab w:val="left" w:pos="0"/>
        </w:tabs>
        <w:suppressAutoHyphens/>
        <w:spacing w:line="240" w:lineRule="auto"/>
        <w:ind w:firstLine="0"/>
        <w:jc w:val="left"/>
        <w:rPr>
          <w:sz w:val="26"/>
          <w:szCs w:val="26"/>
        </w:rPr>
      </w:pPr>
    </w:p>
    <w:p w14:paraId="02128170" w14:textId="77777777" w:rsidR="00D82782" w:rsidRPr="007855BD" w:rsidRDefault="00D82782" w:rsidP="00D82782">
      <w:pPr>
        <w:tabs>
          <w:tab w:val="left" w:pos="-720"/>
          <w:tab w:val="left" w:pos="0"/>
        </w:tabs>
        <w:suppressAutoHyphens/>
        <w:spacing w:line="240" w:lineRule="auto"/>
        <w:ind w:firstLine="0"/>
        <w:jc w:val="left"/>
        <w:rPr>
          <w:sz w:val="26"/>
          <w:szCs w:val="26"/>
        </w:rPr>
      </w:pPr>
      <w:r w:rsidRPr="007855BD">
        <w:rPr>
          <w:sz w:val="26"/>
          <w:szCs w:val="26"/>
        </w:rPr>
        <w:t>West Penn Power Company</w:t>
      </w:r>
    </w:p>
    <w:p w14:paraId="1AFC4DDA" w14:textId="77777777" w:rsidR="00D82782" w:rsidRPr="007855BD" w:rsidRDefault="00D82782" w:rsidP="00D82782">
      <w:pPr>
        <w:tabs>
          <w:tab w:val="left" w:pos="-720"/>
          <w:tab w:val="left" w:pos="0"/>
        </w:tabs>
        <w:suppressAutoHyphens/>
        <w:spacing w:line="240" w:lineRule="auto"/>
        <w:ind w:firstLine="0"/>
        <w:jc w:val="left"/>
        <w:rPr>
          <w:sz w:val="26"/>
          <w:szCs w:val="26"/>
        </w:rPr>
      </w:pPr>
    </w:p>
    <w:p w14:paraId="5C436575" w14:textId="77777777" w:rsidR="00D82782" w:rsidRPr="007855BD" w:rsidRDefault="00D82782" w:rsidP="00D82782">
      <w:pPr>
        <w:tabs>
          <w:tab w:val="left" w:pos="-720"/>
        </w:tabs>
        <w:suppressAutoHyphens/>
        <w:spacing w:line="240" w:lineRule="auto"/>
        <w:ind w:firstLine="0"/>
        <w:jc w:val="left"/>
        <w:rPr>
          <w:sz w:val="26"/>
          <w:szCs w:val="26"/>
        </w:rPr>
      </w:pPr>
    </w:p>
    <w:p w14:paraId="2098325E" w14:textId="77777777" w:rsidR="00D82782" w:rsidRPr="007855BD" w:rsidRDefault="00D82782" w:rsidP="0087433B">
      <w:pPr>
        <w:suppressAutoHyphens/>
        <w:ind w:firstLine="0"/>
        <w:rPr>
          <w:b/>
          <w:sz w:val="26"/>
          <w:szCs w:val="26"/>
        </w:rPr>
      </w:pPr>
      <w:r w:rsidRPr="007855BD">
        <w:rPr>
          <w:b/>
          <w:sz w:val="26"/>
          <w:szCs w:val="26"/>
        </w:rPr>
        <w:t xml:space="preserve">OPINION </w:t>
      </w:r>
      <w:smartTag w:uri="urn:schemas-microsoft-com:office:smarttags" w:element="stockticker">
        <w:r w:rsidRPr="007855BD">
          <w:rPr>
            <w:b/>
            <w:sz w:val="26"/>
            <w:szCs w:val="26"/>
          </w:rPr>
          <w:t>AND</w:t>
        </w:r>
      </w:smartTag>
      <w:r w:rsidRPr="007855BD">
        <w:rPr>
          <w:b/>
          <w:sz w:val="26"/>
          <w:szCs w:val="26"/>
        </w:rPr>
        <w:t xml:space="preserve"> ORDER</w:t>
      </w:r>
    </w:p>
    <w:p w14:paraId="09D0F31A" w14:textId="77777777" w:rsidR="00D82782" w:rsidRPr="007855BD" w:rsidRDefault="00D82782" w:rsidP="00D82782">
      <w:pPr>
        <w:suppressAutoHyphens/>
        <w:ind w:firstLine="0"/>
        <w:jc w:val="left"/>
        <w:rPr>
          <w:b/>
          <w:sz w:val="26"/>
          <w:szCs w:val="26"/>
        </w:rPr>
      </w:pPr>
    </w:p>
    <w:p w14:paraId="300AF3B4" w14:textId="77777777" w:rsidR="00D82782" w:rsidRPr="007855BD" w:rsidRDefault="00D82782" w:rsidP="00D82782">
      <w:pPr>
        <w:tabs>
          <w:tab w:val="left" w:pos="-720"/>
        </w:tabs>
        <w:suppressAutoHyphens/>
        <w:ind w:firstLine="0"/>
        <w:jc w:val="left"/>
        <w:rPr>
          <w:sz w:val="26"/>
          <w:szCs w:val="26"/>
        </w:rPr>
      </w:pPr>
      <w:r w:rsidRPr="007855BD">
        <w:rPr>
          <w:b/>
          <w:sz w:val="26"/>
          <w:szCs w:val="26"/>
        </w:rPr>
        <w:t>BY THE COMMISSION:</w:t>
      </w:r>
    </w:p>
    <w:p w14:paraId="2F341044" w14:textId="77777777" w:rsidR="00D82782" w:rsidRPr="007855BD" w:rsidRDefault="00D82782" w:rsidP="00D82782">
      <w:pPr>
        <w:ind w:firstLine="0"/>
        <w:jc w:val="left"/>
        <w:rPr>
          <w:sz w:val="26"/>
          <w:szCs w:val="26"/>
        </w:rPr>
      </w:pPr>
    </w:p>
    <w:p w14:paraId="7B60CC4D" w14:textId="4876C2E0" w:rsidR="00D82782" w:rsidRPr="007855BD" w:rsidRDefault="00D82782" w:rsidP="00D82782">
      <w:pPr>
        <w:ind w:firstLine="1440"/>
        <w:jc w:val="left"/>
        <w:rPr>
          <w:sz w:val="26"/>
          <w:szCs w:val="26"/>
        </w:rPr>
      </w:pPr>
      <w:r w:rsidRPr="007855BD">
        <w:rPr>
          <w:sz w:val="26"/>
          <w:szCs w:val="26"/>
        </w:rPr>
        <w:t>Before the Pennsylvania Public Utility Commission (Commission) for consideration and disposition are the Exceptions filed by Carla Matrunics (Complainant</w:t>
      </w:r>
      <w:r w:rsidR="00B75693" w:rsidRPr="007855BD">
        <w:rPr>
          <w:sz w:val="26"/>
          <w:szCs w:val="26"/>
        </w:rPr>
        <w:t xml:space="preserve"> or Ms. Matrunics</w:t>
      </w:r>
      <w:r w:rsidRPr="007855BD">
        <w:rPr>
          <w:sz w:val="26"/>
          <w:szCs w:val="26"/>
        </w:rPr>
        <w:t>) on March 4, 2019, to the Initial Decision (I.D.) of Administrative Law Judge (ALJ) Conrad A. Johnson, issued on February 13, 2019.  Replies to Exceptions were filed by West Penn Power Company (West Penn</w:t>
      </w:r>
      <w:r w:rsidR="00B75693" w:rsidRPr="007855BD">
        <w:rPr>
          <w:sz w:val="26"/>
          <w:szCs w:val="26"/>
        </w:rPr>
        <w:t xml:space="preserve"> or Company</w:t>
      </w:r>
      <w:r w:rsidRPr="007855BD">
        <w:rPr>
          <w:sz w:val="26"/>
          <w:szCs w:val="26"/>
        </w:rPr>
        <w:t>) on March 21, 2019.</w:t>
      </w:r>
      <w:r w:rsidRPr="007855BD">
        <w:rPr>
          <w:rStyle w:val="FootnoteReference"/>
          <w:sz w:val="26"/>
          <w:szCs w:val="26"/>
        </w:rPr>
        <w:footnoteReference w:id="2"/>
      </w:r>
      <w:r w:rsidRPr="007855BD">
        <w:rPr>
          <w:sz w:val="26"/>
          <w:szCs w:val="26"/>
        </w:rPr>
        <w:t xml:space="preserve">  </w:t>
      </w:r>
      <w:r w:rsidRPr="007855BD">
        <w:rPr>
          <w:sz w:val="26"/>
          <w:szCs w:val="26"/>
        </w:rPr>
        <w:lastRenderedPageBreak/>
        <w:t xml:space="preserve">For the reasons stated below, we shall deny the Exceptions and adopt the ALJ’s Initial Decision, </w:t>
      </w:r>
      <w:r w:rsidR="0038339D" w:rsidRPr="007855BD">
        <w:rPr>
          <w:sz w:val="26"/>
          <w:szCs w:val="26"/>
        </w:rPr>
        <w:t>as modified</w:t>
      </w:r>
      <w:r w:rsidR="00AF20C8" w:rsidRPr="007855BD">
        <w:rPr>
          <w:sz w:val="26"/>
          <w:szCs w:val="26"/>
        </w:rPr>
        <w:t xml:space="preserve">, </w:t>
      </w:r>
      <w:r w:rsidRPr="007855BD">
        <w:rPr>
          <w:sz w:val="26"/>
          <w:szCs w:val="26"/>
        </w:rPr>
        <w:t>consistent with this Opinion and Order.</w:t>
      </w:r>
    </w:p>
    <w:p w14:paraId="4B8AB0BD" w14:textId="77777777" w:rsidR="006C55C9" w:rsidRPr="007855BD" w:rsidRDefault="006C55C9" w:rsidP="00D82782">
      <w:pPr>
        <w:ind w:firstLine="1440"/>
        <w:jc w:val="left"/>
        <w:rPr>
          <w:sz w:val="26"/>
          <w:szCs w:val="26"/>
        </w:rPr>
      </w:pPr>
    </w:p>
    <w:p w14:paraId="22AB2BC9" w14:textId="71A58EB7" w:rsidR="00D82782" w:rsidRPr="007855BD" w:rsidRDefault="00D82782" w:rsidP="00C710CB">
      <w:pPr>
        <w:keepNext/>
        <w:keepLines/>
        <w:ind w:firstLine="0"/>
        <w:rPr>
          <w:b/>
          <w:sz w:val="26"/>
          <w:szCs w:val="26"/>
        </w:rPr>
      </w:pPr>
      <w:r w:rsidRPr="007855BD">
        <w:rPr>
          <w:b/>
          <w:sz w:val="26"/>
          <w:szCs w:val="26"/>
        </w:rPr>
        <w:t>History of the Proceeding</w:t>
      </w:r>
    </w:p>
    <w:p w14:paraId="1BBB91CB" w14:textId="77777777" w:rsidR="00D82782" w:rsidRPr="007855BD" w:rsidRDefault="00D82782" w:rsidP="00D82782">
      <w:pPr>
        <w:pStyle w:val="ListParagraph"/>
        <w:keepNext/>
        <w:keepLines/>
        <w:ind w:left="0" w:firstLine="0"/>
        <w:jc w:val="left"/>
        <w:rPr>
          <w:b/>
          <w:sz w:val="26"/>
          <w:szCs w:val="26"/>
        </w:rPr>
      </w:pPr>
    </w:p>
    <w:p w14:paraId="05D4CF13" w14:textId="01D9F2CB" w:rsidR="00D82782" w:rsidRPr="007855BD" w:rsidRDefault="00D82782" w:rsidP="00D82782">
      <w:pPr>
        <w:jc w:val="left"/>
        <w:rPr>
          <w:sz w:val="26"/>
          <w:szCs w:val="26"/>
        </w:rPr>
      </w:pPr>
      <w:r w:rsidRPr="007855BD">
        <w:rPr>
          <w:sz w:val="26"/>
          <w:szCs w:val="26"/>
        </w:rPr>
        <w:tab/>
        <w:t xml:space="preserve">On August 2, 2017, the Complainant filed a Formal Complaint (Complaint) against West Penn in which she alleged that: (1) West Penn was threatening to disconnect her utility service; </w:t>
      </w:r>
      <w:r w:rsidR="006C55C9" w:rsidRPr="007855BD">
        <w:rPr>
          <w:sz w:val="26"/>
          <w:szCs w:val="26"/>
        </w:rPr>
        <w:t xml:space="preserve">and </w:t>
      </w:r>
      <w:r w:rsidR="00C035BB" w:rsidRPr="007855BD">
        <w:rPr>
          <w:sz w:val="26"/>
          <w:szCs w:val="26"/>
        </w:rPr>
        <w:t>(</w:t>
      </w:r>
      <w:r w:rsidRPr="007855BD">
        <w:rPr>
          <w:sz w:val="26"/>
          <w:szCs w:val="26"/>
        </w:rPr>
        <w:t>2) there were incorrect charges on her bill for utility service.  For relief, she requested a payment arrangement (PAR).  Complaint at 1-3</w:t>
      </w:r>
      <w:r w:rsidR="00FC4281" w:rsidRPr="007855BD">
        <w:rPr>
          <w:sz w:val="26"/>
          <w:szCs w:val="26"/>
        </w:rPr>
        <w:t>.</w:t>
      </w:r>
    </w:p>
    <w:p w14:paraId="5018B377" w14:textId="77777777" w:rsidR="00D82782" w:rsidRPr="007855BD" w:rsidRDefault="00D82782" w:rsidP="00D82782">
      <w:pPr>
        <w:pStyle w:val="Default"/>
        <w:spacing w:line="360" w:lineRule="auto"/>
        <w:ind w:firstLine="1440"/>
        <w:rPr>
          <w:color w:val="auto"/>
          <w:sz w:val="26"/>
          <w:szCs w:val="26"/>
        </w:rPr>
      </w:pPr>
    </w:p>
    <w:p w14:paraId="5EA9B279" w14:textId="5C9B27B5" w:rsidR="00D82782" w:rsidRPr="007855BD" w:rsidRDefault="00D82782" w:rsidP="00D82782">
      <w:pPr>
        <w:pStyle w:val="Default"/>
        <w:spacing w:line="360" w:lineRule="auto"/>
        <w:ind w:firstLine="1440"/>
        <w:rPr>
          <w:color w:val="auto"/>
          <w:sz w:val="26"/>
          <w:szCs w:val="26"/>
        </w:rPr>
      </w:pPr>
      <w:r w:rsidRPr="007855BD">
        <w:rPr>
          <w:color w:val="auto"/>
          <w:sz w:val="26"/>
          <w:szCs w:val="26"/>
        </w:rPr>
        <w:t>On August 22, 2017, West Penn filed an Answer in which it admitted and denied certain allegations made by the Complainant</w:t>
      </w:r>
      <w:r w:rsidR="00FC4281" w:rsidRPr="007855BD">
        <w:rPr>
          <w:color w:val="auto"/>
          <w:sz w:val="26"/>
          <w:szCs w:val="26"/>
        </w:rPr>
        <w:t xml:space="preserve"> (Answer)</w:t>
      </w:r>
      <w:r w:rsidRPr="007855BD">
        <w:rPr>
          <w:color w:val="auto"/>
          <w:sz w:val="26"/>
          <w:szCs w:val="26"/>
        </w:rPr>
        <w:t>.  West Penn admitted that it ha</w:t>
      </w:r>
      <w:r w:rsidR="006C55C9" w:rsidRPr="007855BD">
        <w:rPr>
          <w:color w:val="auto"/>
          <w:sz w:val="26"/>
          <w:szCs w:val="26"/>
        </w:rPr>
        <w:t>d</w:t>
      </w:r>
      <w:r w:rsidRPr="007855BD">
        <w:rPr>
          <w:color w:val="auto"/>
          <w:sz w:val="26"/>
          <w:szCs w:val="26"/>
        </w:rPr>
        <w:t xml:space="preserve"> begun termination </w:t>
      </w:r>
      <w:r w:rsidR="0038339D" w:rsidRPr="007855BD">
        <w:rPr>
          <w:color w:val="auto"/>
          <w:sz w:val="26"/>
          <w:szCs w:val="26"/>
        </w:rPr>
        <w:t xml:space="preserve">at </w:t>
      </w:r>
      <w:r w:rsidRPr="007855BD">
        <w:rPr>
          <w:color w:val="auto"/>
          <w:sz w:val="26"/>
          <w:szCs w:val="26"/>
        </w:rPr>
        <w:t xml:space="preserve">the Complainant’s </w:t>
      </w:r>
      <w:r w:rsidR="00FC4281" w:rsidRPr="007855BD">
        <w:rPr>
          <w:color w:val="auto"/>
          <w:sz w:val="26"/>
          <w:szCs w:val="26"/>
        </w:rPr>
        <w:t xml:space="preserve">Service Address, </w:t>
      </w:r>
      <w:r w:rsidR="0038339D" w:rsidRPr="007855BD">
        <w:rPr>
          <w:color w:val="auto"/>
          <w:sz w:val="26"/>
          <w:szCs w:val="26"/>
        </w:rPr>
        <w:t xml:space="preserve">but </w:t>
      </w:r>
      <w:r w:rsidRPr="007855BD">
        <w:rPr>
          <w:color w:val="auto"/>
          <w:sz w:val="26"/>
          <w:szCs w:val="26"/>
        </w:rPr>
        <w:t xml:space="preserve">that it has stayed the termination pending resolution of the Complaint.  </w:t>
      </w:r>
      <w:r w:rsidR="00293429" w:rsidRPr="007855BD">
        <w:rPr>
          <w:color w:val="auto"/>
          <w:sz w:val="26"/>
          <w:szCs w:val="26"/>
        </w:rPr>
        <w:t xml:space="preserve">West Penn also admitted that the Complainant is seeking a PAR.  </w:t>
      </w:r>
      <w:r w:rsidRPr="007855BD">
        <w:rPr>
          <w:color w:val="auto"/>
          <w:sz w:val="26"/>
          <w:szCs w:val="26"/>
        </w:rPr>
        <w:t>West Penn denied there were incorrect charges on the Complainant’s electric bill.  West Penn requested the Commission dismiss the Complaint.  West Penn also requested mediation to resolve the issues.  Answer</w:t>
      </w:r>
      <w:r w:rsidRPr="007855BD">
        <w:rPr>
          <w:sz w:val="26"/>
          <w:szCs w:val="26"/>
        </w:rPr>
        <w:t xml:space="preserve"> at 1-4.</w:t>
      </w:r>
    </w:p>
    <w:p w14:paraId="2F30A86B" w14:textId="77777777" w:rsidR="00D82782" w:rsidRPr="007855BD" w:rsidRDefault="00D82782" w:rsidP="00D82782">
      <w:pPr>
        <w:pStyle w:val="Default"/>
        <w:spacing w:line="360" w:lineRule="auto"/>
        <w:ind w:firstLine="1440"/>
        <w:rPr>
          <w:color w:val="auto"/>
          <w:sz w:val="26"/>
          <w:szCs w:val="26"/>
        </w:rPr>
      </w:pPr>
    </w:p>
    <w:p w14:paraId="78B9F040" w14:textId="76D65A44" w:rsidR="00D82782" w:rsidRPr="007855BD" w:rsidRDefault="00D82782" w:rsidP="00663BB9">
      <w:pPr>
        <w:ind w:firstLine="1440"/>
        <w:jc w:val="left"/>
        <w:rPr>
          <w:sz w:val="26"/>
          <w:szCs w:val="26"/>
        </w:rPr>
      </w:pPr>
      <w:r w:rsidRPr="007855BD">
        <w:rPr>
          <w:sz w:val="26"/>
          <w:szCs w:val="26"/>
        </w:rPr>
        <w:t>The Parties were directed to the Commission’s Mediation Unit to attempt a resolution of the dispute.  No resolution was achieved, and the case was scheduled for hearing.</w:t>
      </w:r>
    </w:p>
    <w:p w14:paraId="1042D039" w14:textId="77777777" w:rsidR="00D82782" w:rsidRPr="007855BD" w:rsidRDefault="00D82782" w:rsidP="00D82782">
      <w:pPr>
        <w:jc w:val="left"/>
        <w:rPr>
          <w:sz w:val="26"/>
          <w:szCs w:val="26"/>
        </w:rPr>
      </w:pPr>
    </w:p>
    <w:p w14:paraId="6E3ACFAE" w14:textId="497C97CF" w:rsidR="00D82782" w:rsidRPr="007855BD" w:rsidRDefault="00D82782" w:rsidP="00D82782">
      <w:pPr>
        <w:pStyle w:val="ListParagraph"/>
        <w:ind w:left="0" w:firstLine="1440"/>
        <w:jc w:val="left"/>
        <w:rPr>
          <w:sz w:val="26"/>
          <w:szCs w:val="26"/>
        </w:rPr>
      </w:pPr>
      <w:r w:rsidRPr="007855BD">
        <w:rPr>
          <w:sz w:val="26"/>
          <w:szCs w:val="26"/>
        </w:rPr>
        <w:t xml:space="preserve">ALJ Johnson conducted a telephonic hearing on September 5, 2018.  The Complainant was represented by counsel and presented the testimony of the </w:t>
      </w:r>
      <w:r w:rsidR="00D17B58" w:rsidRPr="007855BD">
        <w:rPr>
          <w:sz w:val="26"/>
          <w:szCs w:val="26"/>
        </w:rPr>
        <w:t>Complainant</w:t>
      </w:r>
      <w:r w:rsidRPr="007855BD">
        <w:rPr>
          <w:sz w:val="26"/>
          <w:szCs w:val="26"/>
        </w:rPr>
        <w:t>.  West Penn was represented by counsel and presented the testimony of two witness</w:t>
      </w:r>
      <w:r w:rsidR="00293429" w:rsidRPr="007855BD">
        <w:rPr>
          <w:sz w:val="26"/>
          <w:szCs w:val="26"/>
        </w:rPr>
        <w:t>es</w:t>
      </w:r>
      <w:r w:rsidRPr="007855BD">
        <w:rPr>
          <w:sz w:val="26"/>
          <w:szCs w:val="26"/>
        </w:rPr>
        <w:t>.  West Penn offered nine Exhibits (Exhibits 1 through 9) all of which were admitted into the record.  I.D. at 2.</w:t>
      </w:r>
    </w:p>
    <w:p w14:paraId="613E3028" w14:textId="77777777" w:rsidR="00D82782" w:rsidRPr="007855BD" w:rsidRDefault="00D82782" w:rsidP="00D82782">
      <w:pPr>
        <w:pStyle w:val="ListParagraph"/>
        <w:ind w:left="0" w:firstLine="1440"/>
        <w:jc w:val="left"/>
        <w:rPr>
          <w:sz w:val="26"/>
          <w:szCs w:val="26"/>
        </w:rPr>
      </w:pPr>
    </w:p>
    <w:p w14:paraId="29CA68BE" w14:textId="0B5CB960" w:rsidR="00D82782" w:rsidRPr="007855BD" w:rsidRDefault="00D7095A" w:rsidP="00D82782">
      <w:pPr>
        <w:pStyle w:val="ListParagraph"/>
        <w:ind w:left="0" w:firstLine="1440"/>
        <w:jc w:val="left"/>
        <w:rPr>
          <w:sz w:val="26"/>
          <w:szCs w:val="26"/>
        </w:rPr>
      </w:pPr>
      <w:r w:rsidRPr="007855BD">
        <w:rPr>
          <w:sz w:val="26"/>
          <w:szCs w:val="26"/>
        </w:rPr>
        <w:t xml:space="preserve">On November 20, 2018, the ALJ closed the record by interim order. </w:t>
      </w:r>
      <w:r w:rsidR="00D82782" w:rsidRPr="007855BD">
        <w:rPr>
          <w:sz w:val="26"/>
          <w:szCs w:val="26"/>
        </w:rPr>
        <w:t xml:space="preserve"> </w:t>
      </w:r>
      <w:r w:rsidR="00D82782" w:rsidRPr="007855BD">
        <w:rPr>
          <w:i/>
          <w:iCs/>
          <w:sz w:val="26"/>
          <w:szCs w:val="26"/>
        </w:rPr>
        <w:t>Id</w:t>
      </w:r>
      <w:r w:rsidR="00D82782" w:rsidRPr="007855BD">
        <w:rPr>
          <w:sz w:val="26"/>
          <w:szCs w:val="26"/>
        </w:rPr>
        <w:t>.</w:t>
      </w:r>
    </w:p>
    <w:p w14:paraId="6DC9333A" w14:textId="731B5108" w:rsidR="00D82782" w:rsidRPr="007855BD" w:rsidRDefault="00D82782" w:rsidP="00D82782">
      <w:pPr>
        <w:pStyle w:val="ListParagraph"/>
        <w:ind w:left="0" w:firstLine="1440"/>
        <w:jc w:val="left"/>
        <w:rPr>
          <w:sz w:val="26"/>
          <w:szCs w:val="26"/>
        </w:rPr>
      </w:pPr>
      <w:r w:rsidRPr="007855BD">
        <w:rPr>
          <w:sz w:val="26"/>
          <w:szCs w:val="26"/>
        </w:rPr>
        <w:lastRenderedPageBreak/>
        <w:t xml:space="preserve">On </w:t>
      </w:r>
      <w:r w:rsidR="00950A9B" w:rsidRPr="007855BD">
        <w:rPr>
          <w:sz w:val="26"/>
          <w:szCs w:val="26"/>
        </w:rPr>
        <w:t>February 13</w:t>
      </w:r>
      <w:r w:rsidRPr="007855BD">
        <w:rPr>
          <w:sz w:val="26"/>
          <w:szCs w:val="26"/>
        </w:rPr>
        <w:t xml:space="preserve">, 2019, the Commission issued ALJ Johnson’s Initial Decision in which the ALJ dismissed the Complaint.  </w:t>
      </w:r>
      <w:r w:rsidRPr="007855BD">
        <w:rPr>
          <w:i/>
          <w:sz w:val="26"/>
          <w:szCs w:val="26"/>
        </w:rPr>
        <w:t>Id.</w:t>
      </w:r>
      <w:r w:rsidRPr="007855BD">
        <w:rPr>
          <w:sz w:val="26"/>
          <w:szCs w:val="26"/>
        </w:rPr>
        <w:t xml:space="preserve"> at 17.</w:t>
      </w:r>
    </w:p>
    <w:p w14:paraId="5ABF350D" w14:textId="77777777" w:rsidR="00D82782" w:rsidRPr="007855BD" w:rsidRDefault="00D82782" w:rsidP="00D82782">
      <w:pPr>
        <w:pStyle w:val="ListParagraph"/>
        <w:ind w:left="0" w:firstLine="1440"/>
        <w:jc w:val="left"/>
        <w:rPr>
          <w:sz w:val="26"/>
          <w:szCs w:val="26"/>
        </w:rPr>
      </w:pPr>
    </w:p>
    <w:p w14:paraId="74630CA9" w14:textId="77777777" w:rsidR="00D82782" w:rsidRPr="007855BD" w:rsidRDefault="00D82782" w:rsidP="00D82782">
      <w:pPr>
        <w:pStyle w:val="ListParagraph"/>
        <w:ind w:left="0" w:firstLine="1440"/>
        <w:jc w:val="left"/>
        <w:rPr>
          <w:sz w:val="26"/>
          <w:szCs w:val="26"/>
        </w:rPr>
      </w:pPr>
      <w:r w:rsidRPr="007855BD">
        <w:rPr>
          <w:sz w:val="26"/>
          <w:szCs w:val="26"/>
        </w:rPr>
        <w:t>As previously noted, the Complainant filed Exceptions on March 4, 2019.  West Penn filed Replies to Exceptions on March 21, 2019.</w:t>
      </w:r>
    </w:p>
    <w:p w14:paraId="16E9A08A" w14:textId="77777777" w:rsidR="00D82782" w:rsidRPr="007855BD" w:rsidRDefault="00D82782" w:rsidP="00D82782">
      <w:pPr>
        <w:pStyle w:val="ListParagraph"/>
        <w:ind w:left="0" w:firstLine="1440"/>
        <w:jc w:val="left"/>
        <w:rPr>
          <w:sz w:val="26"/>
          <w:szCs w:val="26"/>
        </w:rPr>
      </w:pPr>
    </w:p>
    <w:p w14:paraId="1BC08C67" w14:textId="77777777" w:rsidR="00D82782" w:rsidRPr="007855BD" w:rsidRDefault="00D82782" w:rsidP="00DB0D06">
      <w:pPr>
        <w:keepNext/>
        <w:ind w:firstLine="0"/>
        <w:rPr>
          <w:b/>
          <w:sz w:val="26"/>
          <w:szCs w:val="26"/>
        </w:rPr>
      </w:pPr>
      <w:r w:rsidRPr="007855BD">
        <w:rPr>
          <w:b/>
          <w:sz w:val="26"/>
          <w:szCs w:val="26"/>
        </w:rPr>
        <w:t>Background</w:t>
      </w:r>
    </w:p>
    <w:p w14:paraId="44D6FCB9" w14:textId="77777777" w:rsidR="00D82782" w:rsidRPr="007855BD" w:rsidRDefault="00D82782" w:rsidP="00D82782">
      <w:pPr>
        <w:suppressAutoHyphens/>
        <w:jc w:val="left"/>
        <w:rPr>
          <w:sz w:val="26"/>
          <w:szCs w:val="26"/>
        </w:rPr>
      </w:pPr>
    </w:p>
    <w:p w14:paraId="06AA0C9E" w14:textId="1203DDB4" w:rsidR="00D82782" w:rsidRPr="007855BD" w:rsidRDefault="00D82782" w:rsidP="00D82782">
      <w:pPr>
        <w:jc w:val="left"/>
        <w:rPr>
          <w:sz w:val="26"/>
          <w:szCs w:val="26"/>
        </w:rPr>
      </w:pPr>
      <w:r w:rsidRPr="007855BD">
        <w:rPr>
          <w:sz w:val="26"/>
          <w:szCs w:val="26"/>
        </w:rPr>
        <w:tab/>
        <w:t xml:space="preserve">The Complainant resides at the Service Address with her husband and two minor children.  The house is 2,600 square feet and has three bedrooms and two bathrooms and is an all-electric ranch-style home with a fireplace.  The electric appliances at the </w:t>
      </w:r>
      <w:r w:rsidR="00FC4281" w:rsidRPr="007855BD">
        <w:rPr>
          <w:sz w:val="26"/>
          <w:szCs w:val="26"/>
        </w:rPr>
        <w:t>S</w:t>
      </w:r>
      <w:r w:rsidRPr="007855BD">
        <w:rPr>
          <w:sz w:val="26"/>
          <w:szCs w:val="26"/>
        </w:rPr>
        <w:t xml:space="preserve">ervice </w:t>
      </w:r>
      <w:r w:rsidR="00FC4281" w:rsidRPr="007855BD">
        <w:rPr>
          <w:sz w:val="26"/>
          <w:szCs w:val="26"/>
        </w:rPr>
        <w:t>A</w:t>
      </w:r>
      <w:r w:rsidRPr="007855BD">
        <w:rPr>
          <w:sz w:val="26"/>
          <w:szCs w:val="26"/>
        </w:rPr>
        <w:t>ddress include the following: central air conditioning, refrigerator, range, upright freezer, dishwasher, washer/dryer, hot water heater, three televisions, computer, out-of-service pool pump, CPAP machine and nebulizer.</w:t>
      </w:r>
      <w:r w:rsidR="00FC4281" w:rsidRPr="007855BD">
        <w:rPr>
          <w:rStyle w:val="FootnoteReference"/>
          <w:sz w:val="26"/>
          <w:szCs w:val="26"/>
        </w:rPr>
        <w:t xml:space="preserve"> </w:t>
      </w:r>
      <w:r w:rsidR="00FC4281" w:rsidRPr="007855BD">
        <w:rPr>
          <w:rStyle w:val="FootnoteReference"/>
          <w:sz w:val="26"/>
          <w:szCs w:val="26"/>
        </w:rPr>
        <w:footnoteReference w:id="3"/>
      </w:r>
      <w:r w:rsidR="00FC4281" w:rsidRPr="007855BD">
        <w:rPr>
          <w:sz w:val="26"/>
          <w:szCs w:val="26"/>
        </w:rPr>
        <w:t xml:space="preserve"> </w:t>
      </w:r>
      <w:r w:rsidRPr="007855BD">
        <w:rPr>
          <w:sz w:val="26"/>
          <w:szCs w:val="26"/>
        </w:rPr>
        <w:t xml:space="preserve"> The Complainant testified that her household income includes $27,000 annual income from her work as a medical assistant and her husband’s annual salary of $15,600 working as a custodian plus $6,000 as a bowling alley attendant, for a total gross household income of $48,600, or $4,050 monthly.  I.D. at 3-8; Tr. at 16-31.</w:t>
      </w:r>
    </w:p>
    <w:p w14:paraId="44B2C0D8" w14:textId="37685E99" w:rsidR="00D82782" w:rsidRPr="007855BD" w:rsidRDefault="00D82782" w:rsidP="00D82782">
      <w:pPr>
        <w:ind w:firstLine="0"/>
        <w:jc w:val="left"/>
        <w:rPr>
          <w:sz w:val="26"/>
          <w:szCs w:val="26"/>
        </w:rPr>
      </w:pPr>
    </w:p>
    <w:p w14:paraId="189D0832" w14:textId="7AAB914B" w:rsidR="00D82782" w:rsidRPr="007855BD" w:rsidRDefault="00D82782" w:rsidP="00D82782">
      <w:pPr>
        <w:jc w:val="left"/>
        <w:rPr>
          <w:sz w:val="26"/>
          <w:szCs w:val="26"/>
        </w:rPr>
      </w:pPr>
      <w:r w:rsidRPr="007855BD">
        <w:rPr>
          <w:sz w:val="26"/>
          <w:szCs w:val="26"/>
        </w:rPr>
        <w:tab/>
        <w:t xml:space="preserve">The Complainant testified that beginning </w:t>
      </w:r>
      <w:r w:rsidR="006C55C9" w:rsidRPr="007855BD">
        <w:rPr>
          <w:sz w:val="26"/>
          <w:szCs w:val="26"/>
        </w:rPr>
        <w:t xml:space="preserve">in </w:t>
      </w:r>
      <w:r w:rsidRPr="007855BD">
        <w:rPr>
          <w:sz w:val="26"/>
          <w:szCs w:val="26"/>
        </w:rPr>
        <w:t xml:space="preserve">2016 she was under </w:t>
      </w:r>
      <w:r w:rsidR="006C55C9" w:rsidRPr="007855BD">
        <w:rPr>
          <w:sz w:val="26"/>
          <w:szCs w:val="26"/>
        </w:rPr>
        <w:t>C</w:t>
      </w:r>
      <w:r w:rsidRPr="007855BD">
        <w:rPr>
          <w:sz w:val="26"/>
          <w:szCs w:val="26"/>
        </w:rPr>
        <w:t>hapter 13 bankruptcy, and that under</w:t>
      </w:r>
      <w:r w:rsidR="000155CF" w:rsidRPr="007855BD">
        <w:rPr>
          <w:sz w:val="26"/>
          <w:szCs w:val="26"/>
        </w:rPr>
        <w:t xml:space="preserve"> a</w:t>
      </w:r>
      <w:r w:rsidRPr="007855BD">
        <w:rPr>
          <w:sz w:val="26"/>
          <w:szCs w:val="26"/>
        </w:rPr>
        <w:t xml:space="preserve"> bankruptcy order, she is currently making monthly payments of $1,430 through wage garnishment that goes towards her mortgage, property taxes and homeowner’s insurance as well as payments for two lots she own</w:t>
      </w:r>
      <w:r w:rsidR="000155CF" w:rsidRPr="007855BD">
        <w:rPr>
          <w:sz w:val="26"/>
          <w:szCs w:val="26"/>
        </w:rPr>
        <w:t>ed</w:t>
      </w:r>
      <w:r w:rsidRPr="007855BD">
        <w:rPr>
          <w:sz w:val="26"/>
          <w:szCs w:val="26"/>
        </w:rPr>
        <w:t xml:space="preserve"> and her car loan.  I</w:t>
      </w:r>
      <w:r w:rsidR="00F65920" w:rsidRPr="007855BD">
        <w:rPr>
          <w:sz w:val="26"/>
          <w:szCs w:val="26"/>
        </w:rPr>
        <w:t>.</w:t>
      </w:r>
      <w:r w:rsidRPr="007855BD">
        <w:rPr>
          <w:sz w:val="26"/>
          <w:szCs w:val="26"/>
        </w:rPr>
        <w:t>D. at 7</w:t>
      </w:r>
      <w:r w:rsidR="004E06A5" w:rsidRPr="007855BD">
        <w:rPr>
          <w:sz w:val="26"/>
          <w:szCs w:val="26"/>
        </w:rPr>
        <w:t>;</w:t>
      </w:r>
      <w:r w:rsidRPr="007855BD">
        <w:rPr>
          <w:sz w:val="26"/>
          <w:szCs w:val="26"/>
        </w:rPr>
        <w:t xml:space="preserve"> Tr. </w:t>
      </w:r>
      <w:r w:rsidR="004E06A5" w:rsidRPr="007855BD">
        <w:rPr>
          <w:sz w:val="26"/>
          <w:szCs w:val="26"/>
        </w:rPr>
        <w:t xml:space="preserve">at </w:t>
      </w:r>
      <w:r w:rsidRPr="007855BD">
        <w:rPr>
          <w:sz w:val="26"/>
          <w:szCs w:val="26"/>
        </w:rPr>
        <w:t xml:space="preserve">17, 26-27.  The Complainant disputes her March 2017 bill in the amount of $809.15, </w:t>
      </w:r>
      <w:r w:rsidR="009A6442" w:rsidRPr="007855BD">
        <w:rPr>
          <w:sz w:val="26"/>
          <w:szCs w:val="26"/>
        </w:rPr>
        <w:t>stating that it was more than what she was billed in previous months.</w:t>
      </w:r>
      <w:r w:rsidRPr="007855BD">
        <w:rPr>
          <w:sz w:val="26"/>
          <w:szCs w:val="26"/>
        </w:rPr>
        <w:t xml:space="preserve">  Tr. at 39-40.  The Complainant also claimed that she received a termination notice from </w:t>
      </w:r>
      <w:r w:rsidRPr="007855BD">
        <w:rPr>
          <w:sz w:val="26"/>
          <w:szCs w:val="26"/>
        </w:rPr>
        <w:lastRenderedPageBreak/>
        <w:t xml:space="preserve">West Penn, but </w:t>
      </w:r>
      <w:r w:rsidR="004E06A5" w:rsidRPr="007855BD">
        <w:rPr>
          <w:sz w:val="26"/>
          <w:szCs w:val="26"/>
        </w:rPr>
        <w:t xml:space="preserve">that </w:t>
      </w:r>
      <w:r w:rsidRPr="007855BD">
        <w:rPr>
          <w:sz w:val="26"/>
          <w:szCs w:val="26"/>
        </w:rPr>
        <w:t xml:space="preserve">was put on hold through </w:t>
      </w:r>
      <w:r w:rsidR="004E06A5" w:rsidRPr="007855BD">
        <w:rPr>
          <w:sz w:val="26"/>
          <w:szCs w:val="26"/>
        </w:rPr>
        <w:t>a d</w:t>
      </w:r>
      <w:r w:rsidRPr="007855BD">
        <w:rPr>
          <w:sz w:val="26"/>
          <w:szCs w:val="26"/>
        </w:rPr>
        <w:t xml:space="preserve">octor’s medical exemption </w:t>
      </w:r>
      <w:r w:rsidR="004E06A5" w:rsidRPr="007855BD">
        <w:rPr>
          <w:sz w:val="26"/>
          <w:szCs w:val="26"/>
        </w:rPr>
        <w:t xml:space="preserve">due </w:t>
      </w:r>
      <w:r w:rsidRPr="007855BD">
        <w:rPr>
          <w:sz w:val="26"/>
          <w:szCs w:val="26"/>
        </w:rPr>
        <w:t xml:space="preserve">to her daughter’s </w:t>
      </w:r>
      <w:r w:rsidR="00D7095A" w:rsidRPr="007855BD">
        <w:rPr>
          <w:sz w:val="26"/>
          <w:szCs w:val="26"/>
        </w:rPr>
        <w:t>and husband’s medical issues</w:t>
      </w:r>
      <w:r w:rsidRPr="007855BD">
        <w:rPr>
          <w:sz w:val="26"/>
          <w:szCs w:val="26"/>
        </w:rPr>
        <w:t>.</w:t>
      </w:r>
      <w:r w:rsidR="00FC4281" w:rsidRPr="007855BD">
        <w:rPr>
          <w:sz w:val="26"/>
          <w:szCs w:val="26"/>
        </w:rPr>
        <w:t xml:space="preserve">  </w:t>
      </w:r>
      <w:r w:rsidRPr="007855BD">
        <w:rPr>
          <w:sz w:val="26"/>
          <w:szCs w:val="26"/>
        </w:rPr>
        <w:t>Tr.</w:t>
      </w:r>
      <w:r w:rsidR="00FC4281" w:rsidRPr="007855BD">
        <w:rPr>
          <w:sz w:val="26"/>
          <w:szCs w:val="26"/>
        </w:rPr>
        <w:t xml:space="preserve"> at </w:t>
      </w:r>
      <w:r w:rsidRPr="007855BD">
        <w:rPr>
          <w:sz w:val="26"/>
          <w:szCs w:val="26"/>
        </w:rPr>
        <w:t>45-46.  Finally, the Complainant noted that she never received a Commission issued</w:t>
      </w:r>
      <w:r w:rsidR="004D0C67" w:rsidRPr="007855BD">
        <w:rPr>
          <w:sz w:val="26"/>
          <w:szCs w:val="26"/>
        </w:rPr>
        <w:t xml:space="preserve"> </w:t>
      </w:r>
      <w:r w:rsidRPr="007855BD">
        <w:rPr>
          <w:sz w:val="26"/>
          <w:szCs w:val="26"/>
        </w:rPr>
        <w:t xml:space="preserve">payment </w:t>
      </w:r>
      <w:proofErr w:type="gramStart"/>
      <w:r w:rsidRPr="007855BD">
        <w:rPr>
          <w:sz w:val="26"/>
          <w:szCs w:val="26"/>
        </w:rPr>
        <w:t>arrangement, and</w:t>
      </w:r>
      <w:proofErr w:type="gramEnd"/>
      <w:r w:rsidRPr="007855BD">
        <w:rPr>
          <w:sz w:val="26"/>
          <w:szCs w:val="26"/>
        </w:rPr>
        <w:t xml:space="preserve"> requested one.  Tr. at 37, 44.</w:t>
      </w:r>
    </w:p>
    <w:p w14:paraId="5B5024F4" w14:textId="77777777" w:rsidR="00D82782" w:rsidRPr="007855BD" w:rsidRDefault="00D82782" w:rsidP="00D82782">
      <w:pPr>
        <w:jc w:val="left"/>
        <w:rPr>
          <w:sz w:val="26"/>
          <w:szCs w:val="26"/>
        </w:rPr>
      </w:pPr>
    </w:p>
    <w:p w14:paraId="2CA686B9" w14:textId="371CD623" w:rsidR="00D82782" w:rsidRPr="007855BD" w:rsidRDefault="00D82782" w:rsidP="00614726">
      <w:pPr>
        <w:jc w:val="left"/>
        <w:rPr>
          <w:sz w:val="26"/>
          <w:szCs w:val="26"/>
        </w:rPr>
      </w:pPr>
      <w:r w:rsidRPr="007855BD">
        <w:rPr>
          <w:sz w:val="26"/>
          <w:szCs w:val="26"/>
        </w:rPr>
        <w:tab/>
        <w:t xml:space="preserve">West Penn, on the other hand, </w:t>
      </w:r>
      <w:r w:rsidR="00D7095A" w:rsidRPr="007855BD">
        <w:rPr>
          <w:sz w:val="26"/>
          <w:szCs w:val="26"/>
        </w:rPr>
        <w:t xml:space="preserve">presented evidence </w:t>
      </w:r>
      <w:r w:rsidR="00D17B58" w:rsidRPr="007855BD">
        <w:rPr>
          <w:sz w:val="26"/>
          <w:szCs w:val="26"/>
        </w:rPr>
        <w:t>th</w:t>
      </w:r>
      <w:r w:rsidRPr="007855BD">
        <w:rPr>
          <w:sz w:val="26"/>
          <w:szCs w:val="26"/>
        </w:rPr>
        <w:t xml:space="preserve">at it mailed the Complainant a letter informing her of its annual recertification requirement to continue in the Company’s Pennsylvania Customer Assistance Program (PCAP), however, she failed to respond.  According to West Penn, it removed the Complainant from its PCAP on June 28, 2016, </w:t>
      </w:r>
      <w:r w:rsidR="00C64BDE" w:rsidRPr="007855BD">
        <w:rPr>
          <w:sz w:val="26"/>
          <w:szCs w:val="26"/>
        </w:rPr>
        <w:t xml:space="preserve">after </w:t>
      </w:r>
      <w:r w:rsidRPr="007855BD">
        <w:rPr>
          <w:sz w:val="26"/>
          <w:szCs w:val="26"/>
        </w:rPr>
        <w:t>the Complainant fail</w:t>
      </w:r>
      <w:r w:rsidR="00C64BDE" w:rsidRPr="007855BD">
        <w:rPr>
          <w:sz w:val="26"/>
          <w:szCs w:val="26"/>
        </w:rPr>
        <w:t xml:space="preserve">ed </w:t>
      </w:r>
      <w:r w:rsidRPr="007855BD">
        <w:rPr>
          <w:sz w:val="26"/>
          <w:szCs w:val="26"/>
        </w:rPr>
        <w:t>to recertify her household income</w:t>
      </w:r>
      <w:r w:rsidR="00C64BDE" w:rsidRPr="007855BD">
        <w:rPr>
          <w:sz w:val="26"/>
          <w:szCs w:val="26"/>
        </w:rPr>
        <w:t xml:space="preserve">.  West Penn also noted that </w:t>
      </w:r>
      <w:r w:rsidRPr="007855BD">
        <w:rPr>
          <w:sz w:val="26"/>
          <w:szCs w:val="26"/>
        </w:rPr>
        <w:t xml:space="preserve">her account was in default.  West Penn’s witness also testified that the Complainant made insufficient payments that resulted in an outstanding balance of $6,114.12.  I.D. at 4-5; Tr. at 73-74, 81-82; Exhs. 2, 5-6. </w:t>
      </w:r>
    </w:p>
    <w:p w14:paraId="0B8B3822" w14:textId="684FCDB6" w:rsidR="00D82782" w:rsidRPr="007855BD" w:rsidRDefault="00D82782" w:rsidP="00BB385E">
      <w:pPr>
        <w:jc w:val="left"/>
        <w:rPr>
          <w:sz w:val="26"/>
          <w:szCs w:val="26"/>
        </w:rPr>
      </w:pPr>
    </w:p>
    <w:p w14:paraId="76F52A6B" w14:textId="03849831" w:rsidR="00D82782" w:rsidRPr="007855BD" w:rsidRDefault="00D82782" w:rsidP="00BB385E">
      <w:pPr>
        <w:jc w:val="left"/>
        <w:rPr>
          <w:sz w:val="26"/>
          <w:szCs w:val="26"/>
        </w:rPr>
      </w:pPr>
      <w:r w:rsidRPr="007855BD">
        <w:rPr>
          <w:sz w:val="26"/>
          <w:szCs w:val="26"/>
        </w:rPr>
        <w:tab/>
        <w:t>According to West Penn, pursuant to the Complainant’s high bill claim, it removed the Complainant’s electric meter in August 15, 2017, and replaced it with a new meter.  West Penn’s witness stated that the old meter was tested and found to be accurate and operating within the Commission</w:t>
      </w:r>
      <w:r w:rsidR="005E14DD" w:rsidRPr="007855BD">
        <w:rPr>
          <w:sz w:val="26"/>
          <w:szCs w:val="26"/>
        </w:rPr>
        <w:t>’s</w:t>
      </w:r>
      <w:r w:rsidRPr="007855BD">
        <w:rPr>
          <w:sz w:val="26"/>
          <w:szCs w:val="26"/>
        </w:rPr>
        <w:t xml:space="preserve"> guidelines.  West Penn asserted that it conducts bimonthly actual meter readings of its customers</w:t>
      </w:r>
      <w:r w:rsidR="005E14DD" w:rsidRPr="007855BD">
        <w:rPr>
          <w:sz w:val="26"/>
          <w:szCs w:val="26"/>
        </w:rPr>
        <w:t>’</w:t>
      </w:r>
      <w:r w:rsidRPr="007855BD">
        <w:rPr>
          <w:sz w:val="26"/>
          <w:szCs w:val="26"/>
        </w:rPr>
        <w:t xml:space="preserve"> electric usage, thereby alter</w:t>
      </w:r>
      <w:r w:rsidR="00094044" w:rsidRPr="007855BD">
        <w:rPr>
          <w:sz w:val="26"/>
          <w:szCs w:val="26"/>
        </w:rPr>
        <w:t>nating</w:t>
      </w:r>
      <w:r w:rsidRPr="007855BD">
        <w:rPr>
          <w:sz w:val="26"/>
          <w:szCs w:val="26"/>
        </w:rPr>
        <w:t xml:space="preserve"> between actual and estimated meter readings.  I.D. at 7, 11-12; Tr. at 97-100</w:t>
      </w:r>
      <w:r w:rsidR="004E06A5" w:rsidRPr="007855BD">
        <w:rPr>
          <w:sz w:val="26"/>
          <w:szCs w:val="26"/>
        </w:rPr>
        <w:t>;</w:t>
      </w:r>
      <w:r w:rsidRPr="007855BD">
        <w:rPr>
          <w:sz w:val="26"/>
          <w:szCs w:val="26"/>
        </w:rPr>
        <w:t xml:space="preserve"> Exh. 8.</w:t>
      </w:r>
    </w:p>
    <w:p w14:paraId="3669424F" w14:textId="10722D33" w:rsidR="00D82782" w:rsidRPr="007855BD" w:rsidRDefault="00D82782" w:rsidP="00BB385E">
      <w:pPr>
        <w:jc w:val="left"/>
        <w:rPr>
          <w:sz w:val="26"/>
          <w:szCs w:val="26"/>
        </w:rPr>
      </w:pPr>
    </w:p>
    <w:p w14:paraId="7F2198DA" w14:textId="10CF4FF1" w:rsidR="00D82782" w:rsidRPr="007855BD" w:rsidRDefault="00D82782" w:rsidP="00BB385E">
      <w:pPr>
        <w:jc w:val="left"/>
        <w:rPr>
          <w:sz w:val="26"/>
          <w:szCs w:val="26"/>
        </w:rPr>
      </w:pPr>
      <w:r w:rsidRPr="007855BD">
        <w:rPr>
          <w:sz w:val="26"/>
          <w:szCs w:val="26"/>
        </w:rPr>
        <w:tab/>
        <w:t>West Penn’s witness compared the Complainant’s electric usage for the prior two</w:t>
      </w:r>
      <w:r w:rsidR="00BB385E" w:rsidRPr="007855BD">
        <w:rPr>
          <w:sz w:val="26"/>
          <w:szCs w:val="26"/>
        </w:rPr>
        <w:t>-</w:t>
      </w:r>
      <w:r w:rsidRPr="007855BD">
        <w:rPr>
          <w:sz w:val="26"/>
          <w:szCs w:val="26"/>
        </w:rPr>
        <w:t>year periods of September 2015 through August 2016 and September 2016 to August 2017 with the current period of September 2017 through August 2018 and indicated that the Complainant’s usage has been consistent.  The witness added that the Complainant’s usage was higher in the winter than in the summer and h</w:t>
      </w:r>
      <w:r w:rsidR="00094044" w:rsidRPr="007855BD">
        <w:rPr>
          <w:sz w:val="26"/>
          <w:szCs w:val="26"/>
        </w:rPr>
        <w:t>er</w:t>
      </w:r>
      <w:r w:rsidRPr="007855BD">
        <w:rPr>
          <w:sz w:val="26"/>
          <w:szCs w:val="26"/>
        </w:rPr>
        <w:t xml:space="preserve"> usage has increased slightly in 2017.  Tr. at 64-66; Exh. 3.</w:t>
      </w:r>
    </w:p>
    <w:p w14:paraId="4837B72E" w14:textId="77777777" w:rsidR="00D82782" w:rsidRPr="007855BD" w:rsidRDefault="00D82782" w:rsidP="00D82782">
      <w:pPr>
        <w:keepNext/>
        <w:keepLines/>
        <w:ind w:firstLine="0"/>
        <w:rPr>
          <w:b/>
          <w:sz w:val="26"/>
          <w:szCs w:val="26"/>
        </w:rPr>
      </w:pPr>
      <w:r w:rsidRPr="007855BD">
        <w:rPr>
          <w:b/>
          <w:sz w:val="26"/>
          <w:szCs w:val="26"/>
        </w:rPr>
        <w:lastRenderedPageBreak/>
        <w:t>Discussion</w:t>
      </w:r>
    </w:p>
    <w:p w14:paraId="1C7B3030" w14:textId="77777777" w:rsidR="00D82782" w:rsidRPr="007855BD" w:rsidRDefault="00D82782" w:rsidP="00D82782">
      <w:pPr>
        <w:keepNext/>
        <w:keepLines/>
        <w:ind w:firstLine="0"/>
        <w:jc w:val="left"/>
        <w:rPr>
          <w:sz w:val="26"/>
          <w:szCs w:val="26"/>
        </w:rPr>
      </w:pPr>
    </w:p>
    <w:p w14:paraId="3CF45810" w14:textId="5F13B3C2" w:rsidR="00D82782" w:rsidRPr="007855BD" w:rsidRDefault="004E06A5" w:rsidP="00DB0D06">
      <w:pPr>
        <w:pStyle w:val="ListParagraph"/>
        <w:keepNext/>
        <w:ind w:left="0" w:firstLine="0"/>
        <w:jc w:val="left"/>
        <w:rPr>
          <w:rFonts w:eastAsiaTheme="minorHAnsi"/>
          <w:b/>
          <w:color w:val="000000"/>
          <w:sz w:val="26"/>
          <w:szCs w:val="26"/>
        </w:rPr>
      </w:pPr>
      <w:r w:rsidRPr="007855BD">
        <w:rPr>
          <w:rFonts w:eastAsiaTheme="minorHAnsi"/>
          <w:b/>
          <w:color w:val="000000"/>
          <w:sz w:val="26"/>
          <w:szCs w:val="26"/>
        </w:rPr>
        <w:t>Legal Standard</w:t>
      </w:r>
    </w:p>
    <w:p w14:paraId="04E32140" w14:textId="77777777" w:rsidR="004D0C67" w:rsidRPr="007855BD" w:rsidRDefault="004D0C67" w:rsidP="00D82782">
      <w:pPr>
        <w:keepNext/>
        <w:ind w:firstLine="0"/>
        <w:jc w:val="left"/>
        <w:rPr>
          <w:sz w:val="26"/>
          <w:szCs w:val="26"/>
        </w:rPr>
      </w:pPr>
    </w:p>
    <w:p w14:paraId="1D10AD88" w14:textId="31A5D9FD" w:rsidR="00D37137" w:rsidRPr="007855BD" w:rsidRDefault="00B92C76" w:rsidP="00D37137">
      <w:pPr>
        <w:tabs>
          <w:tab w:val="left" w:pos="-720"/>
        </w:tabs>
        <w:suppressAutoHyphens/>
        <w:ind w:firstLine="1440"/>
        <w:jc w:val="left"/>
        <w:rPr>
          <w:rFonts w:eastAsia="Times New Roman"/>
          <w:sz w:val="26"/>
          <w:szCs w:val="26"/>
        </w:rPr>
      </w:pPr>
      <w:r w:rsidRPr="007855BD">
        <w:rPr>
          <w:rFonts w:eastAsia="Times New Roman"/>
          <w:sz w:val="26"/>
          <w:szCs w:val="26"/>
        </w:rPr>
        <w:t xml:space="preserve">As a preliminary matter, we note that </w:t>
      </w:r>
      <w:r w:rsidR="00A27828" w:rsidRPr="007855BD">
        <w:rPr>
          <w:rFonts w:eastAsia="Times New Roman"/>
          <w:sz w:val="26"/>
          <w:szCs w:val="26"/>
        </w:rPr>
        <w:t>any issue or Exception that</w:t>
      </w:r>
      <w:r w:rsidR="00D37137" w:rsidRPr="007855BD">
        <w:rPr>
          <w:rFonts w:eastAsia="Times New Roman"/>
          <w:sz w:val="26"/>
          <w:szCs w:val="26"/>
        </w:rPr>
        <w:t xml:space="preserve"> we do not specifically address has been duly considered and will be denied without further discussion.  It is well settled that we are not required to consider expressly or at length each contention or argument raised by the parties.  </w:t>
      </w:r>
      <w:r w:rsidR="00D37137" w:rsidRPr="007855BD">
        <w:rPr>
          <w:rFonts w:eastAsia="Times New Roman"/>
          <w:i/>
          <w:sz w:val="26"/>
          <w:szCs w:val="26"/>
        </w:rPr>
        <w:t>Consolidated Rail Corp. v. Pa. PUC</w:t>
      </w:r>
      <w:r w:rsidR="00D37137" w:rsidRPr="007855BD">
        <w:rPr>
          <w:rFonts w:eastAsia="Times New Roman"/>
          <w:sz w:val="26"/>
          <w:szCs w:val="26"/>
        </w:rPr>
        <w:t xml:space="preserve">, 625 A.2d 741 (Pa. Cmwlth. 1993); also </w:t>
      </w:r>
      <w:r w:rsidR="00D37137" w:rsidRPr="007855BD">
        <w:rPr>
          <w:rFonts w:eastAsia="Times New Roman"/>
          <w:i/>
          <w:sz w:val="26"/>
          <w:szCs w:val="26"/>
        </w:rPr>
        <w:t>see, generally, University of Pennsylvania v. Pa.</w:t>
      </w:r>
      <w:r w:rsidR="00C710CB" w:rsidRPr="007855BD">
        <w:rPr>
          <w:rFonts w:eastAsia="Times New Roman"/>
          <w:i/>
          <w:sz w:val="26"/>
          <w:szCs w:val="26"/>
        </w:rPr>
        <w:t> </w:t>
      </w:r>
      <w:r w:rsidR="00D37137" w:rsidRPr="007855BD">
        <w:rPr>
          <w:rFonts w:eastAsia="Times New Roman"/>
          <w:i/>
          <w:sz w:val="26"/>
          <w:szCs w:val="26"/>
        </w:rPr>
        <w:t>PUC</w:t>
      </w:r>
      <w:r w:rsidR="00D37137" w:rsidRPr="007855BD">
        <w:rPr>
          <w:rFonts w:eastAsia="Times New Roman"/>
          <w:sz w:val="26"/>
          <w:szCs w:val="26"/>
        </w:rPr>
        <w:t>, 485 A.2d 1217 (Pa. Cmwlth. 1984).</w:t>
      </w:r>
    </w:p>
    <w:p w14:paraId="38F8FC77" w14:textId="42FA2DE2" w:rsidR="0038339D" w:rsidRPr="007855BD" w:rsidRDefault="0038339D" w:rsidP="00D37137">
      <w:pPr>
        <w:tabs>
          <w:tab w:val="left" w:pos="-720"/>
        </w:tabs>
        <w:suppressAutoHyphens/>
        <w:ind w:firstLine="1440"/>
        <w:jc w:val="left"/>
        <w:rPr>
          <w:rFonts w:eastAsia="Times New Roman"/>
          <w:sz w:val="26"/>
          <w:szCs w:val="26"/>
        </w:rPr>
      </w:pPr>
    </w:p>
    <w:p w14:paraId="45EE6B40" w14:textId="6F659350" w:rsidR="0038339D" w:rsidRPr="007855BD" w:rsidRDefault="0038339D" w:rsidP="0038339D">
      <w:pPr>
        <w:ind w:firstLine="1440"/>
        <w:jc w:val="left"/>
        <w:rPr>
          <w:sz w:val="26"/>
          <w:szCs w:val="26"/>
        </w:rPr>
      </w:pPr>
      <w:r w:rsidRPr="007855BD">
        <w:rPr>
          <w:sz w:val="26"/>
          <w:szCs w:val="26"/>
        </w:rPr>
        <w:t xml:space="preserve">As the proponent of a rule or order, the Complainant in this proceeding bears the burden of proof pursuant to Section 332(a) of the Public Utility Code (Code), 66 Pa. C.S. § 332(a).  To establish a </w:t>
      </w:r>
      <w:proofErr w:type="gramStart"/>
      <w:r w:rsidRPr="007855BD">
        <w:rPr>
          <w:sz w:val="26"/>
          <w:szCs w:val="26"/>
        </w:rPr>
        <w:t>sufficient</w:t>
      </w:r>
      <w:proofErr w:type="gramEnd"/>
      <w:r w:rsidRPr="007855BD">
        <w:rPr>
          <w:sz w:val="26"/>
          <w:szCs w:val="26"/>
        </w:rPr>
        <w:t xml:space="preserve"> case and satisfy the burden of proof, the Complainants must show that the company is responsible or accountable for the problem described in the Complaint.  </w:t>
      </w:r>
      <w:r w:rsidRPr="007855BD">
        <w:rPr>
          <w:i/>
          <w:sz w:val="26"/>
          <w:szCs w:val="26"/>
        </w:rPr>
        <w:t>Patterson v. The Bell Telephone Company of Pennsylvania</w:t>
      </w:r>
      <w:r w:rsidRPr="007855BD">
        <w:rPr>
          <w:sz w:val="26"/>
          <w:szCs w:val="26"/>
        </w:rPr>
        <w:t xml:space="preserve">, 72 Pa. P.U.C. 196 (1990).  Such a showing must be by a preponderance of the evidence.  </w:t>
      </w:r>
      <w:r w:rsidRPr="007855BD">
        <w:rPr>
          <w:i/>
          <w:iCs/>
          <w:sz w:val="26"/>
          <w:szCs w:val="26"/>
        </w:rPr>
        <w:t>Samuel J. Lansberry, Inc. v. Pa. PUC</w:t>
      </w:r>
      <w:r w:rsidRPr="007855BD">
        <w:rPr>
          <w:sz w:val="26"/>
          <w:szCs w:val="26"/>
        </w:rPr>
        <w:t xml:space="preserve">, 578 A.2d 600 (Pa. Cmwlth. 1990), </w:t>
      </w:r>
      <w:r w:rsidRPr="007855BD">
        <w:rPr>
          <w:i/>
          <w:sz w:val="26"/>
          <w:szCs w:val="26"/>
        </w:rPr>
        <w:t>alloc. denied</w:t>
      </w:r>
      <w:r w:rsidRPr="007855BD">
        <w:rPr>
          <w:iCs/>
          <w:sz w:val="26"/>
          <w:szCs w:val="26"/>
        </w:rPr>
        <w:t>,</w:t>
      </w:r>
      <w:r w:rsidRPr="007855BD">
        <w:rPr>
          <w:sz w:val="26"/>
          <w:szCs w:val="26"/>
        </w:rPr>
        <w:t xml:space="preserve"> 602 A.2d 863 (Pa. 1992).  That is, the Complainants’ evidence must be more convincing, by even the smallest amount, than that presented by the company.  </w:t>
      </w:r>
      <w:r w:rsidRPr="007855BD">
        <w:rPr>
          <w:i/>
          <w:sz w:val="26"/>
          <w:szCs w:val="26"/>
        </w:rPr>
        <w:t>Se-Ling Hosiery, Inc. v. Margulies</w:t>
      </w:r>
      <w:r w:rsidRPr="007855BD">
        <w:rPr>
          <w:sz w:val="26"/>
          <w:szCs w:val="26"/>
        </w:rPr>
        <w:t xml:space="preserve">, 70 A.2d 854 (Pa. 1950).  Additionally, this Commission’s decision must be supported by substantial evidence in the record.  More is required than a mere trace of evidence or a suspicion of the existence of a fact sought to be established.  </w:t>
      </w:r>
      <w:r w:rsidRPr="007855BD">
        <w:rPr>
          <w:i/>
          <w:sz w:val="26"/>
          <w:szCs w:val="26"/>
        </w:rPr>
        <w:t>Norfolk &amp; Western Ry. Co. v. Pa. PUC</w:t>
      </w:r>
      <w:r w:rsidRPr="007855BD">
        <w:rPr>
          <w:iCs/>
          <w:sz w:val="26"/>
          <w:szCs w:val="26"/>
        </w:rPr>
        <w:t>,</w:t>
      </w:r>
      <w:r w:rsidRPr="007855BD">
        <w:rPr>
          <w:i/>
          <w:sz w:val="26"/>
          <w:szCs w:val="26"/>
        </w:rPr>
        <w:t xml:space="preserve"> </w:t>
      </w:r>
      <w:r w:rsidRPr="007855BD">
        <w:rPr>
          <w:sz w:val="26"/>
          <w:szCs w:val="26"/>
        </w:rPr>
        <w:t>413 A.2d 1037 (Pa. 1980) (</w:t>
      </w:r>
      <w:r w:rsidRPr="007855BD">
        <w:rPr>
          <w:i/>
          <w:iCs/>
          <w:sz w:val="26"/>
          <w:szCs w:val="26"/>
        </w:rPr>
        <w:t>Norfolk</w:t>
      </w:r>
      <w:r w:rsidRPr="007855BD">
        <w:rPr>
          <w:sz w:val="26"/>
          <w:szCs w:val="26"/>
        </w:rPr>
        <w:t>).</w:t>
      </w:r>
    </w:p>
    <w:p w14:paraId="26D14B8A" w14:textId="77777777" w:rsidR="00001BE2" w:rsidRPr="007855BD" w:rsidRDefault="00001BE2" w:rsidP="0038339D">
      <w:pPr>
        <w:ind w:firstLine="1440"/>
        <w:jc w:val="left"/>
        <w:rPr>
          <w:sz w:val="26"/>
          <w:szCs w:val="26"/>
        </w:rPr>
      </w:pPr>
    </w:p>
    <w:p w14:paraId="090EB574" w14:textId="699755CC" w:rsidR="0038339D" w:rsidRPr="007855BD" w:rsidRDefault="0038339D" w:rsidP="0038339D">
      <w:pPr>
        <w:ind w:firstLine="1440"/>
        <w:jc w:val="left"/>
        <w:rPr>
          <w:sz w:val="26"/>
          <w:szCs w:val="26"/>
        </w:rPr>
      </w:pPr>
      <w:r w:rsidRPr="007855BD">
        <w:rPr>
          <w:sz w:val="26"/>
          <w:szCs w:val="26"/>
        </w:rPr>
        <w:t xml:space="preserve">Upon the presentation by the Complainant of evidence </w:t>
      </w:r>
      <w:proofErr w:type="gramStart"/>
      <w:r w:rsidRPr="007855BD">
        <w:rPr>
          <w:sz w:val="26"/>
          <w:szCs w:val="26"/>
        </w:rPr>
        <w:t>sufficient</w:t>
      </w:r>
      <w:proofErr w:type="gramEnd"/>
      <w:r w:rsidRPr="007855BD">
        <w:rPr>
          <w:sz w:val="26"/>
          <w:szCs w:val="26"/>
        </w:rPr>
        <w:t xml:space="preserve"> to initially satisfy the burden of proof, the burden of going forward with the evidence to rebut the evidence of the Complainant shifts to the Respondent.  If the evidence presented by the Respondent is of co-equal weight, the Complainant has not satisfied his burden of proof.  </w:t>
      </w:r>
      <w:r w:rsidRPr="007855BD">
        <w:rPr>
          <w:sz w:val="26"/>
          <w:szCs w:val="26"/>
        </w:rPr>
        <w:lastRenderedPageBreak/>
        <w:t xml:space="preserve">The Complainant would be required to provide additional evidence to rebut the evidence of the Respondent.  </w:t>
      </w:r>
      <w:r w:rsidRPr="007855BD">
        <w:rPr>
          <w:i/>
          <w:iCs/>
          <w:sz w:val="26"/>
          <w:szCs w:val="26"/>
        </w:rPr>
        <w:t>Burleson v. Pa. PUC</w:t>
      </w:r>
      <w:r w:rsidRPr="007855BD">
        <w:rPr>
          <w:sz w:val="26"/>
          <w:szCs w:val="26"/>
        </w:rPr>
        <w:t xml:space="preserve">, 443 A.2d 1373 (Pa. Cmwlth. 1982), </w:t>
      </w:r>
      <w:r w:rsidRPr="007855BD">
        <w:rPr>
          <w:i/>
          <w:iCs/>
          <w:sz w:val="26"/>
          <w:szCs w:val="26"/>
        </w:rPr>
        <w:t>aff</w:t>
      </w:r>
      <w:r w:rsidR="007855BD" w:rsidRPr="007855BD">
        <w:rPr>
          <w:i/>
          <w:iCs/>
          <w:sz w:val="26"/>
          <w:szCs w:val="26"/>
        </w:rPr>
        <w:t>’</w:t>
      </w:r>
      <w:r w:rsidRPr="007855BD">
        <w:rPr>
          <w:i/>
          <w:iCs/>
          <w:sz w:val="26"/>
          <w:szCs w:val="26"/>
        </w:rPr>
        <w:t>d</w:t>
      </w:r>
      <w:r w:rsidRPr="007855BD">
        <w:rPr>
          <w:sz w:val="26"/>
          <w:szCs w:val="26"/>
        </w:rPr>
        <w:t>, 461</w:t>
      </w:r>
      <w:r w:rsidR="00C710CB" w:rsidRPr="007855BD">
        <w:rPr>
          <w:sz w:val="26"/>
          <w:szCs w:val="26"/>
        </w:rPr>
        <w:t> </w:t>
      </w:r>
      <w:r w:rsidRPr="007855BD">
        <w:rPr>
          <w:sz w:val="26"/>
          <w:szCs w:val="26"/>
        </w:rPr>
        <w:t>A.2d 1234 (Pa. 1983).</w:t>
      </w:r>
    </w:p>
    <w:p w14:paraId="1453DD23" w14:textId="439B60CF" w:rsidR="0038339D" w:rsidRPr="007855BD" w:rsidRDefault="0038339D" w:rsidP="0038339D">
      <w:pPr>
        <w:ind w:firstLine="1440"/>
        <w:jc w:val="left"/>
        <w:rPr>
          <w:sz w:val="26"/>
          <w:szCs w:val="26"/>
        </w:rPr>
      </w:pPr>
    </w:p>
    <w:p w14:paraId="705751D1" w14:textId="19E88396" w:rsidR="0038339D" w:rsidRPr="007855BD" w:rsidRDefault="0038339D" w:rsidP="0038339D">
      <w:pPr>
        <w:ind w:firstLine="1440"/>
        <w:jc w:val="left"/>
        <w:rPr>
          <w:sz w:val="26"/>
          <w:szCs w:val="26"/>
        </w:rPr>
      </w:pPr>
      <w:r w:rsidRPr="007855BD">
        <w:rPr>
          <w:sz w:val="26"/>
          <w:szCs w:val="26"/>
        </w:rPr>
        <w:t xml:space="preserve">While the </w:t>
      </w:r>
      <w:r w:rsidRPr="007855BD">
        <w:rPr>
          <w:bCs/>
          <w:sz w:val="26"/>
          <w:szCs w:val="26"/>
        </w:rPr>
        <w:t>burden of persuasion</w:t>
      </w:r>
      <w:r w:rsidRPr="007855BD">
        <w:rPr>
          <w:sz w:val="26"/>
          <w:szCs w:val="26"/>
        </w:rPr>
        <w:t xml:space="preserve"> may shift back and forth during a proceeding, the burden of proof never shifts.  The burden of proof always remains on the party seeking affirmative relief from the Commission.  </w:t>
      </w:r>
      <w:r w:rsidRPr="007855BD">
        <w:rPr>
          <w:i/>
          <w:iCs/>
          <w:sz w:val="26"/>
          <w:szCs w:val="26"/>
        </w:rPr>
        <w:t>Milkie v. Pa. PUC</w:t>
      </w:r>
      <w:r w:rsidRPr="007855BD">
        <w:rPr>
          <w:sz w:val="26"/>
          <w:szCs w:val="26"/>
        </w:rPr>
        <w:t>, 768 A.2d 1217 (Pa. Cmwlth. 2001) (</w:t>
      </w:r>
      <w:r w:rsidRPr="007855BD">
        <w:rPr>
          <w:i/>
          <w:iCs/>
          <w:sz w:val="26"/>
          <w:szCs w:val="26"/>
        </w:rPr>
        <w:t>Milkie</w:t>
      </w:r>
      <w:r w:rsidRPr="007855BD">
        <w:rPr>
          <w:sz w:val="26"/>
          <w:szCs w:val="26"/>
        </w:rPr>
        <w:t>).</w:t>
      </w:r>
    </w:p>
    <w:p w14:paraId="080CD575" w14:textId="77777777" w:rsidR="00001BE2" w:rsidRPr="007855BD" w:rsidRDefault="00001BE2" w:rsidP="0038339D">
      <w:pPr>
        <w:ind w:firstLine="1440"/>
        <w:jc w:val="left"/>
        <w:rPr>
          <w:sz w:val="26"/>
          <w:szCs w:val="26"/>
        </w:rPr>
      </w:pPr>
    </w:p>
    <w:p w14:paraId="7FE86C82" w14:textId="7CEE7044" w:rsidR="0038339D" w:rsidRPr="007855BD" w:rsidRDefault="0038339D" w:rsidP="0038339D">
      <w:pPr>
        <w:ind w:firstLine="1440"/>
        <w:jc w:val="left"/>
        <w:rPr>
          <w:rFonts w:eastAsia="Times New Roman"/>
          <w:sz w:val="26"/>
          <w:szCs w:val="26"/>
        </w:rPr>
      </w:pPr>
      <w:r w:rsidRPr="007855BD">
        <w:rPr>
          <w:rFonts w:eastAsia="Times New Roman"/>
          <w:sz w:val="26"/>
          <w:szCs w:val="26"/>
        </w:rPr>
        <w:t>The Responsible Utility Customer Protection Act, as codified in Chapter 14 of the Code, 66 Pa. C.S. §§ 1401 – 1419, applies to complaints alleging inability to pay and requesting Commission-ordered payment arrangements.  A “payment arrangement” is defined as: “[a]</w:t>
      </w:r>
      <w:r w:rsidRPr="007855BD">
        <w:rPr>
          <w:rFonts w:eastAsia="Times New Roman"/>
          <w:color w:val="212121"/>
          <w:sz w:val="26"/>
          <w:szCs w:val="26"/>
        </w:rPr>
        <w:t xml:space="preserve">n agreement whereby a customer who admits liability for billed service is permitted to amortize or pay the unpaid balance of the account in one or more payments.”  </w:t>
      </w:r>
      <w:r w:rsidRPr="007855BD">
        <w:rPr>
          <w:rFonts w:eastAsia="Times New Roman"/>
          <w:sz w:val="26"/>
          <w:szCs w:val="26"/>
        </w:rPr>
        <w:t xml:space="preserve">66 Pa. C.S. § 1403. </w:t>
      </w:r>
    </w:p>
    <w:p w14:paraId="23DE07F6" w14:textId="77777777" w:rsidR="00D37137" w:rsidRPr="007855BD" w:rsidRDefault="00D37137" w:rsidP="00D37137">
      <w:pPr>
        <w:tabs>
          <w:tab w:val="left" w:pos="-720"/>
        </w:tabs>
        <w:suppressAutoHyphens/>
        <w:ind w:firstLine="1440"/>
        <w:jc w:val="left"/>
        <w:rPr>
          <w:rFonts w:eastAsia="Times New Roman"/>
          <w:sz w:val="26"/>
          <w:szCs w:val="26"/>
        </w:rPr>
      </w:pPr>
    </w:p>
    <w:p w14:paraId="17E41BC5" w14:textId="6DC3593C" w:rsidR="00D37137" w:rsidRPr="007855BD" w:rsidRDefault="00CA2678" w:rsidP="00D37137">
      <w:pPr>
        <w:tabs>
          <w:tab w:val="left" w:pos="1584"/>
        </w:tabs>
        <w:ind w:firstLine="1440"/>
        <w:jc w:val="left"/>
        <w:rPr>
          <w:sz w:val="26"/>
          <w:szCs w:val="26"/>
        </w:rPr>
      </w:pPr>
      <w:r w:rsidRPr="007855BD">
        <w:rPr>
          <w:sz w:val="26"/>
          <w:szCs w:val="26"/>
        </w:rPr>
        <w:t>W</w:t>
      </w:r>
      <w:r w:rsidR="00B1188B" w:rsidRPr="007855BD">
        <w:rPr>
          <w:sz w:val="26"/>
          <w:szCs w:val="26"/>
        </w:rPr>
        <w:t>e recognize that, a</w:t>
      </w:r>
      <w:r w:rsidR="00D37137" w:rsidRPr="007855BD">
        <w:rPr>
          <w:sz w:val="26"/>
          <w:szCs w:val="26"/>
        </w:rPr>
        <w:t>s a creature of legislation, the Commission possesses only the authority the state legislature has specifically granted to it in the Code.  66 Pa.</w:t>
      </w:r>
      <w:r w:rsidR="00B1188B" w:rsidRPr="007855BD">
        <w:rPr>
          <w:sz w:val="26"/>
          <w:szCs w:val="26"/>
        </w:rPr>
        <w:t xml:space="preserve"> </w:t>
      </w:r>
      <w:r w:rsidR="00D37137" w:rsidRPr="007855BD">
        <w:rPr>
          <w:sz w:val="26"/>
          <w:szCs w:val="26"/>
        </w:rPr>
        <w:t xml:space="preserve">C.S. §§ 101, </w:t>
      </w:r>
      <w:r w:rsidR="00D37137" w:rsidRPr="007855BD">
        <w:rPr>
          <w:i/>
          <w:iCs/>
          <w:sz w:val="26"/>
          <w:szCs w:val="26"/>
        </w:rPr>
        <w:t>et seq</w:t>
      </w:r>
      <w:r w:rsidR="00D37137" w:rsidRPr="007855BD">
        <w:rPr>
          <w:sz w:val="26"/>
          <w:szCs w:val="26"/>
        </w:rPr>
        <w:t xml:space="preserve">.  Its jurisdiction must arise from the express language of the pertinent enabling legislation or by strong and necessary implication therefrom.  </w:t>
      </w:r>
      <w:r w:rsidR="00D37137" w:rsidRPr="007855BD">
        <w:rPr>
          <w:i/>
          <w:sz w:val="26"/>
          <w:szCs w:val="26"/>
        </w:rPr>
        <w:t>Feingold v. Bell of Pa.</w:t>
      </w:r>
      <w:r w:rsidR="00D37137" w:rsidRPr="007855BD">
        <w:rPr>
          <w:sz w:val="26"/>
          <w:szCs w:val="26"/>
        </w:rPr>
        <w:t xml:space="preserve">, 477 Pa. 1, 383 A.2d 791 (1977); </w:t>
      </w:r>
      <w:r w:rsidR="00D37137" w:rsidRPr="007855BD">
        <w:rPr>
          <w:i/>
          <w:sz w:val="26"/>
          <w:szCs w:val="26"/>
        </w:rPr>
        <w:t>Allegheny County Port Authority v. Pa. PUC</w:t>
      </w:r>
      <w:r w:rsidR="00D37137" w:rsidRPr="007855BD">
        <w:rPr>
          <w:sz w:val="26"/>
          <w:szCs w:val="26"/>
        </w:rPr>
        <w:t>, 427</w:t>
      </w:r>
      <w:r w:rsidR="00C710CB" w:rsidRPr="007855BD">
        <w:rPr>
          <w:sz w:val="26"/>
          <w:szCs w:val="26"/>
        </w:rPr>
        <w:t> </w:t>
      </w:r>
      <w:r w:rsidR="00D37137" w:rsidRPr="007855BD">
        <w:rPr>
          <w:sz w:val="26"/>
          <w:szCs w:val="26"/>
        </w:rPr>
        <w:t xml:space="preserve">Pa. 562, 237 A.2d 602 (1967); </w:t>
      </w:r>
      <w:r w:rsidR="00D37137" w:rsidRPr="007855BD">
        <w:rPr>
          <w:i/>
          <w:sz w:val="26"/>
          <w:szCs w:val="26"/>
        </w:rPr>
        <w:t>Behrend v. Bell of Pa.</w:t>
      </w:r>
      <w:r w:rsidR="00D37137" w:rsidRPr="007855BD">
        <w:rPr>
          <w:sz w:val="26"/>
          <w:szCs w:val="26"/>
        </w:rPr>
        <w:t>, 390 A.2d 233 (Pa.</w:t>
      </w:r>
      <w:r w:rsidR="00B1188B" w:rsidRPr="007855BD">
        <w:rPr>
          <w:sz w:val="26"/>
          <w:szCs w:val="26"/>
        </w:rPr>
        <w:t xml:space="preserve"> </w:t>
      </w:r>
      <w:r w:rsidR="00D37137" w:rsidRPr="007855BD">
        <w:rPr>
          <w:sz w:val="26"/>
          <w:szCs w:val="26"/>
        </w:rPr>
        <w:t xml:space="preserve">Super. 1978); </w:t>
      </w:r>
      <w:r w:rsidR="00D37137" w:rsidRPr="007855BD">
        <w:rPr>
          <w:i/>
          <w:sz w:val="26"/>
          <w:szCs w:val="26"/>
        </w:rPr>
        <w:t xml:space="preserve">Pa. Department of Highways v. Pa. </w:t>
      </w:r>
      <w:r w:rsidR="00C710CB" w:rsidRPr="007855BD">
        <w:rPr>
          <w:i/>
          <w:sz w:val="26"/>
          <w:szCs w:val="26"/>
        </w:rPr>
        <w:t>PUC</w:t>
      </w:r>
      <w:r w:rsidR="00D37137" w:rsidRPr="007855BD">
        <w:rPr>
          <w:sz w:val="26"/>
          <w:szCs w:val="26"/>
        </w:rPr>
        <w:t>, 182 A.2d 267 (Pa.</w:t>
      </w:r>
      <w:r w:rsidR="00B1188B" w:rsidRPr="007855BD">
        <w:rPr>
          <w:sz w:val="26"/>
          <w:szCs w:val="26"/>
        </w:rPr>
        <w:t xml:space="preserve"> </w:t>
      </w:r>
      <w:r w:rsidR="00D37137" w:rsidRPr="007855BD">
        <w:rPr>
          <w:sz w:val="26"/>
          <w:szCs w:val="26"/>
        </w:rPr>
        <w:t xml:space="preserve">Super. 1962); and </w:t>
      </w:r>
      <w:r w:rsidR="00D37137" w:rsidRPr="007855BD">
        <w:rPr>
          <w:i/>
          <w:sz w:val="26"/>
          <w:szCs w:val="26"/>
        </w:rPr>
        <w:t>City of Erie v. Pa. Electric Co.</w:t>
      </w:r>
      <w:r w:rsidR="00D37137" w:rsidRPr="007855BD">
        <w:rPr>
          <w:sz w:val="26"/>
          <w:szCs w:val="26"/>
        </w:rPr>
        <w:t>, 383 A.2d 575 (</w:t>
      </w:r>
      <w:proofErr w:type="gramStart"/>
      <w:r w:rsidR="00D37137" w:rsidRPr="007855BD">
        <w:rPr>
          <w:sz w:val="26"/>
          <w:szCs w:val="26"/>
        </w:rPr>
        <w:t>Pa.Cmwlth</w:t>
      </w:r>
      <w:proofErr w:type="gramEnd"/>
      <w:r w:rsidR="00D37137" w:rsidRPr="007855BD">
        <w:rPr>
          <w:sz w:val="26"/>
          <w:szCs w:val="26"/>
        </w:rPr>
        <w:t xml:space="preserve">. 1978).  The Commission must act within, and cannot exceed, its jurisdiction.  </w:t>
      </w:r>
      <w:r w:rsidR="00D37137" w:rsidRPr="007855BD">
        <w:rPr>
          <w:i/>
          <w:sz w:val="26"/>
          <w:szCs w:val="26"/>
        </w:rPr>
        <w:t xml:space="preserve">City of Pittsburgh v. Pa. </w:t>
      </w:r>
      <w:r w:rsidR="00C710CB" w:rsidRPr="007855BD">
        <w:rPr>
          <w:i/>
          <w:sz w:val="26"/>
          <w:szCs w:val="26"/>
        </w:rPr>
        <w:t>PUC</w:t>
      </w:r>
      <w:r w:rsidR="00D37137" w:rsidRPr="007855BD">
        <w:rPr>
          <w:sz w:val="26"/>
          <w:szCs w:val="26"/>
        </w:rPr>
        <w:t>, 43 A.2d 348 (Pa.</w:t>
      </w:r>
      <w:r w:rsidR="00B1188B" w:rsidRPr="007855BD">
        <w:rPr>
          <w:sz w:val="26"/>
          <w:szCs w:val="26"/>
        </w:rPr>
        <w:t xml:space="preserve"> </w:t>
      </w:r>
      <w:r w:rsidR="00D37137" w:rsidRPr="007855BD">
        <w:rPr>
          <w:sz w:val="26"/>
          <w:szCs w:val="26"/>
        </w:rPr>
        <w:t>Super. 1945).</w:t>
      </w:r>
      <w:r w:rsidRPr="007855BD">
        <w:rPr>
          <w:sz w:val="26"/>
          <w:szCs w:val="26"/>
        </w:rPr>
        <w:t xml:space="preserve">  Moreover, lack of subject matter jurisdiction is an issue that cannot be waived, that may be raised at any stage of a case and may be raised by the Commission </w:t>
      </w:r>
      <w:r w:rsidRPr="007855BD">
        <w:rPr>
          <w:i/>
          <w:sz w:val="26"/>
          <w:szCs w:val="26"/>
        </w:rPr>
        <w:t>sua sponte</w:t>
      </w:r>
      <w:r w:rsidRPr="007855BD">
        <w:rPr>
          <w:sz w:val="26"/>
          <w:szCs w:val="26"/>
        </w:rPr>
        <w:t xml:space="preserve">.  </w:t>
      </w:r>
      <w:r w:rsidRPr="007855BD">
        <w:rPr>
          <w:i/>
          <w:sz w:val="26"/>
          <w:szCs w:val="26"/>
        </w:rPr>
        <w:t>Commonwealth v. Little</w:t>
      </w:r>
      <w:r w:rsidRPr="007855BD">
        <w:rPr>
          <w:sz w:val="26"/>
          <w:szCs w:val="26"/>
        </w:rPr>
        <w:t xml:space="preserve">, 314 A.2d 270 (Pa. 1974).  </w:t>
      </w:r>
    </w:p>
    <w:p w14:paraId="250A1F46" w14:textId="77777777" w:rsidR="00D37137" w:rsidRPr="007855BD" w:rsidRDefault="00D37137" w:rsidP="00D37137">
      <w:pPr>
        <w:tabs>
          <w:tab w:val="left" w:pos="1584"/>
        </w:tabs>
        <w:jc w:val="left"/>
        <w:rPr>
          <w:sz w:val="26"/>
          <w:szCs w:val="26"/>
        </w:rPr>
      </w:pPr>
    </w:p>
    <w:p w14:paraId="105E7795" w14:textId="77777777" w:rsidR="00D37137" w:rsidRPr="007855BD" w:rsidRDefault="00D37137" w:rsidP="00D37137">
      <w:pPr>
        <w:ind w:firstLine="1440"/>
        <w:jc w:val="left"/>
        <w:outlineLvl w:val="0"/>
        <w:rPr>
          <w:sz w:val="26"/>
          <w:szCs w:val="26"/>
        </w:rPr>
      </w:pPr>
      <w:r w:rsidRPr="007855BD">
        <w:rPr>
          <w:sz w:val="26"/>
          <w:szCs w:val="26"/>
        </w:rPr>
        <w:lastRenderedPageBreak/>
        <w:t>Pursuant to 28 U.S.C. § 1334, federal district courts (and their bankruptcy courts) have jurisdiction over all civil proceedings arising under Title 11, and the bankruptcy court has exclusive jurisdiction of all property of the debtor:</w:t>
      </w:r>
    </w:p>
    <w:p w14:paraId="131E369F" w14:textId="77777777" w:rsidR="00D37137" w:rsidRPr="007855BD" w:rsidRDefault="00D37137" w:rsidP="00D37137">
      <w:pPr>
        <w:ind w:firstLine="1440"/>
        <w:jc w:val="left"/>
        <w:outlineLvl w:val="0"/>
        <w:rPr>
          <w:sz w:val="26"/>
          <w:szCs w:val="26"/>
        </w:rPr>
      </w:pPr>
    </w:p>
    <w:p w14:paraId="09221AAD" w14:textId="77777777" w:rsidR="00D37137" w:rsidRPr="007855BD" w:rsidRDefault="00D37137" w:rsidP="002E4C41">
      <w:pPr>
        <w:spacing w:line="240" w:lineRule="auto"/>
        <w:ind w:left="1440" w:right="1440"/>
        <w:jc w:val="left"/>
        <w:outlineLvl w:val="0"/>
        <w:rPr>
          <w:sz w:val="26"/>
          <w:szCs w:val="26"/>
        </w:rPr>
      </w:pPr>
      <w:r w:rsidRPr="007855BD">
        <w:rPr>
          <w:b/>
          <w:bCs/>
          <w:sz w:val="26"/>
          <w:szCs w:val="26"/>
        </w:rPr>
        <w:t>(a)</w:t>
      </w:r>
      <w:r w:rsidRPr="007855BD">
        <w:rPr>
          <w:sz w:val="26"/>
          <w:szCs w:val="26"/>
        </w:rPr>
        <w:t xml:space="preserve">  Except as provided in subsection (b) of this section, the district courts shall have original and exclusive jurisdiction of all cases under title 11.</w:t>
      </w:r>
    </w:p>
    <w:p w14:paraId="7C661910" w14:textId="77777777" w:rsidR="00D37137" w:rsidRPr="007855BD" w:rsidRDefault="00D37137" w:rsidP="002E4C41">
      <w:pPr>
        <w:spacing w:line="240" w:lineRule="auto"/>
        <w:ind w:left="1440" w:right="1440" w:firstLine="1440"/>
        <w:jc w:val="left"/>
        <w:outlineLvl w:val="0"/>
        <w:rPr>
          <w:sz w:val="26"/>
          <w:szCs w:val="26"/>
        </w:rPr>
      </w:pPr>
    </w:p>
    <w:p w14:paraId="73DC802F" w14:textId="77777777" w:rsidR="00D37137" w:rsidRPr="007855BD" w:rsidRDefault="00D37137" w:rsidP="002E4C41">
      <w:pPr>
        <w:spacing w:line="240" w:lineRule="auto"/>
        <w:ind w:left="1440" w:right="1440" w:firstLine="1440"/>
        <w:jc w:val="left"/>
        <w:outlineLvl w:val="0"/>
        <w:rPr>
          <w:sz w:val="26"/>
          <w:szCs w:val="26"/>
        </w:rPr>
      </w:pPr>
      <w:r w:rsidRPr="007855BD">
        <w:rPr>
          <w:sz w:val="26"/>
          <w:szCs w:val="26"/>
        </w:rPr>
        <w:t>*</w:t>
      </w:r>
      <w:r w:rsidRPr="007855BD">
        <w:rPr>
          <w:sz w:val="26"/>
          <w:szCs w:val="26"/>
        </w:rPr>
        <w:tab/>
      </w:r>
      <w:r w:rsidRPr="007855BD">
        <w:rPr>
          <w:sz w:val="26"/>
          <w:szCs w:val="26"/>
        </w:rPr>
        <w:tab/>
        <w:t>*</w:t>
      </w:r>
      <w:r w:rsidRPr="007855BD">
        <w:rPr>
          <w:sz w:val="26"/>
          <w:szCs w:val="26"/>
        </w:rPr>
        <w:tab/>
      </w:r>
      <w:r w:rsidRPr="007855BD">
        <w:rPr>
          <w:sz w:val="26"/>
          <w:szCs w:val="26"/>
        </w:rPr>
        <w:tab/>
        <w:t xml:space="preserve">* </w:t>
      </w:r>
    </w:p>
    <w:p w14:paraId="6D2E7133" w14:textId="77777777" w:rsidR="00D37137" w:rsidRPr="007855BD" w:rsidRDefault="00D37137" w:rsidP="002E4C41">
      <w:pPr>
        <w:spacing w:line="240" w:lineRule="auto"/>
        <w:ind w:left="1440" w:right="1440" w:firstLine="1440"/>
        <w:jc w:val="left"/>
        <w:outlineLvl w:val="0"/>
        <w:rPr>
          <w:sz w:val="26"/>
          <w:szCs w:val="26"/>
        </w:rPr>
      </w:pPr>
    </w:p>
    <w:p w14:paraId="29B9A18C" w14:textId="77777777" w:rsidR="00D37137" w:rsidRPr="007855BD" w:rsidRDefault="00D37137" w:rsidP="002E4C41">
      <w:pPr>
        <w:spacing w:line="240" w:lineRule="auto"/>
        <w:ind w:left="1440" w:right="1440"/>
        <w:jc w:val="left"/>
        <w:outlineLvl w:val="0"/>
        <w:rPr>
          <w:sz w:val="26"/>
          <w:szCs w:val="26"/>
        </w:rPr>
      </w:pPr>
      <w:r w:rsidRPr="007855BD">
        <w:rPr>
          <w:b/>
          <w:bCs/>
          <w:sz w:val="26"/>
          <w:szCs w:val="26"/>
        </w:rPr>
        <w:t>(e)</w:t>
      </w:r>
      <w:r w:rsidRPr="007855BD">
        <w:rPr>
          <w:sz w:val="26"/>
          <w:szCs w:val="26"/>
        </w:rPr>
        <w:t xml:space="preserve">  The district court in which a case under title 11 is commenced or is pending shall have exclusive jurisdiction— </w:t>
      </w:r>
    </w:p>
    <w:p w14:paraId="5177409D" w14:textId="77777777" w:rsidR="00D37137" w:rsidRPr="007855BD" w:rsidRDefault="00D37137" w:rsidP="002E4C41">
      <w:pPr>
        <w:spacing w:line="240" w:lineRule="auto"/>
        <w:ind w:left="1440" w:right="1440" w:firstLine="1440"/>
        <w:jc w:val="left"/>
        <w:outlineLvl w:val="0"/>
        <w:rPr>
          <w:sz w:val="26"/>
          <w:szCs w:val="26"/>
        </w:rPr>
      </w:pPr>
    </w:p>
    <w:p w14:paraId="66F6AF2F" w14:textId="77777777" w:rsidR="00D37137" w:rsidRPr="007855BD" w:rsidRDefault="00D37137" w:rsidP="002E4C41">
      <w:pPr>
        <w:spacing w:line="240" w:lineRule="auto"/>
        <w:ind w:left="2160" w:right="1440"/>
        <w:jc w:val="left"/>
        <w:outlineLvl w:val="0"/>
        <w:rPr>
          <w:sz w:val="26"/>
          <w:szCs w:val="26"/>
        </w:rPr>
      </w:pPr>
      <w:bookmarkStart w:id="0" w:name="e_1"/>
      <w:bookmarkEnd w:id="0"/>
      <w:r w:rsidRPr="007855BD">
        <w:rPr>
          <w:b/>
          <w:bCs/>
          <w:sz w:val="26"/>
          <w:szCs w:val="26"/>
        </w:rPr>
        <w:t xml:space="preserve">(1) </w:t>
      </w:r>
      <w:r w:rsidRPr="007855BD">
        <w:rPr>
          <w:sz w:val="26"/>
          <w:szCs w:val="26"/>
        </w:rPr>
        <w:t xml:space="preserve"> of all the property, wherever located, of the debtor as of the commencement of such case, and of property of the estate; and </w:t>
      </w:r>
    </w:p>
    <w:p w14:paraId="20AB8A59" w14:textId="77777777" w:rsidR="00D37137" w:rsidRPr="007855BD" w:rsidRDefault="00D37137" w:rsidP="002E4C41">
      <w:pPr>
        <w:spacing w:line="240" w:lineRule="auto"/>
        <w:ind w:left="2160" w:right="1440"/>
        <w:jc w:val="left"/>
        <w:outlineLvl w:val="0"/>
        <w:rPr>
          <w:sz w:val="26"/>
          <w:szCs w:val="26"/>
        </w:rPr>
      </w:pPr>
    </w:p>
    <w:p w14:paraId="6FE73DDD" w14:textId="77777777" w:rsidR="00D37137" w:rsidRPr="007855BD" w:rsidRDefault="00D37137" w:rsidP="002E4C41">
      <w:pPr>
        <w:spacing w:line="240" w:lineRule="auto"/>
        <w:ind w:left="2160" w:right="1440"/>
        <w:jc w:val="left"/>
        <w:outlineLvl w:val="0"/>
        <w:rPr>
          <w:sz w:val="26"/>
          <w:szCs w:val="26"/>
        </w:rPr>
      </w:pPr>
      <w:bookmarkStart w:id="1" w:name="e_2"/>
      <w:bookmarkEnd w:id="1"/>
      <w:r w:rsidRPr="007855BD">
        <w:rPr>
          <w:b/>
          <w:bCs/>
          <w:sz w:val="26"/>
          <w:szCs w:val="26"/>
        </w:rPr>
        <w:t>(2)</w:t>
      </w:r>
      <w:r w:rsidRPr="007855BD">
        <w:rPr>
          <w:sz w:val="26"/>
          <w:szCs w:val="26"/>
        </w:rPr>
        <w:t xml:space="preserve">  over all claims or causes of action that involve construction of section 327 of title 11, United States Code, or rules relating to disclosure requirements under section 327. </w:t>
      </w:r>
    </w:p>
    <w:p w14:paraId="153D36B5" w14:textId="77777777" w:rsidR="00D37137" w:rsidRPr="007855BD" w:rsidRDefault="00D37137" w:rsidP="00D37137">
      <w:pPr>
        <w:jc w:val="left"/>
        <w:outlineLvl w:val="0"/>
        <w:rPr>
          <w:sz w:val="26"/>
          <w:szCs w:val="26"/>
        </w:rPr>
      </w:pPr>
    </w:p>
    <w:p w14:paraId="68687520" w14:textId="77777777" w:rsidR="00D37137" w:rsidRPr="007855BD" w:rsidRDefault="00D37137" w:rsidP="005941CB">
      <w:pPr>
        <w:ind w:firstLine="0"/>
        <w:jc w:val="left"/>
        <w:outlineLvl w:val="0"/>
        <w:rPr>
          <w:sz w:val="26"/>
          <w:szCs w:val="26"/>
        </w:rPr>
      </w:pPr>
      <w:r w:rsidRPr="007855BD">
        <w:rPr>
          <w:sz w:val="26"/>
          <w:szCs w:val="26"/>
        </w:rPr>
        <w:t>28 U.S.C. § 1334 (a) and (e).</w:t>
      </w:r>
    </w:p>
    <w:p w14:paraId="38879BE4" w14:textId="77777777" w:rsidR="00D82782" w:rsidRPr="007855BD" w:rsidRDefault="00D82782" w:rsidP="005619E2">
      <w:pPr>
        <w:ind w:firstLine="0"/>
        <w:jc w:val="left"/>
        <w:rPr>
          <w:rStyle w:val="Hyperlink"/>
          <w:color w:val="auto"/>
          <w:sz w:val="26"/>
          <w:szCs w:val="26"/>
        </w:rPr>
      </w:pPr>
    </w:p>
    <w:p w14:paraId="45743E76" w14:textId="6862611B" w:rsidR="00D82782" w:rsidRPr="007855BD" w:rsidRDefault="00D82782" w:rsidP="009F4744">
      <w:pPr>
        <w:keepNext/>
        <w:keepLines/>
        <w:autoSpaceDE w:val="0"/>
        <w:autoSpaceDN w:val="0"/>
        <w:adjustRightInd w:val="0"/>
        <w:ind w:firstLine="0"/>
        <w:jc w:val="left"/>
        <w:rPr>
          <w:rFonts w:eastAsia="Times New Roman"/>
          <w:sz w:val="26"/>
          <w:szCs w:val="26"/>
        </w:rPr>
      </w:pPr>
      <w:r w:rsidRPr="007855BD">
        <w:rPr>
          <w:b/>
          <w:sz w:val="26"/>
          <w:szCs w:val="26"/>
        </w:rPr>
        <w:t>ALJ’s Initial Decision</w:t>
      </w:r>
    </w:p>
    <w:p w14:paraId="178D1D65" w14:textId="77777777" w:rsidR="00D82782" w:rsidRPr="007855BD" w:rsidRDefault="00D82782" w:rsidP="00D82782">
      <w:pPr>
        <w:keepNext/>
        <w:keepLines/>
        <w:ind w:firstLine="1440"/>
        <w:jc w:val="left"/>
        <w:rPr>
          <w:rStyle w:val="Hyperlink"/>
          <w:color w:val="auto"/>
          <w:sz w:val="26"/>
          <w:szCs w:val="26"/>
        </w:rPr>
      </w:pPr>
    </w:p>
    <w:p w14:paraId="1BAD6E15" w14:textId="667CF02F" w:rsidR="00D82782" w:rsidRPr="007855BD" w:rsidRDefault="00D82782" w:rsidP="006F2369">
      <w:pPr>
        <w:autoSpaceDE w:val="0"/>
        <w:autoSpaceDN w:val="0"/>
        <w:adjustRightInd w:val="0"/>
        <w:ind w:firstLine="1440"/>
        <w:jc w:val="left"/>
        <w:rPr>
          <w:sz w:val="26"/>
          <w:szCs w:val="26"/>
        </w:rPr>
      </w:pPr>
      <w:r w:rsidRPr="007855BD">
        <w:rPr>
          <w:sz w:val="26"/>
          <w:szCs w:val="26"/>
        </w:rPr>
        <w:t>In his Initial Decision, ALJ Johnson addressed three issues raised by the Complainant</w:t>
      </w:r>
      <w:r w:rsidR="003D7073" w:rsidRPr="007855BD">
        <w:rPr>
          <w:sz w:val="26"/>
          <w:szCs w:val="26"/>
        </w:rPr>
        <w:t>: (1) service termination</w:t>
      </w:r>
      <w:r w:rsidR="00D45A18" w:rsidRPr="007855BD">
        <w:rPr>
          <w:sz w:val="26"/>
          <w:szCs w:val="26"/>
        </w:rPr>
        <w:t xml:space="preserve">; </w:t>
      </w:r>
      <w:r w:rsidR="003D7073" w:rsidRPr="007855BD">
        <w:rPr>
          <w:sz w:val="26"/>
          <w:szCs w:val="26"/>
        </w:rPr>
        <w:t>(2) high bill</w:t>
      </w:r>
      <w:r w:rsidR="00131830" w:rsidRPr="007855BD">
        <w:rPr>
          <w:sz w:val="26"/>
          <w:szCs w:val="26"/>
        </w:rPr>
        <w:t>s</w:t>
      </w:r>
      <w:r w:rsidR="003D7073" w:rsidRPr="007855BD">
        <w:rPr>
          <w:sz w:val="26"/>
          <w:szCs w:val="26"/>
        </w:rPr>
        <w:t>; and (3) </w:t>
      </w:r>
      <w:r w:rsidR="001D5955" w:rsidRPr="007855BD">
        <w:rPr>
          <w:sz w:val="26"/>
          <w:szCs w:val="26"/>
        </w:rPr>
        <w:t xml:space="preserve">a </w:t>
      </w:r>
      <w:r w:rsidR="003D7073" w:rsidRPr="007855BD">
        <w:rPr>
          <w:sz w:val="26"/>
          <w:szCs w:val="26"/>
        </w:rPr>
        <w:t xml:space="preserve">payment arrangement.  </w:t>
      </w:r>
      <w:r w:rsidRPr="007855BD">
        <w:rPr>
          <w:sz w:val="26"/>
          <w:szCs w:val="26"/>
        </w:rPr>
        <w:t xml:space="preserve"> </w:t>
      </w:r>
      <w:r w:rsidR="003D7073" w:rsidRPr="007855BD">
        <w:rPr>
          <w:sz w:val="26"/>
          <w:szCs w:val="26"/>
        </w:rPr>
        <w:t xml:space="preserve">The ALJ </w:t>
      </w:r>
      <w:r w:rsidRPr="007855BD">
        <w:rPr>
          <w:sz w:val="26"/>
          <w:szCs w:val="26"/>
        </w:rPr>
        <w:t xml:space="preserve">found that the Complainant failed to carry her burden of proof as to the first two </w:t>
      </w:r>
      <w:r w:rsidRPr="007855BD">
        <w:rPr>
          <w:sz w:val="26"/>
          <w:szCs w:val="26"/>
        </w:rPr>
        <w:lastRenderedPageBreak/>
        <w:t>issues</w:t>
      </w:r>
      <w:r w:rsidR="006F2369" w:rsidRPr="007855BD">
        <w:rPr>
          <w:sz w:val="26"/>
          <w:szCs w:val="26"/>
        </w:rPr>
        <w:t>.</w:t>
      </w:r>
      <w:r w:rsidR="001739A3" w:rsidRPr="007855BD">
        <w:rPr>
          <w:rStyle w:val="FootnoteReference"/>
          <w:sz w:val="26"/>
          <w:szCs w:val="26"/>
        </w:rPr>
        <w:footnoteReference w:id="4"/>
      </w:r>
      <w:r w:rsidR="00AC102F" w:rsidRPr="007855BD">
        <w:rPr>
          <w:sz w:val="26"/>
          <w:szCs w:val="26"/>
        </w:rPr>
        <w:t xml:space="preserve"> </w:t>
      </w:r>
      <w:r w:rsidR="006F2369" w:rsidRPr="007855BD">
        <w:rPr>
          <w:sz w:val="26"/>
          <w:szCs w:val="26"/>
        </w:rPr>
        <w:t xml:space="preserve"> </w:t>
      </w:r>
      <w:r w:rsidR="00AC102F" w:rsidRPr="007855BD">
        <w:rPr>
          <w:sz w:val="26"/>
          <w:szCs w:val="26"/>
        </w:rPr>
        <w:t>The ALJ also</w:t>
      </w:r>
      <w:r w:rsidRPr="007855BD">
        <w:rPr>
          <w:sz w:val="26"/>
          <w:szCs w:val="26"/>
        </w:rPr>
        <w:t xml:space="preserve"> denied </w:t>
      </w:r>
      <w:r w:rsidR="00AC102F" w:rsidRPr="007855BD">
        <w:rPr>
          <w:sz w:val="26"/>
          <w:szCs w:val="26"/>
        </w:rPr>
        <w:t xml:space="preserve">the Complainant’s </w:t>
      </w:r>
      <w:r w:rsidRPr="007855BD">
        <w:rPr>
          <w:sz w:val="26"/>
          <w:szCs w:val="26"/>
        </w:rPr>
        <w:t xml:space="preserve">request for </w:t>
      </w:r>
      <w:r w:rsidR="00D25F37" w:rsidRPr="007855BD">
        <w:rPr>
          <w:sz w:val="26"/>
          <w:szCs w:val="26"/>
        </w:rPr>
        <w:t xml:space="preserve">a </w:t>
      </w:r>
      <w:r w:rsidRPr="007855BD">
        <w:rPr>
          <w:sz w:val="26"/>
          <w:szCs w:val="26"/>
        </w:rPr>
        <w:t xml:space="preserve">payment arrangement due to </w:t>
      </w:r>
      <w:r w:rsidR="00AC102F" w:rsidRPr="007855BD">
        <w:rPr>
          <w:sz w:val="26"/>
          <w:szCs w:val="26"/>
        </w:rPr>
        <w:t xml:space="preserve">her </w:t>
      </w:r>
      <w:r w:rsidR="005E5D96" w:rsidRPr="007855BD">
        <w:rPr>
          <w:sz w:val="26"/>
          <w:szCs w:val="26"/>
        </w:rPr>
        <w:t xml:space="preserve">poor payment history and </w:t>
      </w:r>
      <w:r w:rsidRPr="007855BD">
        <w:rPr>
          <w:sz w:val="26"/>
          <w:szCs w:val="26"/>
        </w:rPr>
        <w:t>prior defaults.</w:t>
      </w:r>
      <w:r w:rsidR="007855BD" w:rsidRPr="007855BD">
        <w:rPr>
          <w:rStyle w:val="FootnoteReference"/>
          <w:sz w:val="26"/>
          <w:szCs w:val="26"/>
        </w:rPr>
        <w:footnoteReference w:id="5"/>
      </w:r>
      <w:r w:rsidRPr="007855BD">
        <w:rPr>
          <w:sz w:val="26"/>
          <w:szCs w:val="26"/>
        </w:rPr>
        <w:t xml:space="preserve">  The ALJ made thirty-seven Findings of Fact and reached nine Conclusions of Law.  I.D. at 3-8, 15-17.  The Findings of Fact and Conclusions of Law are incorporated herein by reference and are adopted without comment unless they are either expressly or by necessary implication rejected or modified by this Opinion and Order.</w:t>
      </w:r>
    </w:p>
    <w:p w14:paraId="74424D73" w14:textId="77777777" w:rsidR="00C710CB" w:rsidRPr="007855BD" w:rsidRDefault="00C710CB" w:rsidP="00D82782">
      <w:pPr>
        <w:pStyle w:val="Default"/>
        <w:spacing w:line="360" w:lineRule="auto"/>
        <w:ind w:firstLine="1440"/>
        <w:rPr>
          <w:sz w:val="26"/>
          <w:szCs w:val="26"/>
        </w:rPr>
      </w:pPr>
    </w:p>
    <w:p w14:paraId="3E41716B" w14:textId="77777777" w:rsidR="004C7668" w:rsidRPr="007855BD" w:rsidRDefault="004C7668" w:rsidP="004C7668">
      <w:pPr>
        <w:keepNext/>
        <w:keepLines/>
        <w:autoSpaceDE w:val="0"/>
        <w:autoSpaceDN w:val="0"/>
        <w:adjustRightInd w:val="0"/>
        <w:ind w:firstLine="0"/>
        <w:jc w:val="left"/>
        <w:rPr>
          <w:rFonts w:eastAsiaTheme="minorHAnsi"/>
          <w:b/>
          <w:bCs/>
          <w:color w:val="000000"/>
          <w:sz w:val="26"/>
          <w:szCs w:val="26"/>
        </w:rPr>
      </w:pPr>
      <w:r w:rsidRPr="007855BD">
        <w:rPr>
          <w:rFonts w:eastAsiaTheme="minorHAnsi"/>
          <w:b/>
          <w:bCs/>
          <w:color w:val="000000"/>
          <w:sz w:val="26"/>
          <w:szCs w:val="26"/>
        </w:rPr>
        <w:t>Exceptions, Replies and Disposition</w:t>
      </w:r>
    </w:p>
    <w:p w14:paraId="6FA8F8B3" w14:textId="77777777" w:rsidR="004C7668" w:rsidRPr="007855BD" w:rsidRDefault="004C7668" w:rsidP="004C7668">
      <w:pPr>
        <w:keepNext/>
        <w:keepLines/>
        <w:autoSpaceDE w:val="0"/>
        <w:autoSpaceDN w:val="0"/>
        <w:adjustRightInd w:val="0"/>
        <w:ind w:firstLine="0"/>
        <w:jc w:val="left"/>
        <w:rPr>
          <w:rFonts w:eastAsiaTheme="minorHAnsi"/>
          <w:color w:val="000000"/>
          <w:sz w:val="26"/>
          <w:szCs w:val="26"/>
        </w:rPr>
      </w:pPr>
    </w:p>
    <w:p w14:paraId="4059DB45" w14:textId="115295DA" w:rsidR="004C7668" w:rsidRPr="007855BD" w:rsidRDefault="004C7668" w:rsidP="004C7668">
      <w:pPr>
        <w:ind w:firstLine="1440"/>
        <w:jc w:val="left"/>
        <w:rPr>
          <w:sz w:val="26"/>
          <w:szCs w:val="26"/>
        </w:rPr>
      </w:pPr>
      <w:r w:rsidRPr="007855BD">
        <w:rPr>
          <w:sz w:val="26"/>
          <w:szCs w:val="26"/>
        </w:rPr>
        <w:t>The Complainant raises five exceptions to the Initial Decision</w:t>
      </w:r>
      <w:r w:rsidR="00314F8F" w:rsidRPr="007855BD">
        <w:rPr>
          <w:sz w:val="26"/>
          <w:szCs w:val="26"/>
        </w:rPr>
        <w:t xml:space="preserve"> relating to the denial of her payment arrangement request</w:t>
      </w:r>
      <w:r w:rsidRPr="007855BD">
        <w:rPr>
          <w:sz w:val="26"/>
          <w:szCs w:val="26"/>
        </w:rPr>
        <w:t xml:space="preserve"> that can be grouped as set forth below.  Exc. at 1-2.  </w:t>
      </w:r>
    </w:p>
    <w:p w14:paraId="523DC3CD" w14:textId="77777777" w:rsidR="004C7668" w:rsidRPr="007855BD" w:rsidRDefault="004C7668" w:rsidP="004C7668">
      <w:pPr>
        <w:autoSpaceDE w:val="0"/>
        <w:autoSpaceDN w:val="0"/>
        <w:adjustRightInd w:val="0"/>
        <w:ind w:firstLine="0"/>
        <w:jc w:val="left"/>
        <w:rPr>
          <w:b/>
          <w:sz w:val="26"/>
          <w:szCs w:val="26"/>
        </w:rPr>
      </w:pPr>
    </w:p>
    <w:p w14:paraId="268D723B" w14:textId="748DAC2C" w:rsidR="004C7668" w:rsidRPr="007855BD" w:rsidRDefault="004C7668" w:rsidP="007855BD">
      <w:pPr>
        <w:pStyle w:val="ListParagraph"/>
        <w:keepNext/>
        <w:numPr>
          <w:ilvl w:val="0"/>
          <w:numId w:val="16"/>
        </w:numPr>
        <w:autoSpaceDE w:val="0"/>
        <w:autoSpaceDN w:val="0"/>
        <w:adjustRightInd w:val="0"/>
        <w:spacing w:line="240" w:lineRule="auto"/>
        <w:ind w:left="1440" w:hanging="720"/>
        <w:jc w:val="left"/>
        <w:rPr>
          <w:b/>
          <w:sz w:val="26"/>
          <w:szCs w:val="26"/>
        </w:rPr>
      </w:pPr>
      <w:r w:rsidRPr="007855BD">
        <w:rPr>
          <w:b/>
          <w:sz w:val="26"/>
          <w:szCs w:val="26"/>
        </w:rPr>
        <w:lastRenderedPageBreak/>
        <w:t>Complainant’s Exception Nos. 1, 2 and 4 - Payment Arrangement and Repayment</w:t>
      </w:r>
      <w:r w:rsidR="00A27828" w:rsidRPr="007855BD">
        <w:rPr>
          <w:b/>
          <w:sz w:val="26"/>
          <w:szCs w:val="26"/>
        </w:rPr>
        <w:t>, Replies</w:t>
      </w:r>
      <w:r w:rsidRPr="007855BD">
        <w:rPr>
          <w:b/>
          <w:sz w:val="26"/>
          <w:szCs w:val="26"/>
        </w:rPr>
        <w:t xml:space="preserve"> and Disposition</w:t>
      </w:r>
    </w:p>
    <w:p w14:paraId="275FC7E6" w14:textId="77777777" w:rsidR="00C710CB" w:rsidRPr="007855BD" w:rsidRDefault="00C710CB" w:rsidP="00C710CB">
      <w:pPr>
        <w:autoSpaceDE w:val="0"/>
        <w:autoSpaceDN w:val="0"/>
        <w:adjustRightInd w:val="0"/>
        <w:spacing w:line="480" w:lineRule="auto"/>
        <w:ind w:firstLine="1440"/>
        <w:jc w:val="left"/>
        <w:rPr>
          <w:b/>
          <w:sz w:val="26"/>
          <w:szCs w:val="26"/>
        </w:rPr>
      </w:pPr>
    </w:p>
    <w:p w14:paraId="5ED2A087" w14:textId="77777777" w:rsidR="00D45A18" w:rsidRPr="007855BD" w:rsidRDefault="004C7668" w:rsidP="004C7668">
      <w:pPr>
        <w:autoSpaceDE w:val="0"/>
        <w:autoSpaceDN w:val="0"/>
        <w:adjustRightInd w:val="0"/>
        <w:ind w:firstLine="1440"/>
        <w:jc w:val="left"/>
        <w:rPr>
          <w:sz w:val="26"/>
          <w:szCs w:val="26"/>
        </w:rPr>
      </w:pPr>
      <w:r w:rsidRPr="007855BD">
        <w:rPr>
          <w:b/>
          <w:sz w:val="26"/>
          <w:szCs w:val="26"/>
        </w:rPr>
        <w:t xml:space="preserve">Exception No. 1.  </w:t>
      </w:r>
      <w:r w:rsidRPr="007855BD">
        <w:rPr>
          <w:sz w:val="26"/>
          <w:szCs w:val="26"/>
        </w:rPr>
        <w:t>The Complainant’s first Exception simply states that “[t]he</w:t>
      </w:r>
      <w:r w:rsidRPr="007855BD">
        <w:rPr>
          <w:rFonts w:eastAsiaTheme="minorHAnsi"/>
          <w:color w:val="000000"/>
          <w:sz w:val="26"/>
          <w:szCs w:val="26"/>
        </w:rPr>
        <w:t xml:space="preserve"> Court </w:t>
      </w:r>
      <w:r w:rsidRPr="007855BD">
        <w:rPr>
          <w:sz w:val="26"/>
          <w:szCs w:val="26"/>
        </w:rPr>
        <w:t>without</w:t>
      </w:r>
      <w:r w:rsidRPr="007855BD">
        <w:rPr>
          <w:rFonts w:eastAsiaTheme="minorHAnsi"/>
          <w:color w:val="000000"/>
          <w:sz w:val="26"/>
          <w:szCs w:val="26"/>
        </w:rPr>
        <w:t xml:space="preserve"> any evidence erred in failing to provide the Appellant with a payment arrangemen</w:t>
      </w:r>
      <w:r w:rsidRPr="007855BD">
        <w:rPr>
          <w:sz w:val="26"/>
          <w:szCs w:val="26"/>
        </w:rPr>
        <w:t xml:space="preserve">t.”  Exc. at 1.  The Complainant offers no further explanation on this point. </w:t>
      </w:r>
    </w:p>
    <w:p w14:paraId="670785AC" w14:textId="4229F617" w:rsidR="004C7668" w:rsidRPr="007855BD" w:rsidRDefault="004C7668" w:rsidP="004C7668">
      <w:pPr>
        <w:autoSpaceDE w:val="0"/>
        <w:autoSpaceDN w:val="0"/>
        <w:adjustRightInd w:val="0"/>
        <w:ind w:firstLine="1440"/>
        <w:jc w:val="left"/>
        <w:rPr>
          <w:sz w:val="26"/>
          <w:szCs w:val="26"/>
        </w:rPr>
      </w:pPr>
      <w:r w:rsidRPr="007855BD">
        <w:rPr>
          <w:sz w:val="26"/>
          <w:szCs w:val="26"/>
        </w:rPr>
        <w:t xml:space="preserve"> </w:t>
      </w:r>
    </w:p>
    <w:p w14:paraId="65EA95EB" w14:textId="284B746F" w:rsidR="004C7668" w:rsidRPr="007855BD" w:rsidRDefault="004C7668" w:rsidP="004C7668">
      <w:pPr>
        <w:ind w:firstLine="1440"/>
        <w:jc w:val="left"/>
        <w:rPr>
          <w:color w:val="000000"/>
          <w:sz w:val="26"/>
          <w:szCs w:val="26"/>
        </w:rPr>
      </w:pPr>
      <w:r w:rsidRPr="007855BD">
        <w:rPr>
          <w:sz w:val="26"/>
          <w:szCs w:val="26"/>
        </w:rPr>
        <w:t xml:space="preserve">West Penn initially states that with this </w:t>
      </w:r>
      <w:r w:rsidR="00CA2678" w:rsidRPr="007855BD">
        <w:rPr>
          <w:sz w:val="26"/>
          <w:szCs w:val="26"/>
        </w:rPr>
        <w:t>E</w:t>
      </w:r>
      <w:r w:rsidRPr="007855BD">
        <w:rPr>
          <w:sz w:val="26"/>
          <w:szCs w:val="26"/>
        </w:rPr>
        <w:t>xception the Complainant is alleging that the ALJ’s Initial Decision is not based on substantial evidence.  West Penn cites to court cases</w:t>
      </w:r>
      <w:r w:rsidRPr="007855BD">
        <w:rPr>
          <w:sz w:val="26"/>
          <w:szCs w:val="26"/>
          <w:vertAlign w:val="superscript"/>
        </w:rPr>
        <w:footnoteReference w:id="6"/>
      </w:r>
      <w:r w:rsidRPr="007855BD">
        <w:rPr>
          <w:sz w:val="26"/>
          <w:szCs w:val="26"/>
        </w:rPr>
        <w:t xml:space="preserve"> defining “substantial evidence” and notes that the ALJ’s Initial Decision is based on substantial evidence and is fully supported by a careful analysis of the evidence.  West Penn lists Findings of Fact Nos. 1 to 23, found in pages 3 to 5 of the Initial Decision, and notes that the ALJ presented an extensive and careful analysis of the applicable statutory law and judicial and regulatory precedent governing the Complaint.  Accordingly, West Penn contends that the ALJ’s extensive Findings of Fact and analysis of the facts in the Initial Decision shows that it is incorrect to contend that the ALJ’s Initial Decision is not based on substantial evidence.  </w:t>
      </w:r>
      <w:r w:rsidRPr="007855BD">
        <w:rPr>
          <w:color w:val="000000"/>
          <w:sz w:val="26"/>
          <w:szCs w:val="26"/>
        </w:rPr>
        <w:t xml:space="preserve">R. Exc. at 4-9.  </w:t>
      </w:r>
    </w:p>
    <w:p w14:paraId="71BE8E8D" w14:textId="77777777" w:rsidR="00314F8F" w:rsidRPr="007855BD" w:rsidRDefault="00314F8F" w:rsidP="004C7668">
      <w:pPr>
        <w:ind w:firstLine="1440"/>
        <w:jc w:val="left"/>
        <w:rPr>
          <w:color w:val="000000"/>
          <w:sz w:val="26"/>
          <w:szCs w:val="26"/>
        </w:rPr>
      </w:pPr>
    </w:p>
    <w:p w14:paraId="1DD451AF" w14:textId="77777777" w:rsidR="004C7668" w:rsidRPr="007855BD" w:rsidRDefault="004C7668" w:rsidP="004C7668">
      <w:pPr>
        <w:autoSpaceDE w:val="0"/>
        <w:autoSpaceDN w:val="0"/>
        <w:adjustRightInd w:val="0"/>
        <w:ind w:firstLine="1440"/>
        <w:jc w:val="left"/>
        <w:rPr>
          <w:sz w:val="26"/>
          <w:szCs w:val="26"/>
        </w:rPr>
      </w:pPr>
      <w:r w:rsidRPr="007855BD">
        <w:rPr>
          <w:b/>
          <w:sz w:val="26"/>
          <w:szCs w:val="26"/>
        </w:rPr>
        <w:t xml:space="preserve">Exception No. 2.  </w:t>
      </w:r>
      <w:r w:rsidRPr="007855BD">
        <w:rPr>
          <w:sz w:val="26"/>
          <w:szCs w:val="26"/>
        </w:rPr>
        <w:t xml:space="preserve">The Complainant argues in her second Exception that, “A payment arrangement, unlike current PUC jurisprudence, is a right and not a matter of discretion for the PUC.”  Exc. at 1.  </w:t>
      </w:r>
    </w:p>
    <w:p w14:paraId="754E644F" w14:textId="77777777" w:rsidR="004C7668" w:rsidRPr="007855BD" w:rsidRDefault="004C7668" w:rsidP="004C7668">
      <w:pPr>
        <w:autoSpaceDE w:val="0"/>
        <w:autoSpaceDN w:val="0"/>
        <w:adjustRightInd w:val="0"/>
        <w:ind w:left="1440"/>
        <w:jc w:val="left"/>
        <w:rPr>
          <w:sz w:val="26"/>
          <w:szCs w:val="26"/>
        </w:rPr>
      </w:pPr>
    </w:p>
    <w:p w14:paraId="5B6B16AB" w14:textId="0CEA9D0B" w:rsidR="004C7668" w:rsidRPr="007855BD" w:rsidRDefault="004C7668" w:rsidP="004C7668">
      <w:pPr>
        <w:autoSpaceDE w:val="0"/>
        <w:autoSpaceDN w:val="0"/>
        <w:adjustRightInd w:val="0"/>
        <w:ind w:firstLine="1440"/>
        <w:jc w:val="left"/>
        <w:rPr>
          <w:sz w:val="26"/>
          <w:szCs w:val="26"/>
        </w:rPr>
      </w:pPr>
      <w:r w:rsidRPr="007855BD">
        <w:rPr>
          <w:sz w:val="26"/>
          <w:szCs w:val="26"/>
        </w:rPr>
        <w:t xml:space="preserve">In its Reply Exceptions, West Penn states that the Complainant in her Exceptions is essentially contending that the Commission has no discretion to refuse a customer’s request for a payment arrangement regardless of the size of the customer’s </w:t>
      </w:r>
      <w:r w:rsidRPr="007855BD">
        <w:rPr>
          <w:sz w:val="26"/>
          <w:szCs w:val="26"/>
        </w:rPr>
        <w:lastRenderedPageBreak/>
        <w:t xml:space="preserve">billing arrearage and number of prior defaults.  West Penn notes that the ALJ has presented a full analysis of Section 1405 of the Code, </w:t>
      </w:r>
      <w:r w:rsidR="00771674" w:rsidRPr="007855BD">
        <w:rPr>
          <w:sz w:val="26"/>
          <w:szCs w:val="26"/>
        </w:rPr>
        <w:t xml:space="preserve">which West Penn </w:t>
      </w:r>
      <w:r w:rsidR="00237B91" w:rsidRPr="007855BD">
        <w:rPr>
          <w:sz w:val="26"/>
          <w:szCs w:val="26"/>
        </w:rPr>
        <w:t>further notes</w:t>
      </w:r>
      <w:r w:rsidR="00771674" w:rsidRPr="007855BD">
        <w:rPr>
          <w:sz w:val="26"/>
          <w:szCs w:val="26"/>
        </w:rPr>
        <w:t xml:space="preserve"> was cr</w:t>
      </w:r>
      <w:r w:rsidR="00511384" w:rsidRPr="007855BD">
        <w:rPr>
          <w:sz w:val="26"/>
          <w:szCs w:val="26"/>
        </w:rPr>
        <w:t>e</w:t>
      </w:r>
      <w:r w:rsidR="00771674" w:rsidRPr="007855BD">
        <w:rPr>
          <w:sz w:val="26"/>
          <w:szCs w:val="26"/>
        </w:rPr>
        <w:t xml:space="preserve">ated by </w:t>
      </w:r>
      <w:r w:rsidRPr="007855BD">
        <w:rPr>
          <w:sz w:val="26"/>
          <w:szCs w:val="26"/>
        </w:rPr>
        <w:t>the General Assembly as a method for payment-troubled customers to regain control of their utility bills, subject to the discretion of the Commission in allowing a payment arrangement and its terms.  West Penn cites to the ALJ’s analysis in his Initial Decision stating that the Commission judiciously exercises its authority to establish a payment arrangement under Section 1405 of Chapter 14 and only on behalf of customers who have demonstrated some evidence of good faith efforts to pay their utility bills or who have experienced a significant change in circumstances outside of their control.  R.</w:t>
      </w:r>
      <w:r w:rsidR="007855BD">
        <w:rPr>
          <w:sz w:val="26"/>
          <w:szCs w:val="26"/>
        </w:rPr>
        <w:t> </w:t>
      </w:r>
      <w:r w:rsidRPr="007855BD">
        <w:rPr>
          <w:sz w:val="26"/>
          <w:szCs w:val="26"/>
        </w:rPr>
        <w:t xml:space="preserve">Exc. at 9-10 (citing </w:t>
      </w:r>
      <w:r w:rsidRPr="007855BD">
        <w:rPr>
          <w:i/>
          <w:iCs/>
          <w:sz w:val="26"/>
          <w:szCs w:val="26"/>
        </w:rPr>
        <w:t>Slaughter</w:t>
      </w:r>
      <w:r w:rsidRPr="007855BD">
        <w:rPr>
          <w:sz w:val="26"/>
          <w:szCs w:val="26"/>
        </w:rPr>
        <w:t>).</w:t>
      </w:r>
    </w:p>
    <w:p w14:paraId="36519495" w14:textId="77777777" w:rsidR="004C7668" w:rsidRPr="007855BD" w:rsidRDefault="004C7668" w:rsidP="004C7668">
      <w:pPr>
        <w:autoSpaceDE w:val="0"/>
        <w:autoSpaceDN w:val="0"/>
        <w:adjustRightInd w:val="0"/>
        <w:ind w:firstLine="1440"/>
        <w:jc w:val="left"/>
        <w:rPr>
          <w:sz w:val="26"/>
          <w:szCs w:val="26"/>
        </w:rPr>
      </w:pPr>
    </w:p>
    <w:p w14:paraId="7CF85D41" w14:textId="0DF0A236" w:rsidR="004C7668" w:rsidRPr="007855BD" w:rsidRDefault="004C7668" w:rsidP="00C710CB">
      <w:pPr>
        <w:ind w:firstLine="1440"/>
        <w:jc w:val="left"/>
        <w:rPr>
          <w:rFonts w:eastAsiaTheme="minorHAnsi"/>
          <w:color w:val="000000"/>
          <w:sz w:val="26"/>
          <w:szCs w:val="26"/>
        </w:rPr>
      </w:pPr>
      <w:r w:rsidRPr="007855BD">
        <w:rPr>
          <w:b/>
          <w:bCs/>
          <w:color w:val="000000"/>
          <w:sz w:val="26"/>
          <w:szCs w:val="26"/>
        </w:rPr>
        <w:t>Exception No. 4</w:t>
      </w:r>
      <w:r w:rsidR="00C710CB" w:rsidRPr="007855BD">
        <w:rPr>
          <w:b/>
          <w:bCs/>
          <w:color w:val="000000"/>
          <w:sz w:val="26"/>
          <w:szCs w:val="26"/>
        </w:rPr>
        <w:t xml:space="preserve">.  </w:t>
      </w:r>
      <w:r w:rsidRPr="007855BD">
        <w:rPr>
          <w:color w:val="000000"/>
          <w:sz w:val="26"/>
          <w:szCs w:val="26"/>
        </w:rPr>
        <w:t>Exception No. 4 notes that the</w:t>
      </w:r>
      <w:r w:rsidRPr="007855BD">
        <w:rPr>
          <w:rFonts w:eastAsiaTheme="minorHAnsi"/>
          <w:color w:val="000000"/>
          <w:sz w:val="26"/>
          <w:szCs w:val="26"/>
        </w:rPr>
        <w:t xml:space="preserve"> PUC improperly relied upon Ms. Matrunic’s poor payment history as a factor in deciding whether to provide her with a repayment plan.  </w:t>
      </w:r>
    </w:p>
    <w:p w14:paraId="5F1E70EF" w14:textId="77777777" w:rsidR="004C7668" w:rsidRPr="007855BD" w:rsidRDefault="004C7668" w:rsidP="004C7668">
      <w:pPr>
        <w:ind w:firstLine="1440"/>
        <w:jc w:val="left"/>
        <w:rPr>
          <w:color w:val="000000"/>
          <w:sz w:val="26"/>
          <w:szCs w:val="26"/>
        </w:rPr>
      </w:pPr>
    </w:p>
    <w:p w14:paraId="2DDF7770" w14:textId="77777777" w:rsidR="004C7668" w:rsidRPr="007855BD" w:rsidRDefault="004C7668" w:rsidP="004C7668">
      <w:pPr>
        <w:ind w:firstLine="1440"/>
        <w:jc w:val="left"/>
        <w:rPr>
          <w:color w:val="000000"/>
          <w:sz w:val="26"/>
          <w:szCs w:val="26"/>
        </w:rPr>
      </w:pPr>
      <w:r w:rsidRPr="007855BD">
        <w:rPr>
          <w:color w:val="000000"/>
          <w:sz w:val="26"/>
          <w:szCs w:val="26"/>
        </w:rPr>
        <w:t xml:space="preserve">In its reply, West Penn states that the General Assembly recognized that the receipt of utility service goes hand in hand with payment for utility service, and that unpaid utility bills threaten paying customers with higher bills through large uncollectable accounts.  R. Exc. at 12 (citing 66 Pa. C.S. § 1402 (declaration of policy)).  The Company submits that Chapter 14 did not abridge the longstanding law that a utility is entitled to payment for its services.  R. Exc. at 13 (citing </w:t>
      </w:r>
      <w:proofErr w:type="spellStart"/>
      <w:r w:rsidRPr="007855BD">
        <w:rPr>
          <w:i/>
          <w:iCs/>
          <w:color w:val="000000"/>
          <w:sz w:val="26"/>
          <w:szCs w:val="26"/>
        </w:rPr>
        <w:t>Scaccia</w:t>
      </w:r>
      <w:proofErr w:type="spellEnd"/>
      <w:r w:rsidRPr="007855BD">
        <w:rPr>
          <w:color w:val="000000"/>
          <w:sz w:val="26"/>
          <w:szCs w:val="26"/>
        </w:rPr>
        <w:t xml:space="preserve"> and </w:t>
      </w:r>
      <w:r w:rsidRPr="007855BD">
        <w:rPr>
          <w:i/>
          <w:iCs/>
          <w:color w:val="000000"/>
          <w:sz w:val="26"/>
          <w:szCs w:val="26"/>
        </w:rPr>
        <w:t>Bolt</w:t>
      </w:r>
      <w:r w:rsidRPr="007855BD">
        <w:rPr>
          <w:color w:val="000000"/>
          <w:sz w:val="26"/>
          <w:szCs w:val="26"/>
        </w:rPr>
        <w:t xml:space="preserve">).  </w:t>
      </w:r>
    </w:p>
    <w:p w14:paraId="5651794F" w14:textId="361AE332" w:rsidR="00CA2678" w:rsidRPr="007855BD" w:rsidRDefault="00CA2678" w:rsidP="005941CB">
      <w:pPr>
        <w:pStyle w:val="Default"/>
        <w:spacing w:line="360" w:lineRule="auto"/>
        <w:rPr>
          <w:rFonts w:eastAsia="Times New Roman"/>
          <w:sz w:val="26"/>
          <w:szCs w:val="26"/>
        </w:rPr>
      </w:pPr>
      <w:r w:rsidRPr="007855BD">
        <w:rPr>
          <w:rFonts w:eastAsia="Times New Roman"/>
          <w:sz w:val="26"/>
          <w:szCs w:val="26"/>
        </w:rPr>
        <w:t xml:space="preserve"> </w:t>
      </w:r>
    </w:p>
    <w:p w14:paraId="4019433A" w14:textId="633CDA37" w:rsidR="006749CC" w:rsidRPr="007855BD" w:rsidRDefault="001770E6" w:rsidP="005619E2">
      <w:pPr>
        <w:pStyle w:val="Default"/>
        <w:spacing w:line="360" w:lineRule="auto"/>
        <w:ind w:firstLine="1440"/>
        <w:rPr>
          <w:rFonts w:eastAsia="Times New Roman"/>
          <w:sz w:val="26"/>
          <w:szCs w:val="26"/>
        </w:rPr>
      </w:pPr>
      <w:r w:rsidRPr="007855BD">
        <w:rPr>
          <w:rFonts w:eastAsia="Times New Roman"/>
          <w:sz w:val="26"/>
          <w:szCs w:val="26"/>
        </w:rPr>
        <w:t>Upon review, we note that i</w:t>
      </w:r>
      <w:r w:rsidR="006749CC" w:rsidRPr="007855BD">
        <w:rPr>
          <w:rFonts w:eastAsia="Times New Roman"/>
          <w:sz w:val="26"/>
          <w:szCs w:val="26"/>
        </w:rPr>
        <w:t xml:space="preserve">n every case coming before </w:t>
      </w:r>
      <w:r w:rsidR="007107A8" w:rsidRPr="007855BD">
        <w:rPr>
          <w:rFonts w:eastAsia="Times New Roman"/>
          <w:sz w:val="26"/>
          <w:szCs w:val="26"/>
        </w:rPr>
        <w:t>us</w:t>
      </w:r>
      <w:r w:rsidR="006749CC" w:rsidRPr="007855BD">
        <w:rPr>
          <w:rFonts w:eastAsia="Times New Roman"/>
          <w:sz w:val="26"/>
          <w:szCs w:val="26"/>
        </w:rPr>
        <w:t xml:space="preserve">, the Commission cannot act unless it has jurisdiction over both the parties to a dispute and the subject matter of a dispute. </w:t>
      </w:r>
      <w:r w:rsidR="007107A8" w:rsidRPr="007855BD">
        <w:rPr>
          <w:rFonts w:eastAsia="Times New Roman"/>
          <w:sz w:val="26"/>
          <w:szCs w:val="26"/>
        </w:rPr>
        <w:t xml:space="preserve"> </w:t>
      </w:r>
      <w:r w:rsidR="006749CC" w:rsidRPr="007855BD">
        <w:rPr>
          <w:rFonts w:eastAsia="Times New Roman"/>
          <w:sz w:val="26"/>
          <w:szCs w:val="26"/>
        </w:rPr>
        <w:t>It is fundamental that the Commission must act within, and cannot exceed, its jurisdiction.</w:t>
      </w:r>
      <w:r w:rsidR="006749CC" w:rsidRPr="007855BD">
        <w:rPr>
          <w:rStyle w:val="FootnoteReference"/>
          <w:rFonts w:eastAsia="Times New Roman"/>
          <w:sz w:val="26"/>
          <w:szCs w:val="26"/>
        </w:rPr>
        <w:footnoteReference w:id="7"/>
      </w:r>
      <w:r w:rsidR="006749CC" w:rsidRPr="007855BD">
        <w:rPr>
          <w:rFonts w:eastAsia="Times New Roman"/>
          <w:sz w:val="26"/>
          <w:szCs w:val="26"/>
        </w:rPr>
        <w:t xml:space="preserve"> </w:t>
      </w:r>
      <w:r w:rsidR="007107A8" w:rsidRPr="007855BD">
        <w:rPr>
          <w:rFonts w:eastAsia="Times New Roman"/>
          <w:sz w:val="26"/>
          <w:szCs w:val="26"/>
        </w:rPr>
        <w:t xml:space="preserve"> </w:t>
      </w:r>
      <w:r w:rsidR="006749CC" w:rsidRPr="007855BD">
        <w:rPr>
          <w:rFonts w:eastAsia="Times New Roman"/>
          <w:sz w:val="26"/>
          <w:szCs w:val="26"/>
        </w:rPr>
        <w:t>Moreover,</w:t>
      </w:r>
      <w:r w:rsidR="00533D64" w:rsidRPr="007855BD">
        <w:rPr>
          <w:rFonts w:eastAsia="Times New Roman"/>
          <w:sz w:val="26"/>
          <w:szCs w:val="26"/>
        </w:rPr>
        <w:t xml:space="preserve"> as noted earlier, </w:t>
      </w:r>
      <w:r w:rsidR="006749CC" w:rsidRPr="007855BD">
        <w:rPr>
          <w:rFonts w:eastAsia="Times New Roman"/>
          <w:sz w:val="26"/>
          <w:szCs w:val="26"/>
        </w:rPr>
        <w:t xml:space="preserve">lack of subject matter jurisdiction is an issue that cannot be waived, </w:t>
      </w:r>
      <w:r w:rsidR="00533D64" w:rsidRPr="007855BD">
        <w:rPr>
          <w:rFonts w:eastAsia="Times New Roman"/>
          <w:sz w:val="26"/>
          <w:szCs w:val="26"/>
        </w:rPr>
        <w:t xml:space="preserve">that </w:t>
      </w:r>
      <w:r w:rsidR="006749CC" w:rsidRPr="007855BD">
        <w:rPr>
          <w:rFonts w:eastAsia="Times New Roman"/>
          <w:sz w:val="26"/>
          <w:szCs w:val="26"/>
        </w:rPr>
        <w:t xml:space="preserve">may be raised at any stage of a case, and </w:t>
      </w:r>
      <w:r w:rsidR="00533D64" w:rsidRPr="007855BD">
        <w:rPr>
          <w:rFonts w:eastAsia="Times New Roman"/>
          <w:sz w:val="26"/>
          <w:szCs w:val="26"/>
        </w:rPr>
        <w:t xml:space="preserve">that </w:t>
      </w:r>
      <w:r w:rsidR="006749CC" w:rsidRPr="007855BD">
        <w:rPr>
          <w:rFonts w:eastAsia="Times New Roman"/>
          <w:sz w:val="26"/>
          <w:szCs w:val="26"/>
        </w:rPr>
        <w:t xml:space="preserve">may be </w:t>
      </w:r>
      <w:r w:rsidR="006749CC" w:rsidRPr="007855BD">
        <w:rPr>
          <w:rFonts w:eastAsia="Times New Roman"/>
          <w:sz w:val="26"/>
          <w:szCs w:val="26"/>
        </w:rPr>
        <w:lastRenderedPageBreak/>
        <w:t xml:space="preserve">raised by the Commission </w:t>
      </w:r>
      <w:r w:rsidR="006749CC" w:rsidRPr="007855BD">
        <w:rPr>
          <w:rFonts w:eastAsia="Times New Roman"/>
          <w:i/>
          <w:sz w:val="26"/>
          <w:szCs w:val="26"/>
        </w:rPr>
        <w:t>sua sponte.</w:t>
      </w:r>
      <w:r w:rsidR="006749CC" w:rsidRPr="007855BD">
        <w:rPr>
          <w:rStyle w:val="FootnoteReference"/>
          <w:rFonts w:eastAsia="Times New Roman"/>
          <w:i/>
          <w:sz w:val="26"/>
          <w:szCs w:val="26"/>
        </w:rPr>
        <w:footnoteReference w:id="8"/>
      </w:r>
      <w:r w:rsidR="006749CC" w:rsidRPr="007855BD">
        <w:rPr>
          <w:rFonts w:eastAsia="Times New Roman"/>
          <w:sz w:val="26"/>
          <w:szCs w:val="26"/>
        </w:rPr>
        <w:t xml:space="preserve"> </w:t>
      </w:r>
      <w:r w:rsidR="007107A8" w:rsidRPr="007855BD">
        <w:rPr>
          <w:rFonts w:eastAsia="Times New Roman"/>
          <w:sz w:val="26"/>
          <w:szCs w:val="26"/>
        </w:rPr>
        <w:t xml:space="preserve"> </w:t>
      </w:r>
      <w:r w:rsidR="006749CC" w:rsidRPr="007855BD">
        <w:rPr>
          <w:rFonts w:eastAsia="Times New Roman"/>
          <w:sz w:val="26"/>
          <w:szCs w:val="26"/>
        </w:rPr>
        <w:t>Here, it is clear from the record that the Commission lacks subject matter jurisdiction to grant the requested Commission payment arrangement.</w:t>
      </w:r>
    </w:p>
    <w:p w14:paraId="308C57E8" w14:textId="77777777" w:rsidR="00001BE2" w:rsidRPr="007855BD" w:rsidRDefault="00001BE2" w:rsidP="005619E2">
      <w:pPr>
        <w:pStyle w:val="Default"/>
        <w:spacing w:line="360" w:lineRule="auto"/>
        <w:ind w:firstLine="1440"/>
        <w:rPr>
          <w:rFonts w:eastAsia="Times New Roman"/>
          <w:sz w:val="26"/>
          <w:szCs w:val="26"/>
        </w:rPr>
      </w:pPr>
    </w:p>
    <w:p w14:paraId="2434D613" w14:textId="012E32D4" w:rsidR="006749CC" w:rsidRPr="007855BD" w:rsidRDefault="007107A8" w:rsidP="007107A8">
      <w:pPr>
        <w:pStyle w:val="Default"/>
        <w:spacing w:line="360" w:lineRule="auto"/>
        <w:ind w:firstLine="1440"/>
        <w:rPr>
          <w:rFonts w:eastAsia="Times New Roman"/>
          <w:sz w:val="26"/>
          <w:szCs w:val="26"/>
        </w:rPr>
      </w:pPr>
      <w:r w:rsidRPr="007855BD">
        <w:rPr>
          <w:rFonts w:eastAsia="Times New Roman"/>
          <w:sz w:val="26"/>
          <w:szCs w:val="26"/>
        </w:rPr>
        <w:t>T</w:t>
      </w:r>
      <w:r w:rsidR="006749CC" w:rsidRPr="007855BD">
        <w:rPr>
          <w:rFonts w:eastAsia="Times New Roman"/>
          <w:sz w:val="26"/>
          <w:szCs w:val="26"/>
        </w:rPr>
        <w:t xml:space="preserve">he record </w:t>
      </w:r>
      <w:r w:rsidRPr="007855BD">
        <w:rPr>
          <w:rFonts w:eastAsia="Times New Roman"/>
          <w:sz w:val="26"/>
          <w:szCs w:val="26"/>
        </w:rPr>
        <w:t>in this case reflects</w:t>
      </w:r>
      <w:r w:rsidR="006749CC" w:rsidRPr="007855BD">
        <w:rPr>
          <w:rFonts w:eastAsia="Times New Roman"/>
          <w:sz w:val="26"/>
          <w:szCs w:val="26"/>
        </w:rPr>
        <w:t xml:space="preserve"> that the Complainant has an active Chapter</w:t>
      </w:r>
      <w:r w:rsidR="007855BD">
        <w:rPr>
          <w:rFonts w:eastAsia="Times New Roman"/>
          <w:sz w:val="26"/>
          <w:szCs w:val="26"/>
        </w:rPr>
        <w:t> </w:t>
      </w:r>
      <w:r w:rsidR="006749CC" w:rsidRPr="007855BD">
        <w:rPr>
          <w:rFonts w:eastAsia="Times New Roman"/>
          <w:sz w:val="26"/>
          <w:szCs w:val="26"/>
        </w:rPr>
        <w:t>13 Bankruptcy proceeding before the United States Bankruptcy Court for the Western District of Pennsylvania.</w:t>
      </w:r>
      <w:r w:rsidRPr="007855BD">
        <w:rPr>
          <w:rFonts w:eastAsia="Times New Roman"/>
          <w:sz w:val="26"/>
          <w:szCs w:val="26"/>
        </w:rPr>
        <w:t xml:space="preserve"> </w:t>
      </w:r>
      <w:r w:rsidR="006749CC" w:rsidRPr="007855BD">
        <w:rPr>
          <w:rFonts w:eastAsia="Times New Roman"/>
          <w:sz w:val="26"/>
          <w:szCs w:val="26"/>
        </w:rPr>
        <w:t xml:space="preserve"> Tr. at 24-25. </w:t>
      </w:r>
      <w:r w:rsidRPr="007855BD">
        <w:rPr>
          <w:rFonts w:eastAsia="Times New Roman"/>
          <w:sz w:val="26"/>
          <w:szCs w:val="26"/>
        </w:rPr>
        <w:t xml:space="preserve"> </w:t>
      </w:r>
      <w:r w:rsidR="006749CC" w:rsidRPr="007855BD">
        <w:rPr>
          <w:rFonts w:eastAsia="Times New Roman"/>
          <w:sz w:val="26"/>
          <w:szCs w:val="26"/>
        </w:rPr>
        <w:t>It is well established that the Commission lacks jurisdiction to order a payment arrangement for a debtor with an active Chapter 13 bankruptcy proceeding, even where the balance is a post-bankruptcy filing arrearage.</w:t>
      </w:r>
      <w:r w:rsidR="006749CC" w:rsidRPr="007855BD">
        <w:rPr>
          <w:rStyle w:val="FootnoteReference"/>
          <w:rFonts w:eastAsia="Times New Roman"/>
          <w:sz w:val="26"/>
          <w:szCs w:val="26"/>
        </w:rPr>
        <w:footnoteReference w:id="9"/>
      </w:r>
      <w:r w:rsidR="006749CC" w:rsidRPr="007855BD">
        <w:rPr>
          <w:rFonts w:eastAsia="Times New Roman"/>
          <w:sz w:val="26"/>
          <w:szCs w:val="26"/>
        </w:rPr>
        <w:t xml:space="preserve"> </w:t>
      </w:r>
      <w:r w:rsidR="00261749" w:rsidRPr="007855BD">
        <w:rPr>
          <w:rFonts w:eastAsia="Times New Roman"/>
          <w:sz w:val="26"/>
          <w:szCs w:val="26"/>
        </w:rPr>
        <w:t xml:space="preserve"> </w:t>
      </w:r>
      <w:r w:rsidR="006749CC" w:rsidRPr="007855BD">
        <w:rPr>
          <w:rFonts w:eastAsia="Times New Roman"/>
          <w:sz w:val="26"/>
          <w:szCs w:val="26"/>
        </w:rPr>
        <w:t>Therefore, the Commission cannot order disbursement of the Complainant</w:t>
      </w:r>
      <w:r w:rsidR="00A1653A" w:rsidRPr="007855BD">
        <w:rPr>
          <w:rFonts w:eastAsia="Times New Roman"/>
          <w:sz w:val="26"/>
          <w:szCs w:val="26"/>
        </w:rPr>
        <w:t>’</w:t>
      </w:r>
      <w:r w:rsidR="006749CC" w:rsidRPr="007855BD">
        <w:rPr>
          <w:rFonts w:eastAsia="Times New Roman"/>
          <w:sz w:val="26"/>
          <w:szCs w:val="26"/>
        </w:rPr>
        <w:t xml:space="preserve">s assets and does not have </w:t>
      </w:r>
      <w:r w:rsidR="006749CC" w:rsidRPr="007855BD">
        <w:rPr>
          <w:sz w:val="26"/>
          <w:szCs w:val="26"/>
        </w:rPr>
        <w:t>jurisdiction</w:t>
      </w:r>
      <w:r w:rsidR="006749CC" w:rsidRPr="007855BD">
        <w:rPr>
          <w:rFonts w:eastAsia="Times New Roman"/>
          <w:sz w:val="26"/>
          <w:szCs w:val="26"/>
        </w:rPr>
        <w:t xml:space="preserve"> to establish a payment arrangement for the Complainant</w:t>
      </w:r>
      <w:r w:rsidR="00A1653A" w:rsidRPr="007855BD">
        <w:rPr>
          <w:rFonts w:eastAsia="Times New Roman"/>
          <w:sz w:val="26"/>
          <w:szCs w:val="26"/>
        </w:rPr>
        <w:t>’</w:t>
      </w:r>
      <w:r w:rsidR="006749CC" w:rsidRPr="007855BD">
        <w:rPr>
          <w:rFonts w:eastAsia="Times New Roman"/>
          <w:sz w:val="26"/>
          <w:szCs w:val="26"/>
        </w:rPr>
        <w:t>s electric service.</w:t>
      </w:r>
    </w:p>
    <w:p w14:paraId="6C57D3BA" w14:textId="77777777" w:rsidR="00261749" w:rsidRPr="007855BD" w:rsidRDefault="00261749" w:rsidP="007107A8">
      <w:pPr>
        <w:pStyle w:val="Default"/>
        <w:spacing w:line="360" w:lineRule="auto"/>
        <w:ind w:firstLine="1440"/>
        <w:rPr>
          <w:rFonts w:eastAsia="Times New Roman"/>
          <w:sz w:val="26"/>
          <w:szCs w:val="26"/>
        </w:rPr>
      </w:pPr>
    </w:p>
    <w:p w14:paraId="3E78EA92" w14:textId="57A149B2" w:rsidR="006749CC" w:rsidRPr="007855BD" w:rsidRDefault="00533D64" w:rsidP="00261749">
      <w:pPr>
        <w:pStyle w:val="Default"/>
        <w:spacing w:line="360" w:lineRule="auto"/>
        <w:ind w:firstLine="1440"/>
        <w:rPr>
          <w:rFonts w:eastAsia="Times New Roman"/>
          <w:sz w:val="26"/>
          <w:szCs w:val="26"/>
        </w:rPr>
      </w:pPr>
      <w:r w:rsidRPr="007855BD">
        <w:rPr>
          <w:rFonts w:eastAsia="Times New Roman"/>
          <w:sz w:val="26"/>
          <w:szCs w:val="26"/>
        </w:rPr>
        <w:t xml:space="preserve">Pursuant to 28 U.S.C. § 1334, federal district courts and their United States </w:t>
      </w:r>
      <w:r w:rsidR="006749CC" w:rsidRPr="007855BD">
        <w:rPr>
          <w:rFonts w:eastAsia="Times New Roman"/>
          <w:sz w:val="26"/>
          <w:szCs w:val="26"/>
        </w:rPr>
        <w:t>Bankruptcy Courts have jurisdiction over all civil proceedings arising under Title 11, including a Chapter 13 petition for bankruptcy.</w:t>
      </w:r>
      <w:r w:rsidR="00261749" w:rsidRPr="007855BD">
        <w:rPr>
          <w:rFonts w:eastAsia="Times New Roman"/>
          <w:sz w:val="26"/>
          <w:szCs w:val="26"/>
        </w:rPr>
        <w:t xml:space="preserve"> </w:t>
      </w:r>
      <w:r w:rsidR="006749CC" w:rsidRPr="007855BD">
        <w:rPr>
          <w:rFonts w:eastAsia="Times New Roman"/>
          <w:sz w:val="26"/>
          <w:szCs w:val="26"/>
        </w:rPr>
        <w:t xml:space="preserve"> Section 1334 further establishes that the bankruptcy court has exclusive jurisdiction of all property of the debtor.</w:t>
      </w:r>
      <w:r w:rsidRPr="007855BD">
        <w:rPr>
          <w:rStyle w:val="FootnoteReference"/>
          <w:rFonts w:eastAsia="Times New Roman"/>
          <w:sz w:val="26"/>
          <w:szCs w:val="26"/>
        </w:rPr>
        <w:footnoteReference w:id="10"/>
      </w:r>
    </w:p>
    <w:p w14:paraId="36E3DCF2" w14:textId="77777777" w:rsidR="007107A8" w:rsidRPr="007855BD" w:rsidRDefault="007107A8" w:rsidP="007107A8">
      <w:pPr>
        <w:pStyle w:val="Default"/>
        <w:spacing w:line="360" w:lineRule="auto"/>
        <w:ind w:firstLine="1440"/>
        <w:rPr>
          <w:rFonts w:eastAsia="Times New Roman"/>
          <w:sz w:val="26"/>
          <w:szCs w:val="26"/>
        </w:rPr>
      </w:pPr>
    </w:p>
    <w:p w14:paraId="3FCBAF77" w14:textId="7FF526B7" w:rsidR="006749CC" w:rsidRPr="007855BD" w:rsidRDefault="006749CC" w:rsidP="007107A8">
      <w:pPr>
        <w:pStyle w:val="Default"/>
        <w:spacing w:line="360" w:lineRule="auto"/>
        <w:ind w:firstLine="1440"/>
        <w:rPr>
          <w:rFonts w:eastAsia="Times New Roman"/>
          <w:sz w:val="26"/>
          <w:szCs w:val="26"/>
        </w:rPr>
      </w:pPr>
      <w:r w:rsidRPr="007855BD">
        <w:rPr>
          <w:rFonts w:eastAsia="Times New Roman"/>
          <w:sz w:val="26"/>
          <w:szCs w:val="26"/>
        </w:rPr>
        <w:lastRenderedPageBreak/>
        <w:t>Unlike a Chapter 7 bankruptcy proceeding (in which a debtor</w:t>
      </w:r>
      <w:r w:rsidR="00FD1A7C" w:rsidRPr="007855BD">
        <w:rPr>
          <w:rFonts w:eastAsia="Times New Roman"/>
          <w:sz w:val="26"/>
          <w:szCs w:val="26"/>
        </w:rPr>
        <w:t>’</w:t>
      </w:r>
      <w:r w:rsidRPr="007855BD">
        <w:rPr>
          <w:rFonts w:eastAsia="Times New Roman"/>
          <w:sz w:val="26"/>
          <w:szCs w:val="26"/>
        </w:rPr>
        <w:t>s estate is expeditiously liquidated and distributed to creditors), a Chapter 13 bankruptcy allows a debtor to repay debts under the management of a bankruptcy trustee, who controls the debtor</w:t>
      </w:r>
      <w:r w:rsidR="007107A8" w:rsidRPr="007855BD">
        <w:rPr>
          <w:rFonts w:eastAsia="Times New Roman"/>
          <w:sz w:val="26"/>
          <w:szCs w:val="26"/>
        </w:rPr>
        <w:t>’</w:t>
      </w:r>
      <w:r w:rsidRPr="007855BD">
        <w:rPr>
          <w:rFonts w:eastAsia="Times New Roman"/>
          <w:sz w:val="26"/>
          <w:szCs w:val="26"/>
        </w:rPr>
        <w:t>s estate and makes the distributions until the bankruptcy petition is discharged or dismissed.</w:t>
      </w:r>
      <w:r w:rsidR="007107A8" w:rsidRPr="007855BD">
        <w:rPr>
          <w:rFonts w:eastAsia="Times New Roman"/>
          <w:sz w:val="26"/>
          <w:szCs w:val="26"/>
        </w:rPr>
        <w:t xml:space="preserve"> </w:t>
      </w:r>
      <w:r w:rsidRPr="007855BD">
        <w:rPr>
          <w:rFonts w:eastAsia="Times New Roman"/>
          <w:sz w:val="26"/>
          <w:szCs w:val="26"/>
        </w:rPr>
        <w:t xml:space="preserve"> Pursuant to Chapter 13 of the Bankruptcy Code, 11 U.S.C. § 1306(a)(1) and (2)</w:t>
      </w:r>
      <w:r w:rsidR="00A1653A" w:rsidRPr="007855BD">
        <w:rPr>
          <w:rFonts w:eastAsia="Times New Roman"/>
          <w:sz w:val="26"/>
          <w:szCs w:val="26"/>
        </w:rPr>
        <w:t>,</w:t>
      </w:r>
      <w:r w:rsidRPr="007855BD">
        <w:rPr>
          <w:rFonts w:eastAsia="Times New Roman"/>
          <w:sz w:val="26"/>
          <w:szCs w:val="26"/>
        </w:rPr>
        <w:t xml:space="preserve"> the debtor</w:t>
      </w:r>
      <w:r w:rsidR="00261749" w:rsidRPr="007855BD">
        <w:rPr>
          <w:rFonts w:eastAsia="Times New Roman"/>
          <w:sz w:val="26"/>
          <w:szCs w:val="26"/>
        </w:rPr>
        <w:t>’</w:t>
      </w:r>
      <w:r w:rsidRPr="007855BD">
        <w:rPr>
          <w:rFonts w:eastAsia="Times New Roman"/>
          <w:sz w:val="26"/>
          <w:szCs w:val="26"/>
        </w:rPr>
        <w:t>s estate includes both property and earnings acquired</w:t>
      </w:r>
      <w:r w:rsidR="007107A8" w:rsidRPr="007855BD">
        <w:rPr>
          <w:rFonts w:eastAsia="Times New Roman"/>
          <w:sz w:val="26"/>
          <w:szCs w:val="26"/>
        </w:rPr>
        <w:t xml:space="preserve"> “</w:t>
      </w:r>
      <w:r w:rsidRPr="007855BD">
        <w:rPr>
          <w:rFonts w:eastAsia="Times New Roman"/>
          <w:sz w:val="26"/>
          <w:szCs w:val="26"/>
        </w:rPr>
        <w:t>.</w:t>
      </w:r>
      <w:r w:rsidR="00A1653A" w:rsidRPr="007855BD">
        <w:rPr>
          <w:rFonts w:eastAsia="Times New Roman"/>
          <w:sz w:val="26"/>
          <w:szCs w:val="26"/>
        </w:rPr>
        <w:t xml:space="preserve"> </w:t>
      </w:r>
      <w:r w:rsidRPr="007855BD">
        <w:rPr>
          <w:rFonts w:eastAsia="Times New Roman"/>
          <w:sz w:val="26"/>
          <w:szCs w:val="26"/>
        </w:rPr>
        <w:t>.</w:t>
      </w:r>
      <w:r w:rsidR="00A1653A" w:rsidRPr="007855BD">
        <w:rPr>
          <w:rFonts w:eastAsia="Times New Roman"/>
          <w:sz w:val="26"/>
          <w:szCs w:val="26"/>
        </w:rPr>
        <w:t xml:space="preserve"> </w:t>
      </w:r>
      <w:r w:rsidRPr="007855BD">
        <w:rPr>
          <w:rFonts w:eastAsia="Times New Roman"/>
          <w:sz w:val="26"/>
          <w:szCs w:val="26"/>
        </w:rPr>
        <w:t xml:space="preserve">. after the commencement of the case but before the case is closed, dismissed, or converted to a case under chapter 7, or 11, or 12 of this title [11 USCS §§ 701 </w:t>
      </w:r>
      <w:r w:rsidRPr="007855BD">
        <w:rPr>
          <w:rFonts w:eastAsia="Times New Roman"/>
          <w:i/>
          <w:iCs/>
          <w:sz w:val="26"/>
          <w:szCs w:val="26"/>
        </w:rPr>
        <w:t>et seq</w:t>
      </w:r>
      <w:r w:rsidRPr="007855BD">
        <w:rPr>
          <w:rFonts w:eastAsia="Times New Roman"/>
          <w:sz w:val="26"/>
          <w:szCs w:val="26"/>
        </w:rPr>
        <w:t xml:space="preserve">., 1101 et seq., or 1201 </w:t>
      </w:r>
      <w:r w:rsidRPr="007855BD">
        <w:rPr>
          <w:rFonts w:eastAsia="Times New Roman"/>
          <w:i/>
          <w:iCs/>
          <w:sz w:val="26"/>
          <w:szCs w:val="26"/>
        </w:rPr>
        <w:t>et seq</w:t>
      </w:r>
      <w:r w:rsidRPr="007855BD">
        <w:rPr>
          <w:rFonts w:eastAsia="Times New Roman"/>
          <w:sz w:val="26"/>
          <w:szCs w:val="26"/>
        </w:rPr>
        <w:t>.], whichever occurs first.</w:t>
      </w:r>
      <w:r w:rsidR="007107A8" w:rsidRPr="007855BD">
        <w:rPr>
          <w:rFonts w:eastAsia="Times New Roman"/>
          <w:sz w:val="26"/>
          <w:szCs w:val="26"/>
        </w:rPr>
        <w:t xml:space="preserve">” </w:t>
      </w:r>
      <w:r w:rsidRPr="007855BD">
        <w:rPr>
          <w:rFonts w:eastAsia="Times New Roman"/>
          <w:sz w:val="26"/>
          <w:szCs w:val="26"/>
        </w:rPr>
        <w:t xml:space="preserve"> By statute, the debtor</w:t>
      </w:r>
      <w:r w:rsidR="00261749" w:rsidRPr="007855BD">
        <w:rPr>
          <w:rFonts w:eastAsia="Times New Roman"/>
          <w:sz w:val="26"/>
          <w:szCs w:val="26"/>
        </w:rPr>
        <w:t>’</w:t>
      </w:r>
      <w:r w:rsidRPr="007855BD">
        <w:rPr>
          <w:rFonts w:eastAsia="Times New Roman"/>
          <w:sz w:val="26"/>
          <w:szCs w:val="26"/>
        </w:rPr>
        <w:t>s assets (with certain limited exceptions not relevant here), whether acquired pre-</w:t>
      </w:r>
      <w:r w:rsidR="00A1653A" w:rsidRPr="007855BD">
        <w:rPr>
          <w:rFonts w:eastAsia="Times New Roman"/>
          <w:sz w:val="26"/>
          <w:szCs w:val="26"/>
        </w:rPr>
        <w:t xml:space="preserve">petition </w:t>
      </w:r>
      <w:r w:rsidRPr="007855BD">
        <w:rPr>
          <w:rFonts w:eastAsia="Times New Roman"/>
          <w:sz w:val="26"/>
          <w:szCs w:val="26"/>
        </w:rPr>
        <w:t xml:space="preserve">or post-petition, are included within the estate for disposition by the Bankruptcy Court. </w:t>
      </w:r>
      <w:r w:rsidR="007107A8" w:rsidRPr="007855BD">
        <w:rPr>
          <w:rFonts w:eastAsia="Times New Roman"/>
          <w:sz w:val="26"/>
          <w:szCs w:val="26"/>
        </w:rPr>
        <w:t xml:space="preserve"> </w:t>
      </w:r>
      <w:r w:rsidRPr="007855BD">
        <w:rPr>
          <w:rFonts w:eastAsia="Times New Roman"/>
          <w:sz w:val="26"/>
          <w:szCs w:val="26"/>
        </w:rPr>
        <w:t xml:space="preserve">As explained by the United States Court of Appeals for the Third Circuit in </w:t>
      </w:r>
      <w:r w:rsidRPr="007855BD">
        <w:rPr>
          <w:rFonts w:eastAsia="Times New Roman"/>
          <w:i/>
          <w:sz w:val="26"/>
          <w:szCs w:val="26"/>
        </w:rPr>
        <w:t>Begley v. Philadelphia Electric Co.</w:t>
      </w:r>
      <w:r w:rsidRPr="007855BD">
        <w:rPr>
          <w:rFonts w:eastAsia="Times New Roman"/>
          <w:iCs/>
          <w:sz w:val="26"/>
          <w:szCs w:val="26"/>
        </w:rPr>
        <w:t>,</w:t>
      </w:r>
      <w:r w:rsidRPr="007855BD">
        <w:rPr>
          <w:rFonts w:eastAsia="Times New Roman"/>
          <w:i/>
          <w:sz w:val="26"/>
          <w:szCs w:val="26"/>
        </w:rPr>
        <w:t xml:space="preserve"> </w:t>
      </w:r>
      <w:r w:rsidRPr="007855BD">
        <w:rPr>
          <w:rFonts w:eastAsia="Times New Roman"/>
          <w:sz w:val="26"/>
          <w:szCs w:val="26"/>
        </w:rPr>
        <w:t>760</w:t>
      </w:r>
      <w:r w:rsidR="00C710CB" w:rsidRPr="007855BD">
        <w:rPr>
          <w:rFonts w:eastAsia="Times New Roman"/>
          <w:sz w:val="26"/>
          <w:szCs w:val="26"/>
        </w:rPr>
        <w:t> </w:t>
      </w:r>
      <w:r w:rsidRPr="007855BD">
        <w:rPr>
          <w:rFonts w:eastAsia="Times New Roman"/>
          <w:sz w:val="26"/>
          <w:szCs w:val="26"/>
        </w:rPr>
        <w:t xml:space="preserve">F.2d 46, 50 (3d Cir. Pa. 1985), discussing a Commission proceeding </w:t>
      </w:r>
      <w:r w:rsidRPr="007855BD">
        <w:rPr>
          <w:rFonts w:eastAsia="Times New Roman"/>
          <w:iCs/>
          <w:sz w:val="26"/>
          <w:szCs w:val="26"/>
        </w:rPr>
        <w:t>(</w:t>
      </w:r>
      <w:r w:rsidRPr="007855BD">
        <w:rPr>
          <w:rFonts w:eastAsia="Times New Roman"/>
          <w:i/>
          <w:sz w:val="26"/>
          <w:szCs w:val="26"/>
        </w:rPr>
        <w:t>Anyanwu v. Philadelphia Electric Co.</w:t>
      </w:r>
      <w:r w:rsidRPr="007855BD">
        <w:rPr>
          <w:rFonts w:eastAsia="Times New Roman"/>
          <w:iCs/>
          <w:sz w:val="26"/>
          <w:szCs w:val="26"/>
        </w:rPr>
        <w:t>,</w:t>
      </w:r>
      <w:r w:rsidRPr="007855BD">
        <w:rPr>
          <w:rFonts w:eastAsia="Times New Roman"/>
          <w:i/>
          <w:sz w:val="26"/>
          <w:szCs w:val="26"/>
        </w:rPr>
        <w:t xml:space="preserve"> </w:t>
      </w:r>
      <w:r w:rsidRPr="007855BD">
        <w:rPr>
          <w:rFonts w:eastAsia="Times New Roman"/>
          <w:sz w:val="26"/>
          <w:szCs w:val="26"/>
        </w:rPr>
        <w:t xml:space="preserve">55 Pa. P.U.C. 221 (1981)), </w:t>
      </w:r>
      <w:r w:rsidR="007107A8" w:rsidRPr="007855BD">
        <w:rPr>
          <w:rFonts w:eastAsia="Times New Roman"/>
          <w:sz w:val="26"/>
          <w:szCs w:val="26"/>
        </w:rPr>
        <w:t>“</w:t>
      </w:r>
      <w:r w:rsidRPr="007855BD">
        <w:rPr>
          <w:rFonts w:eastAsia="Times New Roman"/>
          <w:sz w:val="26"/>
          <w:szCs w:val="26"/>
        </w:rPr>
        <w:t xml:space="preserve">Further, </w:t>
      </w:r>
      <w:r w:rsidRPr="007855BD">
        <w:rPr>
          <w:rFonts w:eastAsia="Times New Roman"/>
          <w:i/>
          <w:sz w:val="26"/>
          <w:szCs w:val="26"/>
        </w:rPr>
        <w:t xml:space="preserve">Anyanwu </w:t>
      </w:r>
      <w:r w:rsidRPr="007855BD">
        <w:rPr>
          <w:rFonts w:eastAsia="Times New Roman"/>
          <w:sz w:val="26"/>
          <w:szCs w:val="26"/>
        </w:rPr>
        <w:t xml:space="preserve">involved a Chapter 13 reorganization, under which the bankruptcy court retains jurisdiction over both pre-petition and post-petition income and obligations </w:t>
      </w:r>
      <w:r w:rsidR="00A1653A" w:rsidRPr="007855BD">
        <w:rPr>
          <w:rFonts w:eastAsia="Times New Roman"/>
          <w:sz w:val="26"/>
          <w:szCs w:val="26"/>
        </w:rPr>
        <w:t xml:space="preserve">. </w:t>
      </w:r>
      <w:r w:rsidRPr="007855BD">
        <w:rPr>
          <w:rFonts w:eastAsia="Times New Roman"/>
          <w:sz w:val="26"/>
          <w:szCs w:val="26"/>
        </w:rPr>
        <w:t>. .</w:t>
      </w:r>
      <w:r w:rsidR="007107A8" w:rsidRPr="007855BD">
        <w:rPr>
          <w:rFonts w:eastAsia="Times New Roman"/>
          <w:sz w:val="26"/>
          <w:szCs w:val="26"/>
        </w:rPr>
        <w:t>”</w:t>
      </w:r>
      <w:r w:rsidR="00A1653A" w:rsidRPr="007855BD">
        <w:rPr>
          <w:rFonts w:eastAsia="Times New Roman"/>
          <w:sz w:val="26"/>
          <w:szCs w:val="26"/>
        </w:rPr>
        <w:t xml:space="preserve">.  </w:t>
      </w:r>
      <w:r w:rsidRPr="007855BD">
        <w:rPr>
          <w:rFonts w:eastAsia="Times New Roman"/>
          <w:i/>
          <w:sz w:val="26"/>
          <w:szCs w:val="26"/>
        </w:rPr>
        <w:t>Id.</w:t>
      </w:r>
    </w:p>
    <w:p w14:paraId="38EFACBF" w14:textId="77777777" w:rsidR="007107A8" w:rsidRPr="007855BD" w:rsidRDefault="007107A8" w:rsidP="007107A8">
      <w:pPr>
        <w:pStyle w:val="Default"/>
        <w:spacing w:line="360" w:lineRule="auto"/>
        <w:ind w:firstLine="1440"/>
        <w:rPr>
          <w:rFonts w:eastAsia="Times New Roman"/>
          <w:sz w:val="26"/>
          <w:szCs w:val="26"/>
        </w:rPr>
      </w:pPr>
    </w:p>
    <w:p w14:paraId="04174C90" w14:textId="053AC679" w:rsidR="006749CC" w:rsidRPr="007855BD" w:rsidRDefault="00A1653A" w:rsidP="00A1653A">
      <w:pPr>
        <w:pStyle w:val="Default"/>
        <w:spacing w:line="360" w:lineRule="auto"/>
        <w:ind w:firstLine="720"/>
        <w:rPr>
          <w:rFonts w:eastAsia="Times New Roman"/>
          <w:sz w:val="26"/>
          <w:szCs w:val="26"/>
        </w:rPr>
      </w:pPr>
      <w:r w:rsidRPr="007855BD">
        <w:rPr>
          <w:rFonts w:eastAsia="Times New Roman"/>
          <w:sz w:val="26"/>
          <w:szCs w:val="26"/>
        </w:rPr>
        <w:tab/>
      </w:r>
      <w:r w:rsidR="006749CC" w:rsidRPr="007855BD">
        <w:rPr>
          <w:rFonts w:eastAsia="Times New Roman"/>
          <w:sz w:val="26"/>
          <w:szCs w:val="26"/>
        </w:rPr>
        <w:t>A Chapter 13 bankruptcy is an on-going repayment plan in which all of a debtor</w:t>
      </w:r>
      <w:r w:rsidR="00261749" w:rsidRPr="007855BD">
        <w:rPr>
          <w:rFonts w:eastAsia="Times New Roman"/>
          <w:sz w:val="26"/>
          <w:szCs w:val="26"/>
        </w:rPr>
        <w:t>’</w:t>
      </w:r>
      <w:r w:rsidR="006749CC" w:rsidRPr="007855BD">
        <w:rPr>
          <w:rFonts w:eastAsia="Times New Roman"/>
          <w:sz w:val="26"/>
          <w:szCs w:val="26"/>
        </w:rPr>
        <w:t>s assets (including property, income and debts acquired pre-petition and post-petition) are included in the debtor</w:t>
      </w:r>
      <w:r w:rsidR="00261749" w:rsidRPr="007855BD">
        <w:rPr>
          <w:rFonts w:eastAsia="Times New Roman"/>
          <w:sz w:val="26"/>
          <w:szCs w:val="26"/>
        </w:rPr>
        <w:t>’</w:t>
      </w:r>
      <w:r w:rsidR="006749CC" w:rsidRPr="007855BD">
        <w:rPr>
          <w:rFonts w:eastAsia="Times New Roman"/>
          <w:sz w:val="26"/>
          <w:szCs w:val="26"/>
        </w:rPr>
        <w:t xml:space="preserve">s estate under the exclusive control of the bankruptcy trustee, and the bankruptcy court retains jurisdiction over both pre-petition and post-petition income and debts. </w:t>
      </w:r>
      <w:r w:rsidR="007107A8" w:rsidRPr="007855BD">
        <w:rPr>
          <w:rFonts w:eastAsia="Times New Roman"/>
          <w:sz w:val="26"/>
          <w:szCs w:val="26"/>
        </w:rPr>
        <w:t xml:space="preserve"> </w:t>
      </w:r>
      <w:r w:rsidR="006749CC" w:rsidRPr="007855BD">
        <w:rPr>
          <w:rFonts w:eastAsia="Times New Roman"/>
          <w:sz w:val="26"/>
          <w:szCs w:val="26"/>
        </w:rPr>
        <w:t>Thus, the Commission lacks jurisdiction to issue an order that affects the disposition of the income or assets of a debtor with an active Chapter 13 bankruptcy proceeding, even where the subject of the payment arrangement is a post-petition arrearage.</w:t>
      </w:r>
    </w:p>
    <w:p w14:paraId="61132007" w14:textId="77777777" w:rsidR="007107A8" w:rsidRPr="007855BD" w:rsidRDefault="007107A8" w:rsidP="007107A8">
      <w:pPr>
        <w:pStyle w:val="Default"/>
        <w:spacing w:line="360" w:lineRule="auto"/>
        <w:ind w:firstLine="1440"/>
        <w:rPr>
          <w:rFonts w:eastAsia="Times New Roman"/>
          <w:sz w:val="26"/>
          <w:szCs w:val="26"/>
        </w:rPr>
      </w:pPr>
    </w:p>
    <w:p w14:paraId="0B389AD4" w14:textId="03AF67E6" w:rsidR="004C7668" w:rsidRPr="007855BD" w:rsidRDefault="00A1653A" w:rsidP="00A1653A">
      <w:pPr>
        <w:autoSpaceDE w:val="0"/>
        <w:autoSpaceDN w:val="0"/>
        <w:adjustRightInd w:val="0"/>
        <w:jc w:val="left"/>
        <w:rPr>
          <w:rFonts w:eastAsia="Times New Roman"/>
          <w:color w:val="000000"/>
          <w:sz w:val="26"/>
          <w:szCs w:val="26"/>
        </w:rPr>
      </w:pPr>
      <w:r w:rsidRPr="007855BD">
        <w:rPr>
          <w:rFonts w:eastAsia="Times New Roman"/>
          <w:color w:val="000000"/>
          <w:sz w:val="26"/>
          <w:szCs w:val="26"/>
        </w:rPr>
        <w:tab/>
      </w:r>
      <w:r w:rsidR="006749CC" w:rsidRPr="007855BD">
        <w:rPr>
          <w:rFonts w:eastAsia="Times New Roman"/>
          <w:color w:val="000000"/>
          <w:sz w:val="26"/>
          <w:szCs w:val="26"/>
        </w:rPr>
        <w:t>Accordingly, the Commission lacks jurisdiction to address the Complainant</w:t>
      </w:r>
      <w:r w:rsidR="00FD1A7C" w:rsidRPr="007855BD">
        <w:rPr>
          <w:rFonts w:eastAsia="Times New Roman"/>
          <w:color w:val="000000"/>
          <w:sz w:val="26"/>
          <w:szCs w:val="26"/>
        </w:rPr>
        <w:t>’</w:t>
      </w:r>
      <w:r w:rsidR="006749CC" w:rsidRPr="007855BD">
        <w:rPr>
          <w:rFonts w:eastAsia="Times New Roman"/>
          <w:color w:val="000000"/>
          <w:sz w:val="26"/>
          <w:szCs w:val="26"/>
        </w:rPr>
        <w:t>s request for a Commission payment arrangement</w:t>
      </w:r>
      <w:r w:rsidR="004C7668" w:rsidRPr="007855BD">
        <w:rPr>
          <w:rFonts w:eastAsia="Times New Roman"/>
          <w:color w:val="000000"/>
          <w:sz w:val="26"/>
          <w:szCs w:val="26"/>
        </w:rPr>
        <w:t>.  Therefore, we shall deny Exception Nos. 1,</w:t>
      </w:r>
      <w:r w:rsidR="00A27828" w:rsidRPr="007855BD">
        <w:rPr>
          <w:rFonts w:eastAsia="Times New Roman"/>
          <w:color w:val="000000"/>
          <w:sz w:val="26"/>
          <w:szCs w:val="26"/>
        </w:rPr>
        <w:t xml:space="preserve"> </w:t>
      </w:r>
      <w:r w:rsidR="004C7668" w:rsidRPr="007855BD">
        <w:rPr>
          <w:rFonts w:eastAsia="Times New Roman"/>
          <w:color w:val="000000"/>
          <w:sz w:val="26"/>
          <w:szCs w:val="26"/>
        </w:rPr>
        <w:t xml:space="preserve">2 and 4.  </w:t>
      </w:r>
    </w:p>
    <w:p w14:paraId="1429E9D3" w14:textId="13EDC0FC" w:rsidR="004C7668" w:rsidRPr="007855BD" w:rsidRDefault="004C7668" w:rsidP="00C710CB">
      <w:pPr>
        <w:pStyle w:val="ListParagraph"/>
        <w:keepNext/>
        <w:keepLines/>
        <w:numPr>
          <w:ilvl w:val="0"/>
          <w:numId w:val="16"/>
        </w:numPr>
        <w:autoSpaceDE w:val="0"/>
        <w:autoSpaceDN w:val="0"/>
        <w:adjustRightInd w:val="0"/>
        <w:spacing w:line="240" w:lineRule="auto"/>
        <w:ind w:left="1440" w:hanging="720"/>
        <w:jc w:val="left"/>
        <w:rPr>
          <w:b/>
          <w:bCs/>
          <w:sz w:val="26"/>
          <w:szCs w:val="26"/>
        </w:rPr>
      </w:pPr>
      <w:r w:rsidRPr="007855BD">
        <w:rPr>
          <w:b/>
          <w:bCs/>
          <w:sz w:val="26"/>
          <w:szCs w:val="26"/>
        </w:rPr>
        <w:lastRenderedPageBreak/>
        <w:t xml:space="preserve">Exception Nos. 3 and 5 – Constitutionality of Code, Replies and Disposition </w:t>
      </w:r>
    </w:p>
    <w:p w14:paraId="26FC0A50" w14:textId="77777777" w:rsidR="004C7668" w:rsidRPr="007855BD" w:rsidRDefault="004C7668" w:rsidP="00C710CB">
      <w:pPr>
        <w:keepNext/>
        <w:keepLines/>
        <w:autoSpaceDE w:val="0"/>
        <w:autoSpaceDN w:val="0"/>
        <w:adjustRightInd w:val="0"/>
        <w:spacing w:line="480" w:lineRule="auto"/>
        <w:ind w:firstLine="0"/>
        <w:jc w:val="left"/>
        <w:rPr>
          <w:sz w:val="26"/>
          <w:szCs w:val="26"/>
        </w:rPr>
      </w:pPr>
    </w:p>
    <w:p w14:paraId="2E245D8E" w14:textId="77777777" w:rsidR="004C7668" w:rsidRPr="007855BD" w:rsidRDefault="004C7668" w:rsidP="005941CB">
      <w:pPr>
        <w:keepNext/>
        <w:keepLines/>
        <w:autoSpaceDE w:val="0"/>
        <w:autoSpaceDN w:val="0"/>
        <w:adjustRightInd w:val="0"/>
        <w:ind w:firstLine="1440"/>
        <w:jc w:val="left"/>
        <w:rPr>
          <w:sz w:val="26"/>
          <w:szCs w:val="26"/>
        </w:rPr>
      </w:pPr>
      <w:r w:rsidRPr="007855BD">
        <w:rPr>
          <w:b/>
          <w:sz w:val="26"/>
          <w:szCs w:val="26"/>
        </w:rPr>
        <w:t xml:space="preserve">Exception Nos. 3 and 5.  </w:t>
      </w:r>
      <w:r w:rsidRPr="007855BD">
        <w:rPr>
          <w:bCs/>
          <w:sz w:val="26"/>
          <w:szCs w:val="26"/>
        </w:rPr>
        <w:t>I</w:t>
      </w:r>
      <w:r w:rsidRPr="007855BD">
        <w:rPr>
          <w:sz w:val="26"/>
          <w:szCs w:val="26"/>
        </w:rPr>
        <w:t>n her third and fifth Exceptions, the Complainant makes broad statements which appear to challenge the constitutionality of the Code and the Commission’s responsibility under the Responsible Utility Protection Act, 66 Pa. C.S. §§ 1401-1419, as follows:</w:t>
      </w:r>
    </w:p>
    <w:p w14:paraId="4425D6CB" w14:textId="77777777" w:rsidR="004C7668" w:rsidRPr="007855BD" w:rsidRDefault="004C7668" w:rsidP="004C7668">
      <w:pPr>
        <w:autoSpaceDE w:val="0"/>
        <w:autoSpaceDN w:val="0"/>
        <w:adjustRightInd w:val="0"/>
        <w:ind w:firstLine="1440"/>
        <w:jc w:val="left"/>
        <w:rPr>
          <w:sz w:val="26"/>
          <w:szCs w:val="26"/>
        </w:rPr>
      </w:pPr>
    </w:p>
    <w:p w14:paraId="7AAE0B26" w14:textId="77777777" w:rsidR="004C7668" w:rsidRPr="007855BD" w:rsidRDefault="004C7668" w:rsidP="004C7668">
      <w:pPr>
        <w:widowControl w:val="0"/>
        <w:autoSpaceDE w:val="0"/>
        <w:autoSpaceDN w:val="0"/>
        <w:adjustRightInd w:val="0"/>
        <w:spacing w:after="303" w:line="240" w:lineRule="auto"/>
        <w:ind w:left="2160" w:right="1440" w:hanging="720"/>
        <w:jc w:val="left"/>
        <w:rPr>
          <w:rFonts w:eastAsiaTheme="minorHAnsi"/>
          <w:color w:val="000000"/>
          <w:sz w:val="26"/>
          <w:szCs w:val="26"/>
        </w:rPr>
      </w:pPr>
      <w:r w:rsidRPr="007855BD">
        <w:rPr>
          <w:rFonts w:eastAsiaTheme="minorHAnsi"/>
          <w:color w:val="000000"/>
          <w:sz w:val="26"/>
          <w:szCs w:val="26"/>
        </w:rPr>
        <w:t>3)</w:t>
      </w:r>
      <w:r w:rsidRPr="007855BD">
        <w:rPr>
          <w:rFonts w:eastAsiaTheme="minorHAnsi"/>
          <w:color w:val="000000"/>
          <w:sz w:val="26"/>
          <w:szCs w:val="26"/>
        </w:rPr>
        <w:tab/>
        <w:t xml:space="preserve">In addition, the PUC as a matter of law under the Pennsylvania Constitution must have the right, duty and ability to say that a utility debt is forgiven. </w:t>
      </w:r>
    </w:p>
    <w:p w14:paraId="01EEB61B" w14:textId="77777777" w:rsidR="004C7668" w:rsidRPr="007855BD" w:rsidRDefault="004C7668" w:rsidP="004C7668">
      <w:pPr>
        <w:autoSpaceDE w:val="0"/>
        <w:autoSpaceDN w:val="0"/>
        <w:adjustRightInd w:val="0"/>
        <w:spacing w:line="240" w:lineRule="auto"/>
        <w:ind w:left="2160" w:right="1440" w:hanging="720"/>
        <w:jc w:val="left"/>
        <w:rPr>
          <w:rFonts w:eastAsiaTheme="minorHAnsi"/>
          <w:color w:val="000000"/>
          <w:sz w:val="26"/>
          <w:szCs w:val="26"/>
        </w:rPr>
      </w:pPr>
      <w:r w:rsidRPr="007855BD">
        <w:rPr>
          <w:rFonts w:eastAsiaTheme="minorHAnsi"/>
          <w:color w:val="000000"/>
          <w:sz w:val="26"/>
          <w:szCs w:val="26"/>
        </w:rPr>
        <w:t>5)</w:t>
      </w:r>
      <w:r w:rsidRPr="007855BD">
        <w:rPr>
          <w:rFonts w:eastAsiaTheme="minorHAnsi"/>
          <w:color w:val="000000"/>
          <w:sz w:val="26"/>
          <w:szCs w:val="26"/>
        </w:rPr>
        <w:tab/>
        <w:t xml:space="preserve">The Regulations and Statutes involving a payment arrangement are unconstitutional under Article I Section 1 of the Pennsylvania Constitution.  Simply, everyone who requests a payment plan is entitled to a payment plan due to the right to utility service guaranteed under the Pennsylvania Constitution. </w:t>
      </w:r>
    </w:p>
    <w:p w14:paraId="3DCCE2AE" w14:textId="77777777" w:rsidR="004C7668" w:rsidRPr="007855BD" w:rsidRDefault="004C7668" w:rsidP="004C7668">
      <w:pPr>
        <w:autoSpaceDE w:val="0"/>
        <w:autoSpaceDN w:val="0"/>
        <w:adjustRightInd w:val="0"/>
        <w:ind w:firstLine="0"/>
        <w:jc w:val="left"/>
        <w:rPr>
          <w:sz w:val="26"/>
          <w:szCs w:val="26"/>
        </w:rPr>
      </w:pPr>
    </w:p>
    <w:p w14:paraId="782101E1" w14:textId="77777777" w:rsidR="004C7668" w:rsidRPr="007855BD" w:rsidRDefault="004C7668" w:rsidP="004C7668">
      <w:pPr>
        <w:autoSpaceDE w:val="0"/>
        <w:autoSpaceDN w:val="0"/>
        <w:adjustRightInd w:val="0"/>
        <w:ind w:firstLine="0"/>
        <w:jc w:val="left"/>
        <w:rPr>
          <w:sz w:val="26"/>
          <w:szCs w:val="26"/>
        </w:rPr>
      </w:pPr>
      <w:r w:rsidRPr="007855BD">
        <w:rPr>
          <w:sz w:val="26"/>
          <w:szCs w:val="26"/>
        </w:rPr>
        <w:t xml:space="preserve">Exc. at 1. </w:t>
      </w:r>
    </w:p>
    <w:p w14:paraId="25520F53" w14:textId="77777777" w:rsidR="004C7668" w:rsidRPr="007855BD" w:rsidRDefault="004C7668" w:rsidP="004C7668">
      <w:pPr>
        <w:autoSpaceDE w:val="0"/>
        <w:autoSpaceDN w:val="0"/>
        <w:adjustRightInd w:val="0"/>
        <w:ind w:firstLine="0"/>
        <w:jc w:val="left"/>
        <w:rPr>
          <w:sz w:val="26"/>
          <w:szCs w:val="26"/>
        </w:rPr>
      </w:pPr>
    </w:p>
    <w:p w14:paraId="58229CEC" w14:textId="77777777" w:rsidR="004C7668" w:rsidRPr="007855BD" w:rsidRDefault="004C7668" w:rsidP="004C7668">
      <w:pPr>
        <w:autoSpaceDE w:val="0"/>
        <w:autoSpaceDN w:val="0"/>
        <w:adjustRightInd w:val="0"/>
        <w:ind w:firstLine="1440"/>
        <w:jc w:val="left"/>
        <w:rPr>
          <w:color w:val="000000"/>
          <w:sz w:val="26"/>
          <w:szCs w:val="26"/>
        </w:rPr>
      </w:pPr>
      <w:r w:rsidRPr="007855BD">
        <w:rPr>
          <w:sz w:val="26"/>
          <w:szCs w:val="26"/>
        </w:rPr>
        <w:t>In response, West Penn argues that the Complainant provides no legal support for the claim that customers have a constitutional right to a payment arrangement.  In addition, the Company asserts that the constitutionality of Chapter 14 is beyond reproach</w:t>
      </w:r>
      <w:r w:rsidRPr="007855BD">
        <w:rPr>
          <w:color w:val="000000"/>
          <w:sz w:val="26"/>
          <w:szCs w:val="26"/>
        </w:rPr>
        <w:t xml:space="preserve">.  As to the constitutional claims, West Penn submits that Pennsylvania Courts have consistently held that enactments of the General Assembly enjoy a strong presumption of constitutionality and the party challenging the constitutionality of a statute bears a heavy burden of persuasion.  R. Exc. at 11 (citing, in part, </w:t>
      </w:r>
      <w:r w:rsidRPr="007855BD">
        <w:rPr>
          <w:i/>
          <w:iCs/>
          <w:color w:val="000000"/>
          <w:sz w:val="26"/>
          <w:szCs w:val="26"/>
        </w:rPr>
        <w:t xml:space="preserve">Com. v. </w:t>
      </w:r>
      <w:proofErr w:type="spellStart"/>
      <w:r w:rsidRPr="007855BD">
        <w:rPr>
          <w:i/>
          <w:iCs/>
          <w:color w:val="000000"/>
          <w:sz w:val="26"/>
          <w:szCs w:val="26"/>
        </w:rPr>
        <w:t>Barud</w:t>
      </w:r>
      <w:proofErr w:type="spellEnd"/>
      <w:r w:rsidRPr="007855BD">
        <w:rPr>
          <w:color w:val="000000"/>
          <w:sz w:val="26"/>
          <w:szCs w:val="26"/>
        </w:rPr>
        <w:t xml:space="preserve">, 681 A.2d 162, 165 (Pa. 1996)).  </w:t>
      </w:r>
    </w:p>
    <w:p w14:paraId="42EAE54C" w14:textId="77777777" w:rsidR="004C7668" w:rsidRPr="007855BD" w:rsidRDefault="004C7668" w:rsidP="004C7668">
      <w:pPr>
        <w:autoSpaceDE w:val="0"/>
        <w:autoSpaceDN w:val="0"/>
        <w:adjustRightInd w:val="0"/>
        <w:jc w:val="left"/>
        <w:rPr>
          <w:color w:val="000000"/>
          <w:sz w:val="26"/>
          <w:szCs w:val="26"/>
        </w:rPr>
      </w:pPr>
    </w:p>
    <w:p w14:paraId="486B6D19" w14:textId="77777777" w:rsidR="004C7668" w:rsidRPr="007855BD" w:rsidRDefault="004C7668" w:rsidP="004C7668">
      <w:pPr>
        <w:autoSpaceDE w:val="0"/>
        <w:autoSpaceDN w:val="0"/>
        <w:adjustRightInd w:val="0"/>
        <w:ind w:firstLine="1440"/>
        <w:jc w:val="left"/>
        <w:rPr>
          <w:color w:val="000000"/>
          <w:sz w:val="26"/>
          <w:szCs w:val="26"/>
        </w:rPr>
      </w:pPr>
      <w:r w:rsidRPr="007855BD">
        <w:rPr>
          <w:sz w:val="26"/>
          <w:szCs w:val="26"/>
        </w:rPr>
        <w:t xml:space="preserve">Upon review, we acknowledge that the Exceptions constitute general, conclusory statements without any supporting reasons or citations to authority.  </w:t>
      </w:r>
      <w:r w:rsidRPr="007855BD">
        <w:rPr>
          <w:sz w:val="26"/>
          <w:szCs w:val="26"/>
        </w:rPr>
        <w:lastRenderedPageBreak/>
        <w:t>Exception No. 3 makes a vague statement about the Pennsylvania Constitution and the “right, duty and ability” of the Commission to forgive a utility debt.  Exception No. 5 states that the statutes and regulations involving payment arrangements are unconstitutional under Article 1, Section 1 of the Pennsylvania Constitution.</w:t>
      </w:r>
      <w:r w:rsidRPr="007855BD">
        <w:rPr>
          <w:sz w:val="26"/>
          <w:szCs w:val="26"/>
          <w:vertAlign w:val="superscript"/>
        </w:rPr>
        <w:footnoteReference w:id="11"/>
      </w:r>
      <w:r w:rsidRPr="007855BD">
        <w:rPr>
          <w:sz w:val="26"/>
          <w:szCs w:val="26"/>
        </w:rPr>
        <w:t xml:space="preserve">  According to the Complainant, the right to utility service is guaranteed under the Constitution and everyone requesting a payment arrangement is entitled to one.  Exc. at 1. </w:t>
      </w:r>
    </w:p>
    <w:p w14:paraId="5C4545C7" w14:textId="77777777" w:rsidR="004C7668" w:rsidRPr="007855BD" w:rsidRDefault="004C7668" w:rsidP="004C7668">
      <w:pPr>
        <w:autoSpaceDE w:val="0"/>
        <w:autoSpaceDN w:val="0"/>
        <w:adjustRightInd w:val="0"/>
        <w:jc w:val="left"/>
        <w:rPr>
          <w:sz w:val="26"/>
          <w:szCs w:val="26"/>
        </w:rPr>
      </w:pPr>
    </w:p>
    <w:p w14:paraId="6892BA22" w14:textId="249E9404" w:rsidR="004C7668" w:rsidRPr="007855BD" w:rsidRDefault="004C7668" w:rsidP="004C7668">
      <w:pPr>
        <w:ind w:firstLine="1440"/>
        <w:jc w:val="left"/>
        <w:rPr>
          <w:color w:val="000000"/>
          <w:sz w:val="26"/>
          <w:szCs w:val="26"/>
        </w:rPr>
      </w:pPr>
      <w:r w:rsidRPr="007855BD">
        <w:rPr>
          <w:color w:val="000000"/>
          <w:sz w:val="26"/>
          <w:szCs w:val="26"/>
        </w:rPr>
        <w:t xml:space="preserve">We are aware of no authority </w:t>
      </w:r>
      <w:r w:rsidR="008E04F2" w:rsidRPr="007855BD">
        <w:rPr>
          <w:color w:val="000000"/>
          <w:sz w:val="26"/>
          <w:szCs w:val="26"/>
        </w:rPr>
        <w:t xml:space="preserve">under the Pennsylvania Constitution or </w:t>
      </w:r>
      <w:r w:rsidR="006C7661" w:rsidRPr="007855BD">
        <w:rPr>
          <w:color w:val="000000"/>
          <w:sz w:val="26"/>
          <w:szCs w:val="26"/>
        </w:rPr>
        <w:t xml:space="preserve">other </w:t>
      </w:r>
      <w:r w:rsidR="00930126" w:rsidRPr="007855BD">
        <w:rPr>
          <w:color w:val="000000"/>
          <w:sz w:val="26"/>
          <w:szCs w:val="26"/>
        </w:rPr>
        <w:t>applicable</w:t>
      </w:r>
      <w:r w:rsidR="008E04F2" w:rsidRPr="007855BD">
        <w:rPr>
          <w:color w:val="000000"/>
          <w:sz w:val="26"/>
          <w:szCs w:val="26"/>
        </w:rPr>
        <w:t xml:space="preserve"> law </w:t>
      </w:r>
      <w:r w:rsidRPr="007855BD">
        <w:rPr>
          <w:color w:val="000000"/>
          <w:sz w:val="26"/>
          <w:szCs w:val="26"/>
        </w:rPr>
        <w:t xml:space="preserve">which would support these contentions.  Moreover, to the extent that the Complainant’s vague allegations constitute a facial challenge to the </w:t>
      </w:r>
      <w:r w:rsidRPr="007855BD">
        <w:rPr>
          <w:rFonts w:eastAsia="Times New Roman"/>
          <w:sz w:val="26"/>
          <w:szCs w:val="26"/>
        </w:rPr>
        <w:t>Responsible Utility Customer Protection Act, as codified in Chapter 14 of the Code</w:t>
      </w:r>
      <w:r w:rsidRPr="007855BD">
        <w:rPr>
          <w:color w:val="000000"/>
          <w:sz w:val="26"/>
          <w:szCs w:val="26"/>
        </w:rPr>
        <w:t xml:space="preserve">, the Commission does not have jurisdiction to consider such a claim.  </w:t>
      </w:r>
      <w:r w:rsidRPr="007855BD">
        <w:rPr>
          <w:i/>
          <w:iCs/>
          <w:color w:val="000000"/>
          <w:sz w:val="26"/>
          <w:szCs w:val="26"/>
        </w:rPr>
        <w:t>See Allegheny, supra</w:t>
      </w:r>
      <w:r w:rsidRPr="007855BD">
        <w:rPr>
          <w:color w:val="000000"/>
          <w:sz w:val="26"/>
          <w:szCs w:val="26"/>
        </w:rPr>
        <w:t xml:space="preserve">.  When the question of the constitutionality of Section 1405 of the Code, 66 Pa. C.S. § 1405, was raised during the hearing, the ALJ correctly explained that he did not have the authority to consider it and would not address it in the Initial Decision.  I.D. at 11.  Similarly, we shall not address </w:t>
      </w:r>
      <w:r w:rsidR="00FC25C2" w:rsidRPr="007855BD">
        <w:rPr>
          <w:color w:val="000000"/>
          <w:sz w:val="26"/>
          <w:szCs w:val="26"/>
        </w:rPr>
        <w:t xml:space="preserve">the </w:t>
      </w:r>
      <w:r w:rsidRPr="007855BD">
        <w:rPr>
          <w:color w:val="000000"/>
          <w:sz w:val="26"/>
          <w:szCs w:val="26"/>
        </w:rPr>
        <w:t>Complainant’s apparent constitutional challenge to Section 1405 of the Code and shall deny Exceptions 3 and 5.</w:t>
      </w:r>
    </w:p>
    <w:p w14:paraId="5FFB9832" w14:textId="77777777" w:rsidR="004C7668" w:rsidRPr="007855BD" w:rsidRDefault="004C7668" w:rsidP="004C7668">
      <w:pPr>
        <w:spacing w:after="200" w:line="276" w:lineRule="auto"/>
        <w:ind w:firstLine="0"/>
        <w:jc w:val="left"/>
        <w:rPr>
          <w:rFonts w:eastAsiaTheme="minorHAnsi"/>
          <w:sz w:val="26"/>
          <w:szCs w:val="26"/>
        </w:rPr>
      </w:pPr>
    </w:p>
    <w:p w14:paraId="1C5FDFE6" w14:textId="663522F9" w:rsidR="004C7668" w:rsidRPr="007855BD" w:rsidRDefault="00FC25C2" w:rsidP="004C7B91">
      <w:pPr>
        <w:keepNext/>
        <w:autoSpaceDE w:val="0"/>
        <w:autoSpaceDN w:val="0"/>
        <w:adjustRightInd w:val="0"/>
        <w:ind w:firstLine="0"/>
        <w:rPr>
          <w:rFonts w:eastAsia="Times New Roman"/>
          <w:b/>
          <w:bCs/>
          <w:color w:val="000000"/>
          <w:sz w:val="26"/>
          <w:szCs w:val="26"/>
        </w:rPr>
      </w:pPr>
      <w:r w:rsidRPr="007855BD">
        <w:rPr>
          <w:rFonts w:eastAsia="Times New Roman"/>
          <w:b/>
          <w:bCs/>
          <w:color w:val="000000"/>
          <w:sz w:val="26"/>
          <w:szCs w:val="26"/>
        </w:rPr>
        <w:lastRenderedPageBreak/>
        <w:t>Conclusion</w:t>
      </w:r>
    </w:p>
    <w:p w14:paraId="1F8BA232" w14:textId="31D731FD" w:rsidR="00FC25C2" w:rsidRPr="007855BD" w:rsidRDefault="00FC25C2" w:rsidP="004C7B91">
      <w:pPr>
        <w:keepNext/>
        <w:autoSpaceDE w:val="0"/>
        <w:autoSpaceDN w:val="0"/>
        <w:adjustRightInd w:val="0"/>
        <w:ind w:firstLine="0"/>
        <w:jc w:val="left"/>
        <w:rPr>
          <w:rFonts w:eastAsia="Times New Roman"/>
          <w:b/>
          <w:bCs/>
          <w:color w:val="000000"/>
          <w:sz w:val="26"/>
          <w:szCs w:val="26"/>
        </w:rPr>
      </w:pPr>
    </w:p>
    <w:p w14:paraId="58A3CC60" w14:textId="0100E175" w:rsidR="00261749" w:rsidRPr="007855BD" w:rsidRDefault="00FC25C2" w:rsidP="004C7B91">
      <w:pPr>
        <w:keepNext/>
        <w:autoSpaceDE w:val="0"/>
        <w:autoSpaceDN w:val="0"/>
        <w:adjustRightInd w:val="0"/>
        <w:ind w:firstLine="0"/>
        <w:jc w:val="left"/>
        <w:rPr>
          <w:rFonts w:eastAsiaTheme="minorHAnsi"/>
          <w:sz w:val="26"/>
          <w:szCs w:val="26"/>
        </w:rPr>
      </w:pPr>
      <w:r w:rsidRPr="007855BD">
        <w:rPr>
          <w:rFonts w:eastAsia="Times New Roman"/>
          <w:color w:val="000000"/>
          <w:sz w:val="26"/>
          <w:szCs w:val="26"/>
        </w:rPr>
        <w:tab/>
      </w:r>
      <w:r w:rsidRPr="007855BD">
        <w:rPr>
          <w:rFonts w:eastAsia="Times New Roman"/>
          <w:color w:val="000000"/>
          <w:sz w:val="26"/>
          <w:szCs w:val="26"/>
        </w:rPr>
        <w:tab/>
        <w:t>For the reasons discussed above, we shall deny the Complainant’s Exceptions</w:t>
      </w:r>
      <w:r w:rsidRPr="007855BD">
        <w:rPr>
          <w:rStyle w:val="FootnoteReference"/>
          <w:rFonts w:eastAsia="Times New Roman"/>
          <w:color w:val="000000"/>
          <w:sz w:val="26"/>
          <w:szCs w:val="26"/>
        </w:rPr>
        <w:footnoteReference w:id="12"/>
      </w:r>
      <w:r w:rsidRPr="007855BD">
        <w:rPr>
          <w:rFonts w:eastAsia="Times New Roman"/>
          <w:color w:val="000000"/>
          <w:sz w:val="26"/>
          <w:szCs w:val="26"/>
        </w:rPr>
        <w:t xml:space="preserve"> and adopt the Initial Decision, as modified, consistent with this Opinion and Order</w:t>
      </w:r>
      <w:r w:rsidR="006749CC" w:rsidRPr="007855BD">
        <w:rPr>
          <w:rFonts w:eastAsia="Times New Roman"/>
          <w:color w:val="000000"/>
          <w:sz w:val="26"/>
          <w:szCs w:val="26"/>
        </w:rPr>
        <w:t>;</w:t>
      </w:r>
      <w:r w:rsidR="00261749" w:rsidRPr="007855BD">
        <w:rPr>
          <w:b/>
          <w:sz w:val="26"/>
          <w:szCs w:val="26"/>
        </w:rPr>
        <w:t xml:space="preserve"> THEREFORE</w:t>
      </w:r>
      <w:r w:rsidR="00261749" w:rsidRPr="007855BD">
        <w:rPr>
          <w:sz w:val="26"/>
          <w:szCs w:val="26"/>
        </w:rPr>
        <w:t>,</w:t>
      </w:r>
    </w:p>
    <w:p w14:paraId="1EE47125" w14:textId="77777777" w:rsidR="00261749" w:rsidRPr="007855BD" w:rsidRDefault="00261749" w:rsidP="00261749">
      <w:pPr>
        <w:autoSpaceDE w:val="0"/>
        <w:autoSpaceDN w:val="0"/>
        <w:adjustRightInd w:val="0"/>
        <w:ind w:firstLine="0"/>
        <w:jc w:val="left"/>
        <w:rPr>
          <w:sz w:val="26"/>
          <w:szCs w:val="26"/>
        </w:rPr>
      </w:pPr>
    </w:p>
    <w:p w14:paraId="3CD54BFE" w14:textId="77777777" w:rsidR="00261749" w:rsidRPr="007855BD" w:rsidRDefault="00261749" w:rsidP="00261749">
      <w:pPr>
        <w:ind w:firstLine="0"/>
        <w:jc w:val="left"/>
        <w:rPr>
          <w:b/>
          <w:sz w:val="26"/>
          <w:szCs w:val="26"/>
        </w:rPr>
      </w:pPr>
      <w:r w:rsidRPr="007855BD">
        <w:rPr>
          <w:sz w:val="26"/>
          <w:szCs w:val="26"/>
        </w:rPr>
        <w:tab/>
      </w:r>
      <w:r w:rsidRPr="007855BD">
        <w:rPr>
          <w:sz w:val="26"/>
          <w:szCs w:val="26"/>
        </w:rPr>
        <w:tab/>
      </w:r>
      <w:r w:rsidRPr="007855BD">
        <w:rPr>
          <w:b/>
          <w:sz w:val="26"/>
          <w:szCs w:val="26"/>
        </w:rPr>
        <w:t>IT IS ORDERED:</w:t>
      </w:r>
    </w:p>
    <w:p w14:paraId="5DD127EA" w14:textId="77777777" w:rsidR="00261749" w:rsidRPr="007855BD" w:rsidRDefault="00261749" w:rsidP="00261749">
      <w:pPr>
        <w:ind w:firstLine="0"/>
        <w:jc w:val="left"/>
        <w:rPr>
          <w:b/>
          <w:sz w:val="26"/>
          <w:szCs w:val="26"/>
        </w:rPr>
      </w:pPr>
    </w:p>
    <w:p w14:paraId="3BF51147" w14:textId="77777777" w:rsidR="00261749" w:rsidRPr="007855BD" w:rsidRDefault="00261749" w:rsidP="00261749">
      <w:pPr>
        <w:ind w:firstLine="1440"/>
        <w:jc w:val="left"/>
        <w:rPr>
          <w:sz w:val="26"/>
          <w:szCs w:val="26"/>
        </w:rPr>
      </w:pPr>
      <w:r w:rsidRPr="007855BD">
        <w:rPr>
          <w:sz w:val="26"/>
          <w:szCs w:val="26"/>
        </w:rPr>
        <w:t>1.</w:t>
      </w:r>
      <w:r w:rsidRPr="007855BD">
        <w:rPr>
          <w:sz w:val="26"/>
          <w:szCs w:val="26"/>
        </w:rPr>
        <w:tab/>
        <w:t>That the Exceptions filed by Carla Matrunics on March 4, 2019, to the Initial Decision of Administrative Law Judge Conrad A. Johnson, issued on February 13, 2019, are denied, consistent with this Opinion and Order.</w:t>
      </w:r>
    </w:p>
    <w:p w14:paraId="43A49F65" w14:textId="77777777" w:rsidR="00261749" w:rsidRPr="007855BD" w:rsidRDefault="00261749" w:rsidP="00261749">
      <w:pPr>
        <w:ind w:firstLine="1440"/>
        <w:jc w:val="left"/>
        <w:rPr>
          <w:sz w:val="26"/>
          <w:szCs w:val="26"/>
        </w:rPr>
      </w:pPr>
    </w:p>
    <w:p w14:paraId="1D83ADED" w14:textId="2939594A" w:rsidR="00261749" w:rsidRPr="007855BD" w:rsidRDefault="00261749" w:rsidP="00261749">
      <w:pPr>
        <w:ind w:firstLine="1440"/>
        <w:jc w:val="left"/>
        <w:rPr>
          <w:sz w:val="26"/>
          <w:szCs w:val="26"/>
        </w:rPr>
      </w:pPr>
      <w:r w:rsidRPr="007855BD">
        <w:rPr>
          <w:sz w:val="26"/>
          <w:szCs w:val="26"/>
        </w:rPr>
        <w:t>2.</w:t>
      </w:r>
      <w:r w:rsidRPr="007855BD">
        <w:rPr>
          <w:sz w:val="26"/>
          <w:szCs w:val="26"/>
        </w:rPr>
        <w:tab/>
        <w:t xml:space="preserve">That the Initial Decision of Administrative Law Judge Conrad A. Johnson, issued on February 13, 2019, is adopted, </w:t>
      </w:r>
      <w:r w:rsidR="00FC25C2" w:rsidRPr="007855BD">
        <w:rPr>
          <w:sz w:val="26"/>
          <w:szCs w:val="26"/>
        </w:rPr>
        <w:t>as</w:t>
      </w:r>
      <w:r w:rsidRPr="007855BD">
        <w:rPr>
          <w:sz w:val="26"/>
          <w:szCs w:val="26"/>
        </w:rPr>
        <w:t xml:space="preserve"> modified, consistent with this Opinion and Order.</w:t>
      </w:r>
    </w:p>
    <w:p w14:paraId="1F965B32" w14:textId="77777777" w:rsidR="00A27828" w:rsidRPr="007855BD" w:rsidRDefault="00A27828" w:rsidP="00261749">
      <w:pPr>
        <w:ind w:firstLine="1440"/>
        <w:jc w:val="left"/>
        <w:rPr>
          <w:sz w:val="26"/>
          <w:szCs w:val="26"/>
        </w:rPr>
      </w:pPr>
    </w:p>
    <w:p w14:paraId="78E78295" w14:textId="3757455F" w:rsidR="00FC25C2" w:rsidRPr="007855BD" w:rsidRDefault="00FC25C2" w:rsidP="00FC25C2">
      <w:pPr>
        <w:ind w:firstLine="0"/>
        <w:jc w:val="left"/>
        <w:rPr>
          <w:rFonts w:eastAsiaTheme="minorHAnsi"/>
          <w:sz w:val="26"/>
          <w:szCs w:val="26"/>
        </w:rPr>
      </w:pPr>
      <w:r w:rsidRPr="007855BD">
        <w:rPr>
          <w:rFonts w:eastAsiaTheme="minorHAnsi"/>
          <w:color w:val="212121"/>
          <w:sz w:val="26"/>
          <w:szCs w:val="26"/>
        </w:rPr>
        <w:tab/>
      </w:r>
      <w:r w:rsidRPr="007855BD">
        <w:rPr>
          <w:rFonts w:eastAsiaTheme="minorHAnsi"/>
          <w:color w:val="212121"/>
          <w:sz w:val="26"/>
          <w:szCs w:val="26"/>
        </w:rPr>
        <w:tab/>
        <w:t>3.</w:t>
      </w:r>
      <w:r w:rsidRPr="007855BD">
        <w:rPr>
          <w:rFonts w:eastAsiaTheme="minorHAnsi"/>
          <w:color w:val="212121"/>
          <w:sz w:val="26"/>
          <w:szCs w:val="26"/>
        </w:rPr>
        <w:tab/>
        <w:t xml:space="preserve">That West Penn Power Company is authorized to suspend or terminate utility service in accordance with the </w:t>
      </w:r>
      <w:r w:rsidR="009A6CB3" w:rsidRPr="007855BD">
        <w:rPr>
          <w:rFonts w:eastAsiaTheme="minorHAnsi"/>
          <w:color w:val="212121"/>
          <w:sz w:val="26"/>
          <w:szCs w:val="26"/>
        </w:rPr>
        <w:t>s</w:t>
      </w:r>
      <w:r w:rsidR="002B6586" w:rsidRPr="007855BD">
        <w:rPr>
          <w:rFonts w:eastAsiaTheme="minorHAnsi"/>
          <w:color w:val="212121"/>
          <w:sz w:val="26"/>
          <w:szCs w:val="26"/>
        </w:rPr>
        <w:t xml:space="preserve">tatutes and </w:t>
      </w:r>
      <w:r w:rsidRPr="007855BD">
        <w:rPr>
          <w:rFonts w:eastAsiaTheme="minorHAnsi"/>
          <w:color w:val="212121"/>
          <w:sz w:val="26"/>
          <w:szCs w:val="26"/>
        </w:rPr>
        <w:t xml:space="preserve">Commission's  </w:t>
      </w:r>
      <w:r w:rsidR="002B6586" w:rsidRPr="007855BD">
        <w:rPr>
          <w:rFonts w:eastAsiaTheme="minorHAnsi"/>
          <w:color w:val="212121"/>
          <w:sz w:val="26"/>
          <w:szCs w:val="26"/>
        </w:rPr>
        <w:t>R</w:t>
      </w:r>
      <w:r w:rsidRPr="007855BD">
        <w:rPr>
          <w:rFonts w:eastAsiaTheme="minorHAnsi"/>
          <w:color w:val="212121"/>
          <w:sz w:val="26"/>
          <w:szCs w:val="26"/>
        </w:rPr>
        <w:t xml:space="preserve">egulations, and consistent with any applicable provision of Title 11 of the United States Code, </w:t>
      </w:r>
      <w:hyperlink r:id="rId8" w:history="1">
        <w:r w:rsidRPr="007855BD">
          <w:rPr>
            <w:rFonts w:eastAsiaTheme="minorHAnsi"/>
            <w:sz w:val="26"/>
            <w:szCs w:val="26"/>
          </w:rPr>
          <w:t>11</w:t>
        </w:r>
        <w:r w:rsidR="004A33B0">
          <w:rPr>
            <w:rFonts w:eastAsiaTheme="minorHAnsi"/>
            <w:sz w:val="26"/>
            <w:szCs w:val="26"/>
          </w:rPr>
          <w:t> </w:t>
        </w:r>
        <w:r w:rsidRPr="007855BD">
          <w:rPr>
            <w:rFonts w:eastAsiaTheme="minorHAnsi"/>
            <w:sz w:val="26"/>
            <w:szCs w:val="26"/>
          </w:rPr>
          <w:t xml:space="preserve">U.S.C. §§ 101 </w:t>
        </w:r>
        <w:r w:rsidRPr="007855BD">
          <w:rPr>
            <w:rFonts w:eastAsiaTheme="minorHAnsi"/>
            <w:i/>
            <w:iCs/>
            <w:sz w:val="26"/>
            <w:szCs w:val="26"/>
          </w:rPr>
          <w:t>et seq.</w:t>
        </w:r>
        <w:r w:rsidRPr="007855BD">
          <w:rPr>
            <w:rFonts w:eastAsiaTheme="minorHAnsi"/>
            <w:sz w:val="26"/>
            <w:szCs w:val="26"/>
          </w:rPr>
          <w:t>,</w:t>
        </w:r>
      </w:hyperlink>
      <w:r w:rsidRPr="007855BD">
        <w:rPr>
          <w:rFonts w:eastAsiaTheme="minorHAnsi"/>
          <w:color w:val="212121"/>
          <w:sz w:val="26"/>
          <w:szCs w:val="26"/>
        </w:rPr>
        <w:t xml:space="preserve"> (the U.S. Bankruptcy Code).</w:t>
      </w:r>
    </w:p>
    <w:p w14:paraId="4A5EA2C2" w14:textId="77777777" w:rsidR="00FC25C2" w:rsidRPr="007855BD" w:rsidRDefault="00FC25C2" w:rsidP="00261749">
      <w:pPr>
        <w:ind w:firstLine="1440"/>
        <w:jc w:val="left"/>
        <w:rPr>
          <w:sz w:val="26"/>
          <w:szCs w:val="26"/>
        </w:rPr>
      </w:pPr>
    </w:p>
    <w:p w14:paraId="1A82225A" w14:textId="1737756F" w:rsidR="00261749" w:rsidRPr="007855BD" w:rsidRDefault="00FC25C2" w:rsidP="00261749">
      <w:pPr>
        <w:ind w:firstLine="1440"/>
        <w:jc w:val="left"/>
        <w:rPr>
          <w:sz w:val="26"/>
          <w:szCs w:val="26"/>
        </w:rPr>
      </w:pPr>
      <w:r w:rsidRPr="007855BD">
        <w:rPr>
          <w:sz w:val="26"/>
          <w:szCs w:val="26"/>
        </w:rPr>
        <w:t>4</w:t>
      </w:r>
      <w:r w:rsidR="00261749" w:rsidRPr="007855BD">
        <w:rPr>
          <w:sz w:val="26"/>
          <w:szCs w:val="26"/>
        </w:rPr>
        <w:t>.</w:t>
      </w:r>
      <w:r w:rsidR="00261749" w:rsidRPr="007855BD">
        <w:rPr>
          <w:sz w:val="26"/>
          <w:szCs w:val="26"/>
        </w:rPr>
        <w:tab/>
        <w:t>That the Formal Complaint filed on August 2, 2017, by Carla Matrunics against West Penn Power Company at Docket No. C-2017-2617235 is dismissed, consistent with this Opinion and Order.</w:t>
      </w:r>
    </w:p>
    <w:p w14:paraId="0D6C999C" w14:textId="77777777" w:rsidR="00261749" w:rsidRPr="007855BD" w:rsidRDefault="00261749" w:rsidP="00261749">
      <w:pPr>
        <w:ind w:firstLine="1440"/>
        <w:jc w:val="left"/>
        <w:rPr>
          <w:sz w:val="26"/>
          <w:szCs w:val="26"/>
        </w:rPr>
      </w:pPr>
    </w:p>
    <w:p w14:paraId="1A4DB105" w14:textId="18232462" w:rsidR="00261749" w:rsidRPr="007855BD" w:rsidRDefault="00FC25C2" w:rsidP="00261749">
      <w:pPr>
        <w:keepNext/>
        <w:spacing w:line="240" w:lineRule="auto"/>
        <w:ind w:firstLine="1440"/>
        <w:jc w:val="left"/>
        <w:rPr>
          <w:sz w:val="26"/>
          <w:szCs w:val="26"/>
        </w:rPr>
      </w:pPr>
      <w:r w:rsidRPr="007855BD">
        <w:rPr>
          <w:sz w:val="26"/>
          <w:szCs w:val="26"/>
        </w:rPr>
        <w:lastRenderedPageBreak/>
        <w:t>5</w:t>
      </w:r>
      <w:r w:rsidR="00261749" w:rsidRPr="007855BD">
        <w:rPr>
          <w:sz w:val="26"/>
          <w:szCs w:val="26"/>
        </w:rPr>
        <w:t>.</w:t>
      </w:r>
      <w:r w:rsidR="00261749" w:rsidRPr="007855BD">
        <w:rPr>
          <w:sz w:val="26"/>
          <w:szCs w:val="26"/>
        </w:rPr>
        <w:tab/>
        <w:t>That the proceeding at this docket be marked closed.</w:t>
      </w:r>
    </w:p>
    <w:p w14:paraId="318CBAE6" w14:textId="77777777" w:rsidR="00261749" w:rsidRPr="007855BD" w:rsidRDefault="00261749" w:rsidP="00261749">
      <w:pPr>
        <w:keepNext/>
        <w:spacing w:line="240" w:lineRule="auto"/>
        <w:ind w:firstLine="1440"/>
        <w:jc w:val="left"/>
        <w:rPr>
          <w:sz w:val="26"/>
          <w:szCs w:val="26"/>
        </w:rPr>
      </w:pPr>
    </w:p>
    <w:p w14:paraId="7EEAD83A" w14:textId="77777777" w:rsidR="00261749" w:rsidRPr="007855BD" w:rsidRDefault="00261749" w:rsidP="00261749">
      <w:pPr>
        <w:keepNext/>
        <w:spacing w:line="240" w:lineRule="auto"/>
        <w:ind w:firstLine="0"/>
        <w:jc w:val="left"/>
        <w:rPr>
          <w:sz w:val="26"/>
          <w:szCs w:val="26"/>
        </w:rPr>
      </w:pPr>
    </w:p>
    <w:p w14:paraId="12761EA3" w14:textId="77777777" w:rsidR="00261749" w:rsidRPr="007855BD" w:rsidRDefault="00261749" w:rsidP="00261749">
      <w:pPr>
        <w:keepNext/>
        <w:spacing w:line="240" w:lineRule="auto"/>
        <w:ind w:firstLine="0"/>
        <w:jc w:val="left"/>
        <w:rPr>
          <w:b/>
          <w:sz w:val="26"/>
          <w:szCs w:val="26"/>
        </w:rPr>
      </w:pPr>
      <w:r w:rsidRPr="007855BD">
        <w:rPr>
          <w:b/>
          <w:sz w:val="26"/>
          <w:szCs w:val="26"/>
        </w:rPr>
        <w:tab/>
      </w:r>
      <w:r w:rsidRPr="007855BD">
        <w:rPr>
          <w:b/>
          <w:sz w:val="26"/>
          <w:szCs w:val="26"/>
        </w:rPr>
        <w:tab/>
      </w:r>
      <w:r w:rsidRPr="007855BD">
        <w:rPr>
          <w:b/>
          <w:sz w:val="26"/>
          <w:szCs w:val="26"/>
        </w:rPr>
        <w:tab/>
      </w:r>
      <w:r w:rsidRPr="007855BD">
        <w:rPr>
          <w:b/>
          <w:sz w:val="26"/>
          <w:szCs w:val="26"/>
        </w:rPr>
        <w:tab/>
      </w:r>
      <w:r w:rsidRPr="007855BD">
        <w:rPr>
          <w:b/>
          <w:sz w:val="26"/>
          <w:szCs w:val="26"/>
        </w:rPr>
        <w:tab/>
      </w:r>
      <w:r w:rsidRPr="007855BD">
        <w:rPr>
          <w:b/>
          <w:sz w:val="26"/>
          <w:szCs w:val="26"/>
        </w:rPr>
        <w:tab/>
      </w:r>
      <w:r w:rsidRPr="007855BD">
        <w:rPr>
          <w:b/>
          <w:sz w:val="26"/>
          <w:szCs w:val="26"/>
        </w:rPr>
        <w:tab/>
        <w:t>BY THE COMMISSION,</w:t>
      </w:r>
    </w:p>
    <w:p w14:paraId="5882068A" w14:textId="77777777" w:rsidR="00261749" w:rsidRPr="007855BD" w:rsidRDefault="00261749" w:rsidP="00261749">
      <w:pPr>
        <w:keepNext/>
        <w:spacing w:line="240" w:lineRule="auto"/>
        <w:ind w:firstLine="0"/>
        <w:jc w:val="left"/>
        <w:rPr>
          <w:sz w:val="26"/>
          <w:szCs w:val="26"/>
        </w:rPr>
      </w:pPr>
    </w:p>
    <w:p w14:paraId="0F41C63C" w14:textId="1DE7C8D9" w:rsidR="00261749" w:rsidRPr="007855BD" w:rsidRDefault="00D962A8" w:rsidP="00261749">
      <w:pPr>
        <w:keepNext/>
        <w:tabs>
          <w:tab w:val="left" w:pos="5610"/>
        </w:tabs>
        <w:spacing w:line="240" w:lineRule="auto"/>
        <w:ind w:firstLine="0"/>
        <w:jc w:val="left"/>
        <w:rPr>
          <w:sz w:val="26"/>
          <w:szCs w:val="26"/>
        </w:rPr>
      </w:pPr>
      <w:r>
        <w:rPr>
          <w:sz w:val="26"/>
          <w:szCs w:val="26"/>
        </w:rPr>
        <w:t xml:space="preserve">                                                                          </w:t>
      </w:r>
      <w:r>
        <w:rPr>
          <w:noProof/>
          <w:sz w:val="26"/>
          <w:szCs w:val="26"/>
        </w:rPr>
        <w:drawing>
          <wp:inline distT="0" distB="0" distL="0" distR="0" wp14:anchorId="734A7895" wp14:editId="6010E148">
            <wp:extent cx="1965960" cy="749808"/>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749808"/>
                    </a:xfrm>
                    <a:prstGeom prst="rect">
                      <a:avLst/>
                    </a:prstGeom>
                  </pic:spPr>
                </pic:pic>
              </a:graphicData>
            </a:graphic>
          </wp:inline>
        </w:drawing>
      </w:r>
    </w:p>
    <w:p w14:paraId="695EA710" w14:textId="77777777" w:rsidR="00261749" w:rsidRPr="007855BD" w:rsidRDefault="00261749" w:rsidP="00261749">
      <w:pPr>
        <w:keepNext/>
        <w:spacing w:line="240" w:lineRule="auto"/>
        <w:ind w:firstLine="0"/>
        <w:jc w:val="left"/>
        <w:rPr>
          <w:sz w:val="26"/>
          <w:szCs w:val="26"/>
        </w:rPr>
      </w:pPr>
    </w:p>
    <w:p w14:paraId="6C8B4D76" w14:textId="77777777" w:rsidR="00261749" w:rsidRPr="007855BD" w:rsidRDefault="00261749" w:rsidP="00261749">
      <w:pPr>
        <w:keepNext/>
        <w:spacing w:line="240" w:lineRule="auto"/>
        <w:ind w:firstLine="0"/>
        <w:jc w:val="left"/>
        <w:rPr>
          <w:sz w:val="26"/>
          <w:szCs w:val="26"/>
        </w:rPr>
      </w:pP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t>Rosemary Chiavetta</w:t>
      </w:r>
    </w:p>
    <w:p w14:paraId="37279D21" w14:textId="77777777" w:rsidR="00261749" w:rsidRPr="007855BD" w:rsidRDefault="00261749" w:rsidP="00261749">
      <w:pPr>
        <w:keepNext/>
        <w:spacing w:line="240" w:lineRule="auto"/>
        <w:ind w:firstLine="0"/>
        <w:jc w:val="left"/>
        <w:rPr>
          <w:sz w:val="26"/>
          <w:szCs w:val="26"/>
        </w:rPr>
      </w:pP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r>
      <w:r w:rsidRPr="007855BD">
        <w:rPr>
          <w:sz w:val="26"/>
          <w:szCs w:val="26"/>
        </w:rPr>
        <w:tab/>
        <w:t>Secretary</w:t>
      </w:r>
    </w:p>
    <w:p w14:paraId="05C3DF2C" w14:textId="77777777" w:rsidR="00261749" w:rsidRPr="007855BD" w:rsidRDefault="00261749" w:rsidP="00261749">
      <w:pPr>
        <w:keepNext/>
        <w:tabs>
          <w:tab w:val="left" w:pos="-720"/>
        </w:tabs>
        <w:spacing w:line="240" w:lineRule="auto"/>
        <w:ind w:firstLine="0"/>
        <w:jc w:val="left"/>
        <w:rPr>
          <w:sz w:val="26"/>
          <w:szCs w:val="26"/>
        </w:rPr>
      </w:pPr>
    </w:p>
    <w:p w14:paraId="465548D7" w14:textId="77777777" w:rsidR="00261749" w:rsidRPr="007855BD" w:rsidRDefault="00261749" w:rsidP="00261749">
      <w:pPr>
        <w:tabs>
          <w:tab w:val="left" w:pos="-720"/>
        </w:tabs>
        <w:spacing w:line="240" w:lineRule="auto"/>
        <w:ind w:firstLine="0"/>
        <w:jc w:val="left"/>
        <w:rPr>
          <w:sz w:val="26"/>
          <w:szCs w:val="26"/>
        </w:rPr>
      </w:pPr>
      <w:r w:rsidRPr="007855BD">
        <w:rPr>
          <w:sz w:val="26"/>
          <w:szCs w:val="26"/>
        </w:rPr>
        <w:t>(SEAL)</w:t>
      </w:r>
    </w:p>
    <w:p w14:paraId="50D8403D" w14:textId="77777777" w:rsidR="00261749" w:rsidRPr="007855BD" w:rsidRDefault="00261749" w:rsidP="00261749">
      <w:pPr>
        <w:tabs>
          <w:tab w:val="left" w:pos="-720"/>
        </w:tabs>
        <w:spacing w:line="240" w:lineRule="auto"/>
        <w:ind w:firstLine="0"/>
        <w:jc w:val="left"/>
        <w:rPr>
          <w:sz w:val="26"/>
          <w:szCs w:val="26"/>
        </w:rPr>
      </w:pPr>
    </w:p>
    <w:p w14:paraId="13253FBA" w14:textId="77777777" w:rsidR="00261749" w:rsidRPr="007855BD" w:rsidRDefault="00261749" w:rsidP="00261749">
      <w:pPr>
        <w:tabs>
          <w:tab w:val="left" w:pos="-720"/>
        </w:tabs>
        <w:spacing w:line="240" w:lineRule="auto"/>
        <w:ind w:firstLine="0"/>
        <w:jc w:val="left"/>
        <w:rPr>
          <w:sz w:val="26"/>
          <w:szCs w:val="26"/>
        </w:rPr>
      </w:pPr>
      <w:r w:rsidRPr="007855BD">
        <w:rPr>
          <w:sz w:val="26"/>
          <w:szCs w:val="26"/>
        </w:rPr>
        <w:t>ORDER ADOPTED:  December 19, 2019</w:t>
      </w:r>
    </w:p>
    <w:p w14:paraId="170A74B3" w14:textId="77777777" w:rsidR="00261749" w:rsidRPr="007855BD" w:rsidRDefault="00261749" w:rsidP="00261749">
      <w:pPr>
        <w:tabs>
          <w:tab w:val="left" w:pos="-720"/>
        </w:tabs>
        <w:spacing w:line="240" w:lineRule="auto"/>
        <w:ind w:firstLine="0"/>
        <w:jc w:val="left"/>
        <w:rPr>
          <w:sz w:val="26"/>
          <w:szCs w:val="26"/>
        </w:rPr>
      </w:pPr>
    </w:p>
    <w:p w14:paraId="072BBE5D" w14:textId="25BC67C9" w:rsidR="00261749" w:rsidRDefault="00261749" w:rsidP="00261749">
      <w:pPr>
        <w:tabs>
          <w:tab w:val="left" w:pos="-720"/>
        </w:tabs>
        <w:spacing w:line="240" w:lineRule="auto"/>
        <w:ind w:firstLine="0"/>
        <w:jc w:val="left"/>
        <w:rPr>
          <w:sz w:val="26"/>
          <w:szCs w:val="26"/>
        </w:rPr>
      </w:pPr>
      <w:r w:rsidRPr="007855BD">
        <w:rPr>
          <w:sz w:val="26"/>
          <w:szCs w:val="26"/>
        </w:rPr>
        <w:t>ORDER ENTERED:</w:t>
      </w:r>
      <w:r w:rsidRPr="00507493">
        <w:rPr>
          <w:sz w:val="26"/>
          <w:szCs w:val="26"/>
        </w:rPr>
        <w:t xml:space="preserve"> </w:t>
      </w:r>
      <w:r w:rsidR="00D962A8">
        <w:rPr>
          <w:sz w:val="26"/>
          <w:szCs w:val="26"/>
        </w:rPr>
        <w:t>January 9, 2020</w:t>
      </w:r>
    </w:p>
    <w:p w14:paraId="3432A644" w14:textId="77777777" w:rsidR="00261749" w:rsidRPr="00D82782" w:rsidRDefault="00261749" w:rsidP="00261749">
      <w:pPr>
        <w:ind w:firstLine="0"/>
        <w:jc w:val="both"/>
      </w:pPr>
    </w:p>
    <w:p w14:paraId="6B01FAF4" w14:textId="16214630" w:rsidR="00D37137" w:rsidRPr="006749CC" w:rsidRDefault="00D37137" w:rsidP="007107A8">
      <w:pPr>
        <w:spacing w:after="200"/>
        <w:jc w:val="left"/>
        <w:rPr>
          <w:rFonts w:eastAsiaTheme="minorHAnsi"/>
          <w:color w:val="000000"/>
          <w:sz w:val="26"/>
          <w:szCs w:val="26"/>
        </w:rPr>
      </w:pPr>
    </w:p>
    <w:p w14:paraId="7BA14F46" w14:textId="1285C844" w:rsidR="00BC5D21" w:rsidRPr="00D82782" w:rsidRDefault="00BC5D21" w:rsidP="00DB0D06">
      <w:pPr>
        <w:ind w:firstLine="0"/>
        <w:jc w:val="both"/>
      </w:pPr>
      <w:bookmarkStart w:id="2" w:name="_GoBack"/>
      <w:bookmarkEnd w:id="2"/>
    </w:p>
    <w:sectPr w:rsidR="00BC5D21" w:rsidRPr="00D82782" w:rsidSect="00181C1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169C2" w14:textId="77777777" w:rsidR="00FA35FA" w:rsidRDefault="00FA35FA" w:rsidP="00181C10">
      <w:pPr>
        <w:spacing w:line="240" w:lineRule="auto"/>
      </w:pPr>
      <w:r>
        <w:separator/>
      </w:r>
    </w:p>
  </w:endnote>
  <w:endnote w:type="continuationSeparator" w:id="0">
    <w:p w14:paraId="40B6F571" w14:textId="77777777" w:rsidR="00FA35FA" w:rsidRDefault="00FA35FA" w:rsidP="00181C10">
      <w:pPr>
        <w:spacing w:line="240" w:lineRule="auto"/>
      </w:pPr>
      <w:r>
        <w:continuationSeparator/>
      </w:r>
    </w:p>
  </w:endnote>
  <w:endnote w:type="continuationNotice" w:id="1">
    <w:p w14:paraId="0C1E79B0" w14:textId="77777777" w:rsidR="00FA35FA" w:rsidRDefault="00FA35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7D09361C" w14:textId="6EAD31F3" w:rsidR="00573660" w:rsidRDefault="00573660" w:rsidP="00304123">
        <w:pPr>
          <w:pStyle w:val="Footer"/>
          <w:ind w:firstLine="0"/>
        </w:pPr>
        <w:r>
          <w:fldChar w:fldCharType="begin"/>
        </w:r>
        <w:r>
          <w:instrText xml:space="preserve"> PAGE   \* MERGEFORMAT </w:instrText>
        </w:r>
        <w:r>
          <w:fldChar w:fldCharType="separate"/>
        </w:r>
        <w:r w:rsidR="009A6CB3">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3CBE" w14:textId="77777777" w:rsidR="00FA35FA" w:rsidRDefault="00FA35FA" w:rsidP="009B3286">
      <w:pPr>
        <w:spacing w:line="240" w:lineRule="auto"/>
        <w:ind w:firstLine="0"/>
        <w:jc w:val="left"/>
      </w:pPr>
      <w:r>
        <w:separator/>
      </w:r>
    </w:p>
  </w:footnote>
  <w:footnote w:type="continuationSeparator" w:id="0">
    <w:p w14:paraId="13238D41" w14:textId="77777777" w:rsidR="00FA35FA" w:rsidRDefault="00FA35FA" w:rsidP="00181C10">
      <w:pPr>
        <w:spacing w:line="240" w:lineRule="auto"/>
      </w:pPr>
      <w:r>
        <w:continuationSeparator/>
      </w:r>
    </w:p>
  </w:footnote>
  <w:footnote w:type="continuationNotice" w:id="1">
    <w:p w14:paraId="42DD050D" w14:textId="77777777" w:rsidR="00FA35FA" w:rsidRDefault="00FA35FA">
      <w:pPr>
        <w:spacing w:line="240" w:lineRule="auto"/>
      </w:pPr>
    </w:p>
  </w:footnote>
  <w:footnote w:id="2">
    <w:p w14:paraId="0B4450E6" w14:textId="278A8298" w:rsidR="00573660" w:rsidRPr="00296F54" w:rsidRDefault="00573660" w:rsidP="00D82782">
      <w:pPr>
        <w:pStyle w:val="FootnoteText"/>
        <w:keepNext/>
        <w:keepLines/>
        <w:spacing w:after="120"/>
        <w:jc w:val="left"/>
        <w:rPr>
          <w:sz w:val="26"/>
          <w:szCs w:val="26"/>
        </w:rPr>
      </w:pPr>
      <w:r w:rsidRPr="006869CB">
        <w:rPr>
          <w:sz w:val="26"/>
          <w:szCs w:val="26"/>
          <w:vertAlign w:val="superscript"/>
        </w:rPr>
        <w:footnoteRef/>
      </w:r>
      <w:r w:rsidRPr="006869CB">
        <w:rPr>
          <w:sz w:val="26"/>
          <w:szCs w:val="26"/>
        </w:rPr>
        <w:tab/>
      </w:r>
      <w:r>
        <w:rPr>
          <w:sz w:val="26"/>
          <w:szCs w:val="26"/>
        </w:rPr>
        <w:t>The Complainant initially filed on March 5, 2019, a Certificate of Service indicating the service of the Exceptions on West Penn; however, it was addressed to another West Penn counsel at a different law firm who was not involved in this case.  A</w:t>
      </w:r>
      <w:r w:rsidR="002202B3">
        <w:rPr>
          <w:sz w:val="26"/>
          <w:szCs w:val="26"/>
        </w:rPr>
        <w:t> </w:t>
      </w:r>
      <w:r>
        <w:rPr>
          <w:sz w:val="26"/>
          <w:szCs w:val="26"/>
        </w:rPr>
        <w:t>second Certificate of Service was subsequently filed on March 28, 2019, indicating service to the correct counsel on record.</w:t>
      </w:r>
    </w:p>
  </w:footnote>
  <w:footnote w:id="3">
    <w:p w14:paraId="57F10B45" w14:textId="6E60D782" w:rsidR="00FC4281" w:rsidRPr="004D0C67" w:rsidRDefault="00FC4281" w:rsidP="00FC4281">
      <w:pPr>
        <w:pStyle w:val="FootnoteText"/>
        <w:jc w:val="left"/>
        <w:rPr>
          <w:sz w:val="26"/>
          <w:szCs w:val="26"/>
        </w:rPr>
      </w:pPr>
      <w:r w:rsidRPr="004B1C1C">
        <w:rPr>
          <w:rStyle w:val="FootnoteReference"/>
          <w:sz w:val="26"/>
          <w:szCs w:val="26"/>
        </w:rPr>
        <w:footnoteRef/>
      </w:r>
      <w:r w:rsidRPr="004B1C1C">
        <w:rPr>
          <w:sz w:val="26"/>
          <w:szCs w:val="26"/>
        </w:rPr>
        <w:tab/>
      </w:r>
      <w:r>
        <w:rPr>
          <w:sz w:val="26"/>
          <w:szCs w:val="26"/>
        </w:rPr>
        <w:t xml:space="preserve">The Complainant’s daughter and her husband need to use a nebulizer and CPAP machine respectively.  </w:t>
      </w:r>
      <w:r w:rsidR="00492C29">
        <w:rPr>
          <w:sz w:val="26"/>
          <w:szCs w:val="26"/>
        </w:rPr>
        <w:t xml:space="preserve">A </w:t>
      </w:r>
      <w:r w:rsidRPr="004D0C67">
        <w:rPr>
          <w:sz w:val="26"/>
          <w:szCs w:val="26"/>
        </w:rPr>
        <w:t xml:space="preserve">CPAP, or Continuous </w:t>
      </w:r>
      <w:r>
        <w:rPr>
          <w:sz w:val="26"/>
          <w:szCs w:val="26"/>
        </w:rPr>
        <w:t>P</w:t>
      </w:r>
      <w:r w:rsidRPr="004D0C67">
        <w:rPr>
          <w:sz w:val="26"/>
          <w:szCs w:val="26"/>
        </w:rPr>
        <w:t xml:space="preserve">ositive </w:t>
      </w:r>
      <w:r>
        <w:rPr>
          <w:sz w:val="26"/>
          <w:szCs w:val="26"/>
        </w:rPr>
        <w:t>A</w:t>
      </w:r>
      <w:r w:rsidRPr="004D0C67">
        <w:rPr>
          <w:sz w:val="26"/>
          <w:szCs w:val="26"/>
        </w:rPr>
        <w:t xml:space="preserve">irway </w:t>
      </w:r>
      <w:r>
        <w:rPr>
          <w:sz w:val="26"/>
          <w:szCs w:val="26"/>
        </w:rPr>
        <w:t>P</w:t>
      </w:r>
      <w:r w:rsidRPr="004D0C67">
        <w:rPr>
          <w:sz w:val="26"/>
          <w:szCs w:val="26"/>
        </w:rPr>
        <w:t>ressure therapy machine</w:t>
      </w:r>
      <w:r w:rsidR="00492C29">
        <w:rPr>
          <w:sz w:val="26"/>
          <w:szCs w:val="26"/>
        </w:rPr>
        <w:t>,</w:t>
      </w:r>
      <w:r w:rsidRPr="004D0C67">
        <w:rPr>
          <w:sz w:val="26"/>
          <w:szCs w:val="26"/>
        </w:rPr>
        <w:t xml:space="preserve"> is used </w:t>
      </w:r>
      <w:r w:rsidR="00492C29">
        <w:rPr>
          <w:sz w:val="26"/>
          <w:szCs w:val="26"/>
        </w:rPr>
        <w:t>by</w:t>
      </w:r>
      <w:r w:rsidR="00492C29" w:rsidRPr="004D0C67">
        <w:rPr>
          <w:sz w:val="26"/>
          <w:szCs w:val="26"/>
        </w:rPr>
        <w:t xml:space="preserve"> </w:t>
      </w:r>
      <w:r w:rsidRPr="004D0C67">
        <w:rPr>
          <w:sz w:val="26"/>
          <w:szCs w:val="26"/>
        </w:rPr>
        <w:t xml:space="preserve">patients for treatment </w:t>
      </w:r>
      <w:r w:rsidR="00492C29">
        <w:rPr>
          <w:sz w:val="26"/>
          <w:szCs w:val="26"/>
        </w:rPr>
        <w:t>of</w:t>
      </w:r>
      <w:r w:rsidR="00492C29" w:rsidRPr="004D0C67">
        <w:rPr>
          <w:sz w:val="26"/>
          <w:szCs w:val="26"/>
        </w:rPr>
        <w:t xml:space="preserve"> </w:t>
      </w:r>
      <w:r w:rsidRPr="004D0C67">
        <w:rPr>
          <w:sz w:val="26"/>
          <w:szCs w:val="26"/>
        </w:rPr>
        <w:t>obstructive sleep apnea.</w:t>
      </w:r>
    </w:p>
  </w:footnote>
  <w:footnote w:id="4">
    <w:p w14:paraId="5E3B8640" w14:textId="5FFA5246" w:rsidR="001739A3" w:rsidRDefault="001739A3" w:rsidP="007855BD">
      <w:pPr>
        <w:pStyle w:val="FootnoteText"/>
        <w:keepLines/>
        <w:spacing w:after="120"/>
        <w:jc w:val="left"/>
      </w:pPr>
      <w:r w:rsidRPr="001739A3">
        <w:rPr>
          <w:rStyle w:val="FootnoteReference"/>
          <w:sz w:val="26"/>
          <w:szCs w:val="26"/>
        </w:rPr>
        <w:footnoteRef/>
      </w:r>
      <w:r w:rsidRPr="001739A3">
        <w:rPr>
          <w:sz w:val="26"/>
          <w:szCs w:val="26"/>
        </w:rPr>
        <w:t xml:space="preserve"> </w:t>
      </w:r>
      <w:r>
        <w:tab/>
      </w:r>
      <w:r w:rsidR="009D064A">
        <w:rPr>
          <w:sz w:val="26"/>
          <w:szCs w:val="26"/>
        </w:rPr>
        <w:t>Regarding</w:t>
      </w:r>
      <w:r>
        <w:rPr>
          <w:sz w:val="26"/>
          <w:szCs w:val="26"/>
        </w:rPr>
        <w:t xml:space="preserve"> the Complainant’s high bill claim, the ALJ noted that West Penn provided meter test results, which showed that the electric meter in question tested as accurate</w:t>
      </w:r>
      <w:r w:rsidR="00424317">
        <w:rPr>
          <w:sz w:val="26"/>
          <w:szCs w:val="26"/>
        </w:rPr>
        <w:t xml:space="preserve"> under the Commission’s Regulations</w:t>
      </w:r>
      <w:r>
        <w:rPr>
          <w:sz w:val="26"/>
          <w:szCs w:val="26"/>
        </w:rPr>
        <w:t>.  I.D. at 11-12.  The ALJ also concluded that the Complainant’s usage for the billing period in question was essentially unchanged from the earlier period and that based on the size of the home and the number of all-electric appliances, the Complainant ha</w:t>
      </w:r>
      <w:r w:rsidR="006F2369">
        <w:rPr>
          <w:sz w:val="26"/>
          <w:szCs w:val="26"/>
        </w:rPr>
        <w:t>d</w:t>
      </w:r>
      <w:r>
        <w:rPr>
          <w:sz w:val="26"/>
          <w:szCs w:val="26"/>
        </w:rPr>
        <w:t xml:space="preserve"> the potential for the usage for which she </w:t>
      </w:r>
      <w:r w:rsidR="009D0A03">
        <w:rPr>
          <w:sz w:val="26"/>
          <w:szCs w:val="26"/>
        </w:rPr>
        <w:t>was</w:t>
      </w:r>
      <w:r>
        <w:rPr>
          <w:sz w:val="26"/>
          <w:szCs w:val="26"/>
        </w:rPr>
        <w:t xml:space="preserve"> charged</w:t>
      </w:r>
      <w:r w:rsidR="004F6962">
        <w:rPr>
          <w:sz w:val="26"/>
          <w:szCs w:val="26"/>
        </w:rPr>
        <w:t>.</w:t>
      </w:r>
      <w:r>
        <w:rPr>
          <w:sz w:val="26"/>
          <w:szCs w:val="26"/>
        </w:rPr>
        <w:t xml:space="preserve">  I.D. at 12-13.  </w:t>
      </w:r>
      <w:r w:rsidR="0070279B">
        <w:rPr>
          <w:sz w:val="26"/>
          <w:szCs w:val="26"/>
        </w:rPr>
        <w:t>R</w:t>
      </w:r>
      <w:r>
        <w:rPr>
          <w:sz w:val="26"/>
          <w:szCs w:val="26"/>
        </w:rPr>
        <w:t>egard</w:t>
      </w:r>
      <w:r w:rsidR="0070279B">
        <w:rPr>
          <w:sz w:val="26"/>
          <w:szCs w:val="26"/>
        </w:rPr>
        <w:t>ing</w:t>
      </w:r>
      <w:r>
        <w:rPr>
          <w:sz w:val="26"/>
          <w:szCs w:val="26"/>
        </w:rPr>
        <w:t xml:space="preserve"> West Penn’s threat of service termination, the ALJ found that the Complainant did not present any evidence</w:t>
      </w:r>
      <w:r w:rsidR="00D45A18">
        <w:rPr>
          <w:sz w:val="26"/>
          <w:szCs w:val="26"/>
        </w:rPr>
        <w:t xml:space="preserve"> </w:t>
      </w:r>
      <w:r>
        <w:rPr>
          <w:sz w:val="26"/>
          <w:szCs w:val="26"/>
        </w:rPr>
        <w:t>to</w:t>
      </w:r>
      <w:r w:rsidR="00D45A18">
        <w:rPr>
          <w:sz w:val="26"/>
          <w:szCs w:val="26"/>
        </w:rPr>
        <w:t xml:space="preserve"> </w:t>
      </w:r>
      <w:r>
        <w:rPr>
          <w:sz w:val="26"/>
          <w:szCs w:val="26"/>
        </w:rPr>
        <w:t>establish</w:t>
      </w:r>
      <w:r w:rsidR="00D45A18">
        <w:rPr>
          <w:sz w:val="26"/>
          <w:szCs w:val="26"/>
        </w:rPr>
        <w:t xml:space="preserve"> </w:t>
      </w:r>
      <w:r>
        <w:rPr>
          <w:sz w:val="26"/>
          <w:szCs w:val="26"/>
        </w:rPr>
        <w:t>that the</w:t>
      </w:r>
      <w:r w:rsidR="00D45A18">
        <w:rPr>
          <w:sz w:val="26"/>
          <w:szCs w:val="26"/>
        </w:rPr>
        <w:t xml:space="preserve"> </w:t>
      </w:r>
      <w:r>
        <w:rPr>
          <w:sz w:val="26"/>
          <w:szCs w:val="26"/>
        </w:rPr>
        <w:t>Company violated the Commission’s Regulation or Statute concerning service termination.  I.D. at 13-14; Tr.</w:t>
      </w:r>
      <w:r w:rsidR="007855BD">
        <w:rPr>
          <w:sz w:val="26"/>
          <w:szCs w:val="26"/>
        </w:rPr>
        <w:t> </w:t>
      </w:r>
      <w:r>
        <w:rPr>
          <w:sz w:val="26"/>
          <w:szCs w:val="26"/>
        </w:rPr>
        <w:t>39</w:t>
      </w:r>
      <w:r w:rsidR="007855BD">
        <w:rPr>
          <w:sz w:val="26"/>
          <w:szCs w:val="26"/>
        </w:rPr>
        <w:noBreakHyphen/>
      </w:r>
      <w:r>
        <w:rPr>
          <w:sz w:val="26"/>
          <w:szCs w:val="26"/>
        </w:rPr>
        <w:t>40, 58; Exh 2.</w:t>
      </w:r>
      <w:r w:rsidR="00874FB9">
        <w:rPr>
          <w:sz w:val="26"/>
          <w:szCs w:val="26"/>
        </w:rPr>
        <w:t xml:space="preserve">  We note that the Complainant did not file any Exceptions pertaining to the dismissal of these </w:t>
      </w:r>
      <w:r w:rsidR="0032053D">
        <w:rPr>
          <w:sz w:val="26"/>
          <w:szCs w:val="26"/>
        </w:rPr>
        <w:t>claims</w:t>
      </w:r>
      <w:r w:rsidR="00874FB9">
        <w:rPr>
          <w:sz w:val="26"/>
          <w:szCs w:val="26"/>
        </w:rPr>
        <w:t>.</w:t>
      </w:r>
    </w:p>
  </w:footnote>
  <w:footnote w:id="5">
    <w:p w14:paraId="62172F70" w14:textId="5B005C0E" w:rsidR="007855BD" w:rsidRPr="007855BD" w:rsidRDefault="007855BD" w:rsidP="007855BD">
      <w:pPr>
        <w:pStyle w:val="FootnoteText"/>
        <w:jc w:val="left"/>
        <w:rPr>
          <w:sz w:val="26"/>
          <w:szCs w:val="26"/>
        </w:rPr>
      </w:pPr>
      <w:r w:rsidRPr="007855BD">
        <w:rPr>
          <w:rStyle w:val="FootnoteReference"/>
          <w:sz w:val="26"/>
          <w:szCs w:val="26"/>
        </w:rPr>
        <w:footnoteRef/>
      </w:r>
      <w:r w:rsidRPr="007855BD">
        <w:rPr>
          <w:sz w:val="26"/>
          <w:szCs w:val="26"/>
        </w:rPr>
        <w:t xml:space="preserve"> </w:t>
      </w:r>
      <w:r>
        <w:rPr>
          <w:sz w:val="26"/>
          <w:szCs w:val="26"/>
        </w:rPr>
        <w:tab/>
        <w:t xml:space="preserve">The ALJ summarily dismissed the Complainant’s argument that the statute providing for payment arrangements, 66 Pa. C.S. § 1405, is unconstitutional.  The ALJ quoted from the Commonwealth Court’s decision in </w:t>
      </w:r>
      <w:r w:rsidRPr="007855BD">
        <w:rPr>
          <w:i/>
          <w:iCs/>
          <w:sz w:val="26"/>
          <w:szCs w:val="26"/>
        </w:rPr>
        <w:t>Allegheny Ludlum Steel Corp. v Pa.</w:t>
      </w:r>
      <w:r>
        <w:rPr>
          <w:i/>
          <w:iCs/>
          <w:sz w:val="26"/>
          <w:szCs w:val="26"/>
        </w:rPr>
        <w:t> </w:t>
      </w:r>
      <w:r w:rsidRPr="007855BD">
        <w:rPr>
          <w:i/>
          <w:iCs/>
          <w:sz w:val="26"/>
          <w:szCs w:val="26"/>
        </w:rPr>
        <w:t>PUC</w:t>
      </w:r>
      <w:r>
        <w:rPr>
          <w:sz w:val="26"/>
          <w:szCs w:val="26"/>
        </w:rPr>
        <w:t xml:space="preserve">, 447 A.2d 675, 680 (Pa. </w:t>
      </w:r>
      <w:proofErr w:type="spellStart"/>
      <w:r>
        <w:rPr>
          <w:sz w:val="26"/>
          <w:szCs w:val="26"/>
        </w:rPr>
        <w:t>Cmwlth</w:t>
      </w:r>
      <w:proofErr w:type="spellEnd"/>
      <w:r>
        <w:rPr>
          <w:sz w:val="26"/>
          <w:szCs w:val="26"/>
        </w:rPr>
        <w:t>. 1982) (</w:t>
      </w:r>
      <w:r w:rsidRPr="007855BD">
        <w:rPr>
          <w:i/>
          <w:iCs/>
          <w:sz w:val="26"/>
          <w:szCs w:val="26"/>
        </w:rPr>
        <w:t>Allegheny</w:t>
      </w:r>
      <w:r>
        <w:rPr>
          <w:sz w:val="26"/>
          <w:szCs w:val="26"/>
        </w:rPr>
        <w:t>): “[A]n administrative agency cannot determine the constitutionality of its own enabling legislation.” citing I.D. at 11 (internal quotation and citation omitted).  The ALJ dismissed this issue during the hearing and indicate that he would not address it further in the Initial Decision.  I.D. at 11, n.2.</w:t>
      </w:r>
    </w:p>
  </w:footnote>
  <w:footnote w:id="6">
    <w:p w14:paraId="70F5CBC4" w14:textId="464BC121" w:rsidR="004C7668" w:rsidRPr="00C40C80" w:rsidRDefault="004C7668" w:rsidP="004C7668">
      <w:pPr>
        <w:pStyle w:val="FootnoteText"/>
        <w:jc w:val="left"/>
        <w:rPr>
          <w:sz w:val="26"/>
          <w:szCs w:val="26"/>
        </w:rPr>
      </w:pPr>
      <w:r w:rsidRPr="00C40C80">
        <w:rPr>
          <w:rStyle w:val="FootnoteReference"/>
          <w:sz w:val="26"/>
          <w:szCs w:val="26"/>
        </w:rPr>
        <w:footnoteRef/>
      </w:r>
      <w:r w:rsidRPr="00C40C80">
        <w:rPr>
          <w:sz w:val="26"/>
          <w:szCs w:val="26"/>
        </w:rPr>
        <w:tab/>
      </w:r>
      <w:r>
        <w:rPr>
          <w:sz w:val="26"/>
          <w:szCs w:val="26"/>
        </w:rPr>
        <w:t xml:space="preserve">The Company cites to </w:t>
      </w:r>
      <w:r w:rsidRPr="00C40C80">
        <w:rPr>
          <w:i/>
          <w:iCs/>
          <w:sz w:val="26"/>
          <w:szCs w:val="26"/>
        </w:rPr>
        <w:t>Consolidated Edison Company of New York v. National Labor Relations Board</w:t>
      </w:r>
      <w:r>
        <w:rPr>
          <w:sz w:val="26"/>
          <w:szCs w:val="26"/>
        </w:rPr>
        <w:t xml:space="preserve">, 305 U.S. 197, 229, 59 S. Ct. 206, 2017 (1938); </w:t>
      </w:r>
      <w:r w:rsidRPr="00C40C80">
        <w:rPr>
          <w:i/>
          <w:iCs/>
          <w:sz w:val="26"/>
          <w:szCs w:val="26"/>
        </w:rPr>
        <w:t xml:space="preserve">Norfolk </w:t>
      </w:r>
      <w:r w:rsidRPr="00853CEF">
        <w:rPr>
          <w:sz w:val="26"/>
          <w:szCs w:val="26"/>
        </w:rPr>
        <w:t>and</w:t>
      </w:r>
      <w:r>
        <w:rPr>
          <w:sz w:val="26"/>
          <w:szCs w:val="26"/>
        </w:rPr>
        <w:t xml:space="preserve"> </w:t>
      </w:r>
      <w:r w:rsidRPr="00C40C80">
        <w:rPr>
          <w:i/>
          <w:iCs/>
          <w:sz w:val="26"/>
          <w:szCs w:val="26"/>
        </w:rPr>
        <w:t>Pennsylvania Bureau of Corrections v. City of Pittsburgh</w:t>
      </w:r>
      <w:r>
        <w:rPr>
          <w:sz w:val="26"/>
          <w:szCs w:val="26"/>
        </w:rPr>
        <w:t>, 532 A.2d 12 (Pa. 1987).</w:t>
      </w:r>
    </w:p>
  </w:footnote>
  <w:footnote w:id="7">
    <w:p w14:paraId="6B204E8C" w14:textId="1F9772F5" w:rsidR="006749CC" w:rsidRDefault="006749CC" w:rsidP="00EC762E">
      <w:pPr>
        <w:spacing w:line="240" w:lineRule="auto"/>
        <w:ind w:right="144"/>
        <w:jc w:val="left"/>
        <w:textAlignment w:val="baseline"/>
      </w:pPr>
      <w:r w:rsidRPr="006749CC">
        <w:rPr>
          <w:rStyle w:val="FootnoteReference"/>
          <w:sz w:val="26"/>
          <w:szCs w:val="26"/>
        </w:rPr>
        <w:footnoteRef/>
      </w:r>
      <w:r>
        <w:tab/>
      </w:r>
      <w:r w:rsidRPr="006749CC">
        <w:rPr>
          <w:rFonts w:eastAsia="Times New Roman"/>
          <w:i/>
          <w:color w:val="000000"/>
          <w:sz w:val="26"/>
          <w:szCs w:val="26"/>
        </w:rPr>
        <w:t>City of Pittsburgh v. Pa. P</w:t>
      </w:r>
      <w:r w:rsidR="00C710CB">
        <w:rPr>
          <w:rFonts w:eastAsia="Times New Roman"/>
          <w:i/>
          <w:color w:val="000000"/>
          <w:sz w:val="26"/>
          <w:szCs w:val="26"/>
        </w:rPr>
        <w:t>UC</w:t>
      </w:r>
      <w:r w:rsidRPr="00C710CB">
        <w:rPr>
          <w:rFonts w:eastAsia="Times New Roman"/>
          <w:iCs/>
          <w:color w:val="000000"/>
          <w:sz w:val="26"/>
          <w:szCs w:val="26"/>
        </w:rPr>
        <w:t>,</w:t>
      </w:r>
      <w:r w:rsidRPr="006749CC">
        <w:rPr>
          <w:rFonts w:eastAsia="Times New Roman"/>
          <w:i/>
          <w:color w:val="000000"/>
          <w:sz w:val="26"/>
          <w:szCs w:val="26"/>
        </w:rPr>
        <w:t xml:space="preserve"> </w:t>
      </w:r>
      <w:r w:rsidRPr="006749CC">
        <w:rPr>
          <w:rFonts w:eastAsia="Times New Roman"/>
          <w:color w:val="000000"/>
          <w:sz w:val="26"/>
          <w:szCs w:val="26"/>
        </w:rPr>
        <w:t>43 A.2d 348 (Pa.</w:t>
      </w:r>
      <w:r w:rsidR="007855BD">
        <w:rPr>
          <w:rFonts w:eastAsia="Times New Roman"/>
          <w:color w:val="000000"/>
          <w:sz w:val="26"/>
          <w:szCs w:val="26"/>
        </w:rPr>
        <w:t xml:space="preserve"> </w:t>
      </w:r>
      <w:r w:rsidRPr="006749CC">
        <w:rPr>
          <w:rFonts w:eastAsia="Times New Roman"/>
          <w:color w:val="000000"/>
          <w:sz w:val="26"/>
          <w:szCs w:val="26"/>
        </w:rPr>
        <w:t>Super. 1945).</w:t>
      </w:r>
    </w:p>
  </w:footnote>
  <w:footnote w:id="8">
    <w:p w14:paraId="2BFF614E" w14:textId="31608EE1" w:rsidR="006749CC" w:rsidRPr="006749CC" w:rsidRDefault="006749CC" w:rsidP="005941CB">
      <w:pPr>
        <w:spacing w:after="120" w:line="240" w:lineRule="auto"/>
        <w:jc w:val="left"/>
        <w:textAlignment w:val="baseline"/>
        <w:rPr>
          <w:rFonts w:eastAsia="Times New Roman"/>
          <w:color w:val="000000"/>
          <w:spacing w:val="-1"/>
          <w:sz w:val="26"/>
          <w:szCs w:val="26"/>
          <w:vertAlign w:val="superscript"/>
        </w:rPr>
      </w:pPr>
      <w:r w:rsidRPr="006749CC">
        <w:rPr>
          <w:rStyle w:val="FootnoteReference"/>
          <w:sz w:val="26"/>
          <w:szCs w:val="26"/>
        </w:rPr>
        <w:footnoteRef/>
      </w:r>
      <w:r>
        <w:tab/>
      </w:r>
      <w:r w:rsidRPr="006749CC">
        <w:rPr>
          <w:rFonts w:eastAsia="Times New Roman"/>
          <w:i/>
          <w:color w:val="000000"/>
          <w:spacing w:val="-1"/>
          <w:sz w:val="26"/>
          <w:szCs w:val="26"/>
        </w:rPr>
        <w:t>Commonwealth v. Little</w:t>
      </w:r>
      <w:r w:rsidRPr="00C710CB">
        <w:rPr>
          <w:rFonts w:eastAsia="Times New Roman"/>
          <w:iCs/>
          <w:color w:val="000000"/>
          <w:spacing w:val="-1"/>
          <w:sz w:val="26"/>
          <w:szCs w:val="26"/>
        </w:rPr>
        <w:t>,</w:t>
      </w:r>
      <w:r w:rsidRPr="006749CC">
        <w:rPr>
          <w:rFonts w:eastAsia="Times New Roman"/>
          <w:i/>
          <w:color w:val="000000"/>
          <w:spacing w:val="-1"/>
          <w:sz w:val="26"/>
          <w:szCs w:val="26"/>
        </w:rPr>
        <w:t xml:space="preserve"> </w:t>
      </w:r>
      <w:r w:rsidRPr="006749CC">
        <w:rPr>
          <w:rFonts w:eastAsia="Times New Roman"/>
          <w:color w:val="000000"/>
          <w:spacing w:val="-1"/>
          <w:sz w:val="26"/>
          <w:szCs w:val="26"/>
        </w:rPr>
        <w:t>455 Pa. 163, 314 A.2d 270 (1974).</w:t>
      </w:r>
    </w:p>
  </w:footnote>
  <w:footnote w:id="9">
    <w:p w14:paraId="6A433F3B" w14:textId="4A60B274" w:rsidR="006749CC" w:rsidRDefault="006749CC" w:rsidP="004A33B0">
      <w:pPr>
        <w:spacing w:after="120" w:line="240" w:lineRule="auto"/>
        <w:ind w:right="144"/>
        <w:jc w:val="left"/>
        <w:textAlignment w:val="baseline"/>
      </w:pPr>
      <w:r w:rsidRPr="006749CC">
        <w:rPr>
          <w:rStyle w:val="FootnoteReference"/>
          <w:sz w:val="26"/>
          <w:szCs w:val="26"/>
        </w:rPr>
        <w:footnoteRef/>
      </w:r>
      <w:r>
        <w:tab/>
      </w:r>
      <w:r w:rsidRPr="006749CC">
        <w:rPr>
          <w:rFonts w:eastAsia="Times New Roman"/>
          <w:i/>
          <w:color w:val="000000"/>
          <w:spacing w:val="-2"/>
          <w:sz w:val="26"/>
          <w:szCs w:val="26"/>
        </w:rPr>
        <w:t xml:space="preserve">See, </w:t>
      </w:r>
      <w:proofErr w:type="spellStart"/>
      <w:r w:rsidRPr="006749CC">
        <w:rPr>
          <w:rFonts w:eastAsia="Times New Roman"/>
          <w:i/>
          <w:color w:val="000000"/>
          <w:spacing w:val="-2"/>
          <w:sz w:val="26"/>
          <w:szCs w:val="26"/>
        </w:rPr>
        <w:t>Danjou</w:t>
      </w:r>
      <w:proofErr w:type="spellEnd"/>
      <w:r w:rsidRPr="006749CC">
        <w:rPr>
          <w:rFonts w:eastAsia="Times New Roman"/>
          <w:i/>
          <w:color w:val="000000"/>
          <w:spacing w:val="-2"/>
          <w:sz w:val="26"/>
          <w:szCs w:val="26"/>
        </w:rPr>
        <w:t xml:space="preserve"> v. West Power Company, </w:t>
      </w:r>
      <w:r w:rsidRPr="006749CC">
        <w:rPr>
          <w:rFonts w:eastAsia="Times New Roman"/>
          <w:color w:val="000000"/>
          <w:spacing w:val="-2"/>
          <w:sz w:val="26"/>
          <w:szCs w:val="26"/>
        </w:rPr>
        <w:t xml:space="preserve">F-2018-3006430 (Order </w:t>
      </w:r>
      <w:r w:rsidR="00B92C76">
        <w:rPr>
          <w:rFonts w:eastAsia="Times New Roman"/>
          <w:color w:val="000000"/>
          <w:spacing w:val="-2"/>
          <w:sz w:val="26"/>
          <w:szCs w:val="26"/>
        </w:rPr>
        <w:t>e</w:t>
      </w:r>
      <w:r w:rsidRPr="006749CC">
        <w:rPr>
          <w:rFonts w:eastAsia="Times New Roman"/>
          <w:color w:val="000000"/>
          <w:spacing w:val="-2"/>
          <w:sz w:val="26"/>
          <w:szCs w:val="26"/>
        </w:rPr>
        <w:t>ntered July</w:t>
      </w:r>
      <w:r w:rsidR="00C710CB">
        <w:rPr>
          <w:rFonts w:eastAsia="Times New Roman"/>
          <w:color w:val="000000"/>
          <w:spacing w:val="-2"/>
          <w:sz w:val="26"/>
          <w:szCs w:val="26"/>
        </w:rPr>
        <w:t> </w:t>
      </w:r>
      <w:r w:rsidRPr="006749CC">
        <w:rPr>
          <w:rFonts w:eastAsia="Times New Roman"/>
          <w:color w:val="000000"/>
          <w:spacing w:val="-2"/>
          <w:sz w:val="26"/>
          <w:szCs w:val="26"/>
        </w:rPr>
        <w:t xml:space="preserve">22, 2019); </w:t>
      </w:r>
      <w:r w:rsidRPr="006749CC">
        <w:rPr>
          <w:rFonts w:eastAsia="Times New Roman"/>
          <w:i/>
          <w:color w:val="000000"/>
          <w:spacing w:val="-2"/>
          <w:sz w:val="26"/>
          <w:szCs w:val="26"/>
        </w:rPr>
        <w:t xml:space="preserve">see also, </w:t>
      </w:r>
      <w:proofErr w:type="spellStart"/>
      <w:r w:rsidRPr="006749CC">
        <w:rPr>
          <w:rFonts w:eastAsia="Times New Roman"/>
          <w:i/>
          <w:color w:val="000000"/>
          <w:spacing w:val="-2"/>
          <w:sz w:val="26"/>
          <w:szCs w:val="26"/>
        </w:rPr>
        <w:t>Lekawa</w:t>
      </w:r>
      <w:proofErr w:type="spellEnd"/>
      <w:r w:rsidRPr="006749CC">
        <w:rPr>
          <w:rFonts w:eastAsia="Times New Roman"/>
          <w:i/>
          <w:color w:val="000000"/>
          <w:spacing w:val="-2"/>
          <w:sz w:val="26"/>
          <w:szCs w:val="26"/>
        </w:rPr>
        <w:t xml:space="preserve"> v. West Penn Power Company and Titan Gas &amp; Power, LLC</w:t>
      </w:r>
      <w:r w:rsidRPr="00C710CB">
        <w:rPr>
          <w:rFonts w:eastAsia="Times New Roman"/>
          <w:iCs/>
          <w:color w:val="000000"/>
          <w:spacing w:val="-2"/>
          <w:sz w:val="26"/>
          <w:szCs w:val="26"/>
        </w:rPr>
        <w:t>,</w:t>
      </w:r>
      <w:r w:rsidRPr="006749CC">
        <w:rPr>
          <w:rFonts w:eastAsia="Times New Roman"/>
          <w:i/>
          <w:color w:val="000000"/>
          <w:spacing w:val="-2"/>
          <w:sz w:val="26"/>
          <w:szCs w:val="26"/>
        </w:rPr>
        <w:t xml:space="preserve"> </w:t>
      </w:r>
      <w:r w:rsidRPr="006749CC">
        <w:rPr>
          <w:rFonts w:eastAsia="Times New Roman"/>
          <w:color w:val="000000"/>
          <w:spacing w:val="-2"/>
          <w:sz w:val="26"/>
          <w:szCs w:val="26"/>
        </w:rPr>
        <w:t>Docket No. F-2017-2629733 (</w:t>
      </w:r>
      <w:r w:rsidR="00B92C76">
        <w:rPr>
          <w:rFonts w:eastAsia="Times New Roman"/>
          <w:color w:val="000000"/>
          <w:spacing w:val="-2"/>
          <w:sz w:val="26"/>
          <w:szCs w:val="26"/>
        </w:rPr>
        <w:t xml:space="preserve">Initial Decision issued November 7, 2018; </w:t>
      </w:r>
      <w:r w:rsidRPr="006749CC">
        <w:rPr>
          <w:rFonts w:eastAsia="Times New Roman"/>
          <w:color w:val="000000"/>
          <w:spacing w:val="-2"/>
          <w:sz w:val="26"/>
          <w:szCs w:val="26"/>
        </w:rPr>
        <w:t xml:space="preserve">Final Order entered January 17, 2019) </w:t>
      </w:r>
      <w:r w:rsidR="00B92C76">
        <w:rPr>
          <w:rFonts w:eastAsia="Times New Roman"/>
          <w:color w:val="000000"/>
          <w:spacing w:val="-2"/>
          <w:sz w:val="26"/>
          <w:szCs w:val="26"/>
        </w:rPr>
        <w:t>(</w:t>
      </w:r>
      <w:r w:rsidRPr="006749CC">
        <w:rPr>
          <w:rFonts w:eastAsia="Times New Roman"/>
          <w:i/>
          <w:color w:val="000000"/>
          <w:spacing w:val="-2"/>
          <w:sz w:val="26"/>
          <w:szCs w:val="26"/>
        </w:rPr>
        <w:t xml:space="preserve">citing Perez v. PECO Energy Company, </w:t>
      </w:r>
      <w:r w:rsidRPr="006749CC">
        <w:rPr>
          <w:rFonts w:eastAsia="Times New Roman"/>
          <w:color w:val="000000"/>
          <w:spacing w:val="-2"/>
          <w:sz w:val="26"/>
          <w:szCs w:val="26"/>
        </w:rPr>
        <w:t>Docket No. C</w:t>
      </w:r>
      <w:r w:rsidR="00C710CB">
        <w:rPr>
          <w:rFonts w:eastAsia="Times New Roman"/>
          <w:color w:val="000000"/>
          <w:spacing w:val="-2"/>
          <w:sz w:val="26"/>
          <w:szCs w:val="26"/>
        </w:rPr>
        <w:noBreakHyphen/>
      </w:r>
      <w:r w:rsidRPr="006749CC">
        <w:rPr>
          <w:rFonts w:eastAsia="Times New Roman"/>
          <w:color w:val="000000"/>
          <w:spacing w:val="-2"/>
          <w:sz w:val="26"/>
          <w:szCs w:val="26"/>
        </w:rPr>
        <w:t xml:space="preserve">2016-2551605 (Final Order entered May 18, 2017); </w:t>
      </w:r>
      <w:proofErr w:type="spellStart"/>
      <w:r w:rsidRPr="006749CC">
        <w:rPr>
          <w:rFonts w:eastAsia="Times New Roman"/>
          <w:i/>
          <w:color w:val="000000"/>
          <w:spacing w:val="-2"/>
          <w:sz w:val="26"/>
          <w:szCs w:val="26"/>
        </w:rPr>
        <w:t>Chavous</w:t>
      </w:r>
      <w:proofErr w:type="spellEnd"/>
      <w:r w:rsidRPr="006749CC">
        <w:rPr>
          <w:rFonts w:eastAsia="Times New Roman"/>
          <w:i/>
          <w:color w:val="000000"/>
          <w:spacing w:val="-2"/>
          <w:sz w:val="26"/>
          <w:szCs w:val="26"/>
        </w:rPr>
        <w:t xml:space="preserve"> v. PECO Energy Company, </w:t>
      </w:r>
      <w:r w:rsidRPr="006749CC">
        <w:rPr>
          <w:rFonts w:eastAsia="Times New Roman"/>
          <w:color w:val="000000"/>
          <w:spacing w:val="-2"/>
          <w:sz w:val="26"/>
          <w:szCs w:val="26"/>
        </w:rPr>
        <w:t xml:space="preserve">Docket No, F-2010-2215689 (Final Order entered December 20, 2011); </w:t>
      </w:r>
      <w:proofErr w:type="spellStart"/>
      <w:r w:rsidRPr="006749CC">
        <w:rPr>
          <w:rFonts w:eastAsia="Times New Roman"/>
          <w:i/>
          <w:color w:val="000000"/>
          <w:spacing w:val="-2"/>
          <w:sz w:val="26"/>
          <w:szCs w:val="26"/>
        </w:rPr>
        <w:t>Kossman</w:t>
      </w:r>
      <w:proofErr w:type="spellEnd"/>
      <w:r w:rsidRPr="006749CC">
        <w:rPr>
          <w:rFonts w:eastAsia="Times New Roman"/>
          <w:i/>
          <w:color w:val="000000"/>
          <w:spacing w:val="-2"/>
          <w:sz w:val="26"/>
          <w:szCs w:val="26"/>
        </w:rPr>
        <w:t xml:space="preserve"> v. PECO Energy Company</w:t>
      </w:r>
      <w:r w:rsidRPr="00C710CB">
        <w:rPr>
          <w:rFonts w:eastAsia="Times New Roman"/>
          <w:iCs/>
          <w:color w:val="000000"/>
          <w:spacing w:val="-2"/>
          <w:sz w:val="26"/>
          <w:szCs w:val="26"/>
        </w:rPr>
        <w:t>,</w:t>
      </w:r>
      <w:r w:rsidRPr="006749CC">
        <w:rPr>
          <w:rFonts w:eastAsia="Times New Roman"/>
          <w:i/>
          <w:color w:val="000000"/>
          <w:spacing w:val="-2"/>
          <w:sz w:val="26"/>
          <w:szCs w:val="26"/>
        </w:rPr>
        <w:t xml:space="preserve"> </w:t>
      </w:r>
      <w:r w:rsidRPr="006749CC">
        <w:rPr>
          <w:rFonts w:eastAsia="Times New Roman"/>
          <w:color w:val="000000"/>
          <w:spacing w:val="-2"/>
          <w:sz w:val="26"/>
          <w:szCs w:val="26"/>
        </w:rPr>
        <w:t>Docket No. C-2017-2583425 (Final Order entered August 31, 2017</w:t>
      </w:r>
      <w:r w:rsidR="004A33B0">
        <w:rPr>
          <w:rFonts w:eastAsia="Times New Roman"/>
          <w:color w:val="000000"/>
          <w:spacing w:val="-2"/>
          <w:sz w:val="26"/>
          <w:szCs w:val="26"/>
        </w:rPr>
        <w:t>)</w:t>
      </w:r>
      <w:r w:rsidR="00B92C76">
        <w:rPr>
          <w:rFonts w:eastAsia="Times New Roman"/>
          <w:color w:val="000000"/>
          <w:spacing w:val="-2"/>
          <w:sz w:val="26"/>
          <w:szCs w:val="26"/>
        </w:rPr>
        <w:t>)</w:t>
      </w:r>
      <w:r w:rsidRPr="006749CC">
        <w:rPr>
          <w:rFonts w:eastAsia="Times New Roman"/>
          <w:color w:val="000000"/>
          <w:spacing w:val="-2"/>
          <w:sz w:val="26"/>
          <w:szCs w:val="26"/>
        </w:rPr>
        <w:t>.</w:t>
      </w:r>
    </w:p>
  </w:footnote>
  <w:footnote w:id="10">
    <w:p w14:paraId="4F675AD5" w14:textId="59EAC11D" w:rsidR="00533D64" w:rsidRDefault="00533D64" w:rsidP="002C2E10">
      <w:pPr>
        <w:spacing w:line="240" w:lineRule="auto"/>
        <w:ind w:right="144"/>
        <w:jc w:val="left"/>
        <w:textAlignment w:val="baseline"/>
      </w:pPr>
      <w:r w:rsidRPr="005941CB">
        <w:rPr>
          <w:rStyle w:val="FootnoteReference"/>
          <w:sz w:val="26"/>
          <w:szCs w:val="26"/>
        </w:rPr>
        <w:footnoteRef/>
      </w:r>
      <w:r w:rsidR="002C2E10">
        <w:rPr>
          <w:i/>
          <w:sz w:val="26"/>
          <w:szCs w:val="26"/>
        </w:rPr>
        <w:tab/>
      </w:r>
      <w:r w:rsidRPr="005941CB">
        <w:rPr>
          <w:i/>
          <w:sz w:val="26"/>
          <w:szCs w:val="26"/>
        </w:rPr>
        <w:t xml:space="preserve">See </w:t>
      </w:r>
      <w:r w:rsidRPr="005941CB">
        <w:rPr>
          <w:sz w:val="26"/>
          <w:szCs w:val="26"/>
        </w:rPr>
        <w:t>Title 28 of the United States Code Section 1334, 28 U.S.C. §</w:t>
      </w:r>
      <w:r w:rsidRPr="00533D64">
        <w:rPr>
          <w:sz w:val="26"/>
          <w:szCs w:val="26"/>
        </w:rPr>
        <w:t xml:space="preserve"> 1334(a) </w:t>
      </w:r>
      <w:r>
        <w:rPr>
          <w:sz w:val="26"/>
          <w:szCs w:val="26"/>
        </w:rPr>
        <w:t>and</w:t>
      </w:r>
      <w:r w:rsidRPr="005941CB">
        <w:rPr>
          <w:sz w:val="26"/>
          <w:szCs w:val="26"/>
        </w:rPr>
        <w:t>(e) (pertaining to jurisdiction of the federal district c</w:t>
      </w:r>
      <w:r w:rsidR="005941CB">
        <w:rPr>
          <w:sz w:val="26"/>
          <w:szCs w:val="26"/>
        </w:rPr>
        <w:t>ourts</w:t>
      </w:r>
      <w:r w:rsidRPr="005941CB">
        <w:rPr>
          <w:sz w:val="26"/>
          <w:szCs w:val="26"/>
        </w:rPr>
        <w:t xml:space="preserve"> and their bankruptcy courts</w:t>
      </w:r>
      <w:r w:rsidR="005941CB">
        <w:rPr>
          <w:sz w:val="26"/>
          <w:szCs w:val="26"/>
        </w:rPr>
        <w:t>).</w:t>
      </w:r>
    </w:p>
  </w:footnote>
  <w:footnote w:id="11">
    <w:p w14:paraId="520A9AF1" w14:textId="6D2A9429" w:rsidR="004C7668" w:rsidRPr="00E64411" w:rsidRDefault="004C7668" w:rsidP="004C7668">
      <w:pPr>
        <w:spacing w:line="240" w:lineRule="auto"/>
        <w:jc w:val="left"/>
      </w:pPr>
      <w:r w:rsidRPr="00E64411">
        <w:rPr>
          <w:rStyle w:val="FootnoteReference"/>
          <w:sz w:val="26"/>
          <w:szCs w:val="26"/>
        </w:rPr>
        <w:footnoteRef/>
      </w:r>
      <w:r w:rsidRPr="00E64411">
        <w:rPr>
          <w:sz w:val="26"/>
          <w:szCs w:val="26"/>
        </w:rPr>
        <w:t xml:space="preserve"> </w:t>
      </w:r>
      <w:r w:rsidRPr="00E64411">
        <w:rPr>
          <w:sz w:val="26"/>
          <w:szCs w:val="26"/>
        </w:rPr>
        <w:tab/>
        <w:t>Article 1, Section 1 of the Pennsylvania Constitution provides: “</w:t>
      </w:r>
      <w:r w:rsidRPr="00E64411">
        <w:rPr>
          <w:rFonts w:eastAsiaTheme="minorHAnsi"/>
          <w:color w:val="212121"/>
          <w:sz w:val="26"/>
          <w:szCs w:val="26"/>
        </w:rPr>
        <w:t>All men are born equally free and independent, and have certain inherent and indefeasible rights, among which are those of enjoying and defending life and liberty, of acquiring, possessing and protecting property and reputation, and of pursuing their own happiness.”</w:t>
      </w:r>
    </w:p>
  </w:footnote>
  <w:footnote w:id="12">
    <w:p w14:paraId="6CD32FFC" w14:textId="5BF36E6F" w:rsidR="00FC25C2" w:rsidRPr="00DB0D06" w:rsidRDefault="00FC25C2" w:rsidP="00DB0D06">
      <w:pPr>
        <w:pStyle w:val="FootnoteText"/>
        <w:ind w:firstLine="0"/>
        <w:jc w:val="left"/>
        <w:rPr>
          <w:sz w:val="26"/>
          <w:szCs w:val="26"/>
        </w:rPr>
      </w:pPr>
      <w:r>
        <w:rPr>
          <w:sz w:val="26"/>
          <w:szCs w:val="26"/>
        </w:rPr>
        <w:tab/>
      </w:r>
      <w:r w:rsidRPr="00DB0D06">
        <w:rPr>
          <w:rStyle w:val="FootnoteReference"/>
          <w:sz w:val="26"/>
          <w:szCs w:val="26"/>
        </w:rPr>
        <w:footnoteRef/>
      </w:r>
      <w:r w:rsidRPr="00DB0D06">
        <w:rPr>
          <w:sz w:val="26"/>
          <w:szCs w:val="26"/>
        </w:rPr>
        <w:t xml:space="preserve"> </w:t>
      </w:r>
      <w:r>
        <w:rPr>
          <w:sz w:val="26"/>
          <w:szCs w:val="26"/>
        </w:rPr>
        <w:tab/>
      </w:r>
      <w:r w:rsidR="00BF1EF2">
        <w:rPr>
          <w:sz w:val="26"/>
          <w:szCs w:val="26"/>
        </w:rPr>
        <w:t xml:space="preserve">As previously noted, the </w:t>
      </w:r>
      <w:r>
        <w:rPr>
          <w:sz w:val="26"/>
          <w:szCs w:val="26"/>
        </w:rPr>
        <w:t>Complainant did not file any Exceptions pertaining to the dismissal of the service termination and high bill claims.  We agree with the ALJ’s analysis pertaining to th</w:t>
      </w:r>
      <w:r w:rsidR="00A27828">
        <w:rPr>
          <w:sz w:val="26"/>
          <w:szCs w:val="26"/>
        </w:rPr>
        <w:t>o</w:t>
      </w:r>
      <w:r>
        <w:rPr>
          <w:sz w:val="26"/>
          <w:szCs w:val="26"/>
        </w:rPr>
        <w:t xml:space="preserve">se claims and shall adopt his findings consistent with this Opinion and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1E37520"/>
    <w:multiLevelType w:val="hybridMultilevel"/>
    <w:tmpl w:val="62DAB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A1A1E"/>
    <w:multiLevelType w:val="hybridMultilevel"/>
    <w:tmpl w:val="F2821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D4980"/>
    <w:multiLevelType w:val="hybridMultilevel"/>
    <w:tmpl w:val="FC7E1666"/>
    <w:lvl w:ilvl="0" w:tplc="C4B258E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61D6E"/>
    <w:multiLevelType w:val="hybridMultilevel"/>
    <w:tmpl w:val="3B6E561C"/>
    <w:lvl w:ilvl="0" w:tplc="CD3C202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3A3B41"/>
    <w:multiLevelType w:val="hybridMultilevel"/>
    <w:tmpl w:val="958C86F0"/>
    <w:lvl w:ilvl="0" w:tplc="2FF06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98701C"/>
    <w:multiLevelType w:val="hybridMultilevel"/>
    <w:tmpl w:val="12B28506"/>
    <w:lvl w:ilvl="0" w:tplc="F5C8A67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B5C6C"/>
    <w:multiLevelType w:val="hybridMultilevel"/>
    <w:tmpl w:val="958C86F0"/>
    <w:lvl w:ilvl="0" w:tplc="2FF06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605ED2"/>
    <w:multiLevelType w:val="hybridMultilevel"/>
    <w:tmpl w:val="54F2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244A4"/>
    <w:multiLevelType w:val="hybridMultilevel"/>
    <w:tmpl w:val="1D8E19B4"/>
    <w:lvl w:ilvl="0" w:tplc="102A5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EF1890"/>
    <w:multiLevelType w:val="hybridMultilevel"/>
    <w:tmpl w:val="F2182F98"/>
    <w:lvl w:ilvl="0" w:tplc="A544A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401DBE"/>
    <w:multiLevelType w:val="hybridMultilevel"/>
    <w:tmpl w:val="05FCD55E"/>
    <w:lvl w:ilvl="0" w:tplc="05F040CA">
      <w:numFmt w:val="bullet"/>
      <w:lvlText w:val=""/>
      <w:lvlJc w:val="left"/>
      <w:pPr>
        <w:ind w:left="885" w:hanging="360"/>
      </w:pPr>
      <w:rPr>
        <w:rFonts w:ascii="Symbol" w:eastAsia="Calibri" w:hAnsi="Symbol"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7"/>
  </w:num>
  <w:num w:numId="7">
    <w:abstractNumId w:val="15"/>
  </w:num>
  <w:num w:numId="8">
    <w:abstractNumId w:val="3"/>
  </w:num>
  <w:num w:numId="9">
    <w:abstractNumId w:val="10"/>
  </w:num>
  <w:num w:numId="10">
    <w:abstractNumId w:val="2"/>
  </w:num>
  <w:num w:numId="11">
    <w:abstractNumId w:val="8"/>
  </w:num>
  <w:num w:numId="12">
    <w:abstractNumId w:val="11"/>
  </w:num>
  <w:num w:numId="13">
    <w:abstractNumId w:val="1"/>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BE2"/>
    <w:rsid w:val="00001CD3"/>
    <w:rsid w:val="00003165"/>
    <w:rsid w:val="000034B5"/>
    <w:rsid w:val="00004E3A"/>
    <w:rsid w:val="00005B07"/>
    <w:rsid w:val="000079E5"/>
    <w:rsid w:val="00010F99"/>
    <w:rsid w:val="00011DE7"/>
    <w:rsid w:val="00013884"/>
    <w:rsid w:val="00015468"/>
    <w:rsid w:val="000155CF"/>
    <w:rsid w:val="00025CA8"/>
    <w:rsid w:val="00026474"/>
    <w:rsid w:val="00031D29"/>
    <w:rsid w:val="00040678"/>
    <w:rsid w:val="0004349B"/>
    <w:rsid w:val="000460AB"/>
    <w:rsid w:val="0004797A"/>
    <w:rsid w:val="00047EEF"/>
    <w:rsid w:val="00054363"/>
    <w:rsid w:val="000544CF"/>
    <w:rsid w:val="00064898"/>
    <w:rsid w:val="00064B5B"/>
    <w:rsid w:val="00065A8D"/>
    <w:rsid w:val="00072C6C"/>
    <w:rsid w:val="00072CDF"/>
    <w:rsid w:val="00072F49"/>
    <w:rsid w:val="0007331C"/>
    <w:rsid w:val="00075BE2"/>
    <w:rsid w:val="0008356E"/>
    <w:rsid w:val="00090342"/>
    <w:rsid w:val="000908E4"/>
    <w:rsid w:val="00094044"/>
    <w:rsid w:val="00094DCD"/>
    <w:rsid w:val="000A2650"/>
    <w:rsid w:val="000A4E25"/>
    <w:rsid w:val="000B0718"/>
    <w:rsid w:val="000B16F5"/>
    <w:rsid w:val="000B3848"/>
    <w:rsid w:val="000B5458"/>
    <w:rsid w:val="000B7D29"/>
    <w:rsid w:val="000C1EFB"/>
    <w:rsid w:val="000C46EA"/>
    <w:rsid w:val="000C4932"/>
    <w:rsid w:val="000D0D2A"/>
    <w:rsid w:val="000D68DB"/>
    <w:rsid w:val="000E3F04"/>
    <w:rsid w:val="000E63B7"/>
    <w:rsid w:val="000F04F4"/>
    <w:rsid w:val="000F7F1A"/>
    <w:rsid w:val="0010048A"/>
    <w:rsid w:val="00104F93"/>
    <w:rsid w:val="00105025"/>
    <w:rsid w:val="00105559"/>
    <w:rsid w:val="00110854"/>
    <w:rsid w:val="00112158"/>
    <w:rsid w:val="00113BC3"/>
    <w:rsid w:val="00116365"/>
    <w:rsid w:val="001260EE"/>
    <w:rsid w:val="00131830"/>
    <w:rsid w:val="00136811"/>
    <w:rsid w:val="00137AB2"/>
    <w:rsid w:val="00137C8F"/>
    <w:rsid w:val="00143ED4"/>
    <w:rsid w:val="0014423D"/>
    <w:rsid w:val="00144C76"/>
    <w:rsid w:val="00150B79"/>
    <w:rsid w:val="001529F6"/>
    <w:rsid w:val="0015734B"/>
    <w:rsid w:val="00164B6E"/>
    <w:rsid w:val="0017039E"/>
    <w:rsid w:val="00171D3D"/>
    <w:rsid w:val="00172152"/>
    <w:rsid w:val="00172AFA"/>
    <w:rsid w:val="001739A3"/>
    <w:rsid w:val="001770E6"/>
    <w:rsid w:val="001803DB"/>
    <w:rsid w:val="00180623"/>
    <w:rsid w:val="00181C10"/>
    <w:rsid w:val="001821BC"/>
    <w:rsid w:val="0019342F"/>
    <w:rsid w:val="001938D2"/>
    <w:rsid w:val="0019566A"/>
    <w:rsid w:val="00195CE6"/>
    <w:rsid w:val="00196AEF"/>
    <w:rsid w:val="001A1848"/>
    <w:rsid w:val="001A1E29"/>
    <w:rsid w:val="001B06B1"/>
    <w:rsid w:val="001B07B2"/>
    <w:rsid w:val="001B715F"/>
    <w:rsid w:val="001C1FC5"/>
    <w:rsid w:val="001C2822"/>
    <w:rsid w:val="001C2ED3"/>
    <w:rsid w:val="001C3BA9"/>
    <w:rsid w:val="001D034E"/>
    <w:rsid w:val="001D2418"/>
    <w:rsid w:val="001D445F"/>
    <w:rsid w:val="001D541C"/>
    <w:rsid w:val="001D5955"/>
    <w:rsid w:val="001D698E"/>
    <w:rsid w:val="001E1BAA"/>
    <w:rsid w:val="001E5C3F"/>
    <w:rsid w:val="001F1AD4"/>
    <w:rsid w:val="001F3CEB"/>
    <w:rsid w:val="001F60B0"/>
    <w:rsid w:val="0020122C"/>
    <w:rsid w:val="00202599"/>
    <w:rsid w:val="0020466F"/>
    <w:rsid w:val="00205C67"/>
    <w:rsid w:val="00206306"/>
    <w:rsid w:val="002068D5"/>
    <w:rsid w:val="00220071"/>
    <w:rsid w:val="002202B3"/>
    <w:rsid w:val="0023072D"/>
    <w:rsid w:val="00231228"/>
    <w:rsid w:val="00231D92"/>
    <w:rsid w:val="00237B91"/>
    <w:rsid w:val="002411D4"/>
    <w:rsid w:val="00243373"/>
    <w:rsid w:val="00247856"/>
    <w:rsid w:val="00247EAC"/>
    <w:rsid w:val="00252108"/>
    <w:rsid w:val="002540A5"/>
    <w:rsid w:val="00254A4B"/>
    <w:rsid w:val="00255A21"/>
    <w:rsid w:val="0026146A"/>
    <w:rsid w:val="00261749"/>
    <w:rsid w:val="00263EF8"/>
    <w:rsid w:val="00265946"/>
    <w:rsid w:val="0027582C"/>
    <w:rsid w:val="0028221A"/>
    <w:rsid w:val="00284C07"/>
    <w:rsid w:val="00286FD1"/>
    <w:rsid w:val="00293429"/>
    <w:rsid w:val="00296F54"/>
    <w:rsid w:val="002A3C8D"/>
    <w:rsid w:val="002A4491"/>
    <w:rsid w:val="002B0124"/>
    <w:rsid w:val="002B6586"/>
    <w:rsid w:val="002B712A"/>
    <w:rsid w:val="002C027A"/>
    <w:rsid w:val="002C03E5"/>
    <w:rsid w:val="002C05A4"/>
    <w:rsid w:val="002C06F0"/>
    <w:rsid w:val="002C07A9"/>
    <w:rsid w:val="002C088A"/>
    <w:rsid w:val="002C2E10"/>
    <w:rsid w:val="002C5844"/>
    <w:rsid w:val="002C6074"/>
    <w:rsid w:val="002C7C42"/>
    <w:rsid w:val="002D251D"/>
    <w:rsid w:val="002D7143"/>
    <w:rsid w:val="002D7A7B"/>
    <w:rsid w:val="002E03FB"/>
    <w:rsid w:val="002E071D"/>
    <w:rsid w:val="002E3817"/>
    <w:rsid w:val="002E4748"/>
    <w:rsid w:val="002E4C41"/>
    <w:rsid w:val="002E56E9"/>
    <w:rsid w:val="002E57E4"/>
    <w:rsid w:val="002E6847"/>
    <w:rsid w:val="002E6F30"/>
    <w:rsid w:val="002F693E"/>
    <w:rsid w:val="0030249D"/>
    <w:rsid w:val="00304123"/>
    <w:rsid w:val="0030581C"/>
    <w:rsid w:val="0030604F"/>
    <w:rsid w:val="0031042C"/>
    <w:rsid w:val="00310ABE"/>
    <w:rsid w:val="00313A1C"/>
    <w:rsid w:val="00313CCE"/>
    <w:rsid w:val="00314F8F"/>
    <w:rsid w:val="00315203"/>
    <w:rsid w:val="0032053D"/>
    <w:rsid w:val="00320C66"/>
    <w:rsid w:val="00323C65"/>
    <w:rsid w:val="00332D27"/>
    <w:rsid w:val="00332F8A"/>
    <w:rsid w:val="00334C01"/>
    <w:rsid w:val="0034275F"/>
    <w:rsid w:val="00343D79"/>
    <w:rsid w:val="00344574"/>
    <w:rsid w:val="00345330"/>
    <w:rsid w:val="003464F8"/>
    <w:rsid w:val="00347D08"/>
    <w:rsid w:val="00351E5E"/>
    <w:rsid w:val="00352837"/>
    <w:rsid w:val="003535CA"/>
    <w:rsid w:val="00354957"/>
    <w:rsid w:val="003551AC"/>
    <w:rsid w:val="00360B7B"/>
    <w:rsid w:val="003613FA"/>
    <w:rsid w:val="00365FBF"/>
    <w:rsid w:val="00366803"/>
    <w:rsid w:val="003708B4"/>
    <w:rsid w:val="00370F4A"/>
    <w:rsid w:val="00374D5F"/>
    <w:rsid w:val="00382731"/>
    <w:rsid w:val="00382C31"/>
    <w:rsid w:val="0038339D"/>
    <w:rsid w:val="00384A7C"/>
    <w:rsid w:val="00387C99"/>
    <w:rsid w:val="003925B5"/>
    <w:rsid w:val="00393E5F"/>
    <w:rsid w:val="00396796"/>
    <w:rsid w:val="003A2871"/>
    <w:rsid w:val="003A390E"/>
    <w:rsid w:val="003A7CB9"/>
    <w:rsid w:val="003B432B"/>
    <w:rsid w:val="003B45B5"/>
    <w:rsid w:val="003B68C2"/>
    <w:rsid w:val="003B7A31"/>
    <w:rsid w:val="003C021A"/>
    <w:rsid w:val="003C280C"/>
    <w:rsid w:val="003C2FE7"/>
    <w:rsid w:val="003C58D6"/>
    <w:rsid w:val="003C5EAA"/>
    <w:rsid w:val="003C6DCF"/>
    <w:rsid w:val="003D4895"/>
    <w:rsid w:val="003D531B"/>
    <w:rsid w:val="003D5441"/>
    <w:rsid w:val="003D6FC9"/>
    <w:rsid w:val="003D7073"/>
    <w:rsid w:val="003E3481"/>
    <w:rsid w:val="003E44D8"/>
    <w:rsid w:val="003E6FFA"/>
    <w:rsid w:val="003F0286"/>
    <w:rsid w:val="003F3876"/>
    <w:rsid w:val="003F507D"/>
    <w:rsid w:val="003F6F36"/>
    <w:rsid w:val="004015CA"/>
    <w:rsid w:val="0040380C"/>
    <w:rsid w:val="00404695"/>
    <w:rsid w:val="00406560"/>
    <w:rsid w:val="0040718F"/>
    <w:rsid w:val="004132DF"/>
    <w:rsid w:val="0041552D"/>
    <w:rsid w:val="004162F6"/>
    <w:rsid w:val="00424317"/>
    <w:rsid w:val="0042799E"/>
    <w:rsid w:val="00427F29"/>
    <w:rsid w:val="00431FEF"/>
    <w:rsid w:val="00434C01"/>
    <w:rsid w:val="0043551C"/>
    <w:rsid w:val="00435A94"/>
    <w:rsid w:val="00436575"/>
    <w:rsid w:val="00436688"/>
    <w:rsid w:val="00443C63"/>
    <w:rsid w:val="00444C8D"/>
    <w:rsid w:val="00452E1A"/>
    <w:rsid w:val="004539C9"/>
    <w:rsid w:val="0045580B"/>
    <w:rsid w:val="00457361"/>
    <w:rsid w:val="00457E6D"/>
    <w:rsid w:val="004600E4"/>
    <w:rsid w:val="004640A6"/>
    <w:rsid w:val="004640F8"/>
    <w:rsid w:val="00470CAE"/>
    <w:rsid w:val="00474B44"/>
    <w:rsid w:val="0047646C"/>
    <w:rsid w:val="00482AB0"/>
    <w:rsid w:val="00486382"/>
    <w:rsid w:val="0048715A"/>
    <w:rsid w:val="00491833"/>
    <w:rsid w:val="00492104"/>
    <w:rsid w:val="004924ED"/>
    <w:rsid w:val="00492C29"/>
    <w:rsid w:val="00496E5D"/>
    <w:rsid w:val="004979A7"/>
    <w:rsid w:val="004A33B0"/>
    <w:rsid w:val="004A44D1"/>
    <w:rsid w:val="004A46C9"/>
    <w:rsid w:val="004A4E93"/>
    <w:rsid w:val="004A6DD2"/>
    <w:rsid w:val="004B0779"/>
    <w:rsid w:val="004B1259"/>
    <w:rsid w:val="004B3B15"/>
    <w:rsid w:val="004B536F"/>
    <w:rsid w:val="004B6068"/>
    <w:rsid w:val="004B7F7D"/>
    <w:rsid w:val="004C0C3A"/>
    <w:rsid w:val="004C363A"/>
    <w:rsid w:val="004C38DC"/>
    <w:rsid w:val="004C4045"/>
    <w:rsid w:val="004C6399"/>
    <w:rsid w:val="004C7668"/>
    <w:rsid w:val="004C7B91"/>
    <w:rsid w:val="004D0C67"/>
    <w:rsid w:val="004D474B"/>
    <w:rsid w:val="004D5527"/>
    <w:rsid w:val="004E06A5"/>
    <w:rsid w:val="004E1183"/>
    <w:rsid w:val="004E16F0"/>
    <w:rsid w:val="004E26C4"/>
    <w:rsid w:val="004E2BA4"/>
    <w:rsid w:val="004E3061"/>
    <w:rsid w:val="004E6072"/>
    <w:rsid w:val="004E6237"/>
    <w:rsid w:val="004F14F7"/>
    <w:rsid w:val="004F2048"/>
    <w:rsid w:val="004F23FE"/>
    <w:rsid w:val="004F6962"/>
    <w:rsid w:val="004F791C"/>
    <w:rsid w:val="00500B77"/>
    <w:rsid w:val="005061A4"/>
    <w:rsid w:val="00506205"/>
    <w:rsid w:val="0050700C"/>
    <w:rsid w:val="005102DE"/>
    <w:rsid w:val="00511384"/>
    <w:rsid w:val="005126E9"/>
    <w:rsid w:val="00514157"/>
    <w:rsid w:val="00524FC4"/>
    <w:rsid w:val="00527101"/>
    <w:rsid w:val="00533D64"/>
    <w:rsid w:val="005360FA"/>
    <w:rsid w:val="00536A09"/>
    <w:rsid w:val="00541531"/>
    <w:rsid w:val="00550E5E"/>
    <w:rsid w:val="005550E7"/>
    <w:rsid w:val="0055610A"/>
    <w:rsid w:val="00556845"/>
    <w:rsid w:val="0055752E"/>
    <w:rsid w:val="005619E2"/>
    <w:rsid w:val="00564A98"/>
    <w:rsid w:val="00565DAB"/>
    <w:rsid w:val="00566309"/>
    <w:rsid w:val="0056631C"/>
    <w:rsid w:val="005671E6"/>
    <w:rsid w:val="0057189A"/>
    <w:rsid w:val="00573660"/>
    <w:rsid w:val="00577E5F"/>
    <w:rsid w:val="00584BEA"/>
    <w:rsid w:val="00586646"/>
    <w:rsid w:val="00587F75"/>
    <w:rsid w:val="00593F08"/>
    <w:rsid w:val="005941CB"/>
    <w:rsid w:val="0059624F"/>
    <w:rsid w:val="0059743F"/>
    <w:rsid w:val="00597F71"/>
    <w:rsid w:val="005A5A51"/>
    <w:rsid w:val="005A6A98"/>
    <w:rsid w:val="005A6AE1"/>
    <w:rsid w:val="005A6E06"/>
    <w:rsid w:val="005A735A"/>
    <w:rsid w:val="005B2687"/>
    <w:rsid w:val="005B2DE9"/>
    <w:rsid w:val="005B3208"/>
    <w:rsid w:val="005B3F8B"/>
    <w:rsid w:val="005B43BA"/>
    <w:rsid w:val="005B5796"/>
    <w:rsid w:val="005B5861"/>
    <w:rsid w:val="005C02C8"/>
    <w:rsid w:val="005C041B"/>
    <w:rsid w:val="005C2FEB"/>
    <w:rsid w:val="005C5958"/>
    <w:rsid w:val="005C5B83"/>
    <w:rsid w:val="005C6800"/>
    <w:rsid w:val="005D305A"/>
    <w:rsid w:val="005E14DD"/>
    <w:rsid w:val="005E334A"/>
    <w:rsid w:val="005E3476"/>
    <w:rsid w:val="005E5D96"/>
    <w:rsid w:val="005E70C2"/>
    <w:rsid w:val="005E7403"/>
    <w:rsid w:val="005E7A19"/>
    <w:rsid w:val="005F10B5"/>
    <w:rsid w:val="005F1488"/>
    <w:rsid w:val="005F226B"/>
    <w:rsid w:val="005F430C"/>
    <w:rsid w:val="005F6FC2"/>
    <w:rsid w:val="00604522"/>
    <w:rsid w:val="00607935"/>
    <w:rsid w:val="006101F6"/>
    <w:rsid w:val="00612BD1"/>
    <w:rsid w:val="00614726"/>
    <w:rsid w:val="006166D2"/>
    <w:rsid w:val="00616D05"/>
    <w:rsid w:val="00624F24"/>
    <w:rsid w:val="00625A73"/>
    <w:rsid w:val="00625C40"/>
    <w:rsid w:val="00627219"/>
    <w:rsid w:val="00631537"/>
    <w:rsid w:val="0063396C"/>
    <w:rsid w:val="0063510B"/>
    <w:rsid w:val="00636DCF"/>
    <w:rsid w:val="0063786B"/>
    <w:rsid w:val="00643F39"/>
    <w:rsid w:val="006448E4"/>
    <w:rsid w:val="00644D99"/>
    <w:rsid w:val="006454E1"/>
    <w:rsid w:val="00646C0D"/>
    <w:rsid w:val="00651228"/>
    <w:rsid w:val="00652212"/>
    <w:rsid w:val="006528F8"/>
    <w:rsid w:val="00660CFA"/>
    <w:rsid w:val="00662D4F"/>
    <w:rsid w:val="00662EDC"/>
    <w:rsid w:val="00663BB9"/>
    <w:rsid w:val="006645E1"/>
    <w:rsid w:val="006701AA"/>
    <w:rsid w:val="00671474"/>
    <w:rsid w:val="00673D55"/>
    <w:rsid w:val="006749CC"/>
    <w:rsid w:val="0067549B"/>
    <w:rsid w:val="006815A2"/>
    <w:rsid w:val="00681D3E"/>
    <w:rsid w:val="0068309F"/>
    <w:rsid w:val="006836AF"/>
    <w:rsid w:val="006869CB"/>
    <w:rsid w:val="0068783B"/>
    <w:rsid w:val="006917A2"/>
    <w:rsid w:val="00694A49"/>
    <w:rsid w:val="006960F3"/>
    <w:rsid w:val="006A466B"/>
    <w:rsid w:val="006A562D"/>
    <w:rsid w:val="006A7C7A"/>
    <w:rsid w:val="006B29F7"/>
    <w:rsid w:val="006C55C9"/>
    <w:rsid w:val="006C5612"/>
    <w:rsid w:val="006C7661"/>
    <w:rsid w:val="006D198C"/>
    <w:rsid w:val="006D4A4C"/>
    <w:rsid w:val="006D66BD"/>
    <w:rsid w:val="006E2FB4"/>
    <w:rsid w:val="006E313C"/>
    <w:rsid w:val="006E34FB"/>
    <w:rsid w:val="006E7B34"/>
    <w:rsid w:val="006F12CD"/>
    <w:rsid w:val="006F1468"/>
    <w:rsid w:val="006F2369"/>
    <w:rsid w:val="006F454B"/>
    <w:rsid w:val="006F4578"/>
    <w:rsid w:val="006F6193"/>
    <w:rsid w:val="006F6859"/>
    <w:rsid w:val="00701907"/>
    <w:rsid w:val="0070279B"/>
    <w:rsid w:val="007032B0"/>
    <w:rsid w:val="00703BF8"/>
    <w:rsid w:val="00704877"/>
    <w:rsid w:val="00704CF6"/>
    <w:rsid w:val="00705BB9"/>
    <w:rsid w:val="00707657"/>
    <w:rsid w:val="007107A8"/>
    <w:rsid w:val="0071113B"/>
    <w:rsid w:val="00711389"/>
    <w:rsid w:val="007118CD"/>
    <w:rsid w:val="00711A44"/>
    <w:rsid w:val="00712F91"/>
    <w:rsid w:val="007163D4"/>
    <w:rsid w:val="00717B87"/>
    <w:rsid w:val="00722546"/>
    <w:rsid w:val="007234B2"/>
    <w:rsid w:val="0072553F"/>
    <w:rsid w:val="007276AF"/>
    <w:rsid w:val="00730307"/>
    <w:rsid w:val="00730862"/>
    <w:rsid w:val="00731B7A"/>
    <w:rsid w:val="00731C34"/>
    <w:rsid w:val="00733E88"/>
    <w:rsid w:val="00734624"/>
    <w:rsid w:val="00735EB8"/>
    <w:rsid w:val="00741818"/>
    <w:rsid w:val="007441F0"/>
    <w:rsid w:val="00744487"/>
    <w:rsid w:val="007466A2"/>
    <w:rsid w:val="00746CBD"/>
    <w:rsid w:val="00752DCD"/>
    <w:rsid w:val="0075548F"/>
    <w:rsid w:val="0075780F"/>
    <w:rsid w:val="00760B25"/>
    <w:rsid w:val="00767A85"/>
    <w:rsid w:val="0077091B"/>
    <w:rsid w:val="00771674"/>
    <w:rsid w:val="00772D65"/>
    <w:rsid w:val="0078288F"/>
    <w:rsid w:val="00784492"/>
    <w:rsid w:val="007855BD"/>
    <w:rsid w:val="0078739F"/>
    <w:rsid w:val="007879AF"/>
    <w:rsid w:val="00791538"/>
    <w:rsid w:val="0079430E"/>
    <w:rsid w:val="00794BBA"/>
    <w:rsid w:val="00795061"/>
    <w:rsid w:val="0079540B"/>
    <w:rsid w:val="00797F4C"/>
    <w:rsid w:val="007A1696"/>
    <w:rsid w:val="007A4381"/>
    <w:rsid w:val="007B3944"/>
    <w:rsid w:val="007C21DE"/>
    <w:rsid w:val="007C340D"/>
    <w:rsid w:val="007C53F5"/>
    <w:rsid w:val="007D001F"/>
    <w:rsid w:val="007D0A5E"/>
    <w:rsid w:val="007D25B0"/>
    <w:rsid w:val="007D5CF7"/>
    <w:rsid w:val="007E4658"/>
    <w:rsid w:val="007E7C66"/>
    <w:rsid w:val="007F4608"/>
    <w:rsid w:val="007F5012"/>
    <w:rsid w:val="007F6AF5"/>
    <w:rsid w:val="007F7D81"/>
    <w:rsid w:val="008138D3"/>
    <w:rsid w:val="008171CA"/>
    <w:rsid w:val="00817C79"/>
    <w:rsid w:val="008225F2"/>
    <w:rsid w:val="00822680"/>
    <w:rsid w:val="00822712"/>
    <w:rsid w:val="008242A5"/>
    <w:rsid w:val="00824EA0"/>
    <w:rsid w:val="00835983"/>
    <w:rsid w:val="0083728E"/>
    <w:rsid w:val="0084020F"/>
    <w:rsid w:val="00845D23"/>
    <w:rsid w:val="00845D84"/>
    <w:rsid w:val="00846857"/>
    <w:rsid w:val="008468EA"/>
    <w:rsid w:val="0084769D"/>
    <w:rsid w:val="008513E4"/>
    <w:rsid w:val="00851B03"/>
    <w:rsid w:val="00852C7E"/>
    <w:rsid w:val="00853A61"/>
    <w:rsid w:val="00853CEF"/>
    <w:rsid w:val="00856D0E"/>
    <w:rsid w:val="00860BEC"/>
    <w:rsid w:val="008636FD"/>
    <w:rsid w:val="00871C1D"/>
    <w:rsid w:val="0087433B"/>
    <w:rsid w:val="00874675"/>
    <w:rsid w:val="00874FB9"/>
    <w:rsid w:val="00875128"/>
    <w:rsid w:val="00876AA7"/>
    <w:rsid w:val="00880D51"/>
    <w:rsid w:val="008818D1"/>
    <w:rsid w:val="0088484F"/>
    <w:rsid w:val="00885A45"/>
    <w:rsid w:val="0089033B"/>
    <w:rsid w:val="00892B0E"/>
    <w:rsid w:val="008A247A"/>
    <w:rsid w:val="008A2651"/>
    <w:rsid w:val="008A5AE6"/>
    <w:rsid w:val="008A5DBC"/>
    <w:rsid w:val="008A61EF"/>
    <w:rsid w:val="008B05D5"/>
    <w:rsid w:val="008B4862"/>
    <w:rsid w:val="008B5AAA"/>
    <w:rsid w:val="008C1BCA"/>
    <w:rsid w:val="008C4035"/>
    <w:rsid w:val="008C4774"/>
    <w:rsid w:val="008D01EE"/>
    <w:rsid w:val="008D3225"/>
    <w:rsid w:val="008D4165"/>
    <w:rsid w:val="008D4612"/>
    <w:rsid w:val="008E04F2"/>
    <w:rsid w:val="008E4FDF"/>
    <w:rsid w:val="008E6404"/>
    <w:rsid w:val="008E729B"/>
    <w:rsid w:val="008F3CBF"/>
    <w:rsid w:val="008F783F"/>
    <w:rsid w:val="009018FA"/>
    <w:rsid w:val="0090362C"/>
    <w:rsid w:val="00903BC9"/>
    <w:rsid w:val="00904AAB"/>
    <w:rsid w:val="00905FC5"/>
    <w:rsid w:val="00907631"/>
    <w:rsid w:val="009105DA"/>
    <w:rsid w:val="00915DDC"/>
    <w:rsid w:val="0092345D"/>
    <w:rsid w:val="00924485"/>
    <w:rsid w:val="00927355"/>
    <w:rsid w:val="00930126"/>
    <w:rsid w:val="0093016C"/>
    <w:rsid w:val="00932252"/>
    <w:rsid w:val="009328CB"/>
    <w:rsid w:val="009333E3"/>
    <w:rsid w:val="0093651F"/>
    <w:rsid w:val="009374A9"/>
    <w:rsid w:val="009377BD"/>
    <w:rsid w:val="00941A79"/>
    <w:rsid w:val="00941F5E"/>
    <w:rsid w:val="00942CBA"/>
    <w:rsid w:val="009458F0"/>
    <w:rsid w:val="00946341"/>
    <w:rsid w:val="009468ED"/>
    <w:rsid w:val="00950A9B"/>
    <w:rsid w:val="00953AF1"/>
    <w:rsid w:val="00956AE6"/>
    <w:rsid w:val="00960668"/>
    <w:rsid w:val="00960F9A"/>
    <w:rsid w:val="0096267C"/>
    <w:rsid w:val="00970B07"/>
    <w:rsid w:val="00970DDD"/>
    <w:rsid w:val="00971383"/>
    <w:rsid w:val="00971BBE"/>
    <w:rsid w:val="009748CF"/>
    <w:rsid w:val="0098197E"/>
    <w:rsid w:val="00981E3B"/>
    <w:rsid w:val="009903C8"/>
    <w:rsid w:val="009905E6"/>
    <w:rsid w:val="00992EA2"/>
    <w:rsid w:val="00996B67"/>
    <w:rsid w:val="00996C49"/>
    <w:rsid w:val="00996D4B"/>
    <w:rsid w:val="009A1835"/>
    <w:rsid w:val="009A2706"/>
    <w:rsid w:val="009A6442"/>
    <w:rsid w:val="009A6CB3"/>
    <w:rsid w:val="009B3286"/>
    <w:rsid w:val="009B3622"/>
    <w:rsid w:val="009B3959"/>
    <w:rsid w:val="009C0E13"/>
    <w:rsid w:val="009C18C5"/>
    <w:rsid w:val="009C1A68"/>
    <w:rsid w:val="009C1EC7"/>
    <w:rsid w:val="009C3C42"/>
    <w:rsid w:val="009C4DE3"/>
    <w:rsid w:val="009C57F8"/>
    <w:rsid w:val="009D064A"/>
    <w:rsid w:val="009D0A03"/>
    <w:rsid w:val="009D1AB6"/>
    <w:rsid w:val="009D1D40"/>
    <w:rsid w:val="009D63EF"/>
    <w:rsid w:val="009D696C"/>
    <w:rsid w:val="009E04CB"/>
    <w:rsid w:val="009E07C7"/>
    <w:rsid w:val="009E446C"/>
    <w:rsid w:val="009E53C9"/>
    <w:rsid w:val="009F1222"/>
    <w:rsid w:val="009F146A"/>
    <w:rsid w:val="009F3CA9"/>
    <w:rsid w:val="009F3F31"/>
    <w:rsid w:val="009F4744"/>
    <w:rsid w:val="009F5A6F"/>
    <w:rsid w:val="009F5DAD"/>
    <w:rsid w:val="009F6734"/>
    <w:rsid w:val="009F7163"/>
    <w:rsid w:val="00A05561"/>
    <w:rsid w:val="00A056A2"/>
    <w:rsid w:val="00A06971"/>
    <w:rsid w:val="00A11E3C"/>
    <w:rsid w:val="00A1374E"/>
    <w:rsid w:val="00A138F1"/>
    <w:rsid w:val="00A1653A"/>
    <w:rsid w:val="00A24E38"/>
    <w:rsid w:val="00A262A2"/>
    <w:rsid w:val="00A27561"/>
    <w:rsid w:val="00A27828"/>
    <w:rsid w:val="00A27EA8"/>
    <w:rsid w:val="00A32F38"/>
    <w:rsid w:val="00A35F1B"/>
    <w:rsid w:val="00A35F49"/>
    <w:rsid w:val="00A36A2B"/>
    <w:rsid w:val="00A40BA7"/>
    <w:rsid w:val="00A41B02"/>
    <w:rsid w:val="00A46841"/>
    <w:rsid w:val="00A46B55"/>
    <w:rsid w:val="00A52527"/>
    <w:rsid w:val="00A5373B"/>
    <w:rsid w:val="00A53CA1"/>
    <w:rsid w:val="00A5447D"/>
    <w:rsid w:val="00A55144"/>
    <w:rsid w:val="00A55226"/>
    <w:rsid w:val="00A572E7"/>
    <w:rsid w:val="00A60CA9"/>
    <w:rsid w:val="00A60CBB"/>
    <w:rsid w:val="00A61546"/>
    <w:rsid w:val="00A63DE8"/>
    <w:rsid w:val="00A65682"/>
    <w:rsid w:val="00A66498"/>
    <w:rsid w:val="00A7142F"/>
    <w:rsid w:val="00A755CD"/>
    <w:rsid w:val="00A829B4"/>
    <w:rsid w:val="00A92891"/>
    <w:rsid w:val="00A92C02"/>
    <w:rsid w:val="00A92FE3"/>
    <w:rsid w:val="00A94A9C"/>
    <w:rsid w:val="00A95752"/>
    <w:rsid w:val="00A9664A"/>
    <w:rsid w:val="00A97DA8"/>
    <w:rsid w:val="00AA0970"/>
    <w:rsid w:val="00AA107B"/>
    <w:rsid w:val="00AA4561"/>
    <w:rsid w:val="00AA5AB0"/>
    <w:rsid w:val="00AA5F56"/>
    <w:rsid w:val="00AB57FC"/>
    <w:rsid w:val="00AB6ED6"/>
    <w:rsid w:val="00AC09D1"/>
    <w:rsid w:val="00AC102F"/>
    <w:rsid w:val="00AC25F8"/>
    <w:rsid w:val="00AC2E04"/>
    <w:rsid w:val="00AC6FAA"/>
    <w:rsid w:val="00AD1329"/>
    <w:rsid w:val="00AD1936"/>
    <w:rsid w:val="00AD318A"/>
    <w:rsid w:val="00AD3D5F"/>
    <w:rsid w:val="00AE00E1"/>
    <w:rsid w:val="00AE2953"/>
    <w:rsid w:val="00AE3919"/>
    <w:rsid w:val="00AE507D"/>
    <w:rsid w:val="00AE519F"/>
    <w:rsid w:val="00AF0283"/>
    <w:rsid w:val="00AF18EB"/>
    <w:rsid w:val="00AF20C8"/>
    <w:rsid w:val="00AF3193"/>
    <w:rsid w:val="00AF781F"/>
    <w:rsid w:val="00B04800"/>
    <w:rsid w:val="00B052BA"/>
    <w:rsid w:val="00B1188B"/>
    <w:rsid w:val="00B13853"/>
    <w:rsid w:val="00B14EF6"/>
    <w:rsid w:val="00B17A1A"/>
    <w:rsid w:val="00B22B90"/>
    <w:rsid w:val="00B2497D"/>
    <w:rsid w:val="00B2564B"/>
    <w:rsid w:val="00B265D7"/>
    <w:rsid w:val="00B27449"/>
    <w:rsid w:val="00B3046D"/>
    <w:rsid w:val="00B3080B"/>
    <w:rsid w:val="00B30BC9"/>
    <w:rsid w:val="00B30C1D"/>
    <w:rsid w:val="00B3181D"/>
    <w:rsid w:val="00B33430"/>
    <w:rsid w:val="00B342E8"/>
    <w:rsid w:val="00B4613A"/>
    <w:rsid w:val="00B471E4"/>
    <w:rsid w:val="00B50E30"/>
    <w:rsid w:val="00B514CB"/>
    <w:rsid w:val="00B52B76"/>
    <w:rsid w:val="00B530E1"/>
    <w:rsid w:val="00B53CCA"/>
    <w:rsid w:val="00B562A0"/>
    <w:rsid w:val="00B56671"/>
    <w:rsid w:val="00B573E8"/>
    <w:rsid w:val="00B60044"/>
    <w:rsid w:val="00B64222"/>
    <w:rsid w:val="00B662FF"/>
    <w:rsid w:val="00B7396B"/>
    <w:rsid w:val="00B75040"/>
    <w:rsid w:val="00B75693"/>
    <w:rsid w:val="00B776E7"/>
    <w:rsid w:val="00B81C81"/>
    <w:rsid w:val="00B820D2"/>
    <w:rsid w:val="00B87BD9"/>
    <w:rsid w:val="00B91F42"/>
    <w:rsid w:val="00B924BB"/>
    <w:rsid w:val="00B92A40"/>
    <w:rsid w:val="00B92C76"/>
    <w:rsid w:val="00B94E5C"/>
    <w:rsid w:val="00BA4F1C"/>
    <w:rsid w:val="00BA5749"/>
    <w:rsid w:val="00BB027A"/>
    <w:rsid w:val="00BB0656"/>
    <w:rsid w:val="00BB1C37"/>
    <w:rsid w:val="00BB3846"/>
    <w:rsid w:val="00BB385E"/>
    <w:rsid w:val="00BB5266"/>
    <w:rsid w:val="00BB561D"/>
    <w:rsid w:val="00BB5D89"/>
    <w:rsid w:val="00BB7E2A"/>
    <w:rsid w:val="00BC0C01"/>
    <w:rsid w:val="00BC1227"/>
    <w:rsid w:val="00BC2062"/>
    <w:rsid w:val="00BC3973"/>
    <w:rsid w:val="00BC5522"/>
    <w:rsid w:val="00BC5D21"/>
    <w:rsid w:val="00BC6254"/>
    <w:rsid w:val="00BC696C"/>
    <w:rsid w:val="00BC6CCF"/>
    <w:rsid w:val="00BC72A7"/>
    <w:rsid w:val="00BD09CC"/>
    <w:rsid w:val="00BD1BC8"/>
    <w:rsid w:val="00BD39A6"/>
    <w:rsid w:val="00BD7571"/>
    <w:rsid w:val="00BE3E25"/>
    <w:rsid w:val="00BE5880"/>
    <w:rsid w:val="00BF06C8"/>
    <w:rsid w:val="00BF1EF2"/>
    <w:rsid w:val="00BF269F"/>
    <w:rsid w:val="00BF3EBC"/>
    <w:rsid w:val="00C02B53"/>
    <w:rsid w:val="00C035BB"/>
    <w:rsid w:val="00C046F7"/>
    <w:rsid w:val="00C05A36"/>
    <w:rsid w:val="00C06FDE"/>
    <w:rsid w:val="00C110F6"/>
    <w:rsid w:val="00C1186F"/>
    <w:rsid w:val="00C15E8B"/>
    <w:rsid w:val="00C20E5B"/>
    <w:rsid w:val="00C231A6"/>
    <w:rsid w:val="00C232C4"/>
    <w:rsid w:val="00C24217"/>
    <w:rsid w:val="00C2483E"/>
    <w:rsid w:val="00C24FEB"/>
    <w:rsid w:val="00C25DBC"/>
    <w:rsid w:val="00C279E1"/>
    <w:rsid w:val="00C27A3B"/>
    <w:rsid w:val="00C31043"/>
    <w:rsid w:val="00C31FE1"/>
    <w:rsid w:val="00C34A96"/>
    <w:rsid w:val="00C35E18"/>
    <w:rsid w:val="00C376B8"/>
    <w:rsid w:val="00C37D21"/>
    <w:rsid w:val="00C42BE6"/>
    <w:rsid w:val="00C5079B"/>
    <w:rsid w:val="00C50D7B"/>
    <w:rsid w:val="00C566C7"/>
    <w:rsid w:val="00C56DA2"/>
    <w:rsid w:val="00C56F9D"/>
    <w:rsid w:val="00C62BA9"/>
    <w:rsid w:val="00C64B57"/>
    <w:rsid w:val="00C64BDE"/>
    <w:rsid w:val="00C657AD"/>
    <w:rsid w:val="00C676D4"/>
    <w:rsid w:val="00C710CB"/>
    <w:rsid w:val="00C7619B"/>
    <w:rsid w:val="00C779A4"/>
    <w:rsid w:val="00C77A99"/>
    <w:rsid w:val="00C8279D"/>
    <w:rsid w:val="00C82F57"/>
    <w:rsid w:val="00C82FEE"/>
    <w:rsid w:val="00C8391C"/>
    <w:rsid w:val="00C8598A"/>
    <w:rsid w:val="00C86CD5"/>
    <w:rsid w:val="00C90DC9"/>
    <w:rsid w:val="00C91A9B"/>
    <w:rsid w:val="00C92CFC"/>
    <w:rsid w:val="00C931D8"/>
    <w:rsid w:val="00C94277"/>
    <w:rsid w:val="00CA2678"/>
    <w:rsid w:val="00CA4F96"/>
    <w:rsid w:val="00CA5F8F"/>
    <w:rsid w:val="00CA67AF"/>
    <w:rsid w:val="00CB0217"/>
    <w:rsid w:val="00CB6648"/>
    <w:rsid w:val="00CB771D"/>
    <w:rsid w:val="00CB7D61"/>
    <w:rsid w:val="00CC1654"/>
    <w:rsid w:val="00CC2529"/>
    <w:rsid w:val="00CC3712"/>
    <w:rsid w:val="00CC3E6B"/>
    <w:rsid w:val="00CC465B"/>
    <w:rsid w:val="00CC7061"/>
    <w:rsid w:val="00CD0251"/>
    <w:rsid w:val="00CD161A"/>
    <w:rsid w:val="00CD161C"/>
    <w:rsid w:val="00CD287B"/>
    <w:rsid w:val="00CD3AC9"/>
    <w:rsid w:val="00CE19DB"/>
    <w:rsid w:val="00CE1F01"/>
    <w:rsid w:val="00CE2B7F"/>
    <w:rsid w:val="00CE434F"/>
    <w:rsid w:val="00CE5A88"/>
    <w:rsid w:val="00CF6A37"/>
    <w:rsid w:val="00CF77B9"/>
    <w:rsid w:val="00D02483"/>
    <w:rsid w:val="00D044E2"/>
    <w:rsid w:val="00D04EC6"/>
    <w:rsid w:val="00D067E4"/>
    <w:rsid w:val="00D07225"/>
    <w:rsid w:val="00D078FB"/>
    <w:rsid w:val="00D07E78"/>
    <w:rsid w:val="00D1369F"/>
    <w:rsid w:val="00D13A06"/>
    <w:rsid w:val="00D14F14"/>
    <w:rsid w:val="00D16BCD"/>
    <w:rsid w:val="00D17076"/>
    <w:rsid w:val="00D17478"/>
    <w:rsid w:val="00D17B58"/>
    <w:rsid w:val="00D205AB"/>
    <w:rsid w:val="00D233D6"/>
    <w:rsid w:val="00D23654"/>
    <w:rsid w:val="00D239CE"/>
    <w:rsid w:val="00D25F37"/>
    <w:rsid w:val="00D37137"/>
    <w:rsid w:val="00D37586"/>
    <w:rsid w:val="00D40CCF"/>
    <w:rsid w:val="00D43177"/>
    <w:rsid w:val="00D43A19"/>
    <w:rsid w:val="00D4442D"/>
    <w:rsid w:val="00D45732"/>
    <w:rsid w:val="00D45A18"/>
    <w:rsid w:val="00D46080"/>
    <w:rsid w:val="00D51C18"/>
    <w:rsid w:val="00D53428"/>
    <w:rsid w:val="00D571C2"/>
    <w:rsid w:val="00D62719"/>
    <w:rsid w:val="00D62CCE"/>
    <w:rsid w:val="00D66B92"/>
    <w:rsid w:val="00D6739B"/>
    <w:rsid w:val="00D7095A"/>
    <w:rsid w:val="00D71E9C"/>
    <w:rsid w:val="00D748E0"/>
    <w:rsid w:val="00D75AF3"/>
    <w:rsid w:val="00D7661C"/>
    <w:rsid w:val="00D800F0"/>
    <w:rsid w:val="00D82782"/>
    <w:rsid w:val="00D8306A"/>
    <w:rsid w:val="00D84A86"/>
    <w:rsid w:val="00D86BAE"/>
    <w:rsid w:val="00D87B2E"/>
    <w:rsid w:val="00D87B4A"/>
    <w:rsid w:val="00D92850"/>
    <w:rsid w:val="00D949C3"/>
    <w:rsid w:val="00D962A8"/>
    <w:rsid w:val="00DA23EF"/>
    <w:rsid w:val="00DA412D"/>
    <w:rsid w:val="00DA5FF4"/>
    <w:rsid w:val="00DA7A59"/>
    <w:rsid w:val="00DB0663"/>
    <w:rsid w:val="00DB0AC5"/>
    <w:rsid w:val="00DB0D06"/>
    <w:rsid w:val="00DB1428"/>
    <w:rsid w:val="00DB25A3"/>
    <w:rsid w:val="00DB4FCC"/>
    <w:rsid w:val="00DC18D4"/>
    <w:rsid w:val="00DC2050"/>
    <w:rsid w:val="00DC50B6"/>
    <w:rsid w:val="00DC78A5"/>
    <w:rsid w:val="00DD4305"/>
    <w:rsid w:val="00DE0297"/>
    <w:rsid w:val="00DE0BD2"/>
    <w:rsid w:val="00DE1764"/>
    <w:rsid w:val="00DE4328"/>
    <w:rsid w:val="00DE55B4"/>
    <w:rsid w:val="00DE6236"/>
    <w:rsid w:val="00DF1357"/>
    <w:rsid w:val="00DF17D6"/>
    <w:rsid w:val="00DF1E9A"/>
    <w:rsid w:val="00E00057"/>
    <w:rsid w:val="00E00E7D"/>
    <w:rsid w:val="00E0130E"/>
    <w:rsid w:val="00E02C95"/>
    <w:rsid w:val="00E12DA6"/>
    <w:rsid w:val="00E20A63"/>
    <w:rsid w:val="00E32489"/>
    <w:rsid w:val="00E32BCF"/>
    <w:rsid w:val="00E3541D"/>
    <w:rsid w:val="00E360D3"/>
    <w:rsid w:val="00E36214"/>
    <w:rsid w:val="00E436FB"/>
    <w:rsid w:val="00E4459F"/>
    <w:rsid w:val="00E44F19"/>
    <w:rsid w:val="00E44FC9"/>
    <w:rsid w:val="00E45221"/>
    <w:rsid w:val="00E4596B"/>
    <w:rsid w:val="00E45F38"/>
    <w:rsid w:val="00E469F2"/>
    <w:rsid w:val="00E46E54"/>
    <w:rsid w:val="00E50D9A"/>
    <w:rsid w:val="00E52A87"/>
    <w:rsid w:val="00E55BF3"/>
    <w:rsid w:val="00E5678C"/>
    <w:rsid w:val="00E56C73"/>
    <w:rsid w:val="00E607A3"/>
    <w:rsid w:val="00E62A8A"/>
    <w:rsid w:val="00E65D85"/>
    <w:rsid w:val="00E6625D"/>
    <w:rsid w:val="00E67982"/>
    <w:rsid w:val="00E71716"/>
    <w:rsid w:val="00E803E7"/>
    <w:rsid w:val="00E81354"/>
    <w:rsid w:val="00E875E6"/>
    <w:rsid w:val="00E91271"/>
    <w:rsid w:val="00E92CB6"/>
    <w:rsid w:val="00E935EE"/>
    <w:rsid w:val="00EA091A"/>
    <w:rsid w:val="00EA11B0"/>
    <w:rsid w:val="00EA543F"/>
    <w:rsid w:val="00EA7EEC"/>
    <w:rsid w:val="00EB008D"/>
    <w:rsid w:val="00EB1D52"/>
    <w:rsid w:val="00EB3FEF"/>
    <w:rsid w:val="00EB419B"/>
    <w:rsid w:val="00EB4C00"/>
    <w:rsid w:val="00EB6BDF"/>
    <w:rsid w:val="00EB6E4B"/>
    <w:rsid w:val="00EC2607"/>
    <w:rsid w:val="00EC3DA8"/>
    <w:rsid w:val="00EC5705"/>
    <w:rsid w:val="00EC5960"/>
    <w:rsid w:val="00EC6146"/>
    <w:rsid w:val="00EC762E"/>
    <w:rsid w:val="00ED35F9"/>
    <w:rsid w:val="00ED3834"/>
    <w:rsid w:val="00EE2122"/>
    <w:rsid w:val="00EF19A3"/>
    <w:rsid w:val="00EF2BE2"/>
    <w:rsid w:val="00F015ED"/>
    <w:rsid w:val="00F02B3D"/>
    <w:rsid w:val="00F06D90"/>
    <w:rsid w:val="00F07EBD"/>
    <w:rsid w:val="00F103B2"/>
    <w:rsid w:val="00F15FD0"/>
    <w:rsid w:val="00F2332F"/>
    <w:rsid w:val="00F23C63"/>
    <w:rsid w:val="00F2547F"/>
    <w:rsid w:val="00F26225"/>
    <w:rsid w:val="00F264D9"/>
    <w:rsid w:val="00F278DB"/>
    <w:rsid w:val="00F4002F"/>
    <w:rsid w:val="00F40EA5"/>
    <w:rsid w:val="00F415C5"/>
    <w:rsid w:val="00F4422F"/>
    <w:rsid w:val="00F44A79"/>
    <w:rsid w:val="00F47228"/>
    <w:rsid w:val="00F47463"/>
    <w:rsid w:val="00F47BEB"/>
    <w:rsid w:val="00F50EA0"/>
    <w:rsid w:val="00F5220A"/>
    <w:rsid w:val="00F53009"/>
    <w:rsid w:val="00F54589"/>
    <w:rsid w:val="00F55C7C"/>
    <w:rsid w:val="00F611CC"/>
    <w:rsid w:val="00F618BB"/>
    <w:rsid w:val="00F62D16"/>
    <w:rsid w:val="00F632E1"/>
    <w:rsid w:val="00F641E4"/>
    <w:rsid w:val="00F650BA"/>
    <w:rsid w:val="00F65147"/>
    <w:rsid w:val="00F65920"/>
    <w:rsid w:val="00F66A93"/>
    <w:rsid w:val="00F67021"/>
    <w:rsid w:val="00F67197"/>
    <w:rsid w:val="00F72921"/>
    <w:rsid w:val="00F72947"/>
    <w:rsid w:val="00F74763"/>
    <w:rsid w:val="00F7720A"/>
    <w:rsid w:val="00F8675A"/>
    <w:rsid w:val="00F92A6C"/>
    <w:rsid w:val="00F9473C"/>
    <w:rsid w:val="00F94B28"/>
    <w:rsid w:val="00F957B4"/>
    <w:rsid w:val="00FA06FC"/>
    <w:rsid w:val="00FA0B3F"/>
    <w:rsid w:val="00FA128B"/>
    <w:rsid w:val="00FA1B9F"/>
    <w:rsid w:val="00FA35FA"/>
    <w:rsid w:val="00FA3F49"/>
    <w:rsid w:val="00FA6932"/>
    <w:rsid w:val="00FB110C"/>
    <w:rsid w:val="00FB1A4B"/>
    <w:rsid w:val="00FB3018"/>
    <w:rsid w:val="00FB43BA"/>
    <w:rsid w:val="00FB62D4"/>
    <w:rsid w:val="00FC107F"/>
    <w:rsid w:val="00FC25C2"/>
    <w:rsid w:val="00FC316F"/>
    <w:rsid w:val="00FC4281"/>
    <w:rsid w:val="00FC636B"/>
    <w:rsid w:val="00FC670F"/>
    <w:rsid w:val="00FD18BF"/>
    <w:rsid w:val="00FD19B9"/>
    <w:rsid w:val="00FD1A7C"/>
    <w:rsid w:val="00FD4CB3"/>
    <w:rsid w:val="00FD7E4D"/>
    <w:rsid w:val="00FE6145"/>
    <w:rsid w:val="00FE6E73"/>
    <w:rsid w:val="00FE739F"/>
    <w:rsid w:val="00FF0FDE"/>
    <w:rsid w:val="00FF673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CBA1F7"/>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Car"/>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Style 6,Style 20,Style 9,footnote text,Style 13,Style 12,Style 28,(NECG) Footnote Reference,Style 11,Style 16,Style 15,Style 17,o1,fr1,o2,fr2,o3,fr3,Style 8,Style 7,Style 19"/>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uiPriority w:val="99"/>
    <w:rsid w:val="00DA7A59"/>
    <w:rPr>
      <w:lang w:val="en-US" w:eastAsia="en-US" w:bidi="ar-SA"/>
    </w:rPr>
  </w:style>
  <w:style w:type="table" w:styleId="TableGrid">
    <w:name w:val="Table Grid"/>
    <w:basedOn w:val="TableNormal"/>
    <w:uiPriority w:val="59"/>
    <w:rsid w:val="0093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82782"/>
  </w:style>
  <w:style w:type="paragraph" w:styleId="NoSpacing">
    <w:name w:val="No Spacing"/>
    <w:uiPriority w:val="1"/>
    <w:qFormat/>
    <w:rsid w:val="00D37137"/>
    <w:pPr>
      <w:spacing w:after="0" w:line="240" w:lineRule="auto"/>
    </w:pPr>
    <w:rPr>
      <w:rFonts w:ascii="Times New Roman" w:eastAsia="Calibri" w:hAnsi="Times New Roman" w:cs="Times New Roman"/>
      <w:sz w:val="24"/>
    </w:rPr>
  </w:style>
  <w:style w:type="paragraph" w:styleId="Revision">
    <w:name w:val="Revision"/>
    <w:hidden/>
    <w:uiPriority w:val="99"/>
    <w:semiHidden/>
    <w:rsid w:val="00BC1227"/>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4583">
      <w:bodyDiv w:val="1"/>
      <w:marLeft w:val="0"/>
      <w:marRight w:val="0"/>
      <w:marTop w:val="0"/>
      <w:marBottom w:val="0"/>
      <w:divBdr>
        <w:top w:val="none" w:sz="0" w:space="0" w:color="auto"/>
        <w:left w:val="none" w:sz="0" w:space="0" w:color="auto"/>
        <w:bottom w:val="none" w:sz="0" w:space="0" w:color="auto"/>
        <w:right w:val="none" w:sz="0" w:space="0" w:color="auto"/>
      </w:divBdr>
    </w:div>
    <w:div w:id="1362126618">
      <w:bodyDiv w:val="1"/>
      <w:marLeft w:val="0"/>
      <w:marRight w:val="0"/>
      <w:marTop w:val="0"/>
      <w:marBottom w:val="0"/>
      <w:divBdr>
        <w:top w:val="none" w:sz="0" w:space="0" w:color="auto"/>
        <w:left w:val="none" w:sz="0" w:space="0" w:color="auto"/>
        <w:bottom w:val="none" w:sz="0" w:space="0" w:color="auto"/>
        <w:right w:val="none" w:sz="0" w:space="0" w:color="auto"/>
      </w:divBdr>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46&amp;cite=11USCAS101&amp;originatingDoc=Ib903c992b1f411e9a76eb9e71287f4ea&amp;refType=LQ&amp;originationContext=document&amp;transitionType=DocumentItem&amp;contextData=(sc.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58F6-0A76-4793-9E38-071B8F7C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Reside, Melissa</cp:lastModifiedBy>
  <cp:revision>4</cp:revision>
  <cp:lastPrinted>2020-01-09T18:48:00Z</cp:lastPrinted>
  <dcterms:created xsi:type="dcterms:W3CDTF">2020-01-09T16:49:00Z</dcterms:created>
  <dcterms:modified xsi:type="dcterms:W3CDTF">2020-01-09T19:06:00Z</dcterms:modified>
</cp:coreProperties>
</file>