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0D87B" w14:textId="77777777" w:rsidR="00977543" w:rsidRPr="00B34E15" w:rsidRDefault="00977543" w:rsidP="00977543">
      <w:pPr>
        <w:widowControl/>
        <w:suppressAutoHyphens/>
        <w:jc w:val="center"/>
        <w:rPr>
          <w:b/>
          <w:sz w:val="26"/>
          <w:szCs w:val="26"/>
        </w:rPr>
      </w:pPr>
      <w:r w:rsidRPr="00B34E15">
        <w:rPr>
          <w:b/>
          <w:sz w:val="26"/>
          <w:szCs w:val="26"/>
        </w:rPr>
        <w:t>PENNSYLVANIA</w:t>
      </w:r>
    </w:p>
    <w:p w14:paraId="2FBD8C39" w14:textId="77777777" w:rsidR="00977543" w:rsidRPr="00B34E15" w:rsidRDefault="00977543" w:rsidP="00977543">
      <w:pPr>
        <w:widowControl/>
        <w:suppressAutoHyphens/>
        <w:jc w:val="center"/>
        <w:rPr>
          <w:sz w:val="26"/>
          <w:szCs w:val="26"/>
        </w:rPr>
      </w:pPr>
      <w:r w:rsidRPr="00B34E15">
        <w:rPr>
          <w:b/>
          <w:sz w:val="26"/>
          <w:szCs w:val="26"/>
        </w:rPr>
        <w:t>PUBLIC UTILITY COMMISSION</w:t>
      </w:r>
    </w:p>
    <w:p w14:paraId="15B940A0" w14:textId="77777777" w:rsidR="00977543" w:rsidRPr="00B34E15" w:rsidRDefault="00977543" w:rsidP="00977543">
      <w:pPr>
        <w:widowControl/>
        <w:suppressAutoHyphens/>
        <w:jc w:val="center"/>
        <w:rPr>
          <w:b/>
          <w:sz w:val="26"/>
          <w:szCs w:val="26"/>
        </w:rPr>
      </w:pPr>
      <w:r w:rsidRPr="00B34E15">
        <w:rPr>
          <w:b/>
          <w:sz w:val="26"/>
          <w:szCs w:val="26"/>
        </w:rPr>
        <w:t>Harrisburg, PA 171</w:t>
      </w:r>
      <w:r>
        <w:rPr>
          <w:b/>
          <w:sz w:val="26"/>
          <w:szCs w:val="26"/>
        </w:rPr>
        <w:t>20</w:t>
      </w:r>
    </w:p>
    <w:p w14:paraId="7EF0F7E6" w14:textId="77777777" w:rsidR="00977543" w:rsidRDefault="00977543" w:rsidP="00977543">
      <w:pPr>
        <w:widowControl/>
        <w:suppressAutoHyphens/>
        <w:rPr>
          <w:sz w:val="26"/>
          <w:szCs w:val="26"/>
        </w:rPr>
      </w:pPr>
    </w:p>
    <w:p w14:paraId="7D633CD5" w14:textId="77777777" w:rsidR="00977543" w:rsidRPr="00B34E15" w:rsidRDefault="00977543" w:rsidP="00977543">
      <w:pPr>
        <w:widowControl/>
        <w:suppressAutoHyphens/>
        <w:rPr>
          <w:sz w:val="26"/>
          <w:szCs w:val="26"/>
        </w:rPr>
      </w:pPr>
    </w:p>
    <w:p w14:paraId="6321ACCA" w14:textId="77777777" w:rsidR="00977543" w:rsidRPr="00B34E15" w:rsidRDefault="00977543" w:rsidP="00977543">
      <w:pPr>
        <w:widowControl/>
        <w:suppressAutoHyphens/>
        <w:jc w:val="right"/>
        <w:rPr>
          <w:sz w:val="26"/>
          <w:szCs w:val="26"/>
        </w:rPr>
      </w:pPr>
      <w:r w:rsidRPr="00B34E15">
        <w:rPr>
          <w:sz w:val="26"/>
          <w:szCs w:val="26"/>
        </w:rPr>
        <w:t xml:space="preserve">Public Meeting held </w:t>
      </w:r>
      <w:r>
        <w:rPr>
          <w:sz w:val="26"/>
          <w:szCs w:val="26"/>
        </w:rPr>
        <w:t xml:space="preserve">January </w:t>
      </w:r>
      <w:r w:rsidR="00B6714B">
        <w:rPr>
          <w:sz w:val="26"/>
          <w:szCs w:val="26"/>
        </w:rPr>
        <w:t>1</w:t>
      </w:r>
      <w:r>
        <w:rPr>
          <w:sz w:val="26"/>
          <w:szCs w:val="26"/>
        </w:rPr>
        <w:t>6</w:t>
      </w:r>
      <w:r w:rsidRPr="00B34E15">
        <w:rPr>
          <w:sz w:val="26"/>
          <w:szCs w:val="26"/>
        </w:rPr>
        <w:t>, 20</w:t>
      </w:r>
      <w:r>
        <w:rPr>
          <w:sz w:val="26"/>
          <w:szCs w:val="26"/>
        </w:rPr>
        <w:t>20</w:t>
      </w:r>
    </w:p>
    <w:p w14:paraId="1DEEB380" w14:textId="77777777" w:rsidR="00977543" w:rsidRDefault="00977543" w:rsidP="00977543">
      <w:pPr>
        <w:widowControl/>
        <w:suppressAutoHyphens/>
        <w:jc w:val="right"/>
        <w:rPr>
          <w:sz w:val="26"/>
          <w:szCs w:val="26"/>
        </w:rPr>
      </w:pPr>
    </w:p>
    <w:p w14:paraId="6969017A" w14:textId="77777777" w:rsidR="00977543" w:rsidRPr="00B34E15" w:rsidRDefault="00977543" w:rsidP="00977543">
      <w:pPr>
        <w:widowControl/>
        <w:suppressAutoHyphens/>
        <w:jc w:val="right"/>
        <w:rPr>
          <w:sz w:val="26"/>
          <w:szCs w:val="26"/>
        </w:rPr>
      </w:pPr>
    </w:p>
    <w:p w14:paraId="7C6A8633" w14:textId="77777777" w:rsidR="00977543" w:rsidRPr="00B34E15" w:rsidRDefault="00977543" w:rsidP="00977543">
      <w:pPr>
        <w:widowControl/>
        <w:suppressAutoHyphens/>
        <w:jc w:val="right"/>
        <w:rPr>
          <w:sz w:val="26"/>
          <w:szCs w:val="26"/>
        </w:rPr>
      </w:pPr>
    </w:p>
    <w:p w14:paraId="1DAB4D6A" w14:textId="77777777" w:rsidR="00977543" w:rsidRPr="00B34E15" w:rsidRDefault="00977543" w:rsidP="00977543">
      <w:pPr>
        <w:widowControl/>
        <w:suppressAutoHyphens/>
        <w:rPr>
          <w:sz w:val="26"/>
          <w:szCs w:val="26"/>
        </w:rPr>
      </w:pPr>
      <w:r w:rsidRPr="00B34E15">
        <w:rPr>
          <w:sz w:val="26"/>
          <w:szCs w:val="26"/>
        </w:rPr>
        <w:t>Commissioners Present:</w:t>
      </w:r>
    </w:p>
    <w:p w14:paraId="4FC58AC9" w14:textId="77777777" w:rsidR="00977543" w:rsidRPr="00B34E15" w:rsidRDefault="00977543" w:rsidP="00977543">
      <w:pPr>
        <w:widowControl/>
        <w:suppressAutoHyphens/>
        <w:rPr>
          <w:sz w:val="26"/>
          <w:szCs w:val="26"/>
        </w:rPr>
      </w:pPr>
    </w:p>
    <w:p w14:paraId="686A3275" w14:textId="77777777" w:rsidR="00977543" w:rsidRPr="00B34E15" w:rsidRDefault="00977543" w:rsidP="00977543">
      <w:pPr>
        <w:widowControl/>
        <w:ind w:firstLine="720"/>
        <w:rPr>
          <w:sz w:val="26"/>
          <w:szCs w:val="26"/>
        </w:rPr>
      </w:pPr>
      <w:r>
        <w:rPr>
          <w:sz w:val="26"/>
          <w:szCs w:val="26"/>
        </w:rPr>
        <w:t xml:space="preserve">Gladys Brown </w:t>
      </w:r>
      <w:proofErr w:type="spellStart"/>
      <w:r>
        <w:rPr>
          <w:sz w:val="26"/>
          <w:szCs w:val="26"/>
        </w:rPr>
        <w:t>Dutrieuille</w:t>
      </w:r>
      <w:proofErr w:type="spellEnd"/>
      <w:r>
        <w:rPr>
          <w:sz w:val="26"/>
          <w:szCs w:val="26"/>
        </w:rPr>
        <w:t>, Chairman</w:t>
      </w:r>
      <w:r w:rsidRPr="00B34E15">
        <w:rPr>
          <w:sz w:val="26"/>
          <w:szCs w:val="26"/>
        </w:rPr>
        <w:t xml:space="preserve"> </w:t>
      </w:r>
    </w:p>
    <w:p w14:paraId="4D1EB2DB" w14:textId="77777777" w:rsidR="00977543" w:rsidRPr="00B34E15" w:rsidRDefault="00977543" w:rsidP="00977543">
      <w:pPr>
        <w:widowControl/>
        <w:ind w:firstLine="720"/>
        <w:rPr>
          <w:sz w:val="26"/>
          <w:szCs w:val="26"/>
        </w:rPr>
      </w:pPr>
      <w:r w:rsidRPr="00B34E15">
        <w:rPr>
          <w:sz w:val="26"/>
          <w:szCs w:val="26"/>
        </w:rPr>
        <w:t>David W. Sweet, Vice Chairman</w:t>
      </w:r>
    </w:p>
    <w:p w14:paraId="2DC05B2B" w14:textId="77777777" w:rsidR="00977543" w:rsidRPr="00B34E15" w:rsidRDefault="00977543" w:rsidP="00977543">
      <w:pPr>
        <w:widowControl/>
        <w:ind w:firstLine="720"/>
        <w:rPr>
          <w:sz w:val="26"/>
          <w:szCs w:val="26"/>
        </w:rPr>
      </w:pPr>
      <w:r w:rsidRPr="00B34E15">
        <w:rPr>
          <w:sz w:val="26"/>
          <w:szCs w:val="26"/>
        </w:rPr>
        <w:t>Andrew G. Place</w:t>
      </w:r>
    </w:p>
    <w:p w14:paraId="477651C5" w14:textId="77777777" w:rsidR="00977543" w:rsidRDefault="00977543" w:rsidP="00977543">
      <w:pPr>
        <w:widowControl/>
        <w:ind w:firstLine="720"/>
        <w:rPr>
          <w:sz w:val="26"/>
          <w:szCs w:val="26"/>
        </w:rPr>
      </w:pPr>
      <w:r w:rsidRPr="00B34E15">
        <w:rPr>
          <w:sz w:val="26"/>
          <w:szCs w:val="26"/>
        </w:rPr>
        <w:t>John F. Coleman, Jr.</w:t>
      </w:r>
    </w:p>
    <w:p w14:paraId="212BC18B" w14:textId="77777777" w:rsidR="00977543" w:rsidRPr="00B34E15" w:rsidRDefault="00977543" w:rsidP="00977543">
      <w:pPr>
        <w:widowControl/>
        <w:ind w:firstLine="720"/>
        <w:rPr>
          <w:sz w:val="26"/>
          <w:szCs w:val="26"/>
        </w:rPr>
      </w:pPr>
      <w:r>
        <w:rPr>
          <w:sz w:val="26"/>
          <w:szCs w:val="26"/>
        </w:rPr>
        <w:t xml:space="preserve">Ralph V. </w:t>
      </w:r>
      <w:proofErr w:type="spellStart"/>
      <w:r>
        <w:rPr>
          <w:sz w:val="26"/>
          <w:szCs w:val="26"/>
        </w:rPr>
        <w:t>Yanora</w:t>
      </w:r>
      <w:proofErr w:type="spellEnd"/>
    </w:p>
    <w:p w14:paraId="26ACB635" w14:textId="77777777" w:rsidR="00977543" w:rsidRPr="00B34E15" w:rsidRDefault="00977543" w:rsidP="00977543">
      <w:pPr>
        <w:widowControl/>
        <w:suppressAutoHyphens/>
        <w:rPr>
          <w:sz w:val="26"/>
          <w:szCs w:val="26"/>
        </w:rPr>
      </w:pPr>
    </w:p>
    <w:p w14:paraId="4AD6D862" w14:textId="77777777" w:rsidR="00977543" w:rsidRPr="00B34E15" w:rsidRDefault="00977543" w:rsidP="00977543">
      <w:pPr>
        <w:widowControl/>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977543" w:rsidRPr="00B34E15" w14:paraId="7D28C5B6" w14:textId="77777777" w:rsidTr="00E43624">
        <w:tc>
          <w:tcPr>
            <w:tcW w:w="5035" w:type="dxa"/>
          </w:tcPr>
          <w:p w14:paraId="2F380C3B" w14:textId="77777777" w:rsidR="00B6714B" w:rsidRDefault="00B6714B" w:rsidP="00E43624">
            <w:pPr>
              <w:widowControl/>
              <w:rPr>
                <w:bCs/>
                <w:spacing w:val="-1"/>
                <w:sz w:val="26"/>
                <w:szCs w:val="26"/>
              </w:rPr>
            </w:pPr>
            <w:r>
              <w:rPr>
                <w:bCs/>
                <w:spacing w:val="-1"/>
                <w:sz w:val="26"/>
                <w:szCs w:val="26"/>
              </w:rPr>
              <w:t>Grace Roberts</w:t>
            </w:r>
          </w:p>
          <w:p w14:paraId="143A0B1A" w14:textId="77777777" w:rsidR="00B6714B" w:rsidRDefault="00B6714B" w:rsidP="00E43624">
            <w:pPr>
              <w:widowControl/>
              <w:rPr>
                <w:bCs/>
                <w:spacing w:val="-1"/>
                <w:sz w:val="26"/>
                <w:szCs w:val="26"/>
              </w:rPr>
            </w:pPr>
          </w:p>
          <w:p w14:paraId="11C8ABDB" w14:textId="77777777" w:rsidR="00B6714B" w:rsidRDefault="00B6714B" w:rsidP="00E43624">
            <w:pPr>
              <w:widowControl/>
              <w:rPr>
                <w:bCs/>
                <w:spacing w:val="-1"/>
                <w:sz w:val="26"/>
                <w:szCs w:val="26"/>
              </w:rPr>
            </w:pPr>
            <w:r>
              <w:rPr>
                <w:bCs/>
                <w:spacing w:val="-1"/>
                <w:sz w:val="26"/>
                <w:szCs w:val="26"/>
              </w:rPr>
              <w:t>v.</w:t>
            </w:r>
          </w:p>
          <w:p w14:paraId="5A75A801" w14:textId="77777777" w:rsidR="00B6714B" w:rsidRDefault="00B6714B" w:rsidP="00E43624">
            <w:pPr>
              <w:widowControl/>
              <w:rPr>
                <w:bCs/>
                <w:spacing w:val="-1"/>
                <w:sz w:val="26"/>
                <w:szCs w:val="26"/>
              </w:rPr>
            </w:pPr>
          </w:p>
          <w:p w14:paraId="6EBB1816" w14:textId="77777777" w:rsidR="00977543" w:rsidRPr="00ED2C8C" w:rsidRDefault="00B6714B" w:rsidP="00E43624">
            <w:pPr>
              <w:widowControl/>
              <w:rPr>
                <w:sz w:val="26"/>
                <w:szCs w:val="26"/>
              </w:rPr>
            </w:pPr>
            <w:r>
              <w:rPr>
                <w:bCs/>
                <w:spacing w:val="-1"/>
                <w:sz w:val="26"/>
                <w:szCs w:val="26"/>
              </w:rPr>
              <w:t>PECO Energy Company</w:t>
            </w:r>
            <w:r w:rsidR="00977543">
              <w:rPr>
                <w:bCs/>
                <w:spacing w:val="-1"/>
                <w:sz w:val="26"/>
                <w:szCs w:val="26"/>
              </w:rPr>
              <w:t xml:space="preserve"> </w:t>
            </w:r>
          </w:p>
        </w:tc>
        <w:tc>
          <w:tcPr>
            <w:tcW w:w="4315" w:type="dxa"/>
          </w:tcPr>
          <w:p w14:paraId="1A97E926" w14:textId="77777777" w:rsidR="00977543" w:rsidRDefault="00B6714B" w:rsidP="00E43624">
            <w:pPr>
              <w:widowControl/>
              <w:jc w:val="right"/>
              <w:rPr>
                <w:sz w:val="26"/>
                <w:szCs w:val="26"/>
              </w:rPr>
            </w:pPr>
            <w:r>
              <w:rPr>
                <w:sz w:val="26"/>
                <w:szCs w:val="26"/>
              </w:rPr>
              <w:t>F-2018-3001072</w:t>
            </w:r>
          </w:p>
          <w:p w14:paraId="50D812AC" w14:textId="77777777" w:rsidR="00977543" w:rsidRPr="00683A2F" w:rsidRDefault="00977543" w:rsidP="00E43624">
            <w:pPr>
              <w:rPr>
                <w:sz w:val="26"/>
                <w:szCs w:val="26"/>
              </w:rPr>
            </w:pPr>
          </w:p>
          <w:p w14:paraId="0C512F59" w14:textId="77777777" w:rsidR="00977543" w:rsidRDefault="00977543" w:rsidP="00E43624">
            <w:pPr>
              <w:rPr>
                <w:sz w:val="26"/>
                <w:szCs w:val="26"/>
              </w:rPr>
            </w:pPr>
          </w:p>
          <w:p w14:paraId="21921B29" w14:textId="77777777" w:rsidR="00977543" w:rsidRPr="00683A2F" w:rsidRDefault="00977543" w:rsidP="00E43624">
            <w:pPr>
              <w:jc w:val="center"/>
              <w:rPr>
                <w:sz w:val="26"/>
                <w:szCs w:val="26"/>
              </w:rPr>
            </w:pPr>
          </w:p>
        </w:tc>
      </w:tr>
    </w:tbl>
    <w:p w14:paraId="2035E4CF" w14:textId="77777777" w:rsidR="00977543" w:rsidRPr="00B34E15" w:rsidRDefault="00977543" w:rsidP="00977543">
      <w:pPr>
        <w:widowControl/>
        <w:rPr>
          <w:b/>
          <w:sz w:val="26"/>
          <w:szCs w:val="26"/>
        </w:rPr>
      </w:pPr>
    </w:p>
    <w:p w14:paraId="4E979F42" w14:textId="77777777" w:rsidR="00977543" w:rsidRDefault="00977543" w:rsidP="00977543">
      <w:pPr>
        <w:widowControl/>
        <w:spacing w:line="360" w:lineRule="auto"/>
        <w:jc w:val="center"/>
        <w:rPr>
          <w:b/>
          <w:sz w:val="26"/>
          <w:szCs w:val="26"/>
        </w:rPr>
      </w:pPr>
      <w:r w:rsidRPr="00DF4899">
        <w:rPr>
          <w:b/>
          <w:sz w:val="26"/>
          <w:szCs w:val="26"/>
        </w:rPr>
        <w:t>OPINION AND ORDER</w:t>
      </w:r>
    </w:p>
    <w:p w14:paraId="29C57A73" w14:textId="77777777" w:rsidR="00977543" w:rsidRDefault="00977543" w:rsidP="00977543">
      <w:pPr>
        <w:widowControl/>
        <w:spacing w:line="360" w:lineRule="auto"/>
        <w:jc w:val="center"/>
        <w:rPr>
          <w:b/>
          <w:sz w:val="26"/>
          <w:szCs w:val="26"/>
        </w:rPr>
      </w:pPr>
    </w:p>
    <w:p w14:paraId="17F74E98" w14:textId="77777777" w:rsidR="00977543" w:rsidRDefault="00977543" w:rsidP="00977543">
      <w:pPr>
        <w:widowControl/>
        <w:spacing w:line="360" w:lineRule="auto"/>
        <w:rPr>
          <w:b/>
          <w:sz w:val="26"/>
          <w:szCs w:val="26"/>
        </w:rPr>
      </w:pPr>
      <w:r>
        <w:rPr>
          <w:b/>
          <w:sz w:val="26"/>
          <w:szCs w:val="26"/>
        </w:rPr>
        <w:t>BY THE COMMISSION:</w:t>
      </w:r>
    </w:p>
    <w:p w14:paraId="058ED545" w14:textId="77777777" w:rsidR="00977543" w:rsidRPr="00CE01AD" w:rsidRDefault="00977543" w:rsidP="00977543">
      <w:pPr>
        <w:widowControl/>
        <w:spacing w:line="360" w:lineRule="auto"/>
        <w:rPr>
          <w:b/>
          <w:sz w:val="26"/>
          <w:szCs w:val="26"/>
        </w:rPr>
      </w:pPr>
    </w:p>
    <w:p w14:paraId="53986672" w14:textId="77777777" w:rsidR="006A21D9" w:rsidRDefault="006A21D9" w:rsidP="006A21D9">
      <w:pPr>
        <w:spacing w:line="360" w:lineRule="auto"/>
        <w:ind w:firstLine="1440"/>
        <w:rPr>
          <w:sz w:val="26"/>
          <w:szCs w:val="26"/>
        </w:rPr>
      </w:pPr>
      <w:r w:rsidRPr="005D2176">
        <w:rPr>
          <w:sz w:val="26"/>
          <w:szCs w:val="26"/>
        </w:rPr>
        <w:t>Before the Pennsylvania Public Utility Commission (Commission) for consideration and disposition is the Petition for R</w:t>
      </w:r>
      <w:r w:rsidR="007E37E7">
        <w:rPr>
          <w:sz w:val="26"/>
          <w:szCs w:val="26"/>
        </w:rPr>
        <w:t>escission</w:t>
      </w:r>
      <w:r w:rsidRPr="005D2176">
        <w:rPr>
          <w:sz w:val="26"/>
          <w:szCs w:val="26"/>
        </w:rPr>
        <w:t xml:space="preserve"> (Petition) filed by </w:t>
      </w:r>
      <w:r w:rsidR="007E37E7">
        <w:rPr>
          <w:sz w:val="26"/>
          <w:szCs w:val="26"/>
        </w:rPr>
        <w:t>Grace Roberts</w:t>
      </w:r>
      <w:r w:rsidRPr="005D2176">
        <w:rPr>
          <w:sz w:val="26"/>
          <w:szCs w:val="26"/>
        </w:rPr>
        <w:t xml:space="preserve"> (</w:t>
      </w:r>
      <w:r>
        <w:rPr>
          <w:sz w:val="26"/>
          <w:szCs w:val="26"/>
        </w:rPr>
        <w:t>Complainant or</w:t>
      </w:r>
      <w:r w:rsidRPr="005D2176">
        <w:rPr>
          <w:sz w:val="26"/>
          <w:szCs w:val="26"/>
        </w:rPr>
        <w:t xml:space="preserve"> M</w:t>
      </w:r>
      <w:r>
        <w:rPr>
          <w:sz w:val="26"/>
          <w:szCs w:val="26"/>
        </w:rPr>
        <w:t>s</w:t>
      </w:r>
      <w:r w:rsidRPr="005D2176">
        <w:rPr>
          <w:sz w:val="26"/>
          <w:szCs w:val="26"/>
        </w:rPr>
        <w:t xml:space="preserve">. </w:t>
      </w:r>
      <w:r w:rsidR="007E37E7">
        <w:rPr>
          <w:sz w:val="26"/>
          <w:szCs w:val="26"/>
        </w:rPr>
        <w:t>Roberts</w:t>
      </w:r>
      <w:r w:rsidRPr="005D2176">
        <w:rPr>
          <w:sz w:val="26"/>
          <w:szCs w:val="26"/>
        </w:rPr>
        <w:t xml:space="preserve">) on </w:t>
      </w:r>
      <w:r w:rsidR="007E37E7">
        <w:rPr>
          <w:sz w:val="26"/>
          <w:szCs w:val="26"/>
        </w:rPr>
        <w:t>March 25, 2019</w:t>
      </w:r>
      <w:r w:rsidRPr="005D2176">
        <w:rPr>
          <w:sz w:val="26"/>
          <w:szCs w:val="26"/>
        </w:rPr>
        <w:t xml:space="preserve">, </w:t>
      </w:r>
      <w:r>
        <w:rPr>
          <w:sz w:val="26"/>
          <w:szCs w:val="26"/>
        </w:rPr>
        <w:t>requesting re</w:t>
      </w:r>
      <w:r w:rsidR="007E37E7">
        <w:rPr>
          <w:sz w:val="26"/>
          <w:szCs w:val="26"/>
        </w:rPr>
        <w:t>scission</w:t>
      </w:r>
      <w:r>
        <w:rPr>
          <w:sz w:val="26"/>
          <w:szCs w:val="26"/>
        </w:rPr>
        <w:t xml:space="preserve"> </w:t>
      </w:r>
      <w:r w:rsidRPr="005D2176">
        <w:rPr>
          <w:sz w:val="26"/>
          <w:szCs w:val="26"/>
        </w:rPr>
        <w:t xml:space="preserve">of the Commission's </w:t>
      </w:r>
      <w:r w:rsidR="00D3442A">
        <w:rPr>
          <w:sz w:val="26"/>
          <w:szCs w:val="26"/>
        </w:rPr>
        <w:t xml:space="preserve">Final </w:t>
      </w:r>
      <w:r w:rsidRPr="005D2176">
        <w:rPr>
          <w:sz w:val="26"/>
          <w:szCs w:val="26"/>
        </w:rPr>
        <w:t xml:space="preserve">Order entered on </w:t>
      </w:r>
      <w:r w:rsidR="007E37E7">
        <w:rPr>
          <w:sz w:val="26"/>
          <w:szCs w:val="26"/>
        </w:rPr>
        <w:t>November 30</w:t>
      </w:r>
      <w:r>
        <w:rPr>
          <w:sz w:val="26"/>
          <w:szCs w:val="26"/>
        </w:rPr>
        <w:t>, 2018</w:t>
      </w:r>
      <w:r w:rsidRPr="005D2176">
        <w:rPr>
          <w:sz w:val="26"/>
          <w:szCs w:val="26"/>
        </w:rPr>
        <w:t xml:space="preserve"> (</w:t>
      </w:r>
      <w:r w:rsidR="00041B53">
        <w:rPr>
          <w:i/>
          <w:iCs/>
          <w:sz w:val="26"/>
          <w:szCs w:val="26"/>
        </w:rPr>
        <w:t>Final</w:t>
      </w:r>
      <w:r w:rsidRPr="005D2176">
        <w:rPr>
          <w:i/>
          <w:iCs/>
          <w:sz w:val="26"/>
          <w:szCs w:val="26"/>
        </w:rPr>
        <w:t xml:space="preserve"> Order</w:t>
      </w:r>
      <w:r w:rsidRPr="005D2176">
        <w:rPr>
          <w:sz w:val="26"/>
          <w:szCs w:val="26"/>
        </w:rPr>
        <w:t>)</w:t>
      </w:r>
      <w:r>
        <w:rPr>
          <w:sz w:val="26"/>
          <w:szCs w:val="26"/>
        </w:rPr>
        <w:t xml:space="preserve">, in the above-captioned docket.  </w:t>
      </w:r>
      <w:r w:rsidR="00C72B30">
        <w:rPr>
          <w:sz w:val="26"/>
          <w:szCs w:val="26"/>
        </w:rPr>
        <w:t xml:space="preserve">No Answer to the Petition was filed.  </w:t>
      </w:r>
      <w:r w:rsidRPr="005D2176">
        <w:rPr>
          <w:sz w:val="26"/>
          <w:szCs w:val="26"/>
        </w:rPr>
        <w:t>For the reasons discussed below, we shall deny the Petition</w:t>
      </w:r>
      <w:r>
        <w:rPr>
          <w:sz w:val="26"/>
          <w:szCs w:val="26"/>
        </w:rPr>
        <w:t>.</w:t>
      </w:r>
    </w:p>
    <w:p w14:paraId="189F0DF7" w14:textId="77777777" w:rsidR="006A21D9" w:rsidRDefault="006A21D9" w:rsidP="006A21D9">
      <w:pPr>
        <w:spacing w:line="360" w:lineRule="auto"/>
        <w:ind w:firstLine="1440"/>
        <w:rPr>
          <w:b/>
          <w:bCs/>
          <w:sz w:val="26"/>
        </w:rPr>
      </w:pPr>
    </w:p>
    <w:p w14:paraId="28E77B72" w14:textId="77777777" w:rsidR="00977543" w:rsidRPr="00535B90" w:rsidRDefault="00977543" w:rsidP="00535B90">
      <w:pPr>
        <w:keepNext/>
        <w:keepLines/>
        <w:widowControl/>
        <w:spacing w:line="360" w:lineRule="auto"/>
        <w:jc w:val="center"/>
        <w:rPr>
          <w:b/>
          <w:bCs/>
          <w:sz w:val="26"/>
        </w:rPr>
      </w:pPr>
      <w:r w:rsidRPr="00535B90">
        <w:rPr>
          <w:b/>
          <w:bCs/>
          <w:sz w:val="26"/>
        </w:rPr>
        <w:lastRenderedPageBreak/>
        <w:t>History of Proceeding</w:t>
      </w:r>
    </w:p>
    <w:p w14:paraId="53779F87" w14:textId="77777777" w:rsidR="00977543" w:rsidRPr="00E43798" w:rsidRDefault="00977543" w:rsidP="00E43798">
      <w:pPr>
        <w:keepNext/>
        <w:keepLines/>
        <w:widowControl/>
        <w:spacing w:line="360" w:lineRule="auto"/>
        <w:ind w:firstLine="1440"/>
        <w:rPr>
          <w:sz w:val="26"/>
          <w:szCs w:val="26"/>
        </w:rPr>
      </w:pPr>
    </w:p>
    <w:p w14:paraId="2F2FD317" w14:textId="372F3A1D" w:rsidR="005F22C0" w:rsidRPr="00E43798" w:rsidRDefault="005F22C0" w:rsidP="00E43798">
      <w:pPr>
        <w:pStyle w:val="Default"/>
        <w:spacing w:line="360" w:lineRule="auto"/>
        <w:ind w:firstLine="1440"/>
        <w:rPr>
          <w:sz w:val="26"/>
          <w:szCs w:val="26"/>
        </w:rPr>
      </w:pPr>
      <w:r w:rsidRPr="00E43798">
        <w:rPr>
          <w:sz w:val="26"/>
          <w:szCs w:val="26"/>
        </w:rPr>
        <w:t xml:space="preserve">On April 5, 2018, Ms. Roberts filed a </w:t>
      </w:r>
      <w:r w:rsidR="00D3442A">
        <w:rPr>
          <w:sz w:val="26"/>
          <w:szCs w:val="26"/>
        </w:rPr>
        <w:t>F</w:t>
      </w:r>
      <w:r w:rsidRPr="00E43798">
        <w:rPr>
          <w:sz w:val="26"/>
          <w:szCs w:val="26"/>
        </w:rPr>
        <w:t xml:space="preserve">ormal Complaint (Complaint) against PECO Energy Company (PECO or Respondent) with the Commission. </w:t>
      </w:r>
      <w:r w:rsidR="005617ED">
        <w:rPr>
          <w:sz w:val="26"/>
          <w:szCs w:val="26"/>
        </w:rPr>
        <w:t xml:space="preserve"> </w:t>
      </w:r>
      <w:r w:rsidRPr="00E43798">
        <w:rPr>
          <w:sz w:val="26"/>
          <w:szCs w:val="26"/>
        </w:rPr>
        <w:t xml:space="preserve">In the Complaint, the Complainant placed checkmarks in </w:t>
      </w:r>
      <w:r w:rsidR="006A6A55">
        <w:rPr>
          <w:sz w:val="26"/>
          <w:szCs w:val="26"/>
        </w:rPr>
        <w:t xml:space="preserve">the </w:t>
      </w:r>
      <w:r w:rsidRPr="00E43798">
        <w:rPr>
          <w:sz w:val="26"/>
          <w:szCs w:val="26"/>
        </w:rPr>
        <w:t xml:space="preserve">boxes indicating: “The utility is threatening to shut off my service or has already shut off my service;” “Incorrect charges are on my bill;” and “Other” – wherein the Complainant requested that her service be restored. </w:t>
      </w:r>
      <w:r w:rsidR="00D3442A">
        <w:rPr>
          <w:sz w:val="26"/>
          <w:szCs w:val="26"/>
        </w:rPr>
        <w:t xml:space="preserve"> Complaint at 2.</w:t>
      </w:r>
      <w:r w:rsidR="008D040A">
        <w:rPr>
          <w:sz w:val="26"/>
          <w:szCs w:val="26"/>
        </w:rPr>
        <w:t xml:space="preserve"> </w:t>
      </w:r>
    </w:p>
    <w:p w14:paraId="58C1D30D" w14:textId="77777777" w:rsidR="005F22C0" w:rsidRPr="00E43798" w:rsidRDefault="005F22C0" w:rsidP="00E43798">
      <w:pPr>
        <w:widowControl/>
        <w:spacing w:line="360" w:lineRule="auto"/>
        <w:ind w:firstLine="1440"/>
        <w:rPr>
          <w:sz w:val="26"/>
          <w:szCs w:val="26"/>
        </w:rPr>
      </w:pPr>
    </w:p>
    <w:p w14:paraId="1ECA6E52" w14:textId="3478229F" w:rsidR="00977543" w:rsidRPr="00E43798" w:rsidRDefault="005F22C0" w:rsidP="00E43798">
      <w:pPr>
        <w:widowControl/>
        <w:spacing w:line="360" w:lineRule="auto"/>
        <w:ind w:firstLine="1440"/>
        <w:rPr>
          <w:sz w:val="26"/>
          <w:szCs w:val="26"/>
        </w:rPr>
      </w:pPr>
      <w:r w:rsidRPr="00E43798">
        <w:rPr>
          <w:sz w:val="26"/>
          <w:szCs w:val="26"/>
        </w:rPr>
        <w:t xml:space="preserve">On May 2, 2018, PECO filed an Answer </w:t>
      </w:r>
      <w:proofErr w:type="spellStart"/>
      <w:r w:rsidRPr="00E43798">
        <w:rPr>
          <w:i/>
          <w:iCs/>
          <w:sz w:val="26"/>
          <w:szCs w:val="26"/>
        </w:rPr>
        <w:t>nunc</w:t>
      </w:r>
      <w:proofErr w:type="spellEnd"/>
      <w:r w:rsidRPr="00E43798">
        <w:rPr>
          <w:i/>
          <w:iCs/>
          <w:sz w:val="26"/>
          <w:szCs w:val="26"/>
        </w:rPr>
        <w:t xml:space="preserve"> pro </w:t>
      </w:r>
      <w:proofErr w:type="spellStart"/>
      <w:r w:rsidRPr="00E43798">
        <w:rPr>
          <w:i/>
          <w:iCs/>
          <w:sz w:val="26"/>
          <w:szCs w:val="26"/>
        </w:rPr>
        <w:t>tunc</w:t>
      </w:r>
      <w:proofErr w:type="spellEnd"/>
      <w:r w:rsidR="00D3442A">
        <w:rPr>
          <w:sz w:val="26"/>
          <w:szCs w:val="26"/>
        </w:rPr>
        <w:t xml:space="preserve"> (Answer)</w:t>
      </w:r>
      <w:r w:rsidRPr="00E43798">
        <w:rPr>
          <w:sz w:val="26"/>
          <w:szCs w:val="26"/>
        </w:rPr>
        <w:t>.</w:t>
      </w:r>
      <w:r w:rsidR="006979FF">
        <w:rPr>
          <w:rStyle w:val="FootnoteReference"/>
          <w:sz w:val="26"/>
          <w:szCs w:val="26"/>
        </w:rPr>
        <w:footnoteReference w:id="1"/>
      </w:r>
      <w:r w:rsidRPr="00E43798">
        <w:rPr>
          <w:sz w:val="26"/>
          <w:szCs w:val="26"/>
        </w:rPr>
        <w:t xml:space="preserve">  In its Answer, PECO denied all material allegations of fact in the Complaint.  PECO averred it terminated service to the Complainant on June 6, 2017, for a past due balance of $6,488.95.  PECO also averred that it finalized the Complainant’s account effective July</w:t>
      </w:r>
      <w:r w:rsidR="009C4F7C">
        <w:rPr>
          <w:sz w:val="26"/>
          <w:szCs w:val="26"/>
        </w:rPr>
        <w:t> </w:t>
      </w:r>
      <w:r w:rsidRPr="00E43798">
        <w:rPr>
          <w:sz w:val="26"/>
          <w:szCs w:val="26"/>
        </w:rPr>
        <w:t>7, 2017 and charged off a final unpaid balance of $8,921.71.  PECO averred the Complainant must pay this outstanding balance before it will restore service.</w:t>
      </w:r>
      <w:r w:rsidR="008D040A">
        <w:rPr>
          <w:sz w:val="26"/>
          <w:szCs w:val="26"/>
        </w:rPr>
        <w:t xml:space="preserve">  PECO therefore requested that the Commission dismiss the Complaint.  Answer at 1-4. </w:t>
      </w:r>
    </w:p>
    <w:p w14:paraId="56F6F609" w14:textId="77777777" w:rsidR="005F22C0" w:rsidRPr="00E43798" w:rsidRDefault="005F22C0" w:rsidP="00E43798">
      <w:pPr>
        <w:widowControl/>
        <w:spacing w:line="360" w:lineRule="auto"/>
        <w:ind w:firstLine="1440"/>
        <w:rPr>
          <w:sz w:val="26"/>
          <w:szCs w:val="26"/>
        </w:rPr>
      </w:pPr>
    </w:p>
    <w:p w14:paraId="5B49A497" w14:textId="77777777" w:rsidR="005F22C0" w:rsidRPr="00E43798" w:rsidRDefault="005F22C0" w:rsidP="00E43798">
      <w:pPr>
        <w:widowControl/>
        <w:spacing w:line="360" w:lineRule="auto"/>
        <w:ind w:firstLine="1440"/>
        <w:rPr>
          <w:sz w:val="26"/>
          <w:szCs w:val="26"/>
        </w:rPr>
      </w:pPr>
      <w:r w:rsidRPr="00E43798">
        <w:rPr>
          <w:sz w:val="26"/>
          <w:szCs w:val="26"/>
        </w:rPr>
        <w:t xml:space="preserve">On August 6, 2018, an evidentiary hearing was held in this matter, as scheduled. </w:t>
      </w:r>
      <w:r w:rsidR="006A6A55">
        <w:rPr>
          <w:sz w:val="26"/>
          <w:szCs w:val="26"/>
        </w:rPr>
        <w:t xml:space="preserve"> </w:t>
      </w:r>
      <w:r w:rsidRPr="00E43798">
        <w:rPr>
          <w:sz w:val="26"/>
          <w:szCs w:val="26"/>
        </w:rPr>
        <w:t>Counsel for PECO was present with a witness and was prepared to proceed.</w:t>
      </w:r>
    </w:p>
    <w:p w14:paraId="333C0F38" w14:textId="6F516191" w:rsidR="005F22C0" w:rsidRPr="00E43798" w:rsidRDefault="00E43798" w:rsidP="00E43798">
      <w:pPr>
        <w:widowControl/>
        <w:spacing w:line="360" w:lineRule="auto"/>
        <w:rPr>
          <w:sz w:val="26"/>
          <w:szCs w:val="26"/>
        </w:rPr>
      </w:pPr>
      <w:r>
        <w:rPr>
          <w:sz w:val="26"/>
          <w:szCs w:val="26"/>
        </w:rPr>
        <w:t xml:space="preserve">As for the </w:t>
      </w:r>
      <w:proofErr w:type="gramStart"/>
      <w:r>
        <w:rPr>
          <w:sz w:val="26"/>
          <w:szCs w:val="26"/>
        </w:rPr>
        <w:t xml:space="preserve">Complainant,  </w:t>
      </w:r>
      <w:r w:rsidR="009273FC">
        <w:rPr>
          <w:sz w:val="26"/>
          <w:szCs w:val="26"/>
        </w:rPr>
        <w:t>Administrative</w:t>
      </w:r>
      <w:proofErr w:type="gramEnd"/>
      <w:r w:rsidR="009273FC">
        <w:rPr>
          <w:sz w:val="26"/>
          <w:szCs w:val="26"/>
        </w:rPr>
        <w:t xml:space="preserve"> Law Judge (</w:t>
      </w:r>
      <w:r>
        <w:rPr>
          <w:sz w:val="26"/>
          <w:szCs w:val="26"/>
        </w:rPr>
        <w:t>ALJ</w:t>
      </w:r>
      <w:r w:rsidR="009273FC">
        <w:rPr>
          <w:sz w:val="26"/>
          <w:szCs w:val="26"/>
        </w:rPr>
        <w:t>)</w:t>
      </w:r>
      <w:r>
        <w:rPr>
          <w:sz w:val="26"/>
          <w:szCs w:val="26"/>
        </w:rPr>
        <w:t xml:space="preserve"> </w:t>
      </w:r>
      <w:r w:rsidR="009273FC">
        <w:rPr>
          <w:sz w:val="26"/>
          <w:szCs w:val="26"/>
        </w:rPr>
        <w:t xml:space="preserve">F. Joseph Brady </w:t>
      </w:r>
      <w:r>
        <w:rPr>
          <w:sz w:val="26"/>
          <w:szCs w:val="26"/>
        </w:rPr>
        <w:t>noted: “</w:t>
      </w:r>
      <w:r w:rsidR="005F22C0" w:rsidRPr="00E43798">
        <w:rPr>
          <w:sz w:val="26"/>
          <w:szCs w:val="26"/>
        </w:rPr>
        <w:t xml:space="preserve">A person ostensibly believed to be the Complainant appeared at the hearing; however, when </w:t>
      </w:r>
      <w:r w:rsidR="005F22C0" w:rsidRPr="00E43798">
        <w:rPr>
          <w:sz w:val="26"/>
          <w:szCs w:val="26"/>
        </w:rPr>
        <w:lastRenderedPageBreak/>
        <w:t xml:space="preserve">questioned by </w:t>
      </w:r>
      <w:r>
        <w:rPr>
          <w:sz w:val="26"/>
          <w:szCs w:val="26"/>
        </w:rPr>
        <w:t>[</w:t>
      </w:r>
      <w:r w:rsidR="005F22C0" w:rsidRPr="00E43798">
        <w:rPr>
          <w:sz w:val="26"/>
          <w:szCs w:val="26"/>
        </w:rPr>
        <w:t>the ALJ</w:t>
      </w:r>
      <w:r>
        <w:rPr>
          <w:sz w:val="26"/>
          <w:szCs w:val="26"/>
        </w:rPr>
        <w:t>]</w:t>
      </w:r>
      <w:r w:rsidR="005F22C0" w:rsidRPr="00E43798">
        <w:rPr>
          <w:sz w:val="26"/>
          <w:szCs w:val="26"/>
        </w:rPr>
        <w:t>, she refused to acknowledge that she was the Complainant, Grace Roberts.</w:t>
      </w:r>
      <w:r>
        <w:rPr>
          <w:sz w:val="26"/>
          <w:szCs w:val="26"/>
        </w:rPr>
        <w:t>”</w:t>
      </w:r>
      <w:r w:rsidR="005F22C0" w:rsidRPr="00E43798">
        <w:rPr>
          <w:sz w:val="26"/>
          <w:szCs w:val="26"/>
        </w:rPr>
        <w:t xml:space="preserve"> </w:t>
      </w:r>
      <w:r w:rsidR="00BD6D0E">
        <w:rPr>
          <w:sz w:val="26"/>
          <w:szCs w:val="26"/>
        </w:rPr>
        <w:t xml:space="preserve"> </w:t>
      </w:r>
      <w:r w:rsidR="00AB4CF0">
        <w:rPr>
          <w:sz w:val="26"/>
          <w:szCs w:val="26"/>
        </w:rPr>
        <w:t>I</w:t>
      </w:r>
      <w:r w:rsidR="005F22C0" w:rsidRPr="00E43798">
        <w:rPr>
          <w:sz w:val="26"/>
          <w:szCs w:val="26"/>
        </w:rPr>
        <w:t>.D. at 2 (citing Tr. at 4-6).</w:t>
      </w:r>
      <w:r>
        <w:rPr>
          <w:sz w:val="26"/>
          <w:szCs w:val="26"/>
        </w:rPr>
        <w:t xml:space="preserve">  </w:t>
      </w:r>
      <w:r w:rsidR="005F22C0" w:rsidRPr="00E43798">
        <w:rPr>
          <w:sz w:val="26"/>
          <w:szCs w:val="26"/>
        </w:rPr>
        <w:t>No witnesses were presented, and no exhibits were introduced into the record.  The Respondent’s Counsel moved that the Complaint be dismissed with prejudice for lack of prosecution pursuant to 52 Pa. Code §</w:t>
      </w:r>
      <w:r w:rsidR="00EA619D">
        <w:rPr>
          <w:sz w:val="26"/>
          <w:szCs w:val="26"/>
        </w:rPr>
        <w:t> </w:t>
      </w:r>
      <w:r w:rsidR="005F22C0" w:rsidRPr="00E43798">
        <w:rPr>
          <w:sz w:val="26"/>
          <w:szCs w:val="26"/>
        </w:rPr>
        <w:t xml:space="preserve">5.245.  </w:t>
      </w:r>
      <w:r w:rsidR="00AB4CF0">
        <w:rPr>
          <w:sz w:val="26"/>
          <w:szCs w:val="26"/>
        </w:rPr>
        <w:t>I</w:t>
      </w:r>
      <w:r w:rsidR="005F22C0" w:rsidRPr="00E43798">
        <w:rPr>
          <w:sz w:val="26"/>
          <w:szCs w:val="26"/>
        </w:rPr>
        <w:t xml:space="preserve">.D. at 3.  The record closed on August 24, 2018, upon the ALJ’s receipt of the transcript.  </w:t>
      </w:r>
      <w:r w:rsidR="00AB4CF0">
        <w:rPr>
          <w:sz w:val="26"/>
          <w:szCs w:val="26"/>
        </w:rPr>
        <w:t>I</w:t>
      </w:r>
      <w:r w:rsidR="005F22C0" w:rsidRPr="00E43798">
        <w:rPr>
          <w:sz w:val="26"/>
          <w:szCs w:val="26"/>
        </w:rPr>
        <w:t>.D. at 3.</w:t>
      </w:r>
    </w:p>
    <w:p w14:paraId="2220B36F" w14:textId="77777777" w:rsidR="00E43798" w:rsidRPr="00E43798" w:rsidRDefault="00E43798" w:rsidP="00E43798">
      <w:pPr>
        <w:pStyle w:val="Default"/>
        <w:spacing w:line="360" w:lineRule="auto"/>
        <w:ind w:firstLine="1440"/>
        <w:rPr>
          <w:sz w:val="26"/>
          <w:szCs w:val="26"/>
        </w:rPr>
      </w:pPr>
    </w:p>
    <w:p w14:paraId="5B9065DD" w14:textId="7596014C" w:rsidR="00E43798" w:rsidRPr="00E43798" w:rsidRDefault="00E43798" w:rsidP="00E43798">
      <w:pPr>
        <w:pStyle w:val="Default"/>
        <w:spacing w:line="360" w:lineRule="auto"/>
        <w:ind w:firstLine="1440"/>
        <w:rPr>
          <w:sz w:val="26"/>
          <w:szCs w:val="26"/>
        </w:rPr>
      </w:pPr>
      <w:r w:rsidRPr="00E43798">
        <w:rPr>
          <w:sz w:val="26"/>
          <w:szCs w:val="26"/>
        </w:rPr>
        <w:t>On October 18, 2018, the Commission issued the ALJ’s Initial Decision</w:t>
      </w:r>
      <w:r w:rsidR="00472E9C">
        <w:rPr>
          <w:sz w:val="26"/>
          <w:szCs w:val="26"/>
        </w:rPr>
        <w:t xml:space="preserve"> (</w:t>
      </w:r>
      <w:r w:rsidR="00472E9C" w:rsidRPr="00472E9C">
        <w:rPr>
          <w:i/>
          <w:iCs/>
          <w:sz w:val="26"/>
          <w:szCs w:val="26"/>
        </w:rPr>
        <w:t>October 2018 Initial Decision</w:t>
      </w:r>
      <w:r w:rsidR="00472E9C">
        <w:rPr>
          <w:sz w:val="26"/>
          <w:szCs w:val="26"/>
        </w:rPr>
        <w:t>)</w:t>
      </w:r>
      <w:r w:rsidRPr="00E43798">
        <w:rPr>
          <w:sz w:val="26"/>
          <w:szCs w:val="26"/>
        </w:rPr>
        <w:t xml:space="preserve">, which granted </w:t>
      </w:r>
      <w:r w:rsidR="00535B90">
        <w:rPr>
          <w:sz w:val="26"/>
          <w:szCs w:val="26"/>
        </w:rPr>
        <w:t>PECO’s</w:t>
      </w:r>
      <w:r w:rsidRPr="00E43798">
        <w:rPr>
          <w:sz w:val="26"/>
          <w:szCs w:val="26"/>
        </w:rPr>
        <w:t xml:space="preserve"> Motion to dismiss the Complaint for failure to appear at the hearing and prosecute her Complaint.  I.D. at 1, 5-7</w:t>
      </w:r>
      <w:r>
        <w:rPr>
          <w:sz w:val="26"/>
          <w:szCs w:val="26"/>
        </w:rPr>
        <w:t xml:space="preserve"> (citing 52</w:t>
      </w:r>
      <w:r w:rsidR="00920C81">
        <w:rPr>
          <w:sz w:val="26"/>
          <w:szCs w:val="26"/>
        </w:rPr>
        <w:t> </w:t>
      </w:r>
      <w:r>
        <w:rPr>
          <w:sz w:val="26"/>
          <w:szCs w:val="26"/>
        </w:rPr>
        <w:t>Pa. Code §§ 5.245(a), (c)).</w:t>
      </w:r>
    </w:p>
    <w:p w14:paraId="4DA0C67F" w14:textId="77777777" w:rsidR="00E43798" w:rsidRPr="00E43798" w:rsidRDefault="00E43798" w:rsidP="00E43798">
      <w:pPr>
        <w:pStyle w:val="Default"/>
        <w:spacing w:line="360" w:lineRule="auto"/>
        <w:ind w:firstLine="1440"/>
        <w:rPr>
          <w:sz w:val="26"/>
          <w:szCs w:val="26"/>
        </w:rPr>
      </w:pPr>
    </w:p>
    <w:p w14:paraId="2BEBCF9A" w14:textId="77777777" w:rsidR="00E43798" w:rsidRPr="00E43798" w:rsidRDefault="00E43798" w:rsidP="00E43798">
      <w:pPr>
        <w:pStyle w:val="Default"/>
        <w:spacing w:line="360" w:lineRule="auto"/>
        <w:ind w:firstLine="1440"/>
        <w:rPr>
          <w:sz w:val="26"/>
          <w:szCs w:val="26"/>
        </w:rPr>
      </w:pPr>
      <w:r w:rsidRPr="00E43798">
        <w:rPr>
          <w:sz w:val="26"/>
          <w:szCs w:val="26"/>
        </w:rPr>
        <w:t xml:space="preserve">No Exceptions </w:t>
      </w:r>
      <w:r w:rsidR="005617ED">
        <w:rPr>
          <w:sz w:val="26"/>
          <w:szCs w:val="26"/>
        </w:rPr>
        <w:t>were</w:t>
      </w:r>
      <w:r w:rsidRPr="00E43798">
        <w:rPr>
          <w:sz w:val="26"/>
          <w:szCs w:val="26"/>
        </w:rPr>
        <w:t xml:space="preserve"> filed to the Initial Decision. </w:t>
      </w:r>
    </w:p>
    <w:p w14:paraId="10881C24" w14:textId="77777777" w:rsidR="00E43798" w:rsidRPr="00E43798" w:rsidRDefault="00E43798" w:rsidP="00E43798">
      <w:pPr>
        <w:pStyle w:val="Default"/>
        <w:spacing w:line="360" w:lineRule="auto"/>
        <w:rPr>
          <w:sz w:val="26"/>
          <w:szCs w:val="26"/>
        </w:rPr>
      </w:pPr>
    </w:p>
    <w:p w14:paraId="50AC58B5" w14:textId="60A2AFBA" w:rsidR="00E43798" w:rsidRPr="00E43798" w:rsidRDefault="006A6A55" w:rsidP="005617ED">
      <w:pPr>
        <w:widowControl/>
        <w:spacing w:line="360" w:lineRule="auto"/>
        <w:ind w:firstLine="1440"/>
        <w:rPr>
          <w:spacing w:val="-3"/>
          <w:sz w:val="26"/>
          <w:szCs w:val="26"/>
        </w:rPr>
      </w:pPr>
      <w:r>
        <w:rPr>
          <w:sz w:val="26"/>
          <w:szCs w:val="26"/>
        </w:rPr>
        <w:t xml:space="preserve">By </w:t>
      </w:r>
      <w:r w:rsidRPr="0076453A">
        <w:rPr>
          <w:i/>
          <w:sz w:val="26"/>
          <w:szCs w:val="26"/>
        </w:rPr>
        <w:t>Final Order</w:t>
      </w:r>
      <w:r>
        <w:rPr>
          <w:sz w:val="26"/>
          <w:szCs w:val="26"/>
        </w:rPr>
        <w:t xml:space="preserve"> issued on November 30, 2018,</w:t>
      </w:r>
      <w:r w:rsidR="00D06C32">
        <w:rPr>
          <w:sz w:val="26"/>
          <w:szCs w:val="26"/>
        </w:rPr>
        <w:t xml:space="preserve"> </w:t>
      </w:r>
      <w:r w:rsidR="00472E9C">
        <w:rPr>
          <w:sz w:val="26"/>
          <w:szCs w:val="26"/>
        </w:rPr>
        <w:t>the</w:t>
      </w:r>
      <w:r w:rsidR="00E43798" w:rsidRPr="00E43798">
        <w:rPr>
          <w:spacing w:val="-3"/>
          <w:sz w:val="26"/>
          <w:szCs w:val="26"/>
        </w:rPr>
        <w:t xml:space="preserve"> </w:t>
      </w:r>
      <w:r w:rsidR="00E43798" w:rsidRPr="00472E9C">
        <w:rPr>
          <w:i/>
          <w:iCs/>
          <w:spacing w:val="-3"/>
          <w:sz w:val="26"/>
          <w:szCs w:val="26"/>
        </w:rPr>
        <w:t>October 2018</w:t>
      </w:r>
      <w:r w:rsidR="00472E9C" w:rsidRPr="00472E9C">
        <w:rPr>
          <w:i/>
          <w:iCs/>
          <w:spacing w:val="-3"/>
          <w:sz w:val="26"/>
          <w:szCs w:val="26"/>
        </w:rPr>
        <w:t xml:space="preserve"> Initial Decision</w:t>
      </w:r>
      <w:r w:rsidR="00E43798" w:rsidRPr="00E43798">
        <w:rPr>
          <w:spacing w:val="-3"/>
          <w:sz w:val="26"/>
          <w:szCs w:val="26"/>
        </w:rPr>
        <w:t xml:space="preserve"> become final without further Commission action</w:t>
      </w:r>
      <w:r w:rsidR="00472E9C">
        <w:rPr>
          <w:spacing w:val="-3"/>
          <w:sz w:val="26"/>
          <w:szCs w:val="26"/>
        </w:rPr>
        <w:t xml:space="preserve"> in accordance with Section</w:t>
      </w:r>
      <w:r w:rsidR="00920C81">
        <w:rPr>
          <w:spacing w:val="-3"/>
          <w:sz w:val="26"/>
          <w:szCs w:val="26"/>
        </w:rPr>
        <w:t> </w:t>
      </w:r>
      <w:r w:rsidR="00472E9C">
        <w:rPr>
          <w:spacing w:val="-3"/>
          <w:sz w:val="26"/>
          <w:szCs w:val="26"/>
        </w:rPr>
        <w:t>332(h) of the Public Utility Code (Code), 66 Pa. C.S. § 332(h).</w:t>
      </w:r>
      <w:r w:rsidR="005617ED">
        <w:rPr>
          <w:spacing w:val="-3"/>
          <w:sz w:val="26"/>
          <w:szCs w:val="26"/>
        </w:rPr>
        <w:t xml:space="preserve"> </w:t>
      </w:r>
    </w:p>
    <w:p w14:paraId="7ED40A77" w14:textId="77777777" w:rsidR="00E43798" w:rsidRPr="00E43798" w:rsidRDefault="00E43798" w:rsidP="005617ED">
      <w:pPr>
        <w:widowControl/>
        <w:spacing w:line="360" w:lineRule="auto"/>
        <w:ind w:firstLine="1440"/>
        <w:rPr>
          <w:spacing w:val="-3"/>
          <w:sz w:val="26"/>
          <w:szCs w:val="26"/>
        </w:rPr>
      </w:pPr>
    </w:p>
    <w:p w14:paraId="27A27AF5" w14:textId="1D039B0B" w:rsidR="005F22C0" w:rsidRPr="00E43798" w:rsidRDefault="00E43798" w:rsidP="005617ED">
      <w:pPr>
        <w:widowControl/>
        <w:spacing w:line="360" w:lineRule="auto"/>
        <w:ind w:firstLine="1440"/>
        <w:rPr>
          <w:spacing w:val="-3"/>
          <w:sz w:val="26"/>
          <w:szCs w:val="26"/>
        </w:rPr>
      </w:pPr>
      <w:r w:rsidRPr="00E43798">
        <w:rPr>
          <w:spacing w:val="-3"/>
          <w:sz w:val="26"/>
          <w:szCs w:val="26"/>
        </w:rPr>
        <w:t>On March 25, 2019, the Complainant filed the instant Petition</w:t>
      </w:r>
      <w:r w:rsidR="00F86146">
        <w:rPr>
          <w:spacing w:val="-3"/>
          <w:sz w:val="26"/>
          <w:szCs w:val="26"/>
        </w:rPr>
        <w:t xml:space="preserve"> </w:t>
      </w:r>
      <w:r w:rsidRPr="00E43798">
        <w:rPr>
          <w:spacing w:val="-3"/>
          <w:sz w:val="26"/>
          <w:szCs w:val="26"/>
        </w:rPr>
        <w:t>request</w:t>
      </w:r>
      <w:r w:rsidR="00F86146">
        <w:rPr>
          <w:spacing w:val="-3"/>
          <w:sz w:val="26"/>
          <w:szCs w:val="26"/>
        </w:rPr>
        <w:t>ing</w:t>
      </w:r>
      <w:r>
        <w:rPr>
          <w:spacing w:val="-3"/>
          <w:sz w:val="26"/>
          <w:szCs w:val="26"/>
        </w:rPr>
        <w:t xml:space="preserve"> </w:t>
      </w:r>
      <w:r w:rsidR="00F86146">
        <w:rPr>
          <w:spacing w:val="-3"/>
          <w:sz w:val="26"/>
          <w:szCs w:val="26"/>
        </w:rPr>
        <w:t>rescission of</w:t>
      </w:r>
      <w:r>
        <w:rPr>
          <w:spacing w:val="-3"/>
          <w:sz w:val="26"/>
          <w:szCs w:val="26"/>
        </w:rPr>
        <w:t xml:space="preserve"> the </w:t>
      </w:r>
      <w:r w:rsidR="00041B53">
        <w:rPr>
          <w:i/>
          <w:iCs/>
          <w:spacing w:val="-3"/>
          <w:sz w:val="26"/>
          <w:szCs w:val="26"/>
        </w:rPr>
        <w:t>Final Order</w:t>
      </w:r>
      <w:r w:rsidR="00F86146">
        <w:rPr>
          <w:spacing w:val="-3"/>
          <w:sz w:val="26"/>
          <w:szCs w:val="26"/>
        </w:rPr>
        <w:t>.</w:t>
      </w:r>
    </w:p>
    <w:p w14:paraId="1F53C912" w14:textId="77777777" w:rsidR="00977543" w:rsidRDefault="00977543" w:rsidP="00977543">
      <w:pPr>
        <w:spacing w:line="360" w:lineRule="auto"/>
        <w:rPr>
          <w:sz w:val="26"/>
        </w:rPr>
      </w:pPr>
    </w:p>
    <w:p w14:paraId="6C5576A0" w14:textId="77777777" w:rsidR="00977543" w:rsidRDefault="00977543" w:rsidP="005617ED">
      <w:pPr>
        <w:keepNext/>
        <w:keepLines/>
        <w:widowControl/>
        <w:spacing w:line="360" w:lineRule="auto"/>
        <w:jc w:val="center"/>
        <w:rPr>
          <w:b/>
          <w:bCs/>
          <w:sz w:val="26"/>
        </w:rPr>
      </w:pPr>
      <w:r w:rsidRPr="00977543">
        <w:rPr>
          <w:b/>
          <w:bCs/>
          <w:sz w:val="26"/>
        </w:rPr>
        <w:t>Discussion</w:t>
      </w:r>
    </w:p>
    <w:p w14:paraId="25B4D615" w14:textId="77777777" w:rsidR="00B06A77" w:rsidRPr="00977543" w:rsidRDefault="00B06A77" w:rsidP="005617ED">
      <w:pPr>
        <w:keepNext/>
        <w:keepLines/>
        <w:widowControl/>
        <w:spacing w:line="360" w:lineRule="auto"/>
        <w:jc w:val="center"/>
        <w:rPr>
          <w:b/>
          <w:bCs/>
          <w:sz w:val="26"/>
        </w:rPr>
      </w:pPr>
    </w:p>
    <w:p w14:paraId="2585A425" w14:textId="124EB2AC" w:rsidR="00B06A77" w:rsidRDefault="00B06A77" w:rsidP="00B06A77">
      <w:pPr>
        <w:suppressAutoHyphens/>
        <w:spacing w:line="360" w:lineRule="auto"/>
        <w:ind w:firstLine="1440"/>
        <w:rPr>
          <w:sz w:val="26"/>
          <w:szCs w:val="26"/>
        </w:rPr>
      </w:pPr>
      <w:r w:rsidRPr="005C4402">
        <w:rPr>
          <w:spacing w:val="-3"/>
          <w:sz w:val="26"/>
        </w:rPr>
        <w:t xml:space="preserve">We begin by considering the nature of the Complainant’s filing.  In this case, </w:t>
      </w:r>
      <w:r w:rsidRPr="005C4402">
        <w:rPr>
          <w:sz w:val="26"/>
          <w:szCs w:val="26"/>
        </w:rPr>
        <w:t>Exceptions to the Initi</w:t>
      </w:r>
      <w:r>
        <w:rPr>
          <w:sz w:val="26"/>
          <w:szCs w:val="26"/>
        </w:rPr>
        <w:t>al Decision were due on November 8, 2018</w:t>
      </w:r>
      <w:r w:rsidRPr="005C4402">
        <w:rPr>
          <w:sz w:val="26"/>
          <w:szCs w:val="26"/>
        </w:rPr>
        <w:t xml:space="preserve">, but </w:t>
      </w:r>
      <w:r w:rsidR="007D5789">
        <w:rPr>
          <w:sz w:val="26"/>
          <w:szCs w:val="26"/>
        </w:rPr>
        <w:t xml:space="preserve">none </w:t>
      </w:r>
      <w:r w:rsidRPr="005C4402">
        <w:rPr>
          <w:sz w:val="26"/>
          <w:szCs w:val="26"/>
        </w:rPr>
        <w:t>were received by the Commission by that</w:t>
      </w:r>
      <w:r w:rsidR="0076453A">
        <w:rPr>
          <w:sz w:val="26"/>
          <w:szCs w:val="26"/>
        </w:rPr>
        <w:t xml:space="preserve"> </w:t>
      </w:r>
      <w:r w:rsidRPr="005C4402">
        <w:rPr>
          <w:sz w:val="26"/>
          <w:szCs w:val="26"/>
        </w:rPr>
        <w:t>due date.  Therefore, in accordance with Section</w:t>
      </w:r>
      <w:r w:rsidR="00920C81">
        <w:rPr>
          <w:sz w:val="26"/>
          <w:szCs w:val="26"/>
        </w:rPr>
        <w:t> </w:t>
      </w:r>
      <w:r w:rsidRPr="005C4402">
        <w:rPr>
          <w:sz w:val="26"/>
          <w:szCs w:val="26"/>
        </w:rPr>
        <w:t>332(h) of the</w:t>
      </w:r>
      <w:r>
        <w:rPr>
          <w:sz w:val="26"/>
          <w:szCs w:val="26"/>
        </w:rPr>
        <w:t xml:space="preserve"> </w:t>
      </w:r>
      <w:r w:rsidRPr="005C4402">
        <w:rPr>
          <w:sz w:val="26"/>
          <w:szCs w:val="26"/>
        </w:rPr>
        <w:t xml:space="preserve">Code, 66 Pa. C.S. § 332(h), the decision of </w:t>
      </w:r>
      <w:r w:rsidR="00775367">
        <w:rPr>
          <w:sz w:val="26"/>
          <w:szCs w:val="26"/>
        </w:rPr>
        <w:t xml:space="preserve">the </w:t>
      </w:r>
      <w:r w:rsidRPr="005C4402">
        <w:rPr>
          <w:sz w:val="26"/>
          <w:szCs w:val="26"/>
        </w:rPr>
        <w:t>ALJ</w:t>
      </w:r>
      <w:r w:rsidR="00775367">
        <w:rPr>
          <w:sz w:val="26"/>
          <w:szCs w:val="26"/>
        </w:rPr>
        <w:t xml:space="preserve"> </w:t>
      </w:r>
      <w:r w:rsidRPr="005C4402">
        <w:rPr>
          <w:sz w:val="26"/>
          <w:szCs w:val="26"/>
        </w:rPr>
        <w:t xml:space="preserve">became final without further </w:t>
      </w:r>
      <w:r w:rsidRPr="00804C25">
        <w:rPr>
          <w:sz w:val="26"/>
          <w:szCs w:val="26"/>
        </w:rPr>
        <w:t>Commission action.</w:t>
      </w:r>
    </w:p>
    <w:p w14:paraId="12F6E1FB" w14:textId="77777777" w:rsidR="00B2131F" w:rsidRDefault="00B2131F" w:rsidP="00B06A77">
      <w:pPr>
        <w:suppressAutoHyphens/>
        <w:spacing w:line="360" w:lineRule="auto"/>
        <w:ind w:firstLine="1440"/>
        <w:rPr>
          <w:sz w:val="26"/>
          <w:szCs w:val="26"/>
        </w:rPr>
      </w:pPr>
    </w:p>
    <w:p w14:paraId="2448190D" w14:textId="16863FF6" w:rsidR="00B2131F" w:rsidRDefault="00B2131F" w:rsidP="007D5789">
      <w:pPr>
        <w:suppressAutoHyphens/>
        <w:spacing w:line="360" w:lineRule="auto"/>
        <w:ind w:left="-90" w:firstLine="1530"/>
        <w:rPr>
          <w:sz w:val="26"/>
          <w:szCs w:val="26"/>
        </w:rPr>
      </w:pPr>
      <w:r w:rsidRPr="00804C25">
        <w:rPr>
          <w:sz w:val="26"/>
          <w:szCs w:val="26"/>
        </w:rPr>
        <w:lastRenderedPageBreak/>
        <w:t xml:space="preserve">As noted above, </w:t>
      </w:r>
      <w:r w:rsidR="007D5789">
        <w:rPr>
          <w:sz w:val="26"/>
          <w:szCs w:val="26"/>
        </w:rPr>
        <w:t xml:space="preserve">on March 25, 2019, </w:t>
      </w:r>
      <w:r w:rsidRPr="00804C25">
        <w:rPr>
          <w:sz w:val="26"/>
          <w:szCs w:val="26"/>
        </w:rPr>
        <w:t>the Commission</w:t>
      </w:r>
      <w:r>
        <w:rPr>
          <w:sz w:val="26"/>
          <w:szCs w:val="26"/>
        </w:rPr>
        <w:t xml:space="preserve">’s Secretary’s Bureau </w:t>
      </w:r>
      <w:r w:rsidRPr="00804C25">
        <w:rPr>
          <w:sz w:val="26"/>
          <w:szCs w:val="26"/>
        </w:rPr>
        <w:t xml:space="preserve">received </w:t>
      </w:r>
      <w:r w:rsidR="007D5789">
        <w:rPr>
          <w:sz w:val="26"/>
          <w:szCs w:val="26"/>
        </w:rPr>
        <w:t>a filing from the Complainant, which</w:t>
      </w:r>
      <w:r w:rsidRPr="00804C25">
        <w:rPr>
          <w:sz w:val="26"/>
          <w:szCs w:val="26"/>
        </w:rPr>
        <w:t xml:space="preserve"> the Complainant </w:t>
      </w:r>
      <w:r>
        <w:rPr>
          <w:sz w:val="26"/>
          <w:szCs w:val="26"/>
        </w:rPr>
        <w:t>identified</w:t>
      </w:r>
      <w:r w:rsidR="007D5789">
        <w:rPr>
          <w:sz w:val="26"/>
          <w:szCs w:val="26"/>
        </w:rPr>
        <w:t xml:space="preserve"> or titled</w:t>
      </w:r>
      <w:r>
        <w:rPr>
          <w:sz w:val="26"/>
          <w:szCs w:val="26"/>
        </w:rPr>
        <w:t xml:space="preserve"> as</w:t>
      </w:r>
      <w:r w:rsidRPr="00804C25">
        <w:rPr>
          <w:sz w:val="26"/>
          <w:szCs w:val="26"/>
        </w:rPr>
        <w:t xml:space="preserve"> “Exceptions</w:t>
      </w:r>
      <w:r>
        <w:rPr>
          <w:sz w:val="26"/>
          <w:szCs w:val="26"/>
        </w:rPr>
        <w:t>”</w:t>
      </w:r>
      <w:r w:rsidR="007D5789">
        <w:rPr>
          <w:sz w:val="26"/>
          <w:szCs w:val="26"/>
        </w:rPr>
        <w:t xml:space="preserve"> to the Initial Decision.</w:t>
      </w:r>
      <w:r>
        <w:rPr>
          <w:sz w:val="26"/>
          <w:szCs w:val="26"/>
        </w:rPr>
        <w:t xml:space="preserve">  </w:t>
      </w:r>
      <w:r w:rsidR="007D5789">
        <w:rPr>
          <w:sz w:val="26"/>
          <w:szCs w:val="26"/>
        </w:rPr>
        <w:t>B</w:t>
      </w:r>
      <w:r w:rsidRPr="00535EFE">
        <w:rPr>
          <w:sz w:val="26"/>
          <w:szCs w:val="26"/>
        </w:rPr>
        <w:t xml:space="preserve">ecause the Complainant is appearing </w:t>
      </w:r>
      <w:r w:rsidRPr="00535EFE">
        <w:rPr>
          <w:i/>
          <w:sz w:val="26"/>
          <w:szCs w:val="26"/>
        </w:rPr>
        <w:t xml:space="preserve">pro se, </w:t>
      </w:r>
      <w:r w:rsidRPr="00535EFE">
        <w:rPr>
          <w:sz w:val="26"/>
          <w:szCs w:val="26"/>
        </w:rPr>
        <w:t>we will exercise our discretion</w:t>
      </w:r>
      <w:r w:rsidR="009233ED">
        <w:rPr>
          <w:rStyle w:val="FootnoteReference"/>
          <w:sz w:val="26"/>
          <w:szCs w:val="26"/>
        </w:rPr>
        <w:footnoteReference w:id="2"/>
      </w:r>
      <w:r w:rsidRPr="00535EFE">
        <w:rPr>
          <w:sz w:val="26"/>
          <w:szCs w:val="26"/>
        </w:rPr>
        <w:t xml:space="preserve"> and consider the Complainant’s </w:t>
      </w:r>
      <w:r w:rsidR="0076453A">
        <w:rPr>
          <w:sz w:val="26"/>
          <w:szCs w:val="26"/>
        </w:rPr>
        <w:t xml:space="preserve">filing </w:t>
      </w:r>
      <w:r w:rsidRPr="00535EFE">
        <w:rPr>
          <w:sz w:val="26"/>
          <w:szCs w:val="26"/>
        </w:rPr>
        <w:t>as a Petition for Re</w:t>
      </w:r>
      <w:r w:rsidR="00C72B30">
        <w:rPr>
          <w:sz w:val="26"/>
          <w:szCs w:val="26"/>
        </w:rPr>
        <w:t>scission</w:t>
      </w:r>
      <w:r w:rsidRPr="00535EFE">
        <w:rPr>
          <w:sz w:val="26"/>
          <w:szCs w:val="26"/>
        </w:rPr>
        <w:t xml:space="preserve"> of our </w:t>
      </w:r>
      <w:r w:rsidR="007D5789" w:rsidRPr="007D5789">
        <w:rPr>
          <w:i/>
          <w:iCs/>
          <w:sz w:val="26"/>
          <w:szCs w:val="26"/>
        </w:rPr>
        <w:t>Final Order</w:t>
      </w:r>
      <w:r>
        <w:rPr>
          <w:sz w:val="26"/>
          <w:szCs w:val="26"/>
        </w:rPr>
        <w:t>.  52 Pa. Code § </w:t>
      </w:r>
      <w:r w:rsidRPr="00535EFE">
        <w:rPr>
          <w:sz w:val="26"/>
          <w:szCs w:val="26"/>
        </w:rPr>
        <w:t>5.</w:t>
      </w:r>
      <w:r w:rsidRPr="00E34CEF">
        <w:rPr>
          <w:sz w:val="26"/>
          <w:szCs w:val="26"/>
        </w:rPr>
        <w:t>572(</w:t>
      </w:r>
      <w:r w:rsidR="006C540D">
        <w:rPr>
          <w:sz w:val="26"/>
          <w:szCs w:val="26"/>
        </w:rPr>
        <w:t>d</w:t>
      </w:r>
      <w:r w:rsidRPr="00E34CEF">
        <w:rPr>
          <w:sz w:val="26"/>
          <w:szCs w:val="26"/>
        </w:rPr>
        <w:t>).</w:t>
      </w:r>
      <w:r>
        <w:rPr>
          <w:sz w:val="26"/>
          <w:szCs w:val="26"/>
        </w:rPr>
        <w:t xml:space="preserve">  </w:t>
      </w:r>
      <w:r w:rsidR="00775367">
        <w:rPr>
          <w:sz w:val="26"/>
          <w:szCs w:val="26"/>
        </w:rPr>
        <w:t>PECO did not file an</w:t>
      </w:r>
      <w:r>
        <w:rPr>
          <w:sz w:val="26"/>
          <w:szCs w:val="26"/>
        </w:rPr>
        <w:t xml:space="preserve"> Answer to the Complainant’s Petition.</w:t>
      </w:r>
    </w:p>
    <w:p w14:paraId="03857551" w14:textId="77777777" w:rsidR="0076453A" w:rsidRPr="00804C25" w:rsidRDefault="0076453A" w:rsidP="007D5789">
      <w:pPr>
        <w:suppressAutoHyphens/>
        <w:spacing w:line="360" w:lineRule="auto"/>
        <w:ind w:left="-90" w:firstLine="1530"/>
        <w:rPr>
          <w:sz w:val="26"/>
          <w:szCs w:val="26"/>
        </w:rPr>
      </w:pPr>
    </w:p>
    <w:p w14:paraId="7C62EAF1" w14:textId="77777777" w:rsidR="00977543" w:rsidRPr="00977543" w:rsidRDefault="00977543" w:rsidP="005617ED">
      <w:pPr>
        <w:keepNext/>
        <w:keepLines/>
        <w:widowControl/>
        <w:spacing w:line="360" w:lineRule="auto"/>
        <w:rPr>
          <w:b/>
          <w:bCs/>
          <w:sz w:val="26"/>
        </w:rPr>
      </w:pPr>
      <w:r w:rsidRPr="00977543">
        <w:rPr>
          <w:b/>
          <w:bCs/>
          <w:sz w:val="26"/>
        </w:rPr>
        <w:t>Legal Standards</w:t>
      </w:r>
    </w:p>
    <w:p w14:paraId="79DC26CB" w14:textId="77777777" w:rsidR="00977543" w:rsidRDefault="00977543" w:rsidP="005617ED">
      <w:pPr>
        <w:keepNext/>
        <w:keepLines/>
        <w:widowControl/>
        <w:spacing w:line="360" w:lineRule="auto"/>
        <w:rPr>
          <w:sz w:val="26"/>
        </w:rPr>
      </w:pPr>
    </w:p>
    <w:p w14:paraId="7AF7BA13" w14:textId="2A32377A" w:rsidR="001A0123" w:rsidRDefault="006A21D9" w:rsidP="006A21D9">
      <w:pPr>
        <w:widowControl/>
        <w:spacing w:line="360" w:lineRule="auto"/>
        <w:ind w:firstLine="1440"/>
        <w:rPr>
          <w:rFonts w:eastAsiaTheme="minorHAnsi"/>
          <w:sz w:val="26"/>
          <w:szCs w:val="26"/>
        </w:rPr>
      </w:pPr>
      <w:r w:rsidRPr="006A21D9">
        <w:rPr>
          <w:rFonts w:eastAsiaTheme="minorHAnsi"/>
          <w:sz w:val="26"/>
          <w:szCs w:val="26"/>
        </w:rPr>
        <w:t xml:space="preserve">By the terms of Section 703(g) of the Code, the Commission has the power to amend or rescind its own orders at any time subject only to the requirements of due process.  </w:t>
      </w:r>
    </w:p>
    <w:p w14:paraId="0CAA5F32" w14:textId="77777777" w:rsidR="006A21D9" w:rsidRPr="006A21D9" w:rsidRDefault="006A21D9" w:rsidP="006A21D9">
      <w:pPr>
        <w:widowControl/>
        <w:spacing w:line="360" w:lineRule="auto"/>
        <w:ind w:firstLine="1440"/>
        <w:rPr>
          <w:rFonts w:eastAsiaTheme="minorHAnsi"/>
          <w:sz w:val="26"/>
          <w:szCs w:val="26"/>
        </w:rPr>
      </w:pPr>
      <w:r w:rsidRPr="006A21D9">
        <w:rPr>
          <w:rFonts w:eastAsiaTheme="minorHAnsi"/>
          <w:sz w:val="26"/>
          <w:szCs w:val="26"/>
        </w:rPr>
        <w:t>Section 703(g) of the Code states</w:t>
      </w:r>
      <w:r w:rsidR="00D06C32">
        <w:rPr>
          <w:rFonts w:eastAsiaTheme="minorHAnsi"/>
          <w:sz w:val="26"/>
          <w:szCs w:val="26"/>
        </w:rPr>
        <w:t>, in relevant part</w:t>
      </w:r>
      <w:r w:rsidRPr="006A21D9">
        <w:rPr>
          <w:rFonts w:eastAsiaTheme="minorHAnsi"/>
          <w:sz w:val="26"/>
          <w:szCs w:val="26"/>
        </w:rPr>
        <w:t xml:space="preserve">:  </w:t>
      </w:r>
    </w:p>
    <w:p w14:paraId="7F12B10A" w14:textId="77777777" w:rsidR="006A21D9" w:rsidRPr="006A21D9" w:rsidRDefault="006A21D9" w:rsidP="006A21D9">
      <w:pPr>
        <w:widowControl/>
        <w:spacing w:line="360" w:lineRule="auto"/>
        <w:ind w:firstLine="1440"/>
        <w:rPr>
          <w:rFonts w:eastAsiaTheme="minorHAnsi"/>
          <w:sz w:val="26"/>
          <w:szCs w:val="26"/>
        </w:rPr>
      </w:pPr>
    </w:p>
    <w:p w14:paraId="0B1ECF76" w14:textId="77777777" w:rsidR="006A21D9" w:rsidRPr="006A21D9" w:rsidRDefault="006A21D9" w:rsidP="006A21D9">
      <w:pPr>
        <w:widowControl/>
        <w:ind w:left="1440" w:right="1440"/>
        <w:rPr>
          <w:rFonts w:eastAsiaTheme="minorHAnsi"/>
          <w:sz w:val="26"/>
          <w:szCs w:val="26"/>
        </w:rPr>
      </w:pPr>
      <w:r w:rsidRPr="006A21D9">
        <w:rPr>
          <w:rFonts w:eastAsiaTheme="minorHAnsi"/>
          <w:sz w:val="26"/>
          <w:szCs w:val="26"/>
        </w:rPr>
        <w:t>The commission may, at any time, after notice and after opportunity to be heard as provided in this chapter, rescind or amend any order made by it.  Any order rescinding or amending a prior order shall</w:t>
      </w:r>
      <w:r w:rsidR="00D06C32">
        <w:rPr>
          <w:rFonts w:eastAsiaTheme="minorHAnsi"/>
          <w:sz w:val="26"/>
          <w:szCs w:val="26"/>
        </w:rPr>
        <w:t>…</w:t>
      </w:r>
      <w:r w:rsidRPr="006A21D9">
        <w:rPr>
          <w:rFonts w:eastAsiaTheme="minorHAnsi"/>
          <w:sz w:val="26"/>
          <w:szCs w:val="26"/>
        </w:rPr>
        <w:t xml:space="preserve"> have the same effect as is herein provided for original orders.</w:t>
      </w:r>
    </w:p>
    <w:p w14:paraId="38099B0A" w14:textId="77777777" w:rsidR="006A21D9" w:rsidRPr="006A21D9" w:rsidRDefault="006A21D9" w:rsidP="00920C81">
      <w:pPr>
        <w:widowControl/>
        <w:spacing w:line="480" w:lineRule="auto"/>
        <w:ind w:left="1440"/>
        <w:rPr>
          <w:rFonts w:eastAsiaTheme="minorHAnsi"/>
          <w:sz w:val="26"/>
          <w:szCs w:val="26"/>
        </w:rPr>
      </w:pPr>
    </w:p>
    <w:p w14:paraId="638D98CF" w14:textId="72D4722B" w:rsidR="006A21D9" w:rsidRPr="006A21D9" w:rsidRDefault="006A21D9" w:rsidP="006A21D9">
      <w:pPr>
        <w:widowControl/>
        <w:spacing w:line="360" w:lineRule="auto"/>
        <w:rPr>
          <w:rFonts w:eastAsiaTheme="minorHAnsi"/>
          <w:sz w:val="26"/>
          <w:szCs w:val="26"/>
        </w:rPr>
      </w:pPr>
      <w:r w:rsidRPr="006A21D9">
        <w:rPr>
          <w:rFonts w:eastAsiaTheme="minorHAnsi"/>
          <w:sz w:val="26"/>
          <w:szCs w:val="26"/>
        </w:rPr>
        <w:t xml:space="preserve">66 Pa. C.S. § 703(g); </w:t>
      </w:r>
      <w:r w:rsidRPr="0076453A">
        <w:rPr>
          <w:rFonts w:eastAsiaTheme="minorHAnsi"/>
          <w:i/>
          <w:sz w:val="26"/>
          <w:szCs w:val="26"/>
        </w:rPr>
        <w:t>see also</w:t>
      </w:r>
      <w:r w:rsidRPr="006A21D9">
        <w:rPr>
          <w:rFonts w:eastAsiaTheme="minorHAnsi"/>
          <w:sz w:val="26"/>
          <w:szCs w:val="26"/>
        </w:rPr>
        <w:t xml:space="preserve"> </w:t>
      </w:r>
      <w:r w:rsidRPr="006A21D9">
        <w:rPr>
          <w:rFonts w:eastAsiaTheme="minorHAnsi"/>
          <w:i/>
          <w:iCs/>
          <w:sz w:val="26"/>
          <w:szCs w:val="26"/>
        </w:rPr>
        <w:t>Department of Highways v. Pa. PUC</w:t>
      </w:r>
      <w:r w:rsidRPr="006A21D9">
        <w:rPr>
          <w:rFonts w:eastAsiaTheme="minorHAnsi"/>
          <w:sz w:val="26"/>
          <w:szCs w:val="26"/>
        </w:rPr>
        <w:t>, 138 A.2d 143 (Pa.</w:t>
      </w:r>
      <w:r w:rsidR="00D93DA2">
        <w:rPr>
          <w:rFonts w:eastAsiaTheme="minorHAnsi"/>
          <w:sz w:val="26"/>
          <w:szCs w:val="26"/>
        </w:rPr>
        <w:t> </w:t>
      </w:r>
      <w:r w:rsidRPr="006A21D9">
        <w:rPr>
          <w:rFonts w:eastAsiaTheme="minorHAnsi"/>
          <w:sz w:val="26"/>
          <w:szCs w:val="26"/>
        </w:rPr>
        <w:t>Super. 1958).  In exercising our authority to amend or rescind an order pursuant to</w:t>
      </w:r>
      <w:r w:rsidR="00D06C32">
        <w:rPr>
          <w:rFonts w:eastAsiaTheme="minorHAnsi"/>
          <w:sz w:val="26"/>
          <w:szCs w:val="26"/>
        </w:rPr>
        <w:t xml:space="preserve"> </w:t>
      </w:r>
      <w:r w:rsidRPr="006A21D9">
        <w:rPr>
          <w:rFonts w:eastAsiaTheme="minorHAnsi"/>
          <w:sz w:val="26"/>
          <w:szCs w:val="26"/>
        </w:rPr>
        <w:t xml:space="preserve">Section 703(g), the Supreme Court of Pennsylvania has stated: “Because such relief may result in disturbance of final orders, it must be granted judiciously and only under </w:t>
      </w:r>
      <w:r w:rsidRPr="006A21D9">
        <w:rPr>
          <w:rFonts w:eastAsiaTheme="minorHAnsi"/>
          <w:sz w:val="26"/>
          <w:szCs w:val="26"/>
        </w:rPr>
        <w:lastRenderedPageBreak/>
        <w:t xml:space="preserve">appropriate circumstances.”  </w:t>
      </w:r>
      <w:r w:rsidRPr="006A21D9">
        <w:rPr>
          <w:rFonts w:eastAsiaTheme="minorHAnsi"/>
          <w:i/>
          <w:iCs/>
          <w:sz w:val="26"/>
          <w:szCs w:val="26"/>
        </w:rPr>
        <w:t>See</w:t>
      </w:r>
      <w:r w:rsidRPr="006A21D9">
        <w:rPr>
          <w:rFonts w:eastAsiaTheme="minorHAnsi"/>
          <w:sz w:val="26"/>
          <w:szCs w:val="26"/>
        </w:rPr>
        <w:t xml:space="preserve"> </w:t>
      </w:r>
      <w:r w:rsidRPr="006A21D9">
        <w:rPr>
          <w:rFonts w:eastAsiaTheme="minorHAnsi"/>
          <w:i/>
          <w:iCs/>
          <w:sz w:val="26"/>
          <w:szCs w:val="26"/>
        </w:rPr>
        <w:t>City of Pittsburgh v. Pennsylvania Department of Transportation</w:t>
      </w:r>
      <w:r w:rsidRPr="006A21D9">
        <w:rPr>
          <w:rFonts w:eastAsiaTheme="minorHAnsi"/>
          <w:sz w:val="26"/>
          <w:szCs w:val="26"/>
        </w:rPr>
        <w:t>, 416 A.2d 461 (Pa. 1980).</w:t>
      </w:r>
      <w:r w:rsidR="00D06C32" w:rsidRPr="00D06C32">
        <w:rPr>
          <w:rStyle w:val="FootnoteReference"/>
          <w:rFonts w:eastAsiaTheme="minorHAnsi"/>
          <w:sz w:val="26"/>
          <w:szCs w:val="26"/>
        </w:rPr>
        <w:t xml:space="preserve"> </w:t>
      </w:r>
      <w:r w:rsidR="00D06C32">
        <w:rPr>
          <w:rStyle w:val="FootnoteReference"/>
          <w:rFonts w:eastAsiaTheme="minorHAnsi"/>
          <w:sz w:val="26"/>
          <w:szCs w:val="26"/>
        </w:rPr>
        <w:footnoteReference w:id="3"/>
      </w:r>
      <w:r w:rsidR="00D06C32" w:rsidRPr="006A21D9">
        <w:rPr>
          <w:rFonts w:eastAsiaTheme="minorHAnsi"/>
          <w:sz w:val="26"/>
          <w:szCs w:val="26"/>
        </w:rPr>
        <w:t xml:space="preserve">  </w:t>
      </w:r>
    </w:p>
    <w:p w14:paraId="4A2C36A8" w14:textId="77777777" w:rsidR="006A21D9" w:rsidRPr="006A21D9" w:rsidRDefault="006A21D9" w:rsidP="006A21D9">
      <w:pPr>
        <w:widowControl/>
        <w:spacing w:line="360" w:lineRule="auto"/>
        <w:rPr>
          <w:rFonts w:eastAsiaTheme="minorHAnsi"/>
          <w:sz w:val="26"/>
          <w:szCs w:val="26"/>
        </w:rPr>
      </w:pPr>
    </w:p>
    <w:p w14:paraId="1D39B5BB" w14:textId="77777777" w:rsidR="006A21D9" w:rsidRPr="006A21D9" w:rsidRDefault="006A21D9" w:rsidP="006A21D9">
      <w:pPr>
        <w:widowControl/>
        <w:spacing w:line="360" w:lineRule="auto"/>
        <w:rPr>
          <w:rFonts w:eastAsiaTheme="minorHAnsi"/>
          <w:sz w:val="26"/>
          <w:szCs w:val="26"/>
        </w:rPr>
      </w:pPr>
      <w:r w:rsidRPr="006A21D9">
        <w:rPr>
          <w:rFonts w:eastAsiaTheme="minorHAnsi"/>
          <w:sz w:val="26"/>
          <w:szCs w:val="26"/>
        </w:rPr>
        <w:tab/>
      </w:r>
      <w:r w:rsidRPr="006A21D9">
        <w:rPr>
          <w:rFonts w:eastAsiaTheme="minorHAnsi"/>
          <w:sz w:val="26"/>
          <w:szCs w:val="26"/>
        </w:rPr>
        <w:tab/>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Pr="006A21D9">
        <w:rPr>
          <w:rFonts w:eastAsiaTheme="minorHAnsi"/>
          <w:i/>
          <w:iCs/>
          <w:sz w:val="26"/>
          <w:szCs w:val="26"/>
        </w:rPr>
        <w:t>Duick</w:t>
      </w:r>
      <w:proofErr w:type="spellEnd"/>
      <w:r w:rsidRPr="006A21D9">
        <w:rPr>
          <w:rFonts w:eastAsiaTheme="minorHAnsi"/>
          <w:i/>
          <w:iCs/>
          <w:sz w:val="26"/>
          <w:szCs w:val="26"/>
        </w:rPr>
        <w:t xml:space="preserve"> v. Pennsylvania Gas and Water Company</w:t>
      </w:r>
      <w:r w:rsidRPr="006A21D9">
        <w:rPr>
          <w:rFonts w:eastAsiaTheme="minorHAnsi"/>
          <w:sz w:val="26"/>
          <w:szCs w:val="26"/>
        </w:rPr>
        <w:t>, Docket No. C-R0597001 et al., 56 Pa. P.U.C. 553 (Order entered December 17, 1982) (</w:t>
      </w:r>
      <w:proofErr w:type="spellStart"/>
      <w:r w:rsidRPr="006A21D9">
        <w:rPr>
          <w:rFonts w:eastAsiaTheme="minorHAnsi"/>
          <w:i/>
          <w:iCs/>
          <w:sz w:val="26"/>
          <w:szCs w:val="26"/>
        </w:rPr>
        <w:t>Duick</w:t>
      </w:r>
      <w:proofErr w:type="spellEnd"/>
      <w:r w:rsidRPr="006A21D9">
        <w:rPr>
          <w:rFonts w:eastAsiaTheme="minorHAnsi"/>
          <w:sz w:val="26"/>
          <w:szCs w:val="26"/>
        </w:rPr>
        <w:t xml:space="preserve">) (quoting Pennsylvania Railroad Co. v. Pennsylvania Public Service Commission, 179 A. 850, 854 (Pa. Super. Ct. 1935)).  As we stated in </w:t>
      </w:r>
      <w:proofErr w:type="spellStart"/>
      <w:r w:rsidRPr="006A21D9">
        <w:rPr>
          <w:rFonts w:eastAsiaTheme="minorHAnsi"/>
          <w:i/>
          <w:iCs/>
          <w:sz w:val="26"/>
          <w:szCs w:val="26"/>
        </w:rPr>
        <w:t>Duick</w:t>
      </w:r>
      <w:proofErr w:type="spellEnd"/>
      <w:r w:rsidRPr="006A21D9">
        <w:rPr>
          <w:rFonts w:eastAsiaTheme="minorHAnsi"/>
          <w:sz w:val="26"/>
          <w:szCs w:val="26"/>
        </w:rPr>
        <w:t>:</w:t>
      </w:r>
    </w:p>
    <w:p w14:paraId="49FD9396" w14:textId="77777777" w:rsidR="006A21D9" w:rsidRPr="006A21D9" w:rsidRDefault="006A21D9" w:rsidP="006A21D9">
      <w:pPr>
        <w:widowControl/>
        <w:spacing w:line="360" w:lineRule="auto"/>
        <w:rPr>
          <w:rFonts w:eastAsiaTheme="minorHAnsi"/>
          <w:sz w:val="26"/>
          <w:szCs w:val="26"/>
        </w:rPr>
      </w:pPr>
    </w:p>
    <w:p w14:paraId="2013B45D" w14:textId="77777777" w:rsidR="006A21D9" w:rsidRPr="006A21D9" w:rsidRDefault="006A21D9" w:rsidP="006A21D9">
      <w:pPr>
        <w:widowControl/>
        <w:ind w:left="1440" w:right="1440"/>
        <w:rPr>
          <w:rFonts w:eastAsiaTheme="minorHAnsi"/>
          <w:sz w:val="26"/>
          <w:szCs w:val="26"/>
        </w:rPr>
      </w:pPr>
      <w:r w:rsidRPr="006A21D9">
        <w:rPr>
          <w:rFonts w:eastAsiaTheme="minorHAnsi"/>
          <w:sz w:val="26"/>
          <w:szCs w:val="26"/>
        </w:rPr>
        <w:t xml:space="preserve">What we expect to see raised in such petitions </w:t>
      </w:r>
      <w:r w:rsidRPr="006A21D9">
        <w:rPr>
          <w:rFonts w:eastAsiaTheme="minorHAnsi"/>
          <w:i/>
          <w:iCs/>
          <w:sz w:val="26"/>
          <w:szCs w:val="26"/>
        </w:rPr>
        <w:t>are new and novel arguments, not previously heard, or considerations which appear to have been overlooked or not addressed by the commission</w:t>
      </w:r>
      <w:r w:rsidRPr="006A21D9">
        <w:rPr>
          <w:rFonts w:eastAsiaTheme="minorHAnsi"/>
          <w:sz w:val="26"/>
          <w:szCs w:val="26"/>
        </w:rPr>
        <w:t>.  Absent such matters being presented, we consider it unlikely that a party will succeed in persuading us that our initial decision on a matter or issue was either unwise or in error.</w:t>
      </w:r>
    </w:p>
    <w:p w14:paraId="2EFB2994" w14:textId="77777777" w:rsidR="006A21D9" w:rsidRPr="006A21D9" w:rsidRDefault="006A21D9" w:rsidP="006A21D9">
      <w:pPr>
        <w:widowControl/>
        <w:spacing w:line="360" w:lineRule="auto"/>
        <w:ind w:left="1440"/>
        <w:rPr>
          <w:rFonts w:eastAsiaTheme="minorHAnsi"/>
          <w:sz w:val="26"/>
          <w:szCs w:val="26"/>
        </w:rPr>
      </w:pPr>
    </w:p>
    <w:p w14:paraId="7476EBC7" w14:textId="77777777" w:rsidR="006A21D9" w:rsidRPr="006A21D9" w:rsidRDefault="006A21D9" w:rsidP="006A21D9">
      <w:pPr>
        <w:widowControl/>
        <w:spacing w:line="360" w:lineRule="auto"/>
        <w:rPr>
          <w:rFonts w:eastAsiaTheme="minorHAnsi"/>
          <w:sz w:val="26"/>
          <w:szCs w:val="26"/>
        </w:rPr>
      </w:pPr>
      <w:proofErr w:type="spellStart"/>
      <w:r w:rsidRPr="006A21D9">
        <w:rPr>
          <w:rFonts w:eastAsiaTheme="minorHAnsi"/>
          <w:i/>
          <w:iCs/>
          <w:sz w:val="26"/>
          <w:szCs w:val="26"/>
        </w:rPr>
        <w:t>Duick</w:t>
      </w:r>
      <w:proofErr w:type="spellEnd"/>
      <w:r w:rsidRPr="006A21D9">
        <w:rPr>
          <w:rFonts w:eastAsiaTheme="minorHAnsi"/>
          <w:sz w:val="26"/>
          <w:szCs w:val="26"/>
        </w:rPr>
        <w:t xml:space="preserve"> at 559 (emphasis added). </w:t>
      </w:r>
    </w:p>
    <w:p w14:paraId="11402968" w14:textId="77777777" w:rsidR="006A21D9" w:rsidRPr="006A21D9" w:rsidRDefault="006A21D9" w:rsidP="006A21D9">
      <w:pPr>
        <w:widowControl/>
        <w:spacing w:line="360" w:lineRule="auto"/>
        <w:rPr>
          <w:rFonts w:eastAsiaTheme="minorHAnsi"/>
          <w:sz w:val="26"/>
          <w:szCs w:val="26"/>
        </w:rPr>
      </w:pPr>
    </w:p>
    <w:p w14:paraId="658134D9" w14:textId="54D8B585" w:rsidR="00977543" w:rsidRPr="007E37E7" w:rsidRDefault="006A21D9" w:rsidP="007E37E7">
      <w:pPr>
        <w:widowControl/>
        <w:spacing w:line="360" w:lineRule="auto"/>
        <w:rPr>
          <w:rFonts w:eastAsiaTheme="minorHAnsi"/>
          <w:sz w:val="26"/>
          <w:szCs w:val="26"/>
        </w:rPr>
      </w:pPr>
      <w:r w:rsidRPr="006A21D9">
        <w:rPr>
          <w:rFonts w:eastAsiaTheme="minorHAnsi"/>
          <w:sz w:val="26"/>
          <w:szCs w:val="26"/>
        </w:rPr>
        <w:tab/>
      </w:r>
      <w:r w:rsidRPr="006A21D9">
        <w:rPr>
          <w:rFonts w:eastAsiaTheme="minorHAnsi"/>
          <w:sz w:val="26"/>
          <w:szCs w:val="26"/>
        </w:rPr>
        <w:tab/>
        <w:t xml:space="preserve">Finally, the Commission is not required to consider expressly or at length each contention or argument raised by the parties.  </w:t>
      </w:r>
      <w:r w:rsidRPr="006A21D9">
        <w:rPr>
          <w:rFonts w:eastAsiaTheme="minorHAnsi"/>
          <w:i/>
          <w:iCs/>
          <w:sz w:val="26"/>
          <w:szCs w:val="26"/>
        </w:rPr>
        <w:t>Consolidated Rail Corp. v. Pa. PUC</w:t>
      </w:r>
      <w:r w:rsidRPr="006A21D9">
        <w:rPr>
          <w:rFonts w:eastAsiaTheme="minorHAnsi"/>
          <w:sz w:val="26"/>
          <w:szCs w:val="26"/>
        </w:rPr>
        <w:t xml:space="preserve">, 625 A.2d 741 (Pa. </w:t>
      </w:r>
      <w:proofErr w:type="spellStart"/>
      <w:r w:rsidRPr="006A21D9">
        <w:rPr>
          <w:rFonts w:eastAsiaTheme="minorHAnsi"/>
          <w:sz w:val="26"/>
          <w:szCs w:val="26"/>
        </w:rPr>
        <w:t>Cmwlth</w:t>
      </w:r>
      <w:proofErr w:type="spellEnd"/>
      <w:r w:rsidRPr="006A21D9">
        <w:rPr>
          <w:rFonts w:eastAsiaTheme="minorHAnsi"/>
          <w:sz w:val="26"/>
          <w:szCs w:val="26"/>
        </w:rPr>
        <w:t xml:space="preserve">. 1993); </w:t>
      </w:r>
      <w:r w:rsidRPr="006A21D9">
        <w:rPr>
          <w:rFonts w:eastAsiaTheme="minorHAnsi"/>
          <w:i/>
          <w:iCs/>
          <w:sz w:val="26"/>
          <w:szCs w:val="26"/>
        </w:rPr>
        <w:t>see also, generally</w:t>
      </w:r>
      <w:r w:rsidRPr="006A21D9">
        <w:rPr>
          <w:rFonts w:eastAsiaTheme="minorHAnsi"/>
          <w:sz w:val="26"/>
          <w:szCs w:val="26"/>
        </w:rPr>
        <w:t xml:space="preserve">, </w:t>
      </w:r>
      <w:r w:rsidRPr="006A21D9">
        <w:rPr>
          <w:rFonts w:eastAsiaTheme="minorHAnsi"/>
          <w:i/>
          <w:iCs/>
          <w:sz w:val="26"/>
          <w:szCs w:val="26"/>
        </w:rPr>
        <w:t>University of Pennsylvania v. Pa.</w:t>
      </w:r>
      <w:r w:rsidR="00D93DA2">
        <w:rPr>
          <w:rFonts w:eastAsiaTheme="minorHAnsi"/>
          <w:i/>
          <w:iCs/>
          <w:sz w:val="26"/>
          <w:szCs w:val="26"/>
        </w:rPr>
        <w:t> </w:t>
      </w:r>
      <w:r w:rsidRPr="006A21D9">
        <w:rPr>
          <w:rFonts w:eastAsiaTheme="minorHAnsi"/>
          <w:i/>
          <w:iCs/>
          <w:sz w:val="26"/>
          <w:szCs w:val="26"/>
        </w:rPr>
        <w:t>PUC</w:t>
      </w:r>
      <w:r w:rsidRPr="006A21D9">
        <w:rPr>
          <w:rFonts w:eastAsiaTheme="minorHAnsi"/>
          <w:sz w:val="26"/>
          <w:szCs w:val="26"/>
        </w:rPr>
        <w:t xml:space="preserve">, 485 A.2d 1217 (Pa. </w:t>
      </w:r>
      <w:proofErr w:type="spellStart"/>
      <w:r w:rsidRPr="006A21D9">
        <w:rPr>
          <w:rFonts w:eastAsiaTheme="minorHAnsi"/>
          <w:sz w:val="26"/>
          <w:szCs w:val="26"/>
        </w:rPr>
        <w:t>Cmwlth</w:t>
      </w:r>
      <w:proofErr w:type="spellEnd"/>
      <w:r w:rsidRPr="006A21D9">
        <w:rPr>
          <w:rFonts w:eastAsiaTheme="minorHAnsi"/>
          <w:sz w:val="26"/>
          <w:szCs w:val="26"/>
        </w:rPr>
        <w:t>. 1984).</w:t>
      </w:r>
      <w:r w:rsidRPr="006A21D9">
        <w:rPr>
          <w:rFonts w:asciiTheme="minorHAnsi" w:eastAsiaTheme="minorHAnsi" w:hAnsiTheme="minorHAnsi" w:cstheme="minorBidi"/>
          <w:color w:val="000000"/>
          <w:sz w:val="22"/>
          <w:szCs w:val="26"/>
        </w:rPr>
        <w:t xml:space="preserve">  </w:t>
      </w:r>
    </w:p>
    <w:p w14:paraId="28D56045" w14:textId="77777777" w:rsidR="00977543" w:rsidRDefault="00977543" w:rsidP="00977543">
      <w:pPr>
        <w:spacing w:line="360" w:lineRule="auto"/>
        <w:rPr>
          <w:sz w:val="26"/>
        </w:rPr>
      </w:pPr>
    </w:p>
    <w:p w14:paraId="1CDAFF13" w14:textId="77777777" w:rsidR="00472E9C" w:rsidRDefault="00041B53" w:rsidP="00977543">
      <w:pPr>
        <w:spacing w:line="360" w:lineRule="auto"/>
        <w:rPr>
          <w:b/>
          <w:bCs/>
          <w:sz w:val="26"/>
        </w:rPr>
      </w:pPr>
      <w:r>
        <w:rPr>
          <w:b/>
          <w:bCs/>
          <w:sz w:val="26"/>
        </w:rPr>
        <w:lastRenderedPageBreak/>
        <w:t>Final Order</w:t>
      </w:r>
    </w:p>
    <w:p w14:paraId="187844BC" w14:textId="77777777" w:rsidR="00472E9C" w:rsidRDefault="00472E9C" w:rsidP="00472E9C">
      <w:pPr>
        <w:widowControl/>
        <w:spacing w:line="360" w:lineRule="auto"/>
        <w:ind w:firstLine="1440"/>
        <w:rPr>
          <w:sz w:val="26"/>
          <w:szCs w:val="26"/>
        </w:rPr>
      </w:pPr>
    </w:p>
    <w:p w14:paraId="58F1A90D" w14:textId="77777777" w:rsidR="00442297" w:rsidRDefault="00472E9C" w:rsidP="00442297">
      <w:pPr>
        <w:widowControl/>
        <w:spacing w:line="360" w:lineRule="auto"/>
        <w:ind w:firstLine="1440"/>
        <w:rPr>
          <w:spacing w:val="-3"/>
          <w:sz w:val="26"/>
          <w:szCs w:val="26"/>
        </w:rPr>
      </w:pPr>
      <w:r>
        <w:rPr>
          <w:sz w:val="26"/>
          <w:szCs w:val="26"/>
        </w:rPr>
        <w:t xml:space="preserve">As noted above, the </w:t>
      </w:r>
      <w:r w:rsidR="00041B53">
        <w:rPr>
          <w:i/>
          <w:iCs/>
          <w:sz w:val="26"/>
          <w:szCs w:val="26"/>
        </w:rPr>
        <w:t>Final Order</w:t>
      </w:r>
      <w:r>
        <w:rPr>
          <w:sz w:val="26"/>
          <w:szCs w:val="26"/>
        </w:rPr>
        <w:t xml:space="preserve"> stated that i</w:t>
      </w:r>
      <w:r w:rsidRPr="00E43798">
        <w:rPr>
          <w:spacing w:val="-3"/>
          <w:sz w:val="26"/>
          <w:szCs w:val="26"/>
        </w:rPr>
        <w:t xml:space="preserve">n accordance with </w:t>
      </w:r>
      <w:r>
        <w:rPr>
          <w:spacing w:val="-3"/>
          <w:sz w:val="26"/>
          <w:szCs w:val="26"/>
        </w:rPr>
        <w:t>the provisions of</w:t>
      </w:r>
      <w:r w:rsidR="00E823C5">
        <w:rPr>
          <w:spacing w:val="-3"/>
          <w:sz w:val="26"/>
          <w:szCs w:val="26"/>
        </w:rPr>
        <w:t xml:space="preserve"> 66 Pa. C.S. § 332(h)</w:t>
      </w:r>
      <w:r w:rsidRPr="00E43798">
        <w:rPr>
          <w:spacing w:val="-3"/>
          <w:sz w:val="26"/>
          <w:szCs w:val="26"/>
        </w:rPr>
        <w:t>,</w:t>
      </w:r>
      <w:r w:rsidRPr="00472E9C">
        <w:rPr>
          <w:rStyle w:val="FootnoteReference"/>
          <w:spacing w:val="-3"/>
          <w:sz w:val="26"/>
          <w:szCs w:val="26"/>
        </w:rPr>
        <w:t xml:space="preserve"> </w:t>
      </w:r>
      <w:r>
        <w:rPr>
          <w:rStyle w:val="FootnoteReference"/>
          <w:spacing w:val="-3"/>
          <w:sz w:val="26"/>
          <w:szCs w:val="26"/>
        </w:rPr>
        <w:footnoteReference w:id="4"/>
      </w:r>
      <w:r>
        <w:rPr>
          <w:spacing w:val="-3"/>
          <w:sz w:val="26"/>
          <w:szCs w:val="26"/>
        </w:rPr>
        <w:t xml:space="preserve"> the</w:t>
      </w:r>
      <w:r w:rsidRPr="00E43798">
        <w:rPr>
          <w:spacing w:val="-3"/>
          <w:sz w:val="26"/>
          <w:szCs w:val="26"/>
        </w:rPr>
        <w:t xml:space="preserve"> </w:t>
      </w:r>
      <w:r w:rsidRPr="00472E9C">
        <w:rPr>
          <w:i/>
          <w:iCs/>
          <w:spacing w:val="-3"/>
          <w:sz w:val="26"/>
          <w:szCs w:val="26"/>
        </w:rPr>
        <w:t>October 2018 Initial Decision</w:t>
      </w:r>
      <w:r w:rsidRPr="00E43798">
        <w:rPr>
          <w:spacing w:val="-3"/>
          <w:sz w:val="26"/>
          <w:szCs w:val="26"/>
        </w:rPr>
        <w:t xml:space="preserve"> bec</w:t>
      </w:r>
      <w:r>
        <w:rPr>
          <w:spacing w:val="-3"/>
          <w:sz w:val="26"/>
          <w:szCs w:val="26"/>
        </w:rPr>
        <w:t>a</w:t>
      </w:r>
      <w:r w:rsidRPr="00E43798">
        <w:rPr>
          <w:spacing w:val="-3"/>
          <w:sz w:val="26"/>
          <w:szCs w:val="26"/>
        </w:rPr>
        <w:t>me final without further Commission action.</w:t>
      </w:r>
      <w:r>
        <w:rPr>
          <w:spacing w:val="-3"/>
          <w:sz w:val="26"/>
          <w:szCs w:val="26"/>
        </w:rPr>
        <w:t xml:space="preserve">  The </w:t>
      </w:r>
      <w:r w:rsidR="00041B53">
        <w:rPr>
          <w:i/>
          <w:iCs/>
          <w:spacing w:val="-3"/>
          <w:sz w:val="26"/>
          <w:szCs w:val="26"/>
        </w:rPr>
        <w:t>Final Order</w:t>
      </w:r>
      <w:r>
        <w:rPr>
          <w:spacing w:val="-3"/>
          <w:sz w:val="26"/>
          <w:szCs w:val="26"/>
        </w:rPr>
        <w:t xml:space="preserve"> contained three ordering paragraphs, which granted PECO’s motion, dismissed the Complaint and closed the docket.</w:t>
      </w:r>
    </w:p>
    <w:p w14:paraId="49EF3FDF" w14:textId="77777777" w:rsidR="00442297" w:rsidRDefault="00442297" w:rsidP="00442297">
      <w:pPr>
        <w:widowControl/>
        <w:spacing w:line="360" w:lineRule="auto"/>
        <w:ind w:firstLine="1440"/>
        <w:rPr>
          <w:spacing w:val="-3"/>
          <w:sz w:val="26"/>
          <w:szCs w:val="26"/>
        </w:rPr>
      </w:pPr>
    </w:p>
    <w:p w14:paraId="7A723A48" w14:textId="626E1C10" w:rsidR="00B20515" w:rsidRPr="00B20515" w:rsidRDefault="00383639" w:rsidP="00442297">
      <w:pPr>
        <w:widowControl/>
        <w:spacing w:line="360" w:lineRule="auto"/>
        <w:ind w:firstLine="1440"/>
        <w:rPr>
          <w:sz w:val="26"/>
          <w:szCs w:val="26"/>
        </w:rPr>
      </w:pPr>
      <w:r w:rsidRPr="00B20515">
        <w:rPr>
          <w:sz w:val="26"/>
          <w:szCs w:val="26"/>
        </w:rPr>
        <w:t xml:space="preserve">In the </w:t>
      </w:r>
      <w:r w:rsidRPr="00B20515">
        <w:rPr>
          <w:i/>
          <w:iCs/>
          <w:sz w:val="26"/>
          <w:szCs w:val="26"/>
        </w:rPr>
        <w:t>October 2018 Initial Decision</w:t>
      </w:r>
      <w:r w:rsidRPr="00B20515">
        <w:rPr>
          <w:sz w:val="26"/>
          <w:szCs w:val="26"/>
        </w:rPr>
        <w:t xml:space="preserve">, the ALJ </w:t>
      </w:r>
      <w:r w:rsidR="00BD6D0E">
        <w:rPr>
          <w:sz w:val="26"/>
          <w:szCs w:val="26"/>
        </w:rPr>
        <w:t xml:space="preserve">correctly </w:t>
      </w:r>
      <w:r w:rsidR="00B20515" w:rsidRPr="00B20515">
        <w:rPr>
          <w:sz w:val="26"/>
          <w:szCs w:val="26"/>
        </w:rPr>
        <w:t xml:space="preserve">explained that administrative agencies, like the Commission, are required to provide due process to the parties appearing before them and that this requirement is satisfied when the parties are afforded notice and the opportunity to appear and be heard.  I.D. at 4 (citing </w:t>
      </w:r>
      <w:r w:rsidR="00B20515" w:rsidRPr="00B20515">
        <w:rPr>
          <w:i/>
          <w:iCs/>
          <w:sz w:val="26"/>
          <w:szCs w:val="26"/>
        </w:rPr>
        <w:t xml:space="preserve">Schneider v. </w:t>
      </w:r>
      <w:r w:rsidR="00D93DA2">
        <w:rPr>
          <w:i/>
          <w:iCs/>
          <w:sz w:val="26"/>
          <w:szCs w:val="26"/>
        </w:rPr>
        <w:t>Pa. PUC</w:t>
      </w:r>
      <w:r w:rsidR="00B20515" w:rsidRPr="00B20515">
        <w:rPr>
          <w:sz w:val="26"/>
          <w:szCs w:val="26"/>
        </w:rPr>
        <w:t xml:space="preserve">, 479 A.2d 10 (Pa. </w:t>
      </w:r>
      <w:proofErr w:type="spellStart"/>
      <w:r w:rsidR="00B20515" w:rsidRPr="00B20515">
        <w:rPr>
          <w:sz w:val="26"/>
          <w:szCs w:val="26"/>
        </w:rPr>
        <w:t>Cmwlth</w:t>
      </w:r>
      <w:proofErr w:type="spellEnd"/>
      <w:r w:rsidR="00B20515" w:rsidRPr="00B20515">
        <w:rPr>
          <w:sz w:val="26"/>
          <w:szCs w:val="26"/>
        </w:rPr>
        <w:t>. 1984)</w:t>
      </w:r>
      <w:r w:rsidR="008F7BE6">
        <w:rPr>
          <w:sz w:val="26"/>
          <w:szCs w:val="26"/>
        </w:rPr>
        <w:t xml:space="preserve"> (</w:t>
      </w:r>
      <w:r w:rsidR="008F7BE6" w:rsidRPr="008F7BE6">
        <w:rPr>
          <w:i/>
          <w:iCs/>
          <w:sz w:val="26"/>
          <w:szCs w:val="26"/>
        </w:rPr>
        <w:t>Schneider</w:t>
      </w:r>
      <w:r w:rsidR="008F7BE6">
        <w:rPr>
          <w:sz w:val="26"/>
          <w:szCs w:val="26"/>
        </w:rPr>
        <w:t>)</w:t>
      </w:r>
      <w:r w:rsidR="00B20515" w:rsidRPr="00B20515">
        <w:rPr>
          <w:sz w:val="26"/>
          <w:szCs w:val="26"/>
        </w:rPr>
        <w:t xml:space="preserve">). </w:t>
      </w:r>
      <w:r w:rsidR="00BD6D0E">
        <w:rPr>
          <w:sz w:val="26"/>
          <w:szCs w:val="26"/>
        </w:rPr>
        <w:t xml:space="preserve"> The ALJ also correctly explained that, o</w:t>
      </w:r>
      <w:r w:rsidR="00B20515" w:rsidRPr="00B20515">
        <w:rPr>
          <w:sz w:val="26"/>
          <w:szCs w:val="26"/>
        </w:rPr>
        <w:t xml:space="preserve">nce notice of a hearing and the opportunity to be heard has been provided, it is the responsibility of the parties to appear and participate in the hearing.  I.D. at 4 (citing </w:t>
      </w:r>
      <w:proofErr w:type="spellStart"/>
      <w:r w:rsidR="00B20515" w:rsidRPr="00B20515">
        <w:rPr>
          <w:i/>
          <w:iCs/>
          <w:sz w:val="26"/>
          <w:szCs w:val="26"/>
        </w:rPr>
        <w:t>Sentner</w:t>
      </w:r>
      <w:proofErr w:type="spellEnd"/>
      <w:r w:rsidR="00B20515" w:rsidRPr="00B20515">
        <w:rPr>
          <w:i/>
          <w:iCs/>
          <w:sz w:val="26"/>
          <w:szCs w:val="26"/>
        </w:rPr>
        <w:t xml:space="preserve"> v. Bell Telephone Co. of Pennsylvania</w:t>
      </w:r>
      <w:r w:rsidR="00B20515" w:rsidRPr="00B20515">
        <w:rPr>
          <w:sz w:val="26"/>
          <w:szCs w:val="26"/>
        </w:rPr>
        <w:t>, Docket No. F-00161106 (Order entered October 25, 1993)</w:t>
      </w:r>
      <w:r w:rsidR="008F7BE6">
        <w:rPr>
          <w:sz w:val="26"/>
          <w:szCs w:val="26"/>
        </w:rPr>
        <w:t xml:space="preserve"> (</w:t>
      </w:r>
      <w:proofErr w:type="spellStart"/>
      <w:r w:rsidR="008F7BE6" w:rsidRPr="008F7BE6">
        <w:rPr>
          <w:i/>
          <w:iCs/>
          <w:sz w:val="26"/>
          <w:szCs w:val="26"/>
        </w:rPr>
        <w:t>Sentner</w:t>
      </w:r>
      <w:proofErr w:type="spellEnd"/>
      <w:r w:rsidR="008F7BE6">
        <w:rPr>
          <w:sz w:val="26"/>
          <w:szCs w:val="26"/>
        </w:rPr>
        <w:t>)</w:t>
      </w:r>
      <w:r w:rsidR="00B20515" w:rsidRPr="00B20515">
        <w:rPr>
          <w:sz w:val="26"/>
          <w:szCs w:val="26"/>
        </w:rPr>
        <w:t>).</w:t>
      </w:r>
    </w:p>
    <w:p w14:paraId="0B32C80E" w14:textId="77777777" w:rsidR="00B20515" w:rsidRPr="00B20515" w:rsidRDefault="00B20515" w:rsidP="00442297">
      <w:pPr>
        <w:widowControl/>
        <w:spacing w:line="360" w:lineRule="auto"/>
        <w:ind w:firstLine="1440"/>
        <w:rPr>
          <w:sz w:val="26"/>
          <w:szCs w:val="26"/>
        </w:rPr>
      </w:pPr>
    </w:p>
    <w:p w14:paraId="36318A24" w14:textId="77777777" w:rsidR="00B20515" w:rsidRPr="00B20515" w:rsidRDefault="00B20515" w:rsidP="00B20515">
      <w:pPr>
        <w:widowControl/>
        <w:autoSpaceDE w:val="0"/>
        <w:autoSpaceDN w:val="0"/>
        <w:adjustRightInd w:val="0"/>
        <w:spacing w:line="360" w:lineRule="auto"/>
        <w:ind w:firstLine="1440"/>
        <w:rPr>
          <w:rFonts w:eastAsiaTheme="minorHAnsi"/>
          <w:color w:val="000000"/>
          <w:sz w:val="26"/>
          <w:szCs w:val="26"/>
        </w:rPr>
      </w:pPr>
      <w:r w:rsidRPr="00B20515">
        <w:rPr>
          <w:rFonts w:eastAsiaTheme="minorHAnsi"/>
          <w:color w:val="000000"/>
          <w:sz w:val="26"/>
          <w:szCs w:val="26"/>
        </w:rPr>
        <w:t xml:space="preserve">Additionally, the ALJ cited </w:t>
      </w:r>
      <w:r w:rsidR="002955FB">
        <w:rPr>
          <w:rFonts w:eastAsiaTheme="minorHAnsi"/>
          <w:color w:val="000000"/>
          <w:sz w:val="26"/>
          <w:szCs w:val="26"/>
        </w:rPr>
        <w:t xml:space="preserve">to </w:t>
      </w:r>
      <w:r w:rsidRPr="00B20515">
        <w:rPr>
          <w:rFonts w:eastAsiaTheme="minorHAnsi"/>
          <w:color w:val="000000"/>
          <w:sz w:val="26"/>
          <w:szCs w:val="26"/>
        </w:rPr>
        <w:t>the Commission’s Regulations at 52 Pa.</w:t>
      </w:r>
      <w:r>
        <w:rPr>
          <w:rFonts w:eastAsiaTheme="minorHAnsi"/>
          <w:color w:val="000000"/>
          <w:sz w:val="26"/>
          <w:szCs w:val="26"/>
        </w:rPr>
        <w:t xml:space="preserve"> </w:t>
      </w:r>
      <w:r w:rsidRPr="00B20515">
        <w:rPr>
          <w:rFonts w:eastAsiaTheme="minorHAnsi"/>
          <w:color w:val="000000"/>
          <w:sz w:val="26"/>
          <w:szCs w:val="26"/>
        </w:rPr>
        <w:t xml:space="preserve">Code §§ 5.245 (a) and (c), which provide as follows: </w:t>
      </w:r>
    </w:p>
    <w:p w14:paraId="258D64BE" w14:textId="5D28FDFF" w:rsidR="00B20515" w:rsidRDefault="00B20515" w:rsidP="00B20515">
      <w:pPr>
        <w:widowControl/>
        <w:autoSpaceDE w:val="0"/>
        <w:autoSpaceDN w:val="0"/>
        <w:adjustRightInd w:val="0"/>
        <w:rPr>
          <w:rFonts w:eastAsiaTheme="minorHAnsi"/>
          <w:color w:val="000000"/>
          <w:sz w:val="26"/>
          <w:szCs w:val="26"/>
        </w:rPr>
      </w:pPr>
    </w:p>
    <w:p w14:paraId="08A50338" w14:textId="77777777" w:rsidR="0076453A" w:rsidRPr="00B20515" w:rsidRDefault="0076453A" w:rsidP="00B20515">
      <w:pPr>
        <w:widowControl/>
        <w:autoSpaceDE w:val="0"/>
        <w:autoSpaceDN w:val="0"/>
        <w:adjustRightInd w:val="0"/>
        <w:rPr>
          <w:rFonts w:eastAsiaTheme="minorHAnsi"/>
          <w:color w:val="000000"/>
          <w:sz w:val="26"/>
          <w:szCs w:val="26"/>
        </w:rPr>
      </w:pPr>
    </w:p>
    <w:p w14:paraId="3C5E8273" w14:textId="64DF60D9" w:rsidR="00B20515" w:rsidRDefault="00B20515" w:rsidP="00D93DA2">
      <w:pPr>
        <w:keepNext/>
        <w:keepLines/>
        <w:widowControl/>
        <w:autoSpaceDE w:val="0"/>
        <w:autoSpaceDN w:val="0"/>
        <w:adjustRightInd w:val="0"/>
        <w:ind w:left="1440" w:right="1440"/>
        <w:rPr>
          <w:rFonts w:eastAsiaTheme="minorHAnsi"/>
          <w:b/>
          <w:bCs/>
          <w:color w:val="000000"/>
          <w:sz w:val="26"/>
          <w:szCs w:val="26"/>
        </w:rPr>
      </w:pPr>
      <w:r w:rsidRPr="00B20515">
        <w:rPr>
          <w:rFonts w:eastAsiaTheme="minorHAnsi"/>
          <w:b/>
          <w:bCs/>
          <w:color w:val="000000"/>
          <w:sz w:val="26"/>
          <w:szCs w:val="26"/>
        </w:rPr>
        <w:lastRenderedPageBreak/>
        <w:t xml:space="preserve">§ 5.245. Failure to appear, proceed or maintain order in proceedings. </w:t>
      </w:r>
    </w:p>
    <w:p w14:paraId="68935D77" w14:textId="77777777" w:rsidR="00D93DA2" w:rsidRPr="00B20515" w:rsidRDefault="00D93DA2" w:rsidP="00D93DA2">
      <w:pPr>
        <w:keepNext/>
        <w:keepLines/>
        <w:widowControl/>
        <w:autoSpaceDE w:val="0"/>
        <w:autoSpaceDN w:val="0"/>
        <w:adjustRightInd w:val="0"/>
        <w:ind w:left="1440" w:right="1440"/>
        <w:rPr>
          <w:rFonts w:eastAsiaTheme="minorHAnsi"/>
          <w:color w:val="000000"/>
          <w:sz w:val="26"/>
          <w:szCs w:val="26"/>
        </w:rPr>
      </w:pPr>
    </w:p>
    <w:p w14:paraId="10BF3CD0" w14:textId="77777777" w:rsidR="00B20515" w:rsidRPr="00B20515" w:rsidRDefault="00B20515" w:rsidP="00D93DA2">
      <w:pPr>
        <w:keepNext/>
        <w:keepLines/>
        <w:widowControl/>
        <w:numPr>
          <w:ilvl w:val="0"/>
          <w:numId w:val="5"/>
        </w:numPr>
        <w:autoSpaceDE w:val="0"/>
        <w:autoSpaceDN w:val="0"/>
        <w:adjustRightInd w:val="0"/>
        <w:ind w:left="1440" w:right="1440"/>
        <w:rPr>
          <w:rFonts w:eastAsiaTheme="minorHAnsi"/>
          <w:color w:val="000000"/>
          <w:sz w:val="26"/>
          <w:szCs w:val="26"/>
        </w:rPr>
      </w:pPr>
      <w:r w:rsidRPr="00B20515">
        <w:rPr>
          <w:rFonts w:eastAsiaTheme="minorHAnsi"/>
          <w:color w:val="000000"/>
          <w:sz w:val="26"/>
          <w:szCs w:val="26"/>
        </w:rPr>
        <w:t xml:space="preserve">(a) After being notified, a party who fails to be represented at a scheduled conference or hearing in a proceeding will: </w:t>
      </w:r>
    </w:p>
    <w:p w14:paraId="138CB289"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p>
    <w:p w14:paraId="17A9E360"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r w:rsidRPr="00B20515">
        <w:rPr>
          <w:rFonts w:eastAsiaTheme="minorHAnsi"/>
          <w:color w:val="000000"/>
          <w:sz w:val="26"/>
          <w:szCs w:val="26"/>
        </w:rPr>
        <w:t xml:space="preserve">(1) Be deemed to have waived the opportunity to participate in the conference or hearing. </w:t>
      </w:r>
    </w:p>
    <w:p w14:paraId="6B8496CA"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p>
    <w:p w14:paraId="5899B712"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r w:rsidRPr="00B20515">
        <w:rPr>
          <w:rFonts w:eastAsiaTheme="minorHAnsi"/>
          <w:color w:val="000000"/>
          <w:sz w:val="26"/>
          <w:szCs w:val="26"/>
        </w:rPr>
        <w:t xml:space="preserve">(2) Not be permitted thereafter to reopen the disposition of a matter accomplished at the conference or hearing. </w:t>
      </w:r>
    </w:p>
    <w:p w14:paraId="1C1118C4"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p>
    <w:p w14:paraId="56EFC7E8"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r w:rsidRPr="00B20515">
        <w:rPr>
          <w:rFonts w:eastAsiaTheme="minorHAnsi"/>
          <w:color w:val="000000"/>
          <w:sz w:val="26"/>
          <w:szCs w:val="26"/>
        </w:rPr>
        <w:t xml:space="preserve">(3) Not be permitted to recall witnesses who were excused for further examination. </w:t>
      </w:r>
    </w:p>
    <w:p w14:paraId="47D4EBAB" w14:textId="77777777" w:rsidR="00B20515" w:rsidRPr="00B20515" w:rsidRDefault="00B20515" w:rsidP="00B20515">
      <w:pPr>
        <w:widowControl/>
        <w:spacing w:line="360" w:lineRule="auto"/>
        <w:ind w:left="1440" w:right="1440"/>
        <w:rPr>
          <w:rFonts w:eastAsiaTheme="minorHAnsi"/>
          <w:color w:val="000000"/>
          <w:sz w:val="26"/>
          <w:szCs w:val="26"/>
        </w:rPr>
      </w:pPr>
    </w:p>
    <w:p w14:paraId="4E61D789" w14:textId="77777777" w:rsidR="00B20515" w:rsidRPr="00B20515" w:rsidRDefault="00B20515" w:rsidP="002955FB">
      <w:pPr>
        <w:widowControl/>
        <w:spacing w:line="360" w:lineRule="auto"/>
        <w:ind w:left="1440" w:right="1440"/>
        <w:jc w:val="center"/>
        <w:rPr>
          <w:rFonts w:eastAsiaTheme="minorHAnsi"/>
          <w:color w:val="000000"/>
          <w:sz w:val="26"/>
          <w:szCs w:val="26"/>
        </w:rPr>
      </w:pPr>
      <w:r w:rsidRPr="00B20515">
        <w:rPr>
          <w:rFonts w:eastAsiaTheme="minorHAnsi"/>
          <w:color w:val="000000"/>
          <w:sz w:val="26"/>
          <w:szCs w:val="26"/>
        </w:rPr>
        <w:t>* * * * *</w:t>
      </w:r>
    </w:p>
    <w:p w14:paraId="1A968980" w14:textId="77777777" w:rsidR="00B20515" w:rsidRPr="00B20515" w:rsidRDefault="00B20515" w:rsidP="00B20515">
      <w:pPr>
        <w:widowControl/>
        <w:autoSpaceDE w:val="0"/>
        <w:autoSpaceDN w:val="0"/>
        <w:adjustRightInd w:val="0"/>
        <w:ind w:left="1440" w:right="1440"/>
        <w:rPr>
          <w:rFonts w:eastAsiaTheme="minorHAnsi"/>
          <w:color w:val="000000"/>
          <w:sz w:val="26"/>
          <w:szCs w:val="26"/>
        </w:rPr>
      </w:pPr>
      <w:r w:rsidRPr="00B20515">
        <w:rPr>
          <w:rFonts w:eastAsiaTheme="minorHAnsi"/>
          <w:color w:val="000000"/>
          <w:sz w:val="26"/>
          <w:szCs w:val="26"/>
        </w:rPr>
        <w:t xml:space="preserve">(c) 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complainant, applicant, or petitioner. </w:t>
      </w:r>
    </w:p>
    <w:p w14:paraId="6F534572" w14:textId="77777777" w:rsidR="0076453A" w:rsidRDefault="0076453A" w:rsidP="00D93DA2">
      <w:pPr>
        <w:widowControl/>
        <w:spacing w:line="480" w:lineRule="auto"/>
        <w:rPr>
          <w:rFonts w:eastAsiaTheme="minorHAnsi"/>
          <w:color w:val="000000"/>
          <w:sz w:val="26"/>
          <w:szCs w:val="26"/>
        </w:rPr>
      </w:pPr>
    </w:p>
    <w:p w14:paraId="6BAEB48D" w14:textId="3D793E2E" w:rsidR="00B20515" w:rsidRPr="00B20515" w:rsidRDefault="00B20515" w:rsidP="00B20515">
      <w:pPr>
        <w:widowControl/>
        <w:spacing w:line="360" w:lineRule="auto"/>
        <w:rPr>
          <w:sz w:val="26"/>
          <w:szCs w:val="26"/>
        </w:rPr>
      </w:pPr>
      <w:r w:rsidRPr="00B20515">
        <w:rPr>
          <w:rFonts w:eastAsiaTheme="minorHAnsi"/>
          <w:color w:val="000000"/>
          <w:sz w:val="26"/>
          <w:szCs w:val="26"/>
        </w:rPr>
        <w:t>52 Pa.</w:t>
      </w:r>
      <w:r>
        <w:rPr>
          <w:rFonts w:eastAsiaTheme="minorHAnsi"/>
          <w:color w:val="000000"/>
          <w:sz w:val="26"/>
          <w:szCs w:val="26"/>
        </w:rPr>
        <w:t xml:space="preserve"> </w:t>
      </w:r>
      <w:r w:rsidRPr="00B20515">
        <w:rPr>
          <w:rFonts w:eastAsiaTheme="minorHAnsi"/>
          <w:color w:val="000000"/>
          <w:sz w:val="26"/>
          <w:szCs w:val="26"/>
        </w:rPr>
        <w:t>Code §§ 5.245 (a) and (c).</w:t>
      </w:r>
    </w:p>
    <w:p w14:paraId="28516D86" w14:textId="77777777" w:rsidR="00B20515" w:rsidRDefault="00B20515" w:rsidP="00442297">
      <w:pPr>
        <w:widowControl/>
        <w:spacing w:line="360" w:lineRule="auto"/>
        <w:ind w:firstLine="1440"/>
        <w:rPr>
          <w:sz w:val="26"/>
        </w:rPr>
      </w:pPr>
    </w:p>
    <w:p w14:paraId="56E38186" w14:textId="77777777" w:rsidR="00AD07FD" w:rsidRDefault="00AD07FD" w:rsidP="00442297">
      <w:pPr>
        <w:widowControl/>
        <w:spacing w:line="360" w:lineRule="auto"/>
        <w:ind w:firstLine="1440"/>
        <w:rPr>
          <w:sz w:val="26"/>
        </w:rPr>
      </w:pPr>
      <w:r>
        <w:rPr>
          <w:sz w:val="26"/>
        </w:rPr>
        <w:t xml:space="preserve">The ALJ explained that the </w:t>
      </w:r>
      <w:r w:rsidRPr="00383639">
        <w:rPr>
          <w:sz w:val="26"/>
        </w:rPr>
        <w:t xml:space="preserve">Complainant was provided with proper notice of the hearing and the opportunity to appear and be heard. </w:t>
      </w:r>
      <w:r>
        <w:rPr>
          <w:sz w:val="26"/>
        </w:rPr>
        <w:t xml:space="preserve"> I.D. at 2, 4. </w:t>
      </w:r>
    </w:p>
    <w:p w14:paraId="70ECD555" w14:textId="77777777" w:rsidR="00041B53" w:rsidRDefault="00041B53" w:rsidP="00442297">
      <w:pPr>
        <w:widowControl/>
        <w:spacing w:line="360" w:lineRule="auto"/>
        <w:ind w:firstLine="1440"/>
        <w:rPr>
          <w:sz w:val="26"/>
        </w:rPr>
      </w:pPr>
    </w:p>
    <w:p w14:paraId="48C10E0C" w14:textId="77777777" w:rsidR="00BD6D0E" w:rsidRDefault="00B20515" w:rsidP="00BD6D0E">
      <w:pPr>
        <w:widowControl/>
        <w:spacing w:line="360" w:lineRule="auto"/>
        <w:ind w:firstLine="1440"/>
        <w:rPr>
          <w:sz w:val="26"/>
        </w:rPr>
      </w:pPr>
      <w:r>
        <w:rPr>
          <w:sz w:val="26"/>
        </w:rPr>
        <w:t xml:space="preserve">The ALJ </w:t>
      </w:r>
      <w:r w:rsidR="00383639">
        <w:rPr>
          <w:sz w:val="26"/>
        </w:rPr>
        <w:t>stated that the hearing began on August 6, 2018</w:t>
      </w:r>
      <w:r>
        <w:rPr>
          <w:sz w:val="26"/>
        </w:rPr>
        <w:t xml:space="preserve">, as </w:t>
      </w:r>
      <w:r w:rsidR="00BD6D0E">
        <w:rPr>
          <w:sz w:val="26"/>
        </w:rPr>
        <w:t>duly notified</w:t>
      </w:r>
      <w:r w:rsidR="00442297">
        <w:rPr>
          <w:sz w:val="26"/>
        </w:rPr>
        <w:t>.</w:t>
      </w:r>
      <w:r>
        <w:rPr>
          <w:sz w:val="26"/>
        </w:rPr>
        <w:t xml:space="preserve">  I.D. at 2.  </w:t>
      </w:r>
      <w:r w:rsidR="00BD6D0E">
        <w:rPr>
          <w:sz w:val="26"/>
        </w:rPr>
        <w:t>The ALJ explained that a</w:t>
      </w:r>
      <w:r w:rsidR="00383639" w:rsidRPr="00383639">
        <w:rPr>
          <w:sz w:val="26"/>
        </w:rPr>
        <w:t xml:space="preserve"> person ostensibly believed to be the Complainant appeared at the hearing; however, when questioned by the ALJ, she refused to acknowledge that she was the Complainant, Grace Roberts. </w:t>
      </w:r>
      <w:r w:rsidR="00442297">
        <w:rPr>
          <w:sz w:val="26"/>
        </w:rPr>
        <w:t xml:space="preserve">I.D. at 5 (citing </w:t>
      </w:r>
      <w:r w:rsidR="00383639" w:rsidRPr="00383639">
        <w:rPr>
          <w:sz w:val="26"/>
        </w:rPr>
        <w:t xml:space="preserve">Tr. </w:t>
      </w:r>
      <w:r w:rsidR="00442297">
        <w:rPr>
          <w:sz w:val="26"/>
        </w:rPr>
        <w:t xml:space="preserve">at </w:t>
      </w:r>
      <w:r w:rsidR="00383639" w:rsidRPr="00383639">
        <w:rPr>
          <w:sz w:val="26"/>
        </w:rPr>
        <w:t>4-6</w:t>
      </w:r>
      <w:r w:rsidR="00442297">
        <w:rPr>
          <w:sz w:val="26"/>
        </w:rPr>
        <w:t>)</w:t>
      </w:r>
      <w:r w:rsidR="00383639" w:rsidRPr="00383639">
        <w:rPr>
          <w:sz w:val="26"/>
        </w:rPr>
        <w:t xml:space="preserve">. </w:t>
      </w:r>
      <w:r w:rsidR="00442297">
        <w:rPr>
          <w:sz w:val="26"/>
        </w:rPr>
        <w:t xml:space="preserve"> </w:t>
      </w:r>
      <w:r w:rsidR="00383639" w:rsidRPr="00383639">
        <w:rPr>
          <w:sz w:val="26"/>
        </w:rPr>
        <w:t>This person was instructed</w:t>
      </w:r>
      <w:r w:rsidR="00442297">
        <w:rPr>
          <w:sz w:val="26"/>
        </w:rPr>
        <w:t xml:space="preserve"> by the ALJ</w:t>
      </w:r>
      <w:r w:rsidR="00383639" w:rsidRPr="00383639">
        <w:rPr>
          <w:sz w:val="26"/>
        </w:rPr>
        <w:t xml:space="preserve"> that if she refused to enter her appearance, the case would be dismissed. </w:t>
      </w:r>
      <w:r w:rsidR="00442297">
        <w:rPr>
          <w:sz w:val="26"/>
        </w:rPr>
        <w:t xml:space="preserve"> I.D. at 5 (citing </w:t>
      </w:r>
      <w:r w:rsidR="00383639" w:rsidRPr="00383639">
        <w:rPr>
          <w:sz w:val="26"/>
        </w:rPr>
        <w:t xml:space="preserve">Tr. </w:t>
      </w:r>
      <w:r w:rsidR="00442297">
        <w:rPr>
          <w:sz w:val="26"/>
        </w:rPr>
        <w:t xml:space="preserve">at </w:t>
      </w:r>
      <w:r w:rsidR="00383639" w:rsidRPr="00383639">
        <w:rPr>
          <w:sz w:val="26"/>
        </w:rPr>
        <w:t>4</w:t>
      </w:r>
      <w:r w:rsidR="00442297">
        <w:rPr>
          <w:sz w:val="26"/>
        </w:rPr>
        <w:t>)</w:t>
      </w:r>
      <w:r w:rsidR="00383639" w:rsidRPr="00383639">
        <w:rPr>
          <w:sz w:val="26"/>
        </w:rPr>
        <w:t xml:space="preserve">. </w:t>
      </w:r>
      <w:r w:rsidR="00442297">
        <w:rPr>
          <w:sz w:val="26"/>
        </w:rPr>
        <w:t xml:space="preserve"> </w:t>
      </w:r>
      <w:r w:rsidR="00383639" w:rsidRPr="00383639">
        <w:rPr>
          <w:sz w:val="26"/>
        </w:rPr>
        <w:t xml:space="preserve">Nevertheless, this person continued </w:t>
      </w:r>
      <w:r w:rsidR="00383639" w:rsidRPr="00383639">
        <w:rPr>
          <w:sz w:val="26"/>
        </w:rPr>
        <w:lastRenderedPageBreak/>
        <w:t xml:space="preserve">to refuse to confirm whether or not she was Grace Roberts. </w:t>
      </w:r>
      <w:r w:rsidR="00442297">
        <w:rPr>
          <w:sz w:val="26"/>
        </w:rPr>
        <w:t xml:space="preserve"> </w:t>
      </w:r>
      <w:r w:rsidR="00383639" w:rsidRPr="00383639">
        <w:rPr>
          <w:sz w:val="26"/>
        </w:rPr>
        <w:t xml:space="preserve">Moreover, </w:t>
      </w:r>
      <w:r w:rsidR="00BD6D0E">
        <w:rPr>
          <w:sz w:val="26"/>
        </w:rPr>
        <w:t xml:space="preserve">the ALJ described </w:t>
      </w:r>
      <w:r w:rsidR="00383639" w:rsidRPr="00383639">
        <w:rPr>
          <w:sz w:val="26"/>
        </w:rPr>
        <w:t>this person</w:t>
      </w:r>
      <w:r w:rsidR="00BD6D0E">
        <w:rPr>
          <w:sz w:val="26"/>
        </w:rPr>
        <w:t xml:space="preserve"> as</w:t>
      </w:r>
      <w:r w:rsidR="00383639" w:rsidRPr="00383639">
        <w:rPr>
          <w:sz w:val="26"/>
        </w:rPr>
        <w:t xml:space="preserve"> bec</w:t>
      </w:r>
      <w:r w:rsidR="00BD6D0E">
        <w:rPr>
          <w:sz w:val="26"/>
        </w:rPr>
        <w:t>oming</w:t>
      </w:r>
      <w:r w:rsidR="00383639" w:rsidRPr="00383639">
        <w:rPr>
          <w:sz w:val="26"/>
        </w:rPr>
        <w:t xml:space="preserve"> </w:t>
      </w:r>
      <w:r w:rsidR="00442297">
        <w:rPr>
          <w:sz w:val="26"/>
        </w:rPr>
        <w:t>“</w:t>
      </w:r>
      <w:r w:rsidR="00383639" w:rsidRPr="00383639">
        <w:rPr>
          <w:sz w:val="26"/>
        </w:rPr>
        <w:t>obstinate and combative,</w:t>
      </w:r>
      <w:r w:rsidR="00442297">
        <w:rPr>
          <w:sz w:val="26"/>
        </w:rPr>
        <w:t>”</w:t>
      </w:r>
      <w:r w:rsidR="00383639" w:rsidRPr="00383639">
        <w:rPr>
          <w:sz w:val="26"/>
        </w:rPr>
        <w:t xml:space="preserve"> even going so far as to make the statement to the ALJ: “This is my court. I own the court. You are working for me.” </w:t>
      </w:r>
      <w:r w:rsidR="00442297">
        <w:rPr>
          <w:sz w:val="26"/>
        </w:rPr>
        <w:t xml:space="preserve"> I.D. at 5 (citing </w:t>
      </w:r>
      <w:r w:rsidR="00383639" w:rsidRPr="00383639">
        <w:rPr>
          <w:sz w:val="26"/>
        </w:rPr>
        <w:t xml:space="preserve">Tr. </w:t>
      </w:r>
      <w:r w:rsidR="00442297">
        <w:rPr>
          <w:sz w:val="26"/>
        </w:rPr>
        <w:t xml:space="preserve">at </w:t>
      </w:r>
      <w:r w:rsidR="00383639" w:rsidRPr="00383639">
        <w:rPr>
          <w:sz w:val="26"/>
        </w:rPr>
        <w:t>5</w:t>
      </w:r>
      <w:r w:rsidR="00442297">
        <w:rPr>
          <w:sz w:val="26"/>
        </w:rPr>
        <w:t>)</w:t>
      </w:r>
      <w:r w:rsidR="00383639" w:rsidRPr="00383639">
        <w:rPr>
          <w:sz w:val="26"/>
        </w:rPr>
        <w:t>.</w:t>
      </w:r>
    </w:p>
    <w:p w14:paraId="3144B90D" w14:textId="77777777" w:rsidR="00BD6D0E" w:rsidRDefault="00BD6D0E" w:rsidP="00BD6D0E">
      <w:pPr>
        <w:widowControl/>
        <w:spacing w:line="360" w:lineRule="auto"/>
        <w:ind w:firstLine="1440"/>
        <w:rPr>
          <w:sz w:val="26"/>
        </w:rPr>
      </w:pPr>
    </w:p>
    <w:p w14:paraId="347C07A2" w14:textId="77777777" w:rsidR="00B20515" w:rsidRPr="00BD6D0E" w:rsidRDefault="00B20515" w:rsidP="00BD6D0E">
      <w:pPr>
        <w:widowControl/>
        <w:spacing w:line="360" w:lineRule="auto"/>
        <w:ind w:firstLine="1440"/>
        <w:rPr>
          <w:sz w:val="26"/>
        </w:rPr>
      </w:pPr>
      <w:r w:rsidRPr="00B90971">
        <w:rPr>
          <w:sz w:val="26"/>
          <w:szCs w:val="26"/>
        </w:rPr>
        <w:t xml:space="preserve">The ALJ construed this person’s refusal to acknowledge that she was the Complainant, Grace Roberts, as a willful refusal to proceed with the hearing and a failure to prosecute the Complaint.  </w:t>
      </w:r>
      <w:r w:rsidR="00B90971" w:rsidRPr="00B90971">
        <w:rPr>
          <w:sz w:val="26"/>
          <w:szCs w:val="26"/>
        </w:rPr>
        <w:t xml:space="preserve">I.D. at 5.  </w:t>
      </w:r>
      <w:r w:rsidRPr="00B90971">
        <w:rPr>
          <w:sz w:val="26"/>
          <w:szCs w:val="26"/>
        </w:rPr>
        <w:t xml:space="preserve">The ALJ found this person’s actions obstructed the orderly conduct of the proceeding and were inimical to the public interest. </w:t>
      </w:r>
      <w:r w:rsidR="00B90971" w:rsidRPr="00B90971">
        <w:rPr>
          <w:sz w:val="26"/>
          <w:szCs w:val="26"/>
        </w:rPr>
        <w:t xml:space="preserve"> I.D. at 5</w:t>
      </w:r>
      <w:r w:rsidR="00BD6D0E">
        <w:rPr>
          <w:sz w:val="26"/>
          <w:szCs w:val="26"/>
        </w:rPr>
        <w:t xml:space="preserve">; </w:t>
      </w:r>
      <w:r w:rsidR="00BD6D0E" w:rsidRPr="00BD6D0E">
        <w:rPr>
          <w:i/>
          <w:iCs/>
          <w:sz w:val="26"/>
          <w:szCs w:val="26"/>
        </w:rPr>
        <w:t>see also</w:t>
      </w:r>
      <w:r w:rsidR="00BD6D0E">
        <w:rPr>
          <w:sz w:val="26"/>
          <w:szCs w:val="26"/>
        </w:rPr>
        <w:t xml:space="preserve"> 52</w:t>
      </w:r>
      <w:r w:rsidR="00BD6D0E" w:rsidRPr="00B20515">
        <w:rPr>
          <w:rFonts w:eastAsiaTheme="minorHAnsi"/>
          <w:color w:val="000000"/>
          <w:sz w:val="26"/>
          <w:szCs w:val="26"/>
        </w:rPr>
        <w:t xml:space="preserve"> Pa.</w:t>
      </w:r>
      <w:r w:rsidR="00BD6D0E">
        <w:rPr>
          <w:rFonts w:eastAsiaTheme="minorHAnsi"/>
          <w:color w:val="000000"/>
          <w:sz w:val="26"/>
          <w:szCs w:val="26"/>
        </w:rPr>
        <w:t xml:space="preserve"> </w:t>
      </w:r>
      <w:r w:rsidR="00BD6D0E" w:rsidRPr="00B20515">
        <w:rPr>
          <w:rFonts w:eastAsiaTheme="minorHAnsi"/>
          <w:color w:val="000000"/>
          <w:sz w:val="26"/>
          <w:szCs w:val="26"/>
        </w:rPr>
        <w:t>Code § 5.245(c)</w:t>
      </w:r>
      <w:r w:rsidR="00B90971" w:rsidRPr="00B90971">
        <w:rPr>
          <w:sz w:val="26"/>
          <w:szCs w:val="26"/>
        </w:rPr>
        <w:t xml:space="preserve">.  </w:t>
      </w:r>
      <w:r w:rsidRPr="00B90971">
        <w:rPr>
          <w:sz w:val="26"/>
          <w:szCs w:val="26"/>
        </w:rPr>
        <w:t xml:space="preserve">Accordingly, the </w:t>
      </w:r>
      <w:r w:rsidR="00BD6D0E">
        <w:rPr>
          <w:sz w:val="26"/>
          <w:szCs w:val="26"/>
        </w:rPr>
        <w:t xml:space="preserve">ALJ concluded that the </w:t>
      </w:r>
      <w:r w:rsidRPr="00B90971">
        <w:rPr>
          <w:sz w:val="26"/>
          <w:szCs w:val="26"/>
        </w:rPr>
        <w:t>Complaint should be dismissed with prejudice.</w:t>
      </w:r>
      <w:r w:rsidR="00B2131F">
        <w:rPr>
          <w:sz w:val="26"/>
          <w:szCs w:val="26"/>
        </w:rPr>
        <w:t xml:space="preserve">  I.D. at 5, 7.</w:t>
      </w:r>
    </w:p>
    <w:p w14:paraId="153D9883" w14:textId="77777777" w:rsidR="00472E9C" w:rsidRPr="00383639" w:rsidRDefault="00472E9C" w:rsidP="00977543">
      <w:pPr>
        <w:spacing w:line="360" w:lineRule="auto"/>
        <w:rPr>
          <w:sz w:val="26"/>
        </w:rPr>
      </w:pPr>
    </w:p>
    <w:p w14:paraId="77109814" w14:textId="77777777" w:rsidR="00977543" w:rsidRPr="00977543" w:rsidRDefault="00977543" w:rsidP="0076453A">
      <w:pPr>
        <w:keepNext/>
        <w:widowControl/>
        <w:spacing w:line="360" w:lineRule="auto"/>
        <w:rPr>
          <w:b/>
          <w:bCs/>
          <w:sz w:val="26"/>
        </w:rPr>
      </w:pPr>
      <w:r w:rsidRPr="00977543">
        <w:rPr>
          <w:b/>
          <w:bCs/>
          <w:sz w:val="26"/>
        </w:rPr>
        <w:t>Petition</w:t>
      </w:r>
    </w:p>
    <w:p w14:paraId="52A723D6" w14:textId="77777777" w:rsidR="00977543" w:rsidRDefault="00977543" w:rsidP="0076453A">
      <w:pPr>
        <w:keepNext/>
        <w:widowControl/>
        <w:spacing w:line="360" w:lineRule="auto"/>
        <w:rPr>
          <w:sz w:val="26"/>
        </w:rPr>
      </w:pPr>
    </w:p>
    <w:p w14:paraId="7116AA39" w14:textId="37BC245E" w:rsidR="00FA0300" w:rsidRDefault="00F86146" w:rsidP="0076453A">
      <w:pPr>
        <w:keepNext/>
        <w:widowControl/>
        <w:spacing w:line="360" w:lineRule="auto"/>
        <w:ind w:firstLine="1440"/>
        <w:rPr>
          <w:sz w:val="26"/>
        </w:rPr>
      </w:pPr>
      <w:r>
        <w:rPr>
          <w:sz w:val="26"/>
        </w:rPr>
        <w:t>The Petition consists of three typed pages</w:t>
      </w:r>
      <w:r w:rsidR="006370E9">
        <w:rPr>
          <w:sz w:val="26"/>
        </w:rPr>
        <w:t xml:space="preserve"> and multiple attachments.</w:t>
      </w:r>
      <w:r w:rsidR="004A3D5D">
        <w:rPr>
          <w:rStyle w:val="FootnoteReference"/>
          <w:sz w:val="26"/>
        </w:rPr>
        <w:footnoteReference w:id="5"/>
      </w:r>
      <w:r>
        <w:rPr>
          <w:sz w:val="26"/>
        </w:rPr>
        <w:t xml:space="preserve">  </w:t>
      </w:r>
      <w:r w:rsidR="00535B90">
        <w:rPr>
          <w:sz w:val="26"/>
        </w:rPr>
        <w:t xml:space="preserve">In </w:t>
      </w:r>
      <w:r w:rsidR="006370E9">
        <w:rPr>
          <w:sz w:val="26"/>
        </w:rPr>
        <w:t>the</w:t>
      </w:r>
      <w:r w:rsidR="00535B90">
        <w:rPr>
          <w:sz w:val="26"/>
        </w:rPr>
        <w:t xml:space="preserve"> Petition, the Complainant </w:t>
      </w:r>
      <w:r w:rsidR="00B55E96">
        <w:rPr>
          <w:sz w:val="26"/>
        </w:rPr>
        <w:t xml:space="preserve">states she received the ALJ’s Initial Decision </w:t>
      </w:r>
      <w:r>
        <w:rPr>
          <w:sz w:val="26"/>
        </w:rPr>
        <w:t xml:space="preserve">after the Exceptions period ran, </w:t>
      </w:r>
      <w:r w:rsidR="00B55E96">
        <w:rPr>
          <w:sz w:val="26"/>
        </w:rPr>
        <w:t>on March 21, 2019</w:t>
      </w:r>
      <w:r w:rsidR="00127F23">
        <w:rPr>
          <w:sz w:val="26"/>
        </w:rPr>
        <w:t>, and that it was mailed to her on March 13, 2019</w:t>
      </w:r>
      <w:r w:rsidR="00B55E96">
        <w:rPr>
          <w:sz w:val="26"/>
        </w:rPr>
        <w:t xml:space="preserve">.  </w:t>
      </w:r>
      <w:r>
        <w:rPr>
          <w:sz w:val="26"/>
        </w:rPr>
        <w:t>Petition at 1.</w:t>
      </w:r>
      <w:r w:rsidR="006370E9">
        <w:rPr>
          <w:sz w:val="26"/>
        </w:rPr>
        <w:t xml:space="preserve">  </w:t>
      </w:r>
      <w:r w:rsidR="00B55E96">
        <w:rPr>
          <w:sz w:val="26"/>
        </w:rPr>
        <w:t xml:space="preserve">She </w:t>
      </w:r>
      <w:r w:rsidR="006370E9">
        <w:rPr>
          <w:sz w:val="26"/>
        </w:rPr>
        <w:t xml:space="preserve">also </w:t>
      </w:r>
      <w:r w:rsidR="00B55E96">
        <w:rPr>
          <w:sz w:val="26"/>
        </w:rPr>
        <w:t>claims she “never received a fair and impartial hearing”</w:t>
      </w:r>
      <w:r w:rsidR="00127F23">
        <w:rPr>
          <w:sz w:val="26"/>
        </w:rPr>
        <w:t xml:space="preserve"> regarding her Complaint. </w:t>
      </w:r>
      <w:r>
        <w:rPr>
          <w:sz w:val="26"/>
        </w:rPr>
        <w:t xml:space="preserve"> Petition at 1. </w:t>
      </w:r>
      <w:r w:rsidR="006370E9">
        <w:rPr>
          <w:sz w:val="26"/>
        </w:rPr>
        <w:t xml:space="preserve"> </w:t>
      </w:r>
      <w:r>
        <w:rPr>
          <w:sz w:val="26"/>
        </w:rPr>
        <w:t xml:space="preserve">The Complainant </w:t>
      </w:r>
      <w:r w:rsidR="009233ED">
        <w:rPr>
          <w:sz w:val="26"/>
        </w:rPr>
        <w:t xml:space="preserve">references </w:t>
      </w:r>
      <w:r>
        <w:rPr>
          <w:sz w:val="26"/>
        </w:rPr>
        <w:t xml:space="preserve">making </w:t>
      </w:r>
      <w:r w:rsidR="006370E9">
        <w:rPr>
          <w:sz w:val="26"/>
        </w:rPr>
        <w:t>the</w:t>
      </w:r>
      <w:r>
        <w:rPr>
          <w:sz w:val="26"/>
        </w:rPr>
        <w:t xml:space="preserve"> statement</w:t>
      </w:r>
      <w:r w:rsidR="006370E9">
        <w:rPr>
          <w:sz w:val="26"/>
        </w:rPr>
        <w:t>s at the hearing, as discussed in the I.D.,</w:t>
      </w:r>
      <w:r w:rsidR="00B545A2">
        <w:rPr>
          <w:sz w:val="26"/>
        </w:rPr>
        <w:t xml:space="preserve"> </w:t>
      </w:r>
      <w:r w:rsidR="00B545A2" w:rsidRPr="00B545A2">
        <w:rPr>
          <w:i/>
          <w:iCs/>
          <w:sz w:val="26"/>
        </w:rPr>
        <w:t>supra</w:t>
      </w:r>
      <w:r w:rsidR="00B545A2">
        <w:rPr>
          <w:sz w:val="26"/>
        </w:rPr>
        <w:t>,</w:t>
      </w:r>
      <w:r>
        <w:rPr>
          <w:sz w:val="26"/>
        </w:rPr>
        <w:t xml:space="preserve"> but </w:t>
      </w:r>
      <w:r w:rsidR="00B545A2">
        <w:rPr>
          <w:sz w:val="26"/>
        </w:rPr>
        <w:t xml:space="preserve">also </w:t>
      </w:r>
      <w:r w:rsidR="006370E9">
        <w:rPr>
          <w:sz w:val="26"/>
        </w:rPr>
        <w:t xml:space="preserve">appears to </w:t>
      </w:r>
      <w:r>
        <w:rPr>
          <w:sz w:val="26"/>
        </w:rPr>
        <w:t xml:space="preserve">argue </w:t>
      </w:r>
      <w:r w:rsidR="006370E9">
        <w:rPr>
          <w:sz w:val="26"/>
        </w:rPr>
        <w:t xml:space="preserve">that </w:t>
      </w:r>
      <w:r>
        <w:rPr>
          <w:sz w:val="26"/>
        </w:rPr>
        <w:t>the ALJ erred by not recognizing her a</w:t>
      </w:r>
      <w:r w:rsidR="00BD6D0E">
        <w:rPr>
          <w:sz w:val="26"/>
        </w:rPr>
        <w:t>ttendance</w:t>
      </w:r>
      <w:r>
        <w:rPr>
          <w:sz w:val="26"/>
        </w:rPr>
        <w:t xml:space="preserve"> at the hearing and</w:t>
      </w:r>
      <w:r w:rsidR="006370E9">
        <w:rPr>
          <w:sz w:val="26"/>
        </w:rPr>
        <w:t xml:space="preserve"> </w:t>
      </w:r>
      <w:r w:rsidR="00FA0300">
        <w:rPr>
          <w:sz w:val="26"/>
        </w:rPr>
        <w:t>that such error</w:t>
      </w:r>
      <w:r w:rsidR="006370E9">
        <w:rPr>
          <w:sz w:val="26"/>
        </w:rPr>
        <w:t xml:space="preserve"> </w:t>
      </w:r>
      <w:r>
        <w:rPr>
          <w:sz w:val="26"/>
        </w:rPr>
        <w:t>violated her due process rights.  Petition at 1.</w:t>
      </w:r>
    </w:p>
    <w:p w14:paraId="0D8D329D" w14:textId="77777777" w:rsidR="00FA0300" w:rsidRDefault="00FA0300" w:rsidP="006370E9">
      <w:pPr>
        <w:spacing w:line="360" w:lineRule="auto"/>
        <w:ind w:firstLine="1440"/>
        <w:rPr>
          <w:sz w:val="26"/>
        </w:rPr>
      </w:pPr>
    </w:p>
    <w:p w14:paraId="7CDB65B5" w14:textId="77777777" w:rsidR="004F4C1D" w:rsidRDefault="004F4C1D" w:rsidP="006370E9">
      <w:pPr>
        <w:spacing w:line="360" w:lineRule="auto"/>
        <w:ind w:firstLine="1440"/>
        <w:rPr>
          <w:sz w:val="26"/>
        </w:rPr>
      </w:pPr>
      <w:r>
        <w:rPr>
          <w:sz w:val="26"/>
        </w:rPr>
        <w:t xml:space="preserve">She states in her Petition that she does not waive any of her rights and rescinds any and all signed documents with PECO.  Petition at 2.  </w:t>
      </w:r>
    </w:p>
    <w:p w14:paraId="07D9C532" w14:textId="77777777" w:rsidR="00FA0300" w:rsidRDefault="00FA0300" w:rsidP="004F4C1D">
      <w:pPr>
        <w:spacing w:line="360" w:lineRule="auto"/>
        <w:rPr>
          <w:sz w:val="26"/>
        </w:rPr>
      </w:pPr>
    </w:p>
    <w:p w14:paraId="486ECD21" w14:textId="77777777" w:rsidR="00FA0300" w:rsidRDefault="008F6E18" w:rsidP="006370E9">
      <w:pPr>
        <w:spacing w:line="360" w:lineRule="auto"/>
        <w:ind w:firstLine="1440"/>
        <w:rPr>
          <w:sz w:val="26"/>
        </w:rPr>
      </w:pPr>
      <w:r>
        <w:rPr>
          <w:sz w:val="26"/>
        </w:rPr>
        <w:lastRenderedPageBreak/>
        <w:t>With regard to the incorrect charges she claims appear on her bill</w:t>
      </w:r>
      <w:r w:rsidR="00B545A2">
        <w:rPr>
          <w:sz w:val="26"/>
        </w:rPr>
        <w:t xml:space="preserve"> from PECO</w:t>
      </w:r>
      <w:r>
        <w:rPr>
          <w:sz w:val="26"/>
        </w:rPr>
        <w:t>, s</w:t>
      </w:r>
      <w:r w:rsidR="00FA0300">
        <w:rPr>
          <w:sz w:val="26"/>
        </w:rPr>
        <w:t xml:space="preserve">he </w:t>
      </w:r>
      <w:r>
        <w:rPr>
          <w:sz w:val="26"/>
        </w:rPr>
        <w:t xml:space="preserve">alleges her neighbor is stealing electricity from her service, stating as follows </w:t>
      </w:r>
      <w:r w:rsidR="00FA0300">
        <w:rPr>
          <w:sz w:val="26"/>
        </w:rPr>
        <w:t>in the Petition:</w:t>
      </w:r>
    </w:p>
    <w:p w14:paraId="5DC04D25" w14:textId="77777777" w:rsidR="00FA0300" w:rsidRDefault="00FA0300" w:rsidP="00FA0300">
      <w:pPr>
        <w:spacing w:line="360" w:lineRule="auto"/>
        <w:rPr>
          <w:sz w:val="26"/>
        </w:rPr>
      </w:pPr>
    </w:p>
    <w:p w14:paraId="355C5C55" w14:textId="77777777" w:rsidR="00F86146" w:rsidRDefault="00FA0300" w:rsidP="00FA0300">
      <w:pPr>
        <w:widowControl/>
        <w:ind w:left="1440" w:right="1440"/>
        <w:rPr>
          <w:sz w:val="26"/>
        </w:rPr>
      </w:pPr>
      <w:r>
        <w:rPr>
          <w:sz w:val="26"/>
        </w:rPr>
        <w:t>I have stated time and time again that my next</w:t>
      </w:r>
      <w:r w:rsidR="00472E9C">
        <w:rPr>
          <w:sz w:val="26"/>
        </w:rPr>
        <w:t xml:space="preserve"> </w:t>
      </w:r>
      <w:r>
        <w:rPr>
          <w:sz w:val="26"/>
        </w:rPr>
        <w:t>door neighbor was ste</w:t>
      </w:r>
      <w:r w:rsidR="008F6E18">
        <w:rPr>
          <w:sz w:val="26"/>
        </w:rPr>
        <w:t>a</w:t>
      </w:r>
      <w:r>
        <w:rPr>
          <w:sz w:val="26"/>
        </w:rPr>
        <w:t xml:space="preserve">ling my electric.  PECO claimed they have sent out, one of their employees to investigate and found no </w:t>
      </w:r>
      <w:proofErr w:type="gramStart"/>
      <w:r>
        <w:rPr>
          <w:sz w:val="26"/>
        </w:rPr>
        <w:t>wrong</w:t>
      </w:r>
      <w:r w:rsidR="00472E9C">
        <w:rPr>
          <w:sz w:val="26"/>
        </w:rPr>
        <w:t xml:space="preserve"> </w:t>
      </w:r>
      <w:r>
        <w:rPr>
          <w:sz w:val="26"/>
        </w:rPr>
        <w:t>doing</w:t>
      </w:r>
      <w:proofErr w:type="gramEnd"/>
      <w:r>
        <w:rPr>
          <w:sz w:val="26"/>
        </w:rPr>
        <w:t>, by my next door neighbor.  However, I have had a private independent agency investigate this matter, and</w:t>
      </w:r>
      <w:r w:rsidR="00472E9C">
        <w:rPr>
          <w:sz w:val="26"/>
        </w:rPr>
        <w:t xml:space="preserve"> </w:t>
      </w:r>
      <w:r>
        <w:rPr>
          <w:sz w:val="26"/>
        </w:rPr>
        <w:t>this agency has found that my next door neighbor is stealing electricity.</w:t>
      </w:r>
    </w:p>
    <w:p w14:paraId="334F0531" w14:textId="77777777" w:rsidR="00FA0300" w:rsidRDefault="00FA0300" w:rsidP="00D4436A">
      <w:pPr>
        <w:spacing w:line="480" w:lineRule="auto"/>
        <w:rPr>
          <w:sz w:val="26"/>
        </w:rPr>
      </w:pPr>
    </w:p>
    <w:p w14:paraId="7986FA3F" w14:textId="77777777" w:rsidR="00FA0300" w:rsidRDefault="00FA0300" w:rsidP="00FA0300">
      <w:pPr>
        <w:spacing w:line="360" w:lineRule="auto"/>
        <w:rPr>
          <w:sz w:val="26"/>
        </w:rPr>
      </w:pPr>
      <w:r>
        <w:rPr>
          <w:sz w:val="26"/>
        </w:rPr>
        <w:t>Petition at 2.</w:t>
      </w:r>
    </w:p>
    <w:p w14:paraId="4A3B2DBC" w14:textId="77777777" w:rsidR="00157F38" w:rsidRDefault="00157F38" w:rsidP="00977543">
      <w:pPr>
        <w:spacing w:line="360" w:lineRule="auto"/>
        <w:rPr>
          <w:sz w:val="26"/>
        </w:rPr>
      </w:pPr>
    </w:p>
    <w:p w14:paraId="5B566009" w14:textId="77777777" w:rsidR="00977543" w:rsidRDefault="004F4C1D" w:rsidP="004A3D5D">
      <w:pPr>
        <w:spacing w:line="360" w:lineRule="auto"/>
        <w:ind w:firstLine="1440"/>
        <w:rPr>
          <w:sz w:val="26"/>
          <w:szCs w:val="26"/>
        </w:rPr>
      </w:pPr>
      <w:r w:rsidRPr="004F4C1D">
        <w:rPr>
          <w:sz w:val="26"/>
          <w:szCs w:val="26"/>
        </w:rPr>
        <w:t xml:space="preserve">Additionally, the Complainant argues that PECO is interfering </w:t>
      </w:r>
      <w:r w:rsidR="00F21CFE">
        <w:rPr>
          <w:sz w:val="26"/>
          <w:szCs w:val="26"/>
        </w:rPr>
        <w:t>with</w:t>
      </w:r>
      <w:r w:rsidRPr="004F4C1D">
        <w:rPr>
          <w:sz w:val="26"/>
          <w:szCs w:val="26"/>
        </w:rPr>
        <w:t xml:space="preserve"> her religious freedoms.  Petition at 2.  She </w:t>
      </w:r>
      <w:r w:rsidR="00F21CFE">
        <w:rPr>
          <w:sz w:val="26"/>
          <w:szCs w:val="26"/>
        </w:rPr>
        <w:t xml:space="preserve">also </w:t>
      </w:r>
      <w:r>
        <w:rPr>
          <w:sz w:val="26"/>
          <w:szCs w:val="26"/>
        </w:rPr>
        <w:t xml:space="preserve">claims </w:t>
      </w:r>
      <w:r w:rsidRPr="004F4C1D">
        <w:rPr>
          <w:sz w:val="26"/>
          <w:szCs w:val="26"/>
        </w:rPr>
        <w:t xml:space="preserve">that PECO is violating her constitutional rights under the Environmental Rights Amendment of the Pennsylvania Constitution.  </w:t>
      </w:r>
      <w:r w:rsidR="00BD6D0E">
        <w:rPr>
          <w:sz w:val="26"/>
          <w:szCs w:val="26"/>
        </w:rPr>
        <w:t xml:space="preserve">Petition at 2; </w:t>
      </w:r>
      <w:r w:rsidR="00BD6D0E" w:rsidRPr="00BD6D0E">
        <w:rPr>
          <w:i/>
          <w:iCs/>
          <w:sz w:val="26"/>
          <w:szCs w:val="26"/>
        </w:rPr>
        <w:t>see also</w:t>
      </w:r>
      <w:r w:rsidR="00BD6D0E">
        <w:rPr>
          <w:sz w:val="26"/>
          <w:szCs w:val="26"/>
        </w:rPr>
        <w:t xml:space="preserve"> </w:t>
      </w:r>
      <w:r w:rsidRPr="004F4C1D">
        <w:rPr>
          <w:sz w:val="26"/>
          <w:szCs w:val="26"/>
        </w:rPr>
        <w:t>PA. CONST. Art. 1, § 27</w:t>
      </w:r>
      <w:r>
        <w:rPr>
          <w:sz w:val="26"/>
          <w:szCs w:val="26"/>
        </w:rPr>
        <w:t xml:space="preserve">.  As such, she argues that PECO’s decision is unconstitutional and that she never owed anything to PECO for any services provided to her.  Petition at 2. </w:t>
      </w:r>
      <w:r w:rsidR="00BD6D0E">
        <w:rPr>
          <w:sz w:val="26"/>
          <w:szCs w:val="26"/>
        </w:rPr>
        <w:t xml:space="preserve"> </w:t>
      </w:r>
      <w:r>
        <w:rPr>
          <w:sz w:val="26"/>
          <w:szCs w:val="26"/>
        </w:rPr>
        <w:t xml:space="preserve">She claims she is not subject “to PECO’s regulating, nor their statutes, rules and regulations which is not law.”  Petition at 3.  </w:t>
      </w:r>
    </w:p>
    <w:p w14:paraId="1BAF11D6" w14:textId="77777777" w:rsidR="004A3D5D" w:rsidRPr="004A3D5D" w:rsidRDefault="004A3D5D" w:rsidP="004A3D5D">
      <w:pPr>
        <w:spacing w:line="360" w:lineRule="auto"/>
        <w:ind w:firstLine="1440"/>
        <w:rPr>
          <w:sz w:val="26"/>
          <w:szCs w:val="26"/>
        </w:rPr>
      </w:pPr>
    </w:p>
    <w:p w14:paraId="264C0D0B" w14:textId="77777777" w:rsidR="00977543" w:rsidRPr="00977543" w:rsidRDefault="00977543" w:rsidP="00BD6D0E">
      <w:pPr>
        <w:keepNext/>
        <w:keepLines/>
        <w:widowControl/>
        <w:spacing w:line="360" w:lineRule="auto"/>
        <w:rPr>
          <w:b/>
          <w:bCs/>
          <w:sz w:val="26"/>
        </w:rPr>
      </w:pPr>
      <w:r w:rsidRPr="00977543">
        <w:rPr>
          <w:b/>
          <w:bCs/>
          <w:sz w:val="26"/>
        </w:rPr>
        <w:t>Disposition</w:t>
      </w:r>
    </w:p>
    <w:p w14:paraId="4E9D31B7" w14:textId="77777777" w:rsidR="00977543" w:rsidRDefault="00977543" w:rsidP="00BD6D0E">
      <w:pPr>
        <w:keepNext/>
        <w:keepLines/>
        <w:widowControl/>
        <w:spacing w:line="360" w:lineRule="auto"/>
        <w:rPr>
          <w:sz w:val="26"/>
        </w:rPr>
      </w:pPr>
    </w:p>
    <w:p w14:paraId="7F8927B2" w14:textId="47CBEF02" w:rsidR="00041B53" w:rsidRDefault="00041B53" w:rsidP="00041B53">
      <w:pPr>
        <w:widowControl/>
        <w:spacing w:line="360" w:lineRule="auto"/>
        <w:ind w:firstLine="1440"/>
        <w:rPr>
          <w:rFonts w:eastAsiaTheme="minorHAnsi"/>
          <w:sz w:val="26"/>
          <w:szCs w:val="26"/>
        </w:rPr>
      </w:pPr>
      <w:bookmarkStart w:id="0" w:name="_Hlk13666396"/>
      <w:r>
        <w:rPr>
          <w:rFonts w:eastAsiaTheme="minorHAnsi"/>
          <w:spacing w:val="-3"/>
          <w:sz w:val="26"/>
          <w:szCs w:val="26"/>
        </w:rPr>
        <w:t>For the reasons discussed below</w:t>
      </w:r>
      <w:r w:rsidRPr="00041B53">
        <w:rPr>
          <w:rFonts w:eastAsiaTheme="minorHAnsi"/>
          <w:spacing w:val="-3"/>
          <w:sz w:val="26"/>
          <w:szCs w:val="26"/>
        </w:rPr>
        <w:t xml:space="preserve">, </w:t>
      </w:r>
      <w:r w:rsidRPr="00041B53">
        <w:rPr>
          <w:rFonts w:eastAsia="Calibri"/>
          <w:sz w:val="26"/>
          <w:szCs w:val="26"/>
        </w:rPr>
        <w:t>we conclude that the Complainant’s Petition for Re</w:t>
      </w:r>
      <w:r>
        <w:rPr>
          <w:rFonts w:eastAsia="Calibri"/>
          <w:sz w:val="26"/>
          <w:szCs w:val="26"/>
        </w:rPr>
        <w:t>scission</w:t>
      </w:r>
      <w:r w:rsidRPr="00041B53">
        <w:rPr>
          <w:rFonts w:eastAsia="Calibri"/>
          <w:sz w:val="26"/>
          <w:szCs w:val="26"/>
        </w:rPr>
        <w:t xml:space="preserve"> has failed to meet the </w:t>
      </w:r>
      <w:proofErr w:type="spellStart"/>
      <w:r w:rsidRPr="00041B53">
        <w:rPr>
          <w:rFonts w:eastAsia="Calibri"/>
          <w:i/>
          <w:iCs/>
          <w:sz w:val="26"/>
          <w:szCs w:val="26"/>
        </w:rPr>
        <w:t>Duick</w:t>
      </w:r>
      <w:proofErr w:type="spellEnd"/>
      <w:r w:rsidRPr="00041B53">
        <w:rPr>
          <w:rFonts w:eastAsia="Calibri"/>
          <w:i/>
          <w:iCs/>
          <w:sz w:val="26"/>
          <w:szCs w:val="26"/>
        </w:rPr>
        <w:t xml:space="preserve"> </w:t>
      </w:r>
      <w:r w:rsidRPr="00041B53">
        <w:rPr>
          <w:rFonts w:eastAsia="Calibri"/>
          <w:sz w:val="26"/>
          <w:szCs w:val="26"/>
        </w:rPr>
        <w:t xml:space="preserve">standard for granting relief. </w:t>
      </w:r>
      <w:r w:rsidRPr="00041B53">
        <w:rPr>
          <w:rFonts w:eastAsiaTheme="minorHAnsi"/>
          <w:sz w:val="26"/>
          <w:szCs w:val="26"/>
        </w:rPr>
        <w:t xml:space="preserve"> The Complainant has not established a</w:t>
      </w:r>
      <w:r w:rsidRPr="00041B53">
        <w:rPr>
          <w:rFonts w:eastAsiaTheme="minorHAnsi"/>
          <w:color w:val="000000"/>
          <w:sz w:val="26"/>
          <w:szCs w:val="26"/>
        </w:rPr>
        <w:t xml:space="preserve">ppropriate </w:t>
      </w:r>
      <w:r>
        <w:rPr>
          <w:rFonts w:eastAsiaTheme="minorHAnsi"/>
          <w:color w:val="000000"/>
          <w:sz w:val="26"/>
          <w:szCs w:val="26"/>
        </w:rPr>
        <w:t>grounds</w:t>
      </w:r>
      <w:r w:rsidRPr="00041B53">
        <w:rPr>
          <w:rFonts w:eastAsiaTheme="minorHAnsi"/>
          <w:color w:val="000000"/>
          <w:sz w:val="26"/>
          <w:szCs w:val="26"/>
        </w:rPr>
        <w:t xml:space="preserve"> </w:t>
      </w:r>
      <w:r w:rsidRPr="00041B53">
        <w:rPr>
          <w:rFonts w:eastAsiaTheme="minorHAnsi"/>
          <w:sz w:val="26"/>
          <w:szCs w:val="26"/>
        </w:rPr>
        <w:t xml:space="preserve">for disturbing the </w:t>
      </w:r>
      <w:r w:rsidRPr="00041B53">
        <w:rPr>
          <w:rFonts w:eastAsiaTheme="minorHAnsi"/>
          <w:i/>
          <w:sz w:val="26"/>
          <w:szCs w:val="26"/>
        </w:rPr>
        <w:t xml:space="preserve">Final Order </w:t>
      </w:r>
      <w:r w:rsidRPr="00041B53">
        <w:rPr>
          <w:rFonts w:eastAsiaTheme="minorHAnsi"/>
          <w:iCs/>
          <w:sz w:val="26"/>
          <w:szCs w:val="26"/>
        </w:rPr>
        <w:t>entered in this proceeding</w:t>
      </w:r>
      <w:r w:rsidRPr="00041B53">
        <w:rPr>
          <w:rFonts w:eastAsiaTheme="minorHAnsi"/>
          <w:sz w:val="26"/>
          <w:szCs w:val="26"/>
        </w:rPr>
        <w:t>.</w:t>
      </w:r>
      <w:bookmarkEnd w:id="0"/>
      <w:r w:rsidRPr="00041B53">
        <w:rPr>
          <w:rFonts w:eastAsiaTheme="minorHAnsi"/>
          <w:color w:val="000000"/>
          <w:sz w:val="26"/>
          <w:szCs w:val="26"/>
        </w:rPr>
        <w:t xml:space="preserve">  Thus, we shall</w:t>
      </w:r>
      <w:r w:rsidRPr="00041B53">
        <w:rPr>
          <w:rFonts w:eastAsiaTheme="minorHAnsi"/>
          <w:spacing w:val="-3"/>
          <w:sz w:val="26"/>
          <w:szCs w:val="26"/>
        </w:rPr>
        <w:t xml:space="preserve"> </w:t>
      </w:r>
      <w:r w:rsidRPr="00041B53">
        <w:rPr>
          <w:rFonts w:eastAsiaTheme="minorHAnsi"/>
          <w:sz w:val="26"/>
          <w:szCs w:val="26"/>
        </w:rPr>
        <w:t>deny the Complainant’s Petition</w:t>
      </w:r>
      <w:r>
        <w:rPr>
          <w:rFonts w:eastAsiaTheme="minorHAnsi"/>
          <w:sz w:val="26"/>
          <w:szCs w:val="26"/>
        </w:rPr>
        <w:t>.</w:t>
      </w:r>
    </w:p>
    <w:p w14:paraId="4BC4DF49" w14:textId="77777777" w:rsidR="004D4DC2" w:rsidRDefault="004D4DC2" w:rsidP="00041B53">
      <w:pPr>
        <w:widowControl/>
        <w:spacing w:line="360" w:lineRule="auto"/>
        <w:rPr>
          <w:sz w:val="26"/>
          <w:szCs w:val="26"/>
        </w:rPr>
      </w:pPr>
    </w:p>
    <w:p w14:paraId="5AB6C4AA" w14:textId="3E9A7C57" w:rsidR="004D4DC2" w:rsidRPr="00891667" w:rsidRDefault="00041B53" w:rsidP="00891667">
      <w:pPr>
        <w:widowControl/>
        <w:spacing w:line="360" w:lineRule="auto"/>
        <w:ind w:firstLine="1440"/>
        <w:rPr>
          <w:sz w:val="26"/>
          <w:szCs w:val="26"/>
        </w:rPr>
      </w:pPr>
      <w:r>
        <w:rPr>
          <w:sz w:val="26"/>
          <w:szCs w:val="26"/>
        </w:rPr>
        <w:t>The Complainant</w:t>
      </w:r>
      <w:r w:rsidR="006C6083">
        <w:rPr>
          <w:sz w:val="26"/>
          <w:szCs w:val="26"/>
        </w:rPr>
        <w:t xml:space="preserve"> was afforded the opportunity to be heard</w:t>
      </w:r>
      <w:r>
        <w:rPr>
          <w:sz w:val="26"/>
          <w:szCs w:val="26"/>
        </w:rPr>
        <w:t xml:space="preserve"> at a duly notified hearing before the ALJ</w:t>
      </w:r>
      <w:r w:rsidR="00BD6D0E">
        <w:rPr>
          <w:sz w:val="26"/>
          <w:szCs w:val="26"/>
        </w:rPr>
        <w:t>,</w:t>
      </w:r>
      <w:r w:rsidR="00C056CE">
        <w:rPr>
          <w:sz w:val="26"/>
          <w:szCs w:val="26"/>
        </w:rPr>
        <w:t xml:space="preserve"> regarding </w:t>
      </w:r>
      <w:r w:rsidR="00BD6D0E">
        <w:rPr>
          <w:sz w:val="26"/>
          <w:szCs w:val="26"/>
        </w:rPr>
        <w:t>her</w:t>
      </w:r>
      <w:r w:rsidR="00C056CE">
        <w:rPr>
          <w:sz w:val="26"/>
          <w:szCs w:val="26"/>
        </w:rPr>
        <w:t xml:space="preserve"> claims alleged against PECO in her </w:t>
      </w:r>
      <w:r w:rsidR="00C056CE">
        <w:rPr>
          <w:sz w:val="26"/>
          <w:szCs w:val="26"/>
        </w:rPr>
        <w:lastRenderedPageBreak/>
        <w:t>Complaint</w:t>
      </w:r>
      <w:r w:rsidR="006C6083">
        <w:rPr>
          <w:sz w:val="26"/>
          <w:szCs w:val="26"/>
        </w:rPr>
        <w:t>.</w:t>
      </w:r>
      <w:r w:rsidR="00C056CE">
        <w:rPr>
          <w:rStyle w:val="FootnoteReference"/>
          <w:sz w:val="26"/>
          <w:szCs w:val="26"/>
        </w:rPr>
        <w:footnoteReference w:id="6"/>
      </w:r>
      <w:r w:rsidR="006C6083">
        <w:rPr>
          <w:sz w:val="26"/>
          <w:szCs w:val="26"/>
        </w:rPr>
        <w:t xml:space="preserve">  </w:t>
      </w:r>
      <w:r w:rsidR="00C056CE">
        <w:rPr>
          <w:sz w:val="26"/>
          <w:szCs w:val="26"/>
        </w:rPr>
        <w:t xml:space="preserve">Although </w:t>
      </w:r>
      <w:r w:rsidR="00891667">
        <w:rPr>
          <w:sz w:val="26"/>
          <w:szCs w:val="26"/>
        </w:rPr>
        <w:t xml:space="preserve">it appears </w:t>
      </w:r>
      <w:r w:rsidR="004D4DC2">
        <w:rPr>
          <w:sz w:val="26"/>
          <w:szCs w:val="26"/>
        </w:rPr>
        <w:t>Ms. Grace</w:t>
      </w:r>
      <w:r w:rsidR="00C056CE">
        <w:rPr>
          <w:sz w:val="26"/>
          <w:szCs w:val="26"/>
        </w:rPr>
        <w:t xml:space="preserve"> </w:t>
      </w:r>
      <w:r w:rsidR="006C6083">
        <w:rPr>
          <w:sz w:val="26"/>
          <w:szCs w:val="26"/>
        </w:rPr>
        <w:t>a</w:t>
      </w:r>
      <w:r w:rsidR="00891667">
        <w:rPr>
          <w:sz w:val="26"/>
          <w:szCs w:val="26"/>
        </w:rPr>
        <w:t>ttended</w:t>
      </w:r>
      <w:r w:rsidR="006C6083">
        <w:rPr>
          <w:sz w:val="26"/>
          <w:szCs w:val="26"/>
        </w:rPr>
        <w:t xml:space="preserve"> the hearing</w:t>
      </w:r>
      <w:r w:rsidR="00C056CE">
        <w:rPr>
          <w:sz w:val="26"/>
          <w:szCs w:val="26"/>
        </w:rPr>
        <w:t xml:space="preserve">, </w:t>
      </w:r>
      <w:r w:rsidR="00891667">
        <w:rPr>
          <w:sz w:val="26"/>
          <w:szCs w:val="26"/>
        </w:rPr>
        <w:t>she</w:t>
      </w:r>
      <w:r w:rsidR="00C056CE">
        <w:rPr>
          <w:sz w:val="26"/>
          <w:szCs w:val="26"/>
        </w:rPr>
        <w:t xml:space="preserve"> proceeded in a manner to be obstructive to the orderly conduct of the hearing by refusing to identify </w:t>
      </w:r>
      <w:r>
        <w:rPr>
          <w:sz w:val="26"/>
          <w:szCs w:val="26"/>
        </w:rPr>
        <w:t>herself to the ALJ</w:t>
      </w:r>
      <w:r w:rsidR="00C056CE">
        <w:rPr>
          <w:sz w:val="26"/>
          <w:szCs w:val="26"/>
        </w:rPr>
        <w:t xml:space="preserve">.  </w:t>
      </w:r>
      <w:r w:rsidR="004D4DC2">
        <w:rPr>
          <w:sz w:val="26"/>
          <w:szCs w:val="26"/>
        </w:rPr>
        <w:t xml:space="preserve">We agree with </w:t>
      </w:r>
      <w:r w:rsidR="006C6083" w:rsidRPr="006C6083">
        <w:rPr>
          <w:rFonts w:eastAsiaTheme="minorHAnsi"/>
          <w:sz w:val="26"/>
          <w:szCs w:val="26"/>
        </w:rPr>
        <w:t xml:space="preserve">the ALJ’s finding </w:t>
      </w:r>
      <w:r w:rsidR="008F7BE6">
        <w:rPr>
          <w:sz w:val="26"/>
          <w:szCs w:val="26"/>
        </w:rPr>
        <w:t>that these</w:t>
      </w:r>
      <w:r w:rsidR="006C6083" w:rsidRPr="006C6083">
        <w:rPr>
          <w:sz w:val="26"/>
          <w:szCs w:val="26"/>
        </w:rPr>
        <w:t xml:space="preserve"> actions at the hearing “obstructed the orderly conduct of the proceeding</w:t>
      </w:r>
      <w:r w:rsidR="004D4DC2">
        <w:rPr>
          <w:sz w:val="26"/>
          <w:szCs w:val="26"/>
        </w:rPr>
        <w:t>….</w:t>
      </w:r>
      <w:r w:rsidR="006C6083" w:rsidRPr="006C6083">
        <w:rPr>
          <w:sz w:val="26"/>
          <w:szCs w:val="26"/>
        </w:rPr>
        <w:t>”</w:t>
      </w:r>
      <w:r w:rsidR="004D4DC2">
        <w:rPr>
          <w:sz w:val="26"/>
          <w:szCs w:val="26"/>
        </w:rPr>
        <w:t xml:space="preserve">  I.D. at 5. </w:t>
      </w:r>
      <w:r w:rsidR="00891667">
        <w:rPr>
          <w:sz w:val="26"/>
          <w:szCs w:val="26"/>
        </w:rPr>
        <w:t xml:space="preserve"> </w:t>
      </w:r>
      <w:r w:rsidR="00891667">
        <w:rPr>
          <w:rFonts w:eastAsiaTheme="minorHAnsi"/>
          <w:spacing w:val="-3"/>
          <w:sz w:val="26"/>
          <w:szCs w:val="26"/>
        </w:rPr>
        <w:t>W</w:t>
      </w:r>
      <w:r w:rsidR="004D4DC2">
        <w:rPr>
          <w:rFonts w:eastAsiaTheme="minorHAnsi"/>
          <w:spacing w:val="-3"/>
          <w:sz w:val="26"/>
          <w:szCs w:val="26"/>
        </w:rPr>
        <w:t xml:space="preserve">e </w:t>
      </w:r>
      <w:r w:rsidR="00891667">
        <w:rPr>
          <w:rFonts w:eastAsiaTheme="minorHAnsi"/>
          <w:spacing w:val="-3"/>
          <w:sz w:val="26"/>
          <w:szCs w:val="26"/>
        </w:rPr>
        <w:t xml:space="preserve">also </w:t>
      </w:r>
      <w:r w:rsidR="004D4DC2">
        <w:rPr>
          <w:rFonts w:eastAsiaTheme="minorHAnsi"/>
          <w:spacing w:val="-3"/>
          <w:sz w:val="26"/>
          <w:szCs w:val="26"/>
        </w:rPr>
        <w:t>agree with the ALJ that the Complainant’s actions at the hearing “were inimical to the public interest.”  I.D. at 5</w:t>
      </w:r>
      <w:r w:rsidR="00891667">
        <w:rPr>
          <w:rFonts w:eastAsiaTheme="minorHAnsi"/>
          <w:spacing w:val="-3"/>
          <w:sz w:val="26"/>
          <w:szCs w:val="26"/>
        </w:rPr>
        <w:t xml:space="preserve">; </w:t>
      </w:r>
      <w:r w:rsidR="00891667">
        <w:rPr>
          <w:i/>
          <w:sz w:val="26"/>
          <w:szCs w:val="26"/>
        </w:rPr>
        <w:t>s</w:t>
      </w:r>
      <w:r w:rsidR="00891667" w:rsidRPr="004D4DC2">
        <w:rPr>
          <w:i/>
          <w:sz w:val="26"/>
          <w:szCs w:val="26"/>
        </w:rPr>
        <w:t>ee</w:t>
      </w:r>
      <w:r w:rsidR="00891667">
        <w:rPr>
          <w:i/>
          <w:sz w:val="26"/>
          <w:szCs w:val="26"/>
        </w:rPr>
        <w:t xml:space="preserve"> also</w:t>
      </w:r>
      <w:r w:rsidR="00891667" w:rsidRPr="00891667">
        <w:rPr>
          <w:iCs/>
          <w:sz w:val="26"/>
          <w:szCs w:val="26"/>
        </w:rPr>
        <w:t>, 66 Pa. C.S. § 332(f);</w:t>
      </w:r>
      <w:r w:rsidR="00891667">
        <w:rPr>
          <w:i/>
          <w:sz w:val="26"/>
          <w:szCs w:val="26"/>
        </w:rPr>
        <w:t xml:space="preserve"> see also, </w:t>
      </w:r>
      <w:r w:rsidR="00891667" w:rsidRPr="004D4DC2">
        <w:rPr>
          <w:i/>
          <w:sz w:val="26"/>
          <w:szCs w:val="26"/>
        </w:rPr>
        <w:t>Jefferson v. UGI Utilities, Inc.</w:t>
      </w:r>
      <w:r w:rsidR="00891667" w:rsidRPr="004D4DC2">
        <w:rPr>
          <w:sz w:val="26"/>
          <w:szCs w:val="26"/>
        </w:rPr>
        <w:t>,</w:t>
      </w:r>
      <w:r w:rsidR="00891667" w:rsidRPr="004D4DC2">
        <w:rPr>
          <w:i/>
          <w:sz w:val="26"/>
          <w:szCs w:val="26"/>
        </w:rPr>
        <w:t xml:space="preserve"> </w:t>
      </w:r>
      <w:r w:rsidR="00891667" w:rsidRPr="004D4DC2">
        <w:rPr>
          <w:sz w:val="26"/>
          <w:szCs w:val="26"/>
        </w:rPr>
        <w:t>Docket No. Z-00269892 (Order entered December 26, 1995) (</w:t>
      </w:r>
      <w:r w:rsidR="00891667" w:rsidRPr="004D4DC2">
        <w:rPr>
          <w:i/>
          <w:sz w:val="26"/>
          <w:szCs w:val="26"/>
        </w:rPr>
        <w:t>Jefferson</w:t>
      </w:r>
      <w:r w:rsidR="00891667" w:rsidRPr="004D4DC2">
        <w:rPr>
          <w:sz w:val="26"/>
          <w:szCs w:val="26"/>
        </w:rPr>
        <w:t>)</w:t>
      </w:r>
      <w:r w:rsidR="00891667">
        <w:rPr>
          <w:sz w:val="26"/>
          <w:szCs w:val="26"/>
        </w:rPr>
        <w:t xml:space="preserve"> </w:t>
      </w:r>
      <w:r w:rsidR="00891667">
        <w:rPr>
          <w:rFonts w:eastAsiaTheme="minorHAnsi"/>
          <w:spacing w:val="-3"/>
          <w:sz w:val="26"/>
          <w:szCs w:val="26"/>
        </w:rPr>
        <w:t>(</w:t>
      </w:r>
      <w:r w:rsidR="00891667">
        <w:rPr>
          <w:sz w:val="26"/>
          <w:szCs w:val="26"/>
        </w:rPr>
        <w:t>T</w:t>
      </w:r>
      <w:r w:rsidR="00891667" w:rsidRPr="004D4DC2">
        <w:rPr>
          <w:sz w:val="26"/>
          <w:szCs w:val="26"/>
        </w:rPr>
        <w:t>he public interest is prejudiced by the wasteful use of the agency’s and the respondent’s time and resources in addressing a complaint</w:t>
      </w:r>
      <w:r w:rsidR="00891667">
        <w:rPr>
          <w:sz w:val="26"/>
          <w:szCs w:val="26"/>
        </w:rPr>
        <w:t>)</w:t>
      </w:r>
      <w:r w:rsidR="00891667" w:rsidRPr="004D4DC2">
        <w:rPr>
          <w:sz w:val="26"/>
          <w:szCs w:val="26"/>
        </w:rPr>
        <w:t>.</w:t>
      </w:r>
      <w:r w:rsidR="00891667">
        <w:rPr>
          <w:sz w:val="26"/>
          <w:szCs w:val="26"/>
        </w:rPr>
        <w:t xml:space="preserve">  </w:t>
      </w:r>
      <w:r w:rsidR="004D4DC2">
        <w:rPr>
          <w:rFonts w:eastAsiaTheme="minorHAnsi"/>
          <w:spacing w:val="-3"/>
          <w:sz w:val="26"/>
          <w:szCs w:val="26"/>
        </w:rPr>
        <w:t xml:space="preserve">Accordingly, </w:t>
      </w:r>
      <w:r w:rsidR="004D4DC2">
        <w:rPr>
          <w:sz w:val="26"/>
          <w:szCs w:val="26"/>
        </w:rPr>
        <w:t>w</w:t>
      </w:r>
      <w:r w:rsidR="004D4DC2" w:rsidRPr="006C6083">
        <w:rPr>
          <w:sz w:val="26"/>
          <w:szCs w:val="26"/>
        </w:rPr>
        <w:t xml:space="preserve">e </w:t>
      </w:r>
      <w:r w:rsidR="00D06C32">
        <w:rPr>
          <w:sz w:val="26"/>
          <w:szCs w:val="26"/>
        </w:rPr>
        <w:t xml:space="preserve">herein </w:t>
      </w:r>
      <w:r w:rsidR="005661E2">
        <w:rPr>
          <w:sz w:val="26"/>
          <w:szCs w:val="26"/>
        </w:rPr>
        <w:t xml:space="preserve">decline to rescind </w:t>
      </w:r>
      <w:r w:rsidR="00D06C32">
        <w:rPr>
          <w:sz w:val="26"/>
          <w:szCs w:val="26"/>
        </w:rPr>
        <w:t xml:space="preserve">the </w:t>
      </w:r>
      <w:r w:rsidR="00D06C32" w:rsidRPr="00D06C32">
        <w:rPr>
          <w:i/>
          <w:iCs/>
          <w:sz w:val="26"/>
          <w:szCs w:val="26"/>
        </w:rPr>
        <w:t>Final Order</w:t>
      </w:r>
      <w:r w:rsidR="00D06C32">
        <w:rPr>
          <w:sz w:val="26"/>
          <w:szCs w:val="26"/>
        </w:rPr>
        <w:t xml:space="preserve">, which affirmed </w:t>
      </w:r>
      <w:r w:rsidR="004D4DC2" w:rsidRPr="006C6083">
        <w:rPr>
          <w:sz w:val="26"/>
          <w:szCs w:val="26"/>
        </w:rPr>
        <w:t>the ALJ's dismiss</w:t>
      </w:r>
      <w:r w:rsidR="00D06C32">
        <w:rPr>
          <w:sz w:val="26"/>
          <w:szCs w:val="26"/>
        </w:rPr>
        <w:t>al of</w:t>
      </w:r>
      <w:r w:rsidR="004D4DC2" w:rsidRPr="006C6083">
        <w:rPr>
          <w:sz w:val="26"/>
          <w:szCs w:val="26"/>
        </w:rPr>
        <w:t xml:space="preserve"> the Complaint in accordance with </w:t>
      </w:r>
      <w:r w:rsidR="004D4DC2" w:rsidRPr="006C6083">
        <w:rPr>
          <w:rFonts w:eastAsiaTheme="minorHAnsi"/>
          <w:sz w:val="26"/>
          <w:szCs w:val="26"/>
        </w:rPr>
        <w:t xml:space="preserve">52 Pa. Code </w:t>
      </w:r>
      <w:r w:rsidR="00891667">
        <w:rPr>
          <w:rFonts w:eastAsiaTheme="minorHAnsi"/>
          <w:sz w:val="26"/>
          <w:szCs w:val="26"/>
        </w:rPr>
        <w:t>§</w:t>
      </w:r>
      <w:r w:rsidR="004D4DC2" w:rsidRPr="006C6083">
        <w:rPr>
          <w:rFonts w:eastAsiaTheme="minorHAnsi"/>
          <w:sz w:val="26"/>
          <w:szCs w:val="26"/>
        </w:rPr>
        <w:t>§</w:t>
      </w:r>
      <w:r w:rsidR="00B775BB">
        <w:rPr>
          <w:rFonts w:eastAsiaTheme="minorHAnsi"/>
          <w:sz w:val="26"/>
          <w:szCs w:val="26"/>
        </w:rPr>
        <w:t> </w:t>
      </w:r>
      <w:r w:rsidR="004D4DC2" w:rsidRPr="006C6083">
        <w:rPr>
          <w:rFonts w:eastAsiaTheme="minorHAnsi"/>
          <w:sz w:val="26"/>
          <w:szCs w:val="26"/>
        </w:rPr>
        <w:t>5.245</w:t>
      </w:r>
      <w:r w:rsidR="00891667">
        <w:rPr>
          <w:rFonts w:eastAsiaTheme="minorHAnsi"/>
          <w:sz w:val="26"/>
          <w:szCs w:val="26"/>
        </w:rPr>
        <w:t xml:space="preserve">(a), </w:t>
      </w:r>
      <w:r w:rsidR="004D4DC2">
        <w:rPr>
          <w:rFonts w:eastAsiaTheme="minorHAnsi"/>
          <w:sz w:val="26"/>
          <w:szCs w:val="26"/>
        </w:rPr>
        <w:t>(c).</w:t>
      </w:r>
    </w:p>
    <w:p w14:paraId="30A3A319" w14:textId="77777777" w:rsidR="00041B53" w:rsidRDefault="00041B53" w:rsidP="004D4DC2">
      <w:pPr>
        <w:widowControl/>
        <w:spacing w:line="360" w:lineRule="auto"/>
        <w:ind w:firstLine="1440"/>
        <w:rPr>
          <w:rFonts w:eastAsiaTheme="minorHAnsi"/>
          <w:sz w:val="26"/>
          <w:szCs w:val="26"/>
        </w:rPr>
      </w:pPr>
    </w:p>
    <w:p w14:paraId="10B4BACB" w14:textId="49516F6B" w:rsidR="00041B53" w:rsidRPr="004D4DC2" w:rsidRDefault="00041B53" w:rsidP="00D323D6">
      <w:pPr>
        <w:widowControl/>
        <w:spacing w:line="360" w:lineRule="auto"/>
        <w:ind w:firstLine="1440"/>
        <w:rPr>
          <w:sz w:val="26"/>
          <w:szCs w:val="26"/>
        </w:rPr>
      </w:pPr>
      <w:r w:rsidRPr="008F7BE6">
        <w:rPr>
          <w:sz w:val="26"/>
          <w:szCs w:val="26"/>
        </w:rPr>
        <w:t xml:space="preserve">Now, </w:t>
      </w:r>
      <w:r>
        <w:rPr>
          <w:sz w:val="26"/>
          <w:szCs w:val="26"/>
        </w:rPr>
        <w:t xml:space="preserve">for the first time in this proceeding, </w:t>
      </w:r>
      <w:r w:rsidRPr="008F7BE6">
        <w:rPr>
          <w:sz w:val="26"/>
          <w:szCs w:val="26"/>
        </w:rPr>
        <w:t>in her Petition</w:t>
      </w:r>
      <w:r>
        <w:rPr>
          <w:sz w:val="26"/>
          <w:szCs w:val="26"/>
        </w:rPr>
        <w:t xml:space="preserve"> for Rescission</w:t>
      </w:r>
      <w:r w:rsidRPr="008F7BE6">
        <w:rPr>
          <w:sz w:val="26"/>
          <w:szCs w:val="26"/>
        </w:rPr>
        <w:t xml:space="preserve">, </w:t>
      </w:r>
      <w:r w:rsidR="00D06C32">
        <w:rPr>
          <w:sz w:val="26"/>
          <w:szCs w:val="26"/>
        </w:rPr>
        <w:t xml:space="preserve">the Complainant </w:t>
      </w:r>
      <w:r w:rsidRPr="008F7BE6">
        <w:rPr>
          <w:sz w:val="26"/>
          <w:szCs w:val="26"/>
        </w:rPr>
        <w:t xml:space="preserve">seeks to </w:t>
      </w:r>
      <w:r w:rsidR="00D323D6">
        <w:rPr>
          <w:sz w:val="26"/>
          <w:szCs w:val="26"/>
        </w:rPr>
        <w:t>raise her</w:t>
      </w:r>
      <w:r>
        <w:rPr>
          <w:sz w:val="26"/>
          <w:szCs w:val="26"/>
        </w:rPr>
        <w:t xml:space="preserve"> claims of incorrect charges on her PECO bill relating to </w:t>
      </w:r>
      <w:r w:rsidR="00D06C32">
        <w:rPr>
          <w:sz w:val="26"/>
          <w:szCs w:val="26"/>
        </w:rPr>
        <w:t xml:space="preserve">alleged </w:t>
      </w:r>
      <w:r>
        <w:rPr>
          <w:sz w:val="26"/>
          <w:szCs w:val="26"/>
        </w:rPr>
        <w:t xml:space="preserve">theft of service as well as </w:t>
      </w:r>
      <w:r w:rsidR="00D06C32">
        <w:rPr>
          <w:sz w:val="26"/>
          <w:szCs w:val="26"/>
        </w:rPr>
        <w:t>certain</w:t>
      </w:r>
      <w:r>
        <w:rPr>
          <w:sz w:val="26"/>
          <w:szCs w:val="26"/>
        </w:rPr>
        <w:t xml:space="preserve"> claims of constitutional violations.  </w:t>
      </w:r>
      <w:r w:rsidR="00D323D6" w:rsidRPr="00D323D6">
        <w:rPr>
          <w:sz w:val="26"/>
          <w:szCs w:val="26"/>
        </w:rPr>
        <w:t xml:space="preserve">Even though Ms. Grace is </w:t>
      </w:r>
      <w:r w:rsidR="00D323D6" w:rsidRPr="00D323D6">
        <w:rPr>
          <w:i/>
          <w:iCs/>
          <w:sz w:val="26"/>
          <w:szCs w:val="26"/>
        </w:rPr>
        <w:t>pro se</w:t>
      </w:r>
      <w:r w:rsidR="00D323D6" w:rsidRPr="00D323D6">
        <w:rPr>
          <w:sz w:val="26"/>
          <w:szCs w:val="26"/>
        </w:rPr>
        <w:t xml:space="preserve">, we find </w:t>
      </w:r>
      <w:r w:rsidR="00D323D6" w:rsidRPr="00D323D6">
        <w:rPr>
          <w:rFonts w:eastAsiaTheme="minorEastAsia"/>
          <w:sz w:val="26"/>
          <w:szCs w:val="26"/>
        </w:rPr>
        <w:t>Ms. Grace</w:t>
      </w:r>
      <w:r w:rsidR="00D323D6" w:rsidRPr="00A91218">
        <w:rPr>
          <w:rFonts w:eastAsiaTheme="minorEastAsia"/>
          <w:sz w:val="26"/>
          <w:szCs w:val="26"/>
        </w:rPr>
        <w:t xml:space="preserve"> has waived these arguments by </w:t>
      </w:r>
      <w:r w:rsidR="00D323D6" w:rsidRPr="00D323D6">
        <w:rPr>
          <w:rFonts w:eastAsiaTheme="minorEastAsia"/>
          <w:sz w:val="26"/>
          <w:szCs w:val="26"/>
        </w:rPr>
        <w:t xml:space="preserve">proceeding in an obstructive manner at the hearing </w:t>
      </w:r>
      <w:r w:rsidR="00D323D6">
        <w:rPr>
          <w:rFonts w:eastAsiaTheme="minorEastAsia"/>
          <w:sz w:val="26"/>
          <w:szCs w:val="26"/>
        </w:rPr>
        <w:t xml:space="preserve">and </w:t>
      </w:r>
      <w:r w:rsidR="00D323D6" w:rsidRPr="00A91218">
        <w:rPr>
          <w:rFonts w:eastAsiaTheme="minorEastAsia"/>
          <w:sz w:val="26"/>
          <w:szCs w:val="26"/>
        </w:rPr>
        <w:t>failing to assert the</w:t>
      </w:r>
      <w:r w:rsidR="00D323D6" w:rsidRPr="00D323D6">
        <w:rPr>
          <w:rFonts w:eastAsiaTheme="minorEastAsia"/>
          <w:sz w:val="26"/>
          <w:szCs w:val="26"/>
        </w:rPr>
        <w:t>se claims and arguments</w:t>
      </w:r>
      <w:r w:rsidR="00D323D6" w:rsidRPr="00A91218">
        <w:rPr>
          <w:rFonts w:eastAsiaTheme="minorEastAsia"/>
          <w:sz w:val="26"/>
          <w:szCs w:val="26"/>
        </w:rPr>
        <w:t xml:space="preserve"> at </w:t>
      </w:r>
      <w:r w:rsidR="00D323D6" w:rsidRPr="00D323D6">
        <w:rPr>
          <w:rFonts w:eastAsiaTheme="minorEastAsia"/>
          <w:sz w:val="26"/>
          <w:szCs w:val="26"/>
        </w:rPr>
        <w:t>the</w:t>
      </w:r>
      <w:r w:rsidR="00D323D6" w:rsidRPr="00A91218">
        <w:rPr>
          <w:rFonts w:eastAsiaTheme="minorEastAsia"/>
          <w:sz w:val="26"/>
          <w:szCs w:val="26"/>
        </w:rPr>
        <w:t xml:space="preserve"> </w:t>
      </w:r>
      <w:r w:rsidR="00D323D6" w:rsidRPr="00A91218">
        <w:rPr>
          <w:rFonts w:eastAsiaTheme="minorEastAsia"/>
          <w:sz w:val="26"/>
          <w:szCs w:val="26"/>
        </w:rPr>
        <w:lastRenderedPageBreak/>
        <w:t>earlier stage of the proceeding.</w:t>
      </w:r>
      <w:r w:rsidR="00D323D6">
        <w:rPr>
          <w:rStyle w:val="FootnoteReference"/>
          <w:rFonts w:eastAsiaTheme="minorEastAsia"/>
          <w:sz w:val="26"/>
          <w:szCs w:val="26"/>
        </w:rPr>
        <w:footnoteReference w:id="7"/>
      </w:r>
      <w:r w:rsidR="00D323D6" w:rsidRPr="00D323D6">
        <w:rPr>
          <w:rFonts w:eastAsiaTheme="minorEastAsia"/>
          <w:sz w:val="26"/>
          <w:szCs w:val="26"/>
        </w:rPr>
        <w:t xml:space="preserve">  </w:t>
      </w:r>
      <w:r>
        <w:rPr>
          <w:rFonts w:eastAsiaTheme="minorHAnsi"/>
          <w:spacing w:val="-3"/>
          <w:sz w:val="26"/>
          <w:szCs w:val="26"/>
        </w:rPr>
        <w:t xml:space="preserve">Ms. Grace’s Complaint was assigned to the Office of Administrative Law Judge exactly for the purpose of providing her a meaningful opportunity to present evidence and to raise arguments relating to the allegations in her Complaint.  However, because the Complainant acted in an obstructive manner, the hearing did not </w:t>
      </w:r>
      <w:r w:rsidR="00BD6D0E">
        <w:rPr>
          <w:rFonts w:eastAsiaTheme="minorHAnsi"/>
          <w:spacing w:val="-3"/>
          <w:sz w:val="26"/>
          <w:szCs w:val="26"/>
        </w:rPr>
        <w:t>proceed,</w:t>
      </w:r>
      <w:r w:rsidRPr="00041B53">
        <w:rPr>
          <w:rFonts w:eastAsiaTheme="minorHAnsi"/>
          <w:spacing w:val="-3"/>
          <w:sz w:val="26"/>
          <w:szCs w:val="26"/>
        </w:rPr>
        <w:t xml:space="preserve"> </w:t>
      </w:r>
      <w:r>
        <w:rPr>
          <w:rFonts w:eastAsiaTheme="minorHAnsi"/>
          <w:spacing w:val="-3"/>
          <w:sz w:val="26"/>
          <w:szCs w:val="26"/>
        </w:rPr>
        <w:t xml:space="preserve">and her Complaint was dismissed by the ALJ.  She has </w:t>
      </w:r>
      <w:r w:rsidR="005661E2">
        <w:rPr>
          <w:rFonts w:eastAsiaTheme="minorHAnsi"/>
          <w:spacing w:val="-3"/>
          <w:sz w:val="26"/>
          <w:szCs w:val="26"/>
        </w:rPr>
        <w:t xml:space="preserve">not </w:t>
      </w:r>
      <w:r>
        <w:rPr>
          <w:rFonts w:eastAsiaTheme="minorHAnsi"/>
          <w:spacing w:val="-3"/>
          <w:sz w:val="26"/>
          <w:szCs w:val="26"/>
        </w:rPr>
        <w:t xml:space="preserve">presented </w:t>
      </w:r>
      <w:r w:rsidR="005661E2">
        <w:rPr>
          <w:rFonts w:eastAsiaTheme="minorHAnsi"/>
          <w:spacing w:val="-3"/>
          <w:sz w:val="26"/>
          <w:szCs w:val="26"/>
        </w:rPr>
        <w:t>any</w:t>
      </w:r>
      <w:r>
        <w:rPr>
          <w:rFonts w:eastAsiaTheme="minorHAnsi"/>
          <w:spacing w:val="-3"/>
          <w:sz w:val="26"/>
          <w:szCs w:val="26"/>
        </w:rPr>
        <w:t xml:space="preserve"> reason </w:t>
      </w:r>
      <w:r w:rsidR="00D323D6">
        <w:rPr>
          <w:rFonts w:eastAsiaTheme="minorHAnsi"/>
          <w:spacing w:val="-3"/>
          <w:sz w:val="26"/>
          <w:szCs w:val="26"/>
        </w:rPr>
        <w:t xml:space="preserve">in her Petition </w:t>
      </w:r>
      <w:r>
        <w:rPr>
          <w:rFonts w:eastAsiaTheme="minorHAnsi"/>
          <w:spacing w:val="-3"/>
          <w:sz w:val="26"/>
          <w:szCs w:val="26"/>
        </w:rPr>
        <w:t xml:space="preserve">to rescind </w:t>
      </w:r>
      <w:r w:rsidR="00FE05F8">
        <w:rPr>
          <w:rFonts w:eastAsiaTheme="minorHAnsi"/>
          <w:spacing w:val="-3"/>
          <w:sz w:val="26"/>
          <w:szCs w:val="26"/>
        </w:rPr>
        <w:t xml:space="preserve">the </w:t>
      </w:r>
      <w:r w:rsidRPr="00D323D6">
        <w:rPr>
          <w:rFonts w:eastAsiaTheme="minorHAnsi"/>
          <w:i/>
          <w:iCs/>
          <w:spacing w:val="-3"/>
          <w:sz w:val="26"/>
          <w:szCs w:val="26"/>
        </w:rPr>
        <w:t>Final Order</w:t>
      </w:r>
      <w:r>
        <w:rPr>
          <w:rFonts w:eastAsiaTheme="minorHAnsi"/>
          <w:spacing w:val="-3"/>
          <w:sz w:val="26"/>
          <w:szCs w:val="26"/>
        </w:rPr>
        <w:t xml:space="preserve"> and re</w:t>
      </w:r>
      <w:r w:rsidR="00D323D6">
        <w:rPr>
          <w:rFonts w:eastAsiaTheme="minorHAnsi"/>
          <w:spacing w:val="-3"/>
          <w:sz w:val="26"/>
          <w:szCs w:val="26"/>
        </w:rPr>
        <w:t>mand</w:t>
      </w:r>
      <w:r>
        <w:rPr>
          <w:rFonts w:eastAsiaTheme="minorHAnsi"/>
          <w:spacing w:val="-3"/>
          <w:sz w:val="26"/>
          <w:szCs w:val="26"/>
        </w:rPr>
        <w:t xml:space="preserve"> the case for</w:t>
      </w:r>
      <w:r w:rsidR="00D323D6">
        <w:rPr>
          <w:rFonts w:eastAsiaTheme="minorHAnsi"/>
          <w:spacing w:val="-3"/>
          <w:sz w:val="26"/>
          <w:szCs w:val="26"/>
        </w:rPr>
        <w:t xml:space="preserve"> a second</w:t>
      </w:r>
      <w:r>
        <w:rPr>
          <w:rFonts w:eastAsiaTheme="minorHAnsi"/>
          <w:spacing w:val="-3"/>
          <w:sz w:val="26"/>
          <w:szCs w:val="26"/>
        </w:rPr>
        <w:t xml:space="preserve"> hearing. </w:t>
      </w:r>
    </w:p>
    <w:p w14:paraId="006EC6E1" w14:textId="77777777" w:rsidR="006C6083" w:rsidRDefault="006C6083" w:rsidP="004D4DC2">
      <w:pPr>
        <w:widowControl/>
        <w:spacing w:line="360" w:lineRule="auto"/>
        <w:rPr>
          <w:sz w:val="26"/>
          <w:szCs w:val="26"/>
        </w:rPr>
      </w:pPr>
    </w:p>
    <w:p w14:paraId="34D06401" w14:textId="401AED05" w:rsidR="00891667" w:rsidRPr="00891667" w:rsidRDefault="00041B53" w:rsidP="00891667">
      <w:pPr>
        <w:widowControl/>
        <w:spacing w:line="360" w:lineRule="auto"/>
        <w:ind w:firstLine="1440"/>
        <w:rPr>
          <w:sz w:val="26"/>
          <w:szCs w:val="26"/>
        </w:rPr>
      </w:pPr>
      <w:r>
        <w:rPr>
          <w:sz w:val="26"/>
          <w:szCs w:val="26"/>
        </w:rPr>
        <w:t>Ms. Grace</w:t>
      </w:r>
      <w:r w:rsidR="00A91218">
        <w:rPr>
          <w:sz w:val="26"/>
          <w:szCs w:val="26"/>
        </w:rPr>
        <w:t xml:space="preserve"> </w:t>
      </w:r>
      <w:r w:rsidR="00EE4AA6">
        <w:rPr>
          <w:sz w:val="26"/>
          <w:szCs w:val="26"/>
        </w:rPr>
        <w:t xml:space="preserve">explains that </w:t>
      </w:r>
      <w:r w:rsidR="00A91218">
        <w:rPr>
          <w:sz w:val="26"/>
          <w:szCs w:val="26"/>
        </w:rPr>
        <w:t>she did not file Exceptions in this case because she received the I</w:t>
      </w:r>
      <w:r w:rsidR="005661E2">
        <w:rPr>
          <w:sz w:val="26"/>
          <w:szCs w:val="26"/>
        </w:rPr>
        <w:t>nitial</w:t>
      </w:r>
      <w:r w:rsidR="0076453A">
        <w:rPr>
          <w:sz w:val="26"/>
          <w:szCs w:val="26"/>
        </w:rPr>
        <w:t xml:space="preserve"> </w:t>
      </w:r>
      <w:r w:rsidR="00A91218">
        <w:rPr>
          <w:sz w:val="26"/>
          <w:szCs w:val="26"/>
        </w:rPr>
        <w:t>D</w:t>
      </w:r>
      <w:r w:rsidR="005661E2">
        <w:rPr>
          <w:sz w:val="26"/>
          <w:szCs w:val="26"/>
        </w:rPr>
        <w:t>ecision</w:t>
      </w:r>
      <w:r w:rsidR="00A91218">
        <w:rPr>
          <w:sz w:val="26"/>
          <w:szCs w:val="26"/>
        </w:rPr>
        <w:t xml:space="preserve"> after the Exceptions period expired. </w:t>
      </w:r>
      <w:r>
        <w:rPr>
          <w:sz w:val="26"/>
          <w:szCs w:val="26"/>
        </w:rPr>
        <w:t xml:space="preserve"> </w:t>
      </w:r>
      <w:r w:rsidR="00A351E3">
        <w:rPr>
          <w:sz w:val="26"/>
          <w:szCs w:val="26"/>
        </w:rPr>
        <w:t xml:space="preserve">However, this argument lacks merit as an audit of the docket </w:t>
      </w:r>
      <w:r w:rsidR="00EE4AA6">
        <w:rPr>
          <w:sz w:val="26"/>
          <w:szCs w:val="26"/>
        </w:rPr>
        <w:t xml:space="preserve">indicates the Commission served the </w:t>
      </w:r>
      <w:r w:rsidR="00EE4AA6" w:rsidRPr="00EE4AA6">
        <w:rPr>
          <w:i/>
          <w:iCs/>
          <w:sz w:val="26"/>
          <w:szCs w:val="26"/>
        </w:rPr>
        <w:t>October 2018 Initial Decision</w:t>
      </w:r>
      <w:r w:rsidR="00EE4AA6">
        <w:rPr>
          <w:sz w:val="26"/>
          <w:szCs w:val="26"/>
        </w:rPr>
        <w:t xml:space="preserve"> by certified mail to the address listed on the Complaint</w:t>
      </w:r>
      <w:r w:rsidR="00A351E3">
        <w:rPr>
          <w:sz w:val="26"/>
          <w:szCs w:val="26"/>
        </w:rPr>
        <w:t>.</w:t>
      </w:r>
      <w:r w:rsidR="00A351E3">
        <w:rPr>
          <w:rStyle w:val="FootnoteReference"/>
          <w:sz w:val="26"/>
          <w:szCs w:val="26"/>
        </w:rPr>
        <w:footnoteReference w:id="8"/>
      </w:r>
      <w:r w:rsidR="00A351E3">
        <w:rPr>
          <w:sz w:val="26"/>
          <w:szCs w:val="26"/>
        </w:rPr>
        <w:t xml:space="preserve">  Moreover</w:t>
      </w:r>
      <w:r>
        <w:rPr>
          <w:sz w:val="26"/>
          <w:szCs w:val="26"/>
        </w:rPr>
        <w:t>, this argument</w:t>
      </w:r>
      <w:r w:rsidR="00EE4AA6">
        <w:rPr>
          <w:sz w:val="26"/>
          <w:szCs w:val="26"/>
        </w:rPr>
        <w:t xml:space="preserve"> lacks relevance as it</w:t>
      </w:r>
      <w:r>
        <w:rPr>
          <w:sz w:val="26"/>
          <w:szCs w:val="26"/>
        </w:rPr>
        <w:t xml:space="preserve"> does not </w:t>
      </w:r>
      <w:r w:rsidR="00EE4AA6">
        <w:rPr>
          <w:sz w:val="26"/>
          <w:szCs w:val="26"/>
        </w:rPr>
        <w:t>address the main issue of</w:t>
      </w:r>
      <w:r w:rsidR="00D06C32">
        <w:rPr>
          <w:sz w:val="26"/>
          <w:szCs w:val="26"/>
        </w:rPr>
        <w:t xml:space="preserve"> her obstructive behavior </w:t>
      </w:r>
      <w:r>
        <w:rPr>
          <w:sz w:val="26"/>
          <w:szCs w:val="26"/>
        </w:rPr>
        <w:t xml:space="preserve">before the ALJ.  </w:t>
      </w:r>
      <w:r w:rsidR="00402B33">
        <w:rPr>
          <w:sz w:val="26"/>
          <w:szCs w:val="26"/>
        </w:rPr>
        <w:t>Rather, i</w:t>
      </w:r>
      <w:r>
        <w:rPr>
          <w:sz w:val="26"/>
          <w:szCs w:val="26"/>
        </w:rPr>
        <w:t xml:space="preserve">n her Petition, she </w:t>
      </w:r>
      <w:r w:rsidR="00262150">
        <w:rPr>
          <w:sz w:val="26"/>
          <w:szCs w:val="26"/>
        </w:rPr>
        <w:t>references</w:t>
      </w:r>
      <w:r>
        <w:rPr>
          <w:sz w:val="26"/>
          <w:szCs w:val="26"/>
        </w:rPr>
        <w:t xml:space="preserve"> making the statements and then argues the ALJ erred by not recognizing her</w:t>
      </w:r>
      <w:r w:rsidR="00EE4AA6">
        <w:rPr>
          <w:sz w:val="26"/>
          <w:szCs w:val="26"/>
        </w:rPr>
        <w:t xml:space="preserve"> attendance at the hearing</w:t>
      </w:r>
      <w:r>
        <w:rPr>
          <w:sz w:val="26"/>
          <w:szCs w:val="26"/>
        </w:rPr>
        <w:t xml:space="preserve">. </w:t>
      </w:r>
      <w:r w:rsidR="00395504">
        <w:rPr>
          <w:sz w:val="26"/>
          <w:szCs w:val="26"/>
        </w:rPr>
        <w:t xml:space="preserve"> N</w:t>
      </w:r>
      <w:r w:rsidR="00EE4AA6">
        <w:rPr>
          <w:sz w:val="26"/>
          <w:szCs w:val="26"/>
        </w:rPr>
        <w:t>o party may rightfully expect to proceed at a hearing in a manner that obstructs the ALJ’s orderly conduct of the proceeding.</w:t>
      </w:r>
      <w:r w:rsidR="009422C3">
        <w:rPr>
          <w:sz w:val="26"/>
          <w:szCs w:val="26"/>
        </w:rPr>
        <w:t xml:space="preserve"> </w:t>
      </w:r>
      <w:r>
        <w:rPr>
          <w:sz w:val="26"/>
          <w:szCs w:val="26"/>
        </w:rPr>
        <w:t xml:space="preserve"> </w:t>
      </w:r>
      <w:r w:rsidR="00395504">
        <w:rPr>
          <w:sz w:val="26"/>
          <w:szCs w:val="26"/>
        </w:rPr>
        <w:t>Finally</w:t>
      </w:r>
      <w:r>
        <w:rPr>
          <w:rFonts w:eastAsia="Calibri"/>
          <w:sz w:val="26"/>
          <w:szCs w:val="26"/>
        </w:rPr>
        <w:t xml:space="preserve">, the Complainant’s arguments in the Petition regarding </w:t>
      </w:r>
      <w:r w:rsidR="00402B33">
        <w:rPr>
          <w:rFonts w:eastAsia="Calibri"/>
          <w:sz w:val="26"/>
          <w:szCs w:val="26"/>
        </w:rPr>
        <w:t xml:space="preserve">her </w:t>
      </w:r>
      <w:r>
        <w:rPr>
          <w:rFonts w:eastAsia="Calibri"/>
          <w:sz w:val="26"/>
          <w:szCs w:val="26"/>
        </w:rPr>
        <w:t>constitutional</w:t>
      </w:r>
      <w:r w:rsidR="00D323D6">
        <w:rPr>
          <w:rFonts w:eastAsia="Calibri"/>
          <w:sz w:val="26"/>
          <w:szCs w:val="26"/>
        </w:rPr>
        <w:t xml:space="preserve"> </w:t>
      </w:r>
      <w:r w:rsidR="00402B33">
        <w:rPr>
          <w:rFonts w:eastAsia="Calibri"/>
          <w:sz w:val="26"/>
          <w:szCs w:val="26"/>
        </w:rPr>
        <w:t xml:space="preserve">rights </w:t>
      </w:r>
      <w:r>
        <w:rPr>
          <w:rFonts w:eastAsia="Calibri"/>
          <w:sz w:val="26"/>
          <w:szCs w:val="26"/>
        </w:rPr>
        <w:t>lack merit</w:t>
      </w:r>
      <w:r w:rsidR="00395504">
        <w:rPr>
          <w:rFonts w:eastAsia="Calibri"/>
          <w:sz w:val="26"/>
          <w:szCs w:val="26"/>
        </w:rPr>
        <w:t>; her Petition lacks any</w:t>
      </w:r>
      <w:r>
        <w:rPr>
          <w:rFonts w:eastAsia="Calibri"/>
          <w:sz w:val="26"/>
          <w:szCs w:val="26"/>
        </w:rPr>
        <w:t xml:space="preserve"> argument tying the Complainant’s cited </w:t>
      </w:r>
      <w:r w:rsidR="00D323D6">
        <w:rPr>
          <w:rFonts w:eastAsia="Calibri"/>
          <w:sz w:val="26"/>
          <w:szCs w:val="26"/>
        </w:rPr>
        <w:t>constitutional violations</w:t>
      </w:r>
      <w:r>
        <w:rPr>
          <w:rFonts w:eastAsia="Calibri"/>
          <w:sz w:val="26"/>
          <w:szCs w:val="26"/>
        </w:rPr>
        <w:t xml:space="preserve"> to </w:t>
      </w:r>
      <w:r w:rsidR="00586EC6">
        <w:rPr>
          <w:rFonts w:eastAsia="Calibri"/>
          <w:sz w:val="26"/>
          <w:szCs w:val="26"/>
        </w:rPr>
        <w:t xml:space="preserve">the Commission’s </w:t>
      </w:r>
      <w:r w:rsidR="00586EC6" w:rsidRPr="00586EC6">
        <w:rPr>
          <w:rFonts w:eastAsia="Calibri"/>
          <w:i/>
          <w:iCs/>
          <w:sz w:val="26"/>
          <w:szCs w:val="26"/>
        </w:rPr>
        <w:t>Final Order</w:t>
      </w:r>
      <w:r w:rsidR="00586EC6">
        <w:rPr>
          <w:rFonts w:eastAsia="Calibri"/>
          <w:sz w:val="26"/>
          <w:szCs w:val="26"/>
        </w:rPr>
        <w:t xml:space="preserve"> in this matter</w:t>
      </w:r>
      <w:r w:rsidR="00395504">
        <w:rPr>
          <w:rFonts w:eastAsia="Calibri"/>
          <w:sz w:val="26"/>
          <w:szCs w:val="26"/>
        </w:rPr>
        <w:t xml:space="preserve">.  </w:t>
      </w:r>
    </w:p>
    <w:p w14:paraId="49ECCFD0" w14:textId="7E22FA9A" w:rsidR="00041B53" w:rsidRDefault="00395504" w:rsidP="00402B33">
      <w:pPr>
        <w:widowControl/>
        <w:spacing w:line="360" w:lineRule="auto"/>
        <w:ind w:firstLine="1440"/>
        <w:rPr>
          <w:sz w:val="26"/>
          <w:szCs w:val="26"/>
        </w:rPr>
      </w:pPr>
      <w:r>
        <w:rPr>
          <w:rFonts w:eastAsia="Calibri"/>
          <w:sz w:val="26"/>
          <w:szCs w:val="26"/>
        </w:rPr>
        <w:lastRenderedPageBreak/>
        <w:t>T</w:t>
      </w:r>
      <w:r w:rsidR="00891667">
        <w:rPr>
          <w:rFonts w:eastAsia="Calibri"/>
          <w:sz w:val="26"/>
          <w:szCs w:val="26"/>
        </w:rPr>
        <w:t>herefore</w:t>
      </w:r>
      <w:r>
        <w:rPr>
          <w:rFonts w:eastAsia="Calibri"/>
          <w:sz w:val="26"/>
          <w:szCs w:val="26"/>
        </w:rPr>
        <w:t>, based on the foregoing reasons,</w:t>
      </w:r>
      <w:r w:rsidR="00041B53">
        <w:rPr>
          <w:rFonts w:eastAsia="Calibri"/>
          <w:sz w:val="26"/>
          <w:szCs w:val="26"/>
        </w:rPr>
        <w:t xml:space="preserve"> </w:t>
      </w:r>
      <w:r w:rsidR="00262150">
        <w:rPr>
          <w:rFonts w:eastAsia="Calibri"/>
          <w:sz w:val="26"/>
          <w:szCs w:val="26"/>
        </w:rPr>
        <w:t xml:space="preserve">we decline to rescind </w:t>
      </w:r>
      <w:r w:rsidR="00FE05F8">
        <w:rPr>
          <w:rFonts w:eastAsia="Calibri"/>
          <w:sz w:val="26"/>
          <w:szCs w:val="26"/>
        </w:rPr>
        <w:t>the</w:t>
      </w:r>
      <w:r w:rsidR="00041B53">
        <w:rPr>
          <w:rFonts w:eastAsia="Calibri"/>
          <w:sz w:val="26"/>
          <w:szCs w:val="26"/>
        </w:rPr>
        <w:t xml:space="preserve"> </w:t>
      </w:r>
      <w:r w:rsidR="00041B53" w:rsidRPr="004F2CDF">
        <w:rPr>
          <w:rFonts w:eastAsia="Calibri"/>
          <w:i/>
          <w:iCs/>
          <w:sz w:val="26"/>
          <w:szCs w:val="26"/>
        </w:rPr>
        <w:t>Final Order</w:t>
      </w:r>
      <w:r w:rsidR="00041B53">
        <w:rPr>
          <w:rFonts w:eastAsia="Calibri"/>
          <w:sz w:val="26"/>
          <w:szCs w:val="26"/>
        </w:rPr>
        <w:t xml:space="preserve"> in this proceeding.</w:t>
      </w:r>
    </w:p>
    <w:p w14:paraId="1CED4B10" w14:textId="77777777" w:rsidR="00977543" w:rsidRDefault="00977543" w:rsidP="00977543">
      <w:pPr>
        <w:spacing w:line="360" w:lineRule="auto"/>
        <w:rPr>
          <w:sz w:val="26"/>
        </w:rPr>
      </w:pPr>
    </w:p>
    <w:p w14:paraId="566558E3" w14:textId="77777777" w:rsidR="00977543" w:rsidRPr="00625B2B" w:rsidRDefault="00977543" w:rsidP="00977543">
      <w:pPr>
        <w:pStyle w:val="Heading1"/>
        <w:keepNext/>
        <w:keepLines/>
        <w:numPr>
          <w:ilvl w:val="0"/>
          <w:numId w:val="0"/>
        </w:numPr>
      </w:pPr>
      <w:r>
        <w:t>Conclusion</w:t>
      </w:r>
    </w:p>
    <w:p w14:paraId="090FDF86" w14:textId="77777777" w:rsidR="00977543" w:rsidRDefault="00977543" w:rsidP="00977543">
      <w:pPr>
        <w:keepNext/>
        <w:keepLines/>
        <w:widowControl/>
        <w:spacing w:line="360" w:lineRule="auto"/>
        <w:rPr>
          <w:sz w:val="26"/>
        </w:rPr>
      </w:pPr>
    </w:p>
    <w:p w14:paraId="40FED01A" w14:textId="77777777" w:rsidR="00977543" w:rsidRPr="00755218" w:rsidRDefault="00977543" w:rsidP="00E43798">
      <w:pPr>
        <w:keepNext/>
        <w:keepLines/>
        <w:widowControl/>
        <w:spacing w:line="360" w:lineRule="auto"/>
        <w:ind w:firstLine="1440"/>
        <w:rPr>
          <w:sz w:val="26"/>
        </w:rPr>
      </w:pPr>
      <w:r w:rsidRPr="00755218">
        <w:rPr>
          <w:sz w:val="26"/>
        </w:rPr>
        <w:t>Based upon the foregoing discussion, we shall</w:t>
      </w:r>
      <w:r w:rsidR="00B6714B">
        <w:rPr>
          <w:sz w:val="26"/>
        </w:rPr>
        <w:t xml:space="preserve"> deny the</w:t>
      </w:r>
      <w:r w:rsidR="00E43798">
        <w:rPr>
          <w:sz w:val="26"/>
        </w:rPr>
        <w:t xml:space="preserve"> Complainant’s</w:t>
      </w:r>
      <w:r w:rsidR="00B6714B">
        <w:rPr>
          <w:sz w:val="26"/>
        </w:rPr>
        <w:t xml:space="preserve"> Petition</w:t>
      </w:r>
      <w:r w:rsidRPr="00755218">
        <w:rPr>
          <w:sz w:val="26"/>
        </w:rPr>
        <w:t xml:space="preserve">; </w:t>
      </w:r>
      <w:r w:rsidRPr="00755218">
        <w:rPr>
          <w:b/>
          <w:sz w:val="26"/>
        </w:rPr>
        <w:t>THEREFORE,</w:t>
      </w:r>
    </w:p>
    <w:p w14:paraId="0A8246AC" w14:textId="77777777" w:rsidR="00977543" w:rsidRPr="00027664" w:rsidRDefault="00977543" w:rsidP="00977543">
      <w:pPr>
        <w:widowControl/>
        <w:spacing w:line="360" w:lineRule="auto"/>
        <w:rPr>
          <w:sz w:val="26"/>
          <w:szCs w:val="26"/>
        </w:rPr>
      </w:pPr>
    </w:p>
    <w:p w14:paraId="42DDE410" w14:textId="77777777" w:rsidR="00977543" w:rsidRDefault="00977543" w:rsidP="00977543">
      <w:pPr>
        <w:widowControl/>
        <w:spacing w:line="360" w:lineRule="auto"/>
        <w:ind w:firstLine="1440"/>
        <w:rPr>
          <w:sz w:val="26"/>
        </w:rPr>
      </w:pPr>
      <w:r w:rsidRPr="00027664">
        <w:rPr>
          <w:b/>
          <w:sz w:val="26"/>
          <w:szCs w:val="26"/>
        </w:rPr>
        <w:t>IT IS ORDERED:</w:t>
      </w:r>
      <w:r>
        <w:rPr>
          <w:sz w:val="26"/>
        </w:rPr>
        <w:t xml:space="preserve">  </w:t>
      </w:r>
    </w:p>
    <w:p w14:paraId="558320C3" w14:textId="77777777" w:rsidR="00977543" w:rsidRDefault="00977543" w:rsidP="00977543">
      <w:pPr>
        <w:widowControl/>
        <w:spacing w:line="360" w:lineRule="auto"/>
        <w:ind w:firstLine="1440"/>
        <w:rPr>
          <w:sz w:val="26"/>
        </w:rPr>
      </w:pPr>
    </w:p>
    <w:p w14:paraId="228CC8B6" w14:textId="3F75B7E3" w:rsidR="00977543" w:rsidRDefault="00977543" w:rsidP="00977543">
      <w:pPr>
        <w:widowControl/>
        <w:numPr>
          <w:ilvl w:val="0"/>
          <w:numId w:val="3"/>
        </w:numPr>
        <w:tabs>
          <w:tab w:val="left" w:pos="2160"/>
        </w:tabs>
        <w:spacing w:line="360" w:lineRule="auto"/>
        <w:ind w:left="0" w:firstLine="1440"/>
        <w:rPr>
          <w:sz w:val="26"/>
        </w:rPr>
      </w:pPr>
      <w:r>
        <w:rPr>
          <w:sz w:val="26"/>
        </w:rPr>
        <w:t>That the Petition for Re</w:t>
      </w:r>
      <w:r w:rsidR="00402B33">
        <w:rPr>
          <w:sz w:val="26"/>
        </w:rPr>
        <w:t>scission</w:t>
      </w:r>
      <w:r>
        <w:rPr>
          <w:sz w:val="26"/>
        </w:rPr>
        <w:t xml:space="preserve"> filed by </w:t>
      </w:r>
      <w:r w:rsidR="00535B90">
        <w:rPr>
          <w:sz w:val="26"/>
        </w:rPr>
        <w:t>Grace Roberts</w:t>
      </w:r>
      <w:r>
        <w:rPr>
          <w:sz w:val="26"/>
        </w:rPr>
        <w:t xml:space="preserve"> on </w:t>
      </w:r>
      <w:r w:rsidR="00402B33">
        <w:rPr>
          <w:sz w:val="26"/>
        </w:rPr>
        <w:t>March 25</w:t>
      </w:r>
      <w:r>
        <w:rPr>
          <w:sz w:val="26"/>
        </w:rPr>
        <w:t>, 2019</w:t>
      </w:r>
      <w:r w:rsidR="00BD6D0E">
        <w:rPr>
          <w:sz w:val="26"/>
        </w:rPr>
        <w:t>,</w:t>
      </w:r>
      <w:r>
        <w:rPr>
          <w:sz w:val="26"/>
        </w:rPr>
        <w:t xml:space="preserve"> regarding the Commission’s </w:t>
      </w:r>
      <w:r w:rsidR="00262150">
        <w:rPr>
          <w:sz w:val="26"/>
        </w:rPr>
        <w:t xml:space="preserve">Final </w:t>
      </w:r>
      <w:r>
        <w:rPr>
          <w:sz w:val="26"/>
        </w:rPr>
        <w:t xml:space="preserve">Order entered on </w:t>
      </w:r>
      <w:r w:rsidR="00402B33">
        <w:rPr>
          <w:sz w:val="26"/>
        </w:rPr>
        <w:t>November 30, 2018</w:t>
      </w:r>
      <w:r>
        <w:rPr>
          <w:sz w:val="26"/>
        </w:rPr>
        <w:t>,</w:t>
      </w:r>
      <w:r w:rsidR="0076453A">
        <w:rPr>
          <w:sz w:val="26"/>
        </w:rPr>
        <w:t xml:space="preserve"> in the above-captioned docket,</w:t>
      </w:r>
      <w:r>
        <w:rPr>
          <w:sz w:val="26"/>
        </w:rPr>
        <w:t xml:space="preserve"> is denied, consistent with this Opinion and Order.</w:t>
      </w:r>
    </w:p>
    <w:p w14:paraId="0DFCA8DD" w14:textId="77777777" w:rsidR="00E43798" w:rsidRDefault="00E43798" w:rsidP="00E43798">
      <w:pPr>
        <w:widowControl/>
        <w:tabs>
          <w:tab w:val="left" w:pos="2160"/>
        </w:tabs>
        <w:spacing w:line="360" w:lineRule="auto"/>
        <w:ind w:left="1440"/>
        <w:rPr>
          <w:sz w:val="26"/>
        </w:rPr>
      </w:pPr>
    </w:p>
    <w:p w14:paraId="30E6E959" w14:textId="1CA2F2AA" w:rsidR="00E43798" w:rsidRPr="00E43798" w:rsidRDefault="00262150" w:rsidP="00EE4AA6">
      <w:pPr>
        <w:keepNext/>
        <w:keepLines/>
        <w:widowControl/>
        <w:numPr>
          <w:ilvl w:val="0"/>
          <w:numId w:val="3"/>
        </w:numPr>
        <w:tabs>
          <w:tab w:val="left" w:pos="2160"/>
        </w:tabs>
        <w:spacing w:line="360" w:lineRule="auto"/>
        <w:ind w:left="0" w:firstLine="1440"/>
        <w:rPr>
          <w:sz w:val="26"/>
        </w:rPr>
      </w:pPr>
      <w:r>
        <w:rPr>
          <w:sz w:val="26"/>
        </w:rPr>
        <w:t>That the proceeding at t</w:t>
      </w:r>
      <w:r w:rsidR="00E43798">
        <w:rPr>
          <w:sz w:val="26"/>
        </w:rPr>
        <w:t>his docket be marked closed.</w:t>
      </w:r>
    </w:p>
    <w:p w14:paraId="0A8D873E" w14:textId="77777777" w:rsidR="00977543" w:rsidRPr="00027664" w:rsidRDefault="00977543" w:rsidP="00EE4AA6">
      <w:pPr>
        <w:keepNext/>
        <w:keepLines/>
        <w:widowControl/>
        <w:rPr>
          <w:sz w:val="26"/>
          <w:szCs w:val="26"/>
        </w:rPr>
      </w:pPr>
    </w:p>
    <w:p w14:paraId="67006DA8" w14:textId="77777777" w:rsidR="00DA7E08" w:rsidRDefault="00DA7E08" w:rsidP="00EE4AA6">
      <w:pPr>
        <w:keepNext/>
        <w:keepLines/>
        <w:widowControl/>
        <w:spacing w:line="360" w:lineRule="auto"/>
        <w:ind w:firstLine="5040"/>
        <w:rPr>
          <w:b/>
          <w:sz w:val="26"/>
          <w:szCs w:val="26"/>
        </w:rPr>
      </w:pPr>
    </w:p>
    <w:p w14:paraId="7289FE95" w14:textId="75023966" w:rsidR="00977543" w:rsidRPr="00027664" w:rsidRDefault="00CE3EAA" w:rsidP="00EE4AA6">
      <w:pPr>
        <w:keepNext/>
        <w:keepLines/>
        <w:widowControl/>
        <w:spacing w:line="360" w:lineRule="auto"/>
        <w:ind w:firstLine="5040"/>
        <w:rPr>
          <w:sz w:val="26"/>
          <w:szCs w:val="26"/>
        </w:rPr>
      </w:pPr>
      <w:bookmarkStart w:id="4" w:name="_GoBack"/>
      <w:r w:rsidRPr="009F01BA">
        <w:rPr>
          <w:b/>
          <w:noProof/>
        </w:rPr>
        <w:drawing>
          <wp:anchor distT="0" distB="0" distL="114300" distR="114300" simplePos="0" relativeHeight="251659264" behindDoc="1" locked="0" layoutInCell="1" allowOverlap="1" wp14:anchorId="7801B85E" wp14:editId="47E9DD4F">
            <wp:simplePos x="0" y="0"/>
            <wp:positionH relativeFrom="column">
              <wp:posOffset>3038475</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977543" w:rsidRPr="00027664">
        <w:rPr>
          <w:b/>
          <w:sz w:val="26"/>
          <w:szCs w:val="26"/>
        </w:rPr>
        <w:t>BY THE COMMISSION,</w:t>
      </w:r>
    </w:p>
    <w:p w14:paraId="32F888A6" w14:textId="2CB5B892" w:rsidR="00977543" w:rsidRPr="00027664" w:rsidRDefault="00977543" w:rsidP="00EE4AA6">
      <w:pPr>
        <w:keepNext/>
        <w:keepLines/>
        <w:widowControl/>
        <w:rPr>
          <w:sz w:val="26"/>
          <w:szCs w:val="26"/>
        </w:rPr>
      </w:pPr>
    </w:p>
    <w:p w14:paraId="039F1F27" w14:textId="379F4AB8" w:rsidR="00977543" w:rsidRDefault="00CE3EAA" w:rsidP="00CE3EAA">
      <w:pPr>
        <w:keepNext/>
        <w:keepLines/>
        <w:widowControl/>
        <w:tabs>
          <w:tab w:val="left" w:pos="6345"/>
        </w:tabs>
        <w:rPr>
          <w:sz w:val="26"/>
          <w:szCs w:val="26"/>
        </w:rPr>
      </w:pPr>
      <w:r>
        <w:rPr>
          <w:sz w:val="26"/>
          <w:szCs w:val="26"/>
        </w:rPr>
        <w:tab/>
      </w:r>
    </w:p>
    <w:p w14:paraId="0A7ABC4A" w14:textId="77777777" w:rsidR="00977543" w:rsidRPr="00027664" w:rsidRDefault="00977543" w:rsidP="00EE4AA6">
      <w:pPr>
        <w:keepNext/>
        <w:keepLines/>
        <w:widowControl/>
        <w:rPr>
          <w:sz w:val="26"/>
          <w:szCs w:val="26"/>
        </w:rPr>
      </w:pPr>
    </w:p>
    <w:p w14:paraId="2196214D" w14:textId="77777777" w:rsidR="00977543" w:rsidRPr="00027664" w:rsidRDefault="00977543" w:rsidP="00EE4AA6">
      <w:pPr>
        <w:keepNext/>
        <w:keepLines/>
        <w:widowControl/>
        <w:ind w:firstLine="5040"/>
        <w:rPr>
          <w:sz w:val="26"/>
          <w:szCs w:val="26"/>
        </w:rPr>
      </w:pPr>
      <w:r>
        <w:rPr>
          <w:sz w:val="26"/>
          <w:szCs w:val="26"/>
        </w:rPr>
        <w:t>Rosemary Chiavetta</w:t>
      </w:r>
    </w:p>
    <w:p w14:paraId="17884637" w14:textId="77777777" w:rsidR="00977543" w:rsidRPr="00027664" w:rsidRDefault="00977543" w:rsidP="00EE4AA6">
      <w:pPr>
        <w:keepNext/>
        <w:keepLines/>
        <w:widowControl/>
        <w:ind w:firstLine="5040"/>
        <w:rPr>
          <w:sz w:val="26"/>
          <w:szCs w:val="26"/>
        </w:rPr>
      </w:pPr>
      <w:r w:rsidRPr="00027664">
        <w:rPr>
          <w:sz w:val="26"/>
          <w:szCs w:val="26"/>
        </w:rPr>
        <w:t>Secretary</w:t>
      </w:r>
    </w:p>
    <w:p w14:paraId="61FA6B25" w14:textId="77777777" w:rsidR="00977543" w:rsidRPr="00027664" w:rsidRDefault="00977543" w:rsidP="00EE4AA6">
      <w:pPr>
        <w:keepNext/>
        <w:keepLines/>
        <w:widowControl/>
        <w:rPr>
          <w:sz w:val="26"/>
          <w:szCs w:val="26"/>
        </w:rPr>
      </w:pPr>
    </w:p>
    <w:p w14:paraId="5EED4900" w14:textId="77777777" w:rsidR="00977543" w:rsidRPr="00027664" w:rsidRDefault="00977543" w:rsidP="00977543">
      <w:pPr>
        <w:widowControl/>
        <w:rPr>
          <w:sz w:val="26"/>
          <w:szCs w:val="26"/>
        </w:rPr>
      </w:pPr>
      <w:r w:rsidRPr="00027664">
        <w:rPr>
          <w:sz w:val="26"/>
          <w:szCs w:val="26"/>
        </w:rPr>
        <w:t>(SEAL)</w:t>
      </w:r>
    </w:p>
    <w:p w14:paraId="501667AE" w14:textId="77777777" w:rsidR="00977543" w:rsidRPr="00027664" w:rsidRDefault="00977543" w:rsidP="00977543">
      <w:pPr>
        <w:widowControl/>
        <w:rPr>
          <w:sz w:val="26"/>
          <w:szCs w:val="26"/>
        </w:rPr>
      </w:pPr>
    </w:p>
    <w:p w14:paraId="06946085" w14:textId="77777777" w:rsidR="00977543" w:rsidRDefault="00977543" w:rsidP="00977543">
      <w:pPr>
        <w:widowControl/>
        <w:rPr>
          <w:sz w:val="26"/>
          <w:szCs w:val="26"/>
        </w:rPr>
      </w:pPr>
      <w:r>
        <w:rPr>
          <w:sz w:val="26"/>
          <w:szCs w:val="26"/>
        </w:rPr>
        <w:t>ORDER ADOPTED:  January 16, 2020</w:t>
      </w:r>
    </w:p>
    <w:p w14:paraId="05478DC9" w14:textId="77777777" w:rsidR="00977543" w:rsidRDefault="00977543" w:rsidP="00977543">
      <w:pPr>
        <w:widowControl/>
        <w:rPr>
          <w:sz w:val="26"/>
          <w:szCs w:val="26"/>
        </w:rPr>
      </w:pPr>
    </w:p>
    <w:p w14:paraId="251705BA" w14:textId="3238BA19" w:rsidR="00977543" w:rsidRDefault="00977543" w:rsidP="00977543">
      <w:pPr>
        <w:widowControl/>
        <w:rPr>
          <w:b/>
          <w:sz w:val="26"/>
        </w:rPr>
      </w:pPr>
      <w:r>
        <w:rPr>
          <w:sz w:val="26"/>
          <w:szCs w:val="26"/>
        </w:rPr>
        <w:t>O</w:t>
      </w:r>
      <w:r w:rsidRPr="00027664">
        <w:rPr>
          <w:sz w:val="26"/>
          <w:szCs w:val="26"/>
        </w:rPr>
        <w:t xml:space="preserve">RDER ENTERED:  </w:t>
      </w:r>
      <w:r w:rsidR="00CE3EAA">
        <w:rPr>
          <w:sz w:val="26"/>
          <w:szCs w:val="26"/>
        </w:rPr>
        <w:t>January 16, 2020</w:t>
      </w:r>
    </w:p>
    <w:p w14:paraId="7F4382C3" w14:textId="77777777" w:rsidR="00977543" w:rsidRPr="00977543" w:rsidRDefault="00977543" w:rsidP="00977543">
      <w:pPr>
        <w:spacing w:line="360" w:lineRule="auto"/>
        <w:ind w:firstLine="1440"/>
        <w:rPr>
          <w:iCs/>
          <w:sz w:val="26"/>
        </w:rPr>
      </w:pPr>
    </w:p>
    <w:sectPr w:rsidR="00977543" w:rsidRPr="00977543" w:rsidSect="00B6714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1884A" w14:textId="77777777" w:rsidR="00A5536E" w:rsidRDefault="00A5536E" w:rsidP="00B6714B">
      <w:r>
        <w:separator/>
      </w:r>
    </w:p>
  </w:endnote>
  <w:endnote w:type="continuationSeparator" w:id="0">
    <w:p w14:paraId="54D3B390" w14:textId="77777777" w:rsidR="00A5536E" w:rsidRDefault="00A5536E" w:rsidP="00B6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41923"/>
      <w:docPartObj>
        <w:docPartGallery w:val="Page Numbers (Bottom of Page)"/>
        <w:docPartUnique/>
      </w:docPartObj>
    </w:sdtPr>
    <w:sdtEndPr>
      <w:rPr>
        <w:noProof/>
        <w:sz w:val="26"/>
        <w:szCs w:val="26"/>
      </w:rPr>
    </w:sdtEndPr>
    <w:sdtContent>
      <w:p w14:paraId="7603BAC6" w14:textId="60F85189" w:rsidR="00B6714B" w:rsidRPr="00D93DA2" w:rsidRDefault="00B6714B" w:rsidP="00D93DA2">
        <w:pPr>
          <w:pStyle w:val="Footer"/>
          <w:jc w:val="center"/>
          <w:rPr>
            <w:sz w:val="26"/>
            <w:szCs w:val="26"/>
          </w:rPr>
        </w:pPr>
        <w:r w:rsidRPr="00B6714B">
          <w:rPr>
            <w:sz w:val="26"/>
            <w:szCs w:val="26"/>
          </w:rPr>
          <w:fldChar w:fldCharType="begin"/>
        </w:r>
        <w:r w:rsidRPr="00B6714B">
          <w:rPr>
            <w:sz w:val="26"/>
            <w:szCs w:val="26"/>
          </w:rPr>
          <w:instrText xml:space="preserve"> PAGE   \* MERGEFORMAT </w:instrText>
        </w:r>
        <w:r w:rsidRPr="00B6714B">
          <w:rPr>
            <w:sz w:val="26"/>
            <w:szCs w:val="26"/>
          </w:rPr>
          <w:fldChar w:fldCharType="separate"/>
        </w:r>
        <w:r w:rsidR="004347CB">
          <w:rPr>
            <w:noProof/>
            <w:sz w:val="26"/>
            <w:szCs w:val="26"/>
          </w:rPr>
          <w:t>5</w:t>
        </w:r>
        <w:r w:rsidRPr="00B6714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29C8" w14:textId="77777777" w:rsidR="00A5536E" w:rsidRDefault="00A5536E" w:rsidP="00B6714B">
      <w:r>
        <w:separator/>
      </w:r>
    </w:p>
  </w:footnote>
  <w:footnote w:type="continuationSeparator" w:id="0">
    <w:p w14:paraId="5418EB1C" w14:textId="77777777" w:rsidR="00A5536E" w:rsidRDefault="00A5536E" w:rsidP="00B6714B">
      <w:r>
        <w:continuationSeparator/>
      </w:r>
    </w:p>
  </w:footnote>
  <w:footnote w:id="1">
    <w:p w14:paraId="2A6FCF6A" w14:textId="065B479E" w:rsidR="006979FF" w:rsidRDefault="006979FF" w:rsidP="006979FF">
      <w:pPr>
        <w:pStyle w:val="FootnoteText"/>
        <w:ind w:firstLine="720"/>
      </w:pPr>
      <w:r w:rsidRPr="006979FF">
        <w:rPr>
          <w:rStyle w:val="FootnoteReference"/>
          <w:sz w:val="26"/>
          <w:szCs w:val="26"/>
        </w:rPr>
        <w:footnoteRef/>
      </w:r>
      <w:r w:rsidRPr="006979FF">
        <w:rPr>
          <w:sz w:val="26"/>
          <w:szCs w:val="26"/>
        </w:rPr>
        <w:t xml:space="preserve"> </w:t>
      </w:r>
      <w:r>
        <w:tab/>
      </w:r>
      <w:r w:rsidRPr="006979FF">
        <w:rPr>
          <w:sz w:val="26"/>
          <w:szCs w:val="26"/>
        </w:rPr>
        <w:t xml:space="preserve">On May 2, 2018, PECO filed a Motion to File Answer to Complainant’s Formal Complaint </w:t>
      </w:r>
      <w:r w:rsidRPr="00183B89">
        <w:rPr>
          <w:i/>
          <w:iCs/>
          <w:sz w:val="26"/>
          <w:szCs w:val="26"/>
        </w:rPr>
        <w:t xml:space="preserve">Nunc Pro </w:t>
      </w:r>
      <w:proofErr w:type="spellStart"/>
      <w:r w:rsidRPr="00183B89">
        <w:rPr>
          <w:i/>
          <w:iCs/>
          <w:sz w:val="26"/>
          <w:szCs w:val="26"/>
        </w:rPr>
        <w:t>Tunc</w:t>
      </w:r>
      <w:proofErr w:type="spellEnd"/>
      <w:r w:rsidRPr="006979FF">
        <w:rPr>
          <w:sz w:val="26"/>
          <w:szCs w:val="26"/>
        </w:rPr>
        <w:t xml:space="preserve"> (Motion).  In the Motion, PECO claimed that it filed its </w:t>
      </w:r>
      <w:r>
        <w:rPr>
          <w:sz w:val="26"/>
          <w:szCs w:val="26"/>
        </w:rPr>
        <w:t>A</w:t>
      </w:r>
      <w:r w:rsidRPr="006979FF">
        <w:rPr>
          <w:sz w:val="26"/>
          <w:szCs w:val="26"/>
        </w:rPr>
        <w:t>nswer two (2) days late due to an administrative oversight.  It cited to 52 Pa. Code §</w:t>
      </w:r>
      <w:r w:rsidR="00100DA7">
        <w:rPr>
          <w:sz w:val="26"/>
          <w:szCs w:val="26"/>
        </w:rPr>
        <w:t> </w:t>
      </w:r>
      <w:r w:rsidRPr="006979FF">
        <w:rPr>
          <w:sz w:val="26"/>
          <w:szCs w:val="26"/>
        </w:rPr>
        <w:t>1.2(a), which require</w:t>
      </w:r>
      <w:r>
        <w:rPr>
          <w:sz w:val="26"/>
          <w:szCs w:val="26"/>
        </w:rPr>
        <w:t>s</w:t>
      </w:r>
      <w:r w:rsidRPr="006979FF">
        <w:rPr>
          <w:sz w:val="26"/>
          <w:szCs w:val="26"/>
        </w:rPr>
        <w:t xml:space="preserve"> a liberal construction of the Rules of Practice and Procedures to secure the just, speedy and inexpensive determination of every action and that any error or defect of procedure may be disregarded if such does not affect the substantive rights of the parties.  PECO asserted that acceptance of the Answer </w:t>
      </w:r>
      <w:proofErr w:type="spellStart"/>
      <w:r w:rsidRPr="006979FF">
        <w:rPr>
          <w:i/>
          <w:iCs/>
          <w:sz w:val="26"/>
          <w:szCs w:val="26"/>
        </w:rPr>
        <w:t>nunc</w:t>
      </w:r>
      <w:proofErr w:type="spellEnd"/>
      <w:r w:rsidRPr="006979FF">
        <w:rPr>
          <w:i/>
          <w:iCs/>
          <w:sz w:val="26"/>
          <w:szCs w:val="26"/>
        </w:rPr>
        <w:t xml:space="preserve"> pro </w:t>
      </w:r>
      <w:proofErr w:type="spellStart"/>
      <w:r w:rsidRPr="006979FF">
        <w:rPr>
          <w:i/>
          <w:iCs/>
          <w:sz w:val="26"/>
          <w:szCs w:val="26"/>
        </w:rPr>
        <w:t>tunc</w:t>
      </w:r>
      <w:proofErr w:type="spellEnd"/>
      <w:r w:rsidRPr="006979FF">
        <w:rPr>
          <w:sz w:val="26"/>
          <w:szCs w:val="26"/>
        </w:rPr>
        <w:t xml:space="preserve"> did not affect the substantive rights of the Complainant and further</w:t>
      </w:r>
      <w:r w:rsidR="00183B89">
        <w:rPr>
          <w:sz w:val="26"/>
          <w:szCs w:val="26"/>
        </w:rPr>
        <w:t xml:space="preserve"> noted that</w:t>
      </w:r>
      <w:r w:rsidRPr="006979FF">
        <w:rPr>
          <w:sz w:val="26"/>
          <w:szCs w:val="26"/>
        </w:rPr>
        <w:t xml:space="preserve"> since no hearing had yet been scheduled by the time of </w:t>
      </w:r>
      <w:r w:rsidR="0076453A">
        <w:rPr>
          <w:sz w:val="26"/>
          <w:szCs w:val="26"/>
        </w:rPr>
        <w:t xml:space="preserve">the </w:t>
      </w:r>
      <w:r w:rsidRPr="006979FF">
        <w:rPr>
          <w:sz w:val="26"/>
          <w:szCs w:val="26"/>
        </w:rPr>
        <w:t>filing</w:t>
      </w:r>
      <w:r w:rsidR="0076453A">
        <w:rPr>
          <w:sz w:val="26"/>
          <w:szCs w:val="26"/>
        </w:rPr>
        <w:t xml:space="preserve"> of</w:t>
      </w:r>
      <w:r w:rsidRPr="006979FF">
        <w:rPr>
          <w:sz w:val="26"/>
          <w:szCs w:val="26"/>
        </w:rPr>
        <w:t xml:space="preserve"> its Answer, there would be no delay in the adjudication of the case.</w:t>
      </w:r>
      <w:r>
        <w:t xml:space="preserve">  </w:t>
      </w:r>
      <w:r w:rsidRPr="006979FF">
        <w:rPr>
          <w:sz w:val="26"/>
          <w:szCs w:val="26"/>
        </w:rPr>
        <w:t xml:space="preserve">The ALJ accepted PECO’s Answer </w:t>
      </w:r>
      <w:proofErr w:type="spellStart"/>
      <w:r w:rsidRPr="006979FF">
        <w:rPr>
          <w:i/>
          <w:iCs/>
          <w:sz w:val="26"/>
          <w:szCs w:val="26"/>
        </w:rPr>
        <w:t>nunc</w:t>
      </w:r>
      <w:proofErr w:type="spellEnd"/>
      <w:r w:rsidRPr="006979FF">
        <w:rPr>
          <w:i/>
          <w:iCs/>
          <w:sz w:val="26"/>
          <w:szCs w:val="26"/>
        </w:rPr>
        <w:t xml:space="preserve"> pro </w:t>
      </w:r>
      <w:proofErr w:type="spellStart"/>
      <w:r w:rsidRPr="006979FF">
        <w:rPr>
          <w:i/>
          <w:iCs/>
          <w:sz w:val="26"/>
          <w:szCs w:val="26"/>
        </w:rPr>
        <w:t>tunc</w:t>
      </w:r>
      <w:proofErr w:type="spellEnd"/>
      <w:r w:rsidRPr="006979FF">
        <w:rPr>
          <w:sz w:val="26"/>
          <w:szCs w:val="26"/>
        </w:rPr>
        <w:t>.</w:t>
      </w:r>
      <w:r>
        <w:rPr>
          <w:sz w:val="26"/>
          <w:szCs w:val="26"/>
        </w:rPr>
        <w:t xml:space="preserve">  I.D. at 1.</w:t>
      </w:r>
    </w:p>
  </w:footnote>
  <w:footnote w:id="2">
    <w:p w14:paraId="1E74E276" w14:textId="5B2CDFA5" w:rsidR="009233ED" w:rsidRPr="009233ED" w:rsidRDefault="009233ED" w:rsidP="0076453A">
      <w:pPr>
        <w:keepNext/>
        <w:keepLines/>
        <w:widowControl/>
        <w:ind w:firstLine="720"/>
        <w:rPr>
          <w:rFonts w:asciiTheme="minorHAnsi" w:eastAsiaTheme="minorHAnsi" w:hAnsiTheme="minorHAnsi" w:cstheme="minorBidi"/>
          <w:sz w:val="22"/>
          <w:szCs w:val="22"/>
        </w:rPr>
      </w:pPr>
      <w:r w:rsidRPr="00D93DA2">
        <w:rPr>
          <w:rStyle w:val="FootnoteReference"/>
          <w:sz w:val="26"/>
          <w:szCs w:val="26"/>
        </w:rPr>
        <w:footnoteRef/>
      </w:r>
      <w:r w:rsidRPr="00D93DA2">
        <w:rPr>
          <w:sz w:val="26"/>
          <w:szCs w:val="26"/>
        </w:rPr>
        <w:t xml:space="preserve"> </w:t>
      </w:r>
      <w:r w:rsidRPr="00D93DA2">
        <w:rPr>
          <w:sz w:val="26"/>
          <w:szCs w:val="26"/>
        </w:rPr>
        <w:tab/>
      </w:r>
      <w:r w:rsidR="00577112" w:rsidRPr="00D93DA2">
        <w:rPr>
          <w:sz w:val="26"/>
          <w:szCs w:val="26"/>
        </w:rPr>
        <w:t>P</w:t>
      </w:r>
      <w:r w:rsidR="007D5789" w:rsidRPr="00D93DA2">
        <w:rPr>
          <w:sz w:val="26"/>
          <w:szCs w:val="26"/>
        </w:rPr>
        <w:t>articularly i</w:t>
      </w:r>
      <w:r w:rsidRPr="00D93DA2">
        <w:rPr>
          <w:sz w:val="26"/>
          <w:szCs w:val="26"/>
        </w:rPr>
        <w:t xml:space="preserve">n adversarial proceedings involving </w:t>
      </w:r>
      <w:r w:rsidRPr="00D93DA2">
        <w:rPr>
          <w:i/>
          <w:sz w:val="26"/>
          <w:szCs w:val="26"/>
        </w:rPr>
        <w:t>pro se</w:t>
      </w:r>
      <w:r w:rsidRPr="00D93DA2">
        <w:rPr>
          <w:sz w:val="26"/>
          <w:szCs w:val="26"/>
        </w:rPr>
        <w:t xml:space="preserve"> litigants, t</w:t>
      </w:r>
      <w:r w:rsidRPr="00D93DA2">
        <w:rPr>
          <w:rFonts w:eastAsiaTheme="minorHAnsi"/>
          <w:sz w:val="26"/>
          <w:szCs w:val="26"/>
        </w:rPr>
        <w:t>he Commission’s Regulations require the liberal construction of the Commission’s Rules of Practice and Procedure</w:t>
      </w:r>
      <w:r w:rsidRPr="0076453A">
        <w:rPr>
          <w:rFonts w:eastAsiaTheme="minorHAnsi"/>
          <w:sz w:val="26"/>
          <w:szCs w:val="26"/>
        </w:rPr>
        <w:t xml:space="preserve"> </w:t>
      </w:r>
      <w:r w:rsidRPr="0076453A">
        <w:rPr>
          <w:sz w:val="26"/>
          <w:szCs w:val="26"/>
        </w:rPr>
        <w:t>to secure the just, speedy and inexpensive determination of every action or proceeding to which the Rules are applicable.</w:t>
      </w:r>
      <w:r w:rsidRPr="0076453A">
        <w:rPr>
          <w:rFonts w:eastAsia="Calibri"/>
          <w:sz w:val="26"/>
          <w:szCs w:val="26"/>
        </w:rPr>
        <w:t xml:space="preserve"> </w:t>
      </w:r>
      <w:r w:rsidRPr="0076453A">
        <w:rPr>
          <w:rFonts w:ascii="Times" w:hAnsi="Times" w:cs="Times"/>
          <w:sz w:val="26"/>
          <w:szCs w:val="26"/>
        </w:rPr>
        <w:t>The Commission or presiding officer at any stage of an action or proceeding may disregard an error or defect of procedure which does not affect the substantive rights of the parties.</w:t>
      </w:r>
      <w:r w:rsidR="00D93DA2">
        <w:rPr>
          <w:rFonts w:ascii="Times" w:hAnsi="Times" w:cs="Times"/>
          <w:sz w:val="26"/>
          <w:szCs w:val="26"/>
        </w:rPr>
        <w:t xml:space="preserve"> </w:t>
      </w:r>
      <w:r w:rsidRPr="0076453A">
        <w:rPr>
          <w:rFonts w:ascii="Times" w:hAnsi="Times" w:cs="Times"/>
          <w:sz w:val="26"/>
          <w:szCs w:val="26"/>
        </w:rPr>
        <w:t xml:space="preserve"> </w:t>
      </w:r>
      <w:r w:rsidRPr="0076453A">
        <w:rPr>
          <w:rFonts w:eastAsia="Calibri"/>
          <w:sz w:val="26"/>
          <w:szCs w:val="26"/>
        </w:rPr>
        <w:t>52 Pa. Code §§</w:t>
      </w:r>
      <w:r w:rsidR="00577112" w:rsidRPr="0076453A">
        <w:rPr>
          <w:rFonts w:eastAsia="Calibri"/>
          <w:sz w:val="26"/>
          <w:szCs w:val="26"/>
        </w:rPr>
        <w:t> </w:t>
      </w:r>
      <w:r w:rsidRPr="0076453A">
        <w:rPr>
          <w:rFonts w:eastAsia="Calibri"/>
          <w:sz w:val="26"/>
          <w:szCs w:val="26"/>
        </w:rPr>
        <w:t xml:space="preserve">1.2(a), (d).  </w:t>
      </w:r>
    </w:p>
    <w:p w14:paraId="05209140" w14:textId="77777777" w:rsidR="009233ED" w:rsidRDefault="009233ED">
      <w:pPr>
        <w:pStyle w:val="FootnoteText"/>
      </w:pPr>
    </w:p>
  </w:footnote>
  <w:footnote w:id="3">
    <w:p w14:paraId="04888D77" w14:textId="32A46013" w:rsidR="00D06C32" w:rsidRPr="00D93DA2" w:rsidRDefault="00D06C32" w:rsidP="00D93DA2">
      <w:pPr>
        <w:widowControl/>
        <w:ind w:firstLine="720"/>
        <w:rPr>
          <w:rFonts w:eastAsiaTheme="minorHAnsi"/>
          <w:sz w:val="26"/>
          <w:szCs w:val="26"/>
        </w:rPr>
      </w:pPr>
      <w:r w:rsidRPr="00D06C32">
        <w:rPr>
          <w:rStyle w:val="FootnoteReference"/>
          <w:sz w:val="26"/>
          <w:szCs w:val="26"/>
        </w:rPr>
        <w:footnoteRef/>
      </w:r>
      <w:r w:rsidRPr="00D06C32">
        <w:rPr>
          <w:sz w:val="26"/>
          <w:szCs w:val="26"/>
        </w:rPr>
        <w:t xml:space="preserve"> </w:t>
      </w:r>
      <w:r w:rsidRPr="00D06C32">
        <w:rPr>
          <w:sz w:val="26"/>
          <w:szCs w:val="26"/>
        </w:rPr>
        <w:tab/>
      </w:r>
      <w:r w:rsidRPr="00D06C32">
        <w:rPr>
          <w:rFonts w:eastAsiaTheme="minorHAnsi"/>
          <w:sz w:val="26"/>
          <w:szCs w:val="26"/>
        </w:rPr>
        <w:t xml:space="preserve">A decision to deny a petition for rescission or amendment is a matter squarely within the Commission’s discretion, subject to being overturned only where a reviewing court finds “the agency’s decision demonstrates evidence of bad faith, fraud, capricious action or abuse of power.”  </w:t>
      </w:r>
      <w:r w:rsidRPr="00D06C32">
        <w:rPr>
          <w:rFonts w:eastAsiaTheme="minorHAnsi"/>
          <w:i/>
          <w:iCs/>
          <w:sz w:val="26"/>
          <w:szCs w:val="26"/>
        </w:rPr>
        <w:t>West Penn Power Co. v. Pa. PUC</w:t>
      </w:r>
      <w:r w:rsidRPr="00D06C32">
        <w:rPr>
          <w:rFonts w:eastAsiaTheme="minorHAnsi"/>
          <w:sz w:val="26"/>
          <w:szCs w:val="26"/>
        </w:rPr>
        <w:t xml:space="preserve">, 659 A.2d 1055, 1065 (Pa. </w:t>
      </w:r>
      <w:proofErr w:type="spellStart"/>
      <w:r w:rsidRPr="00D06C32">
        <w:rPr>
          <w:rFonts w:eastAsiaTheme="minorHAnsi"/>
          <w:sz w:val="26"/>
          <w:szCs w:val="26"/>
        </w:rPr>
        <w:t>Cmwlth</w:t>
      </w:r>
      <w:proofErr w:type="spellEnd"/>
      <w:r w:rsidRPr="00D06C32">
        <w:rPr>
          <w:rFonts w:eastAsiaTheme="minorHAnsi"/>
          <w:sz w:val="26"/>
          <w:szCs w:val="26"/>
        </w:rPr>
        <w:t>. 1995).</w:t>
      </w:r>
    </w:p>
  </w:footnote>
  <w:footnote w:id="4">
    <w:p w14:paraId="05A7D1E5" w14:textId="77777777" w:rsidR="00472E9C" w:rsidRPr="005617ED" w:rsidRDefault="00472E9C" w:rsidP="00472E9C">
      <w:pPr>
        <w:pStyle w:val="FootnoteText"/>
        <w:ind w:firstLine="720"/>
        <w:rPr>
          <w:sz w:val="26"/>
          <w:szCs w:val="26"/>
        </w:rPr>
      </w:pPr>
      <w:r w:rsidRPr="005617ED">
        <w:rPr>
          <w:rStyle w:val="FootnoteReference"/>
          <w:sz w:val="26"/>
          <w:szCs w:val="26"/>
        </w:rPr>
        <w:footnoteRef/>
      </w:r>
      <w:r w:rsidRPr="005617ED">
        <w:rPr>
          <w:sz w:val="26"/>
          <w:szCs w:val="26"/>
        </w:rPr>
        <w:t xml:space="preserve"> </w:t>
      </w:r>
      <w:r>
        <w:rPr>
          <w:sz w:val="26"/>
          <w:szCs w:val="26"/>
        </w:rPr>
        <w:tab/>
      </w:r>
      <w:r w:rsidRPr="005617ED">
        <w:rPr>
          <w:sz w:val="26"/>
          <w:szCs w:val="26"/>
        </w:rPr>
        <w:t>Section 332(h) of the Code states</w:t>
      </w:r>
      <w:r w:rsidR="00E823C5">
        <w:rPr>
          <w:sz w:val="26"/>
          <w:szCs w:val="26"/>
        </w:rPr>
        <w:t>, in relevant part</w:t>
      </w:r>
      <w:r w:rsidRPr="005617ED">
        <w:rPr>
          <w:sz w:val="26"/>
          <w:szCs w:val="26"/>
        </w:rPr>
        <w:t xml:space="preserve">: </w:t>
      </w:r>
    </w:p>
    <w:p w14:paraId="122BF27F" w14:textId="77777777" w:rsidR="00472E9C" w:rsidRPr="005617ED" w:rsidRDefault="00472E9C" w:rsidP="00472E9C">
      <w:pPr>
        <w:pStyle w:val="FootnoteText"/>
        <w:rPr>
          <w:sz w:val="26"/>
          <w:szCs w:val="26"/>
        </w:rPr>
      </w:pPr>
    </w:p>
    <w:p w14:paraId="3B029D5F" w14:textId="77777777" w:rsidR="00472E9C" w:rsidRPr="005617ED" w:rsidRDefault="00472E9C" w:rsidP="00472E9C">
      <w:pPr>
        <w:pStyle w:val="FootnoteText"/>
        <w:ind w:left="1440" w:right="1440"/>
        <w:rPr>
          <w:sz w:val="26"/>
          <w:szCs w:val="26"/>
        </w:rPr>
      </w:pPr>
      <w:r w:rsidRPr="005617ED">
        <w:rPr>
          <w:sz w:val="26"/>
          <w:szCs w:val="26"/>
        </w:rPr>
        <w:t>Any party to a proceeding referred to an [ALJ] under section 331(b) may file exceptions to the decision of the [ALJ]</w:t>
      </w:r>
      <w:r>
        <w:rPr>
          <w:sz w:val="26"/>
          <w:szCs w:val="26"/>
        </w:rPr>
        <w:t>…</w:t>
      </w:r>
      <w:r w:rsidRPr="005617ED">
        <w:rPr>
          <w:sz w:val="26"/>
          <w:szCs w:val="26"/>
        </w:rPr>
        <w:t>in a form and manner and within the time to be prescribed by the commission…If no exceptions are filed, the decision shall become final, without further commission action</w:t>
      </w:r>
      <w:r w:rsidR="00E823C5">
        <w:rPr>
          <w:sz w:val="26"/>
          <w:szCs w:val="26"/>
        </w:rPr>
        <w:t>…</w:t>
      </w:r>
      <w:r w:rsidRPr="005617ED">
        <w:rPr>
          <w:sz w:val="26"/>
          <w:szCs w:val="26"/>
        </w:rPr>
        <w:t>.</w:t>
      </w:r>
    </w:p>
    <w:p w14:paraId="6E5C17EE" w14:textId="77777777" w:rsidR="00472E9C" w:rsidRPr="005617ED" w:rsidRDefault="00472E9C" w:rsidP="00472E9C">
      <w:pPr>
        <w:pStyle w:val="FootnoteText"/>
        <w:rPr>
          <w:sz w:val="26"/>
          <w:szCs w:val="26"/>
        </w:rPr>
      </w:pPr>
    </w:p>
    <w:p w14:paraId="5E0EFE2B" w14:textId="77777777" w:rsidR="00472E9C" w:rsidRDefault="00472E9C" w:rsidP="00472E9C">
      <w:pPr>
        <w:pStyle w:val="FootnoteText"/>
      </w:pPr>
      <w:r w:rsidRPr="005617ED">
        <w:rPr>
          <w:sz w:val="26"/>
          <w:szCs w:val="26"/>
        </w:rPr>
        <w:t>66 Pa. C.S. § 332(h).</w:t>
      </w:r>
    </w:p>
  </w:footnote>
  <w:footnote w:id="5">
    <w:p w14:paraId="3F260428" w14:textId="6193E3AD" w:rsidR="004A3D5D" w:rsidRPr="00D4436A" w:rsidRDefault="004A3D5D" w:rsidP="00D4436A">
      <w:pPr>
        <w:ind w:firstLine="720"/>
        <w:rPr>
          <w:sz w:val="26"/>
          <w:szCs w:val="26"/>
        </w:rPr>
      </w:pPr>
      <w:r w:rsidRPr="004A3D5D">
        <w:rPr>
          <w:rStyle w:val="FootnoteReference"/>
          <w:sz w:val="26"/>
          <w:szCs w:val="26"/>
        </w:rPr>
        <w:footnoteRef/>
      </w:r>
      <w:r w:rsidRPr="004A3D5D">
        <w:rPr>
          <w:sz w:val="26"/>
          <w:szCs w:val="26"/>
        </w:rPr>
        <w:t xml:space="preserve"> </w:t>
      </w:r>
      <w:r w:rsidRPr="004A3D5D">
        <w:rPr>
          <w:sz w:val="26"/>
          <w:szCs w:val="26"/>
        </w:rPr>
        <w:tab/>
      </w:r>
      <w:r w:rsidR="00395504">
        <w:rPr>
          <w:sz w:val="26"/>
          <w:szCs w:val="26"/>
        </w:rPr>
        <w:t xml:space="preserve">The body of the Petition itself does not cite to any of the documents attached to the Petition.  </w:t>
      </w:r>
      <w:r w:rsidR="00734A37">
        <w:rPr>
          <w:sz w:val="26"/>
          <w:szCs w:val="26"/>
        </w:rPr>
        <w:t>As the body of the Petition is fully considered herein</w:t>
      </w:r>
      <w:r w:rsidR="00395504">
        <w:rPr>
          <w:sz w:val="26"/>
          <w:szCs w:val="26"/>
        </w:rPr>
        <w:t xml:space="preserve"> and denied,</w:t>
      </w:r>
      <w:r w:rsidR="00734A37">
        <w:rPr>
          <w:sz w:val="26"/>
          <w:szCs w:val="26"/>
        </w:rPr>
        <w:t xml:space="preserve"> we </w:t>
      </w:r>
      <w:r w:rsidR="00395504">
        <w:rPr>
          <w:sz w:val="26"/>
          <w:szCs w:val="26"/>
        </w:rPr>
        <w:t xml:space="preserve">need </w:t>
      </w:r>
      <w:r w:rsidR="00734A37">
        <w:rPr>
          <w:sz w:val="26"/>
          <w:szCs w:val="26"/>
        </w:rPr>
        <w:t>not address the merits of attachments to the Petition.</w:t>
      </w:r>
    </w:p>
  </w:footnote>
  <w:footnote w:id="6">
    <w:p w14:paraId="307A3D8A" w14:textId="65419D3B" w:rsidR="00C056CE" w:rsidRPr="00C056CE" w:rsidRDefault="00C056CE" w:rsidP="00C056CE">
      <w:pPr>
        <w:ind w:firstLine="720"/>
        <w:rPr>
          <w:rFonts w:eastAsiaTheme="minorHAnsi"/>
          <w:sz w:val="26"/>
          <w:szCs w:val="26"/>
        </w:rPr>
      </w:pPr>
      <w:r w:rsidRPr="00C056CE">
        <w:rPr>
          <w:rStyle w:val="FootnoteReference"/>
          <w:sz w:val="26"/>
          <w:szCs w:val="26"/>
        </w:rPr>
        <w:footnoteRef/>
      </w:r>
      <w:r w:rsidRPr="00C056CE">
        <w:rPr>
          <w:sz w:val="26"/>
          <w:szCs w:val="26"/>
        </w:rPr>
        <w:t xml:space="preserve"> </w:t>
      </w:r>
      <w:r w:rsidRPr="00C056CE">
        <w:rPr>
          <w:sz w:val="26"/>
          <w:szCs w:val="26"/>
        </w:rPr>
        <w:tab/>
      </w:r>
      <w:r w:rsidRPr="00C056CE">
        <w:rPr>
          <w:rFonts w:eastAsiaTheme="minorHAnsi"/>
          <w:sz w:val="26"/>
          <w:szCs w:val="26"/>
        </w:rPr>
        <w:t xml:space="preserve">As an administrative agency of the Commonwealth, the Commission is required to provide due process to the parties appearing before it.  </w:t>
      </w:r>
      <w:r w:rsidRPr="00C056CE">
        <w:rPr>
          <w:rFonts w:eastAsiaTheme="minorHAnsi"/>
          <w:i/>
          <w:sz w:val="26"/>
          <w:szCs w:val="26"/>
        </w:rPr>
        <w:t>Schneider</w:t>
      </w:r>
      <w:r w:rsidRPr="00C056CE">
        <w:rPr>
          <w:rFonts w:eastAsiaTheme="minorHAnsi"/>
          <w:sz w:val="26"/>
          <w:szCs w:val="26"/>
        </w:rPr>
        <w:t xml:space="preserve">, 479 A.2d </w:t>
      </w:r>
      <w:r w:rsidR="008F7BE6">
        <w:rPr>
          <w:rFonts w:eastAsiaTheme="minorHAnsi"/>
          <w:sz w:val="26"/>
          <w:szCs w:val="26"/>
        </w:rPr>
        <w:t>at</w:t>
      </w:r>
      <w:r w:rsidR="00B775BB">
        <w:rPr>
          <w:rFonts w:eastAsiaTheme="minorHAnsi"/>
          <w:sz w:val="26"/>
          <w:szCs w:val="26"/>
        </w:rPr>
        <w:t> </w:t>
      </w:r>
      <w:r w:rsidRPr="00C056CE">
        <w:rPr>
          <w:rFonts w:eastAsiaTheme="minorHAnsi"/>
          <w:sz w:val="26"/>
          <w:szCs w:val="26"/>
        </w:rPr>
        <w:t>15</w:t>
      </w:r>
      <w:r w:rsidR="00BD6D0E">
        <w:rPr>
          <w:rFonts w:eastAsiaTheme="minorHAnsi"/>
          <w:sz w:val="26"/>
          <w:szCs w:val="26"/>
        </w:rPr>
        <w:t xml:space="preserve"> (</w:t>
      </w:r>
      <w:r w:rsidRPr="00C056CE">
        <w:rPr>
          <w:rFonts w:eastAsiaTheme="minorHAnsi"/>
          <w:sz w:val="26"/>
          <w:szCs w:val="26"/>
        </w:rPr>
        <w:t xml:space="preserve">citing </w:t>
      </w:r>
      <w:proofErr w:type="spellStart"/>
      <w:r w:rsidRPr="00C056CE">
        <w:rPr>
          <w:rFonts w:eastAsiaTheme="minorHAnsi"/>
          <w:i/>
          <w:sz w:val="26"/>
          <w:szCs w:val="26"/>
        </w:rPr>
        <w:t>Fusaro</w:t>
      </w:r>
      <w:proofErr w:type="spellEnd"/>
      <w:r w:rsidRPr="00C056CE">
        <w:rPr>
          <w:rFonts w:eastAsiaTheme="minorHAnsi"/>
          <w:i/>
          <w:sz w:val="26"/>
          <w:szCs w:val="26"/>
        </w:rPr>
        <w:t xml:space="preserve"> v. Pa. PUC</w:t>
      </w:r>
      <w:r w:rsidRPr="00C056CE">
        <w:rPr>
          <w:rFonts w:eastAsiaTheme="minorHAnsi"/>
          <w:sz w:val="26"/>
          <w:szCs w:val="26"/>
        </w:rPr>
        <w:t xml:space="preserve">, 382 A.2d 794 (Pa. </w:t>
      </w:r>
      <w:proofErr w:type="spellStart"/>
      <w:r w:rsidRPr="00C056CE">
        <w:rPr>
          <w:rFonts w:eastAsiaTheme="minorHAnsi"/>
          <w:sz w:val="26"/>
          <w:szCs w:val="26"/>
        </w:rPr>
        <w:t>Cmwlth</w:t>
      </w:r>
      <w:proofErr w:type="spellEnd"/>
      <w:r w:rsidRPr="00C056CE">
        <w:rPr>
          <w:rFonts w:eastAsiaTheme="minorHAnsi"/>
          <w:sz w:val="26"/>
          <w:szCs w:val="26"/>
        </w:rPr>
        <w:t>. 1978)</w:t>
      </w:r>
      <w:r w:rsidR="00BD6D0E">
        <w:rPr>
          <w:rFonts w:eastAsiaTheme="minorHAnsi"/>
          <w:sz w:val="26"/>
          <w:szCs w:val="26"/>
        </w:rPr>
        <w:t>)</w:t>
      </w:r>
      <w:r w:rsidRPr="00C056CE">
        <w:rPr>
          <w:rFonts w:eastAsiaTheme="minorHAnsi"/>
          <w:sz w:val="26"/>
          <w:szCs w:val="26"/>
        </w:rPr>
        <w:t xml:space="preserve">.  Due process is satisfied when the parties are afforded notice and the opportunity to appear and be heard.  </w:t>
      </w:r>
      <w:r w:rsidR="008F7BE6" w:rsidRPr="008F7BE6">
        <w:rPr>
          <w:rFonts w:eastAsiaTheme="minorHAnsi"/>
          <w:i/>
          <w:iCs/>
          <w:sz w:val="26"/>
          <w:szCs w:val="26"/>
        </w:rPr>
        <w:t>Id</w:t>
      </w:r>
      <w:r w:rsidR="008F7BE6">
        <w:rPr>
          <w:rFonts w:eastAsiaTheme="minorHAnsi"/>
          <w:sz w:val="26"/>
          <w:szCs w:val="26"/>
        </w:rPr>
        <w:t>.</w:t>
      </w:r>
      <w:r w:rsidR="00BD6D0E">
        <w:rPr>
          <w:rFonts w:eastAsiaTheme="minorHAnsi"/>
          <w:sz w:val="26"/>
          <w:szCs w:val="26"/>
        </w:rPr>
        <w:t xml:space="preserve"> (</w:t>
      </w:r>
      <w:r w:rsidRPr="00C056CE">
        <w:rPr>
          <w:rFonts w:eastAsiaTheme="minorHAnsi"/>
          <w:sz w:val="26"/>
          <w:szCs w:val="26"/>
        </w:rPr>
        <w:t xml:space="preserve">citing </w:t>
      </w:r>
      <w:r w:rsidRPr="00C056CE">
        <w:rPr>
          <w:rFonts w:eastAsiaTheme="minorHAnsi"/>
          <w:i/>
          <w:sz w:val="26"/>
          <w:szCs w:val="26"/>
        </w:rPr>
        <w:t>Township of Middleton v. The Institute District of the County of Delaware</w:t>
      </w:r>
      <w:r w:rsidRPr="00C056CE">
        <w:rPr>
          <w:rFonts w:eastAsiaTheme="minorHAnsi"/>
          <w:sz w:val="26"/>
          <w:szCs w:val="26"/>
        </w:rPr>
        <w:t>, 293</w:t>
      </w:r>
      <w:r w:rsidR="00B775BB">
        <w:rPr>
          <w:rFonts w:eastAsiaTheme="minorHAnsi"/>
          <w:sz w:val="26"/>
          <w:szCs w:val="26"/>
        </w:rPr>
        <w:t> </w:t>
      </w:r>
      <w:r w:rsidRPr="00C056CE">
        <w:rPr>
          <w:rFonts w:eastAsiaTheme="minorHAnsi"/>
          <w:sz w:val="26"/>
          <w:szCs w:val="26"/>
        </w:rPr>
        <w:t xml:space="preserve">A.2d 885 (Pa. </w:t>
      </w:r>
      <w:proofErr w:type="spellStart"/>
      <w:r w:rsidRPr="00C056CE">
        <w:rPr>
          <w:rFonts w:eastAsiaTheme="minorHAnsi"/>
          <w:sz w:val="26"/>
          <w:szCs w:val="26"/>
        </w:rPr>
        <w:t>Cmwlth</w:t>
      </w:r>
      <w:proofErr w:type="spellEnd"/>
      <w:r w:rsidRPr="00C056CE">
        <w:rPr>
          <w:rFonts w:eastAsiaTheme="minorHAnsi"/>
          <w:sz w:val="26"/>
          <w:szCs w:val="26"/>
        </w:rPr>
        <w:t xml:space="preserve">. 1972), aff’d 450 Pa. 282, 299 A.2d 599 (Pa. </w:t>
      </w:r>
      <w:proofErr w:type="spellStart"/>
      <w:r w:rsidRPr="00C056CE">
        <w:rPr>
          <w:rFonts w:eastAsiaTheme="minorHAnsi"/>
          <w:sz w:val="26"/>
          <w:szCs w:val="26"/>
        </w:rPr>
        <w:t>Cmwlth</w:t>
      </w:r>
      <w:proofErr w:type="spellEnd"/>
      <w:r w:rsidRPr="00C056CE">
        <w:rPr>
          <w:rFonts w:eastAsiaTheme="minorHAnsi"/>
          <w:sz w:val="26"/>
          <w:szCs w:val="26"/>
        </w:rPr>
        <w:t>. 1973)</w:t>
      </w:r>
      <w:r w:rsidR="00BD6D0E">
        <w:rPr>
          <w:rFonts w:eastAsiaTheme="minorHAnsi"/>
          <w:sz w:val="26"/>
          <w:szCs w:val="26"/>
        </w:rPr>
        <w:t>)</w:t>
      </w:r>
      <w:r w:rsidRPr="00C056CE">
        <w:rPr>
          <w:rFonts w:eastAsiaTheme="minorHAnsi"/>
          <w:sz w:val="26"/>
          <w:szCs w:val="26"/>
        </w:rPr>
        <w:t xml:space="preserve">.   The fundamental requirement of due process is the opportunity to be heard at a meaningful time and in a meaningful manner. </w:t>
      </w:r>
      <w:r w:rsidRPr="00C056CE">
        <w:rPr>
          <w:rFonts w:eastAsiaTheme="minorHAnsi"/>
          <w:i/>
          <w:sz w:val="26"/>
          <w:szCs w:val="26"/>
        </w:rPr>
        <w:t xml:space="preserve">Montefiore Hospital </w:t>
      </w:r>
      <w:proofErr w:type="spellStart"/>
      <w:r w:rsidRPr="00C056CE">
        <w:rPr>
          <w:rFonts w:eastAsiaTheme="minorHAnsi"/>
          <w:i/>
          <w:sz w:val="26"/>
          <w:szCs w:val="26"/>
        </w:rPr>
        <w:t>Ass’n</w:t>
      </w:r>
      <w:proofErr w:type="spellEnd"/>
      <w:r w:rsidRPr="00C056CE">
        <w:rPr>
          <w:rFonts w:eastAsiaTheme="minorHAnsi"/>
          <w:i/>
          <w:sz w:val="26"/>
          <w:szCs w:val="26"/>
        </w:rPr>
        <w:t xml:space="preserve"> of Western Pennsylvania v. Pa. PUC</w:t>
      </w:r>
      <w:r w:rsidRPr="00C056CE">
        <w:rPr>
          <w:rFonts w:eastAsiaTheme="minorHAnsi"/>
          <w:sz w:val="26"/>
          <w:szCs w:val="26"/>
        </w:rPr>
        <w:t xml:space="preserve">, 421 A.2d 481, 484 (Pa. </w:t>
      </w:r>
      <w:proofErr w:type="spellStart"/>
      <w:r w:rsidRPr="00C056CE">
        <w:rPr>
          <w:rFonts w:eastAsiaTheme="minorHAnsi"/>
          <w:sz w:val="26"/>
          <w:szCs w:val="26"/>
        </w:rPr>
        <w:t>Cmwlth</w:t>
      </w:r>
      <w:proofErr w:type="spellEnd"/>
      <w:r w:rsidRPr="00C056CE">
        <w:rPr>
          <w:rFonts w:eastAsiaTheme="minorHAnsi"/>
          <w:sz w:val="26"/>
          <w:szCs w:val="26"/>
        </w:rPr>
        <w:t>. 1980).</w:t>
      </w:r>
    </w:p>
    <w:p w14:paraId="5C97922D" w14:textId="77777777" w:rsidR="00C056CE" w:rsidRPr="004D4DC2" w:rsidRDefault="00C056CE">
      <w:pPr>
        <w:pStyle w:val="FootnoteText"/>
      </w:pPr>
    </w:p>
  </w:footnote>
  <w:footnote w:id="7">
    <w:p w14:paraId="3DCFA748" w14:textId="77777777" w:rsidR="00D323D6" w:rsidRDefault="00D323D6" w:rsidP="0076453A">
      <w:pPr>
        <w:pStyle w:val="FootnoteText"/>
        <w:keepNext/>
        <w:keepLines/>
        <w:widowControl/>
        <w:spacing w:after="120"/>
        <w:ind w:firstLine="720"/>
      </w:pPr>
      <w:r>
        <w:rPr>
          <w:rStyle w:val="FootnoteReference"/>
        </w:rPr>
        <w:footnoteRef/>
      </w:r>
      <w:r>
        <w:t xml:space="preserve"> </w:t>
      </w:r>
      <w:r>
        <w:tab/>
      </w:r>
      <w:r w:rsidRPr="00D323D6">
        <w:rPr>
          <w:rFonts w:eastAsiaTheme="minorEastAsia"/>
          <w:i/>
          <w:iCs/>
          <w:sz w:val="26"/>
          <w:szCs w:val="26"/>
        </w:rPr>
        <w:t>See</w:t>
      </w:r>
      <w:r w:rsidRPr="00D323D6">
        <w:rPr>
          <w:rFonts w:eastAsiaTheme="minorEastAsia"/>
          <w:sz w:val="26"/>
          <w:szCs w:val="26"/>
        </w:rPr>
        <w:t xml:space="preserve"> </w:t>
      </w:r>
      <w:bookmarkStart w:id="1" w:name="_Hlk529455719"/>
      <w:r w:rsidRPr="00A91218">
        <w:rPr>
          <w:rFonts w:eastAsiaTheme="minorEastAsia"/>
          <w:i/>
          <w:iCs/>
          <w:sz w:val="26"/>
          <w:szCs w:val="26"/>
        </w:rPr>
        <w:t>DeMarco v. Jones &amp; Laughlin Steel Corp.</w:t>
      </w:r>
      <w:r w:rsidRPr="00C432B4">
        <w:rPr>
          <w:rFonts w:eastAsiaTheme="minorEastAsia"/>
          <w:sz w:val="26"/>
          <w:szCs w:val="26"/>
        </w:rPr>
        <w:t>,</w:t>
      </w:r>
      <w:r w:rsidRPr="00A91218">
        <w:rPr>
          <w:rFonts w:eastAsiaTheme="minorEastAsia"/>
          <w:sz w:val="26"/>
          <w:szCs w:val="26"/>
        </w:rPr>
        <w:t xml:space="preserve"> </w:t>
      </w:r>
      <w:bookmarkStart w:id="2" w:name="_Hlk529455728"/>
      <w:bookmarkEnd w:id="1"/>
      <w:r w:rsidRPr="00A91218">
        <w:rPr>
          <w:rFonts w:eastAsiaTheme="minorEastAsia"/>
          <w:sz w:val="26"/>
          <w:szCs w:val="26"/>
        </w:rPr>
        <w:t>522 A.2d 26, 28</w:t>
      </w:r>
      <w:r w:rsidRPr="00D323D6">
        <w:rPr>
          <w:rFonts w:eastAsiaTheme="minorEastAsia"/>
          <w:sz w:val="26"/>
          <w:szCs w:val="26"/>
        </w:rPr>
        <w:t>-29</w:t>
      </w:r>
      <w:r w:rsidRPr="00A91218">
        <w:rPr>
          <w:rFonts w:eastAsiaTheme="minorEastAsia"/>
          <w:sz w:val="26"/>
          <w:szCs w:val="26"/>
        </w:rPr>
        <w:t xml:space="preserve"> </w:t>
      </w:r>
      <w:r w:rsidRPr="00D323D6">
        <w:rPr>
          <w:rFonts w:eastAsiaTheme="minorEastAsia"/>
          <w:sz w:val="26"/>
          <w:szCs w:val="26"/>
        </w:rPr>
        <w:t xml:space="preserve">(Pa. </w:t>
      </w:r>
      <w:r>
        <w:rPr>
          <w:rFonts w:eastAsiaTheme="minorEastAsia"/>
          <w:sz w:val="26"/>
          <w:szCs w:val="26"/>
        </w:rPr>
        <w:t>1987</w:t>
      </w:r>
      <w:r w:rsidRPr="00D323D6">
        <w:rPr>
          <w:rFonts w:eastAsiaTheme="minorEastAsia"/>
          <w:sz w:val="26"/>
          <w:szCs w:val="26"/>
        </w:rPr>
        <w:t xml:space="preserve">) </w:t>
      </w:r>
      <w:r w:rsidRPr="00A91218">
        <w:rPr>
          <w:rFonts w:eastAsiaTheme="minorEastAsia"/>
          <w:sz w:val="26"/>
          <w:szCs w:val="26"/>
        </w:rPr>
        <w:t xml:space="preserve">(citing </w:t>
      </w:r>
      <w:proofErr w:type="spellStart"/>
      <w:r w:rsidRPr="00A91218">
        <w:rPr>
          <w:rFonts w:eastAsiaTheme="minorEastAsia"/>
          <w:i/>
          <w:iCs/>
          <w:sz w:val="26"/>
          <w:szCs w:val="26"/>
        </w:rPr>
        <w:t>Dilliplaine</w:t>
      </w:r>
      <w:proofErr w:type="spellEnd"/>
      <w:r w:rsidRPr="00A91218">
        <w:rPr>
          <w:rFonts w:eastAsiaTheme="minorEastAsia"/>
          <w:i/>
          <w:iCs/>
          <w:sz w:val="26"/>
          <w:szCs w:val="26"/>
        </w:rPr>
        <w:t xml:space="preserve"> v. Lehigh Trust Co.</w:t>
      </w:r>
      <w:r w:rsidRPr="00C432B4">
        <w:rPr>
          <w:rFonts w:eastAsiaTheme="minorEastAsia"/>
          <w:sz w:val="26"/>
          <w:szCs w:val="26"/>
        </w:rPr>
        <w:t xml:space="preserve">, </w:t>
      </w:r>
      <w:r w:rsidRPr="00A91218">
        <w:rPr>
          <w:rFonts w:eastAsiaTheme="minorEastAsia"/>
          <w:sz w:val="26"/>
          <w:szCs w:val="26"/>
        </w:rPr>
        <w:t>322 A.2d 114 (</w:t>
      </w:r>
      <w:r w:rsidRPr="00D323D6">
        <w:rPr>
          <w:rFonts w:eastAsiaTheme="minorEastAsia"/>
          <w:sz w:val="26"/>
          <w:szCs w:val="26"/>
        </w:rPr>
        <w:t xml:space="preserve">Pa. </w:t>
      </w:r>
      <w:r w:rsidRPr="00A91218">
        <w:rPr>
          <w:rFonts w:eastAsiaTheme="minorEastAsia"/>
          <w:sz w:val="26"/>
          <w:szCs w:val="26"/>
        </w:rPr>
        <w:t>1974) (</w:t>
      </w:r>
      <w:proofErr w:type="spellStart"/>
      <w:r w:rsidRPr="00A91218">
        <w:rPr>
          <w:rFonts w:eastAsiaTheme="minorEastAsia"/>
          <w:i/>
          <w:iCs/>
          <w:sz w:val="26"/>
          <w:szCs w:val="26"/>
        </w:rPr>
        <w:t>Dilliplaine</w:t>
      </w:r>
      <w:proofErr w:type="spellEnd"/>
      <w:r w:rsidRPr="00A91218">
        <w:rPr>
          <w:rFonts w:eastAsiaTheme="minorEastAsia"/>
          <w:sz w:val="26"/>
          <w:szCs w:val="26"/>
        </w:rPr>
        <w:t xml:space="preserve">), and </w:t>
      </w:r>
      <w:r w:rsidRPr="00A91218">
        <w:rPr>
          <w:rFonts w:eastAsiaTheme="minorEastAsia"/>
          <w:i/>
          <w:iCs/>
          <w:sz w:val="26"/>
          <w:szCs w:val="26"/>
        </w:rPr>
        <w:t>Commonwealth v. Clair,</w:t>
      </w:r>
      <w:r w:rsidRPr="00A91218">
        <w:rPr>
          <w:rFonts w:eastAsiaTheme="minorEastAsia"/>
          <w:sz w:val="26"/>
          <w:szCs w:val="26"/>
        </w:rPr>
        <w:t xml:space="preserve"> 326 A.2d 272 (</w:t>
      </w:r>
      <w:r w:rsidRPr="00D323D6">
        <w:rPr>
          <w:rFonts w:eastAsiaTheme="minorEastAsia"/>
          <w:sz w:val="26"/>
          <w:szCs w:val="26"/>
        </w:rPr>
        <w:t xml:space="preserve">Pa. </w:t>
      </w:r>
      <w:r w:rsidRPr="00A91218">
        <w:rPr>
          <w:rFonts w:eastAsiaTheme="minorEastAsia"/>
          <w:sz w:val="26"/>
          <w:szCs w:val="26"/>
        </w:rPr>
        <w:t>1974)</w:t>
      </w:r>
      <w:bookmarkStart w:id="3" w:name="_Hlk529455758"/>
      <w:bookmarkEnd w:id="2"/>
      <w:r w:rsidRPr="00D323D6">
        <w:rPr>
          <w:rFonts w:eastAsiaTheme="minorEastAsia"/>
          <w:sz w:val="26"/>
          <w:szCs w:val="26"/>
        </w:rPr>
        <w:t xml:space="preserve"> and </w:t>
      </w:r>
      <w:r w:rsidRPr="00A91218">
        <w:rPr>
          <w:rFonts w:eastAsiaTheme="minorEastAsia"/>
          <w:i/>
          <w:iCs/>
          <w:sz w:val="26"/>
          <w:szCs w:val="26"/>
        </w:rPr>
        <w:t>Wing v. Unemployment Compensation Board of Review,</w:t>
      </w:r>
      <w:r w:rsidRPr="00A91218">
        <w:rPr>
          <w:rFonts w:eastAsiaTheme="minorEastAsia"/>
          <w:sz w:val="26"/>
          <w:szCs w:val="26"/>
        </w:rPr>
        <w:t xml:space="preserve"> 436 A.2d 179 (</w:t>
      </w:r>
      <w:r w:rsidRPr="00D323D6">
        <w:rPr>
          <w:rFonts w:eastAsiaTheme="minorEastAsia"/>
          <w:sz w:val="26"/>
          <w:szCs w:val="26"/>
        </w:rPr>
        <w:t xml:space="preserve">Pa. </w:t>
      </w:r>
      <w:r w:rsidRPr="00A91218">
        <w:rPr>
          <w:rFonts w:eastAsiaTheme="minorEastAsia"/>
          <w:sz w:val="26"/>
          <w:szCs w:val="26"/>
        </w:rPr>
        <w:t>1981))</w:t>
      </w:r>
      <w:bookmarkEnd w:id="3"/>
      <w:r w:rsidRPr="00D323D6">
        <w:rPr>
          <w:rFonts w:eastAsiaTheme="minorEastAsia"/>
          <w:sz w:val="26"/>
          <w:szCs w:val="26"/>
        </w:rPr>
        <w:t xml:space="preserve">; </w:t>
      </w:r>
      <w:r w:rsidRPr="00D323D6">
        <w:rPr>
          <w:rFonts w:eastAsiaTheme="minorEastAsia"/>
          <w:i/>
          <w:iCs/>
          <w:sz w:val="26"/>
          <w:szCs w:val="26"/>
        </w:rPr>
        <w:t>s</w:t>
      </w:r>
      <w:r w:rsidRPr="00A91218">
        <w:rPr>
          <w:rFonts w:eastAsiaTheme="minorEastAsia"/>
          <w:i/>
          <w:iCs/>
          <w:sz w:val="26"/>
          <w:szCs w:val="26"/>
        </w:rPr>
        <w:t>ee</w:t>
      </w:r>
      <w:r w:rsidRPr="00D323D6">
        <w:rPr>
          <w:rFonts w:eastAsiaTheme="minorEastAsia"/>
          <w:i/>
          <w:iCs/>
          <w:sz w:val="26"/>
          <w:szCs w:val="26"/>
        </w:rPr>
        <w:t xml:space="preserve"> als</w:t>
      </w:r>
      <w:r w:rsidR="00395504">
        <w:rPr>
          <w:rFonts w:eastAsiaTheme="minorEastAsia"/>
          <w:i/>
          <w:iCs/>
          <w:sz w:val="26"/>
          <w:szCs w:val="26"/>
        </w:rPr>
        <w:t>o</w:t>
      </w:r>
      <w:r w:rsidRPr="00A91218">
        <w:rPr>
          <w:rFonts w:eastAsiaTheme="minorEastAsia"/>
          <w:i/>
          <w:iCs/>
          <w:sz w:val="26"/>
          <w:szCs w:val="26"/>
        </w:rPr>
        <w:t>, Petition of PPL Electric Utilities Corporation for Approval of a Distribution System Improvement Charge</w:t>
      </w:r>
      <w:r w:rsidRPr="00C71F52">
        <w:rPr>
          <w:rFonts w:eastAsiaTheme="minorEastAsia"/>
          <w:sz w:val="26"/>
          <w:szCs w:val="26"/>
        </w:rPr>
        <w:t xml:space="preserve">, </w:t>
      </w:r>
      <w:r w:rsidRPr="00A91218">
        <w:rPr>
          <w:rFonts w:eastAsiaTheme="minorEastAsia"/>
          <w:sz w:val="26"/>
          <w:szCs w:val="26"/>
        </w:rPr>
        <w:t xml:space="preserve">Docket Nos. P-2012-2325034, </w:t>
      </w:r>
      <w:r w:rsidRPr="00A91218">
        <w:rPr>
          <w:rFonts w:eastAsiaTheme="minorEastAsia"/>
          <w:i/>
          <w:iCs/>
          <w:sz w:val="26"/>
          <w:szCs w:val="26"/>
        </w:rPr>
        <w:t>et al.</w:t>
      </w:r>
      <w:r w:rsidRPr="00A91218">
        <w:rPr>
          <w:rFonts w:eastAsiaTheme="minorEastAsia"/>
          <w:sz w:val="26"/>
          <w:szCs w:val="26"/>
        </w:rPr>
        <w:t xml:space="preserve"> (Order entered October 1, 2015)</w:t>
      </w:r>
      <w:r w:rsidRPr="00D323D6">
        <w:rPr>
          <w:rFonts w:eastAsiaTheme="minorEastAsia"/>
          <w:sz w:val="26"/>
          <w:szCs w:val="26"/>
        </w:rPr>
        <w:t>.</w:t>
      </w:r>
    </w:p>
  </w:footnote>
  <w:footnote w:id="8">
    <w:p w14:paraId="62515450" w14:textId="0F16F8F1" w:rsidR="00A351E3" w:rsidRPr="00A351E3" w:rsidRDefault="00A351E3" w:rsidP="00EE4AA6">
      <w:pPr>
        <w:pStyle w:val="FootnoteText"/>
        <w:keepNext/>
        <w:keepLines/>
        <w:widowControl/>
        <w:ind w:firstLine="720"/>
        <w:rPr>
          <w:sz w:val="26"/>
          <w:szCs w:val="26"/>
        </w:rPr>
      </w:pPr>
      <w:r w:rsidRPr="00A351E3">
        <w:rPr>
          <w:rStyle w:val="FootnoteReference"/>
          <w:sz w:val="26"/>
          <w:szCs w:val="26"/>
        </w:rPr>
        <w:footnoteRef/>
      </w:r>
      <w:r w:rsidRPr="00A351E3">
        <w:rPr>
          <w:sz w:val="26"/>
          <w:szCs w:val="26"/>
        </w:rPr>
        <w:t xml:space="preserve"> </w:t>
      </w:r>
      <w:r w:rsidRPr="00A351E3">
        <w:rPr>
          <w:sz w:val="26"/>
          <w:szCs w:val="26"/>
        </w:rPr>
        <w:tab/>
      </w:r>
      <w:r w:rsidR="00EE4AA6" w:rsidRPr="00EE4AA6">
        <w:rPr>
          <w:i/>
          <w:iCs/>
          <w:sz w:val="26"/>
          <w:szCs w:val="26"/>
          <w:lang w:val="en-GB"/>
        </w:rPr>
        <w:t>See</w:t>
      </w:r>
      <w:r w:rsidR="00EE4AA6">
        <w:rPr>
          <w:sz w:val="26"/>
          <w:szCs w:val="26"/>
          <w:lang w:val="en-GB"/>
        </w:rPr>
        <w:t xml:space="preserve"> </w:t>
      </w:r>
      <w:r w:rsidR="00EE4AA6" w:rsidRPr="005D2176">
        <w:rPr>
          <w:sz w:val="26"/>
          <w:szCs w:val="26"/>
        </w:rPr>
        <w:t>6</w:t>
      </w:r>
      <w:r w:rsidR="00EE4AA6">
        <w:rPr>
          <w:sz w:val="26"/>
          <w:szCs w:val="26"/>
        </w:rPr>
        <w:t>6</w:t>
      </w:r>
      <w:r w:rsidR="00EE4AA6" w:rsidRPr="005D2176">
        <w:rPr>
          <w:sz w:val="26"/>
          <w:szCs w:val="26"/>
        </w:rPr>
        <w:t xml:space="preserve"> Pa. C.S. § 70</w:t>
      </w:r>
      <w:r w:rsidR="00EE4AA6">
        <w:rPr>
          <w:sz w:val="26"/>
          <w:szCs w:val="26"/>
        </w:rPr>
        <w:t>3(e) (</w:t>
      </w:r>
      <w:r w:rsidR="00EE4AA6">
        <w:rPr>
          <w:sz w:val="26"/>
          <w:szCs w:val="26"/>
          <w:lang w:val="en-GB"/>
        </w:rPr>
        <w:t>requiring the Commission to serve all parties to a proceeding with their order and opinion by registered or certified mail)</w:t>
      </w:r>
      <w:r w:rsidR="00EE4AA6">
        <w:rPr>
          <w:sz w:val="26"/>
          <w:szCs w:val="26"/>
        </w:rPr>
        <w:t xml:space="preserve">; </w:t>
      </w:r>
      <w:r w:rsidR="00EE4AA6">
        <w:rPr>
          <w:i/>
          <w:iCs/>
          <w:sz w:val="26"/>
          <w:szCs w:val="26"/>
        </w:rPr>
        <w:t>s</w:t>
      </w:r>
      <w:r w:rsidR="00EE4AA6" w:rsidRPr="00EE4AA6">
        <w:rPr>
          <w:i/>
          <w:iCs/>
          <w:sz w:val="26"/>
          <w:szCs w:val="26"/>
        </w:rPr>
        <w:t>ee also</w:t>
      </w:r>
      <w:r w:rsidR="00EE4AA6">
        <w:rPr>
          <w:sz w:val="26"/>
          <w:szCs w:val="26"/>
        </w:rPr>
        <w:t xml:space="preserve">, </w:t>
      </w:r>
      <w:r w:rsidR="00EE4AA6" w:rsidRPr="00247459">
        <w:rPr>
          <w:i/>
          <w:iCs/>
          <w:sz w:val="26"/>
          <w:szCs w:val="26"/>
        </w:rPr>
        <w:t>Mazza v. Pub. Util. Comm'n</w:t>
      </w:r>
      <w:r w:rsidR="00EE4AA6" w:rsidRPr="00E307F8">
        <w:rPr>
          <w:sz w:val="26"/>
          <w:szCs w:val="26"/>
        </w:rPr>
        <w:t xml:space="preserve">, No. 1418 C.D. 2012, 2013 WL 3973797, at *2 (Pa. </w:t>
      </w:r>
      <w:proofErr w:type="spellStart"/>
      <w:r w:rsidR="00EE4AA6" w:rsidRPr="00E307F8">
        <w:rPr>
          <w:sz w:val="26"/>
          <w:szCs w:val="26"/>
        </w:rPr>
        <w:t>C</w:t>
      </w:r>
      <w:r w:rsidR="00EE4AA6">
        <w:rPr>
          <w:sz w:val="26"/>
          <w:szCs w:val="26"/>
        </w:rPr>
        <w:t>mwlth</w:t>
      </w:r>
      <w:proofErr w:type="spellEnd"/>
      <w:r w:rsidR="00EE4AA6" w:rsidRPr="00E307F8">
        <w:rPr>
          <w:sz w:val="26"/>
          <w:szCs w:val="26"/>
        </w:rPr>
        <w:t xml:space="preserve">. </w:t>
      </w:r>
      <w:r w:rsidR="00EE4AA6">
        <w:rPr>
          <w:sz w:val="26"/>
          <w:szCs w:val="26"/>
        </w:rPr>
        <w:t>2013</w:t>
      </w:r>
      <w:r w:rsidR="00EE4AA6" w:rsidRPr="00E307F8">
        <w:rPr>
          <w:sz w:val="26"/>
          <w:szCs w:val="26"/>
        </w:rPr>
        <w:t>)</w:t>
      </w:r>
      <w:r w:rsidR="00EE4AA6">
        <w:rPr>
          <w:sz w:val="26"/>
          <w:szCs w:val="26"/>
        </w:rPr>
        <w:t>(</w:t>
      </w:r>
      <w:r w:rsidR="00EE4AA6" w:rsidRPr="00BA7E9E">
        <w:rPr>
          <w:sz w:val="26"/>
          <w:szCs w:val="26"/>
        </w:rPr>
        <w:t xml:space="preserve">quoting </w:t>
      </w:r>
      <w:r w:rsidR="00EE4AA6" w:rsidRPr="00BA7E9E">
        <w:rPr>
          <w:i/>
          <w:iCs/>
          <w:sz w:val="26"/>
          <w:szCs w:val="26"/>
        </w:rPr>
        <w:t>Pennsylvania State Police, Bureau of Liquor Control Enforcement v. Can</w:t>
      </w:r>
      <w:r w:rsidR="00EE4AA6" w:rsidRPr="00BA7E9E">
        <w:rPr>
          <w:sz w:val="26"/>
          <w:szCs w:val="26"/>
        </w:rPr>
        <w:t xml:space="preserve"> </w:t>
      </w:r>
      <w:r w:rsidR="00EE4AA6" w:rsidRPr="00BA7E9E">
        <w:rPr>
          <w:i/>
          <w:iCs/>
          <w:sz w:val="26"/>
          <w:szCs w:val="26"/>
        </w:rPr>
        <w:t>Inc.</w:t>
      </w:r>
      <w:r w:rsidR="00EE4AA6" w:rsidRPr="00BA7E9E">
        <w:rPr>
          <w:sz w:val="26"/>
          <w:szCs w:val="26"/>
        </w:rPr>
        <w:t xml:space="preserve">, 651 A.2d 1160, 1164 (Pa. </w:t>
      </w:r>
      <w:proofErr w:type="spellStart"/>
      <w:r w:rsidR="00EE4AA6" w:rsidRPr="00BA7E9E">
        <w:rPr>
          <w:sz w:val="26"/>
          <w:szCs w:val="26"/>
        </w:rPr>
        <w:t>Cmwlth</w:t>
      </w:r>
      <w:proofErr w:type="spellEnd"/>
      <w:r w:rsidR="00EE4AA6" w:rsidRPr="00BA7E9E">
        <w:rPr>
          <w:sz w:val="26"/>
          <w:szCs w:val="26"/>
        </w:rPr>
        <w:t>. 1994)</w:t>
      </w:r>
      <w:r w:rsidR="00EE4AA6">
        <w:rPr>
          <w:sz w:val="26"/>
          <w:szCs w:val="26"/>
        </w:rPr>
        <w:t xml:space="preserve"> (“‘</w:t>
      </w:r>
      <w:r w:rsidR="00EE4AA6" w:rsidRPr="00BA7E9E">
        <w:rPr>
          <w:sz w:val="26"/>
          <w:szCs w:val="26"/>
        </w:rPr>
        <w:t>[r]emission of notice by certified mail is sufficient compliance although notice is returned unclaimed and a second notice is never received.</w:t>
      </w:r>
      <w:r w:rsidR="00EE4AA6">
        <w:rPr>
          <w:sz w:val="26"/>
          <w:szCs w:val="26"/>
        </w:rPr>
        <w:t>’”)</w:t>
      </w:r>
      <w:r w:rsidR="00DA7E08">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BE1AE8"/>
    <w:multiLevelType w:val="hybridMultilevel"/>
    <w:tmpl w:val="98508C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F23E42"/>
    <w:multiLevelType w:val="hybridMultilevel"/>
    <w:tmpl w:val="B526E922"/>
    <w:lvl w:ilvl="0" w:tplc="27380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3"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4B649A2"/>
    <w:multiLevelType w:val="hybridMultilevel"/>
    <w:tmpl w:val="1BCCCFF8"/>
    <w:lvl w:ilvl="0" w:tplc="72A8085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43"/>
    <w:rsid w:val="0002503D"/>
    <w:rsid w:val="00033CD4"/>
    <w:rsid w:val="00041B53"/>
    <w:rsid w:val="00051CC2"/>
    <w:rsid w:val="0005757B"/>
    <w:rsid w:val="00065B3C"/>
    <w:rsid w:val="00100DA7"/>
    <w:rsid w:val="00127F23"/>
    <w:rsid w:val="0013257A"/>
    <w:rsid w:val="00157F38"/>
    <w:rsid w:val="00175868"/>
    <w:rsid w:val="00183B89"/>
    <w:rsid w:val="001909BC"/>
    <w:rsid w:val="001A0123"/>
    <w:rsid w:val="00201618"/>
    <w:rsid w:val="0021343C"/>
    <w:rsid w:val="00262150"/>
    <w:rsid w:val="002955FB"/>
    <w:rsid w:val="002B40FA"/>
    <w:rsid w:val="00304097"/>
    <w:rsid w:val="00334E85"/>
    <w:rsid w:val="00337AB2"/>
    <w:rsid w:val="00365510"/>
    <w:rsid w:val="00383639"/>
    <w:rsid w:val="003916C2"/>
    <w:rsid w:val="003929FD"/>
    <w:rsid w:val="00395504"/>
    <w:rsid w:val="003B5BF6"/>
    <w:rsid w:val="00402B33"/>
    <w:rsid w:val="004347CB"/>
    <w:rsid w:val="00442297"/>
    <w:rsid w:val="00472E9C"/>
    <w:rsid w:val="004A3D5D"/>
    <w:rsid w:val="004D4DC2"/>
    <w:rsid w:val="004F45EB"/>
    <w:rsid w:val="004F4C1D"/>
    <w:rsid w:val="005135B5"/>
    <w:rsid w:val="00535B90"/>
    <w:rsid w:val="00556CAA"/>
    <w:rsid w:val="005617ED"/>
    <w:rsid w:val="005661E2"/>
    <w:rsid w:val="00577112"/>
    <w:rsid w:val="00586EC6"/>
    <w:rsid w:val="005C1D73"/>
    <w:rsid w:val="005E1650"/>
    <w:rsid w:val="005F22C0"/>
    <w:rsid w:val="006370E9"/>
    <w:rsid w:val="00674B62"/>
    <w:rsid w:val="006979FF"/>
    <w:rsid w:val="006A21D9"/>
    <w:rsid w:val="006A6A55"/>
    <w:rsid w:val="006C1FF5"/>
    <w:rsid w:val="006C540D"/>
    <w:rsid w:val="006C6083"/>
    <w:rsid w:val="006F4E8D"/>
    <w:rsid w:val="00734A37"/>
    <w:rsid w:val="0076453A"/>
    <w:rsid w:val="00775367"/>
    <w:rsid w:val="0077596B"/>
    <w:rsid w:val="00786BD8"/>
    <w:rsid w:val="007A6B66"/>
    <w:rsid w:val="007D5789"/>
    <w:rsid w:val="007E37E7"/>
    <w:rsid w:val="008022B9"/>
    <w:rsid w:val="008049FE"/>
    <w:rsid w:val="008311BC"/>
    <w:rsid w:val="0087721F"/>
    <w:rsid w:val="00891667"/>
    <w:rsid w:val="008D040A"/>
    <w:rsid w:val="008E14B9"/>
    <w:rsid w:val="008E585C"/>
    <w:rsid w:val="008F6E18"/>
    <w:rsid w:val="008F7BE6"/>
    <w:rsid w:val="00920C81"/>
    <w:rsid w:val="009233ED"/>
    <w:rsid w:val="009273FC"/>
    <w:rsid w:val="009422C3"/>
    <w:rsid w:val="00977543"/>
    <w:rsid w:val="00995B5F"/>
    <w:rsid w:val="009C4F7C"/>
    <w:rsid w:val="009C4FE6"/>
    <w:rsid w:val="009E2988"/>
    <w:rsid w:val="00A351E3"/>
    <w:rsid w:val="00A5536E"/>
    <w:rsid w:val="00A91218"/>
    <w:rsid w:val="00AA03FE"/>
    <w:rsid w:val="00AB4CF0"/>
    <w:rsid w:val="00AC4331"/>
    <w:rsid w:val="00AD07FD"/>
    <w:rsid w:val="00AE0159"/>
    <w:rsid w:val="00B06A77"/>
    <w:rsid w:val="00B20515"/>
    <w:rsid w:val="00B2131F"/>
    <w:rsid w:val="00B24891"/>
    <w:rsid w:val="00B545A2"/>
    <w:rsid w:val="00B55E96"/>
    <w:rsid w:val="00B6714B"/>
    <w:rsid w:val="00B775BB"/>
    <w:rsid w:val="00B86E63"/>
    <w:rsid w:val="00B90971"/>
    <w:rsid w:val="00BD6D0E"/>
    <w:rsid w:val="00C056CE"/>
    <w:rsid w:val="00C432B4"/>
    <w:rsid w:val="00C71F52"/>
    <w:rsid w:val="00C72B30"/>
    <w:rsid w:val="00CC2BA7"/>
    <w:rsid w:val="00CE3EAA"/>
    <w:rsid w:val="00D06C32"/>
    <w:rsid w:val="00D323D6"/>
    <w:rsid w:val="00D3442A"/>
    <w:rsid w:val="00D4436A"/>
    <w:rsid w:val="00D845DB"/>
    <w:rsid w:val="00D93DA2"/>
    <w:rsid w:val="00DA7E08"/>
    <w:rsid w:val="00E43798"/>
    <w:rsid w:val="00E823C5"/>
    <w:rsid w:val="00EA619D"/>
    <w:rsid w:val="00EC20ED"/>
    <w:rsid w:val="00EE4AA6"/>
    <w:rsid w:val="00F1187E"/>
    <w:rsid w:val="00F21CFE"/>
    <w:rsid w:val="00F41497"/>
    <w:rsid w:val="00F86146"/>
    <w:rsid w:val="00FA0300"/>
    <w:rsid w:val="00FE05F8"/>
    <w:rsid w:val="00FF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3CFA"/>
  <w15:chartTrackingRefBased/>
  <w15:docId w15:val="{AF9AFEA6-9CB3-4389-B004-973A2523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43"/>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77543"/>
    <w:pPr>
      <w:widowControl/>
      <w:numPr>
        <w:numId w:val="1"/>
      </w:numPr>
      <w:spacing w:line="360" w:lineRule="auto"/>
      <w:ind w:left="7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543"/>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77543"/>
    <w:rPr>
      <w:rFonts w:ascii="Times New Roman" w:eastAsia="Times New Roman" w:hAnsi="Times New Roman" w:cs="Times New Roman"/>
      <w:b/>
      <w:sz w:val="26"/>
      <w:szCs w:val="20"/>
    </w:rPr>
  </w:style>
  <w:style w:type="paragraph" w:styleId="ListParagraph">
    <w:name w:val="List Paragraph"/>
    <w:basedOn w:val="Normal"/>
    <w:uiPriority w:val="34"/>
    <w:qFormat/>
    <w:rsid w:val="00977543"/>
    <w:pPr>
      <w:ind w:left="720"/>
      <w:contextualSpacing/>
    </w:pPr>
  </w:style>
  <w:style w:type="paragraph" w:styleId="Header">
    <w:name w:val="header"/>
    <w:basedOn w:val="Normal"/>
    <w:link w:val="HeaderChar"/>
    <w:uiPriority w:val="99"/>
    <w:unhideWhenUsed/>
    <w:rsid w:val="00B6714B"/>
    <w:pPr>
      <w:tabs>
        <w:tab w:val="center" w:pos="4680"/>
        <w:tab w:val="right" w:pos="9360"/>
      </w:tabs>
    </w:pPr>
  </w:style>
  <w:style w:type="character" w:customStyle="1" w:styleId="HeaderChar">
    <w:name w:val="Header Char"/>
    <w:basedOn w:val="DefaultParagraphFont"/>
    <w:link w:val="Header"/>
    <w:uiPriority w:val="99"/>
    <w:rsid w:val="00B6714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714B"/>
    <w:pPr>
      <w:tabs>
        <w:tab w:val="center" w:pos="4680"/>
        <w:tab w:val="right" w:pos="9360"/>
      </w:tabs>
    </w:pPr>
  </w:style>
  <w:style w:type="character" w:customStyle="1" w:styleId="FooterChar">
    <w:name w:val="Footer Char"/>
    <w:basedOn w:val="DefaultParagraphFont"/>
    <w:link w:val="Footer"/>
    <w:uiPriority w:val="99"/>
    <w:rsid w:val="00B67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5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5C"/>
    <w:rPr>
      <w:rFonts w:ascii="Segoe UI" w:eastAsia="Times New Roman" w:hAnsi="Segoe UI" w:cs="Segoe UI"/>
      <w:sz w:val="18"/>
      <w:szCs w:val="18"/>
    </w:rPr>
  </w:style>
  <w:style w:type="paragraph" w:customStyle="1" w:styleId="Default">
    <w:name w:val="Default"/>
    <w:rsid w:val="005F22C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617ED"/>
  </w:style>
  <w:style w:type="character" w:customStyle="1" w:styleId="FootnoteTextChar">
    <w:name w:val="Footnote Text Char"/>
    <w:basedOn w:val="DefaultParagraphFont"/>
    <w:link w:val="FootnoteText"/>
    <w:uiPriority w:val="99"/>
    <w:semiHidden/>
    <w:rsid w:val="005617E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17ED"/>
    <w:rPr>
      <w:vertAlign w:val="superscript"/>
    </w:rPr>
  </w:style>
  <w:style w:type="character" w:styleId="CommentReference">
    <w:name w:val="annotation reference"/>
    <w:basedOn w:val="DefaultParagraphFont"/>
    <w:uiPriority w:val="99"/>
    <w:semiHidden/>
    <w:unhideWhenUsed/>
    <w:rsid w:val="006A6A55"/>
    <w:rPr>
      <w:sz w:val="16"/>
      <w:szCs w:val="16"/>
    </w:rPr>
  </w:style>
  <w:style w:type="paragraph" w:styleId="CommentText">
    <w:name w:val="annotation text"/>
    <w:basedOn w:val="Normal"/>
    <w:link w:val="CommentTextChar"/>
    <w:uiPriority w:val="99"/>
    <w:semiHidden/>
    <w:unhideWhenUsed/>
    <w:rsid w:val="006A6A55"/>
  </w:style>
  <w:style w:type="character" w:customStyle="1" w:styleId="CommentTextChar">
    <w:name w:val="Comment Text Char"/>
    <w:basedOn w:val="DefaultParagraphFont"/>
    <w:link w:val="CommentText"/>
    <w:uiPriority w:val="99"/>
    <w:semiHidden/>
    <w:rsid w:val="006A6A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6A55"/>
    <w:rPr>
      <w:b/>
      <w:bCs/>
    </w:rPr>
  </w:style>
  <w:style w:type="character" w:customStyle="1" w:styleId="CommentSubjectChar">
    <w:name w:val="Comment Subject Char"/>
    <w:basedOn w:val="CommentTextChar"/>
    <w:link w:val="CommentSubject"/>
    <w:uiPriority w:val="99"/>
    <w:semiHidden/>
    <w:rsid w:val="006A6A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7692">
      <w:bodyDiv w:val="1"/>
      <w:marLeft w:val="0"/>
      <w:marRight w:val="0"/>
      <w:marTop w:val="0"/>
      <w:marBottom w:val="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single" w:sz="6" w:space="0" w:color="BBBBBB"/>
            <w:bottom w:val="single" w:sz="6" w:space="0" w:color="BBBBBB"/>
            <w:right w:val="single" w:sz="6" w:space="0" w:color="BBBBBB"/>
          </w:divBdr>
          <w:divsChild>
            <w:div w:id="2029211448">
              <w:marLeft w:val="0"/>
              <w:marRight w:val="0"/>
              <w:marTop w:val="0"/>
              <w:marBottom w:val="0"/>
              <w:divBdr>
                <w:top w:val="none" w:sz="0" w:space="0" w:color="auto"/>
                <w:left w:val="none" w:sz="0" w:space="0" w:color="auto"/>
                <w:bottom w:val="none" w:sz="0" w:space="0" w:color="auto"/>
                <w:right w:val="none" w:sz="0" w:space="0" w:color="auto"/>
              </w:divBdr>
              <w:divsChild>
                <w:div w:id="1923175910">
                  <w:marLeft w:val="0"/>
                  <w:marRight w:val="0"/>
                  <w:marTop w:val="75"/>
                  <w:marBottom w:val="0"/>
                  <w:divBdr>
                    <w:top w:val="none" w:sz="0" w:space="0" w:color="auto"/>
                    <w:left w:val="none" w:sz="0" w:space="0" w:color="auto"/>
                    <w:bottom w:val="none" w:sz="0" w:space="0" w:color="auto"/>
                    <w:right w:val="none" w:sz="0" w:space="0" w:color="auto"/>
                  </w:divBdr>
                  <w:divsChild>
                    <w:div w:id="195774428">
                      <w:marLeft w:val="0"/>
                      <w:marRight w:val="0"/>
                      <w:marTop w:val="0"/>
                      <w:marBottom w:val="0"/>
                      <w:divBdr>
                        <w:top w:val="none" w:sz="0" w:space="0" w:color="auto"/>
                        <w:left w:val="none" w:sz="0" w:space="0" w:color="auto"/>
                        <w:bottom w:val="none" w:sz="0" w:space="0" w:color="auto"/>
                        <w:right w:val="none" w:sz="0" w:space="0" w:color="auto"/>
                      </w:divBdr>
                      <w:divsChild>
                        <w:div w:id="1076167157">
                          <w:marLeft w:val="0"/>
                          <w:marRight w:val="0"/>
                          <w:marTop w:val="0"/>
                          <w:marBottom w:val="0"/>
                          <w:divBdr>
                            <w:top w:val="none" w:sz="0" w:space="0" w:color="auto"/>
                            <w:left w:val="none" w:sz="0" w:space="0" w:color="auto"/>
                            <w:bottom w:val="none" w:sz="0" w:space="0" w:color="auto"/>
                            <w:right w:val="none" w:sz="0" w:space="0" w:color="auto"/>
                          </w:divBdr>
                          <w:divsChild>
                            <w:div w:id="1542522131">
                              <w:marLeft w:val="0"/>
                              <w:marRight w:val="0"/>
                              <w:marTop w:val="0"/>
                              <w:marBottom w:val="0"/>
                              <w:divBdr>
                                <w:top w:val="none" w:sz="0" w:space="0" w:color="auto"/>
                                <w:left w:val="none" w:sz="0" w:space="0" w:color="auto"/>
                                <w:bottom w:val="none" w:sz="0" w:space="0" w:color="auto"/>
                                <w:right w:val="none" w:sz="0" w:space="0" w:color="auto"/>
                              </w:divBdr>
                              <w:divsChild>
                                <w:div w:id="1879005082">
                                  <w:marLeft w:val="0"/>
                                  <w:marRight w:val="0"/>
                                  <w:marTop w:val="0"/>
                                  <w:marBottom w:val="0"/>
                                  <w:divBdr>
                                    <w:top w:val="none" w:sz="0" w:space="0" w:color="auto"/>
                                    <w:left w:val="none" w:sz="0" w:space="0" w:color="auto"/>
                                    <w:bottom w:val="none" w:sz="0" w:space="0" w:color="auto"/>
                                    <w:right w:val="none" w:sz="0" w:space="0" w:color="auto"/>
                                  </w:divBdr>
                                  <w:divsChild>
                                    <w:div w:id="2106917214">
                                      <w:marLeft w:val="0"/>
                                      <w:marRight w:val="0"/>
                                      <w:marTop w:val="0"/>
                                      <w:marBottom w:val="0"/>
                                      <w:divBdr>
                                        <w:top w:val="none" w:sz="0" w:space="0" w:color="auto"/>
                                        <w:left w:val="none" w:sz="0" w:space="0" w:color="auto"/>
                                        <w:bottom w:val="none" w:sz="0" w:space="0" w:color="auto"/>
                                        <w:right w:val="none" w:sz="0" w:space="0" w:color="auto"/>
                                      </w:divBdr>
                                      <w:divsChild>
                                        <w:div w:id="332028304">
                                          <w:marLeft w:val="1200"/>
                                          <w:marRight w:val="1200"/>
                                          <w:marTop w:val="0"/>
                                          <w:marBottom w:val="0"/>
                                          <w:divBdr>
                                            <w:top w:val="none" w:sz="0" w:space="0" w:color="auto"/>
                                            <w:left w:val="none" w:sz="0" w:space="0" w:color="auto"/>
                                            <w:bottom w:val="none" w:sz="0" w:space="0" w:color="auto"/>
                                            <w:right w:val="none" w:sz="0" w:space="0" w:color="auto"/>
                                          </w:divBdr>
                                          <w:divsChild>
                                            <w:div w:id="574706594">
                                              <w:marLeft w:val="0"/>
                                              <w:marRight w:val="0"/>
                                              <w:marTop w:val="0"/>
                                              <w:marBottom w:val="0"/>
                                              <w:divBdr>
                                                <w:top w:val="none" w:sz="0" w:space="0" w:color="auto"/>
                                                <w:left w:val="none" w:sz="0" w:space="0" w:color="auto"/>
                                                <w:bottom w:val="none" w:sz="0" w:space="0" w:color="auto"/>
                                                <w:right w:val="none" w:sz="0" w:space="0" w:color="auto"/>
                                              </w:divBdr>
                                              <w:divsChild>
                                                <w:div w:id="1763452554">
                                                  <w:marLeft w:val="0"/>
                                                  <w:marRight w:val="0"/>
                                                  <w:marTop w:val="0"/>
                                                  <w:marBottom w:val="0"/>
                                                  <w:divBdr>
                                                    <w:top w:val="none" w:sz="0" w:space="0" w:color="auto"/>
                                                    <w:left w:val="none" w:sz="0" w:space="0" w:color="auto"/>
                                                    <w:bottom w:val="none" w:sz="0" w:space="0" w:color="auto"/>
                                                    <w:right w:val="none" w:sz="0" w:space="0" w:color="auto"/>
                                                  </w:divBdr>
                                                  <w:divsChild>
                                                    <w:div w:id="1785034293">
                                                      <w:marLeft w:val="0"/>
                                                      <w:marRight w:val="0"/>
                                                      <w:marTop w:val="0"/>
                                                      <w:marBottom w:val="0"/>
                                                      <w:divBdr>
                                                        <w:top w:val="none" w:sz="0" w:space="0" w:color="auto"/>
                                                        <w:left w:val="none" w:sz="0" w:space="0" w:color="auto"/>
                                                        <w:bottom w:val="none" w:sz="0" w:space="0" w:color="auto"/>
                                                        <w:right w:val="none" w:sz="0" w:space="0" w:color="auto"/>
                                                      </w:divBdr>
                                                      <w:divsChild>
                                                        <w:div w:id="943266797">
                                                          <w:marLeft w:val="0"/>
                                                          <w:marRight w:val="0"/>
                                                          <w:marTop w:val="0"/>
                                                          <w:marBottom w:val="0"/>
                                                          <w:divBdr>
                                                            <w:top w:val="none" w:sz="0" w:space="0" w:color="auto"/>
                                                            <w:left w:val="none" w:sz="0" w:space="0" w:color="auto"/>
                                                            <w:bottom w:val="none" w:sz="0" w:space="0" w:color="auto"/>
                                                            <w:right w:val="none" w:sz="0" w:space="0" w:color="auto"/>
                                                          </w:divBdr>
                                                          <w:divsChild>
                                                            <w:div w:id="17241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F46A-09DA-4ECB-B16B-A7E9B18F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14</cp:revision>
  <cp:lastPrinted>2020-01-06T15:42:00Z</cp:lastPrinted>
  <dcterms:created xsi:type="dcterms:W3CDTF">2020-01-06T19:16:00Z</dcterms:created>
  <dcterms:modified xsi:type="dcterms:W3CDTF">2020-01-16T12:29:00Z</dcterms:modified>
</cp:coreProperties>
</file>