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12158A" w14:textId="77777777" w:rsidR="00AD6715" w:rsidRDefault="00AD6715" w:rsidP="006869D2">
      <w:pPr>
        <w:spacing w:line="240" w:lineRule="auto"/>
        <w:rPr>
          <w:b/>
        </w:rPr>
      </w:pPr>
      <w:r>
        <w:rPr>
          <w:b/>
        </w:rPr>
        <w:t>BEFORE THE</w:t>
      </w:r>
    </w:p>
    <w:p w14:paraId="64D11C28" w14:textId="77777777" w:rsidR="00AD6715" w:rsidRDefault="00AD6715" w:rsidP="006869D2">
      <w:pPr>
        <w:spacing w:line="240" w:lineRule="auto"/>
        <w:rPr>
          <w:b/>
        </w:rPr>
      </w:pPr>
      <w:r>
        <w:rPr>
          <w:b/>
        </w:rPr>
        <w:t>PENNSYLVANIA PUBLIC UTILITY COMMISSION</w:t>
      </w:r>
    </w:p>
    <w:p w14:paraId="4532203E" w14:textId="77777777" w:rsidR="00AD6715" w:rsidRPr="006869D2" w:rsidRDefault="00AD6715" w:rsidP="006869D2">
      <w:pPr>
        <w:spacing w:line="240" w:lineRule="auto"/>
        <w:jc w:val="both"/>
        <w:rPr>
          <w:bCs/>
        </w:rPr>
      </w:pPr>
    </w:p>
    <w:p w14:paraId="2F0BD213" w14:textId="77777777" w:rsidR="00AD6715" w:rsidRPr="006869D2" w:rsidRDefault="00AD6715" w:rsidP="006869D2">
      <w:pPr>
        <w:spacing w:line="240" w:lineRule="auto"/>
        <w:jc w:val="both"/>
        <w:rPr>
          <w:bCs/>
        </w:rPr>
      </w:pPr>
    </w:p>
    <w:p w14:paraId="7386FDCA" w14:textId="77777777" w:rsidR="00AD6715" w:rsidRPr="006869D2" w:rsidRDefault="00AD6715" w:rsidP="006869D2">
      <w:pPr>
        <w:spacing w:line="240" w:lineRule="auto"/>
        <w:jc w:val="both"/>
        <w:rPr>
          <w:bCs/>
        </w:rPr>
      </w:pPr>
    </w:p>
    <w:p w14:paraId="1CC314E3" w14:textId="77777777" w:rsidR="00AD6715" w:rsidRDefault="00AD6715" w:rsidP="006869D2">
      <w:pPr>
        <w:spacing w:line="240" w:lineRule="auto"/>
        <w:jc w:val="left"/>
      </w:pPr>
      <w:r>
        <w:t>Debra Lindler</w:t>
      </w:r>
      <w:r>
        <w:tab/>
      </w:r>
      <w:r>
        <w:tab/>
      </w:r>
      <w:r>
        <w:tab/>
      </w:r>
      <w:r>
        <w:tab/>
      </w:r>
      <w:r>
        <w:tab/>
      </w:r>
      <w:r>
        <w:tab/>
        <w:t>:</w:t>
      </w:r>
    </w:p>
    <w:p w14:paraId="03050E87" w14:textId="77777777" w:rsidR="00AD6715" w:rsidRDefault="00AD6715" w:rsidP="006869D2">
      <w:pPr>
        <w:spacing w:line="240" w:lineRule="auto"/>
        <w:jc w:val="left"/>
      </w:pPr>
      <w:r>
        <w:tab/>
      </w:r>
      <w:r>
        <w:tab/>
      </w:r>
      <w:r>
        <w:tab/>
      </w:r>
      <w:r>
        <w:tab/>
      </w:r>
      <w:r>
        <w:tab/>
      </w:r>
      <w:r>
        <w:tab/>
      </w:r>
      <w:r>
        <w:tab/>
        <w:t>:</w:t>
      </w:r>
    </w:p>
    <w:p w14:paraId="740AFE26" w14:textId="77777777" w:rsidR="00AD6715" w:rsidRDefault="00AD6715" w:rsidP="006869D2">
      <w:pPr>
        <w:spacing w:line="240" w:lineRule="auto"/>
        <w:jc w:val="left"/>
      </w:pPr>
      <w:r>
        <w:tab/>
        <w:t>v.</w:t>
      </w:r>
      <w:r>
        <w:tab/>
      </w:r>
      <w:r>
        <w:tab/>
      </w:r>
      <w:r>
        <w:tab/>
      </w:r>
      <w:r>
        <w:tab/>
      </w:r>
      <w:r>
        <w:tab/>
      </w:r>
      <w:r>
        <w:tab/>
        <w:t>:</w:t>
      </w:r>
      <w:r>
        <w:tab/>
      </w:r>
      <w:r>
        <w:tab/>
      </w:r>
      <w:r w:rsidRPr="00AD6715">
        <w:t>C-2019-3012938</w:t>
      </w:r>
    </w:p>
    <w:p w14:paraId="64C4DEFB" w14:textId="77777777" w:rsidR="00AD6715" w:rsidRDefault="00AD6715" w:rsidP="006869D2">
      <w:pPr>
        <w:spacing w:line="240" w:lineRule="auto"/>
        <w:jc w:val="left"/>
      </w:pPr>
      <w:r>
        <w:tab/>
      </w:r>
      <w:r>
        <w:tab/>
      </w:r>
      <w:r>
        <w:tab/>
      </w:r>
      <w:r>
        <w:tab/>
      </w:r>
      <w:r>
        <w:tab/>
      </w:r>
      <w:r>
        <w:tab/>
      </w:r>
      <w:r>
        <w:tab/>
        <w:t>:</w:t>
      </w:r>
    </w:p>
    <w:p w14:paraId="6FAB3898" w14:textId="77777777" w:rsidR="00AD6715" w:rsidRDefault="00AD6715" w:rsidP="006869D2">
      <w:pPr>
        <w:spacing w:line="240" w:lineRule="auto"/>
        <w:jc w:val="left"/>
      </w:pPr>
      <w:r>
        <w:t>Philadelphia Gas Works</w:t>
      </w:r>
      <w:r>
        <w:tab/>
      </w:r>
      <w:r>
        <w:tab/>
      </w:r>
      <w:r>
        <w:tab/>
      </w:r>
      <w:r>
        <w:tab/>
        <w:t>:</w:t>
      </w:r>
    </w:p>
    <w:p w14:paraId="16A71143" w14:textId="77777777" w:rsidR="00AD6715" w:rsidRDefault="00AD6715" w:rsidP="006869D2">
      <w:pPr>
        <w:spacing w:line="240" w:lineRule="auto"/>
        <w:jc w:val="left"/>
      </w:pPr>
    </w:p>
    <w:p w14:paraId="224DFC80" w14:textId="7A3ABCFA" w:rsidR="00AD6715" w:rsidRDefault="00AD6715" w:rsidP="006869D2">
      <w:pPr>
        <w:spacing w:line="240" w:lineRule="auto"/>
        <w:jc w:val="left"/>
      </w:pPr>
    </w:p>
    <w:p w14:paraId="3A70BC94" w14:textId="77777777" w:rsidR="006869D2" w:rsidRDefault="006869D2" w:rsidP="006869D2">
      <w:pPr>
        <w:spacing w:line="240" w:lineRule="auto"/>
        <w:jc w:val="left"/>
      </w:pPr>
    </w:p>
    <w:p w14:paraId="24DC8714" w14:textId="77777777" w:rsidR="00AD6715" w:rsidRDefault="00AD6715" w:rsidP="00AD6715">
      <w:pPr>
        <w:spacing w:line="240" w:lineRule="auto"/>
        <w:rPr>
          <w:b/>
          <w:u w:val="single"/>
        </w:rPr>
      </w:pPr>
      <w:r>
        <w:rPr>
          <w:b/>
          <w:u w:val="single"/>
        </w:rPr>
        <w:t>ORDER GRANTING PHILADELPHIA GAS WORK’S PRELIMINARY OBJECTION IN PART AND DENYING IN PART</w:t>
      </w:r>
    </w:p>
    <w:p w14:paraId="41C30989" w14:textId="77777777" w:rsidR="00AD6715" w:rsidRPr="006869D2" w:rsidRDefault="00AD6715" w:rsidP="006869D2">
      <w:pPr>
        <w:rPr>
          <w:bCs/>
        </w:rPr>
      </w:pPr>
    </w:p>
    <w:p w14:paraId="7251A568" w14:textId="77777777" w:rsidR="00AD6715" w:rsidRDefault="00AD6715" w:rsidP="00AD6715">
      <w:pPr>
        <w:spacing w:line="240" w:lineRule="auto"/>
        <w:rPr>
          <w:u w:val="single"/>
        </w:rPr>
      </w:pPr>
      <w:r>
        <w:rPr>
          <w:u w:val="single"/>
        </w:rPr>
        <w:t>HISTORY OF THE PROCEEDING</w:t>
      </w:r>
    </w:p>
    <w:p w14:paraId="55EEEB42" w14:textId="77777777" w:rsidR="00AD6715" w:rsidRDefault="00AD6715" w:rsidP="006869D2">
      <w:pPr>
        <w:rPr>
          <w:u w:val="single"/>
        </w:rPr>
      </w:pPr>
    </w:p>
    <w:p w14:paraId="49C41925" w14:textId="77777777" w:rsidR="00AD6715" w:rsidRDefault="00AD6715" w:rsidP="00AD6715">
      <w:pPr>
        <w:jc w:val="left"/>
      </w:pPr>
      <w:r>
        <w:tab/>
      </w:r>
      <w:r>
        <w:tab/>
        <w:t xml:space="preserve">On September 9, 2019, Debra Lindler (Complainant) filed a formal Complaint against Philadelphia Gas Works (PGW or Respondent) alleging that the utility had failed to provide reasonable and adequate service when it damaged her water pipe while digging to repair a gas line.  The Complainant request reimbursement for the damage to the water line.  The Complainant also requested that the Commission impose penalties against PGW for its actions in this matter.  </w:t>
      </w:r>
    </w:p>
    <w:p w14:paraId="030575F0" w14:textId="77777777" w:rsidR="00AD6715" w:rsidRDefault="00AD6715" w:rsidP="00AD6715">
      <w:pPr>
        <w:jc w:val="left"/>
      </w:pPr>
    </w:p>
    <w:p w14:paraId="038A3555" w14:textId="77777777" w:rsidR="00AD6715" w:rsidRDefault="00AD6715" w:rsidP="00AD6715">
      <w:pPr>
        <w:jc w:val="left"/>
      </w:pPr>
      <w:r>
        <w:tab/>
      </w:r>
      <w:r>
        <w:tab/>
        <w:t xml:space="preserve">On October 9, 2019, PGW filed its Answer.  </w:t>
      </w:r>
    </w:p>
    <w:p w14:paraId="682CB9BF" w14:textId="77777777" w:rsidR="00AD6715" w:rsidRDefault="00AD6715" w:rsidP="00AD6715">
      <w:pPr>
        <w:jc w:val="left"/>
      </w:pPr>
    </w:p>
    <w:p w14:paraId="16DECA3E" w14:textId="77777777" w:rsidR="00AD6715" w:rsidRDefault="00AD6715" w:rsidP="00AD6715">
      <w:pPr>
        <w:jc w:val="left"/>
      </w:pPr>
      <w:r>
        <w:tab/>
      </w:r>
      <w:r>
        <w:tab/>
        <w:t xml:space="preserve">On the same date, PGW also filed Preliminary Objections and requested that the Complaint be dismissed as the Commission does not have jurisdiction to award monetary damages.  </w:t>
      </w:r>
    </w:p>
    <w:p w14:paraId="7C016C5C" w14:textId="77777777" w:rsidR="00AD6715" w:rsidRDefault="00AD6715" w:rsidP="00AD6715">
      <w:pPr>
        <w:jc w:val="left"/>
      </w:pPr>
    </w:p>
    <w:p w14:paraId="5DA6FC55" w14:textId="77777777" w:rsidR="00AD6715" w:rsidRDefault="00AD6715" w:rsidP="00AD6715">
      <w:pPr>
        <w:jc w:val="left"/>
      </w:pPr>
      <w:r>
        <w:tab/>
      </w:r>
      <w:r>
        <w:tab/>
        <w:t xml:space="preserve">On November 15, 2019, the Complainant filed a response to the Preliminary Objections in this case.  </w:t>
      </w:r>
    </w:p>
    <w:p w14:paraId="6A2B2CE8" w14:textId="77777777" w:rsidR="00AD6715" w:rsidRDefault="00AD6715" w:rsidP="00AD6715">
      <w:pPr>
        <w:jc w:val="left"/>
      </w:pPr>
      <w:r>
        <w:tab/>
      </w:r>
      <w:r>
        <w:tab/>
        <w:t xml:space="preserve"> </w:t>
      </w:r>
    </w:p>
    <w:p w14:paraId="1566ACEE" w14:textId="75906027" w:rsidR="00AD6715" w:rsidRDefault="00AD6715" w:rsidP="00AD6715">
      <w:pPr>
        <w:ind w:firstLine="1440"/>
        <w:jc w:val="left"/>
      </w:pPr>
      <w:r>
        <w:lastRenderedPageBreak/>
        <w:t>On November 26, 2019, a Hearing Notice was issued which indicated an initial hearing was scheduled in the matter for Friday, January 17, 2020</w:t>
      </w:r>
      <w:r w:rsidR="006869D2">
        <w:t>,</w:t>
      </w:r>
      <w:r>
        <w:t xml:space="preserve"> at 10:00 a.m., and assigned to me.  I issued a Prehearing Order on December 2, 2019. </w:t>
      </w:r>
    </w:p>
    <w:p w14:paraId="1F04E87A" w14:textId="77777777" w:rsidR="00AD6715" w:rsidRDefault="00AD6715" w:rsidP="00AD6715">
      <w:pPr>
        <w:jc w:val="left"/>
      </w:pPr>
    </w:p>
    <w:p w14:paraId="1A5744C6" w14:textId="77777777" w:rsidR="00AD6715" w:rsidRDefault="00AD6715" w:rsidP="00AD6715">
      <w:pPr>
        <w:jc w:val="left"/>
      </w:pPr>
      <w:r>
        <w:tab/>
      </w:r>
      <w:r>
        <w:tab/>
        <w:t xml:space="preserve">I will now address the Preliminary Objections filed by PGW in this matter.  </w:t>
      </w:r>
    </w:p>
    <w:p w14:paraId="20F6191A" w14:textId="77777777" w:rsidR="00AD6715" w:rsidRDefault="00AD6715" w:rsidP="00AD6715">
      <w:pPr>
        <w:jc w:val="both"/>
        <w:rPr>
          <w:u w:val="single"/>
        </w:rPr>
      </w:pPr>
    </w:p>
    <w:p w14:paraId="1C2DC4A0" w14:textId="77777777" w:rsidR="00AD6715" w:rsidRDefault="00AD6715" w:rsidP="00AD6715">
      <w:pPr>
        <w:rPr>
          <w:u w:val="single"/>
        </w:rPr>
      </w:pPr>
      <w:r>
        <w:rPr>
          <w:u w:val="single"/>
        </w:rPr>
        <w:t>DISCUSSION</w:t>
      </w:r>
    </w:p>
    <w:p w14:paraId="22DD0139" w14:textId="77777777" w:rsidR="00AD6715" w:rsidRDefault="00AD6715" w:rsidP="00AD6715">
      <w:pPr>
        <w:rPr>
          <w:u w:val="single"/>
        </w:rPr>
      </w:pPr>
    </w:p>
    <w:p w14:paraId="1384AC0B" w14:textId="3F5947A0" w:rsidR="00AD6715" w:rsidRDefault="00AD6715" w:rsidP="00AD6715">
      <w:pPr>
        <w:ind w:firstLine="1440"/>
        <w:jc w:val="left"/>
      </w:pPr>
      <w:r>
        <w:t xml:space="preserve">The Complainant also makes a request for monetary damages in </w:t>
      </w:r>
      <w:r w:rsidR="00930522">
        <w:t>her</w:t>
      </w:r>
      <w:r>
        <w:t xml:space="preserve"> formal Complaint.  PGW filed a Preliminary Objection to this request </w:t>
      </w:r>
      <w:proofErr w:type="gramStart"/>
      <w:r>
        <w:t>and also</w:t>
      </w:r>
      <w:proofErr w:type="gramEnd"/>
      <w:r>
        <w:t xml:space="preserve"> a request to strike this issue as an impertinent matter.  </w:t>
      </w:r>
    </w:p>
    <w:p w14:paraId="63C8EEA5" w14:textId="77777777" w:rsidR="00AD6715" w:rsidRDefault="00AD6715" w:rsidP="00AD6715">
      <w:pPr>
        <w:jc w:val="left"/>
      </w:pPr>
    </w:p>
    <w:p w14:paraId="2E78292D" w14:textId="77777777" w:rsidR="00AD6715" w:rsidRDefault="00AD6715" w:rsidP="00AD6715">
      <w:pPr>
        <w:ind w:firstLine="1440"/>
        <w:jc w:val="left"/>
      </w:pPr>
      <w:r>
        <w:t xml:space="preserve">The Commission preliminary objection practice is </w:t>
      </w:r>
      <w:proofErr w:type="gramStart"/>
      <w:r>
        <w:t>similar to</w:t>
      </w:r>
      <w:proofErr w:type="gramEnd"/>
      <w:r>
        <w:t xml:space="preserve"> Pennsylvania civil practice.  </w:t>
      </w:r>
      <w:r>
        <w:rPr>
          <w:i/>
        </w:rPr>
        <w:t xml:space="preserve">Equitable Small Transportation Interveners v. Equitable Gas Company, </w:t>
      </w:r>
      <w:r>
        <w:t xml:space="preserve">1994 Pa. PUC LEXIS 69, Docket No. C-000935435 (July 18, 1994).  When considering the preliminary objection, the Commission must determine “whether the law says with certainty, based on well-pleaded factual averments . . . that no recovery or relief is possible.  </w:t>
      </w:r>
      <w:r>
        <w:rPr>
          <w:i/>
        </w:rPr>
        <w:t xml:space="preserve">P. J. S. v. Pa. State Ethics Commission, </w:t>
      </w:r>
      <w:r>
        <w:t xml:space="preserve">669 A.2d 1105 (Pa. Cmwlth. 1996).  Any doubt must be resolved in favor of the non-moving party by refusing to sustain the preliminary objections.  </w:t>
      </w:r>
      <w:r>
        <w:rPr>
          <w:i/>
        </w:rPr>
        <w:t xml:space="preserve">Boyd v. Ward, </w:t>
      </w:r>
      <w:r>
        <w:t xml:space="preserve">802 A.2d 705 (Pa. Cmwlth. 2002).”  </w:t>
      </w:r>
      <w:r>
        <w:rPr>
          <w:i/>
        </w:rPr>
        <w:t xml:space="preserve">Dept. of Auditor General, et al. v. State Employees’ Retirement System, et al., </w:t>
      </w:r>
      <w:r>
        <w:t xml:space="preserve">836 A.2d 1053, 1064 (Pa. Cmwlth. 2003).  All of the non-moving party’s averments in the complaint must be viewed as true for purposes of deciding the preliminary objections, and only those facts specifically admitted may be considered against the non-moving party.  </w:t>
      </w:r>
      <w:r>
        <w:rPr>
          <w:i/>
        </w:rPr>
        <w:t>Ridge v. State Employees’ Retirement Board</w:t>
      </w:r>
      <w:r>
        <w:t>, 690 A.2d 1312 (Pa. Cmwlth. 1997).</w:t>
      </w:r>
    </w:p>
    <w:p w14:paraId="52D07924" w14:textId="77777777" w:rsidR="00AD6715" w:rsidRDefault="00AD6715" w:rsidP="00AD6715">
      <w:pPr>
        <w:jc w:val="both"/>
      </w:pPr>
    </w:p>
    <w:p w14:paraId="22C43318" w14:textId="77777777" w:rsidR="00AD6715" w:rsidRDefault="00AD6715" w:rsidP="00AD6715">
      <w:pPr>
        <w:jc w:val="left"/>
      </w:pPr>
      <w:r>
        <w:tab/>
      </w:r>
      <w:r>
        <w:tab/>
        <w:t>The regulation reads as follows:</w:t>
      </w:r>
    </w:p>
    <w:p w14:paraId="5BE8F177" w14:textId="77777777" w:rsidR="00AD6715" w:rsidRDefault="00AD6715" w:rsidP="006869D2">
      <w:pPr>
        <w:jc w:val="left"/>
      </w:pPr>
    </w:p>
    <w:p w14:paraId="12844297" w14:textId="77777777" w:rsidR="00AD6715" w:rsidRDefault="00AD6715" w:rsidP="00AD6715">
      <w:pPr>
        <w:spacing w:line="240" w:lineRule="auto"/>
        <w:ind w:left="1440" w:right="1440"/>
        <w:contextualSpacing/>
        <w:jc w:val="left"/>
        <w:rPr>
          <w:b/>
        </w:rPr>
      </w:pPr>
      <w:r>
        <w:rPr>
          <w:b/>
        </w:rPr>
        <w:t>§ 5.101.  Preliminary objections.</w:t>
      </w:r>
    </w:p>
    <w:p w14:paraId="76FB64F5" w14:textId="77777777" w:rsidR="00AD6715" w:rsidRPr="006869D2" w:rsidRDefault="00AD6715" w:rsidP="00AD6715">
      <w:pPr>
        <w:spacing w:line="240" w:lineRule="auto"/>
        <w:ind w:left="1440" w:right="1440"/>
        <w:contextualSpacing/>
        <w:jc w:val="left"/>
        <w:rPr>
          <w:bCs/>
        </w:rPr>
      </w:pPr>
    </w:p>
    <w:p w14:paraId="255CFD7F" w14:textId="77777777" w:rsidR="00AD6715" w:rsidRDefault="00AD6715" w:rsidP="00AD6715">
      <w:pPr>
        <w:spacing w:line="240" w:lineRule="auto"/>
        <w:ind w:left="1440" w:right="1440"/>
        <w:contextualSpacing/>
        <w:jc w:val="left"/>
      </w:pPr>
      <w:r>
        <w:t>(a)</w:t>
      </w:r>
      <w:r>
        <w:tab/>
      </w:r>
      <w:r>
        <w:rPr>
          <w:i/>
        </w:rPr>
        <w:t>Grounds.</w:t>
      </w:r>
      <w:r>
        <w:t xml:space="preserve">  Preliminary objections are available to parties and may be filed in response to a pleading except motions and prior preliminary objections.  Preliminary objections must be </w:t>
      </w:r>
      <w:r>
        <w:lastRenderedPageBreak/>
        <w:t>accompanied by a notice to plead, must state specifically the legal and factual grounds relied upon and be limited to the following:</w:t>
      </w:r>
    </w:p>
    <w:p w14:paraId="7B75B997" w14:textId="77777777" w:rsidR="00AD6715" w:rsidRDefault="00AD6715" w:rsidP="00AD6715">
      <w:pPr>
        <w:spacing w:line="240" w:lineRule="auto"/>
        <w:ind w:right="1440"/>
        <w:contextualSpacing/>
        <w:jc w:val="left"/>
      </w:pPr>
      <w:r>
        <w:tab/>
      </w:r>
      <w:r>
        <w:tab/>
      </w:r>
    </w:p>
    <w:p w14:paraId="6E5DC87E" w14:textId="77777777" w:rsidR="00AD6715" w:rsidRDefault="00AD6715" w:rsidP="00AD6715">
      <w:pPr>
        <w:spacing w:line="240" w:lineRule="auto"/>
        <w:ind w:left="1440" w:right="1440" w:firstLine="720"/>
        <w:contextualSpacing/>
        <w:jc w:val="left"/>
      </w:pPr>
      <w:r>
        <w:t>(1)</w:t>
      </w:r>
      <w:r>
        <w:tab/>
        <w:t>Lack of Commission jurisdiction or improper service of the pleading initiating the proceeding.</w:t>
      </w:r>
    </w:p>
    <w:p w14:paraId="1EE186AE" w14:textId="77777777" w:rsidR="00AD6715" w:rsidRDefault="00AD6715" w:rsidP="00AD6715">
      <w:pPr>
        <w:spacing w:line="240" w:lineRule="auto"/>
        <w:ind w:left="1440" w:right="1440"/>
        <w:contextualSpacing/>
        <w:jc w:val="left"/>
      </w:pPr>
    </w:p>
    <w:p w14:paraId="4CF89342" w14:textId="77777777" w:rsidR="00AD6715" w:rsidRDefault="00AD6715" w:rsidP="00AD6715">
      <w:pPr>
        <w:spacing w:line="240" w:lineRule="auto"/>
        <w:ind w:left="1440" w:right="1440" w:firstLine="720"/>
        <w:contextualSpacing/>
        <w:jc w:val="left"/>
      </w:pPr>
      <w:r>
        <w:t>(2)</w:t>
      </w:r>
      <w:r>
        <w:tab/>
        <w:t>Failure of a pleading to conform to this chapter or the inclusion of scandalous or impertinent matter.</w:t>
      </w:r>
    </w:p>
    <w:p w14:paraId="773620D7" w14:textId="77777777" w:rsidR="00AD6715" w:rsidRDefault="00AD6715" w:rsidP="00AD6715">
      <w:pPr>
        <w:spacing w:line="240" w:lineRule="auto"/>
        <w:ind w:left="1440" w:right="1440"/>
        <w:contextualSpacing/>
        <w:jc w:val="left"/>
      </w:pPr>
    </w:p>
    <w:p w14:paraId="7296DE73" w14:textId="77777777" w:rsidR="00AD6715" w:rsidRDefault="00AD6715" w:rsidP="00AD6715">
      <w:pPr>
        <w:spacing w:line="240" w:lineRule="auto"/>
        <w:ind w:left="1440" w:right="1440" w:firstLine="720"/>
        <w:contextualSpacing/>
        <w:jc w:val="left"/>
      </w:pPr>
      <w:r>
        <w:t>(3)</w:t>
      </w:r>
      <w:r>
        <w:tab/>
        <w:t>Insufficient specificity of a pleading.</w:t>
      </w:r>
    </w:p>
    <w:p w14:paraId="20E0D5D8" w14:textId="77777777" w:rsidR="00AD6715" w:rsidRDefault="00AD6715" w:rsidP="00AD6715">
      <w:pPr>
        <w:spacing w:line="240" w:lineRule="auto"/>
        <w:ind w:left="1440" w:right="1440"/>
        <w:contextualSpacing/>
        <w:jc w:val="left"/>
      </w:pPr>
    </w:p>
    <w:p w14:paraId="6C7880E1" w14:textId="77777777" w:rsidR="00AD6715" w:rsidRDefault="00AD6715" w:rsidP="00AD6715">
      <w:pPr>
        <w:spacing w:line="240" w:lineRule="auto"/>
        <w:ind w:left="1440" w:right="1440" w:firstLine="720"/>
        <w:contextualSpacing/>
        <w:jc w:val="left"/>
      </w:pPr>
      <w:r>
        <w:t>(4)</w:t>
      </w:r>
      <w:r>
        <w:tab/>
        <w:t>Legal insufficiency of a pleading.</w:t>
      </w:r>
    </w:p>
    <w:p w14:paraId="65F52788" w14:textId="77777777" w:rsidR="00AD6715" w:rsidRDefault="00AD6715" w:rsidP="00AD6715">
      <w:pPr>
        <w:spacing w:line="240" w:lineRule="auto"/>
        <w:ind w:left="1440" w:right="1440"/>
        <w:contextualSpacing/>
        <w:jc w:val="left"/>
      </w:pPr>
    </w:p>
    <w:p w14:paraId="08FA668C" w14:textId="77777777" w:rsidR="00AD6715" w:rsidRDefault="00AD6715" w:rsidP="00AD6715">
      <w:pPr>
        <w:spacing w:line="240" w:lineRule="auto"/>
        <w:ind w:left="1440" w:right="1440" w:firstLine="720"/>
        <w:contextualSpacing/>
        <w:jc w:val="left"/>
      </w:pPr>
      <w:r>
        <w:t>(5)</w:t>
      </w:r>
      <w:r>
        <w:tab/>
        <w:t>Lack of capacity to sue, nonjoinder of a necessary party or misjoinder of a cause of action.</w:t>
      </w:r>
    </w:p>
    <w:p w14:paraId="093CD00C" w14:textId="77777777" w:rsidR="00AD6715" w:rsidRDefault="00AD6715" w:rsidP="00AD6715">
      <w:pPr>
        <w:spacing w:line="240" w:lineRule="auto"/>
        <w:ind w:left="1440" w:right="1440"/>
        <w:contextualSpacing/>
        <w:jc w:val="left"/>
      </w:pPr>
    </w:p>
    <w:p w14:paraId="7D05FEE6" w14:textId="4D422FB1" w:rsidR="00AD6715" w:rsidRDefault="00AD6715" w:rsidP="00AD6715">
      <w:pPr>
        <w:spacing w:line="240" w:lineRule="auto"/>
        <w:ind w:left="1440" w:right="1440" w:firstLine="720"/>
        <w:contextualSpacing/>
        <w:jc w:val="left"/>
      </w:pPr>
      <w:r>
        <w:t>(6)</w:t>
      </w:r>
      <w:r>
        <w:tab/>
        <w:t>Pendency of a prior proceeding or agreement for alternative dispute resolution.</w:t>
      </w:r>
    </w:p>
    <w:p w14:paraId="6A10B3A4" w14:textId="77777777" w:rsidR="00AD6715" w:rsidRDefault="00AD6715" w:rsidP="00AD6715">
      <w:pPr>
        <w:spacing w:line="240" w:lineRule="auto"/>
        <w:ind w:left="1440" w:right="1440" w:firstLine="720"/>
        <w:contextualSpacing/>
        <w:jc w:val="left"/>
      </w:pPr>
    </w:p>
    <w:p w14:paraId="1DC87E9C" w14:textId="77777777" w:rsidR="00AD6715" w:rsidRDefault="00AD6715" w:rsidP="00AD6715">
      <w:pPr>
        <w:spacing w:line="240" w:lineRule="auto"/>
        <w:ind w:left="1440" w:right="1440" w:firstLine="720"/>
        <w:contextualSpacing/>
        <w:jc w:val="left"/>
      </w:pPr>
      <w:r>
        <w:t>(7)</w:t>
      </w:r>
      <w:r>
        <w:tab/>
        <w:t>Standing of a party to participate in the proceeding.</w:t>
      </w:r>
    </w:p>
    <w:p w14:paraId="2FADECF5" w14:textId="77777777" w:rsidR="00AD6715" w:rsidRDefault="00AD6715" w:rsidP="00AD6715">
      <w:pPr>
        <w:spacing w:line="240" w:lineRule="auto"/>
        <w:ind w:right="1440"/>
        <w:contextualSpacing/>
        <w:jc w:val="left"/>
      </w:pPr>
    </w:p>
    <w:p w14:paraId="3E683504" w14:textId="77777777" w:rsidR="00AD6715" w:rsidRDefault="00AD6715" w:rsidP="00AD6715">
      <w:pPr>
        <w:spacing w:line="240" w:lineRule="auto"/>
        <w:ind w:left="1440" w:right="1440"/>
        <w:contextualSpacing/>
      </w:pPr>
      <w:r>
        <w:t>* * *</w:t>
      </w:r>
    </w:p>
    <w:p w14:paraId="3EC6B544" w14:textId="77777777" w:rsidR="00AD6715" w:rsidRDefault="00AD6715" w:rsidP="00AD6715">
      <w:pPr>
        <w:spacing w:line="240" w:lineRule="auto"/>
        <w:ind w:right="1440"/>
        <w:contextualSpacing/>
        <w:jc w:val="both"/>
      </w:pPr>
    </w:p>
    <w:p w14:paraId="6824D13C" w14:textId="77777777" w:rsidR="00AD6715" w:rsidRDefault="00AD6715" w:rsidP="00AD6715">
      <w:pPr>
        <w:ind w:left="1440" w:right="1440"/>
        <w:contextualSpacing/>
        <w:jc w:val="left"/>
      </w:pPr>
      <w:r>
        <w:t>52 Pa.Code § 5.101(a).</w:t>
      </w:r>
    </w:p>
    <w:p w14:paraId="677BDB56" w14:textId="77777777" w:rsidR="00AD6715" w:rsidRDefault="00AD6715" w:rsidP="00AD6715">
      <w:pPr>
        <w:ind w:left="1440" w:right="1440"/>
        <w:contextualSpacing/>
        <w:jc w:val="left"/>
      </w:pPr>
    </w:p>
    <w:p w14:paraId="159A6BB4" w14:textId="77777777" w:rsidR="00AD6715" w:rsidRDefault="00AD6715" w:rsidP="00AD6715">
      <w:pPr>
        <w:ind w:firstLine="1440"/>
        <w:jc w:val="left"/>
      </w:pPr>
      <w:r>
        <w:t xml:space="preserve">In deciding the preliminary objections, the Commission must determine whether, based on well-pleaded factual averments of the petitioners, recovery or relief is possible.  </w:t>
      </w:r>
      <w:r>
        <w:rPr>
          <w:i/>
        </w:rPr>
        <w:t>Dept. of Auditor General v. SERS</w:t>
      </w:r>
      <w:r>
        <w:t>, 836 A.2d 1053, 1064 (</w:t>
      </w:r>
      <w:proofErr w:type="spellStart"/>
      <w:proofErr w:type="gramStart"/>
      <w:r>
        <w:t>Pa.Cmwlth</w:t>
      </w:r>
      <w:proofErr w:type="spellEnd"/>
      <w:proofErr w:type="gramEnd"/>
      <w:r>
        <w:t xml:space="preserve">. 2003); </w:t>
      </w:r>
      <w:r>
        <w:rPr>
          <w:i/>
        </w:rPr>
        <w:t>P.J.S. v. Pa. State Ethics Comm’n</w:t>
      </w:r>
      <w:r>
        <w:t>, 669 A.2d 1105 (</w:t>
      </w:r>
      <w:proofErr w:type="spellStart"/>
      <w:proofErr w:type="gramStart"/>
      <w:r>
        <w:t>Pa.Cmwlth</w:t>
      </w:r>
      <w:proofErr w:type="spellEnd"/>
      <w:proofErr w:type="gramEnd"/>
      <w:r>
        <w:t xml:space="preserve">. 1996).  Any doubt must be resolved in favor of the non-moving party by refusing to sustain the preliminary objections.  </w:t>
      </w:r>
      <w:r>
        <w:rPr>
          <w:i/>
        </w:rPr>
        <w:t>Boyd v. Ward</w:t>
      </w:r>
      <w:r>
        <w:t>, 802 A.2d 705 (</w:t>
      </w:r>
      <w:proofErr w:type="spellStart"/>
      <w:proofErr w:type="gramStart"/>
      <w:r>
        <w:t>Pa.Cmwlth</w:t>
      </w:r>
      <w:proofErr w:type="spellEnd"/>
      <w:proofErr w:type="gramEnd"/>
      <w:r>
        <w:t xml:space="preserve">. 2002).  </w:t>
      </w:r>
      <w:proofErr w:type="gramStart"/>
      <w:r>
        <w:t>All of</w:t>
      </w:r>
      <w:proofErr w:type="gramEnd"/>
      <w:r>
        <w:t xml:space="preserve"> the non-moving party’s averments in the complaint must be viewed as true for purposes of deciding the preliminary objections, and only those facts specifically admitted may be considered against the non-moving party.  </w:t>
      </w:r>
      <w:r>
        <w:rPr>
          <w:i/>
        </w:rPr>
        <w:t>Ridge v. State Employees’ Retirement Board</w:t>
      </w:r>
      <w:r>
        <w:t>, 690 A.2d 1312 (</w:t>
      </w:r>
      <w:proofErr w:type="spellStart"/>
      <w:proofErr w:type="gramStart"/>
      <w:r>
        <w:t>Pa.Cmwlth</w:t>
      </w:r>
      <w:proofErr w:type="spellEnd"/>
      <w:proofErr w:type="gramEnd"/>
      <w:r>
        <w:t xml:space="preserve">. 1997). </w:t>
      </w:r>
    </w:p>
    <w:p w14:paraId="60229CB9" w14:textId="77777777" w:rsidR="00AD6715" w:rsidRDefault="00AD6715" w:rsidP="00AD6715">
      <w:pPr>
        <w:jc w:val="left"/>
      </w:pPr>
    </w:p>
    <w:p w14:paraId="2AE35839" w14:textId="77777777" w:rsidR="00AD6715" w:rsidRDefault="00AD6715" w:rsidP="00AD6715">
      <w:pPr>
        <w:pStyle w:val="ParaTab1"/>
        <w:tabs>
          <w:tab w:val="left" w:pos="0"/>
        </w:tabs>
        <w:spacing w:line="360" w:lineRule="auto"/>
        <w:rPr>
          <w:rFonts w:ascii="Times New Roman" w:hAnsi="Times New Roman" w:cs="Times New Roman"/>
        </w:rPr>
      </w:pPr>
      <w:r>
        <w:rPr>
          <w:rFonts w:ascii="Times New Roman" w:hAnsi="Times New Roman" w:cs="Times New Roman"/>
        </w:rPr>
        <w:t xml:space="preserve">The law in Pennsylvania is quite clear that the Commission does not have the jurisdiction to order a public utility to pay monetary damages.  See, </w:t>
      </w:r>
      <w:r>
        <w:rPr>
          <w:rFonts w:ascii="Times New Roman" w:hAnsi="Times New Roman" w:cs="Times New Roman"/>
          <w:i/>
        </w:rPr>
        <w:t>DeFrancesco v. Western Pennsylvania Water Company</w:t>
      </w:r>
      <w:r>
        <w:rPr>
          <w:rFonts w:ascii="Times New Roman" w:hAnsi="Times New Roman" w:cs="Times New Roman"/>
        </w:rPr>
        <w:t xml:space="preserve">, 499 Pa. 374, 453 A.2d 595 (1982); </w:t>
      </w:r>
      <w:r>
        <w:rPr>
          <w:rFonts w:ascii="Times New Roman" w:hAnsi="Times New Roman" w:cs="Times New Roman"/>
          <w:i/>
        </w:rPr>
        <w:t>Elkin v. Bell of Pa.</w:t>
      </w:r>
      <w:r>
        <w:rPr>
          <w:rFonts w:ascii="Times New Roman" w:hAnsi="Times New Roman" w:cs="Times New Roman"/>
        </w:rPr>
        <w:t xml:space="preserve">, 491 Pa. 123, 420 A.2d 371 (1980); </w:t>
      </w:r>
      <w:r>
        <w:rPr>
          <w:rFonts w:ascii="Times New Roman" w:hAnsi="Times New Roman" w:cs="Times New Roman"/>
          <w:i/>
        </w:rPr>
        <w:t>Feingold v. Bell of Pa.</w:t>
      </w:r>
      <w:r>
        <w:rPr>
          <w:rFonts w:ascii="Times New Roman" w:hAnsi="Times New Roman" w:cs="Times New Roman"/>
        </w:rPr>
        <w:t xml:space="preserve">, 477 Pa. 1, 383 A.2d 791 (1977).  As such, the </w:t>
      </w:r>
      <w:r>
        <w:rPr>
          <w:rFonts w:ascii="Times New Roman" w:hAnsi="Times New Roman" w:cs="Times New Roman"/>
        </w:rPr>
        <w:lastRenderedPageBreak/>
        <w:t>Commission does not have the authority to order PGW to provide the relief requested by the Complainant.</w:t>
      </w:r>
    </w:p>
    <w:p w14:paraId="6EBC5593" w14:textId="77777777" w:rsidR="00AD6715" w:rsidRDefault="00AD6715" w:rsidP="00AD6715">
      <w:pPr>
        <w:pStyle w:val="FootnoteText"/>
        <w:spacing w:line="360" w:lineRule="auto"/>
      </w:pPr>
    </w:p>
    <w:p w14:paraId="4A2BE48F" w14:textId="77777777" w:rsidR="00AD6715" w:rsidRDefault="00AD6715" w:rsidP="00AD6715">
      <w:pPr>
        <w:pStyle w:val="FootnoteText"/>
        <w:spacing w:line="360" w:lineRule="auto"/>
        <w:ind w:firstLine="1440"/>
      </w:pPr>
      <w:r>
        <w:t>The Commission is granted discretion to dismiss a complaint without a hearing if a hearing is not necessary in the public interest.  66 Pa. C.S.A. § 703(b); 52 Pa. Code § 5.21(d).  A hearing is necessary only to resolve disputed questions of fact, and is not required to resolve questions of law, policy or discretion.</w:t>
      </w:r>
      <w:r>
        <w:rPr>
          <w:i/>
        </w:rPr>
        <w:t xml:space="preserve">  Dee-Dee Cab, Inc. v. Pa. Pub. Util. Comm’n</w:t>
      </w:r>
      <w:r>
        <w:t xml:space="preserve">, 817 A.2d 593, (Pa. Cmwlth. 2003), </w:t>
      </w:r>
      <w:r>
        <w:rPr>
          <w:i/>
        </w:rPr>
        <w:t>petition for allowance of appeal denied</w:t>
      </w:r>
      <w:r>
        <w:t xml:space="preserve">, 836 A.2d 123 (Pa. 2003); </w:t>
      </w:r>
      <w:r>
        <w:rPr>
          <w:i/>
        </w:rPr>
        <w:t xml:space="preserve">Lehigh Valley Power Committee v. Pa. Pub. Util. </w:t>
      </w:r>
      <w:proofErr w:type="spellStart"/>
      <w:r>
        <w:rPr>
          <w:i/>
        </w:rPr>
        <w:t>Comm’m</w:t>
      </w:r>
      <w:proofErr w:type="spellEnd"/>
      <w:r>
        <w:t xml:space="preserve">, 563 A.2d 548 (Pa. </w:t>
      </w:r>
      <w:proofErr w:type="spellStart"/>
      <w:r>
        <w:t>Cwmlth</w:t>
      </w:r>
      <w:proofErr w:type="spellEnd"/>
      <w:r>
        <w:t xml:space="preserve">. 1989); </w:t>
      </w:r>
      <w:r>
        <w:rPr>
          <w:i/>
        </w:rPr>
        <w:t>Edan Transportation Corp. v. Pa. Pub. Util. Comm’n</w:t>
      </w:r>
      <w:r>
        <w:t xml:space="preserve">, 623 A.2d 6 (Pa. </w:t>
      </w:r>
      <w:proofErr w:type="spellStart"/>
      <w:r>
        <w:t>Cwmlth</w:t>
      </w:r>
      <w:proofErr w:type="spellEnd"/>
      <w:r>
        <w:t xml:space="preserve">. 1993). </w:t>
      </w:r>
    </w:p>
    <w:p w14:paraId="10EC1B0B" w14:textId="77777777" w:rsidR="00AD6715" w:rsidRDefault="00AD6715" w:rsidP="00AD6715">
      <w:pPr>
        <w:pStyle w:val="FootnoteText"/>
        <w:spacing w:line="360" w:lineRule="auto"/>
        <w:ind w:firstLine="1440"/>
      </w:pPr>
    </w:p>
    <w:p w14:paraId="4CD62759" w14:textId="499C7F09" w:rsidR="00AD6715" w:rsidRDefault="00AD6715" w:rsidP="00AD6715">
      <w:pPr>
        <w:ind w:firstLine="1440"/>
        <w:jc w:val="left"/>
        <w:rPr>
          <w:color w:val="000000"/>
        </w:rPr>
      </w:pPr>
      <w:r>
        <w:t>In the present matter</w:t>
      </w:r>
      <w:r w:rsidR="00A728E9">
        <w:t>,</w:t>
      </w:r>
      <w:r>
        <w:t xml:space="preserve"> a hearing in this case is still necessary as there is a disputed question of fact which must be resolved.  Complainant in h</w:t>
      </w:r>
      <w:r w:rsidR="00A728E9">
        <w:t>er</w:t>
      </w:r>
      <w:r>
        <w:t xml:space="preserve"> Complaint avers that </w:t>
      </w:r>
      <w:r>
        <w:rPr>
          <w:spacing w:val="-3"/>
        </w:rPr>
        <w:t xml:space="preserve">there is a reliability, safety or quality problem with </w:t>
      </w:r>
      <w:r w:rsidR="00A728E9">
        <w:rPr>
          <w:spacing w:val="-3"/>
        </w:rPr>
        <w:t>her</w:t>
      </w:r>
      <w:r>
        <w:rPr>
          <w:spacing w:val="-3"/>
        </w:rPr>
        <w:t xml:space="preserve"> utility service which the Respondent specifically denied in its Answer.  </w:t>
      </w:r>
      <w:r w:rsidR="00DD5700">
        <w:rPr>
          <w:spacing w:val="-3"/>
        </w:rPr>
        <w:t xml:space="preserve">Further, the Complainant requested that the Commission impose penalties on PGW for its actions in this matter.  </w:t>
      </w:r>
      <w:r>
        <w:rPr>
          <w:spacing w:val="-3"/>
        </w:rPr>
        <w:t>Therefore, questions remain whether, pursuant to the Public Utility Code and applicable regulations, PGW provided the Complainant with adequate, efficient, safe, and reasonable service</w:t>
      </w:r>
      <w:r w:rsidR="00DD5700">
        <w:rPr>
          <w:spacing w:val="-3"/>
        </w:rPr>
        <w:t xml:space="preserve"> and whether civil penalties are warranted in this case</w:t>
      </w:r>
      <w:r>
        <w:rPr>
          <w:spacing w:val="-3"/>
        </w:rPr>
        <w:t>.</w:t>
      </w:r>
      <w:r>
        <w:t xml:space="preserve">  The Complainant is advised that </w:t>
      </w:r>
      <w:r w:rsidR="00DD5700">
        <w:t>s</w:t>
      </w:r>
      <w:r>
        <w:t xml:space="preserve">he will bear the burden of proof at hearing and must present evidence sufficient to prove that the Respondent violated a statute, regulation, its tariff or an order of the Commission. 66 Pa.C.S. § 332(a).  </w:t>
      </w:r>
    </w:p>
    <w:p w14:paraId="4EB05D91" w14:textId="77777777" w:rsidR="00AD6715" w:rsidRDefault="00AD6715" w:rsidP="00AD6715">
      <w:pPr>
        <w:jc w:val="left"/>
      </w:pPr>
    </w:p>
    <w:p w14:paraId="5F027484" w14:textId="77777777" w:rsidR="00AD6715" w:rsidRDefault="00AD6715" w:rsidP="00AD6715">
      <w:pPr>
        <w:outlineLvl w:val="0"/>
        <w:rPr>
          <w:u w:val="single"/>
        </w:rPr>
      </w:pPr>
      <w:r>
        <w:rPr>
          <w:u w:val="single"/>
        </w:rPr>
        <w:t>CONCLUSIONS OF LAW</w:t>
      </w:r>
    </w:p>
    <w:p w14:paraId="7C3CDAEB" w14:textId="77777777" w:rsidR="00AD6715" w:rsidRDefault="00AD6715" w:rsidP="00AD6715">
      <w:pPr>
        <w:jc w:val="left"/>
      </w:pPr>
    </w:p>
    <w:p w14:paraId="45A769F3" w14:textId="77777777" w:rsidR="00AD6715" w:rsidRDefault="00AD6715" w:rsidP="00AD6715">
      <w:pPr>
        <w:ind w:firstLine="1440"/>
        <w:jc w:val="left"/>
        <w:rPr>
          <w:spacing w:val="-3"/>
        </w:rPr>
      </w:pPr>
      <w:r>
        <w:t>1.</w:t>
      </w:r>
      <w:r>
        <w:tab/>
        <w:t>The filing of a preliminary objection is permitted under Commission regulations.  52 Pa.Code § 5.101(a)(1)-(6).</w:t>
      </w:r>
    </w:p>
    <w:p w14:paraId="42985D6D" w14:textId="77777777" w:rsidR="00AD6715" w:rsidRDefault="00AD6715" w:rsidP="00AD6715">
      <w:pPr>
        <w:jc w:val="left"/>
      </w:pPr>
    </w:p>
    <w:p w14:paraId="6A4509BE" w14:textId="0AED08DD" w:rsidR="00AD6715" w:rsidRDefault="00AD6715" w:rsidP="00AD6715">
      <w:pPr>
        <w:ind w:firstLine="1440"/>
        <w:jc w:val="left"/>
      </w:pPr>
      <w:r>
        <w:t>2.</w:t>
      </w:r>
      <w:r>
        <w:tab/>
        <w:t xml:space="preserve">Preliminary objection practice before the Commission is </w:t>
      </w:r>
      <w:proofErr w:type="gramStart"/>
      <w:r>
        <w:t>similar to</w:t>
      </w:r>
      <w:proofErr w:type="gramEnd"/>
      <w:r>
        <w:t xml:space="preserve"> Pennsylvania civil practice respecting preliminary objections.  </w:t>
      </w:r>
      <w:r>
        <w:rPr>
          <w:i/>
        </w:rPr>
        <w:t>Equitable Small Transportation Intervenors v. Equitable Gas Company</w:t>
      </w:r>
      <w:r>
        <w:t>, 1994 Pa. PUC LEXIS 69, Docket No. C-00935435 (July</w:t>
      </w:r>
      <w:r w:rsidR="006869D2">
        <w:t> </w:t>
      </w:r>
      <w:r>
        <w:t>18, 1994).</w:t>
      </w:r>
    </w:p>
    <w:p w14:paraId="3E7FD98E" w14:textId="77777777" w:rsidR="00AD6715" w:rsidRDefault="00AD6715" w:rsidP="00AD6715">
      <w:pPr>
        <w:ind w:firstLine="1440"/>
        <w:jc w:val="left"/>
      </w:pPr>
      <w:r>
        <w:lastRenderedPageBreak/>
        <w:t>3.</w:t>
      </w:r>
      <w:r>
        <w:tab/>
        <w:t xml:space="preserve">In deciding the preliminary objections, the Commission must determine whether, based on well-pleaded factual averments of the petitioners, recovery or relief is possible.  </w:t>
      </w:r>
      <w:r>
        <w:rPr>
          <w:i/>
        </w:rPr>
        <w:t>Dept. of Auditor General v. SERS</w:t>
      </w:r>
      <w:r>
        <w:t>, 836 A.2d 1053, 1064 (</w:t>
      </w:r>
      <w:proofErr w:type="spellStart"/>
      <w:proofErr w:type="gramStart"/>
      <w:r>
        <w:t>Pa.Cmwlth</w:t>
      </w:r>
      <w:proofErr w:type="spellEnd"/>
      <w:proofErr w:type="gramEnd"/>
      <w:r>
        <w:t xml:space="preserve">. 2003); </w:t>
      </w:r>
      <w:r>
        <w:rPr>
          <w:i/>
        </w:rPr>
        <w:t>P.J.S. v. Pa. State Ethics Comm’n</w:t>
      </w:r>
      <w:r>
        <w:t>, 669 A.2d 1105 (</w:t>
      </w:r>
      <w:proofErr w:type="spellStart"/>
      <w:proofErr w:type="gramStart"/>
      <w:r>
        <w:t>Pa.Cmwlth</w:t>
      </w:r>
      <w:proofErr w:type="spellEnd"/>
      <w:proofErr w:type="gramEnd"/>
      <w:r>
        <w:t xml:space="preserve">. 1996).  Any doubt must be resolved in favor of the non-moving party by refusing to sustain the preliminary objections.  </w:t>
      </w:r>
      <w:r>
        <w:rPr>
          <w:i/>
        </w:rPr>
        <w:t>Boyd v. Ward</w:t>
      </w:r>
      <w:r>
        <w:t>, 802 A.2d 705 (</w:t>
      </w:r>
      <w:proofErr w:type="spellStart"/>
      <w:proofErr w:type="gramStart"/>
      <w:r>
        <w:t>Pa.Cmwlth</w:t>
      </w:r>
      <w:proofErr w:type="spellEnd"/>
      <w:proofErr w:type="gramEnd"/>
      <w:r>
        <w:t xml:space="preserve">. 2002).  </w:t>
      </w:r>
      <w:proofErr w:type="gramStart"/>
      <w:r>
        <w:t>All of</w:t>
      </w:r>
      <w:proofErr w:type="gramEnd"/>
      <w:r>
        <w:t xml:space="preserve"> the non-moving party’s averments in the complaint must be viewed as true for purposes of deciding the preliminary objections, and only those facts specifically admitted may be considered against the non-moving party.  </w:t>
      </w:r>
      <w:r>
        <w:rPr>
          <w:i/>
        </w:rPr>
        <w:t>Ridge v. State Employees’ Retirement Board</w:t>
      </w:r>
      <w:r>
        <w:t>, 690 A.2d 1312 (</w:t>
      </w:r>
      <w:proofErr w:type="spellStart"/>
      <w:proofErr w:type="gramStart"/>
      <w:r>
        <w:t>Pa.Cmwlth</w:t>
      </w:r>
      <w:proofErr w:type="spellEnd"/>
      <w:proofErr w:type="gramEnd"/>
      <w:r>
        <w:t xml:space="preserve">. 1997). </w:t>
      </w:r>
    </w:p>
    <w:p w14:paraId="49C9F4A0" w14:textId="77777777" w:rsidR="00AD6715" w:rsidRDefault="00AD6715" w:rsidP="00AD6715">
      <w:pPr>
        <w:jc w:val="left"/>
      </w:pPr>
    </w:p>
    <w:p w14:paraId="63BA885F" w14:textId="77777777" w:rsidR="00AD6715" w:rsidRDefault="00AD6715" w:rsidP="00AD6715">
      <w:pPr>
        <w:ind w:firstLine="1440"/>
        <w:jc w:val="left"/>
      </w:pPr>
      <w:r>
        <w:t>4.</w:t>
      </w:r>
      <w:r>
        <w:tab/>
        <w:t xml:space="preserve">The Commission does not have the jurisdiction to pay monetary damages to a litigant.  </w:t>
      </w:r>
      <w:r>
        <w:rPr>
          <w:i/>
        </w:rPr>
        <w:t>DeFrancesco v. Western Pennsylvania Water Company</w:t>
      </w:r>
      <w:r>
        <w:t xml:space="preserve">, 499 Pa. 374, 453 A.2d 595 (1982); </w:t>
      </w:r>
      <w:r>
        <w:rPr>
          <w:i/>
        </w:rPr>
        <w:t>Elkin v. Bell of Pa.</w:t>
      </w:r>
      <w:r>
        <w:t xml:space="preserve">, 491 Pa. 123, 420 A.2d 371 (1980); </w:t>
      </w:r>
      <w:r>
        <w:rPr>
          <w:i/>
        </w:rPr>
        <w:t>Feingold v. Bell of Pa.</w:t>
      </w:r>
      <w:r>
        <w:t>, 477 Pa. 1, 383 A.2d 791 (1977).</w:t>
      </w:r>
    </w:p>
    <w:p w14:paraId="060E9415" w14:textId="77777777" w:rsidR="00AD6715" w:rsidRDefault="00AD6715" w:rsidP="00AD6715">
      <w:pPr>
        <w:rPr>
          <w:u w:val="single"/>
        </w:rPr>
      </w:pPr>
      <w:r>
        <w:rPr>
          <w:u w:val="single"/>
        </w:rPr>
        <w:t>ORDER</w:t>
      </w:r>
    </w:p>
    <w:p w14:paraId="7853AEDC" w14:textId="4279CAC5" w:rsidR="00AD6715" w:rsidRDefault="00AD6715" w:rsidP="00AD6715">
      <w:pPr>
        <w:jc w:val="both"/>
        <w:rPr>
          <w:u w:val="single"/>
        </w:rPr>
      </w:pPr>
    </w:p>
    <w:p w14:paraId="5564C227" w14:textId="77777777" w:rsidR="006869D2" w:rsidRDefault="006869D2" w:rsidP="00AD6715">
      <w:pPr>
        <w:jc w:val="both"/>
        <w:rPr>
          <w:u w:val="single"/>
        </w:rPr>
      </w:pPr>
    </w:p>
    <w:p w14:paraId="3D6827D5" w14:textId="77777777" w:rsidR="00AD6715" w:rsidRDefault="00AD6715" w:rsidP="00AD6715">
      <w:pPr>
        <w:jc w:val="left"/>
      </w:pPr>
      <w:r>
        <w:tab/>
      </w:r>
      <w:r>
        <w:tab/>
        <w:t>THEREFORE,</w:t>
      </w:r>
    </w:p>
    <w:p w14:paraId="5FCCDE3C" w14:textId="77777777" w:rsidR="00AD6715" w:rsidRDefault="00AD6715" w:rsidP="00AD6715">
      <w:pPr>
        <w:jc w:val="left"/>
      </w:pPr>
    </w:p>
    <w:p w14:paraId="5176850E" w14:textId="77777777" w:rsidR="00AD6715" w:rsidRDefault="00AD6715" w:rsidP="00AD6715">
      <w:pPr>
        <w:jc w:val="left"/>
      </w:pPr>
      <w:r>
        <w:tab/>
      </w:r>
      <w:r>
        <w:tab/>
        <w:t>IT IS ORDERED:</w:t>
      </w:r>
    </w:p>
    <w:p w14:paraId="4ADB3B15" w14:textId="77777777" w:rsidR="00AD6715" w:rsidRDefault="00AD6715" w:rsidP="00AD6715">
      <w:pPr>
        <w:jc w:val="left"/>
      </w:pPr>
    </w:p>
    <w:p w14:paraId="57767C07" w14:textId="77777777" w:rsidR="00AD6715" w:rsidRDefault="00AD6715" w:rsidP="00AD6715">
      <w:pPr>
        <w:pStyle w:val="ListParagraph"/>
        <w:numPr>
          <w:ilvl w:val="0"/>
          <w:numId w:val="1"/>
        </w:numPr>
        <w:ind w:left="0" w:firstLine="1440"/>
        <w:jc w:val="left"/>
      </w:pPr>
      <w:r>
        <w:rPr>
          <w:spacing w:val="-3"/>
        </w:rPr>
        <w:t xml:space="preserve">That the Preliminary Objection and Motion to Strike Impertinent Matter filed by Philadelphia Gas Works in the case captioned </w:t>
      </w:r>
      <w:r>
        <w:rPr>
          <w:i/>
        </w:rPr>
        <w:t xml:space="preserve">Debra Lindler v. Philadelphia Gas Works, </w:t>
      </w:r>
      <w:r>
        <w:t xml:space="preserve">Docket No. </w:t>
      </w:r>
      <w:r w:rsidRPr="00AD6715">
        <w:t>C-2019-3012938</w:t>
      </w:r>
      <w:r>
        <w:rPr>
          <w:spacing w:val="-3"/>
        </w:rPr>
        <w:t>, is granted in part;</w:t>
      </w:r>
    </w:p>
    <w:p w14:paraId="77810BDB" w14:textId="77777777" w:rsidR="00AD6715" w:rsidRDefault="00AD6715" w:rsidP="00AD6715">
      <w:pPr>
        <w:pStyle w:val="ListParagraph"/>
      </w:pPr>
    </w:p>
    <w:p w14:paraId="2CB0BF4E" w14:textId="1A59FF5A" w:rsidR="00AD6715" w:rsidRDefault="00AD6715" w:rsidP="00AD6715">
      <w:pPr>
        <w:pStyle w:val="ListParagraph"/>
        <w:numPr>
          <w:ilvl w:val="0"/>
          <w:numId w:val="1"/>
        </w:numPr>
        <w:ind w:left="0" w:firstLine="1440"/>
        <w:jc w:val="left"/>
      </w:pPr>
      <w:r>
        <w:t xml:space="preserve">That the Complainant request for monetary damages is </w:t>
      </w:r>
      <w:r w:rsidR="006869D2">
        <w:t>stricken</w:t>
      </w:r>
      <w:r>
        <w:t>;</w:t>
      </w:r>
    </w:p>
    <w:p w14:paraId="13A7D8CC" w14:textId="77777777" w:rsidR="00AD6715" w:rsidRDefault="00AD6715" w:rsidP="00AD6715">
      <w:pPr>
        <w:pStyle w:val="ListParagraph"/>
        <w:rPr>
          <w:spacing w:val="-3"/>
        </w:rPr>
      </w:pPr>
    </w:p>
    <w:p w14:paraId="3D7FE42B" w14:textId="77777777" w:rsidR="006869D2" w:rsidRDefault="006869D2">
      <w:pPr>
        <w:spacing w:after="200" w:line="276" w:lineRule="auto"/>
        <w:jc w:val="left"/>
        <w:rPr>
          <w:rFonts w:eastAsia="Times New Roman"/>
          <w:spacing w:val="-3"/>
        </w:rPr>
      </w:pPr>
      <w:r>
        <w:rPr>
          <w:spacing w:val="-3"/>
        </w:rPr>
        <w:br w:type="page"/>
      </w:r>
    </w:p>
    <w:p w14:paraId="2934CC33" w14:textId="09A5ECF3" w:rsidR="00AD6715" w:rsidRDefault="00AD6715" w:rsidP="00AD6715">
      <w:pPr>
        <w:pStyle w:val="ParaTab1"/>
        <w:numPr>
          <w:ilvl w:val="0"/>
          <w:numId w:val="1"/>
        </w:numPr>
        <w:tabs>
          <w:tab w:val="left" w:pos="0"/>
        </w:tabs>
        <w:spacing w:line="360" w:lineRule="auto"/>
        <w:ind w:left="0" w:firstLine="1440"/>
        <w:rPr>
          <w:rFonts w:ascii="Times New Roman" w:hAnsi="Times New Roman" w:cs="Times New Roman"/>
          <w:spacing w:val="-3"/>
        </w:rPr>
      </w:pPr>
      <w:r>
        <w:rPr>
          <w:rFonts w:ascii="Times New Roman" w:hAnsi="Times New Roman" w:cs="Times New Roman"/>
          <w:spacing w:val="-3"/>
        </w:rPr>
        <w:lastRenderedPageBreak/>
        <w:t xml:space="preserve">That the hearing scheduled to be held on Friday, January 17, 2020, proceed as scheduled to address the issues of whether </w:t>
      </w:r>
      <w:r>
        <w:rPr>
          <w:spacing w:val="-3"/>
        </w:rPr>
        <w:t>PGW provided the Complainant with adequate, efficient, safe, and reasonable service</w:t>
      </w:r>
      <w:r w:rsidR="00DD5700">
        <w:rPr>
          <w:spacing w:val="-3"/>
        </w:rPr>
        <w:t xml:space="preserve"> and whether civil penalties should be assessed</w:t>
      </w:r>
      <w:r>
        <w:rPr>
          <w:spacing w:val="-3"/>
        </w:rPr>
        <w:t>.</w:t>
      </w:r>
    </w:p>
    <w:p w14:paraId="698A7BF1" w14:textId="6E6120CE" w:rsidR="00AD6715" w:rsidRDefault="00AD6715" w:rsidP="00AD6715">
      <w:pPr>
        <w:spacing w:line="240" w:lineRule="auto"/>
        <w:jc w:val="left"/>
      </w:pPr>
    </w:p>
    <w:p w14:paraId="1F348137" w14:textId="77777777" w:rsidR="006869D2" w:rsidRDefault="006869D2" w:rsidP="00AD6715">
      <w:pPr>
        <w:spacing w:line="240" w:lineRule="auto"/>
        <w:jc w:val="left"/>
      </w:pPr>
    </w:p>
    <w:p w14:paraId="16EE7D1E" w14:textId="2526D5AE" w:rsidR="00AD6715" w:rsidRDefault="00AD6715" w:rsidP="00AD6715">
      <w:pPr>
        <w:spacing w:line="240" w:lineRule="auto"/>
        <w:jc w:val="left"/>
      </w:pPr>
      <w:r>
        <w:t>Dated:</w:t>
      </w:r>
      <w:r>
        <w:tab/>
      </w:r>
      <w:r>
        <w:rPr>
          <w:u w:val="single"/>
        </w:rPr>
        <w:t>January 16, 2020</w:t>
      </w:r>
      <w:r>
        <w:tab/>
      </w:r>
      <w:r>
        <w:tab/>
      </w:r>
      <w:r>
        <w:tab/>
      </w:r>
      <w:r w:rsidR="006869D2">
        <w:tab/>
      </w:r>
      <w:r w:rsidR="006869D2">
        <w:rPr>
          <w:u w:val="single"/>
        </w:rPr>
        <w:tab/>
      </w:r>
      <w:r w:rsidR="006869D2">
        <w:rPr>
          <w:u w:val="single"/>
        </w:rPr>
        <w:tab/>
        <w:t>/s/</w:t>
      </w:r>
      <w:r w:rsidR="006869D2">
        <w:rPr>
          <w:u w:val="single"/>
        </w:rPr>
        <w:tab/>
      </w:r>
      <w:r w:rsidR="006869D2">
        <w:rPr>
          <w:u w:val="single"/>
        </w:rPr>
        <w:tab/>
      </w:r>
      <w:r w:rsidR="006869D2">
        <w:rPr>
          <w:u w:val="single"/>
        </w:rPr>
        <w:tab/>
      </w:r>
      <w:r>
        <w:tab/>
      </w:r>
      <w:r>
        <w:tab/>
      </w:r>
      <w:r>
        <w:tab/>
      </w:r>
      <w:r>
        <w:tab/>
      </w:r>
      <w:r>
        <w:tab/>
      </w:r>
      <w:r>
        <w:tab/>
      </w:r>
      <w:r>
        <w:tab/>
      </w:r>
      <w:r>
        <w:tab/>
        <w:t>Marta Guhl</w:t>
      </w:r>
    </w:p>
    <w:p w14:paraId="5642A321" w14:textId="5DE04595" w:rsidR="00AD6715" w:rsidRDefault="00AD6715" w:rsidP="00AD6715">
      <w:pPr>
        <w:jc w:val="left"/>
      </w:pPr>
      <w:r>
        <w:tab/>
      </w:r>
      <w:r>
        <w:tab/>
      </w:r>
      <w:r>
        <w:tab/>
      </w:r>
      <w:r>
        <w:tab/>
      </w:r>
      <w:r>
        <w:tab/>
      </w:r>
      <w:r>
        <w:tab/>
      </w:r>
      <w:r w:rsidR="006869D2">
        <w:tab/>
      </w:r>
      <w:r>
        <w:t>Administrative Law Judge</w:t>
      </w:r>
    </w:p>
    <w:p w14:paraId="742FB06F" w14:textId="77777777" w:rsidR="00AD6715" w:rsidRDefault="00AD6715" w:rsidP="00AD6715">
      <w:pPr>
        <w:jc w:val="left"/>
      </w:pPr>
    </w:p>
    <w:p w14:paraId="55790629" w14:textId="7FDA4901" w:rsidR="006869D2" w:rsidRDefault="006869D2" w:rsidP="00AD6715">
      <w:pPr>
        <w:jc w:val="left"/>
        <w:sectPr w:rsidR="006869D2" w:rsidSect="00AB17DB">
          <w:footerReference w:type="default" r:id="rId10"/>
          <w:pgSz w:w="12240" w:h="15840"/>
          <w:pgMar w:top="1440" w:right="1440" w:bottom="1440" w:left="1440" w:header="720" w:footer="720" w:gutter="0"/>
          <w:cols w:space="720"/>
          <w:titlePg/>
          <w:docGrid w:linePitch="326"/>
        </w:sectPr>
      </w:pPr>
    </w:p>
    <w:p w14:paraId="4B26D792" w14:textId="404EBDCF" w:rsidR="003B6687" w:rsidRDefault="00807C5A" w:rsidP="00807C5A">
      <w:pPr>
        <w:spacing w:after="160" w:line="259" w:lineRule="auto"/>
        <w:jc w:val="left"/>
      </w:pPr>
      <w:r w:rsidRPr="00807C5A">
        <w:rPr>
          <w:rFonts w:eastAsia="Microsoft Sans Serif"/>
          <w:b/>
          <w:szCs w:val="22"/>
          <w:u w:val="single"/>
        </w:rPr>
        <w:lastRenderedPageBreak/>
        <w:t>C-2019-3012938 - DEBRA LINDLER v. PHILADELPHIA GAS WORKS</w:t>
      </w:r>
      <w:r w:rsidRPr="00807C5A">
        <w:rPr>
          <w:rFonts w:eastAsia="Microsoft Sans Serif"/>
          <w:b/>
          <w:szCs w:val="22"/>
          <w:u w:val="single"/>
        </w:rPr>
        <w:cr/>
      </w:r>
      <w:r w:rsidRPr="00807C5A">
        <w:rPr>
          <w:rFonts w:eastAsia="Microsoft Sans Serif"/>
          <w:b/>
          <w:szCs w:val="22"/>
          <w:u w:val="single"/>
        </w:rPr>
        <w:cr/>
      </w:r>
      <w:bookmarkStart w:id="0" w:name="_Hlk30080876"/>
      <w:r w:rsidRPr="00807C5A">
        <w:rPr>
          <w:rFonts w:eastAsia="Microsoft Sans Serif"/>
          <w:szCs w:val="22"/>
        </w:rPr>
        <w:t>DEBRA LINDLER</w:t>
      </w:r>
      <w:r w:rsidRPr="00807C5A">
        <w:rPr>
          <w:rFonts w:eastAsia="Microsoft Sans Serif"/>
          <w:szCs w:val="22"/>
        </w:rPr>
        <w:cr/>
        <w:t>1344 SOUTH NEWKIRK STREET</w:t>
      </w:r>
      <w:r w:rsidRPr="00807C5A">
        <w:rPr>
          <w:rFonts w:eastAsia="Microsoft Sans Serif"/>
          <w:szCs w:val="22"/>
        </w:rPr>
        <w:cr/>
        <w:t>PHILADELPHIA PA  19146</w:t>
      </w:r>
      <w:bookmarkEnd w:id="0"/>
      <w:r w:rsidRPr="00807C5A">
        <w:rPr>
          <w:rFonts w:eastAsia="Microsoft Sans Serif"/>
          <w:szCs w:val="22"/>
        </w:rPr>
        <w:cr/>
      </w:r>
      <w:bookmarkStart w:id="1" w:name="_GoBack"/>
      <w:bookmarkEnd w:id="1"/>
      <w:r w:rsidRPr="00807C5A">
        <w:rPr>
          <w:rFonts w:eastAsia="Microsoft Sans Serif"/>
          <w:b/>
          <w:bCs/>
          <w:szCs w:val="22"/>
        </w:rPr>
        <w:t>215.271.2242</w:t>
      </w:r>
      <w:r w:rsidRPr="00807C5A">
        <w:rPr>
          <w:rFonts w:eastAsia="Microsoft Sans Serif"/>
          <w:szCs w:val="22"/>
        </w:rPr>
        <w:cr/>
      </w:r>
      <w:r w:rsidRPr="00807C5A">
        <w:rPr>
          <w:rFonts w:eastAsia="Microsoft Sans Serif"/>
          <w:szCs w:val="22"/>
        </w:rPr>
        <w:cr/>
        <w:t>GRACIELA CHRISTLIEB ESQUIRE</w:t>
      </w:r>
      <w:r w:rsidRPr="00807C5A">
        <w:rPr>
          <w:rFonts w:eastAsia="Microsoft Sans Serif"/>
          <w:szCs w:val="22"/>
        </w:rPr>
        <w:cr/>
        <w:t>PHILADELPHIA GAS WORKS</w:t>
      </w:r>
      <w:r w:rsidRPr="00807C5A">
        <w:rPr>
          <w:rFonts w:eastAsia="Microsoft Sans Serif"/>
          <w:szCs w:val="22"/>
        </w:rPr>
        <w:cr/>
        <w:t>800 WEST MONTGOMERY AVENUE</w:t>
      </w:r>
      <w:r w:rsidRPr="00807C5A">
        <w:rPr>
          <w:rFonts w:eastAsia="Microsoft Sans Serif"/>
          <w:szCs w:val="22"/>
        </w:rPr>
        <w:cr/>
        <w:t>PHILADELPHIA PA  19122</w:t>
      </w:r>
      <w:r w:rsidRPr="00807C5A">
        <w:rPr>
          <w:rFonts w:eastAsia="Microsoft Sans Serif"/>
          <w:szCs w:val="22"/>
        </w:rPr>
        <w:cr/>
      </w:r>
      <w:r w:rsidRPr="00807C5A">
        <w:rPr>
          <w:rFonts w:eastAsia="Microsoft Sans Serif"/>
          <w:b/>
          <w:bCs/>
          <w:szCs w:val="22"/>
        </w:rPr>
        <w:t>215.684.6164</w:t>
      </w:r>
      <w:r w:rsidRPr="00807C5A">
        <w:rPr>
          <w:rFonts w:eastAsia="Microsoft Sans Serif"/>
          <w:b/>
          <w:bCs/>
          <w:szCs w:val="22"/>
        </w:rPr>
        <w:br/>
      </w:r>
      <w:r w:rsidRPr="00807C5A">
        <w:rPr>
          <w:rFonts w:eastAsia="Microsoft Sans Serif"/>
          <w:b/>
          <w:bCs/>
          <w:i/>
          <w:iCs/>
          <w:szCs w:val="22"/>
          <w:u w:val="single"/>
        </w:rPr>
        <w:t>ACCEPTS E-SERVICE</w:t>
      </w:r>
      <w:r w:rsidRPr="00807C5A">
        <w:rPr>
          <w:rFonts w:eastAsia="Microsoft Sans Serif"/>
          <w:szCs w:val="22"/>
        </w:rPr>
        <w:cr/>
      </w:r>
    </w:p>
    <w:sectPr w:rsidR="003B668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8BA774" w14:textId="77777777" w:rsidR="00850302" w:rsidRDefault="00850302" w:rsidP="00AB17DB">
      <w:pPr>
        <w:spacing w:line="240" w:lineRule="auto"/>
      </w:pPr>
      <w:r>
        <w:separator/>
      </w:r>
    </w:p>
  </w:endnote>
  <w:endnote w:type="continuationSeparator" w:id="0">
    <w:p w14:paraId="3126D34E" w14:textId="77777777" w:rsidR="00850302" w:rsidRDefault="00850302" w:rsidP="00AB17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7D95D" w14:textId="77777777" w:rsidR="00AB17DB" w:rsidRPr="00356C86" w:rsidRDefault="00AB17DB">
    <w:pPr>
      <w:pStyle w:val="Footer"/>
      <w:tabs>
        <w:tab w:val="clear" w:pos="4680"/>
        <w:tab w:val="clear" w:pos="9360"/>
      </w:tabs>
      <w:rPr>
        <w:caps/>
        <w:noProof/>
        <w:sz w:val="20"/>
        <w:szCs w:val="20"/>
      </w:rPr>
    </w:pPr>
    <w:r w:rsidRPr="00356C86">
      <w:rPr>
        <w:caps/>
        <w:sz w:val="20"/>
        <w:szCs w:val="20"/>
      </w:rPr>
      <w:fldChar w:fldCharType="begin"/>
    </w:r>
    <w:r w:rsidRPr="00356C86">
      <w:rPr>
        <w:caps/>
        <w:sz w:val="20"/>
        <w:szCs w:val="20"/>
      </w:rPr>
      <w:instrText xml:space="preserve"> PAGE   \* MERGEFORMAT </w:instrText>
    </w:r>
    <w:r w:rsidRPr="00356C86">
      <w:rPr>
        <w:caps/>
        <w:sz w:val="20"/>
        <w:szCs w:val="20"/>
      </w:rPr>
      <w:fldChar w:fldCharType="separate"/>
    </w:r>
    <w:r w:rsidRPr="00356C86">
      <w:rPr>
        <w:caps/>
        <w:noProof/>
        <w:sz w:val="20"/>
        <w:szCs w:val="20"/>
      </w:rPr>
      <w:t>2</w:t>
    </w:r>
    <w:r w:rsidRPr="00356C86">
      <w:rPr>
        <w:caps/>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3E770C" w14:textId="77777777" w:rsidR="00850302" w:rsidRDefault="00850302" w:rsidP="00AB17DB">
      <w:pPr>
        <w:spacing w:line="240" w:lineRule="auto"/>
      </w:pPr>
      <w:r>
        <w:separator/>
      </w:r>
    </w:p>
  </w:footnote>
  <w:footnote w:type="continuationSeparator" w:id="0">
    <w:p w14:paraId="74791229" w14:textId="77777777" w:rsidR="00850302" w:rsidRDefault="00850302" w:rsidP="00AB17D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A438BD"/>
    <w:multiLevelType w:val="hybridMultilevel"/>
    <w:tmpl w:val="00B21E48"/>
    <w:lvl w:ilvl="0" w:tplc="4760A928">
      <w:start w:val="1"/>
      <w:numFmt w:val="decimal"/>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715"/>
    <w:rsid w:val="00356C86"/>
    <w:rsid w:val="003B6687"/>
    <w:rsid w:val="006869D2"/>
    <w:rsid w:val="00807C5A"/>
    <w:rsid w:val="00850302"/>
    <w:rsid w:val="0086691B"/>
    <w:rsid w:val="00930522"/>
    <w:rsid w:val="00A728E9"/>
    <w:rsid w:val="00AB17DB"/>
    <w:rsid w:val="00AD6715"/>
    <w:rsid w:val="00DD5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BE46F"/>
  <w15:chartTrackingRefBased/>
  <w15:docId w15:val="{43399CDA-C6DD-403A-BC3B-BFB5F903D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715"/>
    <w:pPr>
      <w:spacing w:after="0" w:line="360" w:lineRule="auto"/>
      <w:jc w:val="center"/>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qFormat/>
    <w:rsid w:val="00AD6715"/>
    <w:pPr>
      <w:autoSpaceDE w:val="0"/>
      <w:autoSpaceDN w:val="0"/>
      <w:spacing w:line="240" w:lineRule="auto"/>
      <w:jc w:val="left"/>
    </w:pPr>
    <w:rPr>
      <w:rFonts w:eastAsia="Times New Roman"/>
    </w:rPr>
  </w:style>
  <w:style w:type="character" w:customStyle="1" w:styleId="FootnoteTextChar">
    <w:name w:val="Footnote Text Char"/>
    <w:basedOn w:val="DefaultParagraphFont"/>
    <w:link w:val="FootnoteText"/>
    <w:semiHidden/>
    <w:rsid w:val="00AD6715"/>
    <w:rPr>
      <w:rFonts w:ascii="Times New Roman" w:eastAsia="Times New Roman" w:hAnsi="Times New Roman" w:cs="Times New Roman"/>
      <w:sz w:val="24"/>
      <w:szCs w:val="24"/>
    </w:rPr>
  </w:style>
  <w:style w:type="paragraph" w:styleId="ListParagraph">
    <w:name w:val="List Paragraph"/>
    <w:basedOn w:val="Normal"/>
    <w:uiPriority w:val="34"/>
    <w:qFormat/>
    <w:rsid w:val="00AD6715"/>
    <w:pPr>
      <w:ind w:left="720"/>
      <w:contextualSpacing/>
    </w:pPr>
  </w:style>
  <w:style w:type="paragraph" w:customStyle="1" w:styleId="ParaTab1">
    <w:name w:val="ParaTab 1"/>
    <w:rsid w:val="00AD6715"/>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Header">
    <w:name w:val="header"/>
    <w:basedOn w:val="Normal"/>
    <w:link w:val="HeaderChar"/>
    <w:uiPriority w:val="99"/>
    <w:unhideWhenUsed/>
    <w:rsid w:val="00AB17DB"/>
    <w:pPr>
      <w:tabs>
        <w:tab w:val="center" w:pos="4680"/>
        <w:tab w:val="right" w:pos="9360"/>
      </w:tabs>
      <w:spacing w:line="240" w:lineRule="auto"/>
    </w:pPr>
  </w:style>
  <w:style w:type="character" w:customStyle="1" w:styleId="HeaderChar">
    <w:name w:val="Header Char"/>
    <w:basedOn w:val="DefaultParagraphFont"/>
    <w:link w:val="Header"/>
    <w:uiPriority w:val="99"/>
    <w:rsid w:val="00AB17DB"/>
    <w:rPr>
      <w:rFonts w:ascii="Times New Roman" w:eastAsia="Calibri" w:hAnsi="Times New Roman" w:cs="Times New Roman"/>
      <w:sz w:val="24"/>
      <w:szCs w:val="24"/>
    </w:rPr>
  </w:style>
  <w:style w:type="paragraph" w:styleId="Footer">
    <w:name w:val="footer"/>
    <w:basedOn w:val="Normal"/>
    <w:link w:val="FooterChar"/>
    <w:uiPriority w:val="99"/>
    <w:unhideWhenUsed/>
    <w:rsid w:val="00AB17DB"/>
    <w:pPr>
      <w:tabs>
        <w:tab w:val="center" w:pos="4680"/>
        <w:tab w:val="right" w:pos="9360"/>
      </w:tabs>
      <w:spacing w:line="240" w:lineRule="auto"/>
    </w:pPr>
  </w:style>
  <w:style w:type="character" w:customStyle="1" w:styleId="FooterChar">
    <w:name w:val="Footer Char"/>
    <w:basedOn w:val="DefaultParagraphFont"/>
    <w:link w:val="Footer"/>
    <w:uiPriority w:val="99"/>
    <w:rsid w:val="00AB17DB"/>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251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2" ma:contentTypeDescription="Create a new document." ma:contentTypeScope="" ma:versionID="039bb1b7d6e82bd97e303be5ec4691a4">
  <xsd:schema xmlns:xsd="http://www.w3.org/2001/XMLSchema" xmlns:xs="http://www.w3.org/2001/XMLSchema" xmlns:p="http://schemas.microsoft.com/office/2006/metadata/properties" xmlns:ns3="3efb013c-d621-4427-b756-aa4e21cb58bb" targetNamespace="http://schemas.microsoft.com/office/2006/metadata/properties" ma:root="true" ma:fieldsID="917fb6ed91900d6fd6f6b4a4e5785390" ns3:_="">
    <xsd:import namespace="3efb013c-d621-4427-b756-aa4e21cb58bb"/>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B1CF05-1629-42F4-AC66-8B7B753BD90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2DAB65B-B7AE-45E8-BC32-D21A90D19EBD}">
  <ds:schemaRefs>
    <ds:schemaRef ds:uri="http://schemas.microsoft.com/sharepoint/v3/contenttype/forms"/>
  </ds:schemaRefs>
</ds:datastoreItem>
</file>

<file path=customXml/itemProps3.xml><?xml version="1.0" encoding="utf-8"?>
<ds:datastoreItem xmlns:ds="http://schemas.openxmlformats.org/officeDocument/2006/customXml" ds:itemID="{3A0FE0BA-ED81-4286-8652-9B8B8D9628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1314</Words>
  <Characters>7493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Guhl, Marta</dc:creator>
  <cp:keywords/>
  <dc:description/>
  <cp:lastModifiedBy>Harvell, Diane</cp:lastModifiedBy>
  <cp:revision>5</cp:revision>
  <dcterms:created xsi:type="dcterms:W3CDTF">2020-01-16T20:25:00Z</dcterms:created>
  <dcterms:modified xsi:type="dcterms:W3CDTF">2020-01-16T20:27:00Z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