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B0455" w:rsidRPr="008D6E91" w14:paraId="2766444C" w14:textId="77777777" w:rsidTr="006807F4">
        <w:trPr>
          <w:trHeight w:val="990"/>
        </w:trPr>
        <w:tc>
          <w:tcPr>
            <w:tcW w:w="1363" w:type="dxa"/>
          </w:tcPr>
          <w:p w14:paraId="1FF87353" w14:textId="77777777" w:rsidR="00EB0455" w:rsidRPr="008D6E91" w:rsidRDefault="00EB0455" w:rsidP="006807F4">
            <w:pPr>
              <w:rPr>
                <w:sz w:val="24"/>
              </w:rPr>
            </w:pPr>
            <w:r>
              <w:rPr>
                <w:noProof/>
                <w:spacing w:val="-2"/>
              </w:rPr>
              <w:drawing>
                <wp:inline distT="0" distB="0" distL="0" distR="0" wp14:anchorId="4EFA9CEC" wp14:editId="7F62E5F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196CF1D3" w14:textId="77777777" w:rsidR="00EB0455" w:rsidRPr="008D6E91" w:rsidRDefault="00EB0455" w:rsidP="006807F4">
            <w:pPr>
              <w:suppressAutoHyphens/>
              <w:spacing w:line="204" w:lineRule="auto"/>
              <w:jc w:val="center"/>
              <w:rPr>
                <w:color w:val="000080"/>
                <w:spacing w:val="-3"/>
                <w:sz w:val="26"/>
              </w:rPr>
            </w:pPr>
          </w:p>
          <w:p w14:paraId="0385E7C0" w14:textId="77777777" w:rsidR="00EB0455" w:rsidRPr="008D6E91" w:rsidRDefault="00EB0455" w:rsidP="006807F4">
            <w:pPr>
              <w:suppressAutoHyphens/>
              <w:spacing w:line="204" w:lineRule="auto"/>
              <w:jc w:val="center"/>
              <w:rPr>
                <w:color w:val="000080"/>
                <w:spacing w:val="-3"/>
                <w:sz w:val="26"/>
              </w:rPr>
            </w:pPr>
            <w:r w:rsidRPr="008D6E91">
              <w:rPr>
                <w:color w:val="000080"/>
                <w:spacing w:val="-3"/>
                <w:sz w:val="26"/>
              </w:rPr>
              <w:t>COMMONWEALTH OF PENNSYLVANIA</w:t>
            </w:r>
          </w:p>
          <w:p w14:paraId="431857CA" w14:textId="77777777" w:rsidR="00EB0455" w:rsidRPr="008D6E91" w:rsidRDefault="00EB0455" w:rsidP="006807F4">
            <w:pPr>
              <w:suppressAutoHyphens/>
              <w:spacing w:line="204" w:lineRule="auto"/>
              <w:jc w:val="center"/>
              <w:rPr>
                <w:color w:val="000080"/>
                <w:spacing w:val="-3"/>
                <w:sz w:val="26"/>
              </w:rPr>
            </w:pPr>
            <w:r w:rsidRPr="008D6E91">
              <w:rPr>
                <w:color w:val="000080"/>
                <w:spacing w:val="-3"/>
                <w:sz w:val="26"/>
              </w:rPr>
              <w:t>PENNSYLVANIA PUBLIC UTILITY COMMISSION</w:t>
            </w:r>
          </w:p>
          <w:p w14:paraId="17ECAC37" w14:textId="77777777" w:rsidR="00EB0455" w:rsidRPr="008D6E91" w:rsidRDefault="00EB0455" w:rsidP="006807F4">
            <w:pPr>
              <w:jc w:val="center"/>
              <w:rPr>
                <w:sz w:val="12"/>
              </w:rPr>
            </w:pPr>
            <w:r>
              <w:rPr>
                <w:color w:val="000080"/>
                <w:spacing w:val="-3"/>
                <w:sz w:val="26"/>
              </w:rPr>
              <w:t>400 NORTH STREET</w:t>
            </w:r>
            <w:r w:rsidRPr="008D6E91">
              <w:rPr>
                <w:color w:val="000080"/>
                <w:spacing w:val="-3"/>
                <w:sz w:val="26"/>
              </w:rPr>
              <w:t xml:space="preserve">, HARRISBURG, PA </w:t>
            </w:r>
            <w:r>
              <w:rPr>
                <w:color w:val="000080"/>
                <w:spacing w:val="-3"/>
                <w:sz w:val="26"/>
              </w:rPr>
              <w:t>17120</w:t>
            </w:r>
          </w:p>
        </w:tc>
        <w:tc>
          <w:tcPr>
            <w:tcW w:w="1452" w:type="dxa"/>
          </w:tcPr>
          <w:p w14:paraId="6D97668F" w14:textId="77777777" w:rsidR="00EB0455" w:rsidRPr="008D6E91" w:rsidRDefault="00EB0455" w:rsidP="006807F4">
            <w:pPr>
              <w:rPr>
                <w:sz w:val="12"/>
              </w:rPr>
            </w:pPr>
          </w:p>
          <w:p w14:paraId="64467F12" w14:textId="77777777" w:rsidR="00EB0455" w:rsidRPr="008D6E91" w:rsidRDefault="00EB0455" w:rsidP="006807F4">
            <w:pPr>
              <w:rPr>
                <w:sz w:val="12"/>
              </w:rPr>
            </w:pPr>
          </w:p>
          <w:p w14:paraId="7F85D0F1" w14:textId="77777777" w:rsidR="00EB0455" w:rsidRPr="008D6E91" w:rsidRDefault="00EB0455" w:rsidP="006807F4">
            <w:pPr>
              <w:rPr>
                <w:sz w:val="12"/>
              </w:rPr>
            </w:pPr>
          </w:p>
          <w:p w14:paraId="4BADB3F9" w14:textId="77777777" w:rsidR="00EB0455" w:rsidRPr="008D6E91" w:rsidRDefault="00EB0455" w:rsidP="006807F4">
            <w:pPr>
              <w:rPr>
                <w:sz w:val="12"/>
              </w:rPr>
            </w:pPr>
          </w:p>
          <w:p w14:paraId="61DE2C33" w14:textId="77777777" w:rsidR="00EB0455" w:rsidRPr="008D6E91" w:rsidRDefault="00EB0455" w:rsidP="006807F4">
            <w:pPr>
              <w:rPr>
                <w:sz w:val="12"/>
              </w:rPr>
            </w:pPr>
          </w:p>
          <w:p w14:paraId="23528B14" w14:textId="77777777" w:rsidR="00EB0455" w:rsidRPr="008D6E91" w:rsidRDefault="00EB0455" w:rsidP="006807F4">
            <w:pPr>
              <w:rPr>
                <w:sz w:val="12"/>
              </w:rPr>
            </w:pPr>
          </w:p>
          <w:p w14:paraId="30AE3CFB" w14:textId="77777777" w:rsidR="00EB0455" w:rsidRPr="008D6E91" w:rsidRDefault="00EB0455" w:rsidP="006807F4">
            <w:pPr>
              <w:jc w:val="right"/>
              <w:rPr>
                <w:sz w:val="12"/>
              </w:rPr>
            </w:pPr>
            <w:r w:rsidRPr="008D6E91">
              <w:rPr>
                <w:b/>
                <w:spacing w:val="-1"/>
                <w:sz w:val="12"/>
              </w:rPr>
              <w:t>IN REPLY PLEASE REFER TO OUR FILE</w:t>
            </w:r>
          </w:p>
        </w:tc>
      </w:tr>
    </w:tbl>
    <w:p w14:paraId="1956ECA8" w14:textId="66BEA0C8" w:rsidR="00EB0455" w:rsidRPr="008D6E91" w:rsidRDefault="00D3064A" w:rsidP="00D3064A">
      <w:pPr>
        <w:jc w:val="center"/>
        <w:rPr>
          <w:sz w:val="24"/>
        </w:rPr>
        <w:sectPr w:rsidR="00EB0455" w:rsidRPr="008D6E91">
          <w:pgSz w:w="12240" w:h="15840"/>
          <w:pgMar w:top="504" w:right="1440" w:bottom="1440" w:left="1440" w:header="720" w:footer="720" w:gutter="0"/>
          <w:cols w:space="720"/>
        </w:sectPr>
      </w:pPr>
      <w:r>
        <w:rPr>
          <w:sz w:val="24"/>
        </w:rPr>
        <w:t>January 22, 2020</w:t>
      </w:r>
    </w:p>
    <w:p w14:paraId="36C1A2BA" w14:textId="77777777" w:rsidR="00EB0455" w:rsidRDefault="00EB0455" w:rsidP="00EB0455">
      <w:pPr>
        <w:tabs>
          <w:tab w:val="left" w:pos="-720"/>
        </w:tabs>
        <w:ind w:left="216"/>
        <w:jc w:val="center"/>
        <w:rPr>
          <w:sz w:val="22"/>
          <w:szCs w:val="22"/>
        </w:rPr>
      </w:pPr>
    </w:p>
    <w:p w14:paraId="3D8C8E2A" w14:textId="77777777" w:rsidR="00EB0455" w:rsidRDefault="00EB0455" w:rsidP="00EB0455">
      <w:pPr>
        <w:tabs>
          <w:tab w:val="left" w:pos="-720"/>
        </w:tabs>
        <w:ind w:left="216"/>
        <w:jc w:val="right"/>
        <w:rPr>
          <w:sz w:val="22"/>
          <w:szCs w:val="22"/>
        </w:rPr>
      </w:pPr>
    </w:p>
    <w:p w14:paraId="5436BDDE" w14:textId="77777777" w:rsidR="00EB0455" w:rsidRPr="001E6909" w:rsidRDefault="00EB0455" w:rsidP="00EB0455">
      <w:pPr>
        <w:ind w:right="-720"/>
        <w:jc w:val="right"/>
        <w:rPr>
          <w:color w:val="000000"/>
          <w:sz w:val="24"/>
          <w:szCs w:val="24"/>
        </w:rPr>
      </w:pPr>
      <w:r w:rsidRPr="001E6909">
        <w:rPr>
          <w:color w:val="000000"/>
          <w:sz w:val="24"/>
          <w:szCs w:val="24"/>
        </w:rPr>
        <w:t>Docket No. G-</w:t>
      </w:r>
      <w:r>
        <w:rPr>
          <w:color w:val="000000"/>
          <w:sz w:val="24"/>
          <w:szCs w:val="24"/>
        </w:rPr>
        <w:t>2018-3002809</w:t>
      </w:r>
    </w:p>
    <w:p w14:paraId="531EDAF8" w14:textId="77777777" w:rsidR="00EB0455" w:rsidRPr="001E6909" w:rsidRDefault="00EB0455" w:rsidP="00EB0455">
      <w:pPr>
        <w:ind w:right="-720"/>
        <w:jc w:val="right"/>
        <w:rPr>
          <w:color w:val="000000"/>
          <w:sz w:val="24"/>
          <w:szCs w:val="24"/>
        </w:rPr>
      </w:pPr>
      <w:r w:rsidRPr="001E6909">
        <w:rPr>
          <w:color w:val="000000"/>
          <w:sz w:val="24"/>
          <w:szCs w:val="24"/>
        </w:rPr>
        <w:t xml:space="preserve">Utility Code:  </w:t>
      </w:r>
      <w:r>
        <w:rPr>
          <w:color w:val="000000"/>
          <w:sz w:val="24"/>
          <w:szCs w:val="24"/>
        </w:rPr>
        <w:t>1110150</w:t>
      </w:r>
    </w:p>
    <w:p w14:paraId="61C33675" w14:textId="77777777" w:rsidR="00EB0455" w:rsidRPr="001E6909" w:rsidRDefault="00EB0455" w:rsidP="00EB0455">
      <w:pPr>
        <w:tabs>
          <w:tab w:val="left" w:pos="-720"/>
        </w:tabs>
        <w:jc w:val="center"/>
        <w:rPr>
          <w:sz w:val="24"/>
          <w:szCs w:val="24"/>
        </w:rPr>
      </w:pPr>
    </w:p>
    <w:p w14:paraId="190D0298" w14:textId="77777777" w:rsidR="00EB0455" w:rsidRPr="001372FF" w:rsidRDefault="00EB0455" w:rsidP="00EB0455">
      <w:pPr>
        <w:rPr>
          <w:sz w:val="24"/>
        </w:rPr>
      </w:pPr>
      <w:r w:rsidRPr="001372FF">
        <w:rPr>
          <w:sz w:val="24"/>
        </w:rPr>
        <w:t>EMILY M FARAH REGULATORY COUNSEL</w:t>
      </w:r>
    </w:p>
    <w:p w14:paraId="23293DC3" w14:textId="77777777" w:rsidR="00EB0455" w:rsidRPr="001372FF" w:rsidRDefault="00EB0455" w:rsidP="00EB0455">
      <w:pPr>
        <w:rPr>
          <w:sz w:val="24"/>
        </w:rPr>
      </w:pPr>
      <w:r w:rsidRPr="001372FF">
        <w:rPr>
          <w:sz w:val="24"/>
        </w:rPr>
        <w:t>DUQUESNE LIGHT COMPANY</w:t>
      </w:r>
    </w:p>
    <w:p w14:paraId="003332B1" w14:textId="77777777" w:rsidR="00EB0455" w:rsidRPr="001372FF" w:rsidRDefault="00EB0455" w:rsidP="00EB0455">
      <w:pPr>
        <w:rPr>
          <w:sz w:val="24"/>
        </w:rPr>
      </w:pPr>
      <w:r w:rsidRPr="001372FF">
        <w:rPr>
          <w:sz w:val="24"/>
        </w:rPr>
        <w:t>411 7</w:t>
      </w:r>
      <w:r w:rsidRPr="001372FF">
        <w:rPr>
          <w:sz w:val="24"/>
          <w:vertAlign w:val="superscript"/>
        </w:rPr>
        <w:t>TH</w:t>
      </w:r>
      <w:r w:rsidRPr="001372FF">
        <w:rPr>
          <w:sz w:val="24"/>
        </w:rPr>
        <w:t xml:space="preserve"> AVE MAIL DROP 15-7</w:t>
      </w:r>
    </w:p>
    <w:p w14:paraId="472C6367" w14:textId="77777777" w:rsidR="00EB0455" w:rsidRDefault="00EB0455" w:rsidP="00EB0455">
      <w:pPr>
        <w:rPr>
          <w:sz w:val="24"/>
        </w:rPr>
      </w:pPr>
      <w:r w:rsidRPr="001372FF">
        <w:rPr>
          <w:sz w:val="24"/>
        </w:rPr>
        <w:t>PITTSBURGH PA 15219</w:t>
      </w:r>
    </w:p>
    <w:p w14:paraId="0CEE3B9E" w14:textId="77777777" w:rsidR="00EB0455" w:rsidRDefault="00EB0455" w:rsidP="00EB0455">
      <w:pPr>
        <w:rPr>
          <w:sz w:val="24"/>
          <w:szCs w:val="24"/>
        </w:rPr>
      </w:pPr>
    </w:p>
    <w:p w14:paraId="2A71CC0E" w14:textId="77777777" w:rsidR="00EB0455" w:rsidRPr="001E6909" w:rsidRDefault="00EB0455" w:rsidP="00EB0455">
      <w:pPr>
        <w:rPr>
          <w:sz w:val="24"/>
          <w:szCs w:val="24"/>
        </w:rPr>
      </w:pPr>
    </w:p>
    <w:p w14:paraId="6AADFCA4" w14:textId="77777777" w:rsidR="00EB0455" w:rsidRPr="00606A47" w:rsidRDefault="00EB0455" w:rsidP="00EB0455">
      <w:pPr>
        <w:ind w:left="900" w:hanging="450"/>
        <w:rPr>
          <w:sz w:val="24"/>
          <w:szCs w:val="24"/>
        </w:rPr>
      </w:pPr>
      <w:r w:rsidRPr="001E6909">
        <w:rPr>
          <w:sz w:val="24"/>
          <w:szCs w:val="24"/>
        </w:rPr>
        <w:t>Re:</w:t>
      </w:r>
      <w:r>
        <w:rPr>
          <w:sz w:val="24"/>
          <w:szCs w:val="24"/>
        </w:rPr>
        <w:t xml:space="preserve">  </w:t>
      </w:r>
      <w:r w:rsidRPr="00606A47">
        <w:rPr>
          <w:sz w:val="24"/>
          <w:szCs w:val="24"/>
        </w:rPr>
        <w:t>Affiliated Interest Agreement – Duquesne Light Company – Administrative Services Agreement with Duquesne Light Holdings, Inc and their Affiliates</w:t>
      </w:r>
    </w:p>
    <w:p w14:paraId="2FC20B54" w14:textId="77777777" w:rsidR="00EB0455" w:rsidRPr="00606A47" w:rsidRDefault="00EB0455" w:rsidP="00EB0455">
      <w:pPr>
        <w:rPr>
          <w:sz w:val="24"/>
          <w:szCs w:val="24"/>
        </w:rPr>
      </w:pPr>
    </w:p>
    <w:p w14:paraId="423950A2" w14:textId="77777777" w:rsidR="00EB0455" w:rsidRPr="001E6909" w:rsidRDefault="00EB0455" w:rsidP="00EB0455">
      <w:pPr>
        <w:rPr>
          <w:sz w:val="24"/>
          <w:szCs w:val="24"/>
        </w:rPr>
      </w:pPr>
      <w:r w:rsidRPr="00606A47">
        <w:rPr>
          <w:sz w:val="24"/>
          <w:szCs w:val="24"/>
        </w:rPr>
        <w:t>Dear Ms. Farah:</w:t>
      </w:r>
    </w:p>
    <w:p w14:paraId="2BD73CC1" w14:textId="77777777" w:rsidR="00EB0455" w:rsidRPr="001E6909" w:rsidRDefault="00EB0455" w:rsidP="00EB0455">
      <w:pPr>
        <w:tabs>
          <w:tab w:val="left" w:pos="-720"/>
        </w:tabs>
        <w:jc w:val="both"/>
        <w:rPr>
          <w:sz w:val="24"/>
          <w:szCs w:val="24"/>
        </w:rPr>
      </w:pPr>
    </w:p>
    <w:p w14:paraId="7B429326" w14:textId="77777777" w:rsidR="00EB0455" w:rsidRPr="001E6909" w:rsidRDefault="00EB0455" w:rsidP="00EB0455">
      <w:pPr>
        <w:rPr>
          <w:sz w:val="24"/>
          <w:szCs w:val="24"/>
        </w:rPr>
      </w:pPr>
      <w:r w:rsidRPr="001E6909">
        <w:rPr>
          <w:sz w:val="24"/>
          <w:szCs w:val="24"/>
        </w:rPr>
        <w:tab/>
      </w:r>
      <w:r w:rsidRPr="004601C4">
        <w:rPr>
          <w:sz w:val="24"/>
          <w:szCs w:val="24"/>
        </w:rPr>
        <w:t>On June 18, 2018, Duquesne Light Company, LLC (DLC), filed with the Pennsylvania Public Utility Commission, pursuant to 66 Pa. C.S. §</w:t>
      </w:r>
      <w:r>
        <w:rPr>
          <w:sz w:val="24"/>
          <w:szCs w:val="24"/>
        </w:rPr>
        <w:t>§</w:t>
      </w:r>
      <w:r w:rsidRPr="004601C4">
        <w:rPr>
          <w:sz w:val="24"/>
          <w:szCs w:val="24"/>
        </w:rPr>
        <w:t xml:space="preserve"> 2102, </w:t>
      </w:r>
      <w:r>
        <w:rPr>
          <w:sz w:val="24"/>
          <w:szCs w:val="24"/>
        </w:rPr>
        <w:t xml:space="preserve">et. seq., </w:t>
      </w:r>
      <w:r w:rsidRPr="004601C4">
        <w:rPr>
          <w:sz w:val="24"/>
          <w:szCs w:val="24"/>
        </w:rPr>
        <w:t xml:space="preserve">the above-referenced Affiliated Interest Agreement (AIA or Agreement).  By Secretarial Letter dated June 19, 2018, the Commission extended the statutory consideration period for this Agreement until further action of the Commission.  </w:t>
      </w:r>
    </w:p>
    <w:p w14:paraId="44140D3E" w14:textId="77777777" w:rsidR="00EB0455" w:rsidRPr="001E6909" w:rsidRDefault="00EB0455" w:rsidP="00EB0455">
      <w:pPr>
        <w:rPr>
          <w:sz w:val="24"/>
          <w:szCs w:val="24"/>
        </w:rPr>
      </w:pPr>
    </w:p>
    <w:p w14:paraId="504CE7DA" w14:textId="767ADDE0" w:rsidR="00EB0455" w:rsidRPr="00C70951" w:rsidRDefault="00EB0455" w:rsidP="00EB0455">
      <w:pPr>
        <w:pStyle w:val="NoSpacing"/>
        <w:rPr>
          <w:rFonts w:ascii="Times New Roman" w:hAnsi="Times New Roman"/>
          <w:szCs w:val="24"/>
        </w:rPr>
      </w:pPr>
      <w:r w:rsidRPr="001E6909">
        <w:rPr>
          <w:szCs w:val="24"/>
        </w:rPr>
        <w:tab/>
      </w:r>
      <w:r w:rsidRPr="00646DA5">
        <w:rPr>
          <w:rFonts w:ascii="Times New Roman" w:hAnsi="Times New Roman"/>
          <w:szCs w:val="24"/>
        </w:rPr>
        <w:t xml:space="preserve">DLC filed the proposed </w:t>
      </w:r>
      <w:r>
        <w:rPr>
          <w:rFonts w:ascii="Times New Roman" w:hAnsi="Times New Roman"/>
          <w:szCs w:val="24"/>
        </w:rPr>
        <w:t>AIA between DLC and Duquesne Light Holdings, Inc., DQE Communications LLC, Duquesne Light Energy, LLC, and 27</w:t>
      </w:r>
      <w:r w:rsidR="004D6454">
        <w:rPr>
          <w:rFonts w:ascii="Times New Roman" w:hAnsi="Times New Roman"/>
          <w:szCs w:val="24"/>
        </w:rPr>
        <w:t xml:space="preserve"> </w:t>
      </w:r>
      <w:r w:rsidR="00C86E54">
        <w:rPr>
          <w:rFonts w:ascii="Times New Roman" w:hAnsi="Times New Roman"/>
          <w:szCs w:val="24"/>
        </w:rPr>
        <w:t xml:space="preserve">other </w:t>
      </w:r>
      <w:r>
        <w:rPr>
          <w:rFonts w:ascii="Times New Roman" w:hAnsi="Times New Roman"/>
          <w:szCs w:val="24"/>
        </w:rPr>
        <w:t xml:space="preserve">unregulated companies.  DLC filed the proposed </w:t>
      </w:r>
      <w:r w:rsidRPr="00646DA5">
        <w:rPr>
          <w:rFonts w:ascii="Times New Roman" w:hAnsi="Times New Roman"/>
          <w:szCs w:val="24"/>
        </w:rPr>
        <w:t xml:space="preserve">Agreement to Amend and Restate their Administrative Services Agreement, </w:t>
      </w:r>
      <w:r w:rsidRPr="00C70951">
        <w:rPr>
          <w:rFonts w:ascii="Times New Roman" w:hAnsi="Times New Roman"/>
          <w:szCs w:val="24"/>
        </w:rPr>
        <w:t>approved on October 5, 2004, at Docket No. G</w:t>
      </w:r>
      <w:r w:rsidRPr="00C70951">
        <w:rPr>
          <w:rFonts w:ascii="Times New Roman" w:hAnsi="Times New Roman"/>
          <w:szCs w:val="24"/>
        </w:rPr>
        <w:noBreakHyphen/>
        <w:t xml:space="preserve">00960472.  The Agreement updates </w:t>
      </w:r>
      <w:r w:rsidR="00AA520B">
        <w:rPr>
          <w:rFonts w:ascii="Times New Roman" w:hAnsi="Times New Roman"/>
          <w:szCs w:val="24"/>
        </w:rPr>
        <w:t xml:space="preserve">the </w:t>
      </w:r>
      <w:r w:rsidRPr="00C70951">
        <w:rPr>
          <w:rFonts w:ascii="Times New Roman" w:hAnsi="Times New Roman"/>
          <w:szCs w:val="24"/>
        </w:rPr>
        <w:t xml:space="preserve">descriptions of services, </w:t>
      </w:r>
      <w:r w:rsidR="00AA520B">
        <w:rPr>
          <w:rFonts w:ascii="Times New Roman" w:hAnsi="Times New Roman"/>
          <w:szCs w:val="24"/>
        </w:rPr>
        <w:t xml:space="preserve">the list of </w:t>
      </w:r>
      <w:r w:rsidRPr="00C70951">
        <w:rPr>
          <w:rFonts w:ascii="Times New Roman" w:hAnsi="Times New Roman"/>
          <w:szCs w:val="24"/>
        </w:rPr>
        <w:t xml:space="preserve">affiliates, and </w:t>
      </w:r>
      <w:r>
        <w:rPr>
          <w:rFonts w:ascii="Times New Roman" w:hAnsi="Times New Roman"/>
          <w:szCs w:val="24"/>
        </w:rPr>
        <w:t xml:space="preserve">the </w:t>
      </w:r>
      <w:r w:rsidRPr="00C70951">
        <w:rPr>
          <w:rFonts w:ascii="Times New Roman" w:hAnsi="Times New Roman"/>
          <w:szCs w:val="24"/>
        </w:rPr>
        <w:t>allocation methodolog</w:t>
      </w:r>
      <w:r>
        <w:rPr>
          <w:rFonts w:ascii="Times New Roman" w:hAnsi="Times New Roman"/>
          <w:szCs w:val="24"/>
        </w:rPr>
        <w:t>y for costs</w:t>
      </w:r>
      <w:r w:rsidRPr="00C70951">
        <w:rPr>
          <w:rFonts w:ascii="Times New Roman" w:hAnsi="Times New Roman"/>
          <w:szCs w:val="24"/>
        </w:rPr>
        <w:t xml:space="preserve">.  </w:t>
      </w:r>
    </w:p>
    <w:p w14:paraId="3167785A" w14:textId="77777777" w:rsidR="00EB0455" w:rsidRPr="00C70951" w:rsidRDefault="00EB0455" w:rsidP="00EB0455">
      <w:pPr>
        <w:pStyle w:val="NoSpacing"/>
        <w:rPr>
          <w:rFonts w:ascii="Times New Roman" w:hAnsi="Times New Roman"/>
          <w:szCs w:val="24"/>
        </w:rPr>
      </w:pPr>
      <w:r w:rsidRPr="00C70951">
        <w:rPr>
          <w:rFonts w:ascii="Times New Roman" w:hAnsi="Times New Roman"/>
          <w:szCs w:val="24"/>
        </w:rPr>
        <w:tab/>
      </w:r>
      <w:r w:rsidRPr="00C70951">
        <w:rPr>
          <w:rFonts w:ascii="Times New Roman" w:hAnsi="Times New Roman"/>
          <w:szCs w:val="24"/>
        </w:rPr>
        <w:tab/>
      </w:r>
    </w:p>
    <w:p w14:paraId="6980EC96" w14:textId="77777777" w:rsidR="00EB0455" w:rsidRPr="001E6909" w:rsidRDefault="00EB0455" w:rsidP="00EB0455">
      <w:pPr>
        <w:tabs>
          <w:tab w:val="left" w:pos="-720"/>
        </w:tabs>
        <w:rPr>
          <w:sz w:val="24"/>
          <w:szCs w:val="24"/>
        </w:rPr>
      </w:pPr>
      <w:r w:rsidRPr="00C70951">
        <w:rPr>
          <w:sz w:val="24"/>
          <w:szCs w:val="24"/>
        </w:rPr>
        <w:tab/>
        <w:t>Upon review of the filing, it does not appear that this Agreement is unreasonable or contrary to the public interest.  Therefore, this filing is hereby</w:t>
      </w:r>
      <w:r w:rsidRPr="001E6909">
        <w:rPr>
          <w:sz w:val="24"/>
          <w:szCs w:val="24"/>
        </w:rPr>
        <w:t xml:space="preserve"> approved.  However, approval of this filing does not constitute a determination that the associated costs or expenses are reasonable or prudent for the purposes of determining just and reasonable rates.  Furthermore, the Commission’s approval is contingent upon the possibility that subsequent audits, reviews and inquiries in any Commission proceeding may be conducted, pursuant to 66 Pa. C.S. §§ 2102, </w:t>
      </w:r>
      <w:r w:rsidRPr="001E6909">
        <w:rPr>
          <w:i/>
          <w:sz w:val="24"/>
          <w:szCs w:val="24"/>
        </w:rPr>
        <w:t>et seq</w:t>
      </w:r>
      <w:r w:rsidRPr="001E6909">
        <w:rPr>
          <w:sz w:val="24"/>
          <w:szCs w:val="24"/>
        </w:rPr>
        <w:t>.</w:t>
      </w:r>
    </w:p>
    <w:p w14:paraId="120112CF" w14:textId="77777777" w:rsidR="00EB0455" w:rsidRPr="001E6909" w:rsidRDefault="00EB0455" w:rsidP="00EB0455">
      <w:pPr>
        <w:tabs>
          <w:tab w:val="left" w:pos="-720"/>
        </w:tabs>
        <w:rPr>
          <w:sz w:val="24"/>
          <w:szCs w:val="24"/>
        </w:rPr>
      </w:pPr>
    </w:p>
    <w:p w14:paraId="4E3B3A48" w14:textId="77777777" w:rsidR="00EB0455" w:rsidRPr="001E6909" w:rsidRDefault="00EB0455" w:rsidP="00EB0455">
      <w:pPr>
        <w:tabs>
          <w:tab w:val="left" w:pos="-720"/>
        </w:tabs>
        <w:rPr>
          <w:sz w:val="24"/>
          <w:szCs w:val="24"/>
        </w:rPr>
      </w:pPr>
      <w:r w:rsidRPr="001E6909">
        <w:rPr>
          <w:sz w:val="24"/>
          <w:szCs w:val="24"/>
        </w:rPr>
        <w:tab/>
        <w:t>In addition, this approval will apply only to the agreement, services, matters and parties specifically and clearly defined under this instant proceeding as well as under any associated and previously filed filings.</w:t>
      </w:r>
    </w:p>
    <w:p w14:paraId="5137C701" w14:textId="77777777" w:rsidR="00EB0455" w:rsidRPr="001E6909" w:rsidRDefault="00EB0455" w:rsidP="00EB0455">
      <w:pPr>
        <w:tabs>
          <w:tab w:val="left" w:pos="-720"/>
        </w:tabs>
        <w:rPr>
          <w:sz w:val="24"/>
          <w:szCs w:val="24"/>
        </w:rPr>
      </w:pPr>
    </w:p>
    <w:p w14:paraId="63DA4BF3" w14:textId="1F6EAF27" w:rsidR="00EB0455" w:rsidRPr="00422C4B" w:rsidRDefault="00EB0455" w:rsidP="00EB0455">
      <w:pPr>
        <w:tabs>
          <w:tab w:val="left" w:pos="-720"/>
        </w:tabs>
        <w:rPr>
          <w:sz w:val="24"/>
          <w:szCs w:val="24"/>
        </w:rPr>
      </w:pPr>
      <w:r w:rsidRPr="00355BCA">
        <w:rPr>
          <w:sz w:val="24"/>
          <w:szCs w:val="24"/>
        </w:rPr>
        <w:tab/>
      </w:r>
      <w:r w:rsidRPr="00422C4B">
        <w:rPr>
          <w:sz w:val="24"/>
          <w:szCs w:val="24"/>
        </w:rPr>
        <w:t xml:space="preserve">The Commission reiterates that </w:t>
      </w:r>
      <w:r w:rsidRPr="00AB421C">
        <w:rPr>
          <w:sz w:val="24"/>
          <w:szCs w:val="24"/>
        </w:rPr>
        <w:t>the Affiliates must abide by all applicable competitive safeguards, including the code of conduct at § 54.122 (for Electric Distribution Companies)</w:t>
      </w:r>
      <w:r w:rsidR="00AA520B">
        <w:rPr>
          <w:sz w:val="24"/>
          <w:szCs w:val="24"/>
        </w:rPr>
        <w:t xml:space="preserve"> and § 63.143 (</w:t>
      </w:r>
      <w:r w:rsidR="00BB3200">
        <w:rPr>
          <w:sz w:val="24"/>
          <w:szCs w:val="24"/>
        </w:rPr>
        <w:t xml:space="preserve">for </w:t>
      </w:r>
      <w:r w:rsidR="00AA520B">
        <w:rPr>
          <w:sz w:val="24"/>
          <w:szCs w:val="24"/>
        </w:rPr>
        <w:t>Telephone Companies)</w:t>
      </w:r>
      <w:r w:rsidRPr="00AB421C">
        <w:rPr>
          <w:sz w:val="24"/>
          <w:szCs w:val="24"/>
        </w:rPr>
        <w:t xml:space="preserve"> when handling any potentially competitively sensitive information while performing any services under this Agreement.  Specifically, Duquesne Light Energy, LLC </w:t>
      </w:r>
      <w:r>
        <w:rPr>
          <w:sz w:val="24"/>
          <w:szCs w:val="24"/>
        </w:rPr>
        <w:t xml:space="preserve">and DQE Communications, LLC </w:t>
      </w:r>
      <w:r w:rsidRPr="00AB421C">
        <w:rPr>
          <w:sz w:val="24"/>
          <w:szCs w:val="24"/>
        </w:rPr>
        <w:t xml:space="preserve">must ensure that </w:t>
      </w:r>
      <w:r>
        <w:rPr>
          <w:sz w:val="24"/>
          <w:szCs w:val="24"/>
        </w:rPr>
        <w:t xml:space="preserve">they do </w:t>
      </w:r>
      <w:r w:rsidRPr="00AB421C">
        <w:rPr>
          <w:sz w:val="24"/>
          <w:szCs w:val="24"/>
        </w:rPr>
        <w:t xml:space="preserve">not misuse customer </w:t>
      </w:r>
      <w:r w:rsidRPr="00AB421C">
        <w:rPr>
          <w:sz w:val="24"/>
          <w:szCs w:val="24"/>
        </w:rPr>
        <w:lastRenderedPageBreak/>
        <w:t xml:space="preserve">information or other data from DLC or Duquesne Light Holdings, Inc. that </w:t>
      </w:r>
      <w:r>
        <w:rPr>
          <w:sz w:val="24"/>
          <w:szCs w:val="24"/>
        </w:rPr>
        <w:t>they</w:t>
      </w:r>
      <w:r w:rsidRPr="00AB421C">
        <w:rPr>
          <w:sz w:val="24"/>
          <w:szCs w:val="24"/>
        </w:rPr>
        <w:t xml:space="preserve"> obtained through shared personnel rather than through Commission approved information sharing mechanisms</w:t>
      </w:r>
      <w:r>
        <w:rPr>
          <w:sz w:val="24"/>
          <w:szCs w:val="24"/>
        </w:rPr>
        <w:t>.</w:t>
      </w:r>
      <w:r w:rsidRPr="00AB421C">
        <w:rPr>
          <w:sz w:val="24"/>
          <w:szCs w:val="24"/>
        </w:rPr>
        <w:t xml:space="preserve"> </w:t>
      </w:r>
    </w:p>
    <w:p w14:paraId="48A09A45" w14:textId="77777777" w:rsidR="00EB0455" w:rsidRDefault="00EB0455" w:rsidP="00EB0455">
      <w:pPr>
        <w:tabs>
          <w:tab w:val="left" w:pos="-720"/>
        </w:tabs>
        <w:rPr>
          <w:sz w:val="24"/>
          <w:szCs w:val="24"/>
        </w:rPr>
      </w:pPr>
    </w:p>
    <w:p w14:paraId="544B1F9C" w14:textId="77777777" w:rsidR="00EB0455" w:rsidRPr="001E6909" w:rsidRDefault="00EB0455" w:rsidP="00EB0455">
      <w:pPr>
        <w:tabs>
          <w:tab w:val="left" w:pos="-720"/>
        </w:tabs>
        <w:rPr>
          <w:sz w:val="24"/>
          <w:szCs w:val="24"/>
        </w:rPr>
      </w:pPr>
      <w:r>
        <w:rPr>
          <w:sz w:val="24"/>
          <w:szCs w:val="24"/>
        </w:rPr>
        <w:tab/>
        <w:t>DLC</w:t>
      </w:r>
      <w:r w:rsidRPr="00355BCA">
        <w:rPr>
          <w:sz w:val="24"/>
          <w:szCs w:val="24"/>
        </w:rPr>
        <w:t xml:space="preserve"> is required to provide a fully executed copy of this Agreement to the Commission within 30 days from the date of this Secretarial Letter.</w:t>
      </w:r>
      <w:r w:rsidRPr="001E6909">
        <w:rPr>
          <w:sz w:val="24"/>
          <w:szCs w:val="24"/>
        </w:rPr>
        <w:t xml:space="preserve">  </w:t>
      </w:r>
    </w:p>
    <w:p w14:paraId="610875A4" w14:textId="77777777" w:rsidR="00EB0455" w:rsidRDefault="00EB0455" w:rsidP="00EB0455">
      <w:pPr>
        <w:tabs>
          <w:tab w:val="left" w:pos="-720"/>
        </w:tabs>
        <w:rPr>
          <w:sz w:val="24"/>
          <w:szCs w:val="24"/>
        </w:rPr>
      </w:pPr>
    </w:p>
    <w:p w14:paraId="1C9609D8" w14:textId="55A0C775" w:rsidR="00EB0455" w:rsidRPr="001E6909" w:rsidRDefault="00D3064A" w:rsidP="00EB0455">
      <w:pPr>
        <w:tabs>
          <w:tab w:val="left" w:pos="-720"/>
        </w:tabs>
        <w:rPr>
          <w:sz w:val="24"/>
          <w:szCs w:val="24"/>
        </w:rPr>
      </w:pPr>
      <w:r>
        <w:rPr>
          <w:noProof/>
        </w:rPr>
        <w:drawing>
          <wp:anchor distT="0" distB="0" distL="114300" distR="114300" simplePos="0" relativeHeight="251659264" behindDoc="1" locked="0" layoutInCell="1" allowOverlap="1" wp14:anchorId="18A4E48D" wp14:editId="55D701BD">
            <wp:simplePos x="0" y="0"/>
            <wp:positionH relativeFrom="column">
              <wp:posOffset>2647950</wp:posOffset>
            </wp:positionH>
            <wp:positionV relativeFrom="paragraph">
              <wp:posOffset>180340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46136" w14:textId="67D4467B" w:rsidR="00EB0455" w:rsidRPr="001E6909" w:rsidRDefault="00EB0455" w:rsidP="00EB0455">
      <w:pPr>
        <w:tabs>
          <w:tab w:val="left" w:pos="-720"/>
        </w:tabs>
        <w:jc w:val="both"/>
        <w:rPr>
          <w:sz w:val="24"/>
          <w:szCs w:val="24"/>
        </w:rPr>
      </w:pP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t>Sincerely,</w:t>
      </w:r>
    </w:p>
    <w:p w14:paraId="1A1221DF" w14:textId="77777777" w:rsidR="00EB0455" w:rsidRPr="001E6909" w:rsidRDefault="00EB0455" w:rsidP="00EB0455">
      <w:pPr>
        <w:tabs>
          <w:tab w:val="left" w:pos="-720"/>
        </w:tabs>
        <w:jc w:val="both"/>
        <w:rPr>
          <w:sz w:val="24"/>
          <w:szCs w:val="24"/>
        </w:rPr>
      </w:pPr>
      <w:bookmarkStart w:id="0" w:name="_GoBack"/>
      <w:bookmarkEnd w:id="0"/>
    </w:p>
    <w:p w14:paraId="44AA25E7" w14:textId="77777777" w:rsidR="00EB0455" w:rsidRPr="001E6909" w:rsidRDefault="00EB0455" w:rsidP="00EB0455">
      <w:pPr>
        <w:tabs>
          <w:tab w:val="left" w:pos="-720"/>
        </w:tabs>
        <w:jc w:val="both"/>
        <w:rPr>
          <w:sz w:val="24"/>
          <w:szCs w:val="24"/>
        </w:rPr>
      </w:pPr>
    </w:p>
    <w:p w14:paraId="4E7CEA1B" w14:textId="77777777" w:rsidR="00EB0455" w:rsidRPr="001E6909" w:rsidRDefault="00EB0455" w:rsidP="00EB0455">
      <w:pPr>
        <w:tabs>
          <w:tab w:val="left" w:pos="-720"/>
        </w:tabs>
        <w:jc w:val="both"/>
        <w:rPr>
          <w:sz w:val="24"/>
          <w:szCs w:val="24"/>
        </w:rPr>
      </w:pPr>
    </w:p>
    <w:p w14:paraId="292DE9D2" w14:textId="77777777" w:rsidR="00EB0455" w:rsidRPr="001E6909" w:rsidRDefault="00EB0455" w:rsidP="00EB0455">
      <w:pPr>
        <w:tabs>
          <w:tab w:val="left" w:pos="-720"/>
        </w:tabs>
        <w:jc w:val="both"/>
        <w:rPr>
          <w:sz w:val="24"/>
          <w:szCs w:val="24"/>
        </w:rPr>
      </w:pP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t>Rosemary Chiavetta</w:t>
      </w:r>
    </w:p>
    <w:p w14:paraId="616FF939" w14:textId="77777777" w:rsidR="00EB0455" w:rsidRPr="001E6909" w:rsidRDefault="00EB0455" w:rsidP="00EB0455">
      <w:pPr>
        <w:tabs>
          <w:tab w:val="left" w:pos="-720"/>
        </w:tabs>
        <w:jc w:val="both"/>
        <w:rPr>
          <w:sz w:val="24"/>
          <w:szCs w:val="24"/>
        </w:rPr>
      </w:pP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r>
      <w:r w:rsidRPr="001E6909">
        <w:rPr>
          <w:sz w:val="24"/>
          <w:szCs w:val="24"/>
        </w:rPr>
        <w:tab/>
        <w:t>Secretary</w:t>
      </w:r>
    </w:p>
    <w:p w14:paraId="1FB8FB0B" w14:textId="77777777" w:rsidR="00EB0455" w:rsidRPr="001E6909" w:rsidRDefault="00EB0455" w:rsidP="00EB0455">
      <w:pPr>
        <w:tabs>
          <w:tab w:val="left" w:pos="-720"/>
        </w:tabs>
        <w:jc w:val="both"/>
        <w:rPr>
          <w:sz w:val="24"/>
          <w:szCs w:val="24"/>
        </w:rPr>
      </w:pPr>
    </w:p>
    <w:p w14:paraId="168387BA" w14:textId="77777777" w:rsidR="00EB0455" w:rsidRPr="00900ED4" w:rsidRDefault="00EB0455" w:rsidP="00EB0455"/>
    <w:p w14:paraId="29DB9839" w14:textId="77777777" w:rsidR="008F005F" w:rsidRPr="00EB0455" w:rsidRDefault="008F005F" w:rsidP="00EB0455"/>
    <w:sectPr w:rsidR="008F005F" w:rsidRPr="00EB0455" w:rsidSect="00A029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9CF85" w14:textId="77777777" w:rsidR="00D9173D" w:rsidRDefault="00D9173D">
      <w:r>
        <w:separator/>
      </w:r>
    </w:p>
  </w:endnote>
  <w:endnote w:type="continuationSeparator" w:id="0">
    <w:p w14:paraId="31B83B53" w14:textId="77777777" w:rsidR="00D9173D" w:rsidRDefault="00D9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2FECA" w14:textId="77777777" w:rsidR="00D9173D" w:rsidRDefault="00D9173D">
      <w:r>
        <w:separator/>
      </w:r>
    </w:p>
  </w:footnote>
  <w:footnote w:type="continuationSeparator" w:id="0">
    <w:p w14:paraId="647FD66E" w14:textId="77777777" w:rsidR="00D9173D" w:rsidRDefault="00D91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2673D"/>
    <w:multiLevelType w:val="hybridMultilevel"/>
    <w:tmpl w:val="9EFEE12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45139A"/>
    <w:multiLevelType w:val="hybridMultilevel"/>
    <w:tmpl w:val="E264B1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EC26A48"/>
    <w:multiLevelType w:val="singleLevel"/>
    <w:tmpl w:val="52001CFA"/>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8" w15:restartNumberingAfterBreak="0">
    <w:nsid w:val="48CE39DE"/>
    <w:multiLevelType w:val="hybridMultilevel"/>
    <w:tmpl w:val="B84CB3B4"/>
    <w:lvl w:ilvl="0" w:tplc="8B2A36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1A15B8"/>
    <w:multiLevelType w:val="hybridMultilevel"/>
    <w:tmpl w:val="8220AE6E"/>
    <w:lvl w:ilvl="0" w:tplc="D6AC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FB2CDA"/>
    <w:multiLevelType w:val="hybridMultilevel"/>
    <w:tmpl w:val="8FDA35CE"/>
    <w:lvl w:ilvl="0" w:tplc="6EE23E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2"/>
  </w:num>
  <w:num w:numId="4">
    <w:abstractNumId w:val="5"/>
  </w:num>
  <w:num w:numId="5">
    <w:abstractNumId w:val="13"/>
  </w:num>
  <w:num w:numId="6">
    <w:abstractNumId w:val="4"/>
  </w:num>
  <w:num w:numId="7">
    <w:abstractNumId w:val="14"/>
  </w:num>
  <w:num w:numId="8">
    <w:abstractNumId w:val="12"/>
  </w:num>
  <w:num w:numId="9">
    <w:abstractNumId w:val="0"/>
  </w:num>
  <w:num w:numId="10">
    <w:abstractNumId w:val="10"/>
  </w:num>
  <w:num w:numId="11">
    <w:abstractNumId w:val="7"/>
  </w:num>
  <w:num w:numId="12">
    <w:abstractNumId w:val="8"/>
  </w:num>
  <w:num w:numId="13">
    <w:abstractNumId w:val="9"/>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5F"/>
    <w:rsid w:val="0000454E"/>
    <w:rsid w:val="00024353"/>
    <w:rsid w:val="000314D3"/>
    <w:rsid w:val="00035551"/>
    <w:rsid w:val="00040AB2"/>
    <w:rsid w:val="00047E1B"/>
    <w:rsid w:val="0005168E"/>
    <w:rsid w:val="0005490D"/>
    <w:rsid w:val="00062694"/>
    <w:rsid w:val="00063569"/>
    <w:rsid w:val="00065D9C"/>
    <w:rsid w:val="00077425"/>
    <w:rsid w:val="00086AB1"/>
    <w:rsid w:val="00093CFD"/>
    <w:rsid w:val="000B08F8"/>
    <w:rsid w:val="000B0F40"/>
    <w:rsid w:val="00105050"/>
    <w:rsid w:val="001164FF"/>
    <w:rsid w:val="00122251"/>
    <w:rsid w:val="00132F44"/>
    <w:rsid w:val="00147724"/>
    <w:rsid w:val="00150330"/>
    <w:rsid w:val="00152458"/>
    <w:rsid w:val="001540C6"/>
    <w:rsid w:val="00154B8A"/>
    <w:rsid w:val="00156F86"/>
    <w:rsid w:val="001578EB"/>
    <w:rsid w:val="00165496"/>
    <w:rsid w:val="001714DA"/>
    <w:rsid w:val="00182A15"/>
    <w:rsid w:val="001869CF"/>
    <w:rsid w:val="001D0065"/>
    <w:rsid w:val="001D0180"/>
    <w:rsid w:val="001E41C8"/>
    <w:rsid w:val="001F58F8"/>
    <w:rsid w:val="002024E9"/>
    <w:rsid w:val="002029DD"/>
    <w:rsid w:val="0020561E"/>
    <w:rsid w:val="0021767D"/>
    <w:rsid w:val="002208AF"/>
    <w:rsid w:val="00223717"/>
    <w:rsid w:val="00231106"/>
    <w:rsid w:val="00237303"/>
    <w:rsid w:val="00237498"/>
    <w:rsid w:val="0024304E"/>
    <w:rsid w:val="002431A1"/>
    <w:rsid w:val="00262F68"/>
    <w:rsid w:val="002647DC"/>
    <w:rsid w:val="00273746"/>
    <w:rsid w:val="00275C1C"/>
    <w:rsid w:val="0027682C"/>
    <w:rsid w:val="00282CAA"/>
    <w:rsid w:val="002844E2"/>
    <w:rsid w:val="002C0620"/>
    <w:rsid w:val="002C1246"/>
    <w:rsid w:val="002C724E"/>
    <w:rsid w:val="002D561C"/>
    <w:rsid w:val="002E2C43"/>
    <w:rsid w:val="002E3586"/>
    <w:rsid w:val="002E3CE1"/>
    <w:rsid w:val="00305BB4"/>
    <w:rsid w:val="00306A09"/>
    <w:rsid w:val="00315E81"/>
    <w:rsid w:val="00331EC4"/>
    <w:rsid w:val="00333596"/>
    <w:rsid w:val="00333B74"/>
    <w:rsid w:val="00337276"/>
    <w:rsid w:val="003449D9"/>
    <w:rsid w:val="00344B63"/>
    <w:rsid w:val="0036152B"/>
    <w:rsid w:val="003668FE"/>
    <w:rsid w:val="00395888"/>
    <w:rsid w:val="003B27ED"/>
    <w:rsid w:val="003B4FF0"/>
    <w:rsid w:val="003C161D"/>
    <w:rsid w:val="003D68E1"/>
    <w:rsid w:val="003F505E"/>
    <w:rsid w:val="004126F0"/>
    <w:rsid w:val="004144DD"/>
    <w:rsid w:val="004178D5"/>
    <w:rsid w:val="0041790E"/>
    <w:rsid w:val="00422C4B"/>
    <w:rsid w:val="00444BC6"/>
    <w:rsid w:val="00444C65"/>
    <w:rsid w:val="00446F23"/>
    <w:rsid w:val="00453C1D"/>
    <w:rsid w:val="00456EDC"/>
    <w:rsid w:val="00466310"/>
    <w:rsid w:val="00475044"/>
    <w:rsid w:val="00491EB0"/>
    <w:rsid w:val="004A0C70"/>
    <w:rsid w:val="004D6454"/>
    <w:rsid w:val="004E0D0D"/>
    <w:rsid w:val="004E5BEA"/>
    <w:rsid w:val="00507373"/>
    <w:rsid w:val="00512D35"/>
    <w:rsid w:val="00526F19"/>
    <w:rsid w:val="005371A9"/>
    <w:rsid w:val="00545818"/>
    <w:rsid w:val="00552646"/>
    <w:rsid w:val="00557208"/>
    <w:rsid w:val="005709B1"/>
    <w:rsid w:val="00580BB7"/>
    <w:rsid w:val="00581284"/>
    <w:rsid w:val="00581D77"/>
    <w:rsid w:val="00584647"/>
    <w:rsid w:val="005A0712"/>
    <w:rsid w:val="005B6C1B"/>
    <w:rsid w:val="005C26AF"/>
    <w:rsid w:val="005D2D6D"/>
    <w:rsid w:val="005D378C"/>
    <w:rsid w:val="005E18A8"/>
    <w:rsid w:val="00606A47"/>
    <w:rsid w:val="006216FD"/>
    <w:rsid w:val="00622247"/>
    <w:rsid w:val="00630C35"/>
    <w:rsid w:val="006331FE"/>
    <w:rsid w:val="00644BCA"/>
    <w:rsid w:val="00646DA5"/>
    <w:rsid w:val="006515D3"/>
    <w:rsid w:val="00654BDD"/>
    <w:rsid w:val="00655A17"/>
    <w:rsid w:val="00663F7A"/>
    <w:rsid w:val="006729FA"/>
    <w:rsid w:val="0067571E"/>
    <w:rsid w:val="006811F6"/>
    <w:rsid w:val="00684BBA"/>
    <w:rsid w:val="00692509"/>
    <w:rsid w:val="006B5562"/>
    <w:rsid w:val="006D02DF"/>
    <w:rsid w:val="006D3EA5"/>
    <w:rsid w:val="006E0227"/>
    <w:rsid w:val="00711520"/>
    <w:rsid w:val="0073576A"/>
    <w:rsid w:val="00741923"/>
    <w:rsid w:val="00743F02"/>
    <w:rsid w:val="00745752"/>
    <w:rsid w:val="007673DF"/>
    <w:rsid w:val="007719F5"/>
    <w:rsid w:val="00773E93"/>
    <w:rsid w:val="00786663"/>
    <w:rsid w:val="007A2807"/>
    <w:rsid w:val="007B1239"/>
    <w:rsid w:val="007B129A"/>
    <w:rsid w:val="007B1A3E"/>
    <w:rsid w:val="007B50CB"/>
    <w:rsid w:val="007B770A"/>
    <w:rsid w:val="007C4293"/>
    <w:rsid w:val="007C6272"/>
    <w:rsid w:val="007C798B"/>
    <w:rsid w:val="007D20A2"/>
    <w:rsid w:val="007E205F"/>
    <w:rsid w:val="007E6CF6"/>
    <w:rsid w:val="007F02D7"/>
    <w:rsid w:val="007F38B3"/>
    <w:rsid w:val="007F5DF9"/>
    <w:rsid w:val="00800EE9"/>
    <w:rsid w:val="00807D00"/>
    <w:rsid w:val="00827FCE"/>
    <w:rsid w:val="008540D1"/>
    <w:rsid w:val="00862B49"/>
    <w:rsid w:val="00870A8E"/>
    <w:rsid w:val="0087254A"/>
    <w:rsid w:val="00876336"/>
    <w:rsid w:val="00886EB2"/>
    <w:rsid w:val="008D3988"/>
    <w:rsid w:val="008D3AEE"/>
    <w:rsid w:val="008D6E91"/>
    <w:rsid w:val="008E3E7E"/>
    <w:rsid w:val="008F005F"/>
    <w:rsid w:val="008F59CE"/>
    <w:rsid w:val="008F61E4"/>
    <w:rsid w:val="008F73A1"/>
    <w:rsid w:val="00900ED4"/>
    <w:rsid w:val="00901325"/>
    <w:rsid w:val="00946C40"/>
    <w:rsid w:val="00955C81"/>
    <w:rsid w:val="00964069"/>
    <w:rsid w:val="00976352"/>
    <w:rsid w:val="009843CB"/>
    <w:rsid w:val="0098454A"/>
    <w:rsid w:val="00993AD7"/>
    <w:rsid w:val="00993C5A"/>
    <w:rsid w:val="009A682B"/>
    <w:rsid w:val="009B5A77"/>
    <w:rsid w:val="009D4002"/>
    <w:rsid w:val="009E1641"/>
    <w:rsid w:val="009E580D"/>
    <w:rsid w:val="00A02908"/>
    <w:rsid w:val="00A03A30"/>
    <w:rsid w:val="00A11092"/>
    <w:rsid w:val="00A13FD5"/>
    <w:rsid w:val="00A21A42"/>
    <w:rsid w:val="00A53061"/>
    <w:rsid w:val="00A65F01"/>
    <w:rsid w:val="00A72D7A"/>
    <w:rsid w:val="00AA520B"/>
    <w:rsid w:val="00AA6C2A"/>
    <w:rsid w:val="00AB421C"/>
    <w:rsid w:val="00AB4297"/>
    <w:rsid w:val="00AC71D2"/>
    <w:rsid w:val="00B02BC2"/>
    <w:rsid w:val="00B105C0"/>
    <w:rsid w:val="00B25038"/>
    <w:rsid w:val="00B32C73"/>
    <w:rsid w:val="00B35066"/>
    <w:rsid w:val="00B508E4"/>
    <w:rsid w:val="00B55594"/>
    <w:rsid w:val="00B617EE"/>
    <w:rsid w:val="00B624EC"/>
    <w:rsid w:val="00B63939"/>
    <w:rsid w:val="00BA0AD6"/>
    <w:rsid w:val="00BA2F1D"/>
    <w:rsid w:val="00BB1CD3"/>
    <w:rsid w:val="00BB3200"/>
    <w:rsid w:val="00BD2B64"/>
    <w:rsid w:val="00BD6B9B"/>
    <w:rsid w:val="00BE25C7"/>
    <w:rsid w:val="00BF1CDB"/>
    <w:rsid w:val="00C31FFC"/>
    <w:rsid w:val="00C35902"/>
    <w:rsid w:val="00C60AAB"/>
    <w:rsid w:val="00C70951"/>
    <w:rsid w:val="00C74FB4"/>
    <w:rsid w:val="00C86E54"/>
    <w:rsid w:val="00CB2539"/>
    <w:rsid w:val="00CC563D"/>
    <w:rsid w:val="00CC685A"/>
    <w:rsid w:val="00CE1574"/>
    <w:rsid w:val="00CF6B6C"/>
    <w:rsid w:val="00CF748B"/>
    <w:rsid w:val="00D10B5C"/>
    <w:rsid w:val="00D1627A"/>
    <w:rsid w:val="00D25021"/>
    <w:rsid w:val="00D3064A"/>
    <w:rsid w:val="00D32BE2"/>
    <w:rsid w:val="00D54881"/>
    <w:rsid w:val="00D6219F"/>
    <w:rsid w:val="00D77DBA"/>
    <w:rsid w:val="00D85F98"/>
    <w:rsid w:val="00D9173D"/>
    <w:rsid w:val="00DC3A50"/>
    <w:rsid w:val="00DD3566"/>
    <w:rsid w:val="00DD6D51"/>
    <w:rsid w:val="00DE2CC3"/>
    <w:rsid w:val="00DE634F"/>
    <w:rsid w:val="00E12ADE"/>
    <w:rsid w:val="00E14DA1"/>
    <w:rsid w:val="00E308F8"/>
    <w:rsid w:val="00E341DE"/>
    <w:rsid w:val="00E34404"/>
    <w:rsid w:val="00E37ABD"/>
    <w:rsid w:val="00E41144"/>
    <w:rsid w:val="00E45A6A"/>
    <w:rsid w:val="00E544D1"/>
    <w:rsid w:val="00E65F2D"/>
    <w:rsid w:val="00E67D27"/>
    <w:rsid w:val="00E77397"/>
    <w:rsid w:val="00E86BCC"/>
    <w:rsid w:val="00EA1DBB"/>
    <w:rsid w:val="00EA332D"/>
    <w:rsid w:val="00EB0455"/>
    <w:rsid w:val="00EB05CC"/>
    <w:rsid w:val="00EC0F0C"/>
    <w:rsid w:val="00F10B0D"/>
    <w:rsid w:val="00F32CBE"/>
    <w:rsid w:val="00F57168"/>
    <w:rsid w:val="00F7307A"/>
    <w:rsid w:val="00F746BD"/>
    <w:rsid w:val="00FA60A0"/>
    <w:rsid w:val="00FF4226"/>
    <w:rsid w:val="00FF6159"/>
    <w:rsid w:val="00FF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2A27"/>
  <w15:docId w15:val="{406B3801-8C3D-4A72-9D82-449CC364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24"/>
  </w:style>
  <w:style w:type="paragraph" w:styleId="Heading1">
    <w:name w:val="heading 1"/>
    <w:basedOn w:val="Normal"/>
    <w:next w:val="Normal"/>
    <w:qFormat/>
    <w:rsid w:val="0014772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47724"/>
    <w:pPr>
      <w:ind w:left="360"/>
    </w:pPr>
    <w:rPr>
      <w:sz w:val="24"/>
    </w:rPr>
  </w:style>
  <w:style w:type="paragraph" w:styleId="Header">
    <w:name w:val="header"/>
    <w:basedOn w:val="Normal"/>
    <w:rsid w:val="00147724"/>
    <w:pPr>
      <w:tabs>
        <w:tab w:val="center" w:pos="4320"/>
        <w:tab w:val="right" w:pos="8640"/>
      </w:tabs>
    </w:pPr>
  </w:style>
  <w:style w:type="paragraph" w:styleId="Footer">
    <w:name w:val="footer"/>
    <w:basedOn w:val="Normal"/>
    <w:rsid w:val="00147724"/>
    <w:pPr>
      <w:tabs>
        <w:tab w:val="center" w:pos="4320"/>
        <w:tab w:val="right" w:pos="8640"/>
      </w:tabs>
    </w:pPr>
  </w:style>
  <w:style w:type="paragraph" w:styleId="BodyText">
    <w:name w:val="Body Text"/>
    <w:basedOn w:val="Normal"/>
    <w:rsid w:val="00147724"/>
    <w:rPr>
      <w:sz w:val="24"/>
    </w:rPr>
  </w:style>
  <w:style w:type="paragraph" w:styleId="BalloonText">
    <w:name w:val="Balloon Text"/>
    <w:basedOn w:val="Normal"/>
    <w:semiHidden/>
    <w:rsid w:val="001F58F8"/>
    <w:rPr>
      <w:rFonts w:ascii="Tahoma" w:hAnsi="Tahoma" w:cs="Tahoma"/>
      <w:sz w:val="16"/>
      <w:szCs w:val="16"/>
    </w:rPr>
  </w:style>
  <w:style w:type="paragraph" w:styleId="NoSpacing">
    <w:name w:val="No Spacing"/>
    <w:uiPriority w:val="1"/>
    <w:qFormat/>
    <w:rsid w:val="002431A1"/>
    <w:rPr>
      <w:rFonts w:ascii="Courier New" w:hAnsi="Courier New"/>
      <w:sz w:val="24"/>
    </w:rPr>
  </w:style>
  <w:style w:type="paragraph" w:customStyle="1" w:styleId="Style">
    <w:name w:val="Style"/>
    <w:rsid w:val="008F59C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PLATZER</dc:creator>
  <cp:lastModifiedBy>Wagner, Nathan R</cp:lastModifiedBy>
  <cp:revision>3</cp:revision>
  <cp:lastPrinted>2019-03-29T14:39:00Z</cp:lastPrinted>
  <dcterms:created xsi:type="dcterms:W3CDTF">2020-01-08T15:17:00Z</dcterms:created>
  <dcterms:modified xsi:type="dcterms:W3CDTF">2020-01-22T13:48:00Z</dcterms:modified>
</cp:coreProperties>
</file>