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84" w:type="dxa"/>
        <w:tblInd w:w="-702" w:type="dxa"/>
        <w:tblLayout w:type="fixed"/>
        <w:tblLook w:val="0000" w:firstRow="0" w:lastRow="0" w:firstColumn="0" w:lastColumn="0" w:noHBand="0" w:noVBand="0"/>
      </w:tblPr>
      <w:tblGrid>
        <w:gridCol w:w="1363"/>
        <w:gridCol w:w="8069"/>
        <w:gridCol w:w="1452"/>
      </w:tblGrid>
      <w:tr w:rsidR="00C74A51" w14:paraId="4EAB739A" w14:textId="77777777" w:rsidTr="0047576A">
        <w:trPr>
          <w:trHeight w:val="990"/>
        </w:trPr>
        <w:tc>
          <w:tcPr>
            <w:tcW w:w="1363" w:type="dxa"/>
          </w:tcPr>
          <w:p w14:paraId="5CCF755A" w14:textId="77777777" w:rsidR="00C74A51" w:rsidRDefault="005B7F53">
            <w:pPr>
              <w:rPr>
                <w:sz w:val="24"/>
              </w:rPr>
            </w:pPr>
            <w:r>
              <w:rPr>
                <w:noProof/>
                <w:spacing w:val="-2"/>
              </w:rPr>
              <w:drawing>
                <wp:inline distT="0" distB="0" distL="0" distR="0" wp14:anchorId="7EB71751" wp14:editId="51068260">
                  <wp:extent cx="725170" cy="72517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5170" cy="725170"/>
                          </a:xfrm>
                          <a:prstGeom prst="rect">
                            <a:avLst/>
                          </a:prstGeom>
                          <a:noFill/>
                          <a:ln>
                            <a:noFill/>
                          </a:ln>
                        </pic:spPr>
                      </pic:pic>
                    </a:graphicData>
                  </a:graphic>
                </wp:inline>
              </w:drawing>
            </w:r>
          </w:p>
        </w:tc>
        <w:tc>
          <w:tcPr>
            <w:tcW w:w="8069" w:type="dxa"/>
          </w:tcPr>
          <w:p w14:paraId="1DD5D7E9" w14:textId="77777777" w:rsidR="00C74A51" w:rsidRDefault="00C74A51">
            <w:pPr>
              <w:suppressAutoHyphens/>
              <w:spacing w:line="204" w:lineRule="auto"/>
              <w:jc w:val="center"/>
              <w:rPr>
                <w:rFonts w:ascii="Arial" w:hAnsi="Arial"/>
                <w:color w:val="000080"/>
                <w:spacing w:val="-3"/>
                <w:sz w:val="26"/>
              </w:rPr>
            </w:pPr>
          </w:p>
          <w:p w14:paraId="2FC8D3CC"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671FDE5"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260A4B" w14:textId="77777777" w:rsidR="00850F1D" w:rsidRDefault="00850F1D">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34659964" w14:textId="77777777" w:rsidR="0062751C" w:rsidRDefault="0062751C">
            <w:pPr>
              <w:suppressAutoHyphens/>
              <w:spacing w:line="204" w:lineRule="auto"/>
              <w:jc w:val="center"/>
              <w:rPr>
                <w:rFonts w:ascii="Arial" w:hAnsi="Arial"/>
                <w:color w:val="000080"/>
                <w:spacing w:val="-3"/>
                <w:sz w:val="26"/>
              </w:rPr>
            </w:pPr>
            <w:r>
              <w:rPr>
                <w:rFonts w:ascii="Arial" w:hAnsi="Arial"/>
                <w:color w:val="000080"/>
                <w:spacing w:val="-3"/>
                <w:sz w:val="26"/>
              </w:rPr>
              <w:t>400 NORTH STREET</w:t>
            </w:r>
          </w:p>
          <w:p w14:paraId="38BA695F" w14:textId="77777777" w:rsidR="00C74A51" w:rsidRDefault="00C74A51" w:rsidP="0062751C">
            <w:pPr>
              <w:jc w:val="center"/>
              <w:rPr>
                <w:rFonts w:ascii="Arial" w:hAnsi="Arial"/>
                <w:sz w:val="12"/>
              </w:rPr>
            </w:pPr>
            <w:r>
              <w:rPr>
                <w:rFonts w:ascii="Arial" w:hAnsi="Arial"/>
                <w:color w:val="000080"/>
                <w:spacing w:val="-3"/>
                <w:sz w:val="26"/>
              </w:rPr>
              <w:t>HARRISBURG, PA 1712</w:t>
            </w:r>
            <w:r w:rsidR="0062751C">
              <w:rPr>
                <w:rFonts w:ascii="Arial" w:hAnsi="Arial"/>
                <w:color w:val="000080"/>
                <w:spacing w:val="-3"/>
                <w:sz w:val="26"/>
              </w:rPr>
              <w:t>0</w:t>
            </w:r>
          </w:p>
        </w:tc>
        <w:tc>
          <w:tcPr>
            <w:tcW w:w="1452" w:type="dxa"/>
          </w:tcPr>
          <w:p w14:paraId="62692565" w14:textId="77777777" w:rsidR="00C74A51" w:rsidRDefault="00C74A51">
            <w:pPr>
              <w:rPr>
                <w:rFonts w:ascii="Arial" w:hAnsi="Arial"/>
                <w:sz w:val="12"/>
              </w:rPr>
            </w:pPr>
          </w:p>
          <w:p w14:paraId="76CC8342" w14:textId="77777777" w:rsidR="00C74A51" w:rsidRDefault="00C74A51">
            <w:pPr>
              <w:rPr>
                <w:rFonts w:ascii="Arial" w:hAnsi="Arial"/>
                <w:sz w:val="12"/>
              </w:rPr>
            </w:pPr>
          </w:p>
          <w:p w14:paraId="1ED46693" w14:textId="77777777" w:rsidR="00C74A51" w:rsidRDefault="00C74A51">
            <w:pPr>
              <w:rPr>
                <w:rFonts w:ascii="Arial" w:hAnsi="Arial"/>
                <w:sz w:val="12"/>
              </w:rPr>
            </w:pPr>
          </w:p>
          <w:p w14:paraId="556FE8F2" w14:textId="77777777" w:rsidR="00C74A51" w:rsidRDefault="00C74A51">
            <w:pPr>
              <w:rPr>
                <w:rFonts w:ascii="Arial" w:hAnsi="Arial"/>
                <w:sz w:val="12"/>
              </w:rPr>
            </w:pPr>
          </w:p>
          <w:p w14:paraId="41487A0F" w14:textId="77777777" w:rsidR="00C74A51" w:rsidRDefault="00C74A51">
            <w:pPr>
              <w:rPr>
                <w:rFonts w:ascii="Arial" w:hAnsi="Arial"/>
                <w:sz w:val="12"/>
              </w:rPr>
            </w:pPr>
          </w:p>
          <w:p w14:paraId="147F6BBE" w14:textId="77777777" w:rsidR="00C74A51" w:rsidRDefault="00C74A51">
            <w:pPr>
              <w:rPr>
                <w:rFonts w:ascii="Arial" w:hAnsi="Arial"/>
                <w:sz w:val="12"/>
              </w:rPr>
            </w:pPr>
          </w:p>
          <w:p w14:paraId="775506C7" w14:textId="77777777" w:rsidR="00C74A51" w:rsidRDefault="00C74A51">
            <w:pPr>
              <w:jc w:val="right"/>
              <w:rPr>
                <w:rFonts w:ascii="Arial" w:hAnsi="Arial"/>
                <w:b/>
                <w:spacing w:val="-1"/>
                <w:sz w:val="12"/>
              </w:rPr>
            </w:pPr>
            <w:r>
              <w:rPr>
                <w:rFonts w:ascii="Arial" w:hAnsi="Arial"/>
                <w:b/>
                <w:spacing w:val="-1"/>
                <w:sz w:val="12"/>
              </w:rPr>
              <w:t>IN REPLY PLEASE REFER TO OUR FILE</w:t>
            </w:r>
          </w:p>
          <w:p w14:paraId="13F1E753" w14:textId="77777777" w:rsidR="00E43673" w:rsidRPr="00186F4B" w:rsidRDefault="00E43673" w:rsidP="00E43673">
            <w:pPr>
              <w:ind w:left="-828"/>
              <w:jc w:val="right"/>
              <w:rPr>
                <w:rFonts w:ascii="Arial" w:hAnsi="Arial" w:cs="Arial"/>
                <w:sz w:val="16"/>
                <w:szCs w:val="16"/>
              </w:rPr>
            </w:pPr>
            <w:r w:rsidRPr="00186F4B">
              <w:rPr>
                <w:rFonts w:ascii="Arial" w:hAnsi="Arial" w:cs="Arial"/>
                <w:sz w:val="16"/>
                <w:szCs w:val="16"/>
              </w:rPr>
              <w:t>M-2018-2640802</w:t>
            </w:r>
          </w:p>
          <w:p w14:paraId="42440556" w14:textId="77777777" w:rsidR="00E43673" w:rsidRPr="00186F4B" w:rsidRDefault="00E43673" w:rsidP="00E43673">
            <w:pPr>
              <w:ind w:left="-828"/>
              <w:jc w:val="right"/>
              <w:rPr>
                <w:rFonts w:ascii="Arial" w:hAnsi="Arial" w:cs="Arial"/>
                <w:sz w:val="16"/>
                <w:szCs w:val="16"/>
              </w:rPr>
            </w:pPr>
            <w:r w:rsidRPr="00186F4B">
              <w:rPr>
                <w:rFonts w:ascii="Arial" w:hAnsi="Arial" w:cs="Arial"/>
                <w:sz w:val="16"/>
                <w:szCs w:val="16"/>
              </w:rPr>
              <w:t>(</w:t>
            </w:r>
            <w:r>
              <w:rPr>
                <w:rFonts w:ascii="Arial" w:hAnsi="Arial" w:cs="Arial"/>
                <w:sz w:val="16"/>
                <w:szCs w:val="16"/>
              </w:rPr>
              <w:t>W</w:t>
            </w:r>
            <w:r w:rsidRPr="00186F4B">
              <w:rPr>
                <w:rFonts w:ascii="Arial" w:hAnsi="Arial" w:cs="Arial"/>
                <w:sz w:val="16"/>
                <w:szCs w:val="16"/>
              </w:rPr>
              <w:t>ater)</w:t>
            </w:r>
          </w:p>
          <w:p w14:paraId="468D9832" w14:textId="77777777" w:rsidR="00E43673" w:rsidRPr="00186F4B" w:rsidRDefault="00E43673" w:rsidP="00E43673">
            <w:pPr>
              <w:ind w:left="-828"/>
              <w:jc w:val="right"/>
              <w:rPr>
                <w:rFonts w:ascii="Arial" w:hAnsi="Arial" w:cs="Arial"/>
                <w:sz w:val="16"/>
                <w:szCs w:val="16"/>
              </w:rPr>
            </w:pPr>
            <w:r w:rsidRPr="00186F4B">
              <w:rPr>
                <w:rFonts w:ascii="Arial" w:hAnsi="Arial" w:cs="Arial"/>
                <w:sz w:val="16"/>
                <w:szCs w:val="16"/>
              </w:rPr>
              <w:t>M-2018-2640803</w:t>
            </w:r>
          </w:p>
          <w:p w14:paraId="41149BD8" w14:textId="77777777" w:rsidR="00153FD8" w:rsidRPr="006266EC" w:rsidRDefault="00E43673" w:rsidP="00E43673">
            <w:pPr>
              <w:ind w:left="-109" w:firstLine="109"/>
              <w:jc w:val="right"/>
              <w:rPr>
                <w:rFonts w:ascii="Arial" w:hAnsi="Arial"/>
                <w:sz w:val="14"/>
                <w:szCs w:val="14"/>
              </w:rPr>
            </w:pPr>
            <w:r w:rsidRPr="00186F4B">
              <w:rPr>
                <w:rFonts w:ascii="Arial" w:hAnsi="Arial" w:cs="Arial"/>
                <w:sz w:val="16"/>
                <w:szCs w:val="16"/>
              </w:rPr>
              <w:t>(</w:t>
            </w:r>
            <w:r>
              <w:rPr>
                <w:rFonts w:ascii="Arial" w:hAnsi="Arial" w:cs="Arial"/>
                <w:sz w:val="16"/>
                <w:szCs w:val="16"/>
              </w:rPr>
              <w:t>W</w:t>
            </w:r>
            <w:r w:rsidRPr="00186F4B">
              <w:rPr>
                <w:rFonts w:ascii="Arial" w:hAnsi="Arial" w:cs="Arial"/>
                <w:sz w:val="16"/>
                <w:szCs w:val="16"/>
              </w:rPr>
              <w:t>astewater)</w:t>
            </w:r>
          </w:p>
        </w:tc>
      </w:tr>
    </w:tbl>
    <w:p w14:paraId="37F332D1" w14:textId="0E3AF345" w:rsidR="007826AB" w:rsidRDefault="00CB4CC1" w:rsidP="00CB4CC1">
      <w:pPr>
        <w:ind w:left="720" w:hanging="720"/>
        <w:jc w:val="center"/>
        <w:rPr>
          <w:b/>
          <w:sz w:val="26"/>
          <w:szCs w:val="26"/>
        </w:rPr>
      </w:pPr>
      <w:r>
        <w:rPr>
          <w:b/>
          <w:sz w:val="26"/>
          <w:szCs w:val="26"/>
        </w:rPr>
        <w:t>January 24, 2020</w:t>
      </w:r>
      <w:bookmarkStart w:id="0" w:name="_GoBack"/>
      <w:bookmarkEnd w:id="0"/>
    </w:p>
    <w:p w14:paraId="07F14D3A" w14:textId="77777777" w:rsidR="00472521" w:rsidRDefault="00472521" w:rsidP="0095100A">
      <w:pPr>
        <w:ind w:left="720" w:hanging="720"/>
        <w:rPr>
          <w:b/>
          <w:sz w:val="26"/>
          <w:szCs w:val="26"/>
        </w:rPr>
      </w:pPr>
    </w:p>
    <w:p w14:paraId="4F2C609E" w14:textId="77777777" w:rsidR="00E90B33" w:rsidRPr="00E90B33" w:rsidRDefault="00E528E4" w:rsidP="0047576A">
      <w:pPr>
        <w:ind w:left="720" w:hanging="720"/>
        <w:rPr>
          <w:b/>
          <w:i/>
          <w:iCs/>
          <w:sz w:val="26"/>
          <w:szCs w:val="26"/>
        </w:rPr>
      </w:pPr>
      <w:r w:rsidRPr="00113F9A">
        <w:rPr>
          <w:b/>
          <w:sz w:val="26"/>
          <w:szCs w:val="26"/>
        </w:rPr>
        <w:t>Re:</w:t>
      </w:r>
      <w:r w:rsidR="009A090F" w:rsidRPr="00113F9A">
        <w:rPr>
          <w:b/>
          <w:sz w:val="26"/>
          <w:szCs w:val="26"/>
        </w:rPr>
        <w:tab/>
      </w:r>
      <w:r w:rsidR="00E43673">
        <w:rPr>
          <w:b/>
          <w:i/>
          <w:sz w:val="26"/>
          <w:szCs w:val="26"/>
        </w:rPr>
        <w:t>Implementation of Chapter 32 of the Public Utility Code Regarding Pittsburgh Water and Sewer Authority – Stage 1</w:t>
      </w:r>
    </w:p>
    <w:p w14:paraId="7483703A" w14:textId="77777777" w:rsidR="004762B3" w:rsidRDefault="006C33BC" w:rsidP="003A6C49">
      <w:pPr>
        <w:ind w:left="720" w:hanging="720"/>
        <w:rPr>
          <w:b/>
          <w:iCs/>
          <w:sz w:val="26"/>
          <w:szCs w:val="26"/>
        </w:rPr>
      </w:pPr>
      <w:r w:rsidRPr="008C2FAF">
        <w:rPr>
          <w:b/>
          <w:i/>
          <w:sz w:val="26"/>
          <w:szCs w:val="26"/>
        </w:rPr>
        <w:tab/>
      </w:r>
      <w:r w:rsidRPr="00555335">
        <w:rPr>
          <w:b/>
          <w:iCs/>
          <w:sz w:val="26"/>
          <w:szCs w:val="26"/>
        </w:rPr>
        <w:t>Docket No</w:t>
      </w:r>
      <w:r w:rsidR="00E43673">
        <w:rPr>
          <w:b/>
          <w:iCs/>
          <w:sz w:val="26"/>
          <w:szCs w:val="26"/>
        </w:rPr>
        <w:t>s</w:t>
      </w:r>
      <w:r w:rsidRPr="00555335">
        <w:rPr>
          <w:b/>
          <w:iCs/>
          <w:sz w:val="26"/>
          <w:szCs w:val="26"/>
        </w:rPr>
        <w:t xml:space="preserve">. </w:t>
      </w:r>
      <w:r w:rsidR="00E43673">
        <w:rPr>
          <w:b/>
          <w:iCs/>
          <w:sz w:val="26"/>
          <w:szCs w:val="26"/>
        </w:rPr>
        <w:t>M-2018-2640802 and M-2018-2640803</w:t>
      </w:r>
    </w:p>
    <w:p w14:paraId="7175514F" w14:textId="77777777" w:rsidR="00E43673" w:rsidRDefault="00E43673" w:rsidP="003A6C49">
      <w:pPr>
        <w:ind w:left="720" w:hanging="720"/>
        <w:rPr>
          <w:b/>
          <w:iCs/>
          <w:sz w:val="26"/>
          <w:szCs w:val="26"/>
        </w:rPr>
      </w:pPr>
    </w:p>
    <w:p w14:paraId="3CBD47CC" w14:textId="77777777" w:rsidR="00E43673" w:rsidRDefault="00E43673" w:rsidP="003A6C49">
      <w:pPr>
        <w:ind w:left="720" w:hanging="720"/>
        <w:rPr>
          <w:b/>
          <w:i/>
          <w:sz w:val="26"/>
          <w:szCs w:val="26"/>
        </w:rPr>
      </w:pPr>
      <w:r>
        <w:rPr>
          <w:b/>
          <w:iCs/>
          <w:sz w:val="26"/>
          <w:szCs w:val="26"/>
        </w:rPr>
        <w:tab/>
      </w:r>
      <w:r>
        <w:rPr>
          <w:b/>
          <w:i/>
          <w:sz w:val="26"/>
          <w:szCs w:val="26"/>
        </w:rPr>
        <w:t>Petition of Pittsburgh Water and Sewer Authority for Approval of Its Long-Term Infrastructure Improvement Plan</w:t>
      </w:r>
    </w:p>
    <w:p w14:paraId="44783FF1" w14:textId="77777777" w:rsidR="00E43673" w:rsidRDefault="00E43673" w:rsidP="003A6C49">
      <w:pPr>
        <w:ind w:left="720" w:hanging="720"/>
        <w:rPr>
          <w:b/>
          <w:iCs/>
          <w:sz w:val="26"/>
          <w:szCs w:val="26"/>
        </w:rPr>
      </w:pPr>
      <w:r>
        <w:rPr>
          <w:b/>
          <w:i/>
          <w:sz w:val="26"/>
          <w:szCs w:val="26"/>
        </w:rPr>
        <w:tab/>
      </w:r>
      <w:r>
        <w:rPr>
          <w:b/>
          <w:iCs/>
          <w:sz w:val="26"/>
          <w:szCs w:val="26"/>
        </w:rPr>
        <w:t>Docket Nos. P-2018-3005037 and P-2018-3005039</w:t>
      </w:r>
    </w:p>
    <w:p w14:paraId="5439CA6E" w14:textId="77777777" w:rsidR="009D693A" w:rsidRDefault="009D693A" w:rsidP="003A6C49">
      <w:pPr>
        <w:ind w:left="720" w:hanging="720"/>
        <w:rPr>
          <w:b/>
          <w:iCs/>
          <w:sz w:val="26"/>
          <w:szCs w:val="26"/>
        </w:rPr>
      </w:pPr>
    </w:p>
    <w:p w14:paraId="4817BB8C" w14:textId="77777777" w:rsidR="009D693A" w:rsidRPr="00E90B33" w:rsidRDefault="009D693A" w:rsidP="009D693A">
      <w:pPr>
        <w:ind w:left="720" w:hanging="720"/>
        <w:rPr>
          <w:b/>
          <w:i/>
          <w:iCs/>
          <w:sz w:val="26"/>
          <w:szCs w:val="26"/>
        </w:rPr>
      </w:pPr>
      <w:r>
        <w:rPr>
          <w:b/>
          <w:iCs/>
          <w:sz w:val="26"/>
          <w:szCs w:val="26"/>
        </w:rPr>
        <w:tab/>
      </w:r>
      <w:r>
        <w:rPr>
          <w:b/>
          <w:i/>
          <w:sz w:val="26"/>
          <w:szCs w:val="26"/>
        </w:rPr>
        <w:t xml:space="preserve">Implementation of Chapter 32 of the Public Utility Code Regarding Pittsburgh Water and Sewer Authority – Stage 2 </w:t>
      </w:r>
      <w:r w:rsidR="00F52CB9">
        <w:rPr>
          <w:b/>
          <w:i/>
          <w:sz w:val="26"/>
          <w:szCs w:val="26"/>
        </w:rPr>
        <w:t>(</w:t>
      </w:r>
      <w:r>
        <w:rPr>
          <w:b/>
          <w:i/>
          <w:sz w:val="26"/>
          <w:szCs w:val="26"/>
        </w:rPr>
        <w:t>Timeline</w:t>
      </w:r>
      <w:r w:rsidR="00F52CB9">
        <w:rPr>
          <w:b/>
          <w:i/>
          <w:sz w:val="26"/>
          <w:szCs w:val="26"/>
        </w:rPr>
        <w:t>)</w:t>
      </w:r>
      <w:r>
        <w:rPr>
          <w:b/>
          <w:i/>
          <w:sz w:val="26"/>
          <w:szCs w:val="26"/>
        </w:rPr>
        <w:t xml:space="preserve"> </w:t>
      </w:r>
    </w:p>
    <w:p w14:paraId="5182BEAD" w14:textId="77777777" w:rsidR="009D693A" w:rsidRPr="00E43673" w:rsidRDefault="009D693A" w:rsidP="009D693A">
      <w:pPr>
        <w:ind w:left="720" w:hanging="720"/>
        <w:rPr>
          <w:b/>
          <w:iCs/>
          <w:sz w:val="26"/>
          <w:szCs w:val="26"/>
        </w:rPr>
      </w:pPr>
      <w:r w:rsidRPr="008C2FAF">
        <w:rPr>
          <w:b/>
          <w:i/>
          <w:sz w:val="26"/>
          <w:szCs w:val="26"/>
        </w:rPr>
        <w:tab/>
      </w:r>
      <w:r w:rsidRPr="00555335">
        <w:rPr>
          <w:b/>
          <w:iCs/>
          <w:sz w:val="26"/>
          <w:szCs w:val="26"/>
        </w:rPr>
        <w:t>Docket No</w:t>
      </w:r>
      <w:r>
        <w:rPr>
          <w:b/>
          <w:iCs/>
          <w:sz w:val="26"/>
          <w:szCs w:val="26"/>
        </w:rPr>
        <w:t>s</w:t>
      </w:r>
      <w:r w:rsidRPr="00555335">
        <w:rPr>
          <w:b/>
          <w:iCs/>
          <w:sz w:val="26"/>
          <w:szCs w:val="26"/>
        </w:rPr>
        <w:t xml:space="preserve">. </w:t>
      </w:r>
      <w:r>
        <w:rPr>
          <w:b/>
          <w:iCs/>
          <w:sz w:val="26"/>
          <w:szCs w:val="26"/>
        </w:rPr>
        <w:t>M-2018-2640802 and M-2018-2640803</w:t>
      </w:r>
    </w:p>
    <w:p w14:paraId="1FD9E45E" w14:textId="77777777" w:rsidR="00827532" w:rsidRPr="00113F9A" w:rsidRDefault="00827532" w:rsidP="00125E62">
      <w:pPr>
        <w:spacing w:after="58"/>
        <w:rPr>
          <w:b/>
          <w:sz w:val="26"/>
          <w:szCs w:val="26"/>
        </w:rPr>
      </w:pPr>
    </w:p>
    <w:p w14:paraId="051AA4BF" w14:textId="77777777" w:rsidR="00E528E4" w:rsidRPr="0008045A" w:rsidRDefault="001C1E78" w:rsidP="00E528E4">
      <w:pPr>
        <w:rPr>
          <w:sz w:val="26"/>
          <w:szCs w:val="26"/>
        </w:rPr>
      </w:pPr>
      <w:r w:rsidRPr="0008045A">
        <w:rPr>
          <w:sz w:val="26"/>
          <w:szCs w:val="26"/>
        </w:rPr>
        <w:t>TO ALL PARTIES</w:t>
      </w:r>
      <w:r w:rsidR="00430047" w:rsidRPr="0008045A">
        <w:rPr>
          <w:sz w:val="26"/>
          <w:szCs w:val="26"/>
        </w:rPr>
        <w:t>:</w:t>
      </w:r>
    </w:p>
    <w:p w14:paraId="6A2EE882" w14:textId="77777777" w:rsidR="006B6701" w:rsidRDefault="006B6701" w:rsidP="006B6701">
      <w:pPr>
        <w:ind w:firstLine="1440"/>
        <w:rPr>
          <w:sz w:val="26"/>
          <w:szCs w:val="26"/>
        </w:rPr>
      </w:pPr>
    </w:p>
    <w:p w14:paraId="249ABB1D" w14:textId="77777777" w:rsidR="007E79DB" w:rsidRDefault="001D1EB7" w:rsidP="007826AB">
      <w:pPr>
        <w:ind w:firstLine="720"/>
        <w:rPr>
          <w:sz w:val="26"/>
          <w:szCs w:val="26"/>
        </w:rPr>
      </w:pPr>
      <w:r>
        <w:rPr>
          <w:sz w:val="26"/>
          <w:szCs w:val="26"/>
        </w:rPr>
        <w:t xml:space="preserve">On May 13, 2019, a joint Expedited Motion for Extension of Commission-Created Deadlines (Petition) was filed by </w:t>
      </w:r>
      <w:r>
        <w:rPr>
          <w:rFonts w:eastAsia="Calibri"/>
          <w:sz w:val="26"/>
          <w:szCs w:val="26"/>
        </w:rPr>
        <w:t>Pittsburgh Water and Sewer Authority (PWSA), the Commission’s Bureau of Investigation and Enforcement</w:t>
      </w:r>
      <w:r w:rsidR="00FE3973">
        <w:rPr>
          <w:rFonts w:eastAsia="Calibri"/>
          <w:sz w:val="26"/>
          <w:szCs w:val="26"/>
        </w:rPr>
        <w:t xml:space="preserve"> (I&amp;E)</w:t>
      </w:r>
      <w:r>
        <w:rPr>
          <w:rFonts w:eastAsia="Calibri"/>
          <w:sz w:val="26"/>
          <w:szCs w:val="26"/>
        </w:rPr>
        <w:t>, the Office of Consumer Advocate</w:t>
      </w:r>
      <w:r w:rsidR="00FE3973">
        <w:rPr>
          <w:rFonts w:eastAsia="Calibri"/>
          <w:sz w:val="26"/>
          <w:szCs w:val="26"/>
        </w:rPr>
        <w:t xml:space="preserve"> (OCA)</w:t>
      </w:r>
      <w:r>
        <w:rPr>
          <w:rFonts w:eastAsia="Calibri"/>
          <w:sz w:val="26"/>
          <w:szCs w:val="26"/>
        </w:rPr>
        <w:t>, the Office of Small Business Advocate</w:t>
      </w:r>
      <w:r w:rsidR="00FE3973">
        <w:rPr>
          <w:rFonts w:eastAsia="Calibri"/>
          <w:sz w:val="26"/>
          <w:szCs w:val="26"/>
        </w:rPr>
        <w:t xml:space="preserve"> (OSBA)</w:t>
      </w:r>
      <w:r>
        <w:rPr>
          <w:rFonts w:eastAsia="Calibri"/>
          <w:sz w:val="26"/>
          <w:szCs w:val="26"/>
        </w:rPr>
        <w:t>, the Pennsylvania American Water Company, and Pittsburgh UNITED.  The Petition requested, in part, a three-month extension of the litigation schedule in order to engage in settlement discussions</w:t>
      </w:r>
      <w:r w:rsidR="005B2A1D">
        <w:rPr>
          <w:rFonts w:eastAsia="Calibri"/>
          <w:sz w:val="26"/>
          <w:szCs w:val="26"/>
        </w:rPr>
        <w:t xml:space="preserve"> of issues addressed in the above-referenced PWSA Stage 1 Compliance Plan and its </w:t>
      </w:r>
      <w:r w:rsidR="005B2A1D" w:rsidRPr="005B2A1D">
        <w:rPr>
          <w:rFonts w:eastAsia="Calibri"/>
          <w:sz w:val="26"/>
          <w:szCs w:val="26"/>
        </w:rPr>
        <w:t>Long-Term Infrastructure Improvement Plan</w:t>
      </w:r>
      <w:r w:rsidR="005B2A1D">
        <w:rPr>
          <w:rFonts w:eastAsia="Calibri"/>
          <w:sz w:val="26"/>
          <w:szCs w:val="26"/>
        </w:rPr>
        <w:t xml:space="preserve"> (LTIIP)</w:t>
      </w:r>
      <w:r>
        <w:rPr>
          <w:rFonts w:eastAsia="Calibri"/>
          <w:sz w:val="26"/>
          <w:szCs w:val="26"/>
        </w:rPr>
        <w:t xml:space="preserve">.  </w:t>
      </w:r>
      <w:r w:rsidR="00E43673">
        <w:rPr>
          <w:sz w:val="26"/>
          <w:szCs w:val="26"/>
        </w:rPr>
        <w:t>By Secretarial Letter dated May 15, 2019</w:t>
      </w:r>
      <w:r>
        <w:rPr>
          <w:sz w:val="26"/>
          <w:szCs w:val="26"/>
        </w:rPr>
        <w:t xml:space="preserve"> (</w:t>
      </w:r>
      <w:r w:rsidRPr="001D1EB7">
        <w:rPr>
          <w:i/>
          <w:iCs/>
          <w:sz w:val="26"/>
          <w:szCs w:val="26"/>
        </w:rPr>
        <w:t>May 2019 Secretarial Letter</w:t>
      </w:r>
      <w:r>
        <w:rPr>
          <w:sz w:val="26"/>
          <w:szCs w:val="26"/>
        </w:rPr>
        <w:t>)</w:t>
      </w:r>
      <w:r w:rsidR="00E43673">
        <w:rPr>
          <w:sz w:val="26"/>
          <w:szCs w:val="26"/>
        </w:rPr>
        <w:t xml:space="preserve">, the Commission </w:t>
      </w:r>
      <w:r>
        <w:rPr>
          <w:sz w:val="26"/>
          <w:szCs w:val="26"/>
        </w:rPr>
        <w:t>granted the requested relief set forth in the Petition</w:t>
      </w:r>
      <w:r w:rsidR="007826AB">
        <w:rPr>
          <w:sz w:val="26"/>
          <w:szCs w:val="26"/>
        </w:rPr>
        <w:t>.</w:t>
      </w:r>
      <w:r w:rsidR="00EB2B69">
        <w:rPr>
          <w:sz w:val="26"/>
          <w:szCs w:val="26"/>
        </w:rPr>
        <w:t xml:space="preserve">  </w:t>
      </w:r>
    </w:p>
    <w:p w14:paraId="5F0912FD" w14:textId="77777777" w:rsidR="001D1EB7" w:rsidRDefault="001D1EB7" w:rsidP="007826AB">
      <w:pPr>
        <w:ind w:firstLine="720"/>
        <w:rPr>
          <w:sz w:val="26"/>
          <w:szCs w:val="26"/>
        </w:rPr>
      </w:pPr>
    </w:p>
    <w:p w14:paraId="7A2A4A60" w14:textId="77777777" w:rsidR="001D1EB7" w:rsidRPr="00DC03CF" w:rsidRDefault="00DC03CF" w:rsidP="007826AB">
      <w:pPr>
        <w:ind w:firstLine="720"/>
        <w:rPr>
          <w:sz w:val="26"/>
          <w:szCs w:val="26"/>
        </w:rPr>
      </w:pPr>
      <w:r>
        <w:rPr>
          <w:sz w:val="26"/>
          <w:szCs w:val="26"/>
        </w:rPr>
        <w:t>In t</w:t>
      </w:r>
      <w:r w:rsidR="001D1EB7">
        <w:rPr>
          <w:sz w:val="26"/>
          <w:szCs w:val="26"/>
        </w:rPr>
        <w:t xml:space="preserve">he </w:t>
      </w:r>
      <w:r w:rsidR="001D1EB7" w:rsidRPr="001D1EB7">
        <w:rPr>
          <w:i/>
          <w:iCs/>
          <w:sz w:val="26"/>
          <w:szCs w:val="26"/>
        </w:rPr>
        <w:t>May 2019 Secretarial Letter</w:t>
      </w:r>
      <w:r>
        <w:rPr>
          <w:sz w:val="26"/>
          <w:szCs w:val="26"/>
        </w:rPr>
        <w:t>, a revised litigation schedule was established</w:t>
      </w:r>
      <w:r w:rsidR="004777F0">
        <w:rPr>
          <w:sz w:val="26"/>
          <w:szCs w:val="26"/>
        </w:rPr>
        <w:t>,</w:t>
      </w:r>
      <w:r>
        <w:rPr>
          <w:sz w:val="26"/>
          <w:szCs w:val="26"/>
        </w:rPr>
        <w:t xml:space="preserve"> which directed the OALJ to submit a </w:t>
      </w:r>
      <w:r w:rsidR="00FE744F">
        <w:rPr>
          <w:sz w:val="26"/>
          <w:szCs w:val="26"/>
        </w:rPr>
        <w:t>R</w:t>
      </w:r>
      <w:r>
        <w:rPr>
          <w:sz w:val="26"/>
          <w:szCs w:val="26"/>
        </w:rPr>
        <w:t xml:space="preserve">ecommended </w:t>
      </w:r>
      <w:r w:rsidR="00FE744F">
        <w:rPr>
          <w:sz w:val="26"/>
          <w:szCs w:val="26"/>
        </w:rPr>
        <w:t>D</w:t>
      </w:r>
      <w:r>
        <w:rPr>
          <w:sz w:val="26"/>
          <w:szCs w:val="26"/>
        </w:rPr>
        <w:t xml:space="preserve">ecision no later than October 29, 2019, with any </w:t>
      </w:r>
      <w:r w:rsidR="00FE744F">
        <w:rPr>
          <w:sz w:val="26"/>
          <w:szCs w:val="26"/>
        </w:rPr>
        <w:t>E</w:t>
      </w:r>
      <w:r>
        <w:rPr>
          <w:sz w:val="26"/>
          <w:szCs w:val="26"/>
        </w:rPr>
        <w:t xml:space="preserve">xceptions due within twenty days of the </w:t>
      </w:r>
      <w:r w:rsidR="00FE744F">
        <w:rPr>
          <w:sz w:val="26"/>
          <w:szCs w:val="26"/>
        </w:rPr>
        <w:t>R</w:t>
      </w:r>
      <w:r>
        <w:rPr>
          <w:sz w:val="26"/>
          <w:szCs w:val="26"/>
        </w:rPr>
        <w:t xml:space="preserve">ecommended </w:t>
      </w:r>
      <w:r w:rsidR="00FE744F">
        <w:rPr>
          <w:sz w:val="26"/>
          <w:szCs w:val="26"/>
        </w:rPr>
        <w:t>D</w:t>
      </w:r>
      <w:r>
        <w:rPr>
          <w:sz w:val="26"/>
          <w:szCs w:val="26"/>
        </w:rPr>
        <w:t xml:space="preserve">ecision and </w:t>
      </w:r>
      <w:r w:rsidR="00FE744F">
        <w:rPr>
          <w:sz w:val="26"/>
          <w:szCs w:val="26"/>
        </w:rPr>
        <w:t>R</w:t>
      </w:r>
      <w:r>
        <w:rPr>
          <w:sz w:val="26"/>
          <w:szCs w:val="26"/>
        </w:rPr>
        <w:t xml:space="preserve">eply </w:t>
      </w:r>
      <w:r w:rsidR="00FE744F">
        <w:rPr>
          <w:sz w:val="26"/>
          <w:szCs w:val="26"/>
        </w:rPr>
        <w:t>E</w:t>
      </w:r>
      <w:r>
        <w:rPr>
          <w:sz w:val="26"/>
          <w:szCs w:val="26"/>
        </w:rPr>
        <w:t xml:space="preserve">xceptions due no later than fifteen days thereafter.  The </w:t>
      </w:r>
      <w:bookmarkStart w:id="1" w:name="_Hlk29221964"/>
      <w:r w:rsidRPr="001D1EB7">
        <w:rPr>
          <w:i/>
          <w:iCs/>
          <w:sz w:val="26"/>
          <w:szCs w:val="26"/>
        </w:rPr>
        <w:t>May 2019 Secretarial Letter</w:t>
      </w:r>
      <w:r>
        <w:rPr>
          <w:i/>
          <w:iCs/>
          <w:sz w:val="26"/>
          <w:szCs w:val="26"/>
        </w:rPr>
        <w:t xml:space="preserve"> </w:t>
      </w:r>
      <w:bookmarkEnd w:id="1"/>
      <w:r>
        <w:rPr>
          <w:sz w:val="26"/>
          <w:szCs w:val="26"/>
        </w:rPr>
        <w:t>also indicated that the Commission w</w:t>
      </w:r>
      <w:r w:rsidR="004777F0">
        <w:rPr>
          <w:sz w:val="26"/>
          <w:szCs w:val="26"/>
        </w:rPr>
        <w:t>ould</w:t>
      </w:r>
      <w:r>
        <w:rPr>
          <w:sz w:val="26"/>
          <w:szCs w:val="26"/>
        </w:rPr>
        <w:t xml:space="preserve"> issue appropriate orders on the filings no later than February 28, 2020.  </w:t>
      </w:r>
    </w:p>
    <w:p w14:paraId="4374363E" w14:textId="77777777" w:rsidR="007826AB" w:rsidRDefault="007826AB" w:rsidP="007826AB">
      <w:pPr>
        <w:ind w:firstLine="720"/>
        <w:rPr>
          <w:sz w:val="26"/>
          <w:szCs w:val="26"/>
        </w:rPr>
      </w:pPr>
    </w:p>
    <w:p w14:paraId="46978719" w14:textId="199421FC" w:rsidR="007A53A2" w:rsidRDefault="00DA21CA" w:rsidP="001562BD">
      <w:pPr>
        <w:ind w:firstLine="720"/>
        <w:rPr>
          <w:rFonts w:eastAsia="Calibri"/>
          <w:sz w:val="26"/>
          <w:szCs w:val="26"/>
        </w:rPr>
      </w:pPr>
      <w:r>
        <w:rPr>
          <w:sz w:val="26"/>
          <w:szCs w:val="26"/>
        </w:rPr>
        <w:t xml:space="preserve">On </w:t>
      </w:r>
      <w:r w:rsidR="00C13723">
        <w:rPr>
          <w:sz w:val="26"/>
          <w:szCs w:val="26"/>
        </w:rPr>
        <w:t xml:space="preserve">October 29, </w:t>
      </w:r>
      <w:r w:rsidR="00716BFE">
        <w:rPr>
          <w:sz w:val="26"/>
          <w:szCs w:val="26"/>
        </w:rPr>
        <w:t xml:space="preserve">2019, </w:t>
      </w:r>
      <w:r w:rsidR="000B3967">
        <w:rPr>
          <w:rFonts w:eastAsia="Calibri"/>
          <w:sz w:val="26"/>
          <w:szCs w:val="26"/>
        </w:rPr>
        <w:t xml:space="preserve">Deputy Chief </w:t>
      </w:r>
      <w:r w:rsidR="000B3967" w:rsidRPr="003C351F">
        <w:rPr>
          <w:rFonts w:eastAsia="Calibri"/>
          <w:sz w:val="26"/>
          <w:szCs w:val="26"/>
        </w:rPr>
        <w:t xml:space="preserve">Administrative Law Judge (ALJ) </w:t>
      </w:r>
      <w:r w:rsidR="000B3967">
        <w:rPr>
          <w:rFonts w:eastAsia="Calibri"/>
          <w:sz w:val="26"/>
          <w:szCs w:val="26"/>
        </w:rPr>
        <w:t>Mark A. Hoyer</w:t>
      </w:r>
      <w:r w:rsidR="000B3967" w:rsidRPr="003C351F">
        <w:rPr>
          <w:rFonts w:eastAsia="Calibri"/>
          <w:sz w:val="26"/>
          <w:szCs w:val="26"/>
        </w:rPr>
        <w:t xml:space="preserve"> and </w:t>
      </w:r>
      <w:r w:rsidR="000B3967">
        <w:rPr>
          <w:rFonts w:eastAsia="Calibri"/>
          <w:sz w:val="26"/>
          <w:szCs w:val="26"/>
        </w:rPr>
        <w:t>ALJ Conrad A. Johnson</w:t>
      </w:r>
      <w:r w:rsidR="000B3967">
        <w:rPr>
          <w:sz w:val="26"/>
          <w:szCs w:val="26"/>
        </w:rPr>
        <w:t xml:space="preserve"> issued the Recommended Decision</w:t>
      </w:r>
      <w:r w:rsidR="007E4222">
        <w:rPr>
          <w:sz w:val="26"/>
          <w:szCs w:val="26"/>
        </w:rPr>
        <w:t xml:space="preserve"> relative to the </w:t>
      </w:r>
      <w:r w:rsidR="002B79C7">
        <w:rPr>
          <w:sz w:val="26"/>
          <w:szCs w:val="26"/>
        </w:rPr>
        <w:t>Stage 1 Compliance Plan</w:t>
      </w:r>
      <w:r w:rsidR="000B3967">
        <w:rPr>
          <w:sz w:val="26"/>
          <w:szCs w:val="26"/>
        </w:rPr>
        <w:t xml:space="preserve">.  </w:t>
      </w:r>
      <w:r w:rsidR="00FE3973" w:rsidRPr="003C351F">
        <w:rPr>
          <w:rFonts w:eastAsia="Calibri"/>
          <w:sz w:val="26"/>
          <w:szCs w:val="26"/>
        </w:rPr>
        <w:t xml:space="preserve">Exceptions to the Recommended Decision were filed on </w:t>
      </w:r>
      <w:r w:rsidR="00FE3973">
        <w:rPr>
          <w:rFonts w:eastAsia="Calibri"/>
          <w:sz w:val="26"/>
          <w:szCs w:val="26"/>
        </w:rPr>
        <w:lastRenderedPageBreak/>
        <w:t>November 18, 2019</w:t>
      </w:r>
      <w:r w:rsidR="00FE3973" w:rsidRPr="003C351F">
        <w:rPr>
          <w:rFonts w:eastAsia="Calibri"/>
          <w:sz w:val="26"/>
          <w:szCs w:val="26"/>
        </w:rPr>
        <w:t xml:space="preserve">, by </w:t>
      </w:r>
      <w:r w:rsidR="00FE3973">
        <w:rPr>
          <w:rFonts w:eastAsia="Calibri"/>
          <w:sz w:val="26"/>
          <w:szCs w:val="26"/>
        </w:rPr>
        <w:t>PWSA</w:t>
      </w:r>
      <w:r w:rsidR="00FE3973" w:rsidRPr="003C351F">
        <w:rPr>
          <w:rFonts w:eastAsia="Calibri"/>
          <w:sz w:val="26"/>
          <w:szCs w:val="26"/>
        </w:rPr>
        <w:t xml:space="preserve">, I&amp;E, </w:t>
      </w:r>
      <w:r w:rsidR="00FE3973">
        <w:rPr>
          <w:rFonts w:eastAsia="Calibri"/>
          <w:sz w:val="26"/>
          <w:szCs w:val="26"/>
        </w:rPr>
        <w:t xml:space="preserve">the </w:t>
      </w:r>
      <w:r w:rsidR="00FE3973" w:rsidRPr="003C351F">
        <w:rPr>
          <w:rFonts w:eastAsia="Calibri"/>
          <w:sz w:val="26"/>
          <w:szCs w:val="26"/>
        </w:rPr>
        <w:t>OCA, the OSBA</w:t>
      </w:r>
      <w:r w:rsidR="00FE3973">
        <w:rPr>
          <w:rFonts w:eastAsia="Calibri"/>
          <w:sz w:val="26"/>
          <w:szCs w:val="26"/>
        </w:rPr>
        <w:t>, and Pittsburgh UNITED</w:t>
      </w:r>
      <w:r w:rsidR="00FE3973" w:rsidRPr="003C351F">
        <w:rPr>
          <w:rFonts w:eastAsia="Calibri"/>
          <w:sz w:val="26"/>
          <w:szCs w:val="26"/>
        </w:rPr>
        <w:t>.</w:t>
      </w:r>
      <w:r w:rsidR="001562BD">
        <w:rPr>
          <w:rFonts w:eastAsia="Calibri"/>
          <w:sz w:val="26"/>
          <w:szCs w:val="26"/>
        </w:rPr>
        <w:t xml:space="preserve">  </w:t>
      </w:r>
      <w:r w:rsidR="00FE3973" w:rsidRPr="003C351F">
        <w:rPr>
          <w:rFonts w:eastAsia="Calibri"/>
          <w:sz w:val="26"/>
          <w:szCs w:val="26"/>
        </w:rPr>
        <w:t>On</w:t>
      </w:r>
      <w:r w:rsidR="001562BD">
        <w:rPr>
          <w:rFonts w:eastAsia="Calibri"/>
          <w:sz w:val="26"/>
          <w:szCs w:val="26"/>
        </w:rPr>
        <w:t xml:space="preserve"> </w:t>
      </w:r>
      <w:r w:rsidR="00FE3973">
        <w:rPr>
          <w:rFonts w:eastAsia="Calibri"/>
          <w:sz w:val="26"/>
          <w:szCs w:val="26"/>
        </w:rPr>
        <w:t>December 3, 2019</w:t>
      </w:r>
      <w:r w:rsidR="00FE3973" w:rsidRPr="003C351F">
        <w:rPr>
          <w:rFonts w:eastAsia="Calibri"/>
          <w:sz w:val="26"/>
          <w:szCs w:val="26"/>
        </w:rPr>
        <w:t xml:space="preserve">, </w:t>
      </w:r>
      <w:r w:rsidR="00FE3973">
        <w:rPr>
          <w:rFonts w:eastAsia="Calibri"/>
          <w:sz w:val="26"/>
          <w:szCs w:val="26"/>
        </w:rPr>
        <w:t>PWSA</w:t>
      </w:r>
      <w:r w:rsidR="00FE3973" w:rsidRPr="003C351F">
        <w:rPr>
          <w:rFonts w:eastAsia="Calibri"/>
          <w:sz w:val="26"/>
          <w:szCs w:val="26"/>
        </w:rPr>
        <w:t>, I&amp;E, the OCA, the OSBA</w:t>
      </w:r>
      <w:r w:rsidR="00FE3973">
        <w:rPr>
          <w:rFonts w:eastAsia="Calibri"/>
          <w:sz w:val="26"/>
          <w:szCs w:val="26"/>
        </w:rPr>
        <w:t xml:space="preserve">, and </w:t>
      </w:r>
      <w:r w:rsidR="006D4F47">
        <w:rPr>
          <w:rFonts w:eastAsia="Calibri"/>
          <w:sz w:val="26"/>
          <w:szCs w:val="26"/>
        </w:rPr>
        <w:t xml:space="preserve">Pittsburgh </w:t>
      </w:r>
      <w:r w:rsidR="00FE3973">
        <w:rPr>
          <w:rFonts w:eastAsia="Calibri"/>
          <w:sz w:val="26"/>
          <w:szCs w:val="26"/>
        </w:rPr>
        <w:t>UNITED</w:t>
      </w:r>
      <w:r w:rsidR="00FE3973" w:rsidRPr="003C351F">
        <w:rPr>
          <w:rFonts w:eastAsia="Calibri"/>
          <w:sz w:val="26"/>
          <w:szCs w:val="26"/>
        </w:rPr>
        <w:t xml:space="preserve"> filed Replies to Exceptions.</w:t>
      </w:r>
      <w:r w:rsidR="006D4F47">
        <w:rPr>
          <w:rFonts w:eastAsia="Calibri"/>
          <w:sz w:val="26"/>
          <w:szCs w:val="26"/>
        </w:rPr>
        <w:t xml:space="preserve"> </w:t>
      </w:r>
    </w:p>
    <w:p w14:paraId="3E2696BC" w14:textId="77777777" w:rsidR="007A53A2" w:rsidRDefault="007A53A2" w:rsidP="007826AB">
      <w:pPr>
        <w:ind w:firstLine="720"/>
        <w:rPr>
          <w:rFonts w:eastAsia="Calibri"/>
          <w:sz w:val="26"/>
          <w:szCs w:val="26"/>
        </w:rPr>
      </w:pPr>
    </w:p>
    <w:p w14:paraId="69717D2A" w14:textId="77777777" w:rsidR="00662093" w:rsidRDefault="00662093" w:rsidP="00437691">
      <w:pPr>
        <w:ind w:firstLine="720"/>
        <w:rPr>
          <w:rFonts w:eastAsia="Calibri"/>
          <w:sz w:val="26"/>
          <w:szCs w:val="26"/>
        </w:rPr>
      </w:pPr>
      <w:r>
        <w:rPr>
          <w:rFonts w:eastAsia="Calibri"/>
          <w:sz w:val="26"/>
          <w:szCs w:val="26"/>
        </w:rPr>
        <w:t xml:space="preserve">As the Commission has explained at the above-refenced docket, </w:t>
      </w:r>
      <w:r w:rsidRPr="00662093">
        <w:rPr>
          <w:rFonts w:eastAsia="Calibri"/>
          <w:sz w:val="26"/>
          <w:szCs w:val="26"/>
        </w:rPr>
        <w:t>Chapter 32</w:t>
      </w:r>
      <w:r>
        <w:rPr>
          <w:rFonts w:eastAsia="Calibri"/>
          <w:sz w:val="26"/>
          <w:szCs w:val="26"/>
        </w:rPr>
        <w:t xml:space="preserve"> of the Public Utility Code</w:t>
      </w:r>
      <w:r w:rsidRPr="00662093">
        <w:rPr>
          <w:rFonts w:eastAsia="Calibri"/>
          <w:sz w:val="26"/>
          <w:szCs w:val="26"/>
        </w:rPr>
        <w:t xml:space="preserve"> provides the Commission with flexibility regarding its review of the PWSA Compliance Plan</w:t>
      </w:r>
      <w:r>
        <w:rPr>
          <w:rFonts w:eastAsia="Calibri"/>
          <w:sz w:val="26"/>
          <w:szCs w:val="26"/>
        </w:rPr>
        <w:t xml:space="preserve"> required by that Chapter.</w:t>
      </w:r>
      <w:r w:rsidRPr="00662093">
        <w:rPr>
          <w:rFonts w:eastAsia="Calibri"/>
          <w:sz w:val="26"/>
          <w:szCs w:val="26"/>
        </w:rPr>
        <w:t xml:space="preserve">  66 Pa. C.S. § 3204.  Specifically, Chapter 32 does not contain statutory deadlines regarding </w:t>
      </w:r>
      <w:r>
        <w:rPr>
          <w:rFonts w:eastAsia="Calibri"/>
          <w:sz w:val="26"/>
          <w:szCs w:val="26"/>
        </w:rPr>
        <w:t xml:space="preserve">when the </w:t>
      </w:r>
      <w:r w:rsidRPr="00662093">
        <w:rPr>
          <w:rFonts w:eastAsia="Calibri"/>
          <w:sz w:val="26"/>
          <w:szCs w:val="26"/>
        </w:rPr>
        <w:t xml:space="preserve">Commission </w:t>
      </w:r>
      <w:r>
        <w:rPr>
          <w:rFonts w:eastAsia="Calibri"/>
          <w:sz w:val="26"/>
          <w:szCs w:val="26"/>
        </w:rPr>
        <w:t xml:space="preserve">must </w:t>
      </w:r>
      <w:r w:rsidRPr="00662093">
        <w:rPr>
          <w:rFonts w:eastAsia="Calibri"/>
          <w:sz w:val="26"/>
          <w:szCs w:val="26"/>
        </w:rPr>
        <w:t>approv</w:t>
      </w:r>
      <w:r>
        <w:rPr>
          <w:rFonts w:eastAsia="Calibri"/>
          <w:sz w:val="26"/>
          <w:szCs w:val="26"/>
        </w:rPr>
        <w:t>e</w:t>
      </w:r>
      <w:r w:rsidRPr="00662093">
        <w:rPr>
          <w:rFonts w:eastAsia="Calibri"/>
          <w:sz w:val="26"/>
          <w:szCs w:val="26"/>
        </w:rPr>
        <w:t xml:space="preserve"> </w:t>
      </w:r>
      <w:r>
        <w:rPr>
          <w:rFonts w:eastAsia="Calibri"/>
          <w:sz w:val="26"/>
          <w:szCs w:val="26"/>
        </w:rPr>
        <w:t>the</w:t>
      </w:r>
      <w:r w:rsidRPr="00662093">
        <w:rPr>
          <w:rFonts w:eastAsia="Calibri"/>
          <w:sz w:val="26"/>
          <w:szCs w:val="26"/>
        </w:rPr>
        <w:t xml:space="preserve"> Compliance Plan.  Rather, Chapter 32 focuses on the qualitative aspects of </w:t>
      </w:r>
      <w:r>
        <w:rPr>
          <w:rFonts w:eastAsia="Calibri"/>
          <w:sz w:val="26"/>
          <w:szCs w:val="26"/>
        </w:rPr>
        <w:t>the required Compliance Plan</w:t>
      </w:r>
      <w:r w:rsidRPr="00662093">
        <w:rPr>
          <w:rFonts w:eastAsia="Calibri"/>
          <w:sz w:val="26"/>
          <w:szCs w:val="26"/>
        </w:rPr>
        <w:t>.  Given this flexibility, the Commission may consider extending</w:t>
      </w:r>
      <w:r>
        <w:rPr>
          <w:rFonts w:eastAsia="Calibri"/>
          <w:sz w:val="26"/>
          <w:szCs w:val="26"/>
        </w:rPr>
        <w:t xml:space="preserve"> or </w:t>
      </w:r>
      <w:r w:rsidR="004777F0">
        <w:rPr>
          <w:rFonts w:eastAsia="Calibri"/>
          <w:sz w:val="26"/>
          <w:szCs w:val="26"/>
        </w:rPr>
        <w:t>revisiting</w:t>
      </w:r>
      <w:r w:rsidRPr="00662093">
        <w:rPr>
          <w:rFonts w:eastAsia="Calibri"/>
          <w:sz w:val="26"/>
          <w:szCs w:val="26"/>
        </w:rPr>
        <w:t xml:space="preserve"> previously established </w:t>
      </w:r>
      <w:r>
        <w:rPr>
          <w:rFonts w:eastAsia="Calibri"/>
          <w:sz w:val="26"/>
          <w:szCs w:val="26"/>
        </w:rPr>
        <w:t xml:space="preserve">PWSA Compliance Plan </w:t>
      </w:r>
      <w:r w:rsidRPr="00662093">
        <w:rPr>
          <w:rFonts w:eastAsia="Calibri"/>
          <w:sz w:val="26"/>
          <w:szCs w:val="26"/>
        </w:rPr>
        <w:t>deadlines.</w:t>
      </w:r>
    </w:p>
    <w:p w14:paraId="41DBB06A" w14:textId="77777777" w:rsidR="00662093" w:rsidRDefault="00662093" w:rsidP="00437691">
      <w:pPr>
        <w:ind w:firstLine="720"/>
        <w:rPr>
          <w:rFonts w:eastAsia="Calibri"/>
          <w:sz w:val="26"/>
          <w:szCs w:val="26"/>
        </w:rPr>
      </w:pPr>
    </w:p>
    <w:p w14:paraId="240BAB86" w14:textId="07A6E82B" w:rsidR="008E5A93" w:rsidRDefault="00AE1A44" w:rsidP="00437691">
      <w:pPr>
        <w:ind w:firstLine="720"/>
        <w:rPr>
          <w:b/>
          <w:bCs/>
          <w:sz w:val="26"/>
          <w:szCs w:val="26"/>
        </w:rPr>
      </w:pPr>
      <w:r w:rsidRPr="00AE1A44">
        <w:rPr>
          <w:rFonts w:eastAsia="Calibri"/>
          <w:sz w:val="26"/>
          <w:szCs w:val="26"/>
        </w:rPr>
        <w:t>The Commission acknowledges that the May 2019 Petition requested the issuance of appropriate orders by the Commission no later than Friday, February 28, 2020, and that by granting the Petition the Commission initially committed to that date.  Petition at</w:t>
      </w:r>
      <w:r w:rsidR="00581326">
        <w:rPr>
          <w:rFonts w:eastAsia="Calibri"/>
          <w:sz w:val="26"/>
          <w:szCs w:val="26"/>
        </w:rPr>
        <w:t> </w:t>
      </w:r>
      <w:r w:rsidRPr="00AE1A44">
        <w:rPr>
          <w:rFonts w:eastAsia="Calibri"/>
          <w:sz w:val="26"/>
          <w:szCs w:val="26"/>
        </w:rPr>
        <w:t>6.  However, u</w:t>
      </w:r>
      <w:r w:rsidR="00437691" w:rsidRPr="00AE1A44">
        <w:rPr>
          <w:rFonts w:eastAsia="Calibri"/>
          <w:sz w:val="26"/>
          <w:szCs w:val="26"/>
        </w:rPr>
        <w:t>pon initial review of the Recommended Decision</w:t>
      </w:r>
      <w:r w:rsidR="00662093" w:rsidRPr="00AE1A44">
        <w:rPr>
          <w:rFonts w:eastAsia="Calibri"/>
          <w:sz w:val="26"/>
          <w:szCs w:val="26"/>
        </w:rPr>
        <w:t>,</w:t>
      </w:r>
      <w:r w:rsidR="00437691" w:rsidRPr="00AE1A44">
        <w:rPr>
          <w:rFonts w:eastAsia="Calibri"/>
          <w:sz w:val="26"/>
          <w:szCs w:val="26"/>
        </w:rPr>
        <w:t xml:space="preserve"> </w:t>
      </w:r>
      <w:r w:rsidR="004777F0">
        <w:rPr>
          <w:rFonts w:eastAsia="Calibri"/>
          <w:sz w:val="26"/>
          <w:szCs w:val="26"/>
        </w:rPr>
        <w:t>the</w:t>
      </w:r>
      <w:r w:rsidR="00437691" w:rsidRPr="00AE1A44">
        <w:rPr>
          <w:rFonts w:eastAsia="Calibri"/>
          <w:sz w:val="26"/>
          <w:szCs w:val="26"/>
        </w:rPr>
        <w:t xml:space="preserve"> Exceptions and </w:t>
      </w:r>
      <w:r w:rsidR="004777F0">
        <w:rPr>
          <w:rFonts w:eastAsia="Calibri"/>
          <w:sz w:val="26"/>
          <w:szCs w:val="26"/>
        </w:rPr>
        <w:t xml:space="preserve">the </w:t>
      </w:r>
      <w:r w:rsidR="00437691" w:rsidRPr="00AE1A44">
        <w:rPr>
          <w:rFonts w:eastAsia="Calibri"/>
          <w:sz w:val="26"/>
          <w:szCs w:val="26"/>
        </w:rPr>
        <w:t>Reply Exceptions filed thereto,</w:t>
      </w:r>
      <w:r w:rsidR="00437691" w:rsidRPr="00662093">
        <w:rPr>
          <w:rFonts w:eastAsia="Calibri"/>
          <w:b/>
          <w:bCs/>
          <w:sz w:val="26"/>
          <w:szCs w:val="26"/>
        </w:rPr>
        <w:t xml:space="preserve"> the Commission hereby </w:t>
      </w:r>
      <w:r w:rsidR="0044701F" w:rsidRPr="00662093">
        <w:rPr>
          <w:rFonts w:eastAsia="Calibri"/>
          <w:b/>
          <w:bCs/>
          <w:sz w:val="26"/>
          <w:szCs w:val="26"/>
        </w:rPr>
        <w:t>postpones this matter</w:t>
      </w:r>
      <w:r w:rsidR="00626A10" w:rsidRPr="00662093">
        <w:rPr>
          <w:b/>
          <w:bCs/>
          <w:sz w:val="26"/>
          <w:szCs w:val="26"/>
        </w:rPr>
        <w:t xml:space="preserve"> </w:t>
      </w:r>
      <w:r w:rsidR="001562BD">
        <w:rPr>
          <w:b/>
          <w:bCs/>
          <w:sz w:val="26"/>
          <w:szCs w:val="26"/>
        </w:rPr>
        <w:t>for  consideration and ruling no later than March 31, 2020.</w:t>
      </w:r>
    </w:p>
    <w:p w14:paraId="6EC0056D" w14:textId="77777777" w:rsidR="008E5A93" w:rsidRDefault="008E5A93" w:rsidP="00437691">
      <w:pPr>
        <w:ind w:firstLine="720"/>
        <w:rPr>
          <w:b/>
          <w:bCs/>
          <w:sz w:val="26"/>
          <w:szCs w:val="26"/>
        </w:rPr>
      </w:pPr>
    </w:p>
    <w:p w14:paraId="579D06F4" w14:textId="77777777" w:rsidR="008E5A93" w:rsidRDefault="008E5A93" w:rsidP="008E5A93">
      <w:pPr>
        <w:ind w:firstLine="720"/>
        <w:rPr>
          <w:rFonts w:eastAsia="Calibri"/>
          <w:sz w:val="26"/>
          <w:szCs w:val="26"/>
        </w:rPr>
      </w:pPr>
      <w:r>
        <w:rPr>
          <w:rFonts w:eastAsia="Calibri"/>
          <w:sz w:val="26"/>
          <w:szCs w:val="26"/>
        </w:rPr>
        <w:t xml:space="preserve">As previously determined, </w:t>
      </w:r>
      <w:r w:rsidRPr="00D865D4">
        <w:rPr>
          <w:rFonts w:eastAsia="Calibri"/>
          <w:sz w:val="26"/>
          <w:szCs w:val="26"/>
        </w:rPr>
        <w:t xml:space="preserve">while the Commission will accept consolidated </w:t>
      </w:r>
      <w:r>
        <w:rPr>
          <w:rFonts w:eastAsia="Calibri"/>
          <w:sz w:val="26"/>
          <w:szCs w:val="26"/>
        </w:rPr>
        <w:t xml:space="preserve">Compliance Plan and LTIIP </w:t>
      </w:r>
      <w:r w:rsidRPr="00D865D4">
        <w:rPr>
          <w:rFonts w:eastAsia="Calibri"/>
          <w:sz w:val="26"/>
          <w:szCs w:val="26"/>
        </w:rPr>
        <w:t>filings at the above-referenced dockets, PWSA is reminded of the direction of the F</w:t>
      </w:r>
      <w:r>
        <w:rPr>
          <w:rFonts w:eastAsia="Calibri"/>
          <w:sz w:val="26"/>
          <w:szCs w:val="26"/>
        </w:rPr>
        <w:t xml:space="preserve">inal </w:t>
      </w:r>
      <w:r w:rsidRPr="00D865D4">
        <w:rPr>
          <w:rFonts w:eastAsia="Calibri"/>
          <w:sz w:val="26"/>
          <w:szCs w:val="26"/>
        </w:rPr>
        <w:t>I</w:t>
      </w:r>
      <w:r>
        <w:rPr>
          <w:rFonts w:eastAsia="Calibri"/>
          <w:sz w:val="26"/>
          <w:szCs w:val="26"/>
        </w:rPr>
        <w:t xml:space="preserve">mplementation </w:t>
      </w:r>
      <w:r w:rsidRPr="00D865D4">
        <w:rPr>
          <w:rFonts w:eastAsia="Calibri"/>
          <w:sz w:val="26"/>
          <w:szCs w:val="26"/>
        </w:rPr>
        <w:t>O</w:t>
      </w:r>
      <w:r>
        <w:rPr>
          <w:rFonts w:eastAsia="Calibri"/>
          <w:sz w:val="26"/>
          <w:szCs w:val="26"/>
        </w:rPr>
        <w:t xml:space="preserve">rder </w:t>
      </w:r>
      <w:r w:rsidRPr="00D865D4">
        <w:rPr>
          <w:rFonts w:eastAsia="Calibri"/>
          <w:sz w:val="26"/>
          <w:szCs w:val="26"/>
        </w:rPr>
        <w:t>that PWSA must segregate services and property such that the Commission and interested parties are able to engage in a meaningful</w:t>
      </w:r>
      <w:r w:rsidR="0059719F">
        <w:rPr>
          <w:rFonts w:eastAsia="Calibri"/>
          <w:sz w:val="26"/>
          <w:szCs w:val="26"/>
        </w:rPr>
        <w:t xml:space="preserve"> review of its Compliance Plan.</w:t>
      </w:r>
      <w:r>
        <w:rPr>
          <w:rFonts w:eastAsia="Calibri"/>
          <w:sz w:val="26"/>
          <w:szCs w:val="26"/>
        </w:rPr>
        <w:t xml:space="preserve">  Also, as determined in the May 15, 2019 Secretarial Letter, Stage 2 will include issues deferred from Stage 1 to accommodate PWSA Compliance Plan workshops held by the Commission</w:t>
      </w:r>
      <w:r w:rsidRPr="008A39CF">
        <w:rPr>
          <w:rFonts w:eastAsia="Calibri"/>
          <w:sz w:val="26"/>
          <w:szCs w:val="26"/>
        </w:rPr>
        <w:t>.</w:t>
      </w:r>
      <w:r>
        <w:rPr>
          <w:rFonts w:eastAsia="Calibri"/>
          <w:sz w:val="26"/>
          <w:szCs w:val="26"/>
        </w:rPr>
        <w:t xml:space="preserve">  Stage 2 shall also include any matters deferred from Stage 1 in the final Stage 1 Compliance Plan order. </w:t>
      </w:r>
    </w:p>
    <w:p w14:paraId="3E20AF42" w14:textId="77777777" w:rsidR="008E5A93" w:rsidRDefault="008E5A93" w:rsidP="00437691">
      <w:pPr>
        <w:ind w:firstLine="720"/>
        <w:rPr>
          <w:b/>
          <w:bCs/>
          <w:sz w:val="26"/>
          <w:szCs w:val="26"/>
        </w:rPr>
      </w:pPr>
    </w:p>
    <w:p w14:paraId="06F0510B" w14:textId="77777777" w:rsidR="00437691" w:rsidRDefault="00C94A36" w:rsidP="00437691">
      <w:pPr>
        <w:ind w:firstLine="720"/>
        <w:rPr>
          <w:b/>
          <w:bCs/>
          <w:sz w:val="26"/>
          <w:szCs w:val="26"/>
        </w:rPr>
      </w:pPr>
      <w:r w:rsidRPr="00D865D4">
        <w:rPr>
          <w:sz w:val="26"/>
          <w:szCs w:val="26"/>
        </w:rPr>
        <w:t>Stage 2 of the PWSA Compl</w:t>
      </w:r>
      <w:r w:rsidR="00DB0810">
        <w:rPr>
          <w:sz w:val="26"/>
          <w:szCs w:val="26"/>
        </w:rPr>
        <w:t>ia</w:t>
      </w:r>
      <w:r w:rsidRPr="00D865D4">
        <w:rPr>
          <w:sz w:val="26"/>
          <w:szCs w:val="26"/>
        </w:rPr>
        <w:t>nce Plan shall proceed as discussed below.</w:t>
      </w:r>
      <w:r w:rsidR="00626A10" w:rsidRPr="00662093">
        <w:rPr>
          <w:b/>
          <w:bCs/>
          <w:sz w:val="26"/>
          <w:szCs w:val="26"/>
        </w:rPr>
        <w:t xml:space="preserve"> </w:t>
      </w:r>
      <w:r w:rsidR="00984704" w:rsidRPr="00662093">
        <w:rPr>
          <w:b/>
          <w:bCs/>
          <w:sz w:val="26"/>
          <w:szCs w:val="26"/>
        </w:rPr>
        <w:t xml:space="preserve">  </w:t>
      </w:r>
    </w:p>
    <w:p w14:paraId="4C61D336" w14:textId="77777777" w:rsidR="00662093" w:rsidRDefault="00662093" w:rsidP="00437691">
      <w:pPr>
        <w:ind w:firstLine="720"/>
        <w:rPr>
          <w:b/>
          <w:bCs/>
          <w:sz w:val="26"/>
          <w:szCs w:val="26"/>
        </w:rPr>
      </w:pPr>
    </w:p>
    <w:p w14:paraId="5FF08BA4" w14:textId="77777777" w:rsidR="00D865D4" w:rsidRPr="008E5A93" w:rsidRDefault="00C94A36" w:rsidP="008E5A93">
      <w:pPr>
        <w:pStyle w:val="ListParagraph"/>
        <w:numPr>
          <w:ilvl w:val="0"/>
          <w:numId w:val="13"/>
        </w:numPr>
        <w:rPr>
          <w:rFonts w:eastAsia="Calibri"/>
          <w:b/>
          <w:bCs/>
          <w:sz w:val="26"/>
          <w:szCs w:val="26"/>
        </w:rPr>
      </w:pPr>
      <w:r w:rsidRPr="008E5A93">
        <w:rPr>
          <w:rFonts w:eastAsia="Calibri"/>
          <w:b/>
          <w:bCs/>
          <w:sz w:val="26"/>
          <w:szCs w:val="26"/>
        </w:rPr>
        <w:t>N</w:t>
      </w:r>
      <w:r w:rsidR="008A39CF" w:rsidRPr="008E5A93">
        <w:rPr>
          <w:rFonts w:eastAsia="Calibri"/>
          <w:b/>
          <w:bCs/>
          <w:sz w:val="26"/>
          <w:szCs w:val="26"/>
        </w:rPr>
        <w:t>o later than</w:t>
      </w:r>
      <w:r w:rsidR="00D865D4" w:rsidRPr="008E5A93">
        <w:rPr>
          <w:rFonts w:eastAsia="Calibri"/>
          <w:b/>
          <w:bCs/>
          <w:sz w:val="26"/>
          <w:szCs w:val="26"/>
        </w:rPr>
        <w:t xml:space="preserve"> </w:t>
      </w:r>
      <w:r w:rsidR="004777F0" w:rsidRPr="008E5A93">
        <w:rPr>
          <w:rFonts w:eastAsia="Calibri"/>
          <w:b/>
          <w:bCs/>
          <w:sz w:val="26"/>
          <w:szCs w:val="26"/>
        </w:rPr>
        <w:t>60</w:t>
      </w:r>
      <w:r w:rsidR="008A39CF" w:rsidRPr="008E5A93">
        <w:rPr>
          <w:rFonts w:eastAsia="Calibri"/>
          <w:b/>
          <w:bCs/>
          <w:sz w:val="26"/>
          <w:szCs w:val="26"/>
        </w:rPr>
        <w:t xml:space="preserve"> days </w:t>
      </w:r>
      <w:r w:rsidR="005B2A1D" w:rsidRPr="008E5A93">
        <w:rPr>
          <w:rFonts w:eastAsia="Calibri"/>
          <w:b/>
          <w:bCs/>
          <w:sz w:val="26"/>
          <w:szCs w:val="26"/>
        </w:rPr>
        <w:t>after</w:t>
      </w:r>
      <w:r w:rsidR="008A39CF" w:rsidRPr="008E5A93">
        <w:rPr>
          <w:rFonts w:eastAsia="Calibri"/>
          <w:b/>
          <w:bCs/>
          <w:sz w:val="26"/>
          <w:szCs w:val="26"/>
        </w:rPr>
        <w:t xml:space="preserve"> the entry of a final </w:t>
      </w:r>
      <w:r w:rsidR="004777F0" w:rsidRPr="008E5A93">
        <w:rPr>
          <w:rFonts w:eastAsia="Calibri"/>
          <w:b/>
          <w:bCs/>
          <w:sz w:val="26"/>
          <w:szCs w:val="26"/>
        </w:rPr>
        <w:t xml:space="preserve">unappealable </w:t>
      </w:r>
      <w:r w:rsidR="008A39CF" w:rsidRPr="008E5A93">
        <w:rPr>
          <w:rFonts w:eastAsia="Calibri"/>
          <w:b/>
          <w:bCs/>
          <w:sz w:val="26"/>
          <w:szCs w:val="26"/>
        </w:rPr>
        <w:t>order on Stage 1</w:t>
      </w:r>
      <w:r w:rsidR="005B2A1D" w:rsidRPr="008E5A93">
        <w:rPr>
          <w:rFonts w:eastAsia="Calibri"/>
          <w:b/>
          <w:bCs/>
          <w:sz w:val="26"/>
          <w:szCs w:val="26"/>
        </w:rPr>
        <w:t xml:space="preserve">, PWSA will file with the Secretary materials related to Stage 2 of its Compliance Plan.  </w:t>
      </w:r>
    </w:p>
    <w:p w14:paraId="2A2A084B" w14:textId="77777777" w:rsidR="00D865D4" w:rsidRDefault="00D865D4" w:rsidP="00437691">
      <w:pPr>
        <w:ind w:firstLine="720"/>
        <w:rPr>
          <w:rFonts w:eastAsia="Calibri"/>
          <w:sz w:val="26"/>
          <w:szCs w:val="26"/>
        </w:rPr>
      </w:pPr>
    </w:p>
    <w:p w14:paraId="298CE66F" w14:textId="77777777" w:rsidR="00A53862" w:rsidRDefault="008E5A93" w:rsidP="008E5A93">
      <w:pPr>
        <w:pStyle w:val="ListParagraph"/>
        <w:numPr>
          <w:ilvl w:val="0"/>
          <w:numId w:val="13"/>
        </w:numPr>
        <w:rPr>
          <w:rFonts w:eastAsia="Calibri"/>
          <w:sz w:val="26"/>
          <w:szCs w:val="26"/>
        </w:rPr>
      </w:pPr>
      <w:r>
        <w:rPr>
          <w:rFonts w:eastAsia="Calibri"/>
          <w:sz w:val="26"/>
          <w:szCs w:val="26"/>
        </w:rPr>
        <w:t>N</w:t>
      </w:r>
      <w:r w:rsidRPr="008E5A93">
        <w:rPr>
          <w:rFonts w:eastAsia="Calibri"/>
          <w:sz w:val="26"/>
          <w:szCs w:val="26"/>
        </w:rPr>
        <w:t>o later than twenty (20) days after filing of the Stage 2 materials</w:t>
      </w:r>
      <w:r>
        <w:rPr>
          <w:rFonts w:eastAsia="Calibri"/>
          <w:sz w:val="26"/>
          <w:szCs w:val="26"/>
        </w:rPr>
        <w:t>,</w:t>
      </w:r>
      <w:r w:rsidRPr="008E5A93">
        <w:rPr>
          <w:rFonts w:eastAsia="Calibri"/>
          <w:sz w:val="26"/>
          <w:szCs w:val="26"/>
        </w:rPr>
        <w:t xml:space="preserve"> Stakeholders </w:t>
      </w:r>
      <w:r>
        <w:rPr>
          <w:rFonts w:eastAsia="Calibri"/>
          <w:sz w:val="26"/>
          <w:szCs w:val="26"/>
        </w:rPr>
        <w:t>may</w:t>
      </w:r>
      <w:r w:rsidRPr="008E5A93">
        <w:rPr>
          <w:rFonts w:eastAsia="Calibri"/>
          <w:sz w:val="26"/>
          <w:szCs w:val="26"/>
        </w:rPr>
        <w:t xml:space="preserve"> file comments prior </w:t>
      </w:r>
      <w:r>
        <w:rPr>
          <w:rFonts w:eastAsia="Calibri"/>
          <w:sz w:val="26"/>
          <w:szCs w:val="26"/>
        </w:rPr>
        <w:t>to assignment to our Office of Administrative Law Judge</w:t>
      </w:r>
      <w:r w:rsidR="00A53862">
        <w:rPr>
          <w:rFonts w:eastAsia="Calibri"/>
          <w:sz w:val="26"/>
          <w:szCs w:val="26"/>
        </w:rPr>
        <w:t xml:space="preserve"> </w:t>
      </w:r>
      <w:r w:rsidR="00A53862" w:rsidRPr="008E5A93">
        <w:rPr>
          <w:rFonts w:eastAsia="Calibri"/>
          <w:sz w:val="26"/>
          <w:szCs w:val="26"/>
        </w:rPr>
        <w:t>(OALJ)</w:t>
      </w:r>
      <w:r w:rsidRPr="008E5A93">
        <w:rPr>
          <w:rFonts w:eastAsia="Calibri"/>
          <w:sz w:val="26"/>
          <w:szCs w:val="26"/>
        </w:rPr>
        <w:t xml:space="preserve">.  However, comments filed at that early stage will not be included in the evidentiary record developed by OALJ.  </w:t>
      </w:r>
    </w:p>
    <w:p w14:paraId="1D710B37" w14:textId="77777777" w:rsidR="00A53862" w:rsidRPr="00A53862" w:rsidRDefault="00A53862" w:rsidP="00A53862">
      <w:pPr>
        <w:pStyle w:val="ListParagraph"/>
        <w:rPr>
          <w:rFonts w:eastAsia="Calibri"/>
          <w:sz w:val="26"/>
          <w:szCs w:val="26"/>
        </w:rPr>
      </w:pPr>
    </w:p>
    <w:p w14:paraId="14C7FD1F" w14:textId="77777777" w:rsidR="00363C5A" w:rsidRPr="00A53862" w:rsidRDefault="005C58CB" w:rsidP="00A53862">
      <w:pPr>
        <w:pStyle w:val="ListParagraph"/>
        <w:numPr>
          <w:ilvl w:val="0"/>
          <w:numId w:val="13"/>
        </w:numPr>
        <w:rPr>
          <w:rFonts w:eastAsia="Calibri"/>
          <w:sz w:val="26"/>
          <w:szCs w:val="26"/>
        </w:rPr>
      </w:pPr>
      <w:r w:rsidRPr="00A53862">
        <w:rPr>
          <w:rFonts w:eastAsia="Calibri"/>
          <w:sz w:val="26"/>
          <w:szCs w:val="26"/>
        </w:rPr>
        <w:t xml:space="preserve">No later </w:t>
      </w:r>
      <w:r w:rsidR="00363C5A" w:rsidRPr="00A53862">
        <w:rPr>
          <w:rFonts w:eastAsia="Calibri"/>
          <w:sz w:val="26"/>
          <w:szCs w:val="26"/>
        </w:rPr>
        <w:t xml:space="preserve">than forty-five (45) days after the filing of PWSA’s Stage 2 materials, the Commission will, via </w:t>
      </w:r>
      <w:r w:rsidR="00783F8E" w:rsidRPr="00A53862">
        <w:rPr>
          <w:rFonts w:eastAsia="Calibri"/>
          <w:sz w:val="26"/>
          <w:szCs w:val="26"/>
        </w:rPr>
        <w:t>S</w:t>
      </w:r>
      <w:r w:rsidR="00363C5A" w:rsidRPr="00A53862">
        <w:rPr>
          <w:rFonts w:eastAsia="Calibri"/>
          <w:sz w:val="26"/>
          <w:szCs w:val="26"/>
        </w:rPr>
        <w:t xml:space="preserve">ecretarial </w:t>
      </w:r>
      <w:r w:rsidR="00783F8E" w:rsidRPr="00A53862">
        <w:rPr>
          <w:rFonts w:eastAsia="Calibri"/>
          <w:sz w:val="26"/>
          <w:szCs w:val="26"/>
        </w:rPr>
        <w:t>L</w:t>
      </w:r>
      <w:r w:rsidR="00363C5A" w:rsidRPr="00A53862">
        <w:rPr>
          <w:rFonts w:eastAsia="Calibri"/>
          <w:sz w:val="26"/>
          <w:szCs w:val="26"/>
        </w:rPr>
        <w:t xml:space="preserve">etter, assign Stage 2 of the Compliance Plan to the </w:t>
      </w:r>
      <w:r w:rsidR="00A53862" w:rsidRPr="00A53862">
        <w:rPr>
          <w:rFonts w:eastAsia="Calibri"/>
          <w:sz w:val="26"/>
          <w:szCs w:val="26"/>
        </w:rPr>
        <w:t>OALJ</w:t>
      </w:r>
      <w:r w:rsidR="00363C5A" w:rsidRPr="00A53862">
        <w:rPr>
          <w:rFonts w:eastAsia="Calibri"/>
          <w:sz w:val="26"/>
          <w:szCs w:val="26"/>
        </w:rPr>
        <w:t xml:space="preserve"> for the resolution of any matters that PWSA or interested parties may seek to develop.  </w:t>
      </w:r>
      <w:r w:rsidR="00C94A36" w:rsidRPr="00A53862">
        <w:rPr>
          <w:rFonts w:eastAsia="Calibri"/>
          <w:sz w:val="26"/>
          <w:szCs w:val="26"/>
        </w:rPr>
        <w:t>T</w:t>
      </w:r>
      <w:r w:rsidR="00363C5A" w:rsidRPr="00A53862">
        <w:rPr>
          <w:rFonts w:eastAsia="Calibri"/>
          <w:sz w:val="26"/>
          <w:szCs w:val="26"/>
        </w:rPr>
        <w:t xml:space="preserve">he Commission will attach to </w:t>
      </w:r>
      <w:r w:rsidR="00363C5A" w:rsidRPr="00A53862">
        <w:rPr>
          <w:rFonts w:eastAsia="Calibri"/>
          <w:sz w:val="26"/>
          <w:szCs w:val="26"/>
        </w:rPr>
        <w:lastRenderedPageBreak/>
        <w:t xml:space="preserve">that </w:t>
      </w:r>
      <w:r w:rsidR="00C94A36" w:rsidRPr="00A53862">
        <w:rPr>
          <w:rFonts w:eastAsia="Calibri"/>
          <w:sz w:val="26"/>
          <w:szCs w:val="26"/>
        </w:rPr>
        <w:t>Secretarial L</w:t>
      </w:r>
      <w:r w:rsidR="00363C5A" w:rsidRPr="00A53862">
        <w:rPr>
          <w:rFonts w:eastAsia="Calibri"/>
          <w:sz w:val="26"/>
          <w:szCs w:val="26"/>
        </w:rPr>
        <w:t xml:space="preserve">etter </w:t>
      </w:r>
      <w:r w:rsidR="00C94A36" w:rsidRPr="00A53862">
        <w:rPr>
          <w:rFonts w:eastAsia="Calibri"/>
          <w:sz w:val="26"/>
          <w:szCs w:val="26"/>
        </w:rPr>
        <w:t xml:space="preserve">the </w:t>
      </w:r>
      <w:r w:rsidR="00363C5A" w:rsidRPr="00A53862">
        <w:rPr>
          <w:rFonts w:eastAsia="Calibri"/>
          <w:sz w:val="26"/>
          <w:szCs w:val="26"/>
        </w:rPr>
        <w:t xml:space="preserve">Stage 2 </w:t>
      </w:r>
      <w:r w:rsidR="00C94A36" w:rsidRPr="00A53862">
        <w:rPr>
          <w:rFonts w:eastAsia="Calibri"/>
          <w:sz w:val="26"/>
          <w:szCs w:val="26"/>
        </w:rPr>
        <w:t>r</w:t>
      </w:r>
      <w:r w:rsidR="00363C5A" w:rsidRPr="00A53862">
        <w:rPr>
          <w:rFonts w:eastAsia="Calibri"/>
          <w:sz w:val="26"/>
          <w:szCs w:val="26"/>
        </w:rPr>
        <w:t xml:space="preserve">eports </w:t>
      </w:r>
      <w:r w:rsidR="00C94A36" w:rsidRPr="00A53862">
        <w:rPr>
          <w:rFonts w:eastAsia="Calibri"/>
          <w:sz w:val="26"/>
          <w:szCs w:val="26"/>
        </w:rPr>
        <w:t xml:space="preserve">and directed questions </w:t>
      </w:r>
      <w:r w:rsidR="00363C5A" w:rsidRPr="00A53862">
        <w:rPr>
          <w:rFonts w:eastAsia="Calibri"/>
          <w:sz w:val="26"/>
          <w:szCs w:val="26"/>
        </w:rPr>
        <w:t xml:space="preserve">authored by Commission staff </w:t>
      </w:r>
      <w:r w:rsidR="00C94A36" w:rsidRPr="00A53862">
        <w:rPr>
          <w:rFonts w:eastAsia="Calibri"/>
          <w:sz w:val="26"/>
          <w:szCs w:val="26"/>
        </w:rPr>
        <w:t xml:space="preserve">regarding </w:t>
      </w:r>
      <w:r w:rsidR="00363C5A" w:rsidRPr="00A53862">
        <w:rPr>
          <w:rFonts w:eastAsia="Calibri"/>
          <w:sz w:val="26"/>
          <w:szCs w:val="26"/>
        </w:rPr>
        <w:t>issue</w:t>
      </w:r>
      <w:r w:rsidR="00C94A36" w:rsidRPr="00A53862">
        <w:rPr>
          <w:rFonts w:eastAsia="Calibri"/>
          <w:sz w:val="26"/>
          <w:szCs w:val="26"/>
        </w:rPr>
        <w:t>s</w:t>
      </w:r>
      <w:r w:rsidR="00363C5A" w:rsidRPr="00A53862">
        <w:rPr>
          <w:rFonts w:eastAsia="Calibri"/>
          <w:sz w:val="26"/>
          <w:szCs w:val="26"/>
        </w:rPr>
        <w:t xml:space="preserve"> to be addressed by PWSA and interested parties.</w:t>
      </w:r>
      <w:r w:rsidR="00783F8E" w:rsidRPr="00783F8E">
        <w:t xml:space="preserve"> </w:t>
      </w:r>
      <w:r w:rsidR="00783F8E">
        <w:t xml:space="preserve"> </w:t>
      </w:r>
      <w:r w:rsidR="00C94A36" w:rsidRPr="00A53862">
        <w:rPr>
          <w:rFonts w:eastAsia="Calibri"/>
          <w:sz w:val="26"/>
          <w:szCs w:val="26"/>
        </w:rPr>
        <w:t>The Bureau of Consumer Services (BCS) Stage 2 report and directed questions shall address matters relating to PWSA compliance with Chapter 14 of the Public Utility Code and Chapter 56 of the Commission’s regulations.</w:t>
      </w:r>
      <w:r w:rsidR="00783F8E" w:rsidRPr="00A53862">
        <w:rPr>
          <w:rFonts w:eastAsia="Calibri"/>
          <w:sz w:val="26"/>
          <w:szCs w:val="26"/>
        </w:rPr>
        <w:t xml:space="preserve">  The Bureau of Technical Utility Services (TUS) Stage 2 report and directed questions shall address matters related to PWSA operations as a regulated stormwater utility.</w:t>
      </w:r>
    </w:p>
    <w:p w14:paraId="57465452" w14:textId="77777777" w:rsidR="00363C5A" w:rsidRDefault="00363C5A" w:rsidP="00437691">
      <w:pPr>
        <w:ind w:firstLine="720"/>
        <w:rPr>
          <w:rFonts w:eastAsia="Calibri"/>
          <w:sz w:val="26"/>
          <w:szCs w:val="26"/>
        </w:rPr>
      </w:pPr>
    </w:p>
    <w:p w14:paraId="401DA142" w14:textId="77777777" w:rsidR="00A53862" w:rsidRDefault="00783F8E" w:rsidP="00A53862">
      <w:pPr>
        <w:pStyle w:val="ListParagraph"/>
        <w:numPr>
          <w:ilvl w:val="0"/>
          <w:numId w:val="13"/>
        </w:numPr>
        <w:rPr>
          <w:rFonts w:eastAsia="Calibri"/>
          <w:sz w:val="26"/>
          <w:szCs w:val="26"/>
        </w:rPr>
      </w:pPr>
      <w:r w:rsidRPr="00A53862">
        <w:rPr>
          <w:rFonts w:eastAsia="Calibri"/>
          <w:sz w:val="26"/>
          <w:szCs w:val="26"/>
        </w:rPr>
        <w:t xml:space="preserve">Consistent with the direction of this Secretarial Letter and previously established schedules, OALJ is hereby directed to incorporate the Stage 2 Initial Report and directed questions into its Prehearing Order and to conduct evidentiary hearings to address matters raised therein.  </w:t>
      </w:r>
    </w:p>
    <w:p w14:paraId="4BC04827" w14:textId="77777777" w:rsidR="00A53862" w:rsidRPr="00A53862" w:rsidRDefault="00A53862" w:rsidP="00A53862">
      <w:pPr>
        <w:pStyle w:val="ListParagraph"/>
        <w:rPr>
          <w:rFonts w:eastAsia="Calibri"/>
          <w:sz w:val="26"/>
          <w:szCs w:val="26"/>
        </w:rPr>
      </w:pPr>
    </w:p>
    <w:p w14:paraId="2A9CDE94" w14:textId="77777777" w:rsidR="00A53862" w:rsidRDefault="00A53862" w:rsidP="00A53862">
      <w:pPr>
        <w:pStyle w:val="ListParagraph"/>
        <w:numPr>
          <w:ilvl w:val="0"/>
          <w:numId w:val="13"/>
        </w:numPr>
        <w:rPr>
          <w:rFonts w:eastAsia="Calibri"/>
          <w:sz w:val="26"/>
          <w:szCs w:val="26"/>
        </w:rPr>
      </w:pPr>
      <w:r>
        <w:rPr>
          <w:rFonts w:eastAsia="Calibri"/>
          <w:sz w:val="26"/>
          <w:szCs w:val="26"/>
        </w:rPr>
        <w:t>N</w:t>
      </w:r>
      <w:r w:rsidRPr="00A53862">
        <w:rPr>
          <w:rFonts w:eastAsia="Calibri"/>
          <w:sz w:val="26"/>
          <w:szCs w:val="26"/>
        </w:rPr>
        <w:t>o later than nine (9) months from the date of assignment of Stage 2 to OALJ</w:t>
      </w:r>
      <w:r>
        <w:rPr>
          <w:rFonts w:eastAsia="Calibri"/>
          <w:sz w:val="26"/>
          <w:szCs w:val="26"/>
        </w:rPr>
        <w:t xml:space="preserve">, </w:t>
      </w:r>
      <w:r w:rsidR="00783F8E" w:rsidRPr="00A53862">
        <w:rPr>
          <w:rFonts w:eastAsia="Calibri"/>
          <w:sz w:val="26"/>
          <w:szCs w:val="26"/>
        </w:rPr>
        <w:t xml:space="preserve">OALJ will issue a recommended decision on the matters raised in Stage 2. </w:t>
      </w:r>
    </w:p>
    <w:p w14:paraId="5F13A882" w14:textId="77777777" w:rsidR="00A53862" w:rsidRPr="00A53862" w:rsidRDefault="00A53862" w:rsidP="00A53862">
      <w:pPr>
        <w:pStyle w:val="ListParagraph"/>
        <w:rPr>
          <w:rFonts w:eastAsia="Calibri"/>
          <w:sz w:val="26"/>
          <w:szCs w:val="26"/>
        </w:rPr>
      </w:pPr>
    </w:p>
    <w:p w14:paraId="46642A02" w14:textId="77777777" w:rsidR="00437691" w:rsidRDefault="00363C5A" w:rsidP="00C81D2F">
      <w:pPr>
        <w:ind w:firstLine="720"/>
        <w:rPr>
          <w:rFonts w:eastAsia="Calibri"/>
          <w:sz w:val="26"/>
          <w:szCs w:val="26"/>
        </w:rPr>
      </w:pPr>
      <w:r w:rsidRPr="00363C5A">
        <w:rPr>
          <w:rFonts w:eastAsia="Calibri"/>
          <w:sz w:val="26"/>
          <w:szCs w:val="26"/>
        </w:rPr>
        <w:t xml:space="preserve">  </w:t>
      </w:r>
    </w:p>
    <w:p w14:paraId="0BAC69D8" w14:textId="77777777" w:rsidR="00AA166F" w:rsidRPr="001F6E38" w:rsidRDefault="00A53862" w:rsidP="007826AB">
      <w:pPr>
        <w:ind w:firstLine="720"/>
        <w:rPr>
          <w:rFonts w:eastAsia="Calibri"/>
          <w:sz w:val="26"/>
          <w:szCs w:val="26"/>
        </w:rPr>
      </w:pPr>
      <w:r>
        <w:rPr>
          <w:rFonts w:eastAsia="Calibri"/>
          <w:sz w:val="26"/>
          <w:szCs w:val="26"/>
        </w:rPr>
        <w:t>This Secretarial Letter shall be served on all Parties of record, commenters, and monitoring stakeholders in the above-referenced proceedings.</w:t>
      </w:r>
    </w:p>
    <w:p w14:paraId="70653225" w14:textId="5F295C63" w:rsidR="00F06B16" w:rsidRDefault="00CB4CC1" w:rsidP="00CB4CC1">
      <w:pPr>
        <w:keepNext/>
        <w:keepLines/>
        <w:tabs>
          <w:tab w:val="left" w:pos="5595"/>
        </w:tabs>
        <w:ind w:left="1440" w:hanging="1440"/>
        <w:rPr>
          <w:sz w:val="26"/>
          <w:szCs w:val="26"/>
        </w:rPr>
      </w:pPr>
      <w:r>
        <w:rPr>
          <w:sz w:val="26"/>
          <w:szCs w:val="26"/>
        </w:rPr>
        <w:tab/>
      </w:r>
      <w:r>
        <w:rPr>
          <w:sz w:val="26"/>
          <w:szCs w:val="26"/>
        </w:rPr>
        <w:tab/>
      </w:r>
    </w:p>
    <w:p w14:paraId="1C38E55C" w14:textId="79B77B47" w:rsidR="00581326" w:rsidRDefault="00581326" w:rsidP="00555335">
      <w:pPr>
        <w:keepNext/>
        <w:keepLines/>
        <w:ind w:left="1440" w:hanging="1440"/>
        <w:rPr>
          <w:sz w:val="26"/>
          <w:szCs w:val="26"/>
        </w:rPr>
      </w:pPr>
    </w:p>
    <w:p w14:paraId="7541BBDC" w14:textId="50CA2AA4" w:rsidR="003A072B" w:rsidRPr="0008045A" w:rsidRDefault="00CB4CC1" w:rsidP="00FE7D60">
      <w:pPr>
        <w:keepNext/>
        <w:keepLines/>
        <w:ind w:left="5040" w:firstLine="720"/>
        <w:rPr>
          <w:sz w:val="26"/>
          <w:szCs w:val="26"/>
        </w:rPr>
      </w:pPr>
      <w:r>
        <w:rPr>
          <w:noProof/>
        </w:rPr>
        <w:drawing>
          <wp:anchor distT="0" distB="0" distL="114300" distR="114300" simplePos="0" relativeHeight="251659264" behindDoc="1" locked="0" layoutInCell="1" allowOverlap="1" wp14:anchorId="5F3DD334" wp14:editId="51ABAB1B">
            <wp:simplePos x="0" y="0"/>
            <wp:positionH relativeFrom="column">
              <wp:posOffset>3581400</wp:posOffset>
            </wp:positionH>
            <wp:positionV relativeFrom="paragraph">
              <wp:posOffset>67310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072B" w:rsidRPr="0008045A">
        <w:rPr>
          <w:sz w:val="26"/>
          <w:szCs w:val="26"/>
        </w:rPr>
        <w:t>Very truly yours,</w:t>
      </w:r>
    </w:p>
    <w:p w14:paraId="697C112A" w14:textId="77777777" w:rsidR="00905349" w:rsidRPr="0008045A" w:rsidRDefault="00905349" w:rsidP="00FE7D60">
      <w:pPr>
        <w:keepNext/>
        <w:keepLines/>
        <w:rPr>
          <w:sz w:val="26"/>
          <w:szCs w:val="26"/>
        </w:rPr>
      </w:pPr>
    </w:p>
    <w:p w14:paraId="57AB6461" w14:textId="77777777" w:rsidR="003A072B" w:rsidRDefault="003A072B" w:rsidP="00FE7D60">
      <w:pPr>
        <w:keepNext/>
        <w:keepLines/>
        <w:rPr>
          <w:sz w:val="26"/>
          <w:szCs w:val="26"/>
        </w:rPr>
      </w:pPr>
    </w:p>
    <w:p w14:paraId="6536BB32" w14:textId="77777777" w:rsidR="00E32A50" w:rsidRPr="0008045A" w:rsidRDefault="00E32A50" w:rsidP="00FE7D60">
      <w:pPr>
        <w:keepNext/>
        <w:keepLines/>
        <w:rPr>
          <w:sz w:val="26"/>
          <w:szCs w:val="26"/>
        </w:rPr>
      </w:pPr>
    </w:p>
    <w:p w14:paraId="7FB864D2" w14:textId="77777777" w:rsidR="003A072B" w:rsidRPr="0008045A" w:rsidRDefault="00EB6F1D" w:rsidP="00FE7D60">
      <w:pPr>
        <w:keepNext/>
        <w:keepLines/>
        <w:ind w:left="5040" w:firstLine="720"/>
        <w:rPr>
          <w:sz w:val="26"/>
          <w:szCs w:val="26"/>
        </w:rPr>
      </w:pPr>
      <w:r w:rsidRPr="0008045A">
        <w:rPr>
          <w:sz w:val="26"/>
          <w:szCs w:val="26"/>
        </w:rPr>
        <w:t>Rosemary Chiavetta</w:t>
      </w:r>
    </w:p>
    <w:p w14:paraId="6000CF90" w14:textId="77777777" w:rsidR="00463C40" w:rsidRDefault="00F06B16" w:rsidP="00463C40">
      <w:pPr>
        <w:keepNext/>
        <w:keepLines/>
        <w:ind w:left="5040" w:firstLine="720"/>
        <w:rPr>
          <w:sz w:val="26"/>
          <w:szCs w:val="26"/>
        </w:rPr>
      </w:pPr>
      <w:r>
        <w:rPr>
          <w:sz w:val="26"/>
          <w:szCs w:val="26"/>
        </w:rPr>
        <w:t>S</w:t>
      </w:r>
      <w:r w:rsidR="003A072B" w:rsidRPr="0008045A">
        <w:rPr>
          <w:sz w:val="26"/>
          <w:szCs w:val="26"/>
        </w:rPr>
        <w:t>ecretary</w:t>
      </w:r>
    </w:p>
    <w:p w14:paraId="1A27AA25" w14:textId="77777777" w:rsidR="00463C40" w:rsidRDefault="00463C40" w:rsidP="00463C40">
      <w:pPr>
        <w:keepNext/>
        <w:keepLines/>
        <w:ind w:left="5040" w:firstLine="720"/>
        <w:rPr>
          <w:sz w:val="26"/>
          <w:szCs w:val="26"/>
        </w:rPr>
      </w:pPr>
    </w:p>
    <w:sectPr w:rsidR="00463C40" w:rsidSect="00581326">
      <w:footerReference w:type="default" r:id="rId13"/>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AE743" w14:textId="77777777" w:rsidR="00E15577" w:rsidRDefault="00E15577">
      <w:r>
        <w:separator/>
      </w:r>
    </w:p>
  </w:endnote>
  <w:endnote w:type="continuationSeparator" w:id="0">
    <w:p w14:paraId="2902162C" w14:textId="77777777" w:rsidR="00E15577" w:rsidRDefault="00E15577">
      <w:r>
        <w:continuationSeparator/>
      </w:r>
    </w:p>
  </w:endnote>
  <w:endnote w:type="continuationNotice" w:id="1">
    <w:p w14:paraId="7AD843D7" w14:textId="77777777" w:rsidR="00E15577" w:rsidRDefault="00E155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0250009"/>
      <w:docPartObj>
        <w:docPartGallery w:val="Page Numbers (Bottom of Page)"/>
        <w:docPartUnique/>
      </w:docPartObj>
    </w:sdtPr>
    <w:sdtEndPr>
      <w:rPr>
        <w:noProof/>
        <w:sz w:val="22"/>
        <w:szCs w:val="22"/>
      </w:rPr>
    </w:sdtEndPr>
    <w:sdtContent>
      <w:p w14:paraId="45004DA8" w14:textId="77777777" w:rsidR="00511ABF" w:rsidRPr="00581326" w:rsidRDefault="00511ABF">
        <w:pPr>
          <w:pStyle w:val="Footer"/>
          <w:jc w:val="center"/>
          <w:rPr>
            <w:sz w:val="22"/>
            <w:szCs w:val="22"/>
          </w:rPr>
        </w:pPr>
        <w:r w:rsidRPr="00581326">
          <w:rPr>
            <w:sz w:val="22"/>
            <w:szCs w:val="22"/>
          </w:rPr>
          <w:fldChar w:fldCharType="begin"/>
        </w:r>
        <w:r w:rsidRPr="00581326">
          <w:rPr>
            <w:sz w:val="22"/>
            <w:szCs w:val="22"/>
          </w:rPr>
          <w:instrText xml:space="preserve"> PAGE   \* MERGEFORMAT </w:instrText>
        </w:r>
        <w:r w:rsidRPr="00581326">
          <w:rPr>
            <w:sz w:val="22"/>
            <w:szCs w:val="22"/>
          </w:rPr>
          <w:fldChar w:fldCharType="separate"/>
        </w:r>
        <w:r w:rsidR="00C81D2F" w:rsidRPr="00581326">
          <w:rPr>
            <w:noProof/>
            <w:sz w:val="22"/>
            <w:szCs w:val="22"/>
          </w:rPr>
          <w:t>3</w:t>
        </w:r>
        <w:r w:rsidRPr="00581326">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252F9" w14:textId="77777777" w:rsidR="00E15577" w:rsidRDefault="00E15577">
      <w:r>
        <w:separator/>
      </w:r>
    </w:p>
  </w:footnote>
  <w:footnote w:type="continuationSeparator" w:id="0">
    <w:p w14:paraId="32FCA286" w14:textId="77777777" w:rsidR="00E15577" w:rsidRDefault="00E15577">
      <w:r>
        <w:continuationSeparator/>
      </w:r>
    </w:p>
  </w:footnote>
  <w:footnote w:type="continuationNotice" w:id="1">
    <w:p w14:paraId="413880D2" w14:textId="77777777" w:rsidR="00E15577" w:rsidRDefault="00E155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3956F0"/>
    <w:multiLevelType w:val="hybridMultilevel"/>
    <w:tmpl w:val="C91262AE"/>
    <w:lvl w:ilvl="0" w:tplc="2334FA30">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F4F1B56"/>
    <w:multiLevelType w:val="hybridMultilevel"/>
    <w:tmpl w:val="31A4C782"/>
    <w:lvl w:ilvl="0" w:tplc="41B0756C">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19E7C1C"/>
    <w:multiLevelType w:val="hybridMultilevel"/>
    <w:tmpl w:val="7F5A26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CD76DDE"/>
    <w:multiLevelType w:val="hybridMultilevel"/>
    <w:tmpl w:val="B36A9A6A"/>
    <w:lvl w:ilvl="0" w:tplc="E7DEBB02">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9"/>
  </w:num>
  <w:num w:numId="3">
    <w:abstractNumId w:val="2"/>
  </w:num>
  <w:num w:numId="4">
    <w:abstractNumId w:val="6"/>
  </w:num>
  <w:num w:numId="5">
    <w:abstractNumId w:val="11"/>
  </w:num>
  <w:num w:numId="6">
    <w:abstractNumId w:val="4"/>
  </w:num>
  <w:num w:numId="7">
    <w:abstractNumId w:val="12"/>
  </w:num>
  <w:num w:numId="8">
    <w:abstractNumId w:val="10"/>
  </w:num>
  <w:num w:numId="9">
    <w:abstractNumId w:val="0"/>
  </w:num>
  <w:num w:numId="10">
    <w:abstractNumId w:val="5"/>
  </w:num>
  <w:num w:numId="11">
    <w:abstractNumId w:val="3"/>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22D1"/>
    <w:rsid w:val="00004D77"/>
    <w:rsid w:val="00011C01"/>
    <w:rsid w:val="00016185"/>
    <w:rsid w:val="0001663E"/>
    <w:rsid w:val="00016793"/>
    <w:rsid w:val="00027481"/>
    <w:rsid w:val="00037063"/>
    <w:rsid w:val="000524D5"/>
    <w:rsid w:val="00054239"/>
    <w:rsid w:val="00055F43"/>
    <w:rsid w:val="00066F56"/>
    <w:rsid w:val="00071153"/>
    <w:rsid w:val="0008029B"/>
    <w:rsid w:val="0008045A"/>
    <w:rsid w:val="000878F5"/>
    <w:rsid w:val="000928B1"/>
    <w:rsid w:val="00096029"/>
    <w:rsid w:val="000A5ADF"/>
    <w:rsid w:val="000A637F"/>
    <w:rsid w:val="000A659E"/>
    <w:rsid w:val="000B3967"/>
    <w:rsid w:val="000B3E1D"/>
    <w:rsid w:val="000C11B2"/>
    <w:rsid w:val="000D020B"/>
    <w:rsid w:val="000D26F3"/>
    <w:rsid w:val="000D6753"/>
    <w:rsid w:val="000E19C2"/>
    <w:rsid w:val="000E1EE0"/>
    <w:rsid w:val="000E32E1"/>
    <w:rsid w:val="000E3737"/>
    <w:rsid w:val="000F03BA"/>
    <w:rsid w:val="000F5F7C"/>
    <w:rsid w:val="00105E0E"/>
    <w:rsid w:val="00113F9A"/>
    <w:rsid w:val="001142D0"/>
    <w:rsid w:val="001147C1"/>
    <w:rsid w:val="001209F1"/>
    <w:rsid w:val="00125E62"/>
    <w:rsid w:val="00127D9A"/>
    <w:rsid w:val="00130041"/>
    <w:rsid w:val="00132393"/>
    <w:rsid w:val="00133AD9"/>
    <w:rsid w:val="001352D9"/>
    <w:rsid w:val="00136BAB"/>
    <w:rsid w:val="00145471"/>
    <w:rsid w:val="0015050E"/>
    <w:rsid w:val="00153FD8"/>
    <w:rsid w:val="001562BD"/>
    <w:rsid w:val="00157269"/>
    <w:rsid w:val="00157590"/>
    <w:rsid w:val="001658F6"/>
    <w:rsid w:val="001664FF"/>
    <w:rsid w:val="00170386"/>
    <w:rsid w:val="001737A8"/>
    <w:rsid w:val="0018285B"/>
    <w:rsid w:val="00191C5A"/>
    <w:rsid w:val="00195952"/>
    <w:rsid w:val="00196695"/>
    <w:rsid w:val="001A13E6"/>
    <w:rsid w:val="001A15F2"/>
    <w:rsid w:val="001A2080"/>
    <w:rsid w:val="001A3FDC"/>
    <w:rsid w:val="001B531E"/>
    <w:rsid w:val="001B6772"/>
    <w:rsid w:val="001C0388"/>
    <w:rsid w:val="001C05EE"/>
    <w:rsid w:val="001C1E78"/>
    <w:rsid w:val="001D1EB7"/>
    <w:rsid w:val="001E3201"/>
    <w:rsid w:val="001E5747"/>
    <w:rsid w:val="001F0752"/>
    <w:rsid w:val="001F2603"/>
    <w:rsid w:val="001F31EB"/>
    <w:rsid w:val="001F6E38"/>
    <w:rsid w:val="00201518"/>
    <w:rsid w:val="00213613"/>
    <w:rsid w:val="00217778"/>
    <w:rsid w:val="0021794B"/>
    <w:rsid w:val="00221E65"/>
    <w:rsid w:val="002229C3"/>
    <w:rsid w:val="002462B6"/>
    <w:rsid w:val="00247D39"/>
    <w:rsid w:val="00251196"/>
    <w:rsid w:val="00253E27"/>
    <w:rsid w:val="00254FFA"/>
    <w:rsid w:val="00264944"/>
    <w:rsid w:val="0026602D"/>
    <w:rsid w:val="00271F74"/>
    <w:rsid w:val="00280CC0"/>
    <w:rsid w:val="002850F1"/>
    <w:rsid w:val="00287550"/>
    <w:rsid w:val="002937BF"/>
    <w:rsid w:val="0029471C"/>
    <w:rsid w:val="00295B24"/>
    <w:rsid w:val="002B0A6A"/>
    <w:rsid w:val="002B79C7"/>
    <w:rsid w:val="002C01E8"/>
    <w:rsid w:val="002C2C22"/>
    <w:rsid w:val="002D695B"/>
    <w:rsid w:val="002E28AA"/>
    <w:rsid w:val="002F4262"/>
    <w:rsid w:val="003114E6"/>
    <w:rsid w:val="003267D4"/>
    <w:rsid w:val="003339C5"/>
    <w:rsid w:val="0033738E"/>
    <w:rsid w:val="0034399B"/>
    <w:rsid w:val="00343B72"/>
    <w:rsid w:val="00355F13"/>
    <w:rsid w:val="00361677"/>
    <w:rsid w:val="00363C5A"/>
    <w:rsid w:val="00366530"/>
    <w:rsid w:val="003677ED"/>
    <w:rsid w:val="00367C43"/>
    <w:rsid w:val="003757F9"/>
    <w:rsid w:val="003817B4"/>
    <w:rsid w:val="003845AC"/>
    <w:rsid w:val="0039048B"/>
    <w:rsid w:val="00390D01"/>
    <w:rsid w:val="00391858"/>
    <w:rsid w:val="00392F08"/>
    <w:rsid w:val="00395B7C"/>
    <w:rsid w:val="003A072B"/>
    <w:rsid w:val="003A3D25"/>
    <w:rsid w:val="003A498E"/>
    <w:rsid w:val="003A50C3"/>
    <w:rsid w:val="003A6C49"/>
    <w:rsid w:val="003A6D93"/>
    <w:rsid w:val="003A7E1B"/>
    <w:rsid w:val="003B12B3"/>
    <w:rsid w:val="003B5C2D"/>
    <w:rsid w:val="003B7871"/>
    <w:rsid w:val="003D2057"/>
    <w:rsid w:val="003E3A62"/>
    <w:rsid w:val="003E3BF1"/>
    <w:rsid w:val="003E7D22"/>
    <w:rsid w:val="003E7E17"/>
    <w:rsid w:val="003F2664"/>
    <w:rsid w:val="003F3572"/>
    <w:rsid w:val="00411822"/>
    <w:rsid w:val="00412CAF"/>
    <w:rsid w:val="004131E7"/>
    <w:rsid w:val="00430047"/>
    <w:rsid w:val="00430574"/>
    <w:rsid w:val="00433CF4"/>
    <w:rsid w:val="00437691"/>
    <w:rsid w:val="004446DC"/>
    <w:rsid w:val="0044701F"/>
    <w:rsid w:val="0046248B"/>
    <w:rsid w:val="00463C40"/>
    <w:rsid w:val="00466663"/>
    <w:rsid w:val="00472521"/>
    <w:rsid w:val="00472BB2"/>
    <w:rsid w:val="0047576A"/>
    <w:rsid w:val="004762B3"/>
    <w:rsid w:val="004777F0"/>
    <w:rsid w:val="004829DF"/>
    <w:rsid w:val="004954D1"/>
    <w:rsid w:val="004A061C"/>
    <w:rsid w:val="004A0F9B"/>
    <w:rsid w:val="004A44BC"/>
    <w:rsid w:val="004B6285"/>
    <w:rsid w:val="004C25E3"/>
    <w:rsid w:val="004C2A59"/>
    <w:rsid w:val="004D1180"/>
    <w:rsid w:val="004D1A1C"/>
    <w:rsid w:val="004D3966"/>
    <w:rsid w:val="004D4E46"/>
    <w:rsid w:val="004D6575"/>
    <w:rsid w:val="004E1206"/>
    <w:rsid w:val="004E7F64"/>
    <w:rsid w:val="004F4D5F"/>
    <w:rsid w:val="00501CC5"/>
    <w:rsid w:val="00507864"/>
    <w:rsid w:val="00507EE1"/>
    <w:rsid w:val="00511ABF"/>
    <w:rsid w:val="00514B10"/>
    <w:rsid w:val="005336D6"/>
    <w:rsid w:val="0053394E"/>
    <w:rsid w:val="00545234"/>
    <w:rsid w:val="00546357"/>
    <w:rsid w:val="00546F1C"/>
    <w:rsid w:val="00547B7C"/>
    <w:rsid w:val="00555335"/>
    <w:rsid w:val="00561236"/>
    <w:rsid w:val="005718E1"/>
    <w:rsid w:val="00572D56"/>
    <w:rsid w:val="00575B3B"/>
    <w:rsid w:val="00581326"/>
    <w:rsid w:val="0059719F"/>
    <w:rsid w:val="005A0FBB"/>
    <w:rsid w:val="005A11FD"/>
    <w:rsid w:val="005A37A2"/>
    <w:rsid w:val="005A382E"/>
    <w:rsid w:val="005B2A1D"/>
    <w:rsid w:val="005B5AA7"/>
    <w:rsid w:val="005B7F53"/>
    <w:rsid w:val="005B7FD2"/>
    <w:rsid w:val="005C58CB"/>
    <w:rsid w:val="005E1A70"/>
    <w:rsid w:val="005E25C5"/>
    <w:rsid w:val="0060010C"/>
    <w:rsid w:val="00601B8D"/>
    <w:rsid w:val="00602BA0"/>
    <w:rsid w:val="00604B47"/>
    <w:rsid w:val="00611279"/>
    <w:rsid w:val="0061459D"/>
    <w:rsid w:val="0061794E"/>
    <w:rsid w:val="0062183E"/>
    <w:rsid w:val="006266EC"/>
    <w:rsid w:val="00626A10"/>
    <w:rsid w:val="00626F36"/>
    <w:rsid w:val="0062751C"/>
    <w:rsid w:val="00630AE9"/>
    <w:rsid w:val="006344A7"/>
    <w:rsid w:val="00636D03"/>
    <w:rsid w:val="006430DB"/>
    <w:rsid w:val="006465FA"/>
    <w:rsid w:val="006617F0"/>
    <w:rsid w:val="00662093"/>
    <w:rsid w:val="006641CE"/>
    <w:rsid w:val="006755C0"/>
    <w:rsid w:val="00675C8E"/>
    <w:rsid w:val="006766D6"/>
    <w:rsid w:val="00681E36"/>
    <w:rsid w:val="00683D7A"/>
    <w:rsid w:val="006A1B5E"/>
    <w:rsid w:val="006B0350"/>
    <w:rsid w:val="006B0DE7"/>
    <w:rsid w:val="006B6701"/>
    <w:rsid w:val="006B713D"/>
    <w:rsid w:val="006C33BC"/>
    <w:rsid w:val="006C41B5"/>
    <w:rsid w:val="006C5F3C"/>
    <w:rsid w:val="006D0288"/>
    <w:rsid w:val="006D2C48"/>
    <w:rsid w:val="006D3665"/>
    <w:rsid w:val="006D4F47"/>
    <w:rsid w:val="006E0781"/>
    <w:rsid w:val="006F0FCA"/>
    <w:rsid w:val="006F6031"/>
    <w:rsid w:val="00704648"/>
    <w:rsid w:val="007049E8"/>
    <w:rsid w:val="00706FBE"/>
    <w:rsid w:val="00707B15"/>
    <w:rsid w:val="0071398D"/>
    <w:rsid w:val="00716BFE"/>
    <w:rsid w:val="00726821"/>
    <w:rsid w:val="00734698"/>
    <w:rsid w:val="0073490B"/>
    <w:rsid w:val="0074135B"/>
    <w:rsid w:val="007607CA"/>
    <w:rsid w:val="0076116B"/>
    <w:rsid w:val="00762E1D"/>
    <w:rsid w:val="00765291"/>
    <w:rsid w:val="00771E83"/>
    <w:rsid w:val="007726C0"/>
    <w:rsid w:val="00775628"/>
    <w:rsid w:val="007826AB"/>
    <w:rsid w:val="00783F8E"/>
    <w:rsid w:val="00785BF5"/>
    <w:rsid w:val="00792E10"/>
    <w:rsid w:val="00796D7F"/>
    <w:rsid w:val="007972BC"/>
    <w:rsid w:val="007A17BA"/>
    <w:rsid w:val="007A5117"/>
    <w:rsid w:val="007A53A2"/>
    <w:rsid w:val="007C46A0"/>
    <w:rsid w:val="007C6DD4"/>
    <w:rsid w:val="007C76C5"/>
    <w:rsid w:val="007D0B2A"/>
    <w:rsid w:val="007D1483"/>
    <w:rsid w:val="007D663A"/>
    <w:rsid w:val="007E4222"/>
    <w:rsid w:val="007E79DB"/>
    <w:rsid w:val="007F61B2"/>
    <w:rsid w:val="007F651B"/>
    <w:rsid w:val="00807300"/>
    <w:rsid w:val="0081203D"/>
    <w:rsid w:val="0081468E"/>
    <w:rsid w:val="0082172C"/>
    <w:rsid w:val="00822EAD"/>
    <w:rsid w:val="00827532"/>
    <w:rsid w:val="00841F64"/>
    <w:rsid w:val="00843139"/>
    <w:rsid w:val="00843C34"/>
    <w:rsid w:val="008446E5"/>
    <w:rsid w:val="00844CF2"/>
    <w:rsid w:val="00850F1D"/>
    <w:rsid w:val="00885E81"/>
    <w:rsid w:val="00887C03"/>
    <w:rsid w:val="0089411B"/>
    <w:rsid w:val="00895AF3"/>
    <w:rsid w:val="00897393"/>
    <w:rsid w:val="008A39CF"/>
    <w:rsid w:val="008A5EE3"/>
    <w:rsid w:val="008B7B06"/>
    <w:rsid w:val="008C2FAF"/>
    <w:rsid w:val="008C645A"/>
    <w:rsid w:val="008D060A"/>
    <w:rsid w:val="008D13AA"/>
    <w:rsid w:val="008D17D5"/>
    <w:rsid w:val="008D4BD7"/>
    <w:rsid w:val="008D5DB0"/>
    <w:rsid w:val="008D7ACB"/>
    <w:rsid w:val="008E2BC0"/>
    <w:rsid w:val="008E440B"/>
    <w:rsid w:val="008E5A93"/>
    <w:rsid w:val="008E7067"/>
    <w:rsid w:val="009046F7"/>
    <w:rsid w:val="00905349"/>
    <w:rsid w:val="00905B9F"/>
    <w:rsid w:val="00914D71"/>
    <w:rsid w:val="0092706C"/>
    <w:rsid w:val="0095100A"/>
    <w:rsid w:val="009520ED"/>
    <w:rsid w:val="00983A4D"/>
    <w:rsid w:val="00984704"/>
    <w:rsid w:val="009926A4"/>
    <w:rsid w:val="00995867"/>
    <w:rsid w:val="00996522"/>
    <w:rsid w:val="009A090F"/>
    <w:rsid w:val="009A66F3"/>
    <w:rsid w:val="009C1ED4"/>
    <w:rsid w:val="009D3801"/>
    <w:rsid w:val="009D693A"/>
    <w:rsid w:val="009F3FC1"/>
    <w:rsid w:val="009F5F66"/>
    <w:rsid w:val="009F723A"/>
    <w:rsid w:val="00A16BD8"/>
    <w:rsid w:val="00A2061F"/>
    <w:rsid w:val="00A2236A"/>
    <w:rsid w:val="00A23ED7"/>
    <w:rsid w:val="00A27815"/>
    <w:rsid w:val="00A35BEB"/>
    <w:rsid w:val="00A45B53"/>
    <w:rsid w:val="00A4617F"/>
    <w:rsid w:val="00A52C46"/>
    <w:rsid w:val="00A53862"/>
    <w:rsid w:val="00A66CAF"/>
    <w:rsid w:val="00A93CF9"/>
    <w:rsid w:val="00AA166F"/>
    <w:rsid w:val="00AA618A"/>
    <w:rsid w:val="00AB34BE"/>
    <w:rsid w:val="00AB4A21"/>
    <w:rsid w:val="00AB7604"/>
    <w:rsid w:val="00AC15FD"/>
    <w:rsid w:val="00AD24C2"/>
    <w:rsid w:val="00AD6536"/>
    <w:rsid w:val="00AE1A44"/>
    <w:rsid w:val="00AE3E98"/>
    <w:rsid w:val="00AE6F0B"/>
    <w:rsid w:val="00B03AC5"/>
    <w:rsid w:val="00B0412C"/>
    <w:rsid w:val="00B13E5D"/>
    <w:rsid w:val="00B16F8D"/>
    <w:rsid w:val="00B22E7C"/>
    <w:rsid w:val="00B26896"/>
    <w:rsid w:val="00B3131B"/>
    <w:rsid w:val="00B468E1"/>
    <w:rsid w:val="00B527F7"/>
    <w:rsid w:val="00B54C9E"/>
    <w:rsid w:val="00B566F4"/>
    <w:rsid w:val="00B739DA"/>
    <w:rsid w:val="00B7797C"/>
    <w:rsid w:val="00B83BF8"/>
    <w:rsid w:val="00B95FEF"/>
    <w:rsid w:val="00BC01DD"/>
    <w:rsid w:val="00BC2FB9"/>
    <w:rsid w:val="00BC3334"/>
    <w:rsid w:val="00BD1065"/>
    <w:rsid w:val="00BD3ACA"/>
    <w:rsid w:val="00BE5119"/>
    <w:rsid w:val="00BE6BB3"/>
    <w:rsid w:val="00BF2A85"/>
    <w:rsid w:val="00BF2F0E"/>
    <w:rsid w:val="00BF65F7"/>
    <w:rsid w:val="00C013A1"/>
    <w:rsid w:val="00C13723"/>
    <w:rsid w:val="00C23DA7"/>
    <w:rsid w:val="00C3346E"/>
    <w:rsid w:val="00C350FD"/>
    <w:rsid w:val="00C402A0"/>
    <w:rsid w:val="00C452DE"/>
    <w:rsid w:val="00C74A51"/>
    <w:rsid w:val="00C81D2F"/>
    <w:rsid w:val="00C86FC2"/>
    <w:rsid w:val="00C903E3"/>
    <w:rsid w:val="00C92570"/>
    <w:rsid w:val="00C94A36"/>
    <w:rsid w:val="00CA50D1"/>
    <w:rsid w:val="00CB0F1A"/>
    <w:rsid w:val="00CB4CC1"/>
    <w:rsid w:val="00CB5738"/>
    <w:rsid w:val="00CB640F"/>
    <w:rsid w:val="00CC503F"/>
    <w:rsid w:val="00CC5462"/>
    <w:rsid w:val="00CD4B72"/>
    <w:rsid w:val="00CD72FB"/>
    <w:rsid w:val="00CE2850"/>
    <w:rsid w:val="00CE4BEE"/>
    <w:rsid w:val="00CE751D"/>
    <w:rsid w:val="00CE77E6"/>
    <w:rsid w:val="00CF73EC"/>
    <w:rsid w:val="00D00C60"/>
    <w:rsid w:val="00D0738E"/>
    <w:rsid w:val="00D12C93"/>
    <w:rsid w:val="00D158D4"/>
    <w:rsid w:val="00D16C96"/>
    <w:rsid w:val="00D17649"/>
    <w:rsid w:val="00D26C3C"/>
    <w:rsid w:val="00D3099A"/>
    <w:rsid w:val="00D331A4"/>
    <w:rsid w:val="00D472DB"/>
    <w:rsid w:val="00D62DCF"/>
    <w:rsid w:val="00D6566B"/>
    <w:rsid w:val="00D71AA3"/>
    <w:rsid w:val="00D8333D"/>
    <w:rsid w:val="00D865D4"/>
    <w:rsid w:val="00DA21CA"/>
    <w:rsid w:val="00DB0810"/>
    <w:rsid w:val="00DB2119"/>
    <w:rsid w:val="00DB6D5A"/>
    <w:rsid w:val="00DC03CF"/>
    <w:rsid w:val="00DD12C1"/>
    <w:rsid w:val="00DD44F1"/>
    <w:rsid w:val="00DE292B"/>
    <w:rsid w:val="00DE4157"/>
    <w:rsid w:val="00DF0C3D"/>
    <w:rsid w:val="00DF2C6D"/>
    <w:rsid w:val="00E02017"/>
    <w:rsid w:val="00E06535"/>
    <w:rsid w:val="00E06CDF"/>
    <w:rsid w:val="00E127D7"/>
    <w:rsid w:val="00E1298F"/>
    <w:rsid w:val="00E15577"/>
    <w:rsid w:val="00E16246"/>
    <w:rsid w:val="00E21863"/>
    <w:rsid w:val="00E229FE"/>
    <w:rsid w:val="00E260F4"/>
    <w:rsid w:val="00E3265B"/>
    <w:rsid w:val="00E32A50"/>
    <w:rsid w:val="00E34698"/>
    <w:rsid w:val="00E34726"/>
    <w:rsid w:val="00E42685"/>
    <w:rsid w:val="00E435E6"/>
    <w:rsid w:val="00E43673"/>
    <w:rsid w:val="00E528E4"/>
    <w:rsid w:val="00E57330"/>
    <w:rsid w:val="00E61A32"/>
    <w:rsid w:val="00E63F99"/>
    <w:rsid w:val="00E70913"/>
    <w:rsid w:val="00E71FCA"/>
    <w:rsid w:val="00E74592"/>
    <w:rsid w:val="00E830FB"/>
    <w:rsid w:val="00E84CE6"/>
    <w:rsid w:val="00E87469"/>
    <w:rsid w:val="00E87F23"/>
    <w:rsid w:val="00E90B33"/>
    <w:rsid w:val="00E90D5D"/>
    <w:rsid w:val="00E928F1"/>
    <w:rsid w:val="00E94D86"/>
    <w:rsid w:val="00E95C18"/>
    <w:rsid w:val="00EA0812"/>
    <w:rsid w:val="00EB13E4"/>
    <w:rsid w:val="00EB2B69"/>
    <w:rsid w:val="00EB6F1D"/>
    <w:rsid w:val="00EC6AA7"/>
    <w:rsid w:val="00EC7F84"/>
    <w:rsid w:val="00ED4C3B"/>
    <w:rsid w:val="00ED53DE"/>
    <w:rsid w:val="00EE189B"/>
    <w:rsid w:val="00EE18A6"/>
    <w:rsid w:val="00EE43D7"/>
    <w:rsid w:val="00EE7625"/>
    <w:rsid w:val="00EE7EB6"/>
    <w:rsid w:val="00EF3FBF"/>
    <w:rsid w:val="00EF417A"/>
    <w:rsid w:val="00EF7F10"/>
    <w:rsid w:val="00F04CF8"/>
    <w:rsid w:val="00F06B16"/>
    <w:rsid w:val="00F10506"/>
    <w:rsid w:val="00F1734F"/>
    <w:rsid w:val="00F20777"/>
    <w:rsid w:val="00F3664C"/>
    <w:rsid w:val="00F36C65"/>
    <w:rsid w:val="00F4285D"/>
    <w:rsid w:val="00F42C1D"/>
    <w:rsid w:val="00F43974"/>
    <w:rsid w:val="00F50FDD"/>
    <w:rsid w:val="00F51EAB"/>
    <w:rsid w:val="00F52CB9"/>
    <w:rsid w:val="00F62396"/>
    <w:rsid w:val="00F63030"/>
    <w:rsid w:val="00F649C8"/>
    <w:rsid w:val="00F65AE7"/>
    <w:rsid w:val="00F7094C"/>
    <w:rsid w:val="00F90E04"/>
    <w:rsid w:val="00F912E6"/>
    <w:rsid w:val="00F94486"/>
    <w:rsid w:val="00F9452A"/>
    <w:rsid w:val="00F9546C"/>
    <w:rsid w:val="00FA0578"/>
    <w:rsid w:val="00FA2411"/>
    <w:rsid w:val="00FA24C9"/>
    <w:rsid w:val="00FA7D17"/>
    <w:rsid w:val="00FC0BA0"/>
    <w:rsid w:val="00FC0D39"/>
    <w:rsid w:val="00FC3004"/>
    <w:rsid w:val="00FD52BB"/>
    <w:rsid w:val="00FE0640"/>
    <w:rsid w:val="00FE0954"/>
    <w:rsid w:val="00FE3973"/>
    <w:rsid w:val="00FE744F"/>
    <w:rsid w:val="00FE7945"/>
    <w:rsid w:val="00FE7D60"/>
    <w:rsid w:val="00FF6387"/>
    <w:rsid w:val="00FF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DA71457"/>
  <w15:chartTrackingRefBased/>
  <w15:docId w15:val="{4308E5C7-57D9-4547-8723-5804A403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rsid w:val="00F649C8"/>
    <w:rPr>
      <w:color w:val="0000FF"/>
      <w:u w:val="single"/>
    </w:rPr>
  </w:style>
  <w:style w:type="character" w:customStyle="1" w:styleId="UnresolvedMention1">
    <w:name w:val="Unresolved Mention1"/>
    <w:basedOn w:val="DefaultParagraphFont"/>
    <w:uiPriority w:val="99"/>
    <w:semiHidden/>
    <w:unhideWhenUsed/>
    <w:rsid w:val="00BC01DD"/>
    <w:rPr>
      <w:color w:val="808080"/>
      <w:shd w:val="clear" w:color="auto" w:fill="E6E6E6"/>
    </w:rPr>
  </w:style>
  <w:style w:type="table" w:styleId="TableGrid">
    <w:name w:val="Table Grid"/>
    <w:basedOn w:val="TableNormal"/>
    <w:rsid w:val="00995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6029"/>
    <w:pPr>
      <w:ind w:left="720"/>
      <w:contextualSpacing/>
    </w:pPr>
  </w:style>
  <w:style w:type="character" w:customStyle="1" w:styleId="FooterChar">
    <w:name w:val="Footer Char"/>
    <w:basedOn w:val="DefaultParagraphFont"/>
    <w:link w:val="Footer"/>
    <w:uiPriority w:val="99"/>
    <w:rsid w:val="00511ABF"/>
  </w:style>
  <w:style w:type="paragraph" w:styleId="FootnoteText">
    <w:name w:val="footnote text"/>
    <w:aliases w:val="Car,fn,ALTS FOOTNOTE,Footnote Text 2,Footnote text,FOOTNOTE,fn Char Char,fn Char,Footnote Text Char1 Char,Footnote Text Char Char Char,ALTS FOOTNOTE Char Char Char,Footnote Text Char2 Char Char Char,Footnote Text Char1,Footnote Text Char2"/>
    <w:basedOn w:val="Normal"/>
    <w:link w:val="FootnoteTextChar"/>
    <w:uiPriority w:val="99"/>
    <w:qFormat/>
    <w:rsid w:val="00CE2850"/>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uiPriority w:val="99"/>
    <w:qFormat/>
    <w:rsid w:val="00CE2850"/>
  </w:style>
  <w:style w:type="character" w:styleId="FootnoteReference">
    <w:name w:val="footnote reference"/>
    <w:aliases w:val="o,fr,Style 42,Style 13,Style 12,Style 28,(NECG) Footnote Reference,Style 11,Style 9,Style 16,Style 15,Style 17,Style 20,o1,fr1,o2,fr2,o3,fr3,Style 8,Style 7,Style 19,Appel note de bas de p,Style 124,Style 3,FR,Style 6"/>
    <w:basedOn w:val="DefaultParagraphFont"/>
    <w:uiPriority w:val="99"/>
    <w:rsid w:val="00CE2850"/>
    <w:rPr>
      <w:vertAlign w:val="superscript"/>
    </w:rPr>
  </w:style>
  <w:style w:type="character" w:styleId="CommentReference">
    <w:name w:val="annotation reference"/>
    <w:basedOn w:val="DefaultParagraphFont"/>
    <w:rsid w:val="00157269"/>
    <w:rPr>
      <w:sz w:val="16"/>
      <w:szCs w:val="16"/>
    </w:rPr>
  </w:style>
  <w:style w:type="paragraph" w:styleId="CommentText">
    <w:name w:val="annotation text"/>
    <w:basedOn w:val="Normal"/>
    <w:link w:val="CommentTextChar"/>
    <w:rsid w:val="00157269"/>
  </w:style>
  <w:style w:type="character" w:customStyle="1" w:styleId="CommentTextChar">
    <w:name w:val="Comment Text Char"/>
    <w:basedOn w:val="DefaultParagraphFont"/>
    <w:link w:val="CommentText"/>
    <w:rsid w:val="00157269"/>
  </w:style>
  <w:style w:type="paragraph" w:styleId="CommentSubject">
    <w:name w:val="annotation subject"/>
    <w:basedOn w:val="CommentText"/>
    <w:next w:val="CommentText"/>
    <w:link w:val="CommentSubjectChar"/>
    <w:rsid w:val="00157269"/>
    <w:rPr>
      <w:b/>
      <w:bCs/>
    </w:rPr>
  </w:style>
  <w:style w:type="character" w:customStyle="1" w:styleId="CommentSubjectChar">
    <w:name w:val="Comment Subject Char"/>
    <w:basedOn w:val="CommentTextChar"/>
    <w:link w:val="CommentSubject"/>
    <w:rsid w:val="001572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561868">
      <w:bodyDiv w:val="1"/>
      <w:marLeft w:val="0"/>
      <w:marRight w:val="0"/>
      <w:marTop w:val="0"/>
      <w:marBottom w:val="0"/>
      <w:divBdr>
        <w:top w:val="none" w:sz="0" w:space="0" w:color="auto"/>
        <w:left w:val="none" w:sz="0" w:space="0" w:color="auto"/>
        <w:bottom w:val="none" w:sz="0" w:space="0" w:color="auto"/>
        <w:right w:val="none" w:sz="0" w:space="0" w:color="auto"/>
      </w:divBdr>
    </w:div>
    <w:div w:id="374232757">
      <w:bodyDiv w:val="1"/>
      <w:marLeft w:val="0"/>
      <w:marRight w:val="0"/>
      <w:marTop w:val="0"/>
      <w:marBottom w:val="0"/>
      <w:divBdr>
        <w:top w:val="none" w:sz="0" w:space="0" w:color="auto"/>
        <w:left w:val="none" w:sz="0" w:space="0" w:color="auto"/>
        <w:bottom w:val="none" w:sz="0" w:space="0" w:color="auto"/>
        <w:right w:val="none" w:sz="0" w:space="0" w:color="auto"/>
      </w:divBdr>
    </w:div>
    <w:div w:id="75348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A1231344B9EE4B8B22DC6840AEA7B1" ma:contentTypeVersion="5" ma:contentTypeDescription="Create a new document." ma:contentTypeScope="" ma:versionID="e889a9776ed4eb619ba3fff6094f631c">
  <xsd:schema xmlns:xsd="http://www.w3.org/2001/XMLSchema" xmlns:xs="http://www.w3.org/2001/XMLSchema" xmlns:p="http://schemas.microsoft.com/office/2006/metadata/properties" xmlns:ns3="d05a8398-04f0-4137-a38f-3b39b52e6d40" xmlns:ns4="d5f46cfd-17ef-4676-98d9-262db6702185" targetNamespace="http://schemas.microsoft.com/office/2006/metadata/properties" ma:root="true" ma:fieldsID="32fafd800a833a663de9f44d9b550dfa" ns3:_="" ns4:_="">
    <xsd:import namespace="d05a8398-04f0-4137-a38f-3b39b52e6d40"/>
    <xsd:import namespace="d5f46cfd-17ef-4676-98d9-262db670218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a8398-04f0-4137-a38f-3b39b52e6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f46cfd-17ef-4676-98d9-262db67021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3B5EA-325B-4178-A0EF-9CAA25913FD2}">
  <ds:schemaRefs>
    <ds:schemaRef ds:uri="http://schemas.microsoft.com/sharepoint/v3/contenttype/forms"/>
  </ds:schemaRefs>
</ds:datastoreItem>
</file>

<file path=customXml/itemProps2.xml><?xml version="1.0" encoding="utf-8"?>
<ds:datastoreItem xmlns:ds="http://schemas.openxmlformats.org/officeDocument/2006/customXml" ds:itemID="{0A9DB849-EA60-4FB5-8DF6-779B4A08D2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78D731-5564-48F1-8735-ACA0289CA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a8398-04f0-4137-a38f-3b39b52e6d40"/>
    <ds:schemaRef ds:uri="d5f46cfd-17ef-4676-98d9-262db6702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1960CB-8754-49E4-B504-491637D8F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917</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6133</CharactersWithSpaces>
  <SharedDoc>false</SharedDoc>
  <HLinks>
    <vt:vector size="6" baseType="variant">
      <vt:variant>
        <vt:i4>3997713</vt:i4>
      </vt:variant>
      <vt:variant>
        <vt:i4>0</vt:i4>
      </vt:variant>
      <vt:variant>
        <vt:i4>0</vt:i4>
      </vt:variant>
      <vt:variant>
        <vt:i4>5</vt:i4>
      </vt:variant>
      <vt:variant>
        <vt:lpwstr>mailto:jnase@pa.gov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MARINKO</dc:creator>
  <cp:keywords/>
  <cp:lastModifiedBy>Wagner, Nathan R</cp:lastModifiedBy>
  <cp:revision>3</cp:revision>
  <cp:lastPrinted>2020-01-22T15:26:00Z</cp:lastPrinted>
  <dcterms:created xsi:type="dcterms:W3CDTF">2020-01-24T17:26:00Z</dcterms:created>
  <dcterms:modified xsi:type="dcterms:W3CDTF">2020-01-24T18:58:00Z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0x0101000FA1231344B9EE4B8B22DC6840AEA7B1</vt:lpwstr>
  </property>
</Properties>
</file>